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EA6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团体标准</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半导体洁净室 水溶性空气分子污染物（AMC）的测定 离子色谱法</w:t>
      </w:r>
      <w:r>
        <w:rPr>
          <w:rFonts w:hint="default" w:ascii="Times New Roman" w:hAnsi="Times New Roman" w:eastAsia="宋体" w:cs="Times New Roman"/>
          <w:b/>
          <w:bCs/>
          <w:color w:val="auto"/>
          <w:sz w:val="24"/>
          <w:szCs w:val="24"/>
          <w:highlight w:val="none"/>
        </w:rPr>
        <w:t>》</w:t>
      </w:r>
    </w:p>
    <w:p w14:paraId="7F0D2A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编制说明（</w:t>
      </w:r>
      <w:r>
        <w:rPr>
          <w:rFonts w:hint="eastAsia" w:ascii="Times New Roman" w:hAnsi="Times New Roman" w:eastAsia="宋体" w:cs="Times New Roman"/>
          <w:b/>
          <w:bCs/>
          <w:color w:val="auto"/>
          <w:sz w:val="24"/>
          <w:szCs w:val="24"/>
          <w:highlight w:val="none"/>
          <w:lang w:val="en-US" w:eastAsia="zh-CN"/>
        </w:rPr>
        <w:t>送审</w:t>
      </w:r>
      <w:r>
        <w:rPr>
          <w:rFonts w:hint="default" w:ascii="Times New Roman" w:hAnsi="Times New Roman" w:eastAsia="宋体" w:cs="Times New Roman"/>
          <w:b/>
          <w:bCs/>
          <w:color w:val="auto"/>
          <w:sz w:val="24"/>
          <w:szCs w:val="24"/>
          <w:highlight w:val="none"/>
        </w:rPr>
        <w:t>稿）</w:t>
      </w:r>
    </w:p>
    <w:p w14:paraId="02CEC76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一、工作简况</w:t>
      </w:r>
    </w:p>
    <w:p w14:paraId="6359D73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w:t>
      </w: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立项目的和意义</w:t>
      </w:r>
    </w:p>
    <w:p w14:paraId="557933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目前，随着相关部门对产品纯度的要求日益提升，人民对工作和生活环境健康的关注度日益增强，无论是电子芯片制造、药品生产及食品生产，还是公众日常的家庭生活，空气分子污染均是不可忽视的污染类型，空气分子污染物（AMC）即环境中有能力沉降于表面上形成单分子层(Monolayer)薄膜的气态化学污染物质，有机污染会引起生产工具中不利的影响，同时增加集成半导体器件、磁盘驱动、液晶显示器等高科技公司的生产成本，AMC是许多高新技术生产流程中关注的重点问题，其控制技术已经成为半导体等产品良率提</w:t>
      </w:r>
      <w:bookmarkStart w:id="0" w:name="_GoBack"/>
      <w:bookmarkEnd w:id="0"/>
      <w:r>
        <w:rPr>
          <w:rFonts w:hint="default" w:ascii="Times New Roman" w:hAnsi="Times New Roman" w:eastAsia="宋体" w:cs="Times New Roman"/>
          <w:color w:val="auto"/>
          <w:sz w:val="24"/>
          <w:szCs w:val="24"/>
          <w:highlight w:val="none"/>
        </w:rPr>
        <w:t>升的必要手段。</w:t>
      </w:r>
    </w:p>
    <w:p w14:paraId="5E4C40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际半导体设备及材料协会在SEMIF21-1102中规定了洁净室中AMC水平分类的标准，该分类标准用于确定半导体洁净室的规格、洁净室内污染物的控制水平和测量设备的性能要求。该标准将AMC污染物分为4类：一是酸性污染物，包括盐酸、硝酸、硫酸、氢氟酸等；第二种是碱性污染物，主要是氨气；第三种是可凝性污染物，指常压下沸点大于室温且会在表面凝结的化学物质但不包括水；第四种是掺杂性污染物，可改变半导体电性能的化学元素，如硼、磷、砷和金属离子等。</w:t>
      </w:r>
    </w:p>
    <w:p w14:paraId="046EB05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1.2</w:t>
      </w:r>
      <w:r>
        <w:rPr>
          <w:rFonts w:hint="default" w:ascii="Times New Roman" w:hAnsi="Times New Roman" w:eastAsia="宋体" w:cs="Times New Roman"/>
          <w:b/>
          <w:bCs/>
          <w:color w:val="auto"/>
          <w:sz w:val="24"/>
          <w:szCs w:val="24"/>
          <w:highlight w:val="none"/>
        </w:rPr>
        <w:t>任务来源</w:t>
      </w:r>
    </w:p>
    <w:p w14:paraId="16FD146B">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针对AMC中水溶性阴离子及阳离子，国内外暂无确切相关标准，暂未规范标准化操作。但监控并控制AMC必不可少，现参照《室内环境检测仪器及应用技术》、《GB50591-2010   洁净室施工及验收规范》及《JACA No.35-2003》利用离子色谱仪对AMC中水溶性阴离子及阳离子进行分析测定。公司内部可提供技术、人员、环境、仪器设备等支撑此标准制定，对洁净室AMC中阴阳离子进行监控，不断标准化至修订相关标准。</w:t>
      </w:r>
    </w:p>
    <w:p w14:paraId="4EC00B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本次项目标准化对象为洁净室AMC中水溶性阴离子和阳离子。本标准利用纯水作为吸收液，恒定采样时间及流速进行洁净车间内空气采样，利用</w:t>
      </w:r>
      <w:r>
        <w:rPr>
          <w:rFonts w:hint="default" w:ascii="Times New Roman" w:hAnsi="Times New Roman" w:eastAsia="宋体" w:cs="Times New Roman"/>
          <w:color w:val="auto"/>
          <w:sz w:val="24"/>
          <w:szCs w:val="24"/>
          <w:highlight w:val="none"/>
          <w:lang w:val="en-US" w:eastAsia="zh-CN"/>
        </w:rPr>
        <w:t>离子色谱仪</w:t>
      </w:r>
      <w:r>
        <w:rPr>
          <w:rFonts w:hint="default" w:ascii="Times New Roman" w:hAnsi="Times New Roman" w:eastAsia="宋体" w:cs="Times New Roman"/>
          <w:color w:val="auto"/>
          <w:sz w:val="24"/>
          <w:szCs w:val="24"/>
          <w:highlight w:val="none"/>
        </w:rPr>
        <w:t>分析吸收液中阴阳离子。目前国内外暂无针对该项目检测项目的采样及测定的详尽标准，虽然标准内采样等步骤与《JACA No.35-2003》、《GB50591-2010洁净室施工及验收规范》标准有交叉，但是具体细节不尽相同</w:t>
      </w:r>
      <w:r>
        <w:rPr>
          <w:rFonts w:hint="default" w:ascii="Times New Roman" w:hAnsi="Times New Roman" w:eastAsia="宋体" w:cs="Times New Roman"/>
          <w:color w:val="auto"/>
          <w:sz w:val="24"/>
          <w:szCs w:val="24"/>
          <w:highlight w:val="none"/>
          <w:lang w:eastAsia="zh-CN"/>
        </w:rPr>
        <w:t>。</w:t>
      </w:r>
    </w:p>
    <w:p w14:paraId="7F82AB2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二、</w:t>
      </w:r>
      <w:r>
        <w:rPr>
          <w:rFonts w:hint="default" w:ascii="Times New Roman" w:hAnsi="Times New Roman" w:eastAsia="宋体" w:cs="Times New Roman"/>
          <w:b/>
          <w:bCs/>
          <w:color w:val="auto"/>
          <w:sz w:val="24"/>
          <w:szCs w:val="24"/>
        </w:rPr>
        <w:t>主要工作过程</w:t>
      </w:r>
    </w:p>
    <w:p w14:paraId="1B52664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highlight w:val="none"/>
        </w:rPr>
        <w:t>.1 起草阶段</w:t>
      </w:r>
    </w:p>
    <w:p w14:paraId="554D1B60">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本标准的制定工作由中环领先半导体科技股份有限公司承担。《</w:t>
      </w:r>
      <w:r>
        <w:rPr>
          <w:rFonts w:hint="default" w:ascii="Times New Roman" w:hAnsi="Times New Roman" w:eastAsia="宋体" w:cs="Times New Roman"/>
          <w:color w:val="auto"/>
          <w:sz w:val="24"/>
          <w:szCs w:val="24"/>
          <w:highlight w:val="none"/>
          <w:lang w:val="en-US" w:eastAsia="zh-CN"/>
        </w:rPr>
        <w:t>半导体洁净室 水溶性空气分子污染物（AMC）的测定 离子色谱法</w:t>
      </w:r>
      <w:r>
        <w:rPr>
          <w:rFonts w:hint="default" w:ascii="Times New Roman" w:hAnsi="Times New Roman" w:eastAsia="宋体" w:cs="Times New Roman"/>
          <w:color w:val="auto"/>
          <w:sz w:val="24"/>
          <w:szCs w:val="24"/>
          <w:highlight w:val="none"/>
        </w:rPr>
        <w:t>》项目通过了计划公示后，起草单位即组织成立了标准起草工作组，讨论并形成了制定工作计划及任务分工。2024年2月，起草工作组完成国家标准《</w:t>
      </w:r>
      <w:r>
        <w:rPr>
          <w:rFonts w:hint="default" w:ascii="Times New Roman" w:hAnsi="Times New Roman" w:eastAsia="宋体" w:cs="Times New Roman"/>
          <w:color w:val="auto"/>
          <w:sz w:val="24"/>
          <w:szCs w:val="24"/>
          <w:highlight w:val="none"/>
          <w:lang w:val="en-US" w:eastAsia="zh-CN"/>
        </w:rPr>
        <w:t>半导体洁净室 水溶性空气分子污染物（AMC）的测定 离子色谱法</w:t>
      </w:r>
      <w:r>
        <w:rPr>
          <w:rFonts w:hint="default" w:ascii="Times New Roman" w:hAnsi="Times New Roman" w:eastAsia="宋体" w:cs="Times New Roman"/>
          <w:color w:val="auto"/>
          <w:sz w:val="24"/>
          <w:szCs w:val="24"/>
          <w:highlight w:val="none"/>
        </w:rPr>
        <w:t>》的讨论稿，并提交给全国半导体设备和材料标准化技术委员会材料分技术委员会秘书处。</w:t>
      </w:r>
    </w:p>
    <w:p w14:paraId="3401A1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日，全国半导体设备和材料标准化技术委员会材料分技术委员会在</w:t>
      </w:r>
      <w:r>
        <w:rPr>
          <w:rFonts w:hint="default" w:ascii="Times New Roman" w:hAnsi="Times New Roman" w:eastAsia="宋体" w:cs="Times New Roman"/>
          <w:color w:val="auto"/>
          <w:sz w:val="24"/>
          <w:szCs w:val="24"/>
          <w:highlight w:val="none"/>
          <w:lang w:val="en-US" w:eastAsia="zh-CN"/>
        </w:rPr>
        <w:t>南京</w:t>
      </w:r>
      <w:r>
        <w:rPr>
          <w:rFonts w:hint="default" w:ascii="Times New Roman" w:hAnsi="Times New Roman" w:eastAsia="宋体" w:cs="Times New Roman"/>
          <w:color w:val="auto"/>
          <w:sz w:val="24"/>
          <w:szCs w:val="24"/>
          <w:highlight w:val="none"/>
        </w:rPr>
        <w:t>主持召开了《</w:t>
      </w:r>
      <w:r>
        <w:rPr>
          <w:rFonts w:hint="default" w:ascii="Times New Roman" w:hAnsi="Times New Roman" w:eastAsia="宋体" w:cs="Times New Roman"/>
          <w:color w:val="auto"/>
          <w:sz w:val="24"/>
          <w:szCs w:val="24"/>
          <w:highlight w:val="none"/>
          <w:lang w:val="en-US" w:eastAsia="zh-CN"/>
        </w:rPr>
        <w:t>半导体洁净室 水溶性空气分子污染物（AMC）的测定 离子色谱法</w:t>
      </w:r>
      <w:r>
        <w:rPr>
          <w:rFonts w:hint="default" w:ascii="Times New Roman" w:hAnsi="Times New Roman" w:eastAsia="宋体" w:cs="Times New Roman"/>
          <w:color w:val="auto"/>
          <w:sz w:val="24"/>
          <w:szCs w:val="24"/>
          <w:highlight w:val="none"/>
        </w:rPr>
        <w:t>》的第一次工作会（讨论会），中环领先半导体科技股份有限公司，天津中环半导体股份有限公司、山东有研半导体材料有限公司、洛阳中硅高科技有限公司、江苏鑫华半导体科技股份有限公司、新疆协鑫新能源材料科技有限公司、江苏中能硅业科技发展有限公司、上海新昇半导体科技有限公司、青海芯测科技有限公司、新特能源股份有限公司、青岛盛瀚色谱技术有限公司、杭州中欣晶圆半导体股份有限公司、上海晶盟硅材料有限公司、江苏环鑫半导体有限公司、四川永祥新能源有限公司等</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家单位的近30 人参与了本次讨论会，会</w:t>
      </w:r>
      <w:r>
        <w:rPr>
          <w:rFonts w:hint="default" w:ascii="Times New Roman" w:hAnsi="Times New Roman" w:eastAsia="宋体" w:cs="Times New Roman"/>
          <w:color w:val="auto"/>
          <w:sz w:val="24"/>
          <w:szCs w:val="24"/>
          <w:highlight w:val="none"/>
          <w:lang w:val="en-US" w:eastAsia="zh-CN"/>
        </w:rPr>
        <w:t>上将对该草案进行讨论，并会根据修改意见</w:t>
      </w:r>
      <w:r>
        <w:rPr>
          <w:rFonts w:hint="default" w:ascii="Times New Roman" w:hAnsi="Times New Roman" w:eastAsia="宋体" w:cs="Times New Roman"/>
          <w:color w:val="auto"/>
          <w:sz w:val="24"/>
          <w:szCs w:val="24"/>
          <w:highlight w:val="none"/>
        </w:rPr>
        <w:t>形成本标准的</w:t>
      </w:r>
      <w:r>
        <w:rPr>
          <w:rFonts w:hint="default" w:ascii="Times New Roman" w:hAnsi="Times New Roman" w:eastAsia="宋体" w:cs="Times New Roman"/>
          <w:color w:val="auto"/>
          <w:sz w:val="24"/>
          <w:szCs w:val="24"/>
          <w:highlight w:val="none"/>
          <w:lang w:val="en-US" w:eastAsia="zh-CN"/>
        </w:rPr>
        <w:t>修改稿</w:t>
      </w:r>
      <w:r>
        <w:rPr>
          <w:rFonts w:hint="default" w:ascii="Times New Roman" w:hAnsi="Times New Roman" w:eastAsia="宋体" w:cs="Times New Roman"/>
          <w:color w:val="auto"/>
          <w:sz w:val="24"/>
          <w:szCs w:val="24"/>
          <w:highlight w:val="none"/>
        </w:rPr>
        <w:t>。</w:t>
      </w:r>
    </w:p>
    <w:p w14:paraId="37A78340">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 xml:space="preserve">.2 </w:t>
      </w:r>
      <w:r>
        <w:rPr>
          <w:rFonts w:hint="default" w:ascii="Times New Roman" w:hAnsi="Times New Roman" w:eastAsia="宋体" w:cs="Times New Roman"/>
          <w:b/>
          <w:bCs/>
          <w:color w:val="auto"/>
          <w:sz w:val="24"/>
          <w:szCs w:val="24"/>
          <w:highlight w:val="none"/>
          <w:lang w:val="en-US" w:eastAsia="zh-CN"/>
        </w:rPr>
        <w:t>预审</w:t>
      </w:r>
    </w:p>
    <w:p w14:paraId="0E68663E">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日，全国半导体设备和材料标准化技术委员会材料分技术委员会在</w:t>
      </w:r>
      <w:r>
        <w:rPr>
          <w:rFonts w:hint="eastAsia" w:ascii="Times New Roman" w:hAnsi="Times New Roman" w:eastAsia="宋体" w:cs="Times New Roman"/>
          <w:color w:val="auto"/>
          <w:sz w:val="24"/>
          <w:szCs w:val="24"/>
          <w:highlight w:val="none"/>
          <w:lang w:val="en-US" w:eastAsia="zh-CN"/>
        </w:rPr>
        <w:t>武汉</w:t>
      </w:r>
      <w:r>
        <w:rPr>
          <w:rFonts w:hint="default" w:ascii="Times New Roman" w:hAnsi="Times New Roman" w:eastAsia="宋体" w:cs="Times New Roman"/>
          <w:color w:val="auto"/>
          <w:sz w:val="24"/>
          <w:szCs w:val="24"/>
          <w:highlight w:val="none"/>
        </w:rPr>
        <w:t>主持召开了《</w:t>
      </w:r>
      <w:r>
        <w:rPr>
          <w:rFonts w:hint="default" w:ascii="Times New Roman" w:hAnsi="Times New Roman" w:eastAsia="宋体" w:cs="Times New Roman"/>
          <w:color w:val="auto"/>
          <w:sz w:val="24"/>
          <w:szCs w:val="24"/>
          <w:highlight w:val="none"/>
          <w:lang w:val="en-US" w:eastAsia="zh-CN"/>
        </w:rPr>
        <w:t>半导体洁净室 水溶性空气分子污染物（AMC）的测定 离子色谱法</w:t>
      </w:r>
      <w:r>
        <w:rPr>
          <w:rFonts w:hint="default" w:ascii="Times New Roman" w:hAnsi="Times New Roman" w:eastAsia="宋体" w:cs="Times New Roman"/>
          <w:color w:val="auto"/>
          <w:sz w:val="24"/>
          <w:szCs w:val="24"/>
          <w:highlight w:val="none"/>
        </w:rPr>
        <w:t>》的第</w:t>
      </w:r>
      <w:r>
        <w:rPr>
          <w:rFonts w:hint="eastAsia"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次工作会（</w:t>
      </w:r>
      <w:r>
        <w:rPr>
          <w:rFonts w:hint="eastAsia" w:ascii="Times New Roman" w:hAnsi="Times New Roman" w:eastAsia="宋体" w:cs="Times New Roman"/>
          <w:color w:val="auto"/>
          <w:sz w:val="24"/>
          <w:szCs w:val="24"/>
          <w:highlight w:val="none"/>
          <w:lang w:val="en-US" w:eastAsia="zh-CN"/>
        </w:rPr>
        <w:t>预审会</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环领先半导体科技股份有限公司，天津中环半导体股份有限公司、山东有研半导体材料有限公司、洛阳中硅高科技有限公司、江苏鑫华半导体科技股份有限公司、新疆协鑫新能源材料科技有限公司、江苏中能硅业科技发展有限公司、上海新昇半导体科技有限公司、青海芯测科技有限公司、新特能源股份有限公司、青岛盛瀚色谱技术有限公司、杭州中欣晶圆半导体股份有限公司、上海晶盟硅材料有限公司、江苏环鑫半导体有限公司、四川永祥新能源有限公司等</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家单位的近30 人参与了本次讨论会，会</w:t>
      </w:r>
      <w:r>
        <w:rPr>
          <w:rFonts w:hint="default" w:ascii="Times New Roman" w:hAnsi="Times New Roman" w:eastAsia="宋体" w:cs="Times New Roman"/>
          <w:color w:val="auto"/>
          <w:sz w:val="24"/>
          <w:szCs w:val="24"/>
          <w:highlight w:val="none"/>
          <w:lang w:val="en-US" w:eastAsia="zh-CN"/>
        </w:rPr>
        <w:t>上将对该</w:t>
      </w:r>
      <w:r>
        <w:rPr>
          <w:rFonts w:hint="eastAsia" w:ascii="Times New Roman" w:hAnsi="Times New Roman" w:eastAsia="宋体" w:cs="Times New Roman"/>
          <w:color w:val="auto"/>
          <w:sz w:val="24"/>
          <w:szCs w:val="24"/>
          <w:highlight w:val="none"/>
          <w:lang w:val="en-US" w:eastAsia="zh-CN"/>
        </w:rPr>
        <w:t>预审稿</w:t>
      </w:r>
      <w:r>
        <w:rPr>
          <w:rFonts w:hint="default" w:ascii="Times New Roman" w:hAnsi="Times New Roman" w:eastAsia="宋体" w:cs="Times New Roman"/>
          <w:color w:val="auto"/>
          <w:sz w:val="24"/>
          <w:szCs w:val="24"/>
          <w:highlight w:val="none"/>
          <w:lang w:val="en-US" w:eastAsia="zh-CN"/>
        </w:rPr>
        <w:t>进行讨论，并会根据修改意见</w:t>
      </w:r>
      <w:r>
        <w:rPr>
          <w:rFonts w:hint="default" w:ascii="Times New Roman" w:hAnsi="Times New Roman" w:eastAsia="宋体" w:cs="Times New Roman"/>
          <w:color w:val="auto"/>
          <w:sz w:val="24"/>
          <w:szCs w:val="24"/>
          <w:highlight w:val="none"/>
        </w:rPr>
        <w:t>形成本标准的</w:t>
      </w:r>
      <w:r>
        <w:rPr>
          <w:rFonts w:hint="eastAsia" w:ascii="Times New Roman" w:hAnsi="Times New Roman" w:eastAsia="宋体" w:cs="Times New Roman"/>
          <w:color w:val="auto"/>
          <w:sz w:val="24"/>
          <w:szCs w:val="24"/>
          <w:highlight w:val="none"/>
          <w:lang w:val="en-US" w:eastAsia="zh-CN"/>
        </w:rPr>
        <w:t>预审稿。</w:t>
      </w:r>
    </w:p>
    <w:p w14:paraId="6368D55D">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 xml:space="preserve"> </w:t>
      </w:r>
      <w:r>
        <w:rPr>
          <w:rFonts w:hint="default" w:ascii="Times New Roman" w:hAnsi="Times New Roman" w:eastAsia="宋体" w:cs="Times New Roman"/>
          <w:b/>
          <w:bCs/>
          <w:color w:val="auto"/>
          <w:sz w:val="24"/>
          <w:szCs w:val="24"/>
          <w:highlight w:val="none"/>
          <w:lang w:val="en-US" w:eastAsia="zh-CN"/>
        </w:rPr>
        <w:t>审定</w:t>
      </w:r>
    </w:p>
    <w:p w14:paraId="556F3FF8">
      <w:pPr>
        <w:keepNext w:val="0"/>
        <w:keepLines w:val="0"/>
        <w:pageBreakBefore w:val="0"/>
        <w:kinsoku/>
        <w:wordWrap/>
        <w:overflowPunct/>
        <w:topLinePunct w:val="0"/>
        <w:autoSpaceDE/>
        <w:autoSpaceDN/>
        <w:bidi w:val="0"/>
        <w:adjustRightInd/>
        <w:snapToGrid/>
        <w:spacing w:line="360" w:lineRule="auto"/>
        <w:rPr>
          <w:rFonts w:hint="default"/>
          <w:lang w:val="en-US" w:eastAsia="zh-CN"/>
        </w:rPr>
      </w:pP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rPr>
        <w:t>日，全国半导体设备和材料标准化技术委员会材料分技术委员会在</w:t>
      </w:r>
      <w:r>
        <w:rPr>
          <w:rFonts w:hint="eastAsia" w:ascii="Times New Roman" w:hAnsi="Times New Roman" w:eastAsia="宋体" w:cs="Times New Roman"/>
          <w:color w:val="auto"/>
          <w:sz w:val="24"/>
          <w:szCs w:val="24"/>
          <w:highlight w:val="none"/>
          <w:lang w:val="en-US" w:eastAsia="zh-CN"/>
        </w:rPr>
        <w:t>西安</w:t>
      </w:r>
      <w:r>
        <w:rPr>
          <w:rFonts w:hint="default" w:ascii="Times New Roman" w:hAnsi="Times New Roman" w:eastAsia="宋体" w:cs="Times New Roman"/>
          <w:color w:val="auto"/>
          <w:sz w:val="24"/>
          <w:szCs w:val="24"/>
          <w:highlight w:val="none"/>
        </w:rPr>
        <w:t>主持召开了《</w:t>
      </w:r>
      <w:r>
        <w:rPr>
          <w:rFonts w:hint="default" w:ascii="Times New Roman" w:hAnsi="Times New Roman" w:eastAsia="宋体" w:cs="Times New Roman"/>
          <w:color w:val="auto"/>
          <w:sz w:val="24"/>
          <w:szCs w:val="24"/>
          <w:highlight w:val="none"/>
          <w:lang w:val="en-US" w:eastAsia="zh-CN"/>
        </w:rPr>
        <w:t>半导体洁净室 水溶性空气分子污染物（AMC）的测定 离子色谱法</w:t>
      </w:r>
      <w:r>
        <w:rPr>
          <w:rFonts w:hint="default" w:ascii="Times New Roman" w:hAnsi="Times New Roman" w:eastAsia="宋体" w:cs="Times New Roman"/>
          <w:color w:val="auto"/>
          <w:sz w:val="24"/>
          <w:szCs w:val="24"/>
          <w:highlight w:val="none"/>
        </w:rPr>
        <w:t>》的第</w:t>
      </w:r>
      <w:r>
        <w:rPr>
          <w:rFonts w:hint="eastAsia"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次工作会（</w:t>
      </w:r>
      <w:r>
        <w:rPr>
          <w:rFonts w:hint="eastAsia" w:ascii="Times New Roman" w:hAnsi="Times New Roman" w:eastAsia="宋体" w:cs="Times New Roman"/>
          <w:color w:val="auto"/>
          <w:sz w:val="24"/>
          <w:szCs w:val="24"/>
          <w:highlight w:val="none"/>
          <w:lang w:val="en-US" w:eastAsia="zh-CN"/>
        </w:rPr>
        <w:t>审定会</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环领先半导体科技股份有限公司，天津中环半导体股份有限公司、山东有研半导体材料有限公司、洛阳中硅高科技有限公司、江苏鑫华半导体科技股份有限公司、新疆协鑫新能源材料科技有限公司、江苏中能硅业科技发展有限公司、上海新昇半导体科技有限公司、青海芯测科技有限公司、新特能源股份有限公司、青岛盛瀚色谱技术有限公司、杭州中欣晶圆半导体股份有限公司、上海晶盟硅材料有限公司、江苏环鑫半导体有限公司、四川永祥新能源有限公司等</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家单位的近30 人参与了本次讨论会，会</w:t>
      </w:r>
      <w:r>
        <w:rPr>
          <w:rFonts w:hint="default" w:ascii="Times New Roman" w:hAnsi="Times New Roman" w:eastAsia="宋体" w:cs="Times New Roman"/>
          <w:color w:val="auto"/>
          <w:sz w:val="24"/>
          <w:szCs w:val="24"/>
          <w:highlight w:val="none"/>
          <w:lang w:val="en-US" w:eastAsia="zh-CN"/>
        </w:rPr>
        <w:t>上将对该</w:t>
      </w:r>
      <w:r>
        <w:rPr>
          <w:rFonts w:hint="eastAsia" w:ascii="Times New Roman" w:hAnsi="Times New Roman" w:eastAsia="宋体" w:cs="Times New Roman"/>
          <w:color w:val="auto"/>
          <w:sz w:val="24"/>
          <w:szCs w:val="24"/>
          <w:highlight w:val="none"/>
          <w:lang w:val="en-US" w:eastAsia="zh-CN"/>
        </w:rPr>
        <w:t>审定稿</w:t>
      </w:r>
      <w:r>
        <w:rPr>
          <w:rFonts w:hint="default" w:ascii="Times New Roman" w:hAnsi="Times New Roman" w:eastAsia="宋体" w:cs="Times New Roman"/>
          <w:color w:val="auto"/>
          <w:sz w:val="24"/>
          <w:szCs w:val="24"/>
          <w:highlight w:val="none"/>
          <w:lang w:val="en-US" w:eastAsia="zh-CN"/>
        </w:rPr>
        <w:t>进行讨论，并会根据修改意见</w:t>
      </w:r>
      <w:r>
        <w:rPr>
          <w:rFonts w:hint="default" w:ascii="Times New Roman" w:hAnsi="Times New Roman" w:eastAsia="宋体" w:cs="Times New Roman"/>
          <w:color w:val="auto"/>
          <w:sz w:val="24"/>
          <w:szCs w:val="24"/>
          <w:highlight w:val="none"/>
        </w:rPr>
        <w:t>形成本标准的</w:t>
      </w:r>
      <w:r>
        <w:rPr>
          <w:rFonts w:hint="eastAsia" w:ascii="Times New Roman" w:hAnsi="Times New Roman" w:eastAsia="宋体" w:cs="Times New Roman"/>
          <w:color w:val="auto"/>
          <w:sz w:val="24"/>
          <w:szCs w:val="24"/>
          <w:highlight w:val="none"/>
          <w:lang w:val="en-US" w:eastAsia="zh-CN"/>
        </w:rPr>
        <w:t>审定稿。</w:t>
      </w:r>
    </w:p>
    <w:p w14:paraId="7DB3C592">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2.4</w:t>
      </w:r>
      <w:r>
        <w:rPr>
          <w:rFonts w:hint="default" w:ascii="Times New Roman" w:hAnsi="Times New Roman" w:eastAsia="宋体" w:cs="Times New Roman"/>
          <w:b/>
          <w:bCs/>
          <w:color w:val="auto"/>
          <w:sz w:val="24"/>
          <w:szCs w:val="24"/>
          <w:highlight w:val="none"/>
          <w:lang w:val="en-US" w:eastAsia="zh-CN"/>
        </w:rPr>
        <w:t>报批计划</w:t>
      </w:r>
    </w:p>
    <w:p w14:paraId="11B03C4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 xml:space="preserve">    根据《中色协科字</w:t>
      </w:r>
      <w:r>
        <w:rPr>
          <w:rFonts w:hint="default" w:ascii="Times New Roman" w:hAnsi="Times New Roman" w:eastAsia="宋体" w:cs="Times New Roman"/>
          <w:color w:val="auto"/>
          <w:sz w:val="24"/>
          <w:szCs w:val="24"/>
          <w:highlight w:val="none"/>
        </w:rPr>
        <w:t>[202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95</w:t>
      </w:r>
      <w:r>
        <w:rPr>
          <w:rFonts w:hint="default" w:ascii="Times New Roman" w:hAnsi="Times New Roman" w:eastAsia="宋体" w:cs="Times New Roman"/>
          <w:color w:val="auto"/>
          <w:sz w:val="24"/>
          <w:szCs w:val="24"/>
          <w:highlight w:val="none"/>
        </w:rPr>
        <w:t>号</w:t>
      </w:r>
      <w:r>
        <w:rPr>
          <w:rFonts w:hint="default" w:ascii="Times New Roman" w:hAnsi="Times New Roman" w:eastAsia="宋体" w:cs="Times New Roman"/>
          <w:i w:val="0"/>
          <w:iCs w:val="0"/>
          <w:color w:val="auto"/>
          <w:kern w:val="0"/>
          <w:sz w:val="24"/>
          <w:szCs w:val="24"/>
          <w:highlight w:val="none"/>
          <w:u w:val="none"/>
          <w:lang w:val="en-US" w:eastAsia="zh-CN" w:bidi="ar"/>
        </w:rPr>
        <w:t>2023-039-T/CNIA</w:t>
      </w:r>
      <w:r>
        <w:rPr>
          <w:rFonts w:hint="default" w:ascii="Times New Roman" w:hAnsi="Times New Roman" w:eastAsia="宋体" w:cs="Times New Roman"/>
          <w:color w:val="auto"/>
          <w:sz w:val="24"/>
          <w:szCs w:val="24"/>
          <w:highlight w:val="none"/>
          <w:lang w:val="en-US" w:eastAsia="zh-CN"/>
        </w:rPr>
        <w:t>》计划号任务</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预计2025年12月前完成报批</w:t>
      </w:r>
      <w:r>
        <w:rPr>
          <w:rFonts w:hint="eastAsia" w:ascii="Times New Roman" w:hAnsi="Times New Roman" w:eastAsia="宋体" w:cs="Times New Roman"/>
          <w:color w:val="auto"/>
          <w:sz w:val="24"/>
          <w:szCs w:val="24"/>
          <w:highlight w:val="none"/>
          <w:lang w:val="en-US" w:eastAsia="zh-CN"/>
        </w:rPr>
        <w:t>。</w:t>
      </w:r>
    </w:p>
    <w:p w14:paraId="41627D0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imes New Roman" w:hAnsi="Times New Roman" w:eastAsia="宋体" w:cs="Times New Roman"/>
          <w:color w:val="auto"/>
          <w:sz w:val="24"/>
          <w:szCs w:val="24"/>
          <w:highlight w:val="none"/>
          <w:lang w:eastAsia="zh-CN"/>
        </w:rPr>
      </w:pPr>
    </w:p>
    <w:p w14:paraId="20F83B00">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2.5</w:t>
      </w:r>
      <w:r>
        <w:rPr>
          <w:rFonts w:hint="default" w:ascii="Times New Roman" w:hAnsi="Times New Roman" w:eastAsia="宋体" w:cs="Times New Roman"/>
          <w:b/>
          <w:bCs/>
          <w:color w:val="auto"/>
          <w:sz w:val="24"/>
          <w:szCs w:val="24"/>
          <w:highlight w:val="none"/>
        </w:rPr>
        <w:t>标准承研单位概况及起草人所做的工作</w:t>
      </w:r>
    </w:p>
    <w:p w14:paraId="6F24E51A">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牵头单位中环领先半导体科技股份有限公司，前身是1958年组建的天津市半导体材料厂及1969年组建的天津市第三半导体器件厂，深耕半导体产业60余年，是中国规模较大的半导体材料研发生产单位，主要研发路线为CZ&amp;FZ晶体双工艺，产品涵盖4-12英寸硅抛光片，外延片，以及SOI产品和SiC外延片。企业愿景：致力于成为中国大陆规模最大、全球产品综合门类最齐全的半导体硅片供应商，国内领先，全球追赶。</w:t>
      </w:r>
    </w:p>
    <w:p w14:paraId="02C555FE">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主要起草人为公司实验中心技术骨干，实验中心拥有多台业内先进的分析设备，运行完善的IEC/ISO 17025管理体系，并取得了国家认可证书，从事半导体材料的物理性能、化学性能、环境检测等测试工作。在不断强化技术实力和科研工作的基础上，实验中心也十分重视标准化研究以及国家、行业标准的制修订工作，积极承担标准化项目。实验中心拥有</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台高精度</w:t>
      </w:r>
      <w:r>
        <w:rPr>
          <w:rFonts w:hint="eastAsia" w:ascii="Times New Roman" w:hAnsi="Times New Roman" w:eastAsia="宋体" w:cs="Times New Roman"/>
          <w:color w:val="auto"/>
          <w:sz w:val="24"/>
          <w:szCs w:val="24"/>
          <w:highlight w:val="none"/>
          <w:lang w:val="en-US" w:eastAsia="zh-CN"/>
        </w:rPr>
        <w:t>离子色谱仪</w:t>
      </w:r>
      <w:r>
        <w:rPr>
          <w:rFonts w:hint="default" w:ascii="Times New Roman" w:hAnsi="Times New Roman" w:eastAsia="宋体" w:cs="Times New Roman"/>
          <w:color w:val="auto"/>
          <w:sz w:val="24"/>
          <w:szCs w:val="24"/>
          <w:highlight w:val="none"/>
        </w:rPr>
        <w:t>，有丰富的操作、试验经验，可以为《</w:t>
      </w:r>
      <w:r>
        <w:rPr>
          <w:rFonts w:hint="default" w:ascii="Times New Roman" w:hAnsi="Times New Roman" w:eastAsia="宋体" w:cs="Times New Roman"/>
          <w:color w:val="auto"/>
          <w:sz w:val="24"/>
          <w:szCs w:val="24"/>
          <w:highlight w:val="none"/>
          <w:lang w:val="en-US" w:eastAsia="zh-CN"/>
        </w:rPr>
        <w:t>半导体洁净室 水溶性空气分子污染物（AMC）的测定 离子色谱法</w:t>
      </w:r>
      <w:r>
        <w:rPr>
          <w:rFonts w:hint="default" w:ascii="Times New Roman" w:hAnsi="Times New Roman" w:eastAsia="宋体" w:cs="Times New Roman"/>
          <w:color w:val="auto"/>
          <w:sz w:val="24"/>
          <w:szCs w:val="24"/>
          <w:highlight w:val="none"/>
        </w:rPr>
        <w:t>》标准的制定提供充分的验证报告。实验中心拥有一批高素质的专业人才，积极参与标准化建设工作，有丰富的制（修）订标准的经验。</w:t>
      </w:r>
    </w:p>
    <w:p w14:paraId="3DB55F91">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本文件的主要起草单位为中环领先半导体科技股份有限公司，天津中环半导体股份有限公司、山东有研半导体材料有限公司、洛阳中硅高科技有限公司、江苏鑫华半导体科技股份有限公司、新疆协鑫新能源材料科技有限公司、江苏中能硅业科技发展有限公司、上海新昇半导体科技有限公司、青海芯测科技有限公司、新特能源股份有限公司、青岛盛瀚色谱技术有限公司、杭州中欣晶圆半导体股份有限公司、上海晶盟硅材料有限公司、江苏环鑫半导体有限公司、四川永祥新能源有限公司等。有色金属技术经济研究院有限责任公司对标准各环节的稿件进行了审查修改，确保标准符合GB/T 1.1 的要求</w:t>
      </w:r>
      <w:r>
        <w:rPr>
          <w:rFonts w:hint="default" w:ascii="Times New Roman" w:hAnsi="Times New Roman" w:eastAsia="宋体" w:cs="Times New Roman"/>
          <w:color w:val="auto"/>
          <w:sz w:val="24"/>
          <w:szCs w:val="24"/>
          <w:highlight w:val="none"/>
          <w:lang w:eastAsia="zh-CN"/>
        </w:rPr>
        <w:t>。</w:t>
      </w:r>
    </w:p>
    <w:p w14:paraId="2FC397D8">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李春阳、吴倩、由佰玲、孙燕、张园园、孔令群、赵娟龙、张锦梅、王春明、冯天、薛心禄、邱艳梅、刘国霞、张锦梅、 徐新华、顾广安、杨玉聪、徐顺波</w:t>
      </w:r>
      <w:r>
        <w:rPr>
          <w:rFonts w:hint="eastAsia" w:ascii="Times New Roman" w:hAnsi="Times New Roman" w:eastAsia="宋体" w:cs="Times New Roman"/>
          <w:color w:val="auto"/>
          <w:sz w:val="24"/>
          <w:szCs w:val="24"/>
          <w:highlight w:val="none"/>
          <w:lang w:val="en-US" w:eastAsia="zh-CN"/>
        </w:rPr>
        <w:t>等</w:t>
      </w:r>
      <w:r>
        <w:rPr>
          <w:rFonts w:hint="default" w:ascii="Times New Roman" w:hAnsi="Times New Roman" w:eastAsia="宋体" w:cs="Times New Roman"/>
          <w:color w:val="auto"/>
          <w:sz w:val="24"/>
          <w:szCs w:val="24"/>
          <w:highlight w:val="none"/>
        </w:rPr>
        <w:t>组织协调标准起草，开展试验复验工作；李素青</w:t>
      </w:r>
      <w:r>
        <w:rPr>
          <w:rFonts w:hint="default" w:ascii="Times New Roman" w:hAnsi="Times New Roman" w:eastAsia="宋体" w:cs="Times New Roman"/>
          <w:color w:val="auto"/>
          <w:sz w:val="24"/>
          <w:szCs w:val="24"/>
          <w:highlight w:val="none"/>
          <w:lang w:val="en-US" w:eastAsia="zh-CN"/>
        </w:rPr>
        <w:t>秘书长</w:t>
      </w:r>
      <w:r>
        <w:rPr>
          <w:rFonts w:hint="default" w:ascii="Times New Roman" w:hAnsi="Times New Roman" w:eastAsia="宋体" w:cs="Times New Roman"/>
          <w:color w:val="auto"/>
          <w:sz w:val="24"/>
          <w:szCs w:val="24"/>
          <w:highlight w:val="none"/>
        </w:rPr>
        <w:t>参与标准文本质量的审查、修改和意见反馈等。</w:t>
      </w:r>
    </w:p>
    <w:p w14:paraId="5C87B7CD">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三</w:t>
      </w:r>
      <w:r>
        <w:rPr>
          <w:rFonts w:hint="default" w:ascii="Times New Roman" w:hAnsi="Times New Roman" w:eastAsia="宋体" w:cs="Times New Roman"/>
          <w:b/>
          <w:bCs/>
          <w:color w:val="auto"/>
          <w:sz w:val="24"/>
          <w:szCs w:val="24"/>
          <w:highlight w:val="none"/>
        </w:rPr>
        <w:t>、标准编制原则及确定主要内容的确定依据</w:t>
      </w:r>
    </w:p>
    <w:p w14:paraId="3F8F56D7">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3.1</w:t>
      </w:r>
      <w:r>
        <w:rPr>
          <w:rFonts w:hint="default" w:ascii="Times New Roman" w:hAnsi="Times New Roman" w:eastAsia="宋体" w:cs="Times New Roman"/>
          <w:b/>
          <w:bCs/>
          <w:color w:val="auto"/>
          <w:sz w:val="24"/>
          <w:szCs w:val="24"/>
          <w:highlight w:val="none"/>
        </w:rPr>
        <w:t>编制原则</w:t>
      </w:r>
    </w:p>
    <w:p w14:paraId="4C0C4D2A">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3.1</w:t>
      </w:r>
      <w:r>
        <w:rPr>
          <w:rFonts w:hint="default" w:ascii="Times New Roman" w:hAnsi="Times New Roman" w:eastAsia="宋体" w:cs="Times New Roman"/>
          <w:color w:val="auto"/>
          <w:sz w:val="24"/>
          <w:szCs w:val="24"/>
          <w:highlight w:val="none"/>
          <w:lang w:val="en-US" w:eastAsia="zh-CN"/>
        </w:rPr>
        <w:t xml:space="preserve">.1 </w:t>
      </w:r>
      <w:r>
        <w:rPr>
          <w:rFonts w:hint="default" w:ascii="Times New Roman" w:hAnsi="Times New Roman" w:eastAsia="宋体" w:cs="Times New Roman"/>
          <w:color w:val="auto"/>
          <w:sz w:val="24"/>
          <w:szCs w:val="24"/>
          <w:highlight w:val="none"/>
        </w:rPr>
        <w:t>本标准编制主要依据 GB/T 1.1-2020 《标准化工作导则 第1 部分：标准化文件的结构和起草规则》的统一规定和要求进行编写。</w:t>
      </w:r>
    </w:p>
    <w:p w14:paraId="15F3C787">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 xml:space="preserve">1.2 </w:t>
      </w:r>
      <w:r>
        <w:rPr>
          <w:rFonts w:hint="default" w:ascii="Times New Roman" w:hAnsi="Times New Roman" w:eastAsia="宋体" w:cs="Times New Roman"/>
          <w:color w:val="auto"/>
          <w:sz w:val="24"/>
          <w:szCs w:val="24"/>
          <w:highlight w:val="none"/>
        </w:rPr>
        <w:t>本标准的编制符合我国的法律法规，确保标准的合法和合规性。</w:t>
      </w:r>
    </w:p>
    <w:p w14:paraId="5A891F92">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 xml:space="preserve">1.3 </w:t>
      </w:r>
      <w:r>
        <w:rPr>
          <w:rFonts w:hint="default" w:ascii="Times New Roman" w:hAnsi="Times New Roman" w:eastAsia="宋体" w:cs="Times New Roman"/>
          <w:color w:val="auto"/>
          <w:sz w:val="24"/>
          <w:szCs w:val="24"/>
          <w:highlight w:val="none"/>
        </w:rPr>
        <w:t>本标准的编写参考了相关国家标准，听取了各方的意见，力求标准的科学性、合理性。</w:t>
      </w:r>
    </w:p>
    <w:p w14:paraId="3F86A237">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2确定标准主要内容的依据</w:t>
      </w:r>
    </w:p>
    <w:p w14:paraId="44AE8722">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2.1 范围的确定</w:t>
      </w:r>
    </w:p>
    <w:p w14:paraId="3B424D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用纯水作吸收液吸收半导体洁净室空气中的水溶性空气分子污染物，将形成含有待测阴离子与阳离子的试样注入离子色谱仪进行分离测定。用电导检测器检测，根据保留时间定性，峰面积或峰高定量。</w:t>
      </w:r>
    </w:p>
    <w:p w14:paraId="6CDF76E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2.2 规范性引用文件的规定</w:t>
      </w:r>
    </w:p>
    <w:p w14:paraId="6D7DB5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下列文件中的内容通过文中的规范性引用而构成本文件必不可少的条款。其中，注日期的引用文件，仅该日期对应版本适用于本文件；不注日期的引用文件，其最新版本（包括所有的修改单）适用于本文件。</w:t>
      </w:r>
    </w:p>
    <w:p w14:paraId="4D591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GB/T 11446.1 电子级水</w:t>
      </w:r>
    </w:p>
    <w:p w14:paraId="446C2F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GB/T 14264 半导体材料术语</w:t>
      </w:r>
    </w:p>
    <w:p w14:paraId="2B684B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GB/T 25915.1-2021 洁净室及相关受控环境 第1部分：按粒子浓度划分空气洁净度</w:t>
      </w:r>
    </w:p>
    <w:p w14:paraId="6E1CC3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GB/T 25915.6-2010 洁净室及相关受控环境 第6部分：词汇</w:t>
      </w:r>
    </w:p>
    <w:p w14:paraId="16C2D5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GB/T 25915.8-2021 洁净室及相关受控环境 第8部分：按化学物浓度划分空气洁净度（ACC）等级</w:t>
      </w:r>
    </w:p>
    <w:p w14:paraId="26872E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HJ 84-2016 水质 无机阴离子（F</w:t>
      </w:r>
      <w:r>
        <w:rPr>
          <w:rFonts w:hint="eastAsia" w:ascii="Times New Roman" w:hAnsi="Times New Roman" w:eastAsia="宋体" w:cs="Times New Roman"/>
          <w:b w:val="0"/>
          <w:bCs w:val="0"/>
          <w:color w:val="auto"/>
          <w:sz w:val="24"/>
          <w:szCs w:val="24"/>
          <w:highlight w:val="none"/>
          <w:vertAlign w:val="superscript"/>
          <w:lang w:val="en-US" w:eastAsia="zh-CN"/>
        </w:rPr>
        <w:t>-</w:t>
      </w:r>
      <w:r>
        <w:rPr>
          <w:rFonts w:hint="eastAsia" w:ascii="Times New Roman" w:hAnsi="Times New Roman" w:eastAsia="宋体" w:cs="Times New Roman"/>
          <w:b w:val="0"/>
          <w:bCs w:val="0"/>
          <w:color w:val="auto"/>
          <w:sz w:val="24"/>
          <w:szCs w:val="24"/>
          <w:highlight w:val="none"/>
          <w:lang w:val="en-US" w:eastAsia="zh-CN"/>
        </w:rPr>
        <w:t>、Cl</w:t>
      </w:r>
      <w:r>
        <w:rPr>
          <w:rFonts w:hint="eastAsia" w:ascii="Times New Roman" w:hAnsi="Times New Roman" w:eastAsia="宋体" w:cs="Times New Roman"/>
          <w:b w:val="0"/>
          <w:bCs w:val="0"/>
          <w:color w:val="auto"/>
          <w:sz w:val="24"/>
          <w:szCs w:val="24"/>
          <w:highlight w:val="none"/>
          <w:vertAlign w:val="superscript"/>
          <w:lang w:val="en-US" w:eastAsia="zh-CN"/>
        </w:rPr>
        <w:t>-</w:t>
      </w:r>
      <w:r>
        <w:rPr>
          <w:rFonts w:hint="eastAsia" w:ascii="Times New Roman" w:hAnsi="Times New Roman" w:eastAsia="宋体" w:cs="Times New Roman"/>
          <w:b w:val="0"/>
          <w:bCs w:val="0"/>
          <w:color w:val="auto"/>
          <w:sz w:val="24"/>
          <w:szCs w:val="24"/>
          <w:highlight w:val="none"/>
          <w:lang w:val="en-US" w:eastAsia="zh-CN"/>
        </w:rPr>
        <w:t>、NO</w:t>
      </w:r>
      <w:r>
        <w:rPr>
          <w:rFonts w:hint="eastAsia" w:ascii="Times New Roman" w:hAnsi="Times New Roman" w:eastAsia="宋体" w:cs="Times New Roman"/>
          <w:b w:val="0"/>
          <w:bCs w:val="0"/>
          <w:color w:val="auto"/>
          <w:sz w:val="24"/>
          <w:szCs w:val="24"/>
          <w:highlight w:val="none"/>
          <w:vertAlign w:val="subscript"/>
          <w:lang w:val="en-US" w:eastAsia="zh-CN"/>
        </w:rPr>
        <w:t>2</w:t>
      </w:r>
      <w:r>
        <w:rPr>
          <w:rFonts w:hint="eastAsia" w:ascii="Times New Roman" w:hAnsi="Times New Roman" w:eastAsia="宋体" w:cs="Times New Roman"/>
          <w:b w:val="0"/>
          <w:bCs w:val="0"/>
          <w:color w:val="auto"/>
          <w:sz w:val="24"/>
          <w:szCs w:val="24"/>
          <w:highlight w:val="none"/>
          <w:vertAlign w:val="superscript"/>
          <w:lang w:val="en-US" w:eastAsia="zh-CN"/>
        </w:rPr>
        <w:t>-</w:t>
      </w:r>
      <w:r>
        <w:rPr>
          <w:rFonts w:hint="eastAsia" w:ascii="Times New Roman" w:hAnsi="Times New Roman" w:eastAsia="宋体" w:cs="Times New Roman"/>
          <w:b w:val="0"/>
          <w:bCs w:val="0"/>
          <w:color w:val="auto"/>
          <w:sz w:val="24"/>
          <w:szCs w:val="24"/>
          <w:highlight w:val="none"/>
          <w:lang w:val="en-US" w:eastAsia="zh-CN"/>
        </w:rPr>
        <w:t>、Br</w:t>
      </w:r>
      <w:r>
        <w:rPr>
          <w:rFonts w:hint="eastAsia" w:ascii="Times New Roman" w:hAnsi="Times New Roman" w:eastAsia="宋体" w:cs="Times New Roman"/>
          <w:b w:val="0"/>
          <w:bCs w:val="0"/>
          <w:color w:val="auto"/>
          <w:sz w:val="24"/>
          <w:szCs w:val="24"/>
          <w:highlight w:val="none"/>
          <w:vertAlign w:val="superscript"/>
          <w:lang w:val="en-US" w:eastAsia="zh-CN"/>
        </w:rPr>
        <w:t>-</w:t>
      </w:r>
      <w:r>
        <w:rPr>
          <w:rFonts w:hint="eastAsia" w:ascii="Times New Roman" w:hAnsi="Times New Roman" w:eastAsia="宋体" w:cs="Times New Roman"/>
          <w:b w:val="0"/>
          <w:bCs w:val="0"/>
          <w:color w:val="auto"/>
          <w:sz w:val="24"/>
          <w:szCs w:val="24"/>
          <w:highlight w:val="none"/>
          <w:lang w:val="en-US" w:eastAsia="zh-CN"/>
        </w:rPr>
        <w:t>、NO</w:t>
      </w:r>
      <w:r>
        <w:rPr>
          <w:rFonts w:hint="eastAsia" w:ascii="Times New Roman" w:hAnsi="Times New Roman" w:eastAsia="宋体" w:cs="Times New Roman"/>
          <w:b w:val="0"/>
          <w:bCs w:val="0"/>
          <w:color w:val="auto"/>
          <w:sz w:val="24"/>
          <w:szCs w:val="24"/>
          <w:highlight w:val="none"/>
          <w:vertAlign w:val="subscript"/>
          <w:lang w:val="en-US" w:eastAsia="zh-CN"/>
        </w:rPr>
        <w:t>3</w:t>
      </w:r>
      <w:r>
        <w:rPr>
          <w:rFonts w:hint="eastAsia" w:ascii="Times New Roman" w:hAnsi="Times New Roman" w:eastAsia="宋体" w:cs="Times New Roman"/>
          <w:b w:val="0"/>
          <w:bCs w:val="0"/>
          <w:color w:val="auto"/>
          <w:sz w:val="24"/>
          <w:szCs w:val="24"/>
          <w:highlight w:val="none"/>
          <w:vertAlign w:val="superscript"/>
          <w:lang w:val="en-US" w:eastAsia="zh-CN"/>
        </w:rPr>
        <w:t>-</w:t>
      </w:r>
      <w:r>
        <w:rPr>
          <w:rFonts w:hint="eastAsia" w:ascii="Times New Roman" w:hAnsi="Times New Roman" w:eastAsia="宋体" w:cs="Times New Roman"/>
          <w:b w:val="0"/>
          <w:bCs w:val="0"/>
          <w:color w:val="auto"/>
          <w:sz w:val="24"/>
          <w:szCs w:val="24"/>
          <w:highlight w:val="none"/>
          <w:lang w:val="en-US" w:eastAsia="zh-CN"/>
        </w:rPr>
        <w:t>、PO</w:t>
      </w:r>
      <w:r>
        <w:rPr>
          <w:rFonts w:hint="eastAsia" w:ascii="Times New Roman" w:hAnsi="Times New Roman" w:eastAsia="宋体" w:cs="Times New Roman"/>
          <w:b w:val="0"/>
          <w:bCs w:val="0"/>
          <w:color w:val="auto"/>
          <w:sz w:val="24"/>
          <w:szCs w:val="24"/>
          <w:highlight w:val="none"/>
          <w:vertAlign w:val="subscript"/>
          <w:lang w:val="en-US" w:eastAsia="zh-CN"/>
        </w:rPr>
        <w:t>4</w:t>
      </w:r>
      <w:r>
        <w:rPr>
          <w:rFonts w:hint="eastAsia" w:ascii="Times New Roman" w:hAnsi="Times New Roman" w:eastAsia="宋体" w:cs="Times New Roman"/>
          <w:b w:val="0"/>
          <w:bCs w:val="0"/>
          <w:color w:val="auto"/>
          <w:sz w:val="24"/>
          <w:szCs w:val="24"/>
          <w:highlight w:val="none"/>
          <w:vertAlign w:val="superscript"/>
          <w:lang w:val="en-US" w:eastAsia="zh-CN"/>
        </w:rPr>
        <w:t>3-</w:t>
      </w:r>
      <w:r>
        <w:rPr>
          <w:rFonts w:hint="eastAsia" w:ascii="Times New Roman" w:hAnsi="Times New Roman" w:eastAsia="宋体" w:cs="Times New Roman"/>
          <w:b w:val="0"/>
          <w:bCs w:val="0"/>
          <w:color w:val="auto"/>
          <w:sz w:val="24"/>
          <w:szCs w:val="24"/>
          <w:highlight w:val="none"/>
          <w:lang w:val="en-US" w:eastAsia="zh-CN"/>
        </w:rPr>
        <w:t>、SO</w:t>
      </w:r>
      <w:r>
        <w:rPr>
          <w:rFonts w:hint="eastAsia" w:ascii="Times New Roman" w:hAnsi="Times New Roman" w:eastAsia="宋体" w:cs="Times New Roman"/>
          <w:b w:val="0"/>
          <w:bCs w:val="0"/>
          <w:color w:val="auto"/>
          <w:sz w:val="24"/>
          <w:szCs w:val="24"/>
          <w:highlight w:val="none"/>
          <w:vertAlign w:val="subscript"/>
          <w:lang w:val="en-US" w:eastAsia="zh-CN"/>
        </w:rPr>
        <w:t>3</w:t>
      </w:r>
      <w:r>
        <w:rPr>
          <w:rFonts w:hint="eastAsia" w:ascii="Times New Roman" w:hAnsi="Times New Roman" w:eastAsia="宋体" w:cs="Times New Roman"/>
          <w:b w:val="0"/>
          <w:bCs w:val="0"/>
          <w:color w:val="auto"/>
          <w:sz w:val="24"/>
          <w:szCs w:val="24"/>
          <w:highlight w:val="none"/>
          <w:vertAlign w:val="superscript"/>
          <w:lang w:val="en-US" w:eastAsia="zh-CN"/>
        </w:rPr>
        <w:t>2-</w:t>
      </w:r>
      <w:r>
        <w:rPr>
          <w:rFonts w:hint="eastAsia" w:ascii="Times New Roman" w:hAnsi="Times New Roman" w:eastAsia="宋体" w:cs="Times New Roman"/>
          <w:b w:val="0"/>
          <w:bCs w:val="0"/>
          <w:color w:val="auto"/>
          <w:sz w:val="24"/>
          <w:szCs w:val="24"/>
          <w:highlight w:val="none"/>
          <w:lang w:val="en-US" w:eastAsia="zh-CN"/>
        </w:rPr>
        <w:t>、SO</w:t>
      </w:r>
      <w:r>
        <w:rPr>
          <w:rFonts w:hint="eastAsia" w:ascii="Times New Roman" w:hAnsi="Times New Roman" w:eastAsia="宋体" w:cs="Times New Roman"/>
          <w:b w:val="0"/>
          <w:bCs w:val="0"/>
          <w:color w:val="auto"/>
          <w:sz w:val="24"/>
          <w:szCs w:val="24"/>
          <w:highlight w:val="none"/>
          <w:vertAlign w:val="subscript"/>
          <w:lang w:val="en-US" w:eastAsia="zh-CN"/>
        </w:rPr>
        <w:t>4</w:t>
      </w:r>
      <w:r>
        <w:rPr>
          <w:rFonts w:hint="eastAsia" w:ascii="Times New Roman" w:hAnsi="Times New Roman" w:eastAsia="宋体" w:cs="Times New Roman"/>
          <w:b w:val="0"/>
          <w:bCs w:val="0"/>
          <w:color w:val="auto"/>
          <w:sz w:val="24"/>
          <w:szCs w:val="24"/>
          <w:highlight w:val="none"/>
          <w:vertAlign w:val="superscript"/>
          <w:lang w:val="en-US" w:eastAsia="zh-CN"/>
        </w:rPr>
        <w:t>2-</w:t>
      </w:r>
      <w:r>
        <w:rPr>
          <w:rFonts w:hint="eastAsia" w:ascii="Times New Roman" w:hAnsi="Times New Roman" w:eastAsia="宋体" w:cs="Times New Roman"/>
          <w:b w:val="0"/>
          <w:bCs w:val="0"/>
          <w:color w:val="auto"/>
          <w:sz w:val="24"/>
          <w:szCs w:val="24"/>
          <w:highlight w:val="none"/>
          <w:lang w:val="en-US" w:eastAsia="zh-CN"/>
        </w:rPr>
        <w:t>）的测定 离子色谱法</w:t>
      </w:r>
    </w:p>
    <w:p w14:paraId="4FC986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HJ 800-2016 环境空气 颗粒物中水溶性阳离子（Li</w:t>
      </w:r>
      <w:r>
        <w:rPr>
          <w:rFonts w:hint="eastAsia" w:ascii="Times New Roman" w:hAnsi="Times New Roman" w:eastAsia="宋体" w:cs="Times New Roman"/>
          <w:b w:val="0"/>
          <w:bCs w:val="0"/>
          <w:color w:val="auto"/>
          <w:sz w:val="24"/>
          <w:szCs w:val="24"/>
          <w:highlight w:val="none"/>
          <w:vertAlign w:val="superscript"/>
          <w:lang w:val="en-US" w:eastAsia="zh-CN"/>
        </w:rPr>
        <w:t>+</w:t>
      </w:r>
      <w:r>
        <w:rPr>
          <w:rFonts w:hint="eastAsia" w:ascii="Times New Roman" w:hAnsi="Times New Roman" w:eastAsia="宋体" w:cs="Times New Roman"/>
          <w:b w:val="0"/>
          <w:bCs w:val="0"/>
          <w:color w:val="auto"/>
          <w:sz w:val="24"/>
          <w:szCs w:val="24"/>
          <w:highlight w:val="none"/>
          <w:lang w:val="en-US" w:eastAsia="zh-CN"/>
        </w:rPr>
        <w:t>、Na</w:t>
      </w:r>
      <w:r>
        <w:rPr>
          <w:rFonts w:hint="eastAsia" w:ascii="Times New Roman" w:hAnsi="Times New Roman" w:eastAsia="宋体" w:cs="Times New Roman"/>
          <w:b w:val="0"/>
          <w:bCs w:val="0"/>
          <w:color w:val="auto"/>
          <w:sz w:val="24"/>
          <w:szCs w:val="24"/>
          <w:highlight w:val="none"/>
          <w:vertAlign w:val="superscript"/>
          <w:lang w:val="en-US" w:eastAsia="zh-CN"/>
        </w:rPr>
        <w:t>+</w:t>
      </w:r>
      <w:r>
        <w:rPr>
          <w:rFonts w:hint="eastAsia" w:ascii="Times New Roman" w:hAnsi="Times New Roman" w:eastAsia="宋体" w:cs="Times New Roman"/>
          <w:b w:val="0"/>
          <w:bCs w:val="0"/>
          <w:color w:val="auto"/>
          <w:sz w:val="24"/>
          <w:szCs w:val="24"/>
          <w:highlight w:val="none"/>
          <w:lang w:val="en-US" w:eastAsia="zh-CN"/>
        </w:rPr>
        <w:t>、NH4</w:t>
      </w:r>
      <w:r>
        <w:rPr>
          <w:rFonts w:hint="eastAsia" w:ascii="Times New Roman" w:hAnsi="Times New Roman" w:eastAsia="宋体" w:cs="Times New Roman"/>
          <w:b w:val="0"/>
          <w:bCs w:val="0"/>
          <w:color w:val="auto"/>
          <w:sz w:val="24"/>
          <w:szCs w:val="24"/>
          <w:highlight w:val="none"/>
          <w:vertAlign w:val="superscript"/>
          <w:lang w:val="en-US" w:eastAsia="zh-CN"/>
        </w:rPr>
        <w:t>+</w:t>
      </w:r>
      <w:r>
        <w:rPr>
          <w:rFonts w:hint="eastAsia" w:ascii="Times New Roman" w:hAnsi="Times New Roman" w:eastAsia="宋体" w:cs="Times New Roman"/>
          <w:b w:val="0"/>
          <w:bCs w:val="0"/>
          <w:color w:val="auto"/>
          <w:sz w:val="24"/>
          <w:szCs w:val="24"/>
          <w:highlight w:val="none"/>
          <w:lang w:val="en-US" w:eastAsia="zh-CN"/>
        </w:rPr>
        <w:t>、K</w:t>
      </w:r>
      <w:r>
        <w:rPr>
          <w:rFonts w:hint="eastAsia" w:ascii="Times New Roman" w:hAnsi="Times New Roman" w:eastAsia="宋体" w:cs="Times New Roman"/>
          <w:b w:val="0"/>
          <w:bCs w:val="0"/>
          <w:color w:val="auto"/>
          <w:sz w:val="24"/>
          <w:szCs w:val="24"/>
          <w:highlight w:val="none"/>
          <w:vertAlign w:val="superscript"/>
          <w:lang w:val="en-US" w:eastAsia="zh-CN"/>
        </w:rPr>
        <w:t>+</w:t>
      </w:r>
      <w:r>
        <w:rPr>
          <w:rFonts w:hint="eastAsia" w:ascii="Times New Roman" w:hAnsi="Times New Roman" w:eastAsia="宋体" w:cs="Times New Roman"/>
          <w:b w:val="0"/>
          <w:bCs w:val="0"/>
          <w:color w:val="auto"/>
          <w:sz w:val="24"/>
          <w:szCs w:val="24"/>
          <w:highlight w:val="none"/>
          <w:lang w:val="en-US" w:eastAsia="zh-CN"/>
        </w:rPr>
        <w:t>、Mg</w:t>
      </w:r>
      <w:r>
        <w:rPr>
          <w:rFonts w:hint="eastAsia" w:ascii="Times New Roman" w:hAnsi="Times New Roman" w:eastAsia="宋体" w:cs="Times New Roman"/>
          <w:b w:val="0"/>
          <w:bCs w:val="0"/>
          <w:color w:val="auto"/>
          <w:sz w:val="24"/>
          <w:szCs w:val="24"/>
          <w:highlight w:val="none"/>
          <w:vertAlign w:val="superscript"/>
          <w:lang w:val="en-US" w:eastAsia="zh-CN"/>
        </w:rPr>
        <w:t>2+</w:t>
      </w:r>
      <w:r>
        <w:rPr>
          <w:rFonts w:hint="eastAsia" w:ascii="Times New Roman" w:hAnsi="Times New Roman" w:eastAsia="宋体" w:cs="Times New Roman"/>
          <w:b w:val="0"/>
          <w:bCs w:val="0"/>
          <w:color w:val="auto"/>
          <w:sz w:val="24"/>
          <w:szCs w:val="24"/>
          <w:highlight w:val="none"/>
          <w:lang w:val="en-US" w:eastAsia="zh-CN"/>
        </w:rPr>
        <w:t>、Ca</w:t>
      </w:r>
      <w:r>
        <w:rPr>
          <w:rFonts w:hint="eastAsia" w:ascii="Times New Roman" w:hAnsi="Times New Roman" w:eastAsia="宋体" w:cs="Times New Roman"/>
          <w:b w:val="0"/>
          <w:bCs w:val="0"/>
          <w:color w:val="auto"/>
          <w:sz w:val="24"/>
          <w:szCs w:val="24"/>
          <w:highlight w:val="none"/>
          <w:vertAlign w:val="superscript"/>
          <w:lang w:val="en-US" w:eastAsia="zh-CN"/>
        </w:rPr>
        <w:t>2+</w:t>
      </w:r>
      <w:r>
        <w:rPr>
          <w:rFonts w:hint="eastAsia" w:ascii="Times New Roman" w:hAnsi="Times New Roman" w:eastAsia="宋体" w:cs="Times New Roman"/>
          <w:b w:val="0"/>
          <w:bCs w:val="0"/>
          <w:color w:val="auto"/>
          <w:sz w:val="24"/>
          <w:szCs w:val="24"/>
          <w:highlight w:val="none"/>
          <w:lang w:val="en-US" w:eastAsia="zh-CN"/>
        </w:rPr>
        <w:t>）的测定 离子色谱法</w:t>
      </w:r>
    </w:p>
    <w:p w14:paraId="2EAEE5D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3.2.3</w:t>
      </w:r>
      <w:r>
        <w:rPr>
          <w:rFonts w:hint="default" w:ascii="Times New Roman" w:hAnsi="Times New Roman" w:eastAsia="宋体" w:cs="Times New Roman"/>
          <w:b w:val="0"/>
          <w:bCs w:val="0"/>
          <w:color w:val="auto"/>
          <w:sz w:val="24"/>
          <w:szCs w:val="24"/>
          <w:highlight w:val="none"/>
        </w:rPr>
        <w:t>干扰因素的说明</w:t>
      </w:r>
    </w:p>
    <w:p w14:paraId="496D35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3.2.3.1 保留时间接近的两种离子，当浓度相差较大而影响低浓度离子测定时，可调节流速、改变淋洗液配比等方式消除干扰。</w:t>
      </w:r>
    </w:p>
    <w:p w14:paraId="3FB7A6D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3.2.3.2 样品中的某些疏水性化合物可能会影响色谱分离效果及色谱柱的使用寿命，可采用RP柱或C18柱处理消除或减少其影响。</w:t>
      </w:r>
    </w:p>
    <w:p w14:paraId="5A3FBE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3.2.3.3 吸收液对测试结果存在影响，本方法使用的吸收液为超纯水。</w:t>
      </w:r>
    </w:p>
    <w:p w14:paraId="77C3AA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3.2.3.4器皿的元素析出会对结果造成影响，必要时冷藏（6℃-12℃）运输保存，并于7天内完成测试。</w:t>
      </w:r>
    </w:p>
    <w:p w14:paraId="3BD3146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3.2.3.5采样区域的环境会影响测试结果，应在GB/T 25915.1-2021 6级及以上区域采样，防止环境颗粒溶解吸收液中堵塞仪器进样管。</w:t>
      </w:r>
    </w:p>
    <w:p w14:paraId="76912FE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4试剂和材料</w:t>
      </w:r>
    </w:p>
    <w:p w14:paraId="16F105B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3.2.4.1</w:t>
      </w:r>
      <w:r>
        <w:rPr>
          <w:rFonts w:hint="default" w:ascii="Times New Roman" w:hAnsi="Times New Roman" w:eastAsia="宋体" w:cs="Times New Roman"/>
          <w:color w:val="auto"/>
          <w:sz w:val="24"/>
          <w:szCs w:val="24"/>
          <w:highlight w:val="none"/>
        </w:rPr>
        <w:t xml:space="preserve"> 实验用水：电阻率≧18.2MΩ·cm（25℃），新制备的去离子水。</w:t>
      </w:r>
    </w:p>
    <w:p w14:paraId="4C27234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3.2.4.2</w:t>
      </w:r>
      <w:r>
        <w:rPr>
          <w:rFonts w:hint="default" w:ascii="Times New Roman" w:hAnsi="Times New Roman" w:eastAsia="宋体" w:cs="Times New Roman"/>
          <w:color w:val="auto"/>
          <w:sz w:val="24"/>
          <w:szCs w:val="24"/>
          <w:highlight w:val="none"/>
        </w:rPr>
        <w:t xml:space="preserve"> 硝酸：</w:t>
      </w:r>
      <w:r>
        <w:rPr>
          <w:rFonts w:hint="default" w:ascii="Times New Roman" w:hAnsi="Times New Roman" w:eastAsia="宋体" w:cs="Times New Roman"/>
          <w:color w:val="auto"/>
          <w:sz w:val="24"/>
          <w:szCs w:val="24"/>
          <w:highlight w:val="none"/>
          <w:lang w:val="en-US" w:eastAsia="zh-CN"/>
        </w:rPr>
        <w:t>浓度：</w:t>
      </w:r>
      <w:r>
        <w:rPr>
          <w:rFonts w:hint="default" w:ascii="Times New Roman" w:hAnsi="Times New Roman" w:eastAsia="宋体" w:cs="Times New Roman"/>
          <w:color w:val="auto"/>
          <w:sz w:val="24"/>
          <w:szCs w:val="24"/>
          <w:highlight w:val="none"/>
        </w:rPr>
        <w:t>55%</w:t>
      </w:r>
      <w:r>
        <w:rPr>
          <w:rFonts w:hint="default" w:ascii="Times New Roman" w:hAnsi="Times New Roman" w:eastAsia="宋体" w:cs="Times New Roman"/>
          <w:color w:val="auto"/>
          <w:sz w:val="24"/>
          <w:szCs w:val="24"/>
          <w:highlight w:val="none"/>
          <w:lang w:val="en-US" w:eastAsia="zh-CN"/>
        </w:rPr>
        <w:t>~70%</w:t>
      </w:r>
      <w:r>
        <w:rPr>
          <w:rFonts w:hint="default" w:ascii="Times New Roman" w:hAnsi="Times New Roman" w:eastAsia="宋体" w:cs="Times New Roman"/>
          <w:color w:val="auto"/>
          <w:sz w:val="24"/>
          <w:szCs w:val="24"/>
          <w:highlight w:val="none"/>
        </w:rPr>
        <w:t>，金属离子含量不大于10</w:t>
      </w:r>
      <w:r>
        <w:rPr>
          <w:rFonts w:hint="default" w:ascii="Times New Roman" w:hAnsi="Times New Roman" w:eastAsia="宋体" w:cs="Times New Roman"/>
          <w:color w:val="auto"/>
          <w:sz w:val="24"/>
          <w:szCs w:val="24"/>
          <w:highlight w:val="none"/>
          <w:lang w:val="en-US" w:eastAsia="zh-CN"/>
        </w:rPr>
        <w:t>ng/L</w:t>
      </w:r>
      <w:r>
        <w:rPr>
          <w:rFonts w:hint="default" w:ascii="Times New Roman" w:hAnsi="Times New Roman" w:eastAsia="宋体" w:cs="Times New Roman"/>
          <w:color w:val="auto"/>
          <w:sz w:val="24"/>
          <w:szCs w:val="24"/>
          <w:highlight w:val="none"/>
        </w:rPr>
        <w:t>。</w:t>
      </w:r>
    </w:p>
    <w:p w14:paraId="3639B4A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3.2.4.3</w:t>
      </w:r>
      <w:r>
        <w:rPr>
          <w:rFonts w:hint="default" w:ascii="Times New Roman" w:hAnsi="Times New Roman" w:eastAsia="宋体" w:cs="Times New Roman"/>
          <w:color w:val="auto"/>
          <w:sz w:val="24"/>
          <w:szCs w:val="24"/>
          <w:highlight w:val="none"/>
        </w:rPr>
        <w:t xml:space="preserve"> 标准溶液</w:t>
      </w:r>
    </w:p>
    <w:p w14:paraId="23F767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使用有证多元素溶液标准物质或按照HJ 84-2016、HJ 800-2016规定制备，互有化学干扰、产生沉淀及互有色谱干扰的元素应分组配制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可参考表1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55C5A095">
      <w:pPr>
        <w:pStyle w:val="23"/>
        <w:numPr>
          <w:ilvl w:val="0"/>
          <w:numId w:val="0"/>
        </w:numPr>
        <w:ind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表1：</w:t>
      </w:r>
      <w:r>
        <w:rPr>
          <w:rFonts w:hint="eastAsia" w:ascii="Times New Roman" w:hAnsi="Times New Roman" w:eastAsia="宋体" w:cs="Times New Roman"/>
          <w:color w:val="auto"/>
          <w:kern w:val="2"/>
          <w:sz w:val="24"/>
          <w:szCs w:val="24"/>
          <w:highlight w:val="none"/>
          <w:lang w:val="en-US" w:eastAsia="zh-CN" w:bidi="ar-SA"/>
        </w:rPr>
        <w:t>各种元素分组配置表</w:t>
      </w:r>
    </w:p>
    <w:tbl>
      <w:tblPr>
        <w:tblStyle w:val="6"/>
        <w:tblpPr w:leftFromText="180" w:rightFromText="180" w:vertAnchor="text" w:horzAnchor="page" w:tblpXSpec="center" w:tblpY="318"/>
        <w:tblOverlap w:val="never"/>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6"/>
        <w:gridCol w:w="4015"/>
        <w:gridCol w:w="1969"/>
      </w:tblGrid>
      <w:tr w14:paraId="14C1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816" w:type="dxa"/>
            <w:vAlign w:val="center"/>
          </w:tcPr>
          <w:p w14:paraId="3D7164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组别</w:t>
            </w:r>
          </w:p>
        </w:tc>
        <w:tc>
          <w:tcPr>
            <w:tcW w:w="4015" w:type="dxa"/>
            <w:vAlign w:val="center"/>
          </w:tcPr>
          <w:p w14:paraId="56F087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元素和浓度</w:t>
            </w:r>
          </w:p>
        </w:tc>
        <w:tc>
          <w:tcPr>
            <w:tcW w:w="1969" w:type="dxa"/>
            <w:vAlign w:val="center"/>
          </w:tcPr>
          <w:p w14:paraId="4EBBCF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介质</w:t>
            </w:r>
          </w:p>
        </w:tc>
      </w:tr>
      <w:tr w14:paraId="7D2E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816" w:type="dxa"/>
            <w:vAlign w:val="center"/>
          </w:tcPr>
          <w:p w14:paraId="615474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阴离子标准溶液</w:t>
            </w:r>
          </w:p>
        </w:tc>
        <w:tc>
          <w:tcPr>
            <w:tcW w:w="4015" w:type="dxa"/>
            <w:vAlign w:val="center"/>
          </w:tcPr>
          <w:p w14:paraId="73162C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F</w:t>
            </w:r>
            <w:r>
              <w:rPr>
                <w:rFonts w:hint="default" w:ascii="Times New Roman" w:hAnsi="Times New Roman" w:eastAsia="宋体" w:cs="Times New Roman"/>
                <w:color w:val="auto"/>
                <w:sz w:val="24"/>
                <w:szCs w:val="24"/>
                <w:highlight w:val="none"/>
                <w:vertAlign w:val="superscript"/>
              </w:rPr>
              <w:t>-</w:t>
            </w:r>
            <w:r>
              <w:rPr>
                <w:rFonts w:hint="default" w:ascii="Times New Roman" w:hAnsi="Times New Roman" w:eastAsia="宋体" w:cs="Times New Roman"/>
                <w:color w:val="auto"/>
                <w:sz w:val="24"/>
                <w:szCs w:val="24"/>
                <w:highlight w:val="none"/>
              </w:rPr>
              <w:t>、Cl</w:t>
            </w:r>
            <w:r>
              <w:rPr>
                <w:rFonts w:hint="default" w:ascii="Times New Roman" w:hAnsi="Times New Roman" w:eastAsia="宋体" w:cs="Times New Roman"/>
                <w:color w:val="auto"/>
                <w:sz w:val="24"/>
                <w:szCs w:val="24"/>
                <w:highlight w:val="none"/>
                <w:vertAlign w:val="superscript"/>
              </w:rPr>
              <w:t>-</w:t>
            </w:r>
            <w:r>
              <w:rPr>
                <w:rFonts w:hint="default" w:ascii="Times New Roman" w:hAnsi="Times New Roman" w:eastAsia="宋体" w:cs="Times New Roman"/>
                <w:color w:val="auto"/>
                <w:sz w:val="24"/>
                <w:szCs w:val="24"/>
                <w:highlight w:val="none"/>
              </w:rPr>
              <w:t>、Br</w:t>
            </w:r>
            <w:r>
              <w:rPr>
                <w:rFonts w:hint="default" w:ascii="Times New Roman" w:hAnsi="Times New Roman" w:eastAsia="宋体" w:cs="Times New Roman"/>
                <w:color w:val="auto"/>
                <w:sz w:val="24"/>
                <w:szCs w:val="24"/>
                <w:highlight w:val="none"/>
                <w:vertAlign w:val="superscript"/>
              </w:rPr>
              <w:t>-</w:t>
            </w:r>
            <w:r>
              <w:rPr>
                <w:rFonts w:hint="default" w:ascii="Times New Roman" w:hAnsi="Times New Roman" w:eastAsia="宋体" w:cs="Times New Roman"/>
                <w:color w:val="auto"/>
                <w:sz w:val="24"/>
                <w:szCs w:val="24"/>
                <w:highlight w:val="none"/>
              </w:rPr>
              <w:t>、NO</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vertAlign w:val="superscript"/>
              </w:rPr>
              <w:t>-</w:t>
            </w:r>
            <w:r>
              <w:rPr>
                <w:rFonts w:hint="default" w:ascii="Times New Roman" w:hAnsi="Times New Roman" w:eastAsia="宋体" w:cs="Times New Roman"/>
                <w:color w:val="auto"/>
                <w:sz w:val="24"/>
                <w:szCs w:val="24"/>
                <w:highlight w:val="none"/>
              </w:rPr>
              <w:t>、PO</w:t>
            </w:r>
            <w:r>
              <w:rPr>
                <w:rFonts w:hint="default" w:ascii="Times New Roman" w:hAnsi="Times New Roman" w:eastAsia="宋体" w:cs="Times New Roman"/>
                <w:color w:val="auto"/>
                <w:sz w:val="24"/>
                <w:szCs w:val="24"/>
                <w:highlight w:val="none"/>
                <w:vertAlign w:val="subscript"/>
              </w:rPr>
              <w:t>4</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、SO</w:t>
            </w:r>
            <w:r>
              <w:rPr>
                <w:rFonts w:hint="default" w:ascii="Times New Roman" w:hAnsi="Times New Roman" w:eastAsia="宋体" w:cs="Times New Roman"/>
                <w:color w:val="auto"/>
                <w:sz w:val="24"/>
                <w:szCs w:val="24"/>
                <w:highlight w:val="none"/>
                <w:vertAlign w:val="subscript"/>
              </w:rPr>
              <w:t>4</w:t>
            </w:r>
            <w:r>
              <w:rPr>
                <w:rFonts w:hint="default" w:ascii="Times New Roman" w:hAnsi="Times New Roman" w:eastAsia="宋体" w:cs="Times New Roman"/>
                <w:color w:val="auto"/>
                <w:sz w:val="24"/>
                <w:szCs w:val="24"/>
                <w:highlight w:val="none"/>
                <w:vertAlign w:val="superscript"/>
              </w:rPr>
              <w:t>2-</w:t>
            </w:r>
          </w:p>
          <w:p w14:paraId="6F4B99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各离子浓度为10.0mg/L</w:t>
            </w:r>
          </w:p>
        </w:tc>
        <w:tc>
          <w:tcPr>
            <w:tcW w:w="1969" w:type="dxa"/>
            <w:vAlign w:val="center"/>
          </w:tcPr>
          <w:p w14:paraId="333172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水</w:t>
            </w:r>
          </w:p>
        </w:tc>
      </w:tr>
      <w:tr w14:paraId="585B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816" w:type="dxa"/>
            <w:vAlign w:val="center"/>
          </w:tcPr>
          <w:p w14:paraId="67FAA4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阳离子标准溶液</w:t>
            </w:r>
          </w:p>
        </w:tc>
        <w:tc>
          <w:tcPr>
            <w:tcW w:w="4015" w:type="dxa"/>
            <w:vAlign w:val="center"/>
          </w:tcPr>
          <w:p w14:paraId="25A2C8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vertAlign w:val="superscript"/>
              </w:rPr>
            </w:pPr>
            <w:r>
              <w:rPr>
                <w:rFonts w:hint="default" w:ascii="Times New Roman" w:hAnsi="Times New Roman" w:eastAsia="宋体" w:cs="Times New Roman"/>
                <w:color w:val="auto"/>
                <w:sz w:val="24"/>
                <w:szCs w:val="24"/>
                <w:highlight w:val="none"/>
              </w:rPr>
              <w:t>Li</w:t>
            </w:r>
            <w:r>
              <w:rPr>
                <w:rFonts w:hint="default" w:ascii="Times New Roman" w:hAnsi="Times New Roman" w:eastAsia="宋体" w:cs="Times New Roman"/>
                <w:color w:val="auto"/>
                <w:sz w:val="24"/>
                <w:szCs w:val="24"/>
                <w:highlight w:val="none"/>
                <w:vertAlign w:val="superscript"/>
              </w:rPr>
              <w:t>+</w:t>
            </w:r>
            <w:r>
              <w:rPr>
                <w:rFonts w:hint="default" w:ascii="Times New Roman" w:hAnsi="Times New Roman" w:eastAsia="宋体" w:cs="Times New Roman"/>
                <w:color w:val="auto"/>
                <w:sz w:val="24"/>
                <w:szCs w:val="24"/>
                <w:highlight w:val="none"/>
              </w:rPr>
              <w:t>、Na</w:t>
            </w:r>
            <w:r>
              <w:rPr>
                <w:rFonts w:hint="default" w:ascii="Times New Roman" w:hAnsi="Times New Roman" w:eastAsia="宋体" w:cs="Times New Roman"/>
                <w:color w:val="auto"/>
                <w:sz w:val="24"/>
                <w:szCs w:val="24"/>
                <w:highlight w:val="none"/>
                <w:vertAlign w:val="superscript"/>
              </w:rPr>
              <w:t>+</w:t>
            </w:r>
            <w:r>
              <w:rPr>
                <w:rFonts w:hint="default" w:ascii="Times New Roman" w:hAnsi="Times New Roman" w:eastAsia="宋体" w:cs="Times New Roman"/>
                <w:color w:val="auto"/>
                <w:sz w:val="24"/>
                <w:szCs w:val="24"/>
                <w:highlight w:val="none"/>
              </w:rPr>
              <w:t>、K</w:t>
            </w:r>
            <w:r>
              <w:rPr>
                <w:rFonts w:hint="default" w:ascii="Times New Roman" w:hAnsi="Times New Roman" w:eastAsia="宋体" w:cs="Times New Roman"/>
                <w:color w:val="auto"/>
                <w:sz w:val="24"/>
                <w:szCs w:val="24"/>
                <w:highlight w:val="none"/>
                <w:vertAlign w:val="superscript"/>
              </w:rPr>
              <w:t>+</w:t>
            </w:r>
            <w:r>
              <w:rPr>
                <w:rFonts w:hint="default" w:ascii="Times New Roman" w:hAnsi="Times New Roman" w:eastAsia="宋体" w:cs="Times New Roman"/>
                <w:color w:val="auto"/>
                <w:sz w:val="24"/>
                <w:szCs w:val="24"/>
                <w:highlight w:val="none"/>
              </w:rPr>
              <w:t>、Mg</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、Ca</w:t>
            </w:r>
            <w:r>
              <w:rPr>
                <w:rFonts w:hint="default" w:ascii="Times New Roman" w:hAnsi="Times New Roman" w:eastAsia="宋体" w:cs="Times New Roman"/>
                <w:color w:val="auto"/>
                <w:sz w:val="24"/>
                <w:szCs w:val="24"/>
                <w:highlight w:val="none"/>
                <w:vertAlign w:val="superscript"/>
              </w:rPr>
              <w:t>2+</w:t>
            </w:r>
          </w:p>
          <w:p w14:paraId="33FC54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各离子浓度为10.0mg/L</w:t>
            </w:r>
          </w:p>
        </w:tc>
        <w:tc>
          <w:tcPr>
            <w:tcW w:w="1969" w:type="dxa"/>
            <w:vAlign w:val="center"/>
          </w:tcPr>
          <w:p w14:paraId="4E716F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水</w:t>
            </w:r>
          </w:p>
        </w:tc>
      </w:tr>
      <w:tr w14:paraId="1AC1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816" w:type="dxa"/>
            <w:vAlign w:val="center"/>
          </w:tcPr>
          <w:p w14:paraId="00471B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铵根标准溶液</w:t>
            </w:r>
          </w:p>
        </w:tc>
        <w:tc>
          <w:tcPr>
            <w:tcW w:w="4015" w:type="dxa"/>
            <w:vAlign w:val="center"/>
          </w:tcPr>
          <w:p w14:paraId="43BCE5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NH</w:t>
            </w:r>
            <w:r>
              <w:rPr>
                <w:rFonts w:hint="default" w:ascii="Times New Roman" w:hAnsi="Times New Roman" w:eastAsia="宋体" w:cs="Times New Roman"/>
                <w:color w:val="auto"/>
                <w:sz w:val="24"/>
                <w:szCs w:val="24"/>
                <w:highlight w:val="none"/>
                <w:vertAlign w:val="subscript"/>
              </w:rPr>
              <w:t>4</w:t>
            </w:r>
            <w:r>
              <w:rPr>
                <w:rFonts w:hint="default" w:ascii="Times New Roman" w:hAnsi="Times New Roman" w:eastAsia="宋体" w:cs="Times New Roman"/>
                <w:color w:val="auto"/>
                <w:sz w:val="24"/>
                <w:szCs w:val="24"/>
                <w:highlight w:val="none"/>
                <w:vertAlign w:val="superscript"/>
              </w:rPr>
              <w:t>+</w:t>
            </w:r>
            <w:r>
              <w:rPr>
                <w:rFonts w:hint="default" w:ascii="Times New Roman" w:hAnsi="Times New Roman" w:eastAsia="宋体" w:cs="Times New Roman"/>
                <w:color w:val="auto"/>
                <w:sz w:val="24"/>
                <w:szCs w:val="24"/>
                <w:highlight w:val="none"/>
              </w:rPr>
              <w:t>离子浓度为1000mg/L</w:t>
            </w:r>
          </w:p>
        </w:tc>
        <w:tc>
          <w:tcPr>
            <w:tcW w:w="1969" w:type="dxa"/>
            <w:vAlign w:val="center"/>
          </w:tcPr>
          <w:p w14:paraId="24271E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水</w:t>
            </w:r>
          </w:p>
        </w:tc>
      </w:tr>
    </w:tbl>
    <w:p w14:paraId="597AAA5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3.2.4.4 </w:t>
      </w:r>
      <w:r>
        <w:rPr>
          <w:rFonts w:hint="default" w:ascii="Times New Roman" w:hAnsi="Times New Roman" w:eastAsia="宋体" w:cs="Times New Roman"/>
          <w:color w:val="auto"/>
          <w:sz w:val="24"/>
          <w:szCs w:val="24"/>
          <w:highlight w:val="none"/>
        </w:rPr>
        <w:t>阴离子淋洗液</w:t>
      </w:r>
    </w:p>
    <w:p w14:paraId="3E1B8D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根据仪器型号及厂家提供色谱柱说明书的使用条件进行配制或使用市售有证物质稀释配制。</w:t>
      </w:r>
    </w:p>
    <w:p w14:paraId="293298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例：碳酸盐淋洗液（Ⅰ）：c（Na2CO3）=3.2mmol/L，c（NaHCO3）=1.0mmol/L。</w:t>
      </w:r>
    </w:p>
    <w:p w14:paraId="456F00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准确称取0.6784g碳酸钠和0.1680g碳酸氢钠，分别溶于适量水中，全量转入2000mL容量瓶中，用水稀释定容至标线，混匀。</w:t>
      </w:r>
    </w:p>
    <w:p w14:paraId="56917F9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3.2.4.5</w:t>
      </w:r>
      <w:r>
        <w:rPr>
          <w:rFonts w:hint="default" w:ascii="Times New Roman" w:hAnsi="Times New Roman" w:eastAsia="宋体" w:cs="Times New Roman"/>
          <w:color w:val="auto"/>
          <w:sz w:val="24"/>
          <w:szCs w:val="24"/>
          <w:highlight w:val="none"/>
        </w:rPr>
        <w:t>阳离子淋洗液</w:t>
      </w:r>
    </w:p>
    <w:p w14:paraId="5434F35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根据仪器型号及厂家提供色谱柱说明书的使用条件进行配制或使用市售有证物质稀释配制。</w:t>
      </w:r>
    </w:p>
    <w:p w14:paraId="1957A9C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例：阳离子淋洗液（Ⅰ）：c（HNO3）=0.4‰ 。</w:t>
      </w:r>
    </w:p>
    <w:p w14:paraId="2C98DBF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移取0.4mL硝酸（35%）于1000mL容量瓶中，用水稀释定容至标线，混匀。</w:t>
      </w:r>
    </w:p>
    <w:p w14:paraId="591A97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阳离子淋洗液（Ⅱ）：c（HNO3）=1.7mmol/L，c（吡啶二羧酸）=1.7mmol/L</w:t>
      </w:r>
    </w:p>
    <w:p w14:paraId="4D572BE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rPr>
        <w:t>.</w:t>
      </w: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rPr>
        <w:t>5 试验条件的说明</w:t>
      </w:r>
    </w:p>
    <w:p w14:paraId="4D2290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3.2.5.1洁净度：符合</w:t>
      </w:r>
      <w:r>
        <w:rPr>
          <w:rFonts w:hint="eastAsia" w:ascii="Times New Roman" w:hAnsi="Times New Roman" w:eastAsia="宋体" w:cs="Times New Roman"/>
          <w:color w:val="auto"/>
          <w:sz w:val="24"/>
          <w:szCs w:val="24"/>
          <w:highlight w:val="none"/>
        </w:rPr>
        <w:t>GB/T 25915.1-2021 5级</w:t>
      </w:r>
      <w:r>
        <w:rPr>
          <w:rFonts w:hint="eastAsia" w:ascii="Times New Roman" w:hAnsi="Times New Roman" w:eastAsia="宋体" w:cs="Times New Roman"/>
          <w:color w:val="auto"/>
          <w:sz w:val="24"/>
          <w:szCs w:val="24"/>
          <w:highlight w:val="none"/>
          <w:lang w:val="en-US" w:eastAsia="zh-CN"/>
        </w:rPr>
        <w:t>以上洁净室；</w:t>
      </w:r>
    </w:p>
    <w:p w14:paraId="3DB9AD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3.2.5.2温度：15℃～25℃；</w:t>
      </w:r>
    </w:p>
    <w:p w14:paraId="1A49D5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3.2.5.3湿度：45%±10%。</w:t>
      </w:r>
    </w:p>
    <w:p w14:paraId="3CB7F8B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yellow"/>
        </w:rPr>
      </w:pPr>
      <w:r>
        <w:rPr>
          <w:rFonts w:hint="eastAsia"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rPr>
        <w:t>.</w:t>
      </w: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rPr>
        <w:t>6 仪器设备的说明</w:t>
      </w:r>
    </w:p>
    <w:p w14:paraId="65CFF5B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3.2.6.1 离子色谱仪：</w:t>
      </w:r>
      <w:r>
        <w:rPr>
          <w:rFonts w:hint="default" w:ascii="Times New Roman" w:hAnsi="Times New Roman" w:eastAsia="宋体" w:cs="Times New Roman"/>
          <w:b w:val="0"/>
          <w:bCs w:val="0"/>
          <w:color w:val="auto"/>
          <w:sz w:val="24"/>
          <w:szCs w:val="24"/>
          <w:highlight w:val="none"/>
        </w:rPr>
        <w:t>由离子色谱仪、操作软件及所需附件组成的分析系统。</w:t>
      </w:r>
    </w:p>
    <w:p w14:paraId="21C3F2F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3.2.6.1</w:t>
      </w:r>
      <w:r>
        <w:rPr>
          <w:rFonts w:hint="default" w:ascii="Times New Roman" w:hAnsi="Times New Roman" w:eastAsia="宋体" w:cs="Times New Roman"/>
          <w:b w:val="0"/>
          <w:bCs w:val="0"/>
          <w:color w:val="auto"/>
          <w:sz w:val="24"/>
          <w:szCs w:val="24"/>
          <w:highlight w:val="none"/>
          <w:lang w:val="en-US" w:eastAsia="zh-CN"/>
        </w:rPr>
        <w:t>.1</w:t>
      </w:r>
      <w:r>
        <w:rPr>
          <w:rFonts w:hint="eastAsia"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阴离子色谱柱：阴离子分离柱和阴离子保护柱。一次进样可测定本方法规定的阴离子。</w:t>
      </w:r>
    </w:p>
    <w:p w14:paraId="71E0D34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 xml:space="preserve">3.2.6.1.2 </w:t>
      </w:r>
      <w:r>
        <w:rPr>
          <w:rFonts w:hint="default" w:ascii="Times New Roman" w:hAnsi="Times New Roman" w:eastAsia="宋体" w:cs="Times New Roman"/>
          <w:b w:val="0"/>
          <w:bCs w:val="0"/>
          <w:color w:val="auto"/>
          <w:sz w:val="24"/>
          <w:szCs w:val="24"/>
          <w:highlight w:val="none"/>
          <w:lang w:val="en-US" w:eastAsia="zh-CN"/>
        </w:rPr>
        <w:t>阴离子抑制器。</w:t>
      </w:r>
    </w:p>
    <w:p w14:paraId="27F6D34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 xml:space="preserve">3.2.6.1.3 </w:t>
      </w:r>
      <w:r>
        <w:rPr>
          <w:rFonts w:hint="default" w:ascii="Times New Roman" w:hAnsi="Times New Roman" w:eastAsia="宋体" w:cs="Times New Roman"/>
          <w:b w:val="0"/>
          <w:bCs w:val="0"/>
          <w:color w:val="auto"/>
          <w:sz w:val="24"/>
          <w:szCs w:val="24"/>
          <w:highlight w:val="none"/>
          <w:lang w:val="en-US" w:eastAsia="zh-CN"/>
        </w:rPr>
        <w:t>阳离子色谱柱：阳离子分离柱和阳离子保护柱。一次进样可测定本方法规定的阳离子。</w:t>
      </w:r>
    </w:p>
    <w:p w14:paraId="75DE000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 xml:space="preserve">3.2.6.1.4 </w:t>
      </w:r>
      <w:r>
        <w:rPr>
          <w:rFonts w:hint="default" w:ascii="Times New Roman" w:hAnsi="Times New Roman" w:eastAsia="宋体" w:cs="Times New Roman"/>
          <w:b w:val="0"/>
          <w:bCs w:val="0"/>
          <w:color w:val="auto"/>
          <w:sz w:val="24"/>
          <w:szCs w:val="24"/>
          <w:highlight w:val="none"/>
          <w:lang w:val="en-US" w:eastAsia="zh-CN"/>
        </w:rPr>
        <w:t>电导检测器。</w:t>
      </w:r>
    </w:p>
    <w:p w14:paraId="071175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 xml:space="preserve">3.2.6.2 </w:t>
      </w:r>
      <w:r>
        <w:rPr>
          <w:rFonts w:hint="default" w:ascii="Times New Roman" w:hAnsi="Times New Roman" w:eastAsia="宋体" w:cs="Times New Roman"/>
          <w:b w:val="0"/>
          <w:bCs w:val="0"/>
          <w:color w:val="auto"/>
          <w:sz w:val="24"/>
          <w:szCs w:val="24"/>
          <w:highlight w:val="none"/>
          <w:lang w:eastAsia="zh-CN"/>
        </w:rPr>
        <w:t>空气采样泵</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流量0.050L/min～5.00L/min</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或其他可以满足采样体积</w:t>
      </w:r>
      <w:r>
        <w:rPr>
          <w:rFonts w:hint="default" w:ascii="Times New Roman" w:hAnsi="Times New Roman" w:eastAsia="宋体" w:cs="Times New Roman"/>
          <w:b w:val="0"/>
          <w:bCs w:val="0"/>
          <w:color w:val="auto"/>
          <w:sz w:val="24"/>
          <w:szCs w:val="24"/>
          <w:highlight w:val="none"/>
        </w:rPr>
        <w:t>。</w:t>
      </w:r>
    </w:p>
    <w:p w14:paraId="7D2EC7E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 xml:space="preserve">3.2.6.3 </w:t>
      </w:r>
      <w:r>
        <w:rPr>
          <w:rFonts w:hint="default" w:ascii="Times New Roman" w:hAnsi="Times New Roman" w:eastAsia="宋体" w:cs="Times New Roman"/>
          <w:b w:val="0"/>
          <w:bCs w:val="0"/>
          <w:color w:val="auto"/>
          <w:sz w:val="24"/>
          <w:szCs w:val="24"/>
          <w:highlight w:val="none"/>
          <w:lang w:eastAsia="zh-CN"/>
        </w:rPr>
        <w:t>一次性注射器</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rPr>
        <w:t>10mL。</w:t>
      </w:r>
    </w:p>
    <w:p w14:paraId="35AFB2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 xml:space="preserve">3.2.6.4 </w:t>
      </w:r>
      <w:r>
        <w:rPr>
          <w:rFonts w:hint="default" w:ascii="Times New Roman" w:hAnsi="Times New Roman" w:eastAsia="宋体" w:cs="Times New Roman"/>
          <w:b w:val="0"/>
          <w:bCs w:val="0"/>
          <w:color w:val="auto"/>
          <w:sz w:val="24"/>
          <w:szCs w:val="24"/>
          <w:highlight w:val="none"/>
          <w:lang w:val="en-US" w:eastAsia="zh-CN"/>
        </w:rPr>
        <w:t>移液器</w:t>
      </w:r>
      <w:r>
        <w:rPr>
          <w:rFonts w:hint="eastAsia" w:ascii="Times New Roman" w:hAnsi="Times New Roman" w:eastAsia="宋体" w:cs="Times New Roman"/>
          <w:b w:val="0"/>
          <w:bCs w:val="0"/>
          <w:color w:val="auto"/>
          <w:sz w:val="24"/>
          <w:szCs w:val="24"/>
          <w:highlight w:val="none"/>
          <w:lang w:val="en-US" w:eastAsia="zh-CN"/>
        </w:rPr>
        <w:t>：10μL～100μL、100μL～1000μL。</w:t>
      </w:r>
    </w:p>
    <w:p w14:paraId="3C8086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 xml:space="preserve">3.2.6.5 </w:t>
      </w:r>
      <w:r>
        <w:rPr>
          <w:rFonts w:hint="default" w:ascii="Times New Roman" w:hAnsi="Times New Roman" w:eastAsia="宋体" w:cs="Times New Roman"/>
          <w:b w:val="0"/>
          <w:bCs w:val="0"/>
          <w:color w:val="auto"/>
          <w:sz w:val="24"/>
          <w:szCs w:val="24"/>
          <w:highlight w:val="none"/>
          <w:lang w:val="en-US" w:eastAsia="zh-CN"/>
        </w:rPr>
        <w:t>由聚丙烯（PP）或其他可清洗且对测试结果无影响的材料制成</w:t>
      </w:r>
      <w:r>
        <w:rPr>
          <w:rFonts w:hint="eastAsia" w:ascii="Times New Roman" w:hAnsi="Times New Roman" w:eastAsia="宋体" w:cs="Times New Roman"/>
          <w:b w:val="0"/>
          <w:bCs w:val="0"/>
          <w:color w:val="auto"/>
          <w:sz w:val="24"/>
          <w:szCs w:val="24"/>
          <w:highlight w:val="none"/>
          <w:lang w:val="en-US" w:eastAsia="zh-CN"/>
        </w:rPr>
        <w:t>的，</w:t>
      </w:r>
      <w:r>
        <w:rPr>
          <w:rFonts w:hint="default" w:ascii="Times New Roman" w:hAnsi="Times New Roman" w:eastAsia="宋体" w:cs="Times New Roman"/>
          <w:b w:val="0"/>
          <w:bCs w:val="0"/>
          <w:color w:val="auto"/>
          <w:sz w:val="24"/>
          <w:szCs w:val="24"/>
          <w:highlight w:val="none"/>
          <w:lang w:val="en-US" w:eastAsia="zh-CN"/>
        </w:rPr>
        <w:t>用于储存、收集溶液</w:t>
      </w:r>
      <w:r>
        <w:rPr>
          <w:rFonts w:hint="eastAsia" w:ascii="Times New Roman" w:hAnsi="Times New Roman" w:eastAsia="宋体" w:cs="Times New Roman"/>
          <w:b w:val="0"/>
          <w:bCs w:val="0"/>
          <w:color w:val="auto"/>
          <w:sz w:val="24"/>
          <w:szCs w:val="24"/>
          <w:highlight w:val="none"/>
          <w:lang w:val="en-US" w:eastAsia="zh-CN"/>
        </w:rPr>
        <w:t>的器皿。</w:t>
      </w:r>
    </w:p>
    <w:p w14:paraId="0025E7AA">
      <w:pPr>
        <w:pStyle w:val="9"/>
        <w:tabs>
          <w:tab w:val="center" w:pos="4201"/>
          <w:tab w:val="right" w:leader="dot" w:pos="9298"/>
        </w:tabs>
        <w:ind w:left="0" w:leftChars="0" w:firstLine="0" w:firstLineChars="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 xml:space="preserve">3.2.6.5.1 </w:t>
      </w:r>
      <w:r>
        <w:rPr>
          <w:rFonts w:hint="default" w:ascii="Times New Roman" w:hAnsi="Times New Roman" w:eastAsia="宋体" w:cs="Times New Roman"/>
          <w:b w:val="0"/>
          <w:bCs w:val="0"/>
          <w:color w:val="auto"/>
          <w:sz w:val="24"/>
          <w:szCs w:val="24"/>
          <w:highlight w:val="none"/>
          <w:lang w:val="en-US" w:eastAsia="zh-CN"/>
        </w:rPr>
        <w:t>冲击式吸收瓶</w:t>
      </w:r>
      <w:r>
        <w:rPr>
          <w:rFonts w:hint="eastAsia" w:ascii="Times New Roman" w:hAnsi="Times New Roman" w:eastAsia="宋体" w:cs="Times New Roman"/>
          <w:b w:val="0"/>
          <w:bCs w:val="0"/>
          <w:color w:val="auto"/>
          <w:sz w:val="24"/>
          <w:szCs w:val="24"/>
          <w:highlight w:val="none"/>
          <w:lang w:val="en-US" w:eastAsia="zh-CN"/>
        </w:rPr>
        <w:t>：容量</w:t>
      </w:r>
      <w:r>
        <w:rPr>
          <w:rFonts w:hint="eastAsia" w:ascii="Times New Roman" w:hAnsi="Times New Roman" w:eastAsia="宋体" w:cs="Times New Roman"/>
          <w:color w:val="auto"/>
          <w:sz w:val="24"/>
          <w:szCs w:val="24"/>
          <w:highlight w:val="none"/>
          <w:lang w:val="en-US" w:eastAsia="zh-CN"/>
        </w:rPr>
        <w:t>容量30mL~100mL</w:t>
      </w:r>
    </w:p>
    <w:p w14:paraId="19177DA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3.2.6.5.2 储液</w:t>
      </w:r>
      <w:r>
        <w:rPr>
          <w:rFonts w:hint="default" w:ascii="Times New Roman" w:hAnsi="Times New Roman" w:eastAsia="宋体" w:cs="Times New Roman"/>
          <w:b w:val="0"/>
          <w:bCs w:val="0"/>
          <w:color w:val="auto"/>
          <w:sz w:val="24"/>
          <w:szCs w:val="24"/>
          <w:highlight w:val="none"/>
          <w:lang w:val="en-US" w:eastAsia="zh-CN"/>
        </w:rPr>
        <w:t>瓶</w:t>
      </w:r>
      <w:r>
        <w:rPr>
          <w:rFonts w:hint="eastAsia" w:ascii="Times New Roman" w:hAnsi="Times New Roman" w:eastAsia="宋体" w:cs="Times New Roman"/>
          <w:b w:val="0"/>
          <w:bCs w:val="0"/>
          <w:color w:val="auto"/>
          <w:sz w:val="24"/>
          <w:szCs w:val="24"/>
          <w:highlight w:val="none"/>
          <w:lang w:val="en-US" w:eastAsia="zh-CN"/>
        </w:rPr>
        <w:t>：容量100m</w:t>
      </w:r>
      <w:r>
        <w:rPr>
          <w:rFonts w:hint="eastAsia" w:ascii="Times New Roman" w:hAnsi="Times New Roman" w:eastAsia="宋体" w:cs="Times New Roman"/>
          <w:color w:val="auto"/>
          <w:sz w:val="24"/>
          <w:szCs w:val="24"/>
          <w:highlight w:val="none"/>
          <w:lang w:val="en-US" w:eastAsia="zh-CN"/>
        </w:rPr>
        <w:t>L</w:t>
      </w:r>
    </w:p>
    <w:p w14:paraId="150C98E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 xml:space="preserve">3.2.6.5.3 </w:t>
      </w:r>
      <w:r>
        <w:rPr>
          <w:rFonts w:hint="default" w:ascii="Times New Roman" w:hAnsi="Times New Roman" w:eastAsia="宋体" w:cs="Times New Roman"/>
          <w:b w:val="0"/>
          <w:bCs w:val="0"/>
          <w:color w:val="auto"/>
          <w:sz w:val="24"/>
          <w:szCs w:val="24"/>
          <w:highlight w:val="none"/>
          <w:lang w:val="en-US" w:eastAsia="zh-CN"/>
        </w:rPr>
        <w:t>样品管</w: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容量5mL~20mL（视设备配置的自动进样器而定）</w:t>
      </w:r>
    </w:p>
    <w:p w14:paraId="324A0E1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rPr>
        <w:t>.</w:t>
      </w: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rPr>
        <w:t>7</w:t>
      </w:r>
      <w:r>
        <w:rPr>
          <w:rFonts w:hint="default" w:ascii="Times New Roman" w:hAnsi="Times New Roman" w:eastAsia="宋体" w:cs="Times New Roman"/>
          <w:b/>
          <w:bCs/>
          <w:color w:val="auto"/>
          <w:sz w:val="24"/>
          <w:szCs w:val="24"/>
          <w:highlight w:val="none"/>
        </w:rPr>
        <w:t xml:space="preserve"> </w:t>
      </w:r>
      <w:r>
        <w:rPr>
          <w:rFonts w:hint="default" w:ascii="Times New Roman" w:hAnsi="Times New Roman" w:eastAsia="宋体" w:cs="Times New Roman"/>
          <w:b w:val="0"/>
          <w:bCs w:val="0"/>
          <w:color w:val="auto"/>
          <w:sz w:val="24"/>
          <w:szCs w:val="24"/>
          <w:highlight w:val="none"/>
        </w:rPr>
        <w:t>样品</w:t>
      </w:r>
    </w:p>
    <w:p w14:paraId="4B514917">
      <w:pPr>
        <w:pStyle w:val="21"/>
        <w:numPr>
          <w:ilvl w:val="1"/>
          <w:numId w:val="0"/>
        </w:numPr>
        <w:ind w:leftChars="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eastAsia" w:asci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7.1</w:t>
      </w:r>
      <w:r>
        <w:rPr>
          <w:rFonts w:hint="default" w:ascii="Times New Roman" w:hAnsi="Times New Roman" w:eastAsia="宋体" w:cs="Times New Roman"/>
          <w:color w:val="auto"/>
          <w:sz w:val="24"/>
          <w:szCs w:val="24"/>
          <w:highlight w:val="none"/>
        </w:rPr>
        <w:t xml:space="preserve"> </w:t>
      </w:r>
      <w:r>
        <w:rPr>
          <w:rFonts w:hint="eastAsia"/>
          <w:color w:val="auto"/>
        </w:rPr>
        <w:t>样品</w:t>
      </w:r>
      <w:r>
        <w:rPr>
          <w:rFonts w:hint="eastAsia"/>
          <w:color w:val="auto"/>
          <w:lang w:val="en-US" w:eastAsia="zh-CN"/>
        </w:rPr>
        <w:t>制备</w:t>
      </w:r>
    </w:p>
    <w:p w14:paraId="680B3B5C">
      <w:pPr>
        <w:pStyle w:val="22"/>
        <w:numPr>
          <w:ilvl w:val="2"/>
          <w:numId w:val="0"/>
        </w:numPr>
        <w:spacing w:before="156" w:after="156"/>
        <w:ind w:leftChars="0"/>
        <w:rPr>
          <w:rFonts w:hint="eastAsia"/>
          <w:color w:val="auto"/>
        </w:rPr>
      </w:pPr>
      <w:r>
        <w:rPr>
          <w:rFonts w:hint="eastAsia" w:ascii="Times New Roman" w:hAnsi="Times New Roman" w:eastAsia="宋体" w:cs="Times New Roman"/>
          <w:color w:val="auto"/>
          <w:sz w:val="24"/>
          <w:szCs w:val="24"/>
          <w:highlight w:val="none"/>
          <w:lang w:val="en-US" w:eastAsia="zh-CN"/>
        </w:rPr>
        <w:t>3.</w:t>
      </w:r>
      <w:r>
        <w:rPr>
          <w:rFonts w:hint="eastAsia" w:asci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 xml:space="preserve">7.1.1 </w:t>
      </w:r>
      <w:r>
        <w:rPr>
          <w:rFonts w:hint="eastAsia"/>
          <w:color w:val="auto"/>
        </w:rPr>
        <w:t>AMC吸收溶液制备</w:t>
      </w:r>
    </w:p>
    <w:p w14:paraId="0822BE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如图1所示：在大气采样系统（空气采样泵）前串联两支内装50mL吸收液（纯水）的冲击式吸收瓶，连接管应尽可能短并检查系统的气密性和可靠性；将采样系统放在规定采样点等速采样，采样点设置可根据测量目的设置，也可参考洁净室颗粒采样规则设定；选择采样流速（0.2～3.0）L/min，采集时间（0.5～24）h，控制空气采样体积在100L~500L之间；记录采样点温度、湿度、采样时间、采样流速等。 </w:t>
      </w:r>
    </w:p>
    <w:p w14:paraId="7E6075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采样完毕，将两支冲击式吸收瓶内溶液倒入100ml储液瓶混合后密封待测。</w:t>
      </w:r>
    </w:p>
    <w:p w14:paraId="34771E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图1：采样装置示意图</w:t>
      </w:r>
      <w:r>
        <w:rPr>
          <w:color w:val="auto"/>
        </w:rPr>
        <mc:AlternateContent>
          <mc:Choice Requires="wps">
            <w:drawing>
              <wp:anchor distT="0" distB="0" distL="114300" distR="114300" simplePos="0" relativeHeight="251661312" behindDoc="0" locked="0" layoutInCell="1" allowOverlap="1">
                <wp:simplePos x="0" y="0"/>
                <wp:positionH relativeFrom="column">
                  <wp:posOffset>2548890</wp:posOffset>
                </wp:positionH>
                <wp:positionV relativeFrom="paragraph">
                  <wp:posOffset>8145145</wp:posOffset>
                </wp:positionV>
                <wp:extent cx="3227070" cy="1211580"/>
                <wp:effectExtent l="4445" t="5080" r="6985" b="21590"/>
                <wp:wrapNone/>
                <wp:docPr id="11" name="矩形 11"/>
                <wp:cNvGraphicFramePr/>
                <a:graphic xmlns:a="http://schemas.openxmlformats.org/drawingml/2006/main">
                  <a:graphicData uri="http://schemas.microsoft.com/office/word/2010/wordprocessingShape">
                    <wps:wsp>
                      <wps:cNvSpPr/>
                      <wps:spPr>
                        <a:xfrm>
                          <a:off x="0" y="0"/>
                          <a:ext cx="3227070" cy="12115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F2AD8D">
                            <w:pPr>
                              <w:jc w:val="center"/>
                            </w:pPr>
                            <w:r>
                              <w:drawing>
                                <wp:inline distT="0" distB="0" distL="114300" distR="114300">
                                  <wp:extent cx="3028315" cy="1055370"/>
                                  <wp:effectExtent l="0" t="0" r="635" b="1143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4"/>
                                          <a:stretch>
                                            <a:fillRect/>
                                          </a:stretch>
                                        </pic:blipFill>
                                        <pic:spPr>
                                          <a:xfrm>
                                            <a:off x="0" y="0"/>
                                            <a:ext cx="3028315" cy="1055370"/>
                                          </a:xfrm>
                                          <a:prstGeom prst="rect">
                                            <a:avLst/>
                                          </a:prstGeom>
                                          <a:noFill/>
                                          <a:ln>
                                            <a:noFill/>
                                          </a:ln>
                                        </pic:spPr>
                                      </pic:pic>
                                    </a:graphicData>
                                  </a:graphic>
                                </wp:inline>
                              </w:drawing>
                            </w:r>
                          </w:p>
                        </w:txbxContent>
                      </wps:txbx>
                      <wps:bodyPr upright="1"/>
                    </wps:wsp>
                  </a:graphicData>
                </a:graphic>
              </wp:anchor>
            </w:drawing>
          </mc:Choice>
          <mc:Fallback>
            <w:pict>
              <v:rect id="_x0000_s1026" o:spid="_x0000_s1026" o:spt="1" style="position:absolute;left:0pt;margin-left:200.7pt;margin-top:641.35pt;height:95.4pt;width:254.1pt;z-index:251661312;mso-width-relative:page;mso-height-relative:page;" fillcolor="#FFFFFF" filled="t" stroked="t" coordsize="21600,21600" o:gfxdata="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oLedtsAAAANAQAADwAAAAAAAAABACAAAAAiAAAA&#10;ZHJzL2Rvd25yZXYueG1sUEsBAhQAFAAAAAgAh07iQCv2GagEAgAALAQAAA4AAAAAAAAAAQAgAAAA&#10;KgEAAGRycy9lMm9Eb2MueG1sUEsFBgAAAAAGAAYAWQEAAKAFAAAAAA==&#10;">
                <v:fill on="t" focussize="0,0"/>
                <v:stroke color="#000000" joinstyle="miter"/>
                <v:imagedata o:title=""/>
                <o:lock v:ext="edit" aspectratio="f"/>
                <v:textbox>
                  <w:txbxContent>
                    <w:p w14:paraId="64F2AD8D">
                      <w:pPr>
                        <w:jc w:val="center"/>
                      </w:pPr>
                      <w:r>
                        <w:drawing>
                          <wp:inline distT="0" distB="0" distL="114300" distR="114300">
                            <wp:extent cx="3028315" cy="1055370"/>
                            <wp:effectExtent l="0" t="0" r="635" b="1143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4"/>
                                    <a:stretch>
                                      <a:fillRect/>
                                    </a:stretch>
                                  </pic:blipFill>
                                  <pic:spPr>
                                    <a:xfrm>
                                      <a:off x="0" y="0"/>
                                      <a:ext cx="3028315" cy="1055370"/>
                                    </a:xfrm>
                                    <a:prstGeom prst="rect">
                                      <a:avLst/>
                                    </a:prstGeom>
                                    <a:noFill/>
                                    <a:ln>
                                      <a:noFill/>
                                    </a:ln>
                                  </pic:spPr>
                                </pic:pic>
                              </a:graphicData>
                            </a:graphic>
                          </wp:inline>
                        </w:drawing>
                      </w:r>
                    </w:p>
                  </w:txbxContent>
                </v:textbox>
              </v:rect>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2396490</wp:posOffset>
                </wp:positionH>
                <wp:positionV relativeFrom="paragraph">
                  <wp:posOffset>7992745</wp:posOffset>
                </wp:positionV>
                <wp:extent cx="3227070" cy="1211580"/>
                <wp:effectExtent l="4445" t="5080" r="6985" b="21590"/>
                <wp:wrapNone/>
                <wp:docPr id="8" name="矩形 8"/>
                <wp:cNvGraphicFramePr/>
                <a:graphic xmlns:a="http://schemas.openxmlformats.org/drawingml/2006/main">
                  <a:graphicData uri="http://schemas.microsoft.com/office/word/2010/wordprocessingShape">
                    <wps:wsp>
                      <wps:cNvSpPr/>
                      <wps:spPr>
                        <a:xfrm>
                          <a:off x="0" y="0"/>
                          <a:ext cx="3227070" cy="12115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3CB587">
                            <w:pPr>
                              <w:jc w:val="center"/>
                            </w:pPr>
                            <w:r>
                              <w:drawing>
                                <wp:inline distT="0" distB="0" distL="114300" distR="114300">
                                  <wp:extent cx="3028315" cy="1055370"/>
                                  <wp:effectExtent l="0" t="0" r="635" b="1143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4"/>
                                          <a:stretch>
                                            <a:fillRect/>
                                          </a:stretch>
                                        </pic:blipFill>
                                        <pic:spPr>
                                          <a:xfrm>
                                            <a:off x="0" y="0"/>
                                            <a:ext cx="3028315" cy="1055370"/>
                                          </a:xfrm>
                                          <a:prstGeom prst="rect">
                                            <a:avLst/>
                                          </a:prstGeom>
                                          <a:noFill/>
                                          <a:ln>
                                            <a:noFill/>
                                          </a:ln>
                                        </pic:spPr>
                                      </pic:pic>
                                    </a:graphicData>
                                  </a:graphic>
                                </wp:inline>
                              </w:drawing>
                            </w:r>
                          </w:p>
                        </w:txbxContent>
                      </wps:txbx>
                      <wps:bodyPr upright="1"/>
                    </wps:wsp>
                  </a:graphicData>
                </a:graphic>
              </wp:anchor>
            </w:drawing>
          </mc:Choice>
          <mc:Fallback>
            <w:pict>
              <v:rect id="_x0000_s1026" o:spid="_x0000_s1026" o:spt="1" style="position:absolute;left:0pt;margin-left:188.7pt;margin-top:629.35pt;height:95.4pt;width:254.1pt;z-index:251660288;mso-width-relative:page;mso-height-relative:page;" fillcolor="#FFFFFF" filled="t" stroked="t" coordsize="21600,21600" o:gfxdata="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R7WMNsAAAANAQAADwAAAAAAAAABACAAAAAiAAAA&#10;ZHJzL2Rvd25yZXYueG1sUEsBAhQAFAAAAAgAh07iQJeRmNAEAgAAKgQAAA4AAAAAAAAAAQAgAAAA&#10;KgEAAGRycy9lMm9Eb2MueG1sUEsFBgAAAAAGAAYAWQEAAKAFAAAAAA==&#10;">
                <v:fill on="t" focussize="0,0"/>
                <v:stroke color="#000000" joinstyle="miter"/>
                <v:imagedata o:title=""/>
                <o:lock v:ext="edit" aspectratio="f"/>
                <v:textbox>
                  <w:txbxContent>
                    <w:p w14:paraId="063CB587">
                      <w:pPr>
                        <w:jc w:val="center"/>
                      </w:pPr>
                      <w:r>
                        <w:drawing>
                          <wp:inline distT="0" distB="0" distL="114300" distR="114300">
                            <wp:extent cx="3028315" cy="1055370"/>
                            <wp:effectExtent l="0" t="0" r="635" b="1143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4"/>
                                    <a:stretch>
                                      <a:fillRect/>
                                    </a:stretch>
                                  </pic:blipFill>
                                  <pic:spPr>
                                    <a:xfrm>
                                      <a:off x="0" y="0"/>
                                      <a:ext cx="3028315" cy="1055370"/>
                                    </a:xfrm>
                                    <a:prstGeom prst="rect">
                                      <a:avLst/>
                                    </a:prstGeom>
                                    <a:noFill/>
                                    <a:ln>
                                      <a:noFill/>
                                    </a:ln>
                                  </pic:spPr>
                                </pic:pic>
                              </a:graphicData>
                            </a:graphic>
                          </wp:inline>
                        </w:drawing>
                      </w:r>
                    </w:p>
                  </w:txbxContent>
                </v:textbox>
              </v:rect>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2244090</wp:posOffset>
                </wp:positionH>
                <wp:positionV relativeFrom="paragraph">
                  <wp:posOffset>7840345</wp:posOffset>
                </wp:positionV>
                <wp:extent cx="3227070" cy="1211580"/>
                <wp:effectExtent l="4445" t="5080" r="6985" b="21590"/>
                <wp:wrapNone/>
                <wp:docPr id="6" name="矩形 6"/>
                <wp:cNvGraphicFramePr/>
                <a:graphic xmlns:a="http://schemas.openxmlformats.org/drawingml/2006/main">
                  <a:graphicData uri="http://schemas.microsoft.com/office/word/2010/wordprocessingShape">
                    <wps:wsp>
                      <wps:cNvSpPr/>
                      <wps:spPr>
                        <a:xfrm>
                          <a:off x="0" y="0"/>
                          <a:ext cx="3227070" cy="12115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7FB872">
                            <w:pPr>
                              <w:jc w:val="center"/>
                            </w:pPr>
                            <w:r>
                              <w:drawing>
                                <wp:inline distT="0" distB="0" distL="114300" distR="114300">
                                  <wp:extent cx="3028315" cy="1055370"/>
                                  <wp:effectExtent l="0" t="0" r="635" b="1143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4"/>
                                          <a:stretch>
                                            <a:fillRect/>
                                          </a:stretch>
                                        </pic:blipFill>
                                        <pic:spPr>
                                          <a:xfrm>
                                            <a:off x="0" y="0"/>
                                            <a:ext cx="3028315" cy="1055370"/>
                                          </a:xfrm>
                                          <a:prstGeom prst="rect">
                                            <a:avLst/>
                                          </a:prstGeom>
                                          <a:noFill/>
                                          <a:ln>
                                            <a:noFill/>
                                          </a:ln>
                                        </pic:spPr>
                                      </pic:pic>
                                    </a:graphicData>
                                  </a:graphic>
                                </wp:inline>
                              </w:drawing>
                            </w:r>
                          </w:p>
                        </w:txbxContent>
                      </wps:txbx>
                      <wps:bodyPr upright="1"/>
                    </wps:wsp>
                  </a:graphicData>
                </a:graphic>
              </wp:anchor>
            </w:drawing>
          </mc:Choice>
          <mc:Fallback>
            <w:pict>
              <v:rect id="_x0000_s1026" o:spid="_x0000_s1026" o:spt="1" style="position:absolute;left:0pt;margin-left:176.7pt;margin-top:617.35pt;height:95.4pt;width:254.1pt;z-index:251659264;mso-width-relative:page;mso-height-relative:page;" fillcolor="#FFFFFF" filled="t" stroked="t" coordsize="21600,21600" o:gfxdata="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&#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Ayab2gAAAA0BAAAPAAAAAAAAAAEAIAAAACIAAABk&#10;cnMvZG93bnJldi54bWxQSwECFAAUAAAACACHTuJADnfEEgQCAAAqBAAADgAAAAAAAAABACAAAAAp&#10;AQAAZHJzL2Uyb0RvYy54bWxQSwUGAAAAAAYABgBZAQAAnwUAAAAA&#10;">
                <v:fill on="t" focussize="0,0"/>
                <v:stroke color="#000000" joinstyle="miter"/>
                <v:imagedata o:title=""/>
                <o:lock v:ext="edit" aspectratio="f"/>
                <v:textbox>
                  <w:txbxContent>
                    <w:p w14:paraId="087FB872">
                      <w:pPr>
                        <w:jc w:val="center"/>
                      </w:pPr>
                      <w:r>
                        <w:drawing>
                          <wp:inline distT="0" distB="0" distL="114300" distR="114300">
                            <wp:extent cx="3028315" cy="1055370"/>
                            <wp:effectExtent l="0" t="0" r="635" b="1143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4"/>
                                    <a:stretch>
                                      <a:fillRect/>
                                    </a:stretch>
                                  </pic:blipFill>
                                  <pic:spPr>
                                    <a:xfrm>
                                      <a:off x="0" y="0"/>
                                      <a:ext cx="3028315" cy="1055370"/>
                                    </a:xfrm>
                                    <a:prstGeom prst="rect">
                                      <a:avLst/>
                                    </a:prstGeom>
                                    <a:noFill/>
                                    <a:ln>
                                      <a:noFill/>
                                    </a:ln>
                                  </pic:spPr>
                                </pic:pic>
                              </a:graphicData>
                            </a:graphic>
                          </wp:inline>
                        </w:drawing>
                      </w:r>
                    </w:p>
                  </w:txbxContent>
                </v:textbox>
              </v:rect>
            </w:pict>
          </mc:Fallback>
        </mc:AlternateContent>
      </w:r>
    </w:p>
    <w:p w14:paraId="492900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rPr>
      </w:pPr>
      <w:r>
        <w:rPr>
          <w:color w:val="auto"/>
        </w:rPr>
        <w:drawing>
          <wp:inline distT="0" distB="0" distL="114300" distR="114300">
            <wp:extent cx="3028315" cy="1055370"/>
            <wp:effectExtent l="0" t="0" r="635" b="1143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4"/>
                    <a:stretch>
                      <a:fillRect/>
                    </a:stretch>
                  </pic:blipFill>
                  <pic:spPr>
                    <a:xfrm>
                      <a:off x="0" y="0"/>
                      <a:ext cx="3028315" cy="1055370"/>
                    </a:xfrm>
                    <a:prstGeom prst="rect">
                      <a:avLst/>
                    </a:prstGeom>
                    <a:noFill/>
                    <a:ln>
                      <a:noFill/>
                    </a:ln>
                  </pic:spPr>
                </pic:pic>
              </a:graphicData>
            </a:graphic>
          </wp:inline>
        </w:drawing>
      </w:r>
    </w:p>
    <w:p w14:paraId="3E3E7825">
      <w:pPr>
        <w:pStyle w:val="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360" w:firstLineChars="200"/>
        <w:jc w:val="center"/>
        <w:textAlignment w:val="auto"/>
        <w:rPr>
          <w:rFonts w:hint="default" w:ascii="Times New Roman" w:hAnsi="Times New Roman" w:eastAsia="宋体" w:cs="Times New Roman"/>
          <w:color w:val="auto"/>
          <w:sz w:val="24"/>
          <w:szCs w:val="24"/>
          <w:highlight w:val="none"/>
        </w:rPr>
      </w:pPr>
      <w:r>
        <w:rPr>
          <w:rFonts w:hint="eastAsia"/>
          <w:color w:val="auto"/>
          <w:sz w:val="18"/>
          <w:szCs w:val="16"/>
          <w:lang w:val="en-US" w:eastAsia="zh-CN"/>
        </w:rPr>
        <w:t>1——空气采集口；2、3——吸收液；4——大气采集系统；5——废气。</w:t>
      </w:r>
    </w:p>
    <w:p w14:paraId="6A04093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3.2.7.1.2 </w:t>
      </w:r>
      <w:r>
        <w:rPr>
          <w:rFonts w:hint="default" w:ascii="Times New Roman" w:hAnsi="Times New Roman" w:eastAsia="宋体" w:cs="Times New Roman"/>
          <w:color w:val="auto"/>
          <w:sz w:val="24"/>
          <w:szCs w:val="24"/>
          <w:highlight w:val="none"/>
        </w:rPr>
        <w:t>空白溶液制备</w:t>
      </w:r>
    </w:p>
    <w:p w14:paraId="46FAA1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每次采集样品应至少带一套全程序空白样品。</w:t>
      </w:r>
      <w:r>
        <w:rPr>
          <w:rFonts w:hint="eastAsia" w:ascii="Times New Roman" w:hAnsi="Times New Roman" w:eastAsia="宋体" w:cs="Times New Roman"/>
          <w:color w:val="auto"/>
          <w:sz w:val="24"/>
          <w:szCs w:val="24"/>
          <w:highlight w:val="none"/>
          <w:lang w:val="en-US" w:eastAsia="zh-CN"/>
        </w:rPr>
        <w:t>制作方法为：</w:t>
      </w:r>
      <w:r>
        <w:rPr>
          <w:rFonts w:hint="default" w:ascii="Times New Roman" w:hAnsi="Times New Roman" w:eastAsia="宋体" w:cs="Times New Roman"/>
          <w:color w:val="auto"/>
          <w:sz w:val="24"/>
          <w:szCs w:val="24"/>
          <w:highlight w:val="none"/>
          <w:lang w:val="en-US" w:eastAsia="zh-CN"/>
        </w:rPr>
        <w:t>将装好吸收液的吸收瓶带至采样现场，</w:t>
      </w:r>
      <w:r>
        <w:rPr>
          <w:rFonts w:hint="eastAsia" w:ascii="Times New Roman" w:hAnsi="Times New Roman" w:eastAsia="宋体" w:cs="Times New Roman"/>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进行空气采集，</w:t>
      </w:r>
      <w:r>
        <w:rPr>
          <w:rFonts w:hint="eastAsia" w:ascii="Times New Roman" w:hAnsi="Times New Roman" w:eastAsia="宋体" w:cs="Times New Roman"/>
          <w:color w:val="auto"/>
          <w:sz w:val="24"/>
          <w:szCs w:val="24"/>
          <w:highlight w:val="none"/>
          <w:lang w:val="en-US" w:eastAsia="zh-CN"/>
        </w:rPr>
        <w:t>和采集样同步</w:t>
      </w:r>
      <w:r>
        <w:rPr>
          <w:rFonts w:hint="default" w:ascii="Times New Roman" w:hAnsi="Times New Roman" w:eastAsia="宋体" w:cs="Times New Roman"/>
          <w:color w:val="auto"/>
          <w:sz w:val="24"/>
          <w:szCs w:val="24"/>
          <w:highlight w:val="none"/>
          <w:lang w:val="en-US" w:eastAsia="zh-CN"/>
        </w:rPr>
        <w:t>静置</w:t>
      </w:r>
      <w:r>
        <w:rPr>
          <w:rFonts w:hint="eastAsia" w:ascii="Times New Roman" w:hAnsi="Times New Roman" w:eastAsia="宋体" w:cs="Times New Roman"/>
          <w:color w:val="auto"/>
          <w:sz w:val="24"/>
          <w:szCs w:val="24"/>
          <w:highlight w:val="none"/>
          <w:lang w:val="en-US" w:eastAsia="zh-CN"/>
        </w:rPr>
        <w:t>，静置过程中需保证样品瓶处于密闭状态</w:t>
      </w:r>
      <w:r>
        <w:rPr>
          <w:rFonts w:hint="default" w:ascii="Times New Roman" w:hAnsi="Times New Roman" w:eastAsia="宋体" w:cs="Times New Roman"/>
          <w:color w:val="auto"/>
          <w:sz w:val="24"/>
          <w:szCs w:val="24"/>
          <w:highlight w:val="none"/>
          <w:lang w:val="en-US" w:eastAsia="zh-CN"/>
        </w:rPr>
        <w:t>。结束后将两份溶液混合后密封，带回实验室待测。</w:t>
      </w:r>
    </w:p>
    <w:p w14:paraId="14F780E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3.2.7.2样品运输和保存</w:t>
      </w:r>
    </w:p>
    <w:p w14:paraId="30861D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lang w:val="en-US" w:eastAsia="zh-CN"/>
        </w:rPr>
      </w:pPr>
      <w:r>
        <w:rPr>
          <w:rFonts w:hint="default" w:ascii="Times New Roman" w:hAnsi="Times New Roman" w:eastAsia="宋体" w:cs="Times New Roman"/>
          <w:color w:val="auto"/>
          <w:sz w:val="24"/>
          <w:szCs w:val="24"/>
          <w:highlight w:val="none"/>
          <w:lang w:val="en-US" w:eastAsia="zh-CN"/>
        </w:rPr>
        <w:t>采集的吸收溶液及空白溶液应做密封处理，避免倾倒和剧烈摇晃，必要时冷藏（6℃-12℃）运输保存，并于7天内完成测试。</w:t>
      </w:r>
    </w:p>
    <w:p w14:paraId="0D02B3E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rPr>
        <w:t>.</w:t>
      </w:r>
      <w:r>
        <w:rPr>
          <w:rFonts w:hint="eastAsia"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rPr>
        <w:t>8 测试</w:t>
      </w:r>
    </w:p>
    <w:p w14:paraId="3857EC1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8.1 仪器的准备</w:t>
      </w:r>
    </w:p>
    <w:p w14:paraId="277E3A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表2：测量条件参考表</w:t>
      </w:r>
    </w:p>
    <w:tbl>
      <w:tblPr>
        <w:tblStyle w:val="5"/>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5"/>
        <w:gridCol w:w="2401"/>
        <w:gridCol w:w="1450"/>
        <w:gridCol w:w="2383"/>
        <w:gridCol w:w="1267"/>
      </w:tblGrid>
      <w:tr w14:paraId="73DE2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785" w:type="dxa"/>
            <w:noWrap w:val="0"/>
            <w:vAlign w:val="center"/>
          </w:tcPr>
          <w:p w14:paraId="4624209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组别</w:t>
            </w:r>
          </w:p>
        </w:tc>
        <w:tc>
          <w:tcPr>
            <w:tcW w:w="2401" w:type="dxa"/>
            <w:noWrap w:val="0"/>
            <w:vAlign w:val="center"/>
          </w:tcPr>
          <w:p w14:paraId="4F8B725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淋洗液</w:t>
            </w:r>
          </w:p>
        </w:tc>
        <w:tc>
          <w:tcPr>
            <w:tcW w:w="1450" w:type="dxa"/>
            <w:noWrap w:val="0"/>
            <w:vAlign w:val="center"/>
          </w:tcPr>
          <w:p w14:paraId="437719B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流速</w:t>
            </w:r>
          </w:p>
        </w:tc>
        <w:tc>
          <w:tcPr>
            <w:tcW w:w="2383" w:type="dxa"/>
            <w:noWrap w:val="0"/>
            <w:vAlign w:val="center"/>
          </w:tcPr>
          <w:p w14:paraId="6BDC304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检测器</w:t>
            </w:r>
          </w:p>
        </w:tc>
        <w:tc>
          <w:tcPr>
            <w:tcW w:w="1267" w:type="dxa"/>
            <w:noWrap w:val="0"/>
            <w:vAlign w:val="center"/>
          </w:tcPr>
          <w:p w14:paraId="1665A6B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进样量</w:t>
            </w:r>
          </w:p>
        </w:tc>
      </w:tr>
      <w:tr w14:paraId="7546F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785" w:type="dxa"/>
            <w:noWrap w:val="0"/>
            <w:vAlign w:val="center"/>
          </w:tcPr>
          <w:p w14:paraId="4D04EF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阴离子分离柱</w:t>
            </w:r>
          </w:p>
        </w:tc>
        <w:tc>
          <w:tcPr>
            <w:tcW w:w="2401" w:type="dxa"/>
            <w:noWrap w:val="0"/>
            <w:vAlign w:val="center"/>
          </w:tcPr>
          <w:p w14:paraId="1C75E7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阴离子</w:t>
            </w:r>
            <w:r>
              <w:rPr>
                <w:rFonts w:hint="default" w:ascii="Times New Roman" w:hAnsi="Times New Roman" w:eastAsia="宋体" w:cs="Times New Roman"/>
                <w:color w:val="auto"/>
                <w:sz w:val="24"/>
                <w:szCs w:val="24"/>
                <w:highlight w:val="none"/>
                <w:lang w:val="en-US" w:eastAsia="zh-CN"/>
              </w:rPr>
              <w:t>淋洗液</w:t>
            </w:r>
            <w:r>
              <w:rPr>
                <w:rFonts w:hint="eastAsia" w:ascii="Times New Roman" w:hAnsi="Times New Roman" w:eastAsia="宋体" w:cs="Times New Roman"/>
                <w:color w:val="auto"/>
                <w:sz w:val="24"/>
                <w:szCs w:val="24"/>
                <w:highlight w:val="none"/>
                <w:lang w:val="en-US" w:eastAsia="zh-CN"/>
              </w:rPr>
              <w:t>（3.2.4.4 ）</w:t>
            </w:r>
          </w:p>
        </w:tc>
        <w:tc>
          <w:tcPr>
            <w:tcW w:w="1450" w:type="dxa"/>
            <w:noWrap w:val="0"/>
            <w:vAlign w:val="center"/>
          </w:tcPr>
          <w:p w14:paraId="1FE9AD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0.7</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lang w:val="en-US" w:eastAsia="zh-CN"/>
              </w:rPr>
              <w:t>l</w:t>
            </w:r>
            <w:r>
              <w:rPr>
                <w:rFonts w:hint="default" w:ascii="Times New Roman" w:hAnsi="Times New Roman" w:eastAsia="宋体" w:cs="Times New Roman"/>
                <w:color w:val="auto"/>
                <w:sz w:val="24"/>
                <w:szCs w:val="24"/>
                <w:highlight w:val="none"/>
                <w:lang w:val="en-US" w:eastAsia="zh-CN"/>
              </w:rPr>
              <w:t>/min</w:t>
            </w:r>
          </w:p>
        </w:tc>
        <w:tc>
          <w:tcPr>
            <w:tcW w:w="2383" w:type="dxa"/>
            <w:noWrap w:val="0"/>
            <w:vAlign w:val="center"/>
          </w:tcPr>
          <w:p w14:paraId="4B0761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抑制性电导检测器</w:t>
            </w:r>
          </w:p>
        </w:tc>
        <w:tc>
          <w:tcPr>
            <w:tcW w:w="1267" w:type="dxa"/>
            <w:noWrap w:val="0"/>
            <w:vAlign w:val="center"/>
          </w:tcPr>
          <w:p w14:paraId="66CCE3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2000μL</w:t>
            </w:r>
          </w:p>
        </w:tc>
      </w:tr>
      <w:tr w14:paraId="05C5F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785" w:type="dxa"/>
            <w:noWrap w:val="0"/>
            <w:vAlign w:val="center"/>
          </w:tcPr>
          <w:p w14:paraId="0B20F9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阳离子分离柱</w:t>
            </w:r>
          </w:p>
        </w:tc>
        <w:tc>
          <w:tcPr>
            <w:tcW w:w="2401" w:type="dxa"/>
            <w:noWrap w:val="0"/>
            <w:vAlign w:val="center"/>
          </w:tcPr>
          <w:p w14:paraId="6E938D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阳离子</w:t>
            </w:r>
            <w:r>
              <w:rPr>
                <w:rFonts w:hint="default" w:ascii="Times New Roman" w:hAnsi="Times New Roman" w:eastAsia="宋体" w:cs="Times New Roman"/>
                <w:color w:val="auto"/>
                <w:sz w:val="24"/>
                <w:szCs w:val="24"/>
                <w:highlight w:val="none"/>
                <w:lang w:val="en-US" w:eastAsia="zh-CN"/>
              </w:rPr>
              <w:t>淋洗液</w:t>
            </w:r>
            <w:r>
              <w:rPr>
                <w:rFonts w:hint="eastAsia" w:ascii="Times New Roman" w:hAnsi="Times New Roman" w:eastAsia="宋体" w:cs="Times New Roman"/>
                <w:color w:val="auto"/>
                <w:sz w:val="24"/>
                <w:szCs w:val="24"/>
                <w:highlight w:val="none"/>
                <w:lang w:val="en-US" w:eastAsia="zh-CN"/>
              </w:rPr>
              <w:t>（3.2.4.5）</w:t>
            </w:r>
          </w:p>
        </w:tc>
        <w:tc>
          <w:tcPr>
            <w:tcW w:w="1450" w:type="dxa"/>
            <w:noWrap w:val="0"/>
            <w:vAlign w:val="center"/>
          </w:tcPr>
          <w:p w14:paraId="4CE425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0.9</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lang w:val="en-US" w:eastAsia="zh-CN"/>
              </w:rPr>
              <w:t>l</w:t>
            </w:r>
            <w:r>
              <w:rPr>
                <w:rFonts w:hint="default" w:ascii="Times New Roman" w:hAnsi="Times New Roman" w:eastAsia="宋体" w:cs="Times New Roman"/>
                <w:color w:val="auto"/>
                <w:sz w:val="24"/>
                <w:szCs w:val="24"/>
                <w:highlight w:val="none"/>
                <w:lang w:val="en-US" w:eastAsia="zh-CN"/>
              </w:rPr>
              <w:t>/min</w:t>
            </w:r>
          </w:p>
        </w:tc>
        <w:tc>
          <w:tcPr>
            <w:tcW w:w="2383" w:type="dxa"/>
            <w:noWrap w:val="0"/>
            <w:vAlign w:val="center"/>
          </w:tcPr>
          <w:p w14:paraId="745634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非</w:t>
            </w:r>
            <w:r>
              <w:rPr>
                <w:rFonts w:hint="default" w:ascii="Times New Roman" w:hAnsi="Times New Roman" w:eastAsia="宋体" w:cs="Times New Roman"/>
                <w:color w:val="auto"/>
                <w:sz w:val="24"/>
                <w:szCs w:val="24"/>
                <w:highlight w:val="none"/>
                <w:lang w:val="en-US" w:eastAsia="zh-CN"/>
              </w:rPr>
              <w:t>抑制性电导检测器</w:t>
            </w:r>
          </w:p>
        </w:tc>
        <w:tc>
          <w:tcPr>
            <w:tcW w:w="1267" w:type="dxa"/>
            <w:noWrap w:val="0"/>
            <w:vAlign w:val="center"/>
          </w:tcPr>
          <w:p w14:paraId="5992BA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2000μL</w:t>
            </w:r>
          </w:p>
        </w:tc>
      </w:tr>
    </w:tbl>
    <w:p w14:paraId="1649D339">
      <w:pPr>
        <w:pStyle w:val="2"/>
        <w:rPr>
          <w:rFonts w:hint="default"/>
          <w:color w:val="auto"/>
          <w:lang w:val="en-US" w:eastAsia="zh-CN"/>
        </w:rPr>
      </w:pPr>
    </w:p>
    <w:p w14:paraId="0D176ED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 xml:space="preserve">8.2 </w:t>
      </w:r>
      <w:r>
        <w:rPr>
          <w:rFonts w:hint="default" w:ascii="Times New Roman" w:hAnsi="Times New Roman" w:eastAsia="宋体" w:cs="Times New Roman"/>
          <w:color w:val="auto"/>
          <w:sz w:val="24"/>
          <w:szCs w:val="24"/>
          <w:highlight w:val="none"/>
        </w:rPr>
        <w:t>标准曲线的绘制</w:t>
      </w:r>
    </w:p>
    <w:p w14:paraId="59363036">
      <w:pPr>
        <w:pStyle w:val="9"/>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利用</w:t>
      </w:r>
      <w:r>
        <w:rPr>
          <w:rFonts w:hint="default" w:ascii="Times New Roman" w:hAnsi="Times New Roman" w:cs="Times New Roman"/>
          <w:color w:val="auto"/>
          <w:sz w:val="24"/>
          <w:szCs w:val="24"/>
          <w:highlight w:val="none"/>
          <w:lang w:val="en-US" w:eastAsia="zh-CN"/>
        </w:rPr>
        <w:t>自动配液装置</w:t>
      </w:r>
      <w:r>
        <w:rPr>
          <w:rFonts w:hint="default" w:ascii="Times New Roman" w:hAnsi="Times New Roman" w:cs="Times New Roman"/>
          <w:color w:val="auto"/>
          <w:sz w:val="24"/>
          <w:szCs w:val="24"/>
          <w:highlight w:val="none"/>
        </w:rPr>
        <w:t>或进行手动配制</w:t>
      </w:r>
      <w:r>
        <w:rPr>
          <w:rFonts w:hint="default" w:ascii="Times New Roman" w:hAnsi="Times New Roman" w:cs="Times New Roman"/>
          <w:color w:val="auto"/>
          <w:sz w:val="24"/>
          <w:szCs w:val="24"/>
          <w:highlight w:val="none"/>
          <w:lang w:val="en-US" w:eastAsia="zh-CN"/>
        </w:rPr>
        <w:t>系列标准</w:t>
      </w:r>
      <w:r>
        <w:rPr>
          <w:rFonts w:hint="default" w:ascii="Times New Roman" w:hAnsi="Times New Roman" w:cs="Times New Roman"/>
          <w:color w:val="auto"/>
          <w:sz w:val="24"/>
          <w:szCs w:val="24"/>
          <w:highlight w:val="none"/>
        </w:rPr>
        <w:t>溶液，配制成5个不同浓度的混合标准系列，标准系列质量浓度</w:t>
      </w:r>
      <w:r>
        <w:rPr>
          <w:rFonts w:hint="default" w:ascii="Times New Roman" w:hAnsi="Times New Roman" w:cs="Times New Roman"/>
          <w:color w:val="auto"/>
          <w:sz w:val="24"/>
          <w:szCs w:val="24"/>
          <w:highlight w:val="none"/>
          <w:lang w:val="en-US" w:eastAsia="zh-CN"/>
        </w:rPr>
        <w:t>参考</w:t>
      </w:r>
      <w:r>
        <w:rPr>
          <w:rFonts w:hint="default" w:ascii="Times New Roman" w:hAnsi="Times New Roman" w:cs="Times New Roman"/>
          <w:color w:val="auto"/>
          <w:sz w:val="24"/>
          <w:szCs w:val="24"/>
          <w:highlight w:val="none"/>
        </w:rPr>
        <w:t>表</w:t>
      </w: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可根据被测样品的浓度确定合适的标准系列浓度范围，按其浓度由低到高的顺序依次注入离子色谱仪进行测定，记录峰面积（或峰高），以各离子的质量浓度为横坐标，峰面积（或峰高）为纵坐标，绘制标准曲线。</w:t>
      </w:r>
    </w:p>
    <w:p w14:paraId="515F1AAF">
      <w:pPr>
        <w:pStyle w:val="9"/>
        <w:keepNext w:val="0"/>
        <w:keepLines w:val="0"/>
        <w:pageBreakBefore w:val="0"/>
        <w:kinsoku/>
        <w:wordWrap/>
        <w:overflowPunct/>
        <w:topLinePunct w:val="0"/>
        <w:bidi w:val="0"/>
        <w:adjustRightInd/>
        <w:snapToGrid/>
        <w:spacing w:line="360" w:lineRule="auto"/>
        <w:ind w:left="0" w:leftChars="0" w:right="0" w:rightChars="0" w:firstLine="480" w:firstLineChars="20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表</w:t>
      </w:r>
      <w:r>
        <w:rPr>
          <w:rFonts w:hint="eastAsia" w:asci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 xml:space="preserve"> 离子标准系列质量浓度</w:t>
      </w:r>
    </w:p>
    <w:tbl>
      <w:tblPr>
        <w:tblStyle w:val="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95"/>
        <w:gridCol w:w="1595"/>
        <w:gridCol w:w="1595"/>
        <w:gridCol w:w="1595"/>
        <w:gridCol w:w="1600"/>
      </w:tblGrid>
      <w:tr w14:paraId="761A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14:paraId="40BD4052">
            <w:pPr>
              <w:pStyle w:val="9"/>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离子称</w:t>
            </w:r>
          </w:p>
        </w:tc>
        <w:tc>
          <w:tcPr>
            <w:tcW w:w="7980" w:type="dxa"/>
            <w:gridSpan w:val="5"/>
          </w:tcPr>
          <w:p w14:paraId="72131781">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标准系列浓度（μg/L）</w:t>
            </w:r>
          </w:p>
        </w:tc>
      </w:tr>
      <w:tr w14:paraId="4701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14:paraId="6BA380BD">
            <w:pPr>
              <w:pStyle w:val="9"/>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F</w:t>
            </w:r>
            <w:r>
              <w:rPr>
                <w:rFonts w:hint="default" w:ascii="Times New Roman" w:hAnsi="Times New Roman" w:cs="Times New Roman"/>
                <w:color w:val="auto"/>
                <w:sz w:val="24"/>
                <w:szCs w:val="24"/>
                <w:highlight w:val="none"/>
                <w:vertAlign w:val="superscript"/>
              </w:rPr>
              <w:t>-</w:t>
            </w:r>
          </w:p>
        </w:tc>
        <w:tc>
          <w:tcPr>
            <w:tcW w:w="1595" w:type="dxa"/>
            <w:vAlign w:val="center"/>
          </w:tcPr>
          <w:p w14:paraId="701B3584">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0.25</w:t>
            </w:r>
          </w:p>
        </w:tc>
        <w:tc>
          <w:tcPr>
            <w:tcW w:w="1595" w:type="dxa"/>
            <w:vAlign w:val="center"/>
          </w:tcPr>
          <w:p w14:paraId="44EBDFB5">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0.5</w:t>
            </w:r>
          </w:p>
        </w:tc>
        <w:tc>
          <w:tcPr>
            <w:tcW w:w="1595" w:type="dxa"/>
            <w:vAlign w:val="center"/>
          </w:tcPr>
          <w:p w14:paraId="7B7171EE">
            <w:pPr>
              <w:pStyle w:val="9"/>
              <w:keepNext w:val="0"/>
              <w:keepLines w:val="0"/>
              <w:pageBreakBefore w:val="0"/>
              <w:widowControl/>
              <w:kinsoku/>
              <w:wordWrap/>
              <w:overflowPunct/>
              <w:topLinePunct w:val="0"/>
              <w:bidi w:val="0"/>
              <w:adjustRightInd/>
              <w:snapToGrid/>
              <w:spacing w:line="360" w:lineRule="auto"/>
              <w:ind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1.0</w:t>
            </w:r>
          </w:p>
        </w:tc>
        <w:tc>
          <w:tcPr>
            <w:tcW w:w="1595" w:type="dxa"/>
            <w:vAlign w:val="center"/>
          </w:tcPr>
          <w:p w14:paraId="6704771C">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600" w:type="dxa"/>
            <w:vAlign w:val="center"/>
          </w:tcPr>
          <w:p w14:paraId="66A3D94E">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5.0</w:t>
            </w:r>
          </w:p>
        </w:tc>
      </w:tr>
      <w:tr w14:paraId="74E0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14:paraId="3E896241">
            <w:pPr>
              <w:pStyle w:val="9"/>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Cl</w:t>
            </w:r>
            <w:r>
              <w:rPr>
                <w:rFonts w:hint="default" w:ascii="Times New Roman" w:hAnsi="Times New Roman" w:cs="Times New Roman"/>
                <w:color w:val="auto"/>
                <w:sz w:val="24"/>
                <w:szCs w:val="24"/>
                <w:highlight w:val="none"/>
                <w:vertAlign w:val="superscript"/>
              </w:rPr>
              <w:t>-</w:t>
            </w:r>
          </w:p>
        </w:tc>
        <w:tc>
          <w:tcPr>
            <w:tcW w:w="1595" w:type="dxa"/>
            <w:vAlign w:val="center"/>
          </w:tcPr>
          <w:p w14:paraId="4B79C2A6">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0.25</w:t>
            </w:r>
          </w:p>
        </w:tc>
        <w:tc>
          <w:tcPr>
            <w:tcW w:w="1595" w:type="dxa"/>
            <w:vAlign w:val="center"/>
          </w:tcPr>
          <w:p w14:paraId="552726A4">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0.5</w:t>
            </w:r>
          </w:p>
        </w:tc>
        <w:tc>
          <w:tcPr>
            <w:tcW w:w="1595" w:type="dxa"/>
            <w:vAlign w:val="center"/>
          </w:tcPr>
          <w:p w14:paraId="03FB1F4E">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w:t>
            </w:r>
          </w:p>
        </w:tc>
        <w:tc>
          <w:tcPr>
            <w:tcW w:w="1595" w:type="dxa"/>
            <w:vAlign w:val="center"/>
          </w:tcPr>
          <w:p w14:paraId="28D68C7C">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600" w:type="dxa"/>
            <w:vAlign w:val="center"/>
          </w:tcPr>
          <w:p w14:paraId="29E1F32E">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r>
      <w:tr w14:paraId="076C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14:paraId="3986E897">
            <w:pPr>
              <w:pStyle w:val="9"/>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Br</w:t>
            </w:r>
            <w:r>
              <w:rPr>
                <w:rFonts w:hint="default" w:ascii="Times New Roman" w:hAnsi="Times New Roman" w:cs="Times New Roman"/>
                <w:color w:val="auto"/>
                <w:sz w:val="24"/>
                <w:szCs w:val="24"/>
                <w:highlight w:val="none"/>
                <w:vertAlign w:val="superscript"/>
              </w:rPr>
              <w:t>-</w:t>
            </w:r>
          </w:p>
        </w:tc>
        <w:tc>
          <w:tcPr>
            <w:tcW w:w="1595" w:type="dxa"/>
            <w:vAlign w:val="center"/>
          </w:tcPr>
          <w:p w14:paraId="456893F1">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0.25</w:t>
            </w:r>
          </w:p>
        </w:tc>
        <w:tc>
          <w:tcPr>
            <w:tcW w:w="1595" w:type="dxa"/>
            <w:vAlign w:val="center"/>
          </w:tcPr>
          <w:p w14:paraId="53238149">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0.5</w:t>
            </w:r>
          </w:p>
        </w:tc>
        <w:tc>
          <w:tcPr>
            <w:tcW w:w="1595" w:type="dxa"/>
            <w:vAlign w:val="center"/>
          </w:tcPr>
          <w:p w14:paraId="7CF17D52">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w:t>
            </w:r>
          </w:p>
        </w:tc>
        <w:tc>
          <w:tcPr>
            <w:tcW w:w="1595" w:type="dxa"/>
            <w:vAlign w:val="center"/>
          </w:tcPr>
          <w:p w14:paraId="490F9703">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600" w:type="dxa"/>
            <w:vAlign w:val="center"/>
          </w:tcPr>
          <w:p w14:paraId="59D8DBA0">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r>
      <w:tr w14:paraId="0880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14:paraId="7E2800C3">
            <w:pPr>
              <w:pStyle w:val="9"/>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NO</w:t>
            </w:r>
            <w:r>
              <w:rPr>
                <w:rFonts w:hint="default" w:ascii="Times New Roman" w:hAnsi="Times New Roman" w:cs="Times New Roman"/>
                <w:color w:val="auto"/>
                <w:sz w:val="24"/>
                <w:szCs w:val="24"/>
                <w:highlight w:val="none"/>
                <w:vertAlign w:val="subscript"/>
              </w:rPr>
              <w:t>3</w:t>
            </w:r>
            <w:r>
              <w:rPr>
                <w:rFonts w:hint="default" w:ascii="Times New Roman" w:hAnsi="Times New Roman" w:cs="Times New Roman"/>
                <w:color w:val="auto"/>
                <w:sz w:val="24"/>
                <w:szCs w:val="24"/>
                <w:highlight w:val="none"/>
                <w:vertAlign w:val="superscript"/>
              </w:rPr>
              <w:t>-</w:t>
            </w:r>
          </w:p>
        </w:tc>
        <w:tc>
          <w:tcPr>
            <w:tcW w:w="1595" w:type="dxa"/>
            <w:vAlign w:val="center"/>
          </w:tcPr>
          <w:p w14:paraId="31EA75C8">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0.25</w:t>
            </w:r>
          </w:p>
        </w:tc>
        <w:tc>
          <w:tcPr>
            <w:tcW w:w="1595" w:type="dxa"/>
            <w:vAlign w:val="center"/>
          </w:tcPr>
          <w:p w14:paraId="137D97C8">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0.5</w:t>
            </w:r>
          </w:p>
        </w:tc>
        <w:tc>
          <w:tcPr>
            <w:tcW w:w="1595" w:type="dxa"/>
            <w:vAlign w:val="center"/>
          </w:tcPr>
          <w:p w14:paraId="35C401E1">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w:t>
            </w:r>
          </w:p>
        </w:tc>
        <w:tc>
          <w:tcPr>
            <w:tcW w:w="1595" w:type="dxa"/>
            <w:vAlign w:val="center"/>
          </w:tcPr>
          <w:p w14:paraId="4C2CD79C">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600" w:type="dxa"/>
            <w:vAlign w:val="center"/>
          </w:tcPr>
          <w:p w14:paraId="7C6DBCC0">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r>
      <w:tr w14:paraId="61AC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14:paraId="6DD67C68">
            <w:pPr>
              <w:pStyle w:val="9"/>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PO</w:t>
            </w:r>
            <w:r>
              <w:rPr>
                <w:rFonts w:hint="default" w:ascii="Times New Roman" w:hAnsi="Times New Roman" w:cs="Times New Roman"/>
                <w:color w:val="auto"/>
                <w:sz w:val="24"/>
                <w:szCs w:val="24"/>
                <w:highlight w:val="none"/>
                <w:vertAlign w:val="subscript"/>
              </w:rPr>
              <w:t>4</w:t>
            </w:r>
            <w:r>
              <w:rPr>
                <w:rFonts w:hint="default" w:ascii="Times New Roman" w:hAnsi="Times New Roman" w:cs="Times New Roman"/>
                <w:color w:val="auto"/>
                <w:sz w:val="24"/>
                <w:szCs w:val="24"/>
                <w:highlight w:val="none"/>
                <w:vertAlign w:val="superscript"/>
              </w:rPr>
              <w:t>3-</w:t>
            </w:r>
          </w:p>
        </w:tc>
        <w:tc>
          <w:tcPr>
            <w:tcW w:w="1595" w:type="dxa"/>
            <w:vAlign w:val="center"/>
          </w:tcPr>
          <w:p w14:paraId="2C77841E">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0.25</w:t>
            </w:r>
          </w:p>
        </w:tc>
        <w:tc>
          <w:tcPr>
            <w:tcW w:w="1595" w:type="dxa"/>
            <w:vAlign w:val="center"/>
          </w:tcPr>
          <w:p w14:paraId="4E8EAC81">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0.5</w:t>
            </w:r>
          </w:p>
        </w:tc>
        <w:tc>
          <w:tcPr>
            <w:tcW w:w="1595" w:type="dxa"/>
            <w:vAlign w:val="center"/>
          </w:tcPr>
          <w:p w14:paraId="6FB2D211">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w:t>
            </w:r>
          </w:p>
        </w:tc>
        <w:tc>
          <w:tcPr>
            <w:tcW w:w="1595" w:type="dxa"/>
            <w:vAlign w:val="center"/>
          </w:tcPr>
          <w:p w14:paraId="1A527284">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600" w:type="dxa"/>
            <w:vAlign w:val="center"/>
          </w:tcPr>
          <w:p w14:paraId="37958CA4">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r>
      <w:tr w14:paraId="010E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14:paraId="233C7F15">
            <w:pPr>
              <w:pStyle w:val="9"/>
              <w:keepNext w:val="0"/>
              <w:keepLines w:val="0"/>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SO</w:t>
            </w:r>
            <w:r>
              <w:rPr>
                <w:rFonts w:hint="default" w:ascii="Times New Roman" w:hAnsi="Times New Roman" w:cs="Times New Roman"/>
                <w:color w:val="auto"/>
                <w:sz w:val="24"/>
                <w:szCs w:val="24"/>
                <w:highlight w:val="none"/>
                <w:vertAlign w:val="subscript"/>
              </w:rPr>
              <w:t>4</w:t>
            </w:r>
            <w:r>
              <w:rPr>
                <w:rFonts w:hint="default" w:ascii="Times New Roman" w:hAnsi="Times New Roman" w:cs="Times New Roman"/>
                <w:color w:val="auto"/>
                <w:sz w:val="24"/>
                <w:szCs w:val="24"/>
                <w:highlight w:val="none"/>
                <w:vertAlign w:val="superscript"/>
              </w:rPr>
              <w:t>2-</w:t>
            </w:r>
          </w:p>
        </w:tc>
        <w:tc>
          <w:tcPr>
            <w:tcW w:w="1595" w:type="dxa"/>
            <w:vAlign w:val="center"/>
          </w:tcPr>
          <w:p w14:paraId="6DF46BA6">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0.25</w:t>
            </w:r>
          </w:p>
        </w:tc>
        <w:tc>
          <w:tcPr>
            <w:tcW w:w="1595" w:type="dxa"/>
            <w:vAlign w:val="center"/>
          </w:tcPr>
          <w:p w14:paraId="516D1FF8">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0.5</w:t>
            </w:r>
          </w:p>
        </w:tc>
        <w:tc>
          <w:tcPr>
            <w:tcW w:w="1595" w:type="dxa"/>
            <w:vAlign w:val="center"/>
          </w:tcPr>
          <w:p w14:paraId="4EF2259E">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w:t>
            </w:r>
          </w:p>
        </w:tc>
        <w:tc>
          <w:tcPr>
            <w:tcW w:w="1595" w:type="dxa"/>
            <w:vAlign w:val="center"/>
          </w:tcPr>
          <w:p w14:paraId="41240A9B">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600" w:type="dxa"/>
            <w:vAlign w:val="center"/>
          </w:tcPr>
          <w:p w14:paraId="59605DFA">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r>
      <w:tr w14:paraId="05AC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Align w:val="top"/>
          </w:tcPr>
          <w:p w14:paraId="65FE26B8">
            <w:pPr>
              <w:pStyle w:val="9"/>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Li</w:t>
            </w:r>
            <w:r>
              <w:rPr>
                <w:rFonts w:hint="default" w:ascii="Times New Roman" w:hAnsi="Times New Roman" w:cs="Times New Roman"/>
                <w:color w:val="auto"/>
                <w:sz w:val="24"/>
                <w:szCs w:val="24"/>
                <w:highlight w:val="none"/>
                <w:vertAlign w:val="superscript"/>
              </w:rPr>
              <w:t>+</w:t>
            </w:r>
          </w:p>
        </w:tc>
        <w:tc>
          <w:tcPr>
            <w:tcW w:w="1595" w:type="dxa"/>
            <w:vAlign w:val="top"/>
          </w:tcPr>
          <w:p w14:paraId="5B61F17D">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595" w:type="dxa"/>
            <w:vAlign w:val="top"/>
          </w:tcPr>
          <w:p w14:paraId="58E373C7">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c>
          <w:tcPr>
            <w:tcW w:w="1595" w:type="dxa"/>
            <w:vAlign w:val="top"/>
          </w:tcPr>
          <w:p w14:paraId="16EAC40C">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10</w:t>
            </w:r>
          </w:p>
        </w:tc>
        <w:tc>
          <w:tcPr>
            <w:tcW w:w="1595" w:type="dxa"/>
            <w:vAlign w:val="top"/>
          </w:tcPr>
          <w:p w14:paraId="3DF2FB53">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600" w:type="dxa"/>
            <w:vAlign w:val="top"/>
          </w:tcPr>
          <w:p w14:paraId="49F0417E">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eastAsia" w:ascii="Times New Roman" w:cs="Times New Roman"/>
                <w:color w:val="auto"/>
                <w:kern w:val="2"/>
                <w:sz w:val="24"/>
                <w:szCs w:val="24"/>
                <w:highlight w:val="none"/>
                <w:lang w:val="en-US" w:eastAsia="zh-CN"/>
              </w:rPr>
              <w:t>5</w:t>
            </w:r>
            <w:r>
              <w:rPr>
                <w:rFonts w:hint="default" w:ascii="Times New Roman" w:hAnsi="Times New Roman" w:cs="Times New Roman"/>
                <w:color w:val="auto"/>
                <w:kern w:val="2"/>
                <w:sz w:val="24"/>
                <w:szCs w:val="24"/>
                <w:highlight w:val="none"/>
              </w:rPr>
              <w:t>0</w:t>
            </w:r>
          </w:p>
        </w:tc>
      </w:tr>
      <w:tr w14:paraId="3FF1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Align w:val="top"/>
          </w:tcPr>
          <w:p w14:paraId="129919F4">
            <w:pPr>
              <w:pStyle w:val="9"/>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Na</w:t>
            </w:r>
            <w:r>
              <w:rPr>
                <w:rFonts w:hint="default" w:ascii="Times New Roman" w:hAnsi="Times New Roman" w:cs="Times New Roman"/>
                <w:color w:val="auto"/>
                <w:sz w:val="24"/>
                <w:szCs w:val="24"/>
                <w:highlight w:val="none"/>
                <w:vertAlign w:val="superscript"/>
              </w:rPr>
              <w:t>+</w:t>
            </w:r>
          </w:p>
        </w:tc>
        <w:tc>
          <w:tcPr>
            <w:tcW w:w="1595" w:type="dxa"/>
            <w:vAlign w:val="top"/>
          </w:tcPr>
          <w:p w14:paraId="5482D838">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595" w:type="dxa"/>
            <w:vAlign w:val="top"/>
          </w:tcPr>
          <w:p w14:paraId="4176B031">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sz w:val="24"/>
                <w:szCs w:val="24"/>
                <w:highlight w:val="none"/>
              </w:rPr>
              <w:t>5.0</w:t>
            </w:r>
          </w:p>
        </w:tc>
        <w:tc>
          <w:tcPr>
            <w:tcW w:w="1595" w:type="dxa"/>
            <w:vAlign w:val="top"/>
          </w:tcPr>
          <w:p w14:paraId="03AB04A1">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kern w:val="2"/>
                <w:sz w:val="24"/>
                <w:szCs w:val="24"/>
                <w:highlight w:val="none"/>
              </w:rPr>
              <w:t>10</w:t>
            </w:r>
          </w:p>
        </w:tc>
        <w:tc>
          <w:tcPr>
            <w:tcW w:w="1595" w:type="dxa"/>
            <w:vAlign w:val="top"/>
          </w:tcPr>
          <w:p w14:paraId="3E3D1F56">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600" w:type="dxa"/>
            <w:vAlign w:val="top"/>
          </w:tcPr>
          <w:p w14:paraId="626A18BE">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kern w:val="2"/>
                <w:sz w:val="24"/>
                <w:szCs w:val="24"/>
                <w:highlight w:val="none"/>
              </w:rPr>
              <w:t>50</w:t>
            </w:r>
          </w:p>
        </w:tc>
      </w:tr>
    </w:tbl>
    <w:p w14:paraId="67252784">
      <w:pPr>
        <w:pStyle w:val="2"/>
        <w:rPr>
          <w:rFonts w:hint="eastAsia"/>
          <w:color w:val="auto"/>
          <w:lang w:val="en-US" w:eastAsia="zh-CN"/>
        </w:rPr>
      </w:pPr>
    </w:p>
    <w:p w14:paraId="21A012FF">
      <w:pPr>
        <w:pStyle w:val="2"/>
        <w:rPr>
          <w:rFonts w:hint="eastAsia" w:eastAsiaTheme="minorEastAsia"/>
          <w:color w:val="auto"/>
          <w:lang w:val="en-US" w:eastAsia="zh-CN"/>
        </w:rPr>
      </w:pPr>
      <w:r>
        <w:rPr>
          <w:rFonts w:hint="eastAsia"/>
          <w:color w:val="auto"/>
          <w:lang w:val="en-US" w:eastAsia="zh-CN"/>
        </w:rPr>
        <w:t>续表：</w:t>
      </w:r>
    </w:p>
    <w:tbl>
      <w:tblPr>
        <w:tblStyle w:val="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95"/>
        <w:gridCol w:w="1595"/>
        <w:gridCol w:w="1595"/>
        <w:gridCol w:w="1595"/>
        <w:gridCol w:w="1600"/>
      </w:tblGrid>
      <w:tr w14:paraId="11E7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14:paraId="05ED2EF1">
            <w:pPr>
              <w:pStyle w:val="9"/>
              <w:keepNext w:val="0"/>
              <w:keepLines w:val="0"/>
              <w:pageBreakBefore w:val="0"/>
              <w:widowControl w:val="0"/>
              <w:kinsoku/>
              <w:wordWrap/>
              <w:overflowPunct/>
              <w:topLinePunct w:val="0"/>
              <w:bidi w:val="0"/>
              <w:adjustRightInd/>
              <w:snapToGrid/>
              <w:spacing w:line="360" w:lineRule="auto"/>
              <w:ind w:right="0" w:rightChars="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NH</w:t>
            </w:r>
            <w:r>
              <w:rPr>
                <w:rFonts w:hint="default" w:ascii="Times New Roman" w:hAnsi="Times New Roman" w:cs="Times New Roman"/>
                <w:color w:val="auto"/>
                <w:sz w:val="24"/>
                <w:szCs w:val="24"/>
                <w:highlight w:val="none"/>
                <w:vertAlign w:val="subscript"/>
              </w:rPr>
              <w:t>4</w:t>
            </w:r>
            <w:r>
              <w:rPr>
                <w:rFonts w:hint="default" w:ascii="Times New Roman" w:hAnsi="Times New Roman" w:cs="Times New Roman"/>
                <w:color w:val="auto"/>
                <w:sz w:val="24"/>
                <w:szCs w:val="24"/>
                <w:highlight w:val="none"/>
                <w:vertAlign w:val="superscript"/>
              </w:rPr>
              <w:t>+</w:t>
            </w:r>
          </w:p>
        </w:tc>
        <w:tc>
          <w:tcPr>
            <w:tcW w:w="1595" w:type="dxa"/>
          </w:tcPr>
          <w:p w14:paraId="2580261F">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595" w:type="dxa"/>
          </w:tcPr>
          <w:p w14:paraId="66B0E0EA">
            <w:pPr>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c>
          <w:tcPr>
            <w:tcW w:w="1595" w:type="dxa"/>
          </w:tcPr>
          <w:p w14:paraId="7B2817B3">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10</w:t>
            </w:r>
          </w:p>
        </w:tc>
        <w:tc>
          <w:tcPr>
            <w:tcW w:w="1595" w:type="dxa"/>
          </w:tcPr>
          <w:p w14:paraId="5DEF1D48">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600" w:type="dxa"/>
          </w:tcPr>
          <w:p w14:paraId="0D3E2B0A">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50</w:t>
            </w:r>
          </w:p>
        </w:tc>
      </w:tr>
      <w:tr w14:paraId="1782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14:paraId="01AC3BA9">
            <w:pPr>
              <w:pStyle w:val="9"/>
              <w:keepNext w:val="0"/>
              <w:keepLines w:val="0"/>
              <w:pageBreakBefore w:val="0"/>
              <w:widowControl w:val="0"/>
              <w:kinsoku/>
              <w:wordWrap/>
              <w:overflowPunct/>
              <w:topLinePunct w:val="0"/>
              <w:bidi w:val="0"/>
              <w:adjustRightInd/>
              <w:snapToGrid/>
              <w:spacing w:line="360" w:lineRule="auto"/>
              <w:ind w:right="0" w:rightChars="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K</w:t>
            </w:r>
            <w:r>
              <w:rPr>
                <w:rFonts w:hint="default" w:ascii="Times New Roman" w:hAnsi="Times New Roman" w:cs="Times New Roman"/>
                <w:color w:val="auto"/>
                <w:sz w:val="24"/>
                <w:szCs w:val="24"/>
                <w:highlight w:val="none"/>
                <w:vertAlign w:val="superscript"/>
              </w:rPr>
              <w:t>+</w:t>
            </w:r>
          </w:p>
        </w:tc>
        <w:tc>
          <w:tcPr>
            <w:tcW w:w="1595" w:type="dxa"/>
          </w:tcPr>
          <w:p w14:paraId="03D56BDF">
            <w:pPr>
              <w:pStyle w:val="9"/>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595" w:type="dxa"/>
          </w:tcPr>
          <w:p w14:paraId="01B69015">
            <w:pPr>
              <w:keepNext w:val="0"/>
              <w:keepLines w:val="0"/>
              <w:pageBreakBefore w:val="0"/>
              <w:kinsoku/>
              <w:wordWrap/>
              <w:overflowPunct/>
              <w:topLinePunct w:val="0"/>
              <w:bidi w:val="0"/>
              <w:adjustRightInd/>
              <w:snapToGrid/>
              <w:spacing w:line="360" w:lineRule="auto"/>
              <w:ind w:right="0" w:right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c>
          <w:tcPr>
            <w:tcW w:w="1595" w:type="dxa"/>
          </w:tcPr>
          <w:p w14:paraId="05C1B4D2">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10</w:t>
            </w:r>
          </w:p>
        </w:tc>
        <w:tc>
          <w:tcPr>
            <w:tcW w:w="1595" w:type="dxa"/>
          </w:tcPr>
          <w:p w14:paraId="60739580">
            <w:pPr>
              <w:pStyle w:val="9"/>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600" w:type="dxa"/>
          </w:tcPr>
          <w:p w14:paraId="3BCF861C">
            <w:pPr>
              <w:pStyle w:val="9"/>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50</w:t>
            </w:r>
          </w:p>
        </w:tc>
      </w:tr>
      <w:tr w14:paraId="0CFF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14:paraId="534C2FA7">
            <w:pPr>
              <w:pStyle w:val="9"/>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Mg</w:t>
            </w:r>
            <w:r>
              <w:rPr>
                <w:rFonts w:hint="default" w:ascii="Times New Roman" w:hAnsi="Times New Roman" w:cs="Times New Roman"/>
                <w:color w:val="auto"/>
                <w:sz w:val="24"/>
                <w:szCs w:val="24"/>
                <w:highlight w:val="none"/>
                <w:vertAlign w:val="superscript"/>
              </w:rPr>
              <w:t>2+</w:t>
            </w:r>
          </w:p>
        </w:tc>
        <w:tc>
          <w:tcPr>
            <w:tcW w:w="1595" w:type="dxa"/>
          </w:tcPr>
          <w:p w14:paraId="4EED89A0">
            <w:pPr>
              <w:pStyle w:val="9"/>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595" w:type="dxa"/>
          </w:tcPr>
          <w:p w14:paraId="772BD9A8">
            <w:pPr>
              <w:keepNext w:val="0"/>
              <w:keepLines w:val="0"/>
              <w:pageBreakBefore w:val="0"/>
              <w:kinsoku/>
              <w:wordWrap/>
              <w:overflowPunct/>
              <w:topLinePunct w:val="0"/>
              <w:bidi w:val="0"/>
              <w:adjustRightInd/>
              <w:snapToGrid/>
              <w:spacing w:line="360" w:lineRule="auto"/>
              <w:ind w:right="0" w:right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c>
          <w:tcPr>
            <w:tcW w:w="1595" w:type="dxa"/>
          </w:tcPr>
          <w:p w14:paraId="69DDCF36">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10</w:t>
            </w:r>
          </w:p>
        </w:tc>
        <w:tc>
          <w:tcPr>
            <w:tcW w:w="1595" w:type="dxa"/>
          </w:tcPr>
          <w:p w14:paraId="2EDF70F5">
            <w:pPr>
              <w:pStyle w:val="9"/>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600" w:type="dxa"/>
          </w:tcPr>
          <w:p w14:paraId="59449135">
            <w:pPr>
              <w:pStyle w:val="9"/>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50</w:t>
            </w:r>
          </w:p>
        </w:tc>
      </w:tr>
      <w:tr w14:paraId="65E2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tcPr>
          <w:p w14:paraId="008632E5">
            <w:pPr>
              <w:pStyle w:val="9"/>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Ca</w:t>
            </w:r>
            <w:r>
              <w:rPr>
                <w:rFonts w:hint="default" w:ascii="Times New Roman" w:hAnsi="Times New Roman" w:cs="Times New Roman"/>
                <w:color w:val="auto"/>
                <w:sz w:val="24"/>
                <w:szCs w:val="24"/>
                <w:highlight w:val="none"/>
                <w:vertAlign w:val="superscript"/>
              </w:rPr>
              <w:t>2+</w:t>
            </w:r>
          </w:p>
        </w:tc>
        <w:tc>
          <w:tcPr>
            <w:tcW w:w="1595" w:type="dxa"/>
          </w:tcPr>
          <w:p w14:paraId="49F9948C">
            <w:pPr>
              <w:pStyle w:val="9"/>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595" w:type="dxa"/>
          </w:tcPr>
          <w:p w14:paraId="292260C1">
            <w:pPr>
              <w:keepNext w:val="0"/>
              <w:keepLines w:val="0"/>
              <w:pageBreakBefore w:val="0"/>
              <w:kinsoku/>
              <w:wordWrap/>
              <w:overflowPunct/>
              <w:topLinePunct w:val="0"/>
              <w:bidi w:val="0"/>
              <w:adjustRightInd/>
              <w:snapToGrid/>
              <w:spacing w:line="360" w:lineRule="auto"/>
              <w:ind w:right="0" w:rightChars="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w:t>
            </w:r>
          </w:p>
        </w:tc>
        <w:tc>
          <w:tcPr>
            <w:tcW w:w="1595" w:type="dxa"/>
          </w:tcPr>
          <w:p w14:paraId="2CC6D083">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10</w:t>
            </w:r>
          </w:p>
        </w:tc>
        <w:tc>
          <w:tcPr>
            <w:tcW w:w="1595" w:type="dxa"/>
          </w:tcPr>
          <w:p w14:paraId="21D413F5">
            <w:pPr>
              <w:pStyle w:val="9"/>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25</w:t>
            </w:r>
          </w:p>
        </w:tc>
        <w:tc>
          <w:tcPr>
            <w:tcW w:w="1600" w:type="dxa"/>
          </w:tcPr>
          <w:p w14:paraId="4A6829EB">
            <w:pPr>
              <w:pStyle w:val="9"/>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50</w:t>
            </w:r>
          </w:p>
        </w:tc>
      </w:tr>
    </w:tbl>
    <w:p w14:paraId="1C880AFB">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textAlignment w:val="auto"/>
        <w:rPr>
          <w:rFonts w:hint="default" w:ascii="Times New Roman" w:hAnsi="Times New Roman" w:cs="Times New Roman"/>
          <w:color w:val="auto"/>
          <w:sz w:val="24"/>
          <w:szCs w:val="24"/>
          <w:highlight w:val="none"/>
        </w:rPr>
      </w:pPr>
      <w:r>
        <w:rPr>
          <w:rFonts w:hint="eastAsia" w:ascii="Times New Roman" w:cs="Times New Roman"/>
          <w:color w:val="auto"/>
          <w:sz w:val="24"/>
          <w:szCs w:val="24"/>
          <w:highlight w:val="none"/>
          <w:lang w:val="en-US" w:eastAsia="zh-CN"/>
        </w:rPr>
        <w:t xml:space="preserve">3.2.8.3 </w:t>
      </w:r>
      <w:r>
        <w:rPr>
          <w:rFonts w:hint="default" w:ascii="Times New Roman" w:hAnsi="Times New Roman" w:cs="Times New Roman"/>
          <w:color w:val="auto"/>
          <w:sz w:val="24"/>
          <w:szCs w:val="24"/>
          <w:highlight w:val="none"/>
        </w:rPr>
        <w:t>试样的测定</w:t>
      </w:r>
    </w:p>
    <w:p w14:paraId="2F3D9B9D">
      <w:pPr>
        <w:pStyle w:val="9"/>
        <w:keepNext w:val="0"/>
        <w:keepLines w:val="0"/>
        <w:pageBreakBefore w:val="0"/>
        <w:widowControl/>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按照与绘制标准曲线相同的色谱条件和步骤，将AMC吸收溶液</w:t>
      </w:r>
      <w:r>
        <w:rPr>
          <w:rFonts w:hint="default" w:ascii="Times New Roman" w:hAnsi="Times New Roman" w:cs="Times New Roman"/>
          <w:color w:val="auto"/>
          <w:sz w:val="24"/>
          <w:szCs w:val="24"/>
          <w:highlight w:val="none"/>
          <w:lang w:val="en-US" w:eastAsia="zh-CN"/>
        </w:rPr>
        <w:t>和空白溶液分</w:t>
      </w:r>
      <w:r>
        <w:rPr>
          <w:rFonts w:hint="default" w:ascii="Times New Roman" w:hAnsi="Times New Roman" w:cs="Times New Roman"/>
          <w:color w:val="auto"/>
          <w:sz w:val="24"/>
          <w:szCs w:val="24"/>
          <w:highlight w:val="none"/>
        </w:rPr>
        <w:t>别转入两</w:t>
      </w:r>
      <w:r>
        <w:rPr>
          <w:rFonts w:hint="default" w:ascii="Times New Roman" w:hAnsi="Times New Roman" w:cs="Times New Roman"/>
          <w:color w:val="auto"/>
          <w:sz w:val="24"/>
          <w:szCs w:val="24"/>
          <w:highlight w:val="none"/>
          <w:lang w:val="en-US" w:eastAsia="zh-CN"/>
        </w:rPr>
        <w:t>只样品管内，使用自动进样或者手动进样的方式</w:t>
      </w:r>
      <w:r>
        <w:rPr>
          <w:rFonts w:hint="default" w:ascii="Times New Roman" w:hAnsi="Times New Roman" w:cs="Times New Roman"/>
          <w:color w:val="auto"/>
          <w:sz w:val="24"/>
          <w:szCs w:val="24"/>
          <w:highlight w:val="none"/>
        </w:rPr>
        <w:t>注入离子色谱仪</w:t>
      </w:r>
      <w:r>
        <w:rPr>
          <w:rFonts w:hint="default" w:ascii="Times New Roman" w:hAnsi="Times New Roman" w:cs="Times New Roman"/>
          <w:color w:val="auto"/>
          <w:sz w:val="24"/>
          <w:szCs w:val="24"/>
          <w:highlight w:val="none"/>
          <w:lang w:val="en-US" w:eastAsia="zh-CN"/>
        </w:rPr>
        <w:t>定量环</w:t>
      </w:r>
      <w:r>
        <w:rPr>
          <w:rFonts w:hint="default" w:ascii="Times New Roman" w:hAnsi="Times New Roman" w:cs="Times New Roman"/>
          <w:color w:val="auto"/>
          <w:sz w:val="24"/>
          <w:szCs w:val="24"/>
          <w:highlight w:val="none"/>
        </w:rPr>
        <w:t>，进行样品的测定。如果样品浓度高于标准曲线最高点浓度，可将样品稀释后测定，同时记录稀释倍数。</w:t>
      </w:r>
    </w:p>
    <w:p w14:paraId="64F0233E">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textAlignment w:val="auto"/>
        <w:rPr>
          <w:rFonts w:hint="eastAsia" w:ascii="Times New Roman" w:cs="Times New Roman"/>
          <w:color w:val="auto"/>
          <w:sz w:val="24"/>
          <w:szCs w:val="24"/>
          <w:highlight w:val="none"/>
          <w:lang w:val="en-US" w:eastAsia="zh-CN"/>
        </w:rPr>
      </w:pPr>
      <w:r>
        <w:rPr>
          <w:rFonts w:hint="eastAsia" w:ascii="Times New Roman" w:cs="Times New Roman"/>
          <w:color w:val="auto"/>
          <w:sz w:val="24"/>
          <w:szCs w:val="24"/>
          <w:highlight w:val="none"/>
          <w:lang w:val="en-US" w:eastAsia="zh-CN"/>
        </w:rPr>
        <w:t>3.2.8.4测定次数</w:t>
      </w:r>
    </w:p>
    <w:p w14:paraId="5C5289E3">
      <w:pPr>
        <w:pStyle w:val="9"/>
        <w:keepNext w:val="0"/>
        <w:keepLines w:val="0"/>
        <w:pageBreakBefore w:val="0"/>
        <w:widowControl/>
        <w:kinsoku/>
        <w:wordWrap/>
        <w:overflowPunct/>
        <w:topLinePunct w:val="0"/>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cs="Times New Roman"/>
          <w:color w:val="auto"/>
          <w:sz w:val="24"/>
          <w:szCs w:val="24"/>
          <w:highlight w:val="none"/>
          <w:lang w:val="en-US" w:eastAsia="zh-CN"/>
        </w:rPr>
        <w:t>至少独立地测定2次，取2次测试结果的算术平均值。</w:t>
      </w:r>
    </w:p>
    <w:p w14:paraId="0C499645">
      <w:pPr>
        <w:pStyle w:val="9"/>
        <w:keepNext w:val="0"/>
        <w:keepLines w:val="0"/>
        <w:pageBreakBefore w:val="0"/>
        <w:widowControl/>
        <w:kinsoku/>
        <w:wordWrap/>
        <w:overflowPunct/>
        <w:topLinePunct w:val="0"/>
        <w:bidi w:val="0"/>
        <w:adjustRightInd/>
        <w:snapToGrid/>
        <w:spacing w:line="360" w:lineRule="auto"/>
        <w:ind w:left="0" w:leftChars="0" w:right="0" w:rightChars="0" w:firstLine="0" w:firstLineChars="0"/>
        <w:textAlignment w:val="auto"/>
        <w:rPr>
          <w:rFonts w:hint="default" w:ascii="Times New Roman" w:hAnsi="Times New Roman" w:eastAsia="宋体" w:cs="Times New Roman"/>
          <w:color w:val="auto"/>
          <w:sz w:val="24"/>
          <w:szCs w:val="24"/>
        </w:rPr>
      </w:pPr>
      <w:r>
        <w:rPr>
          <w:rFonts w:hint="eastAsia" w:ascii="Times New Roman" w:eastAsia="宋体" w:cs="Times New Roman"/>
          <w:color w:val="auto"/>
          <w:sz w:val="24"/>
          <w:szCs w:val="24"/>
          <w:highlight w:val="none"/>
          <w:lang w:val="en-US" w:eastAsia="zh-CN"/>
        </w:rPr>
        <w:t>3.2.9</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rPr>
        <w:t>结果计算与表示</w:t>
      </w:r>
    </w:p>
    <w:p w14:paraId="1F79F045">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3.2.9.</w:t>
      </w:r>
      <w:r>
        <w:rPr>
          <w:rFonts w:hint="default" w:ascii="Times New Roman" w:hAnsi="Times New Roman" w:eastAsia="宋体" w:cs="Times New Roman"/>
          <w:color w:val="auto"/>
          <w:sz w:val="24"/>
          <w:szCs w:val="24"/>
          <w:highlight w:val="none"/>
          <w:lang w:val="en-US" w:eastAsia="zh-CN"/>
        </w:rPr>
        <w:t>1 按照公式计算环境空气AMC中各阴阳离子的浓度（μg/m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w:t>
      </w:r>
    </w:p>
    <w:p w14:paraId="13FE1F1F">
      <w:pPr>
        <w:spacing w:line="36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object>
          <v:shape id="_x0000_i1025" o:spt="75" type="#_x0000_t75" style="height:30.95pt;width:100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p>
    <w:p w14:paraId="0EDB3EFC">
      <w:pPr>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式中：</w:t>
      </w:r>
    </w:p>
    <w:p w14:paraId="19F8EE88">
      <w:pPr>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C---环境空气AMC中水溶性离子的浓度，单位为微克每立方米（µg/m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w:t>
      </w:r>
    </w:p>
    <w:p w14:paraId="04A0E81A">
      <w:pPr>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c1---由标准曲线测试AMC吸收溶液的离子浓度，单位为微克每升（μg/L）；</w:t>
      </w:r>
    </w:p>
    <w:p w14:paraId="32917C91">
      <w:pPr>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c0---实验室空白试样中离子质量浓度，单位为微克每升（μg/L）；</w:t>
      </w:r>
    </w:p>
    <w:p w14:paraId="23FDA7F3">
      <w:pPr>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V---吸收液体积，单位为毫升（ml）；</w:t>
      </w:r>
    </w:p>
    <w:p w14:paraId="3DC75FE7">
      <w:pPr>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D---试样稀释倍数；</w:t>
      </w:r>
    </w:p>
    <w:p w14:paraId="365A2728">
      <w:pPr>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v---采样流速，单位为升每分钟（L/min）；</w:t>
      </w:r>
    </w:p>
    <w:p w14:paraId="03BE790E">
      <w:pPr>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h---采样时间，单位为小时（h）。</w:t>
      </w:r>
    </w:p>
    <w:p w14:paraId="6843E980">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3.2.9.</w:t>
      </w:r>
      <w:r>
        <w:rPr>
          <w:rFonts w:hint="default" w:ascii="Times New Roman" w:hAnsi="Times New Roman" w:eastAsia="宋体" w:cs="Times New Roman"/>
          <w:color w:val="auto"/>
          <w:sz w:val="24"/>
          <w:szCs w:val="24"/>
          <w:highlight w:val="none"/>
          <w:lang w:val="en-US" w:eastAsia="zh-CN"/>
        </w:rPr>
        <w:t>2 当样品含量小于1μg/m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时，结果保留至小数点后三位；当样品含量大于或等于1μg/m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时，结果保留三位有效数字。</w:t>
      </w:r>
    </w:p>
    <w:p w14:paraId="2AECDFFF">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2.10</w:t>
      </w:r>
      <w:r>
        <w:rPr>
          <w:rFonts w:hint="default" w:ascii="Times New Roman" w:hAnsi="Times New Roman" w:eastAsia="宋体" w:cs="Times New Roman"/>
          <w:color w:val="auto"/>
          <w:sz w:val="24"/>
          <w:szCs w:val="24"/>
          <w:highlight w:val="none"/>
          <w:lang w:val="en-US" w:eastAsia="zh-CN"/>
        </w:rPr>
        <w:t>精密度</w:t>
      </w:r>
      <w:r>
        <w:rPr>
          <w:rFonts w:hint="default" w:ascii="Times New Roman" w:hAnsi="Times New Roman" w:eastAsia="宋体" w:cs="Times New Roman"/>
          <w:color w:val="auto"/>
          <w:sz w:val="24"/>
          <w:szCs w:val="24"/>
          <w:highlight w:val="none"/>
        </w:rPr>
        <w:t>计算</w:t>
      </w:r>
    </w:p>
    <w:p w14:paraId="498BA965">
      <w:pPr>
        <w:pStyle w:val="2"/>
        <w:rPr>
          <w:rFonts w:hint="default" w:eastAsia="宋体"/>
          <w:color w:val="auto"/>
          <w:lang w:val="en-US" w:eastAsia="zh-CN"/>
        </w:rPr>
      </w:pPr>
      <w:r>
        <w:rPr>
          <w:rFonts w:hint="eastAsia" w:ascii="Times New Roman" w:hAnsi="Times New Roman" w:eastAsia="宋体" w:cs="Times New Roman"/>
          <w:color w:val="auto"/>
          <w:sz w:val="24"/>
          <w:szCs w:val="24"/>
          <w:highlight w:val="none"/>
          <w:lang w:val="en-US" w:eastAsia="zh-CN"/>
        </w:rPr>
        <w:t>3.2.10.1 实验室内仪器精密度</w:t>
      </w:r>
    </w:p>
    <w:p w14:paraId="467CBFB0">
      <w:pPr>
        <w:pStyle w:val="9"/>
        <w:keepNext w:val="0"/>
        <w:keepLines w:val="0"/>
        <w:pageBreakBefore w:val="0"/>
        <w:numPr>
          <w:ilvl w:val="0"/>
          <w:numId w:val="4"/>
        </w:numPr>
        <w:kinsoku/>
        <w:wordWrap/>
        <w:overflowPunct/>
        <w:topLinePunct w:val="0"/>
        <w:bidi w:val="0"/>
        <w:spacing w:line="360" w:lineRule="auto"/>
        <w:ind w:firstLine="42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使用 </w:t>
      </w:r>
      <w:r>
        <w:rPr>
          <w:rFonts w:hint="eastAsia" w:ascii="Times New Roman"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µg/L</w:t>
      </w:r>
      <w:r>
        <w:rPr>
          <w:rFonts w:hint="default" w:ascii="Times New Roman" w:hAnsi="Times New Roman" w:eastAsia="宋体" w:cs="Times New Roman"/>
          <w:color w:val="auto"/>
          <w:sz w:val="24"/>
          <w:szCs w:val="24"/>
          <w:highlight w:val="none"/>
          <w:lang w:val="en-US" w:eastAsia="zh-CN"/>
        </w:rPr>
        <w:t>阴离子加标</w:t>
      </w:r>
      <w:r>
        <w:rPr>
          <w:rFonts w:hint="default" w:ascii="Times New Roman" w:hAnsi="Times New Roman" w:eastAsia="宋体" w:cs="Times New Roman"/>
          <w:color w:val="auto"/>
          <w:sz w:val="24"/>
          <w:szCs w:val="24"/>
          <w:highlight w:val="none"/>
        </w:rPr>
        <w:t>溶液重复测试</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次，各元素的相对标准偏差RSD均＜10%，回收率均在</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0%-1</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0%之间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详见下表</w:t>
      </w:r>
      <w:r>
        <w:rPr>
          <w:rFonts w:hint="default" w:ascii="Times New Roman" w:hAnsi="Times New Roman" w:eastAsia="宋体" w:cs="Times New Roman"/>
          <w:color w:val="auto"/>
          <w:sz w:val="24"/>
          <w:szCs w:val="24"/>
          <w:highlight w:val="none"/>
        </w:rPr>
        <w:t>。</w:t>
      </w:r>
    </w:p>
    <w:tbl>
      <w:tblPr>
        <w:tblStyle w:val="5"/>
        <w:tblW w:w="7645" w:type="dxa"/>
        <w:jc w:val="center"/>
        <w:shd w:val="clear" w:color="auto" w:fill="auto"/>
        <w:tblLayout w:type="fixed"/>
        <w:tblCellMar>
          <w:top w:w="0" w:type="dxa"/>
          <w:left w:w="0" w:type="dxa"/>
          <w:bottom w:w="0" w:type="dxa"/>
          <w:right w:w="0" w:type="dxa"/>
        </w:tblCellMar>
      </w:tblPr>
      <w:tblGrid>
        <w:gridCol w:w="1092"/>
        <w:gridCol w:w="1092"/>
        <w:gridCol w:w="1092"/>
        <w:gridCol w:w="1092"/>
        <w:gridCol w:w="1092"/>
        <w:gridCol w:w="1092"/>
        <w:gridCol w:w="1093"/>
      </w:tblGrid>
      <w:tr w14:paraId="5956F994">
        <w:tblPrEx>
          <w:shd w:val="clear" w:color="auto" w:fill="auto"/>
          <w:tblCellMar>
            <w:top w:w="0" w:type="dxa"/>
            <w:left w:w="0" w:type="dxa"/>
            <w:bottom w:w="0" w:type="dxa"/>
            <w:right w:w="0" w:type="dxa"/>
          </w:tblCellMar>
        </w:tblPrEx>
        <w:trPr>
          <w:trHeight w:val="360"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DA7CB1">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序号</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95580A">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F</w:t>
            </w:r>
            <w:r>
              <w:rPr>
                <w:rFonts w:hint="default" w:ascii="Times New Roman" w:hAnsi="Times New Roman" w:eastAsia="宋体" w:cs="Times New Roman"/>
                <w:i w:val="0"/>
                <w:color w:val="auto"/>
                <w:kern w:val="0"/>
                <w:sz w:val="24"/>
                <w:szCs w:val="24"/>
                <w:u w:val="none"/>
                <w:vertAlign w:val="superscript"/>
                <w:lang w:val="en-US" w:eastAsia="zh-CN" w:bidi="ar"/>
              </w:rPr>
              <w:t>-</w:t>
            </w:r>
            <w:r>
              <w:rPr>
                <w:rFonts w:hint="default" w:ascii="Times New Roman" w:hAnsi="Times New Roman" w:eastAsia="宋体" w:cs="Times New Roman"/>
                <w:i w:val="0"/>
                <w:color w:val="auto"/>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BF9DB">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Cl</w:t>
            </w:r>
            <w:r>
              <w:rPr>
                <w:rFonts w:hint="default" w:ascii="Times New Roman" w:hAnsi="Times New Roman" w:eastAsia="宋体" w:cs="Times New Roman"/>
                <w:i w:val="0"/>
                <w:color w:val="auto"/>
                <w:kern w:val="0"/>
                <w:sz w:val="24"/>
                <w:szCs w:val="24"/>
                <w:u w:val="none"/>
                <w:vertAlign w:val="superscript"/>
                <w:lang w:val="en-US" w:eastAsia="zh-CN" w:bidi="ar"/>
              </w:rPr>
              <w:t>-</w:t>
            </w:r>
            <w:r>
              <w:rPr>
                <w:rFonts w:hint="default" w:ascii="Times New Roman" w:hAnsi="Times New Roman" w:eastAsia="宋体" w:cs="Times New Roman"/>
                <w:i w:val="0"/>
                <w:color w:val="auto"/>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5B287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Br</w:t>
            </w:r>
            <w:r>
              <w:rPr>
                <w:rFonts w:hint="default" w:ascii="Times New Roman" w:hAnsi="Times New Roman" w:eastAsia="宋体" w:cs="Times New Roman"/>
                <w:i w:val="0"/>
                <w:color w:val="auto"/>
                <w:kern w:val="0"/>
                <w:sz w:val="24"/>
                <w:szCs w:val="24"/>
                <w:u w:val="none"/>
                <w:vertAlign w:val="superscript"/>
                <w:lang w:val="en-US" w:eastAsia="zh-CN" w:bidi="ar"/>
              </w:rPr>
              <w:t>-</w:t>
            </w:r>
            <w:r>
              <w:rPr>
                <w:rFonts w:hint="default" w:ascii="Times New Roman" w:hAnsi="Times New Roman" w:eastAsia="宋体" w:cs="Times New Roman"/>
                <w:i w:val="0"/>
                <w:color w:val="auto"/>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53E03E">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NO</w:t>
            </w:r>
            <w:r>
              <w:rPr>
                <w:rFonts w:hint="default" w:ascii="Times New Roman" w:hAnsi="Times New Roman" w:eastAsia="宋体" w:cs="Times New Roman"/>
                <w:i w:val="0"/>
                <w:color w:val="auto"/>
                <w:kern w:val="0"/>
                <w:sz w:val="24"/>
                <w:szCs w:val="24"/>
                <w:u w:val="none"/>
                <w:vertAlign w:val="subscript"/>
                <w:lang w:val="en-US" w:eastAsia="zh-CN" w:bidi="ar"/>
              </w:rPr>
              <w:t>3</w:t>
            </w:r>
            <w:r>
              <w:rPr>
                <w:rFonts w:hint="default" w:ascii="Times New Roman" w:hAnsi="Times New Roman" w:eastAsia="宋体" w:cs="Times New Roman"/>
                <w:i w:val="0"/>
                <w:color w:val="auto"/>
                <w:kern w:val="0"/>
                <w:sz w:val="24"/>
                <w:szCs w:val="24"/>
                <w:u w:val="none"/>
                <w:vertAlign w:val="superscript"/>
                <w:lang w:val="en-US" w:eastAsia="zh-CN" w:bidi="ar"/>
              </w:rPr>
              <w:t>-</w:t>
            </w:r>
            <w:r>
              <w:rPr>
                <w:rFonts w:hint="default" w:ascii="Times New Roman" w:hAnsi="Times New Roman" w:eastAsia="宋体" w:cs="Times New Roman"/>
                <w:i w:val="0"/>
                <w:color w:val="auto"/>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01D732">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PO</w:t>
            </w:r>
            <w:r>
              <w:rPr>
                <w:rFonts w:hint="default" w:ascii="Times New Roman" w:hAnsi="Times New Roman" w:eastAsia="宋体" w:cs="Times New Roman"/>
                <w:i w:val="0"/>
                <w:color w:val="auto"/>
                <w:kern w:val="0"/>
                <w:sz w:val="24"/>
                <w:szCs w:val="24"/>
                <w:u w:val="none"/>
                <w:vertAlign w:val="subscript"/>
                <w:lang w:val="en-US" w:eastAsia="zh-CN" w:bidi="ar"/>
              </w:rPr>
              <w:t>4</w:t>
            </w:r>
            <w:r>
              <w:rPr>
                <w:rFonts w:hint="default" w:ascii="Times New Roman" w:hAnsi="Times New Roman" w:eastAsia="宋体" w:cs="Times New Roman"/>
                <w:i w:val="0"/>
                <w:color w:val="auto"/>
                <w:kern w:val="0"/>
                <w:sz w:val="24"/>
                <w:szCs w:val="24"/>
                <w:u w:val="none"/>
                <w:vertAlign w:val="superscript"/>
                <w:lang w:val="en-US" w:eastAsia="zh-CN" w:bidi="ar"/>
              </w:rPr>
              <w:t>3-</w:t>
            </w:r>
            <w:r>
              <w:rPr>
                <w:rFonts w:hint="default" w:ascii="Times New Roman" w:hAnsi="Times New Roman" w:eastAsia="宋体" w:cs="Times New Roman"/>
                <w:i w:val="0"/>
                <w:color w:val="auto"/>
                <w:kern w:val="0"/>
                <w:sz w:val="24"/>
                <w:szCs w:val="24"/>
                <w:u w:val="none"/>
                <w:lang w:val="en-US" w:eastAsia="zh-CN" w:bidi="ar"/>
              </w:rPr>
              <w:t>浓度（μg/L）</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0B8784">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SO</w:t>
            </w:r>
            <w:r>
              <w:rPr>
                <w:rFonts w:hint="default" w:ascii="Times New Roman" w:hAnsi="Times New Roman" w:eastAsia="宋体" w:cs="Times New Roman"/>
                <w:i w:val="0"/>
                <w:color w:val="auto"/>
                <w:kern w:val="0"/>
                <w:sz w:val="24"/>
                <w:szCs w:val="24"/>
                <w:u w:val="none"/>
                <w:vertAlign w:val="subscript"/>
                <w:lang w:val="en-US" w:eastAsia="zh-CN" w:bidi="ar"/>
              </w:rPr>
              <w:t>4</w:t>
            </w:r>
            <w:r>
              <w:rPr>
                <w:rFonts w:hint="default" w:ascii="Times New Roman" w:hAnsi="Times New Roman" w:eastAsia="宋体" w:cs="Times New Roman"/>
                <w:i w:val="0"/>
                <w:color w:val="auto"/>
                <w:kern w:val="0"/>
                <w:sz w:val="24"/>
                <w:szCs w:val="24"/>
                <w:u w:val="none"/>
                <w:vertAlign w:val="superscript"/>
                <w:lang w:val="en-US" w:eastAsia="zh-CN" w:bidi="ar"/>
              </w:rPr>
              <w:t>2-</w:t>
            </w:r>
            <w:r>
              <w:rPr>
                <w:rFonts w:hint="default" w:ascii="Times New Roman" w:hAnsi="Times New Roman" w:eastAsia="宋体" w:cs="Times New Roman"/>
                <w:i w:val="0"/>
                <w:color w:val="auto"/>
                <w:kern w:val="0"/>
                <w:sz w:val="24"/>
                <w:szCs w:val="24"/>
                <w:u w:val="none"/>
                <w:lang w:val="en-US" w:eastAsia="zh-CN" w:bidi="ar"/>
              </w:rPr>
              <w:t>浓度（μg/L）</w:t>
            </w:r>
          </w:p>
        </w:tc>
      </w:tr>
      <w:tr w14:paraId="40574184">
        <w:tblPrEx>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D7619">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4D376">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7FA7A4">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BE9DF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C9FBD">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209636">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1.09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83F74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1.05 </w:t>
            </w:r>
          </w:p>
        </w:tc>
      </w:tr>
      <w:tr w14:paraId="21408A38">
        <w:tblPrEx>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0C2C3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6DF7A">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EFE8D">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E82A1">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2802C1">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7EF13A">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1.09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ED3FF">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1.04 </w:t>
            </w:r>
          </w:p>
        </w:tc>
      </w:tr>
      <w:tr w14:paraId="6FFAAA88">
        <w:tblPrEx>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F89D6B">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4944E">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39555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E2F0C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24403B">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0222D">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1.04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D1D72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1.06 </w:t>
            </w:r>
          </w:p>
        </w:tc>
      </w:tr>
      <w:tr w14:paraId="74F466F9">
        <w:tblPrEx>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9675F6">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6B9AEF">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8C2E9">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82FC23">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C3CF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DFF9B">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1.07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CBF14F">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1.07 </w:t>
            </w:r>
          </w:p>
        </w:tc>
      </w:tr>
      <w:tr w14:paraId="6828522E">
        <w:tblPrEx>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9FCA4">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C253BD">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3D4E08">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719E82">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DD52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2991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0.96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F088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0.99 </w:t>
            </w:r>
          </w:p>
        </w:tc>
      </w:tr>
      <w:tr w14:paraId="0FBB5858">
        <w:tblPrEx>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6D022">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467F2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1EFB7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8E52F">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963F2">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28066">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1.02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DD8AE5">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1.03 </w:t>
            </w:r>
          </w:p>
        </w:tc>
      </w:tr>
      <w:tr w14:paraId="6729B985">
        <w:tblPrEx>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25921">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9B4583">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F184AB">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C8491B">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85662">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19D623">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0.83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4DF226">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1.01 </w:t>
            </w:r>
          </w:p>
        </w:tc>
      </w:tr>
      <w:tr w14:paraId="3C40EE76">
        <w:tblPrEx>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72AB78">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58729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26C4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08498">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B518EA">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CB1D2">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0.99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D8A3A">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1.00 </w:t>
            </w:r>
          </w:p>
        </w:tc>
      </w:tr>
      <w:tr w14:paraId="628885BE">
        <w:tblPrEx>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4FA6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828E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C0460D">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1C14E9">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D83B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A81F93">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0.91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F5C26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1.09 </w:t>
            </w:r>
          </w:p>
        </w:tc>
      </w:tr>
      <w:tr w14:paraId="387CF112">
        <w:tblPrEx>
          <w:tblCellMar>
            <w:top w:w="0" w:type="dxa"/>
            <w:left w:w="0" w:type="dxa"/>
            <w:bottom w:w="0" w:type="dxa"/>
            <w:right w:w="0" w:type="dxa"/>
          </w:tblCellMar>
        </w:tblPrEx>
        <w:trPr>
          <w:trHeight w:val="2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3614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9AED2">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DF08E6">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E00131">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16B303">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E3598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1.01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A86048">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1.01 </w:t>
            </w:r>
          </w:p>
        </w:tc>
      </w:tr>
      <w:tr w14:paraId="145D3703">
        <w:tblPrEx>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3A63C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平均值</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D9DFA">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F30E81">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7EFE05">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A974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0.97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E44FAA">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D8989F">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1.04 </w:t>
            </w:r>
          </w:p>
        </w:tc>
      </w:tr>
      <w:tr w14:paraId="1DCB55AA">
        <w:tblPrEx>
          <w:tblCellMar>
            <w:top w:w="0" w:type="dxa"/>
            <w:left w:w="0" w:type="dxa"/>
            <w:bottom w:w="0" w:type="dxa"/>
            <w:right w:w="0" w:type="dxa"/>
          </w:tblCellMar>
        </w:tblPrEx>
        <w:trPr>
          <w:trHeight w:val="5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83564">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相对标准偏差RSD</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5C6F55">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3.3%</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A6619">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3.7%</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50675A">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3.9%</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542AD">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3.1%</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F681B">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8.3%</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E15EE">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3.2%</w:t>
            </w:r>
          </w:p>
        </w:tc>
      </w:tr>
      <w:tr w14:paraId="48CD0532">
        <w:tblPrEx>
          <w:tblCellMar>
            <w:top w:w="0" w:type="dxa"/>
            <w:left w:w="0" w:type="dxa"/>
            <w:bottom w:w="0" w:type="dxa"/>
            <w:right w:w="0" w:type="dxa"/>
          </w:tblCellMar>
        </w:tblPrEx>
        <w:trPr>
          <w:trHeight w:val="260"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EDFF58">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回收率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6A5D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117A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45785">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1FA1F9">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350782">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62E17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104%</w:t>
            </w:r>
          </w:p>
        </w:tc>
      </w:tr>
    </w:tbl>
    <w:p w14:paraId="71F5B18D">
      <w:pPr>
        <w:pStyle w:val="9"/>
        <w:keepNext w:val="0"/>
        <w:keepLines w:val="0"/>
        <w:pageBreakBefore w:val="0"/>
        <w:numPr>
          <w:ilvl w:val="0"/>
          <w:numId w:val="0"/>
        </w:numPr>
        <w:kinsoku/>
        <w:wordWrap/>
        <w:overflowPunct/>
        <w:topLinePunct w:val="0"/>
        <w:bidi w:val="0"/>
        <w:spacing w:line="360" w:lineRule="auto"/>
        <w:textAlignment w:val="auto"/>
        <w:rPr>
          <w:rFonts w:hint="default" w:ascii="Times New Roman" w:hAnsi="Times New Roman" w:eastAsia="宋体" w:cs="Times New Roman"/>
          <w:color w:val="auto"/>
          <w:sz w:val="24"/>
          <w:szCs w:val="24"/>
          <w:highlight w:val="none"/>
        </w:rPr>
      </w:pPr>
    </w:p>
    <w:p w14:paraId="529E83AA">
      <w:pPr>
        <w:pStyle w:val="9"/>
        <w:keepNext w:val="0"/>
        <w:keepLines w:val="0"/>
        <w:pageBreakBefore w:val="0"/>
        <w:numPr>
          <w:ilvl w:val="0"/>
          <w:numId w:val="4"/>
        </w:numPr>
        <w:kinsoku/>
        <w:wordWrap/>
        <w:overflowPunct/>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使用 </w:t>
      </w:r>
      <w:r>
        <w:rPr>
          <w:rFonts w:hint="eastAsia" w:ascii="Times New Roman"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µg/L</w:t>
      </w:r>
      <w:r>
        <w:rPr>
          <w:rFonts w:hint="default" w:ascii="Times New Roman" w:hAnsi="Times New Roman" w:eastAsia="宋体" w:cs="Times New Roman"/>
          <w:color w:val="auto"/>
          <w:sz w:val="24"/>
          <w:szCs w:val="24"/>
          <w:highlight w:val="none"/>
          <w:lang w:val="en-US" w:eastAsia="zh-CN"/>
        </w:rPr>
        <w:t>阳离子加标</w:t>
      </w:r>
      <w:r>
        <w:rPr>
          <w:rFonts w:hint="default" w:ascii="Times New Roman" w:hAnsi="Times New Roman" w:eastAsia="宋体" w:cs="Times New Roman"/>
          <w:color w:val="auto"/>
          <w:sz w:val="24"/>
          <w:szCs w:val="24"/>
          <w:highlight w:val="none"/>
        </w:rPr>
        <w:t>溶液重复测试</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次，各元素的相对标准偏差RSD均＜10%，回收率均在</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0%-1</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0%之间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详见下表</w:t>
      </w:r>
      <w:r>
        <w:rPr>
          <w:rFonts w:hint="default" w:ascii="Times New Roman" w:hAnsi="Times New Roman" w:eastAsia="宋体" w:cs="Times New Roman"/>
          <w:color w:val="auto"/>
          <w:sz w:val="24"/>
          <w:szCs w:val="24"/>
          <w:highlight w:val="none"/>
        </w:rPr>
        <w:t>。</w:t>
      </w:r>
    </w:p>
    <w:tbl>
      <w:tblPr>
        <w:tblStyle w:val="5"/>
        <w:tblW w:w="7645" w:type="dxa"/>
        <w:jc w:val="center"/>
        <w:shd w:val="clear" w:color="auto" w:fill="auto"/>
        <w:tblLayout w:type="fixed"/>
        <w:tblCellMar>
          <w:top w:w="0" w:type="dxa"/>
          <w:left w:w="0" w:type="dxa"/>
          <w:bottom w:w="0" w:type="dxa"/>
          <w:right w:w="0" w:type="dxa"/>
        </w:tblCellMar>
      </w:tblPr>
      <w:tblGrid>
        <w:gridCol w:w="1092"/>
        <w:gridCol w:w="1092"/>
        <w:gridCol w:w="1092"/>
        <w:gridCol w:w="1092"/>
        <w:gridCol w:w="1092"/>
        <w:gridCol w:w="1092"/>
        <w:gridCol w:w="1093"/>
      </w:tblGrid>
      <w:tr w14:paraId="36D8D018">
        <w:tblPrEx>
          <w:shd w:val="clear" w:color="auto" w:fill="auto"/>
          <w:tblCellMar>
            <w:top w:w="0" w:type="dxa"/>
            <w:left w:w="0" w:type="dxa"/>
            <w:bottom w:w="0" w:type="dxa"/>
            <w:right w:w="0" w:type="dxa"/>
          </w:tblCellMar>
        </w:tblPrEx>
        <w:trPr>
          <w:trHeight w:val="5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8706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序号</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95C491">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Li</w:t>
            </w:r>
            <w:r>
              <w:rPr>
                <w:rFonts w:hint="default" w:ascii="Times New Roman" w:hAnsi="Times New Roman" w:eastAsia="宋体" w:cs="Times New Roman"/>
                <w:i w:val="0"/>
                <w:color w:val="auto"/>
                <w:kern w:val="0"/>
                <w:sz w:val="24"/>
                <w:szCs w:val="24"/>
                <w:u w:val="none"/>
                <w:vertAlign w:val="superscript"/>
                <w:lang w:val="en-US" w:eastAsia="zh-CN" w:bidi="ar"/>
              </w:rPr>
              <w:t>+</w:t>
            </w:r>
            <w:r>
              <w:rPr>
                <w:rFonts w:hint="default" w:ascii="Times New Roman" w:hAnsi="Times New Roman" w:eastAsia="宋体" w:cs="Times New Roman"/>
                <w:i w:val="0"/>
                <w:color w:val="auto"/>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7D340D">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Na</w:t>
            </w:r>
            <w:r>
              <w:rPr>
                <w:rFonts w:hint="default" w:ascii="Times New Roman" w:hAnsi="Times New Roman" w:eastAsia="宋体" w:cs="Times New Roman"/>
                <w:i w:val="0"/>
                <w:color w:val="auto"/>
                <w:kern w:val="0"/>
                <w:sz w:val="24"/>
                <w:szCs w:val="24"/>
                <w:u w:val="none"/>
                <w:vertAlign w:val="superscript"/>
                <w:lang w:val="en-US" w:eastAsia="zh-CN" w:bidi="ar"/>
              </w:rPr>
              <w:t>+</w:t>
            </w:r>
            <w:r>
              <w:rPr>
                <w:rFonts w:hint="default" w:ascii="Times New Roman" w:hAnsi="Times New Roman" w:eastAsia="宋体" w:cs="Times New Roman"/>
                <w:i w:val="0"/>
                <w:color w:val="auto"/>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82F3AA">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NH4</w:t>
            </w:r>
            <w:r>
              <w:rPr>
                <w:rFonts w:hint="default" w:ascii="Times New Roman" w:hAnsi="Times New Roman" w:eastAsia="宋体" w:cs="Times New Roman"/>
                <w:i w:val="0"/>
                <w:color w:val="auto"/>
                <w:kern w:val="0"/>
                <w:sz w:val="24"/>
                <w:szCs w:val="24"/>
                <w:u w:val="none"/>
                <w:vertAlign w:val="superscript"/>
                <w:lang w:val="en-US" w:eastAsia="zh-CN" w:bidi="ar"/>
              </w:rPr>
              <w:t>+</w:t>
            </w:r>
            <w:r>
              <w:rPr>
                <w:rFonts w:hint="default" w:ascii="Times New Roman" w:hAnsi="Times New Roman" w:eastAsia="宋体" w:cs="Times New Roman"/>
                <w:i w:val="0"/>
                <w:color w:val="auto"/>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65E07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K</w:t>
            </w:r>
            <w:r>
              <w:rPr>
                <w:rFonts w:hint="default" w:ascii="Times New Roman" w:hAnsi="Times New Roman" w:eastAsia="宋体" w:cs="Times New Roman"/>
                <w:i w:val="0"/>
                <w:color w:val="auto"/>
                <w:kern w:val="0"/>
                <w:sz w:val="24"/>
                <w:szCs w:val="24"/>
                <w:u w:val="none"/>
                <w:vertAlign w:val="superscript"/>
                <w:lang w:val="en-US" w:eastAsia="zh-CN" w:bidi="ar"/>
              </w:rPr>
              <w:t>+</w:t>
            </w:r>
            <w:r>
              <w:rPr>
                <w:rFonts w:hint="default" w:ascii="Times New Roman" w:hAnsi="Times New Roman" w:eastAsia="宋体" w:cs="Times New Roman"/>
                <w:i w:val="0"/>
                <w:color w:val="auto"/>
                <w:kern w:val="0"/>
                <w:sz w:val="24"/>
                <w:szCs w:val="24"/>
                <w:u w:val="none"/>
                <w:lang w:val="en-US" w:eastAsia="zh-CN" w:bidi="ar"/>
              </w:rPr>
              <w:t>浓度（μg/L）</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29C534">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Mg</w:t>
            </w:r>
            <w:r>
              <w:rPr>
                <w:rFonts w:hint="default" w:ascii="Times New Roman" w:hAnsi="Times New Roman" w:eastAsia="宋体" w:cs="Times New Roman"/>
                <w:i w:val="0"/>
                <w:color w:val="auto"/>
                <w:kern w:val="0"/>
                <w:sz w:val="24"/>
                <w:szCs w:val="24"/>
                <w:u w:val="none"/>
                <w:vertAlign w:val="superscript"/>
                <w:lang w:val="en-US" w:eastAsia="zh-CN" w:bidi="ar"/>
              </w:rPr>
              <w:t>2+</w:t>
            </w:r>
            <w:r>
              <w:rPr>
                <w:rFonts w:hint="default" w:ascii="Times New Roman" w:hAnsi="Times New Roman" w:eastAsia="宋体" w:cs="Times New Roman"/>
                <w:i w:val="0"/>
                <w:color w:val="auto"/>
                <w:kern w:val="0"/>
                <w:sz w:val="24"/>
                <w:szCs w:val="24"/>
                <w:u w:val="none"/>
                <w:lang w:val="en-US" w:eastAsia="zh-CN" w:bidi="ar"/>
              </w:rPr>
              <w:t>浓度（μg/L）</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1CE44">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Ca</w:t>
            </w:r>
            <w:r>
              <w:rPr>
                <w:rFonts w:hint="default" w:ascii="Times New Roman" w:hAnsi="Times New Roman" w:eastAsia="宋体" w:cs="Times New Roman"/>
                <w:i w:val="0"/>
                <w:color w:val="auto"/>
                <w:kern w:val="0"/>
                <w:sz w:val="24"/>
                <w:szCs w:val="24"/>
                <w:u w:val="none"/>
                <w:vertAlign w:val="superscript"/>
                <w:lang w:val="en-US" w:eastAsia="zh-CN" w:bidi="ar"/>
              </w:rPr>
              <w:t>2+</w:t>
            </w:r>
            <w:r>
              <w:rPr>
                <w:rFonts w:hint="default" w:ascii="Times New Roman" w:hAnsi="Times New Roman" w:eastAsia="宋体" w:cs="Times New Roman"/>
                <w:i w:val="0"/>
                <w:color w:val="auto"/>
                <w:kern w:val="0"/>
                <w:sz w:val="24"/>
                <w:szCs w:val="24"/>
                <w:u w:val="none"/>
                <w:lang w:val="en-US" w:eastAsia="zh-CN" w:bidi="ar"/>
              </w:rPr>
              <w:t>浓度（μg/L）</w:t>
            </w:r>
          </w:p>
        </w:tc>
      </w:tr>
      <w:tr w14:paraId="0DFD1077">
        <w:tblPrEx>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34FE1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CEFCB">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10.33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FFDB8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9.31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825A2">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10.10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6FDF7D">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10.77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D78F7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10.35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EF9E0F">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10.26 </w:t>
            </w:r>
          </w:p>
        </w:tc>
      </w:tr>
      <w:tr w14:paraId="58294FBF">
        <w:tblPrEx>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0A432">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A6142">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9.15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6317A">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9.03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E5D9A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10.51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3838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9.04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85CF0E">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9.05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10EBEF">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9.67 </w:t>
            </w:r>
          </w:p>
        </w:tc>
      </w:tr>
      <w:tr w14:paraId="79B74E27">
        <w:tblPrEx>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F0FE9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DAA33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10.31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D8E4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9.78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3C3D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10.12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FF0FED">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10.76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B50BE9">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10.64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5A9C3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10.44 </w:t>
            </w:r>
          </w:p>
        </w:tc>
      </w:tr>
      <w:tr w14:paraId="45285438">
        <w:tblPrEx>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B682D1">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4EB403">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9.71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D5B2C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9.20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1EF65B">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9.74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131DE1">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10.80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6DBEF">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10.69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B7F186">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10.67 </w:t>
            </w:r>
          </w:p>
        </w:tc>
      </w:tr>
      <w:tr w14:paraId="7EDF34D3">
        <w:tblPrEx>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1EA621">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DE59B6">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9.78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C9B5B">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9.45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D167FD">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10.77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13D2D">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10.89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12AC9">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9.53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B5BFC6">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10.47 </w:t>
            </w:r>
          </w:p>
        </w:tc>
      </w:tr>
      <w:tr w14:paraId="4F87225F">
        <w:tblPrEx>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C8344E">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B3476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10.46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C3EE3E">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9.96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DFE7F">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9.90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2898F3">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10.89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705625">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10.88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D611E">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10.85 </w:t>
            </w:r>
          </w:p>
        </w:tc>
      </w:tr>
      <w:tr w14:paraId="725E9F82">
        <w:tblPrEx>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7EFBE">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3DE9D8">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10.48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F7F7F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9.47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BF027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9.89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28CAFA">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10.89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A3525">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10.57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048939">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10.61 </w:t>
            </w:r>
          </w:p>
        </w:tc>
      </w:tr>
      <w:tr w14:paraId="47866815">
        <w:tblPrEx>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D50243">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7BCDB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9.32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9166F4">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9.20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78A8D1">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10.30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0315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9.16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9C34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9.24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5207E5">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10.13 </w:t>
            </w:r>
          </w:p>
        </w:tc>
      </w:tr>
      <w:tr w14:paraId="1B36D978">
        <w:tblPrEx>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D0BA29">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A6FF8">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9.87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F632D">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9.36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885C11">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9.53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955A8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10.69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C3F5D">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10.01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A442CA">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10.50 </w:t>
            </w:r>
          </w:p>
        </w:tc>
      </w:tr>
      <w:tr w14:paraId="68E27792">
        <w:tblPrEx>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A8B10F">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7E8FCF">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9.95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610669">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9.63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FEBFF8">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10.55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A937B">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10.15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B5F13">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10.46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B9D41">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10.29 </w:t>
            </w:r>
          </w:p>
        </w:tc>
      </w:tr>
      <w:tr w14:paraId="5AB4B1D1">
        <w:tblPrEx>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5ACCB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平均值</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01B8D">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9.94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D2607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9.44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A5CF4B">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10.14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66C53">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10.40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8D0FA">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10.14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B31AE">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10.39 </w:t>
            </w:r>
          </w:p>
        </w:tc>
      </w:tr>
      <w:tr w14:paraId="04623546">
        <w:tblPrEx>
          <w:tblCellMar>
            <w:top w:w="0" w:type="dxa"/>
            <w:left w:w="0" w:type="dxa"/>
            <w:bottom w:w="0" w:type="dxa"/>
            <w:right w:w="0" w:type="dxa"/>
          </w:tblCellMar>
        </w:tblPrEx>
        <w:trPr>
          <w:trHeight w:val="576"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DA098">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相对标准偏差RSD</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A0D98">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4.7%</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D30CB8">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3.0%</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7871CB">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3.9%</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1C5347">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6.9%</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09559B">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6.4%</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A498E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3.2%</w:t>
            </w:r>
          </w:p>
        </w:tc>
      </w:tr>
      <w:tr w14:paraId="1FC7EE6B">
        <w:tblPrEx>
          <w:tblCellMar>
            <w:top w:w="0" w:type="dxa"/>
            <w:left w:w="0" w:type="dxa"/>
            <w:bottom w:w="0" w:type="dxa"/>
            <w:right w:w="0" w:type="dxa"/>
          </w:tblCellMar>
        </w:tblPrEx>
        <w:trPr>
          <w:trHeight w:val="288"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C8DAF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回收率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0EB645">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7793C">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8B6174">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DAE10">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05D5A1">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ECEE16">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104%</w:t>
            </w:r>
          </w:p>
        </w:tc>
      </w:tr>
    </w:tbl>
    <w:p w14:paraId="02DE5555">
      <w:pPr>
        <w:rPr>
          <w:rFonts w:hint="default" w:ascii="Times New Roman" w:hAnsi="Times New Roman" w:eastAsia="宋体" w:cs="Times New Roman"/>
          <w:color w:val="auto"/>
          <w:sz w:val="24"/>
          <w:szCs w:val="24"/>
        </w:rPr>
      </w:pPr>
    </w:p>
    <w:p w14:paraId="2C82AF89">
      <w:pPr>
        <w:pStyle w:val="2"/>
        <w:rPr>
          <w:rFonts w:hint="default" w:eastAsia="宋体"/>
          <w:color w:val="auto"/>
          <w:lang w:val="en-US" w:eastAsia="zh-CN"/>
        </w:rPr>
      </w:pPr>
      <w:r>
        <w:rPr>
          <w:rFonts w:hint="eastAsia" w:ascii="Times New Roman" w:hAnsi="Times New Roman" w:eastAsia="宋体" w:cs="Times New Roman"/>
          <w:color w:val="auto"/>
          <w:sz w:val="24"/>
          <w:szCs w:val="24"/>
          <w:highlight w:val="none"/>
          <w:lang w:val="en-US" w:eastAsia="zh-CN"/>
        </w:rPr>
        <w:t>3.2.10.1 实验室间精密度</w:t>
      </w:r>
    </w:p>
    <w:p w14:paraId="535CFC29">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因无法获得含有特定浓度AMC的样品气体做巡回试验，故将实验室多次采样的重复性作为精密度的评价方法，设计比对试验如下：</w:t>
      </w:r>
    </w:p>
    <w:p w14:paraId="611615D6">
      <w:pPr>
        <w:pStyle w:val="3"/>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1861185" cy="1530985"/>
            <wp:effectExtent l="0" t="0" r="133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861185" cy="1530985"/>
                    </a:xfrm>
                    <a:prstGeom prst="rect">
                      <a:avLst/>
                    </a:prstGeom>
                    <a:noFill/>
                    <a:ln>
                      <a:noFill/>
                    </a:ln>
                  </pic:spPr>
                </pic:pic>
              </a:graphicData>
            </a:graphic>
          </wp:inline>
        </w:drawing>
      </w:r>
    </w:p>
    <w:p w14:paraId="5CC761A3">
      <w:pPr>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采样位置示意图</w:t>
      </w:r>
    </w:p>
    <w:p w14:paraId="2188C09D">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A.使用3套采集系统 + 一套吸收管做空白，放在临近位置同时开始采样，最终得到1个空白样，3个平行测试样;</w:t>
      </w:r>
    </w:p>
    <w:p w14:paraId="355203EC">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 空白值测试2次取平均值即为c0，记录到《数据汇总表》;</w:t>
      </w:r>
    </w:p>
    <w:p w14:paraId="58A37EC6">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C.每个测试样测试3次，3个样共9个数据c1，计算出 C(µg/m3) 后，记录到《数据汇总表》</w:t>
      </w:r>
    </w:p>
    <w:p w14:paraId="4EA45F94">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最终返回了7家实验室数据，计算3个样的相对标准偏差RSD，其中阴离子测试值在0~2.943μg/m³之间，RSD范围：3.4%-55.6%；阳离子测试值在0~29.751μg/m³之间，RSD范围：1.7%-65.3%。详见以下2个表格：</w:t>
      </w:r>
    </w:p>
    <w:p w14:paraId="58E7DCC5">
      <w:pPr>
        <w:pStyle w:val="3"/>
        <w:rPr>
          <w:rFonts w:hint="default"/>
          <w:color w:val="auto"/>
          <w:lang w:val="en-US" w:eastAsia="zh-CN"/>
        </w:rPr>
      </w:pPr>
      <w:r>
        <w:rPr>
          <w:rFonts w:hint="eastAsia" w:ascii="Times New Roman" w:hAnsi="Times New Roman" w:eastAsia="宋体" w:cs="Times New Roman"/>
          <w:color w:val="auto"/>
          <w:sz w:val="24"/>
          <w:szCs w:val="24"/>
          <w:lang w:val="en-US" w:eastAsia="zh-CN"/>
        </w:rPr>
        <w:t>表1：各实验室AMC浓度测试值</w:t>
      </w:r>
    </w:p>
    <w:tbl>
      <w:tblPr>
        <w:tblStyle w:val="5"/>
        <w:tblW w:w="8860" w:type="dxa"/>
        <w:tblInd w:w="0" w:type="dxa"/>
        <w:shd w:val="clear" w:color="auto" w:fill="auto"/>
        <w:tblLayout w:type="fixed"/>
        <w:tblCellMar>
          <w:top w:w="0" w:type="dxa"/>
          <w:left w:w="0" w:type="dxa"/>
          <w:bottom w:w="0" w:type="dxa"/>
          <w:right w:w="0" w:type="dxa"/>
        </w:tblCellMar>
      </w:tblPr>
      <w:tblGrid>
        <w:gridCol w:w="565"/>
        <w:gridCol w:w="884"/>
        <w:gridCol w:w="838"/>
        <w:gridCol w:w="735"/>
        <w:gridCol w:w="724"/>
        <w:gridCol w:w="688"/>
        <w:gridCol w:w="856"/>
        <w:gridCol w:w="933"/>
        <w:gridCol w:w="819"/>
        <w:gridCol w:w="1818"/>
      </w:tblGrid>
      <w:tr w14:paraId="40858A3D">
        <w:tblPrEx>
          <w:shd w:val="clear" w:color="auto" w:fill="auto"/>
          <w:tblCellMar>
            <w:top w:w="0" w:type="dxa"/>
            <w:left w:w="0" w:type="dxa"/>
            <w:bottom w:w="0" w:type="dxa"/>
            <w:right w:w="0" w:type="dxa"/>
          </w:tblCellMar>
        </w:tblPrEx>
        <w:trPr>
          <w:trHeight w:val="90"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E035B3">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类型</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922F24">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元素</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715E11">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公司1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BB2FD2">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公司4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06E121">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公司5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8FF345">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公司8</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889915">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公司10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A24C85">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公司11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A25797">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公司12</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5D16D3">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重复性--有效数据</w:t>
            </w:r>
          </w:p>
        </w:tc>
      </w:tr>
      <w:tr w14:paraId="74691B00">
        <w:tblPrEx>
          <w:tblCellMar>
            <w:top w:w="0" w:type="dxa"/>
            <w:left w:w="0" w:type="dxa"/>
            <w:bottom w:w="0" w:type="dxa"/>
            <w:right w:w="0" w:type="dxa"/>
          </w:tblCellMar>
        </w:tblPrEx>
        <w:trPr>
          <w:trHeight w:val="9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16D3BF">
            <w:pPr>
              <w:jc w:val="center"/>
              <w:rPr>
                <w:rFonts w:hint="default" w:ascii="Times New Roman" w:hAnsi="Times New Roman" w:eastAsia="黑体" w:cs="Times New Roman"/>
                <w:i w:val="0"/>
                <w:color w:val="auto"/>
                <w:sz w:val="22"/>
                <w:szCs w:val="22"/>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203737">
            <w:pPr>
              <w:jc w:val="center"/>
              <w:rPr>
                <w:rFonts w:hint="default" w:ascii="Times New Roman" w:hAnsi="Times New Roman" w:eastAsia="黑体" w:cs="Times New Roman"/>
                <w:i w:val="0"/>
                <w:color w:val="auto"/>
                <w:sz w:val="22"/>
                <w:szCs w:val="22"/>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BDD587">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平均值</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7CB540">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平均值</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0FACE4">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平均值</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346906">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平均值</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16DFB">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平均值</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699EA5">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平均值</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C6CE48">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平均值</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CF2AF1">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范围</w:t>
            </w:r>
          </w:p>
        </w:tc>
      </w:tr>
      <w:tr w14:paraId="4CBA9663">
        <w:tblPrEx>
          <w:tblCellMar>
            <w:top w:w="0" w:type="dxa"/>
            <w:left w:w="0" w:type="dxa"/>
            <w:bottom w:w="0" w:type="dxa"/>
            <w:right w:w="0" w:type="dxa"/>
          </w:tblCellMar>
        </w:tblPrEx>
        <w:trPr>
          <w:trHeight w:val="90"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818D0">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阴离子</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26483D">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F</w:t>
            </w:r>
            <w:r>
              <w:rPr>
                <w:rFonts w:hint="default" w:ascii="Times New Roman" w:hAnsi="Times New Roman" w:eastAsia="黑体" w:cs="Times New Roman"/>
                <w:i w:val="0"/>
                <w:color w:val="auto"/>
                <w:kern w:val="0"/>
                <w:sz w:val="20"/>
                <w:szCs w:val="20"/>
                <w:u w:val="none"/>
                <w:vertAlign w:val="superscript"/>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2CD9EA">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0.120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5E2DBD">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0.274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4AA37C">
            <w:pPr>
              <w:jc w:val="center"/>
              <w:rPr>
                <w:rFonts w:hint="default" w:ascii="Times New Roman" w:hAnsi="Times New Roman" w:eastAsia="黑体" w:cs="Times New Roman"/>
                <w:i w:val="0"/>
                <w:color w:val="auto"/>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9963A">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0.831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38B5A">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1.033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0489C">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0.028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6BCF86">
            <w:pPr>
              <w:jc w:val="center"/>
              <w:rPr>
                <w:rFonts w:hint="default" w:ascii="Times New Roman" w:hAnsi="Times New Roman" w:eastAsia="黑体" w:cs="Times New Roman"/>
                <w:i w:val="0"/>
                <w:color w:val="auto"/>
                <w:sz w:val="22"/>
                <w:szCs w:val="22"/>
                <w:u w:val="none"/>
              </w:rPr>
            </w:pPr>
          </w:p>
        </w:tc>
        <w:tc>
          <w:tcPr>
            <w:tcW w:w="18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9F6125">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0~2.943μg/m³</w:t>
            </w:r>
          </w:p>
        </w:tc>
      </w:tr>
      <w:tr w14:paraId="41CC5B53">
        <w:tblPrEx>
          <w:tblCellMar>
            <w:top w:w="0" w:type="dxa"/>
            <w:left w:w="0" w:type="dxa"/>
            <w:bottom w:w="0" w:type="dxa"/>
            <w:right w:w="0" w:type="dxa"/>
          </w:tblCellMar>
        </w:tblPrEx>
        <w:trPr>
          <w:trHeight w:val="9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D1A06">
            <w:pPr>
              <w:jc w:val="center"/>
              <w:rPr>
                <w:rFonts w:hint="default" w:ascii="Times New Roman" w:hAnsi="Times New Roman" w:eastAsia="黑体" w:cs="Times New Roman"/>
                <w:i w:val="0"/>
                <w:color w:val="auto"/>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658048">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Cl</w:t>
            </w:r>
            <w:r>
              <w:rPr>
                <w:rFonts w:hint="default" w:ascii="Times New Roman" w:hAnsi="Times New Roman" w:eastAsia="黑体" w:cs="Times New Roman"/>
                <w:i w:val="0"/>
                <w:color w:val="auto"/>
                <w:kern w:val="0"/>
                <w:sz w:val="20"/>
                <w:szCs w:val="20"/>
                <w:u w:val="none"/>
                <w:vertAlign w:val="superscript"/>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421CA">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0.040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3847A">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0.105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54B24E">
            <w:pPr>
              <w:jc w:val="center"/>
              <w:rPr>
                <w:rFonts w:hint="default" w:ascii="Times New Roman" w:hAnsi="Times New Roman" w:eastAsia="黑体" w:cs="Times New Roman"/>
                <w:i w:val="0"/>
                <w:color w:val="auto"/>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680187">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0.074 </w:t>
            </w:r>
          </w:p>
        </w:tc>
        <w:tc>
          <w:tcPr>
            <w:tcW w:w="856"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04E1518F">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-0.009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DE9FA7">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0.015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5EF198">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0.016 </w:t>
            </w: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D86164">
            <w:pPr>
              <w:jc w:val="center"/>
              <w:rPr>
                <w:rFonts w:hint="default" w:ascii="Times New Roman" w:hAnsi="Times New Roman" w:eastAsia="黑体" w:cs="Times New Roman"/>
                <w:i w:val="0"/>
                <w:color w:val="auto"/>
                <w:sz w:val="22"/>
                <w:szCs w:val="22"/>
                <w:u w:val="none"/>
              </w:rPr>
            </w:pPr>
          </w:p>
        </w:tc>
      </w:tr>
      <w:tr w14:paraId="030AC0F4">
        <w:tblPrEx>
          <w:tblCellMar>
            <w:top w:w="0" w:type="dxa"/>
            <w:left w:w="0" w:type="dxa"/>
            <w:bottom w:w="0" w:type="dxa"/>
            <w:right w:w="0" w:type="dxa"/>
          </w:tblCellMar>
        </w:tblPrEx>
        <w:trPr>
          <w:trHeight w:val="9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0A238C">
            <w:pPr>
              <w:jc w:val="center"/>
              <w:rPr>
                <w:rFonts w:hint="default" w:ascii="Times New Roman" w:hAnsi="Times New Roman" w:eastAsia="黑体" w:cs="Times New Roman"/>
                <w:i w:val="0"/>
                <w:color w:val="auto"/>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7171A1">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Br</w:t>
            </w:r>
            <w:r>
              <w:rPr>
                <w:rFonts w:hint="default" w:ascii="Times New Roman" w:hAnsi="Times New Roman" w:eastAsia="黑体" w:cs="Times New Roman"/>
                <w:i w:val="0"/>
                <w:color w:val="auto"/>
                <w:kern w:val="0"/>
                <w:sz w:val="20"/>
                <w:szCs w:val="20"/>
                <w:u w:val="none"/>
                <w:vertAlign w:val="superscript"/>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7C4651">
            <w:pPr>
              <w:jc w:val="center"/>
              <w:rPr>
                <w:rFonts w:hint="default" w:ascii="Times New Roman" w:hAnsi="Times New Roman" w:eastAsia="黑体" w:cs="Times New Roman"/>
                <w:i w:val="0"/>
                <w:color w:val="auto"/>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581705">
            <w:pPr>
              <w:jc w:val="center"/>
              <w:rPr>
                <w:rFonts w:hint="default" w:ascii="Times New Roman" w:hAnsi="Times New Roman" w:eastAsia="黑体" w:cs="Times New Roman"/>
                <w:i w:val="0"/>
                <w:color w:val="auto"/>
                <w:sz w:val="22"/>
                <w:szCs w:val="2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4BA8A7">
            <w:pPr>
              <w:jc w:val="center"/>
              <w:rPr>
                <w:rFonts w:hint="default" w:ascii="Times New Roman" w:hAnsi="Times New Roman" w:eastAsia="黑体" w:cs="Times New Roman"/>
                <w:i w:val="0"/>
                <w:color w:val="auto"/>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84E47">
            <w:pPr>
              <w:jc w:val="center"/>
              <w:rPr>
                <w:rFonts w:hint="default" w:ascii="Times New Roman" w:hAnsi="Times New Roman" w:eastAsia="黑体" w:cs="Times New Roman"/>
                <w:i w:val="0"/>
                <w:color w:val="auto"/>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22E6AD">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0.000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5F5FB4">
            <w:pPr>
              <w:jc w:val="center"/>
              <w:rPr>
                <w:rFonts w:hint="default" w:ascii="Times New Roman" w:hAnsi="Times New Roman" w:eastAsia="黑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0C077C">
            <w:pPr>
              <w:jc w:val="center"/>
              <w:rPr>
                <w:rFonts w:hint="default" w:ascii="Times New Roman" w:hAnsi="Times New Roman" w:eastAsia="黑体" w:cs="Times New Roman"/>
                <w:i w:val="0"/>
                <w:color w:val="auto"/>
                <w:sz w:val="22"/>
                <w:szCs w:val="22"/>
                <w:u w:val="none"/>
              </w:rPr>
            </w:pP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FF26CF">
            <w:pPr>
              <w:jc w:val="center"/>
              <w:rPr>
                <w:rFonts w:hint="default" w:ascii="Times New Roman" w:hAnsi="Times New Roman" w:eastAsia="黑体" w:cs="Times New Roman"/>
                <w:i w:val="0"/>
                <w:color w:val="auto"/>
                <w:sz w:val="22"/>
                <w:szCs w:val="22"/>
                <w:u w:val="none"/>
              </w:rPr>
            </w:pPr>
          </w:p>
        </w:tc>
      </w:tr>
      <w:tr w14:paraId="3F875E6A">
        <w:tblPrEx>
          <w:tblCellMar>
            <w:top w:w="0" w:type="dxa"/>
            <w:left w:w="0" w:type="dxa"/>
            <w:bottom w:w="0" w:type="dxa"/>
            <w:right w:w="0" w:type="dxa"/>
          </w:tblCellMar>
        </w:tblPrEx>
        <w:trPr>
          <w:trHeight w:val="9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5BD955">
            <w:pPr>
              <w:jc w:val="center"/>
              <w:rPr>
                <w:rFonts w:hint="default" w:ascii="Times New Roman" w:hAnsi="Times New Roman" w:eastAsia="黑体" w:cs="Times New Roman"/>
                <w:i w:val="0"/>
                <w:color w:val="auto"/>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9348D">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NO</w:t>
            </w:r>
            <w:r>
              <w:rPr>
                <w:rFonts w:hint="default" w:ascii="Times New Roman" w:hAnsi="Times New Roman" w:eastAsia="黑体" w:cs="Times New Roman"/>
                <w:i w:val="0"/>
                <w:color w:val="auto"/>
                <w:kern w:val="0"/>
                <w:sz w:val="20"/>
                <w:szCs w:val="20"/>
                <w:u w:val="none"/>
                <w:vertAlign w:val="subscript"/>
                <w:lang w:val="en-US" w:eastAsia="zh-CN" w:bidi="ar"/>
              </w:rPr>
              <w:t>3</w:t>
            </w:r>
            <w:r>
              <w:rPr>
                <w:rFonts w:hint="default" w:ascii="Times New Roman" w:hAnsi="Times New Roman" w:eastAsia="黑体" w:cs="Times New Roman"/>
                <w:i w:val="0"/>
                <w:color w:val="auto"/>
                <w:kern w:val="0"/>
                <w:sz w:val="20"/>
                <w:szCs w:val="20"/>
                <w:u w:val="none"/>
                <w:vertAlign w:val="superscript"/>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B5937C">
            <w:pPr>
              <w:jc w:val="center"/>
              <w:rPr>
                <w:rFonts w:hint="default" w:ascii="Times New Roman" w:hAnsi="Times New Roman" w:eastAsia="黑体" w:cs="Times New Roman"/>
                <w:i w:val="0"/>
                <w:color w:val="auto"/>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955D57">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0.871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F6F5C">
            <w:pPr>
              <w:jc w:val="center"/>
              <w:rPr>
                <w:rFonts w:hint="default" w:ascii="Times New Roman" w:hAnsi="Times New Roman" w:eastAsia="黑体" w:cs="Times New Roman"/>
                <w:i w:val="0"/>
                <w:color w:val="auto"/>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02E789">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0.087 </w:t>
            </w:r>
          </w:p>
        </w:tc>
        <w:tc>
          <w:tcPr>
            <w:tcW w:w="856"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44EAE61D">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-0.022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572C2D">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0.024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62D99D">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0.190 </w:t>
            </w: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487060">
            <w:pPr>
              <w:jc w:val="center"/>
              <w:rPr>
                <w:rFonts w:hint="default" w:ascii="Times New Roman" w:hAnsi="Times New Roman" w:eastAsia="黑体" w:cs="Times New Roman"/>
                <w:i w:val="0"/>
                <w:color w:val="auto"/>
                <w:sz w:val="22"/>
                <w:szCs w:val="22"/>
                <w:u w:val="none"/>
              </w:rPr>
            </w:pPr>
          </w:p>
        </w:tc>
      </w:tr>
      <w:tr w14:paraId="2DB178DD">
        <w:tblPrEx>
          <w:tblCellMar>
            <w:top w:w="0" w:type="dxa"/>
            <w:left w:w="0" w:type="dxa"/>
            <w:bottom w:w="0" w:type="dxa"/>
            <w:right w:w="0" w:type="dxa"/>
          </w:tblCellMar>
        </w:tblPrEx>
        <w:trPr>
          <w:trHeight w:val="9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1E671D">
            <w:pPr>
              <w:jc w:val="center"/>
              <w:rPr>
                <w:rFonts w:hint="default" w:ascii="Times New Roman" w:hAnsi="Times New Roman" w:eastAsia="黑体" w:cs="Times New Roman"/>
                <w:i w:val="0"/>
                <w:color w:val="auto"/>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56F688">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PO</w:t>
            </w:r>
            <w:r>
              <w:rPr>
                <w:rFonts w:hint="default" w:ascii="Times New Roman" w:hAnsi="Times New Roman" w:eastAsia="黑体" w:cs="Times New Roman"/>
                <w:i w:val="0"/>
                <w:color w:val="auto"/>
                <w:kern w:val="0"/>
                <w:sz w:val="20"/>
                <w:szCs w:val="20"/>
                <w:u w:val="none"/>
                <w:vertAlign w:val="subscript"/>
                <w:lang w:val="en-US" w:eastAsia="zh-CN" w:bidi="ar"/>
              </w:rPr>
              <w:t>4</w:t>
            </w:r>
            <w:r>
              <w:rPr>
                <w:rFonts w:hint="default" w:ascii="Times New Roman" w:hAnsi="Times New Roman" w:eastAsia="黑体" w:cs="Times New Roman"/>
                <w:i w:val="0"/>
                <w:color w:val="auto"/>
                <w:kern w:val="0"/>
                <w:sz w:val="20"/>
                <w:szCs w:val="20"/>
                <w:u w:val="none"/>
                <w:vertAlign w:val="superscript"/>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691551">
            <w:pPr>
              <w:jc w:val="center"/>
              <w:rPr>
                <w:rFonts w:hint="default" w:ascii="Times New Roman" w:hAnsi="Times New Roman" w:eastAsia="黑体" w:cs="Times New Roman"/>
                <w:i w:val="0"/>
                <w:color w:val="auto"/>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1E7138">
            <w:pPr>
              <w:jc w:val="center"/>
              <w:rPr>
                <w:rFonts w:hint="default" w:ascii="Times New Roman" w:hAnsi="Times New Roman" w:eastAsia="黑体" w:cs="Times New Roman"/>
                <w:i w:val="0"/>
                <w:color w:val="auto"/>
                <w:sz w:val="22"/>
                <w:szCs w:val="2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C37A20">
            <w:pPr>
              <w:jc w:val="center"/>
              <w:rPr>
                <w:rFonts w:hint="default" w:ascii="Times New Roman" w:hAnsi="Times New Roman" w:eastAsia="黑体" w:cs="Times New Roman"/>
                <w:i w:val="0"/>
                <w:color w:val="auto"/>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C2AD5F">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0.015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20BDEF">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1.909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D9AE7">
            <w:pPr>
              <w:jc w:val="center"/>
              <w:rPr>
                <w:rFonts w:hint="default" w:ascii="Times New Roman" w:hAnsi="Times New Roman" w:eastAsia="黑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B39AF6">
            <w:pPr>
              <w:jc w:val="center"/>
              <w:rPr>
                <w:rFonts w:hint="default" w:ascii="Times New Roman" w:hAnsi="Times New Roman" w:eastAsia="黑体" w:cs="Times New Roman"/>
                <w:i w:val="0"/>
                <w:color w:val="auto"/>
                <w:sz w:val="22"/>
                <w:szCs w:val="22"/>
                <w:u w:val="none"/>
              </w:rPr>
            </w:pP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AB70D2">
            <w:pPr>
              <w:jc w:val="center"/>
              <w:rPr>
                <w:rFonts w:hint="default" w:ascii="Times New Roman" w:hAnsi="Times New Roman" w:eastAsia="黑体" w:cs="Times New Roman"/>
                <w:i w:val="0"/>
                <w:color w:val="auto"/>
                <w:sz w:val="22"/>
                <w:szCs w:val="22"/>
                <w:u w:val="none"/>
              </w:rPr>
            </w:pPr>
          </w:p>
        </w:tc>
      </w:tr>
      <w:tr w14:paraId="566435C1">
        <w:tblPrEx>
          <w:tblCellMar>
            <w:top w:w="0" w:type="dxa"/>
            <w:left w:w="0" w:type="dxa"/>
            <w:bottom w:w="0" w:type="dxa"/>
            <w:right w:w="0" w:type="dxa"/>
          </w:tblCellMar>
        </w:tblPrEx>
        <w:trPr>
          <w:trHeight w:val="9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2EAEFB">
            <w:pPr>
              <w:jc w:val="center"/>
              <w:rPr>
                <w:rFonts w:hint="default" w:ascii="Times New Roman" w:hAnsi="Times New Roman" w:eastAsia="黑体" w:cs="Times New Roman"/>
                <w:i w:val="0"/>
                <w:color w:val="auto"/>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A50A72">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SO</w:t>
            </w:r>
            <w:r>
              <w:rPr>
                <w:rFonts w:hint="default" w:ascii="Times New Roman" w:hAnsi="Times New Roman" w:eastAsia="黑体" w:cs="Times New Roman"/>
                <w:i w:val="0"/>
                <w:color w:val="auto"/>
                <w:kern w:val="0"/>
                <w:sz w:val="20"/>
                <w:szCs w:val="20"/>
                <w:u w:val="none"/>
                <w:vertAlign w:val="subscript"/>
                <w:lang w:val="en-US" w:eastAsia="zh-CN" w:bidi="ar"/>
              </w:rPr>
              <w:t>4</w:t>
            </w:r>
            <w:r>
              <w:rPr>
                <w:rFonts w:hint="default" w:ascii="Times New Roman" w:hAnsi="Times New Roman" w:eastAsia="黑体" w:cs="Times New Roman"/>
                <w:i w:val="0"/>
                <w:color w:val="auto"/>
                <w:kern w:val="0"/>
                <w:sz w:val="20"/>
                <w:szCs w:val="20"/>
                <w:u w:val="none"/>
                <w:vertAlign w:val="superscript"/>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378C9">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0.040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B91CD">
            <w:pPr>
              <w:jc w:val="center"/>
              <w:rPr>
                <w:rFonts w:hint="default" w:ascii="Times New Roman" w:hAnsi="Times New Roman" w:eastAsia="黑体" w:cs="Times New Roman"/>
                <w:i w:val="0"/>
                <w:color w:val="auto"/>
                <w:sz w:val="22"/>
                <w:szCs w:val="2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99ECB">
            <w:pPr>
              <w:jc w:val="center"/>
              <w:rPr>
                <w:rFonts w:hint="default" w:ascii="Times New Roman" w:hAnsi="Times New Roman" w:eastAsia="黑体" w:cs="Times New Roman"/>
                <w:i w:val="0"/>
                <w:color w:val="auto"/>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8B2B8F">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0.023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D72407">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0.476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04D1E5">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0.026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F9A482">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0.078 </w:t>
            </w: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82606">
            <w:pPr>
              <w:jc w:val="center"/>
              <w:rPr>
                <w:rFonts w:hint="default" w:ascii="Times New Roman" w:hAnsi="Times New Roman" w:eastAsia="黑体" w:cs="Times New Roman"/>
                <w:i w:val="0"/>
                <w:color w:val="auto"/>
                <w:sz w:val="22"/>
                <w:szCs w:val="22"/>
                <w:u w:val="none"/>
              </w:rPr>
            </w:pPr>
          </w:p>
        </w:tc>
      </w:tr>
      <w:tr w14:paraId="56FBF13C">
        <w:tblPrEx>
          <w:tblCellMar>
            <w:top w:w="0" w:type="dxa"/>
            <w:left w:w="0" w:type="dxa"/>
            <w:bottom w:w="0" w:type="dxa"/>
            <w:right w:w="0" w:type="dxa"/>
          </w:tblCellMar>
        </w:tblPrEx>
        <w:trPr>
          <w:trHeight w:val="9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B52F27">
            <w:pPr>
              <w:jc w:val="center"/>
              <w:rPr>
                <w:rFonts w:hint="default" w:ascii="Times New Roman" w:hAnsi="Times New Roman" w:eastAsia="黑体" w:cs="Times New Roman"/>
                <w:i w:val="0"/>
                <w:color w:val="auto"/>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FDE69">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NO</w:t>
            </w:r>
            <w:r>
              <w:rPr>
                <w:rFonts w:hint="default" w:ascii="Times New Roman" w:hAnsi="Times New Roman" w:eastAsia="黑体" w:cs="Times New Roman"/>
                <w:i w:val="0"/>
                <w:color w:val="auto"/>
                <w:kern w:val="0"/>
                <w:sz w:val="20"/>
                <w:szCs w:val="20"/>
                <w:u w:val="none"/>
                <w:vertAlign w:val="subscript"/>
                <w:lang w:val="en-US" w:eastAsia="zh-CN" w:bidi="ar"/>
              </w:rPr>
              <w:t>2</w:t>
            </w:r>
            <w:r>
              <w:rPr>
                <w:rFonts w:hint="default" w:ascii="Times New Roman" w:hAnsi="Times New Roman" w:eastAsia="黑体" w:cs="Times New Roman"/>
                <w:i w:val="0"/>
                <w:color w:val="auto"/>
                <w:kern w:val="0"/>
                <w:sz w:val="20"/>
                <w:szCs w:val="20"/>
                <w:u w:val="none"/>
                <w:vertAlign w:val="superscript"/>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71422">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0.135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7DA23">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0.439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9BB160">
            <w:pPr>
              <w:jc w:val="center"/>
              <w:rPr>
                <w:rFonts w:hint="default" w:ascii="Times New Roman" w:hAnsi="Times New Roman" w:eastAsia="黑体" w:cs="Times New Roman"/>
                <w:i w:val="0"/>
                <w:color w:val="auto"/>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6CBF9D">
            <w:pPr>
              <w:jc w:val="center"/>
              <w:rPr>
                <w:rFonts w:hint="default" w:ascii="Times New Roman" w:hAnsi="Times New Roman" w:eastAsia="黑体" w:cs="Times New Roman"/>
                <w:i w:val="0"/>
                <w:color w:val="auto"/>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EABBBB">
            <w:pPr>
              <w:jc w:val="center"/>
              <w:rPr>
                <w:rFonts w:hint="default" w:ascii="Times New Roman" w:hAnsi="Times New Roman" w:eastAsia="黑体" w:cs="Times New Roman"/>
                <w:i w:val="0"/>
                <w:color w:val="auto"/>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FA1F2D">
            <w:pPr>
              <w:jc w:val="center"/>
              <w:rPr>
                <w:rFonts w:hint="default" w:ascii="Times New Roman" w:hAnsi="Times New Roman" w:eastAsia="黑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1D7698">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2.943 </w:t>
            </w: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278E8">
            <w:pPr>
              <w:jc w:val="center"/>
              <w:rPr>
                <w:rFonts w:hint="default" w:ascii="Times New Roman" w:hAnsi="Times New Roman" w:eastAsia="黑体" w:cs="Times New Roman"/>
                <w:i w:val="0"/>
                <w:color w:val="auto"/>
                <w:sz w:val="22"/>
                <w:szCs w:val="22"/>
                <w:u w:val="none"/>
              </w:rPr>
            </w:pPr>
          </w:p>
        </w:tc>
      </w:tr>
      <w:tr w14:paraId="0CBD87A4">
        <w:tblPrEx>
          <w:tblCellMar>
            <w:top w:w="0" w:type="dxa"/>
            <w:left w:w="0" w:type="dxa"/>
            <w:bottom w:w="0" w:type="dxa"/>
            <w:right w:w="0" w:type="dxa"/>
          </w:tblCellMar>
        </w:tblPrEx>
        <w:trPr>
          <w:trHeight w:val="90"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419EE8">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阴离子</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36BACD">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NH</w:t>
            </w:r>
            <w:r>
              <w:rPr>
                <w:rFonts w:hint="default" w:ascii="Times New Roman" w:hAnsi="Times New Roman" w:eastAsia="黑体" w:cs="Times New Roman"/>
                <w:i w:val="0"/>
                <w:color w:val="auto"/>
                <w:kern w:val="0"/>
                <w:sz w:val="20"/>
                <w:szCs w:val="20"/>
                <w:u w:val="none"/>
                <w:vertAlign w:val="subscript"/>
                <w:lang w:val="en-US" w:eastAsia="zh-CN" w:bidi="ar"/>
              </w:rPr>
              <w:t>4</w:t>
            </w:r>
            <w:r>
              <w:rPr>
                <w:rFonts w:hint="default" w:ascii="Times New Roman" w:hAnsi="Times New Roman" w:eastAsia="黑体" w:cs="Times New Roman"/>
                <w:i w:val="0"/>
                <w:color w:val="auto"/>
                <w:kern w:val="0"/>
                <w:sz w:val="20"/>
                <w:szCs w:val="20"/>
                <w:u w:val="none"/>
                <w:vertAlign w:val="superscript"/>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96200">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4.009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2D196E">
            <w:pPr>
              <w:jc w:val="center"/>
              <w:rPr>
                <w:rFonts w:hint="default" w:ascii="Times New Roman" w:hAnsi="Times New Roman" w:eastAsia="黑体" w:cs="Times New Roman"/>
                <w:i w:val="0"/>
                <w:color w:val="auto"/>
                <w:sz w:val="22"/>
                <w:szCs w:val="2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6270B4">
            <w:pPr>
              <w:jc w:val="center"/>
              <w:rPr>
                <w:rFonts w:hint="default" w:ascii="Times New Roman" w:hAnsi="Times New Roman" w:eastAsia="黑体" w:cs="Times New Roman"/>
                <w:i w:val="0"/>
                <w:color w:val="auto"/>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57877">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0.450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9A442">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1.310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03E28D">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0.041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44A126">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29.751 </w:t>
            </w:r>
          </w:p>
        </w:tc>
        <w:tc>
          <w:tcPr>
            <w:tcW w:w="18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94F3AD">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0~29.751μg/m³</w:t>
            </w:r>
          </w:p>
        </w:tc>
      </w:tr>
      <w:tr w14:paraId="08A40816">
        <w:tblPrEx>
          <w:tblCellMar>
            <w:top w:w="0" w:type="dxa"/>
            <w:left w:w="0" w:type="dxa"/>
            <w:bottom w:w="0" w:type="dxa"/>
            <w:right w:w="0" w:type="dxa"/>
          </w:tblCellMar>
        </w:tblPrEx>
        <w:trPr>
          <w:trHeight w:val="9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C6BDB">
            <w:pPr>
              <w:jc w:val="center"/>
              <w:rPr>
                <w:rFonts w:hint="default" w:ascii="Times New Roman" w:hAnsi="Times New Roman" w:eastAsia="黑体" w:cs="Times New Roman"/>
                <w:i w:val="0"/>
                <w:color w:val="auto"/>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303E28">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Li</w:t>
            </w:r>
            <w:r>
              <w:rPr>
                <w:rFonts w:hint="default" w:ascii="Times New Roman" w:hAnsi="Times New Roman" w:eastAsia="黑体" w:cs="Times New Roman"/>
                <w:i w:val="0"/>
                <w:color w:val="auto"/>
                <w:kern w:val="0"/>
                <w:sz w:val="20"/>
                <w:szCs w:val="20"/>
                <w:u w:val="none"/>
                <w:vertAlign w:val="superscript"/>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BC1A2">
            <w:pPr>
              <w:jc w:val="center"/>
              <w:rPr>
                <w:rFonts w:hint="default" w:ascii="Times New Roman" w:hAnsi="Times New Roman" w:eastAsia="黑体" w:cs="Times New Roman"/>
                <w:i w:val="0"/>
                <w:color w:val="auto"/>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5C72C1">
            <w:pPr>
              <w:jc w:val="center"/>
              <w:rPr>
                <w:rFonts w:hint="default" w:ascii="Times New Roman" w:hAnsi="Times New Roman" w:eastAsia="黑体" w:cs="Times New Roman"/>
                <w:i w:val="0"/>
                <w:color w:val="auto"/>
                <w:sz w:val="22"/>
                <w:szCs w:val="2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318A4E">
            <w:pPr>
              <w:jc w:val="center"/>
              <w:rPr>
                <w:rFonts w:hint="default" w:ascii="Times New Roman" w:hAnsi="Times New Roman" w:eastAsia="黑体" w:cs="Times New Roman"/>
                <w:i w:val="0"/>
                <w:color w:val="auto"/>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D26E8">
            <w:pPr>
              <w:jc w:val="center"/>
              <w:rPr>
                <w:rFonts w:hint="default" w:ascii="Times New Roman" w:hAnsi="Times New Roman" w:eastAsia="黑体" w:cs="Times New Roman"/>
                <w:i w:val="0"/>
                <w:color w:val="auto"/>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4E991612">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-0.001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D4937B">
            <w:pPr>
              <w:jc w:val="center"/>
              <w:rPr>
                <w:rFonts w:hint="default" w:ascii="Times New Roman" w:hAnsi="Times New Roman" w:eastAsia="黑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C95617">
            <w:pPr>
              <w:jc w:val="center"/>
              <w:rPr>
                <w:rFonts w:hint="default" w:ascii="Times New Roman" w:hAnsi="Times New Roman" w:eastAsia="黑体" w:cs="Times New Roman"/>
                <w:i w:val="0"/>
                <w:color w:val="auto"/>
                <w:sz w:val="22"/>
                <w:szCs w:val="22"/>
                <w:u w:val="none"/>
              </w:rPr>
            </w:pP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9D6DDE">
            <w:pPr>
              <w:jc w:val="center"/>
              <w:rPr>
                <w:rFonts w:hint="default" w:ascii="Times New Roman" w:hAnsi="Times New Roman" w:eastAsia="黑体" w:cs="Times New Roman"/>
                <w:i w:val="0"/>
                <w:color w:val="auto"/>
                <w:sz w:val="22"/>
                <w:szCs w:val="22"/>
                <w:u w:val="none"/>
              </w:rPr>
            </w:pPr>
          </w:p>
        </w:tc>
      </w:tr>
      <w:tr w14:paraId="122D08CB">
        <w:tblPrEx>
          <w:tblCellMar>
            <w:top w:w="0" w:type="dxa"/>
            <w:left w:w="0" w:type="dxa"/>
            <w:bottom w:w="0" w:type="dxa"/>
            <w:right w:w="0" w:type="dxa"/>
          </w:tblCellMar>
        </w:tblPrEx>
        <w:trPr>
          <w:trHeight w:val="9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C5CE21">
            <w:pPr>
              <w:jc w:val="center"/>
              <w:rPr>
                <w:rFonts w:hint="default" w:ascii="Times New Roman" w:hAnsi="Times New Roman" w:eastAsia="黑体" w:cs="Times New Roman"/>
                <w:i w:val="0"/>
                <w:color w:val="auto"/>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C24BD9">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Na</w:t>
            </w:r>
            <w:r>
              <w:rPr>
                <w:rFonts w:hint="default" w:ascii="Times New Roman" w:hAnsi="Times New Roman" w:eastAsia="黑体" w:cs="Times New Roman"/>
                <w:i w:val="0"/>
                <w:color w:val="auto"/>
                <w:kern w:val="0"/>
                <w:sz w:val="20"/>
                <w:szCs w:val="20"/>
                <w:u w:val="none"/>
                <w:vertAlign w:val="superscript"/>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DC32B8">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0.045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EB0EA3">
            <w:pPr>
              <w:jc w:val="center"/>
              <w:rPr>
                <w:rFonts w:hint="default" w:ascii="Times New Roman" w:hAnsi="Times New Roman" w:eastAsia="黑体" w:cs="Times New Roman"/>
                <w:i w:val="0"/>
                <w:color w:val="auto"/>
                <w:sz w:val="22"/>
                <w:szCs w:val="2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6BCD65">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0.025 </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7E9E6">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0.344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0BE604">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0.051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936BB">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0.026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E09944">
            <w:pPr>
              <w:jc w:val="center"/>
              <w:rPr>
                <w:rFonts w:hint="default" w:ascii="Times New Roman" w:hAnsi="Times New Roman" w:eastAsia="黑体" w:cs="Times New Roman"/>
                <w:i w:val="0"/>
                <w:color w:val="auto"/>
                <w:sz w:val="22"/>
                <w:szCs w:val="22"/>
                <w:u w:val="none"/>
              </w:rPr>
            </w:pP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283D1">
            <w:pPr>
              <w:jc w:val="center"/>
              <w:rPr>
                <w:rFonts w:hint="default" w:ascii="Times New Roman" w:hAnsi="Times New Roman" w:eastAsia="黑体" w:cs="Times New Roman"/>
                <w:i w:val="0"/>
                <w:color w:val="auto"/>
                <w:sz w:val="22"/>
                <w:szCs w:val="22"/>
                <w:u w:val="none"/>
              </w:rPr>
            </w:pPr>
          </w:p>
        </w:tc>
      </w:tr>
      <w:tr w14:paraId="22EDCF52">
        <w:tblPrEx>
          <w:tblCellMar>
            <w:top w:w="0" w:type="dxa"/>
            <w:left w:w="0" w:type="dxa"/>
            <w:bottom w:w="0" w:type="dxa"/>
            <w:right w:w="0" w:type="dxa"/>
          </w:tblCellMar>
        </w:tblPrEx>
        <w:trPr>
          <w:trHeight w:val="9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8DD7A">
            <w:pPr>
              <w:jc w:val="center"/>
              <w:rPr>
                <w:rFonts w:hint="default" w:ascii="Times New Roman" w:hAnsi="Times New Roman" w:eastAsia="黑体" w:cs="Times New Roman"/>
                <w:i w:val="0"/>
                <w:color w:val="auto"/>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9FC80">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K</w:t>
            </w:r>
            <w:r>
              <w:rPr>
                <w:rFonts w:hint="default" w:ascii="Times New Roman" w:hAnsi="Times New Roman" w:eastAsia="黑体" w:cs="Times New Roman"/>
                <w:i w:val="0"/>
                <w:color w:val="auto"/>
                <w:kern w:val="0"/>
                <w:sz w:val="20"/>
                <w:szCs w:val="20"/>
                <w:u w:val="none"/>
                <w:vertAlign w:val="superscript"/>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9A82F">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0.125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294798">
            <w:pPr>
              <w:jc w:val="center"/>
              <w:rPr>
                <w:rFonts w:hint="default" w:ascii="Times New Roman" w:hAnsi="Times New Roman" w:eastAsia="黑体" w:cs="Times New Roman"/>
                <w:i w:val="0"/>
                <w:color w:val="auto"/>
                <w:sz w:val="22"/>
                <w:szCs w:val="2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0959D0">
            <w:pPr>
              <w:jc w:val="center"/>
              <w:rPr>
                <w:rFonts w:hint="default" w:ascii="Times New Roman" w:hAnsi="Times New Roman" w:eastAsia="黑体" w:cs="Times New Roman"/>
                <w:i w:val="0"/>
                <w:color w:val="auto"/>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8F8BFB">
            <w:pPr>
              <w:jc w:val="center"/>
              <w:rPr>
                <w:rFonts w:hint="default" w:ascii="Times New Roman" w:hAnsi="Times New Roman" w:eastAsia="黑体" w:cs="Times New Roman"/>
                <w:i w:val="0"/>
                <w:color w:val="auto"/>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C8DDA9">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0.426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FEB6E0">
            <w:pPr>
              <w:jc w:val="center"/>
              <w:rPr>
                <w:rFonts w:hint="default" w:ascii="Times New Roman" w:hAnsi="Times New Roman" w:eastAsia="黑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B73D48">
            <w:pPr>
              <w:jc w:val="center"/>
              <w:rPr>
                <w:rFonts w:hint="default" w:ascii="Times New Roman" w:hAnsi="Times New Roman" w:eastAsia="黑体" w:cs="Times New Roman"/>
                <w:i w:val="0"/>
                <w:color w:val="auto"/>
                <w:sz w:val="22"/>
                <w:szCs w:val="22"/>
                <w:u w:val="none"/>
              </w:rPr>
            </w:pP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F3F826">
            <w:pPr>
              <w:jc w:val="center"/>
              <w:rPr>
                <w:rFonts w:hint="default" w:ascii="Times New Roman" w:hAnsi="Times New Roman" w:eastAsia="黑体" w:cs="Times New Roman"/>
                <w:i w:val="0"/>
                <w:color w:val="auto"/>
                <w:sz w:val="22"/>
                <w:szCs w:val="22"/>
                <w:u w:val="none"/>
              </w:rPr>
            </w:pPr>
          </w:p>
        </w:tc>
      </w:tr>
      <w:tr w14:paraId="3D1254AE">
        <w:tblPrEx>
          <w:tblCellMar>
            <w:top w:w="0" w:type="dxa"/>
            <w:left w:w="0" w:type="dxa"/>
            <w:bottom w:w="0" w:type="dxa"/>
            <w:right w:w="0" w:type="dxa"/>
          </w:tblCellMar>
        </w:tblPrEx>
        <w:trPr>
          <w:trHeight w:val="9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216D7">
            <w:pPr>
              <w:jc w:val="center"/>
              <w:rPr>
                <w:rFonts w:hint="default" w:ascii="Times New Roman" w:hAnsi="Times New Roman" w:eastAsia="黑体" w:cs="Times New Roman"/>
                <w:i w:val="0"/>
                <w:color w:val="auto"/>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40C65">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Mg</w:t>
            </w:r>
            <w:r>
              <w:rPr>
                <w:rFonts w:hint="default" w:ascii="Times New Roman" w:hAnsi="Times New Roman" w:eastAsia="黑体" w:cs="Times New Roman"/>
                <w:i w:val="0"/>
                <w:color w:val="auto"/>
                <w:kern w:val="0"/>
                <w:sz w:val="20"/>
                <w:szCs w:val="20"/>
                <w:u w:val="none"/>
                <w:vertAlign w:val="superscript"/>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0C7270">
            <w:pPr>
              <w:jc w:val="center"/>
              <w:rPr>
                <w:rFonts w:hint="default" w:ascii="Times New Roman" w:hAnsi="Times New Roman" w:eastAsia="黑体" w:cs="Times New Roman"/>
                <w:i w:val="0"/>
                <w:color w:val="auto"/>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7053FB">
            <w:pPr>
              <w:jc w:val="center"/>
              <w:rPr>
                <w:rFonts w:hint="default" w:ascii="Times New Roman" w:hAnsi="Times New Roman" w:eastAsia="黑体" w:cs="Times New Roman"/>
                <w:i w:val="0"/>
                <w:color w:val="auto"/>
                <w:sz w:val="22"/>
                <w:szCs w:val="2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397119">
            <w:pPr>
              <w:jc w:val="center"/>
              <w:rPr>
                <w:rFonts w:hint="default" w:ascii="Times New Roman" w:hAnsi="Times New Roman" w:eastAsia="黑体" w:cs="Times New Roman"/>
                <w:i w:val="0"/>
                <w:color w:val="auto"/>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736918">
            <w:pPr>
              <w:jc w:val="center"/>
              <w:rPr>
                <w:rFonts w:hint="default" w:ascii="Times New Roman" w:hAnsi="Times New Roman" w:eastAsia="黑体" w:cs="Times New Roman"/>
                <w:i w:val="0"/>
                <w:color w:val="auto"/>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894ECC">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0.017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A64A5D">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0.017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AB5C0B">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0.061 </w:t>
            </w: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B20C84">
            <w:pPr>
              <w:jc w:val="center"/>
              <w:rPr>
                <w:rFonts w:hint="default" w:ascii="Times New Roman" w:hAnsi="Times New Roman" w:eastAsia="黑体" w:cs="Times New Roman"/>
                <w:i w:val="0"/>
                <w:color w:val="auto"/>
                <w:sz w:val="22"/>
                <w:szCs w:val="22"/>
                <w:u w:val="none"/>
              </w:rPr>
            </w:pPr>
          </w:p>
        </w:tc>
      </w:tr>
      <w:tr w14:paraId="2C028BD7">
        <w:tblPrEx>
          <w:tblCellMar>
            <w:top w:w="0" w:type="dxa"/>
            <w:left w:w="0" w:type="dxa"/>
            <w:bottom w:w="0" w:type="dxa"/>
            <w:right w:w="0" w:type="dxa"/>
          </w:tblCellMar>
        </w:tblPrEx>
        <w:trPr>
          <w:trHeight w:val="9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D3869">
            <w:pPr>
              <w:jc w:val="center"/>
              <w:rPr>
                <w:rFonts w:hint="default" w:ascii="Times New Roman" w:hAnsi="Times New Roman" w:eastAsia="黑体" w:cs="Times New Roman"/>
                <w:i w:val="0"/>
                <w:color w:val="auto"/>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06D92">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Ca</w:t>
            </w:r>
            <w:r>
              <w:rPr>
                <w:rFonts w:hint="default" w:ascii="Times New Roman" w:hAnsi="Times New Roman" w:eastAsia="黑体" w:cs="Times New Roman"/>
                <w:i w:val="0"/>
                <w:color w:val="auto"/>
                <w:kern w:val="0"/>
                <w:sz w:val="20"/>
                <w:szCs w:val="20"/>
                <w:u w:val="none"/>
                <w:vertAlign w:val="superscript"/>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DD6C5F">
            <w:pPr>
              <w:jc w:val="center"/>
              <w:rPr>
                <w:rFonts w:hint="default" w:ascii="Times New Roman" w:hAnsi="Times New Roman" w:eastAsia="黑体" w:cs="Times New Roman"/>
                <w:i w:val="0"/>
                <w:color w:val="auto"/>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298B6">
            <w:pPr>
              <w:jc w:val="center"/>
              <w:rPr>
                <w:rFonts w:hint="default" w:ascii="Times New Roman" w:hAnsi="Times New Roman" w:eastAsia="黑体" w:cs="Times New Roman"/>
                <w:i w:val="0"/>
                <w:color w:val="auto"/>
                <w:sz w:val="22"/>
                <w:szCs w:val="2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C4BAAB">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0.020 </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5DF45B">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0.335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7982B0">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0.134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D7CEE">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0.064 </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C6FAE4">
            <w:pPr>
              <w:jc w:val="center"/>
              <w:rPr>
                <w:rFonts w:hint="default" w:ascii="Times New Roman" w:hAnsi="Times New Roman" w:eastAsia="黑体" w:cs="Times New Roman"/>
                <w:i w:val="0"/>
                <w:color w:val="auto"/>
                <w:sz w:val="22"/>
                <w:szCs w:val="22"/>
                <w:u w:val="none"/>
              </w:rPr>
            </w:pP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152D59">
            <w:pPr>
              <w:jc w:val="center"/>
              <w:rPr>
                <w:rFonts w:hint="default" w:ascii="Times New Roman" w:hAnsi="Times New Roman" w:eastAsia="黑体" w:cs="Times New Roman"/>
                <w:i w:val="0"/>
                <w:color w:val="auto"/>
                <w:sz w:val="22"/>
                <w:szCs w:val="22"/>
                <w:u w:val="none"/>
              </w:rPr>
            </w:pPr>
          </w:p>
        </w:tc>
      </w:tr>
      <w:tr w14:paraId="76262D94">
        <w:tblPrEx>
          <w:tblCellMar>
            <w:top w:w="0" w:type="dxa"/>
            <w:left w:w="0" w:type="dxa"/>
            <w:bottom w:w="0" w:type="dxa"/>
            <w:right w:w="0" w:type="dxa"/>
          </w:tblCellMar>
        </w:tblPrEx>
        <w:trPr>
          <w:trHeight w:val="9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C8A05E">
            <w:pPr>
              <w:jc w:val="center"/>
              <w:rPr>
                <w:rFonts w:hint="default" w:ascii="Times New Roman" w:hAnsi="Times New Roman" w:eastAsia="黑体" w:cs="Times New Roman"/>
                <w:i w:val="0"/>
                <w:color w:val="auto"/>
                <w:sz w:val="20"/>
                <w:szCs w:val="20"/>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E5C82">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其他</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36E6CE">
            <w:pPr>
              <w:jc w:val="center"/>
              <w:rPr>
                <w:rFonts w:hint="default" w:ascii="Times New Roman" w:hAnsi="Times New Roman" w:eastAsia="黑体" w:cs="Times New Roman"/>
                <w:i w:val="0"/>
                <w:color w:val="auto"/>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8A9EB6">
            <w:pPr>
              <w:jc w:val="center"/>
              <w:rPr>
                <w:rFonts w:hint="default" w:ascii="Times New Roman" w:hAnsi="Times New Roman" w:eastAsia="黑体" w:cs="Times New Roman"/>
                <w:i w:val="0"/>
                <w:color w:val="auto"/>
                <w:sz w:val="22"/>
                <w:szCs w:val="22"/>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A44F6">
            <w:pPr>
              <w:jc w:val="center"/>
              <w:rPr>
                <w:rFonts w:hint="default" w:ascii="Times New Roman" w:hAnsi="Times New Roman" w:eastAsia="黑体" w:cs="Times New Roman"/>
                <w:i w:val="0"/>
                <w:color w:val="auto"/>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A8D648">
            <w:pPr>
              <w:jc w:val="center"/>
              <w:rPr>
                <w:rFonts w:hint="default" w:ascii="Times New Roman" w:hAnsi="Times New Roman" w:eastAsia="黑体" w:cs="Times New Roman"/>
                <w:i w:val="0"/>
                <w:color w:val="auto"/>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D2F88C">
            <w:pPr>
              <w:jc w:val="center"/>
              <w:rPr>
                <w:rFonts w:hint="default" w:ascii="Times New Roman" w:hAnsi="Times New Roman" w:eastAsia="黑体" w:cs="Times New Roman"/>
                <w:i w:val="0"/>
                <w:color w:val="auto"/>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B33493">
            <w:pPr>
              <w:jc w:val="center"/>
              <w:rPr>
                <w:rFonts w:hint="default" w:ascii="Times New Roman" w:hAnsi="Times New Roman" w:eastAsia="黑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F8CD3B">
            <w:pPr>
              <w:jc w:val="center"/>
              <w:rPr>
                <w:rFonts w:hint="default" w:ascii="Times New Roman" w:hAnsi="Times New Roman" w:eastAsia="黑体" w:cs="Times New Roman"/>
                <w:i w:val="0"/>
                <w:color w:val="auto"/>
                <w:sz w:val="22"/>
                <w:szCs w:val="22"/>
                <w:u w:val="none"/>
              </w:rPr>
            </w:pP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6CFBC">
            <w:pPr>
              <w:jc w:val="center"/>
              <w:rPr>
                <w:rFonts w:hint="default" w:ascii="Times New Roman" w:hAnsi="Times New Roman" w:eastAsia="黑体" w:cs="Times New Roman"/>
                <w:i w:val="0"/>
                <w:color w:val="auto"/>
                <w:sz w:val="22"/>
                <w:szCs w:val="22"/>
                <w:u w:val="none"/>
              </w:rPr>
            </w:pPr>
          </w:p>
        </w:tc>
      </w:tr>
    </w:tbl>
    <w:p w14:paraId="48C32DA1">
      <w:pPr>
        <w:pStyle w:val="3"/>
        <w:rPr>
          <w:rFonts w:hint="default"/>
          <w:color w:val="auto"/>
          <w:sz w:val="21"/>
          <w:szCs w:val="18"/>
        </w:rPr>
      </w:pPr>
    </w:p>
    <w:p w14:paraId="487238A5">
      <w:pPr>
        <w:pStyle w:val="3"/>
        <w:rPr>
          <w:rFonts w:hint="default"/>
          <w:color w:val="auto"/>
          <w:sz w:val="21"/>
          <w:szCs w:val="18"/>
        </w:rPr>
      </w:pPr>
      <w:r>
        <w:rPr>
          <w:rFonts w:hint="eastAsia" w:ascii="Times New Roman" w:hAnsi="Times New Roman" w:eastAsia="宋体" w:cs="Times New Roman"/>
          <w:color w:val="auto"/>
          <w:sz w:val="24"/>
          <w:szCs w:val="24"/>
          <w:lang w:val="en-US" w:eastAsia="zh-CN"/>
        </w:rPr>
        <w:t>表2：各实验室重复性RSD</w:t>
      </w:r>
    </w:p>
    <w:tbl>
      <w:tblPr>
        <w:tblStyle w:val="5"/>
        <w:tblW w:w="9460" w:type="dxa"/>
        <w:tblInd w:w="0" w:type="dxa"/>
        <w:shd w:val="clear" w:color="auto" w:fill="auto"/>
        <w:tblLayout w:type="fixed"/>
        <w:tblCellMar>
          <w:top w:w="0" w:type="dxa"/>
          <w:left w:w="0" w:type="dxa"/>
          <w:bottom w:w="0" w:type="dxa"/>
          <w:right w:w="0" w:type="dxa"/>
        </w:tblCellMar>
      </w:tblPr>
      <w:tblGrid>
        <w:gridCol w:w="671"/>
        <w:gridCol w:w="675"/>
        <w:gridCol w:w="690"/>
        <w:gridCol w:w="818"/>
        <w:gridCol w:w="691"/>
        <w:gridCol w:w="819"/>
        <w:gridCol w:w="1033"/>
        <w:gridCol w:w="941"/>
        <w:gridCol w:w="794"/>
        <w:gridCol w:w="654"/>
        <w:gridCol w:w="626"/>
        <w:gridCol w:w="1048"/>
      </w:tblGrid>
      <w:tr w14:paraId="4E5C9AED">
        <w:tblPrEx>
          <w:tblCellMar>
            <w:top w:w="0" w:type="dxa"/>
            <w:left w:w="0" w:type="dxa"/>
            <w:bottom w:w="0" w:type="dxa"/>
            <w:right w:w="0" w:type="dxa"/>
          </w:tblCellMar>
        </w:tblPrEx>
        <w:trPr>
          <w:trHeight w:val="217"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8C91C3">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类型</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85F845">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元素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A1C391">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公司1</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3F9AD9">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公司4</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60649F">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公司5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F727AE">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公司8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BA0B3D">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公司10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714DA3">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公司11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854BB2">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公司12</w:t>
            </w: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344206">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重复性--有效数据</w:t>
            </w:r>
          </w:p>
        </w:tc>
      </w:tr>
      <w:tr w14:paraId="35712E0A">
        <w:tblPrEx>
          <w:tblCellMar>
            <w:top w:w="0" w:type="dxa"/>
            <w:left w:w="0" w:type="dxa"/>
            <w:bottom w:w="0" w:type="dxa"/>
            <w:right w:w="0" w:type="dxa"/>
          </w:tblCellMar>
        </w:tblPrEx>
        <w:trPr>
          <w:trHeight w:val="134"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361C96">
            <w:pPr>
              <w:jc w:val="center"/>
              <w:rPr>
                <w:rFonts w:hint="default" w:ascii="Times New Roman" w:hAnsi="Times New Roman" w:eastAsia="宋体" w:cs="Times New Roman"/>
                <w:i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85C200">
            <w:pPr>
              <w:jc w:val="center"/>
              <w:rPr>
                <w:rFonts w:hint="default" w:ascii="Times New Roman" w:hAnsi="Times New Roman" w:eastAsia="宋体" w:cs="Times New Roman"/>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8FB7BD">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RSD</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FAB2FE">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RSD</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137ABB">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RSD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667D4">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RSD</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65DFA">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RSD</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F6914">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RSD</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0085B6">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RSD</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491293">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MIN</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0B39DE">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MAX</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CEE8E">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范围</w:t>
            </w:r>
          </w:p>
        </w:tc>
      </w:tr>
      <w:tr w14:paraId="5657B7B0">
        <w:tblPrEx>
          <w:tblCellMar>
            <w:top w:w="0" w:type="dxa"/>
            <w:left w:w="0" w:type="dxa"/>
            <w:bottom w:w="0" w:type="dxa"/>
            <w:right w:w="0" w:type="dxa"/>
          </w:tblCellMar>
        </w:tblPrEx>
        <w:trPr>
          <w:trHeight w:val="211"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319AE9">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阴离子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23834">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F</w:t>
            </w:r>
            <w:r>
              <w:rPr>
                <w:rFonts w:hint="default" w:ascii="Times New Roman" w:hAnsi="Times New Roman" w:eastAsia="宋体" w:cs="Times New Roman"/>
                <w:i w:val="0"/>
                <w:color w:val="auto"/>
                <w:kern w:val="0"/>
                <w:sz w:val="20"/>
                <w:szCs w:val="20"/>
                <w:u w:val="none"/>
                <w:vertAlign w:val="superscript"/>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1BA705E2">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14.4%</w:t>
            </w:r>
          </w:p>
        </w:tc>
        <w:tc>
          <w:tcPr>
            <w:tcW w:w="818"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0A32015F">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65.4%</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C009DA">
            <w:pPr>
              <w:jc w:val="center"/>
              <w:rPr>
                <w:rFonts w:hint="default" w:ascii="Times New Roman" w:hAnsi="Times New Roman" w:eastAsia="宋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51958999">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35.0%</w:t>
            </w:r>
          </w:p>
        </w:tc>
        <w:tc>
          <w:tcPr>
            <w:tcW w:w="1033"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1C4727F0">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23.1%</w:t>
            </w:r>
          </w:p>
        </w:tc>
        <w:tc>
          <w:tcPr>
            <w:tcW w:w="941"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76D64EAC">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24.5%</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B149C1">
            <w:pPr>
              <w:jc w:val="center"/>
              <w:rPr>
                <w:rFonts w:hint="default" w:ascii="Times New Roman" w:hAnsi="Times New Roman" w:eastAsia="宋体" w:cs="Times New Roman"/>
                <w:i w:val="0"/>
                <w:color w:val="auto"/>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28E517">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14.4%</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896849">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35.0%</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FD8BBC">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3.4%-55.6%</w:t>
            </w:r>
          </w:p>
        </w:tc>
      </w:tr>
      <w:tr w14:paraId="2316D9E5">
        <w:tblPrEx>
          <w:tblCellMar>
            <w:top w:w="0" w:type="dxa"/>
            <w:left w:w="0" w:type="dxa"/>
            <w:bottom w:w="0" w:type="dxa"/>
            <w:right w:w="0" w:type="dxa"/>
          </w:tblCellMar>
        </w:tblPrEx>
        <w:trPr>
          <w:trHeight w:val="122"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86C5E0">
            <w:pPr>
              <w:jc w:val="center"/>
              <w:rPr>
                <w:rFonts w:hint="default" w:ascii="Times New Roman" w:hAnsi="Times New Roman" w:eastAsia="宋体" w:cs="Times New Roman"/>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2640FD">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Cl</w:t>
            </w:r>
            <w:r>
              <w:rPr>
                <w:rFonts w:hint="default" w:ascii="Times New Roman" w:hAnsi="Times New Roman" w:eastAsia="宋体" w:cs="Times New Roman"/>
                <w:i w:val="0"/>
                <w:color w:val="auto"/>
                <w:kern w:val="0"/>
                <w:sz w:val="20"/>
                <w:szCs w:val="20"/>
                <w:u w:val="none"/>
                <w:vertAlign w:val="superscript"/>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4E8184B1">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15.3%</w:t>
            </w:r>
          </w:p>
        </w:tc>
        <w:tc>
          <w:tcPr>
            <w:tcW w:w="818"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2AD7E09E">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142.9%</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7E9B43">
            <w:pPr>
              <w:jc w:val="center"/>
              <w:rPr>
                <w:rFonts w:hint="default" w:ascii="Times New Roman" w:hAnsi="Times New Roman" w:eastAsia="宋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57A2B9FC">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29.5%</w:t>
            </w:r>
          </w:p>
        </w:tc>
        <w:tc>
          <w:tcPr>
            <w:tcW w:w="1033"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22D62C41">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-1492.9%</w:t>
            </w:r>
          </w:p>
        </w:tc>
        <w:tc>
          <w:tcPr>
            <w:tcW w:w="941"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3D760DB2">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794"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3F393987">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42.4%</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227A85">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2E17F6">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42.4%</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2C991B">
            <w:pPr>
              <w:jc w:val="center"/>
              <w:rPr>
                <w:rFonts w:hint="default" w:ascii="Times New Roman" w:hAnsi="Times New Roman" w:eastAsia="宋体" w:cs="Times New Roman"/>
                <w:i w:val="0"/>
                <w:color w:val="auto"/>
                <w:sz w:val="22"/>
                <w:szCs w:val="22"/>
                <w:u w:val="none"/>
              </w:rPr>
            </w:pPr>
          </w:p>
        </w:tc>
      </w:tr>
      <w:tr w14:paraId="6D6855DE">
        <w:tblPrEx>
          <w:tblCellMar>
            <w:top w:w="0" w:type="dxa"/>
            <w:left w:w="0" w:type="dxa"/>
            <w:bottom w:w="0" w:type="dxa"/>
            <w:right w:w="0" w:type="dxa"/>
          </w:tblCellMar>
        </w:tblPrEx>
        <w:trPr>
          <w:trHeight w:val="122"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EF46F6">
            <w:pPr>
              <w:jc w:val="center"/>
              <w:rPr>
                <w:rFonts w:hint="default" w:ascii="Times New Roman" w:hAnsi="Times New Roman" w:eastAsia="宋体" w:cs="Times New Roman"/>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822122">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Br</w:t>
            </w:r>
            <w:r>
              <w:rPr>
                <w:rFonts w:hint="default" w:ascii="Times New Roman" w:hAnsi="Times New Roman" w:eastAsia="宋体" w:cs="Times New Roman"/>
                <w:i w:val="0"/>
                <w:color w:val="auto"/>
                <w:kern w:val="0"/>
                <w:sz w:val="20"/>
                <w:szCs w:val="20"/>
                <w:u w:val="none"/>
                <w:vertAlign w:val="superscript"/>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7C0CA8">
            <w:pPr>
              <w:jc w:val="center"/>
              <w:rPr>
                <w:rFonts w:hint="default" w:ascii="Times New Roman" w:hAnsi="Times New Roman" w:eastAsia="宋体" w:cs="Times New Roman"/>
                <w:i w:val="0"/>
                <w:color w:val="auto"/>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7ED547">
            <w:pPr>
              <w:jc w:val="center"/>
              <w:rPr>
                <w:rFonts w:hint="default" w:ascii="Times New Roman" w:hAnsi="Times New Roman" w:eastAsia="宋体" w:cs="Times New Roman"/>
                <w:i w:val="0"/>
                <w:color w:val="auto"/>
                <w:sz w:val="22"/>
                <w:szCs w:val="22"/>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BD3CA3">
            <w:pPr>
              <w:jc w:val="center"/>
              <w:rPr>
                <w:rFonts w:hint="default" w:ascii="Times New Roman" w:hAnsi="Times New Roman" w:eastAsia="宋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2CAD48">
            <w:pPr>
              <w:jc w:val="center"/>
              <w:rPr>
                <w:rFonts w:hint="default" w:ascii="Times New Roman" w:hAnsi="Times New Roman" w:eastAsia="宋体" w:cs="Times New Roman"/>
                <w:i w:val="0"/>
                <w:color w:val="auto"/>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510D164C">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-1055.2%</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25E518">
            <w:pPr>
              <w:jc w:val="center"/>
              <w:rPr>
                <w:rFonts w:hint="default" w:ascii="Times New Roman" w:hAnsi="Times New Roman" w:eastAsia="宋体" w:cs="Times New Roman"/>
                <w:i w:val="0"/>
                <w:color w:val="auto"/>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F0779E">
            <w:pPr>
              <w:jc w:val="center"/>
              <w:rPr>
                <w:rFonts w:hint="default" w:ascii="Times New Roman" w:hAnsi="Times New Roman" w:eastAsia="宋体" w:cs="Times New Roman"/>
                <w:i w:val="0"/>
                <w:color w:val="auto"/>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597E60">
            <w:pPr>
              <w:jc w:val="center"/>
              <w:rPr>
                <w:rFonts w:hint="default" w:ascii="Times New Roman" w:hAnsi="Times New Roman" w:eastAsia="宋体" w:cs="Times New Roman"/>
                <w:i w:val="0"/>
                <w:color w:val="auto"/>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5A4F7F">
            <w:pPr>
              <w:jc w:val="center"/>
              <w:rPr>
                <w:rFonts w:hint="default" w:ascii="Times New Roman" w:hAnsi="Times New Roman" w:eastAsia="宋体" w:cs="Times New Roman"/>
                <w:i w:val="0"/>
                <w:color w:val="auto"/>
                <w:sz w:val="22"/>
                <w:szCs w:val="2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C24E68">
            <w:pPr>
              <w:jc w:val="center"/>
              <w:rPr>
                <w:rFonts w:hint="default" w:ascii="Times New Roman" w:hAnsi="Times New Roman" w:eastAsia="宋体" w:cs="Times New Roman"/>
                <w:i w:val="0"/>
                <w:color w:val="auto"/>
                <w:sz w:val="22"/>
                <w:szCs w:val="22"/>
                <w:u w:val="none"/>
              </w:rPr>
            </w:pPr>
          </w:p>
        </w:tc>
      </w:tr>
      <w:tr w14:paraId="265786AD">
        <w:tblPrEx>
          <w:tblCellMar>
            <w:top w:w="0" w:type="dxa"/>
            <w:left w:w="0" w:type="dxa"/>
            <w:bottom w:w="0" w:type="dxa"/>
            <w:right w:w="0" w:type="dxa"/>
          </w:tblCellMar>
        </w:tblPrEx>
        <w:trPr>
          <w:trHeight w:val="211"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4B7AF">
            <w:pPr>
              <w:jc w:val="center"/>
              <w:rPr>
                <w:rFonts w:hint="default" w:ascii="Times New Roman" w:hAnsi="Times New Roman" w:eastAsia="宋体" w:cs="Times New Roman"/>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4463CE">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NO</w:t>
            </w:r>
            <w:r>
              <w:rPr>
                <w:rFonts w:hint="default" w:ascii="Times New Roman" w:hAnsi="Times New Roman" w:eastAsia="宋体" w:cs="Times New Roman"/>
                <w:i w:val="0"/>
                <w:color w:val="auto"/>
                <w:kern w:val="0"/>
                <w:sz w:val="20"/>
                <w:szCs w:val="20"/>
                <w:u w:val="none"/>
                <w:vertAlign w:val="subscript"/>
                <w:lang w:val="en-US" w:eastAsia="zh-CN" w:bidi="ar"/>
              </w:rPr>
              <w:t>3</w:t>
            </w:r>
            <w:r>
              <w:rPr>
                <w:rFonts w:hint="default" w:ascii="Times New Roman" w:hAnsi="Times New Roman" w:eastAsia="宋体" w:cs="Times New Roman"/>
                <w:i w:val="0"/>
                <w:color w:val="auto"/>
                <w:kern w:val="0"/>
                <w:sz w:val="20"/>
                <w:szCs w:val="20"/>
                <w:u w:val="none"/>
                <w:vertAlign w:val="superscript"/>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C3B5E7">
            <w:pPr>
              <w:jc w:val="center"/>
              <w:rPr>
                <w:rFonts w:hint="default" w:ascii="Times New Roman" w:hAnsi="Times New Roman" w:eastAsia="宋体" w:cs="Times New Roman"/>
                <w:i w:val="0"/>
                <w:color w:val="auto"/>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3B853C8F">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22.7%</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7A9FE">
            <w:pPr>
              <w:jc w:val="center"/>
              <w:rPr>
                <w:rFonts w:hint="default" w:ascii="Times New Roman" w:hAnsi="Times New Roman" w:eastAsia="宋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331149">
            <w:pPr>
              <w:jc w:val="center"/>
              <w:rPr>
                <w:rFonts w:hint="default" w:ascii="Times New Roman" w:hAnsi="Times New Roman" w:eastAsia="宋体" w:cs="Times New Roman"/>
                <w:i w:val="0"/>
                <w:color w:val="auto"/>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0BF0A8AA">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-1215.9%</w:t>
            </w:r>
          </w:p>
        </w:tc>
        <w:tc>
          <w:tcPr>
            <w:tcW w:w="941"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52A2A62D">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47.5%</w:t>
            </w:r>
          </w:p>
        </w:tc>
        <w:tc>
          <w:tcPr>
            <w:tcW w:w="794"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452BC770">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29.8%</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62CFCC">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22.7%</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98F625">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29.8%</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66CBFF">
            <w:pPr>
              <w:jc w:val="center"/>
              <w:rPr>
                <w:rFonts w:hint="default" w:ascii="Times New Roman" w:hAnsi="Times New Roman" w:eastAsia="宋体" w:cs="Times New Roman"/>
                <w:i w:val="0"/>
                <w:color w:val="auto"/>
                <w:sz w:val="22"/>
                <w:szCs w:val="22"/>
                <w:u w:val="none"/>
              </w:rPr>
            </w:pPr>
          </w:p>
        </w:tc>
      </w:tr>
      <w:tr w14:paraId="6C944078">
        <w:tblPrEx>
          <w:tblCellMar>
            <w:top w:w="0" w:type="dxa"/>
            <w:left w:w="0" w:type="dxa"/>
            <w:bottom w:w="0" w:type="dxa"/>
            <w:right w:w="0" w:type="dxa"/>
          </w:tblCellMar>
        </w:tblPrEx>
        <w:trPr>
          <w:trHeight w:val="13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CFAB8C">
            <w:pPr>
              <w:jc w:val="center"/>
              <w:rPr>
                <w:rFonts w:hint="default" w:ascii="Times New Roman" w:hAnsi="Times New Roman" w:eastAsia="宋体" w:cs="Times New Roman"/>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08CBE">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PO</w:t>
            </w:r>
            <w:r>
              <w:rPr>
                <w:rFonts w:hint="default" w:ascii="Times New Roman" w:hAnsi="Times New Roman" w:eastAsia="宋体" w:cs="Times New Roman"/>
                <w:i w:val="0"/>
                <w:color w:val="auto"/>
                <w:kern w:val="0"/>
                <w:sz w:val="20"/>
                <w:szCs w:val="20"/>
                <w:u w:val="none"/>
                <w:vertAlign w:val="subscript"/>
                <w:lang w:val="en-US" w:eastAsia="zh-CN" w:bidi="ar"/>
              </w:rPr>
              <w:t>4</w:t>
            </w:r>
            <w:r>
              <w:rPr>
                <w:rFonts w:hint="default" w:ascii="Times New Roman" w:hAnsi="Times New Roman" w:eastAsia="宋体" w:cs="Times New Roman"/>
                <w:i w:val="0"/>
                <w:color w:val="auto"/>
                <w:kern w:val="0"/>
                <w:sz w:val="20"/>
                <w:szCs w:val="20"/>
                <w:u w:val="none"/>
                <w:vertAlign w:val="superscript"/>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0C3344">
            <w:pPr>
              <w:jc w:val="center"/>
              <w:rPr>
                <w:rFonts w:hint="default" w:ascii="Times New Roman" w:hAnsi="Times New Roman" w:eastAsia="宋体" w:cs="Times New Roman"/>
                <w:i w:val="0"/>
                <w:color w:val="auto"/>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4F67B5">
            <w:pPr>
              <w:jc w:val="center"/>
              <w:rPr>
                <w:rFonts w:hint="default" w:ascii="Times New Roman" w:hAnsi="Times New Roman" w:eastAsia="宋体" w:cs="Times New Roman"/>
                <w:i w:val="0"/>
                <w:color w:val="auto"/>
                <w:sz w:val="22"/>
                <w:szCs w:val="22"/>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A65FE2">
            <w:pPr>
              <w:jc w:val="center"/>
              <w:rPr>
                <w:rFonts w:hint="default" w:ascii="Times New Roman" w:hAnsi="Times New Roman" w:eastAsia="宋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6F6D2F8B">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4.7%</w:t>
            </w:r>
          </w:p>
        </w:tc>
        <w:tc>
          <w:tcPr>
            <w:tcW w:w="1033"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2E9173C4">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36.3%</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641EB3">
            <w:pPr>
              <w:jc w:val="center"/>
              <w:rPr>
                <w:rFonts w:hint="default" w:ascii="Times New Roman" w:hAnsi="Times New Roman" w:eastAsia="宋体" w:cs="Times New Roman"/>
                <w:i w:val="0"/>
                <w:color w:val="auto"/>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B1EAB5">
            <w:pPr>
              <w:jc w:val="center"/>
              <w:rPr>
                <w:rFonts w:hint="default" w:ascii="Times New Roman" w:hAnsi="Times New Roman" w:eastAsia="宋体" w:cs="Times New Roman"/>
                <w:i w:val="0"/>
                <w:color w:val="auto"/>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7EDF8C">
            <w:pPr>
              <w:jc w:val="center"/>
              <w:rPr>
                <w:rFonts w:hint="default" w:ascii="Times New Roman" w:hAnsi="Times New Roman" w:eastAsia="宋体" w:cs="Times New Roman"/>
                <w:i w:val="0"/>
                <w:color w:val="auto"/>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6C91AD">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36.3%</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A35417">
            <w:pPr>
              <w:jc w:val="center"/>
              <w:rPr>
                <w:rFonts w:hint="default" w:ascii="Times New Roman" w:hAnsi="Times New Roman" w:eastAsia="宋体" w:cs="Times New Roman"/>
                <w:i w:val="0"/>
                <w:color w:val="auto"/>
                <w:sz w:val="22"/>
                <w:szCs w:val="22"/>
                <w:u w:val="none"/>
              </w:rPr>
            </w:pPr>
          </w:p>
        </w:tc>
      </w:tr>
      <w:tr w14:paraId="19D4EB55">
        <w:tblPrEx>
          <w:tblCellMar>
            <w:top w:w="0" w:type="dxa"/>
            <w:left w:w="0" w:type="dxa"/>
            <w:bottom w:w="0" w:type="dxa"/>
            <w:right w:w="0" w:type="dxa"/>
          </w:tblCellMar>
        </w:tblPrEx>
        <w:trPr>
          <w:trHeight w:val="13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115BD">
            <w:pPr>
              <w:jc w:val="center"/>
              <w:rPr>
                <w:rFonts w:hint="default" w:ascii="Times New Roman" w:hAnsi="Times New Roman" w:eastAsia="宋体" w:cs="Times New Roman"/>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742C4B">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SO</w:t>
            </w:r>
            <w:r>
              <w:rPr>
                <w:rFonts w:hint="default" w:ascii="Times New Roman" w:hAnsi="Times New Roman" w:eastAsia="宋体" w:cs="Times New Roman"/>
                <w:i w:val="0"/>
                <w:color w:val="auto"/>
                <w:kern w:val="0"/>
                <w:sz w:val="20"/>
                <w:szCs w:val="20"/>
                <w:u w:val="none"/>
                <w:vertAlign w:val="subscript"/>
                <w:lang w:val="en-US" w:eastAsia="zh-CN" w:bidi="ar"/>
              </w:rPr>
              <w:t>4</w:t>
            </w:r>
            <w:r>
              <w:rPr>
                <w:rFonts w:hint="default" w:ascii="Times New Roman" w:hAnsi="Times New Roman" w:eastAsia="宋体" w:cs="Times New Roman"/>
                <w:i w:val="0"/>
                <w:color w:val="auto"/>
                <w:kern w:val="0"/>
                <w:sz w:val="20"/>
                <w:szCs w:val="20"/>
                <w:u w:val="none"/>
                <w:vertAlign w:val="superscript"/>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470D6860">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7.8%</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6FD060">
            <w:pPr>
              <w:jc w:val="center"/>
              <w:rPr>
                <w:rFonts w:hint="default" w:ascii="Times New Roman" w:hAnsi="Times New Roman" w:eastAsia="宋体" w:cs="Times New Roman"/>
                <w:i w:val="0"/>
                <w:color w:val="auto"/>
                <w:sz w:val="22"/>
                <w:szCs w:val="22"/>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CDF77">
            <w:pPr>
              <w:jc w:val="center"/>
              <w:rPr>
                <w:rFonts w:hint="default" w:ascii="Times New Roman" w:hAnsi="Times New Roman" w:eastAsia="宋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32B4C957">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55.6%</w:t>
            </w:r>
          </w:p>
        </w:tc>
        <w:tc>
          <w:tcPr>
            <w:tcW w:w="1033"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201FB515">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106.7%</w:t>
            </w:r>
          </w:p>
        </w:tc>
        <w:tc>
          <w:tcPr>
            <w:tcW w:w="941"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7C301B43">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48.1%</w:t>
            </w:r>
          </w:p>
        </w:tc>
        <w:tc>
          <w:tcPr>
            <w:tcW w:w="794"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15FDF673">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41.3%</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656FC">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7.8%</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390816">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55.6%</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9C6138">
            <w:pPr>
              <w:jc w:val="center"/>
              <w:rPr>
                <w:rFonts w:hint="default" w:ascii="Times New Roman" w:hAnsi="Times New Roman" w:eastAsia="宋体" w:cs="Times New Roman"/>
                <w:i w:val="0"/>
                <w:color w:val="auto"/>
                <w:sz w:val="22"/>
                <w:szCs w:val="22"/>
                <w:u w:val="none"/>
              </w:rPr>
            </w:pPr>
          </w:p>
        </w:tc>
      </w:tr>
      <w:tr w14:paraId="4AB8EF3A">
        <w:tblPrEx>
          <w:tblCellMar>
            <w:top w:w="0" w:type="dxa"/>
            <w:left w:w="0" w:type="dxa"/>
            <w:bottom w:w="0" w:type="dxa"/>
            <w:right w:w="0" w:type="dxa"/>
          </w:tblCellMar>
        </w:tblPrEx>
        <w:trPr>
          <w:trHeight w:val="13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B8E7B0">
            <w:pPr>
              <w:jc w:val="center"/>
              <w:rPr>
                <w:rFonts w:hint="default" w:ascii="Times New Roman" w:hAnsi="Times New Roman" w:eastAsia="宋体" w:cs="Times New Roman"/>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4B5A4">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NO</w:t>
            </w:r>
            <w:r>
              <w:rPr>
                <w:rFonts w:hint="default" w:ascii="Times New Roman" w:hAnsi="Times New Roman" w:eastAsia="宋体" w:cs="Times New Roman"/>
                <w:i w:val="0"/>
                <w:color w:val="auto"/>
                <w:kern w:val="0"/>
                <w:sz w:val="20"/>
                <w:szCs w:val="20"/>
                <w:u w:val="none"/>
                <w:vertAlign w:val="subscript"/>
                <w:lang w:val="en-US" w:eastAsia="zh-CN" w:bidi="ar"/>
              </w:rPr>
              <w:t>2</w:t>
            </w:r>
            <w:r>
              <w:rPr>
                <w:rFonts w:hint="default" w:ascii="Times New Roman" w:hAnsi="Times New Roman" w:eastAsia="宋体" w:cs="Times New Roman"/>
                <w:i w:val="0"/>
                <w:color w:val="auto"/>
                <w:kern w:val="0"/>
                <w:sz w:val="20"/>
                <w:szCs w:val="20"/>
                <w:u w:val="none"/>
                <w:vertAlign w:val="superscript"/>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6CEA7854">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5.6%</w:t>
            </w:r>
          </w:p>
        </w:tc>
        <w:tc>
          <w:tcPr>
            <w:tcW w:w="818"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6F471203">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49DDD4">
            <w:pPr>
              <w:jc w:val="center"/>
              <w:rPr>
                <w:rFonts w:hint="default" w:ascii="Times New Roman" w:hAnsi="Times New Roman" w:eastAsia="宋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5E190A">
            <w:pPr>
              <w:jc w:val="center"/>
              <w:rPr>
                <w:rFonts w:hint="default" w:ascii="Times New Roman" w:hAnsi="Times New Roman" w:eastAsia="宋体" w:cs="Times New Roman"/>
                <w:i w:val="0"/>
                <w:color w:val="auto"/>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45CBE">
            <w:pPr>
              <w:jc w:val="center"/>
              <w:rPr>
                <w:rFonts w:hint="default" w:ascii="Times New Roman" w:hAnsi="Times New Roman" w:eastAsia="宋体" w:cs="Times New Roman"/>
                <w:i w:val="0"/>
                <w:color w:val="auto"/>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367164">
            <w:pPr>
              <w:jc w:val="center"/>
              <w:rPr>
                <w:rFonts w:hint="default" w:ascii="Times New Roman" w:hAnsi="Times New Roman" w:eastAsia="宋体" w:cs="Times New Roman"/>
                <w:i w:val="0"/>
                <w:color w:val="auto"/>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12C56F19">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24.3%</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3E9416">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5.6%</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9D0649">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24.3%</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864168">
            <w:pPr>
              <w:jc w:val="center"/>
              <w:rPr>
                <w:rFonts w:hint="default" w:ascii="Times New Roman" w:hAnsi="Times New Roman" w:eastAsia="宋体" w:cs="Times New Roman"/>
                <w:i w:val="0"/>
                <w:color w:val="auto"/>
                <w:sz w:val="22"/>
                <w:szCs w:val="22"/>
                <w:u w:val="none"/>
              </w:rPr>
            </w:pPr>
          </w:p>
        </w:tc>
      </w:tr>
      <w:tr w14:paraId="7AA36B65">
        <w:tblPrEx>
          <w:tblCellMar>
            <w:top w:w="0" w:type="dxa"/>
            <w:left w:w="0" w:type="dxa"/>
            <w:bottom w:w="0" w:type="dxa"/>
            <w:right w:w="0" w:type="dxa"/>
          </w:tblCellMar>
        </w:tblPrEx>
        <w:trPr>
          <w:trHeight w:val="13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7A5D69">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阴离子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F2840">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NH</w:t>
            </w:r>
            <w:r>
              <w:rPr>
                <w:rFonts w:hint="default" w:ascii="Times New Roman" w:hAnsi="Times New Roman" w:eastAsia="宋体" w:cs="Times New Roman"/>
                <w:i w:val="0"/>
                <w:color w:val="auto"/>
                <w:kern w:val="0"/>
                <w:sz w:val="20"/>
                <w:szCs w:val="20"/>
                <w:u w:val="none"/>
                <w:vertAlign w:val="subscript"/>
                <w:lang w:val="en-US" w:eastAsia="zh-CN" w:bidi="ar"/>
              </w:rPr>
              <w:t>4</w:t>
            </w:r>
            <w:r>
              <w:rPr>
                <w:rFonts w:hint="default" w:ascii="Times New Roman" w:hAnsi="Times New Roman" w:eastAsia="宋体" w:cs="Times New Roman"/>
                <w:i w:val="0"/>
                <w:color w:val="auto"/>
                <w:kern w:val="0"/>
                <w:sz w:val="20"/>
                <w:szCs w:val="20"/>
                <w:u w:val="none"/>
                <w:vertAlign w:val="superscript"/>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214B02AF">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17.1%</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15FB54">
            <w:pPr>
              <w:jc w:val="center"/>
              <w:rPr>
                <w:rFonts w:hint="default" w:ascii="Times New Roman" w:hAnsi="Times New Roman" w:eastAsia="宋体" w:cs="Times New Roman"/>
                <w:i w:val="0"/>
                <w:color w:val="auto"/>
                <w:sz w:val="22"/>
                <w:szCs w:val="22"/>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4D5735">
            <w:pPr>
              <w:jc w:val="center"/>
              <w:rPr>
                <w:rFonts w:hint="default" w:ascii="Times New Roman" w:hAnsi="Times New Roman" w:eastAsia="宋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0FAAC936">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65.3%</w:t>
            </w:r>
          </w:p>
        </w:tc>
        <w:tc>
          <w:tcPr>
            <w:tcW w:w="1033"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6EB64558">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28.5%</w:t>
            </w:r>
          </w:p>
        </w:tc>
        <w:tc>
          <w:tcPr>
            <w:tcW w:w="941"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68D01994">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w:t>
            </w:r>
          </w:p>
        </w:tc>
        <w:tc>
          <w:tcPr>
            <w:tcW w:w="794"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6DAEC7A5">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F6487">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33EB6A">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65.3%</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1CC954">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1.7%-65.3%</w:t>
            </w:r>
          </w:p>
        </w:tc>
      </w:tr>
      <w:tr w14:paraId="65E3D81A">
        <w:tblPrEx>
          <w:tblCellMar>
            <w:top w:w="0" w:type="dxa"/>
            <w:left w:w="0" w:type="dxa"/>
            <w:bottom w:w="0" w:type="dxa"/>
            <w:right w:w="0" w:type="dxa"/>
          </w:tblCellMar>
        </w:tblPrEx>
        <w:trPr>
          <w:trHeight w:val="122"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AB1DC">
            <w:pPr>
              <w:jc w:val="center"/>
              <w:rPr>
                <w:rFonts w:hint="default" w:ascii="Times New Roman" w:hAnsi="Times New Roman" w:eastAsia="宋体" w:cs="Times New Roman"/>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A5AF6">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Li</w:t>
            </w:r>
            <w:r>
              <w:rPr>
                <w:rFonts w:hint="default" w:ascii="Times New Roman" w:hAnsi="Times New Roman" w:eastAsia="宋体" w:cs="Times New Roman"/>
                <w:i w:val="0"/>
                <w:color w:val="auto"/>
                <w:kern w:val="0"/>
                <w:sz w:val="20"/>
                <w:szCs w:val="20"/>
                <w:u w:val="none"/>
                <w:vertAlign w:val="superscript"/>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04B39">
            <w:pPr>
              <w:jc w:val="center"/>
              <w:rPr>
                <w:rFonts w:hint="default" w:ascii="Times New Roman" w:hAnsi="Times New Roman" w:eastAsia="宋体" w:cs="Times New Roman"/>
                <w:i w:val="0"/>
                <w:color w:val="auto"/>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B170FF">
            <w:pPr>
              <w:jc w:val="center"/>
              <w:rPr>
                <w:rFonts w:hint="default" w:ascii="Times New Roman" w:hAnsi="Times New Roman" w:eastAsia="宋体" w:cs="Times New Roman"/>
                <w:i w:val="0"/>
                <w:color w:val="auto"/>
                <w:sz w:val="22"/>
                <w:szCs w:val="22"/>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665F1A">
            <w:pPr>
              <w:jc w:val="center"/>
              <w:rPr>
                <w:rFonts w:hint="default" w:ascii="Times New Roman" w:hAnsi="Times New Roman" w:eastAsia="宋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39C2C0">
            <w:pPr>
              <w:jc w:val="center"/>
              <w:rPr>
                <w:rFonts w:hint="default" w:ascii="Times New Roman" w:hAnsi="Times New Roman" w:eastAsia="宋体" w:cs="Times New Roman"/>
                <w:i w:val="0"/>
                <w:color w:val="auto"/>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53733364">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-152.4%</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1C6143">
            <w:pPr>
              <w:jc w:val="center"/>
              <w:rPr>
                <w:rFonts w:hint="default" w:ascii="Times New Roman" w:hAnsi="Times New Roman" w:eastAsia="宋体" w:cs="Times New Roman"/>
                <w:i w:val="0"/>
                <w:color w:val="auto"/>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812AE">
            <w:pPr>
              <w:jc w:val="center"/>
              <w:rPr>
                <w:rFonts w:hint="default" w:ascii="Times New Roman" w:hAnsi="Times New Roman" w:eastAsia="宋体" w:cs="Times New Roman"/>
                <w:i w:val="0"/>
                <w:color w:val="auto"/>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C1768">
            <w:pPr>
              <w:jc w:val="center"/>
              <w:rPr>
                <w:rFonts w:hint="default" w:ascii="Times New Roman" w:hAnsi="Times New Roman" w:eastAsia="宋体" w:cs="Times New Roman"/>
                <w:i w:val="0"/>
                <w:color w:val="auto"/>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E4C3C1">
            <w:pPr>
              <w:jc w:val="center"/>
              <w:rPr>
                <w:rFonts w:hint="default" w:ascii="Times New Roman" w:hAnsi="Times New Roman" w:eastAsia="宋体" w:cs="Times New Roman"/>
                <w:i w:val="0"/>
                <w:color w:val="auto"/>
                <w:sz w:val="22"/>
                <w:szCs w:val="2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5DC33">
            <w:pPr>
              <w:jc w:val="center"/>
              <w:rPr>
                <w:rFonts w:hint="default" w:ascii="Times New Roman" w:hAnsi="Times New Roman" w:eastAsia="宋体" w:cs="Times New Roman"/>
                <w:i w:val="0"/>
                <w:color w:val="auto"/>
                <w:sz w:val="22"/>
                <w:szCs w:val="22"/>
                <w:u w:val="none"/>
              </w:rPr>
            </w:pPr>
          </w:p>
        </w:tc>
      </w:tr>
      <w:tr w14:paraId="72371757">
        <w:tblPrEx>
          <w:tblCellMar>
            <w:top w:w="0" w:type="dxa"/>
            <w:left w:w="0" w:type="dxa"/>
            <w:bottom w:w="0" w:type="dxa"/>
            <w:right w:w="0" w:type="dxa"/>
          </w:tblCellMar>
        </w:tblPrEx>
        <w:trPr>
          <w:trHeight w:val="211"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C8A32F">
            <w:pPr>
              <w:jc w:val="center"/>
              <w:rPr>
                <w:rFonts w:hint="default" w:ascii="Times New Roman" w:hAnsi="Times New Roman" w:eastAsia="宋体" w:cs="Times New Roman"/>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1FE3C9">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Na</w:t>
            </w:r>
            <w:r>
              <w:rPr>
                <w:rFonts w:hint="default" w:ascii="Times New Roman" w:hAnsi="Times New Roman" w:eastAsia="宋体" w:cs="Times New Roman"/>
                <w:i w:val="0"/>
                <w:color w:val="auto"/>
                <w:kern w:val="0"/>
                <w:sz w:val="20"/>
                <w:szCs w:val="20"/>
                <w:u w:val="none"/>
                <w:vertAlign w:val="superscript"/>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2B86C67A">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E5746">
            <w:pPr>
              <w:jc w:val="center"/>
              <w:rPr>
                <w:rFonts w:hint="default" w:ascii="Times New Roman" w:hAnsi="Times New Roman" w:eastAsia="宋体" w:cs="Times New Roman"/>
                <w:i w:val="0"/>
                <w:color w:val="auto"/>
                <w:sz w:val="22"/>
                <w:szCs w:val="22"/>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6FD3B217">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34.7%</w:t>
            </w:r>
          </w:p>
        </w:tc>
        <w:tc>
          <w:tcPr>
            <w:tcW w:w="819"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78A83120">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148.5%</w:t>
            </w:r>
          </w:p>
        </w:tc>
        <w:tc>
          <w:tcPr>
            <w:tcW w:w="1033"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0A47AAFA">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5.2%</w:t>
            </w:r>
          </w:p>
        </w:tc>
        <w:tc>
          <w:tcPr>
            <w:tcW w:w="941"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5AB5FBE9">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16.3%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6A286B">
            <w:pPr>
              <w:jc w:val="center"/>
              <w:rPr>
                <w:rFonts w:hint="default" w:ascii="Times New Roman" w:hAnsi="Times New Roman" w:eastAsia="宋体" w:cs="Times New Roman"/>
                <w:i w:val="0"/>
                <w:color w:val="auto"/>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1429A">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16.3%</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61E07D">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34.7%</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B64160">
            <w:pPr>
              <w:jc w:val="center"/>
              <w:rPr>
                <w:rFonts w:hint="default" w:ascii="Times New Roman" w:hAnsi="Times New Roman" w:eastAsia="宋体" w:cs="Times New Roman"/>
                <w:i w:val="0"/>
                <w:color w:val="auto"/>
                <w:sz w:val="22"/>
                <w:szCs w:val="22"/>
                <w:u w:val="none"/>
              </w:rPr>
            </w:pPr>
          </w:p>
        </w:tc>
      </w:tr>
      <w:tr w14:paraId="56D91C32">
        <w:tblPrEx>
          <w:tblCellMar>
            <w:top w:w="0" w:type="dxa"/>
            <w:left w:w="0" w:type="dxa"/>
            <w:bottom w:w="0" w:type="dxa"/>
            <w:right w:w="0" w:type="dxa"/>
          </w:tblCellMar>
        </w:tblPrEx>
        <w:trPr>
          <w:trHeight w:val="122"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E7698E">
            <w:pPr>
              <w:jc w:val="center"/>
              <w:rPr>
                <w:rFonts w:hint="default" w:ascii="Times New Roman" w:hAnsi="Times New Roman" w:eastAsia="宋体" w:cs="Times New Roman"/>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F185C6">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K</w:t>
            </w:r>
            <w:r>
              <w:rPr>
                <w:rFonts w:hint="default" w:ascii="Times New Roman" w:hAnsi="Times New Roman" w:eastAsia="宋体" w:cs="Times New Roman"/>
                <w:i w:val="0"/>
                <w:color w:val="auto"/>
                <w:kern w:val="0"/>
                <w:sz w:val="20"/>
                <w:szCs w:val="20"/>
                <w:u w:val="none"/>
                <w:vertAlign w:val="superscript"/>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3184E5F1">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88.2%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2EE00D">
            <w:pPr>
              <w:jc w:val="center"/>
              <w:rPr>
                <w:rFonts w:hint="default" w:ascii="Times New Roman" w:hAnsi="Times New Roman" w:eastAsia="宋体" w:cs="Times New Roman"/>
                <w:i w:val="0"/>
                <w:color w:val="auto"/>
                <w:sz w:val="22"/>
                <w:szCs w:val="22"/>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90CB23">
            <w:pPr>
              <w:jc w:val="center"/>
              <w:rPr>
                <w:rFonts w:hint="default" w:ascii="Times New Roman" w:hAnsi="Times New Roman" w:eastAsia="宋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49B463">
            <w:pPr>
              <w:jc w:val="center"/>
              <w:rPr>
                <w:rFonts w:hint="default" w:ascii="Times New Roman" w:hAnsi="Times New Roman" w:eastAsia="宋体" w:cs="Times New Roman"/>
                <w:i w:val="0"/>
                <w:color w:val="auto"/>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73A2FDA5">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139.6%</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459925">
            <w:pPr>
              <w:jc w:val="center"/>
              <w:rPr>
                <w:rFonts w:hint="default" w:ascii="Times New Roman" w:hAnsi="Times New Roman" w:eastAsia="宋体" w:cs="Times New Roman"/>
                <w:i w:val="0"/>
                <w:color w:val="auto"/>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42C898">
            <w:pPr>
              <w:jc w:val="center"/>
              <w:rPr>
                <w:rFonts w:hint="default" w:ascii="Times New Roman" w:hAnsi="Times New Roman" w:eastAsia="宋体" w:cs="Times New Roman"/>
                <w:i w:val="0"/>
                <w:color w:val="auto"/>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2A8D7">
            <w:pPr>
              <w:jc w:val="center"/>
              <w:rPr>
                <w:rFonts w:hint="default" w:ascii="Times New Roman" w:hAnsi="Times New Roman" w:eastAsia="宋体" w:cs="Times New Roman"/>
                <w:i w:val="0"/>
                <w:color w:val="auto"/>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009CC5">
            <w:pPr>
              <w:jc w:val="center"/>
              <w:rPr>
                <w:rFonts w:hint="default" w:ascii="Times New Roman" w:hAnsi="Times New Roman" w:eastAsia="宋体" w:cs="Times New Roman"/>
                <w:i w:val="0"/>
                <w:color w:val="auto"/>
                <w:sz w:val="22"/>
                <w:szCs w:val="2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AD9B7">
            <w:pPr>
              <w:jc w:val="center"/>
              <w:rPr>
                <w:rFonts w:hint="default" w:ascii="Times New Roman" w:hAnsi="Times New Roman" w:eastAsia="宋体" w:cs="Times New Roman"/>
                <w:i w:val="0"/>
                <w:color w:val="auto"/>
                <w:sz w:val="22"/>
                <w:szCs w:val="22"/>
                <w:u w:val="none"/>
              </w:rPr>
            </w:pPr>
          </w:p>
        </w:tc>
      </w:tr>
      <w:tr w14:paraId="0EF742DF">
        <w:tblPrEx>
          <w:tblCellMar>
            <w:top w:w="0" w:type="dxa"/>
            <w:left w:w="0" w:type="dxa"/>
            <w:bottom w:w="0" w:type="dxa"/>
            <w:right w:w="0" w:type="dxa"/>
          </w:tblCellMar>
        </w:tblPrEx>
        <w:trPr>
          <w:trHeight w:val="122"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C493AD">
            <w:pPr>
              <w:jc w:val="center"/>
              <w:rPr>
                <w:rFonts w:hint="default" w:ascii="Times New Roman" w:hAnsi="Times New Roman" w:eastAsia="宋体" w:cs="Times New Roman"/>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96BBE">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Mg</w:t>
            </w:r>
            <w:r>
              <w:rPr>
                <w:rFonts w:hint="default" w:ascii="Times New Roman" w:hAnsi="Times New Roman" w:eastAsia="宋体" w:cs="Times New Roman"/>
                <w:i w:val="0"/>
                <w:color w:val="auto"/>
                <w:kern w:val="0"/>
                <w:sz w:val="20"/>
                <w:szCs w:val="20"/>
                <w:u w:val="none"/>
                <w:vertAlign w:val="superscript"/>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D1722">
            <w:pPr>
              <w:jc w:val="center"/>
              <w:rPr>
                <w:rFonts w:hint="default" w:ascii="Times New Roman" w:hAnsi="Times New Roman" w:eastAsia="宋体" w:cs="Times New Roman"/>
                <w:i w:val="0"/>
                <w:color w:val="auto"/>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AF4A1">
            <w:pPr>
              <w:jc w:val="center"/>
              <w:rPr>
                <w:rFonts w:hint="default" w:ascii="Times New Roman" w:hAnsi="Times New Roman" w:eastAsia="宋体" w:cs="Times New Roman"/>
                <w:i w:val="0"/>
                <w:color w:val="auto"/>
                <w:sz w:val="22"/>
                <w:szCs w:val="22"/>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91282">
            <w:pPr>
              <w:jc w:val="center"/>
              <w:rPr>
                <w:rFonts w:hint="default" w:ascii="Times New Roman" w:hAnsi="Times New Roman" w:eastAsia="宋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2DCC26">
            <w:pPr>
              <w:jc w:val="center"/>
              <w:rPr>
                <w:rFonts w:hint="default" w:ascii="Times New Roman" w:hAnsi="Times New Roman" w:eastAsia="宋体" w:cs="Times New Roman"/>
                <w:i w:val="0"/>
                <w:color w:val="auto"/>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708AD104">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211.3%</w:t>
            </w:r>
          </w:p>
        </w:tc>
        <w:tc>
          <w:tcPr>
            <w:tcW w:w="941"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6085D286">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58.6%</w:t>
            </w:r>
          </w:p>
        </w:tc>
        <w:tc>
          <w:tcPr>
            <w:tcW w:w="794"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3C82CC46">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31.3%</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7EC9F">
            <w:pPr>
              <w:jc w:val="center"/>
              <w:rPr>
                <w:rFonts w:hint="default" w:ascii="Times New Roman" w:hAnsi="Times New Roman" w:eastAsia="宋体" w:cs="Times New Roman"/>
                <w:i w:val="0"/>
                <w:color w:val="auto"/>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A8FA81">
            <w:pPr>
              <w:jc w:val="center"/>
              <w:rPr>
                <w:rFonts w:hint="default" w:ascii="Times New Roman" w:hAnsi="Times New Roman" w:eastAsia="宋体" w:cs="Times New Roman"/>
                <w:i w:val="0"/>
                <w:color w:val="auto"/>
                <w:sz w:val="22"/>
                <w:szCs w:val="2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DD2873">
            <w:pPr>
              <w:jc w:val="center"/>
              <w:rPr>
                <w:rFonts w:hint="default" w:ascii="Times New Roman" w:hAnsi="Times New Roman" w:eastAsia="宋体" w:cs="Times New Roman"/>
                <w:i w:val="0"/>
                <w:color w:val="auto"/>
                <w:sz w:val="22"/>
                <w:szCs w:val="22"/>
                <w:u w:val="none"/>
              </w:rPr>
            </w:pPr>
          </w:p>
        </w:tc>
      </w:tr>
      <w:tr w14:paraId="0B65A348">
        <w:tblPrEx>
          <w:tblCellMar>
            <w:top w:w="0" w:type="dxa"/>
            <w:left w:w="0" w:type="dxa"/>
            <w:bottom w:w="0" w:type="dxa"/>
            <w:right w:w="0" w:type="dxa"/>
          </w:tblCellMar>
        </w:tblPrEx>
        <w:trPr>
          <w:trHeight w:val="122"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23E411">
            <w:pPr>
              <w:jc w:val="center"/>
              <w:rPr>
                <w:rFonts w:hint="default" w:ascii="Times New Roman" w:hAnsi="Times New Roman" w:eastAsia="宋体" w:cs="Times New Roman"/>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468690">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Ca</w:t>
            </w:r>
            <w:r>
              <w:rPr>
                <w:rFonts w:hint="default" w:ascii="Times New Roman" w:hAnsi="Times New Roman" w:eastAsia="宋体" w:cs="Times New Roman"/>
                <w:i w:val="0"/>
                <w:color w:val="auto"/>
                <w:kern w:val="0"/>
                <w:sz w:val="20"/>
                <w:szCs w:val="20"/>
                <w:u w:val="none"/>
                <w:vertAlign w:val="superscript"/>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408B09">
            <w:pPr>
              <w:jc w:val="center"/>
              <w:rPr>
                <w:rFonts w:hint="default" w:ascii="Times New Roman" w:hAnsi="Times New Roman" w:eastAsia="宋体" w:cs="Times New Roman"/>
                <w:i w:val="0"/>
                <w:color w:val="auto"/>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1FFAA">
            <w:pPr>
              <w:jc w:val="center"/>
              <w:rPr>
                <w:rFonts w:hint="default" w:ascii="Times New Roman" w:hAnsi="Times New Roman" w:eastAsia="宋体" w:cs="Times New Roman"/>
                <w:i w:val="0"/>
                <w:color w:val="auto"/>
                <w:sz w:val="22"/>
                <w:szCs w:val="22"/>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92D050"/>
            <w:noWrap/>
            <w:tcMar>
              <w:top w:w="12" w:type="dxa"/>
              <w:left w:w="12" w:type="dxa"/>
              <w:right w:w="12" w:type="dxa"/>
            </w:tcMar>
            <w:vAlign w:val="center"/>
          </w:tcPr>
          <w:p w14:paraId="3B9DA61A">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55.7%</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4C4A1A">
            <w:pPr>
              <w:jc w:val="center"/>
              <w:rPr>
                <w:rFonts w:hint="default" w:ascii="Times New Roman" w:hAnsi="Times New Roman" w:eastAsia="宋体" w:cs="Times New Roman"/>
                <w:i w:val="0"/>
                <w:color w:val="auto"/>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3DACBC5C">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137.8%</w:t>
            </w:r>
          </w:p>
        </w:tc>
        <w:tc>
          <w:tcPr>
            <w:tcW w:w="941" w:type="dxa"/>
            <w:tcBorders>
              <w:top w:val="single" w:color="000000" w:sz="4" w:space="0"/>
              <w:left w:val="single" w:color="000000" w:sz="4" w:space="0"/>
              <w:bottom w:val="single" w:color="000000" w:sz="4" w:space="0"/>
              <w:right w:val="single" w:color="000000" w:sz="4" w:space="0"/>
            </w:tcBorders>
            <w:shd w:val="clear" w:color="auto" w:fill="FFFF00"/>
            <w:noWrap/>
            <w:tcMar>
              <w:top w:w="12" w:type="dxa"/>
              <w:left w:w="12" w:type="dxa"/>
              <w:right w:w="12" w:type="dxa"/>
            </w:tcMar>
            <w:vAlign w:val="center"/>
          </w:tcPr>
          <w:p w14:paraId="1525CECF">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3.8%</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938C60">
            <w:pPr>
              <w:jc w:val="center"/>
              <w:rPr>
                <w:rFonts w:hint="default" w:ascii="Times New Roman" w:hAnsi="Times New Roman" w:eastAsia="宋体" w:cs="Times New Roman"/>
                <w:i w:val="0"/>
                <w:color w:val="auto"/>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2B8AB">
            <w:pPr>
              <w:jc w:val="center"/>
              <w:rPr>
                <w:rFonts w:hint="default" w:ascii="Times New Roman" w:hAnsi="Times New Roman" w:eastAsia="宋体" w:cs="Times New Roman"/>
                <w:i w:val="0"/>
                <w:color w:val="auto"/>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5D2CF">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55.7%</w:t>
            </w: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DB150">
            <w:pPr>
              <w:jc w:val="center"/>
              <w:rPr>
                <w:rFonts w:hint="default" w:ascii="Times New Roman" w:hAnsi="Times New Roman" w:eastAsia="宋体" w:cs="Times New Roman"/>
                <w:i w:val="0"/>
                <w:color w:val="auto"/>
                <w:sz w:val="22"/>
                <w:szCs w:val="22"/>
                <w:u w:val="none"/>
              </w:rPr>
            </w:pPr>
          </w:p>
        </w:tc>
      </w:tr>
      <w:tr w14:paraId="127229BA">
        <w:tblPrEx>
          <w:tblCellMar>
            <w:top w:w="0" w:type="dxa"/>
            <w:left w:w="0" w:type="dxa"/>
            <w:bottom w:w="0" w:type="dxa"/>
            <w:right w:w="0" w:type="dxa"/>
          </w:tblCellMar>
        </w:tblPrEx>
        <w:trPr>
          <w:trHeight w:val="135"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3E83F">
            <w:pPr>
              <w:jc w:val="center"/>
              <w:rPr>
                <w:rFonts w:hint="default" w:ascii="Times New Roman" w:hAnsi="Times New Roman" w:eastAsia="宋体" w:cs="Times New Roman"/>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36806">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其他</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1E5805">
            <w:pPr>
              <w:jc w:val="center"/>
              <w:rPr>
                <w:rFonts w:hint="default" w:ascii="Times New Roman" w:hAnsi="Times New Roman" w:eastAsia="宋体" w:cs="Times New Roman"/>
                <w:i w:val="0"/>
                <w:color w:val="auto"/>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D610EC">
            <w:pPr>
              <w:jc w:val="center"/>
              <w:rPr>
                <w:rFonts w:hint="default" w:ascii="Times New Roman" w:hAnsi="Times New Roman" w:eastAsia="宋体" w:cs="Times New Roman"/>
                <w:i w:val="0"/>
                <w:color w:val="auto"/>
                <w:sz w:val="22"/>
                <w:szCs w:val="22"/>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D404D2">
            <w:pPr>
              <w:jc w:val="center"/>
              <w:rPr>
                <w:rFonts w:hint="default" w:ascii="Times New Roman" w:hAnsi="Times New Roman" w:eastAsia="宋体" w:cs="Times New Roman"/>
                <w:i w:val="0"/>
                <w:color w:val="auto"/>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BCDED">
            <w:pPr>
              <w:jc w:val="center"/>
              <w:rPr>
                <w:rFonts w:hint="default" w:ascii="Times New Roman" w:hAnsi="Times New Roman" w:eastAsia="宋体" w:cs="Times New Roman"/>
                <w:i w:val="0"/>
                <w:color w:val="auto"/>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78FA2A">
            <w:pPr>
              <w:jc w:val="center"/>
              <w:rPr>
                <w:rFonts w:hint="default" w:ascii="Times New Roman" w:hAnsi="Times New Roman" w:eastAsia="宋体" w:cs="Times New Roman"/>
                <w:i w:val="0"/>
                <w:color w:val="auto"/>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6B69DE">
            <w:pPr>
              <w:jc w:val="center"/>
              <w:rPr>
                <w:rFonts w:hint="default" w:ascii="Times New Roman" w:hAnsi="Times New Roman" w:eastAsia="宋体" w:cs="Times New Roman"/>
                <w:i w:val="0"/>
                <w:color w:val="auto"/>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01F51B">
            <w:pPr>
              <w:jc w:val="center"/>
              <w:rPr>
                <w:rFonts w:hint="default" w:ascii="Times New Roman" w:hAnsi="Times New Roman" w:eastAsia="宋体" w:cs="Times New Roman"/>
                <w:i w:val="0"/>
                <w:color w:val="auto"/>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ACA3B2">
            <w:pPr>
              <w:jc w:val="center"/>
              <w:rPr>
                <w:rFonts w:hint="default" w:ascii="Times New Roman" w:hAnsi="Times New Roman" w:eastAsia="宋体" w:cs="Times New Roman"/>
                <w:i w:val="0"/>
                <w:color w:val="auto"/>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36DD3A">
            <w:pPr>
              <w:jc w:val="center"/>
              <w:rPr>
                <w:rFonts w:hint="default" w:ascii="Times New Roman" w:hAnsi="Times New Roman" w:eastAsia="宋体" w:cs="Times New Roman"/>
                <w:i w:val="0"/>
                <w:color w:val="auto"/>
                <w:sz w:val="22"/>
                <w:szCs w:val="2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B317BC">
            <w:pPr>
              <w:jc w:val="center"/>
              <w:rPr>
                <w:rFonts w:hint="default" w:ascii="Times New Roman" w:hAnsi="Times New Roman" w:eastAsia="宋体" w:cs="Times New Roman"/>
                <w:i w:val="0"/>
                <w:color w:val="auto"/>
                <w:sz w:val="22"/>
                <w:szCs w:val="22"/>
                <w:u w:val="none"/>
              </w:rPr>
            </w:pPr>
          </w:p>
        </w:tc>
      </w:tr>
    </w:tbl>
    <w:p w14:paraId="3CA48F44">
      <w:pPr>
        <w:pStyle w:val="2"/>
        <w:rPr>
          <w:rFonts w:hint="default"/>
          <w:color w:val="auto"/>
        </w:rPr>
      </w:pPr>
    </w:p>
    <w:p w14:paraId="5440578D">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注：</w:t>
      </w:r>
    </w:p>
    <w:p w14:paraId="5AAC7650">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各家实验室的设备型号及采样器皿不同，其空白值控制水平不同，因空气中AMC含量较低，故以上数据符合下列情况时视为无效数据</w:t>
      </w:r>
      <w:r>
        <w:rPr>
          <w:rFonts w:hint="eastAsia" w:ascii="Times New Roman" w:hAnsi="Times New Roman" w:eastAsia="宋体" w:cs="Times New Roman"/>
          <w:color w:val="auto"/>
          <w:sz w:val="24"/>
          <w:szCs w:val="24"/>
          <w:lang w:val="en-US" w:eastAsia="zh-CN"/>
        </w:rPr>
        <w:t>（标黄部分）</w:t>
      </w:r>
      <w:r>
        <w:rPr>
          <w:rFonts w:hint="default" w:ascii="Times New Roman" w:hAnsi="Times New Roman" w:eastAsia="宋体" w:cs="Times New Roman"/>
          <w:color w:val="auto"/>
          <w:sz w:val="24"/>
          <w:szCs w:val="24"/>
          <w:lang w:val="en-US" w:eastAsia="zh-CN"/>
        </w:rPr>
        <w:t>：</w:t>
      </w:r>
    </w:p>
    <w:p w14:paraId="52748E7B">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a.测试值＜空白值；</w:t>
      </w:r>
    </w:p>
    <w:p w14:paraId="0C238CA3">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b.测试值低于各实验室设定的MDL；</w:t>
      </w:r>
    </w:p>
    <w:p w14:paraId="198A98FB">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c.三个样中明显存在样</w:t>
      </w:r>
      <w:r>
        <w:rPr>
          <w:rFonts w:hint="eastAsia" w:ascii="Times New Roman" w:hAnsi="Times New Roman" w:eastAsia="宋体" w:cs="Times New Roman"/>
          <w:color w:val="auto"/>
          <w:sz w:val="24"/>
          <w:szCs w:val="24"/>
          <w:lang w:val="en-US" w:eastAsia="zh-CN"/>
        </w:rPr>
        <w:t>品</w:t>
      </w:r>
      <w:r>
        <w:rPr>
          <w:rFonts w:hint="default" w:ascii="Times New Roman" w:hAnsi="Times New Roman" w:eastAsia="宋体" w:cs="Times New Roman"/>
          <w:color w:val="auto"/>
          <w:sz w:val="24"/>
          <w:szCs w:val="24"/>
          <w:lang w:val="en-US" w:eastAsia="zh-CN"/>
        </w:rPr>
        <w:t>污染或容器污染导致异常值；</w:t>
      </w:r>
    </w:p>
    <w:p w14:paraId="63AF08D2">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d.单个样测试3次的重复性较差的数据。</w:t>
      </w:r>
    </w:p>
    <w:p w14:paraId="314A5738">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详细测试结果详见各实验室提供原始测试记录：（附页）</w:t>
      </w:r>
    </w:p>
    <w:p w14:paraId="2A84F57C">
      <w:pPr>
        <w:spacing w:line="360" w:lineRule="auto"/>
        <w:jc w:val="left"/>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四</w:t>
      </w:r>
      <w:r>
        <w:rPr>
          <w:rFonts w:hint="default" w:ascii="Times New Roman" w:hAnsi="Times New Roman" w:eastAsia="宋体" w:cs="Times New Roman"/>
          <w:b/>
          <w:bCs/>
          <w:color w:val="auto"/>
          <w:sz w:val="24"/>
          <w:szCs w:val="24"/>
          <w:highlight w:val="none"/>
        </w:rPr>
        <w:t>、标准水平分析</w:t>
      </w:r>
    </w:p>
    <w:p w14:paraId="5E13F5D5">
      <w:pPr>
        <w:spacing w:line="360" w:lineRule="auto"/>
        <w:ind w:firstLine="480" w:firstLineChars="200"/>
        <w:jc w:val="left"/>
        <w:rPr>
          <w:rFonts w:hint="default"/>
          <w:color w:val="auto"/>
          <w:lang w:val="en-US" w:eastAsia="zh-CN"/>
        </w:rPr>
      </w:pPr>
      <w:r>
        <w:rPr>
          <w:rFonts w:hint="default" w:ascii="Times New Roman" w:hAnsi="Times New Roman" w:eastAsia="宋体" w:cs="Times New Roman"/>
          <w:color w:val="auto"/>
          <w:sz w:val="24"/>
          <w:szCs w:val="24"/>
          <w:highlight w:val="none"/>
        </w:rPr>
        <w:t>本标准为首次制定</w:t>
      </w:r>
      <w:r>
        <w:rPr>
          <w:rFonts w:hint="default" w:ascii="Times New Roman" w:hAnsi="Times New Roman" w:eastAsia="宋体" w:cs="Times New Roman"/>
          <w:color w:val="auto"/>
          <w:sz w:val="24"/>
          <w:szCs w:val="24"/>
          <w:highlight w:val="none"/>
          <w:lang w:val="en-US" w:eastAsia="zh-CN"/>
        </w:rPr>
        <w:t>针对半导体洁净室所关注的极低含量的AMC（</w:t>
      </w:r>
      <w:r>
        <w:rPr>
          <w:rFonts w:hint="default" w:ascii="Times New Roman" w:hAnsi="Times New Roman" w:eastAsia="宋体" w:cs="Times New Roman"/>
          <w:color w:val="auto"/>
          <w:kern w:val="2"/>
          <w:sz w:val="24"/>
          <w:szCs w:val="24"/>
          <w:highlight w:val="none"/>
        </w:rPr>
        <w:t>Air molecular contaminant</w:t>
      </w:r>
      <w:r>
        <w:rPr>
          <w:rFonts w:hint="default" w:ascii="Times New Roman" w:hAnsi="Times New Roman" w:eastAsia="宋体" w:cs="Times New Roman"/>
          <w:color w:val="auto"/>
          <w:sz w:val="24"/>
          <w:szCs w:val="24"/>
          <w:highlight w:val="none"/>
          <w:lang w:val="en-US" w:eastAsia="zh-CN"/>
        </w:rPr>
        <w:t>）的测试方法，其包含了采样方法和测试方法两部分，其操作简单，器具易获得等特点，能够对洁净室的AMC含量进行表征，以改善其制程管控能力，具有国内领先水平。</w:t>
      </w:r>
    </w:p>
    <w:p w14:paraId="3C900A89">
      <w:pPr>
        <w:spacing w:line="360" w:lineRule="auto"/>
        <w:jc w:val="left"/>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rPr>
        <w:t>、与现行法律、法规及强制性国家标准协调配套情况</w:t>
      </w:r>
    </w:p>
    <w:p w14:paraId="4C14E3A3">
      <w:pPr>
        <w:tabs>
          <w:tab w:val="left" w:pos="567"/>
        </w:tabs>
        <w:spacing w:before="156" w:beforeLines="50" w:after="156" w:after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本标准不违反国家现行的有关法律、法规，与现行的国家标准、国家军用标准、行业标准没有冲突。</w:t>
      </w:r>
    </w:p>
    <w:p w14:paraId="175F613E">
      <w:pPr>
        <w:tabs>
          <w:tab w:val="left" w:pos="567"/>
        </w:tabs>
        <w:spacing w:before="156" w:beforeLines="50" w:after="156" w:afterLines="50" w:line="360" w:lineRule="auto"/>
        <w:rPr>
          <w:b/>
          <w:bCs/>
          <w:color w:val="auto"/>
          <w:sz w:val="24"/>
          <w:szCs w:val="24"/>
        </w:rPr>
      </w:pPr>
      <w:r>
        <w:rPr>
          <w:rFonts w:hint="eastAsia"/>
          <w:b/>
          <w:bCs/>
          <w:color w:val="auto"/>
          <w:sz w:val="24"/>
          <w:szCs w:val="24"/>
          <w:lang w:val="en-US" w:eastAsia="zh-CN"/>
        </w:rPr>
        <w:t>六</w:t>
      </w:r>
      <w:r>
        <w:rPr>
          <w:rFonts w:hint="eastAsia"/>
          <w:b/>
          <w:bCs/>
          <w:color w:val="auto"/>
          <w:sz w:val="24"/>
          <w:szCs w:val="24"/>
        </w:rPr>
        <w:t>、</w:t>
      </w:r>
      <w:r>
        <w:rPr>
          <w:b/>
          <w:bCs/>
          <w:color w:val="auto"/>
          <w:sz w:val="24"/>
          <w:szCs w:val="24"/>
        </w:rPr>
        <w:t>重大分歧意见的处理经过和依据</w:t>
      </w:r>
    </w:p>
    <w:p w14:paraId="2D64A7FA">
      <w:pPr>
        <w:tabs>
          <w:tab w:val="left" w:pos="567"/>
        </w:tabs>
        <w:spacing w:before="156" w:beforeLines="50" w:after="156" w:afterLines="50" w:line="360" w:lineRule="auto"/>
        <w:ind w:firstLine="480" w:firstLineChars="200"/>
        <w:rPr>
          <w:b/>
          <w:bCs/>
          <w:color w:val="auto"/>
          <w:sz w:val="24"/>
          <w:szCs w:val="24"/>
        </w:rPr>
      </w:pPr>
      <w:r>
        <w:rPr>
          <w:rFonts w:hint="eastAsia"/>
          <w:color w:val="auto"/>
          <w:sz w:val="24"/>
          <w:szCs w:val="24"/>
          <w:lang w:val="en-US" w:eastAsia="zh-CN"/>
        </w:rPr>
        <w:t>无</w:t>
      </w:r>
      <w:r>
        <w:rPr>
          <w:rFonts w:hint="eastAsia"/>
          <w:color w:val="auto"/>
          <w:sz w:val="24"/>
          <w:szCs w:val="24"/>
        </w:rPr>
        <w:t>。</w:t>
      </w:r>
    </w:p>
    <w:p w14:paraId="6A95C3C4">
      <w:pPr>
        <w:tabs>
          <w:tab w:val="left" w:pos="567"/>
        </w:tabs>
        <w:spacing w:before="156" w:beforeLines="50" w:after="156" w:afterLines="50" w:line="360" w:lineRule="auto"/>
        <w:rPr>
          <w:b/>
          <w:bCs/>
          <w:color w:val="auto"/>
          <w:sz w:val="24"/>
          <w:szCs w:val="24"/>
        </w:rPr>
      </w:pPr>
      <w:r>
        <w:rPr>
          <w:rFonts w:hint="eastAsia"/>
          <w:b/>
          <w:bCs/>
          <w:color w:val="auto"/>
          <w:sz w:val="24"/>
          <w:szCs w:val="24"/>
          <w:lang w:val="en-US" w:eastAsia="zh-CN"/>
        </w:rPr>
        <w:t>七</w:t>
      </w:r>
      <w:r>
        <w:rPr>
          <w:rFonts w:hint="eastAsia"/>
          <w:b/>
          <w:bCs/>
          <w:color w:val="auto"/>
          <w:sz w:val="24"/>
          <w:szCs w:val="24"/>
        </w:rPr>
        <w:t>、</w:t>
      </w:r>
      <w:r>
        <w:rPr>
          <w:b/>
          <w:bCs/>
          <w:color w:val="auto"/>
          <w:sz w:val="24"/>
          <w:szCs w:val="24"/>
        </w:rPr>
        <w:t>标准作为强制性标准或推荐性标准的建议</w:t>
      </w:r>
    </w:p>
    <w:p w14:paraId="271DDD35">
      <w:pPr>
        <w:spacing w:line="360" w:lineRule="auto"/>
        <w:ind w:firstLine="480" w:firstLineChars="200"/>
        <w:rPr>
          <w:color w:val="auto"/>
          <w:sz w:val="24"/>
          <w:szCs w:val="24"/>
        </w:rPr>
      </w:pPr>
      <w:r>
        <w:rPr>
          <w:color w:val="auto"/>
          <w:sz w:val="24"/>
          <w:szCs w:val="24"/>
        </w:rPr>
        <w:t>建议</w:t>
      </w:r>
      <w:r>
        <w:rPr>
          <w:rFonts w:hint="eastAsia"/>
          <w:color w:val="auto"/>
          <w:sz w:val="24"/>
          <w:szCs w:val="24"/>
        </w:rPr>
        <w:t>将</w:t>
      </w:r>
      <w:r>
        <w:rPr>
          <w:color w:val="auto"/>
          <w:sz w:val="24"/>
          <w:szCs w:val="24"/>
        </w:rPr>
        <w:t>本标准作为</w:t>
      </w:r>
      <w:r>
        <w:rPr>
          <w:rFonts w:hint="default" w:ascii="Times New Roman" w:hAnsi="Times New Roman" w:eastAsia="宋体" w:cs="Times New Roman"/>
          <w:color w:val="auto"/>
          <w:sz w:val="24"/>
          <w:szCs w:val="24"/>
          <w:highlight w:val="none"/>
          <w:lang w:val="en-US" w:eastAsia="zh-CN"/>
        </w:rPr>
        <w:t>团体</w:t>
      </w:r>
      <w:r>
        <w:rPr>
          <w:color w:val="auto"/>
          <w:sz w:val="24"/>
          <w:szCs w:val="24"/>
        </w:rPr>
        <w:t>标准发布实施。</w:t>
      </w:r>
    </w:p>
    <w:p w14:paraId="0E48412A">
      <w:pPr>
        <w:numPr>
          <w:ilvl w:val="0"/>
          <w:numId w:val="0"/>
        </w:numPr>
        <w:tabs>
          <w:tab w:val="left" w:pos="567"/>
        </w:tabs>
        <w:spacing w:before="156" w:beforeLines="50" w:after="156" w:afterLines="50" w:line="360" w:lineRule="auto"/>
        <w:ind w:leftChars="0"/>
        <w:rPr>
          <w:b/>
          <w:bCs/>
          <w:color w:val="auto"/>
          <w:sz w:val="24"/>
          <w:szCs w:val="24"/>
        </w:rPr>
      </w:pPr>
      <w:r>
        <w:rPr>
          <w:rFonts w:hint="eastAsia"/>
          <w:b/>
          <w:bCs/>
          <w:color w:val="auto"/>
          <w:sz w:val="24"/>
          <w:szCs w:val="24"/>
          <w:lang w:val="en-US" w:eastAsia="zh-CN"/>
        </w:rPr>
        <w:t>八</w:t>
      </w:r>
      <w:r>
        <w:rPr>
          <w:rFonts w:hint="eastAsia"/>
          <w:b/>
          <w:bCs/>
          <w:color w:val="auto"/>
          <w:sz w:val="24"/>
          <w:szCs w:val="24"/>
        </w:rPr>
        <w:t>、</w:t>
      </w:r>
      <w:r>
        <w:rPr>
          <w:b/>
          <w:bCs/>
          <w:color w:val="auto"/>
          <w:sz w:val="24"/>
          <w:szCs w:val="24"/>
        </w:rPr>
        <w:t>代替或废止现行有关标准的建议</w:t>
      </w:r>
    </w:p>
    <w:p w14:paraId="0B14F379">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eastAsia"/>
          <w:color w:val="auto"/>
          <w:sz w:val="24"/>
          <w:szCs w:val="24"/>
          <w:lang w:val="en-US" w:eastAsia="zh-CN"/>
        </w:rPr>
        <w:t>本标准为初次发行</w:t>
      </w:r>
      <w:r>
        <w:rPr>
          <w:rFonts w:hint="eastAsia"/>
          <w:color w:val="auto"/>
          <w:sz w:val="24"/>
          <w:szCs w:val="24"/>
        </w:rPr>
        <w:t>。</w:t>
      </w:r>
    </w:p>
    <w:p w14:paraId="77A77EF6">
      <w:pPr>
        <w:spacing w:line="360" w:lineRule="auto"/>
        <w:jc w:val="left"/>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九</w:t>
      </w:r>
      <w:r>
        <w:rPr>
          <w:rFonts w:hint="default" w:ascii="Times New Roman" w:hAnsi="Times New Roman" w:eastAsia="宋体" w:cs="Times New Roman"/>
          <w:b/>
          <w:bCs/>
          <w:color w:val="auto"/>
          <w:sz w:val="24"/>
          <w:szCs w:val="24"/>
          <w:highlight w:val="none"/>
        </w:rPr>
        <w:t>、其他应予说明的事项</w:t>
      </w:r>
    </w:p>
    <w:p w14:paraId="33666C52">
      <w:pPr>
        <w:spacing w:line="360" w:lineRule="auto"/>
        <w:ind w:firstLine="42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本标准是</w:t>
      </w:r>
      <w:r>
        <w:rPr>
          <w:rFonts w:hint="default" w:ascii="Times New Roman" w:hAnsi="Times New Roman" w:eastAsia="宋体" w:cs="Times New Roman"/>
          <w:color w:val="auto"/>
          <w:sz w:val="24"/>
          <w:szCs w:val="24"/>
          <w:highlight w:val="none"/>
          <w:lang w:val="en-US" w:eastAsia="zh-CN"/>
        </w:rPr>
        <w:t>采用的业内普遍存在的比较成熟大气采集技术和仪器分析技术</w:t>
      </w:r>
      <w:r>
        <w:rPr>
          <w:rFonts w:hint="default" w:ascii="Times New Roman" w:hAnsi="Times New Roman" w:eastAsia="宋体" w:cs="Times New Roman"/>
          <w:color w:val="auto"/>
          <w:sz w:val="24"/>
          <w:szCs w:val="24"/>
          <w:highlight w:val="none"/>
        </w:rPr>
        <w:t>，未涉及专利问题</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通过该方法可以协助行业对AMC含量评价方法的统一，</w:t>
      </w:r>
      <w:r>
        <w:rPr>
          <w:rFonts w:hint="default" w:ascii="Times New Roman" w:hAnsi="Times New Roman" w:eastAsia="宋体" w:cs="Times New Roman"/>
          <w:color w:val="auto"/>
          <w:sz w:val="24"/>
          <w:szCs w:val="24"/>
          <w:highlight w:val="none"/>
        </w:rPr>
        <w:t>若对结果有疑义，以供需双方商议的测试方法为准。</w:t>
      </w:r>
    </w:p>
    <w:p w14:paraId="4328A5E4">
      <w:pPr>
        <w:spacing w:line="360" w:lineRule="auto"/>
        <w:ind w:firstLine="420"/>
        <w:jc w:val="left"/>
        <w:rPr>
          <w:rFonts w:hint="default" w:ascii="Times New Roman" w:hAnsi="Times New Roman" w:eastAsia="宋体" w:cs="Times New Roman"/>
          <w:color w:val="auto"/>
          <w:sz w:val="24"/>
          <w:szCs w:val="24"/>
          <w:highlight w:val="none"/>
        </w:rPr>
      </w:pPr>
    </w:p>
    <w:p w14:paraId="74F995E6">
      <w:pPr>
        <w:spacing w:line="360" w:lineRule="auto"/>
        <w:ind w:firstLine="420"/>
        <w:jc w:val="left"/>
        <w:rPr>
          <w:rFonts w:hint="default" w:ascii="Times New Roman" w:hAnsi="Times New Roman" w:eastAsia="宋体" w:cs="Times New Roman"/>
          <w:color w:val="auto"/>
          <w:sz w:val="24"/>
          <w:szCs w:val="24"/>
          <w:highlight w:val="none"/>
        </w:rPr>
      </w:pPr>
    </w:p>
    <w:p w14:paraId="05E85CEA">
      <w:pPr>
        <w:spacing w:line="360" w:lineRule="auto"/>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标准编制组</w:t>
      </w:r>
    </w:p>
    <w:p w14:paraId="09A4369C">
      <w:pPr>
        <w:spacing w:line="360" w:lineRule="auto"/>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 xml:space="preserve"> 年</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 xml:space="preserve"> 月</w:t>
      </w:r>
    </w:p>
    <w:p w14:paraId="16A56938">
      <w:pPr>
        <w:jc w:val="right"/>
        <w:rPr>
          <w:rFonts w:hint="default" w:ascii="Times New Roman" w:hAnsi="Times New Roman" w:eastAsia="宋体" w:cs="Times New Roman"/>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81D3029"/>
    <w:multiLevelType w:val="singleLevel"/>
    <w:tmpl w:val="381D3029"/>
    <w:lvl w:ilvl="0" w:tentative="0">
      <w:start w:val="1"/>
      <w:numFmt w:val="lowerLetter"/>
      <w:suff w:val="space"/>
      <w:lvlText w:val="%1)"/>
      <w:lvlJc w:val="left"/>
    </w:lvl>
  </w:abstractNum>
  <w:abstractNum w:abstractNumId="2">
    <w:nsid w:val="646260FA"/>
    <w:multiLevelType w:val="multilevel"/>
    <w:tmpl w:val="646260FA"/>
    <w:lvl w:ilvl="0" w:tentative="0">
      <w:start w:val="1"/>
      <w:numFmt w:val="decimal"/>
      <w:pStyle w:val="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2"/>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00000"/>
    <w:rsid w:val="052C20EB"/>
    <w:rsid w:val="059F6268"/>
    <w:rsid w:val="06451D8E"/>
    <w:rsid w:val="077913F3"/>
    <w:rsid w:val="07DE0409"/>
    <w:rsid w:val="08711608"/>
    <w:rsid w:val="09502B7B"/>
    <w:rsid w:val="0B3501A9"/>
    <w:rsid w:val="0D8F34D5"/>
    <w:rsid w:val="103F6734"/>
    <w:rsid w:val="12874057"/>
    <w:rsid w:val="12E038BA"/>
    <w:rsid w:val="14F94472"/>
    <w:rsid w:val="17663C49"/>
    <w:rsid w:val="1CA9509B"/>
    <w:rsid w:val="1E274B6E"/>
    <w:rsid w:val="23071D32"/>
    <w:rsid w:val="267A7D57"/>
    <w:rsid w:val="2AB943E8"/>
    <w:rsid w:val="2B770C6C"/>
    <w:rsid w:val="2BB50351"/>
    <w:rsid w:val="31C40B1E"/>
    <w:rsid w:val="322D784E"/>
    <w:rsid w:val="3AB45323"/>
    <w:rsid w:val="3F481561"/>
    <w:rsid w:val="415B0566"/>
    <w:rsid w:val="42F678F2"/>
    <w:rsid w:val="46DD057F"/>
    <w:rsid w:val="49EB70C4"/>
    <w:rsid w:val="4C256644"/>
    <w:rsid w:val="4EAD57F6"/>
    <w:rsid w:val="4ED431E2"/>
    <w:rsid w:val="4FF447F0"/>
    <w:rsid w:val="50256C1E"/>
    <w:rsid w:val="50560B3D"/>
    <w:rsid w:val="5DEA4733"/>
    <w:rsid w:val="60FC2C68"/>
    <w:rsid w:val="65A402E4"/>
    <w:rsid w:val="6AB70559"/>
    <w:rsid w:val="6BB66C5D"/>
    <w:rsid w:val="6C947049"/>
    <w:rsid w:val="6CAE0BFD"/>
    <w:rsid w:val="73923618"/>
    <w:rsid w:val="79ED27B3"/>
    <w:rsid w:val="7AF924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Title"/>
    <w:basedOn w:val="1"/>
    <w:next w:val="1"/>
    <w:qFormat/>
    <w:uiPriority w:val="0"/>
    <w:pPr>
      <w:spacing w:before="240" w:after="60"/>
      <w:jc w:val="center"/>
      <w:outlineLvl w:val="0"/>
    </w:pPr>
    <w:rPr>
      <w:rFonts w:ascii="Arial" w:hAnsi="Arial"/>
      <w:b/>
      <w:sz w:val="32"/>
    </w:rPr>
  </w:style>
  <w:style w:type="paragraph" w:styleId="4">
    <w:name w:val="Body Text First Indent"/>
    <w:basedOn w:val="2"/>
    <w:qFormat/>
    <w:uiPriority w:val="0"/>
    <w:pPr>
      <w:adjustRightInd w:val="0"/>
      <w:spacing w:after="0" w:line="240" w:lineRule="atLeast"/>
      <w:jc w:val="left"/>
      <w:textAlignment w:val="baseline"/>
    </w:pPr>
    <w:rPr>
      <w:rFonts w:ascii="宋体" w:hAnsi="宋体"/>
      <w:color w:val="00000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准文件_段"/>
    <w:qFormat/>
    <w:uiPriority w:val="0"/>
    <w:pPr>
      <w:tabs>
        <w:tab w:val="left" w:pos="4347"/>
      </w:tabs>
      <w:autoSpaceDE w:val="0"/>
      <w:autoSpaceDN w:val="0"/>
      <w:adjustRightInd w:val="0"/>
      <w:snapToGrid w:val="0"/>
      <w:spacing w:line="320" w:lineRule="exact"/>
      <w:ind w:firstLine="430"/>
      <w:jc w:val="both"/>
    </w:pPr>
    <w:rPr>
      <w:rFonts w:ascii="宋体" w:hAnsi="Times New Roman" w:eastAsia="宋体" w:cs="Times New Roman"/>
      <w:spacing w:val="2"/>
      <w:sz w:val="21"/>
      <w:szCs w:val="21"/>
      <w:lang w:val="en-US" w:eastAsia="zh-CN" w:bidi="ar-SA"/>
    </w:r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
    <w:name w:val="标准文件_一级条标题"/>
    <w:basedOn w:val="11"/>
    <w:next w:val="8"/>
    <w:qFormat/>
    <w:uiPriority w:val="0"/>
    <w:pPr>
      <w:spacing w:beforeLines="0" w:afterLines="0"/>
      <w:ind w:left="142"/>
      <w:outlineLvl w:val="2"/>
    </w:pPr>
  </w:style>
  <w:style w:type="paragraph" w:customStyle="1" w:styleId="11">
    <w:name w:val="标准文件_章标题"/>
    <w:next w:val="8"/>
    <w:qFormat/>
    <w:uiPriority w:val="0"/>
    <w:pPr>
      <w:spacing w:beforeLines="50" w:afterLines="50"/>
      <w:ind w:right="-50" w:rightChars="-50"/>
      <w:jc w:val="both"/>
      <w:outlineLvl w:val="1"/>
    </w:pPr>
    <w:rPr>
      <w:rFonts w:ascii="黑体" w:hAnsi="Times New Roman" w:eastAsia="黑体" w:cs="Times New Roman"/>
      <w:spacing w:val="2"/>
      <w:sz w:val="21"/>
      <w:szCs w:val="22"/>
      <w:lang w:val="en-US" w:eastAsia="zh-CN" w:bidi="ar-SA"/>
    </w:rPr>
  </w:style>
  <w:style w:type="paragraph" w:customStyle="1" w:styleId="12">
    <w:name w:val="章标题"/>
    <w:next w:val="9"/>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5">
    <w:name w:val="font41"/>
    <w:qFormat/>
    <w:uiPriority w:val="0"/>
    <w:rPr>
      <w:rFonts w:hint="eastAsia" w:ascii="宋体" w:hAnsi="宋体" w:eastAsia="宋体" w:cs="宋体"/>
      <w:color w:val="000000"/>
      <w:sz w:val="21"/>
      <w:szCs w:val="21"/>
      <w:u w:val="none"/>
    </w:rPr>
  </w:style>
  <w:style w:type="character" w:customStyle="1" w:styleId="16">
    <w:name w:val="font71"/>
    <w:basedOn w:val="7"/>
    <w:qFormat/>
    <w:uiPriority w:val="0"/>
    <w:rPr>
      <w:rFonts w:hint="default" w:ascii="Times New Roman" w:hAnsi="Times New Roman" w:cs="Times New Roman"/>
      <w:color w:val="000000"/>
      <w:sz w:val="22"/>
      <w:szCs w:val="22"/>
      <w:u w:val="none"/>
      <w:vertAlign w:val="superscript"/>
    </w:rPr>
  </w:style>
  <w:style w:type="character" w:customStyle="1" w:styleId="17">
    <w:name w:val="font81"/>
    <w:basedOn w:val="7"/>
    <w:qFormat/>
    <w:uiPriority w:val="0"/>
    <w:rPr>
      <w:rFonts w:hint="eastAsia" w:ascii="宋体" w:hAnsi="宋体" w:eastAsia="宋体" w:cs="宋体"/>
      <w:color w:val="000000"/>
      <w:sz w:val="22"/>
      <w:szCs w:val="22"/>
      <w:u w:val="none"/>
    </w:rPr>
  </w:style>
  <w:style w:type="character" w:customStyle="1" w:styleId="18">
    <w:name w:val="font21"/>
    <w:basedOn w:val="7"/>
    <w:qFormat/>
    <w:uiPriority w:val="0"/>
    <w:rPr>
      <w:rFonts w:hint="default" w:ascii="Times New Roman" w:hAnsi="Times New Roman" w:cs="Times New Roman"/>
      <w:color w:val="000000"/>
      <w:sz w:val="24"/>
      <w:szCs w:val="24"/>
      <w:u w:val="none"/>
    </w:rPr>
  </w:style>
  <w:style w:type="character" w:customStyle="1" w:styleId="19">
    <w:name w:val="font31"/>
    <w:basedOn w:val="7"/>
    <w:qFormat/>
    <w:uiPriority w:val="0"/>
    <w:rPr>
      <w:rFonts w:hint="default" w:ascii="Times New Roman" w:hAnsi="Times New Roman" w:cs="Times New Roman"/>
      <w:color w:val="000000"/>
      <w:sz w:val="22"/>
      <w:szCs w:val="22"/>
      <w:u w:val="none"/>
      <w:vertAlign w:val="subscript"/>
    </w:rPr>
  </w:style>
  <w:style w:type="character" w:customStyle="1" w:styleId="20">
    <w:name w:val="font51"/>
    <w:basedOn w:val="7"/>
    <w:qFormat/>
    <w:uiPriority w:val="0"/>
    <w:rPr>
      <w:rFonts w:hint="default" w:ascii="Times New Roman" w:hAnsi="Times New Roman" w:cs="Times New Roman"/>
      <w:color w:val="000000"/>
      <w:sz w:val="21"/>
      <w:szCs w:val="21"/>
      <w:u w:val="none"/>
    </w:rPr>
  </w:style>
  <w:style w:type="paragraph" w:customStyle="1" w:styleId="21">
    <w:name w:val="一级条标题"/>
    <w:next w:val="9"/>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2">
    <w:name w:val="二级条标题"/>
    <w:basedOn w:val="21"/>
    <w:next w:val="9"/>
    <w:qFormat/>
    <w:uiPriority w:val="0"/>
    <w:pPr>
      <w:numPr>
        <w:ilvl w:val="2"/>
        <w:numId w:val="2"/>
      </w:numPr>
      <w:spacing w:before="50" w:after="50"/>
      <w:outlineLvl w:val="3"/>
    </w:pPr>
  </w:style>
  <w:style w:type="paragraph" w:customStyle="1" w:styleId="23">
    <w:name w:val="正文表标题"/>
    <w:next w:val="9"/>
    <w:qFormat/>
    <w:uiPriority w:val="0"/>
    <w:pPr>
      <w:numPr>
        <w:ilvl w:val="0"/>
        <w:numId w:val="3"/>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24">
    <w:name w:val="font11"/>
    <w:basedOn w:val="7"/>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6985</Words>
  <Characters>9417</Characters>
  <Lines>0</Lines>
  <Paragraphs>0</Paragraphs>
  <TotalTime>1</TotalTime>
  <ScaleCrop>false</ScaleCrop>
  <LinksUpToDate>false</LinksUpToDate>
  <CharactersWithSpaces>9717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2024-02-27T16:22:00Z</dcterms:created>
  <dc:creator>iPhone</dc:creator>
  <cp:lastModifiedBy>素素</cp:lastModifiedBy>
  <dcterms:modified xsi:type="dcterms:W3CDTF">2024-09-18T02:39:18Z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79F505C628D50E6CCA9BDD6564A8E2EE_31</vt:lpwstr>
  </property>
</Properties>
</file>