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47C0C">
      <w:pPr>
        <w:keepNext w:val="0"/>
        <w:keepLines w:val="0"/>
        <w:pageBreakBefore w:val="0"/>
        <w:kinsoku w:val="0"/>
        <w:wordWrap/>
        <w:overflowPunct/>
        <w:bidi w:val="0"/>
        <w:adjustRightInd/>
        <w:snapToGrid/>
        <w:spacing w:line="360" w:lineRule="auto"/>
        <w:jc w:val="center"/>
        <w:textAlignment w:val="auto"/>
        <w:rPr>
          <w:rFonts w:ascii="黑体" w:hAnsi="黑体" w:eastAsia="黑体" w:cs="黑体"/>
          <w:bCs/>
          <w:sz w:val="28"/>
          <w:szCs w:val="28"/>
        </w:rPr>
      </w:pPr>
      <w:r>
        <w:rPr>
          <w:rFonts w:hint="eastAsia" w:ascii="黑体" w:hAnsi="黑体" w:eastAsia="黑体" w:cs="黑体"/>
          <w:bCs/>
          <w:sz w:val="28"/>
          <w:szCs w:val="28"/>
          <w:lang w:val="en-US" w:eastAsia="zh-CN"/>
        </w:rPr>
        <w:t>国家标准</w:t>
      </w:r>
      <w:r>
        <w:rPr>
          <w:rFonts w:hint="eastAsia" w:ascii="黑体" w:hAnsi="黑体" w:eastAsia="黑体" w:cs="黑体"/>
          <w:bCs/>
          <w:sz w:val="28"/>
          <w:szCs w:val="28"/>
        </w:rPr>
        <w:t>《太阳能电池用硅单晶及硅单晶片》</w:t>
      </w:r>
    </w:p>
    <w:p w14:paraId="3CBB0183">
      <w:pPr>
        <w:keepNext w:val="0"/>
        <w:keepLines w:val="0"/>
        <w:pageBreakBefore w:val="0"/>
        <w:kinsoku w:val="0"/>
        <w:wordWrap/>
        <w:overflowPunct/>
        <w:bidi w:val="0"/>
        <w:adjustRightInd/>
        <w:snapToGrid/>
        <w:spacing w:line="360" w:lineRule="auto"/>
        <w:jc w:val="center"/>
        <w:textAlignment w:val="auto"/>
        <w:rPr>
          <w:rFonts w:hint="eastAsia" w:ascii="黑体" w:hAnsi="黑体" w:eastAsia="黑体" w:cs="黑体"/>
          <w:bCs/>
          <w:sz w:val="28"/>
          <w:szCs w:val="28"/>
          <w:lang w:eastAsia="zh-CN"/>
        </w:rPr>
      </w:pPr>
      <w:r>
        <w:rPr>
          <w:rFonts w:hint="eastAsia" w:ascii="黑体" w:hAnsi="黑体" w:eastAsia="黑体" w:cs="黑体"/>
          <w:bCs/>
          <w:sz w:val="28"/>
          <w:szCs w:val="28"/>
        </w:rPr>
        <w:t>编制说明</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讨论稿</w:t>
      </w:r>
      <w:r>
        <w:rPr>
          <w:rFonts w:hint="eastAsia" w:ascii="黑体" w:hAnsi="黑体" w:eastAsia="黑体" w:cs="黑体"/>
          <w:bCs/>
          <w:sz w:val="28"/>
          <w:szCs w:val="28"/>
          <w:lang w:eastAsia="zh-CN"/>
        </w:rPr>
        <w:t>）</w:t>
      </w:r>
    </w:p>
    <w:p w14:paraId="08ED2D45">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工作简况</w:t>
      </w:r>
    </w:p>
    <w:p w14:paraId="607554BF">
      <w:pPr>
        <w:pStyle w:val="13"/>
        <w:keepNext w:val="0"/>
        <w:keepLines w:val="0"/>
        <w:pageBreakBefore w:val="0"/>
        <w:numPr>
          <w:ilvl w:val="0"/>
          <w:numId w:val="2"/>
        </w:numPr>
        <w:wordWrap/>
        <w:overflowPunct/>
        <w:bidi w:val="0"/>
        <w:adjustRightInd/>
        <w:snapToGrid/>
        <w:spacing w:line="360" w:lineRule="auto"/>
        <w:ind w:firstLineChars="0"/>
        <w:textAlignment w:val="auto"/>
        <w:rPr>
          <w:rFonts w:ascii="黑体" w:hAnsi="黑体" w:eastAsia="黑体" w:cs="黑体"/>
          <w:sz w:val="24"/>
        </w:rPr>
      </w:pPr>
      <w:r>
        <w:rPr>
          <w:rFonts w:hint="eastAsia" w:ascii="黑体" w:hAnsi="黑体" w:eastAsia="黑体" w:cs="黑体"/>
          <w:sz w:val="24"/>
        </w:rPr>
        <w:t>任务来源</w:t>
      </w:r>
    </w:p>
    <w:p w14:paraId="79C56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Ansi="宋体"/>
          <w:color w:val="000000"/>
        </w:rPr>
        <w:t>本项目是根据</w:t>
      </w:r>
      <w:bookmarkStart w:id="0" w:name="OLE_LINK5"/>
      <w:bookmarkStart w:id="1" w:name="OLE_LINK4"/>
      <w:r>
        <w:rPr>
          <w:rFonts w:hAnsi="宋体"/>
          <w:color w:val="000000"/>
        </w:rPr>
        <w:t>中国国家标准化管理委员会</w:t>
      </w:r>
      <w:bookmarkEnd w:id="0"/>
      <w:bookmarkEnd w:id="1"/>
      <w:r>
        <w:rPr>
          <w:rFonts w:hAnsi="宋体"/>
          <w:color w:val="000000"/>
        </w:rPr>
        <w:t>“</w:t>
      </w:r>
      <w:r>
        <w:rPr>
          <w:rFonts w:hint="eastAsia" w:hAnsi="宋体"/>
          <w:color w:val="000000"/>
        </w:rPr>
        <w:t>国标委发</w:t>
      </w:r>
      <w:r>
        <w:rPr>
          <w:color w:val="000000"/>
        </w:rPr>
        <w:t>[2024] 28</w:t>
      </w:r>
      <w:r>
        <w:rPr>
          <w:rFonts w:hint="eastAsia" w:hAnsi="宋体"/>
          <w:color w:val="000000"/>
        </w:rPr>
        <w:t>号</w:t>
      </w:r>
      <w:r>
        <w:rPr>
          <w:rFonts w:hAnsi="宋体"/>
          <w:color w:val="000000"/>
        </w:rPr>
        <w:t>”文件下达的《国家标准化管理委员会关于下达2024年第</w:t>
      </w:r>
      <w:r>
        <w:rPr>
          <w:rFonts w:hint="eastAsia" w:hAnsi="宋体"/>
          <w:color w:val="000000"/>
        </w:rPr>
        <w:t>四</w:t>
      </w:r>
      <w:r>
        <w:rPr>
          <w:rFonts w:hAnsi="宋体"/>
          <w:color w:val="000000"/>
        </w:rPr>
        <w:t>批推荐性国家标准计划及相关标准外文版计划的通知》</w:t>
      </w:r>
      <w:r>
        <w:rPr>
          <w:rFonts w:hint="eastAsia" w:hAnsi="宋体"/>
          <w:color w:val="000000"/>
        </w:rPr>
        <w:t>，</w:t>
      </w:r>
      <w:r>
        <w:rPr>
          <w:rFonts w:hAnsi="宋体"/>
          <w:color w:val="000000"/>
        </w:rPr>
        <w:t>计划编号</w:t>
      </w:r>
      <w:r>
        <w:rPr>
          <w:rFonts w:hint="eastAsia" w:hAnsi="宋体"/>
          <w:color w:val="000000"/>
        </w:rPr>
        <w:t>20241911-T-469和项目名称“太阳能电池用硅单晶及硅单晶片”进行修订，由全国半导体设备和材料标准化技术委员会材料分技术委员会归口管理。主要起草单位：</w:t>
      </w:r>
      <w:r>
        <w:rPr>
          <w:rFonts w:hint="eastAsia"/>
        </w:rPr>
        <w:t>TCL 中环新能源科技股份有限公司、浙江省硅材料质量检验中心、有研半导体材料有限公司、隆基绿能科技股份有限公司、有色金属技术经济研究院、宁夏中环光伏材料有限公司、天津市环智新能源技术有限公司。</w:t>
      </w:r>
      <w:r>
        <w:rPr>
          <w:rFonts w:hint="eastAsia" w:hAnsi="宋体"/>
          <w:color w:val="000000"/>
        </w:rPr>
        <w:t>计划应完成时间</w:t>
      </w:r>
      <w:r>
        <w:rPr>
          <w:rFonts w:hint="eastAsia"/>
          <w:color w:val="000000"/>
        </w:rPr>
        <w:t>2026</w:t>
      </w:r>
      <w:r>
        <w:rPr>
          <w:rFonts w:hint="eastAsia" w:hAnsi="宋体"/>
          <w:color w:val="000000"/>
        </w:rPr>
        <w:t>年。</w:t>
      </w:r>
    </w:p>
    <w:p w14:paraId="1A8FE51B">
      <w:pPr>
        <w:keepNext w:val="0"/>
        <w:keepLines w:val="0"/>
        <w:pageBreakBefore w:val="0"/>
        <w:wordWrap/>
        <w:overflowPunct/>
        <w:bidi w:val="0"/>
        <w:adjustRightInd/>
        <w:snapToGrid/>
        <w:spacing w:line="360" w:lineRule="auto"/>
        <w:ind w:firstLine="480" w:firstLineChars="200"/>
        <w:textAlignment w:val="auto"/>
        <w:rPr>
          <w:rFonts w:ascii="黑体" w:hAnsi="黑体" w:eastAsia="黑体" w:cs="黑体"/>
          <w:sz w:val="24"/>
        </w:rPr>
      </w:pPr>
      <w:r>
        <w:rPr>
          <w:rFonts w:hint="eastAsia" w:ascii="黑体" w:hAnsi="黑体" w:eastAsia="黑体" w:cs="黑体"/>
          <w:sz w:val="24"/>
        </w:rPr>
        <w:t>2  当前工作进度</w:t>
      </w:r>
    </w:p>
    <w:p w14:paraId="7836B9E2">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int="eastAsia" w:hAnsi="宋体"/>
          <w:color w:val="000000"/>
        </w:rPr>
        <w:t>计划下达后，在标委会组织下由TCL中环新能源科技股份有限公司（以下简称“</w:t>
      </w:r>
      <w:r>
        <w:rPr>
          <w:rFonts w:hint="eastAsia"/>
        </w:rPr>
        <w:t>TCL 中环</w:t>
      </w:r>
      <w:r>
        <w:rPr>
          <w:rFonts w:hint="eastAsia" w:hAnsi="宋体"/>
          <w:color w:val="000000"/>
        </w:rPr>
        <w:t>”）对《太阳能电池用硅单晶片》和《太阳能电池用硅单晶》两份国家标准进行整理合并。</w:t>
      </w:r>
      <w:r>
        <w:t>在</w:t>
      </w:r>
      <w:r>
        <w:rPr>
          <w:szCs w:val="21"/>
        </w:rPr>
        <w:t>收集国内外有关</w:t>
      </w:r>
      <w:r>
        <w:rPr>
          <w:rFonts w:hint="eastAsia"/>
          <w:szCs w:val="21"/>
        </w:rPr>
        <w:t>太阳能电池用硅单晶及硅单晶片相关</w:t>
      </w:r>
      <w:r>
        <w:rPr>
          <w:szCs w:val="21"/>
        </w:rPr>
        <w:t>资料和行业</w:t>
      </w:r>
      <w:r>
        <w:rPr>
          <w:rFonts w:hint="eastAsia"/>
          <w:szCs w:val="21"/>
        </w:rPr>
        <w:t>发展情况的</w:t>
      </w:r>
      <w:r>
        <w:rPr>
          <w:szCs w:val="21"/>
        </w:rPr>
        <w:t>基础上，</w:t>
      </w:r>
      <w:r>
        <w:t>结合我国</w:t>
      </w:r>
      <w:r>
        <w:rPr>
          <w:rFonts w:hint="eastAsia"/>
          <w:szCs w:val="21"/>
        </w:rPr>
        <w:t>太阳能电池用硅单晶及硅单晶片</w:t>
      </w:r>
      <w:r>
        <w:rPr>
          <w:rFonts w:hint="eastAsia"/>
          <w:color w:val="000000"/>
          <w:szCs w:val="21"/>
        </w:rPr>
        <w:t>产品的技术特点、应用现状</w:t>
      </w:r>
      <w:r>
        <w:rPr>
          <w:rFonts w:hint="eastAsia"/>
          <w:szCs w:val="21"/>
        </w:rPr>
        <w:t>及</w:t>
      </w:r>
      <w:r>
        <w:rPr>
          <w:szCs w:val="21"/>
        </w:rPr>
        <w:t>发展趋势</w:t>
      </w:r>
      <w:r>
        <w:t>，</w:t>
      </w:r>
      <w:r>
        <w:rPr>
          <w:rFonts w:hint="eastAsia"/>
        </w:rPr>
        <w:t>按照</w:t>
      </w:r>
      <w:r>
        <w:t xml:space="preserve">GB/T </w:t>
      </w:r>
      <w:r>
        <w:rPr>
          <w:rFonts w:hint="eastAsia"/>
        </w:rPr>
        <w:t>1</w:t>
      </w:r>
      <w:r>
        <w:t>.1—2020</w:t>
      </w:r>
      <w:r>
        <w:rPr>
          <w:rFonts w:hint="eastAsia"/>
        </w:rPr>
        <w:t>的</w:t>
      </w:r>
      <w:r>
        <w:t>标准编制要求</w:t>
      </w:r>
      <w:r>
        <w:rPr>
          <w:rFonts w:hint="eastAsia"/>
        </w:rPr>
        <w:t>完成了草案初稿的</w:t>
      </w:r>
      <w:r>
        <w:rPr>
          <w:rFonts w:hint="eastAsia" w:hAnsi="宋体"/>
          <w:color w:val="000000"/>
        </w:rPr>
        <w:t>修订工作。</w:t>
      </w:r>
    </w:p>
    <w:p w14:paraId="0322BF10">
      <w:pPr>
        <w:keepNext w:val="0"/>
        <w:keepLines w:val="0"/>
        <w:pageBreakBefore w:val="0"/>
        <w:wordWrap/>
        <w:overflowPunct/>
        <w:bidi w:val="0"/>
        <w:adjustRightInd/>
        <w:snapToGrid/>
        <w:spacing w:line="360" w:lineRule="auto"/>
        <w:ind w:firstLine="480" w:firstLineChars="200"/>
        <w:textAlignment w:val="auto"/>
        <w:rPr>
          <w:rFonts w:ascii="黑体" w:hAnsi="黑体" w:eastAsia="黑体" w:cs="黑体"/>
          <w:sz w:val="24"/>
        </w:rPr>
      </w:pPr>
      <w:r>
        <w:rPr>
          <w:rFonts w:hint="eastAsia" w:ascii="黑体" w:hAnsi="黑体" w:eastAsia="黑体" w:cs="黑体"/>
          <w:sz w:val="24"/>
        </w:rPr>
        <w:t>3</w:t>
      </w:r>
      <w:r>
        <w:rPr>
          <w:rFonts w:ascii="黑体" w:hAnsi="黑体" w:eastAsia="黑体" w:cs="黑体"/>
          <w:sz w:val="24"/>
        </w:rPr>
        <w:t xml:space="preserve"> </w:t>
      </w:r>
      <w:r>
        <w:rPr>
          <w:rFonts w:hint="eastAsia" w:ascii="黑体" w:hAnsi="黑体" w:eastAsia="黑体" w:cs="黑体"/>
          <w:sz w:val="24"/>
        </w:rPr>
        <w:t>项目牵头单位情况</w:t>
      </w:r>
    </w:p>
    <w:p w14:paraId="58DA683E">
      <w:pPr>
        <w:keepNext w:val="0"/>
        <w:keepLines w:val="0"/>
        <w:pageBreakBefore w:val="0"/>
        <w:wordWrap/>
        <w:overflowPunct/>
        <w:bidi w:val="0"/>
        <w:adjustRightInd/>
        <w:snapToGrid/>
        <w:spacing w:line="360" w:lineRule="auto"/>
        <w:ind w:firstLine="420" w:firstLineChars="200"/>
        <w:textAlignment w:val="auto"/>
      </w:pPr>
      <w:r>
        <w:rPr>
          <w:rFonts w:hint="eastAsia"/>
        </w:rPr>
        <w:t>标准牵头单位 TCL 中环新能源科技股份有限公司，是深交所上市公司、工信部国家“锻长板”链主企业、国家制造业单项冠军企业，公司深耕光伏领域四十年，是我国硅单晶品种最齐全的光伏龙头企业，是光伏产业链的重点企业。作为高新技术制造企业，目前公司旗下拥有1 个国家级技术中心、6个省部级研发中心、2 个省部级重点实验室、10 家国家高新技术企业、1 家国家技术创新示范企业。公司拥有数百项国家发明专利及专有技术，成功完成多个国家级重点项目，并多次被评为福布斯中国最具创新力企业。TCL中环光伏材料业务板块坚定实施全球领先战略。2023年公司实现光伏单晶产能183GW，光伏材料产品出货约114GW，同比增长68%，硅片整体市占率23.4%。其中，大尺寸（210系列）外销市场占比60%，全球第一；海外硅片外销市场占比65%；N型市占率36.4%，保持外销市占第一。区熔硅单晶连续19年国内市场占有率第一，2022年开始跃居全球第二。</w:t>
      </w:r>
    </w:p>
    <w:p w14:paraId="74141F89">
      <w:pPr>
        <w:keepNext w:val="0"/>
        <w:keepLines w:val="0"/>
        <w:pageBreakBefore w:val="0"/>
        <w:wordWrap/>
        <w:overflowPunct/>
        <w:bidi w:val="0"/>
        <w:adjustRightInd/>
        <w:snapToGrid/>
        <w:spacing w:line="360" w:lineRule="auto"/>
        <w:ind w:firstLine="420" w:firstLineChars="200"/>
        <w:textAlignment w:val="auto"/>
      </w:pPr>
      <w:r>
        <w:rPr>
          <w:rFonts w:hint="eastAsia"/>
        </w:rPr>
        <w:t>2021年2月1日，TCL中环与银川经济技术开发区达成合作协议并正式签约落地，在银川经开区选址投资建设中环独有G12平台技术的“50GW（G12）太阳能级单晶硅材料智慧工厂项目”，成立宁夏中环光伏材料有限公司（以下简称“宁夏中环”）。投资约150亿元，占地面积约800亩，总建筑面积约43.9万平方米。公司秉持环境友好、员工爱戴、社会尊重、客户信赖的企业愿景，目标定位成为全球领先、业内最大的单体太阳能级光伏硅单晶智慧工厂、绿色工厂。公司先后通过质量管理体系ISO9001认证、ESI管理体系认证、荣获“国家智能制造示范工厂”、“国家第四批智能光伏试点示范企业”、“自治区重点工业行业龙头企业”、“自治区民营企业100强”、“自治区行业领先示范企业”、“自治区绿色工厂”、“自治区数字化车间”、“银川市产业链链主”等多项荣誉称号。</w:t>
      </w:r>
    </w:p>
    <w:p w14:paraId="09B233FB">
      <w:pPr>
        <w:keepNext w:val="0"/>
        <w:keepLines w:val="0"/>
        <w:pageBreakBefore w:val="0"/>
        <w:wordWrap/>
        <w:overflowPunct/>
        <w:bidi w:val="0"/>
        <w:adjustRightInd/>
        <w:snapToGrid/>
        <w:spacing w:line="360" w:lineRule="auto"/>
        <w:ind w:firstLine="420" w:firstLineChars="200"/>
        <w:textAlignment w:val="auto"/>
      </w:pPr>
      <w:r>
        <w:rPr>
          <w:rFonts w:hint="eastAsia"/>
        </w:rPr>
        <w:t>天津市环智新能源技术有限公司（简称环智新能源）于2020年1月21日在天津滨海高新区由TCL中环新能源科技股份有限公司全资子公司天津市环欧半导体材料技术有限公司与天津中环海河智能制造基金合伙企业联合出资创立，注册资金10亿元。环智新能源自2020年成立以来，着手打造行业内首家智能化切片智能工厂，首推超大尺寸太阳能硅片“G12”产品，将大尺寸光伏硅片加工技术与工业4.0相结合，实现TCL中环全球领先产品“G12-大尺寸太阳能单晶硅片”的规模化生产，对标同行业劳动生产率提升300%以上，实现拥有自感知、自学习、自决策、自执行、自适应等特征的智慧化工厂成为太阳能单晶硅片行业智能制造企业的标杆。凭借智能制造生产模式和设备的自动化应用，公司规模化发展势头强劲。</w:t>
      </w:r>
    </w:p>
    <w:p w14:paraId="5F91C454">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标准编制原则</w:t>
      </w:r>
    </w:p>
    <w:p w14:paraId="72B1B35D">
      <w:pPr>
        <w:keepNext w:val="0"/>
        <w:keepLines w:val="0"/>
        <w:pageBreakBefore w:val="0"/>
        <w:wordWrap/>
        <w:overflowPunct/>
        <w:bidi w:val="0"/>
        <w:adjustRightInd/>
        <w:snapToGrid/>
        <w:spacing w:line="360" w:lineRule="auto"/>
        <w:ind w:firstLine="420" w:firstLineChars="200"/>
        <w:textAlignment w:val="auto"/>
        <w:rPr>
          <w:rFonts w:ascii="宋体" w:hAnsi="宋体" w:cs="黑体"/>
          <w:szCs w:val="21"/>
        </w:rPr>
      </w:pPr>
      <w:r>
        <w:rPr>
          <w:rFonts w:hint="eastAsia" w:ascii="宋体" w:hAnsi="宋体" w:cs="黑体"/>
          <w:szCs w:val="21"/>
        </w:rPr>
        <w:t>（一）</w:t>
      </w:r>
      <w:r>
        <w:rPr>
          <w:rFonts w:hint="eastAsia" w:ascii="宋体" w:hAnsi="宋体"/>
          <w:szCs w:val="21"/>
        </w:rPr>
        <w:t>本文件在结构编写和内容编排等方面依据GB/T 1.1—2020《标准化工作导则 第1部分：标准化文件的结构和起草规则》的规定，在确定本文件主要技术指标时，综合考虑生产企业的能力和用户的利益，充分体现了本文件在技术上的先进性和合理性。</w:t>
      </w:r>
    </w:p>
    <w:p w14:paraId="0089D2BA">
      <w:pPr>
        <w:keepNext w:val="0"/>
        <w:keepLines w:val="0"/>
        <w:pageBreakBefore w:val="0"/>
        <w:wordWrap/>
        <w:overflowPunct/>
        <w:bidi w:val="0"/>
        <w:adjustRightInd/>
        <w:snapToGrid/>
        <w:spacing w:line="360" w:lineRule="auto"/>
        <w:ind w:firstLine="420" w:firstLineChars="200"/>
        <w:textAlignment w:val="auto"/>
        <w:rPr>
          <w:rFonts w:ascii="宋体" w:hAnsi="宋体" w:cs="黑体"/>
          <w:szCs w:val="21"/>
        </w:rPr>
      </w:pPr>
      <w:r>
        <w:rPr>
          <w:rFonts w:hint="eastAsia" w:ascii="宋体" w:hAnsi="宋体" w:cs="黑体"/>
          <w:szCs w:val="21"/>
        </w:rPr>
        <w:t>（二）</w:t>
      </w:r>
      <w:r>
        <w:rPr>
          <w:rFonts w:hint="eastAsia" w:ascii="宋体" w:hAnsi="宋体"/>
          <w:szCs w:val="21"/>
        </w:rPr>
        <w:t>本文件以制定方式进行起草。</w:t>
      </w:r>
    </w:p>
    <w:p w14:paraId="18934FCE">
      <w:pPr>
        <w:keepNext w:val="0"/>
        <w:keepLines w:val="0"/>
        <w:pageBreakBefore w:val="0"/>
        <w:wordWrap/>
        <w:overflowPunct/>
        <w:bidi w:val="0"/>
        <w:adjustRightInd/>
        <w:snapToGrid/>
        <w:spacing w:line="360" w:lineRule="auto"/>
        <w:ind w:firstLine="420" w:firstLineChars="200"/>
        <w:textAlignment w:val="auto"/>
        <w:rPr>
          <w:rFonts w:ascii="宋体" w:hAnsi="宋体" w:cs="黑体"/>
          <w:szCs w:val="21"/>
        </w:rPr>
      </w:pPr>
      <w:r>
        <w:rPr>
          <w:rFonts w:hint="eastAsia" w:ascii="宋体" w:hAnsi="宋体" w:cs="黑体"/>
          <w:szCs w:val="21"/>
        </w:rPr>
        <w:t>（三）</w:t>
      </w:r>
      <w:r>
        <w:rPr>
          <w:rFonts w:hint="eastAsia" w:ascii="宋体" w:hAnsi="宋体"/>
          <w:szCs w:val="21"/>
        </w:rPr>
        <w:t>本文件规范性引用文件的版本应为最新版本。</w:t>
      </w:r>
    </w:p>
    <w:p w14:paraId="1BFF8E5C">
      <w:pPr>
        <w:keepNext w:val="0"/>
        <w:keepLines w:val="0"/>
        <w:pageBreakBefore w:val="0"/>
        <w:wordWrap/>
        <w:overflowPunct/>
        <w:bidi w:val="0"/>
        <w:adjustRightInd/>
        <w:snapToGrid/>
        <w:spacing w:line="360" w:lineRule="auto"/>
        <w:ind w:firstLine="420" w:firstLineChars="200"/>
        <w:textAlignment w:val="auto"/>
        <w:rPr>
          <w:rFonts w:ascii="宋体" w:hAnsi="宋体" w:cs="黑体"/>
          <w:szCs w:val="21"/>
        </w:rPr>
      </w:pPr>
      <w:r>
        <w:rPr>
          <w:rFonts w:hint="eastAsia" w:ascii="宋体" w:hAnsi="宋体" w:cs="黑体"/>
          <w:szCs w:val="21"/>
        </w:rPr>
        <w:t>（四）</w:t>
      </w:r>
      <w:r>
        <w:rPr>
          <w:rFonts w:hint="eastAsia" w:ascii="宋体" w:hAnsi="宋体"/>
          <w:szCs w:val="21"/>
        </w:rPr>
        <w:t>为了利于对本标准的理解，本标准适当采用表格、图片和文字表述，尽可能清楚、准确和简练，保证标准的适用性。</w:t>
      </w:r>
    </w:p>
    <w:p w14:paraId="5042B756">
      <w:pPr>
        <w:keepNext w:val="0"/>
        <w:keepLines w:val="0"/>
        <w:pageBreakBefore w:val="0"/>
        <w:numPr>
          <w:ilvl w:val="0"/>
          <w:numId w:val="1"/>
        </w:numPr>
        <w:kinsoku w:val="0"/>
        <w:wordWrap/>
        <w:overflowPunct/>
        <w:bidi w:val="0"/>
        <w:adjustRightInd/>
        <w:snapToGrid/>
        <w:spacing w:line="360" w:lineRule="auto"/>
        <w:ind w:firstLine="403"/>
        <w:textAlignment w:val="auto"/>
        <w:rPr>
          <w:rFonts w:ascii="黑体" w:hAnsi="黑体" w:eastAsia="黑体" w:cs="黑体"/>
          <w:sz w:val="24"/>
        </w:rPr>
      </w:pPr>
      <w:r>
        <w:rPr>
          <w:rFonts w:hint="eastAsia" w:ascii="黑体" w:hAnsi="黑体" w:eastAsia="黑体" w:cs="黑体"/>
          <w:sz w:val="24"/>
        </w:rPr>
        <w:t>标准主要内容的确定依据及主要试验和验证情况分析</w:t>
      </w:r>
    </w:p>
    <w:p w14:paraId="6CDCCB39">
      <w:pPr>
        <w:keepNext w:val="0"/>
        <w:keepLines w:val="0"/>
        <w:pageBreakBefore w:val="0"/>
        <w:widowControl/>
        <w:wordWrap/>
        <w:overflowPunct/>
        <w:bidi w:val="0"/>
        <w:adjustRightInd/>
        <w:snapToGrid/>
        <w:spacing w:line="360" w:lineRule="auto"/>
        <w:ind w:firstLine="420" w:firstLineChars="200"/>
        <w:jc w:val="left"/>
        <w:textAlignment w:val="auto"/>
        <w:rPr>
          <w:szCs w:val="21"/>
        </w:rPr>
      </w:pPr>
      <w:r>
        <w:rPr>
          <w:rFonts w:hint="eastAsia" w:ascii="宋体" w:hAnsi="宋体" w:cs="宋体"/>
          <w:color w:val="000000"/>
          <w:kern w:val="0"/>
          <w:szCs w:val="21"/>
          <w:lang w:bidi="ar"/>
        </w:rPr>
        <w:t>本次修订，</w:t>
      </w:r>
      <w:r>
        <w:rPr>
          <w:rFonts w:hint="eastAsia" w:ascii="宋体" w:hAnsi="宋体" w:cs="宋体"/>
          <w:kern w:val="0"/>
          <w:szCs w:val="22"/>
        </w:rPr>
        <w:t>与GB</w:t>
      </w:r>
      <w:r>
        <w:rPr>
          <w:rFonts w:ascii="宋体" w:hAnsi="宋体" w:cs="宋体"/>
          <w:kern w:val="0"/>
          <w:szCs w:val="22"/>
        </w:rPr>
        <w:t xml:space="preserve">/T </w:t>
      </w:r>
      <w:r>
        <w:rPr>
          <w:rFonts w:hint="eastAsia" w:ascii="宋体" w:hAnsi="宋体" w:cs="宋体"/>
          <w:kern w:val="0"/>
          <w:szCs w:val="22"/>
        </w:rPr>
        <w:t>26071—2018相比，除</w:t>
      </w:r>
      <w:r>
        <w:rPr>
          <w:rFonts w:hint="eastAsia" w:ascii="宋体" w:hAnsi="宋体" w:cs="宋体"/>
          <w:szCs w:val="21"/>
        </w:rPr>
        <w:t>结构调整及</w:t>
      </w:r>
      <w:r>
        <w:rPr>
          <w:rFonts w:hint="eastAsia" w:ascii="宋体" w:hAnsi="宋体" w:cs="宋体"/>
          <w:kern w:val="0"/>
          <w:szCs w:val="22"/>
        </w:rPr>
        <w:t>编辑性改动外，</w:t>
      </w:r>
      <w:r>
        <w:rPr>
          <w:rFonts w:hint="eastAsia" w:ascii="宋体" w:hAnsi="宋体" w:cs="宋体"/>
          <w:color w:val="000000"/>
          <w:kern w:val="0"/>
          <w:szCs w:val="21"/>
          <w:lang w:bidi="ar"/>
        </w:rPr>
        <w:t xml:space="preserve">主要技术变动内容及其依据如下： </w:t>
      </w:r>
    </w:p>
    <w:p w14:paraId="6DCD60DC">
      <w:pPr>
        <w:keepNext w:val="0"/>
        <w:keepLines w:val="0"/>
        <w:pageBreakBefore w:val="0"/>
        <w:widowControl/>
        <w:wordWrap/>
        <w:overflowPunct/>
        <w:bidi w:val="0"/>
        <w:adjustRightInd/>
        <w:snapToGrid/>
        <w:spacing w:line="360" w:lineRule="auto"/>
        <w:ind w:firstLine="422" w:firstLineChars="200"/>
        <w:jc w:val="left"/>
        <w:textAlignment w:val="auto"/>
        <w:rPr>
          <w:szCs w:val="21"/>
        </w:rPr>
      </w:pPr>
      <w:r>
        <w:rPr>
          <w:rFonts w:hint="eastAsia" w:ascii="宋体" w:hAnsi="宋体" w:cs="宋体"/>
          <w:b/>
          <w:bCs/>
          <w:color w:val="000000"/>
          <w:kern w:val="0"/>
          <w:szCs w:val="21"/>
          <w:lang w:bidi="ar"/>
        </w:rPr>
        <w:t xml:space="preserve">（一）第2章：规范性引用文件的说明 </w:t>
      </w:r>
    </w:p>
    <w:p w14:paraId="06868822">
      <w:pPr>
        <w:keepNext w:val="0"/>
        <w:keepLines w:val="0"/>
        <w:pageBreakBefore w:val="0"/>
        <w:widowControl/>
        <w:wordWrap/>
        <w:overflowPunct/>
        <w:bidi w:val="0"/>
        <w:adjustRightInd/>
        <w:snapToGrid/>
        <w:spacing w:line="360" w:lineRule="auto"/>
        <w:ind w:firstLine="420" w:firstLineChars="200"/>
        <w:textAlignment w:val="auto"/>
        <w:rPr>
          <w:szCs w:val="21"/>
        </w:rPr>
      </w:pPr>
      <w:r>
        <w:rPr>
          <w:rFonts w:hint="eastAsia" w:ascii="宋体" w:hAnsi="宋体" w:cs="宋体"/>
          <w:color w:val="000000"/>
          <w:kern w:val="0"/>
          <w:szCs w:val="21"/>
          <w:lang w:bidi="ar"/>
        </w:rPr>
        <w:t>规范性引用文件增加了</w:t>
      </w:r>
      <w:r>
        <w:rPr>
          <w:rFonts w:hint="eastAsia" w:hAnsi="宋体"/>
          <w:szCs w:val="21"/>
        </w:rPr>
        <w:t>引用标准GB/T 1554、GB/T 1557、GB/T 1558、GB/T 32651、GB/T 42907、YS/T 679（详见修订标准第2章）</w:t>
      </w:r>
      <w:r>
        <w:rPr>
          <w:rFonts w:hint="eastAsia" w:ascii="宋体" w:hAnsi="宋体" w:cs="宋体"/>
          <w:color w:val="000000"/>
          <w:kern w:val="0"/>
          <w:szCs w:val="21"/>
          <w:lang w:bidi="ar"/>
        </w:rPr>
        <w:t>最新的检测方法标准，删除了</w:t>
      </w:r>
      <w:r>
        <w:rPr>
          <w:rFonts w:hint="eastAsia" w:hAnsi="宋体"/>
          <w:szCs w:val="21"/>
        </w:rPr>
        <w:t>GB/T 25076及GB/T 26068太阳能电池用硅单晶及硅片复合寿命测试</w:t>
      </w:r>
      <w:r>
        <w:rPr>
          <w:rFonts w:hint="eastAsia" w:ascii="宋体" w:hAnsi="宋体" w:cs="宋体"/>
          <w:color w:val="000000"/>
          <w:kern w:val="0"/>
          <w:szCs w:val="21"/>
          <w:lang w:bidi="ar"/>
        </w:rPr>
        <w:t xml:space="preserve">方法标准。 </w:t>
      </w:r>
    </w:p>
    <w:p w14:paraId="4D9BB356">
      <w:pPr>
        <w:keepNext w:val="0"/>
        <w:keepLines w:val="0"/>
        <w:pageBreakBefore w:val="0"/>
        <w:widowControl/>
        <w:wordWrap/>
        <w:overflowPunct/>
        <w:bidi w:val="0"/>
        <w:adjustRightInd/>
        <w:snapToGrid/>
        <w:spacing w:line="360" w:lineRule="auto"/>
        <w:ind w:firstLine="422" w:firstLineChars="200"/>
        <w:jc w:val="left"/>
        <w:textAlignment w:val="auto"/>
        <w:rPr>
          <w:szCs w:val="21"/>
        </w:rPr>
      </w:pPr>
      <w:r>
        <w:rPr>
          <w:rFonts w:hint="eastAsia" w:ascii="宋体" w:hAnsi="宋体" w:cs="宋体"/>
          <w:b/>
          <w:bCs/>
          <w:color w:val="000000"/>
          <w:kern w:val="0"/>
          <w:szCs w:val="21"/>
          <w:lang w:bidi="ar"/>
        </w:rPr>
        <w:t xml:space="preserve">（二）第5.1章：要求的补充 </w:t>
      </w:r>
    </w:p>
    <w:p w14:paraId="39D084A7">
      <w:pPr>
        <w:keepNext w:val="0"/>
        <w:keepLines w:val="0"/>
        <w:pageBreakBefore w:val="0"/>
        <w:widowControl/>
        <w:wordWrap/>
        <w:overflowPunct/>
        <w:bidi w:val="0"/>
        <w:adjustRightInd/>
        <w:snapToGrid/>
        <w:spacing w:line="360" w:lineRule="auto"/>
        <w:ind w:firstLine="420" w:firstLineChars="200"/>
        <w:textAlignment w:val="auto"/>
        <w:rPr>
          <w:szCs w:val="21"/>
        </w:rPr>
      </w:pPr>
      <w:r>
        <w:rPr>
          <w:rFonts w:hint="eastAsia" w:ascii="宋体" w:hAnsi="宋体" w:cs="宋体"/>
          <w:color w:val="000000"/>
          <w:kern w:val="0"/>
          <w:szCs w:val="21"/>
          <w:lang w:bidi="ar"/>
        </w:rPr>
        <w:t>在要求5.1理化性能中增加了硅单晶及硅片</w:t>
      </w:r>
      <w:r>
        <w:rPr>
          <w:rFonts w:hint="eastAsia" w:ascii="宋体" w:hAnsi="宋体" w:cs="宋体"/>
          <w:kern w:val="0"/>
          <w:szCs w:val="21"/>
          <w:lang w:bidi="ar"/>
        </w:rPr>
        <w:t>氧含量</w:t>
      </w:r>
      <w:r>
        <w:rPr>
          <w:rFonts w:hint="eastAsia" w:ascii="宋体" w:hAnsi="宋体" w:cs="宋体"/>
          <w:color w:val="000000"/>
          <w:kern w:val="0"/>
          <w:szCs w:val="21"/>
          <w:lang w:bidi="ar"/>
        </w:rPr>
        <w:t>、碳含量、晶体完整性、金属杂质含量具体要求，删除了</w:t>
      </w:r>
      <w:r>
        <w:rPr>
          <w:rFonts w:hAnsi="宋体"/>
          <w:szCs w:val="21"/>
        </w:rPr>
        <w:t>“硅片的晶体完整性、氧含量和碳含量应符合GB/T 25076的规定。如有需要，由供方提供各项检验结果。”</w:t>
      </w:r>
      <w:r>
        <w:rPr>
          <w:rFonts w:hint="eastAsia" w:hAnsi="宋体"/>
          <w:szCs w:val="21"/>
        </w:rPr>
        <w:t>内容。</w:t>
      </w:r>
      <w:r>
        <w:rPr>
          <w:rFonts w:hint="eastAsia" w:ascii="宋体" w:hAnsi="宋体" w:cs="宋体"/>
          <w:color w:val="000000"/>
          <w:kern w:val="0"/>
          <w:szCs w:val="21"/>
          <w:lang w:bidi="ar"/>
        </w:rPr>
        <w:t xml:space="preserve"> </w:t>
      </w:r>
    </w:p>
    <w:p w14:paraId="123CE8F5">
      <w:pPr>
        <w:keepNext w:val="0"/>
        <w:keepLines w:val="0"/>
        <w:pageBreakBefore w:val="0"/>
        <w:widowControl/>
        <w:wordWrap/>
        <w:overflowPunct/>
        <w:bidi w:val="0"/>
        <w:adjustRightInd/>
        <w:snapToGrid/>
        <w:spacing w:line="360" w:lineRule="auto"/>
        <w:ind w:firstLine="422" w:firstLineChars="200"/>
        <w:jc w:val="left"/>
        <w:textAlignment w:val="auto"/>
        <w:rPr>
          <w:rFonts w:ascii="黑体" w:hAnsi="黑体" w:eastAsia="黑体" w:cs="黑体"/>
          <w:sz w:val="24"/>
        </w:rPr>
      </w:pPr>
      <w:r>
        <w:rPr>
          <w:rFonts w:hint="eastAsia" w:ascii="宋体" w:hAnsi="宋体" w:cs="宋体"/>
          <w:b/>
          <w:bCs/>
          <w:color w:val="000000"/>
          <w:kern w:val="0"/>
          <w:szCs w:val="21"/>
          <w:lang w:bidi="ar"/>
        </w:rPr>
        <w:t>（三） 第5.2章：标准主要技术内容确定依据</w:t>
      </w:r>
    </w:p>
    <w:p w14:paraId="257FFBC2">
      <w:pPr>
        <w:pStyle w:val="6"/>
        <w:keepNext w:val="0"/>
        <w:keepLines w:val="0"/>
        <w:pageBreakBefore w:val="0"/>
        <w:wordWrap/>
        <w:overflowPunct/>
        <w:bidi w:val="0"/>
        <w:adjustRightInd/>
        <w:snapToGrid/>
        <w:spacing w:line="360" w:lineRule="auto"/>
        <w:ind w:firstLine="420" w:firstLineChars="200"/>
        <w:textAlignment w:val="auto"/>
        <w:rPr>
          <w:rFonts w:hint="eastAsia"/>
          <w:sz w:val="21"/>
          <w:szCs w:val="21"/>
        </w:rPr>
      </w:pPr>
      <w:r>
        <w:rPr>
          <w:rFonts w:hint="eastAsia" w:ascii="宋体" w:hAnsi="宋体" w:cs="宋体"/>
          <w:color w:val="000000"/>
          <w:kern w:val="0"/>
          <w:sz w:val="21"/>
          <w:szCs w:val="21"/>
          <w:lang w:bidi="ar"/>
        </w:rPr>
        <w:t>随着大尺寸单晶硅片新增产能快速释放，伴随着各环节配套设备完成大尺寸适配，现行兼容性不强与成本较高的158尺寸以下的硅片产品的产线在逐步退出市场，市场目前主要以166/182/210等多种尺寸并存，且现行标准GB/T 26071-2018中对准方形硅片外形尺寸及厚度参数不再适用于硅片减薄、大尺寸化主产业化技术参照标准。根据以上情况，结合国内外市场及太阳能光伏行业实际产品技术要求暂形成了修订稿技术指标，详见表1几何参数、表2</w:t>
      </w:r>
      <w:r>
        <w:rPr>
          <w:rFonts w:hint="eastAsia"/>
          <w:sz w:val="21"/>
          <w:szCs w:val="21"/>
        </w:rPr>
        <w:t>准方形硅片尺寸</w:t>
      </w:r>
      <w:r>
        <w:rPr>
          <w:rFonts w:hint="eastAsia" w:ascii="宋体" w:hAnsi="宋体" w:cs="宋体"/>
          <w:color w:val="000000"/>
          <w:kern w:val="0"/>
          <w:sz w:val="21"/>
          <w:szCs w:val="21"/>
          <w:lang w:bidi="ar"/>
        </w:rPr>
        <w:t>、表3</w:t>
      </w:r>
      <w:r>
        <w:rPr>
          <w:rFonts w:hint="eastAsia"/>
          <w:sz w:val="21"/>
          <w:szCs w:val="21"/>
        </w:rPr>
        <w:t>方形硅片尺寸。</w:t>
      </w:r>
    </w:p>
    <w:p w14:paraId="1C980905">
      <w:pPr>
        <w:pStyle w:val="6"/>
        <w:keepNext w:val="0"/>
        <w:keepLines w:val="0"/>
        <w:pageBreakBefore w:val="0"/>
        <w:widowControl w:val="0"/>
        <w:kinsoku/>
        <w:wordWrap/>
        <w:overflowPunct/>
        <w:topLinePunct w:val="0"/>
        <w:autoSpaceDE/>
        <w:autoSpaceDN/>
        <w:bidi w:val="0"/>
        <w:adjustRightInd w:val="0"/>
        <w:snapToGrid w:val="0"/>
        <w:spacing w:line="240" w:lineRule="auto"/>
        <w:ind w:firstLine="3570" w:firstLineChars="1700"/>
        <w:textAlignment w:val="auto"/>
        <w:rPr>
          <w:sz w:val="21"/>
          <w:szCs w:val="21"/>
        </w:rPr>
      </w:pPr>
      <w:r>
        <w:rPr>
          <w:rFonts w:hint="eastAsia"/>
          <w:sz w:val="21"/>
          <w:szCs w:val="21"/>
        </w:rPr>
        <w:t>表1  几何参数</w:t>
      </w:r>
    </w:p>
    <w:tbl>
      <w:tblPr>
        <w:tblStyle w:val="8"/>
        <w:tblW w:w="4998"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87"/>
        <w:gridCol w:w="2305"/>
        <w:gridCol w:w="1743"/>
        <w:gridCol w:w="1884"/>
      </w:tblGrid>
      <w:tr w14:paraId="314D0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top w:val="single" w:color="auto" w:sz="8" w:space="0"/>
              <w:left w:val="single" w:color="auto" w:sz="8" w:space="0"/>
              <w:bottom w:val="single" w:color="auto" w:sz="8" w:space="0"/>
            </w:tcBorders>
            <w:vAlign w:val="center"/>
          </w:tcPr>
          <w:p w14:paraId="0E22106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硅片厚度允许偏差</w:t>
            </w:r>
          </w:p>
        </w:tc>
        <w:tc>
          <w:tcPr>
            <w:tcW w:w="0" w:type="auto"/>
            <w:tcBorders>
              <w:top w:val="single" w:color="auto" w:sz="8" w:space="0"/>
              <w:bottom w:val="single" w:color="auto" w:sz="8" w:space="0"/>
            </w:tcBorders>
            <w:vAlign w:val="center"/>
          </w:tcPr>
          <w:p w14:paraId="16833D7A">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总厚度变化 TTV</w:t>
            </w:r>
          </w:p>
        </w:tc>
        <w:tc>
          <w:tcPr>
            <w:tcW w:w="0" w:type="auto"/>
            <w:tcBorders>
              <w:top w:val="single" w:color="auto" w:sz="8" w:space="0"/>
              <w:bottom w:val="single" w:color="auto" w:sz="8" w:space="0"/>
            </w:tcBorders>
            <w:vAlign w:val="center"/>
          </w:tcPr>
          <w:p w14:paraId="1D8852A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弯曲度 bow</w:t>
            </w:r>
          </w:p>
        </w:tc>
        <w:tc>
          <w:tcPr>
            <w:tcW w:w="0" w:type="auto"/>
            <w:tcBorders>
              <w:top w:val="single" w:color="auto" w:sz="8" w:space="0"/>
              <w:bottom w:val="single" w:color="auto" w:sz="8" w:space="0"/>
              <w:right w:val="single" w:color="auto" w:sz="8" w:space="0"/>
            </w:tcBorders>
            <w:vAlign w:val="center"/>
          </w:tcPr>
          <w:p w14:paraId="07079F8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翘曲度 warp</w:t>
            </w:r>
          </w:p>
        </w:tc>
      </w:tr>
      <w:tr w14:paraId="35EB2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0" w:type="auto"/>
            <w:tcBorders>
              <w:top w:val="single" w:color="auto" w:sz="8" w:space="0"/>
              <w:left w:val="single" w:color="auto" w:sz="8" w:space="0"/>
            </w:tcBorders>
            <w:vAlign w:val="center"/>
          </w:tcPr>
          <w:p w14:paraId="32B594E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100±10</w:t>
            </w:r>
          </w:p>
        </w:tc>
        <w:tc>
          <w:tcPr>
            <w:tcW w:w="0" w:type="auto"/>
            <w:vMerge w:val="restart"/>
            <w:tcBorders>
              <w:top w:val="single" w:color="auto" w:sz="8" w:space="0"/>
            </w:tcBorders>
            <w:vAlign w:val="center"/>
          </w:tcPr>
          <w:p w14:paraId="63AF2F85">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0" w:type="auto"/>
            <w:vMerge w:val="restart"/>
            <w:tcBorders>
              <w:top w:val="single" w:color="auto" w:sz="8" w:space="0"/>
            </w:tcBorders>
            <w:vAlign w:val="center"/>
          </w:tcPr>
          <w:p w14:paraId="275E980E">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0" w:type="auto"/>
            <w:vMerge w:val="restart"/>
            <w:tcBorders>
              <w:top w:val="single" w:color="auto" w:sz="8" w:space="0"/>
              <w:right w:val="single" w:color="auto" w:sz="8" w:space="0"/>
            </w:tcBorders>
            <w:vAlign w:val="center"/>
          </w:tcPr>
          <w:p w14:paraId="0826DCF9">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r>
      <w:tr w14:paraId="2094E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tcBorders>
            <w:vAlign w:val="center"/>
          </w:tcPr>
          <w:p w14:paraId="4C82CA55">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105±10</w:t>
            </w:r>
          </w:p>
        </w:tc>
        <w:tc>
          <w:tcPr>
            <w:tcW w:w="0" w:type="auto"/>
            <w:vMerge w:val="continue"/>
            <w:vAlign w:val="center"/>
          </w:tcPr>
          <w:p w14:paraId="2DA9555E">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5027C456">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1F176FD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5724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tcBorders>
            <w:vAlign w:val="center"/>
          </w:tcPr>
          <w:p w14:paraId="0CA09C28">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110±10</w:t>
            </w:r>
          </w:p>
        </w:tc>
        <w:tc>
          <w:tcPr>
            <w:tcW w:w="0" w:type="auto"/>
            <w:vMerge w:val="continue"/>
            <w:vAlign w:val="center"/>
          </w:tcPr>
          <w:p w14:paraId="1C5BFBE1">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414619B4">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6BA29790">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1144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tcBorders>
            <w:vAlign w:val="center"/>
          </w:tcPr>
          <w:p w14:paraId="490AD904">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115±10</w:t>
            </w:r>
          </w:p>
        </w:tc>
        <w:tc>
          <w:tcPr>
            <w:tcW w:w="0" w:type="auto"/>
            <w:vMerge w:val="continue"/>
            <w:vAlign w:val="center"/>
          </w:tcPr>
          <w:p w14:paraId="1EE0DF5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117704B9">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7998E0F0">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001A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tcBorders>
            <w:vAlign w:val="center"/>
          </w:tcPr>
          <w:p w14:paraId="51E3C94C">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120-10/+15</w:t>
            </w:r>
          </w:p>
        </w:tc>
        <w:tc>
          <w:tcPr>
            <w:tcW w:w="0" w:type="auto"/>
            <w:vMerge w:val="restart"/>
            <w:vAlign w:val="center"/>
          </w:tcPr>
          <w:p w14:paraId="645F8E7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0" w:type="auto"/>
            <w:vMerge w:val="restart"/>
            <w:vAlign w:val="center"/>
          </w:tcPr>
          <w:p w14:paraId="44527D76">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0" w:type="auto"/>
            <w:vMerge w:val="restart"/>
            <w:tcBorders>
              <w:right w:val="single" w:color="auto" w:sz="8" w:space="0"/>
            </w:tcBorders>
            <w:vAlign w:val="center"/>
          </w:tcPr>
          <w:p w14:paraId="7E1EFC48">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r>
      <w:tr w14:paraId="20AE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tcBorders>
            <w:vAlign w:val="center"/>
          </w:tcPr>
          <w:p w14:paraId="2CE7C9F6">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125-10/+15</w:t>
            </w:r>
          </w:p>
        </w:tc>
        <w:tc>
          <w:tcPr>
            <w:tcW w:w="0" w:type="auto"/>
            <w:vMerge w:val="continue"/>
            <w:vAlign w:val="center"/>
          </w:tcPr>
          <w:p w14:paraId="68614226">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08D906B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3B498D8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20E10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bottom w:val="single" w:color="auto" w:sz="4" w:space="0"/>
            </w:tcBorders>
            <w:vAlign w:val="center"/>
          </w:tcPr>
          <w:p w14:paraId="1AA0B19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130-10/+15</w:t>
            </w:r>
          </w:p>
        </w:tc>
        <w:tc>
          <w:tcPr>
            <w:tcW w:w="0" w:type="auto"/>
            <w:vMerge w:val="continue"/>
            <w:vAlign w:val="center"/>
          </w:tcPr>
          <w:p w14:paraId="5F5A80A6">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1C798AB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70118731">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1AB6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bottom w:val="single" w:color="auto" w:sz="4" w:space="0"/>
            </w:tcBorders>
            <w:vAlign w:val="center"/>
          </w:tcPr>
          <w:p w14:paraId="7C7CDA4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135-10/+15</w:t>
            </w:r>
          </w:p>
        </w:tc>
        <w:tc>
          <w:tcPr>
            <w:tcW w:w="0" w:type="auto"/>
            <w:vMerge w:val="continue"/>
            <w:vAlign w:val="center"/>
          </w:tcPr>
          <w:p w14:paraId="16D63CB1">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44D98E80">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5C50BD1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72097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bottom w:val="single" w:color="auto" w:sz="4" w:space="0"/>
            </w:tcBorders>
            <w:vAlign w:val="center"/>
          </w:tcPr>
          <w:p w14:paraId="50DE63E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140-10/+15</w:t>
            </w:r>
          </w:p>
        </w:tc>
        <w:tc>
          <w:tcPr>
            <w:tcW w:w="0" w:type="auto"/>
            <w:vMerge w:val="continue"/>
            <w:vAlign w:val="center"/>
          </w:tcPr>
          <w:p w14:paraId="2233AC58">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252FE7F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4DB3B34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71500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bottom w:val="single" w:color="auto" w:sz="4" w:space="0"/>
            </w:tcBorders>
            <w:vAlign w:val="center"/>
          </w:tcPr>
          <w:p w14:paraId="309EBD2E">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145±15</w:t>
            </w:r>
          </w:p>
        </w:tc>
        <w:tc>
          <w:tcPr>
            <w:tcW w:w="0" w:type="auto"/>
            <w:vMerge w:val="restart"/>
            <w:vAlign w:val="center"/>
          </w:tcPr>
          <w:p w14:paraId="312C050B">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0" w:type="auto"/>
            <w:vMerge w:val="restart"/>
            <w:vAlign w:val="center"/>
          </w:tcPr>
          <w:p w14:paraId="634E902C">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0" w:type="auto"/>
            <w:vMerge w:val="restart"/>
            <w:tcBorders>
              <w:right w:val="single" w:color="auto" w:sz="8" w:space="0"/>
            </w:tcBorders>
            <w:vAlign w:val="center"/>
          </w:tcPr>
          <w:p w14:paraId="16294730">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r>
      <w:tr w14:paraId="5154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left w:val="single" w:color="auto" w:sz="8" w:space="0"/>
              <w:bottom w:val="single" w:color="auto" w:sz="4" w:space="0"/>
            </w:tcBorders>
            <w:vAlign w:val="center"/>
          </w:tcPr>
          <w:p w14:paraId="2126D27A">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150±15</w:t>
            </w:r>
          </w:p>
        </w:tc>
        <w:tc>
          <w:tcPr>
            <w:tcW w:w="0" w:type="auto"/>
            <w:vMerge w:val="continue"/>
            <w:vAlign w:val="center"/>
          </w:tcPr>
          <w:p w14:paraId="4C52ED75">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vAlign w:val="center"/>
          </w:tcPr>
          <w:p w14:paraId="631C9DB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6D241FD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p>
        </w:tc>
      </w:tr>
      <w:tr w14:paraId="267E1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8" w:space="0"/>
              <w:bottom w:val="single" w:color="auto" w:sz="4" w:space="0"/>
            </w:tcBorders>
          </w:tcPr>
          <w:p w14:paraId="4C0380F8">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160±15</w:t>
            </w:r>
          </w:p>
        </w:tc>
        <w:tc>
          <w:tcPr>
            <w:tcW w:w="0" w:type="auto"/>
            <w:vMerge w:val="continue"/>
            <w:vAlign w:val="center"/>
          </w:tcPr>
          <w:p w14:paraId="211A46FD">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c>
          <w:tcPr>
            <w:tcW w:w="0" w:type="auto"/>
            <w:vMerge w:val="continue"/>
            <w:vAlign w:val="center"/>
          </w:tcPr>
          <w:p w14:paraId="216E7967">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vAlign w:val="center"/>
          </w:tcPr>
          <w:p w14:paraId="7589B491">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r>
      <w:tr w14:paraId="4EA3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8" w:space="0"/>
              <w:bottom w:val="single" w:color="auto" w:sz="4" w:space="0"/>
            </w:tcBorders>
          </w:tcPr>
          <w:p w14:paraId="4A3B3521">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170±15</w:t>
            </w:r>
          </w:p>
        </w:tc>
        <w:tc>
          <w:tcPr>
            <w:tcW w:w="0" w:type="auto"/>
            <w:vMerge w:val="continue"/>
          </w:tcPr>
          <w:p w14:paraId="19F7B2BF">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c>
          <w:tcPr>
            <w:tcW w:w="0" w:type="auto"/>
            <w:vMerge w:val="continue"/>
          </w:tcPr>
          <w:p w14:paraId="0A87DFEA">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c>
          <w:tcPr>
            <w:tcW w:w="0" w:type="auto"/>
            <w:vMerge w:val="continue"/>
            <w:tcBorders>
              <w:right w:val="single" w:color="auto" w:sz="8" w:space="0"/>
            </w:tcBorders>
          </w:tcPr>
          <w:p w14:paraId="1E33BBD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r>
      <w:tr w14:paraId="1EA6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8" w:space="0"/>
              <w:bottom w:val="single" w:color="auto" w:sz="8" w:space="0"/>
            </w:tcBorders>
          </w:tcPr>
          <w:p w14:paraId="13BA67D7">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jc w:val="center"/>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180±15</w:t>
            </w:r>
          </w:p>
        </w:tc>
        <w:tc>
          <w:tcPr>
            <w:tcW w:w="0" w:type="auto"/>
            <w:vMerge w:val="continue"/>
            <w:tcBorders>
              <w:bottom w:val="single" w:color="auto" w:sz="8" w:space="0"/>
            </w:tcBorders>
          </w:tcPr>
          <w:p w14:paraId="391BE740">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c>
          <w:tcPr>
            <w:tcW w:w="0" w:type="auto"/>
            <w:vMerge w:val="continue"/>
            <w:tcBorders>
              <w:bottom w:val="single" w:color="auto" w:sz="8" w:space="0"/>
            </w:tcBorders>
          </w:tcPr>
          <w:p w14:paraId="22EC2583">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c>
          <w:tcPr>
            <w:tcW w:w="0" w:type="auto"/>
            <w:vMerge w:val="continue"/>
            <w:tcBorders>
              <w:bottom w:val="single" w:color="auto" w:sz="8" w:space="0"/>
              <w:right w:val="single" w:color="auto" w:sz="8" w:space="0"/>
            </w:tcBorders>
          </w:tcPr>
          <w:p w14:paraId="0485BEA0">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0" w:firstLineChars="0"/>
              <w:textAlignment w:val="auto"/>
              <w:rPr>
                <w:rFonts w:asciiTheme="minorEastAsia" w:hAnsiTheme="minorEastAsia" w:eastAsiaTheme="minorEastAsia" w:cstheme="minorEastAsia"/>
                <w:sz w:val="18"/>
                <w:szCs w:val="18"/>
              </w:rPr>
            </w:pPr>
          </w:p>
        </w:tc>
      </w:tr>
    </w:tbl>
    <w:p w14:paraId="178597FD">
      <w:pPr>
        <w:pStyle w:val="6"/>
        <w:keepNext w:val="0"/>
        <w:keepLines w:val="0"/>
        <w:pageBreakBefore w:val="0"/>
        <w:wordWrap/>
        <w:overflowPunct/>
        <w:bidi w:val="0"/>
        <w:adjustRightInd/>
        <w:snapToGrid/>
        <w:spacing w:line="360" w:lineRule="auto"/>
        <w:ind w:firstLine="3150" w:firstLineChars="1500"/>
        <w:textAlignment w:val="auto"/>
        <w:rPr>
          <w:rFonts w:hint="eastAsia"/>
          <w:sz w:val="21"/>
          <w:szCs w:val="21"/>
        </w:rPr>
      </w:pPr>
      <w:r>
        <w:rPr>
          <w:rFonts w:hint="eastAsia" w:ascii="宋体" w:hAnsi="宋体" w:cs="宋体"/>
          <w:color w:val="000000"/>
          <w:kern w:val="0"/>
          <w:sz w:val="21"/>
          <w:szCs w:val="21"/>
          <w:lang w:bidi="ar"/>
        </w:rPr>
        <w:t>表2</w:t>
      </w:r>
      <w:r>
        <w:rPr>
          <w:rFonts w:hint="eastAsia"/>
          <w:sz w:val="21"/>
          <w:szCs w:val="21"/>
        </w:rPr>
        <w:t>准方形硅片尺寸</w:t>
      </w:r>
    </w:p>
    <w:tbl>
      <w:tblPr>
        <w:tblStyle w:val="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3130"/>
        <w:gridCol w:w="3130"/>
      </w:tblGrid>
      <w:tr w14:paraId="07994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tcBorders>
              <w:top w:val="single" w:color="auto" w:sz="8" w:space="0"/>
              <w:bottom w:val="single" w:color="auto" w:sz="4" w:space="0"/>
            </w:tcBorders>
            <w:vAlign w:val="center"/>
          </w:tcPr>
          <w:p w14:paraId="06A1A76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标称尺寸</w:t>
            </w:r>
          </w:p>
        </w:tc>
        <w:tc>
          <w:tcPr>
            <w:tcW w:w="0" w:type="auto"/>
            <w:gridSpan w:val="2"/>
            <w:tcBorders>
              <w:top w:val="single" w:color="auto" w:sz="8" w:space="0"/>
              <w:bottom w:val="single" w:color="auto" w:sz="4" w:space="0"/>
            </w:tcBorders>
            <w:vAlign w:val="center"/>
          </w:tcPr>
          <w:p w14:paraId="2D920ED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尺寸</w:t>
            </w:r>
          </w:p>
        </w:tc>
      </w:tr>
      <w:tr w14:paraId="33D08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tcBorders>
              <w:top w:val="single" w:color="auto" w:sz="4" w:space="0"/>
              <w:bottom w:val="single" w:color="auto" w:sz="8" w:space="0"/>
            </w:tcBorders>
            <w:vAlign w:val="center"/>
          </w:tcPr>
          <w:p w14:paraId="51D979B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p>
        </w:tc>
        <w:tc>
          <w:tcPr>
            <w:tcW w:w="0" w:type="auto"/>
            <w:tcBorders>
              <w:top w:val="single" w:color="auto" w:sz="4" w:space="0"/>
              <w:bottom w:val="single" w:color="auto" w:sz="8" w:space="0"/>
            </w:tcBorders>
            <w:vAlign w:val="center"/>
          </w:tcPr>
          <w:p w14:paraId="413A5A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边长 A</w:t>
            </w:r>
          </w:p>
        </w:tc>
        <w:tc>
          <w:tcPr>
            <w:tcW w:w="0" w:type="auto"/>
            <w:tcBorders>
              <w:top w:val="single" w:color="auto" w:sz="4" w:space="0"/>
              <w:bottom w:val="single" w:color="auto" w:sz="8" w:space="0"/>
            </w:tcBorders>
            <w:vAlign w:val="center"/>
          </w:tcPr>
          <w:p w14:paraId="4E754D3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直径 D</w:t>
            </w:r>
          </w:p>
        </w:tc>
      </w:tr>
      <w:tr w14:paraId="14FFF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tcBorders>
              <w:top w:val="single" w:color="auto" w:sz="8" w:space="0"/>
              <w:bottom w:val="single" w:color="auto" w:sz="2" w:space="0"/>
            </w:tcBorders>
            <w:vAlign w:val="center"/>
          </w:tcPr>
          <w:p w14:paraId="41C24B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156.75</w:t>
            </w:r>
          </w:p>
        </w:tc>
        <w:tc>
          <w:tcPr>
            <w:tcW w:w="0" w:type="auto"/>
            <w:tcBorders>
              <w:top w:val="single" w:color="auto" w:sz="8" w:space="0"/>
              <w:bottom w:val="single" w:color="auto" w:sz="2" w:space="0"/>
            </w:tcBorders>
            <w:vAlign w:val="center"/>
          </w:tcPr>
          <w:p w14:paraId="4046F67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156.75±0.25</w:t>
            </w:r>
          </w:p>
        </w:tc>
        <w:tc>
          <w:tcPr>
            <w:tcW w:w="0" w:type="auto"/>
            <w:tcBorders>
              <w:top w:val="single" w:color="auto" w:sz="8" w:space="0"/>
              <w:bottom w:val="single" w:color="auto" w:sz="2" w:space="0"/>
            </w:tcBorders>
            <w:vAlign w:val="center"/>
          </w:tcPr>
          <w:p w14:paraId="3E036EF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210.00±0.25</w:t>
            </w:r>
          </w:p>
        </w:tc>
      </w:tr>
      <w:tr w14:paraId="166DD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2" w:space="0"/>
            </w:tcBorders>
            <w:vAlign w:val="center"/>
          </w:tcPr>
          <w:p w14:paraId="797E40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161.75</w:t>
            </w:r>
          </w:p>
        </w:tc>
        <w:tc>
          <w:tcPr>
            <w:tcW w:w="0" w:type="auto"/>
            <w:tcBorders>
              <w:top w:val="single" w:color="auto" w:sz="2" w:space="0"/>
            </w:tcBorders>
            <w:vAlign w:val="center"/>
          </w:tcPr>
          <w:p w14:paraId="448676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ascii="宋体" w:hAnsi="宋体" w:cs="宋体"/>
                <w:sz w:val="18"/>
                <w:szCs w:val="18"/>
              </w:rPr>
              <w:t>16</w:t>
            </w:r>
            <w:r>
              <w:rPr>
                <w:rFonts w:hint="eastAsia" w:ascii="宋体" w:hAnsi="宋体" w:cs="宋体"/>
                <w:sz w:val="18"/>
                <w:szCs w:val="18"/>
              </w:rPr>
              <w:t>1.75±0.25</w:t>
            </w:r>
          </w:p>
        </w:tc>
        <w:tc>
          <w:tcPr>
            <w:tcW w:w="0" w:type="auto"/>
            <w:tcBorders>
              <w:top w:val="single" w:color="auto" w:sz="2" w:space="0"/>
            </w:tcBorders>
            <w:vAlign w:val="center"/>
          </w:tcPr>
          <w:p w14:paraId="1656A88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211.00±0.25</w:t>
            </w:r>
          </w:p>
        </w:tc>
      </w:tr>
      <w:tr w14:paraId="58CD8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49D1A4C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166.00</w:t>
            </w:r>
          </w:p>
        </w:tc>
        <w:tc>
          <w:tcPr>
            <w:tcW w:w="0" w:type="auto"/>
            <w:vAlign w:val="center"/>
          </w:tcPr>
          <w:p w14:paraId="5C4A9E9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ascii="宋体" w:hAnsi="宋体" w:cs="宋体"/>
                <w:sz w:val="18"/>
                <w:szCs w:val="18"/>
              </w:rPr>
              <w:t>16</w:t>
            </w:r>
            <w:r>
              <w:rPr>
                <w:rFonts w:hint="eastAsia" w:ascii="宋体" w:hAnsi="宋体" w:cs="宋体"/>
                <w:sz w:val="18"/>
                <w:szCs w:val="18"/>
              </w:rPr>
              <w:t>6.00±0.25</w:t>
            </w:r>
          </w:p>
        </w:tc>
        <w:tc>
          <w:tcPr>
            <w:tcW w:w="0" w:type="auto"/>
            <w:vAlign w:val="center"/>
          </w:tcPr>
          <w:p w14:paraId="390291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223.00±0.25</w:t>
            </w:r>
          </w:p>
        </w:tc>
      </w:tr>
      <w:tr w14:paraId="49D03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6E0A25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182.00</w:t>
            </w:r>
          </w:p>
        </w:tc>
        <w:tc>
          <w:tcPr>
            <w:tcW w:w="0" w:type="auto"/>
            <w:vAlign w:val="center"/>
          </w:tcPr>
          <w:p w14:paraId="0EBBAE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ascii="宋体" w:hAnsi="宋体" w:cs="宋体"/>
                <w:sz w:val="18"/>
                <w:szCs w:val="18"/>
              </w:rPr>
              <w:t>1</w:t>
            </w:r>
            <w:r>
              <w:rPr>
                <w:rFonts w:hint="eastAsia" w:ascii="宋体" w:hAnsi="宋体" w:cs="宋体"/>
                <w:sz w:val="18"/>
                <w:szCs w:val="18"/>
              </w:rPr>
              <w:t>82.00±0.25</w:t>
            </w:r>
          </w:p>
        </w:tc>
        <w:tc>
          <w:tcPr>
            <w:tcW w:w="0" w:type="auto"/>
            <w:vAlign w:val="center"/>
          </w:tcPr>
          <w:p w14:paraId="37602A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247.00±0.25</w:t>
            </w:r>
          </w:p>
        </w:tc>
      </w:tr>
      <w:tr w14:paraId="3F6BA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155370E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210.00</w:t>
            </w:r>
          </w:p>
        </w:tc>
        <w:tc>
          <w:tcPr>
            <w:tcW w:w="0" w:type="auto"/>
            <w:vAlign w:val="center"/>
          </w:tcPr>
          <w:p w14:paraId="65292D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210.00±0.25</w:t>
            </w:r>
          </w:p>
        </w:tc>
        <w:tc>
          <w:tcPr>
            <w:tcW w:w="0" w:type="auto"/>
            <w:vAlign w:val="center"/>
          </w:tcPr>
          <w:p w14:paraId="21A601E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295.00±0.25</w:t>
            </w:r>
          </w:p>
        </w:tc>
      </w:tr>
      <w:tr w14:paraId="13397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43A63A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218.20</w:t>
            </w:r>
          </w:p>
        </w:tc>
        <w:tc>
          <w:tcPr>
            <w:tcW w:w="0" w:type="auto"/>
            <w:vAlign w:val="center"/>
          </w:tcPr>
          <w:p w14:paraId="057772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218.20±0.25</w:t>
            </w:r>
          </w:p>
        </w:tc>
        <w:tc>
          <w:tcPr>
            <w:tcW w:w="0" w:type="auto"/>
            <w:vAlign w:val="center"/>
          </w:tcPr>
          <w:p w14:paraId="1748A2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sz w:val="18"/>
                <w:szCs w:val="18"/>
              </w:rPr>
            </w:pPr>
            <w:r>
              <w:rPr>
                <w:rFonts w:hint="eastAsia" w:ascii="宋体" w:hAnsi="宋体" w:cs="宋体"/>
                <w:sz w:val="18"/>
                <w:szCs w:val="18"/>
              </w:rPr>
              <w:t>306.60±0.25</w:t>
            </w:r>
          </w:p>
        </w:tc>
      </w:tr>
    </w:tbl>
    <w:p w14:paraId="5D6EE2A2">
      <w:pPr>
        <w:pStyle w:val="6"/>
        <w:keepNext w:val="0"/>
        <w:keepLines w:val="0"/>
        <w:pageBreakBefore w:val="0"/>
        <w:wordWrap/>
        <w:overflowPunct/>
        <w:bidi w:val="0"/>
        <w:adjustRightInd/>
        <w:snapToGrid/>
        <w:spacing w:line="360" w:lineRule="auto"/>
        <w:ind w:firstLine="3150" w:firstLineChars="1500"/>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表3</w:t>
      </w:r>
      <w:r>
        <w:rPr>
          <w:rFonts w:hint="eastAsia"/>
          <w:sz w:val="21"/>
          <w:szCs w:val="21"/>
        </w:rPr>
        <w:t>方形硅片尺寸</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29"/>
        <w:gridCol w:w="2193"/>
        <w:gridCol w:w="2193"/>
        <w:gridCol w:w="2204"/>
      </w:tblGrid>
      <w:tr w14:paraId="4D90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32" w:type="pct"/>
            <w:vMerge w:val="restart"/>
            <w:tcBorders>
              <w:top w:val="single" w:color="auto" w:sz="8" w:space="0"/>
              <w:left w:val="single" w:color="auto" w:sz="8" w:space="0"/>
            </w:tcBorders>
            <w:tcMar>
              <w:top w:w="0" w:type="dxa"/>
              <w:left w:w="108" w:type="dxa"/>
              <w:bottom w:w="0" w:type="dxa"/>
              <w:right w:w="108" w:type="dxa"/>
            </w:tcMar>
            <w:vAlign w:val="center"/>
          </w:tcPr>
          <w:p w14:paraId="7D065D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iCs/>
                <w:sz w:val="18"/>
                <w:szCs w:val="18"/>
              </w:rPr>
            </w:pPr>
            <w:r>
              <w:rPr>
                <w:rFonts w:ascii="宋体" w:hAnsi="宋体" w:cs="Arial"/>
                <w:sz w:val="18"/>
                <w:szCs w:val="18"/>
                <w:shd w:val="clear" w:color="auto" w:fill="F8F8F8"/>
              </w:rPr>
              <w:t>标称尺寸</w:t>
            </w:r>
          </w:p>
        </w:tc>
        <w:tc>
          <w:tcPr>
            <w:tcW w:w="3867" w:type="pct"/>
            <w:gridSpan w:val="3"/>
            <w:tcBorders>
              <w:top w:val="single" w:color="auto" w:sz="8" w:space="0"/>
              <w:right w:val="single" w:color="auto" w:sz="8" w:space="0"/>
            </w:tcBorders>
            <w:tcMar>
              <w:top w:w="0" w:type="dxa"/>
              <w:left w:w="108" w:type="dxa"/>
              <w:bottom w:w="0" w:type="dxa"/>
              <w:right w:w="108" w:type="dxa"/>
            </w:tcMar>
            <w:vAlign w:val="center"/>
          </w:tcPr>
          <w:p w14:paraId="291459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iCs/>
                <w:sz w:val="18"/>
                <w:szCs w:val="18"/>
              </w:rPr>
            </w:pPr>
            <w:r>
              <w:rPr>
                <w:rFonts w:ascii="宋体" w:hAnsi="宋体"/>
                <w:sz w:val="18"/>
                <w:szCs w:val="18"/>
              </w:rPr>
              <w:t>尺寸</w:t>
            </w:r>
          </w:p>
        </w:tc>
      </w:tr>
      <w:tr w14:paraId="6702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132" w:type="pct"/>
            <w:vMerge w:val="continue"/>
            <w:tcBorders>
              <w:left w:val="single" w:color="auto" w:sz="8" w:space="0"/>
              <w:bottom w:val="single" w:color="auto" w:sz="8" w:space="0"/>
            </w:tcBorders>
            <w:tcMar>
              <w:top w:w="0" w:type="dxa"/>
              <w:left w:w="108" w:type="dxa"/>
              <w:bottom w:w="0" w:type="dxa"/>
              <w:right w:w="108" w:type="dxa"/>
            </w:tcMar>
            <w:vAlign w:val="center"/>
          </w:tcPr>
          <w:p w14:paraId="6115A7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
                <w:iCs/>
                <w:sz w:val="18"/>
                <w:szCs w:val="18"/>
              </w:rPr>
            </w:pPr>
          </w:p>
        </w:tc>
        <w:tc>
          <w:tcPr>
            <w:tcW w:w="1287" w:type="pct"/>
            <w:tcBorders>
              <w:bottom w:val="single" w:color="auto" w:sz="8" w:space="0"/>
            </w:tcBorders>
            <w:tcMar>
              <w:top w:w="0" w:type="dxa"/>
              <w:left w:w="108" w:type="dxa"/>
              <w:bottom w:w="0" w:type="dxa"/>
              <w:right w:w="108" w:type="dxa"/>
            </w:tcMar>
            <w:vAlign w:val="center"/>
          </w:tcPr>
          <w:p w14:paraId="7E7C84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hint="eastAsia" w:ascii="宋体" w:hAnsi="宋体" w:cs="Arial"/>
                <w:bCs/>
                <w:sz w:val="18"/>
                <w:szCs w:val="18"/>
                <w:shd w:val="clear" w:color="auto" w:fill="F8F8F8"/>
              </w:rPr>
              <w:t>硅</w:t>
            </w:r>
            <w:r>
              <w:rPr>
                <w:rFonts w:ascii="宋体" w:hAnsi="宋体" w:cs="Arial"/>
                <w:bCs/>
                <w:sz w:val="18"/>
                <w:szCs w:val="18"/>
                <w:shd w:val="clear" w:color="auto" w:fill="F8F8F8"/>
              </w:rPr>
              <w:t>片边缘长度</w:t>
            </w:r>
            <w:r>
              <w:rPr>
                <w:rFonts w:hint="eastAsia" w:ascii="宋体" w:hAnsi="宋体" w:cs="Arial"/>
                <w:bCs/>
                <w:sz w:val="18"/>
                <w:szCs w:val="18"/>
                <w:shd w:val="clear" w:color="auto" w:fill="F8F8F8"/>
              </w:rPr>
              <w:t xml:space="preserve"> </w:t>
            </w:r>
            <w:r>
              <w:rPr>
                <w:rFonts w:ascii="宋体" w:hAnsi="宋体"/>
                <w:iCs/>
                <w:sz w:val="18"/>
                <w:szCs w:val="18"/>
              </w:rPr>
              <w:t>A</w:t>
            </w:r>
          </w:p>
        </w:tc>
        <w:tc>
          <w:tcPr>
            <w:tcW w:w="1287" w:type="pct"/>
            <w:tcBorders>
              <w:bottom w:val="single" w:color="auto" w:sz="8" w:space="0"/>
            </w:tcBorders>
            <w:tcMar>
              <w:top w:w="0" w:type="dxa"/>
              <w:left w:w="108" w:type="dxa"/>
              <w:bottom w:w="0" w:type="dxa"/>
              <w:right w:w="108" w:type="dxa"/>
            </w:tcMar>
            <w:vAlign w:val="center"/>
          </w:tcPr>
          <w:p w14:paraId="72C41C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ascii="宋体" w:hAnsi="宋体" w:cs="Arial"/>
                <w:bCs/>
                <w:sz w:val="18"/>
                <w:szCs w:val="18"/>
                <w:shd w:val="clear" w:color="auto" w:fill="F8F8F8"/>
              </w:rPr>
              <w:t>对角</w:t>
            </w:r>
            <w:r>
              <w:rPr>
                <w:rFonts w:hint="eastAsia" w:ascii="宋体" w:hAnsi="宋体" w:cs="Arial"/>
                <w:bCs/>
                <w:sz w:val="18"/>
                <w:szCs w:val="18"/>
                <w:shd w:val="clear" w:color="auto" w:fill="F8F8F8"/>
              </w:rPr>
              <w:t xml:space="preserve">线长度 </w:t>
            </w:r>
            <w:r>
              <w:rPr>
                <w:rFonts w:ascii="宋体" w:hAnsi="宋体"/>
                <w:iCs/>
                <w:sz w:val="18"/>
                <w:szCs w:val="18"/>
              </w:rPr>
              <w:t>G</w:t>
            </w:r>
          </w:p>
        </w:tc>
        <w:tc>
          <w:tcPr>
            <w:tcW w:w="1293" w:type="pct"/>
            <w:tcBorders>
              <w:bottom w:val="single" w:color="auto" w:sz="8" w:space="0"/>
              <w:right w:val="single" w:color="auto" w:sz="8" w:space="0"/>
            </w:tcBorders>
            <w:tcMar>
              <w:top w:w="0" w:type="dxa"/>
              <w:left w:w="108" w:type="dxa"/>
              <w:bottom w:w="0" w:type="dxa"/>
              <w:right w:w="108" w:type="dxa"/>
            </w:tcMar>
            <w:vAlign w:val="center"/>
          </w:tcPr>
          <w:p w14:paraId="522395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ascii="宋体" w:hAnsi="宋体" w:cs="Arial"/>
                <w:bCs/>
                <w:sz w:val="18"/>
                <w:szCs w:val="18"/>
                <w:shd w:val="clear" w:color="auto" w:fill="F8F8F8"/>
              </w:rPr>
              <w:t>倒角长度</w:t>
            </w:r>
            <w:r>
              <w:rPr>
                <w:rFonts w:hint="eastAsia" w:ascii="宋体" w:hAnsi="宋体" w:cs="Arial"/>
                <w:bCs/>
                <w:sz w:val="18"/>
                <w:szCs w:val="18"/>
                <w:shd w:val="clear" w:color="auto" w:fill="F8F8F8"/>
              </w:rPr>
              <w:t xml:space="preserve"> </w:t>
            </w:r>
            <w:r>
              <w:rPr>
                <w:rFonts w:ascii="宋体" w:hAnsi="宋体"/>
                <w:iCs/>
                <w:sz w:val="18"/>
                <w:szCs w:val="18"/>
              </w:rPr>
              <w:t>H</w:t>
            </w:r>
          </w:p>
        </w:tc>
      </w:tr>
      <w:tr w14:paraId="76C3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132" w:type="pct"/>
            <w:tcBorders>
              <w:top w:val="single" w:color="auto" w:sz="8" w:space="0"/>
              <w:left w:val="single" w:color="auto" w:sz="8" w:space="0"/>
            </w:tcBorders>
            <w:tcMar>
              <w:top w:w="0" w:type="dxa"/>
              <w:left w:w="108" w:type="dxa"/>
              <w:bottom w:w="0" w:type="dxa"/>
              <w:right w:w="108" w:type="dxa"/>
            </w:tcMar>
            <w:vAlign w:val="center"/>
          </w:tcPr>
          <w:p w14:paraId="511BDF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156.75</w:t>
            </w:r>
          </w:p>
        </w:tc>
        <w:tc>
          <w:tcPr>
            <w:tcW w:w="1287" w:type="pct"/>
            <w:tcBorders>
              <w:top w:val="single" w:color="auto" w:sz="8" w:space="0"/>
            </w:tcBorders>
            <w:tcMar>
              <w:top w:w="0" w:type="dxa"/>
              <w:left w:w="108" w:type="dxa"/>
              <w:bottom w:w="0" w:type="dxa"/>
              <w:right w:w="108" w:type="dxa"/>
            </w:tcMar>
            <w:vAlign w:val="center"/>
          </w:tcPr>
          <w:p w14:paraId="7644C1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156.75±0.25</w:t>
            </w:r>
          </w:p>
        </w:tc>
        <w:tc>
          <w:tcPr>
            <w:tcW w:w="1287" w:type="pct"/>
            <w:tcBorders>
              <w:top w:val="single" w:color="auto" w:sz="8" w:space="0"/>
            </w:tcBorders>
            <w:tcMar>
              <w:top w:w="0" w:type="dxa"/>
              <w:left w:w="108" w:type="dxa"/>
              <w:bottom w:w="0" w:type="dxa"/>
              <w:right w:w="108" w:type="dxa"/>
            </w:tcMar>
            <w:vAlign w:val="center"/>
          </w:tcPr>
          <w:p w14:paraId="10782E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221.60±0.50</w:t>
            </w:r>
          </w:p>
        </w:tc>
        <w:tc>
          <w:tcPr>
            <w:tcW w:w="1293" w:type="pct"/>
            <w:tcBorders>
              <w:top w:val="single" w:color="auto" w:sz="8" w:space="0"/>
              <w:right w:val="single" w:color="auto" w:sz="8" w:space="0"/>
            </w:tcBorders>
            <w:tcMar>
              <w:top w:w="0" w:type="dxa"/>
              <w:left w:w="108" w:type="dxa"/>
              <w:bottom w:w="0" w:type="dxa"/>
              <w:right w:w="108" w:type="dxa"/>
            </w:tcMar>
            <w:vAlign w:val="center"/>
          </w:tcPr>
          <w:p w14:paraId="0BF5B2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1.25±0.75</w:t>
            </w:r>
          </w:p>
        </w:tc>
      </w:tr>
      <w:tr w14:paraId="38FC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132" w:type="pct"/>
            <w:tcBorders>
              <w:left w:val="single" w:color="auto" w:sz="8" w:space="0"/>
            </w:tcBorders>
            <w:vAlign w:val="center"/>
          </w:tcPr>
          <w:p w14:paraId="24B03A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158.75</w:t>
            </w:r>
          </w:p>
        </w:tc>
        <w:tc>
          <w:tcPr>
            <w:tcW w:w="1287" w:type="pct"/>
            <w:tcMar>
              <w:top w:w="0" w:type="dxa"/>
              <w:left w:w="108" w:type="dxa"/>
              <w:bottom w:w="0" w:type="dxa"/>
              <w:right w:w="108" w:type="dxa"/>
            </w:tcMar>
            <w:vAlign w:val="center"/>
          </w:tcPr>
          <w:p w14:paraId="6368F8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158.75±0.25</w:t>
            </w:r>
          </w:p>
        </w:tc>
        <w:tc>
          <w:tcPr>
            <w:tcW w:w="1287" w:type="pct"/>
            <w:tcMar>
              <w:top w:w="0" w:type="dxa"/>
              <w:left w:w="108" w:type="dxa"/>
              <w:bottom w:w="0" w:type="dxa"/>
              <w:right w:w="108" w:type="dxa"/>
            </w:tcMar>
            <w:vAlign w:val="center"/>
          </w:tcPr>
          <w:p w14:paraId="357D7F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224.50±0.50</w:t>
            </w:r>
          </w:p>
        </w:tc>
        <w:tc>
          <w:tcPr>
            <w:tcW w:w="1293" w:type="pct"/>
            <w:tcBorders>
              <w:right w:val="single" w:color="auto" w:sz="8" w:space="0"/>
            </w:tcBorders>
            <w:tcMar>
              <w:top w:w="0" w:type="dxa"/>
              <w:left w:w="108" w:type="dxa"/>
              <w:bottom w:w="0" w:type="dxa"/>
              <w:right w:w="108" w:type="dxa"/>
            </w:tcMar>
            <w:vAlign w:val="center"/>
          </w:tcPr>
          <w:p w14:paraId="2E4F67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1.25±0.75</w:t>
            </w:r>
          </w:p>
        </w:tc>
      </w:tr>
      <w:tr w14:paraId="492C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132" w:type="pct"/>
            <w:tcBorders>
              <w:left w:val="single" w:color="auto" w:sz="8" w:space="0"/>
            </w:tcBorders>
            <w:vAlign w:val="center"/>
          </w:tcPr>
          <w:p w14:paraId="397B44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182.00</w:t>
            </w:r>
          </w:p>
        </w:tc>
        <w:tc>
          <w:tcPr>
            <w:tcW w:w="1287" w:type="pct"/>
            <w:tcMar>
              <w:top w:w="0" w:type="dxa"/>
              <w:left w:w="108" w:type="dxa"/>
              <w:bottom w:w="0" w:type="dxa"/>
              <w:right w:w="108" w:type="dxa"/>
            </w:tcMar>
            <w:vAlign w:val="center"/>
          </w:tcPr>
          <w:p w14:paraId="051C97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182.00±0.25</w:t>
            </w:r>
          </w:p>
        </w:tc>
        <w:tc>
          <w:tcPr>
            <w:tcW w:w="1287" w:type="pct"/>
            <w:tcMar>
              <w:top w:w="0" w:type="dxa"/>
              <w:left w:w="108" w:type="dxa"/>
              <w:bottom w:w="0" w:type="dxa"/>
              <w:right w:w="108" w:type="dxa"/>
            </w:tcMar>
            <w:vAlign w:val="center"/>
          </w:tcPr>
          <w:p w14:paraId="67B775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257.39±0.50</w:t>
            </w:r>
          </w:p>
        </w:tc>
        <w:tc>
          <w:tcPr>
            <w:tcW w:w="1293" w:type="pct"/>
            <w:tcBorders>
              <w:right w:val="single" w:color="auto" w:sz="8" w:space="0"/>
            </w:tcBorders>
            <w:tcMar>
              <w:top w:w="0" w:type="dxa"/>
              <w:left w:w="108" w:type="dxa"/>
              <w:bottom w:w="0" w:type="dxa"/>
              <w:right w:w="108" w:type="dxa"/>
            </w:tcMar>
            <w:vAlign w:val="center"/>
          </w:tcPr>
          <w:p w14:paraId="530712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1.25±0.75</w:t>
            </w:r>
          </w:p>
        </w:tc>
      </w:tr>
      <w:tr w14:paraId="0D1E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132" w:type="pct"/>
            <w:tcBorders>
              <w:left w:val="single" w:color="auto" w:sz="8" w:space="0"/>
            </w:tcBorders>
            <w:vAlign w:val="center"/>
          </w:tcPr>
          <w:p w14:paraId="20D877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210.00</w:t>
            </w:r>
          </w:p>
        </w:tc>
        <w:tc>
          <w:tcPr>
            <w:tcW w:w="1287" w:type="pct"/>
            <w:tcMar>
              <w:top w:w="0" w:type="dxa"/>
              <w:left w:w="108" w:type="dxa"/>
              <w:bottom w:w="0" w:type="dxa"/>
              <w:right w:w="108" w:type="dxa"/>
            </w:tcMar>
            <w:vAlign w:val="center"/>
          </w:tcPr>
          <w:p w14:paraId="5233C3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210.00±0.25</w:t>
            </w:r>
          </w:p>
        </w:tc>
        <w:tc>
          <w:tcPr>
            <w:tcW w:w="1287" w:type="pct"/>
            <w:tcMar>
              <w:top w:w="0" w:type="dxa"/>
              <w:left w:w="108" w:type="dxa"/>
              <w:bottom w:w="0" w:type="dxa"/>
              <w:right w:w="108" w:type="dxa"/>
            </w:tcMar>
            <w:vAlign w:val="center"/>
          </w:tcPr>
          <w:p w14:paraId="5B3808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296.98±0.50</w:t>
            </w:r>
          </w:p>
        </w:tc>
        <w:tc>
          <w:tcPr>
            <w:tcW w:w="1293" w:type="pct"/>
            <w:tcBorders>
              <w:right w:val="single" w:color="auto" w:sz="8" w:space="0"/>
            </w:tcBorders>
            <w:tcMar>
              <w:top w:w="0" w:type="dxa"/>
              <w:left w:w="108" w:type="dxa"/>
              <w:bottom w:w="0" w:type="dxa"/>
              <w:right w:w="108" w:type="dxa"/>
            </w:tcMar>
            <w:vAlign w:val="center"/>
          </w:tcPr>
          <w:p w14:paraId="0B4C55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Cs/>
                <w:sz w:val="18"/>
                <w:szCs w:val="18"/>
              </w:rPr>
            </w:pPr>
            <w:r>
              <w:rPr>
                <w:rFonts w:hint="eastAsia" w:ascii="宋体" w:hAnsi="宋体"/>
                <w:iCs/>
                <w:sz w:val="18"/>
                <w:szCs w:val="18"/>
              </w:rPr>
              <w:t>2.00±0.75</w:t>
            </w:r>
          </w:p>
        </w:tc>
      </w:tr>
      <w:tr w14:paraId="3D72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132" w:type="pct"/>
            <w:tcBorders>
              <w:left w:val="single" w:color="auto" w:sz="8" w:space="0"/>
              <w:bottom w:val="single" w:color="auto" w:sz="8" w:space="0"/>
            </w:tcBorders>
            <w:vAlign w:val="center"/>
          </w:tcPr>
          <w:p w14:paraId="2CFF8E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hint="eastAsia" w:ascii="宋体" w:hAnsi="宋体"/>
                <w:iCs/>
                <w:sz w:val="18"/>
                <w:szCs w:val="18"/>
              </w:rPr>
              <w:t>218.20</w:t>
            </w:r>
          </w:p>
        </w:tc>
        <w:tc>
          <w:tcPr>
            <w:tcW w:w="1287" w:type="pct"/>
            <w:tcBorders>
              <w:bottom w:val="single" w:color="auto" w:sz="8" w:space="0"/>
            </w:tcBorders>
            <w:tcMar>
              <w:top w:w="0" w:type="dxa"/>
              <w:left w:w="108" w:type="dxa"/>
              <w:bottom w:w="0" w:type="dxa"/>
              <w:right w:w="108" w:type="dxa"/>
            </w:tcMar>
            <w:vAlign w:val="center"/>
          </w:tcPr>
          <w:p w14:paraId="56591E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hint="eastAsia" w:ascii="宋体" w:hAnsi="宋体"/>
                <w:iCs/>
                <w:sz w:val="18"/>
                <w:szCs w:val="18"/>
              </w:rPr>
              <w:t>218.20±0.25</w:t>
            </w:r>
          </w:p>
        </w:tc>
        <w:tc>
          <w:tcPr>
            <w:tcW w:w="1287" w:type="pct"/>
            <w:tcBorders>
              <w:bottom w:val="single" w:color="auto" w:sz="8" w:space="0"/>
            </w:tcBorders>
            <w:tcMar>
              <w:top w:w="0" w:type="dxa"/>
              <w:left w:w="108" w:type="dxa"/>
              <w:bottom w:w="0" w:type="dxa"/>
              <w:right w:w="108" w:type="dxa"/>
            </w:tcMar>
            <w:vAlign w:val="center"/>
          </w:tcPr>
          <w:p w14:paraId="15115E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hint="eastAsia" w:ascii="宋体" w:hAnsi="宋体"/>
                <w:iCs/>
                <w:sz w:val="18"/>
                <w:szCs w:val="18"/>
              </w:rPr>
              <w:t>308.58±0.50</w:t>
            </w:r>
          </w:p>
        </w:tc>
        <w:tc>
          <w:tcPr>
            <w:tcW w:w="1293" w:type="pct"/>
            <w:tcBorders>
              <w:bottom w:val="single" w:color="auto" w:sz="8" w:space="0"/>
              <w:right w:val="single" w:color="auto" w:sz="8" w:space="0"/>
            </w:tcBorders>
            <w:tcMar>
              <w:top w:w="0" w:type="dxa"/>
              <w:left w:w="108" w:type="dxa"/>
              <w:bottom w:w="0" w:type="dxa"/>
              <w:right w:w="108" w:type="dxa"/>
            </w:tcMar>
            <w:vAlign w:val="center"/>
          </w:tcPr>
          <w:p w14:paraId="556B52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iCs/>
                <w:sz w:val="18"/>
                <w:szCs w:val="18"/>
              </w:rPr>
            </w:pPr>
            <w:r>
              <w:rPr>
                <w:rFonts w:hint="eastAsia" w:ascii="宋体" w:hAnsi="宋体"/>
                <w:iCs/>
                <w:sz w:val="18"/>
                <w:szCs w:val="18"/>
              </w:rPr>
              <w:t>2.00±0.75</w:t>
            </w:r>
          </w:p>
        </w:tc>
      </w:tr>
    </w:tbl>
    <w:p w14:paraId="4203DB3B">
      <w:pPr>
        <w:keepNext w:val="0"/>
        <w:keepLines w:val="0"/>
        <w:pageBreakBefore w:val="0"/>
        <w:widowControl/>
        <w:wordWrap/>
        <w:overflowPunct/>
        <w:bidi w:val="0"/>
        <w:adjustRightInd/>
        <w:snapToGrid/>
        <w:spacing w:line="360" w:lineRule="auto"/>
        <w:ind w:firstLine="422" w:firstLineChars="200"/>
        <w:jc w:val="left"/>
        <w:textAlignment w:val="auto"/>
        <w:rPr>
          <w:rFonts w:ascii="黑体" w:hAnsi="黑体" w:eastAsia="黑体" w:cs="黑体"/>
          <w:sz w:val="24"/>
        </w:rPr>
      </w:pPr>
      <w:r>
        <w:rPr>
          <w:rFonts w:hint="eastAsia" w:ascii="宋体" w:hAnsi="宋体" w:cs="宋体"/>
          <w:b/>
          <w:bCs/>
          <w:color w:val="000000"/>
          <w:kern w:val="0"/>
          <w:szCs w:val="21"/>
          <w:lang w:bidi="ar"/>
        </w:rPr>
        <w:t>（四） 第7章：试验方法的确定</w:t>
      </w:r>
    </w:p>
    <w:p w14:paraId="05D7E9AD">
      <w:pPr>
        <w:keepNext w:val="0"/>
        <w:keepLines w:val="0"/>
        <w:pageBreakBefore w:val="0"/>
        <w:widowControl/>
        <w:wordWrap/>
        <w:overflowPunct/>
        <w:bidi w:val="0"/>
        <w:adjustRightInd/>
        <w:snapToGrid/>
        <w:spacing w:line="360" w:lineRule="auto"/>
        <w:ind w:firstLine="420" w:firstLineChars="200"/>
        <w:textAlignment w:val="auto"/>
        <w:rPr>
          <w:rFonts w:ascii="宋体" w:hAnsi="宋体" w:cs="宋体"/>
          <w:color w:val="000000"/>
          <w:kern w:val="0"/>
          <w:szCs w:val="21"/>
          <w:lang w:bidi="ar"/>
        </w:rPr>
      </w:pPr>
      <w:r>
        <w:rPr>
          <w:rFonts w:hint="eastAsia" w:ascii="宋体" w:hAnsi="宋体" w:cs="宋体"/>
          <w:color w:val="000000"/>
          <w:kern w:val="0"/>
          <w:szCs w:val="21"/>
          <w:lang w:bidi="ar"/>
        </w:rPr>
        <w:t>因现在硅片</w:t>
      </w:r>
      <w:r>
        <w:rPr>
          <w:rFonts w:hint="eastAsia" w:ascii="宋体" w:hAnsi="宋体" w:cs="宋体"/>
        </w:rPr>
        <w:t>载流子复合寿命的测量各企业普遍按GB/T 42907 的规定进行检测</w:t>
      </w:r>
      <w:r>
        <w:rPr>
          <w:rFonts w:hint="eastAsia"/>
        </w:rPr>
        <w:t>，</w:t>
      </w:r>
      <w:r>
        <w:rPr>
          <w:rFonts w:hint="eastAsia" w:ascii="宋体" w:hAnsi="宋体" w:cs="宋体"/>
          <w:color w:val="000000"/>
          <w:kern w:val="0"/>
          <w:szCs w:val="21"/>
          <w:lang w:bidi="ar"/>
        </w:rPr>
        <w:t>不再使用GB/T26068方法，所以在修订版标准的试验方法中删除了此标准方法并新增了GB/T 42907 规定的方法。</w:t>
      </w:r>
    </w:p>
    <w:p w14:paraId="037D9C66">
      <w:pPr>
        <w:keepNext w:val="0"/>
        <w:keepLines w:val="0"/>
        <w:pageBreakBefore w:val="0"/>
        <w:widowControl/>
        <w:wordWrap/>
        <w:overflowPunct/>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结合GB/T 25076 《太阳能电池用硅单晶》中内容在此修订版标准中</w:t>
      </w:r>
      <w:r>
        <w:rPr>
          <w:rFonts w:hint="eastAsia" w:ascii="宋体" w:hAnsi="宋体" w:cs="宋体"/>
          <w:color w:val="000000"/>
          <w:kern w:val="0"/>
          <w:szCs w:val="21"/>
          <w:lang w:bidi="ar"/>
        </w:rPr>
        <w:t xml:space="preserve">新增了硅片氧含量、碳含量、晶体完整性检验方法，国标分别为 </w:t>
      </w:r>
      <w:r>
        <w:t>GB/T 1557</w:t>
      </w:r>
      <w:r>
        <w:rPr>
          <w:rFonts w:hint="eastAsia"/>
        </w:rPr>
        <w:t>、</w:t>
      </w:r>
      <w:r>
        <w:t>GB/T 155</w:t>
      </w:r>
      <w:r>
        <w:rPr>
          <w:rFonts w:hint="eastAsia"/>
        </w:rPr>
        <w:t>8、</w:t>
      </w:r>
      <w:r>
        <w:t>GB/T 155</w:t>
      </w:r>
      <w:r>
        <w:rPr>
          <w:rFonts w:hint="eastAsia"/>
        </w:rPr>
        <w:t>4。</w:t>
      </w:r>
    </w:p>
    <w:p w14:paraId="7014C827">
      <w:pPr>
        <w:keepNext w:val="0"/>
        <w:keepLines w:val="0"/>
        <w:pageBreakBefore w:val="0"/>
        <w:widowControl/>
        <w:wordWrap/>
        <w:overflowPunct/>
        <w:bidi w:val="0"/>
        <w:adjustRightInd/>
        <w:snapToGrid/>
        <w:spacing w:line="360" w:lineRule="auto"/>
        <w:ind w:firstLine="420" w:firstLineChars="200"/>
        <w:textAlignment w:val="auto"/>
      </w:pPr>
      <w:r>
        <w:rPr>
          <w:rFonts w:hint="eastAsia" w:ascii="宋体" w:hAnsi="宋体" w:cs="宋体"/>
          <w:color w:val="000000"/>
          <w:kern w:val="0"/>
          <w:szCs w:val="21"/>
          <w:lang w:bidi="ar"/>
        </w:rPr>
        <w:t>因目前太阳能光伏企业对产品金属杂质含量要求很高，所以在修订版标准中增加了</w:t>
      </w:r>
      <w:r>
        <w:t>金属铁含量的测定按YS/T 679 的规定进行，</w:t>
      </w:r>
      <w:r>
        <w:rPr>
          <w:rFonts w:hint="eastAsia"/>
        </w:rPr>
        <w:t>总</w:t>
      </w:r>
      <w:r>
        <w:t>金属含量的测定按GB/T 32651 进行</w:t>
      </w:r>
      <w:r>
        <w:rPr>
          <w:rFonts w:hint="eastAsia"/>
        </w:rPr>
        <w:t>。</w:t>
      </w:r>
    </w:p>
    <w:p w14:paraId="7ADD0487">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标准中涉及专利的情况</w:t>
      </w:r>
    </w:p>
    <w:p w14:paraId="540A3080">
      <w:pPr>
        <w:keepNext w:val="0"/>
        <w:keepLines w:val="0"/>
        <w:pageBreakBefore w:val="0"/>
        <w:wordWrap/>
        <w:overflowPunct/>
        <w:bidi w:val="0"/>
        <w:adjustRightInd/>
        <w:snapToGrid/>
        <w:spacing w:line="360" w:lineRule="auto"/>
        <w:ind w:firstLine="420" w:firstLineChars="200"/>
        <w:jc w:val="left"/>
        <w:textAlignment w:val="auto"/>
        <w:rPr>
          <w:rFonts w:hAnsi="宋体"/>
          <w:color w:val="000000"/>
        </w:rPr>
      </w:pPr>
      <w:r>
        <w:rPr>
          <w:rFonts w:hint="eastAsia" w:hAnsi="宋体"/>
          <w:color w:val="000000"/>
        </w:rPr>
        <w:t>本文件不涉及专利问题。</w:t>
      </w:r>
    </w:p>
    <w:p w14:paraId="6B6A5176">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预期达到的社会效益等情况</w:t>
      </w:r>
    </w:p>
    <w:p w14:paraId="627ACE85">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int="eastAsia" w:hAnsi="宋体"/>
          <w:color w:val="000000"/>
        </w:rPr>
        <w:t>太阳能电池用硅单晶及硅片作为支撑光伏产业发展最基础的原材料，其性能直接决定了光伏电池的光电转换效率和使用寿命，近年来在上述背景和国内政策的刺激下，各种新型技术日新月异，在效率和成本两个方面不断推陈出新，出现了各种高性能、高质量、低成本的硅片产品，特别是在大尺寸硅片方面。</w:t>
      </w:r>
    </w:p>
    <w:p w14:paraId="3A3DF2B3">
      <w:pPr>
        <w:keepNext w:val="0"/>
        <w:keepLines w:val="0"/>
        <w:pageBreakBefore w:val="0"/>
        <w:wordWrap/>
        <w:overflowPunct/>
        <w:bidi w:val="0"/>
        <w:adjustRightInd/>
        <w:snapToGrid/>
        <w:spacing w:line="360" w:lineRule="auto"/>
        <w:ind w:firstLine="420" w:firstLineChars="200"/>
        <w:textAlignment w:val="auto"/>
        <w:rPr>
          <w:rFonts w:hAnsi="宋体"/>
          <w:color w:val="000000"/>
          <w:highlight w:val="yellow"/>
        </w:rPr>
      </w:pPr>
      <w:r>
        <w:rPr>
          <w:rFonts w:hint="eastAsia" w:hAnsi="宋体"/>
          <w:color w:val="000000"/>
        </w:rPr>
        <w:t>随着光伏行业对度电成本持续下降的要求，特别是N型电池技术的快速崛起，太阳能电池用硅单晶片向着“大尺寸、超薄化”方向发展。现行标准GB/T 26071-2018中对准方形硅片外形尺寸及厚度参数不再适用于硅片产业化技术发展趋势。同时，现行标准中缺少边长182规格，而其中的210规格在对角线、倒角长度等参数与市场上现行产品也存在差异，导致市场上无国家标准可依。</w:t>
      </w:r>
    </w:p>
    <w:p w14:paraId="0384012B">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Ansi="宋体"/>
          <w:color w:val="000000"/>
        </w:rPr>
        <w:t>为了规范太阳能电池用硅单晶片的产品标准，更好地为光伏硅材料生产企业服务，提出修订该标准。同时，根据半导体材料国家标准体系优化结论，将GB/T 25076 《太阳能电池用硅单晶》中内容合并至GB/T 26071 《太阳能电池用硅单晶片》。</w:t>
      </w:r>
    </w:p>
    <w:p w14:paraId="50CE8C79">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int="eastAsia" w:hAnsi="宋体"/>
          <w:color w:val="000000"/>
        </w:rPr>
        <w:t>（一）提升太阳能电池用硅单晶及硅单晶片产品质量技术门槛。本标准</w:t>
      </w:r>
      <w:r>
        <w:rPr>
          <w:rFonts w:hAnsi="宋体"/>
          <w:color w:val="000000"/>
        </w:rPr>
        <w:t>作为国家</w:t>
      </w:r>
      <w:r>
        <w:rPr>
          <w:rFonts w:hint="eastAsia" w:hAnsi="宋体"/>
          <w:color w:val="000000"/>
        </w:rPr>
        <w:t>推荐性</w:t>
      </w:r>
      <w:r>
        <w:rPr>
          <w:rFonts w:hAnsi="宋体"/>
          <w:color w:val="000000"/>
        </w:rPr>
        <w:t>标准，</w:t>
      </w:r>
      <w:r>
        <w:rPr>
          <w:rFonts w:hint="eastAsia" w:hAnsi="宋体"/>
          <w:color w:val="000000"/>
        </w:rPr>
        <w:t>是国家政府管理太阳能光伏产业的重要技术依据之一，是太阳能电池用硅单晶及硅单晶片</w:t>
      </w:r>
      <w:r>
        <w:rPr>
          <w:rFonts w:hAnsi="宋体"/>
          <w:color w:val="000000"/>
        </w:rPr>
        <w:t>产品应该满足的最低</w:t>
      </w:r>
      <w:r>
        <w:rPr>
          <w:rFonts w:hint="eastAsia" w:hAnsi="宋体"/>
          <w:color w:val="000000"/>
        </w:rPr>
        <w:t>技术</w:t>
      </w:r>
      <w:r>
        <w:rPr>
          <w:rFonts w:hAnsi="宋体"/>
          <w:color w:val="000000"/>
        </w:rPr>
        <w:t>要求</w:t>
      </w:r>
      <w:r>
        <w:rPr>
          <w:rFonts w:hint="eastAsia" w:hAnsi="宋体"/>
          <w:color w:val="000000"/>
        </w:rPr>
        <w:t>。</w:t>
      </w:r>
    </w:p>
    <w:p w14:paraId="3C9BD2AC">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int="eastAsia" w:hAnsi="宋体"/>
          <w:color w:val="000000"/>
        </w:rPr>
        <w:t>（二）</w:t>
      </w:r>
      <w:r>
        <w:rPr>
          <w:rFonts w:hAnsi="宋体"/>
          <w:color w:val="000000"/>
        </w:rPr>
        <w:t>提升产品质量水平，促进企业加大研发投入，以技术保</w:t>
      </w:r>
      <w:r>
        <w:rPr>
          <w:rFonts w:hint="eastAsia" w:hAnsi="宋体"/>
          <w:color w:val="000000"/>
        </w:rPr>
        <w:t>质量</w:t>
      </w:r>
      <w:r>
        <w:rPr>
          <w:rFonts w:hAnsi="宋体"/>
          <w:color w:val="000000"/>
        </w:rPr>
        <w:t>。主要提升的技术要求有以下几点：</w:t>
      </w:r>
      <w:r>
        <w:rPr>
          <w:rFonts w:hint="eastAsia" w:hAnsi="宋体"/>
          <w:color w:val="000000"/>
        </w:rPr>
        <w:t>一</w:t>
      </w:r>
      <w:r>
        <w:rPr>
          <w:rFonts w:hAnsi="宋体"/>
          <w:color w:val="000000"/>
        </w:rPr>
        <w:t>是</w:t>
      </w:r>
      <w:r>
        <w:rPr>
          <w:rFonts w:hint="eastAsia" w:hAnsi="宋体"/>
          <w:color w:val="000000"/>
        </w:rPr>
        <w:t>提高硅单晶生产过程中生产质量管理能力。通过在硅单晶生产过程中关键质量控制点及产品产出质量特性建立质量门，运用数字化平台对关键参数进行监控、并对异常开展改善，提升过程及产出产品的质量管理能力</w:t>
      </w:r>
      <w:r>
        <w:rPr>
          <w:rFonts w:hAnsi="宋体"/>
          <w:color w:val="000000"/>
        </w:rPr>
        <w:t>；</w:t>
      </w:r>
      <w:r>
        <w:rPr>
          <w:rFonts w:hint="eastAsia" w:hAnsi="宋体"/>
          <w:color w:val="000000"/>
        </w:rPr>
        <w:t>二</w:t>
      </w:r>
      <w:r>
        <w:rPr>
          <w:rFonts w:hAnsi="宋体"/>
          <w:color w:val="000000"/>
        </w:rPr>
        <w:t>是</w:t>
      </w:r>
      <w:r>
        <w:rPr>
          <w:rFonts w:hint="eastAsia" w:hAnsi="宋体"/>
          <w:color w:val="000000"/>
        </w:rPr>
        <w:t>提高硅单晶片切割过程</w:t>
      </w:r>
      <w:r>
        <w:rPr>
          <w:rFonts w:hAnsi="宋体"/>
          <w:color w:val="000000"/>
        </w:rPr>
        <w:t>的要求，通过</w:t>
      </w:r>
      <w:r>
        <w:rPr>
          <w:rFonts w:hint="eastAsia" w:hAnsi="宋体"/>
          <w:color w:val="000000"/>
        </w:rPr>
        <w:t>实现高线速条件下更高的切割稳定性</w:t>
      </w:r>
      <w:r>
        <w:rPr>
          <w:rFonts w:hAnsi="宋体"/>
          <w:color w:val="000000"/>
        </w:rPr>
        <w:t>，研究制定</w:t>
      </w:r>
      <w:r>
        <w:rPr>
          <w:rFonts w:hint="eastAsia" w:hAnsi="宋体"/>
          <w:color w:val="000000"/>
        </w:rPr>
        <w:t>提高设备线速度、供给速度稳定性和精准控制准确性的</w:t>
      </w:r>
      <w:r>
        <w:rPr>
          <w:rFonts w:hAnsi="宋体"/>
          <w:color w:val="000000"/>
        </w:rPr>
        <w:t>方法；</w:t>
      </w:r>
      <w:r>
        <w:rPr>
          <w:rFonts w:hint="eastAsia" w:hAnsi="宋体"/>
          <w:color w:val="000000"/>
        </w:rPr>
        <w:t>三</w:t>
      </w:r>
      <w:r>
        <w:rPr>
          <w:rFonts w:hAnsi="宋体"/>
          <w:color w:val="000000"/>
        </w:rPr>
        <w:t>是</w:t>
      </w:r>
      <w:r>
        <w:rPr>
          <w:rFonts w:hint="eastAsia" w:hAnsi="宋体"/>
          <w:color w:val="000000"/>
        </w:rPr>
        <w:t>提高硅单晶片切割辅料质量的</w:t>
      </w:r>
      <w:r>
        <w:rPr>
          <w:rFonts w:hAnsi="宋体"/>
          <w:color w:val="000000"/>
        </w:rPr>
        <w:t>要求，通过</w:t>
      </w:r>
      <w:r>
        <w:rPr>
          <w:rFonts w:hint="eastAsia" w:hAnsi="宋体"/>
          <w:color w:val="000000"/>
        </w:rPr>
        <w:t>优化辅料性能和品质</w:t>
      </w:r>
      <w:r>
        <w:rPr>
          <w:rFonts w:hAnsi="宋体"/>
          <w:color w:val="000000"/>
        </w:rPr>
        <w:t>，解决</w:t>
      </w:r>
      <w:r>
        <w:rPr>
          <w:rFonts w:hint="eastAsia" w:hAnsi="宋体"/>
          <w:color w:val="000000"/>
        </w:rPr>
        <w:t>切割过程中由辅料引起</w:t>
      </w:r>
      <w:r>
        <w:rPr>
          <w:rFonts w:hAnsi="宋体"/>
          <w:color w:val="000000"/>
        </w:rPr>
        <w:t>的</w:t>
      </w:r>
      <w:r>
        <w:rPr>
          <w:rFonts w:hint="eastAsia" w:hAnsi="宋体"/>
          <w:color w:val="000000"/>
        </w:rPr>
        <w:t>线痕、崩边等</w:t>
      </w:r>
      <w:r>
        <w:rPr>
          <w:rFonts w:hAnsi="宋体"/>
          <w:color w:val="000000"/>
        </w:rPr>
        <w:t>问题。</w:t>
      </w:r>
    </w:p>
    <w:p w14:paraId="6BB8EB49">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int="eastAsia" w:hAnsi="宋体"/>
          <w:color w:val="000000"/>
        </w:rPr>
        <w:t>（三）</w:t>
      </w:r>
      <w:r>
        <w:rPr>
          <w:rFonts w:hAnsi="宋体"/>
          <w:color w:val="000000"/>
        </w:rPr>
        <w:t>提升我国</w:t>
      </w:r>
      <w:r>
        <w:rPr>
          <w:rFonts w:hint="eastAsia" w:hAnsi="宋体"/>
          <w:color w:val="000000"/>
        </w:rPr>
        <w:t>太阳能光伏</w:t>
      </w:r>
      <w:r>
        <w:rPr>
          <w:rFonts w:hAnsi="宋体"/>
          <w:color w:val="000000"/>
        </w:rPr>
        <w:t>产业的竞争力。本标准可以指导企业合理地设计更加</w:t>
      </w:r>
      <w:r>
        <w:rPr>
          <w:rFonts w:hint="eastAsia" w:hAnsi="宋体"/>
          <w:color w:val="000000"/>
        </w:rPr>
        <w:t>高效</w:t>
      </w:r>
      <w:r>
        <w:rPr>
          <w:rFonts w:hAnsi="宋体"/>
          <w:color w:val="000000"/>
        </w:rPr>
        <w:t>可靠的</w:t>
      </w:r>
      <w:r>
        <w:rPr>
          <w:rFonts w:hint="eastAsia" w:hAnsi="宋体"/>
          <w:color w:val="000000"/>
        </w:rPr>
        <w:t>太阳能电池用硅单晶及硅单晶片产品</w:t>
      </w:r>
      <w:r>
        <w:rPr>
          <w:rFonts w:hAnsi="宋体"/>
          <w:color w:val="000000"/>
        </w:rPr>
        <w:t>，不仅可以整体提升我国</w:t>
      </w:r>
      <w:r>
        <w:rPr>
          <w:rFonts w:hint="eastAsia" w:hAnsi="宋体"/>
          <w:color w:val="000000"/>
        </w:rPr>
        <w:t>太阳能电池用硅单晶及硅单晶片产品的品质</w:t>
      </w:r>
      <w:r>
        <w:rPr>
          <w:rFonts w:hAnsi="宋体"/>
          <w:color w:val="000000"/>
        </w:rPr>
        <w:t>性能，同时也能</w:t>
      </w:r>
      <w:r>
        <w:rPr>
          <w:rFonts w:hint="eastAsia" w:hAnsi="宋体"/>
          <w:color w:val="000000"/>
        </w:rPr>
        <w:t>通过薄片化降低</w:t>
      </w:r>
      <w:r>
        <w:rPr>
          <w:rFonts w:hAnsi="宋体"/>
          <w:color w:val="000000"/>
        </w:rPr>
        <w:t>成本，提升市场竞争力。</w:t>
      </w:r>
    </w:p>
    <w:p w14:paraId="1EC8D6F5">
      <w:pPr>
        <w:keepNext w:val="0"/>
        <w:keepLines w:val="0"/>
        <w:pageBreakBefore w:val="0"/>
        <w:wordWrap/>
        <w:overflowPunct/>
        <w:bidi w:val="0"/>
        <w:adjustRightInd/>
        <w:snapToGrid/>
        <w:spacing w:line="360" w:lineRule="auto"/>
        <w:ind w:firstLine="420" w:firstLineChars="200"/>
        <w:textAlignment w:val="auto"/>
        <w:rPr>
          <w:rFonts w:hAnsi="宋体"/>
          <w:color w:val="000000"/>
        </w:rPr>
      </w:pPr>
      <w:r>
        <w:rPr>
          <w:rFonts w:hint="eastAsia" w:hAnsi="宋体"/>
          <w:color w:val="000000"/>
        </w:rPr>
        <w:t>（四）</w:t>
      </w:r>
      <w:r>
        <w:rPr>
          <w:rFonts w:hAnsi="宋体"/>
          <w:color w:val="000000"/>
        </w:rPr>
        <w:t>有助于培育良好的产业发展环境。</w:t>
      </w:r>
      <w:r>
        <w:rPr>
          <w:rFonts w:hint="eastAsia" w:hAnsi="宋体"/>
          <w:color w:val="000000"/>
        </w:rPr>
        <w:t>太阳能电池用硅单晶及硅单晶片</w:t>
      </w:r>
      <w:r>
        <w:rPr>
          <w:rFonts w:hAnsi="宋体"/>
          <w:color w:val="000000"/>
        </w:rPr>
        <w:t>性能的提升有助于增加市场用户对</w:t>
      </w:r>
      <w:r>
        <w:rPr>
          <w:rFonts w:hint="eastAsia" w:hAnsi="宋体"/>
          <w:color w:val="000000"/>
        </w:rPr>
        <w:t>太阳能电池</w:t>
      </w:r>
      <w:r>
        <w:rPr>
          <w:rFonts w:hAnsi="宋体"/>
          <w:color w:val="000000"/>
        </w:rPr>
        <w:t>的认可度和信任度，有助于产业良性循环，形成良好的发展环境。</w:t>
      </w:r>
    </w:p>
    <w:p w14:paraId="2DB4CEE8">
      <w:pPr>
        <w:keepNext w:val="0"/>
        <w:keepLines w:val="0"/>
        <w:pageBreakBefore w:val="0"/>
        <w:numPr>
          <w:ilvl w:val="0"/>
          <w:numId w:val="1"/>
        </w:numPr>
        <w:kinsoku w:val="0"/>
        <w:wordWrap/>
        <w:overflowPunct/>
        <w:bidi w:val="0"/>
        <w:adjustRightInd/>
        <w:snapToGrid/>
        <w:spacing w:line="360" w:lineRule="auto"/>
        <w:ind w:firstLine="403"/>
        <w:textAlignment w:val="auto"/>
        <w:rPr>
          <w:rFonts w:ascii="黑体" w:hAnsi="黑体" w:eastAsia="黑体" w:cs="黑体"/>
          <w:sz w:val="24"/>
        </w:rPr>
      </w:pPr>
      <w:r>
        <w:rPr>
          <w:rFonts w:hint="eastAsia" w:ascii="黑体" w:hAnsi="黑体" w:eastAsia="黑体" w:cs="黑体"/>
          <w:sz w:val="24"/>
        </w:rPr>
        <w:t>采用国际标准和国外先进标准的情况</w:t>
      </w:r>
    </w:p>
    <w:p w14:paraId="79107A12">
      <w:pPr>
        <w:keepNext w:val="0"/>
        <w:keepLines w:val="0"/>
        <w:pageBreakBefore w:val="0"/>
        <w:wordWrap/>
        <w:overflowPunct/>
        <w:bidi w:val="0"/>
        <w:adjustRightInd/>
        <w:snapToGrid/>
        <w:spacing w:line="360" w:lineRule="auto"/>
        <w:ind w:firstLine="420"/>
        <w:textAlignment w:val="auto"/>
        <w:rPr>
          <w:rFonts w:ascii="宋体" w:cs="宋体"/>
          <w:kern w:val="0"/>
          <w:szCs w:val="21"/>
        </w:rPr>
      </w:pPr>
      <w:r>
        <w:rPr>
          <w:rFonts w:hint="eastAsia" w:ascii="宋体" w:cs="宋体"/>
          <w:kern w:val="0"/>
          <w:szCs w:val="21"/>
        </w:rPr>
        <w:t>无</w:t>
      </w:r>
    </w:p>
    <w:p w14:paraId="52AF2EF5">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与现行相关法律、法规、规章及相关标准，特别是强制性国家标准的协调配套情况</w:t>
      </w:r>
    </w:p>
    <w:p w14:paraId="3917464F">
      <w:pPr>
        <w:keepNext w:val="0"/>
        <w:keepLines w:val="0"/>
        <w:pageBreakBefore w:val="0"/>
        <w:wordWrap/>
        <w:overflowPunct/>
        <w:bidi w:val="0"/>
        <w:adjustRightInd/>
        <w:snapToGrid/>
        <w:spacing w:line="360" w:lineRule="auto"/>
        <w:ind w:firstLine="420"/>
        <w:textAlignment w:val="auto"/>
        <w:rPr>
          <w:rFonts w:ascii="宋体" w:hAnsi="宋体"/>
          <w:szCs w:val="21"/>
        </w:rPr>
      </w:pPr>
      <w:r>
        <w:rPr>
          <w:rFonts w:hint="eastAsia" w:ascii="宋体" w:hAnsi="宋体"/>
          <w:szCs w:val="21"/>
        </w:rPr>
        <w:t>本文件属于产品类</w:t>
      </w:r>
      <w:r>
        <w:rPr>
          <w:rFonts w:hint="eastAsia" w:ascii="宋体" w:hAnsi="宋体" w:cs="宋体"/>
        </w:rPr>
        <w:t>标准。</w:t>
      </w:r>
    </w:p>
    <w:p w14:paraId="6D27919B">
      <w:pPr>
        <w:keepNext w:val="0"/>
        <w:keepLines w:val="0"/>
        <w:pageBreakBefore w:val="0"/>
        <w:wordWrap/>
        <w:overflowPunct/>
        <w:bidi w:val="0"/>
        <w:adjustRightInd/>
        <w:snapToGrid/>
        <w:spacing w:line="360" w:lineRule="auto"/>
        <w:ind w:firstLine="420"/>
        <w:textAlignment w:val="auto"/>
        <w:rPr>
          <w:rFonts w:ascii="宋体" w:cs="宋体"/>
          <w:kern w:val="0"/>
          <w:szCs w:val="21"/>
        </w:rPr>
      </w:pPr>
      <w:r>
        <w:rPr>
          <w:rFonts w:hint="eastAsia" w:ascii="宋体" w:cs="宋体"/>
          <w:kern w:val="0"/>
          <w:szCs w:val="21"/>
        </w:rPr>
        <w:t>本</w:t>
      </w:r>
      <w:r>
        <w:rPr>
          <w:rFonts w:hint="eastAsia" w:ascii="宋体" w:hAnsi="宋体" w:cs="宋体"/>
        </w:rPr>
        <w:t>文件</w:t>
      </w:r>
      <w:r>
        <w:rPr>
          <w:rFonts w:hint="eastAsia" w:ascii="宋体" w:cs="宋体"/>
          <w:kern w:val="0"/>
          <w:szCs w:val="21"/>
        </w:rPr>
        <w:t>与现行相关法律、法规、规章及相关标准协调一致。</w:t>
      </w:r>
    </w:p>
    <w:p w14:paraId="729E3E18">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重大分歧意见的处理经过和依据</w:t>
      </w:r>
    </w:p>
    <w:p w14:paraId="73891F93">
      <w:pPr>
        <w:keepNext w:val="0"/>
        <w:keepLines w:val="0"/>
        <w:pageBreakBefore w:val="0"/>
        <w:wordWrap/>
        <w:overflowPunct/>
        <w:bidi w:val="0"/>
        <w:adjustRightInd/>
        <w:snapToGrid/>
        <w:spacing w:line="360" w:lineRule="auto"/>
        <w:ind w:firstLine="420"/>
        <w:textAlignment w:val="auto"/>
        <w:rPr>
          <w:rFonts w:ascii="宋体" w:hAnsi="宋体"/>
          <w:bCs/>
          <w:szCs w:val="21"/>
        </w:rPr>
      </w:pPr>
      <w:r>
        <w:rPr>
          <w:rFonts w:hint="eastAsia" w:ascii="宋体" w:hAnsi="宋体"/>
          <w:bCs/>
          <w:szCs w:val="21"/>
        </w:rPr>
        <w:t>暂无重大分歧意见。</w:t>
      </w:r>
    </w:p>
    <w:p w14:paraId="171634CE">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标准性质的建议说明</w:t>
      </w:r>
    </w:p>
    <w:p w14:paraId="0E169F08">
      <w:pPr>
        <w:pStyle w:val="12"/>
        <w:keepNext w:val="0"/>
        <w:keepLines w:val="0"/>
        <w:pageBreakBefore w:val="0"/>
        <w:wordWrap/>
        <w:overflowPunct/>
        <w:topLinePunct/>
        <w:autoSpaceDE/>
        <w:autoSpaceDN/>
        <w:bidi w:val="0"/>
        <w:adjustRightInd/>
        <w:snapToGrid/>
        <w:spacing w:line="360" w:lineRule="auto"/>
        <w:ind w:firstLine="420" w:firstLineChars="0"/>
        <w:textAlignment w:val="auto"/>
      </w:pPr>
      <w:r>
        <w:rPr>
          <w:rFonts w:hint="eastAsia"/>
        </w:rPr>
        <w:t>建议本</w:t>
      </w:r>
      <w:r>
        <w:rPr>
          <w:rFonts w:hint="eastAsia" w:hAnsi="宋体" w:cs="宋体"/>
        </w:rPr>
        <w:t>文件</w:t>
      </w:r>
      <w:r>
        <w:rPr>
          <w:rFonts w:hint="eastAsia"/>
          <w:lang w:val="en-US" w:eastAsia="zh-CN"/>
        </w:rPr>
        <w:t>作</w:t>
      </w:r>
      <w:r>
        <w:rPr>
          <w:rFonts w:hint="eastAsia"/>
        </w:rPr>
        <w:t>为推荐性国家标准</w:t>
      </w:r>
      <w:r>
        <w:rPr>
          <w:rFonts w:hint="eastAsia"/>
          <w:lang w:val="en-US" w:eastAsia="zh-CN"/>
        </w:rPr>
        <w:t>使用</w:t>
      </w:r>
      <w:r>
        <w:rPr>
          <w:rFonts w:hint="eastAsia"/>
        </w:rPr>
        <w:t>。</w:t>
      </w:r>
    </w:p>
    <w:p w14:paraId="7ACF0DE0">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贯彻标准的要求和措施建议</w:t>
      </w:r>
    </w:p>
    <w:p w14:paraId="76E746C3">
      <w:pPr>
        <w:pStyle w:val="12"/>
        <w:keepNext w:val="0"/>
        <w:keepLines w:val="0"/>
        <w:pageBreakBefore w:val="0"/>
        <w:wordWrap/>
        <w:overflowPunct/>
        <w:topLinePunct/>
        <w:autoSpaceDE/>
        <w:autoSpaceDN/>
        <w:bidi w:val="0"/>
        <w:adjustRightInd/>
        <w:snapToGrid/>
        <w:spacing w:line="360" w:lineRule="auto"/>
        <w:ind w:firstLine="420" w:firstLineChars="0"/>
        <w:textAlignment w:val="auto"/>
        <w:rPr>
          <w:rFonts w:ascii="Times New Roman"/>
        </w:rPr>
      </w:pPr>
      <w:r>
        <w:rPr>
          <w:rFonts w:hint="eastAsia" w:ascii="Times New Roman"/>
        </w:rPr>
        <w:t>建议本</w:t>
      </w:r>
      <w:r>
        <w:rPr>
          <w:rFonts w:hint="eastAsia" w:hAnsi="宋体" w:cs="宋体"/>
        </w:rPr>
        <w:t>文件</w:t>
      </w:r>
      <w:r>
        <w:rPr>
          <w:rFonts w:hint="eastAsia" w:ascii="Times New Roman"/>
        </w:rPr>
        <w:t>批准发布即实施。</w:t>
      </w:r>
      <w:r>
        <w:rPr>
          <w:rFonts w:hint="eastAsia"/>
          <w:color w:val="000000"/>
        </w:rPr>
        <w:t>同时，以标委会为主体，通过微信公众号、官方网站和微信交流群同步进行宣贯和解读；结合标委会年会，开展集中宣贯和答疑。</w:t>
      </w:r>
    </w:p>
    <w:p w14:paraId="1327C719">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废止现行相关标准的建议</w:t>
      </w:r>
    </w:p>
    <w:p w14:paraId="2F1B43B8">
      <w:pPr>
        <w:keepNext w:val="0"/>
        <w:keepLines w:val="0"/>
        <w:pageBreakBefore w:val="0"/>
        <w:kinsoku w:val="0"/>
        <w:wordWrap/>
        <w:overflowPunct/>
        <w:bidi w:val="0"/>
        <w:adjustRightInd/>
        <w:snapToGrid/>
        <w:spacing w:line="360" w:lineRule="auto"/>
        <w:ind w:left="400"/>
        <w:textAlignment w:val="auto"/>
        <w:rPr>
          <w:rFonts w:ascii="黑体" w:hAnsi="黑体" w:eastAsia="黑体" w:cs="黑体"/>
          <w:sz w:val="24"/>
        </w:rPr>
      </w:pPr>
    </w:p>
    <w:p w14:paraId="14539466">
      <w:pPr>
        <w:keepNext w:val="0"/>
        <w:keepLines w:val="0"/>
        <w:pageBreakBefore w:val="0"/>
        <w:widowControl/>
        <w:wordWrap/>
        <w:overflowPunct/>
        <w:bidi w:val="0"/>
        <w:adjustRightInd/>
        <w:snapToGrid/>
        <w:spacing w:line="360" w:lineRule="auto"/>
        <w:ind w:firstLine="420" w:firstLineChars="200"/>
        <w:textAlignment w:val="auto"/>
      </w:pPr>
      <w:r>
        <w:rPr>
          <w:rFonts w:hint="eastAsia" w:ascii="宋体"/>
          <w:kern w:val="0"/>
          <w:szCs w:val="20"/>
        </w:rPr>
        <w:t xml:space="preserve">本标准发布实施之日起，代替 </w:t>
      </w:r>
      <w:r>
        <w:rPr>
          <w:rFonts w:ascii="宋体"/>
          <w:kern w:val="0"/>
          <w:szCs w:val="20"/>
        </w:rPr>
        <w:t>GB/T 2</w:t>
      </w:r>
      <w:r>
        <w:rPr>
          <w:rFonts w:hint="eastAsia" w:ascii="宋体"/>
          <w:kern w:val="0"/>
          <w:szCs w:val="20"/>
        </w:rPr>
        <w:t>6071</w:t>
      </w:r>
      <w:r>
        <w:rPr>
          <w:rFonts w:ascii="宋体"/>
          <w:kern w:val="0"/>
          <w:szCs w:val="20"/>
        </w:rPr>
        <w:t>-201</w:t>
      </w:r>
      <w:r>
        <w:rPr>
          <w:rFonts w:hint="eastAsia" w:ascii="宋体"/>
          <w:kern w:val="0"/>
          <w:szCs w:val="20"/>
        </w:rPr>
        <w:t>8《</w:t>
      </w:r>
      <w:r>
        <w:rPr>
          <w:rFonts w:hint="eastAsia"/>
        </w:rPr>
        <w:t>太阳能电池用硅单晶片</w:t>
      </w:r>
      <w:r>
        <w:rPr>
          <w:rFonts w:hint="eastAsia" w:ascii="宋体"/>
          <w:kern w:val="0"/>
          <w:szCs w:val="20"/>
        </w:rPr>
        <w:t>》，同时将</w:t>
      </w:r>
      <w:r>
        <w:rPr>
          <w:rFonts w:hint="eastAsia"/>
        </w:rPr>
        <w:t>国家标准GB/T 25076-2018  《太阳能电池用硅单晶》废止</w:t>
      </w:r>
      <w:r>
        <w:rPr>
          <w:rFonts w:hint="eastAsia" w:cs="宋体"/>
        </w:rPr>
        <w:t>。</w:t>
      </w:r>
    </w:p>
    <w:p w14:paraId="2A6FA2DD">
      <w:pPr>
        <w:keepNext w:val="0"/>
        <w:keepLines w:val="0"/>
        <w:pageBreakBefore w:val="0"/>
        <w:numPr>
          <w:ilvl w:val="0"/>
          <w:numId w:val="1"/>
        </w:numPr>
        <w:kinsoku w:val="0"/>
        <w:wordWrap/>
        <w:overflowPunct/>
        <w:bidi w:val="0"/>
        <w:adjustRightInd/>
        <w:snapToGrid/>
        <w:spacing w:line="360" w:lineRule="auto"/>
        <w:textAlignment w:val="auto"/>
        <w:rPr>
          <w:rFonts w:ascii="黑体" w:hAnsi="黑体" w:eastAsia="黑体" w:cs="黑体"/>
          <w:sz w:val="24"/>
        </w:rPr>
      </w:pPr>
      <w:r>
        <w:rPr>
          <w:rFonts w:hint="eastAsia" w:ascii="黑体" w:hAnsi="黑体" w:eastAsia="黑体" w:cs="黑体"/>
          <w:sz w:val="24"/>
        </w:rPr>
        <w:t>其他应予说明的事项</w:t>
      </w:r>
    </w:p>
    <w:p w14:paraId="566B1BC4">
      <w:pPr>
        <w:keepNext w:val="0"/>
        <w:keepLines w:val="0"/>
        <w:pageBreakBefore w:val="0"/>
        <w:wordWrap/>
        <w:overflowPunct/>
        <w:topLinePunct/>
        <w:bidi w:val="0"/>
        <w:adjustRightInd/>
        <w:snapToGrid/>
        <w:spacing w:line="360" w:lineRule="auto"/>
        <w:ind w:firstLine="420" w:firstLineChars="200"/>
        <w:textAlignment w:val="auto"/>
        <w:rPr>
          <w:rFonts w:ascii="宋体"/>
          <w:kern w:val="0"/>
          <w:szCs w:val="20"/>
        </w:rPr>
      </w:pPr>
      <w:r>
        <w:rPr>
          <w:rFonts w:hint="eastAsia" w:ascii="宋体"/>
          <w:kern w:val="0"/>
          <w:szCs w:val="20"/>
        </w:rPr>
        <w:t>无。</w:t>
      </w:r>
    </w:p>
    <w:p w14:paraId="69B49DBF">
      <w:pPr>
        <w:pStyle w:val="7"/>
        <w:keepNext w:val="0"/>
        <w:keepLines w:val="0"/>
        <w:pageBreakBefore w:val="0"/>
        <w:widowControl/>
        <w:wordWrap/>
        <w:overflowPunct/>
        <w:bidi w:val="0"/>
        <w:adjustRightInd/>
        <w:snapToGrid/>
        <w:spacing w:before="0" w:beforeAutospacing="0" w:after="0" w:afterAutospacing="0" w:line="360" w:lineRule="auto"/>
        <w:ind w:left="4830" w:leftChars="2300" w:firstLine="2100" w:firstLineChars="1000"/>
        <w:jc w:val="both"/>
        <w:textAlignment w:val="auto"/>
        <w:rPr>
          <w:rFonts w:hint="default" w:ascii="宋体" w:eastAsia="宋体"/>
          <w:sz w:val="21"/>
          <w:lang w:val="en-US" w:eastAsia="zh-CN"/>
        </w:rPr>
      </w:pPr>
      <w:r>
        <w:rPr>
          <w:rFonts w:hint="eastAsia" w:ascii="宋体"/>
          <w:sz w:val="21"/>
          <w:lang w:val="en-US" w:eastAsia="zh-CN"/>
        </w:rPr>
        <w:t>标准编制组</w:t>
      </w:r>
    </w:p>
    <w:p w14:paraId="33164967">
      <w:pPr>
        <w:pStyle w:val="7"/>
        <w:keepNext w:val="0"/>
        <w:keepLines w:val="0"/>
        <w:pageBreakBefore w:val="0"/>
        <w:widowControl/>
        <w:wordWrap/>
        <w:overflowPunct/>
        <w:bidi w:val="0"/>
        <w:adjustRightInd/>
        <w:snapToGrid/>
        <w:spacing w:before="0" w:beforeAutospacing="0" w:after="0" w:afterAutospacing="0" w:line="360" w:lineRule="auto"/>
        <w:ind w:left="4830" w:leftChars="2300" w:firstLine="1890" w:firstLineChars="900"/>
        <w:jc w:val="both"/>
        <w:textAlignment w:val="auto"/>
        <w:rPr>
          <w:rFonts w:ascii="宋体"/>
          <w:szCs w:val="20"/>
        </w:rPr>
      </w:pPr>
      <w:r>
        <w:rPr>
          <w:rFonts w:hint="eastAsia" w:ascii="宋体"/>
          <w:sz w:val="21"/>
        </w:rPr>
        <w:t>2024年9月2日</w:t>
      </w:r>
    </w:p>
    <w:p w14:paraId="3F78F0EF">
      <w:pPr>
        <w:pStyle w:val="6"/>
        <w:keepNext w:val="0"/>
        <w:keepLines w:val="0"/>
        <w:pageBreakBefore w:val="0"/>
        <w:wordWrap/>
        <w:overflowPunct/>
        <w:bidi w:val="0"/>
        <w:adjustRightInd/>
        <w:snapToGrid/>
        <w:spacing w:line="360" w:lineRule="auto"/>
        <w:textAlignment w:val="auto"/>
      </w:pPr>
      <w:bookmarkStart w:id="2" w:name="_GoBack"/>
      <w:bookmarkEnd w:id="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61B5">
    <w:pPr>
      <w:pStyle w:val="6"/>
    </w:pPr>
    <w:r>
      <w:pict>
        <v:shape id="_x0000_s3091" o:spid="_x0000_s3091" o:spt="136" type="#_x0000_t136" style="position:absolute;left:0pt;margin-left:425pt;margin-top:771pt;height:22pt;width:300pt;mso-position-horizontal-relative:page;mso-position-vertical-relative:page;rotation:-2949120f;z-index:251662336;mso-width-relative:page;mso-height-relative:page;" fillcolor="#C9C9C9" filled="t" stroked="f" coordsize="21600,21600">
          <v:path/>
          <v:fill on="t" opacity="13107f" focussize="0,0"/>
          <v:stroke on="f"/>
          <v:imagedata o:title=""/>
          <o:lock v:ext="edit" aspectratio="t"/>
          <v:textpath on="t" fitshape="t" fitpath="t" trim="t" xscale="f" string="TCL中环-晶片BU&amp;26220552&amp;于林鑫" style="font-family:宋体;font-size:20pt;v-text-align:center;"/>
        </v:shape>
      </w:pict>
    </w:r>
    <w:r>
      <w:pict>
        <v:shape id="_x0000_s3090" o:spid="_x0000_s3090" o:spt="136" type="#_x0000_t136" style="position:absolute;left:0pt;margin-left:425pt;margin-top:50pt;height:22pt;width:300pt;mso-position-horizontal-relative:page;mso-position-vertical-relative:page;rotation:-2949120f;z-index:251661312;mso-width-relative:page;mso-height-relative:page;" fillcolor="#C9C9C9" filled="t" stroked="f" coordsize="21600,21600">
          <v:path/>
          <v:fill on="t" opacity="13107f" focussize="0,0"/>
          <v:stroke on="f"/>
          <v:imagedata o:title=""/>
          <o:lock v:ext="edit" aspectratio="t"/>
          <v:textpath on="t" fitshape="t" fitpath="t" trim="t" xscale="f" string="TCL中环-晶片BU&amp;26220552&amp;于林鑫" style="font-family:宋体;font-size:20pt;v-text-align:center;"/>
        </v:shape>
      </w:pict>
    </w:r>
    <w:r>
      <w:pict>
        <v:shape id="_x0000_s3089" o:spid="_x0000_s3089" o:spt="136" type="#_x0000_t136" style="position:absolute;left:0pt;margin-left:50pt;margin-top:771pt;height:22pt;width:300pt;mso-position-horizontal-relative:page;mso-position-vertical-relative:page;rotation:-2949120f;z-index:251660288;mso-width-relative:page;mso-height-relative:page;" fillcolor="#C9C9C9" filled="t" stroked="f" coordsize="21600,21600">
          <v:path/>
          <v:fill on="t" opacity="13107f" focussize="0,0"/>
          <v:stroke on="f"/>
          <v:imagedata o:title=""/>
          <o:lock v:ext="edit" aspectratio="t"/>
          <v:textpath on="t" fitshape="t" fitpath="t" trim="t" xscale="f" string="TCL中环-晶片BU&amp;26220552&amp;于林鑫" style="font-family:宋体;font-size:20pt;v-text-align:center;"/>
        </v:shape>
      </w:pict>
    </w:r>
    <w:r>
      <w:pict>
        <v:shape id="PowerPlusWaterMarkObject45535401" o:spid="_x0000_s3088" o:spt="136" type="#_x0000_t136" style="position:absolute;left:0pt;margin-left:50pt;margin-top:50pt;height:22pt;width:300pt;mso-position-horizontal-relative:page;mso-position-vertical-relative:page;rotation:-2949120f;z-index:251659264;mso-width-relative:page;mso-height-relative:page;" fillcolor="#C9C9C9" filled="t" stroked="f" coordsize="21600,21600">
          <v:path/>
          <v:fill on="t" opacity="13107f" focussize="0,0"/>
          <v:stroke on="f"/>
          <v:imagedata o:title=""/>
          <o:lock v:ext="edit" aspectratio="t"/>
          <v:textpath on="t" fitshape="t" fitpath="t" trim="t" xscale="f" string="TCL中环-晶片BU&amp;26220552&amp;于林鑫" style="font-family:宋体;font-size: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318FB"/>
    <w:multiLevelType w:val="multilevel"/>
    <w:tmpl w:val="10E318F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17D6536"/>
    <w:multiLevelType w:val="multilevel"/>
    <w:tmpl w:val="617D653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9B7288"/>
    <w:rsid w:val="00017B97"/>
    <w:rsid w:val="00036E5E"/>
    <w:rsid w:val="00076CDD"/>
    <w:rsid w:val="00084DF4"/>
    <w:rsid w:val="000B0C30"/>
    <w:rsid w:val="000B38C6"/>
    <w:rsid w:val="00181FA2"/>
    <w:rsid w:val="00225F5D"/>
    <w:rsid w:val="00276639"/>
    <w:rsid w:val="002A466F"/>
    <w:rsid w:val="002B3E0E"/>
    <w:rsid w:val="002D2243"/>
    <w:rsid w:val="002E0C37"/>
    <w:rsid w:val="00303C5C"/>
    <w:rsid w:val="0036617C"/>
    <w:rsid w:val="003D7625"/>
    <w:rsid w:val="003E178F"/>
    <w:rsid w:val="003E672E"/>
    <w:rsid w:val="00434F83"/>
    <w:rsid w:val="004439E5"/>
    <w:rsid w:val="00493ED7"/>
    <w:rsid w:val="00566F01"/>
    <w:rsid w:val="005A28F0"/>
    <w:rsid w:val="005C02EF"/>
    <w:rsid w:val="005E6EDF"/>
    <w:rsid w:val="00621597"/>
    <w:rsid w:val="0065215C"/>
    <w:rsid w:val="006951AC"/>
    <w:rsid w:val="00755693"/>
    <w:rsid w:val="007E2DE7"/>
    <w:rsid w:val="0084125B"/>
    <w:rsid w:val="0088270C"/>
    <w:rsid w:val="00917BA3"/>
    <w:rsid w:val="0097197C"/>
    <w:rsid w:val="009B7288"/>
    <w:rsid w:val="00A16CF9"/>
    <w:rsid w:val="00A50E98"/>
    <w:rsid w:val="00A76EEB"/>
    <w:rsid w:val="00A954D1"/>
    <w:rsid w:val="00AB11AF"/>
    <w:rsid w:val="00B7415E"/>
    <w:rsid w:val="00B76208"/>
    <w:rsid w:val="00C22181"/>
    <w:rsid w:val="00C4723D"/>
    <w:rsid w:val="00CA78D6"/>
    <w:rsid w:val="00CD35A6"/>
    <w:rsid w:val="00D0254D"/>
    <w:rsid w:val="00D8031E"/>
    <w:rsid w:val="00DA59D1"/>
    <w:rsid w:val="00DC216C"/>
    <w:rsid w:val="00DE050C"/>
    <w:rsid w:val="00DE4361"/>
    <w:rsid w:val="00E2065F"/>
    <w:rsid w:val="00EA03F5"/>
    <w:rsid w:val="00F15875"/>
    <w:rsid w:val="00F57999"/>
    <w:rsid w:val="00FA6726"/>
    <w:rsid w:val="01B464A4"/>
    <w:rsid w:val="0C7D100E"/>
    <w:rsid w:val="19321A65"/>
    <w:rsid w:val="1D605BC2"/>
    <w:rsid w:val="21425423"/>
    <w:rsid w:val="24BE49AC"/>
    <w:rsid w:val="27143E85"/>
    <w:rsid w:val="27A74232"/>
    <w:rsid w:val="30A57B78"/>
    <w:rsid w:val="33A87367"/>
    <w:rsid w:val="41F46A69"/>
    <w:rsid w:val="50BC224C"/>
    <w:rsid w:val="546F5AE7"/>
    <w:rsid w:val="580D3184"/>
    <w:rsid w:val="5EC56770"/>
    <w:rsid w:val="73C36227"/>
    <w:rsid w:val="75B82C33"/>
    <w:rsid w:val="777846BD"/>
    <w:rsid w:val="7D8D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1"/>
    <w:pPr>
      <w:ind w:left="113"/>
    </w:pPr>
    <w:rPr>
      <w:rFonts w:ascii="宋体" w:hAnsi="宋体" w:cs="宋体"/>
      <w:sz w:val="32"/>
      <w:szCs w:val="32"/>
    </w:rPr>
  </w:style>
  <w:style w:type="paragraph" w:styleId="4">
    <w:name w:val="Body Text First Indent"/>
    <w:basedOn w:val="3"/>
    <w:next w:val="3"/>
    <w:qFormat/>
    <w:uiPriority w:val="0"/>
    <w:pPr>
      <w:ind w:firstLine="7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page number"/>
    <w:qFormat/>
    <w:uiPriority w:val="0"/>
  </w:style>
  <w:style w:type="paragraph" w:customStyle="1" w:styleId="11">
    <w:name w:val="Body Text First Indent1"/>
    <w:basedOn w:val="3"/>
    <w:next w:val="6"/>
    <w:qFormat/>
    <w:uiPriority w:val="99"/>
    <w:pPr>
      <w:ind w:firstLine="420" w:firstLineChars="100"/>
    </w:pPr>
    <w:rPr>
      <w:rFonts w:ascii="Calibri" w:hAnsi="Calibri" w:cs="Calibri"/>
      <w:szCs w:val="21"/>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91"/>
    <customShpInfo spid="_x0000_s3090"/>
    <customShpInfo spid="_x0000_s3089"/>
    <customShpInfo spid="_x0000_s3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3929</Words>
  <Characters>4630</Characters>
  <Lines>34</Lines>
  <Paragraphs>9</Paragraphs>
  <TotalTime>11</TotalTime>
  <ScaleCrop>false</ScaleCrop>
  <LinksUpToDate>false</LinksUpToDate>
  <CharactersWithSpaces>4697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2024-09-02T03:07:00Z</dcterms:created>
  <dc:creator>26220552</dc:creator>
  <cp:lastModifiedBy>素素</cp:lastModifiedBy>
  <cp:lastPrinted>2024-09-12T03:36:00Z</cp:lastPrinted>
  <dcterms:modified xsi:type="dcterms:W3CDTF">2024-09-18T01:56:14Z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54D737B41F6F4833A3DE3C471659E6C5_13</vt:lpwstr>
  </property>
</Properties>
</file>