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kinsoku/>
        <w:wordWrap/>
        <w:topLinePunct w:val="0"/>
        <w:autoSpaceDE/>
        <w:autoSpaceDN/>
        <w:bidi w:val="0"/>
        <w:snapToGrid/>
        <w:spacing w:before="156" w:beforeLines="50" w:after="156" w:afterLines="50" w:line="360" w:lineRule="auto"/>
        <w:jc w:val="center"/>
        <w:rPr>
          <w:rFonts w:hint="default" w:eastAsia="黑体"/>
          <w:sz w:val="24"/>
          <w:szCs w:val="24"/>
        </w:rPr>
      </w:pPr>
    </w:p>
    <w:p>
      <w:pPr>
        <w:pageBreakBefore w:val="0"/>
        <w:kinsoku/>
        <w:wordWrap/>
        <w:topLinePunct w:val="0"/>
        <w:autoSpaceDE/>
        <w:autoSpaceDN/>
        <w:bidi w:val="0"/>
        <w:snapToGrid/>
        <w:spacing w:before="156" w:beforeLines="50" w:after="156" w:afterLines="50" w:line="360" w:lineRule="auto"/>
        <w:jc w:val="center"/>
        <w:rPr>
          <w:rFonts w:hint="default" w:eastAsia="黑体"/>
          <w:sz w:val="24"/>
          <w:szCs w:val="24"/>
        </w:rPr>
      </w:pPr>
    </w:p>
    <w:p>
      <w:pPr>
        <w:pageBreakBefore w:val="0"/>
        <w:kinsoku/>
        <w:wordWrap/>
        <w:topLinePunct w:val="0"/>
        <w:autoSpaceDE/>
        <w:autoSpaceDN/>
        <w:bidi w:val="0"/>
        <w:snapToGrid/>
        <w:spacing w:before="156" w:beforeLines="50" w:after="156" w:afterLines="50" w:line="360" w:lineRule="auto"/>
        <w:jc w:val="center"/>
        <w:rPr>
          <w:rFonts w:hint="default" w:eastAsia="黑体"/>
          <w:sz w:val="24"/>
          <w:szCs w:val="24"/>
        </w:rPr>
      </w:pPr>
    </w:p>
    <w:p>
      <w:pPr>
        <w:pageBreakBefore w:val="0"/>
        <w:kinsoku/>
        <w:wordWrap/>
        <w:topLinePunct w:val="0"/>
        <w:autoSpaceDE/>
        <w:autoSpaceDN/>
        <w:bidi w:val="0"/>
        <w:snapToGrid/>
        <w:spacing w:before="156" w:beforeLines="50" w:after="156" w:afterLines="50" w:line="360" w:lineRule="auto"/>
        <w:jc w:val="center"/>
        <w:rPr>
          <w:rFonts w:hint="default" w:eastAsia="黑体"/>
          <w:sz w:val="44"/>
          <w:szCs w:val="44"/>
        </w:rPr>
      </w:pPr>
      <w:r>
        <w:rPr>
          <w:rFonts w:hint="default" w:eastAsia="黑体"/>
          <w:sz w:val="44"/>
          <w:szCs w:val="44"/>
        </w:rPr>
        <w:t>行业标准</w:t>
      </w:r>
    </w:p>
    <w:p>
      <w:pPr>
        <w:pageBreakBefore w:val="0"/>
        <w:kinsoku/>
        <w:wordWrap/>
        <w:topLinePunct w:val="0"/>
        <w:autoSpaceDE/>
        <w:autoSpaceDN/>
        <w:bidi w:val="0"/>
        <w:snapToGrid/>
        <w:spacing w:before="156" w:beforeLines="50" w:after="156" w:afterLines="50" w:line="360" w:lineRule="auto"/>
        <w:jc w:val="center"/>
        <w:rPr>
          <w:rFonts w:hint="default" w:eastAsia="黑体"/>
          <w:sz w:val="44"/>
          <w:szCs w:val="44"/>
        </w:rPr>
      </w:pPr>
      <w:r>
        <w:rPr>
          <w:rFonts w:hint="default" w:eastAsia="黑体"/>
          <w:sz w:val="44"/>
          <w:szCs w:val="44"/>
        </w:rPr>
        <w:t>《</w:t>
      </w:r>
      <w:r>
        <w:rPr>
          <w:rFonts w:hint="eastAsia" w:eastAsia="黑体"/>
          <w:sz w:val="44"/>
          <w:szCs w:val="44"/>
          <w:lang w:eastAsia="zh-CN"/>
        </w:rPr>
        <w:t>选矿药剂</w:t>
      </w:r>
      <w:r>
        <w:rPr>
          <w:rFonts w:hint="eastAsia" w:eastAsia="黑体"/>
          <w:sz w:val="44"/>
          <w:szCs w:val="44"/>
          <w:lang w:val="en-US" w:eastAsia="zh-CN"/>
        </w:rPr>
        <w:t>仲辛基黄药</w:t>
      </w:r>
      <w:r>
        <w:rPr>
          <w:rFonts w:hint="default" w:eastAsia="黑体"/>
          <w:sz w:val="44"/>
          <w:szCs w:val="44"/>
        </w:rPr>
        <w:t>》（</w:t>
      </w:r>
      <w:r>
        <w:rPr>
          <w:rFonts w:hint="eastAsia" w:eastAsia="黑体"/>
          <w:sz w:val="44"/>
          <w:szCs w:val="44"/>
          <w:lang w:val="en-US" w:eastAsia="zh-CN"/>
        </w:rPr>
        <w:t>预审</w:t>
      </w:r>
      <w:r>
        <w:rPr>
          <w:rFonts w:hint="default" w:eastAsia="黑体"/>
          <w:sz w:val="44"/>
          <w:szCs w:val="44"/>
        </w:rPr>
        <w:t>稿）</w:t>
      </w:r>
    </w:p>
    <w:p>
      <w:pPr>
        <w:keepNext w:val="0"/>
        <w:keepLines w:val="0"/>
        <w:pageBreakBefore w:val="0"/>
        <w:kinsoku/>
        <w:wordWrap/>
        <w:overflowPunct/>
        <w:topLinePunct w:val="0"/>
        <w:autoSpaceDE/>
        <w:autoSpaceDN/>
        <w:bidi w:val="0"/>
        <w:adjustRightInd/>
        <w:snapToGrid/>
        <w:spacing w:before="312" w:beforeLines="100" w:after="156" w:afterLines="50" w:line="360" w:lineRule="auto"/>
        <w:ind w:left="0" w:leftChars="0" w:right="0" w:rightChars="0" w:firstLine="880" w:firstLineChars="200"/>
        <w:jc w:val="center"/>
        <w:rPr>
          <w:rFonts w:hint="default" w:ascii="Times New Roman" w:hAnsi="Times New Roman" w:eastAsia="宋体" w:cs="Times New Roman"/>
          <w:sz w:val="44"/>
          <w:szCs w:val="44"/>
        </w:rPr>
      </w:pPr>
    </w:p>
    <w:p>
      <w:pPr>
        <w:pageBreakBefore w:val="0"/>
        <w:kinsoku/>
        <w:wordWrap/>
        <w:topLinePunct w:val="0"/>
        <w:autoSpaceDE/>
        <w:autoSpaceDN/>
        <w:bidi w:val="0"/>
        <w:snapToGrid/>
        <w:spacing w:before="312" w:beforeLines="100" w:after="156" w:afterLines="50" w:line="360" w:lineRule="auto"/>
        <w:jc w:val="center"/>
        <w:rPr>
          <w:rFonts w:hint="default" w:eastAsia="黑体"/>
          <w:sz w:val="44"/>
          <w:szCs w:val="44"/>
        </w:rPr>
      </w:pPr>
      <w:r>
        <w:rPr>
          <w:rFonts w:hint="default" w:eastAsia="黑体"/>
          <w:sz w:val="44"/>
          <w:szCs w:val="44"/>
        </w:rPr>
        <w:t>编  制  说  明</w:t>
      </w:r>
    </w:p>
    <w:p>
      <w:pPr>
        <w:keepNext w:val="0"/>
        <w:keepLines w:val="0"/>
        <w:pageBreakBefore w:val="0"/>
        <w:kinsoku/>
        <w:wordWrap/>
        <w:overflowPunct/>
        <w:topLinePunct w:val="0"/>
        <w:autoSpaceDE/>
        <w:autoSpaceDN/>
        <w:bidi w:val="0"/>
        <w:adjustRightInd/>
        <w:snapToGrid/>
        <w:spacing w:before="156" w:beforeLines="50" w:after="156" w:afterLines="50" w:line="360" w:lineRule="auto"/>
        <w:ind w:left="0" w:leftChars="0" w:right="0" w:rightChars="0" w:firstLine="640" w:firstLineChars="200"/>
        <w:jc w:val="center"/>
        <w:rPr>
          <w:rFonts w:hint="default" w:ascii="Times New Roman" w:hAnsi="Times New Roman" w:eastAsia="宋体" w:cs="Times New Roman"/>
          <w:sz w:val="32"/>
          <w:szCs w:val="32"/>
        </w:rPr>
      </w:pPr>
    </w:p>
    <w:p>
      <w:pPr>
        <w:keepNext w:val="0"/>
        <w:keepLines w:val="0"/>
        <w:pageBreakBefore w:val="0"/>
        <w:kinsoku/>
        <w:wordWrap/>
        <w:overflowPunct/>
        <w:topLinePunct w:val="0"/>
        <w:autoSpaceDE/>
        <w:autoSpaceDN/>
        <w:bidi w:val="0"/>
        <w:adjustRightInd/>
        <w:snapToGrid/>
        <w:spacing w:before="156" w:beforeLines="50" w:after="156" w:afterLines="50" w:line="360" w:lineRule="auto"/>
        <w:ind w:left="0" w:leftChars="0" w:right="0" w:rightChars="0" w:firstLine="640" w:firstLineChars="200"/>
        <w:jc w:val="center"/>
        <w:rPr>
          <w:rFonts w:hint="default" w:ascii="Times New Roman" w:hAnsi="Times New Roman" w:eastAsia="宋体" w:cs="Times New Roman"/>
          <w:sz w:val="32"/>
          <w:szCs w:val="32"/>
        </w:rPr>
      </w:pPr>
    </w:p>
    <w:p>
      <w:pPr>
        <w:keepNext w:val="0"/>
        <w:keepLines w:val="0"/>
        <w:pageBreakBefore w:val="0"/>
        <w:kinsoku/>
        <w:wordWrap/>
        <w:overflowPunct/>
        <w:topLinePunct w:val="0"/>
        <w:autoSpaceDE/>
        <w:autoSpaceDN/>
        <w:bidi w:val="0"/>
        <w:adjustRightInd/>
        <w:snapToGrid/>
        <w:spacing w:before="156" w:beforeLines="50" w:after="156" w:afterLines="50" w:line="360" w:lineRule="auto"/>
        <w:ind w:left="0" w:leftChars="0" w:right="0" w:rightChars="0" w:firstLine="640" w:firstLineChars="200"/>
        <w:jc w:val="center"/>
        <w:rPr>
          <w:rFonts w:hint="default" w:ascii="Times New Roman" w:hAnsi="Times New Roman" w:eastAsia="宋体" w:cs="Times New Roman"/>
          <w:sz w:val="32"/>
          <w:szCs w:val="32"/>
        </w:rPr>
      </w:pPr>
    </w:p>
    <w:p>
      <w:pPr>
        <w:keepNext w:val="0"/>
        <w:keepLines w:val="0"/>
        <w:pageBreakBefore w:val="0"/>
        <w:kinsoku/>
        <w:wordWrap/>
        <w:overflowPunct/>
        <w:topLinePunct w:val="0"/>
        <w:autoSpaceDE/>
        <w:autoSpaceDN/>
        <w:bidi w:val="0"/>
        <w:adjustRightInd/>
        <w:snapToGrid/>
        <w:spacing w:before="156" w:beforeLines="50" w:after="156" w:afterLines="50" w:line="360" w:lineRule="auto"/>
        <w:ind w:left="0" w:leftChars="0" w:right="0" w:rightChars="0" w:firstLine="640" w:firstLineChars="200"/>
        <w:jc w:val="center"/>
        <w:rPr>
          <w:rFonts w:hint="default" w:ascii="Times New Roman" w:hAnsi="Times New Roman" w:eastAsia="宋体" w:cs="Times New Roman"/>
          <w:sz w:val="32"/>
          <w:szCs w:val="32"/>
        </w:rPr>
      </w:pPr>
    </w:p>
    <w:p>
      <w:pPr>
        <w:keepNext w:val="0"/>
        <w:keepLines w:val="0"/>
        <w:pageBreakBefore w:val="0"/>
        <w:kinsoku/>
        <w:wordWrap/>
        <w:overflowPunct/>
        <w:topLinePunct w:val="0"/>
        <w:autoSpaceDE/>
        <w:autoSpaceDN/>
        <w:bidi w:val="0"/>
        <w:adjustRightInd/>
        <w:snapToGrid/>
        <w:spacing w:before="156" w:beforeLines="50" w:after="156" w:afterLines="50" w:line="360" w:lineRule="auto"/>
        <w:ind w:left="0" w:leftChars="0" w:right="0" w:rightChars="0" w:firstLine="640" w:firstLineChars="200"/>
        <w:jc w:val="center"/>
        <w:rPr>
          <w:rFonts w:hint="default" w:ascii="Times New Roman" w:hAnsi="Times New Roman" w:eastAsia="宋体" w:cs="Times New Roman"/>
          <w:sz w:val="32"/>
          <w:szCs w:val="32"/>
        </w:rPr>
      </w:pPr>
    </w:p>
    <w:p>
      <w:pPr>
        <w:keepNext w:val="0"/>
        <w:keepLines w:val="0"/>
        <w:pageBreakBefore w:val="0"/>
        <w:kinsoku/>
        <w:wordWrap/>
        <w:overflowPunct/>
        <w:topLinePunct w:val="0"/>
        <w:autoSpaceDE/>
        <w:autoSpaceDN/>
        <w:bidi w:val="0"/>
        <w:adjustRightInd/>
        <w:snapToGrid/>
        <w:spacing w:before="156" w:beforeLines="50" w:after="156" w:afterLines="50" w:line="360" w:lineRule="auto"/>
        <w:ind w:left="0" w:leftChars="0" w:right="0" w:rightChars="0" w:firstLine="640" w:firstLineChars="200"/>
        <w:rPr>
          <w:rFonts w:hint="default" w:ascii="Times New Roman" w:hAnsi="Times New Roman" w:eastAsia="宋体" w:cs="Times New Roman"/>
          <w:sz w:val="32"/>
          <w:szCs w:val="32"/>
        </w:rPr>
      </w:pPr>
    </w:p>
    <w:p>
      <w:pPr>
        <w:keepNext w:val="0"/>
        <w:keepLines w:val="0"/>
        <w:pageBreakBefore w:val="0"/>
        <w:kinsoku/>
        <w:wordWrap/>
        <w:overflowPunct/>
        <w:topLinePunct w:val="0"/>
        <w:autoSpaceDE/>
        <w:autoSpaceDN/>
        <w:bidi w:val="0"/>
        <w:adjustRightInd/>
        <w:snapToGrid/>
        <w:spacing w:before="156" w:beforeLines="50" w:after="156" w:afterLines="50" w:line="360" w:lineRule="auto"/>
        <w:ind w:right="0" w:rightChars="0"/>
        <w:jc w:val="both"/>
        <w:rPr>
          <w:rFonts w:hint="default" w:ascii="Times New Roman" w:hAnsi="Times New Roman" w:eastAsia="宋体" w:cs="Times New Roman"/>
          <w:sz w:val="32"/>
          <w:szCs w:val="32"/>
        </w:rPr>
      </w:pPr>
    </w:p>
    <w:p>
      <w:pPr>
        <w:pageBreakBefore w:val="0"/>
        <w:kinsoku/>
        <w:wordWrap/>
        <w:topLinePunct w:val="0"/>
        <w:autoSpaceDE/>
        <w:autoSpaceDN/>
        <w:bidi w:val="0"/>
        <w:snapToGrid/>
        <w:spacing w:before="156" w:beforeLines="50" w:after="156" w:afterLines="50" w:line="360" w:lineRule="auto"/>
        <w:jc w:val="center"/>
        <w:outlineLvl w:val="0"/>
        <w:rPr>
          <w:rFonts w:hint="eastAsia" w:eastAsia="黑体"/>
          <w:sz w:val="32"/>
          <w:szCs w:val="32"/>
          <w:lang w:eastAsia="zh-CN"/>
        </w:rPr>
      </w:pPr>
      <w:r>
        <w:rPr>
          <w:rFonts w:hint="eastAsia" w:eastAsia="黑体"/>
          <w:sz w:val="32"/>
          <w:szCs w:val="32"/>
          <w:lang w:val="en-US" w:eastAsia="zh-CN"/>
        </w:rPr>
        <w:t>矿冶科技集团有限公司</w:t>
      </w:r>
    </w:p>
    <w:p>
      <w:pPr>
        <w:pageBreakBefore w:val="0"/>
        <w:widowControl w:val="0"/>
        <w:kinsoku/>
        <w:wordWrap/>
        <w:topLinePunct w:val="0"/>
        <w:autoSpaceDE/>
        <w:autoSpaceDN/>
        <w:bidi w:val="0"/>
        <w:adjustRightInd/>
        <w:snapToGrid/>
        <w:spacing w:before="313" w:beforeLines="100" w:after="313" w:afterLines="100" w:line="360" w:lineRule="auto"/>
        <w:jc w:val="center"/>
        <w:textAlignment w:val="auto"/>
        <w:outlineLvl w:val="0"/>
        <w:rPr>
          <w:rFonts w:hint="default" w:eastAsia="黑体"/>
          <w:sz w:val="32"/>
          <w:szCs w:val="32"/>
        </w:rPr>
      </w:pPr>
      <w:r>
        <w:rPr>
          <w:rFonts w:hint="default" w:eastAsia="黑体"/>
          <w:sz w:val="32"/>
          <w:szCs w:val="32"/>
        </w:rPr>
        <w:t>二○</w:t>
      </w:r>
      <w:r>
        <w:rPr>
          <w:rFonts w:hint="eastAsia" w:eastAsia="黑体"/>
          <w:sz w:val="32"/>
          <w:szCs w:val="32"/>
          <w:lang w:val="en-US" w:eastAsia="zh-CN"/>
        </w:rPr>
        <w:t>二四</w:t>
      </w:r>
      <w:r>
        <w:rPr>
          <w:rFonts w:hint="default" w:eastAsia="黑体"/>
          <w:sz w:val="32"/>
          <w:szCs w:val="32"/>
        </w:rPr>
        <w:t>年</w:t>
      </w:r>
      <w:r>
        <w:rPr>
          <w:rFonts w:hint="eastAsia" w:eastAsia="黑体"/>
          <w:sz w:val="32"/>
          <w:szCs w:val="32"/>
          <w:lang w:val="en-US" w:eastAsia="zh-CN"/>
        </w:rPr>
        <w:t>七</w:t>
      </w:r>
      <w:r>
        <w:rPr>
          <w:rFonts w:hint="default" w:eastAsia="黑体"/>
          <w:sz w:val="32"/>
          <w:szCs w:val="32"/>
        </w:rPr>
        <w:t>月</w:t>
      </w:r>
    </w:p>
    <w:p>
      <w:pPr>
        <w:pageBreakBefore w:val="0"/>
        <w:widowControl w:val="0"/>
        <w:kinsoku/>
        <w:wordWrap/>
        <w:topLinePunct w:val="0"/>
        <w:autoSpaceDE/>
        <w:autoSpaceDN/>
        <w:bidi w:val="0"/>
        <w:adjustRightInd/>
        <w:snapToGrid/>
        <w:spacing w:before="313" w:beforeLines="100" w:after="313" w:afterLines="100" w:line="360" w:lineRule="auto"/>
        <w:jc w:val="both"/>
        <w:textAlignment w:val="auto"/>
        <w:outlineLvl w:val="9"/>
        <w:rPr>
          <w:rFonts w:hint="default" w:eastAsia="黑体"/>
          <w:sz w:val="24"/>
          <w:szCs w:val="24"/>
        </w:rPr>
      </w:pPr>
    </w:p>
    <w:p>
      <w:pPr>
        <w:pStyle w:val="4"/>
        <w:pageBreakBefore w:val="0"/>
        <w:kinsoku/>
        <w:wordWrap/>
        <w:topLinePunct w:val="0"/>
        <w:autoSpaceDE/>
        <w:autoSpaceDN/>
        <w:bidi w:val="0"/>
        <w:snapToGrid/>
        <w:spacing w:line="360" w:lineRule="auto"/>
        <w:outlineLvl w:val="9"/>
        <w:rPr>
          <w:rFonts w:hint="default"/>
        </w:rPr>
      </w:pPr>
    </w:p>
    <w:p>
      <w:pPr>
        <w:pageBreakBefore w:val="0"/>
        <w:widowControl w:val="0"/>
        <w:kinsoku/>
        <w:wordWrap/>
        <w:topLinePunct w:val="0"/>
        <w:autoSpaceDE/>
        <w:autoSpaceDN/>
        <w:bidi w:val="0"/>
        <w:adjustRightInd/>
        <w:snapToGrid/>
        <w:spacing w:before="313" w:beforeLines="100" w:after="313" w:afterLines="100" w:line="360" w:lineRule="auto"/>
        <w:jc w:val="center"/>
        <w:textAlignment w:val="auto"/>
        <w:outlineLvl w:val="0"/>
        <w:rPr>
          <w:rFonts w:hint="eastAsia" w:ascii="黑体" w:hAnsi="黑体" w:eastAsia="黑体" w:cs="黑体"/>
          <w:b/>
          <w:sz w:val="36"/>
          <w:szCs w:val="36"/>
        </w:rPr>
      </w:pPr>
      <w:r>
        <w:rPr>
          <w:rFonts w:hint="eastAsia" w:ascii="黑体" w:hAnsi="黑体" w:eastAsia="黑体" w:cs="黑体"/>
          <w:b/>
          <w:sz w:val="36"/>
          <w:szCs w:val="36"/>
        </w:rPr>
        <w:t>《</w:t>
      </w:r>
      <w:r>
        <w:rPr>
          <w:rFonts w:hint="eastAsia" w:ascii="黑体" w:hAnsi="黑体" w:eastAsia="黑体" w:cs="黑体"/>
          <w:b/>
          <w:sz w:val="36"/>
          <w:szCs w:val="36"/>
          <w:lang w:eastAsia="zh-CN"/>
        </w:rPr>
        <w:t>选矿药剂仲辛基黄药</w:t>
      </w:r>
      <w:r>
        <w:rPr>
          <w:rFonts w:hint="eastAsia" w:ascii="黑体" w:hAnsi="黑体" w:eastAsia="黑体" w:cs="黑体"/>
          <w:b/>
          <w:sz w:val="36"/>
          <w:szCs w:val="36"/>
        </w:rPr>
        <w:t>》</w:t>
      </w:r>
    </w:p>
    <w:p>
      <w:pPr>
        <w:pageBreakBefore w:val="0"/>
        <w:widowControl w:val="0"/>
        <w:kinsoku/>
        <w:wordWrap/>
        <w:topLinePunct w:val="0"/>
        <w:autoSpaceDE/>
        <w:autoSpaceDN/>
        <w:bidi w:val="0"/>
        <w:adjustRightInd/>
        <w:snapToGrid/>
        <w:spacing w:before="313" w:beforeLines="100" w:after="313" w:afterLines="100" w:line="360" w:lineRule="auto"/>
        <w:jc w:val="center"/>
        <w:textAlignment w:val="auto"/>
        <w:outlineLvl w:val="0"/>
        <w:rPr>
          <w:rFonts w:hint="eastAsia" w:ascii="黑体" w:hAnsi="黑体" w:eastAsia="黑体" w:cs="黑体"/>
          <w:b/>
          <w:color w:val="000000"/>
          <w:sz w:val="36"/>
          <w:szCs w:val="36"/>
        </w:rPr>
      </w:pPr>
      <w:r>
        <w:rPr>
          <w:rFonts w:hint="eastAsia" w:ascii="黑体" w:hAnsi="黑体" w:eastAsia="黑体" w:cs="黑体"/>
          <w:b/>
          <w:color w:val="000000"/>
          <w:sz w:val="36"/>
          <w:szCs w:val="36"/>
          <w:lang w:eastAsia="zh-CN"/>
        </w:rPr>
        <w:t>行业</w:t>
      </w:r>
      <w:r>
        <w:rPr>
          <w:rFonts w:hint="eastAsia" w:ascii="黑体" w:hAnsi="黑体" w:eastAsia="黑体" w:cs="黑体"/>
          <w:b/>
          <w:color w:val="000000"/>
          <w:sz w:val="36"/>
          <w:szCs w:val="36"/>
        </w:rPr>
        <w:t>标准（</w:t>
      </w:r>
      <w:r>
        <w:rPr>
          <w:rFonts w:hint="eastAsia" w:ascii="黑体" w:hAnsi="黑体" w:eastAsia="黑体" w:cs="黑体"/>
          <w:b/>
          <w:color w:val="000000"/>
          <w:kern w:val="0"/>
          <w:sz w:val="36"/>
          <w:szCs w:val="36"/>
          <w:lang w:val="en-US" w:eastAsia="zh-CN"/>
        </w:rPr>
        <w:t>预审稿</w:t>
      </w:r>
      <w:r>
        <w:rPr>
          <w:rFonts w:hint="eastAsia" w:ascii="黑体" w:hAnsi="黑体" w:eastAsia="黑体" w:cs="黑体"/>
          <w:b/>
          <w:color w:val="000000"/>
          <w:kern w:val="0"/>
          <w:sz w:val="36"/>
          <w:szCs w:val="36"/>
        </w:rPr>
        <w:t>）</w:t>
      </w:r>
      <w:r>
        <w:rPr>
          <w:rFonts w:hint="eastAsia" w:ascii="黑体" w:hAnsi="黑体" w:eastAsia="黑体" w:cs="黑体"/>
          <w:b/>
          <w:color w:val="000000"/>
          <w:sz w:val="36"/>
          <w:szCs w:val="36"/>
        </w:rPr>
        <w:t>编制说明</w:t>
      </w:r>
    </w:p>
    <w:p>
      <w:pPr>
        <w:pageBreakBefore w:val="0"/>
        <w:widowControl w:val="0"/>
        <w:numPr>
          <w:ilvl w:val="0"/>
          <w:numId w:val="0"/>
        </w:numPr>
        <w:kinsoku/>
        <w:wordWrap/>
        <w:topLinePunct w:val="0"/>
        <w:autoSpaceDE/>
        <w:autoSpaceDN/>
        <w:bidi w:val="0"/>
        <w:adjustRightInd/>
        <w:snapToGrid/>
        <w:spacing w:before="157" w:beforeLines="50" w:after="157" w:afterLines="50" w:line="360" w:lineRule="auto"/>
        <w:ind w:left="630" w:leftChars="0"/>
        <w:textAlignment w:val="auto"/>
        <w:outlineLvl w:val="0"/>
        <w:rPr>
          <w:rFonts w:ascii="黑体" w:hAnsi="黑体" w:eastAsia="黑体"/>
          <w:sz w:val="24"/>
          <w:szCs w:val="24"/>
        </w:rPr>
      </w:pPr>
      <w:r>
        <w:rPr>
          <w:rFonts w:hint="eastAsia" w:ascii="黑体" w:hAnsi="黑体" w:eastAsia="黑体"/>
          <w:sz w:val="24"/>
          <w:szCs w:val="24"/>
          <w:lang w:val="en-US" w:eastAsia="zh-CN"/>
        </w:rPr>
        <w:t>一、</w:t>
      </w:r>
      <w:r>
        <w:rPr>
          <w:rFonts w:hint="eastAsia" w:ascii="黑体" w:hAnsi="黑体" w:eastAsia="黑体"/>
          <w:sz w:val="24"/>
          <w:szCs w:val="24"/>
        </w:rPr>
        <w:t>任务来源</w:t>
      </w:r>
    </w:p>
    <w:p>
      <w:pPr>
        <w:pageBreakBefore w:val="0"/>
        <w:kinsoku/>
        <w:wordWrap/>
        <w:topLinePunct w:val="0"/>
        <w:autoSpaceDE/>
        <w:autoSpaceDN/>
        <w:bidi w:val="0"/>
        <w:snapToGrid/>
        <w:spacing w:line="360" w:lineRule="auto"/>
        <w:ind w:firstLine="480" w:firstLineChars="200"/>
      </w:pPr>
      <w:r>
        <w:rPr>
          <w:rFonts w:hint="eastAsia" w:ascii="宋体" w:hAnsi="宋体" w:cs="Times New Roman"/>
          <w:color w:val="000000"/>
          <w:kern w:val="0"/>
          <w:sz w:val="24"/>
          <w:szCs w:val="24"/>
        </w:rPr>
        <w:t>工业和信息化部20</w:t>
      </w:r>
      <w:r>
        <w:rPr>
          <w:rFonts w:hint="eastAsia" w:ascii="宋体" w:hAnsi="宋体" w:cs="Times New Roman"/>
          <w:color w:val="000000"/>
          <w:kern w:val="0"/>
          <w:sz w:val="24"/>
          <w:szCs w:val="24"/>
          <w:lang w:val="en-US" w:eastAsia="zh-CN"/>
        </w:rPr>
        <w:t>23</w:t>
      </w:r>
      <w:r>
        <w:rPr>
          <w:rFonts w:hint="eastAsia" w:ascii="宋体" w:hAnsi="宋体" w:cs="Times New Roman"/>
          <w:color w:val="000000"/>
          <w:kern w:val="0"/>
          <w:sz w:val="24"/>
          <w:szCs w:val="24"/>
        </w:rPr>
        <w:t>年</w:t>
      </w:r>
      <w:r>
        <w:rPr>
          <w:rFonts w:hint="eastAsia" w:ascii="宋体" w:hAnsi="宋体" w:cs="Times New Roman"/>
          <w:color w:val="000000"/>
          <w:kern w:val="0"/>
          <w:sz w:val="24"/>
          <w:szCs w:val="24"/>
          <w:lang w:val="en-US" w:eastAsia="zh-CN"/>
        </w:rPr>
        <w:t>4</w:t>
      </w:r>
      <w:r>
        <w:rPr>
          <w:rFonts w:hint="eastAsia" w:ascii="宋体" w:hAnsi="宋体" w:cs="Times New Roman"/>
          <w:color w:val="000000"/>
          <w:kern w:val="0"/>
          <w:sz w:val="24"/>
          <w:szCs w:val="24"/>
        </w:rPr>
        <w:t>月</w:t>
      </w:r>
      <w:r>
        <w:rPr>
          <w:rFonts w:hint="eastAsia" w:ascii="宋体" w:hAnsi="宋体" w:cs="Times New Roman"/>
          <w:color w:val="000000"/>
          <w:kern w:val="0"/>
          <w:sz w:val="24"/>
          <w:szCs w:val="24"/>
          <w:lang w:val="en-US" w:eastAsia="zh-CN"/>
        </w:rPr>
        <w:t>17日</w:t>
      </w:r>
      <w:r>
        <w:rPr>
          <w:rFonts w:hint="eastAsia" w:ascii="宋体" w:hAnsi="宋体" w:cs="Times New Roman"/>
          <w:color w:val="000000"/>
          <w:kern w:val="0"/>
          <w:sz w:val="24"/>
          <w:szCs w:val="24"/>
        </w:rPr>
        <w:t>下发了《工业和信息化部办公厅关于印发2023年第一批行业标准制修订和外文版项目计划的通知》（工信厅科函〔202</w:t>
      </w:r>
      <w:r>
        <w:rPr>
          <w:rFonts w:hint="eastAsia" w:ascii="宋体" w:hAnsi="宋体" w:cs="Times New Roman"/>
          <w:color w:val="000000"/>
          <w:kern w:val="0"/>
          <w:sz w:val="24"/>
          <w:szCs w:val="24"/>
          <w:lang w:val="en-US" w:eastAsia="zh-CN"/>
        </w:rPr>
        <w:t>3</w:t>
      </w:r>
      <w:r>
        <w:rPr>
          <w:rFonts w:hint="eastAsia" w:ascii="宋体" w:hAnsi="宋体" w:cs="Times New Roman"/>
          <w:color w:val="000000"/>
          <w:kern w:val="0"/>
          <w:sz w:val="24"/>
          <w:szCs w:val="24"/>
        </w:rPr>
        <w:t>〕18号）文件，由</w:t>
      </w:r>
      <w:r>
        <w:rPr>
          <w:rFonts w:hint="eastAsia" w:ascii="宋体" w:hAnsi="宋体" w:cs="Times New Roman"/>
          <w:color w:val="000000"/>
          <w:kern w:val="0"/>
          <w:sz w:val="24"/>
          <w:szCs w:val="24"/>
          <w:lang w:val="en-US" w:eastAsia="zh-CN"/>
        </w:rPr>
        <w:t>矿冶科技集团</w:t>
      </w:r>
      <w:r>
        <w:rPr>
          <w:rFonts w:hint="eastAsia" w:ascii="宋体" w:hAnsi="宋体" w:cs="Times New Roman"/>
          <w:color w:val="000000"/>
          <w:kern w:val="0"/>
          <w:sz w:val="24"/>
          <w:szCs w:val="24"/>
        </w:rPr>
        <w:t>有限公司（以下简称</w:t>
      </w:r>
      <w:r>
        <w:rPr>
          <w:rFonts w:hint="eastAsia" w:ascii="宋体" w:hAnsi="宋体" w:cs="Times New Roman"/>
          <w:color w:val="000000"/>
          <w:kern w:val="0"/>
          <w:sz w:val="24"/>
          <w:szCs w:val="24"/>
          <w:lang w:val="en-US" w:eastAsia="zh-CN"/>
        </w:rPr>
        <w:t>矿冶集团</w:t>
      </w:r>
      <w:r>
        <w:rPr>
          <w:rFonts w:hint="eastAsia" w:ascii="宋体" w:hAnsi="宋体" w:cs="Times New Roman"/>
          <w:color w:val="000000"/>
          <w:kern w:val="0"/>
          <w:sz w:val="24"/>
          <w:szCs w:val="24"/>
        </w:rPr>
        <w:t>）承担《</w:t>
      </w:r>
      <w:r>
        <w:rPr>
          <w:rFonts w:hint="eastAsia" w:ascii="宋体" w:hAnsi="宋体" w:cs="Times New Roman"/>
          <w:color w:val="000000"/>
          <w:kern w:val="0"/>
          <w:sz w:val="24"/>
          <w:szCs w:val="24"/>
          <w:lang w:eastAsia="zh-CN"/>
        </w:rPr>
        <w:t>选矿药剂仲辛基黄药</w:t>
      </w:r>
      <w:r>
        <w:rPr>
          <w:rFonts w:hint="eastAsia" w:ascii="宋体" w:hAnsi="宋体" w:cs="Times New Roman"/>
          <w:color w:val="000000"/>
          <w:kern w:val="0"/>
          <w:sz w:val="24"/>
          <w:szCs w:val="24"/>
        </w:rPr>
        <w:t>》行业标准的</w:t>
      </w:r>
      <w:r>
        <w:rPr>
          <w:rFonts w:hint="eastAsia" w:ascii="宋体" w:hAnsi="宋体" w:cs="Times New Roman"/>
          <w:color w:val="000000"/>
          <w:kern w:val="0"/>
          <w:sz w:val="24"/>
          <w:szCs w:val="24"/>
          <w:lang w:eastAsia="zh-CN"/>
        </w:rPr>
        <w:t>制定</w:t>
      </w:r>
      <w:r>
        <w:rPr>
          <w:rFonts w:hint="eastAsia" w:ascii="宋体" w:hAnsi="宋体" w:cs="Times New Roman"/>
          <w:color w:val="000000"/>
          <w:kern w:val="0"/>
          <w:sz w:val="24"/>
          <w:szCs w:val="24"/>
        </w:rPr>
        <w:t>工作，计划项目代号为</w:t>
      </w:r>
      <w:r>
        <w:rPr>
          <w:rFonts w:hint="eastAsia" w:ascii="宋体" w:hAnsi="宋体" w:cs="Times New Roman"/>
          <w:color w:val="000000"/>
          <w:kern w:val="0"/>
          <w:sz w:val="24"/>
          <w:szCs w:val="24"/>
          <w:lang w:val="en-US" w:eastAsia="zh-CN"/>
        </w:rPr>
        <w:t>2023-0411T-YS</w:t>
      </w:r>
      <w:r>
        <w:rPr>
          <w:rFonts w:hint="eastAsia" w:ascii="宋体" w:hAnsi="宋体" w:cs="Times New Roman"/>
          <w:color w:val="000000"/>
          <w:kern w:val="0"/>
          <w:sz w:val="24"/>
          <w:szCs w:val="24"/>
        </w:rPr>
        <w:t>，计划完成年限为202</w:t>
      </w:r>
      <w:r>
        <w:rPr>
          <w:rFonts w:hint="eastAsia" w:ascii="宋体" w:hAnsi="宋体" w:cs="Times New Roman"/>
          <w:color w:val="000000"/>
          <w:kern w:val="0"/>
          <w:sz w:val="24"/>
          <w:szCs w:val="24"/>
          <w:lang w:val="en-US" w:eastAsia="zh-CN"/>
        </w:rPr>
        <w:t>4</w:t>
      </w:r>
      <w:r>
        <w:rPr>
          <w:rFonts w:hint="eastAsia" w:ascii="宋体" w:hAnsi="宋体" w:cs="Times New Roman"/>
          <w:color w:val="000000"/>
          <w:kern w:val="0"/>
          <w:sz w:val="24"/>
          <w:szCs w:val="24"/>
        </w:rPr>
        <w:t>年。</w:t>
      </w:r>
    </w:p>
    <w:p>
      <w:pPr>
        <w:pageBreakBefore w:val="0"/>
        <w:widowControl w:val="0"/>
        <w:numPr>
          <w:ilvl w:val="0"/>
          <w:numId w:val="0"/>
        </w:numPr>
        <w:kinsoku/>
        <w:wordWrap/>
        <w:topLinePunct w:val="0"/>
        <w:autoSpaceDE/>
        <w:autoSpaceDN/>
        <w:bidi w:val="0"/>
        <w:adjustRightInd/>
        <w:snapToGrid/>
        <w:spacing w:before="157" w:beforeLines="50" w:after="157" w:afterLines="50" w:line="360" w:lineRule="auto"/>
        <w:ind w:left="630" w:leftChars="0"/>
        <w:textAlignment w:val="auto"/>
        <w:outlineLvl w:val="0"/>
        <w:rPr>
          <w:rFonts w:hint="eastAsia" w:ascii="黑体" w:hAnsi="黑体" w:eastAsia="黑体"/>
          <w:sz w:val="24"/>
          <w:szCs w:val="24"/>
        </w:rPr>
      </w:pPr>
      <w:r>
        <w:rPr>
          <w:rFonts w:hint="eastAsia" w:ascii="黑体" w:hAnsi="黑体" w:eastAsia="黑体"/>
          <w:sz w:val="24"/>
          <w:szCs w:val="24"/>
          <w:lang w:val="en-US" w:eastAsia="zh-CN"/>
        </w:rPr>
        <w:t xml:space="preserve">二、 </w:t>
      </w:r>
      <w:r>
        <w:rPr>
          <w:rFonts w:hint="eastAsia" w:ascii="黑体" w:hAnsi="黑体" w:eastAsia="黑体"/>
          <w:sz w:val="24"/>
          <w:szCs w:val="24"/>
        </w:rPr>
        <w:t>工作简况</w:t>
      </w:r>
    </w:p>
    <w:p>
      <w:pPr>
        <w:pStyle w:val="19"/>
        <w:pageBreakBefore w:val="0"/>
        <w:widowControl w:val="0"/>
        <w:numPr>
          <w:ilvl w:val="0"/>
          <w:numId w:val="0"/>
        </w:numPr>
        <w:kinsoku/>
        <w:wordWrap/>
        <w:topLinePunct w:val="0"/>
        <w:autoSpaceDE/>
        <w:autoSpaceDN/>
        <w:bidi w:val="0"/>
        <w:adjustRightInd/>
        <w:snapToGrid/>
        <w:spacing w:before="157" w:beforeLines="50" w:after="157" w:afterLines="50" w:line="360" w:lineRule="auto"/>
        <w:ind w:leftChars="200" w:firstLine="240" w:firstLineChars="100"/>
        <w:textAlignment w:val="auto"/>
        <w:outlineLvl w:val="1"/>
        <w:rPr>
          <w:rFonts w:hint="eastAsia" w:ascii="黑体" w:hAnsi="黑体" w:eastAsia="黑体"/>
          <w:sz w:val="24"/>
          <w:szCs w:val="24"/>
        </w:rPr>
      </w:pPr>
      <w:r>
        <w:rPr>
          <w:rFonts w:hint="eastAsia" w:ascii="黑体" w:hAnsi="黑体" w:eastAsia="黑体"/>
          <w:sz w:val="24"/>
          <w:szCs w:val="24"/>
          <w:lang w:val="en-US" w:eastAsia="zh-CN"/>
        </w:rPr>
        <w:t>2.1</w:t>
      </w:r>
      <w:r>
        <w:rPr>
          <w:rFonts w:hint="eastAsia" w:ascii="黑体" w:hAnsi="黑体" w:eastAsia="黑体"/>
          <w:sz w:val="24"/>
          <w:szCs w:val="24"/>
          <w:lang w:eastAsia="zh-CN"/>
        </w:rPr>
        <w:t>标准制定的必要性</w:t>
      </w:r>
    </w:p>
    <w:p>
      <w:pPr>
        <w:pageBreakBefore w:val="0"/>
        <w:kinsoku/>
        <w:wordWrap/>
        <w:topLinePunct w:val="0"/>
        <w:autoSpaceDE/>
        <w:autoSpaceDN/>
        <w:bidi w:val="0"/>
        <w:snapToGrid/>
        <w:spacing w:line="360" w:lineRule="auto"/>
        <w:ind w:firstLine="480" w:firstLineChars="200"/>
        <w:rPr>
          <w:rFonts w:hint="eastAsia"/>
          <w:sz w:val="24"/>
          <w:szCs w:val="24"/>
          <w:lang w:val="en-US" w:eastAsia="zh-CN"/>
        </w:rPr>
      </w:pPr>
      <w:r>
        <w:rPr>
          <w:rFonts w:hint="eastAsia"/>
          <w:sz w:val="24"/>
          <w:szCs w:val="24"/>
          <w:lang w:val="en-US" w:eastAsia="zh-CN"/>
        </w:rPr>
        <w:t>世界铜储量约为7亿吨，而我国铜储量仅约为0.3亿吨，占全球储量的4.29%，且有价铜矿资源短缺制约了铜工业的发展。随着我国经济快速发展，铜资源需求逐年增加，铜产品供需缺口不断较大，对外依存度已高达90%。随着硫化矿资源的逐渐枯竭和新矿床勘察难度的增大，氧化矿开发利用成为了必然。随着氧化矿资源需求的增加，这些资源的高效选别利用显得尤为关键。浮选目前仍是这些矿物的优先处理方法，仲辛基黄药是由昆明冶金研究院在1972年合成的用于浮选氧化铜、铅矿石的一种捕收能力较强的捕收剂。仲辛基黄药一般是由仲辛醇、二硫化碳和烧碱在合适的条件下反应制得，对比丁基黄药，捕收力更强，且具有一定起泡性，目前广泛应用于氧化铜、铅矿的浮选作业中。</w:t>
      </w:r>
    </w:p>
    <w:p>
      <w:pPr>
        <w:pageBreakBefore w:val="0"/>
        <w:kinsoku/>
        <w:wordWrap/>
        <w:topLinePunct w:val="0"/>
        <w:autoSpaceDE/>
        <w:autoSpaceDN/>
        <w:bidi w:val="0"/>
        <w:snapToGrid/>
        <w:spacing w:line="360" w:lineRule="auto"/>
        <w:ind w:firstLine="480" w:firstLineChars="200"/>
        <w:rPr>
          <w:rFonts w:hint="eastAsia"/>
          <w:sz w:val="24"/>
          <w:szCs w:val="24"/>
          <w:lang w:val="en-US" w:eastAsia="zh-CN"/>
        </w:rPr>
      </w:pPr>
      <w:r>
        <w:rPr>
          <w:rFonts w:hint="eastAsia"/>
          <w:sz w:val="24"/>
          <w:szCs w:val="24"/>
          <w:lang w:val="en-US" w:eastAsia="zh-CN"/>
        </w:rPr>
        <w:t>仲辛基黄药的工业产品一般是微黄白色结晶固体，配制成液体一般为棕黄色液体；有刺激性气味，可溶于水，遇酸或加热易分解。仲辛基黄药在氧化铜、铅矿浮选行业中总用量逾50万吨/年，且由于目前国家和行业内对氧化矿的开采和开发利用逐渐增加，其需求量也在逐年增加，目前现有标准YS/T 355-94 是冶金工业部在1994年制定的行业标准，在近30年的行业发展过程中，产品的生产工艺，检测标准，产品质量也发生了较大的变化和改进，不能满足国内矿山、企业和生产厂家的需求，原标准中规定的含量等指标已不能满足实际生产实践的需要，造成浮选指标低于预期，以及资源的浪费和矿山及企业的经济损失。</w:t>
      </w:r>
    </w:p>
    <w:p>
      <w:pPr>
        <w:pageBreakBefore w:val="0"/>
        <w:kinsoku/>
        <w:wordWrap/>
        <w:topLinePunct w:val="0"/>
        <w:autoSpaceDE/>
        <w:autoSpaceDN/>
        <w:bidi w:val="0"/>
        <w:snapToGrid/>
        <w:spacing w:line="360" w:lineRule="auto"/>
        <w:ind w:firstLine="480" w:firstLineChars="200"/>
        <w:rPr>
          <w:rFonts w:hint="eastAsia"/>
          <w:sz w:val="24"/>
          <w:szCs w:val="24"/>
          <w:lang w:val="en-US" w:eastAsia="zh-CN"/>
        </w:rPr>
      </w:pPr>
      <w:r>
        <w:rPr>
          <w:rFonts w:hint="eastAsia"/>
          <w:sz w:val="24"/>
          <w:szCs w:val="24"/>
          <w:lang w:val="en-US" w:eastAsia="zh-CN"/>
        </w:rPr>
        <w:t>本标准的修订有利于规范仲辛基黄药生产行业的健康发展，有利于矿山企业获得稳定可控的选矿指标，有利于提高仲辛基油酸的标准水平，有利于氧化矿资源的综合回收利用，完善选矿药剂标准体系。</w:t>
      </w:r>
    </w:p>
    <w:p>
      <w:pPr>
        <w:pStyle w:val="19"/>
        <w:pageBreakBefore w:val="0"/>
        <w:widowControl w:val="0"/>
        <w:numPr>
          <w:ilvl w:val="0"/>
          <w:numId w:val="0"/>
        </w:numPr>
        <w:kinsoku/>
        <w:wordWrap/>
        <w:topLinePunct w:val="0"/>
        <w:autoSpaceDE/>
        <w:autoSpaceDN/>
        <w:bidi w:val="0"/>
        <w:adjustRightInd/>
        <w:snapToGrid/>
        <w:spacing w:before="157" w:beforeLines="50" w:after="157" w:afterLines="50" w:line="360" w:lineRule="auto"/>
        <w:ind w:leftChars="200"/>
        <w:textAlignment w:val="auto"/>
        <w:outlineLvl w:val="1"/>
        <w:rPr>
          <w:rFonts w:hint="eastAsia" w:ascii="黑体" w:hAnsi="黑体" w:eastAsia="黑体"/>
          <w:sz w:val="24"/>
          <w:szCs w:val="24"/>
          <w:lang w:val="en-US" w:eastAsia="zh-CN"/>
        </w:rPr>
      </w:pPr>
      <w:r>
        <w:rPr>
          <w:rFonts w:hint="eastAsia" w:ascii="黑体" w:hAnsi="黑体" w:eastAsia="黑体"/>
          <w:sz w:val="24"/>
          <w:szCs w:val="24"/>
          <w:lang w:val="en-US" w:eastAsia="zh-CN"/>
        </w:rPr>
        <w:t>2.2申报单位简况</w:t>
      </w:r>
    </w:p>
    <w:p>
      <w:pPr>
        <w:pStyle w:val="19"/>
        <w:pageBreakBefore w:val="0"/>
        <w:widowControl w:val="0"/>
        <w:numPr>
          <w:ilvl w:val="0"/>
          <w:numId w:val="0"/>
        </w:numPr>
        <w:kinsoku/>
        <w:wordWrap/>
        <w:topLinePunct w:val="0"/>
        <w:autoSpaceDE/>
        <w:autoSpaceDN/>
        <w:bidi w:val="0"/>
        <w:adjustRightInd/>
        <w:snapToGrid/>
        <w:spacing w:before="157" w:beforeLines="50" w:after="157" w:afterLines="50" w:line="360" w:lineRule="auto"/>
        <w:ind w:firstLine="480" w:firstLineChars="200"/>
        <w:textAlignment w:val="auto"/>
        <w:rPr>
          <w:rFonts w:hint="eastAsia"/>
          <w:sz w:val="24"/>
          <w:szCs w:val="24"/>
          <w:lang w:val="en-US" w:eastAsia="zh-CN"/>
        </w:rPr>
      </w:pPr>
      <w:r>
        <w:rPr>
          <w:rFonts w:hint="eastAsia"/>
          <w:sz w:val="24"/>
          <w:szCs w:val="24"/>
        </w:rPr>
        <w:t>本标准负责起草单位为</w:t>
      </w:r>
      <w:r>
        <w:rPr>
          <w:rFonts w:hint="eastAsia"/>
          <w:sz w:val="24"/>
          <w:szCs w:val="24"/>
          <w:lang w:val="en-US" w:eastAsia="zh-CN"/>
        </w:rPr>
        <w:t>矿冶科技集团有限公司，是隶属于国务院国资委管理的中央企业，建于 1956 年，属国家首批创新型企业，是我国以矿冶科学与工程技术为主的规模最大的综合性研究与设计机构，具有工程设计、建设项目环境影响评价和地质实验测试甲级资质，拥有先进的大型设备仪器和工程化能力较强的中试及生产装备，拥有2个国家重点实验室、3个国家级工程(技术)研究中心和1个国家重有色金属质量监督检测中心。矿冶集团获得国家和省部级科技成果奖励1100余项，授权专利和制订国家及行业标准1100余项；矿冶集团作为我国历史最久、实力最强的选矿药剂研究开发机构之一，在选矿药剂研发及行业发展起到了积极的促进和引领作用。</w:t>
      </w:r>
    </w:p>
    <w:p>
      <w:pPr>
        <w:pStyle w:val="19"/>
        <w:pageBreakBefore w:val="0"/>
        <w:widowControl w:val="0"/>
        <w:numPr>
          <w:ilvl w:val="0"/>
          <w:numId w:val="0"/>
        </w:numPr>
        <w:kinsoku/>
        <w:wordWrap/>
        <w:topLinePunct w:val="0"/>
        <w:autoSpaceDE/>
        <w:autoSpaceDN/>
        <w:bidi w:val="0"/>
        <w:adjustRightInd/>
        <w:snapToGrid/>
        <w:spacing w:before="157" w:beforeLines="50" w:after="157" w:afterLines="50" w:line="360" w:lineRule="auto"/>
        <w:ind w:firstLine="480" w:firstLineChars="200"/>
        <w:textAlignment w:val="auto"/>
        <w:rPr>
          <w:rFonts w:hint="eastAsia"/>
          <w:sz w:val="24"/>
          <w:szCs w:val="24"/>
          <w:lang w:val="en-US" w:eastAsia="zh-CN"/>
        </w:rPr>
      </w:pPr>
      <w:r>
        <w:rPr>
          <w:rFonts w:hint="eastAsia"/>
          <w:sz w:val="24"/>
          <w:szCs w:val="24"/>
          <w:lang w:val="en-US" w:eastAsia="zh-CN"/>
        </w:rPr>
        <w:t>铁岭选矿药剂有限公司(原铁岭选矿药剂厂)是由中国有色矿业集团控股，北京矿冶研究总院参股的中央直属企业。始建于1942年，堪称中国选矿药剂行业的鼻祖和摇篮，是中国有色金属工业协会选矿药剂分会常务副会长、秘书长单位，是国家选矿药剂产品标准起草的主要单位，有省、市两级技术研发中心。公司是集生产、研发、营销为一体的选矿药剂生产企业，地处辽宁省铁岭市和沈阳市经济技术开发区。目前公司生产能力5.5万吨/年，60余个品种,主要用于浮选铜、铅、锌、金、银、镍、钴等有色金属硫化矿和氧化矿、稀土金属矿、铜-钼矿、铜-金矿、铜-锌矿、钨矿细泥和铁精矿除硫等，产品包括黄药、黑药、起泡剂、羟肟酸、硫氨酯、黄原酸酯、巯基乙酸钠等，近几年，开发了一系列捕收剂力强、选择性好，可在弱碱性条件下使用的高效低毒特色药剂，曾荣获国家、辽宁省银质奖、优质产品奖、新产品开发奖。</w:t>
      </w:r>
    </w:p>
    <w:p>
      <w:pPr>
        <w:pStyle w:val="19"/>
        <w:pageBreakBefore w:val="0"/>
        <w:widowControl w:val="0"/>
        <w:numPr>
          <w:ilvl w:val="0"/>
          <w:numId w:val="0"/>
        </w:numPr>
        <w:kinsoku/>
        <w:wordWrap/>
        <w:topLinePunct w:val="0"/>
        <w:autoSpaceDE/>
        <w:autoSpaceDN/>
        <w:bidi w:val="0"/>
        <w:adjustRightInd/>
        <w:snapToGrid/>
        <w:spacing w:before="157" w:beforeLines="50" w:after="157" w:afterLines="50" w:line="360" w:lineRule="auto"/>
        <w:ind w:firstLine="480" w:firstLineChars="200"/>
        <w:textAlignment w:val="auto"/>
        <w:rPr>
          <w:rFonts w:hint="eastAsia"/>
          <w:sz w:val="24"/>
          <w:szCs w:val="24"/>
          <w:lang w:val="en-US" w:eastAsia="zh-CN"/>
        </w:rPr>
      </w:pPr>
      <w:r>
        <w:rPr>
          <w:rFonts w:hint="eastAsia"/>
          <w:sz w:val="24"/>
          <w:szCs w:val="24"/>
          <w:lang w:val="en-US" w:eastAsia="zh-CN"/>
        </w:rPr>
        <w:t>北矿化学科技（沧州）有限公司成立于2017年7月，2019年7月建成试生产。北矿化学科技（沧州）有限公司作为矿冶集团矿山化学品研发与生产基地，是一座功能齐备的万吨级现代化选矿药剂生产基地，建有硫氨酯、巯基乙酸钠、羟肟酸、硫氮酯等生产线，生产各类BK系列起泡剂、捕收剂、调整剂。形成了以提供选厂药剂整体配送服务为主的运营方式，为用户提供定制工艺与药剂相结合的选矿药剂应用技术专属方案。</w:t>
      </w:r>
    </w:p>
    <w:p>
      <w:pPr>
        <w:pStyle w:val="19"/>
        <w:pageBreakBefore w:val="0"/>
        <w:widowControl w:val="0"/>
        <w:numPr>
          <w:ilvl w:val="0"/>
          <w:numId w:val="0"/>
        </w:numPr>
        <w:kinsoku/>
        <w:wordWrap/>
        <w:topLinePunct w:val="0"/>
        <w:autoSpaceDE/>
        <w:autoSpaceDN/>
        <w:bidi w:val="0"/>
        <w:adjustRightInd/>
        <w:snapToGrid/>
        <w:spacing w:before="157" w:beforeLines="50" w:after="157" w:afterLines="50" w:line="360" w:lineRule="auto"/>
        <w:ind w:firstLine="480" w:firstLineChars="200"/>
        <w:textAlignment w:val="auto"/>
        <w:rPr>
          <w:rFonts w:hint="eastAsia"/>
          <w:sz w:val="24"/>
          <w:szCs w:val="24"/>
          <w:lang w:val="en-US" w:eastAsia="zh-CN"/>
        </w:rPr>
      </w:pPr>
      <w:r>
        <w:rPr>
          <w:rFonts w:hint="eastAsia"/>
          <w:sz w:val="24"/>
          <w:szCs w:val="24"/>
          <w:lang w:val="en-US" w:eastAsia="zh-CN"/>
        </w:rPr>
        <w:t>沈阳有研矿物化工有限公司隶属于中国有色矿业集团公司，公司前身为沈阳有色金属研究院化工厂，始建于1978年，堪称国内最早从事研发和生产第三代高效环保选矿药剂专业厂家。2007年4月搬迁，2009年10月重组扩建，2013年按照“做大做强”药剂板块战略，与铁岭选矿药剂有限公司高度融合，实现两个专业生产选矿药剂企业资源共享和优势互补。公司现有生产能力8000吨，主导产品三大系列即：硫氨酯系列、烷基黄原酸酯系列和巯基乙酸钠系列。公司秉承“以科技为先导”的发展理念，被辽宁省认定为高新技术企业和沈阳市小巨人培育入库企业。</w:t>
      </w:r>
    </w:p>
    <w:p>
      <w:pPr>
        <w:pStyle w:val="19"/>
        <w:pageBreakBefore w:val="0"/>
        <w:widowControl w:val="0"/>
        <w:numPr>
          <w:ilvl w:val="0"/>
          <w:numId w:val="0"/>
        </w:numPr>
        <w:kinsoku/>
        <w:wordWrap/>
        <w:topLinePunct w:val="0"/>
        <w:autoSpaceDE/>
        <w:autoSpaceDN/>
        <w:bidi w:val="0"/>
        <w:adjustRightInd/>
        <w:snapToGrid/>
        <w:spacing w:before="157" w:beforeLines="50" w:after="157" w:afterLines="50" w:line="360" w:lineRule="auto"/>
        <w:ind w:firstLine="480" w:firstLineChars="200"/>
        <w:textAlignment w:val="auto"/>
        <w:rPr>
          <w:rFonts w:hint="eastAsia"/>
          <w:sz w:val="24"/>
          <w:szCs w:val="24"/>
          <w:lang w:val="en-US" w:eastAsia="zh-CN"/>
        </w:rPr>
      </w:pPr>
      <w:r>
        <w:rPr>
          <w:rFonts w:hint="eastAsia"/>
          <w:sz w:val="24"/>
          <w:szCs w:val="24"/>
          <w:lang w:val="en-US" w:eastAsia="zh-CN"/>
        </w:rPr>
        <w:t>青岛联拓化工有限公司2004年在青岛市黄岛区成立。目前职工共70余人，其中各类专业和技术人员23人。公司主要从事硫氨酯，硫代磷酸盐和巯基乙酸及其盐类系列产品的开发、生产和经营。年产各类助剂产品8000吨。公司拥有占地面积3.6万平方米的生产车间两座，标准分析化验室、实验室各一个。2011年，高含量巯基乙酸生产线投入生产，填补了国内高含量巯基乙酸的生产空白，所采用的工艺为国际首创并获国家发明专利。与国外进口的巯基乙酸相比,大大降低了成本，并得到广大巯基乙酸客户的认可。巯基乙酸系列产品主要用于冷烫剂，塑料热稳定剂，混凝土减水剂，油田钻探缓蚀剂和鞣革脱毛剂等产品的生产原料。公司生产的选矿药剂产品，包括捕收剂、促进剂、起泡剂及抑制剂。其中捕收剂及促进剂系列产品已广泛使用到南美洲、大洋洲、南部非洲、欧洲及亚洲地区的矿山用户。</w:t>
      </w:r>
    </w:p>
    <w:p>
      <w:pPr>
        <w:pStyle w:val="19"/>
        <w:pageBreakBefore w:val="0"/>
        <w:widowControl w:val="0"/>
        <w:numPr>
          <w:ilvl w:val="0"/>
          <w:numId w:val="0"/>
        </w:numPr>
        <w:kinsoku/>
        <w:wordWrap/>
        <w:topLinePunct w:val="0"/>
        <w:autoSpaceDE/>
        <w:autoSpaceDN/>
        <w:bidi w:val="0"/>
        <w:adjustRightInd/>
        <w:snapToGrid/>
        <w:spacing w:before="157" w:beforeLines="50" w:after="157" w:afterLines="50" w:line="360" w:lineRule="auto"/>
        <w:ind w:firstLine="480" w:firstLineChars="200"/>
        <w:textAlignment w:val="auto"/>
        <w:outlineLvl w:val="1"/>
        <w:rPr>
          <w:rFonts w:hint="eastAsia" w:ascii="黑体" w:hAnsi="黑体" w:eastAsia="黑体"/>
          <w:sz w:val="24"/>
          <w:szCs w:val="24"/>
          <w:lang w:val="en-US" w:eastAsia="zh-CN"/>
        </w:rPr>
      </w:pPr>
      <w:bookmarkStart w:id="14" w:name="_GoBack"/>
      <w:bookmarkEnd w:id="14"/>
      <w:r>
        <w:rPr>
          <w:rFonts w:hint="eastAsia" w:ascii="黑体" w:hAnsi="黑体" w:eastAsia="黑体"/>
          <w:sz w:val="24"/>
          <w:szCs w:val="24"/>
          <w:lang w:val="en-US" w:eastAsia="zh-CN"/>
        </w:rPr>
        <w:t>2.3主要工作过程</w:t>
      </w:r>
    </w:p>
    <w:p>
      <w:pPr>
        <w:pageBreakBefore w:val="0"/>
        <w:kinsoku/>
        <w:wordWrap/>
        <w:topLinePunct w:val="0"/>
        <w:autoSpaceDE/>
        <w:autoSpaceDN/>
        <w:bidi w:val="0"/>
        <w:snapToGrid/>
        <w:spacing w:line="360" w:lineRule="auto"/>
        <w:ind w:firstLine="480" w:firstLineChars="200"/>
        <w:outlineLvl w:val="2"/>
        <w:rPr>
          <w:rFonts w:hint="eastAsia" w:ascii="黑体" w:hAnsi="黑体" w:eastAsia="黑体"/>
          <w:sz w:val="24"/>
          <w:szCs w:val="24"/>
          <w:lang w:val="en-US" w:eastAsia="zh-CN"/>
        </w:rPr>
      </w:pPr>
      <w:r>
        <w:rPr>
          <w:rFonts w:hint="eastAsia" w:ascii="黑体" w:hAnsi="黑体" w:eastAsia="黑体"/>
          <w:sz w:val="24"/>
          <w:szCs w:val="24"/>
          <w:lang w:val="en-US" w:eastAsia="zh-CN"/>
        </w:rPr>
        <w:t>2.</w:t>
      </w:r>
      <w:r>
        <w:rPr>
          <w:rFonts w:hint="eastAsia" w:ascii="黑体" w:hAnsi="黑体" w:eastAsia="黑体"/>
          <w:sz w:val="24"/>
          <w:szCs w:val="24"/>
        </w:rPr>
        <w:t>3.1</w:t>
      </w:r>
      <w:r>
        <w:rPr>
          <w:rFonts w:hint="eastAsia" w:ascii="黑体" w:hAnsi="黑体" w:eastAsia="黑体"/>
          <w:sz w:val="24"/>
          <w:szCs w:val="24"/>
          <w:lang w:val="en-US" w:eastAsia="zh-CN"/>
        </w:rPr>
        <w:t>立项过程</w:t>
      </w:r>
    </w:p>
    <w:p>
      <w:pPr>
        <w:pageBreakBefore w:val="0"/>
        <w:kinsoku/>
        <w:wordWrap/>
        <w:topLinePunct w:val="0"/>
        <w:autoSpaceDE/>
        <w:autoSpaceDN/>
        <w:bidi w:val="0"/>
        <w:snapToGrid/>
        <w:spacing w:line="360" w:lineRule="auto"/>
        <w:ind w:firstLine="480" w:firstLineChars="200"/>
        <w:rPr>
          <w:rFonts w:hint="eastAsia"/>
          <w:sz w:val="24"/>
          <w:szCs w:val="24"/>
        </w:rPr>
      </w:pPr>
      <w:r>
        <w:rPr>
          <w:rFonts w:hint="eastAsia"/>
          <w:sz w:val="24"/>
          <w:szCs w:val="24"/>
          <w:lang w:val="en-US" w:eastAsia="zh-CN"/>
        </w:rPr>
        <w:t>2023</w:t>
      </w:r>
      <w:r>
        <w:rPr>
          <w:rFonts w:hint="eastAsia"/>
          <w:sz w:val="24"/>
          <w:szCs w:val="24"/>
        </w:rPr>
        <w:t>年</w:t>
      </w:r>
      <w:r>
        <w:rPr>
          <w:rFonts w:hint="eastAsia"/>
          <w:sz w:val="24"/>
          <w:szCs w:val="24"/>
          <w:lang w:val="en-US" w:eastAsia="zh-CN"/>
        </w:rPr>
        <w:t>矿冶科技集团</w:t>
      </w:r>
      <w:r>
        <w:rPr>
          <w:rFonts w:hint="eastAsia"/>
          <w:sz w:val="24"/>
          <w:szCs w:val="24"/>
          <w:lang w:eastAsia="zh-CN"/>
        </w:rPr>
        <w:t>有限公司</w:t>
      </w:r>
      <w:r>
        <w:rPr>
          <w:rFonts w:hint="eastAsia"/>
          <w:sz w:val="24"/>
          <w:szCs w:val="24"/>
        </w:rPr>
        <w:t>接到有色金属行业标准《</w:t>
      </w:r>
      <w:r>
        <w:rPr>
          <w:rFonts w:hint="eastAsia"/>
          <w:sz w:val="24"/>
          <w:szCs w:val="24"/>
          <w:lang w:eastAsia="zh-CN"/>
        </w:rPr>
        <w:t>仲辛基黄药</w:t>
      </w:r>
      <w:r>
        <w:rPr>
          <w:rFonts w:hint="eastAsia"/>
          <w:sz w:val="24"/>
          <w:szCs w:val="24"/>
        </w:rPr>
        <w:t>》</w:t>
      </w:r>
      <w:r>
        <w:rPr>
          <w:rFonts w:hint="eastAsia"/>
          <w:sz w:val="24"/>
          <w:szCs w:val="24"/>
          <w:lang w:eastAsia="zh-CN"/>
        </w:rPr>
        <w:t>制定</w:t>
      </w:r>
      <w:r>
        <w:rPr>
          <w:rFonts w:hint="eastAsia"/>
          <w:sz w:val="24"/>
          <w:szCs w:val="24"/>
        </w:rPr>
        <w:t>任务后成立了标准编制工作组，确定了各成员的工作职能和任务，制订了工作计划和进度安排。</w:t>
      </w:r>
    </w:p>
    <w:p>
      <w:pPr>
        <w:pageBreakBefore w:val="0"/>
        <w:kinsoku/>
        <w:wordWrap/>
        <w:topLinePunct w:val="0"/>
        <w:autoSpaceDE/>
        <w:autoSpaceDN/>
        <w:bidi w:val="0"/>
        <w:snapToGrid/>
        <w:spacing w:line="360" w:lineRule="auto"/>
        <w:ind w:firstLine="480" w:firstLineChars="200"/>
        <w:rPr>
          <w:rFonts w:hint="eastAsia"/>
          <w:sz w:val="24"/>
          <w:szCs w:val="24"/>
        </w:rPr>
      </w:pPr>
      <w:r>
        <w:rPr>
          <w:rFonts w:hint="eastAsia"/>
          <w:sz w:val="24"/>
          <w:szCs w:val="24"/>
        </w:rPr>
        <w:t>为了做好本标准的制订工作，编制小组通过相关标准、资料查询、市场调研，</w:t>
      </w:r>
      <w:r>
        <w:rPr>
          <w:rFonts w:hint="eastAsia"/>
          <w:sz w:val="24"/>
          <w:szCs w:val="24"/>
          <w:lang w:val="en-US" w:eastAsia="zh-CN"/>
        </w:rPr>
        <w:t>调研了青岛鲁东金宏实业有限公司、青岛君邦化工有限公司、湖南同聚化工有限公司、云南铁峰矿业化工新技术有限公、铁岭选矿药剂有限</w:t>
      </w:r>
      <w:r>
        <w:rPr>
          <w:rFonts w:hint="eastAsia"/>
          <w:sz w:val="24"/>
          <w:szCs w:val="24"/>
        </w:rPr>
        <w:t>公司、</w:t>
      </w:r>
      <w:r>
        <w:rPr>
          <w:rFonts w:hint="eastAsia"/>
          <w:sz w:val="24"/>
          <w:szCs w:val="24"/>
          <w:lang w:val="en-US" w:eastAsia="zh-CN"/>
        </w:rPr>
        <w:t>北矿化学科技（沧州）有限公司</w:t>
      </w:r>
      <w:r>
        <w:rPr>
          <w:rFonts w:hint="eastAsia"/>
          <w:sz w:val="24"/>
          <w:szCs w:val="24"/>
          <w:lang w:eastAsia="zh-CN"/>
        </w:rPr>
        <w:t>、</w:t>
      </w:r>
      <w:r>
        <w:rPr>
          <w:rFonts w:hint="eastAsia"/>
          <w:sz w:val="24"/>
          <w:szCs w:val="24"/>
          <w:lang w:val="en-US" w:eastAsia="zh-CN"/>
        </w:rPr>
        <w:t>青岛联拓化工有限公司</w:t>
      </w:r>
      <w:r>
        <w:rPr>
          <w:rFonts w:hint="eastAsia"/>
          <w:sz w:val="24"/>
          <w:szCs w:val="24"/>
        </w:rPr>
        <w:t>等部分企业和用户，</w:t>
      </w:r>
      <w:r>
        <w:rPr>
          <w:rFonts w:hint="eastAsia"/>
          <w:sz w:val="24"/>
          <w:szCs w:val="24"/>
          <w:lang w:eastAsia="zh-CN"/>
        </w:rPr>
        <w:t>充分听取用户建议，</w:t>
      </w:r>
      <w:r>
        <w:rPr>
          <w:rFonts w:hint="eastAsia"/>
          <w:sz w:val="24"/>
          <w:szCs w:val="24"/>
        </w:rPr>
        <w:t>结合我国的实际生产状况和用户需求，认真收集、整理、分析、研究技术资料，确定标准的主要技术指标内容，编制小组对技术要素、性能指标进行了确定。</w:t>
      </w:r>
    </w:p>
    <w:p>
      <w:pPr>
        <w:pageBreakBefore w:val="0"/>
        <w:kinsoku/>
        <w:wordWrap/>
        <w:topLinePunct w:val="0"/>
        <w:autoSpaceDE/>
        <w:autoSpaceDN/>
        <w:bidi w:val="0"/>
        <w:snapToGrid/>
        <w:spacing w:line="360" w:lineRule="auto"/>
        <w:ind w:firstLine="480" w:firstLineChars="200"/>
        <w:outlineLvl w:val="2"/>
        <w:rPr>
          <w:rFonts w:ascii="黑体" w:hAnsi="黑体" w:eastAsia="黑体"/>
          <w:sz w:val="24"/>
          <w:szCs w:val="24"/>
        </w:rPr>
      </w:pPr>
      <w:r>
        <w:rPr>
          <w:rFonts w:hint="eastAsia" w:ascii="黑体" w:hAnsi="黑体" w:eastAsia="黑体"/>
          <w:sz w:val="24"/>
          <w:szCs w:val="24"/>
          <w:lang w:val="en-US" w:eastAsia="zh-CN"/>
        </w:rPr>
        <w:t>2.</w:t>
      </w:r>
      <w:r>
        <w:rPr>
          <w:rFonts w:ascii="黑体" w:hAnsi="黑体" w:eastAsia="黑体"/>
          <w:sz w:val="24"/>
          <w:szCs w:val="24"/>
        </w:rPr>
        <w:t>3.2</w:t>
      </w:r>
      <w:r>
        <w:rPr>
          <w:rFonts w:hint="eastAsia" w:ascii="黑体" w:hAnsi="黑体" w:eastAsia="黑体"/>
          <w:sz w:val="24"/>
          <w:szCs w:val="24"/>
        </w:rPr>
        <w:t>主要起草过程</w:t>
      </w:r>
    </w:p>
    <w:p>
      <w:pPr>
        <w:pageBreakBefore w:val="0"/>
        <w:kinsoku/>
        <w:wordWrap/>
        <w:topLinePunct w:val="0"/>
        <w:autoSpaceDE/>
        <w:autoSpaceDN/>
        <w:bidi w:val="0"/>
        <w:snapToGrid/>
        <w:spacing w:line="360" w:lineRule="auto"/>
        <w:ind w:firstLine="480" w:firstLineChars="200"/>
        <w:rPr>
          <w:rFonts w:hint="default" w:eastAsia="宋体"/>
          <w:sz w:val="24"/>
          <w:szCs w:val="24"/>
          <w:lang w:val="en-US" w:eastAsia="zh-CN"/>
        </w:rPr>
      </w:pPr>
      <w:r>
        <w:rPr>
          <w:rFonts w:hint="eastAsia"/>
          <w:sz w:val="24"/>
          <w:szCs w:val="24"/>
          <w:lang w:val="en-US" w:eastAsia="zh-CN"/>
        </w:rPr>
        <w:t>标准讨论会：</w:t>
      </w:r>
      <w:r>
        <w:rPr>
          <w:rFonts w:hint="eastAsia"/>
          <w:sz w:val="24"/>
          <w:szCs w:val="24"/>
        </w:rPr>
        <w:t>在经过了充分调研和试验的基础上，</w:t>
      </w:r>
      <w:r>
        <w:rPr>
          <w:rFonts w:hint="eastAsia"/>
          <w:sz w:val="24"/>
          <w:szCs w:val="24"/>
          <w:lang w:val="en-US" w:eastAsia="zh-CN"/>
        </w:rPr>
        <w:t>矿冶科技集团</w:t>
      </w:r>
      <w:r>
        <w:rPr>
          <w:rFonts w:hint="eastAsia"/>
          <w:sz w:val="24"/>
          <w:szCs w:val="24"/>
          <w:lang w:eastAsia="zh-CN"/>
        </w:rPr>
        <w:t>有限公司</w:t>
      </w:r>
      <w:r>
        <w:rPr>
          <w:rFonts w:hint="eastAsia"/>
          <w:sz w:val="24"/>
          <w:szCs w:val="24"/>
        </w:rPr>
        <w:t>与</w:t>
      </w:r>
      <w:r>
        <w:rPr>
          <w:rFonts w:hint="eastAsia"/>
          <w:sz w:val="24"/>
          <w:szCs w:val="24"/>
          <w:lang w:val="en-US" w:eastAsia="zh-CN"/>
        </w:rPr>
        <w:t>三</w:t>
      </w:r>
      <w:r>
        <w:rPr>
          <w:rFonts w:hint="eastAsia"/>
          <w:sz w:val="24"/>
          <w:szCs w:val="24"/>
        </w:rPr>
        <w:t>家参与单位经过修改、讨论于20</w:t>
      </w:r>
      <w:r>
        <w:rPr>
          <w:rFonts w:hint="eastAsia"/>
          <w:sz w:val="24"/>
          <w:szCs w:val="24"/>
          <w:lang w:val="en-US" w:eastAsia="zh-CN"/>
        </w:rPr>
        <w:t>23</w:t>
      </w:r>
      <w:r>
        <w:rPr>
          <w:rFonts w:hint="eastAsia"/>
          <w:sz w:val="24"/>
          <w:szCs w:val="24"/>
        </w:rPr>
        <w:t>年</w:t>
      </w:r>
      <w:r>
        <w:rPr>
          <w:rFonts w:hint="eastAsia"/>
          <w:sz w:val="24"/>
          <w:szCs w:val="24"/>
          <w:lang w:val="en-US" w:eastAsia="zh-CN"/>
        </w:rPr>
        <w:t>11</w:t>
      </w:r>
      <w:r>
        <w:rPr>
          <w:rFonts w:hint="eastAsia"/>
          <w:sz w:val="24"/>
          <w:szCs w:val="24"/>
        </w:rPr>
        <w:t>月完成了行业标准《</w:t>
      </w:r>
      <w:r>
        <w:rPr>
          <w:rFonts w:hint="eastAsia"/>
          <w:sz w:val="24"/>
          <w:szCs w:val="24"/>
          <w:lang w:eastAsia="zh-CN"/>
        </w:rPr>
        <w:t>仲辛基黄药</w:t>
      </w:r>
      <w:r>
        <w:rPr>
          <w:rFonts w:hint="eastAsia"/>
          <w:sz w:val="24"/>
          <w:szCs w:val="24"/>
        </w:rPr>
        <w:t>》（</w:t>
      </w:r>
      <w:r>
        <w:rPr>
          <w:rFonts w:hint="eastAsia"/>
          <w:sz w:val="24"/>
          <w:szCs w:val="24"/>
          <w:lang w:val="en-US" w:eastAsia="zh-CN"/>
        </w:rPr>
        <w:t>讨论</w:t>
      </w:r>
      <w:r>
        <w:rPr>
          <w:rFonts w:hint="eastAsia"/>
          <w:sz w:val="24"/>
          <w:szCs w:val="24"/>
        </w:rPr>
        <w:t>稿）</w:t>
      </w:r>
      <w:r>
        <w:rPr>
          <w:rFonts w:hint="eastAsia"/>
          <w:sz w:val="24"/>
          <w:szCs w:val="24"/>
          <w:lang w:val="en-US" w:eastAsia="zh-CN"/>
        </w:rPr>
        <w:t>，形成了讨论稿编制说明，在充分吸收专家意见基础上进一步修改形成了《选矿药剂仲辛基黄药》标准文件与编制说明的预审稿。</w:t>
      </w:r>
    </w:p>
    <w:p>
      <w:pPr>
        <w:pageBreakBefore w:val="0"/>
        <w:widowControl w:val="0"/>
        <w:numPr>
          <w:ilvl w:val="0"/>
          <w:numId w:val="0"/>
        </w:numPr>
        <w:kinsoku/>
        <w:wordWrap/>
        <w:topLinePunct w:val="0"/>
        <w:autoSpaceDE/>
        <w:autoSpaceDN/>
        <w:bidi w:val="0"/>
        <w:adjustRightInd/>
        <w:snapToGrid/>
        <w:spacing w:before="157" w:beforeLines="50" w:after="157" w:afterLines="50" w:line="360" w:lineRule="auto"/>
        <w:ind w:left="630" w:leftChars="0"/>
        <w:textAlignment w:val="auto"/>
        <w:outlineLvl w:val="0"/>
        <w:rPr>
          <w:rFonts w:hint="default" w:ascii="黑体" w:hAnsi="黑体" w:eastAsia="黑体"/>
          <w:sz w:val="24"/>
          <w:szCs w:val="24"/>
          <w:lang w:val="en-US" w:eastAsia="zh-CN"/>
        </w:rPr>
      </w:pPr>
      <w:r>
        <w:rPr>
          <w:rFonts w:hint="eastAsia" w:ascii="黑体" w:hAnsi="黑体" w:eastAsia="黑体"/>
          <w:sz w:val="24"/>
          <w:szCs w:val="24"/>
          <w:lang w:val="en-US" w:eastAsia="zh-CN"/>
        </w:rPr>
        <w:t>三、</w:t>
      </w:r>
      <w:r>
        <w:rPr>
          <w:rFonts w:hint="default" w:ascii="黑体" w:hAnsi="黑体" w:eastAsia="黑体"/>
          <w:sz w:val="24"/>
          <w:szCs w:val="24"/>
          <w:lang w:val="en-US" w:eastAsia="zh-CN"/>
        </w:rPr>
        <w:t>标准编制原则</w:t>
      </w:r>
    </w:p>
    <w:p>
      <w:pPr>
        <w:pStyle w:val="19"/>
        <w:pageBreakBefore w:val="0"/>
        <w:kinsoku/>
        <w:wordWrap/>
        <w:topLinePunct w:val="0"/>
        <w:autoSpaceDE/>
        <w:autoSpaceDN/>
        <w:bidi w:val="0"/>
        <w:snapToGrid/>
        <w:spacing w:line="360" w:lineRule="auto"/>
        <w:rPr>
          <w:sz w:val="24"/>
          <w:szCs w:val="24"/>
        </w:rPr>
      </w:pPr>
      <w:r>
        <w:rPr>
          <w:rFonts w:hint="eastAsia"/>
          <w:sz w:val="24"/>
          <w:szCs w:val="24"/>
        </w:rPr>
        <w:t>标准编制工作组负责调研、收集数据、市场需求及客户要求等信息，确定了《</w:t>
      </w:r>
      <w:r>
        <w:rPr>
          <w:rFonts w:hint="eastAsia"/>
          <w:sz w:val="24"/>
          <w:szCs w:val="24"/>
          <w:lang w:eastAsia="zh-CN"/>
        </w:rPr>
        <w:t>仲辛基黄药</w:t>
      </w:r>
      <w:r>
        <w:rPr>
          <w:rFonts w:hint="eastAsia"/>
          <w:sz w:val="24"/>
          <w:szCs w:val="24"/>
        </w:rPr>
        <w:t>》行业标准的编制原则和编制依据：</w:t>
      </w:r>
    </w:p>
    <w:p>
      <w:pPr>
        <w:pStyle w:val="19"/>
        <w:pageBreakBefore w:val="0"/>
        <w:kinsoku/>
        <w:wordWrap/>
        <w:topLinePunct w:val="0"/>
        <w:autoSpaceDE/>
        <w:autoSpaceDN/>
        <w:bidi w:val="0"/>
        <w:snapToGrid/>
        <w:spacing w:line="360" w:lineRule="auto"/>
        <w:rPr>
          <w:sz w:val="24"/>
          <w:szCs w:val="24"/>
        </w:rPr>
      </w:pPr>
      <w:r>
        <w:rPr>
          <w:rFonts w:hint="eastAsia"/>
          <w:sz w:val="24"/>
          <w:szCs w:val="24"/>
        </w:rPr>
        <w:t>1）符合《中华人民共和国产品质量法》、《中华人民共和国安全生产法》等有关法律、法规、政策和标准；</w:t>
      </w:r>
    </w:p>
    <w:p>
      <w:pPr>
        <w:pageBreakBefore w:val="0"/>
        <w:kinsoku/>
        <w:wordWrap/>
        <w:topLinePunct w:val="0"/>
        <w:autoSpaceDE/>
        <w:autoSpaceDN/>
        <w:bidi w:val="0"/>
        <w:snapToGrid/>
        <w:spacing w:line="360" w:lineRule="auto"/>
        <w:ind w:firstLine="480" w:firstLineChars="200"/>
        <w:rPr>
          <w:sz w:val="24"/>
          <w:szCs w:val="24"/>
        </w:rPr>
      </w:pPr>
      <w:r>
        <w:rPr>
          <w:rFonts w:hint="eastAsia"/>
          <w:sz w:val="24"/>
          <w:szCs w:val="24"/>
        </w:rPr>
        <w:t>2）标准制订工作按国家标准</w:t>
      </w:r>
      <w:r>
        <w:rPr>
          <w:rFonts w:hint="eastAsia" w:ascii="宋体" w:hAnsi="宋体" w:eastAsia="宋体" w:cs="宋体"/>
          <w:kern w:val="0"/>
          <w:sz w:val="24"/>
          <w:szCs w:val="24"/>
        </w:rPr>
        <w:t>GB/T 1.1-2020《标准化工作导则 第1部分：标准化文件的结构和起草规则》的规定起草</w:t>
      </w:r>
      <w:r>
        <w:rPr>
          <w:rFonts w:hint="eastAsia"/>
          <w:sz w:val="24"/>
          <w:szCs w:val="24"/>
        </w:rPr>
        <w:t>，并符合《国家、行业标准编写模板》的电子文本要求；</w:t>
      </w:r>
    </w:p>
    <w:p>
      <w:pPr>
        <w:pStyle w:val="19"/>
        <w:pageBreakBefore w:val="0"/>
        <w:kinsoku/>
        <w:wordWrap/>
        <w:topLinePunct w:val="0"/>
        <w:autoSpaceDE/>
        <w:autoSpaceDN/>
        <w:bidi w:val="0"/>
        <w:snapToGrid/>
        <w:spacing w:line="360" w:lineRule="auto"/>
        <w:rPr>
          <w:rFonts w:hint="eastAsia"/>
          <w:sz w:val="24"/>
          <w:szCs w:val="24"/>
          <w:lang w:eastAsia="zh-CN"/>
        </w:rPr>
      </w:pPr>
      <w:r>
        <w:rPr>
          <w:rFonts w:hint="eastAsia"/>
          <w:sz w:val="24"/>
          <w:szCs w:val="24"/>
        </w:rPr>
        <w:t>3）为适应推荐性标准体系，标准制订过程中注重市场属性，强调供需方的协调一致，把产品标准与销售、贸易紧密结合，提高了标准的市场适应性</w:t>
      </w:r>
      <w:r>
        <w:rPr>
          <w:rFonts w:hint="eastAsia"/>
          <w:sz w:val="24"/>
          <w:szCs w:val="24"/>
          <w:lang w:eastAsia="zh-CN"/>
        </w:rPr>
        <w:t>。</w:t>
      </w:r>
    </w:p>
    <w:p>
      <w:pPr>
        <w:pStyle w:val="19"/>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lang w:eastAsia="zh-CN"/>
        </w:rPr>
      </w:pPr>
      <w:r>
        <w:rPr>
          <w:rFonts w:hint="eastAsia"/>
          <w:sz w:val="24"/>
          <w:szCs w:val="24"/>
          <w:lang w:eastAsia="zh-CN"/>
        </w:rPr>
        <w:t>4）随着设备的更新、生产工艺的改进及节能减排、减污增效，主要技术指标的确定科学、经济、合理，生产技术和产品质量指标都可以有一定程度的提高，根据国内外用户的需求，可以满足用户更高的产品技术指标及包装的需求。</w:t>
      </w:r>
    </w:p>
    <w:p>
      <w:pPr>
        <w:pStyle w:val="19"/>
        <w:pageBreakBefore w:val="0"/>
        <w:kinsoku/>
        <w:wordWrap/>
        <w:topLinePunct w:val="0"/>
        <w:autoSpaceDE/>
        <w:autoSpaceDN/>
        <w:bidi w:val="0"/>
        <w:snapToGrid/>
        <w:spacing w:line="360" w:lineRule="auto"/>
        <w:rPr>
          <w:rFonts w:hint="eastAsia"/>
          <w:sz w:val="24"/>
          <w:szCs w:val="24"/>
          <w:lang w:eastAsia="zh-CN"/>
        </w:rPr>
      </w:pPr>
      <w:r>
        <w:rPr>
          <w:rFonts w:hint="eastAsia"/>
          <w:sz w:val="24"/>
          <w:szCs w:val="24"/>
          <w:lang w:eastAsia="zh-CN"/>
        </w:rPr>
        <w:t>5）充分考虑生产企业的产品质量和相关单位的意见，以及用户的需求，为用户提供满意的产品。</w:t>
      </w:r>
    </w:p>
    <w:p>
      <w:pPr>
        <w:pStyle w:val="19"/>
        <w:pageBreakBefore w:val="0"/>
        <w:kinsoku/>
        <w:wordWrap/>
        <w:topLinePunct w:val="0"/>
        <w:autoSpaceDE/>
        <w:autoSpaceDN/>
        <w:bidi w:val="0"/>
        <w:snapToGrid/>
        <w:spacing w:line="360" w:lineRule="auto"/>
        <w:rPr>
          <w:rFonts w:hint="eastAsia"/>
          <w:sz w:val="24"/>
          <w:szCs w:val="24"/>
          <w:lang w:eastAsia="zh-CN"/>
        </w:rPr>
      </w:pPr>
      <w:r>
        <w:rPr>
          <w:rFonts w:hint="eastAsia"/>
          <w:sz w:val="24"/>
          <w:szCs w:val="24"/>
          <w:lang w:eastAsia="zh-CN"/>
        </w:rPr>
        <w:t>6）坚持以生产实际和可操作性为前提，以满足其实践性、适应性、先进性等需要为原则，做到科学合理、切实可行。</w:t>
      </w:r>
    </w:p>
    <w:p>
      <w:pPr>
        <w:pageBreakBefore w:val="0"/>
        <w:widowControl w:val="0"/>
        <w:numPr>
          <w:ilvl w:val="0"/>
          <w:numId w:val="0"/>
        </w:numPr>
        <w:kinsoku/>
        <w:wordWrap/>
        <w:topLinePunct w:val="0"/>
        <w:autoSpaceDE/>
        <w:autoSpaceDN/>
        <w:bidi w:val="0"/>
        <w:adjustRightInd/>
        <w:snapToGrid/>
        <w:spacing w:before="157" w:beforeLines="50" w:after="157" w:afterLines="50" w:line="360" w:lineRule="auto"/>
        <w:ind w:left="630" w:leftChars="0"/>
        <w:textAlignment w:val="auto"/>
        <w:outlineLvl w:val="0"/>
        <w:rPr>
          <w:rFonts w:hint="eastAsia" w:ascii="黑体" w:hAnsi="黑体" w:eastAsia="黑体"/>
          <w:sz w:val="24"/>
          <w:szCs w:val="24"/>
          <w:lang w:val="en-US" w:eastAsia="zh-CN"/>
        </w:rPr>
      </w:pPr>
      <w:bookmarkStart w:id="0" w:name="_Toc7852"/>
      <w:bookmarkStart w:id="1" w:name="_Toc22042"/>
      <w:r>
        <w:rPr>
          <w:rFonts w:hint="eastAsia" w:ascii="黑体" w:hAnsi="黑体" w:eastAsia="黑体"/>
          <w:sz w:val="24"/>
          <w:szCs w:val="24"/>
          <w:lang w:val="en-US" w:eastAsia="zh-CN"/>
        </w:rPr>
        <w:t>四、确定标准主要内容</w:t>
      </w:r>
      <w:bookmarkEnd w:id="0"/>
      <w:bookmarkEnd w:id="1"/>
    </w:p>
    <w:p>
      <w:pPr>
        <w:pageBreakBefore w:val="0"/>
        <w:kinsoku/>
        <w:wordWrap/>
        <w:topLinePunct w:val="0"/>
        <w:autoSpaceDE/>
        <w:autoSpaceDN/>
        <w:bidi w:val="0"/>
        <w:snapToGrid/>
        <w:spacing w:line="360" w:lineRule="auto"/>
        <w:ind w:firstLine="480" w:firstLineChars="200"/>
        <w:textAlignment w:val="baseline"/>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本标准是对原标准《</w:t>
      </w:r>
      <w:r>
        <w:rPr>
          <w:rFonts w:hint="eastAsia" w:ascii="Times New Roman" w:hAnsi="Times New Roman" w:eastAsia="宋体" w:cs="Times New Roman"/>
          <w:color w:val="000000"/>
          <w:sz w:val="24"/>
          <w:szCs w:val="24"/>
          <w:lang w:val="en-US" w:eastAsia="zh-CN"/>
        </w:rPr>
        <w:t>仲辛基黄药</w:t>
      </w:r>
      <w:r>
        <w:rPr>
          <w:rFonts w:ascii="Times New Roman" w:hAnsi="Times New Roman" w:eastAsia="宋体" w:cs="Times New Roman"/>
          <w:color w:val="000000"/>
          <w:sz w:val="24"/>
          <w:szCs w:val="24"/>
        </w:rPr>
        <w:t>》（YS/T</w:t>
      </w:r>
      <w:r>
        <w:rPr>
          <w:rFonts w:hint="eastAsia" w:ascii="Times New Roman" w:hAnsi="Times New Roman" w:eastAsia="宋体" w:cs="Times New Roman"/>
          <w:color w:val="000000"/>
          <w:sz w:val="24"/>
          <w:szCs w:val="24"/>
          <w:lang w:val="en-US" w:eastAsia="zh-CN"/>
        </w:rPr>
        <w:t>355</w:t>
      </w:r>
      <w:r>
        <w:rPr>
          <w:rFonts w:ascii="Times New Roman" w:hAnsi="Times New Roman" w:eastAsia="宋体" w:cs="Times New Roman"/>
          <w:color w:val="000000"/>
          <w:sz w:val="24"/>
          <w:szCs w:val="24"/>
        </w:rPr>
        <w:t>-</w:t>
      </w:r>
      <w:r>
        <w:rPr>
          <w:rFonts w:hint="eastAsia" w:ascii="Times New Roman" w:hAnsi="Times New Roman" w:eastAsia="宋体" w:cs="Times New Roman"/>
          <w:color w:val="000000"/>
          <w:sz w:val="24"/>
          <w:szCs w:val="24"/>
          <w:lang w:val="en-US" w:eastAsia="zh-CN"/>
        </w:rPr>
        <w:t>94</w:t>
      </w:r>
      <w:r>
        <w:rPr>
          <w:rFonts w:ascii="Times New Roman" w:hAnsi="Times New Roman" w:eastAsia="宋体" w:cs="Times New Roman"/>
          <w:color w:val="000000"/>
          <w:sz w:val="24"/>
          <w:szCs w:val="24"/>
        </w:rPr>
        <w:t>）的修订，标准内容主要与原标准对比修改进行对比。</w:t>
      </w:r>
    </w:p>
    <w:p>
      <w:pPr>
        <w:pageBreakBefore w:val="0"/>
        <w:kinsoku/>
        <w:wordWrap/>
        <w:topLinePunct w:val="0"/>
        <w:autoSpaceDE/>
        <w:autoSpaceDN/>
        <w:bidi w:val="0"/>
        <w:snapToGrid/>
        <w:spacing w:line="360" w:lineRule="auto"/>
        <w:ind w:firstLine="480" w:firstLineChars="200"/>
        <w:textAlignment w:val="baseline"/>
        <w:rPr>
          <w:rFonts w:hint="eastAsia"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rPr>
        <w:t>------编写格式按 GB/T 1.1—2000《标准化工工作导则 第一部分：标准的结果和编写规则》；</w:t>
      </w:r>
    </w:p>
    <w:p>
      <w:pPr>
        <w:pageBreakBefore w:val="0"/>
        <w:kinsoku/>
        <w:wordWrap/>
        <w:topLinePunct w:val="0"/>
        <w:autoSpaceDE/>
        <w:autoSpaceDN/>
        <w:bidi w:val="0"/>
        <w:snapToGrid/>
        <w:spacing w:line="360" w:lineRule="auto"/>
        <w:ind w:firstLine="480" w:firstLineChars="200"/>
        <w:textAlignment w:val="baseline"/>
        <w:rPr>
          <w:rFonts w:hint="eastAsia"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rPr>
        <w:t>------增加了标准的适用范围、规范性引用文件、产品对应的牌号；</w:t>
      </w:r>
    </w:p>
    <w:p>
      <w:pPr>
        <w:pageBreakBefore w:val="0"/>
        <w:kinsoku/>
        <w:wordWrap/>
        <w:topLinePunct w:val="0"/>
        <w:autoSpaceDE/>
        <w:autoSpaceDN/>
        <w:bidi w:val="0"/>
        <w:snapToGrid/>
        <w:spacing w:line="360" w:lineRule="auto"/>
        <w:ind w:firstLine="480" w:firstLineChars="200"/>
        <w:textAlignment w:val="baseline"/>
        <w:rPr>
          <w:rFonts w:hint="eastAsia"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rPr>
        <w:t>------产品的技术指标部分增加了外观、游离碱含量和含水量指标要求；</w:t>
      </w:r>
    </w:p>
    <w:p>
      <w:pPr>
        <w:pageBreakBefore w:val="0"/>
        <w:kinsoku/>
        <w:wordWrap/>
        <w:topLinePunct w:val="0"/>
        <w:autoSpaceDE/>
        <w:autoSpaceDN/>
        <w:bidi w:val="0"/>
        <w:snapToGrid/>
        <w:spacing w:line="360" w:lineRule="auto"/>
        <w:ind w:firstLine="480" w:firstLineChars="200"/>
        <w:textAlignment w:val="baseline"/>
        <w:rPr>
          <w:rFonts w:hint="eastAsia"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rPr>
        <w:t>------修改了有效成分含量的指标要求。</w:t>
      </w:r>
    </w:p>
    <w:p>
      <w:pPr>
        <w:pageBreakBefore w:val="0"/>
        <w:kinsoku/>
        <w:wordWrap/>
        <w:topLinePunct w:val="0"/>
        <w:autoSpaceDE/>
        <w:autoSpaceDN/>
        <w:bidi w:val="0"/>
        <w:snapToGrid/>
        <w:spacing w:line="360" w:lineRule="auto"/>
        <w:ind w:firstLine="480" w:firstLineChars="200"/>
        <w:textAlignment w:val="baseline"/>
        <w:rPr>
          <w:rFonts w:hint="eastAsia"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rPr>
        <w:t>------增加了有效成分含量、游离碱含量、含水量的检验方法；</w:t>
      </w:r>
    </w:p>
    <w:p>
      <w:pPr>
        <w:pageBreakBefore w:val="0"/>
        <w:widowControl w:val="0"/>
        <w:numPr>
          <w:ilvl w:val="0"/>
          <w:numId w:val="0"/>
        </w:numPr>
        <w:kinsoku/>
        <w:wordWrap/>
        <w:topLinePunct w:val="0"/>
        <w:autoSpaceDE/>
        <w:autoSpaceDN/>
        <w:bidi w:val="0"/>
        <w:adjustRightInd/>
        <w:snapToGrid/>
        <w:spacing w:before="157" w:beforeLines="50" w:after="157" w:afterLines="50" w:line="360" w:lineRule="auto"/>
        <w:ind w:left="630" w:leftChars="0"/>
        <w:textAlignment w:val="auto"/>
        <w:outlineLvl w:val="0"/>
        <w:rPr>
          <w:rFonts w:hint="eastAsia" w:ascii="黑体" w:hAnsi="黑体" w:eastAsia="黑体"/>
          <w:sz w:val="24"/>
          <w:szCs w:val="24"/>
          <w:lang w:val="en-US" w:eastAsia="zh-CN"/>
        </w:rPr>
      </w:pPr>
      <w:bookmarkStart w:id="2" w:name="_Toc19631"/>
      <w:bookmarkStart w:id="3" w:name="_Toc9539"/>
      <w:bookmarkStart w:id="4" w:name="_Toc7728"/>
      <w:bookmarkStart w:id="5" w:name="_Toc19306"/>
      <w:bookmarkStart w:id="6" w:name="_Toc12472"/>
      <w:r>
        <w:rPr>
          <w:rFonts w:hint="eastAsia" w:ascii="黑体" w:hAnsi="黑体" w:eastAsia="黑体"/>
          <w:sz w:val="24"/>
          <w:szCs w:val="24"/>
          <w:lang w:val="en-US" w:eastAsia="zh-CN"/>
        </w:rPr>
        <w:t>五、标准验证试验</w:t>
      </w:r>
      <w:bookmarkEnd w:id="2"/>
      <w:bookmarkEnd w:id="3"/>
      <w:bookmarkEnd w:id="4"/>
      <w:bookmarkEnd w:id="5"/>
      <w:bookmarkEnd w:id="6"/>
    </w:p>
    <w:p>
      <w:pPr>
        <w:pStyle w:val="19"/>
        <w:pageBreakBefore w:val="0"/>
        <w:widowControl w:val="0"/>
        <w:numPr>
          <w:ilvl w:val="0"/>
          <w:numId w:val="0"/>
        </w:numPr>
        <w:kinsoku/>
        <w:wordWrap/>
        <w:topLinePunct w:val="0"/>
        <w:autoSpaceDE/>
        <w:autoSpaceDN/>
        <w:bidi w:val="0"/>
        <w:adjustRightInd/>
        <w:snapToGrid/>
        <w:spacing w:before="157" w:beforeLines="50" w:after="157" w:afterLines="50" w:line="360" w:lineRule="auto"/>
        <w:ind w:firstLine="480" w:firstLineChars="200"/>
        <w:textAlignment w:val="auto"/>
        <w:outlineLvl w:val="1"/>
        <w:rPr>
          <w:rFonts w:hint="eastAsia" w:ascii="黑体" w:hAnsi="黑体" w:eastAsia="黑体"/>
          <w:sz w:val="24"/>
          <w:szCs w:val="24"/>
          <w:lang w:val="en-US" w:eastAsia="zh-CN"/>
        </w:rPr>
      </w:pPr>
      <w:bookmarkStart w:id="7" w:name="_Toc13524"/>
      <w:bookmarkStart w:id="8" w:name="_Toc11045"/>
      <w:bookmarkStart w:id="9" w:name="_Toc6186"/>
      <w:bookmarkStart w:id="10" w:name="_Toc9599"/>
      <w:bookmarkStart w:id="11" w:name="_Toc12969"/>
      <w:r>
        <w:rPr>
          <w:rFonts w:hint="eastAsia" w:ascii="黑体" w:hAnsi="黑体" w:eastAsia="黑体"/>
          <w:sz w:val="24"/>
          <w:szCs w:val="24"/>
          <w:lang w:val="en-US" w:eastAsia="zh-CN"/>
        </w:rPr>
        <w:t>5.1、重复性、再现性实验</w:t>
      </w:r>
      <w:bookmarkEnd w:id="7"/>
      <w:bookmarkEnd w:id="8"/>
      <w:bookmarkEnd w:id="9"/>
      <w:bookmarkEnd w:id="10"/>
      <w:bookmarkEnd w:id="11"/>
    </w:p>
    <w:p>
      <w:pPr>
        <w:pageBreakBefore w:val="0"/>
        <w:kinsoku/>
        <w:wordWrap/>
        <w:topLinePunct w:val="0"/>
        <w:autoSpaceDE/>
        <w:autoSpaceDN/>
        <w:bidi w:val="0"/>
        <w:snapToGrid/>
        <w:spacing w:line="360" w:lineRule="auto"/>
        <w:ind w:firstLine="480" w:firstLineChars="200"/>
        <w:outlineLvl w:val="2"/>
        <w:rPr>
          <w:rFonts w:hint="eastAsia" w:ascii="黑体" w:hAnsi="黑体" w:eastAsia="黑体"/>
          <w:sz w:val="24"/>
          <w:szCs w:val="24"/>
          <w:lang w:val="en-US" w:eastAsia="zh-CN"/>
        </w:rPr>
      </w:pPr>
      <w:r>
        <w:rPr>
          <w:rFonts w:hint="eastAsia" w:ascii="黑体" w:hAnsi="黑体" w:eastAsia="黑体"/>
          <w:sz w:val="24"/>
          <w:szCs w:val="24"/>
          <w:lang w:val="en-US" w:eastAsia="zh-CN"/>
        </w:rPr>
        <w:t>5.1.1同一实验室重复性、再现性实验</w:t>
      </w:r>
    </w:p>
    <w:p>
      <w:pPr>
        <w:pageBreakBefore w:val="0"/>
        <w:kinsoku/>
        <w:wordWrap/>
        <w:topLinePunct w:val="0"/>
        <w:autoSpaceDE/>
        <w:autoSpaceDN/>
        <w:bidi w:val="0"/>
        <w:snapToGrid/>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试验内容：考察行业标准《</w:t>
      </w:r>
      <w:r>
        <w:rPr>
          <w:rFonts w:hint="eastAsia" w:ascii="Times New Roman" w:hAnsi="Times New Roman" w:eastAsia="宋体" w:cs="Times New Roman"/>
          <w:sz w:val="24"/>
          <w:szCs w:val="24"/>
          <w:lang w:val="en-US" w:eastAsia="zh-CN"/>
        </w:rPr>
        <w:t>选矿药剂仲辛基黄药</w:t>
      </w:r>
      <w:r>
        <w:rPr>
          <w:rFonts w:ascii="Times New Roman" w:hAnsi="Times New Roman" w:eastAsia="宋体" w:cs="Times New Roman"/>
          <w:sz w:val="24"/>
          <w:szCs w:val="24"/>
        </w:rPr>
        <w:t>》</w:t>
      </w:r>
      <w:r>
        <w:rPr>
          <w:rFonts w:hint="eastAsia" w:ascii="Times New Roman" w:hAnsi="Times New Roman" w:eastAsia="宋体" w:cs="Times New Roman"/>
          <w:sz w:val="24"/>
          <w:szCs w:val="24"/>
          <w:lang w:val="en-US" w:eastAsia="zh-CN"/>
        </w:rPr>
        <w:t>对产品含量进行检测</w:t>
      </w:r>
      <w:r>
        <w:rPr>
          <w:rFonts w:ascii="Times New Roman" w:hAnsi="Times New Roman" w:eastAsia="宋体" w:cs="Times New Roman"/>
          <w:sz w:val="24"/>
          <w:szCs w:val="24"/>
        </w:rPr>
        <w:t>。</w:t>
      </w:r>
    </w:p>
    <w:p>
      <w:pPr>
        <w:pageBreakBefore w:val="0"/>
        <w:kinsoku/>
        <w:wordWrap/>
        <w:topLinePunct w:val="0"/>
        <w:autoSpaceDE/>
        <w:autoSpaceDN/>
        <w:bidi w:val="0"/>
        <w:snapToGrid/>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试验方法</w:t>
      </w:r>
      <w:r>
        <w:rPr>
          <w:rFonts w:hint="eastAsia" w:ascii="Times New Roman" w:hAnsi="Times New Roman" w:eastAsia="宋体" w:cs="Times New Roman"/>
          <w:sz w:val="24"/>
          <w:szCs w:val="24"/>
        </w:rPr>
        <w:t>：</w:t>
      </w:r>
      <w:r>
        <w:rPr>
          <w:rFonts w:ascii="Times New Roman" w:hAnsi="Times New Roman" w:eastAsia="宋体" w:cs="Times New Roman"/>
          <w:sz w:val="24"/>
          <w:szCs w:val="24"/>
        </w:rPr>
        <w:t>参考行业标准</w:t>
      </w:r>
      <w:r>
        <w:rPr>
          <w:rFonts w:hint="eastAsia" w:ascii="Times New Roman" w:hAnsi="Times New Roman" w:eastAsia="宋体" w:cs="Times New Roman"/>
          <w:sz w:val="24"/>
          <w:szCs w:val="24"/>
        </w:rPr>
        <w:t>YS/</w:t>
      </w:r>
      <w:r>
        <w:rPr>
          <w:rFonts w:ascii="Times New Roman" w:hAnsi="Times New Roman" w:eastAsia="宋体" w:cs="Times New Roman"/>
          <w:sz w:val="24"/>
          <w:szCs w:val="24"/>
        </w:rPr>
        <w:t>T 271《</w:t>
      </w:r>
      <w:r>
        <w:rPr>
          <w:rFonts w:hint="eastAsia" w:ascii="Times New Roman" w:hAnsi="Times New Roman" w:eastAsia="宋体" w:cs="Times New Roman"/>
          <w:sz w:val="24"/>
          <w:szCs w:val="24"/>
        </w:rPr>
        <w:t>黄药化学分析方法</w:t>
      </w:r>
      <w:r>
        <w:rPr>
          <w:rFonts w:ascii="Times New Roman" w:hAnsi="Times New Roman" w:eastAsia="宋体" w:cs="Times New Roman"/>
          <w:sz w:val="24"/>
          <w:szCs w:val="24"/>
        </w:rPr>
        <w:t>》</w:t>
      </w:r>
      <w:r>
        <w:rPr>
          <w:rFonts w:hint="eastAsia" w:ascii="Times New Roman" w:hAnsi="Times New Roman" w:eastAsia="宋体" w:cs="Times New Roman"/>
          <w:sz w:val="24"/>
          <w:szCs w:val="24"/>
          <w:lang w:val="en-US" w:eastAsia="zh-CN"/>
        </w:rPr>
        <w:t>进行仲辛基黄药主成分的检测</w:t>
      </w:r>
      <w:r>
        <w:rPr>
          <w:rFonts w:hint="eastAsia" w:ascii="Times New Roman" w:hAnsi="Times New Roman" w:eastAsia="宋体" w:cs="Times New Roman"/>
          <w:sz w:val="24"/>
          <w:szCs w:val="24"/>
        </w:rPr>
        <w:t>。</w:t>
      </w:r>
    </w:p>
    <w:p>
      <w:pPr>
        <w:pageBreakBefore w:val="0"/>
        <w:kinsoku/>
        <w:wordWrap/>
        <w:topLinePunct w:val="0"/>
        <w:autoSpaceDE/>
        <w:autoSpaceDN/>
        <w:bidi w:val="0"/>
        <w:snapToGrid/>
        <w:spacing w:line="360" w:lineRule="auto"/>
        <w:ind w:firstLine="480" w:firstLineChars="200"/>
        <w:rPr>
          <w:rFonts w:hint="eastAsia" w:ascii="Times New Roman" w:hAnsi="Times New Roman" w:eastAsia="宋体" w:cs="Times New Roman"/>
          <w:sz w:val="24"/>
          <w:szCs w:val="24"/>
        </w:rPr>
      </w:pPr>
      <w:r>
        <w:rPr>
          <w:rFonts w:ascii="Times New Roman" w:hAnsi="Times New Roman" w:eastAsia="宋体" w:cs="Times New Roman"/>
          <w:sz w:val="24"/>
          <w:szCs w:val="24"/>
        </w:rPr>
        <w:t>方法提要</w:t>
      </w:r>
      <w:r>
        <w:rPr>
          <w:rFonts w:hint="eastAsia" w:ascii="Times New Roman" w:hAnsi="Times New Roman" w:eastAsia="宋体" w:cs="Times New Roman"/>
          <w:sz w:val="24"/>
          <w:szCs w:val="24"/>
        </w:rPr>
        <w:t>：</w:t>
      </w:r>
    </w:p>
    <w:p>
      <w:pPr>
        <w:pageBreakBefore w:val="0"/>
        <w:kinsoku/>
        <w:wordWrap/>
        <w:topLinePunct w:val="0"/>
        <w:autoSpaceDE/>
        <w:autoSpaceDN/>
        <w:bidi w:val="0"/>
        <w:snapToGrid/>
        <w:spacing w:line="360" w:lineRule="auto"/>
        <w:ind w:firstLine="480" w:firstLineChars="200"/>
        <w:rPr>
          <w:rFonts w:hint="eastAsia" w:ascii="Times New Roman" w:hAnsi="Times New Roman" w:eastAsia="宋体" w:cs="Times New Roman"/>
          <w:sz w:val="24"/>
          <w:szCs w:val="24"/>
        </w:rPr>
      </w:pPr>
      <w:r>
        <w:rPr>
          <w:rFonts w:hint="eastAsia" w:ascii="Times New Roman" w:hAnsi="Times New Roman" w:eastAsia="宋体" w:cs="Times New Roman"/>
          <w:sz w:val="24"/>
          <w:szCs w:val="24"/>
          <w:lang w:eastAsia="zh-CN"/>
        </w:rPr>
        <w:t>（</w:t>
      </w:r>
      <w:r>
        <w:rPr>
          <w:rFonts w:hint="eastAsia" w:ascii="Times New Roman" w:hAnsi="Times New Roman" w:eastAsia="宋体" w:cs="Times New Roman"/>
          <w:sz w:val="24"/>
          <w:szCs w:val="24"/>
          <w:lang w:val="en-US" w:eastAsia="zh-CN"/>
        </w:rPr>
        <w:t>1</w:t>
      </w:r>
      <w:r>
        <w:rPr>
          <w:rFonts w:hint="eastAsia" w:ascii="Times New Roman" w:hAnsi="Times New Roman" w:eastAsia="宋体" w:cs="Times New Roman"/>
          <w:sz w:val="24"/>
          <w:szCs w:val="24"/>
          <w:lang w:eastAsia="zh-CN"/>
        </w:rPr>
        <w:t>）</w:t>
      </w:r>
      <w:r>
        <w:rPr>
          <w:rFonts w:hint="eastAsia" w:ascii="Times New Roman" w:hAnsi="Times New Roman" w:eastAsia="宋体" w:cs="Times New Roman"/>
          <w:sz w:val="24"/>
          <w:szCs w:val="24"/>
        </w:rPr>
        <w:t>方法提要</w:t>
      </w:r>
    </w:p>
    <w:p>
      <w:pPr>
        <w:pageBreakBefore w:val="0"/>
        <w:kinsoku/>
        <w:wordWrap/>
        <w:topLinePunct w:val="0"/>
        <w:autoSpaceDE/>
        <w:autoSpaceDN/>
        <w:bidi w:val="0"/>
        <w:snapToGrid/>
        <w:spacing w:line="360" w:lineRule="auto"/>
        <w:ind w:firstLine="480" w:firstLineChars="200"/>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以亚硝基铁氰化钠为指示剂，用铁氰化钾将黄药中的碱金属硫化物等杂质氧化成单体硫以消除其干扰。化学反应为：</w:t>
      </w:r>
    </w:p>
    <w:p>
      <w:pPr>
        <w:pageBreakBefore w:val="0"/>
        <w:kinsoku/>
        <w:wordWrap/>
        <w:topLinePunct w:val="0"/>
        <w:autoSpaceDE/>
        <w:autoSpaceDN/>
        <w:bidi w:val="0"/>
        <w:snapToGrid/>
        <w:spacing w:line="360" w:lineRule="auto"/>
        <w:ind w:left="0" w:leftChars="0" w:right="0" w:rightChars="0" w:firstLine="0" w:firstLineChars="0"/>
        <w:jc w:val="center"/>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rPr>
        <w:t>S</w:t>
      </w:r>
      <w:r>
        <w:rPr>
          <w:rFonts w:hint="eastAsia" w:ascii="Times New Roman" w:hAnsi="Times New Roman" w:eastAsia="宋体" w:cs="Times New Roman"/>
          <w:sz w:val="24"/>
          <w:szCs w:val="24"/>
          <w:vertAlign w:val="superscript"/>
          <w:lang w:val="en-US" w:eastAsia="zh-CN"/>
        </w:rPr>
        <w:t>2-</w:t>
      </w:r>
      <w:r>
        <w:rPr>
          <w:rFonts w:hint="eastAsia" w:ascii="Times New Roman" w:hAnsi="Times New Roman" w:eastAsia="宋体" w:cs="Times New Roman"/>
          <w:sz w:val="24"/>
          <w:szCs w:val="24"/>
        </w:rPr>
        <w:t>+2〔Fe(CN)₆〕</w:t>
      </w:r>
      <w:r>
        <w:rPr>
          <w:rFonts w:hint="eastAsia" w:ascii="Times New Roman" w:hAnsi="Times New Roman" w:eastAsia="宋体" w:cs="Times New Roman"/>
          <w:sz w:val="24"/>
          <w:szCs w:val="24"/>
          <w:vertAlign w:val="superscript"/>
          <w:lang w:val="en-US" w:eastAsia="zh-CN"/>
        </w:rPr>
        <w:t>3-</w:t>
      </w:r>
      <w:r>
        <w:rPr>
          <w:rFonts w:hint="eastAsia" w:ascii="Times New Roman" w:hAnsi="Times New Roman" w:eastAsia="宋体" w:cs="Times New Roman"/>
          <w:sz w:val="24"/>
          <w:szCs w:val="24"/>
        </w:rPr>
        <w:t>→S↓十2〔Fe(CN)₆〕</w:t>
      </w:r>
      <w:r>
        <w:rPr>
          <w:rFonts w:hint="eastAsia" w:ascii="Times New Roman" w:hAnsi="Times New Roman" w:eastAsia="宋体" w:cs="Times New Roman"/>
          <w:sz w:val="24"/>
          <w:szCs w:val="24"/>
          <w:vertAlign w:val="superscript"/>
          <w:lang w:val="en-US" w:eastAsia="zh-CN"/>
        </w:rPr>
        <w:t>4-</w:t>
      </w:r>
    </w:p>
    <w:p>
      <w:pPr>
        <w:pageBreakBefore w:val="0"/>
        <w:kinsoku/>
        <w:wordWrap/>
        <w:topLinePunct w:val="0"/>
        <w:autoSpaceDE/>
        <w:autoSpaceDN/>
        <w:bidi w:val="0"/>
        <w:snapToGrid/>
        <w:spacing w:line="360" w:lineRule="auto"/>
        <w:ind w:firstLine="480" w:firstLineChars="200"/>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然后以玫瑰红酸钠为指示剂，用乙酸铅标准溶液滴定黄原酸盐。化学反应式为：</w:t>
      </w:r>
    </w:p>
    <w:p>
      <w:pPr>
        <w:pageBreakBefore w:val="0"/>
        <w:kinsoku/>
        <w:wordWrap/>
        <w:topLinePunct w:val="0"/>
        <w:autoSpaceDE/>
        <w:autoSpaceDN/>
        <w:bidi w:val="0"/>
        <w:snapToGrid/>
        <w:spacing w:line="360" w:lineRule="auto"/>
        <w:ind w:left="0" w:leftChars="0" w:right="0" w:rightChars="0" w:firstLine="0" w:firstLineChars="0"/>
        <w:jc w:val="center"/>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2ROCSS</w:t>
      </w:r>
      <w:r>
        <w:rPr>
          <w:rFonts w:hint="eastAsia" w:ascii="Times New Roman" w:hAnsi="Times New Roman" w:eastAsia="宋体" w:cs="Times New Roman"/>
          <w:sz w:val="24"/>
          <w:szCs w:val="24"/>
          <w:vertAlign w:val="superscript"/>
          <w:lang w:val="en-US" w:eastAsia="zh-CN"/>
        </w:rPr>
        <w:t>-</w:t>
      </w:r>
      <w:r>
        <w:rPr>
          <w:rFonts w:hint="eastAsia" w:ascii="Times New Roman" w:hAnsi="Times New Roman" w:eastAsia="宋体" w:cs="Times New Roman"/>
          <w:sz w:val="24"/>
          <w:szCs w:val="24"/>
        </w:rPr>
        <w:t>+Pb</w:t>
      </w:r>
      <w:r>
        <w:rPr>
          <w:rFonts w:hint="eastAsia" w:ascii="Times New Roman" w:hAnsi="Times New Roman" w:eastAsia="宋体" w:cs="Times New Roman"/>
          <w:sz w:val="24"/>
          <w:szCs w:val="24"/>
          <w:vertAlign w:val="superscript"/>
          <w:lang w:val="en-US" w:eastAsia="zh-CN"/>
        </w:rPr>
        <w:t>2+</w:t>
      </w:r>
      <w:r>
        <w:rPr>
          <w:rFonts w:hint="eastAsia" w:ascii="Times New Roman" w:hAnsi="Times New Roman" w:eastAsia="宋体" w:cs="Times New Roman"/>
          <w:sz w:val="24"/>
          <w:szCs w:val="24"/>
        </w:rPr>
        <w:t>—→(ROCSS)</w:t>
      </w:r>
      <w:r>
        <w:rPr>
          <w:rFonts w:hint="eastAsia" w:ascii="Times New Roman" w:hAnsi="Times New Roman" w:eastAsia="宋体" w:cs="Times New Roman"/>
          <w:sz w:val="24"/>
          <w:szCs w:val="24"/>
          <w:vertAlign w:val="subscript"/>
          <w:lang w:val="en-US" w:eastAsia="zh-CN"/>
        </w:rPr>
        <w:t>2</w:t>
      </w:r>
      <w:r>
        <w:rPr>
          <w:rFonts w:hint="eastAsia" w:ascii="Times New Roman" w:hAnsi="Times New Roman" w:eastAsia="宋体" w:cs="Times New Roman"/>
          <w:sz w:val="24"/>
          <w:szCs w:val="24"/>
        </w:rPr>
        <w:t>Pb↓</w:t>
      </w:r>
    </w:p>
    <w:p>
      <w:pPr>
        <w:pageBreakBefore w:val="0"/>
        <w:kinsoku/>
        <w:wordWrap/>
        <w:topLinePunct w:val="0"/>
        <w:autoSpaceDE/>
        <w:autoSpaceDN/>
        <w:bidi w:val="0"/>
        <w:snapToGrid/>
        <w:spacing w:line="360" w:lineRule="auto"/>
        <w:ind w:firstLine="480" w:firstLineChars="200"/>
        <w:rPr>
          <w:rFonts w:hint="eastAsia" w:ascii="Times New Roman" w:hAnsi="Times New Roman" w:eastAsia="宋体" w:cs="Times New Roman"/>
          <w:sz w:val="24"/>
          <w:szCs w:val="24"/>
        </w:rPr>
      </w:pPr>
      <w:r>
        <w:rPr>
          <w:rFonts w:hint="eastAsia" w:ascii="Times New Roman" w:hAnsi="Times New Roman" w:eastAsia="宋体" w:cs="Times New Roman"/>
          <w:sz w:val="24"/>
          <w:szCs w:val="24"/>
          <w:lang w:eastAsia="zh-CN"/>
        </w:rPr>
        <w:t>（</w:t>
      </w:r>
      <w:r>
        <w:rPr>
          <w:rFonts w:hint="eastAsia" w:ascii="Times New Roman" w:hAnsi="Times New Roman" w:eastAsia="宋体" w:cs="Times New Roman"/>
          <w:sz w:val="24"/>
          <w:szCs w:val="24"/>
          <w:lang w:val="en-US" w:eastAsia="zh-CN"/>
        </w:rPr>
        <w:t>2</w:t>
      </w:r>
      <w:r>
        <w:rPr>
          <w:rFonts w:hint="eastAsia" w:ascii="Times New Roman" w:hAnsi="Times New Roman" w:eastAsia="宋体" w:cs="Times New Roman"/>
          <w:sz w:val="24"/>
          <w:szCs w:val="24"/>
          <w:lang w:eastAsia="zh-CN"/>
        </w:rPr>
        <w:t>）</w:t>
      </w:r>
      <w:r>
        <w:rPr>
          <w:rFonts w:hint="eastAsia" w:ascii="Times New Roman" w:hAnsi="Times New Roman" w:eastAsia="宋体" w:cs="Times New Roman"/>
          <w:sz w:val="24"/>
          <w:szCs w:val="24"/>
        </w:rPr>
        <w:t>试剂</w:t>
      </w:r>
    </w:p>
    <w:p>
      <w:pPr>
        <w:pageBreakBefore w:val="0"/>
        <w:kinsoku/>
        <w:wordWrap/>
        <w:topLinePunct w:val="0"/>
        <w:autoSpaceDE/>
        <w:autoSpaceDN/>
        <w:bidi w:val="0"/>
        <w:snapToGrid/>
        <w:spacing w:line="360" w:lineRule="auto"/>
        <w:ind w:firstLine="480" w:firstLineChars="200"/>
        <w:rPr>
          <w:rFonts w:hint="eastAsia" w:ascii="Times New Roman" w:hAnsi="Times New Roman" w:eastAsia="宋体" w:cs="Times New Roman"/>
          <w:sz w:val="24"/>
          <w:szCs w:val="24"/>
        </w:rPr>
      </w:pPr>
      <w:r>
        <w:rPr>
          <w:rFonts w:hint="eastAsia" w:ascii="Times New Roman" w:hAnsi="Times New Roman" w:eastAsia="宋体" w:cs="Times New Roman"/>
          <w:sz w:val="24"/>
          <w:szCs w:val="24"/>
          <w:lang w:val="en-US" w:eastAsia="zh-CN"/>
        </w:rPr>
        <w:t>①</w:t>
      </w:r>
      <w:r>
        <w:rPr>
          <w:rFonts w:hint="eastAsia" w:ascii="Times New Roman" w:hAnsi="Times New Roman" w:eastAsia="宋体" w:cs="Times New Roman"/>
          <w:sz w:val="24"/>
          <w:szCs w:val="24"/>
        </w:rPr>
        <w:t>盐酸(比重1.19)。</w:t>
      </w:r>
    </w:p>
    <w:p>
      <w:pPr>
        <w:pageBreakBefore w:val="0"/>
        <w:kinsoku/>
        <w:wordWrap/>
        <w:topLinePunct w:val="0"/>
        <w:autoSpaceDE/>
        <w:autoSpaceDN/>
        <w:bidi w:val="0"/>
        <w:snapToGrid/>
        <w:spacing w:line="360" w:lineRule="auto"/>
        <w:ind w:firstLine="480" w:firstLineChars="200"/>
        <w:rPr>
          <w:rFonts w:hint="eastAsia" w:ascii="Times New Roman" w:hAnsi="Times New Roman" w:eastAsia="宋体" w:cs="Times New Roman"/>
          <w:sz w:val="24"/>
          <w:szCs w:val="24"/>
        </w:rPr>
      </w:pPr>
      <w:r>
        <w:rPr>
          <w:rFonts w:hint="eastAsia" w:ascii="Times New Roman" w:hAnsi="Times New Roman" w:eastAsia="宋体" w:cs="Times New Roman"/>
          <w:sz w:val="24"/>
          <w:szCs w:val="24"/>
          <w:lang w:val="en-US" w:eastAsia="zh-CN"/>
        </w:rPr>
        <w:t>②</w:t>
      </w:r>
      <w:r>
        <w:rPr>
          <w:rFonts w:hint="eastAsia" w:ascii="Times New Roman" w:hAnsi="Times New Roman" w:eastAsia="宋体" w:cs="Times New Roman"/>
          <w:sz w:val="24"/>
          <w:szCs w:val="24"/>
        </w:rPr>
        <w:t>盐酸(6N)。</w:t>
      </w:r>
    </w:p>
    <w:p>
      <w:pPr>
        <w:pageBreakBefore w:val="0"/>
        <w:kinsoku/>
        <w:wordWrap/>
        <w:topLinePunct w:val="0"/>
        <w:autoSpaceDE/>
        <w:autoSpaceDN/>
        <w:bidi w:val="0"/>
        <w:snapToGrid/>
        <w:spacing w:line="360" w:lineRule="auto"/>
        <w:ind w:firstLine="480" w:firstLineChars="200"/>
        <w:rPr>
          <w:rFonts w:hint="eastAsia" w:ascii="Times New Roman" w:hAnsi="Times New Roman" w:eastAsia="宋体" w:cs="Times New Roman"/>
          <w:sz w:val="24"/>
          <w:szCs w:val="24"/>
        </w:rPr>
      </w:pPr>
      <w:r>
        <w:rPr>
          <w:rFonts w:hint="eastAsia" w:ascii="Times New Roman" w:hAnsi="Times New Roman" w:eastAsia="宋体" w:cs="Times New Roman"/>
          <w:sz w:val="24"/>
          <w:szCs w:val="24"/>
          <w:lang w:val="en-US" w:eastAsia="zh-CN"/>
        </w:rPr>
        <w:t>③</w:t>
      </w:r>
      <w:r>
        <w:rPr>
          <w:rFonts w:hint="eastAsia" w:ascii="Times New Roman" w:hAnsi="Times New Roman" w:eastAsia="宋体" w:cs="Times New Roman"/>
          <w:sz w:val="24"/>
          <w:szCs w:val="24"/>
        </w:rPr>
        <w:t>冰乙酸。</w:t>
      </w:r>
    </w:p>
    <w:p>
      <w:pPr>
        <w:pageBreakBefore w:val="0"/>
        <w:kinsoku/>
        <w:wordWrap/>
        <w:topLinePunct w:val="0"/>
        <w:autoSpaceDE/>
        <w:autoSpaceDN/>
        <w:bidi w:val="0"/>
        <w:snapToGrid/>
        <w:spacing w:line="360" w:lineRule="auto"/>
        <w:ind w:firstLine="480" w:firstLineChars="200"/>
        <w:rPr>
          <w:rFonts w:hint="eastAsia" w:ascii="Times New Roman" w:hAnsi="Times New Roman" w:eastAsia="宋体" w:cs="Times New Roman"/>
          <w:sz w:val="24"/>
          <w:szCs w:val="24"/>
        </w:rPr>
      </w:pPr>
      <w:r>
        <w:rPr>
          <w:rFonts w:hint="eastAsia" w:ascii="Times New Roman" w:hAnsi="Times New Roman" w:eastAsia="宋体" w:cs="Times New Roman"/>
          <w:sz w:val="24"/>
          <w:szCs w:val="24"/>
          <w:lang w:val="en-US" w:eastAsia="zh-CN"/>
        </w:rPr>
        <w:t>④</w:t>
      </w:r>
      <w:r>
        <w:rPr>
          <w:rFonts w:hint="eastAsia" w:ascii="Times New Roman" w:hAnsi="Times New Roman" w:eastAsia="宋体" w:cs="Times New Roman"/>
          <w:sz w:val="24"/>
          <w:szCs w:val="24"/>
        </w:rPr>
        <w:t>氨水溶液(10%)。</w:t>
      </w:r>
    </w:p>
    <w:p>
      <w:pPr>
        <w:pageBreakBefore w:val="0"/>
        <w:kinsoku/>
        <w:wordWrap/>
        <w:topLinePunct w:val="0"/>
        <w:autoSpaceDE/>
        <w:autoSpaceDN/>
        <w:bidi w:val="0"/>
        <w:snapToGrid/>
        <w:spacing w:line="360" w:lineRule="auto"/>
        <w:ind w:firstLine="480" w:firstLineChars="200"/>
        <w:rPr>
          <w:rFonts w:hint="eastAsia" w:ascii="Times New Roman" w:hAnsi="Times New Roman" w:eastAsia="宋体" w:cs="Times New Roman"/>
          <w:sz w:val="24"/>
          <w:szCs w:val="24"/>
        </w:rPr>
      </w:pPr>
      <w:r>
        <w:rPr>
          <w:rFonts w:hint="eastAsia" w:ascii="Times New Roman" w:hAnsi="Times New Roman" w:eastAsia="宋体" w:cs="Times New Roman"/>
          <w:sz w:val="24"/>
          <w:szCs w:val="24"/>
          <w:lang w:val="en-US" w:eastAsia="zh-CN"/>
        </w:rPr>
        <w:t>⑤</w:t>
      </w:r>
      <w:r>
        <w:rPr>
          <w:rFonts w:hint="eastAsia" w:ascii="Times New Roman" w:hAnsi="Times New Roman" w:eastAsia="宋体" w:cs="Times New Roman"/>
          <w:sz w:val="24"/>
          <w:szCs w:val="24"/>
        </w:rPr>
        <w:t>氨-氯化铵缓冲溶液：按GB  603—77《制剂及制品制备方法》中的第38条(1)配制。</w:t>
      </w:r>
    </w:p>
    <w:p>
      <w:pPr>
        <w:pageBreakBefore w:val="0"/>
        <w:kinsoku/>
        <w:wordWrap/>
        <w:topLinePunct w:val="0"/>
        <w:autoSpaceDE/>
        <w:autoSpaceDN/>
        <w:bidi w:val="0"/>
        <w:snapToGrid/>
        <w:spacing w:line="360" w:lineRule="auto"/>
        <w:ind w:firstLine="480" w:firstLineChars="200"/>
        <w:rPr>
          <w:rFonts w:hint="eastAsia" w:ascii="Times New Roman" w:hAnsi="Times New Roman" w:eastAsia="宋体" w:cs="Times New Roman"/>
          <w:sz w:val="24"/>
          <w:szCs w:val="24"/>
        </w:rPr>
      </w:pPr>
      <w:r>
        <w:rPr>
          <w:rFonts w:hint="eastAsia" w:ascii="Times New Roman" w:hAnsi="Times New Roman" w:eastAsia="宋体" w:cs="Times New Roman"/>
          <w:sz w:val="24"/>
          <w:szCs w:val="24"/>
          <w:lang w:val="en-US" w:eastAsia="zh-CN"/>
        </w:rPr>
        <w:t>⑥</w:t>
      </w:r>
      <w:r>
        <w:rPr>
          <w:rFonts w:hint="eastAsia" w:ascii="Times New Roman" w:hAnsi="Times New Roman" w:eastAsia="宋体" w:cs="Times New Roman"/>
          <w:sz w:val="24"/>
          <w:szCs w:val="24"/>
        </w:rPr>
        <w:t>六次甲基四胺-盐酸缓冲溶液：将300g六次甲基四胺溶于500ml水中，加30ml盐酸(</w:t>
      </w:r>
      <w:r>
        <w:rPr>
          <w:rFonts w:hint="eastAsia" w:ascii="Times New Roman" w:hAnsi="Times New Roman" w:eastAsia="宋体" w:cs="Times New Roman"/>
          <w:sz w:val="24"/>
          <w:szCs w:val="24"/>
          <w:lang w:val="en-US" w:eastAsia="zh-CN"/>
        </w:rPr>
        <w:t>①</w:t>
      </w:r>
      <w:r>
        <w:rPr>
          <w:rFonts w:hint="eastAsia" w:ascii="Times New Roman" w:hAnsi="Times New Roman" w:eastAsia="宋体" w:cs="Times New Roman"/>
          <w:sz w:val="24"/>
          <w:szCs w:val="24"/>
        </w:rPr>
        <w:t>)</w:t>
      </w:r>
      <w:r>
        <w:rPr>
          <w:rFonts w:hint="eastAsia" w:ascii="Times New Roman" w:hAnsi="Times New Roman" w:eastAsia="宋体" w:cs="Times New Roman"/>
          <w:sz w:val="24"/>
          <w:szCs w:val="24"/>
          <w:lang w:eastAsia="zh-CN"/>
        </w:rPr>
        <w:t>，</w:t>
      </w:r>
      <w:r>
        <w:rPr>
          <w:rFonts w:hint="eastAsia" w:ascii="Times New Roman" w:hAnsi="Times New Roman" w:eastAsia="宋体" w:cs="Times New Roman"/>
          <w:sz w:val="24"/>
          <w:szCs w:val="24"/>
        </w:rPr>
        <w:t>加水稀释至1000ml。</w:t>
      </w:r>
    </w:p>
    <w:p>
      <w:pPr>
        <w:pageBreakBefore w:val="0"/>
        <w:kinsoku/>
        <w:wordWrap/>
        <w:topLinePunct w:val="0"/>
        <w:autoSpaceDE/>
        <w:autoSpaceDN/>
        <w:bidi w:val="0"/>
        <w:snapToGrid/>
        <w:spacing w:line="360" w:lineRule="auto"/>
        <w:ind w:firstLine="480" w:firstLineChars="200"/>
        <w:rPr>
          <w:rFonts w:hint="eastAsia" w:ascii="Times New Roman" w:hAnsi="Times New Roman" w:eastAsia="宋体" w:cs="Times New Roman"/>
          <w:sz w:val="24"/>
          <w:szCs w:val="24"/>
        </w:rPr>
      </w:pPr>
      <w:r>
        <w:rPr>
          <w:rFonts w:hint="eastAsia" w:ascii="Times New Roman" w:hAnsi="Times New Roman" w:eastAsia="宋体" w:cs="Times New Roman"/>
          <w:sz w:val="24"/>
          <w:szCs w:val="24"/>
          <w:lang w:val="en-US" w:eastAsia="zh-CN"/>
        </w:rPr>
        <w:t>⑦</w:t>
      </w:r>
      <w:r>
        <w:rPr>
          <w:rFonts w:hint="eastAsia" w:ascii="Times New Roman" w:hAnsi="Times New Roman" w:eastAsia="宋体" w:cs="Times New Roman"/>
          <w:sz w:val="24"/>
          <w:szCs w:val="24"/>
        </w:rPr>
        <w:t>铁氰化钾溶液(1%)</w:t>
      </w:r>
      <w:r>
        <w:rPr>
          <w:rFonts w:hint="eastAsia" w:ascii="Times New Roman" w:hAnsi="Times New Roman" w:eastAsia="宋体" w:cs="Times New Roman"/>
          <w:sz w:val="24"/>
          <w:szCs w:val="24"/>
          <w:lang w:eastAsia="zh-CN"/>
        </w:rPr>
        <w:t>：</w:t>
      </w:r>
      <w:r>
        <w:rPr>
          <w:rFonts w:hint="eastAsia" w:ascii="Times New Roman" w:hAnsi="Times New Roman" w:eastAsia="宋体" w:cs="Times New Roman"/>
          <w:sz w:val="24"/>
          <w:szCs w:val="24"/>
        </w:rPr>
        <w:t>贮于棕色瓶中，用时现配。</w:t>
      </w:r>
    </w:p>
    <w:p>
      <w:pPr>
        <w:pageBreakBefore w:val="0"/>
        <w:kinsoku/>
        <w:wordWrap/>
        <w:topLinePunct w:val="0"/>
        <w:autoSpaceDE/>
        <w:autoSpaceDN/>
        <w:bidi w:val="0"/>
        <w:snapToGrid/>
        <w:spacing w:line="360" w:lineRule="auto"/>
        <w:ind w:firstLine="480" w:firstLineChars="200"/>
        <w:rPr>
          <w:rFonts w:hint="eastAsia" w:ascii="Times New Roman" w:hAnsi="Times New Roman" w:eastAsia="宋体" w:cs="Times New Roman"/>
          <w:sz w:val="24"/>
          <w:szCs w:val="24"/>
        </w:rPr>
      </w:pPr>
      <w:r>
        <w:rPr>
          <w:rFonts w:hint="eastAsia" w:ascii="Times New Roman" w:hAnsi="Times New Roman" w:eastAsia="宋体" w:cs="Times New Roman"/>
          <w:sz w:val="24"/>
          <w:szCs w:val="24"/>
          <w:lang w:val="en-US" w:eastAsia="zh-CN"/>
        </w:rPr>
        <w:t>⑧</w:t>
      </w:r>
      <w:r>
        <w:rPr>
          <w:rFonts w:hint="eastAsia" w:ascii="Times New Roman" w:hAnsi="Times New Roman" w:eastAsia="宋体" w:cs="Times New Roman"/>
          <w:sz w:val="24"/>
          <w:szCs w:val="24"/>
        </w:rPr>
        <w:t>铬黑T指示剂溶液(0.5%)</w:t>
      </w:r>
      <w:r>
        <w:rPr>
          <w:rFonts w:hint="eastAsia" w:ascii="Times New Roman" w:hAnsi="Times New Roman" w:eastAsia="宋体" w:cs="Times New Roman"/>
          <w:sz w:val="24"/>
          <w:szCs w:val="24"/>
          <w:lang w:eastAsia="zh-CN"/>
        </w:rPr>
        <w:t>：</w:t>
      </w:r>
      <w:r>
        <w:rPr>
          <w:rFonts w:hint="eastAsia" w:ascii="Times New Roman" w:hAnsi="Times New Roman" w:eastAsia="宋体" w:cs="Times New Roman"/>
          <w:sz w:val="24"/>
          <w:szCs w:val="24"/>
        </w:rPr>
        <w:t>称取0.5g铬黑T和2g盐酸羟胺溶于100ml乙醇中。用时现配。</w:t>
      </w:r>
    </w:p>
    <w:p>
      <w:pPr>
        <w:pageBreakBefore w:val="0"/>
        <w:kinsoku/>
        <w:wordWrap/>
        <w:topLinePunct w:val="0"/>
        <w:autoSpaceDE/>
        <w:autoSpaceDN/>
        <w:bidi w:val="0"/>
        <w:snapToGrid/>
        <w:spacing w:line="360" w:lineRule="auto"/>
        <w:ind w:firstLine="480" w:firstLineChars="200"/>
        <w:rPr>
          <w:rFonts w:hint="eastAsia" w:ascii="Times New Roman" w:hAnsi="Times New Roman" w:eastAsia="宋体" w:cs="Times New Roman"/>
          <w:sz w:val="24"/>
          <w:szCs w:val="24"/>
        </w:rPr>
      </w:pPr>
      <w:r>
        <w:rPr>
          <w:rFonts w:hint="eastAsia" w:ascii="Times New Roman" w:hAnsi="Times New Roman" w:eastAsia="宋体" w:cs="Times New Roman"/>
          <w:sz w:val="24"/>
          <w:szCs w:val="24"/>
          <w:lang w:val="en-US" w:eastAsia="zh-CN"/>
        </w:rPr>
        <w:t>⑨</w:t>
      </w:r>
      <w:r>
        <w:rPr>
          <w:rFonts w:hint="eastAsia" w:ascii="Times New Roman" w:hAnsi="Times New Roman" w:eastAsia="宋体" w:cs="Times New Roman"/>
          <w:sz w:val="24"/>
          <w:szCs w:val="24"/>
        </w:rPr>
        <w:t>二甲酚橙指示剂溶液(0.2%)。</w:t>
      </w:r>
    </w:p>
    <w:p>
      <w:pPr>
        <w:pageBreakBefore w:val="0"/>
        <w:kinsoku/>
        <w:wordWrap/>
        <w:topLinePunct w:val="0"/>
        <w:autoSpaceDE/>
        <w:autoSpaceDN/>
        <w:bidi w:val="0"/>
        <w:snapToGrid/>
        <w:spacing w:line="360" w:lineRule="auto"/>
        <w:ind w:firstLine="480" w:firstLineChars="200"/>
        <w:rPr>
          <w:rFonts w:hint="eastAsia" w:ascii="Times New Roman" w:hAnsi="Times New Roman" w:eastAsia="宋体" w:cs="Times New Roman"/>
          <w:sz w:val="24"/>
          <w:szCs w:val="24"/>
        </w:rPr>
      </w:pPr>
      <w:r>
        <w:rPr>
          <w:rFonts w:hint="eastAsia" w:ascii="Times New Roman" w:hAnsi="Times New Roman" w:eastAsia="宋体" w:cs="Times New Roman"/>
          <w:sz w:val="24"/>
          <w:szCs w:val="24"/>
          <w:lang w:val="en-US" w:eastAsia="zh-CN"/>
        </w:rPr>
        <w:t>⑩</w:t>
      </w:r>
      <w:r>
        <w:rPr>
          <w:rFonts w:hint="eastAsia" w:ascii="Times New Roman" w:hAnsi="Times New Roman" w:eastAsia="宋体" w:cs="Times New Roman"/>
          <w:sz w:val="24"/>
          <w:szCs w:val="24"/>
        </w:rPr>
        <w:t>亚硝基铁氰化钠指示剂溶液(2%)</w:t>
      </w:r>
      <w:r>
        <w:rPr>
          <w:rFonts w:hint="eastAsia" w:ascii="Times New Roman" w:hAnsi="Times New Roman" w:eastAsia="宋体" w:cs="Times New Roman"/>
          <w:sz w:val="24"/>
          <w:szCs w:val="24"/>
          <w:lang w:eastAsia="zh-CN"/>
        </w:rPr>
        <w:t>：</w:t>
      </w:r>
      <w:r>
        <w:rPr>
          <w:rFonts w:hint="eastAsia" w:ascii="Times New Roman" w:hAnsi="Times New Roman" w:eastAsia="宋体" w:cs="Times New Roman"/>
          <w:sz w:val="24"/>
          <w:szCs w:val="24"/>
        </w:rPr>
        <w:t>用时现配。</w:t>
      </w:r>
    </w:p>
    <w:p>
      <w:pPr>
        <w:pageBreakBefore w:val="0"/>
        <w:kinsoku/>
        <w:wordWrap/>
        <w:topLinePunct w:val="0"/>
        <w:autoSpaceDE/>
        <w:autoSpaceDN/>
        <w:bidi w:val="0"/>
        <w:snapToGrid/>
        <w:spacing w:line="360" w:lineRule="auto"/>
        <w:ind w:firstLine="480" w:firstLineChars="200"/>
        <w:rPr>
          <w:rFonts w:hint="eastAsia" w:ascii="Times New Roman" w:hAnsi="Times New Roman" w:eastAsia="宋体" w:cs="Times New Roman"/>
          <w:sz w:val="24"/>
          <w:szCs w:val="24"/>
        </w:rPr>
      </w:pPr>
      <w:r>
        <w:rPr>
          <w:rFonts w:hint="eastAsia" w:ascii="Times New Roman" w:hAnsi="Times New Roman" w:eastAsia="宋体" w:cs="Times New Roman"/>
          <w:sz w:val="24"/>
          <w:szCs w:val="24"/>
          <w:lang w:val="en-US" w:eastAsia="zh-CN"/>
        </w:rPr>
        <w:t>⑪</w:t>
      </w:r>
      <w:r>
        <w:rPr>
          <w:rFonts w:hint="eastAsia" w:ascii="Times New Roman" w:hAnsi="Times New Roman" w:eastAsia="宋体" w:cs="Times New Roman"/>
          <w:sz w:val="24"/>
          <w:szCs w:val="24"/>
        </w:rPr>
        <w:t>玫瑰红酸钠指示剂溶液(0.1%)</w:t>
      </w:r>
      <w:r>
        <w:rPr>
          <w:rFonts w:hint="eastAsia" w:ascii="Times New Roman" w:hAnsi="Times New Roman" w:eastAsia="宋体" w:cs="Times New Roman"/>
          <w:sz w:val="24"/>
          <w:szCs w:val="24"/>
          <w:lang w:eastAsia="zh-CN"/>
        </w:rPr>
        <w:t>：</w:t>
      </w:r>
      <w:r>
        <w:rPr>
          <w:rFonts w:hint="eastAsia" w:ascii="Times New Roman" w:hAnsi="Times New Roman" w:eastAsia="宋体" w:cs="Times New Roman"/>
          <w:sz w:val="24"/>
          <w:szCs w:val="24"/>
        </w:rPr>
        <w:t>用时现配。</w:t>
      </w:r>
    </w:p>
    <w:p>
      <w:pPr>
        <w:pageBreakBefore w:val="0"/>
        <w:kinsoku/>
        <w:wordWrap/>
        <w:topLinePunct w:val="0"/>
        <w:autoSpaceDE/>
        <w:autoSpaceDN/>
        <w:bidi w:val="0"/>
        <w:snapToGrid/>
        <w:spacing w:line="360" w:lineRule="auto"/>
        <w:ind w:firstLine="480" w:firstLineChars="200"/>
        <w:rPr>
          <w:rFonts w:hint="eastAsia" w:ascii="Times New Roman" w:hAnsi="Times New Roman" w:eastAsia="宋体" w:cs="Times New Roman"/>
          <w:sz w:val="24"/>
          <w:szCs w:val="24"/>
        </w:rPr>
      </w:pPr>
      <w:r>
        <w:rPr>
          <w:rFonts w:hint="eastAsia" w:ascii="Times New Roman" w:hAnsi="Times New Roman" w:eastAsia="宋体" w:cs="Times New Roman"/>
          <w:sz w:val="24"/>
          <w:szCs w:val="24"/>
          <w:lang w:val="en-US" w:eastAsia="zh-CN"/>
        </w:rPr>
        <w:t>⑫</w:t>
      </w:r>
      <w:r>
        <w:rPr>
          <w:rFonts w:hint="eastAsia" w:ascii="Times New Roman" w:hAnsi="Times New Roman" w:eastAsia="宋体" w:cs="Times New Roman"/>
          <w:sz w:val="24"/>
          <w:szCs w:val="24"/>
        </w:rPr>
        <w:t>氯化铵。</w:t>
      </w:r>
    </w:p>
    <w:p>
      <w:pPr>
        <w:pageBreakBefore w:val="0"/>
        <w:kinsoku/>
        <w:wordWrap/>
        <w:topLinePunct w:val="0"/>
        <w:autoSpaceDE/>
        <w:autoSpaceDN/>
        <w:bidi w:val="0"/>
        <w:snapToGrid/>
        <w:spacing w:line="360" w:lineRule="auto"/>
        <w:ind w:firstLine="480" w:firstLineChars="200"/>
        <w:rPr>
          <w:rFonts w:hint="eastAsia" w:ascii="Times New Roman" w:hAnsi="Times New Roman" w:eastAsia="宋体" w:cs="Times New Roman"/>
          <w:sz w:val="24"/>
          <w:szCs w:val="24"/>
        </w:rPr>
      </w:pPr>
      <w:r>
        <w:rPr>
          <w:rFonts w:hint="eastAsia" w:ascii="Times New Roman" w:hAnsi="Times New Roman" w:eastAsia="宋体" w:cs="Times New Roman"/>
          <w:sz w:val="24"/>
          <w:szCs w:val="24"/>
          <w:lang w:val="en-US" w:eastAsia="zh-CN"/>
        </w:rPr>
        <w:t>⑬</w:t>
      </w:r>
      <w:r>
        <w:rPr>
          <w:rFonts w:hint="eastAsia" w:ascii="Times New Roman" w:hAnsi="Times New Roman" w:eastAsia="宋体" w:cs="Times New Roman"/>
          <w:sz w:val="24"/>
          <w:szCs w:val="24"/>
        </w:rPr>
        <w:t>氧化锌：基准试剂。</w:t>
      </w:r>
    </w:p>
    <w:p>
      <w:pPr>
        <w:pageBreakBefore w:val="0"/>
        <w:kinsoku/>
        <w:wordWrap/>
        <w:topLinePunct w:val="0"/>
        <w:autoSpaceDE/>
        <w:autoSpaceDN/>
        <w:bidi w:val="0"/>
        <w:snapToGrid/>
        <w:spacing w:line="360" w:lineRule="auto"/>
        <w:ind w:firstLine="480" w:firstLineChars="200"/>
        <w:rPr>
          <w:rFonts w:hint="eastAsia" w:ascii="Times New Roman" w:hAnsi="Times New Roman" w:eastAsia="宋体" w:cs="Times New Roman"/>
          <w:sz w:val="24"/>
          <w:szCs w:val="24"/>
        </w:rPr>
      </w:pPr>
      <w:r>
        <w:rPr>
          <w:rFonts w:hint="eastAsia" w:ascii="Times New Roman" w:hAnsi="Times New Roman" w:eastAsia="宋体" w:cs="Times New Roman"/>
          <w:sz w:val="24"/>
          <w:szCs w:val="24"/>
          <w:lang w:val="en-US" w:eastAsia="zh-CN"/>
        </w:rPr>
        <w:t>⑭</w:t>
      </w:r>
      <w:r>
        <w:rPr>
          <w:rFonts w:hint="eastAsia" w:ascii="Times New Roman" w:hAnsi="Times New Roman" w:eastAsia="宋体" w:cs="Times New Roman"/>
          <w:sz w:val="24"/>
          <w:szCs w:val="24"/>
        </w:rPr>
        <w:t>乙酸铅。</w:t>
      </w:r>
    </w:p>
    <w:p>
      <w:pPr>
        <w:pageBreakBefore w:val="0"/>
        <w:kinsoku/>
        <w:wordWrap/>
        <w:topLinePunct w:val="0"/>
        <w:autoSpaceDE/>
        <w:autoSpaceDN/>
        <w:bidi w:val="0"/>
        <w:snapToGrid/>
        <w:spacing w:line="360" w:lineRule="auto"/>
        <w:ind w:firstLine="480" w:firstLineChars="200"/>
        <w:rPr>
          <w:rFonts w:hint="eastAsia" w:ascii="Times New Roman" w:hAnsi="Times New Roman" w:eastAsia="宋体" w:cs="Times New Roman"/>
          <w:sz w:val="24"/>
          <w:szCs w:val="24"/>
        </w:rPr>
      </w:pPr>
      <w:r>
        <w:rPr>
          <w:rFonts w:hint="eastAsia" w:ascii="Times New Roman" w:hAnsi="Times New Roman" w:eastAsia="宋体" w:cs="Times New Roman"/>
          <w:sz w:val="24"/>
          <w:szCs w:val="24"/>
          <w:lang w:val="en-US" w:eastAsia="zh-CN"/>
        </w:rPr>
        <w:t>⑮</w:t>
      </w:r>
      <w:r>
        <w:rPr>
          <w:rFonts w:hint="eastAsia" w:ascii="Times New Roman" w:hAnsi="Times New Roman" w:eastAsia="宋体" w:cs="Times New Roman"/>
          <w:sz w:val="24"/>
          <w:szCs w:val="24"/>
        </w:rPr>
        <w:t>乙二胺四乙酸二钠(EDTA)  标准溶液(0.0125M)。</w:t>
      </w:r>
    </w:p>
    <w:p>
      <w:pPr>
        <w:pageBreakBefore w:val="0"/>
        <w:kinsoku/>
        <w:wordWrap/>
        <w:topLinePunct w:val="0"/>
        <w:autoSpaceDE/>
        <w:autoSpaceDN/>
        <w:bidi w:val="0"/>
        <w:snapToGrid/>
        <w:spacing w:line="360" w:lineRule="auto"/>
        <w:ind w:firstLine="480" w:firstLineChars="200"/>
        <w:rPr>
          <w:rFonts w:hint="eastAsia" w:ascii="Times New Roman" w:hAnsi="Times New Roman" w:eastAsia="宋体" w:cs="Times New Roman"/>
          <w:sz w:val="24"/>
          <w:szCs w:val="24"/>
        </w:rPr>
      </w:pPr>
      <w:r>
        <w:rPr>
          <w:rFonts w:hint="eastAsia" w:ascii="Times New Roman" w:hAnsi="Times New Roman" w:eastAsia="宋体" w:cs="Times New Roman"/>
          <w:sz w:val="24"/>
          <w:szCs w:val="24"/>
          <w:lang w:val="en-US" w:eastAsia="zh-CN"/>
        </w:rPr>
        <w:t>A：</w:t>
      </w:r>
      <w:r>
        <w:rPr>
          <w:rFonts w:hint="eastAsia" w:ascii="Times New Roman" w:hAnsi="Times New Roman" w:eastAsia="宋体" w:cs="Times New Roman"/>
          <w:sz w:val="24"/>
          <w:szCs w:val="24"/>
        </w:rPr>
        <w:t>配制：称取5g 二水合乙二胺四乙酸二钠，加热溶于1000ml 水中，冷却，摇匀。</w:t>
      </w:r>
    </w:p>
    <w:p>
      <w:pPr>
        <w:pageBreakBefore w:val="0"/>
        <w:kinsoku/>
        <w:wordWrap/>
        <w:topLinePunct w:val="0"/>
        <w:autoSpaceDE/>
        <w:autoSpaceDN/>
        <w:bidi w:val="0"/>
        <w:snapToGrid/>
        <w:spacing w:line="360" w:lineRule="auto"/>
        <w:ind w:firstLine="480" w:firstLineChars="200"/>
        <w:rPr>
          <w:rFonts w:hint="eastAsia" w:ascii="Times New Roman" w:hAnsi="Times New Roman" w:eastAsia="宋体" w:cs="Times New Roman"/>
          <w:sz w:val="24"/>
          <w:szCs w:val="24"/>
        </w:rPr>
      </w:pPr>
      <w:r>
        <w:rPr>
          <w:rFonts w:hint="eastAsia" w:ascii="Times New Roman" w:hAnsi="Times New Roman" w:eastAsia="宋体" w:cs="Times New Roman"/>
          <w:sz w:val="24"/>
          <w:szCs w:val="24"/>
          <w:lang w:val="en-US" w:eastAsia="zh-CN"/>
        </w:rPr>
        <w:t>B：</w:t>
      </w:r>
      <w:r>
        <w:rPr>
          <w:rFonts w:hint="eastAsia" w:ascii="Times New Roman" w:hAnsi="Times New Roman" w:eastAsia="宋体" w:cs="Times New Roman"/>
          <w:sz w:val="24"/>
          <w:szCs w:val="24"/>
        </w:rPr>
        <w:t>标定：称取1.0000g 于800</w:t>
      </w:r>
      <w:r>
        <w:rPr>
          <w:rFonts w:hint="eastAsia" w:ascii="Times New Roman" w:hAnsi="Times New Roman" w:eastAsia="宋体" w:cs="Times New Roman"/>
          <w:sz w:val="24"/>
          <w:szCs w:val="24"/>
          <w:lang w:val="en-US" w:eastAsia="zh-CN"/>
        </w:rPr>
        <w:t>℃</w:t>
      </w:r>
      <w:r>
        <w:rPr>
          <w:rFonts w:hint="eastAsia" w:ascii="Times New Roman" w:hAnsi="Times New Roman" w:eastAsia="宋体" w:cs="Times New Roman"/>
          <w:sz w:val="24"/>
          <w:szCs w:val="24"/>
        </w:rPr>
        <w:t xml:space="preserve"> 灼烧至恒重的氧化锌(</w:t>
      </w:r>
      <w:r>
        <w:rPr>
          <w:rFonts w:hint="eastAsia" w:ascii="Times New Roman" w:hAnsi="Times New Roman" w:eastAsia="宋体" w:cs="Times New Roman"/>
          <w:sz w:val="24"/>
          <w:szCs w:val="24"/>
          <w:lang w:val="en-US" w:eastAsia="zh-CN"/>
        </w:rPr>
        <w:t>⑬</w:t>
      </w:r>
      <w:r>
        <w:rPr>
          <w:rFonts w:hint="eastAsia" w:ascii="Times New Roman" w:hAnsi="Times New Roman" w:eastAsia="宋体" w:cs="Times New Roman"/>
          <w:sz w:val="24"/>
          <w:szCs w:val="24"/>
        </w:rPr>
        <w:t>)</w:t>
      </w:r>
      <w:r>
        <w:rPr>
          <w:rFonts w:hint="eastAsia" w:ascii="Times New Roman" w:hAnsi="Times New Roman" w:eastAsia="宋体" w:cs="Times New Roman"/>
          <w:sz w:val="24"/>
          <w:szCs w:val="24"/>
          <w:lang w:eastAsia="zh-CN"/>
        </w:rPr>
        <w:t>，</w:t>
      </w:r>
      <w:r>
        <w:rPr>
          <w:rFonts w:hint="eastAsia" w:ascii="Times New Roman" w:hAnsi="Times New Roman" w:eastAsia="宋体" w:cs="Times New Roman"/>
          <w:sz w:val="24"/>
          <w:szCs w:val="24"/>
        </w:rPr>
        <w:t>用少许水湿润，加5ml 盐酸(</w:t>
      </w:r>
      <w:r>
        <w:rPr>
          <w:rFonts w:hint="eastAsia" w:ascii="Times New Roman" w:hAnsi="Times New Roman" w:eastAsia="宋体" w:cs="Times New Roman"/>
          <w:sz w:val="24"/>
          <w:szCs w:val="24"/>
          <w:lang w:val="en-US" w:eastAsia="zh-CN"/>
        </w:rPr>
        <w:t>②</w:t>
      </w:r>
      <w:r>
        <w:rPr>
          <w:rFonts w:hint="eastAsia" w:ascii="Times New Roman" w:hAnsi="Times New Roman" w:eastAsia="宋体" w:cs="Times New Roman"/>
          <w:sz w:val="24"/>
          <w:szCs w:val="24"/>
        </w:rPr>
        <w:t>)至氧化锌溶解。移入500ml 容量瓶中，稀释至刻度，摇匀。取30.00～35.00ml,加20m1水，用氨水溶液(</w:t>
      </w:r>
      <w:r>
        <w:rPr>
          <w:rFonts w:hint="eastAsia" w:ascii="Times New Roman" w:hAnsi="Times New Roman" w:eastAsia="宋体" w:cs="Times New Roman"/>
          <w:sz w:val="24"/>
          <w:szCs w:val="24"/>
          <w:lang w:val="en-US" w:eastAsia="zh-CN"/>
        </w:rPr>
        <w:t>④</w:t>
      </w:r>
      <w:r>
        <w:rPr>
          <w:rFonts w:hint="eastAsia" w:ascii="Times New Roman" w:hAnsi="Times New Roman" w:eastAsia="宋体" w:cs="Times New Roman"/>
          <w:sz w:val="24"/>
          <w:szCs w:val="24"/>
        </w:rPr>
        <w:t>)中和至pH7～8</w:t>
      </w:r>
      <w:r>
        <w:rPr>
          <w:rFonts w:hint="eastAsia" w:ascii="Times New Roman" w:hAnsi="Times New Roman" w:eastAsia="宋体" w:cs="Times New Roman"/>
          <w:sz w:val="24"/>
          <w:szCs w:val="24"/>
          <w:lang w:eastAsia="zh-CN"/>
        </w:rPr>
        <w:t>，</w:t>
      </w:r>
      <w:r>
        <w:rPr>
          <w:rFonts w:hint="eastAsia" w:ascii="Times New Roman" w:hAnsi="Times New Roman" w:eastAsia="宋体" w:cs="Times New Roman"/>
          <w:sz w:val="24"/>
          <w:szCs w:val="24"/>
        </w:rPr>
        <w:t>加10ml氨-氯化铵缓冲液(</w:t>
      </w:r>
      <w:r>
        <w:rPr>
          <w:rFonts w:hint="eastAsia" w:ascii="Times New Roman" w:hAnsi="Times New Roman" w:eastAsia="宋体" w:cs="Times New Roman"/>
          <w:sz w:val="24"/>
          <w:szCs w:val="24"/>
          <w:lang w:val="en-US" w:eastAsia="zh-CN"/>
        </w:rPr>
        <w:t>⑤</w:t>
      </w:r>
      <w:r>
        <w:rPr>
          <w:rFonts w:hint="eastAsia" w:ascii="Times New Roman" w:hAnsi="Times New Roman" w:eastAsia="宋体" w:cs="Times New Roman"/>
          <w:sz w:val="24"/>
          <w:szCs w:val="24"/>
        </w:rPr>
        <w:t>)</w:t>
      </w:r>
      <w:r>
        <w:rPr>
          <w:rFonts w:hint="eastAsia" w:ascii="Times New Roman" w:hAnsi="Times New Roman" w:eastAsia="宋体" w:cs="Times New Roman"/>
          <w:sz w:val="24"/>
          <w:szCs w:val="24"/>
          <w:lang w:eastAsia="zh-CN"/>
        </w:rPr>
        <w:t>，</w:t>
      </w:r>
      <w:r>
        <w:rPr>
          <w:rFonts w:hint="eastAsia" w:ascii="Times New Roman" w:hAnsi="Times New Roman" w:eastAsia="宋体" w:cs="Times New Roman"/>
          <w:sz w:val="24"/>
          <w:szCs w:val="24"/>
        </w:rPr>
        <w:t>加5滴铬黑T指示剂溶液(</w:t>
      </w:r>
      <w:r>
        <w:rPr>
          <w:rFonts w:hint="eastAsia" w:ascii="Times New Roman" w:hAnsi="Times New Roman" w:eastAsia="宋体" w:cs="Times New Roman"/>
          <w:sz w:val="24"/>
          <w:szCs w:val="24"/>
          <w:lang w:val="en-US" w:eastAsia="zh-CN"/>
        </w:rPr>
        <w:t>⑧</w:t>
      </w:r>
      <w:r>
        <w:rPr>
          <w:rFonts w:hint="eastAsia" w:ascii="Times New Roman" w:hAnsi="Times New Roman" w:eastAsia="宋体" w:cs="Times New Roman"/>
          <w:sz w:val="24"/>
          <w:szCs w:val="24"/>
        </w:rPr>
        <w:t>)</w:t>
      </w:r>
      <w:r>
        <w:rPr>
          <w:rFonts w:hint="eastAsia" w:ascii="Times New Roman" w:hAnsi="Times New Roman" w:eastAsia="宋体" w:cs="Times New Roman"/>
          <w:sz w:val="24"/>
          <w:szCs w:val="24"/>
          <w:lang w:eastAsia="zh-CN"/>
        </w:rPr>
        <w:t>，</w:t>
      </w:r>
      <w:r>
        <w:rPr>
          <w:rFonts w:hint="eastAsia" w:ascii="Times New Roman" w:hAnsi="Times New Roman" w:eastAsia="宋体" w:cs="Times New Roman"/>
          <w:sz w:val="24"/>
          <w:szCs w:val="24"/>
        </w:rPr>
        <w:t>用EDTA标准溶液(</w:t>
      </w:r>
      <w:r>
        <w:rPr>
          <w:rFonts w:hint="eastAsia" w:ascii="Times New Roman" w:hAnsi="Times New Roman" w:eastAsia="宋体" w:cs="Times New Roman"/>
          <w:sz w:val="24"/>
          <w:szCs w:val="24"/>
          <w:lang w:val="en-US" w:eastAsia="zh-CN"/>
        </w:rPr>
        <w:t>⑮</w:t>
      </w:r>
      <w:r>
        <w:rPr>
          <w:rFonts w:hint="eastAsia" w:ascii="Times New Roman" w:hAnsi="Times New Roman" w:eastAsia="宋体" w:cs="Times New Roman"/>
          <w:sz w:val="24"/>
          <w:szCs w:val="24"/>
        </w:rPr>
        <w:t>)滴定至溶液由紫色变为纯蓝色。同时作空白试验。</w:t>
      </w:r>
    </w:p>
    <w:p>
      <w:pPr>
        <w:pageBreakBefore w:val="0"/>
        <w:kinsoku/>
        <w:wordWrap/>
        <w:topLinePunct w:val="0"/>
        <w:autoSpaceDE/>
        <w:autoSpaceDN/>
        <w:bidi w:val="0"/>
        <w:snapToGrid/>
        <w:spacing w:line="360" w:lineRule="auto"/>
        <w:ind w:firstLine="480" w:firstLineChars="200"/>
        <w:rPr>
          <w:rFonts w:hint="eastAsia" w:ascii="Times New Roman" w:hAnsi="Times New Roman" w:eastAsia="宋体" w:cs="Times New Roman"/>
          <w:sz w:val="24"/>
          <w:szCs w:val="24"/>
        </w:rPr>
      </w:pPr>
      <w:r>
        <w:rPr>
          <w:rFonts w:hint="eastAsia" w:ascii="Times New Roman" w:hAnsi="Times New Roman" w:eastAsia="宋体" w:cs="Times New Roman"/>
          <w:sz w:val="24"/>
          <w:szCs w:val="24"/>
          <w:lang w:val="en-US" w:eastAsia="zh-CN"/>
        </w:rPr>
        <w:t>C：</w:t>
      </w:r>
      <w:r>
        <w:rPr>
          <w:rFonts w:hint="eastAsia" w:ascii="Times New Roman" w:hAnsi="Times New Roman" w:eastAsia="宋体" w:cs="Times New Roman"/>
          <w:sz w:val="24"/>
          <w:szCs w:val="24"/>
        </w:rPr>
        <w:t>计算：EDTA标准溶液摩尔浓度M 按下式计算：</w:t>
      </w:r>
    </w:p>
    <w:p>
      <w:pPr>
        <w:pageBreakBefore w:val="0"/>
        <w:kinsoku/>
        <w:wordWrap/>
        <w:topLinePunct w:val="0"/>
        <w:autoSpaceDE/>
        <w:autoSpaceDN/>
        <w:bidi w:val="0"/>
        <w:snapToGrid/>
        <w:spacing w:line="360" w:lineRule="auto"/>
        <w:ind w:left="0" w:leftChars="0" w:right="0" w:rightChars="0" w:firstLine="0" w:firstLineChars="0"/>
        <w:jc w:val="center"/>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drawing>
          <wp:inline distT="0" distB="0" distL="0" distR="0">
            <wp:extent cx="2728595" cy="751205"/>
            <wp:effectExtent l="0" t="0" r="1905" b="10795"/>
            <wp:docPr id="4" name="IM 10"/>
            <wp:cNvGraphicFramePr/>
            <a:graphic xmlns:a="http://schemas.openxmlformats.org/drawingml/2006/main">
              <a:graphicData uri="http://schemas.openxmlformats.org/drawingml/2006/picture">
                <pic:pic xmlns:pic="http://schemas.openxmlformats.org/drawingml/2006/picture">
                  <pic:nvPicPr>
                    <pic:cNvPr id="4" name="IM 10"/>
                    <pic:cNvPicPr/>
                  </pic:nvPicPr>
                  <pic:blipFill>
                    <a:blip r:embed="rId5"/>
                    <a:stretch>
                      <a:fillRect/>
                    </a:stretch>
                  </pic:blipFill>
                  <pic:spPr>
                    <a:xfrm>
                      <a:off x="0" y="0"/>
                      <a:ext cx="2728595" cy="751205"/>
                    </a:xfrm>
                    <a:prstGeom prst="rect">
                      <a:avLst/>
                    </a:prstGeom>
                  </pic:spPr>
                </pic:pic>
              </a:graphicData>
            </a:graphic>
          </wp:inline>
        </w:drawing>
      </w:r>
    </w:p>
    <w:p>
      <w:pPr>
        <w:pageBreakBefore w:val="0"/>
        <w:kinsoku/>
        <w:wordWrap/>
        <w:topLinePunct w:val="0"/>
        <w:autoSpaceDE/>
        <w:autoSpaceDN/>
        <w:bidi w:val="0"/>
        <w:snapToGrid/>
        <w:spacing w:line="360" w:lineRule="auto"/>
        <w:ind w:firstLine="480" w:firstLineChars="200"/>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式中：G——氧化锌重量，g;</w:t>
      </w:r>
    </w:p>
    <w:p>
      <w:pPr>
        <w:pageBreakBefore w:val="0"/>
        <w:kinsoku/>
        <w:wordWrap/>
        <w:topLinePunct w:val="0"/>
        <w:autoSpaceDE/>
        <w:autoSpaceDN/>
        <w:bidi w:val="0"/>
        <w:snapToGrid/>
        <w:spacing w:line="360" w:lineRule="auto"/>
        <w:ind w:firstLine="1200" w:firstLineChars="500"/>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V</w:t>
      </w:r>
      <w:r>
        <w:rPr>
          <w:rFonts w:hint="eastAsia" w:ascii="Times New Roman" w:hAnsi="Times New Roman" w:eastAsia="宋体" w:cs="Times New Roman"/>
          <w:sz w:val="24"/>
          <w:szCs w:val="24"/>
          <w:vertAlign w:val="subscript"/>
          <w:lang w:val="en-US" w:eastAsia="zh-CN"/>
        </w:rPr>
        <w:t>1</w:t>
      </w:r>
      <w:r>
        <w:rPr>
          <w:rFonts w:hint="eastAsia" w:ascii="Times New Roman" w:hAnsi="Times New Roman" w:eastAsia="宋体" w:cs="Times New Roman"/>
          <w:sz w:val="24"/>
          <w:szCs w:val="24"/>
        </w:rPr>
        <w:t>——EDTA标准溶液的用量，ml;</w:t>
      </w:r>
    </w:p>
    <w:p>
      <w:pPr>
        <w:pageBreakBefore w:val="0"/>
        <w:kinsoku/>
        <w:wordWrap/>
        <w:topLinePunct w:val="0"/>
        <w:autoSpaceDE/>
        <w:autoSpaceDN/>
        <w:bidi w:val="0"/>
        <w:snapToGrid/>
        <w:spacing w:line="360" w:lineRule="auto"/>
        <w:ind w:firstLine="1200" w:firstLineChars="500"/>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V</w:t>
      </w:r>
      <w:r>
        <w:rPr>
          <w:rFonts w:hint="eastAsia" w:ascii="Times New Roman" w:hAnsi="Times New Roman" w:eastAsia="宋体" w:cs="Times New Roman"/>
          <w:sz w:val="24"/>
          <w:szCs w:val="24"/>
          <w:vertAlign w:val="subscript"/>
          <w:lang w:val="en-US" w:eastAsia="zh-CN"/>
        </w:rPr>
        <w:t>2</w:t>
      </w:r>
      <w:r>
        <w:rPr>
          <w:rFonts w:hint="eastAsia" w:ascii="Times New Roman" w:hAnsi="Times New Roman" w:eastAsia="宋体" w:cs="Times New Roman"/>
          <w:sz w:val="24"/>
          <w:szCs w:val="24"/>
        </w:rPr>
        <w:t>——空白试验EDTA标准溶液用量，ml;</w:t>
      </w:r>
    </w:p>
    <w:p>
      <w:pPr>
        <w:pageBreakBefore w:val="0"/>
        <w:kinsoku/>
        <w:wordWrap/>
        <w:topLinePunct w:val="0"/>
        <w:autoSpaceDE/>
        <w:autoSpaceDN/>
        <w:bidi w:val="0"/>
        <w:snapToGrid/>
        <w:spacing w:line="360" w:lineRule="auto"/>
        <w:ind w:firstLine="1200" w:firstLineChars="500"/>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0.08138——每毫升摩尔氧化锌克数。</w:t>
      </w:r>
    </w:p>
    <w:p>
      <w:pPr>
        <w:pageBreakBefore w:val="0"/>
        <w:kinsoku/>
        <w:wordWrap/>
        <w:topLinePunct w:val="0"/>
        <w:autoSpaceDE/>
        <w:autoSpaceDN/>
        <w:bidi w:val="0"/>
        <w:snapToGrid/>
        <w:spacing w:line="360" w:lineRule="auto"/>
        <w:ind w:firstLine="480" w:firstLineChars="200"/>
        <w:rPr>
          <w:rFonts w:hint="eastAsia" w:ascii="Times New Roman" w:hAnsi="Times New Roman" w:eastAsia="宋体" w:cs="Times New Roman"/>
          <w:sz w:val="24"/>
          <w:szCs w:val="24"/>
        </w:rPr>
      </w:pPr>
      <w:r>
        <w:rPr>
          <w:rFonts w:hint="eastAsia" w:ascii="Times New Roman" w:hAnsi="Times New Roman" w:eastAsia="宋体" w:cs="Times New Roman"/>
          <w:sz w:val="24"/>
          <w:szCs w:val="24"/>
          <w:lang w:val="en-US" w:eastAsia="zh-CN"/>
        </w:rPr>
        <w:t>⑯</w:t>
      </w:r>
      <w:r>
        <w:rPr>
          <w:rFonts w:hint="eastAsia" w:ascii="Times New Roman" w:hAnsi="Times New Roman" w:eastAsia="宋体" w:cs="Times New Roman"/>
          <w:sz w:val="24"/>
          <w:szCs w:val="24"/>
        </w:rPr>
        <w:t>乙酸铅标准溶液(0.025N)。</w:t>
      </w:r>
    </w:p>
    <w:p>
      <w:pPr>
        <w:pageBreakBefore w:val="0"/>
        <w:kinsoku/>
        <w:wordWrap/>
        <w:topLinePunct w:val="0"/>
        <w:autoSpaceDE/>
        <w:autoSpaceDN/>
        <w:bidi w:val="0"/>
        <w:snapToGrid/>
        <w:spacing w:line="360" w:lineRule="auto"/>
        <w:ind w:firstLine="480" w:firstLineChars="200"/>
        <w:rPr>
          <w:rFonts w:hint="eastAsia" w:ascii="Times New Roman" w:hAnsi="Times New Roman" w:eastAsia="宋体" w:cs="Times New Roman"/>
          <w:sz w:val="24"/>
          <w:szCs w:val="24"/>
          <w:lang w:eastAsia="zh-CN"/>
        </w:rPr>
      </w:pPr>
      <w:r>
        <w:rPr>
          <w:rFonts w:hint="eastAsia" w:ascii="Times New Roman" w:hAnsi="Times New Roman" w:eastAsia="宋体" w:cs="Times New Roman"/>
          <w:sz w:val="24"/>
          <w:szCs w:val="24"/>
          <w:lang w:val="en-US" w:eastAsia="zh-CN"/>
        </w:rPr>
        <w:t>A</w:t>
      </w:r>
      <w:r>
        <w:rPr>
          <w:rFonts w:hint="eastAsia" w:ascii="Times New Roman" w:hAnsi="Times New Roman" w:eastAsia="宋体" w:cs="Times New Roman"/>
          <w:sz w:val="24"/>
          <w:szCs w:val="24"/>
        </w:rPr>
        <w:t>配制：将4.75g乙酸铅〔Pb</w:t>
      </w:r>
      <w:r>
        <w:rPr>
          <w:rFonts w:hint="eastAsia" w:ascii="Times New Roman" w:hAnsi="Times New Roman" w:eastAsia="宋体" w:cs="Times New Roman"/>
          <w:sz w:val="24"/>
          <w:szCs w:val="24"/>
          <w:lang w:eastAsia="zh-CN"/>
        </w:rPr>
        <w:t>（</w:t>
      </w:r>
      <w:r>
        <w:rPr>
          <w:rFonts w:hint="eastAsia" w:ascii="Times New Roman" w:hAnsi="Times New Roman" w:eastAsia="宋体" w:cs="Times New Roman"/>
          <w:sz w:val="24"/>
          <w:szCs w:val="24"/>
          <w:lang w:val="en-US" w:eastAsia="zh-CN"/>
        </w:rPr>
        <w:t>C</w:t>
      </w:r>
      <w:r>
        <w:rPr>
          <w:rFonts w:hint="eastAsia" w:ascii="Times New Roman" w:hAnsi="Times New Roman" w:eastAsia="宋体" w:cs="Times New Roman"/>
          <w:sz w:val="24"/>
          <w:szCs w:val="24"/>
          <w:vertAlign w:val="subscript"/>
          <w:lang w:val="en-US" w:eastAsia="zh-CN"/>
        </w:rPr>
        <w:t>2</w:t>
      </w:r>
      <w:r>
        <w:rPr>
          <w:rFonts w:hint="eastAsia" w:ascii="Times New Roman" w:hAnsi="Times New Roman" w:eastAsia="宋体" w:cs="Times New Roman"/>
          <w:sz w:val="24"/>
          <w:szCs w:val="24"/>
          <w:lang w:val="en-US" w:eastAsia="zh-CN"/>
        </w:rPr>
        <w:t>H</w:t>
      </w:r>
      <w:r>
        <w:rPr>
          <w:rFonts w:hint="eastAsia" w:ascii="Times New Roman" w:hAnsi="Times New Roman" w:eastAsia="宋体" w:cs="Times New Roman"/>
          <w:sz w:val="24"/>
          <w:szCs w:val="24"/>
          <w:vertAlign w:val="subscript"/>
          <w:lang w:val="en-US" w:eastAsia="zh-CN"/>
        </w:rPr>
        <w:t>3</w:t>
      </w:r>
      <w:r>
        <w:rPr>
          <w:rFonts w:hint="eastAsia" w:ascii="Times New Roman" w:hAnsi="Times New Roman" w:eastAsia="宋体" w:cs="Times New Roman"/>
          <w:sz w:val="24"/>
          <w:szCs w:val="24"/>
          <w:lang w:val="en-US" w:eastAsia="zh-CN"/>
        </w:rPr>
        <w:t>O</w:t>
      </w:r>
      <w:r>
        <w:rPr>
          <w:rFonts w:hint="eastAsia" w:ascii="Times New Roman" w:hAnsi="Times New Roman" w:eastAsia="宋体" w:cs="Times New Roman"/>
          <w:sz w:val="24"/>
          <w:szCs w:val="24"/>
          <w:vertAlign w:val="subscript"/>
          <w:lang w:val="en-US" w:eastAsia="zh-CN"/>
        </w:rPr>
        <w:t>2</w:t>
      </w:r>
      <w:r>
        <w:rPr>
          <w:rFonts w:hint="eastAsia" w:ascii="Times New Roman" w:hAnsi="Times New Roman" w:eastAsia="宋体" w:cs="Times New Roman"/>
          <w:sz w:val="24"/>
          <w:szCs w:val="24"/>
          <w:lang w:eastAsia="zh-CN"/>
        </w:rPr>
        <w:t>）</w:t>
      </w:r>
      <w:r>
        <w:rPr>
          <w:rFonts w:hint="eastAsia" w:ascii="Times New Roman" w:hAnsi="Times New Roman" w:eastAsia="宋体" w:cs="Times New Roman"/>
          <w:sz w:val="24"/>
          <w:szCs w:val="24"/>
          <w:vertAlign w:val="subscript"/>
          <w:lang w:val="en-US" w:eastAsia="zh-CN"/>
        </w:rPr>
        <w:t>2</w:t>
      </w:r>
      <w:r>
        <w:rPr>
          <w:rFonts w:hint="eastAsia" w:ascii="Times New Roman" w:hAnsi="Times New Roman" w:eastAsia="宋体" w:cs="Times New Roman"/>
          <w:sz w:val="24"/>
          <w:szCs w:val="24"/>
        </w:rPr>
        <w:t>·3H</w:t>
      </w:r>
      <w:r>
        <w:rPr>
          <w:rFonts w:hint="eastAsia" w:ascii="Times New Roman" w:hAnsi="Times New Roman" w:eastAsia="宋体" w:cs="Times New Roman"/>
          <w:sz w:val="24"/>
          <w:szCs w:val="24"/>
          <w:vertAlign w:val="subscript"/>
          <w:lang w:val="en-US" w:eastAsia="zh-CN"/>
        </w:rPr>
        <w:t>2</w:t>
      </w:r>
      <w:r>
        <w:rPr>
          <w:rFonts w:hint="eastAsia" w:ascii="Times New Roman" w:hAnsi="Times New Roman" w:eastAsia="宋体" w:cs="Times New Roman"/>
          <w:sz w:val="24"/>
          <w:szCs w:val="24"/>
        </w:rPr>
        <w:t>O〕溶于500ml水中，加6m1乙酸(</w:t>
      </w:r>
      <w:r>
        <w:rPr>
          <w:rFonts w:hint="eastAsia" w:ascii="Times New Roman" w:hAnsi="Times New Roman" w:eastAsia="宋体" w:cs="Times New Roman"/>
          <w:sz w:val="24"/>
          <w:szCs w:val="24"/>
          <w:lang w:val="en-US" w:eastAsia="zh-CN"/>
        </w:rPr>
        <w:t>②</w:t>
      </w:r>
      <w:r>
        <w:rPr>
          <w:rFonts w:hint="eastAsia" w:ascii="Times New Roman" w:hAnsi="Times New Roman" w:eastAsia="宋体" w:cs="Times New Roman"/>
          <w:sz w:val="24"/>
          <w:szCs w:val="24"/>
        </w:rPr>
        <w:t>)</w:t>
      </w:r>
      <w:r>
        <w:rPr>
          <w:rFonts w:hint="eastAsia" w:ascii="Times New Roman" w:hAnsi="Times New Roman" w:eastAsia="宋体" w:cs="Times New Roman"/>
          <w:sz w:val="24"/>
          <w:szCs w:val="24"/>
          <w:lang w:eastAsia="zh-CN"/>
        </w:rPr>
        <w:t>，</w:t>
      </w:r>
      <w:r>
        <w:rPr>
          <w:rFonts w:hint="eastAsia" w:ascii="Times New Roman" w:hAnsi="Times New Roman" w:eastAsia="宋体" w:cs="Times New Roman"/>
          <w:sz w:val="24"/>
          <w:szCs w:val="24"/>
        </w:rPr>
        <w:t>用水稀释至1000ml。摇匀</w:t>
      </w:r>
      <w:r>
        <w:rPr>
          <w:rFonts w:hint="eastAsia" w:ascii="Times New Roman" w:hAnsi="Times New Roman" w:eastAsia="宋体" w:cs="Times New Roman"/>
          <w:sz w:val="24"/>
          <w:szCs w:val="24"/>
          <w:lang w:eastAsia="zh-CN"/>
        </w:rPr>
        <w:t>。</w:t>
      </w:r>
    </w:p>
    <w:p>
      <w:pPr>
        <w:pageBreakBefore w:val="0"/>
        <w:kinsoku/>
        <w:wordWrap/>
        <w:topLinePunct w:val="0"/>
        <w:autoSpaceDE/>
        <w:autoSpaceDN/>
        <w:bidi w:val="0"/>
        <w:snapToGrid/>
        <w:spacing w:line="360" w:lineRule="auto"/>
        <w:ind w:firstLine="480" w:firstLineChars="200"/>
        <w:rPr>
          <w:rFonts w:hint="eastAsia" w:ascii="Times New Roman" w:hAnsi="Times New Roman" w:eastAsia="宋体" w:cs="Times New Roman"/>
          <w:sz w:val="24"/>
          <w:szCs w:val="24"/>
        </w:rPr>
      </w:pPr>
      <w:r>
        <w:rPr>
          <w:rFonts w:hint="eastAsia" w:ascii="Times New Roman" w:hAnsi="Times New Roman" w:eastAsia="宋体" w:cs="Times New Roman"/>
          <w:sz w:val="24"/>
          <w:szCs w:val="24"/>
          <w:lang w:val="en-US" w:eastAsia="zh-CN"/>
        </w:rPr>
        <w:t>B</w:t>
      </w:r>
      <w:r>
        <w:rPr>
          <w:rFonts w:hint="eastAsia" w:ascii="Times New Roman" w:hAnsi="Times New Roman" w:eastAsia="宋体" w:cs="Times New Roman"/>
          <w:sz w:val="24"/>
          <w:szCs w:val="24"/>
        </w:rPr>
        <w:t>标定：准确取出30.00~35.00ml 乙酸铅标准溶液(</w:t>
      </w:r>
      <w:r>
        <w:rPr>
          <w:rFonts w:hint="eastAsia" w:ascii="Times New Roman" w:hAnsi="Times New Roman" w:eastAsia="宋体" w:cs="Times New Roman"/>
          <w:sz w:val="24"/>
          <w:szCs w:val="24"/>
          <w:lang w:val="en-US" w:eastAsia="zh-CN"/>
        </w:rPr>
        <w:t>⑯</w:t>
      </w:r>
      <w:r>
        <w:rPr>
          <w:rFonts w:hint="eastAsia" w:ascii="Times New Roman" w:hAnsi="Times New Roman" w:eastAsia="宋体" w:cs="Times New Roman"/>
          <w:sz w:val="24"/>
          <w:szCs w:val="24"/>
        </w:rPr>
        <w:t>)于烧杯中，加30ml水和10ml六次甲基四胺缓冲溶液(</w:t>
      </w:r>
      <w:r>
        <w:rPr>
          <w:rFonts w:hint="eastAsia" w:ascii="Times New Roman" w:hAnsi="Times New Roman" w:eastAsia="宋体" w:cs="Times New Roman"/>
          <w:sz w:val="24"/>
          <w:szCs w:val="24"/>
          <w:lang w:val="en-US" w:eastAsia="zh-CN"/>
        </w:rPr>
        <w:t>⑥</w:t>
      </w:r>
      <w:r>
        <w:rPr>
          <w:rFonts w:hint="eastAsia" w:ascii="Times New Roman" w:hAnsi="Times New Roman" w:eastAsia="宋体" w:cs="Times New Roman"/>
          <w:sz w:val="24"/>
          <w:szCs w:val="24"/>
        </w:rPr>
        <w:t>)</w:t>
      </w:r>
      <w:r>
        <w:rPr>
          <w:rFonts w:hint="eastAsia" w:ascii="Times New Roman" w:hAnsi="Times New Roman" w:eastAsia="宋体" w:cs="Times New Roman"/>
          <w:sz w:val="24"/>
          <w:szCs w:val="24"/>
          <w:lang w:eastAsia="zh-CN"/>
        </w:rPr>
        <w:t>，</w:t>
      </w:r>
      <w:r>
        <w:rPr>
          <w:rFonts w:hint="eastAsia" w:ascii="Times New Roman" w:hAnsi="Times New Roman" w:eastAsia="宋体" w:cs="Times New Roman"/>
          <w:sz w:val="24"/>
          <w:szCs w:val="24"/>
        </w:rPr>
        <w:t>再加5滴二甲酚橙指示剂溶液(</w:t>
      </w:r>
      <w:r>
        <w:rPr>
          <w:rFonts w:hint="eastAsia" w:ascii="Times New Roman" w:hAnsi="Times New Roman" w:eastAsia="宋体" w:cs="Times New Roman"/>
          <w:sz w:val="24"/>
          <w:szCs w:val="24"/>
          <w:lang w:val="en-US" w:eastAsia="zh-CN"/>
        </w:rPr>
        <w:t>⑨</w:t>
      </w:r>
      <w:r>
        <w:rPr>
          <w:rFonts w:hint="eastAsia" w:ascii="Times New Roman" w:hAnsi="Times New Roman" w:eastAsia="宋体" w:cs="Times New Roman"/>
          <w:sz w:val="24"/>
          <w:szCs w:val="24"/>
        </w:rPr>
        <w:t>)</w:t>
      </w:r>
      <w:r>
        <w:rPr>
          <w:rFonts w:hint="eastAsia" w:ascii="Times New Roman" w:hAnsi="Times New Roman" w:eastAsia="宋体" w:cs="Times New Roman"/>
          <w:sz w:val="24"/>
          <w:szCs w:val="24"/>
          <w:lang w:eastAsia="zh-CN"/>
        </w:rPr>
        <w:t>，</w:t>
      </w:r>
      <w:r>
        <w:rPr>
          <w:rFonts w:hint="eastAsia" w:ascii="Times New Roman" w:hAnsi="Times New Roman" w:eastAsia="宋体" w:cs="Times New Roman"/>
          <w:sz w:val="24"/>
          <w:szCs w:val="24"/>
        </w:rPr>
        <w:t>用已知浓度EDTA标准溶液(</w:t>
      </w:r>
      <w:r>
        <w:rPr>
          <w:rFonts w:hint="eastAsia" w:ascii="Times New Roman" w:hAnsi="Times New Roman" w:eastAsia="宋体" w:cs="Times New Roman"/>
          <w:sz w:val="24"/>
          <w:szCs w:val="24"/>
          <w:lang w:val="en-US" w:eastAsia="zh-CN"/>
        </w:rPr>
        <w:t>⑮</w:t>
      </w:r>
      <w:r>
        <w:rPr>
          <w:rFonts w:hint="eastAsia" w:ascii="Times New Roman" w:hAnsi="Times New Roman" w:eastAsia="宋体" w:cs="Times New Roman"/>
          <w:sz w:val="24"/>
          <w:szCs w:val="24"/>
        </w:rPr>
        <w:t>)滴定至亮黄色为终点。</w:t>
      </w:r>
    </w:p>
    <w:p>
      <w:pPr>
        <w:pageBreakBefore w:val="0"/>
        <w:kinsoku/>
        <w:wordWrap/>
        <w:topLinePunct w:val="0"/>
        <w:autoSpaceDE/>
        <w:autoSpaceDN/>
        <w:bidi w:val="0"/>
        <w:snapToGrid/>
        <w:spacing w:line="360" w:lineRule="auto"/>
        <w:ind w:firstLine="480" w:firstLineChars="200"/>
        <w:rPr>
          <w:rFonts w:hint="eastAsia" w:ascii="Times New Roman" w:hAnsi="Times New Roman" w:eastAsia="宋体" w:cs="Times New Roman"/>
          <w:sz w:val="24"/>
          <w:szCs w:val="24"/>
        </w:rPr>
      </w:pPr>
      <w:r>
        <w:rPr>
          <w:rFonts w:hint="eastAsia" w:ascii="Times New Roman" w:hAnsi="Times New Roman" w:eastAsia="宋体" w:cs="Times New Roman"/>
          <w:sz w:val="24"/>
          <w:szCs w:val="24"/>
          <w:lang w:val="en-US" w:eastAsia="zh-CN"/>
        </w:rPr>
        <w:t>C</w:t>
      </w:r>
      <w:r>
        <w:rPr>
          <w:rFonts w:hint="eastAsia" w:ascii="Times New Roman" w:hAnsi="Times New Roman" w:eastAsia="宋体" w:cs="Times New Roman"/>
          <w:sz w:val="24"/>
          <w:szCs w:val="24"/>
        </w:rPr>
        <w:t>乙酸铅标准溶液的当量浓度N 按下式计算：</w:t>
      </w:r>
    </w:p>
    <w:p>
      <w:pPr>
        <w:pageBreakBefore w:val="0"/>
        <w:kinsoku/>
        <w:wordWrap/>
        <w:topLinePunct w:val="0"/>
        <w:autoSpaceDE/>
        <w:autoSpaceDN/>
        <w:bidi w:val="0"/>
        <w:snapToGrid/>
        <w:spacing w:line="360" w:lineRule="auto"/>
        <w:ind w:left="0" w:leftChars="0" w:right="0" w:rightChars="0" w:firstLine="0" w:firstLineChars="0"/>
        <w:jc w:val="center"/>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drawing>
          <wp:inline distT="0" distB="0" distL="0" distR="0">
            <wp:extent cx="1540510" cy="479425"/>
            <wp:effectExtent l="0" t="0" r="8890" b="3175"/>
            <wp:docPr id="12" name="IM 12"/>
            <wp:cNvGraphicFramePr/>
            <a:graphic xmlns:a="http://schemas.openxmlformats.org/drawingml/2006/main">
              <a:graphicData uri="http://schemas.openxmlformats.org/drawingml/2006/picture">
                <pic:pic xmlns:pic="http://schemas.openxmlformats.org/drawingml/2006/picture">
                  <pic:nvPicPr>
                    <pic:cNvPr id="12" name="IM 12"/>
                    <pic:cNvPicPr/>
                  </pic:nvPicPr>
                  <pic:blipFill>
                    <a:blip r:embed="rId6"/>
                    <a:stretch>
                      <a:fillRect/>
                    </a:stretch>
                  </pic:blipFill>
                  <pic:spPr>
                    <a:xfrm>
                      <a:off x="0" y="0"/>
                      <a:ext cx="1540674" cy="479932"/>
                    </a:xfrm>
                    <a:prstGeom prst="rect">
                      <a:avLst/>
                    </a:prstGeom>
                  </pic:spPr>
                </pic:pic>
              </a:graphicData>
            </a:graphic>
          </wp:inline>
        </w:drawing>
      </w:r>
    </w:p>
    <w:p>
      <w:pPr>
        <w:pageBreakBefore w:val="0"/>
        <w:kinsoku/>
        <w:wordWrap/>
        <w:topLinePunct w:val="0"/>
        <w:autoSpaceDE/>
        <w:autoSpaceDN/>
        <w:bidi w:val="0"/>
        <w:snapToGrid/>
        <w:spacing w:line="360" w:lineRule="auto"/>
        <w:ind w:firstLine="480" w:firstLineChars="200"/>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式中：V</w:t>
      </w:r>
      <w:r>
        <w:rPr>
          <w:rFonts w:hint="eastAsia" w:ascii="Times New Roman" w:hAnsi="Times New Roman" w:eastAsia="宋体" w:cs="Times New Roman"/>
          <w:sz w:val="24"/>
          <w:szCs w:val="24"/>
          <w:vertAlign w:val="subscript"/>
          <w:lang w:val="en-US" w:eastAsia="zh-CN"/>
        </w:rPr>
        <w:t>1</w:t>
      </w:r>
      <w:r>
        <w:rPr>
          <w:rFonts w:hint="eastAsia" w:ascii="Times New Roman" w:hAnsi="Times New Roman" w:eastAsia="宋体" w:cs="Times New Roman"/>
          <w:sz w:val="24"/>
          <w:szCs w:val="24"/>
        </w:rPr>
        <w:t>——滴定时消耗的EDTA 标准溶液，ml;</w:t>
      </w:r>
    </w:p>
    <w:p>
      <w:pPr>
        <w:pageBreakBefore w:val="0"/>
        <w:kinsoku/>
        <w:wordWrap/>
        <w:topLinePunct w:val="0"/>
        <w:autoSpaceDE/>
        <w:autoSpaceDN/>
        <w:bidi w:val="0"/>
        <w:snapToGrid/>
        <w:spacing w:line="360" w:lineRule="auto"/>
        <w:ind w:firstLine="1200" w:firstLineChars="500"/>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M——EDTA标准溶液的摩尔浓度；</w:t>
      </w:r>
    </w:p>
    <w:p>
      <w:pPr>
        <w:pageBreakBefore w:val="0"/>
        <w:kinsoku/>
        <w:wordWrap/>
        <w:topLinePunct w:val="0"/>
        <w:autoSpaceDE/>
        <w:autoSpaceDN/>
        <w:bidi w:val="0"/>
        <w:snapToGrid/>
        <w:spacing w:line="360" w:lineRule="auto"/>
        <w:ind w:firstLine="1200" w:firstLineChars="500"/>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V</w:t>
      </w:r>
      <w:r>
        <w:rPr>
          <w:rFonts w:hint="eastAsia" w:ascii="Times New Roman" w:hAnsi="Times New Roman" w:eastAsia="宋体" w:cs="Times New Roman"/>
          <w:sz w:val="24"/>
          <w:szCs w:val="24"/>
          <w:vertAlign w:val="subscript"/>
          <w:lang w:val="en-US" w:eastAsia="zh-CN"/>
        </w:rPr>
        <w:t>2</w:t>
      </w:r>
      <w:r>
        <w:rPr>
          <w:rFonts w:hint="eastAsia" w:ascii="Times New Roman" w:hAnsi="Times New Roman" w:eastAsia="宋体" w:cs="Times New Roman"/>
          <w:sz w:val="24"/>
          <w:szCs w:val="24"/>
        </w:rPr>
        <w:t>———取出乙酸铅标准溶液，ml;</w:t>
      </w:r>
    </w:p>
    <w:p>
      <w:pPr>
        <w:pageBreakBefore w:val="0"/>
        <w:kinsoku/>
        <w:wordWrap/>
        <w:topLinePunct w:val="0"/>
        <w:autoSpaceDE/>
        <w:autoSpaceDN/>
        <w:bidi w:val="0"/>
        <w:snapToGrid/>
        <w:spacing w:line="360" w:lineRule="auto"/>
        <w:ind w:firstLine="1200" w:firstLineChars="500"/>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2——1摩尔的EDTA相当于乙酸铅的当量数。</w:t>
      </w:r>
    </w:p>
    <w:p>
      <w:pPr>
        <w:pageBreakBefore w:val="0"/>
        <w:kinsoku/>
        <w:wordWrap/>
        <w:topLinePunct w:val="0"/>
        <w:autoSpaceDE/>
        <w:autoSpaceDN/>
        <w:bidi w:val="0"/>
        <w:snapToGrid/>
        <w:spacing w:line="360" w:lineRule="auto"/>
        <w:ind w:firstLine="960" w:firstLineChars="400"/>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标定三份，极差应不大于0.00005N。</w:t>
      </w:r>
    </w:p>
    <w:p>
      <w:pPr>
        <w:pageBreakBefore w:val="0"/>
        <w:kinsoku/>
        <w:wordWrap/>
        <w:topLinePunct w:val="0"/>
        <w:autoSpaceDE/>
        <w:autoSpaceDN/>
        <w:bidi w:val="0"/>
        <w:snapToGrid/>
        <w:spacing w:line="360" w:lineRule="auto"/>
        <w:ind w:firstLine="480" w:firstLineChars="200"/>
        <w:rPr>
          <w:rFonts w:hint="eastAsia" w:ascii="Times New Roman" w:hAnsi="Times New Roman" w:eastAsia="宋体" w:cs="Times New Roman"/>
          <w:sz w:val="24"/>
          <w:szCs w:val="24"/>
        </w:rPr>
      </w:pPr>
      <w:r>
        <w:rPr>
          <w:rFonts w:hint="eastAsia" w:ascii="Times New Roman" w:hAnsi="Times New Roman" w:eastAsia="宋体" w:cs="Times New Roman"/>
          <w:sz w:val="24"/>
          <w:szCs w:val="24"/>
          <w:lang w:eastAsia="zh-CN"/>
        </w:rPr>
        <w:t>（</w:t>
      </w:r>
      <w:r>
        <w:rPr>
          <w:rFonts w:hint="eastAsia" w:ascii="Times New Roman" w:hAnsi="Times New Roman" w:eastAsia="宋体" w:cs="Times New Roman"/>
          <w:sz w:val="24"/>
          <w:szCs w:val="24"/>
          <w:lang w:val="en-US" w:eastAsia="zh-CN"/>
        </w:rPr>
        <w:t>3</w:t>
      </w:r>
      <w:r>
        <w:rPr>
          <w:rFonts w:hint="eastAsia" w:ascii="Times New Roman" w:hAnsi="Times New Roman" w:eastAsia="宋体" w:cs="Times New Roman"/>
          <w:sz w:val="24"/>
          <w:szCs w:val="24"/>
          <w:lang w:eastAsia="zh-CN"/>
        </w:rPr>
        <w:t>）</w:t>
      </w:r>
      <w:r>
        <w:rPr>
          <w:rFonts w:hint="eastAsia" w:ascii="Times New Roman" w:hAnsi="Times New Roman" w:eastAsia="宋体" w:cs="Times New Roman"/>
          <w:sz w:val="24"/>
          <w:szCs w:val="24"/>
        </w:rPr>
        <w:t>分析步骤</w:t>
      </w:r>
    </w:p>
    <w:p>
      <w:pPr>
        <w:pageBreakBefore w:val="0"/>
        <w:kinsoku/>
        <w:wordWrap/>
        <w:topLinePunct w:val="0"/>
        <w:autoSpaceDE/>
        <w:autoSpaceDN/>
        <w:bidi w:val="0"/>
        <w:snapToGrid/>
        <w:spacing w:line="360" w:lineRule="auto"/>
        <w:ind w:firstLine="480" w:firstLineChars="200"/>
        <w:rPr>
          <w:rFonts w:hint="eastAsia" w:ascii="Times New Roman" w:hAnsi="Times New Roman" w:eastAsia="宋体" w:cs="Times New Roman"/>
          <w:sz w:val="24"/>
          <w:szCs w:val="24"/>
        </w:rPr>
      </w:pPr>
      <w:r>
        <w:rPr>
          <w:rFonts w:hint="eastAsia" w:ascii="Times New Roman" w:hAnsi="Times New Roman" w:eastAsia="宋体" w:cs="Times New Roman"/>
          <w:sz w:val="24"/>
          <w:szCs w:val="24"/>
          <w:lang w:val="en-US" w:eastAsia="zh-CN"/>
        </w:rPr>
        <w:t>①</w:t>
      </w:r>
      <w:r>
        <w:rPr>
          <w:rFonts w:hint="eastAsia" w:ascii="Times New Roman" w:hAnsi="Times New Roman" w:eastAsia="宋体" w:cs="Times New Roman"/>
          <w:sz w:val="24"/>
          <w:szCs w:val="24"/>
        </w:rPr>
        <w:t>分析用蒸馏水或去离子水。用氢氧化钠溶液调至pH6～7。</w:t>
      </w:r>
    </w:p>
    <w:p>
      <w:pPr>
        <w:pageBreakBefore w:val="0"/>
        <w:kinsoku/>
        <w:wordWrap/>
        <w:topLinePunct w:val="0"/>
        <w:autoSpaceDE/>
        <w:autoSpaceDN/>
        <w:bidi w:val="0"/>
        <w:snapToGrid/>
        <w:spacing w:line="360" w:lineRule="auto"/>
        <w:ind w:firstLine="480" w:firstLineChars="200"/>
        <w:rPr>
          <w:rFonts w:hint="eastAsia" w:ascii="Times New Roman" w:hAnsi="Times New Roman" w:eastAsia="宋体" w:cs="Times New Roman"/>
          <w:sz w:val="24"/>
          <w:szCs w:val="24"/>
        </w:rPr>
      </w:pPr>
      <w:r>
        <w:rPr>
          <w:rFonts w:hint="eastAsia" w:ascii="Times New Roman" w:hAnsi="Times New Roman" w:eastAsia="宋体" w:cs="Times New Roman"/>
          <w:sz w:val="24"/>
          <w:szCs w:val="24"/>
          <w:lang w:val="en-US" w:eastAsia="zh-CN"/>
        </w:rPr>
        <w:t>②</w:t>
      </w:r>
      <w:r>
        <w:rPr>
          <w:rFonts w:hint="eastAsia" w:ascii="Times New Roman" w:hAnsi="Times New Roman" w:eastAsia="宋体" w:cs="Times New Roman"/>
          <w:sz w:val="24"/>
          <w:szCs w:val="24"/>
        </w:rPr>
        <w:t>黄药试样保存条件防潮防热，瓶盖盖紧。分析时尽量缩短揭盖时间。</w:t>
      </w:r>
    </w:p>
    <w:p>
      <w:pPr>
        <w:pageBreakBefore w:val="0"/>
        <w:kinsoku/>
        <w:wordWrap/>
        <w:topLinePunct w:val="0"/>
        <w:autoSpaceDE/>
        <w:autoSpaceDN/>
        <w:bidi w:val="0"/>
        <w:snapToGrid/>
        <w:spacing w:line="360" w:lineRule="auto"/>
        <w:ind w:firstLine="480" w:firstLineChars="200"/>
        <w:rPr>
          <w:rFonts w:hint="eastAsia" w:ascii="Times New Roman" w:hAnsi="Times New Roman" w:eastAsia="宋体" w:cs="Times New Roman"/>
          <w:sz w:val="24"/>
          <w:szCs w:val="24"/>
        </w:rPr>
      </w:pPr>
      <w:r>
        <w:rPr>
          <w:rFonts w:hint="eastAsia" w:ascii="Times New Roman" w:hAnsi="Times New Roman" w:eastAsia="宋体" w:cs="Times New Roman"/>
          <w:sz w:val="24"/>
          <w:szCs w:val="24"/>
          <w:lang w:val="en-US" w:eastAsia="zh-CN"/>
        </w:rPr>
        <w:t>③</w:t>
      </w:r>
      <w:r>
        <w:rPr>
          <w:rFonts w:hint="eastAsia" w:ascii="Times New Roman" w:hAnsi="Times New Roman" w:eastAsia="宋体" w:cs="Times New Roman"/>
          <w:sz w:val="24"/>
          <w:szCs w:val="24"/>
        </w:rPr>
        <w:t>用带盖的称量瓶称取试样10.000g</w:t>
      </w:r>
      <w:r>
        <w:rPr>
          <w:rFonts w:hint="eastAsia" w:ascii="Times New Roman" w:hAnsi="Times New Roman" w:eastAsia="宋体" w:cs="Times New Roman"/>
          <w:sz w:val="24"/>
          <w:szCs w:val="24"/>
          <w:lang w:eastAsia="zh-CN"/>
        </w:rPr>
        <w:t>，</w:t>
      </w:r>
      <w:r>
        <w:rPr>
          <w:rFonts w:hint="eastAsia" w:ascii="Times New Roman" w:hAnsi="Times New Roman" w:eastAsia="宋体" w:cs="Times New Roman"/>
          <w:sz w:val="24"/>
          <w:szCs w:val="24"/>
        </w:rPr>
        <w:t>用水移入500ml容量瓶中，稀释至刻度，摇匀后，准确取5.00ml于250ml烧杯中，加2滴亚硝基铁氰化钠指示剂溶液(</w:t>
      </w:r>
      <w:r>
        <w:rPr>
          <w:rFonts w:hint="eastAsia" w:ascii="Times New Roman" w:hAnsi="Times New Roman" w:eastAsia="宋体" w:cs="Times New Roman"/>
          <w:sz w:val="24"/>
          <w:szCs w:val="24"/>
          <w:lang w:val="en-US" w:eastAsia="zh-CN"/>
        </w:rPr>
        <w:t>⑩</w:t>
      </w:r>
      <w:r>
        <w:rPr>
          <w:rFonts w:hint="eastAsia" w:ascii="Times New Roman" w:hAnsi="Times New Roman" w:eastAsia="宋体" w:cs="Times New Roman"/>
          <w:sz w:val="24"/>
          <w:szCs w:val="24"/>
        </w:rPr>
        <w:t>)</w:t>
      </w:r>
      <w:r>
        <w:rPr>
          <w:rFonts w:hint="eastAsia" w:ascii="Times New Roman" w:hAnsi="Times New Roman" w:eastAsia="宋体" w:cs="Times New Roman"/>
          <w:sz w:val="24"/>
          <w:szCs w:val="24"/>
          <w:lang w:eastAsia="zh-CN"/>
        </w:rPr>
        <w:t>，</w:t>
      </w:r>
      <w:r>
        <w:rPr>
          <w:rFonts w:hint="eastAsia" w:ascii="Times New Roman" w:hAnsi="Times New Roman" w:eastAsia="宋体" w:cs="Times New Roman"/>
          <w:sz w:val="24"/>
          <w:szCs w:val="24"/>
        </w:rPr>
        <w:t>如试样中含碱金属硫化物等杂质，溶液呈蓝紫色，此时不断摇动烧杯，逐滴加入铁氰化钾(</w:t>
      </w:r>
      <w:r>
        <w:rPr>
          <w:rFonts w:hint="eastAsia" w:ascii="Times New Roman" w:hAnsi="Times New Roman" w:eastAsia="宋体" w:cs="Times New Roman"/>
          <w:sz w:val="24"/>
          <w:szCs w:val="24"/>
          <w:lang w:val="en-US" w:eastAsia="zh-CN"/>
        </w:rPr>
        <w:t>⑦</w:t>
      </w:r>
      <w:r>
        <w:rPr>
          <w:rFonts w:hint="eastAsia" w:ascii="Times New Roman" w:hAnsi="Times New Roman" w:eastAsia="宋体" w:cs="Times New Roman"/>
          <w:sz w:val="24"/>
          <w:szCs w:val="24"/>
        </w:rPr>
        <w:t>)</w:t>
      </w:r>
      <w:r>
        <w:rPr>
          <w:rFonts w:hint="eastAsia" w:ascii="Times New Roman" w:hAnsi="Times New Roman" w:eastAsia="宋体" w:cs="Times New Roman"/>
          <w:sz w:val="24"/>
          <w:szCs w:val="24"/>
          <w:lang w:eastAsia="zh-CN"/>
        </w:rPr>
        <w:t>，</w:t>
      </w:r>
      <w:r>
        <w:rPr>
          <w:rFonts w:hint="eastAsia" w:ascii="Times New Roman" w:hAnsi="Times New Roman" w:eastAsia="宋体" w:cs="Times New Roman"/>
          <w:sz w:val="24"/>
          <w:szCs w:val="24"/>
        </w:rPr>
        <w:t>直至试样溶液的蓝紫色消失，再过量加1 滴，以保证氧化完全。如果铁氰化钾(</w:t>
      </w:r>
      <w:r>
        <w:rPr>
          <w:rFonts w:hint="eastAsia" w:ascii="Times New Roman" w:hAnsi="Times New Roman" w:eastAsia="宋体" w:cs="Times New Roman"/>
          <w:sz w:val="24"/>
          <w:szCs w:val="24"/>
          <w:lang w:val="en-US" w:eastAsia="zh-CN"/>
        </w:rPr>
        <w:t>⑦</w:t>
      </w:r>
      <w:r>
        <w:rPr>
          <w:rFonts w:hint="eastAsia" w:ascii="Times New Roman" w:hAnsi="Times New Roman" w:eastAsia="宋体" w:cs="Times New Roman"/>
          <w:sz w:val="24"/>
          <w:szCs w:val="24"/>
        </w:rPr>
        <w:t>)加入量超过1</w:t>
      </w:r>
      <w:r>
        <w:rPr>
          <w:rFonts w:hint="eastAsia" w:ascii="Times New Roman" w:hAnsi="Times New Roman" w:eastAsia="宋体" w:cs="Times New Roman"/>
          <w:sz w:val="24"/>
          <w:szCs w:val="24"/>
          <w:lang w:val="en-US" w:eastAsia="zh-CN"/>
        </w:rPr>
        <w:t>ml，</w:t>
      </w:r>
      <w:r>
        <w:rPr>
          <w:rFonts w:hint="eastAsia" w:ascii="Times New Roman" w:hAnsi="Times New Roman" w:eastAsia="宋体" w:cs="Times New Roman"/>
          <w:sz w:val="24"/>
          <w:szCs w:val="24"/>
        </w:rPr>
        <w:t>需另取5.00ml试样溶液，于250ml烧杯中，加入约0.2g氯化铵，再按上述操作除去硫化物杂质。往烧杯中加入100ml水，在不停的搅拌下用乙酸铅标准溶液(</w:t>
      </w:r>
      <w:r>
        <w:rPr>
          <w:rFonts w:hint="eastAsia" w:ascii="Times New Roman" w:hAnsi="Times New Roman" w:eastAsia="宋体" w:cs="Times New Roman"/>
          <w:sz w:val="24"/>
          <w:szCs w:val="24"/>
          <w:lang w:val="en-US" w:eastAsia="zh-CN"/>
        </w:rPr>
        <w:t>⑯</w:t>
      </w:r>
      <w:r>
        <w:rPr>
          <w:rFonts w:hint="eastAsia" w:ascii="Times New Roman" w:hAnsi="Times New Roman" w:eastAsia="宋体" w:cs="Times New Roman"/>
          <w:sz w:val="24"/>
          <w:szCs w:val="24"/>
        </w:rPr>
        <w:t>)滴定，接近终点时加1～2ml玫瑰红酸指示剂溶液(</w:t>
      </w:r>
      <w:r>
        <w:rPr>
          <w:rFonts w:hint="eastAsia" w:ascii="Times New Roman" w:hAnsi="Times New Roman" w:eastAsia="宋体" w:cs="Times New Roman"/>
          <w:sz w:val="24"/>
          <w:szCs w:val="24"/>
          <w:lang w:val="en-US" w:eastAsia="zh-CN"/>
        </w:rPr>
        <w:t>⑪</w:t>
      </w:r>
      <w:r>
        <w:rPr>
          <w:rFonts w:hint="eastAsia" w:ascii="Times New Roman" w:hAnsi="Times New Roman" w:eastAsia="宋体" w:cs="Times New Roman"/>
          <w:sz w:val="24"/>
          <w:szCs w:val="24"/>
        </w:rPr>
        <w:t>)</w:t>
      </w:r>
      <w:r>
        <w:rPr>
          <w:rFonts w:hint="eastAsia" w:ascii="Times New Roman" w:hAnsi="Times New Roman" w:eastAsia="宋体" w:cs="Times New Roman"/>
          <w:sz w:val="24"/>
          <w:szCs w:val="24"/>
          <w:lang w:eastAsia="zh-CN"/>
        </w:rPr>
        <w:t>，</w:t>
      </w:r>
      <w:r>
        <w:rPr>
          <w:rFonts w:hint="eastAsia" w:ascii="Times New Roman" w:hAnsi="Times New Roman" w:eastAsia="宋体" w:cs="Times New Roman"/>
          <w:sz w:val="24"/>
          <w:szCs w:val="24"/>
        </w:rPr>
        <w:t>继续滴定至肉红色突然出现为终点。</w:t>
      </w:r>
    </w:p>
    <w:p>
      <w:pPr>
        <w:pageBreakBefore w:val="0"/>
        <w:kinsoku/>
        <w:wordWrap/>
        <w:topLinePunct w:val="0"/>
        <w:autoSpaceDE/>
        <w:autoSpaceDN/>
        <w:bidi w:val="0"/>
        <w:snapToGrid/>
        <w:spacing w:line="360" w:lineRule="auto"/>
        <w:ind w:firstLine="480" w:firstLineChars="200"/>
        <w:rPr>
          <w:rFonts w:hint="eastAsia" w:ascii="Times New Roman" w:hAnsi="Times New Roman" w:eastAsia="宋体" w:cs="Times New Roman"/>
          <w:sz w:val="24"/>
          <w:szCs w:val="24"/>
        </w:rPr>
      </w:pPr>
      <w:r>
        <w:rPr>
          <w:rFonts w:hint="eastAsia" w:ascii="Times New Roman" w:hAnsi="Times New Roman" w:eastAsia="宋体" w:cs="Times New Roman"/>
          <w:sz w:val="24"/>
          <w:szCs w:val="24"/>
          <w:lang w:eastAsia="zh-CN"/>
        </w:rPr>
        <w:t>（</w:t>
      </w:r>
      <w:r>
        <w:rPr>
          <w:rFonts w:hint="eastAsia" w:ascii="Times New Roman" w:hAnsi="Times New Roman" w:eastAsia="宋体" w:cs="Times New Roman"/>
          <w:sz w:val="24"/>
          <w:szCs w:val="24"/>
          <w:lang w:val="en-US" w:eastAsia="zh-CN"/>
        </w:rPr>
        <w:t>4</w:t>
      </w:r>
      <w:r>
        <w:rPr>
          <w:rFonts w:hint="eastAsia" w:ascii="Times New Roman" w:hAnsi="Times New Roman" w:eastAsia="宋体" w:cs="Times New Roman"/>
          <w:sz w:val="24"/>
          <w:szCs w:val="24"/>
          <w:lang w:eastAsia="zh-CN"/>
        </w:rPr>
        <w:t>）</w:t>
      </w:r>
      <w:r>
        <w:rPr>
          <w:rFonts w:hint="eastAsia" w:ascii="Times New Roman" w:hAnsi="Times New Roman" w:eastAsia="宋体" w:cs="Times New Roman"/>
          <w:sz w:val="24"/>
          <w:szCs w:val="24"/>
        </w:rPr>
        <w:t>分析结果的计算</w:t>
      </w:r>
    </w:p>
    <w:p>
      <w:pPr>
        <w:pageBreakBefore w:val="0"/>
        <w:kinsoku/>
        <w:wordWrap/>
        <w:topLinePunct w:val="0"/>
        <w:autoSpaceDE/>
        <w:autoSpaceDN/>
        <w:bidi w:val="0"/>
        <w:snapToGrid/>
        <w:spacing w:line="360" w:lineRule="auto"/>
        <w:ind w:firstLine="480" w:firstLineChars="200"/>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按下式计算黄原酸盐的百分含量：</w:t>
      </w:r>
    </w:p>
    <w:p>
      <w:pPr>
        <w:pageBreakBefore w:val="0"/>
        <w:kinsoku/>
        <w:wordWrap/>
        <w:topLinePunct w:val="0"/>
        <w:autoSpaceDE/>
        <w:autoSpaceDN/>
        <w:bidi w:val="0"/>
        <w:snapToGrid/>
        <w:spacing w:line="360" w:lineRule="auto"/>
        <w:ind w:left="0" w:leftChars="0" w:right="0" w:rightChars="0" w:firstLine="0" w:firstLineChars="0"/>
        <w:jc w:val="center"/>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drawing>
          <wp:inline distT="0" distB="0" distL="0" distR="0">
            <wp:extent cx="3627120" cy="473710"/>
            <wp:effectExtent l="0" t="0" r="5080" b="8890"/>
            <wp:docPr id="14" name="IM 14"/>
            <wp:cNvGraphicFramePr/>
            <a:graphic xmlns:a="http://schemas.openxmlformats.org/drawingml/2006/main">
              <a:graphicData uri="http://schemas.openxmlformats.org/drawingml/2006/picture">
                <pic:pic xmlns:pic="http://schemas.openxmlformats.org/drawingml/2006/picture">
                  <pic:nvPicPr>
                    <pic:cNvPr id="14" name="IM 14"/>
                    <pic:cNvPicPr/>
                  </pic:nvPicPr>
                  <pic:blipFill>
                    <a:blip r:embed="rId7"/>
                    <a:stretch>
                      <a:fillRect/>
                    </a:stretch>
                  </pic:blipFill>
                  <pic:spPr>
                    <a:xfrm>
                      <a:off x="0" y="0"/>
                      <a:ext cx="3627120" cy="473710"/>
                    </a:xfrm>
                    <a:prstGeom prst="rect">
                      <a:avLst/>
                    </a:prstGeom>
                  </pic:spPr>
                </pic:pic>
              </a:graphicData>
            </a:graphic>
          </wp:inline>
        </w:drawing>
      </w:r>
    </w:p>
    <w:p>
      <w:pPr>
        <w:pageBreakBefore w:val="0"/>
        <w:kinsoku/>
        <w:wordWrap/>
        <w:topLinePunct w:val="0"/>
        <w:autoSpaceDE/>
        <w:autoSpaceDN/>
        <w:bidi w:val="0"/>
        <w:snapToGrid/>
        <w:spacing w:line="360" w:lineRule="auto"/>
        <w:ind w:firstLine="480" w:firstLineChars="200"/>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式中：N——乙酸铅标准溶液的克当量浓度；</w:t>
      </w:r>
    </w:p>
    <w:p>
      <w:pPr>
        <w:pageBreakBefore w:val="0"/>
        <w:kinsoku/>
        <w:wordWrap/>
        <w:topLinePunct w:val="0"/>
        <w:autoSpaceDE/>
        <w:autoSpaceDN/>
        <w:bidi w:val="0"/>
        <w:snapToGrid/>
        <w:spacing w:line="360" w:lineRule="auto"/>
        <w:ind w:firstLine="1200" w:firstLineChars="500"/>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V——滴定时消耗的乙酸铅标准溶液，ml;</w:t>
      </w:r>
    </w:p>
    <w:p>
      <w:pPr>
        <w:pageBreakBefore w:val="0"/>
        <w:kinsoku/>
        <w:wordWrap/>
        <w:topLinePunct w:val="0"/>
        <w:autoSpaceDE/>
        <w:autoSpaceDN/>
        <w:bidi w:val="0"/>
        <w:snapToGrid/>
        <w:spacing w:line="360" w:lineRule="auto"/>
        <w:ind w:firstLine="1200" w:firstLineChars="500"/>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M——黄原酸盐分子量；</w:t>
      </w:r>
    </w:p>
    <w:p>
      <w:pPr>
        <w:pageBreakBefore w:val="0"/>
        <w:kinsoku/>
        <w:wordWrap/>
        <w:topLinePunct w:val="0"/>
        <w:autoSpaceDE/>
        <w:autoSpaceDN/>
        <w:bidi w:val="0"/>
        <w:snapToGrid/>
        <w:spacing w:line="360" w:lineRule="auto"/>
        <w:ind w:firstLine="1200" w:firstLineChars="500"/>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W——称取试样重量，g。</w:t>
      </w:r>
    </w:p>
    <w:p>
      <w:pPr>
        <w:pageBreakBefore w:val="0"/>
        <w:kinsoku/>
        <w:wordWrap/>
        <w:topLinePunct w:val="0"/>
        <w:autoSpaceDE/>
        <w:autoSpaceDN/>
        <w:bidi w:val="0"/>
        <w:snapToGrid/>
        <w:spacing w:line="360" w:lineRule="auto"/>
        <w:ind w:firstLine="480" w:firstLineChars="200"/>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本方法的平行测定允许差不得大于0.5%。</w:t>
      </w:r>
    </w:p>
    <w:p>
      <w:pPr>
        <w:pageBreakBefore w:val="0"/>
        <w:kinsoku/>
        <w:wordWrap/>
        <w:topLinePunct w:val="0"/>
        <w:autoSpaceDE/>
        <w:autoSpaceDN/>
        <w:bidi w:val="0"/>
        <w:snapToGrid/>
        <w:spacing w:line="360" w:lineRule="auto"/>
        <w:ind w:firstLine="480" w:firstLineChars="200"/>
        <w:rPr>
          <w:rFonts w:hint="eastAsia" w:ascii="Times New Roman" w:hAnsi="Times New Roman" w:eastAsia="宋体" w:cs="Times New Roman"/>
          <w:sz w:val="24"/>
          <w:szCs w:val="24"/>
          <w:lang w:eastAsia="zh-CN"/>
        </w:rPr>
      </w:pPr>
      <w:r>
        <w:rPr>
          <w:rFonts w:hint="eastAsia" w:ascii="Times New Roman" w:hAnsi="Times New Roman" w:eastAsia="宋体" w:cs="Times New Roman"/>
          <w:sz w:val="24"/>
          <w:szCs w:val="24"/>
          <w:lang w:eastAsia="zh-CN"/>
        </w:rPr>
        <w:t>（</w:t>
      </w:r>
      <w:r>
        <w:rPr>
          <w:rFonts w:hint="eastAsia" w:ascii="Times New Roman" w:hAnsi="Times New Roman" w:cs="Times New Roman"/>
          <w:sz w:val="24"/>
          <w:szCs w:val="24"/>
          <w:lang w:val="en-US" w:eastAsia="zh-CN"/>
        </w:rPr>
        <w:t>5</w:t>
      </w:r>
      <w:r>
        <w:rPr>
          <w:rFonts w:hint="eastAsia" w:ascii="Times New Roman" w:hAnsi="Times New Roman" w:eastAsia="宋体" w:cs="Times New Roman"/>
          <w:sz w:val="24"/>
          <w:szCs w:val="24"/>
          <w:lang w:eastAsia="zh-CN"/>
        </w:rPr>
        <w:t>）</w:t>
      </w:r>
      <w:r>
        <w:rPr>
          <w:rFonts w:hint="eastAsia" w:ascii="Times New Roman" w:hAnsi="Times New Roman" w:cs="Times New Roman"/>
          <w:sz w:val="24"/>
          <w:szCs w:val="24"/>
          <w:lang w:val="en-US" w:eastAsia="zh-CN"/>
        </w:rPr>
        <w:t>试验结果</w:t>
      </w:r>
    </w:p>
    <w:p>
      <w:pPr>
        <w:pStyle w:val="19"/>
        <w:pageBreakBefore w:val="0"/>
        <w:kinsoku/>
        <w:wordWrap/>
        <w:topLinePunct w:val="0"/>
        <w:autoSpaceDE/>
        <w:autoSpaceDN/>
        <w:bidi w:val="0"/>
        <w:snapToGrid/>
        <w:spacing w:line="360" w:lineRule="auto"/>
        <w:ind w:left="420" w:leftChars="200" w:firstLine="0" w:firstLineChars="0"/>
        <w:rPr>
          <w:rFonts w:ascii="Times New Roman" w:hAnsi="Times New Roman" w:eastAsia="宋体" w:cs="Times New Roman"/>
          <w:sz w:val="24"/>
          <w:szCs w:val="24"/>
          <w:highlight w:val="none"/>
        </w:rPr>
      </w:pPr>
      <w:r>
        <w:rPr>
          <w:rFonts w:ascii="Times New Roman" w:hAnsi="Times New Roman" w:eastAsia="宋体" w:cs="Times New Roman"/>
          <w:b/>
          <w:bCs/>
          <w:sz w:val="24"/>
          <w:szCs w:val="24"/>
          <w:highlight w:val="none"/>
        </w:rPr>
        <w:t>试验结果</w:t>
      </w:r>
      <w:r>
        <w:rPr>
          <w:rFonts w:hint="eastAsia" w:ascii="Times New Roman" w:hAnsi="Times New Roman" w:eastAsia="宋体" w:cs="Times New Roman"/>
          <w:sz w:val="24"/>
          <w:szCs w:val="24"/>
          <w:highlight w:val="none"/>
        </w:rPr>
        <w:t>：</w:t>
      </w:r>
      <w:r>
        <w:rPr>
          <w:rFonts w:hint="eastAsia" w:ascii="Times New Roman" w:hAnsi="Times New Roman" w:eastAsia="宋体" w:cs="Times New Roman"/>
          <w:sz w:val="24"/>
          <w:szCs w:val="24"/>
          <w:highlight w:val="none"/>
          <w:lang w:val="en-US" w:eastAsia="zh-CN"/>
        </w:rPr>
        <w:t>对仲辛基黄药进行了测定，每个样品分别测定4次。</w:t>
      </w:r>
      <w:r>
        <w:rPr>
          <w:rFonts w:ascii="Times New Roman" w:hAnsi="Times New Roman" w:eastAsia="宋体" w:cs="Times New Roman"/>
          <w:sz w:val="24"/>
          <w:szCs w:val="24"/>
          <w:highlight w:val="none"/>
        </w:rPr>
        <w:t>结果见表</w:t>
      </w:r>
      <w:r>
        <w:rPr>
          <w:rFonts w:hint="eastAsia" w:ascii="Times New Roman" w:hAnsi="Times New Roman" w:eastAsia="宋体" w:cs="Times New Roman"/>
          <w:sz w:val="24"/>
          <w:szCs w:val="24"/>
          <w:highlight w:val="none"/>
          <w:lang w:val="en-US" w:eastAsia="zh-CN"/>
        </w:rPr>
        <w:t>5</w:t>
      </w:r>
      <w:r>
        <w:rPr>
          <w:rFonts w:hint="eastAsia" w:ascii="Times New Roman" w:hAnsi="Times New Roman" w:eastAsia="宋体" w:cs="Times New Roman"/>
          <w:sz w:val="24"/>
          <w:szCs w:val="24"/>
          <w:highlight w:val="none"/>
        </w:rPr>
        <w:t>-1.</w:t>
      </w:r>
    </w:p>
    <w:p>
      <w:pPr>
        <w:pStyle w:val="19"/>
        <w:pageBreakBefore w:val="0"/>
        <w:kinsoku/>
        <w:wordWrap/>
        <w:topLinePunct w:val="0"/>
        <w:autoSpaceDE/>
        <w:autoSpaceDN/>
        <w:bidi w:val="0"/>
        <w:snapToGrid/>
        <w:spacing w:line="360" w:lineRule="auto"/>
        <w:ind w:left="720" w:firstLine="0" w:firstLineChars="0"/>
        <w:jc w:val="center"/>
        <w:rPr>
          <w:rFonts w:ascii="Times New Roman" w:hAnsi="Times New Roman" w:eastAsia="宋体" w:cs="Times New Roman"/>
          <w:szCs w:val="21"/>
          <w:highlight w:val="none"/>
        </w:rPr>
      </w:pPr>
      <w:r>
        <w:rPr>
          <w:rFonts w:ascii="Times New Roman" w:hAnsi="Times New Roman" w:eastAsia="宋体" w:cs="Times New Roman"/>
          <w:szCs w:val="21"/>
          <w:highlight w:val="none"/>
        </w:rPr>
        <w:t>表</w:t>
      </w:r>
      <w:r>
        <w:rPr>
          <w:rFonts w:hint="eastAsia" w:ascii="Times New Roman" w:hAnsi="Times New Roman" w:eastAsia="宋体" w:cs="Times New Roman"/>
          <w:szCs w:val="21"/>
          <w:highlight w:val="none"/>
          <w:lang w:val="en-US" w:eastAsia="zh-CN"/>
        </w:rPr>
        <w:t>5-</w:t>
      </w:r>
      <w:r>
        <w:rPr>
          <w:rFonts w:hint="eastAsia" w:ascii="Times New Roman" w:hAnsi="Times New Roman" w:eastAsia="宋体" w:cs="Times New Roman"/>
          <w:szCs w:val="21"/>
          <w:highlight w:val="none"/>
        </w:rPr>
        <w:t>1</w:t>
      </w:r>
      <w:r>
        <w:rPr>
          <w:rFonts w:ascii="Times New Roman" w:hAnsi="Times New Roman" w:eastAsia="宋体" w:cs="Times New Roman"/>
          <w:szCs w:val="21"/>
          <w:highlight w:val="none"/>
        </w:rPr>
        <w:t xml:space="preserve"> </w:t>
      </w:r>
      <w:r>
        <w:rPr>
          <w:rFonts w:hint="eastAsia" w:ascii="Times New Roman" w:hAnsi="Times New Roman" w:eastAsia="宋体" w:cs="Times New Roman"/>
          <w:szCs w:val="21"/>
          <w:highlight w:val="none"/>
          <w:lang w:val="en-US" w:eastAsia="zh-CN"/>
        </w:rPr>
        <w:t>仲辛基黄药测定</w:t>
      </w:r>
      <w:r>
        <w:rPr>
          <w:rFonts w:ascii="Times New Roman" w:hAnsi="Times New Roman" w:eastAsia="宋体" w:cs="Times New Roman"/>
          <w:szCs w:val="21"/>
          <w:highlight w:val="none"/>
        </w:rPr>
        <w:t>结果</w:t>
      </w:r>
    </w:p>
    <w:tbl>
      <w:tblPr>
        <w:tblStyle w:val="11"/>
        <w:tblW w:w="0" w:type="auto"/>
        <w:tblInd w:w="0" w:type="dxa"/>
        <w:tblLayout w:type="fixed"/>
        <w:tblCellMar>
          <w:top w:w="15" w:type="dxa"/>
          <w:left w:w="15" w:type="dxa"/>
          <w:bottom w:w="15" w:type="dxa"/>
          <w:right w:w="15" w:type="dxa"/>
        </w:tblCellMar>
      </w:tblPr>
      <w:tblGrid>
        <w:gridCol w:w="1865"/>
        <w:gridCol w:w="1982"/>
        <w:gridCol w:w="1738"/>
        <w:gridCol w:w="1613"/>
        <w:gridCol w:w="1138"/>
      </w:tblGrid>
      <w:tr>
        <w:tblPrEx>
          <w:tblCellMar>
            <w:top w:w="15" w:type="dxa"/>
            <w:left w:w="15" w:type="dxa"/>
            <w:bottom w:w="15" w:type="dxa"/>
            <w:right w:w="15" w:type="dxa"/>
          </w:tblCellMar>
        </w:tblPrEx>
        <w:trPr>
          <w:trHeight w:val="285" w:hRule="atLeast"/>
        </w:trPr>
        <w:tc>
          <w:tcPr>
            <w:tcW w:w="1865"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topLinePunct w:val="0"/>
              <w:autoSpaceDE/>
              <w:autoSpaceDN/>
              <w:bidi w:val="0"/>
              <w:snapToGrid/>
              <w:spacing w:line="360" w:lineRule="auto"/>
              <w:jc w:val="center"/>
              <w:textAlignment w:val="center"/>
              <w:rPr>
                <w:rFonts w:ascii="Times New Roman" w:hAnsi="Times New Roman" w:eastAsia="宋体" w:cs="Times New Roman"/>
                <w:b/>
                <w:color w:val="000000"/>
                <w:szCs w:val="21"/>
                <w:highlight w:val="none"/>
              </w:rPr>
            </w:pPr>
            <w:r>
              <w:rPr>
                <w:rFonts w:ascii="Times New Roman" w:hAnsi="Times New Roman" w:eastAsia="宋体" w:cs="Times New Roman"/>
                <w:b/>
                <w:color w:val="000000"/>
                <w:kern w:val="0"/>
                <w:szCs w:val="21"/>
                <w:highlight w:val="none"/>
                <w:lang w:bidi="ar"/>
              </w:rPr>
              <w:t>序号</w:t>
            </w:r>
          </w:p>
        </w:tc>
        <w:tc>
          <w:tcPr>
            <w:tcW w:w="1982" w:type="dxa"/>
            <w:tcBorders>
              <w:top w:val="single" w:color="000000" w:sz="4" w:space="0"/>
              <w:left w:val="single" w:color="000000" w:sz="4" w:space="0"/>
              <w:bottom w:val="single" w:color="000000" w:sz="4" w:space="0"/>
              <w:right w:val="single" w:color="000000" w:sz="4" w:space="0"/>
            </w:tcBorders>
            <w:noWrap w:val="0"/>
            <w:vAlign w:val="top"/>
          </w:tcPr>
          <w:p>
            <w:pPr>
              <w:pageBreakBefore w:val="0"/>
              <w:widowControl/>
              <w:kinsoku/>
              <w:wordWrap/>
              <w:topLinePunct w:val="0"/>
              <w:autoSpaceDE/>
              <w:autoSpaceDN/>
              <w:bidi w:val="0"/>
              <w:snapToGrid/>
              <w:spacing w:line="360" w:lineRule="auto"/>
              <w:jc w:val="center"/>
              <w:textAlignment w:val="top"/>
              <w:rPr>
                <w:rFonts w:ascii="Times New Roman" w:hAnsi="Times New Roman" w:eastAsia="宋体" w:cs="Times New Roman"/>
                <w:b/>
                <w:color w:val="000000"/>
                <w:szCs w:val="21"/>
                <w:highlight w:val="none"/>
              </w:rPr>
            </w:pPr>
            <w:r>
              <w:rPr>
                <w:rFonts w:ascii="Times New Roman" w:hAnsi="Times New Roman" w:eastAsia="宋体" w:cs="Times New Roman"/>
                <w:b/>
                <w:color w:val="000000"/>
                <w:kern w:val="0"/>
                <w:szCs w:val="21"/>
                <w:highlight w:val="none"/>
                <w:lang w:bidi="ar"/>
              </w:rPr>
              <w:t>试验样品/%</w:t>
            </w:r>
          </w:p>
        </w:tc>
        <w:tc>
          <w:tcPr>
            <w:tcW w:w="1738" w:type="dxa"/>
            <w:tcBorders>
              <w:top w:val="single" w:color="000000" w:sz="4" w:space="0"/>
              <w:left w:val="single" w:color="000000" w:sz="4" w:space="0"/>
              <w:bottom w:val="single" w:color="000000" w:sz="4" w:space="0"/>
              <w:right w:val="single" w:color="000000" w:sz="4" w:space="0"/>
            </w:tcBorders>
            <w:noWrap w:val="0"/>
            <w:vAlign w:val="top"/>
          </w:tcPr>
          <w:p>
            <w:pPr>
              <w:pageBreakBefore w:val="0"/>
              <w:widowControl/>
              <w:kinsoku/>
              <w:wordWrap/>
              <w:topLinePunct w:val="0"/>
              <w:autoSpaceDE/>
              <w:autoSpaceDN/>
              <w:bidi w:val="0"/>
              <w:snapToGrid/>
              <w:spacing w:line="360" w:lineRule="auto"/>
              <w:jc w:val="center"/>
              <w:textAlignment w:val="top"/>
              <w:rPr>
                <w:rFonts w:ascii="Times New Roman" w:hAnsi="Times New Roman" w:eastAsia="宋体" w:cs="Times New Roman"/>
                <w:color w:val="000000"/>
                <w:szCs w:val="21"/>
                <w:highlight w:val="none"/>
              </w:rPr>
            </w:pPr>
            <w:r>
              <w:rPr>
                <w:rFonts w:ascii="Times New Roman" w:hAnsi="Times New Roman" w:eastAsia="宋体" w:cs="Times New Roman"/>
                <w:color w:val="000000"/>
                <w:kern w:val="0"/>
                <w:szCs w:val="21"/>
                <w:highlight w:val="none"/>
                <w:lang w:bidi="ar"/>
              </w:rPr>
              <w:t>平均值（%）</w:t>
            </w:r>
          </w:p>
        </w:tc>
        <w:tc>
          <w:tcPr>
            <w:tcW w:w="1613" w:type="dxa"/>
            <w:tcBorders>
              <w:top w:val="single" w:color="000000" w:sz="4" w:space="0"/>
              <w:left w:val="single" w:color="000000" w:sz="4" w:space="0"/>
              <w:bottom w:val="single" w:color="000000" w:sz="4" w:space="0"/>
              <w:right w:val="single" w:color="000000" w:sz="4" w:space="0"/>
            </w:tcBorders>
            <w:noWrap w:val="0"/>
            <w:vAlign w:val="top"/>
          </w:tcPr>
          <w:p>
            <w:pPr>
              <w:pageBreakBefore w:val="0"/>
              <w:widowControl/>
              <w:kinsoku/>
              <w:wordWrap/>
              <w:topLinePunct w:val="0"/>
              <w:autoSpaceDE/>
              <w:autoSpaceDN/>
              <w:bidi w:val="0"/>
              <w:snapToGrid/>
              <w:spacing w:line="360" w:lineRule="auto"/>
              <w:jc w:val="center"/>
              <w:textAlignment w:val="top"/>
              <w:rPr>
                <w:rFonts w:ascii="Times New Roman" w:hAnsi="Times New Roman" w:eastAsia="宋体" w:cs="Times New Roman"/>
                <w:color w:val="000000"/>
                <w:szCs w:val="21"/>
                <w:highlight w:val="none"/>
              </w:rPr>
            </w:pPr>
            <w:r>
              <w:rPr>
                <w:rFonts w:ascii="Times New Roman" w:hAnsi="Times New Roman" w:eastAsia="宋体" w:cs="Times New Roman"/>
                <w:color w:val="000000"/>
                <w:kern w:val="0"/>
                <w:szCs w:val="21"/>
                <w:highlight w:val="none"/>
                <w:lang w:bidi="ar"/>
              </w:rPr>
              <w:t>SD</w:t>
            </w:r>
          </w:p>
        </w:tc>
        <w:tc>
          <w:tcPr>
            <w:tcW w:w="1138" w:type="dxa"/>
            <w:tcBorders>
              <w:top w:val="single" w:color="000000" w:sz="4" w:space="0"/>
              <w:left w:val="single" w:color="000000" w:sz="4" w:space="0"/>
              <w:bottom w:val="single" w:color="000000" w:sz="4" w:space="0"/>
              <w:right w:val="single" w:color="000000" w:sz="4" w:space="0"/>
            </w:tcBorders>
            <w:noWrap w:val="0"/>
            <w:vAlign w:val="top"/>
          </w:tcPr>
          <w:p>
            <w:pPr>
              <w:pageBreakBefore w:val="0"/>
              <w:widowControl/>
              <w:kinsoku/>
              <w:wordWrap/>
              <w:topLinePunct w:val="0"/>
              <w:autoSpaceDE/>
              <w:autoSpaceDN/>
              <w:bidi w:val="0"/>
              <w:snapToGrid/>
              <w:spacing w:line="360" w:lineRule="auto"/>
              <w:jc w:val="center"/>
              <w:textAlignment w:val="top"/>
              <w:rPr>
                <w:rFonts w:ascii="Times New Roman" w:hAnsi="Times New Roman" w:eastAsia="宋体" w:cs="Times New Roman"/>
                <w:color w:val="000000"/>
                <w:szCs w:val="21"/>
                <w:highlight w:val="none"/>
              </w:rPr>
            </w:pPr>
            <w:r>
              <w:rPr>
                <w:rFonts w:ascii="Times New Roman" w:hAnsi="Times New Roman" w:eastAsia="宋体" w:cs="Times New Roman"/>
                <w:color w:val="000000"/>
                <w:kern w:val="0"/>
                <w:szCs w:val="21"/>
                <w:highlight w:val="none"/>
                <w:lang w:bidi="ar"/>
              </w:rPr>
              <w:t>RSD(%)</w:t>
            </w:r>
          </w:p>
        </w:tc>
      </w:tr>
      <w:tr>
        <w:tblPrEx>
          <w:tblCellMar>
            <w:top w:w="15" w:type="dxa"/>
            <w:left w:w="15" w:type="dxa"/>
            <w:bottom w:w="15" w:type="dxa"/>
            <w:right w:w="15" w:type="dxa"/>
          </w:tblCellMar>
        </w:tblPrEx>
        <w:trPr>
          <w:trHeight w:val="90" w:hRule="atLeast"/>
        </w:trPr>
        <w:tc>
          <w:tcPr>
            <w:tcW w:w="1865"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topLinePunct w:val="0"/>
              <w:autoSpaceDE/>
              <w:autoSpaceDN/>
              <w:bidi w:val="0"/>
              <w:snapToGrid/>
              <w:spacing w:line="360" w:lineRule="auto"/>
              <w:jc w:val="center"/>
              <w:textAlignment w:val="center"/>
              <w:rPr>
                <w:rFonts w:ascii="Times New Roman" w:hAnsi="Times New Roman" w:eastAsia="宋体" w:cs="Times New Roman"/>
                <w:color w:val="000000"/>
                <w:szCs w:val="21"/>
                <w:highlight w:val="none"/>
              </w:rPr>
            </w:pPr>
            <w:r>
              <w:rPr>
                <w:rFonts w:ascii="Times New Roman" w:hAnsi="Times New Roman" w:eastAsia="宋体" w:cs="Times New Roman"/>
                <w:color w:val="000000"/>
                <w:kern w:val="0"/>
                <w:szCs w:val="21"/>
                <w:highlight w:val="none"/>
                <w:lang w:bidi="ar"/>
              </w:rPr>
              <w:t>1</w:t>
            </w:r>
          </w:p>
        </w:tc>
        <w:tc>
          <w:tcPr>
            <w:tcW w:w="1982" w:type="dxa"/>
            <w:tcBorders>
              <w:top w:val="single" w:color="000000" w:sz="4" w:space="0"/>
              <w:left w:val="single" w:color="000000" w:sz="4" w:space="0"/>
              <w:bottom w:val="single" w:color="000000" w:sz="4" w:space="0"/>
              <w:right w:val="single" w:color="000000" w:sz="4" w:space="0"/>
            </w:tcBorders>
            <w:noWrap w:val="0"/>
            <w:vAlign w:val="top"/>
          </w:tcPr>
          <w:p>
            <w:pPr>
              <w:pStyle w:val="19"/>
              <w:pageBreakBefore w:val="0"/>
              <w:kinsoku/>
              <w:wordWrap/>
              <w:topLinePunct w:val="0"/>
              <w:autoSpaceDE/>
              <w:autoSpaceDN/>
              <w:bidi w:val="0"/>
              <w:snapToGrid/>
              <w:spacing w:line="360" w:lineRule="auto"/>
              <w:ind w:firstLine="0" w:firstLineChars="0"/>
              <w:jc w:val="center"/>
              <w:rPr>
                <w:rFonts w:ascii="Times New Roman" w:hAnsi="Times New Roman" w:eastAsia="宋体" w:cs="Times New Roman"/>
                <w:color w:val="000000"/>
                <w:szCs w:val="21"/>
                <w:highlight w:val="none"/>
              </w:rPr>
            </w:pPr>
            <w:r>
              <w:rPr>
                <w:rFonts w:hint="eastAsia" w:ascii="Times New Roman" w:hAnsi="Times New Roman" w:eastAsia="宋体" w:cs="Times New Roman"/>
                <w:szCs w:val="21"/>
                <w:highlight w:val="none"/>
                <w:lang w:val="en-US" w:eastAsia="zh-CN"/>
              </w:rPr>
              <w:t>60.</w:t>
            </w:r>
            <w:r>
              <w:rPr>
                <w:rFonts w:hint="eastAsia" w:ascii="Times New Roman" w:hAnsi="Times New Roman" w:cs="Times New Roman"/>
                <w:szCs w:val="21"/>
                <w:highlight w:val="none"/>
                <w:lang w:val="en-US" w:eastAsia="zh-CN"/>
              </w:rPr>
              <w:t>5</w:t>
            </w:r>
            <w:r>
              <w:rPr>
                <w:rFonts w:hint="eastAsia" w:ascii="Times New Roman" w:hAnsi="Times New Roman" w:eastAsia="宋体" w:cs="Times New Roman"/>
                <w:szCs w:val="21"/>
                <w:highlight w:val="none"/>
                <w:lang w:val="en-US" w:eastAsia="zh-CN"/>
              </w:rPr>
              <w:t>0</w:t>
            </w:r>
          </w:p>
        </w:tc>
        <w:tc>
          <w:tcPr>
            <w:tcW w:w="1738" w:type="dxa"/>
            <w:vMerge w:val="restart"/>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topLinePunct w:val="0"/>
              <w:autoSpaceDE/>
              <w:autoSpaceDN/>
              <w:bidi w:val="0"/>
              <w:snapToGrid/>
              <w:spacing w:line="360" w:lineRule="auto"/>
              <w:jc w:val="center"/>
              <w:textAlignment w:val="center"/>
              <w:rPr>
                <w:rFonts w:hint="default" w:ascii="Times New Roman" w:hAnsi="Times New Roman" w:eastAsia="宋体" w:cs="Times New Roman"/>
                <w:color w:val="000000"/>
                <w:szCs w:val="21"/>
                <w:highlight w:val="none"/>
                <w:lang w:val="en-US"/>
              </w:rPr>
            </w:pPr>
            <w:r>
              <w:rPr>
                <w:rFonts w:hint="eastAsia" w:ascii="Times New Roman" w:hAnsi="Times New Roman" w:eastAsia="宋体" w:cs="Times New Roman"/>
                <w:color w:val="000000"/>
                <w:kern w:val="0"/>
                <w:szCs w:val="21"/>
                <w:highlight w:val="none"/>
                <w:lang w:val="en-US" w:eastAsia="zh-CN" w:bidi="ar"/>
              </w:rPr>
              <w:t>6050</w:t>
            </w:r>
          </w:p>
        </w:tc>
        <w:tc>
          <w:tcPr>
            <w:tcW w:w="1613" w:type="dxa"/>
            <w:vMerge w:val="restart"/>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topLinePunct w:val="0"/>
              <w:autoSpaceDE/>
              <w:autoSpaceDN/>
              <w:bidi w:val="0"/>
              <w:snapToGrid/>
              <w:spacing w:line="360" w:lineRule="auto"/>
              <w:jc w:val="center"/>
              <w:textAlignment w:val="center"/>
              <w:rPr>
                <w:rFonts w:ascii="Times New Roman" w:hAnsi="Times New Roman" w:eastAsia="宋体" w:cs="Times New Roman"/>
                <w:color w:val="000000"/>
                <w:szCs w:val="21"/>
                <w:highlight w:val="none"/>
              </w:rPr>
            </w:pPr>
            <w:r>
              <w:rPr>
                <w:rFonts w:ascii="Times New Roman" w:hAnsi="Times New Roman" w:eastAsia="宋体" w:cs="Times New Roman"/>
                <w:color w:val="000000"/>
                <w:kern w:val="0"/>
                <w:szCs w:val="21"/>
                <w:highlight w:val="none"/>
                <w:lang w:bidi="ar"/>
              </w:rPr>
              <w:t xml:space="preserve">0.05 </w:t>
            </w:r>
          </w:p>
        </w:tc>
        <w:tc>
          <w:tcPr>
            <w:tcW w:w="1138" w:type="dxa"/>
            <w:vMerge w:val="restart"/>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topLinePunct w:val="0"/>
              <w:autoSpaceDE/>
              <w:autoSpaceDN/>
              <w:bidi w:val="0"/>
              <w:snapToGrid/>
              <w:spacing w:line="360" w:lineRule="auto"/>
              <w:jc w:val="center"/>
              <w:textAlignment w:val="center"/>
              <w:rPr>
                <w:rFonts w:ascii="Times New Roman" w:hAnsi="Times New Roman" w:eastAsia="宋体" w:cs="Times New Roman"/>
                <w:color w:val="000000"/>
                <w:szCs w:val="21"/>
                <w:highlight w:val="none"/>
              </w:rPr>
            </w:pPr>
            <w:r>
              <w:rPr>
                <w:rFonts w:ascii="Times New Roman" w:hAnsi="Times New Roman" w:eastAsia="宋体" w:cs="Times New Roman"/>
                <w:color w:val="000000"/>
                <w:kern w:val="0"/>
                <w:szCs w:val="21"/>
                <w:highlight w:val="none"/>
                <w:lang w:bidi="ar"/>
              </w:rPr>
              <w:t xml:space="preserve">0.18 </w:t>
            </w:r>
          </w:p>
        </w:tc>
      </w:tr>
      <w:tr>
        <w:tblPrEx>
          <w:tblCellMar>
            <w:top w:w="15" w:type="dxa"/>
            <w:left w:w="15" w:type="dxa"/>
            <w:bottom w:w="15" w:type="dxa"/>
            <w:right w:w="15" w:type="dxa"/>
          </w:tblCellMar>
        </w:tblPrEx>
        <w:trPr>
          <w:trHeight w:val="222" w:hRule="atLeast"/>
        </w:trPr>
        <w:tc>
          <w:tcPr>
            <w:tcW w:w="1865"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topLinePunct w:val="0"/>
              <w:autoSpaceDE/>
              <w:autoSpaceDN/>
              <w:bidi w:val="0"/>
              <w:snapToGrid/>
              <w:spacing w:line="360" w:lineRule="auto"/>
              <w:jc w:val="center"/>
              <w:textAlignment w:val="center"/>
              <w:rPr>
                <w:rFonts w:ascii="Times New Roman" w:hAnsi="Times New Roman" w:eastAsia="宋体" w:cs="Times New Roman"/>
                <w:color w:val="000000"/>
                <w:szCs w:val="21"/>
                <w:highlight w:val="none"/>
              </w:rPr>
            </w:pPr>
            <w:r>
              <w:rPr>
                <w:rFonts w:ascii="Times New Roman" w:hAnsi="Times New Roman" w:eastAsia="宋体" w:cs="Times New Roman"/>
                <w:color w:val="000000"/>
                <w:kern w:val="0"/>
                <w:szCs w:val="21"/>
                <w:highlight w:val="none"/>
                <w:lang w:bidi="ar"/>
              </w:rPr>
              <w:t>2</w:t>
            </w:r>
          </w:p>
        </w:tc>
        <w:tc>
          <w:tcPr>
            <w:tcW w:w="1982" w:type="dxa"/>
            <w:tcBorders>
              <w:top w:val="single" w:color="000000" w:sz="4" w:space="0"/>
              <w:left w:val="single" w:color="000000" w:sz="4" w:space="0"/>
              <w:bottom w:val="single" w:color="000000" w:sz="4" w:space="0"/>
              <w:right w:val="single" w:color="000000" w:sz="4" w:space="0"/>
            </w:tcBorders>
            <w:noWrap w:val="0"/>
            <w:vAlign w:val="top"/>
          </w:tcPr>
          <w:p>
            <w:pPr>
              <w:pStyle w:val="19"/>
              <w:pageBreakBefore w:val="0"/>
              <w:kinsoku/>
              <w:wordWrap/>
              <w:topLinePunct w:val="0"/>
              <w:autoSpaceDE/>
              <w:autoSpaceDN/>
              <w:bidi w:val="0"/>
              <w:snapToGrid/>
              <w:spacing w:line="360" w:lineRule="auto"/>
              <w:ind w:firstLine="0" w:firstLineChars="0"/>
              <w:jc w:val="center"/>
              <w:rPr>
                <w:rFonts w:ascii="Times New Roman" w:hAnsi="Times New Roman" w:eastAsia="宋体" w:cs="Times New Roman"/>
                <w:color w:val="000000"/>
                <w:szCs w:val="21"/>
                <w:highlight w:val="none"/>
              </w:rPr>
            </w:pPr>
            <w:r>
              <w:rPr>
                <w:rFonts w:hint="eastAsia" w:ascii="Times New Roman" w:hAnsi="Times New Roman" w:eastAsia="宋体" w:cs="Times New Roman"/>
                <w:szCs w:val="21"/>
                <w:highlight w:val="none"/>
                <w:lang w:val="en-US" w:eastAsia="zh-CN"/>
              </w:rPr>
              <w:t>60.3</w:t>
            </w:r>
            <w:r>
              <w:rPr>
                <w:rFonts w:hint="eastAsia" w:ascii="Times New Roman" w:hAnsi="Times New Roman" w:cs="Times New Roman"/>
                <w:szCs w:val="21"/>
                <w:highlight w:val="none"/>
                <w:lang w:val="en-US" w:eastAsia="zh-CN"/>
              </w:rPr>
              <w:t>5</w:t>
            </w:r>
          </w:p>
        </w:tc>
        <w:tc>
          <w:tcPr>
            <w:tcW w:w="1738" w:type="dxa"/>
            <w:vMerge w:val="continue"/>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topLinePunct w:val="0"/>
              <w:autoSpaceDE/>
              <w:autoSpaceDN/>
              <w:bidi w:val="0"/>
              <w:snapToGrid/>
              <w:spacing w:line="360" w:lineRule="auto"/>
              <w:jc w:val="center"/>
              <w:rPr>
                <w:rFonts w:ascii="Times New Roman" w:hAnsi="Times New Roman" w:eastAsia="宋体" w:cs="Times New Roman"/>
                <w:color w:val="000000"/>
                <w:szCs w:val="21"/>
                <w:highlight w:val="none"/>
              </w:rPr>
            </w:pPr>
          </w:p>
        </w:tc>
        <w:tc>
          <w:tcPr>
            <w:tcW w:w="1613" w:type="dxa"/>
            <w:vMerge w:val="continue"/>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topLinePunct w:val="0"/>
              <w:autoSpaceDE/>
              <w:autoSpaceDN/>
              <w:bidi w:val="0"/>
              <w:snapToGrid/>
              <w:spacing w:line="360" w:lineRule="auto"/>
              <w:jc w:val="center"/>
              <w:rPr>
                <w:rFonts w:ascii="Times New Roman" w:hAnsi="Times New Roman" w:eastAsia="宋体" w:cs="Times New Roman"/>
                <w:color w:val="000000"/>
                <w:szCs w:val="21"/>
                <w:highlight w:val="none"/>
              </w:rPr>
            </w:pPr>
          </w:p>
        </w:tc>
        <w:tc>
          <w:tcPr>
            <w:tcW w:w="1138" w:type="dxa"/>
            <w:vMerge w:val="continue"/>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topLinePunct w:val="0"/>
              <w:autoSpaceDE/>
              <w:autoSpaceDN/>
              <w:bidi w:val="0"/>
              <w:snapToGrid/>
              <w:spacing w:line="360" w:lineRule="auto"/>
              <w:jc w:val="center"/>
              <w:rPr>
                <w:rFonts w:ascii="Times New Roman" w:hAnsi="Times New Roman" w:eastAsia="宋体" w:cs="Times New Roman"/>
                <w:color w:val="000000"/>
                <w:szCs w:val="21"/>
                <w:highlight w:val="none"/>
              </w:rPr>
            </w:pPr>
          </w:p>
        </w:tc>
      </w:tr>
      <w:tr>
        <w:tblPrEx>
          <w:tblCellMar>
            <w:top w:w="15" w:type="dxa"/>
            <w:left w:w="15" w:type="dxa"/>
            <w:bottom w:w="15" w:type="dxa"/>
            <w:right w:w="15" w:type="dxa"/>
          </w:tblCellMar>
        </w:tblPrEx>
        <w:trPr>
          <w:trHeight w:val="292" w:hRule="atLeast"/>
        </w:trPr>
        <w:tc>
          <w:tcPr>
            <w:tcW w:w="1865"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topLinePunct w:val="0"/>
              <w:autoSpaceDE/>
              <w:autoSpaceDN/>
              <w:bidi w:val="0"/>
              <w:snapToGrid/>
              <w:spacing w:line="360" w:lineRule="auto"/>
              <w:jc w:val="center"/>
              <w:textAlignment w:val="center"/>
              <w:rPr>
                <w:rFonts w:ascii="Times New Roman" w:hAnsi="Times New Roman" w:eastAsia="宋体" w:cs="Times New Roman"/>
                <w:color w:val="000000"/>
                <w:szCs w:val="21"/>
                <w:highlight w:val="none"/>
              </w:rPr>
            </w:pPr>
            <w:r>
              <w:rPr>
                <w:rFonts w:ascii="Times New Roman" w:hAnsi="Times New Roman" w:eastAsia="宋体" w:cs="Times New Roman"/>
                <w:color w:val="000000"/>
                <w:kern w:val="0"/>
                <w:szCs w:val="21"/>
                <w:highlight w:val="none"/>
                <w:lang w:bidi="ar"/>
              </w:rPr>
              <w:t>3</w:t>
            </w:r>
          </w:p>
        </w:tc>
        <w:tc>
          <w:tcPr>
            <w:tcW w:w="1982" w:type="dxa"/>
            <w:tcBorders>
              <w:top w:val="single" w:color="000000" w:sz="4" w:space="0"/>
              <w:left w:val="single" w:color="000000" w:sz="4" w:space="0"/>
              <w:bottom w:val="single" w:color="000000" w:sz="4" w:space="0"/>
              <w:right w:val="single" w:color="000000" w:sz="4" w:space="0"/>
            </w:tcBorders>
            <w:noWrap w:val="0"/>
            <w:vAlign w:val="top"/>
          </w:tcPr>
          <w:p>
            <w:pPr>
              <w:pStyle w:val="19"/>
              <w:pageBreakBefore w:val="0"/>
              <w:kinsoku/>
              <w:wordWrap/>
              <w:topLinePunct w:val="0"/>
              <w:autoSpaceDE/>
              <w:autoSpaceDN/>
              <w:bidi w:val="0"/>
              <w:snapToGrid/>
              <w:spacing w:line="360" w:lineRule="auto"/>
              <w:ind w:firstLine="0" w:firstLineChars="0"/>
              <w:jc w:val="center"/>
              <w:rPr>
                <w:rFonts w:hint="default" w:ascii="Times New Roman" w:hAnsi="Times New Roman" w:eastAsia="宋体" w:cs="Times New Roman"/>
                <w:color w:val="000000"/>
                <w:szCs w:val="21"/>
                <w:highlight w:val="none"/>
                <w:lang w:val="en-US"/>
              </w:rPr>
            </w:pPr>
            <w:r>
              <w:rPr>
                <w:rFonts w:hint="eastAsia" w:ascii="Times New Roman" w:hAnsi="Times New Roman" w:cs="Times New Roman"/>
                <w:szCs w:val="21"/>
                <w:highlight w:val="none"/>
                <w:lang w:val="en-US" w:eastAsia="zh-CN"/>
              </w:rPr>
              <w:t>60.55</w:t>
            </w:r>
          </w:p>
        </w:tc>
        <w:tc>
          <w:tcPr>
            <w:tcW w:w="1738" w:type="dxa"/>
            <w:vMerge w:val="continue"/>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topLinePunct w:val="0"/>
              <w:autoSpaceDE/>
              <w:autoSpaceDN/>
              <w:bidi w:val="0"/>
              <w:snapToGrid/>
              <w:spacing w:line="360" w:lineRule="auto"/>
              <w:jc w:val="center"/>
              <w:rPr>
                <w:rFonts w:ascii="Times New Roman" w:hAnsi="Times New Roman" w:eastAsia="宋体" w:cs="Times New Roman"/>
                <w:color w:val="000000"/>
                <w:szCs w:val="21"/>
                <w:highlight w:val="none"/>
              </w:rPr>
            </w:pPr>
          </w:p>
        </w:tc>
        <w:tc>
          <w:tcPr>
            <w:tcW w:w="1613" w:type="dxa"/>
            <w:vMerge w:val="continue"/>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topLinePunct w:val="0"/>
              <w:autoSpaceDE/>
              <w:autoSpaceDN/>
              <w:bidi w:val="0"/>
              <w:snapToGrid/>
              <w:spacing w:line="360" w:lineRule="auto"/>
              <w:jc w:val="center"/>
              <w:rPr>
                <w:rFonts w:ascii="Times New Roman" w:hAnsi="Times New Roman" w:eastAsia="宋体" w:cs="Times New Roman"/>
                <w:color w:val="000000"/>
                <w:szCs w:val="21"/>
                <w:highlight w:val="none"/>
              </w:rPr>
            </w:pPr>
          </w:p>
        </w:tc>
        <w:tc>
          <w:tcPr>
            <w:tcW w:w="1138" w:type="dxa"/>
            <w:vMerge w:val="continue"/>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topLinePunct w:val="0"/>
              <w:autoSpaceDE/>
              <w:autoSpaceDN/>
              <w:bidi w:val="0"/>
              <w:snapToGrid/>
              <w:spacing w:line="360" w:lineRule="auto"/>
              <w:jc w:val="center"/>
              <w:rPr>
                <w:rFonts w:ascii="Times New Roman" w:hAnsi="Times New Roman" w:eastAsia="宋体" w:cs="Times New Roman"/>
                <w:color w:val="000000"/>
                <w:szCs w:val="21"/>
                <w:highlight w:val="none"/>
              </w:rPr>
            </w:pPr>
          </w:p>
        </w:tc>
      </w:tr>
      <w:tr>
        <w:tblPrEx>
          <w:tblCellMar>
            <w:top w:w="15" w:type="dxa"/>
            <w:left w:w="15" w:type="dxa"/>
            <w:bottom w:w="15" w:type="dxa"/>
            <w:right w:w="15" w:type="dxa"/>
          </w:tblCellMar>
        </w:tblPrEx>
        <w:trPr>
          <w:trHeight w:val="282" w:hRule="atLeast"/>
        </w:trPr>
        <w:tc>
          <w:tcPr>
            <w:tcW w:w="1865"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topLinePunct w:val="0"/>
              <w:autoSpaceDE/>
              <w:autoSpaceDN/>
              <w:bidi w:val="0"/>
              <w:snapToGrid/>
              <w:spacing w:line="360" w:lineRule="auto"/>
              <w:jc w:val="center"/>
              <w:textAlignment w:val="center"/>
              <w:rPr>
                <w:rFonts w:ascii="Times New Roman" w:hAnsi="Times New Roman" w:eastAsia="宋体" w:cs="Times New Roman"/>
                <w:color w:val="000000"/>
                <w:szCs w:val="21"/>
                <w:highlight w:val="none"/>
              </w:rPr>
            </w:pPr>
            <w:r>
              <w:rPr>
                <w:rFonts w:hint="eastAsia" w:ascii="Times New Roman" w:hAnsi="Times New Roman" w:eastAsia="宋体" w:cs="Times New Roman"/>
                <w:color w:val="000000"/>
                <w:kern w:val="0"/>
                <w:szCs w:val="21"/>
                <w:highlight w:val="none"/>
                <w:lang w:bidi="ar"/>
              </w:rPr>
              <w:t>4</w:t>
            </w:r>
          </w:p>
        </w:tc>
        <w:tc>
          <w:tcPr>
            <w:tcW w:w="1982" w:type="dxa"/>
            <w:tcBorders>
              <w:top w:val="single" w:color="000000" w:sz="4" w:space="0"/>
              <w:left w:val="single" w:color="000000" w:sz="4" w:space="0"/>
              <w:bottom w:val="single" w:color="000000" w:sz="4" w:space="0"/>
              <w:right w:val="single" w:color="000000" w:sz="4" w:space="0"/>
            </w:tcBorders>
            <w:noWrap w:val="0"/>
            <w:vAlign w:val="top"/>
          </w:tcPr>
          <w:p>
            <w:pPr>
              <w:pStyle w:val="19"/>
              <w:pageBreakBefore w:val="0"/>
              <w:kinsoku/>
              <w:wordWrap/>
              <w:topLinePunct w:val="0"/>
              <w:autoSpaceDE/>
              <w:autoSpaceDN/>
              <w:bidi w:val="0"/>
              <w:snapToGrid/>
              <w:spacing w:line="360" w:lineRule="auto"/>
              <w:ind w:firstLine="0" w:firstLineChars="0"/>
              <w:jc w:val="center"/>
              <w:rPr>
                <w:rFonts w:hint="default" w:ascii="Times New Roman" w:hAnsi="Times New Roman" w:eastAsia="宋体" w:cs="Times New Roman"/>
                <w:color w:val="000000"/>
                <w:szCs w:val="21"/>
                <w:highlight w:val="none"/>
                <w:lang w:val="en-US"/>
              </w:rPr>
            </w:pPr>
            <w:r>
              <w:rPr>
                <w:rFonts w:hint="default" w:ascii="Times New Roman" w:hAnsi="Times New Roman" w:eastAsia="宋体" w:cs="Times New Roman"/>
                <w:szCs w:val="21"/>
                <w:highlight w:val="none"/>
                <w:lang w:val="en-US" w:eastAsia="zh-CN"/>
              </w:rPr>
              <w:t>60.5</w:t>
            </w:r>
            <w:r>
              <w:rPr>
                <w:rFonts w:hint="eastAsia" w:ascii="Times New Roman" w:hAnsi="Times New Roman" w:cs="Times New Roman"/>
                <w:szCs w:val="21"/>
                <w:highlight w:val="none"/>
                <w:lang w:val="en-US" w:eastAsia="zh-CN"/>
              </w:rPr>
              <w:t>9</w:t>
            </w:r>
          </w:p>
        </w:tc>
        <w:tc>
          <w:tcPr>
            <w:tcW w:w="1738" w:type="dxa"/>
            <w:vMerge w:val="continue"/>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topLinePunct w:val="0"/>
              <w:autoSpaceDE/>
              <w:autoSpaceDN/>
              <w:bidi w:val="0"/>
              <w:snapToGrid/>
              <w:spacing w:line="360" w:lineRule="auto"/>
              <w:jc w:val="center"/>
              <w:rPr>
                <w:rFonts w:ascii="Times New Roman" w:hAnsi="Times New Roman" w:eastAsia="宋体" w:cs="Times New Roman"/>
                <w:color w:val="000000"/>
                <w:szCs w:val="21"/>
                <w:highlight w:val="none"/>
              </w:rPr>
            </w:pPr>
          </w:p>
        </w:tc>
        <w:tc>
          <w:tcPr>
            <w:tcW w:w="1613" w:type="dxa"/>
            <w:vMerge w:val="continue"/>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topLinePunct w:val="0"/>
              <w:autoSpaceDE/>
              <w:autoSpaceDN/>
              <w:bidi w:val="0"/>
              <w:snapToGrid/>
              <w:spacing w:line="360" w:lineRule="auto"/>
              <w:jc w:val="center"/>
              <w:rPr>
                <w:rFonts w:ascii="Times New Roman" w:hAnsi="Times New Roman" w:eastAsia="宋体" w:cs="Times New Roman"/>
                <w:color w:val="000000"/>
                <w:szCs w:val="21"/>
                <w:highlight w:val="none"/>
              </w:rPr>
            </w:pPr>
          </w:p>
        </w:tc>
        <w:tc>
          <w:tcPr>
            <w:tcW w:w="1138" w:type="dxa"/>
            <w:vMerge w:val="continue"/>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topLinePunct w:val="0"/>
              <w:autoSpaceDE/>
              <w:autoSpaceDN/>
              <w:bidi w:val="0"/>
              <w:snapToGrid/>
              <w:spacing w:line="360" w:lineRule="auto"/>
              <w:jc w:val="center"/>
              <w:rPr>
                <w:rFonts w:ascii="Times New Roman" w:hAnsi="Times New Roman" w:eastAsia="宋体" w:cs="Times New Roman"/>
                <w:color w:val="000000"/>
                <w:szCs w:val="21"/>
                <w:highlight w:val="none"/>
              </w:rPr>
            </w:pPr>
          </w:p>
        </w:tc>
      </w:tr>
    </w:tbl>
    <w:p>
      <w:pPr>
        <w:pageBreakBefore w:val="0"/>
        <w:kinsoku/>
        <w:wordWrap/>
        <w:topLinePunct w:val="0"/>
        <w:autoSpaceDE/>
        <w:autoSpaceDN/>
        <w:bidi w:val="0"/>
        <w:snapToGrid/>
        <w:spacing w:line="360" w:lineRule="auto"/>
        <w:ind w:firstLine="480" w:firstLineChars="200"/>
        <w:outlineLvl w:val="2"/>
        <w:rPr>
          <w:rFonts w:hint="eastAsia" w:ascii="黑体" w:hAnsi="黑体" w:eastAsia="黑体"/>
          <w:sz w:val="24"/>
          <w:szCs w:val="24"/>
          <w:highlight w:val="none"/>
          <w:lang w:val="en-US" w:eastAsia="zh-CN"/>
        </w:rPr>
      </w:pPr>
      <w:r>
        <w:rPr>
          <w:rFonts w:hint="eastAsia" w:ascii="黑体" w:hAnsi="黑体" w:eastAsia="黑体"/>
          <w:sz w:val="24"/>
          <w:szCs w:val="24"/>
          <w:highlight w:val="none"/>
          <w:lang w:val="en-US" w:eastAsia="zh-CN"/>
        </w:rPr>
        <w:t>5.1.2不同实验室间对比</w:t>
      </w:r>
    </w:p>
    <w:p>
      <w:pPr>
        <w:pageBreakBefore w:val="0"/>
        <w:kinsoku/>
        <w:wordWrap/>
        <w:topLinePunct w:val="0"/>
        <w:autoSpaceDE/>
        <w:autoSpaceDN/>
        <w:bidi w:val="0"/>
        <w:snapToGrid/>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试验内容：考察不同时空条件下，不同实验室间试验结果。邀请</w:t>
      </w:r>
      <w:r>
        <w:rPr>
          <w:rFonts w:hint="eastAsia" w:ascii="Times New Roman" w:hAnsi="Times New Roman" w:eastAsia="宋体" w:cs="Times New Roman"/>
          <w:sz w:val="24"/>
          <w:szCs w:val="24"/>
          <w:highlight w:val="none"/>
          <w:lang w:val="en-US" w:eastAsia="zh-CN"/>
        </w:rPr>
        <w:t>湖南同聚化工有限公司、云南铁峰矿业化工新技术有限公司</w:t>
      </w:r>
      <w:r>
        <w:rPr>
          <w:rFonts w:ascii="Times New Roman" w:hAnsi="Times New Roman" w:eastAsia="宋体" w:cs="Times New Roman"/>
          <w:sz w:val="24"/>
          <w:szCs w:val="24"/>
          <w:highlight w:val="none"/>
        </w:rPr>
        <w:t>、</w:t>
      </w:r>
      <w:r>
        <w:rPr>
          <w:rFonts w:hint="eastAsia" w:ascii="Times New Roman" w:hAnsi="Times New Roman" w:eastAsia="宋体" w:cs="Times New Roman"/>
          <w:sz w:val="24"/>
          <w:szCs w:val="24"/>
          <w:highlight w:val="none"/>
          <w:lang w:val="en-US" w:eastAsia="zh-CN"/>
        </w:rPr>
        <w:t>北矿化学（沧州）科技有限公司</w:t>
      </w:r>
      <w:r>
        <w:rPr>
          <w:rFonts w:ascii="Times New Roman" w:hAnsi="Times New Roman" w:eastAsia="宋体" w:cs="Times New Roman"/>
          <w:sz w:val="24"/>
          <w:szCs w:val="24"/>
          <w:highlight w:val="none"/>
        </w:rPr>
        <w:t>作为验证单位，对该方法进行验证，按起草标准制定的试验方法对提供的试验样品进行了验证工作，并考察了该方法的精密度。</w:t>
      </w:r>
    </w:p>
    <w:p>
      <w:pPr>
        <w:pageBreakBefore w:val="0"/>
        <w:kinsoku/>
        <w:wordWrap/>
        <w:topLinePunct w:val="0"/>
        <w:autoSpaceDE/>
        <w:autoSpaceDN/>
        <w:bidi w:val="0"/>
        <w:snapToGrid/>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试验方法：试验方法同</w:t>
      </w:r>
      <w:r>
        <w:rPr>
          <w:rFonts w:hint="eastAsia" w:ascii="Times New Roman" w:hAnsi="Times New Roman" w:eastAsia="宋体" w:cs="Times New Roman"/>
          <w:sz w:val="24"/>
          <w:szCs w:val="24"/>
          <w:highlight w:val="none"/>
        </w:rPr>
        <w:t>上。</w:t>
      </w:r>
    </w:p>
    <w:p>
      <w:pPr>
        <w:pageBreakBefore w:val="0"/>
        <w:kinsoku/>
        <w:wordWrap/>
        <w:topLinePunct w:val="0"/>
        <w:autoSpaceDE/>
        <w:autoSpaceDN/>
        <w:bidi w:val="0"/>
        <w:snapToGrid/>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试验结果：</w:t>
      </w:r>
    </w:p>
    <w:p>
      <w:pPr>
        <w:pStyle w:val="19"/>
        <w:pageBreakBefore w:val="0"/>
        <w:kinsoku/>
        <w:wordWrap/>
        <w:topLinePunct w:val="0"/>
        <w:autoSpaceDE/>
        <w:autoSpaceDN/>
        <w:bidi w:val="0"/>
        <w:snapToGrid/>
        <w:spacing w:line="360" w:lineRule="auto"/>
        <w:ind w:firstLine="560"/>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lang w:val="en-US" w:eastAsia="zh-CN"/>
        </w:rPr>
        <w:t>湖南同聚化工有限公司</w:t>
      </w:r>
      <w:r>
        <w:rPr>
          <w:rFonts w:ascii="Times New Roman" w:hAnsi="Times New Roman" w:eastAsia="宋体" w:cs="Times New Roman"/>
          <w:sz w:val="24"/>
          <w:szCs w:val="24"/>
          <w:highlight w:val="none"/>
        </w:rPr>
        <w:t>按本标准测定试验结果</w:t>
      </w:r>
      <w:r>
        <w:rPr>
          <w:rFonts w:hint="eastAsia" w:ascii="Times New Roman" w:hAnsi="Times New Roman" w:eastAsia="宋体" w:cs="Times New Roman"/>
          <w:sz w:val="24"/>
          <w:szCs w:val="24"/>
          <w:highlight w:val="none"/>
        </w:rPr>
        <w:t>详</w:t>
      </w:r>
      <w:r>
        <w:rPr>
          <w:rFonts w:ascii="Times New Roman" w:hAnsi="Times New Roman" w:eastAsia="宋体" w:cs="Times New Roman"/>
          <w:sz w:val="24"/>
          <w:szCs w:val="24"/>
          <w:highlight w:val="none"/>
        </w:rPr>
        <w:t>见表</w:t>
      </w:r>
      <w:r>
        <w:rPr>
          <w:rFonts w:hint="eastAsia" w:ascii="Times New Roman" w:hAnsi="Times New Roman" w:eastAsia="宋体" w:cs="Times New Roman"/>
          <w:sz w:val="24"/>
          <w:szCs w:val="24"/>
          <w:highlight w:val="none"/>
          <w:lang w:val="en-US" w:eastAsia="zh-CN"/>
        </w:rPr>
        <w:t>5</w:t>
      </w:r>
      <w:r>
        <w:rPr>
          <w:rFonts w:hint="eastAsia" w:ascii="Times New Roman" w:hAnsi="Times New Roman" w:eastAsia="宋体" w:cs="Times New Roman"/>
          <w:sz w:val="24"/>
          <w:szCs w:val="24"/>
          <w:highlight w:val="none"/>
        </w:rPr>
        <w:t>-</w:t>
      </w:r>
      <w:r>
        <w:rPr>
          <w:rFonts w:hint="eastAsia" w:ascii="Times New Roman" w:hAnsi="Times New Roman" w:eastAsia="宋体" w:cs="Times New Roman"/>
          <w:sz w:val="24"/>
          <w:szCs w:val="24"/>
          <w:highlight w:val="none"/>
          <w:lang w:val="en-US" w:eastAsia="zh-CN"/>
        </w:rPr>
        <w:t>2</w:t>
      </w:r>
      <w:r>
        <w:rPr>
          <w:rFonts w:ascii="Times New Roman" w:hAnsi="Times New Roman" w:eastAsia="宋体" w:cs="Times New Roman"/>
          <w:sz w:val="24"/>
          <w:szCs w:val="24"/>
          <w:highlight w:val="none"/>
        </w:rPr>
        <w:t>。</w:t>
      </w:r>
    </w:p>
    <w:p>
      <w:pPr>
        <w:pStyle w:val="19"/>
        <w:pageBreakBefore w:val="0"/>
        <w:kinsoku/>
        <w:wordWrap/>
        <w:topLinePunct w:val="0"/>
        <w:autoSpaceDE/>
        <w:autoSpaceDN/>
        <w:bidi w:val="0"/>
        <w:snapToGrid/>
        <w:spacing w:line="360" w:lineRule="auto"/>
        <w:ind w:left="720" w:firstLine="0" w:firstLineChars="0"/>
        <w:jc w:val="center"/>
        <w:rPr>
          <w:rFonts w:ascii="Times New Roman" w:hAnsi="Times New Roman" w:eastAsia="宋体" w:cs="Times New Roman"/>
          <w:szCs w:val="21"/>
          <w:highlight w:val="none"/>
        </w:rPr>
      </w:pPr>
      <w:r>
        <w:rPr>
          <w:rFonts w:ascii="Times New Roman" w:hAnsi="Times New Roman" w:eastAsia="宋体" w:cs="Times New Roman"/>
          <w:szCs w:val="21"/>
          <w:highlight w:val="none"/>
        </w:rPr>
        <w:t>表</w:t>
      </w:r>
      <w:r>
        <w:rPr>
          <w:rFonts w:hint="eastAsia" w:ascii="Times New Roman" w:hAnsi="Times New Roman" w:eastAsia="宋体" w:cs="Times New Roman"/>
          <w:szCs w:val="21"/>
          <w:highlight w:val="none"/>
          <w:lang w:val="en-US" w:eastAsia="zh-CN"/>
        </w:rPr>
        <w:t>5-2</w:t>
      </w:r>
      <w:r>
        <w:rPr>
          <w:rFonts w:ascii="Times New Roman" w:hAnsi="Times New Roman" w:eastAsia="宋体" w:cs="Times New Roman"/>
          <w:szCs w:val="21"/>
          <w:highlight w:val="none"/>
        </w:rPr>
        <w:t xml:space="preserve"> </w:t>
      </w:r>
      <w:r>
        <w:rPr>
          <w:rFonts w:hint="eastAsia" w:ascii="Times New Roman" w:hAnsi="Times New Roman" w:eastAsia="宋体" w:cs="Times New Roman"/>
          <w:szCs w:val="21"/>
          <w:highlight w:val="none"/>
          <w:lang w:val="en-US" w:eastAsia="zh-CN"/>
        </w:rPr>
        <w:t>湖南同聚化工有限公司测试</w:t>
      </w:r>
      <w:r>
        <w:rPr>
          <w:rFonts w:ascii="Times New Roman" w:hAnsi="Times New Roman" w:eastAsia="宋体" w:cs="Times New Roman"/>
          <w:szCs w:val="21"/>
          <w:highlight w:val="none"/>
        </w:rPr>
        <w:t>结果</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9"/>
        <w:gridCol w:w="1659"/>
        <w:gridCol w:w="1659"/>
        <w:gridCol w:w="1659"/>
        <w:gridCol w:w="16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9" w:type="dxa"/>
            <w:noWrap w:val="0"/>
            <w:vAlign w:val="top"/>
          </w:tcPr>
          <w:p>
            <w:pPr>
              <w:pStyle w:val="19"/>
              <w:pageBreakBefore w:val="0"/>
              <w:kinsoku/>
              <w:wordWrap/>
              <w:topLinePunct w:val="0"/>
              <w:autoSpaceDE/>
              <w:autoSpaceDN/>
              <w:bidi w:val="0"/>
              <w:snapToGrid/>
              <w:spacing w:line="360" w:lineRule="auto"/>
              <w:ind w:firstLine="0" w:firstLineChars="0"/>
              <w:jc w:val="center"/>
              <w:rPr>
                <w:rFonts w:ascii="Times New Roman" w:hAnsi="Times New Roman" w:eastAsia="宋体" w:cs="Times New Roman"/>
                <w:szCs w:val="21"/>
                <w:highlight w:val="none"/>
              </w:rPr>
            </w:pPr>
            <w:r>
              <w:rPr>
                <w:rFonts w:ascii="Times New Roman" w:hAnsi="Times New Roman" w:eastAsia="宋体" w:cs="Times New Roman"/>
                <w:szCs w:val="21"/>
                <w:highlight w:val="none"/>
              </w:rPr>
              <w:t>序号</w:t>
            </w:r>
          </w:p>
        </w:tc>
        <w:tc>
          <w:tcPr>
            <w:tcW w:w="1659" w:type="dxa"/>
            <w:noWrap w:val="0"/>
            <w:vAlign w:val="top"/>
          </w:tcPr>
          <w:p>
            <w:pPr>
              <w:pStyle w:val="19"/>
              <w:pageBreakBefore w:val="0"/>
              <w:kinsoku/>
              <w:wordWrap/>
              <w:topLinePunct w:val="0"/>
              <w:autoSpaceDE/>
              <w:autoSpaceDN/>
              <w:bidi w:val="0"/>
              <w:snapToGrid/>
              <w:spacing w:line="360" w:lineRule="auto"/>
              <w:ind w:firstLine="0" w:firstLineChars="0"/>
              <w:jc w:val="center"/>
              <w:rPr>
                <w:rFonts w:hint="default" w:ascii="Times New Roman" w:hAnsi="Times New Roman" w:eastAsia="宋体" w:cs="Times New Roman"/>
                <w:szCs w:val="21"/>
                <w:highlight w:val="none"/>
                <w:lang w:val="en-US" w:eastAsia="zh-CN"/>
              </w:rPr>
            </w:pPr>
            <w:r>
              <w:rPr>
                <w:rFonts w:ascii="Times New Roman" w:hAnsi="Times New Roman" w:eastAsia="宋体" w:cs="Times New Roman"/>
                <w:szCs w:val="21"/>
                <w:highlight w:val="none"/>
              </w:rPr>
              <w:t>滴定结果</w:t>
            </w:r>
            <w:r>
              <w:rPr>
                <w:rFonts w:hint="eastAsia" w:ascii="Times New Roman" w:hAnsi="Times New Roman" w:eastAsia="宋体" w:cs="Times New Roman"/>
                <w:szCs w:val="21"/>
                <w:highlight w:val="none"/>
                <w:lang w:val="en-US" w:eastAsia="zh-CN"/>
              </w:rPr>
              <w:t>/%</w:t>
            </w:r>
          </w:p>
        </w:tc>
        <w:tc>
          <w:tcPr>
            <w:tcW w:w="1659" w:type="dxa"/>
            <w:noWrap w:val="0"/>
            <w:vAlign w:val="top"/>
          </w:tcPr>
          <w:p>
            <w:pPr>
              <w:pStyle w:val="19"/>
              <w:pageBreakBefore w:val="0"/>
              <w:kinsoku/>
              <w:wordWrap/>
              <w:topLinePunct w:val="0"/>
              <w:autoSpaceDE/>
              <w:autoSpaceDN/>
              <w:bidi w:val="0"/>
              <w:snapToGrid/>
              <w:spacing w:line="360" w:lineRule="auto"/>
              <w:ind w:firstLine="0" w:firstLineChars="0"/>
              <w:jc w:val="center"/>
              <w:rPr>
                <w:rFonts w:hint="default" w:ascii="Times New Roman" w:hAnsi="Times New Roman" w:eastAsia="宋体" w:cs="Times New Roman"/>
                <w:szCs w:val="21"/>
                <w:highlight w:val="none"/>
                <w:lang w:val="en-US" w:eastAsia="zh-CN"/>
              </w:rPr>
            </w:pPr>
            <w:r>
              <w:rPr>
                <w:rFonts w:ascii="Times New Roman" w:hAnsi="Times New Roman" w:eastAsia="宋体" w:cs="Times New Roman"/>
                <w:szCs w:val="21"/>
                <w:highlight w:val="none"/>
              </w:rPr>
              <w:t>平均值</w:t>
            </w:r>
            <w:r>
              <w:rPr>
                <w:rFonts w:hint="eastAsia" w:ascii="Times New Roman" w:hAnsi="Times New Roman" w:eastAsia="宋体" w:cs="Times New Roman"/>
                <w:szCs w:val="21"/>
                <w:highlight w:val="none"/>
                <w:lang w:val="en-US" w:eastAsia="zh-CN"/>
              </w:rPr>
              <w:t>/%</w:t>
            </w:r>
          </w:p>
        </w:tc>
        <w:tc>
          <w:tcPr>
            <w:tcW w:w="1659" w:type="dxa"/>
            <w:noWrap w:val="0"/>
            <w:vAlign w:val="top"/>
          </w:tcPr>
          <w:p>
            <w:pPr>
              <w:pStyle w:val="19"/>
              <w:pageBreakBefore w:val="0"/>
              <w:kinsoku/>
              <w:wordWrap/>
              <w:topLinePunct w:val="0"/>
              <w:autoSpaceDE/>
              <w:autoSpaceDN/>
              <w:bidi w:val="0"/>
              <w:snapToGrid/>
              <w:spacing w:line="360" w:lineRule="auto"/>
              <w:ind w:firstLine="0" w:firstLineChars="0"/>
              <w:jc w:val="center"/>
              <w:rPr>
                <w:rFonts w:ascii="Times New Roman" w:hAnsi="Times New Roman" w:eastAsia="宋体" w:cs="Times New Roman"/>
                <w:szCs w:val="21"/>
                <w:highlight w:val="none"/>
              </w:rPr>
            </w:pPr>
            <w:r>
              <w:rPr>
                <w:rFonts w:ascii="Times New Roman" w:hAnsi="Times New Roman" w:eastAsia="宋体" w:cs="Times New Roman"/>
                <w:szCs w:val="21"/>
                <w:highlight w:val="none"/>
              </w:rPr>
              <w:t>SD</w:t>
            </w:r>
          </w:p>
        </w:tc>
        <w:tc>
          <w:tcPr>
            <w:tcW w:w="1660" w:type="dxa"/>
            <w:noWrap w:val="0"/>
            <w:vAlign w:val="top"/>
          </w:tcPr>
          <w:p>
            <w:pPr>
              <w:pStyle w:val="19"/>
              <w:pageBreakBefore w:val="0"/>
              <w:kinsoku/>
              <w:wordWrap/>
              <w:topLinePunct w:val="0"/>
              <w:autoSpaceDE/>
              <w:autoSpaceDN/>
              <w:bidi w:val="0"/>
              <w:snapToGrid/>
              <w:spacing w:line="360" w:lineRule="auto"/>
              <w:ind w:firstLine="0" w:firstLineChars="0"/>
              <w:jc w:val="center"/>
              <w:rPr>
                <w:rFonts w:ascii="Times New Roman" w:hAnsi="Times New Roman" w:eastAsia="宋体" w:cs="Times New Roman"/>
                <w:szCs w:val="21"/>
                <w:highlight w:val="none"/>
              </w:rPr>
            </w:pPr>
            <w:r>
              <w:rPr>
                <w:rFonts w:ascii="Times New Roman" w:hAnsi="Times New Roman" w:eastAsia="宋体" w:cs="Times New Roman"/>
                <w:szCs w:val="21"/>
                <w:highlight w:val="none"/>
              </w:rPr>
              <w:t>RSD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9" w:type="dxa"/>
            <w:noWrap w:val="0"/>
            <w:vAlign w:val="top"/>
          </w:tcPr>
          <w:p>
            <w:pPr>
              <w:pStyle w:val="19"/>
              <w:pageBreakBefore w:val="0"/>
              <w:kinsoku/>
              <w:wordWrap/>
              <w:topLinePunct w:val="0"/>
              <w:autoSpaceDE/>
              <w:autoSpaceDN/>
              <w:bidi w:val="0"/>
              <w:snapToGrid/>
              <w:spacing w:line="360" w:lineRule="auto"/>
              <w:ind w:firstLine="0" w:firstLineChars="0"/>
              <w:jc w:val="center"/>
              <w:rPr>
                <w:rFonts w:ascii="Times New Roman" w:hAnsi="Times New Roman" w:eastAsia="宋体" w:cs="Times New Roman"/>
                <w:szCs w:val="21"/>
                <w:highlight w:val="none"/>
              </w:rPr>
            </w:pPr>
            <w:r>
              <w:rPr>
                <w:rFonts w:ascii="Times New Roman" w:hAnsi="Times New Roman" w:eastAsia="宋体" w:cs="Times New Roman"/>
                <w:szCs w:val="21"/>
                <w:highlight w:val="none"/>
              </w:rPr>
              <w:t>1</w:t>
            </w:r>
          </w:p>
        </w:tc>
        <w:tc>
          <w:tcPr>
            <w:tcW w:w="1659" w:type="dxa"/>
            <w:noWrap w:val="0"/>
            <w:vAlign w:val="top"/>
          </w:tcPr>
          <w:p>
            <w:pPr>
              <w:pStyle w:val="19"/>
              <w:pageBreakBefore w:val="0"/>
              <w:kinsoku/>
              <w:wordWrap/>
              <w:topLinePunct w:val="0"/>
              <w:autoSpaceDE/>
              <w:autoSpaceDN/>
              <w:bidi w:val="0"/>
              <w:snapToGrid/>
              <w:spacing w:line="360" w:lineRule="auto"/>
              <w:ind w:firstLine="0" w:firstLineChars="0"/>
              <w:jc w:val="center"/>
              <w:rPr>
                <w:rFonts w:ascii="Times New Roman" w:hAnsi="Times New Roman" w:eastAsia="宋体" w:cs="Times New Roman"/>
                <w:szCs w:val="21"/>
                <w:highlight w:val="none"/>
              </w:rPr>
            </w:pPr>
            <w:r>
              <w:rPr>
                <w:rFonts w:hint="eastAsia" w:ascii="Times New Roman" w:hAnsi="Times New Roman" w:eastAsia="宋体" w:cs="Times New Roman"/>
                <w:szCs w:val="21"/>
                <w:highlight w:val="none"/>
                <w:lang w:val="en-US" w:eastAsia="zh-CN"/>
              </w:rPr>
              <w:t>60.60</w:t>
            </w:r>
          </w:p>
        </w:tc>
        <w:tc>
          <w:tcPr>
            <w:tcW w:w="1659" w:type="dxa"/>
            <w:vMerge w:val="restart"/>
            <w:noWrap w:val="0"/>
            <w:vAlign w:val="center"/>
          </w:tcPr>
          <w:p>
            <w:pPr>
              <w:pageBreakBefore w:val="0"/>
              <w:widowControl/>
              <w:kinsoku/>
              <w:wordWrap/>
              <w:topLinePunct w:val="0"/>
              <w:autoSpaceDE/>
              <w:autoSpaceDN/>
              <w:bidi w:val="0"/>
              <w:snapToGrid/>
              <w:spacing w:line="360" w:lineRule="auto"/>
              <w:jc w:val="center"/>
              <w:textAlignment w:val="center"/>
              <w:rPr>
                <w:rFonts w:ascii="Times New Roman" w:hAnsi="Times New Roman" w:eastAsia="宋体" w:cs="Times New Roman"/>
                <w:szCs w:val="21"/>
                <w:highlight w:val="none"/>
              </w:rPr>
            </w:pPr>
            <w:r>
              <w:rPr>
                <w:rFonts w:hint="eastAsia" w:ascii="Times New Roman" w:hAnsi="Times New Roman" w:eastAsia="宋体" w:cs="Times New Roman"/>
                <w:color w:val="000000"/>
                <w:kern w:val="0"/>
                <w:szCs w:val="21"/>
                <w:highlight w:val="none"/>
                <w:lang w:val="en-US" w:eastAsia="zh-CN" w:bidi="ar"/>
              </w:rPr>
              <w:t>60.49</w:t>
            </w:r>
          </w:p>
        </w:tc>
        <w:tc>
          <w:tcPr>
            <w:tcW w:w="1659" w:type="dxa"/>
            <w:vMerge w:val="restart"/>
            <w:noWrap w:val="0"/>
            <w:vAlign w:val="center"/>
          </w:tcPr>
          <w:p>
            <w:pPr>
              <w:pStyle w:val="19"/>
              <w:pageBreakBefore w:val="0"/>
              <w:kinsoku/>
              <w:wordWrap/>
              <w:topLinePunct w:val="0"/>
              <w:autoSpaceDE/>
              <w:autoSpaceDN/>
              <w:bidi w:val="0"/>
              <w:snapToGrid/>
              <w:spacing w:line="360" w:lineRule="auto"/>
              <w:ind w:firstLine="0" w:firstLineChars="0"/>
              <w:jc w:val="center"/>
              <w:rPr>
                <w:rFonts w:hint="default" w:ascii="Times New Roman" w:hAnsi="Times New Roman" w:eastAsia="宋体" w:cs="Times New Roman"/>
                <w:szCs w:val="21"/>
                <w:highlight w:val="none"/>
                <w:lang w:val="en-US" w:eastAsia="zh-CN"/>
              </w:rPr>
            </w:pPr>
            <w:r>
              <w:rPr>
                <w:rFonts w:ascii="Times New Roman" w:hAnsi="Times New Roman" w:eastAsia="宋体" w:cs="Times New Roman"/>
                <w:szCs w:val="21"/>
                <w:highlight w:val="none"/>
              </w:rPr>
              <w:t>0.00</w:t>
            </w:r>
            <w:r>
              <w:rPr>
                <w:rFonts w:hint="eastAsia" w:ascii="Times New Roman" w:hAnsi="Times New Roman" w:cs="Times New Roman"/>
                <w:szCs w:val="21"/>
                <w:highlight w:val="none"/>
                <w:lang w:val="en-US" w:eastAsia="zh-CN"/>
              </w:rPr>
              <w:t>19</w:t>
            </w:r>
          </w:p>
        </w:tc>
        <w:tc>
          <w:tcPr>
            <w:tcW w:w="1660" w:type="dxa"/>
            <w:vMerge w:val="restart"/>
            <w:noWrap w:val="0"/>
            <w:vAlign w:val="center"/>
          </w:tcPr>
          <w:p>
            <w:pPr>
              <w:pStyle w:val="19"/>
              <w:pageBreakBefore w:val="0"/>
              <w:kinsoku/>
              <w:wordWrap/>
              <w:topLinePunct w:val="0"/>
              <w:autoSpaceDE/>
              <w:autoSpaceDN/>
              <w:bidi w:val="0"/>
              <w:snapToGrid/>
              <w:spacing w:line="360" w:lineRule="auto"/>
              <w:ind w:firstLine="0" w:firstLineChars="0"/>
              <w:jc w:val="center"/>
              <w:rPr>
                <w:rFonts w:ascii="Times New Roman" w:hAnsi="Times New Roman" w:eastAsia="宋体" w:cs="Times New Roman"/>
                <w:szCs w:val="21"/>
                <w:highlight w:val="none"/>
              </w:rPr>
            </w:pPr>
            <w:r>
              <w:rPr>
                <w:rFonts w:ascii="Times New Roman" w:hAnsi="Times New Roman" w:eastAsia="宋体" w:cs="Times New Roman"/>
                <w:szCs w:val="21"/>
                <w:highlight w:val="none"/>
              </w:rPr>
              <w:t>1.</w:t>
            </w:r>
            <w:r>
              <w:rPr>
                <w:rFonts w:hint="eastAsia" w:ascii="Times New Roman" w:hAnsi="Times New Roman" w:cs="Times New Roman"/>
                <w:szCs w:val="21"/>
                <w:highlight w:val="none"/>
                <w:lang w:val="en-US" w:eastAsia="zh-CN"/>
              </w:rPr>
              <w:t>12</w:t>
            </w:r>
            <w:r>
              <w:rPr>
                <w:rFonts w:ascii="Times New Roman" w:hAnsi="Times New Roman" w:eastAsia="宋体" w:cs="Times New Roman"/>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9" w:type="dxa"/>
            <w:noWrap w:val="0"/>
            <w:vAlign w:val="top"/>
          </w:tcPr>
          <w:p>
            <w:pPr>
              <w:pageBreakBefore w:val="0"/>
              <w:kinsoku/>
              <w:wordWrap/>
              <w:topLinePunct w:val="0"/>
              <w:autoSpaceDE/>
              <w:autoSpaceDN/>
              <w:bidi w:val="0"/>
              <w:snapToGrid/>
              <w:spacing w:line="360" w:lineRule="auto"/>
              <w:jc w:val="center"/>
              <w:rPr>
                <w:rFonts w:ascii="Times New Roman" w:hAnsi="Times New Roman" w:eastAsia="宋体" w:cs="Times New Roman"/>
                <w:szCs w:val="21"/>
                <w:highlight w:val="none"/>
              </w:rPr>
            </w:pPr>
            <w:r>
              <w:rPr>
                <w:rFonts w:ascii="Times New Roman" w:hAnsi="Times New Roman" w:eastAsia="宋体" w:cs="Times New Roman"/>
                <w:szCs w:val="21"/>
                <w:highlight w:val="none"/>
              </w:rPr>
              <w:t>2</w:t>
            </w:r>
          </w:p>
        </w:tc>
        <w:tc>
          <w:tcPr>
            <w:tcW w:w="1659" w:type="dxa"/>
            <w:noWrap w:val="0"/>
            <w:vAlign w:val="top"/>
          </w:tcPr>
          <w:p>
            <w:pPr>
              <w:pStyle w:val="19"/>
              <w:pageBreakBefore w:val="0"/>
              <w:kinsoku/>
              <w:wordWrap/>
              <w:topLinePunct w:val="0"/>
              <w:autoSpaceDE/>
              <w:autoSpaceDN/>
              <w:bidi w:val="0"/>
              <w:snapToGrid/>
              <w:spacing w:line="360" w:lineRule="auto"/>
              <w:ind w:firstLine="0" w:firstLineChars="0"/>
              <w:jc w:val="center"/>
              <w:rPr>
                <w:rFonts w:ascii="Times New Roman" w:hAnsi="Times New Roman" w:eastAsia="宋体" w:cs="Times New Roman"/>
                <w:szCs w:val="21"/>
                <w:highlight w:val="none"/>
              </w:rPr>
            </w:pPr>
            <w:r>
              <w:rPr>
                <w:rFonts w:hint="eastAsia" w:ascii="Times New Roman" w:hAnsi="Times New Roman" w:eastAsia="宋体" w:cs="Times New Roman"/>
                <w:szCs w:val="21"/>
                <w:highlight w:val="none"/>
                <w:lang w:val="en-US" w:eastAsia="zh-CN"/>
              </w:rPr>
              <w:t>60.30</w:t>
            </w:r>
          </w:p>
        </w:tc>
        <w:tc>
          <w:tcPr>
            <w:tcW w:w="1659" w:type="dxa"/>
            <w:vMerge w:val="continue"/>
            <w:noWrap w:val="0"/>
            <w:vAlign w:val="top"/>
          </w:tcPr>
          <w:p>
            <w:pPr>
              <w:pageBreakBefore w:val="0"/>
              <w:kinsoku/>
              <w:wordWrap/>
              <w:topLinePunct w:val="0"/>
              <w:autoSpaceDE/>
              <w:autoSpaceDN/>
              <w:bidi w:val="0"/>
              <w:snapToGrid/>
              <w:spacing w:line="360" w:lineRule="auto"/>
              <w:jc w:val="center"/>
              <w:rPr>
                <w:rFonts w:ascii="Times New Roman" w:hAnsi="Times New Roman" w:eastAsia="宋体" w:cs="Times New Roman"/>
                <w:szCs w:val="21"/>
                <w:highlight w:val="none"/>
              </w:rPr>
            </w:pPr>
          </w:p>
        </w:tc>
        <w:tc>
          <w:tcPr>
            <w:tcW w:w="1659" w:type="dxa"/>
            <w:vMerge w:val="continue"/>
            <w:noWrap w:val="0"/>
            <w:vAlign w:val="top"/>
          </w:tcPr>
          <w:p>
            <w:pPr>
              <w:pageBreakBefore w:val="0"/>
              <w:kinsoku/>
              <w:wordWrap/>
              <w:topLinePunct w:val="0"/>
              <w:autoSpaceDE/>
              <w:autoSpaceDN/>
              <w:bidi w:val="0"/>
              <w:snapToGrid/>
              <w:spacing w:line="360" w:lineRule="auto"/>
              <w:jc w:val="center"/>
              <w:rPr>
                <w:rFonts w:ascii="Times New Roman" w:hAnsi="Times New Roman" w:eastAsia="宋体" w:cs="Times New Roman"/>
                <w:szCs w:val="21"/>
                <w:highlight w:val="none"/>
              </w:rPr>
            </w:pPr>
          </w:p>
        </w:tc>
        <w:tc>
          <w:tcPr>
            <w:tcW w:w="1660" w:type="dxa"/>
            <w:vMerge w:val="continue"/>
            <w:noWrap w:val="0"/>
            <w:vAlign w:val="top"/>
          </w:tcPr>
          <w:p>
            <w:pPr>
              <w:pageBreakBefore w:val="0"/>
              <w:kinsoku/>
              <w:wordWrap/>
              <w:topLinePunct w:val="0"/>
              <w:autoSpaceDE/>
              <w:autoSpaceDN/>
              <w:bidi w:val="0"/>
              <w:snapToGrid/>
              <w:spacing w:line="360" w:lineRule="auto"/>
              <w:jc w:val="center"/>
              <w:rPr>
                <w:rFonts w:ascii="Times New Roman" w:hAnsi="Times New Roman" w:eastAsia="宋体"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9" w:type="dxa"/>
            <w:noWrap w:val="0"/>
            <w:vAlign w:val="top"/>
          </w:tcPr>
          <w:p>
            <w:pPr>
              <w:pageBreakBefore w:val="0"/>
              <w:kinsoku/>
              <w:wordWrap/>
              <w:topLinePunct w:val="0"/>
              <w:autoSpaceDE/>
              <w:autoSpaceDN/>
              <w:bidi w:val="0"/>
              <w:snapToGrid/>
              <w:spacing w:line="360" w:lineRule="auto"/>
              <w:jc w:val="center"/>
              <w:rPr>
                <w:rFonts w:ascii="Times New Roman" w:hAnsi="Times New Roman" w:eastAsia="宋体" w:cs="Times New Roman"/>
                <w:szCs w:val="21"/>
                <w:highlight w:val="none"/>
              </w:rPr>
            </w:pPr>
            <w:r>
              <w:rPr>
                <w:rFonts w:ascii="Times New Roman" w:hAnsi="Times New Roman" w:eastAsia="宋体" w:cs="Times New Roman"/>
                <w:szCs w:val="21"/>
                <w:highlight w:val="none"/>
              </w:rPr>
              <w:t>3</w:t>
            </w:r>
          </w:p>
        </w:tc>
        <w:tc>
          <w:tcPr>
            <w:tcW w:w="1659" w:type="dxa"/>
            <w:noWrap w:val="0"/>
            <w:vAlign w:val="top"/>
          </w:tcPr>
          <w:p>
            <w:pPr>
              <w:pStyle w:val="19"/>
              <w:pageBreakBefore w:val="0"/>
              <w:kinsoku/>
              <w:wordWrap/>
              <w:topLinePunct w:val="0"/>
              <w:autoSpaceDE/>
              <w:autoSpaceDN/>
              <w:bidi w:val="0"/>
              <w:snapToGrid/>
              <w:spacing w:line="360" w:lineRule="auto"/>
              <w:ind w:firstLine="0" w:firstLineChars="0"/>
              <w:jc w:val="center"/>
              <w:rPr>
                <w:rFonts w:ascii="Times New Roman" w:hAnsi="Times New Roman" w:eastAsia="宋体" w:cs="Times New Roman"/>
                <w:szCs w:val="21"/>
                <w:highlight w:val="none"/>
              </w:rPr>
            </w:pPr>
            <w:r>
              <w:rPr>
                <w:rFonts w:hint="eastAsia" w:ascii="Times New Roman" w:hAnsi="Times New Roman" w:eastAsia="宋体" w:cs="Times New Roman"/>
                <w:szCs w:val="21"/>
                <w:highlight w:val="none"/>
                <w:lang w:val="en-US" w:eastAsia="zh-CN"/>
              </w:rPr>
              <w:t>60.52</w:t>
            </w:r>
          </w:p>
        </w:tc>
        <w:tc>
          <w:tcPr>
            <w:tcW w:w="1659" w:type="dxa"/>
            <w:vMerge w:val="continue"/>
            <w:noWrap w:val="0"/>
            <w:vAlign w:val="top"/>
          </w:tcPr>
          <w:p>
            <w:pPr>
              <w:pageBreakBefore w:val="0"/>
              <w:kinsoku/>
              <w:wordWrap/>
              <w:topLinePunct w:val="0"/>
              <w:autoSpaceDE/>
              <w:autoSpaceDN/>
              <w:bidi w:val="0"/>
              <w:snapToGrid/>
              <w:spacing w:line="360" w:lineRule="auto"/>
              <w:jc w:val="center"/>
              <w:rPr>
                <w:rFonts w:ascii="Times New Roman" w:hAnsi="Times New Roman" w:eastAsia="宋体" w:cs="Times New Roman"/>
                <w:szCs w:val="21"/>
                <w:highlight w:val="none"/>
              </w:rPr>
            </w:pPr>
          </w:p>
        </w:tc>
        <w:tc>
          <w:tcPr>
            <w:tcW w:w="1659" w:type="dxa"/>
            <w:vMerge w:val="continue"/>
            <w:noWrap w:val="0"/>
            <w:vAlign w:val="top"/>
          </w:tcPr>
          <w:p>
            <w:pPr>
              <w:pageBreakBefore w:val="0"/>
              <w:kinsoku/>
              <w:wordWrap/>
              <w:topLinePunct w:val="0"/>
              <w:autoSpaceDE/>
              <w:autoSpaceDN/>
              <w:bidi w:val="0"/>
              <w:snapToGrid/>
              <w:spacing w:line="360" w:lineRule="auto"/>
              <w:jc w:val="center"/>
              <w:rPr>
                <w:rFonts w:ascii="Times New Roman" w:hAnsi="Times New Roman" w:eastAsia="宋体" w:cs="Times New Roman"/>
                <w:szCs w:val="21"/>
                <w:highlight w:val="none"/>
              </w:rPr>
            </w:pPr>
          </w:p>
        </w:tc>
        <w:tc>
          <w:tcPr>
            <w:tcW w:w="1660" w:type="dxa"/>
            <w:vMerge w:val="continue"/>
            <w:noWrap w:val="0"/>
            <w:vAlign w:val="top"/>
          </w:tcPr>
          <w:p>
            <w:pPr>
              <w:pageBreakBefore w:val="0"/>
              <w:kinsoku/>
              <w:wordWrap/>
              <w:topLinePunct w:val="0"/>
              <w:autoSpaceDE/>
              <w:autoSpaceDN/>
              <w:bidi w:val="0"/>
              <w:snapToGrid/>
              <w:spacing w:line="360" w:lineRule="auto"/>
              <w:jc w:val="center"/>
              <w:rPr>
                <w:rFonts w:ascii="Times New Roman" w:hAnsi="Times New Roman" w:eastAsia="宋体"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9" w:type="dxa"/>
            <w:noWrap w:val="0"/>
            <w:vAlign w:val="top"/>
          </w:tcPr>
          <w:p>
            <w:pPr>
              <w:pageBreakBefore w:val="0"/>
              <w:kinsoku/>
              <w:wordWrap/>
              <w:topLinePunct w:val="0"/>
              <w:autoSpaceDE/>
              <w:autoSpaceDN/>
              <w:bidi w:val="0"/>
              <w:snapToGrid/>
              <w:spacing w:line="360" w:lineRule="auto"/>
              <w:jc w:val="center"/>
              <w:rPr>
                <w:rFonts w:ascii="Times New Roman" w:hAnsi="Times New Roman" w:eastAsia="宋体" w:cs="Times New Roman"/>
                <w:szCs w:val="21"/>
                <w:highlight w:val="none"/>
              </w:rPr>
            </w:pPr>
            <w:r>
              <w:rPr>
                <w:rFonts w:ascii="Times New Roman" w:hAnsi="Times New Roman" w:eastAsia="宋体" w:cs="Times New Roman"/>
                <w:szCs w:val="21"/>
                <w:highlight w:val="none"/>
              </w:rPr>
              <w:t>4</w:t>
            </w:r>
          </w:p>
        </w:tc>
        <w:tc>
          <w:tcPr>
            <w:tcW w:w="1659" w:type="dxa"/>
            <w:noWrap w:val="0"/>
            <w:vAlign w:val="top"/>
          </w:tcPr>
          <w:p>
            <w:pPr>
              <w:pStyle w:val="19"/>
              <w:pageBreakBefore w:val="0"/>
              <w:kinsoku/>
              <w:wordWrap/>
              <w:topLinePunct w:val="0"/>
              <w:autoSpaceDE/>
              <w:autoSpaceDN/>
              <w:bidi w:val="0"/>
              <w:snapToGrid/>
              <w:spacing w:line="360" w:lineRule="auto"/>
              <w:ind w:firstLine="0" w:firstLineChars="0"/>
              <w:jc w:val="center"/>
              <w:rPr>
                <w:rFonts w:ascii="Times New Roman" w:hAnsi="Times New Roman" w:eastAsia="宋体" w:cs="Times New Roman"/>
                <w:szCs w:val="21"/>
                <w:highlight w:val="none"/>
              </w:rPr>
            </w:pPr>
            <w:r>
              <w:rPr>
                <w:rFonts w:hint="eastAsia" w:ascii="Times New Roman" w:hAnsi="Times New Roman" w:eastAsia="宋体" w:cs="Times New Roman"/>
                <w:szCs w:val="21"/>
                <w:highlight w:val="none"/>
                <w:lang w:val="en-US" w:eastAsia="zh-CN"/>
              </w:rPr>
              <w:t>60.52</w:t>
            </w:r>
          </w:p>
        </w:tc>
        <w:tc>
          <w:tcPr>
            <w:tcW w:w="1659" w:type="dxa"/>
            <w:vMerge w:val="continue"/>
            <w:noWrap w:val="0"/>
            <w:vAlign w:val="top"/>
          </w:tcPr>
          <w:p>
            <w:pPr>
              <w:pageBreakBefore w:val="0"/>
              <w:kinsoku/>
              <w:wordWrap/>
              <w:topLinePunct w:val="0"/>
              <w:autoSpaceDE/>
              <w:autoSpaceDN/>
              <w:bidi w:val="0"/>
              <w:snapToGrid/>
              <w:spacing w:line="360" w:lineRule="auto"/>
              <w:jc w:val="center"/>
              <w:rPr>
                <w:rFonts w:ascii="Times New Roman" w:hAnsi="Times New Roman" w:eastAsia="宋体" w:cs="Times New Roman"/>
                <w:szCs w:val="21"/>
                <w:highlight w:val="none"/>
              </w:rPr>
            </w:pPr>
          </w:p>
        </w:tc>
        <w:tc>
          <w:tcPr>
            <w:tcW w:w="1659" w:type="dxa"/>
            <w:vMerge w:val="continue"/>
            <w:noWrap w:val="0"/>
            <w:vAlign w:val="top"/>
          </w:tcPr>
          <w:p>
            <w:pPr>
              <w:pageBreakBefore w:val="0"/>
              <w:kinsoku/>
              <w:wordWrap/>
              <w:topLinePunct w:val="0"/>
              <w:autoSpaceDE/>
              <w:autoSpaceDN/>
              <w:bidi w:val="0"/>
              <w:snapToGrid/>
              <w:spacing w:line="360" w:lineRule="auto"/>
              <w:jc w:val="center"/>
              <w:rPr>
                <w:rFonts w:ascii="Times New Roman" w:hAnsi="Times New Roman" w:eastAsia="宋体" w:cs="Times New Roman"/>
                <w:szCs w:val="21"/>
                <w:highlight w:val="none"/>
              </w:rPr>
            </w:pPr>
          </w:p>
        </w:tc>
        <w:tc>
          <w:tcPr>
            <w:tcW w:w="1660" w:type="dxa"/>
            <w:vMerge w:val="continue"/>
            <w:noWrap w:val="0"/>
            <w:vAlign w:val="top"/>
          </w:tcPr>
          <w:p>
            <w:pPr>
              <w:pageBreakBefore w:val="0"/>
              <w:kinsoku/>
              <w:wordWrap/>
              <w:topLinePunct w:val="0"/>
              <w:autoSpaceDE/>
              <w:autoSpaceDN/>
              <w:bidi w:val="0"/>
              <w:snapToGrid/>
              <w:spacing w:line="360" w:lineRule="auto"/>
              <w:jc w:val="center"/>
              <w:rPr>
                <w:rFonts w:ascii="Times New Roman" w:hAnsi="Times New Roman" w:eastAsia="宋体" w:cs="Times New Roman"/>
                <w:szCs w:val="21"/>
                <w:highlight w:val="none"/>
              </w:rPr>
            </w:pPr>
          </w:p>
        </w:tc>
      </w:tr>
    </w:tbl>
    <w:p>
      <w:pPr>
        <w:pageBreakBefore w:val="0"/>
        <w:widowControl w:val="0"/>
        <w:kinsoku/>
        <w:wordWrap/>
        <w:topLinePunct w:val="0"/>
        <w:autoSpaceDE/>
        <w:autoSpaceDN/>
        <w:bidi w:val="0"/>
        <w:snapToGrid/>
        <w:spacing w:line="360" w:lineRule="auto"/>
        <w:ind w:firstLine="480" w:firstLineChars="200"/>
        <w:jc w:val="both"/>
        <w:rPr>
          <w:rFonts w:hint="eastAsia" w:ascii="Times New Roman" w:hAnsi="Times New Roman" w:eastAsia="宋体" w:cs="Times New Roman"/>
          <w:kern w:val="2"/>
          <w:sz w:val="24"/>
          <w:szCs w:val="24"/>
          <w:highlight w:val="none"/>
          <w:lang w:val="en-US" w:eastAsia="zh-CN" w:bidi="ar-SA"/>
        </w:rPr>
      </w:pPr>
    </w:p>
    <w:p>
      <w:pPr>
        <w:pageBreakBefore w:val="0"/>
        <w:widowControl w:val="0"/>
        <w:kinsoku/>
        <w:wordWrap/>
        <w:topLinePunct w:val="0"/>
        <w:autoSpaceDE/>
        <w:autoSpaceDN/>
        <w:bidi w:val="0"/>
        <w:snapToGrid/>
        <w:spacing w:line="360" w:lineRule="auto"/>
        <w:ind w:firstLine="480" w:firstLineChars="200"/>
        <w:jc w:val="both"/>
        <w:rPr>
          <w:rFonts w:ascii="Times New Roman" w:hAnsi="Times New Roman" w:eastAsia="宋体" w:cs="Times New Roman"/>
          <w:kern w:val="2"/>
          <w:sz w:val="24"/>
          <w:szCs w:val="24"/>
          <w:highlight w:val="none"/>
          <w:lang w:val="en-US" w:eastAsia="zh-CN" w:bidi="ar-SA"/>
        </w:rPr>
      </w:pPr>
      <w:r>
        <w:rPr>
          <w:rFonts w:hint="eastAsia" w:ascii="Times New Roman" w:hAnsi="Times New Roman" w:eastAsia="宋体" w:cs="Times New Roman"/>
          <w:kern w:val="2"/>
          <w:sz w:val="24"/>
          <w:szCs w:val="24"/>
          <w:highlight w:val="none"/>
          <w:lang w:val="en-US" w:eastAsia="zh-CN" w:bidi="ar-SA"/>
        </w:rPr>
        <w:t>云南铁峰矿业化工新技术有限公司</w:t>
      </w:r>
      <w:r>
        <w:rPr>
          <w:rFonts w:ascii="Times New Roman" w:hAnsi="Times New Roman" w:eastAsia="宋体" w:cs="Times New Roman"/>
          <w:kern w:val="2"/>
          <w:sz w:val="24"/>
          <w:szCs w:val="24"/>
          <w:highlight w:val="none"/>
          <w:lang w:val="en-US" w:eastAsia="zh-CN" w:bidi="ar-SA"/>
        </w:rPr>
        <w:t>按本标准测定试验结果</w:t>
      </w:r>
      <w:r>
        <w:rPr>
          <w:rFonts w:hint="eastAsia" w:ascii="Times New Roman" w:hAnsi="Times New Roman" w:eastAsia="宋体" w:cs="Times New Roman"/>
          <w:kern w:val="2"/>
          <w:sz w:val="24"/>
          <w:szCs w:val="24"/>
          <w:highlight w:val="none"/>
          <w:lang w:val="en-US" w:eastAsia="zh-CN" w:bidi="ar-SA"/>
        </w:rPr>
        <w:t>详</w:t>
      </w:r>
      <w:r>
        <w:rPr>
          <w:rFonts w:ascii="Times New Roman" w:hAnsi="Times New Roman" w:eastAsia="宋体" w:cs="Times New Roman"/>
          <w:kern w:val="2"/>
          <w:sz w:val="24"/>
          <w:szCs w:val="24"/>
          <w:highlight w:val="none"/>
          <w:lang w:val="en-US" w:eastAsia="zh-CN" w:bidi="ar-SA"/>
        </w:rPr>
        <w:t>见表</w:t>
      </w:r>
      <w:r>
        <w:rPr>
          <w:rFonts w:hint="eastAsia" w:ascii="Times New Roman" w:hAnsi="Times New Roman" w:eastAsia="宋体" w:cs="Times New Roman"/>
          <w:kern w:val="2"/>
          <w:sz w:val="24"/>
          <w:szCs w:val="24"/>
          <w:highlight w:val="none"/>
          <w:lang w:val="en-US" w:eastAsia="zh-CN" w:bidi="ar-SA"/>
        </w:rPr>
        <w:t>5-3</w:t>
      </w:r>
      <w:r>
        <w:rPr>
          <w:rFonts w:ascii="Times New Roman" w:hAnsi="Times New Roman" w:eastAsia="宋体" w:cs="Times New Roman"/>
          <w:kern w:val="2"/>
          <w:sz w:val="24"/>
          <w:szCs w:val="24"/>
          <w:highlight w:val="none"/>
          <w:lang w:val="en-US" w:eastAsia="zh-CN" w:bidi="ar-SA"/>
        </w:rPr>
        <w:t>。</w:t>
      </w:r>
    </w:p>
    <w:p>
      <w:pPr>
        <w:pageBreakBefore w:val="0"/>
        <w:widowControl w:val="0"/>
        <w:kinsoku/>
        <w:wordWrap/>
        <w:topLinePunct w:val="0"/>
        <w:autoSpaceDE/>
        <w:autoSpaceDN/>
        <w:bidi w:val="0"/>
        <w:snapToGrid/>
        <w:spacing w:line="360" w:lineRule="auto"/>
        <w:ind w:left="720" w:firstLine="0" w:firstLineChars="0"/>
        <w:jc w:val="center"/>
        <w:rPr>
          <w:rFonts w:ascii="Times New Roman" w:hAnsi="Times New Roman" w:eastAsia="宋体" w:cs="Times New Roman"/>
          <w:kern w:val="2"/>
          <w:sz w:val="21"/>
          <w:szCs w:val="21"/>
          <w:highlight w:val="none"/>
          <w:lang w:val="en-US" w:eastAsia="zh-CN" w:bidi="ar-SA"/>
        </w:rPr>
      </w:pPr>
      <w:r>
        <w:rPr>
          <w:rFonts w:ascii="Times New Roman" w:hAnsi="Times New Roman" w:eastAsia="宋体" w:cs="Times New Roman"/>
          <w:kern w:val="2"/>
          <w:sz w:val="21"/>
          <w:szCs w:val="21"/>
          <w:highlight w:val="none"/>
          <w:lang w:val="en-US" w:eastAsia="zh-CN" w:bidi="ar-SA"/>
        </w:rPr>
        <w:t>表</w:t>
      </w:r>
      <w:r>
        <w:rPr>
          <w:rFonts w:hint="eastAsia" w:ascii="Times New Roman" w:hAnsi="Times New Roman" w:eastAsia="宋体" w:cs="Times New Roman"/>
          <w:kern w:val="2"/>
          <w:sz w:val="21"/>
          <w:szCs w:val="21"/>
          <w:highlight w:val="none"/>
          <w:lang w:val="en-US" w:eastAsia="zh-CN" w:bidi="ar-SA"/>
        </w:rPr>
        <w:t>5-3</w:t>
      </w:r>
      <w:r>
        <w:rPr>
          <w:rFonts w:ascii="Times New Roman" w:hAnsi="Times New Roman" w:eastAsia="宋体" w:cs="Times New Roman"/>
          <w:kern w:val="2"/>
          <w:sz w:val="21"/>
          <w:szCs w:val="21"/>
          <w:highlight w:val="none"/>
          <w:lang w:val="en-US" w:eastAsia="zh-CN" w:bidi="ar-SA"/>
        </w:rPr>
        <w:t xml:space="preserve"> </w:t>
      </w:r>
      <w:r>
        <w:rPr>
          <w:rFonts w:hint="eastAsia" w:ascii="Times New Roman" w:hAnsi="Times New Roman" w:eastAsia="宋体" w:cs="Times New Roman"/>
          <w:kern w:val="2"/>
          <w:sz w:val="21"/>
          <w:szCs w:val="21"/>
          <w:highlight w:val="none"/>
          <w:lang w:val="en-US" w:eastAsia="zh-CN" w:bidi="ar-SA"/>
        </w:rPr>
        <w:t>云南铁峰矿业化工新技术有限公司测试</w:t>
      </w:r>
      <w:r>
        <w:rPr>
          <w:rFonts w:ascii="Times New Roman" w:hAnsi="Times New Roman" w:eastAsia="宋体" w:cs="Times New Roman"/>
          <w:kern w:val="2"/>
          <w:sz w:val="21"/>
          <w:szCs w:val="21"/>
          <w:highlight w:val="none"/>
          <w:lang w:val="en-US" w:eastAsia="zh-CN" w:bidi="ar-SA"/>
        </w:rPr>
        <w:t>结果</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9"/>
        <w:gridCol w:w="1659"/>
        <w:gridCol w:w="1659"/>
        <w:gridCol w:w="1659"/>
        <w:gridCol w:w="16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9" w:type="dxa"/>
            <w:noWrap w:val="0"/>
            <w:vAlign w:val="top"/>
          </w:tcPr>
          <w:p>
            <w:pPr>
              <w:pageBreakBefore w:val="0"/>
              <w:widowControl w:val="0"/>
              <w:kinsoku/>
              <w:wordWrap/>
              <w:topLinePunct w:val="0"/>
              <w:autoSpaceDE/>
              <w:autoSpaceDN/>
              <w:bidi w:val="0"/>
              <w:snapToGrid/>
              <w:spacing w:line="360" w:lineRule="auto"/>
              <w:ind w:firstLine="0" w:firstLineChars="0"/>
              <w:jc w:val="center"/>
              <w:rPr>
                <w:rFonts w:ascii="Times New Roman" w:hAnsi="Times New Roman" w:eastAsia="宋体" w:cs="Times New Roman"/>
                <w:kern w:val="2"/>
                <w:sz w:val="21"/>
                <w:szCs w:val="21"/>
                <w:highlight w:val="none"/>
                <w:lang w:val="en-US" w:eastAsia="zh-CN" w:bidi="ar-SA"/>
              </w:rPr>
            </w:pPr>
            <w:r>
              <w:rPr>
                <w:rFonts w:ascii="Times New Roman" w:hAnsi="Times New Roman" w:eastAsia="宋体" w:cs="Times New Roman"/>
                <w:kern w:val="2"/>
                <w:sz w:val="21"/>
                <w:szCs w:val="21"/>
                <w:highlight w:val="none"/>
                <w:lang w:val="en-US" w:eastAsia="zh-CN" w:bidi="ar-SA"/>
              </w:rPr>
              <w:t>序号</w:t>
            </w:r>
          </w:p>
        </w:tc>
        <w:tc>
          <w:tcPr>
            <w:tcW w:w="1659" w:type="dxa"/>
            <w:noWrap w:val="0"/>
            <w:vAlign w:val="top"/>
          </w:tcPr>
          <w:p>
            <w:pPr>
              <w:pageBreakBefore w:val="0"/>
              <w:widowControl w:val="0"/>
              <w:kinsoku/>
              <w:wordWrap/>
              <w:topLinePunct w:val="0"/>
              <w:autoSpaceDE/>
              <w:autoSpaceDN/>
              <w:bidi w:val="0"/>
              <w:snapToGrid/>
              <w:spacing w:line="360" w:lineRule="auto"/>
              <w:ind w:firstLine="0" w:firstLineChars="0"/>
              <w:jc w:val="center"/>
              <w:rPr>
                <w:rFonts w:hint="default" w:ascii="Times New Roman" w:hAnsi="Times New Roman" w:eastAsia="宋体" w:cs="Times New Roman"/>
                <w:kern w:val="2"/>
                <w:sz w:val="21"/>
                <w:szCs w:val="21"/>
                <w:highlight w:val="none"/>
                <w:lang w:val="en-US" w:eastAsia="zh-CN" w:bidi="ar-SA"/>
              </w:rPr>
            </w:pPr>
            <w:r>
              <w:rPr>
                <w:rFonts w:ascii="Times New Roman" w:hAnsi="Times New Roman" w:eastAsia="宋体" w:cs="Times New Roman"/>
                <w:kern w:val="2"/>
                <w:sz w:val="21"/>
                <w:szCs w:val="21"/>
                <w:highlight w:val="none"/>
                <w:lang w:val="en-US" w:eastAsia="zh-CN" w:bidi="ar-SA"/>
              </w:rPr>
              <w:t>滴定结果</w:t>
            </w:r>
            <w:r>
              <w:rPr>
                <w:rFonts w:hint="eastAsia" w:ascii="Times New Roman" w:hAnsi="Times New Roman" w:eastAsia="宋体" w:cs="Times New Roman"/>
                <w:kern w:val="2"/>
                <w:sz w:val="21"/>
                <w:szCs w:val="21"/>
                <w:highlight w:val="none"/>
                <w:lang w:val="en-US" w:eastAsia="zh-CN" w:bidi="ar-SA"/>
              </w:rPr>
              <w:t>/%</w:t>
            </w:r>
          </w:p>
        </w:tc>
        <w:tc>
          <w:tcPr>
            <w:tcW w:w="1659" w:type="dxa"/>
            <w:noWrap w:val="0"/>
            <w:vAlign w:val="top"/>
          </w:tcPr>
          <w:p>
            <w:pPr>
              <w:pageBreakBefore w:val="0"/>
              <w:widowControl w:val="0"/>
              <w:kinsoku/>
              <w:wordWrap/>
              <w:topLinePunct w:val="0"/>
              <w:autoSpaceDE/>
              <w:autoSpaceDN/>
              <w:bidi w:val="0"/>
              <w:snapToGrid/>
              <w:spacing w:line="360" w:lineRule="auto"/>
              <w:ind w:firstLine="0" w:firstLineChars="0"/>
              <w:jc w:val="center"/>
              <w:rPr>
                <w:rFonts w:hint="default" w:ascii="Times New Roman" w:hAnsi="Times New Roman" w:eastAsia="宋体" w:cs="Times New Roman"/>
                <w:kern w:val="2"/>
                <w:sz w:val="21"/>
                <w:szCs w:val="21"/>
                <w:highlight w:val="none"/>
                <w:lang w:val="en-US" w:eastAsia="zh-CN" w:bidi="ar-SA"/>
              </w:rPr>
            </w:pPr>
            <w:r>
              <w:rPr>
                <w:rFonts w:ascii="Times New Roman" w:hAnsi="Times New Roman" w:eastAsia="宋体" w:cs="Times New Roman"/>
                <w:kern w:val="2"/>
                <w:sz w:val="21"/>
                <w:szCs w:val="21"/>
                <w:highlight w:val="none"/>
                <w:lang w:val="en-US" w:eastAsia="zh-CN" w:bidi="ar-SA"/>
              </w:rPr>
              <w:t>平均值</w:t>
            </w:r>
            <w:r>
              <w:rPr>
                <w:rFonts w:hint="eastAsia" w:ascii="Times New Roman" w:hAnsi="Times New Roman" w:eastAsia="宋体" w:cs="Times New Roman"/>
                <w:kern w:val="2"/>
                <w:sz w:val="21"/>
                <w:szCs w:val="21"/>
                <w:highlight w:val="none"/>
                <w:lang w:val="en-US" w:eastAsia="zh-CN" w:bidi="ar-SA"/>
              </w:rPr>
              <w:t>/%</w:t>
            </w:r>
          </w:p>
        </w:tc>
        <w:tc>
          <w:tcPr>
            <w:tcW w:w="1659" w:type="dxa"/>
            <w:noWrap w:val="0"/>
            <w:vAlign w:val="top"/>
          </w:tcPr>
          <w:p>
            <w:pPr>
              <w:pageBreakBefore w:val="0"/>
              <w:widowControl w:val="0"/>
              <w:kinsoku/>
              <w:wordWrap/>
              <w:topLinePunct w:val="0"/>
              <w:autoSpaceDE/>
              <w:autoSpaceDN/>
              <w:bidi w:val="0"/>
              <w:snapToGrid/>
              <w:spacing w:line="360" w:lineRule="auto"/>
              <w:ind w:firstLine="0" w:firstLineChars="0"/>
              <w:jc w:val="center"/>
              <w:rPr>
                <w:rFonts w:ascii="Times New Roman" w:hAnsi="Times New Roman" w:eastAsia="宋体" w:cs="Times New Roman"/>
                <w:kern w:val="2"/>
                <w:sz w:val="21"/>
                <w:szCs w:val="21"/>
                <w:highlight w:val="none"/>
                <w:lang w:val="en-US" w:eastAsia="zh-CN" w:bidi="ar-SA"/>
              </w:rPr>
            </w:pPr>
            <w:r>
              <w:rPr>
                <w:rFonts w:ascii="Times New Roman" w:hAnsi="Times New Roman" w:eastAsia="宋体" w:cs="Times New Roman"/>
                <w:kern w:val="2"/>
                <w:sz w:val="21"/>
                <w:szCs w:val="21"/>
                <w:highlight w:val="none"/>
                <w:lang w:val="en-US" w:eastAsia="zh-CN" w:bidi="ar-SA"/>
              </w:rPr>
              <w:t>SD</w:t>
            </w:r>
          </w:p>
        </w:tc>
        <w:tc>
          <w:tcPr>
            <w:tcW w:w="1660" w:type="dxa"/>
            <w:noWrap w:val="0"/>
            <w:vAlign w:val="top"/>
          </w:tcPr>
          <w:p>
            <w:pPr>
              <w:pageBreakBefore w:val="0"/>
              <w:widowControl w:val="0"/>
              <w:kinsoku/>
              <w:wordWrap/>
              <w:topLinePunct w:val="0"/>
              <w:autoSpaceDE/>
              <w:autoSpaceDN/>
              <w:bidi w:val="0"/>
              <w:snapToGrid/>
              <w:spacing w:line="360" w:lineRule="auto"/>
              <w:ind w:firstLine="0" w:firstLineChars="0"/>
              <w:jc w:val="center"/>
              <w:rPr>
                <w:rFonts w:ascii="Times New Roman" w:hAnsi="Times New Roman" w:eastAsia="宋体" w:cs="Times New Roman"/>
                <w:kern w:val="2"/>
                <w:sz w:val="21"/>
                <w:szCs w:val="21"/>
                <w:highlight w:val="none"/>
                <w:lang w:val="en-US" w:eastAsia="zh-CN" w:bidi="ar-SA"/>
              </w:rPr>
            </w:pPr>
            <w:r>
              <w:rPr>
                <w:rFonts w:ascii="Times New Roman" w:hAnsi="Times New Roman" w:eastAsia="宋体" w:cs="Times New Roman"/>
                <w:kern w:val="2"/>
                <w:sz w:val="21"/>
                <w:szCs w:val="21"/>
                <w:highlight w:val="none"/>
                <w:lang w:val="en-US" w:eastAsia="zh-CN" w:bidi="ar-SA"/>
              </w:rPr>
              <w:t>RSD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9" w:type="dxa"/>
            <w:noWrap w:val="0"/>
            <w:vAlign w:val="top"/>
          </w:tcPr>
          <w:p>
            <w:pPr>
              <w:pageBreakBefore w:val="0"/>
              <w:widowControl w:val="0"/>
              <w:kinsoku/>
              <w:wordWrap/>
              <w:topLinePunct w:val="0"/>
              <w:autoSpaceDE/>
              <w:autoSpaceDN/>
              <w:bidi w:val="0"/>
              <w:snapToGrid/>
              <w:spacing w:line="360" w:lineRule="auto"/>
              <w:ind w:firstLine="0" w:firstLineChars="0"/>
              <w:jc w:val="center"/>
              <w:rPr>
                <w:rFonts w:ascii="Times New Roman" w:hAnsi="Times New Roman" w:eastAsia="宋体" w:cs="Times New Roman"/>
                <w:kern w:val="2"/>
                <w:sz w:val="21"/>
                <w:szCs w:val="21"/>
                <w:highlight w:val="none"/>
                <w:lang w:val="en-US" w:eastAsia="zh-CN" w:bidi="ar-SA"/>
              </w:rPr>
            </w:pPr>
            <w:r>
              <w:rPr>
                <w:rFonts w:ascii="Times New Roman" w:hAnsi="Times New Roman" w:eastAsia="宋体" w:cs="Times New Roman"/>
                <w:kern w:val="2"/>
                <w:sz w:val="21"/>
                <w:szCs w:val="21"/>
                <w:highlight w:val="none"/>
                <w:lang w:val="en-US" w:eastAsia="zh-CN" w:bidi="ar-SA"/>
              </w:rPr>
              <w:t>1</w:t>
            </w:r>
          </w:p>
        </w:tc>
        <w:tc>
          <w:tcPr>
            <w:tcW w:w="1659" w:type="dxa"/>
            <w:noWrap w:val="0"/>
            <w:vAlign w:val="top"/>
          </w:tcPr>
          <w:p>
            <w:pPr>
              <w:keepNext w:val="0"/>
              <w:keepLines w:val="0"/>
              <w:widowControl/>
              <w:suppressLineNumbers w:val="0"/>
              <w:jc w:val="center"/>
              <w:textAlignment w:val="top"/>
              <w:rPr>
                <w:rFonts w:hint="default" w:ascii="Times New Roman" w:hAnsi="Times New Roman" w:eastAsia="宋体" w:cs="Times New Roman"/>
                <w:kern w:val="2"/>
                <w:sz w:val="21"/>
                <w:szCs w:val="21"/>
                <w:highlight w:val="none"/>
                <w:lang w:val="en-US" w:eastAsia="zh-CN" w:bidi="ar-SA"/>
              </w:rPr>
            </w:pPr>
            <w:r>
              <w:rPr>
                <w:rFonts w:hint="default" w:ascii="Times New Roman" w:hAnsi="Times New Roman" w:eastAsia="宋体" w:cs="Times New Roman"/>
                <w:i w:val="0"/>
                <w:iCs w:val="0"/>
                <w:color w:val="000000"/>
                <w:kern w:val="0"/>
                <w:sz w:val="21"/>
                <w:szCs w:val="21"/>
                <w:highlight w:val="none"/>
                <w:u w:val="none"/>
                <w:lang w:val="en-US" w:eastAsia="zh-CN" w:bidi="ar"/>
              </w:rPr>
              <w:t>60.5</w:t>
            </w:r>
            <w:r>
              <w:rPr>
                <w:rFonts w:hint="eastAsia" w:ascii="Times New Roman" w:hAnsi="Times New Roman" w:eastAsia="宋体" w:cs="Times New Roman"/>
                <w:i w:val="0"/>
                <w:iCs w:val="0"/>
                <w:color w:val="000000"/>
                <w:kern w:val="0"/>
                <w:sz w:val="21"/>
                <w:szCs w:val="21"/>
                <w:highlight w:val="none"/>
                <w:u w:val="none"/>
                <w:lang w:val="en-US" w:eastAsia="zh-CN" w:bidi="ar"/>
              </w:rPr>
              <w:t>0</w:t>
            </w:r>
          </w:p>
        </w:tc>
        <w:tc>
          <w:tcPr>
            <w:tcW w:w="1659" w:type="dxa"/>
            <w:vMerge w:val="restart"/>
            <w:noWrap w:val="0"/>
            <w:vAlign w:val="center"/>
          </w:tcPr>
          <w:p>
            <w:pPr>
              <w:pageBreakBefore w:val="0"/>
              <w:widowControl/>
              <w:kinsoku/>
              <w:wordWrap/>
              <w:topLinePunct w:val="0"/>
              <w:autoSpaceDE/>
              <w:autoSpaceDN/>
              <w:bidi w:val="0"/>
              <w:snapToGrid/>
              <w:spacing w:line="360" w:lineRule="auto"/>
              <w:jc w:val="center"/>
              <w:textAlignment w:val="center"/>
              <w:rPr>
                <w:rFonts w:hint="default" w:ascii="Times New Roman" w:hAnsi="Times New Roman" w:eastAsia="宋体" w:cs="Times New Roman"/>
                <w:szCs w:val="21"/>
                <w:highlight w:val="none"/>
                <w:lang w:val="en-US"/>
              </w:rPr>
            </w:pPr>
            <w:r>
              <w:rPr>
                <w:rFonts w:hint="eastAsia" w:ascii="Times New Roman" w:hAnsi="Times New Roman" w:eastAsia="宋体" w:cs="Times New Roman"/>
                <w:color w:val="000000"/>
                <w:kern w:val="0"/>
                <w:szCs w:val="21"/>
                <w:highlight w:val="none"/>
                <w:lang w:val="en-US" w:eastAsia="zh-CN" w:bidi="ar"/>
              </w:rPr>
              <w:t>60.50</w:t>
            </w:r>
          </w:p>
        </w:tc>
        <w:tc>
          <w:tcPr>
            <w:tcW w:w="1659" w:type="dxa"/>
            <w:vMerge w:val="restart"/>
            <w:noWrap w:val="0"/>
            <w:vAlign w:val="center"/>
          </w:tcPr>
          <w:p>
            <w:pPr>
              <w:pageBreakBefore w:val="0"/>
              <w:widowControl w:val="0"/>
              <w:kinsoku/>
              <w:wordWrap/>
              <w:topLinePunct w:val="0"/>
              <w:autoSpaceDE/>
              <w:autoSpaceDN/>
              <w:bidi w:val="0"/>
              <w:snapToGrid/>
              <w:spacing w:line="360" w:lineRule="auto"/>
              <w:ind w:firstLine="0" w:firstLineChars="0"/>
              <w:jc w:val="center"/>
              <w:rPr>
                <w:rFonts w:ascii="Times New Roman" w:hAnsi="Times New Roman" w:eastAsia="宋体" w:cs="Times New Roman"/>
                <w:kern w:val="2"/>
                <w:sz w:val="21"/>
                <w:szCs w:val="21"/>
                <w:highlight w:val="none"/>
                <w:lang w:val="en-US" w:eastAsia="zh-CN" w:bidi="ar-SA"/>
              </w:rPr>
            </w:pPr>
            <w:r>
              <w:rPr>
                <w:rFonts w:ascii="Times New Roman" w:hAnsi="Times New Roman" w:eastAsia="宋体" w:cs="Times New Roman"/>
                <w:kern w:val="2"/>
                <w:sz w:val="21"/>
                <w:szCs w:val="21"/>
                <w:highlight w:val="none"/>
                <w:lang w:val="en-US" w:eastAsia="zh-CN" w:bidi="ar-SA"/>
              </w:rPr>
              <w:t>0.0016</w:t>
            </w:r>
          </w:p>
        </w:tc>
        <w:tc>
          <w:tcPr>
            <w:tcW w:w="1660" w:type="dxa"/>
            <w:vMerge w:val="restart"/>
            <w:noWrap w:val="0"/>
            <w:vAlign w:val="center"/>
          </w:tcPr>
          <w:p>
            <w:pPr>
              <w:pageBreakBefore w:val="0"/>
              <w:widowControl w:val="0"/>
              <w:kinsoku/>
              <w:wordWrap/>
              <w:topLinePunct w:val="0"/>
              <w:autoSpaceDE/>
              <w:autoSpaceDN/>
              <w:bidi w:val="0"/>
              <w:snapToGrid/>
              <w:spacing w:line="360" w:lineRule="auto"/>
              <w:ind w:firstLine="0" w:firstLineChars="0"/>
              <w:jc w:val="center"/>
              <w:rPr>
                <w:rFonts w:ascii="Times New Roman" w:hAnsi="Times New Roman" w:eastAsia="宋体" w:cs="Times New Roman"/>
                <w:kern w:val="2"/>
                <w:sz w:val="21"/>
                <w:szCs w:val="21"/>
                <w:highlight w:val="none"/>
                <w:lang w:val="en-US" w:eastAsia="zh-CN" w:bidi="ar-SA"/>
              </w:rPr>
            </w:pPr>
            <w:r>
              <w:rPr>
                <w:rFonts w:ascii="Times New Roman" w:hAnsi="Times New Roman" w:eastAsia="宋体" w:cs="Times New Roman"/>
                <w:kern w:val="2"/>
                <w:sz w:val="21"/>
                <w:szCs w:val="21"/>
                <w:highlight w:val="none"/>
                <w:lang w:val="en-US" w:eastAsia="zh-CN" w:bidi="ar-SA"/>
              </w:rPr>
              <w:t>1.04%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9" w:type="dxa"/>
            <w:noWrap w:val="0"/>
            <w:vAlign w:val="top"/>
          </w:tcPr>
          <w:p>
            <w:pPr>
              <w:pageBreakBefore w:val="0"/>
              <w:kinsoku/>
              <w:wordWrap/>
              <w:topLinePunct w:val="0"/>
              <w:autoSpaceDE/>
              <w:autoSpaceDN/>
              <w:bidi w:val="0"/>
              <w:snapToGrid/>
              <w:spacing w:line="360" w:lineRule="auto"/>
              <w:jc w:val="center"/>
              <w:rPr>
                <w:rFonts w:ascii="Times New Roman" w:hAnsi="Times New Roman" w:eastAsia="宋体" w:cs="Times New Roman"/>
                <w:szCs w:val="21"/>
                <w:highlight w:val="none"/>
              </w:rPr>
            </w:pPr>
            <w:r>
              <w:rPr>
                <w:rFonts w:ascii="Times New Roman" w:hAnsi="Times New Roman" w:eastAsia="宋体" w:cs="Times New Roman"/>
                <w:szCs w:val="21"/>
                <w:highlight w:val="none"/>
              </w:rPr>
              <w:t>2</w:t>
            </w:r>
          </w:p>
        </w:tc>
        <w:tc>
          <w:tcPr>
            <w:tcW w:w="1659" w:type="dxa"/>
            <w:noWrap w:val="0"/>
            <w:vAlign w:val="top"/>
          </w:tcPr>
          <w:p>
            <w:pPr>
              <w:keepNext w:val="0"/>
              <w:keepLines w:val="0"/>
              <w:widowControl/>
              <w:suppressLineNumbers w:val="0"/>
              <w:jc w:val="center"/>
              <w:textAlignment w:val="top"/>
              <w:rPr>
                <w:rFonts w:ascii="Times New Roman" w:hAnsi="Times New Roman" w:eastAsia="宋体" w:cs="Times New Roman"/>
                <w:kern w:val="2"/>
                <w:sz w:val="21"/>
                <w:szCs w:val="21"/>
                <w:highlight w:val="none"/>
                <w:lang w:val="en-US" w:eastAsia="zh-CN" w:bidi="ar-SA"/>
              </w:rPr>
            </w:pPr>
            <w:r>
              <w:rPr>
                <w:rFonts w:hint="default" w:ascii="Times New Roman" w:hAnsi="Times New Roman" w:eastAsia="宋体" w:cs="Times New Roman"/>
                <w:i w:val="0"/>
                <w:iCs w:val="0"/>
                <w:color w:val="000000"/>
                <w:kern w:val="0"/>
                <w:sz w:val="21"/>
                <w:szCs w:val="21"/>
                <w:highlight w:val="none"/>
                <w:u w:val="none"/>
                <w:lang w:val="en-US" w:eastAsia="zh-CN" w:bidi="ar"/>
              </w:rPr>
              <w:t>60.35</w:t>
            </w:r>
          </w:p>
        </w:tc>
        <w:tc>
          <w:tcPr>
            <w:tcW w:w="1659" w:type="dxa"/>
            <w:vMerge w:val="continue"/>
            <w:noWrap w:val="0"/>
            <w:vAlign w:val="top"/>
          </w:tcPr>
          <w:p>
            <w:pPr>
              <w:pageBreakBefore w:val="0"/>
              <w:kinsoku/>
              <w:wordWrap/>
              <w:topLinePunct w:val="0"/>
              <w:autoSpaceDE/>
              <w:autoSpaceDN/>
              <w:bidi w:val="0"/>
              <w:snapToGrid/>
              <w:spacing w:line="360" w:lineRule="auto"/>
              <w:jc w:val="center"/>
              <w:rPr>
                <w:rFonts w:ascii="Times New Roman" w:hAnsi="Times New Roman" w:eastAsia="宋体" w:cs="Times New Roman"/>
                <w:szCs w:val="21"/>
                <w:highlight w:val="none"/>
              </w:rPr>
            </w:pPr>
          </w:p>
        </w:tc>
        <w:tc>
          <w:tcPr>
            <w:tcW w:w="1659" w:type="dxa"/>
            <w:vMerge w:val="continue"/>
            <w:noWrap w:val="0"/>
            <w:vAlign w:val="top"/>
          </w:tcPr>
          <w:p>
            <w:pPr>
              <w:pageBreakBefore w:val="0"/>
              <w:kinsoku/>
              <w:wordWrap/>
              <w:topLinePunct w:val="0"/>
              <w:autoSpaceDE/>
              <w:autoSpaceDN/>
              <w:bidi w:val="0"/>
              <w:snapToGrid/>
              <w:spacing w:line="360" w:lineRule="auto"/>
              <w:jc w:val="center"/>
              <w:rPr>
                <w:rFonts w:ascii="Times New Roman" w:hAnsi="Times New Roman" w:eastAsia="宋体" w:cs="Times New Roman"/>
                <w:szCs w:val="21"/>
                <w:highlight w:val="none"/>
              </w:rPr>
            </w:pPr>
          </w:p>
        </w:tc>
        <w:tc>
          <w:tcPr>
            <w:tcW w:w="1660" w:type="dxa"/>
            <w:vMerge w:val="continue"/>
            <w:noWrap w:val="0"/>
            <w:vAlign w:val="top"/>
          </w:tcPr>
          <w:p>
            <w:pPr>
              <w:pageBreakBefore w:val="0"/>
              <w:kinsoku/>
              <w:wordWrap/>
              <w:topLinePunct w:val="0"/>
              <w:autoSpaceDE/>
              <w:autoSpaceDN/>
              <w:bidi w:val="0"/>
              <w:snapToGrid/>
              <w:spacing w:line="360" w:lineRule="auto"/>
              <w:jc w:val="center"/>
              <w:rPr>
                <w:rFonts w:ascii="Times New Roman" w:hAnsi="Times New Roman" w:eastAsia="宋体"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9" w:type="dxa"/>
            <w:noWrap w:val="0"/>
            <w:vAlign w:val="top"/>
          </w:tcPr>
          <w:p>
            <w:pPr>
              <w:pageBreakBefore w:val="0"/>
              <w:kinsoku/>
              <w:wordWrap/>
              <w:topLinePunct w:val="0"/>
              <w:autoSpaceDE/>
              <w:autoSpaceDN/>
              <w:bidi w:val="0"/>
              <w:snapToGrid/>
              <w:spacing w:line="360" w:lineRule="auto"/>
              <w:jc w:val="center"/>
              <w:rPr>
                <w:rFonts w:ascii="Times New Roman" w:hAnsi="Times New Roman" w:eastAsia="宋体" w:cs="Times New Roman"/>
                <w:szCs w:val="21"/>
                <w:highlight w:val="none"/>
              </w:rPr>
            </w:pPr>
            <w:r>
              <w:rPr>
                <w:rFonts w:ascii="Times New Roman" w:hAnsi="Times New Roman" w:eastAsia="宋体" w:cs="Times New Roman"/>
                <w:szCs w:val="21"/>
                <w:highlight w:val="none"/>
              </w:rPr>
              <w:t>3</w:t>
            </w:r>
          </w:p>
        </w:tc>
        <w:tc>
          <w:tcPr>
            <w:tcW w:w="1659" w:type="dxa"/>
            <w:noWrap w:val="0"/>
            <w:vAlign w:val="top"/>
          </w:tcPr>
          <w:p>
            <w:pPr>
              <w:keepNext w:val="0"/>
              <w:keepLines w:val="0"/>
              <w:widowControl/>
              <w:suppressLineNumbers w:val="0"/>
              <w:jc w:val="center"/>
              <w:textAlignment w:val="top"/>
              <w:rPr>
                <w:rFonts w:ascii="Times New Roman" w:hAnsi="Times New Roman" w:eastAsia="宋体" w:cs="Times New Roman"/>
                <w:kern w:val="2"/>
                <w:sz w:val="21"/>
                <w:szCs w:val="21"/>
                <w:highlight w:val="none"/>
                <w:lang w:val="en-US" w:eastAsia="zh-CN" w:bidi="ar-SA"/>
              </w:rPr>
            </w:pPr>
            <w:r>
              <w:rPr>
                <w:rFonts w:hint="default" w:ascii="Times New Roman" w:hAnsi="Times New Roman" w:eastAsia="宋体" w:cs="Times New Roman"/>
                <w:i w:val="0"/>
                <w:iCs w:val="0"/>
                <w:color w:val="000000"/>
                <w:kern w:val="0"/>
                <w:sz w:val="21"/>
                <w:szCs w:val="21"/>
                <w:highlight w:val="none"/>
                <w:u w:val="none"/>
                <w:lang w:val="en-US" w:eastAsia="zh-CN" w:bidi="ar"/>
              </w:rPr>
              <w:t>60.55</w:t>
            </w:r>
          </w:p>
        </w:tc>
        <w:tc>
          <w:tcPr>
            <w:tcW w:w="1659" w:type="dxa"/>
            <w:vMerge w:val="continue"/>
            <w:noWrap w:val="0"/>
            <w:vAlign w:val="top"/>
          </w:tcPr>
          <w:p>
            <w:pPr>
              <w:pageBreakBefore w:val="0"/>
              <w:kinsoku/>
              <w:wordWrap/>
              <w:topLinePunct w:val="0"/>
              <w:autoSpaceDE/>
              <w:autoSpaceDN/>
              <w:bidi w:val="0"/>
              <w:snapToGrid/>
              <w:spacing w:line="360" w:lineRule="auto"/>
              <w:jc w:val="center"/>
              <w:rPr>
                <w:rFonts w:ascii="Times New Roman" w:hAnsi="Times New Roman" w:eastAsia="宋体" w:cs="Times New Roman"/>
                <w:szCs w:val="21"/>
                <w:highlight w:val="none"/>
              </w:rPr>
            </w:pPr>
          </w:p>
        </w:tc>
        <w:tc>
          <w:tcPr>
            <w:tcW w:w="1659" w:type="dxa"/>
            <w:vMerge w:val="continue"/>
            <w:noWrap w:val="0"/>
            <w:vAlign w:val="top"/>
          </w:tcPr>
          <w:p>
            <w:pPr>
              <w:pageBreakBefore w:val="0"/>
              <w:kinsoku/>
              <w:wordWrap/>
              <w:topLinePunct w:val="0"/>
              <w:autoSpaceDE/>
              <w:autoSpaceDN/>
              <w:bidi w:val="0"/>
              <w:snapToGrid/>
              <w:spacing w:line="360" w:lineRule="auto"/>
              <w:jc w:val="center"/>
              <w:rPr>
                <w:rFonts w:ascii="Times New Roman" w:hAnsi="Times New Roman" w:eastAsia="宋体" w:cs="Times New Roman"/>
                <w:szCs w:val="21"/>
                <w:highlight w:val="none"/>
              </w:rPr>
            </w:pPr>
          </w:p>
        </w:tc>
        <w:tc>
          <w:tcPr>
            <w:tcW w:w="1660" w:type="dxa"/>
            <w:vMerge w:val="continue"/>
            <w:noWrap w:val="0"/>
            <w:vAlign w:val="top"/>
          </w:tcPr>
          <w:p>
            <w:pPr>
              <w:pageBreakBefore w:val="0"/>
              <w:kinsoku/>
              <w:wordWrap/>
              <w:topLinePunct w:val="0"/>
              <w:autoSpaceDE/>
              <w:autoSpaceDN/>
              <w:bidi w:val="0"/>
              <w:snapToGrid/>
              <w:spacing w:line="360" w:lineRule="auto"/>
              <w:jc w:val="center"/>
              <w:rPr>
                <w:rFonts w:ascii="Times New Roman" w:hAnsi="Times New Roman" w:eastAsia="宋体"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9" w:type="dxa"/>
            <w:noWrap w:val="0"/>
            <w:vAlign w:val="top"/>
          </w:tcPr>
          <w:p>
            <w:pPr>
              <w:pageBreakBefore w:val="0"/>
              <w:kinsoku/>
              <w:wordWrap/>
              <w:topLinePunct w:val="0"/>
              <w:autoSpaceDE/>
              <w:autoSpaceDN/>
              <w:bidi w:val="0"/>
              <w:snapToGrid/>
              <w:spacing w:line="360" w:lineRule="auto"/>
              <w:jc w:val="center"/>
              <w:rPr>
                <w:rFonts w:ascii="Times New Roman" w:hAnsi="Times New Roman" w:eastAsia="宋体" w:cs="Times New Roman"/>
                <w:szCs w:val="21"/>
                <w:highlight w:val="none"/>
              </w:rPr>
            </w:pPr>
            <w:r>
              <w:rPr>
                <w:rFonts w:ascii="Times New Roman" w:hAnsi="Times New Roman" w:eastAsia="宋体" w:cs="Times New Roman"/>
                <w:szCs w:val="21"/>
                <w:highlight w:val="none"/>
              </w:rPr>
              <w:t>4</w:t>
            </w:r>
          </w:p>
        </w:tc>
        <w:tc>
          <w:tcPr>
            <w:tcW w:w="1659" w:type="dxa"/>
            <w:noWrap w:val="0"/>
            <w:vAlign w:val="top"/>
          </w:tcPr>
          <w:p>
            <w:pPr>
              <w:keepNext w:val="0"/>
              <w:keepLines w:val="0"/>
              <w:widowControl/>
              <w:suppressLineNumbers w:val="0"/>
              <w:jc w:val="center"/>
              <w:textAlignment w:val="top"/>
              <w:rPr>
                <w:rFonts w:ascii="Times New Roman" w:hAnsi="Times New Roman" w:eastAsia="宋体" w:cs="Times New Roman"/>
                <w:kern w:val="2"/>
                <w:sz w:val="21"/>
                <w:szCs w:val="21"/>
                <w:highlight w:val="none"/>
                <w:lang w:val="en-US" w:eastAsia="zh-CN" w:bidi="ar-SA"/>
              </w:rPr>
            </w:pPr>
            <w:r>
              <w:rPr>
                <w:rFonts w:hint="default" w:ascii="Times New Roman" w:hAnsi="Times New Roman" w:eastAsia="宋体" w:cs="Times New Roman"/>
                <w:i w:val="0"/>
                <w:iCs w:val="0"/>
                <w:color w:val="000000"/>
                <w:kern w:val="0"/>
                <w:sz w:val="21"/>
                <w:szCs w:val="21"/>
                <w:highlight w:val="none"/>
                <w:u w:val="none"/>
                <w:lang w:val="en-US" w:eastAsia="zh-CN" w:bidi="ar"/>
              </w:rPr>
              <w:t>60.59</w:t>
            </w:r>
          </w:p>
        </w:tc>
        <w:tc>
          <w:tcPr>
            <w:tcW w:w="1659" w:type="dxa"/>
            <w:vMerge w:val="continue"/>
            <w:noWrap w:val="0"/>
            <w:vAlign w:val="top"/>
          </w:tcPr>
          <w:p>
            <w:pPr>
              <w:pageBreakBefore w:val="0"/>
              <w:kinsoku/>
              <w:wordWrap/>
              <w:topLinePunct w:val="0"/>
              <w:autoSpaceDE/>
              <w:autoSpaceDN/>
              <w:bidi w:val="0"/>
              <w:snapToGrid/>
              <w:spacing w:line="360" w:lineRule="auto"/>
              <w:jc w:val="center"/>
              <w:rPr>
                <w:rFonts w:ascii="Times New Roman" w:hAnsi="Times New Roman" w:eastAsia="宋体" w:cs="Times New Roman"/>
                <w:szCs w:val="21"/>
                <w:highlight w:val="none"/>
              </w:rPr>
            </w:pPr>
          </w:p>
        </w:tc>
        <w:tc>
          <w:tcPr>
            <w:tcW w:w="1659" w:type="dxa"/>
            <w:vMerge w:val="continue"/>
            <w:noWrap w:val="0"/>
            <w:vAlign w:val="top"/>
          </w:tcPr>
          <w:p>
            <w:pPr>
              <w:pageBreakBefore w:val="0"/>
              <w:kinsoku/>
              <w:wordWrap/>
              <w:topLinePunct w:val="0"/>
              <w:autoSpaceDE/>
              <w:autoSpaceDN/>
              <w:bidi w:val="0"/>
              <w:snapToGrid/>
              <w:spacing w:line="360" w:lineRule="auto"/>
              <w:jc w:val="center"/>
              <w:rPr>
                <w:rFonts w:ascii="Times New Roman" w:hAnsi="Times New Roman" w:eastAsia="宋体" w:cs="Times New Roman"/>
                <w:szCs w:val="21"/>
                <w:highlight w:val="none"/>
              </w:rPr>
            </w:pPr>
          </w:p>
        </w:tc>
        <w:tc>
          <w:tcPr>
            <w:tcW w:w="1660" w:type="dxa"/>
            <w:vMerge w:val="continue"/>
            <w:noWrap w:val="0"/>
            <w:vAlign w:val="top"/>
          </w:tcPr>
          <w:p>
            <w:pPr>
              <w:pageBreakBefore w:val="0"/>
              <w:kinsoku/>
              <w:wordWrap/>
              <w:topLinePunct w:val="0"/>
              <w:autoSpaceDE/>
              <w:autoSpaceDN/>
              <w:bidi w:val="0"/>
              <w:snapToGrid/>
              <w:spacing w:line="360" w:lineRule="auto"/>
              <w:jc w:val="center"/>
              <w:rPr>
                <w:rFonts w:ascii="Times New Roman" w:hAnsi="Times New Roman" w:eastAsia="宋体" w:cs="Times New Roman"/>
                <w:szCs w:val="21"/>
                <w:highlight w:val="none"/>
              </w:rPr>
            </w:pPr>
          </w:p>
        </w:tc>
      </w:tr>
    </w:tbl>
    <w:p>
      <w:pPr>
        <w:pageBreakBefore w:val="0"/>
        <w:kinsoku/>
        <w:wordWrap/>
        <w:topLinePunct w:val="0"/>
        <w:autoSpaceDE/>
        <w:autoSpaceDN/>
        <w:bidi w:val="0"/>
        <w:snapToGrid/>
        <w:spacing w:line="360" w:lineRule="auto"/>
        <w:ind w:firstLine="482" w:firstLineChars="200"/>
        <w:rPr>
          <w:rFonts w:ascii="Times New Roman" w:hAnsi="Times New Roman" w:eastAsia="宋体" w:cs="Times New Roman"/>
          <w:b/>
          <w:sz w:val="24"/>
          <w:szCs w:val="24"/>
          <w:highlight w:val="none"/>
        </w:rPr>
      </w:pPr>
    </w:p>
    <w:p>
      <w:pPr>
        <w:pageBreakBefore w:val="0"/>
        <w:widowControl w:val="0"/>
        <w:kinsoku/>
        <w:wordWrap/>
        <w:topLinePunct w:val="0"/>
        <w:autoSpaceDE/>
        <w:autoSpaceDN/>
        <w:bidi w:val="0"/>
        <w:snapToGrid/>
        <w:spacing w:line="360" w:lineRule="auto"/>
        <w:ind w:firstLine="480" w:firstLineChars="200"/>
        <w:jc w:val="both"/>
        <w:rPr>
          <w:rFonts w:ascii="Times New Roman" w:hAnsi="Times New Roman" w:eastAsia="宋体" w:cs="Times New Roman"/>
          <w:kern w:val="2"/>
          <w:sz w:val="24"/>
          <w:szCs w:val="24"/>
          <w:highlight w:val="none"/>
          <w:lang w:val="en-US" w:eastAsia="zh-CN" w:bidi="ar-SA"/>
        </w:rPr>
      </w:pPr>
      <w:r>
        <w:rPr>
          <w:rFonts w:hint="eastAsia" w:ascii="Times New Roman" w:hAnsi="Times New Roman" w:eastAsia="宋体" w:cs="Times New Roman"/>
          <w:kern w:val="2"/>
          <w:sz w:val="24"/>
          <w:szCs w:val="24"/>
          <w:highlight w:val="none"/>
          <w:lang w:val="en-US" w:eastAsia="zh-CN" w:bidi="ar-SA"/>
        </w:rPr>
        <w:t>北矿化学（沧州）科技有限公司</w:t>
      </w:r>
      <w:r>
        <w:rPr>
          <w:rFonts w:ascii="Times New Roman" w:hAnsi="Times New Roman" w:eastAsia="宋体" w:cs="Times New Roman"/>
          <w:kern w:val="2"/>
          <w:sz w:val="24"/>
          <w:szCs w:val="24"/>
          <w:highlight w:val="none"/>
          <w:lang w:val="en-US" w:eastAsia="zh-CN" w:bidi="ar-SA"/>
        </w:rPr>
        <w:t>按本标准测定试验结果</w:t>
      </w:r>
      <w:r>
        <w:rPr>
          <w:rFonts w:hint="eastAsia" w:ascii="Times New Roman" w:hAnsi="Times New Roman" w:eastAsia="宋体" w:cs="Times New Roman"/>
          <w:kern w:val="2"/>
          <w:sz w:val="24"/>
          <w:szCs w:val="24"/>
          <w:highlight w:val="none"/>
          <w:lang w:val="en-US" w:eastAsia="zh-CN" w:bidi="ar-SA"/>
        </w:rPr>
        <w:t>详</w:t>
      </w:r>
      <w:r>
        <w:rPr>
          <w:rFonts w:ascii="Times New Roman" w:hAnsi="Times New Roman" w:eastAsia="宋体" w:cs="Times New Roman"/>
          <w:kern w:val="2"/>
          <w:sz w:val="24"/>
          <w:szCs w:val="24"/>
          <w:highlight w:val="none"/>
          <w:lang w:val="en-US" w:eastAsia="zh-CN" w:bidi="ar-SA"/>
        </w:rPr>
        <w:t>见表</w:t>
      </w:r>
      <w:r>
        <w:rPr>
          <w:rFonts w:hint="eastAsia" w:ascii="Times New Roman" w:hAnsi="Times New Roman" w:eastAsia="宋体" w:cs="Times New Roman"/>
          <w:kern w:val="2"/>
          <w:sz w:val="24"/>
          <w:szCs w:val="24"/>
          <w:highlight w:val="none"/>
          <w:lang w:val="en-US" w:eastAsia="zh-CN" w:bidi="ar-SA"/>
        </w:rPr>
        <w:t>5-4</w:t>
      </w:r>
      <w:r>
        <w:rPr>
          <w:rFonts w:ascii="Times New Roman" w:hAnsi="Times New Roman" w:eastAsia="宋体" w:cs="Times New Roman"/>
          <w:kern w:val="2"/>
          <w:sz w:val="24"/>
          <w:szCs w:val="24"/>
          <w:highlight w:val="none"/>
          <w:lang w:val="en-US" w:eastAsia="zh-CN" w:bidi="ar-SA"/>
        </w:rPr>
        <w:t>。</w:t>
      </w:r>
    </w:p>
    <w:p>
      <w:pPr>
        <w:pageBreakBefore w:val="0"/>
        <w:widowControl w:val="0"/>
        <w:kinsoku/>
        <w:wordWrap/>
        <w:topLinePunct w:val="0"/>
        <w:autoSpaceDE/>
        <w:autoSpaceDN/>
        <w:bidi w:val="0"/>
        <w:snapToGrid/>
        <w:spacing w:line="360" w:lineRule="auto"/>
        <w:ind w:left="720" w:firstLine="0" w:firstLineChars="0"/>
        <w:jc w:val="center"/>
        <w:rPr>
          <w:rFonts w:ascii="Times New Roman" w:hAnsi="Times New Roman" w:eastAsia="宋体" w:cs="Times New Roman"/>
          <w:kern w:val="2"/>
          <w:sz w:val="21"/>
          <w:szCs w:val="21"/>
          <w:highlight w:val="none"/>
          <w:lang w:val="en-US" w:eastAsia="zh-CN" w:bidi="ar-SA"/>
        </w:rPr>
      </w:pPr>
      <w:r>
        <w:rPr>
          <w:rFonts w:ascii="Times New Roman" w:hAnsi="Times New Roman" w:eastAsia="宋体" w:cs="Times New Roman"/>
          <w:kern w:val="2"/>
          <w:sz w:val="21"/>
          <w:szCs w:val="21"/>
          <w:highlight w:val="none"/>
          <w:lang w:val="en-US" w:eastAsia="zh-CN" w:bidi="ar-SA"/>
        </w:rPr>
        <w:t>表</w:t>
      </w:r>
      <w:r>
        <w:rPr>
          <w:rFonts w:hint="eastAsia" w:ascii="Times New Roman" w:hAnsi="Times New Roman" w:eastAsia="宋体" w:cs="Times New Roman"/>
          <w:kern w:val="2"/>
          <w:sz w:val="21"/>
          <w:szCs w:val="21"/>
          <w:highlight w:val="none"/>
          <w:lang w:val="en-US" w:eastAsia="zh-CN" w:bidi="ar-SA"/>
        </w:rPr>
        <w:t>5-4</w:t>
      </w:r>
      <w:r>
        <w:rPr>
          <w:rFonts w:ascii="Times New Roman" w:hAnsi="Times New Roman" w:eastAsia="宋体" w:cs="Times New Roman"/>
          <w:kern w:val="2"/>
          <w:sz w:val="21"/>
          <w:szCs w:val="21"/>
          <w:highlight w:val="none"/>
          <w:lang w:val="en-US" w:eastAsia="zh-CN" w:bidi="ar-SA"/>
        </w:rPr>
        <w:t xml:space="preserve"> </w:t>
      </w:r>
      <w:r>
        <w:rPr>
          <w:rFonts w:hint="eastAsia" w:ascii="Times New Roman" w:hAnsi="Times New Roman" w:eastAsia="宋体" w:cs="Times New Roman"/>
          <w:kern w:val="2"/>
          <w:sz w:val="21"/>
          <w:szCs w:val="21"/>
          <w:highlight w:val="none"/>
          <w:lang w:val="en-US" w:eastAsia="zh-CN" w:bidi="ar-SA"/>
        </w:rPr>
        <w:t>北矿化学（沧州）科技有限公司测试</w:t>
      </w:r>
      <w:r>
        <w:rPr>
          <w:rFonts w:ascii="Times New Roman" w:hAnsi="Times New Roman" w:eastAsia="宋体" w:cs="Times New Roman"/>
          <w:kern w:val="2"/>
          <w:sz w:val="21"/>
          <w:szCs w:val="21"/>
          <w:highlight w:val="none"/>
          <w:lang w:val="en-US" w:eastAsia="zh-CN" w:bidi="ar-SA"/>
        </w:rPr>
        <w:t>结果</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9"/>
        <w:gridCol w:w="1659"/>
        <w:gridCol w:w="1659"/>
        <w:gridCol w:w="1659"/>
        <w:gridCol w:w="16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9" w:type="dxa"/>
            <w:noWrap w:val="0"/>
            <w:vAlign w:val="top"/>
          </w:tcPr>
          <w:p>
            <w:pPr>
              <w:pageBreakBefore w:val="0"/>
              <w:widowControl w:val="0"/>
              <w:kinsoku/>
              <w:wordWrap/>
              <w:topLinePunct w:val="0"/>
              <w:autoSpaceDE/>
              <w:autoSpaceDN/>
              <w:bidi w:val="0"/>
              <w:snapToGrid/>
              <w:spacing w:line="360" w:lineRule="auto"/>
              <w:ind w:firstLine="0" w:firstLineChars="0"/>
              <w:jc w:val="center"/>
              <w:rPr>
                <w:rFonts w:ascii="Times New Roman" w:hAnsi="Times New Roman" w:eastAsia="宋体" w:cs="Times New Roman"/>
                <w:kern w:val="2"/>
                <w:sz w:val="21"/>
                <w:szCs w:val="21"/>
                <w:highlight w:val="none"/>
                <w:lang w:val="en-US" w:eastAsia="zh-CN" w:bidi="ar-SA"/>
              </w:rPr>
            </w:pPr>
            <w:r>
              <w:rPr>
                <w:rFonts w:ascii="Times New Roman" w:hAnsi="Times New Roman" w:eastAsia="宋体" w:cs="Times New Roman"/>
                <w:kern w:val="2"/>
                <w:sz w:val="21"/>
                <w:szCs w:val="21"/>
                <w:highlight w:val="none"/>
                <w:lang w:val="en-US" w:eastAsia="zh-CN" w:bidi="ar-SA"/>
              </w:rPr>
              <w:t>序号</w:t>
            </w:r>
          </w:p>
        </w:tc>
        <w:tc>
          <w:tcPr>
            <w:tcW w:w="1659" w:type="dxa"/>
            <w:noWrap w:val="0"/>
            <w:vAlign w:val="top"/>
          </w:tcPr>
          <w:p>
            <w:pPr>
              <w:pageBreakBefore w:val="0"/>
              <w:widowControl w:val="0"/>
              <w:kinsoku/>
              <w:wordWrap/>
              <w:topLinePunct w:val="0"/>
              <w:autoSpaceDE/>
              <w:autoSpaceDN/>
              <w:bidi w:val="0"/>
              <w:snapToGrid/>
              <w:spacing w:line="360" w:lineRule="auto"/>
              <w:ind w:firstLine="0" w:firstLineChars="0"/>
              <w:jc w:val="center"/>
              <w:rPr>
                <w:rFonts w:hint="default" w:ascii="Times New Roman" w:hAnsi="Times New Roman" w:eastAsia="宋体" w:cs="Times New Roman"/>
                <w:kern w:val="2"/>
                <w:sz w:val="21"/>
                <w:szCs w:val="21"/>
                <w:highlight w:val="none"/>
                <w:lang w:val="en-US" w:eastAsia="zh-CN" w:bidi="ar-SA"/>
              </w:rPr>
            </w:pPr>
            <w:r>
              <w:rPr>
                <w:rFonts w:ascii="Times New Roman" w:hAnsi="Times New Roman" w:eastAsia="宋体" w:cs="Times New Roman"/>
                <w:kern w:val="2"/>
                <w:sz w:val="21"/>
                <w:szCs w:val="21"/>
                <w:highlight w:val="none"/>
                <w:lang w:val="en-US" w:eastAsia="zh-CN" w:bidi="ar-SA"/>
              </w:rPr>
              <w:t>滴定结果</w:t>
            </w:r>
            <w:r>
              <w:rPr>
                <w:rFonts w:hint="eastAsia" w:ascii="Times New Roman" w:hAnsi="Times New Roman" w:eastAsia="宋体" w:cs="Times New Roman"/>
                <w:kern w:val="2"/>
                <w:sz w:val="21"/>
                <w:szCs w:val="21"/>
                <w:highlight w:val="none"/>
                <w:lang w:val="en-US" w:eastAsia="zh-CN" w:bidi="ar-SA"/>
              </w:rPr>
              <w:t>/%</w:t>
            </w:r>
          </w:p>
        </w:tc>
        <w:tc>
          <w:tcPr>
            <w:tcW w:w="1659" w:type="dxa"/>
            <w:noWrap w:val="0"/>
            <w:vAlign w:val="top"/>
          </w:tcPr>
          <w:p>
            <w:pPr>
              <w:pageBreakBefore w:val="0"/>
              <w:widowControl w:val="0"/>
              <w:kinsoku/>
              <w:wordWrap/>
              <w:topLinePunct w:val="0"/>
              <w:autoSpaceDE/>
              <w:autoSpaceDN/>
              <w:bidi w:val="0"/>
              <w:snapToGrid/>
              <w:spacing w:line="360" w:lineRule="auto"/>
              <w:ind w:firstLine="0" w:firstLineChars="0"/>
              <w:jc w:val="center"/>
              <w:rPr>
                <w:rFonts w:hint="default" w:ascii="Times New Roman" w:hAnsi="Times New Roman" w:eastAsia="宋体" w:cs="Times New Roman"/>
                <w:kern w:val="2"/>
                <w:sz w:val="21"/>
                <w:szCs w:val="21"/>
                <w:highlight w:val="none"/>
                <w:lang w:val="en-US" w:eastAsia="zh-CN" w:bidi="ar-SA"/>
              </w:rPr>
            </w:pPr>
            <w:r>
              <w:rPr>
                <w:rFonts w:ascii="Times New Roman" w:hAnsi="Times New Roman" w:eastAsia="宋体" w:cs="Times New Roman"/>
                <w:kern w:val="2"/>
                <w:sz w:val="21"/>
                <w:szCs w:val="21"/>
                <w:highlight w:val="none"/>
                <w:lang w:val="en-US" w:eastAsia="zh-CN" w:bidi="ar-SA"/>
              </w:rPr>
              <w:t>平均值</w:t>
            </w:r>
            <w:r>
              <w:rPr>
                <w:rFonts w:hint="eastAsia" w:ascii="Times New Roman" w:hAnsi="Times New Roman" w:eastAsia="宋体" w:cs="Times New Roman"/>
                <w:kern w:val="2"/>
                <w:sz w:val="21"/>
                <w:szCs w:val="21"/>
                <w:highlight w:val="none"/>
                <w:lang w:val="en-US" w:eastAsia="zh-CN" w:bidi="ar-SA"/>
              </w:rPr>
              <w:t>/%</w:t>
            </w:r>
          </w:p>
        </w:tc>
        <w:tc>
          <w:tcPr>
            <w:tcW w:w="1659" w:type="dxa"/>
            <w:noWrap w:val="0"/>
            <w:vAlign w:val="top"/>
          </w:tcPr>
          <w:p>
            <w:pPr>
              <w:pageBreakBefore w:val="0"/>
              <w:widowControl w:val="0"/>
              <w:kinsoku/>
              <w:wordWrap/>
              <w:topLinePunct w:val="0"/>
              <w:autoSpaceDE/>
              <w:autoSpaceDN/>
              <w:bidi w:val="0"/>
              <w:snapToGrid/>
              <w:spacing w:line="360" w:lineRule="auto"/>
              <w:ind w:firstLine="0" w:firstLineChars="0"/>
              <w:jc w:val="center"/>
              <w:rPr>
                <w:rFonts w:ascii="Times New Roman" w:hAnsi="Times New Roman" w:eastAsia="宋体" w:cs="Times New Roman"/>
                <w:kern w:val="2"/>
                <w:sz w:val="21"/>
                <w:szCs w:val="21"/>
                <w:highlight w:val="none"/>
                <w:lang w:val="en-US" w:eastAsia="zh-CN" w:bidi="ar-SA"/>
              </w:rPr>
            </w:pPr>
            <w:r>
              <w:rPr>
                <w:rFonts w:ascii="Times New Roman" w:hAnsi="Times New Roman" w:eastAsia="宋体" w:cs="Times New Roman"/>
                <w:kern w:val="2"/>
                <w:sz w:val="21"/>
                <w:szCs w:val="21"/>
                <w:highlight w:val="none"/>
                <w:lang w:val="en-US" w:eastAsia="zh-CN" w:bidi="ar-SA"/>
              </w:rPr>
              <w:t>SD</w:t>
            </w:r>
          </w:p>
        </w:tc>
        <w:tc>
          <w:tcPr>
            <w:tcW w:w="1660" w:type="dxa"/>
            <w:noWrap w:val="0"/>
            <w:vAlign w:val="top"/>
          </w:tcPr>
          <w:p>
            <w:pPr>
              <w:pageBreakBefore w:val="0"/>
              <w:widowControl w:val="0"/>
              <w:kinsoku/>
              <w:wordWrap/>
              <w:topLinePunct w:val="0"/>
              <w:autoSpaceDE/>
              <w:autoSpaceDN/>
              <w:bidi w:val="0"/>
              <w:snapToGrid/>
              <w:spacing w:line="360" w:lineRule="auto"/>
              <w:ind w:firstLine="0" w:firstLineChars="0"/>
              <w:jc w:val="center"/>
              <w:rPr>
                <w:rFonts w:ascii="Times New Roman" w:hAnsi="Times New Roman" w:eastAsia="宋体" w:cs="Times New Roman"/>
                <w:kern w:val="2"/>
                <w:sz w:val="21"/>
                <w:szCs w:val="21"/>
                <w:highlight w:val="none"/>
                <w:lang w:val="en-US" w:eastAsia="zh-CN" w:bidi="ar-SA"/>
              </w:rPr>
            </w:pPr>
            <w:r>
              <w:rPr>
                <w:rFonts w:ascii="Times New Roman" w:hAnsi="Times New Roman" w:eastAsia="宋体" w:cs="Times New Roman"/>
                <w:kern w:val="2"/>
                <w:sz w:val="21"/>
                <w:szCs w:val="21"/>
                <w:highlight w:val="none"/>
                <w:lang w:val="en-US" w:eastAsia="zh-CN" w:bidi="ar-SA"/>
              </w:rPr>
              <w:t>RSD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9" w:type="dxa"/>
            <w:noWrap w:val="0"/>
            <w:vAlign w:val="top"/>
          </w:tcPr>
          <w:p>
            <w:pPr>
              <w:pageBreakBefore w:val="0"/>
              <w:widowControl w:val="0"/>
              <w:kinsoku/>
              <w:wordWrap/>
              <w:topLinePunct w:val="0"/>
              <w:autoSpaceDE/>
              <w:autoSpaceDN/>
              <w:bidi w:val="0"/>
              <w:snapToGrid/>
              <w:spacing w:line="360" w:lineRule="auto"/>
              <w:ind w:firstLine="0" w:firstLineChars="0"/>
              <w:jc w:val="center"/>
              <w:rPr>
                <w:rFonts w:ascii="Times New Roman" w:hAnsi="Times New Roman" w:eastAsia="宋体" w:cs="Times New Roman"/>
                <w:kern w:val="2"/>
                <w:sz w:val="21"/>
                <w:szCs w:val="21"/>
                <w:highlight w:val="none"/>
                <w:lang w:val="en-US" w:eastAsia="zh-CN" w:bidi="ar-SA"/>
              </w:rPr>
            </w:pPr>
            <w:r>
              <w:rPr>
                <w:rFonts w:ascii="Times New Roman" w:hAnsi="Times New Roman" w:eastAsia="宋体" w:cs="Times New Roman"/>
                <w:kern w:val="2"/>
                <w:sz w:val="21"/>
                <w:szCs w:val="21"/>
                <w:highlight w:val="none"/>
                <w:lang w:val="en-US" w:eastAsia="zh-CN" w:bidi="ar-SA"/>
              </w:rPr>
              <w:t>1</w:t>
            </w:r>
          </w:p>
        </w:tc>
        <w:tc>
          <w:tcPr>
            <w:tcW w:w="1659" w:type="dxa"/>
            <w:noWrap w:val="0"/>
            <w:vAlign w:val="top"/>
          </w:tcPr>
          <w:p>
            <w:pPr>
              <w:keepNext w:val="0"/>
              <w:keepLines w:val="0"/>
              <w:widowControl/>
              <w:suppressLineNumbers w:val="0"/>
              <w:jc w:val="center"/>
              <w:textAlignment w:val="top"/>
              <w:rPr>
                <w:rFonts w:ascii="Times New Roman" w:hAnsi="Times New Roman" w:eastAsia="宋体" w:cs="Times New Roman"/>
                <w:kern w:val="2"/>
                <w:sz w:val="21"/>
                <w:szCs w:val="21"/>
                <w:highlight w:val="none"/>
                <w:lang w:val="en-US" w:eastAsia="zh-CN" w:bidi="ar-SA"/>
              </w:rPr>
            </w:pPr>
            <w:r>
              <w:rPr>
                <w:rFonts w:hint="default" w:ascii="Times New Roman" w:hAnsi="Times New Roman" w:eastAsia="宋体" w:cs="Times New Roman"/>
                <w:i w:val="0"/>
                <w:iCs w:val="0"/>
                <w:color w:val="000000"/>
                <w:kern w:val="0"/>
                <w:sz w:val="21"/>
                <w:szCs w:val="21"/>
                <w:highlight w:val="none"/>
                <w:u w:val="none"/>
                <w:lang w:val="en-US" w:eastAsia="zh-CN" w:bidi="ar"/>
              </w:rPr>
              <w:t>60.41</w:t>
            </w:r>
          </w:p>
        </w:tc>
        <w:tc>
          <w:tcPr>
            <w:tcW w:w="1659" w:type="dxa"/>
            <w:vMerge w:val="restart"/>
            <w:noWrap w:val="0"/>
            <w:vAlign w:val="center"/>
          </w:tcPr>
          <w:p>
            <w:pPr>
              <w:pageBreakBefore w:val="0"/>
              <w:widowControl/>
              <w:kinsoku/>
              <w:wordWrap/>
              <w:topLinePunct w:val="0"/>
              <w:autoSpaceDE/>
              <w:autoSpaceDN/>
              <w:bidi w:val="0"/>
              <w:snapToGrid/>
              <w:spacing w:line="360" w:lineRule="auto"/>
              <w:jc w:val="center"/>
              <w:textAlignment w:val="center"/>
              <w:rPr>
                <w:rFonts w:ascii="Times New Roman" w:hAnsi="Times New Roman" w:eastAsia="宋体" w:cs="Times New Roman"/>
                <w:szCs w:val="21"/>
                <w:highlight w:val="none"/>
              </w:rPr>
            </w:pPr>
            <w:r>
              <w:rPr>
                <w:rFonts w:hint="eastAsia" w:ascii="Times New Roman" w:hAnsi="Times New Roman" w:eastAsia="宋体" w:cs="Times New Roman"/>
                <w:color w:val="000000"/>
                <w:kern w:val="0"/>
                <w:szCs w:val="21"/>
                <w:highlight w:val="none"/>
                <w:lang w:val="en-US" w:eastAsia="zh-CN" w:bidi="ar"/>
              </w:rPr>
              <w:t>60.48</w:t>
            </w:r>
          </w:p>
        </w:tc>
        <w:tc>
          <w:tcPr>
            <w:tcW w:w="1659" w:type="dxa"/>
            <w:vMerge w:val="restart"/>
            <w:noWrap w:val="0"/>
            <w:vAlign w:val="center"/>
          </w:tcPr>
          <w:p>
            <w:pPr>
              <w:pageBreakBefore w:val="0"/>
              <w:widowControl w:val="0"/>
              <w:kinsoku/>
              <w:wordWrap/>
              <w:topLinePunct w:val="0"/>
              <w:autoSpaceDE/>
              <w:autoSpaceDN/>
              <w:bidi w:val="0"/>
              <w:snapToGrid/>
              <w:spacing w:line="360" w:lineRule="auto"/>
              <w:ind w:firstLine="0" w:firstLineChars="0"/>
              <w:jc w:val="center"/>
              <w:rPr>
                <w:rFonts w:ascii="Times New Roman" w:hAnsi="Times New Roman" w:eastAsia="宋体" w:cs="Times New Roman"/>
                <w:kern w:val="2"/>
                <w:sz w:val="21"/>
                <w:szCs w:val="21"/>
                <w:highlight w:val="none"/>
                <w:lang w:val="en-US" w:eastAsia="zh-CN" w:bidi="ar-SA"/>
              </w:rPr>
            </w:pPr>
            <w:r>
              <w:rPr>
                <w:rFonts w:ascii="Times New Roman" w:hAnsi="Times New Roman" w:eastAsia="宋体" w:cs="Times New Roman"/>
                <w:kern w:val="2"/>
                <w:sz w:val="21"/>
                <w:szCs w:val="21"/>
                <w:highlight w:val="none"/>
                <w:lang w:val="en-US" w:eastAsia="zh-CN" w:bidi="ar-SA"/>
              </w:rPr>
              <w:t>0.001</w:t>
            </w:r>
            <w:r>
              <w:rPr>
                <w:rFonts w:hint="eastAsia" w:ascii="Times New Roman" w:hAnsi="Times New Roman" w:eastAsia="宋体" w:cs="Times New Roman"/>
                <w:kern w:val="2"/>
                <w:sz w:val="21"/>
                <w:szCs w:val="21"/>
                <w:highlight w:val="none"/>
                <w:lang w:val="en-US" w:eastAsia="zh-CN" w:bidi="ar-SA"/>
              </w:rPr>
              <w:t>8</w:t>
            </w:r>
          </w:p>
        </w:tc>
        <w:tc>
          <w:tcPr>
            <w:tcW w:w="1660" w:type="dxa"/>
            <w:vMerge w:val="restart"/>
            <w:noWrap w:val="0"/>
            <w:vAlign w:val="center"/>
          </w:tcPr>
          <w:p>
            <w:pPr>
              <w:pageBreakBefore w:val="0"/>
              <w:widowControl w:val="0"/>
              <w:kinsoku/>
              <w:wordWrap/>
              <w:topLinePunct w:val="0"/>
              <w:autoSpaceDE/>
              <w:autoSpaceDN/>
              <w:bidi w:val="0"/>
              <w:snapToGrid/>
              <w:spacing w:line="360" w:lineRule="auto"/>
              <w:ind w:firstLine="0" w:firstLineChars="0"/>
              <w:jc w:val="center"/>
              <w:rPr>
                <w:rFonts w:ascii="Times New Roman" w:hAnsi="Times New Roman" w:eastAsia="宋体" w:cs="Times New Roman"/>
                <w:kern w:val="2"/>
                <w:sz w:val="21"/>
                <w:szCs w:val="21"/>
                <w:highlight w:val="none"/>
                <w:lang w:val="en-US" w:eastAsia="zh-CN" w:bidi="ar-SA"/>
              </w:rPr>
            </w:pPr>
            <w:r>
              <w:rPr>
                <w:rFonts w:ascii="Times New Roman" w:hAnsi="Times New Roman" w:eastAsia="宋体" w:cs="Times New Roman"/>
                <w:kern w:val="2"/>
                <w:sz w:val="21"/>
                <w:szCs w:val="21"/>
                <w:highlight w:val="none"/>
                <w:lang w:val="en-US" w:eastAsia="zh-CN" w:bidi="ar-SA"/>
              </w:rPr>
              <w:t>1.0</w:t>
            </w:r>
            <w:r>
              <w:rPr>
                <w:rFonts w:hint="eastAsia" w:ascii="Times New Roman" w:hAnsi="Times New Roman" w:eastAsia="宋体" w:cs="Times New Roman"/>
                <w:kern w:val="2"/>
                <w:sz w:val="21"/>
                <w:szCs w:val="21"/>
                <w:highlight w:val="none"/>
                <w:lang w:val="en-US" w:eastAsia="zh-CN" w:bidi="ar-SA"/>
              </w:rPr>
              <w:t>9</w:t>
            </w:r>
            <w:r>
              <w:rPr>
                <w:rFonts w:ascii="Times New Roman" w:hAnsi="Times New Roman" w:eastAsia="宋体" w:cs="Times New Roman"/>
                <w:kern w:val="2"/>
                <w:sz w:val="21"/>
                <w:szCs w:val="21"/>
                <w:highlight w:val="no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9" w:type="dxa"/>
            <w:noWrap w:val="0"/>
            <w:vAlign w:val="top"/>
          </w:tcPr>
          <w:p>
            <w:pPr>
              <w:pageBreakBefore w:val="0"/>
              <w:kinsoku/>
              <w:wordWrap/>
              <w:topLinePunct w:val="0"/>
              <w:autoSpaceDE/>
              <w:autoSpaceDN/>
              <w:bidi w:val="0"/>
              <w:snapToGrid/>
              <w:spacing w:line="360" w:lineRule="auto"/>
              <w:jc w:val="center"/>
              <w:rPr>
                <w:rFonts w:ascii="Times New Roman" w:hAnsi="Times New Roman" w:eastAsia="宋体" w:cs="Times New Roman"/>
                <w:szCs w:val="21"/>
              </w:rPr>
            </w:pPr>
            <w:r>
              <w:rPr>
                <w:rFonts w:ascii="Times New Roman" w:hAnsi="Times New Roman" w:eastAsia="宋体" w:cs="Times New Roman"/>
                <w:szCs w:val="21"/>
              </w:rPr>
              <w:t>2</w:t>
            </w:r>
          </w:p>
        </w:tc>
        <w:tc>
          <w:tcPr>
            <w:tcW w:w="1659" w:type="dxa"/>
            <w:noWrap w:val="0"/>
            <w:vAlign w:val="top"/>
          </w:tcPr>
          <w:p>
            <w:pPr>
              <w:keepNext w:val="0"/>
              <w:keepLines w:val="0"/>
              <w:widowControl/>
              <w:suppressLineNumbers w:val="0"/>
              <w:jc w:val="center"/>
              <w:textAlignment w:val="top"/>
              <w:rPr>
                <w:rFonts w:ascii="Times New Roman" w:hAnsi="Times New Roman" w:eastAsia="宋体" w:cs="Times New Roman"/>
                <w:kern w:val="2"/>
                <w:sz w:val="21"/>
                <w:szCs w:val="21"/>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60.38</w:t>
            </w:r>
          </w:p>
        </w:tc>
        <w:tc>
          <w:tcPr>
            <w:tcW w:w="1659" w:type="dxa"/>
            <w:vMerge w:val="continue"/>
            <w:noWrap w:val="0"/>
            <w:vAlign w:val="top"/>
          </w:tcPr>
          <w:p>
            <w:pPr>
              <w:pageBreakBefore w:val="0"/>
              <w:kinsoku/>
              <w:wordWrap/>
              <w:topLinePunct w:val="0"/>
              <w:autoSpaceDE/>
              <w:autoSpaceDN/>
              <w:bidi w:val="0"/>
              <w:snapToGrid/>
              <w:spacing w:line="360" w:lineRule="auto"/>
              <w:jc w:val="center"/>
              <w:rPr>
                <w:rFonts w:ascii="Times New Roman" w:hAnsi="Times New Roman" w:eastAsia="宋体" w:cs="Times New Roman"/>
                <w:szCs w:val="21"/>
              </w:rPr>
            </w:pPr>
          </w:p>
        </w:tc>
        <w:tc>
          <w:tcPr>
            <w:tcW w:w="1659" w:type="dxa"/>
            <w:vMerge w:val="continue"/>
            <w:noWrap w:val="0"/>
            <w:vAlign w:val="top"/>
          </w:tcPr>
          <w:p>
            <w:pPr>
              <w:pageBreakBefore w:val="0"/>
              <w:kinsoku/>
              <w:wordWrap/>
              <w:topLinePunct w:val="0"/>
              <w:autoSpaceDE/>
              <w:autoSpaceDN/>
              <w:bidi w:val="0"/>
              <w:snapToGrid/>
              <w:spacing w:line="360" w:lineRule="auto"/>
              <w:jc w:val="center"/>
              <w:rPr>
                <w:rFonts w:ascii="Times New Roman" w:hAnsi="Times New Roman" w:eastAsia="宋体" w:cs="Times New Roman"/>
                <w:szCs w:val="21"/>
              </w:rPr>
            </w:pPr>
          </w:p>
        </w:tc>
        <w:tc>
          <w:tcPr>
            <w:tcW w:w="1660" w:type="dxa"/>
            <w:vMerge w:val="continue"/>
            <w:noWrap w:val="0"/>
            <w:vAlign w:val="top"/>
          </w:tcPr>
          <w:p>
            <w:pPr>
              <w:pageBreakBefore w:val="0"/>
              <w:kinsoku/>
              <w:wordWrap/>
              <w:topLinePunct w:val="0"/>
              <w:autoSpaceDE/>
              <w:autoSpaceDN/>
              <w:bidi w:val="0"/>
              <w:snapToGrid/>
              <w:spacing w:line="360" w:lineRule="auto"/>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9" w:type="dxa"/>
            <w:noWrap w:val="0"/>
            <w:vAlign w:val="top"/>
          </w:tcPr>
          <w:p>
            <w:pPr>
              <w:pageBreakBefore w:val="0"/>
              <w:kinsoku/>
              <w:wordWrap/>
              <w:topLinePunct w:val="0"/>
              <w:autoSpaceDE/>
              <w:autoSpaceDN/>
              <w:bidi w:val="0"/>
              <w:snapToGrid/>
              <w:spacing w:line="360" w:lineRule="auto"/>
              <w:jc w:val="center"/>
              <w:rPr>
                <w:rFonts w:ascii="Times New Roman" w:hAnsi="Times New Roman" w:eastAsia="宋体" w:cs="Times New Roman"/>
                <w:szCs w:val="21"/>
              </w:rPr>
            </w:pPr>
            <w:r>
              <w:rPr>
                <w:rFonts w:ascii="Times New Roman" w:hAnsi="Times New Roman" w:eastAsia="宋体" w:cs="Times New Roman"/>
                <w:szCs w:val="21"/>
              </w:rPr>
              <w:t>3</w:t>
            </w:r>
          </w:p>
        </w:tc>
        <w:tc>
          <w:tcPr>
            <w:tcW w:w="1659" w:type="dxa"/>
            <w:noWrap w:val="0"/>
            <w:vAlign w:val="top"/>
          </w:tcPr>
          <w:p>
            <w:pPr>
              <w:keepNext w:val="0"/>
              <w:keepLines w:val="0"/>
              <w:widowControl/>
              <w:suppressLineNumbers w:val="0"/>
              <w:jc w:val="center"/>
              <w:textAlignment w:val="top"/>
              <w:rPr>
                <w:rFonts w:ascii="Times New Roman" w:hAnsi="Times New Roman" w:eastAsia="宋体" w:cs="Times New Roman"/>
                <w:kern w:val="2"/>
                <w:sz w:val="21"/>
                <w:szCs w:val="21"/>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60.53</w:t>
            </w:r>
          </w:p>
        </w:tc>
        <w:tc>
          <w:tcPr>
            <w:tcW w:w="1659" w:type="dxa"/>
            <w:vMerge w:val="continue"/>
            <w:noWrap w:val="0"/>
            <w:vAlign w:val="top"/>
          </w:tcPr>
          <w:p>
            <w:pPr>
              <w:pageBreakBefore w:val="0"/>
              <w:kinsoku/>
              <w:wordWrap/>
              <w:topLinePunct w:val="0"/>
              <w:autoSpaceDE/>
              <w:autoSpaceDN/>
              <w:bidi w:val="0"/>
              <w:snapToGrid/>
              <w:spacing w:line="360" w:lineRule="auto"/>
              <w:jc w:val="center"/>
              <w:rPr>
                <w:rFonts w:ascii="Times New Roman" w:hAnsi="Times New Roman" w:eastAsia="宋体" w:cs="Times New Roman"/>
                <w:szCs w:val="21"/>
              </w:rPr>
            </w:pPr>
          </w:p>
        </w:tc>
        <w:tc>
          <w:tcPr>
            <w:tcW w:w="1659" w:type="dxa"/>
            <w:vMerge w:val="continue"/>
            <w:noWrap w:val="0"/>
            <w:vAlign w:val="top"/>
          </w:tcPr>
          <w:p>
            <w:pPr>
              <w:pageBreakBefore w:val="0"/>
              <w:kinsoku/>
              <w:wordWrap/>
              <w:topLinePunct w:val="0"/>
              <w:autoSpaceDE/>
              <w:autoSpaceDN/>
              <w:bidi w:val="0"/>
              <w:snapToGrid/>
              <w:spacing w:line="360" w:lineRule="auto"/>
              <w:jc w:val="center"/>
              <w:rPr>
                <w:rFonts w:ascii="Times New Roman" w:hAnsi="Times New Roman" w:eastAsia="宋体" w:cs="Times New Roman"/>
                <w:szCs w:val="21"/>
              </w:rPr>
            </w:pPr>
          </w:p>
        </w:tc>
        <w:tc>
          <w:tcPr>
            <w:tcW w:w="1660" w:type="dxa"/>
            <w:vMerge w:val="continue"/>
            <w:noWrap w:val="0"/>
            <w:vAlign w:val="top"/>
          </w:tcPr>
          <w:p>
            <w:pPr>
              <w:pageBreakBefore w:val="0"/>
              <w:kinsoku/>
              <w:wordWrap/>
              <w:topLinePunct w:val="0"/>
              <w:autoSpaceDE/>
              <w:autoSpaceDN/>
              <w:bidi w:val="0"/>
              <w:snapToGrid/>
              <w:spacing w:line="360" w:lineRule="auto"/>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9" w:type="dxa"/>
            <w:noWrap w:val="0"/>
            <w:vAlign w:val="top"/>
          </w:tcPr>
          <w:p>
            <w:pPr>
              <w:pageBreakBefore w:val="0"/>
              <w:kinsoku/>
              <w:wordWrap/>
              <w:topLinePunct w:val="0"/>
              <w:autoSpaceDE/>
              <w:autoSpaceDN/>
              <w:bidi w:val="0"/>
              <w:snapToGrid/>
              <w:spacing w:line="360" w:lineRule="auto"/>
              <w:jc w:val="center"/>
              <w:rPr>
                <w:rFonts w:ascii="Times New Roman" w:hAnsi="Times New Roman" w:eastAsia="宋体" w:cs="Times New Roman"/>
                <w:szCs w:val="21"/>
              </w:rPr>
            </w:pPr>
            <w:r>
              <w:rPr>
                <w:rFonts w:ascii="Times New Roman" w:hAnsi="Times New Roman" w:eastAsia="宋体" w:cs="Times New Roman"/>
                <w:szCs w:val="21"/>
              </w:rPr>
              <w:t>4</w:t>
            </w:r>
          </w:p>
        </w:tc>
        <w:tc>
          <w:tcPr>
            <w:tcW w:w="1659" w:type="dxa"/>
            <w:noWrap w:val="0"/>
            <w:vAlign w:val="top"/>
          </w:tcPr>
          <w:p>
            <w:pPr>
              <w:keepNext w:val="0"/>
              <w:keepLines w:val="0"/>
              <w:widowControl/>
              <w:suppressLineNumbers w:val="0"/>
              <w:jc w:val="center"/>
              <w:textAlignment w:val="top"/>
              <w:rPr>
                <w:rFonts w:ascii="Times New Roman" w:hAnsi="Times New Roman" w:eastAsia="宋体" w:cs="Times New Roman"/>
                <w:kern w:val="2"/>
                <w:sz w:val="21"/>
                <w:szCs w:val="21"/>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60.61</w:t>
            </w:r>
          </w:p>
        </w:tc>
        <w:tc>
          <w:tcPr>
            <w:tcW w:w="1659" w:type="dxa"/>
            <w:vMerge w:val="continue"/>
            <w:noWrap w:val="0"/>
            <w:vAlign w:val="top"/>
          </w:tcPr>
          <w:p>
            <w:pPr>
              <w:pageBreakBefore w:val="0"/>
              <w:kinsoku/>
              <w:wordWrap/>
              <w:topLinePunct w:val="0"/>
              <w:autoSpaceDE/>
              <w:autoSpaceDN/>
              <w:bidi w:val="0"/>
              <w:snapToGrid/>
              <w:spacing w:line="360" w:lineRule="auto"/>
              <w:jc w:val="center"/>
              <w:rPr>
                <w:rFonts w:ascii="Times New Roman" w:hAnsi="Times New Roman" w:eastAsia="宋体" w:cs="Times New Roman"/>
                <w:szCs w:val="21"/>
              </w:rPr>
            </w:pPr>
          </w:p>
        </w:tc>
        <w:tc>
          <w:tcPr>
            <w:tcW w:w="1659" w:type="dxa"/>
            <w:vMerge w:val="continue"/>
            <w:noWrap w:val="0"/>
            <w:vAlign w:val="top"/>
          </w:tcPr>
          <w:p>
            <w:pPr>
              <w:pageBreakBefore w:val="0"/>
              <w:kinsoku/>
              <w:wordWrap/>
              <w:topLinePunct w:val="0"/>
              <w:autoSpaceDE/>
              <w:autoSpaceDN/>
              <w:bidi w:val="0"/>
              <w:snapToGrid/>
              <w:spacing w:line="360" w:lineRule="auto"/>
              <w:jc w:val="center"/>
              <w:rPr>
                <w:rFonts w:ascii="Times New Roman" w:hAnsi="Times New Roman" w:eastAsia="宋体" w:cs="Times New Roman"/>
                <w:szCs w:val="21"/>
              </w:rPr>
            </w:pPr>
          </w:p>
        </w:tc>
        <w:tc>
          <w:tcPr>
            <w:tcW w:w="1660" w:type="dxa"/>
            <w:vMerge w:val="continue"/>
            <w:noWrap w:val="0"/>
            <w:vAlign w:val="top"/>
          </w:tcPr>
          <w:p>
            <w:pPr>
              <w:pageBreakBefore w:val="0"/>
              <w:kinsoku/>
              <w:wordWrap/>
              <w:topLinePunct w:val="0"/>
              <w:autoSpaceDE/>
              <w:autoSpaceDN/>
              <w:bidi w:val="0"/>
              <w:snapToGrid/>
              <w:spacing w:line="360" w:lineRule="auto"/>
              <w:jc w:val="center"/>
              <w:rPr>
                <w:rFonts w:ascii="Times New Roman" w:hAnsi="Times New Roman" w:eastAsia="宋体" w:cs="Times New Roman"/>
                <w:szCs w:val="21"/>
              </w:rPr>
            </w:pPr>
          </w:p>
        </w:tc>
      </w:tr>
    </w:tbl>
    <w:p>
      <w:pPr>
        <w:pageBreakBefore w:val="0"/>
        <w:kinsoku/>
        <w:wordWrap/>
        <w:topLinePunct w:val="0"/>
        <w:autoSpaceDE/>
        <w:autoSpaceDN/>
        <w:bidi w:val="0"/>
        <w:snapToGrid/>
        <w:spacing w:line="360" w:lineRule="auto"/>
        <w:ind w:firstLine="482" w:firstLineChars="200"/>
        <w:rPr>
          <w:rFonts w:ascii="Times New Roman" w:hAnsi="Times New Roman" w:eastAsia="宋体" w:cs="Times New Roman"/>
          <w:b/>
          <w:sz w:val="24"/>
          <w:szCs w:val="24"/>
        </w:rPr>
      </w:pPr>
    </w:p>
    <w:p>
      <w:pPr>
        <w:pageBreakBefore w:val="0"/>
        <w:kinsoku/>
        <w:wordWrap/>
        <w:topLinePunct w:val="0"/>
        <w:autoSpaceDE/>
        <w:autoSpaceDN/>
        <w:bidi w:val="0"/>
        <w:snapToGrid/>
        <w:spacing w:line="360" w:lineRule="auto"/>
        <w:ind w:firstLine="482" w:firstLineChars="200"/>
        <w:rPr>
          <w:rFonts w:ascii="Times New Roman" w:hAnsi="Times New Roman" w:eastAsia="宋体" w:cs="Times New Roman"/>
          <w:sz w:val="24"/>
          <w:szCs w:val="24"/>
        </w:rPr>
      </w:pPr>
      <w:r>
        <w:rPr>
          <w:rFonts w:ascii="Times New Roman" w:hAnsi="Times New Roman" w:eastAsia="宋体" w:cs="Times New Roman"/>
          <w:b/>
          <w:sz w:val="24"/>
          <w:szCs w:val="24"/>
        </w:rPr>
        <w:t>试验结论：</w:t>
      </w:r>
      <w:r>
        <w:rPr>
          <w:rFonts w:ascii="Times New Roman" w:hAnsi="Times New Roman" w:eastAsia="宋体" w:cs="Times New Roman"/>
          <w:sz w:val="24"/>
          <w:szCs w:val="24"/>
        </w:rPr>
        <w:t>三家公司按照</w:t>
      </w:r>
      <w:r>
        <w:rPr>
          <w:rFonts w:hint="eastAsia" w:ascii="Times New Roman" w:hAnsi="Times New Roman" w:eastAsia="宋体" w:cs="Times New Roman"/>
          <w:sz w:val="24"/>
          <w:szCs w:val="24"/>
          <w:lang w:val="en-US" w:eastAsia="zh-CN"/>
        </w:rPr>
        <w:t>本文件的检测方法</w:t>
      </w:r>
      <w:r>
        <w:rPr>
          <w:rFonts w:ascii="Times New Roman" w:hAnsi="Times New Roman" w:eastAsia="宋体" w:cs="Times New Roman"/>
          <w:sz w:val="24"/>
          <w:szCs w:val="24"/>
        </w:rPr>
        <w:t>进行了验证工作。结果表明该方法</w:t>
      </w:r>
      <w:r>
        <w:rPr>
          <w:rFonts w:hint="eastAsia" w:ascii="Times New Roman" w:hAnsi="Times New Roman" w:eastAsia="宋体" w:cs="Times New Roman"/>
          <w:sz w:val="24"/>
          <w:szCs w:val="24"/>
        </w:rPr>
        <w:t>再现性好，</w:t>
      </w:r>
      <w:r>
        <w:rPr>
          <w:rFonts w:ascii="Times New Roman" w:hAnsi="Times New Roman" w:eastAsia="宋体" w:cs="Times New Roman"/>
          <w:sz w:val="24"/>
          <w:szCs w:val="24"/>
        </w:rPr>
        <w:t>精密度好，满足测定要求，</w:t>
      </w:r>
      <w:r>
        <w:rPr>
          <w:rFonts w:hint="eastAsia" w:ascii="Times New Roman" w:hAnsi="Times New Roman" w:eastAsia="宋体" w:cs="Times New Roman"/>
          <w:sz w:val="24"/>
          <w:szCs w:val="24"/>
        </w:rPr>
        <w:t>三家验证单位均</w:t>
      </w:r>
      <w:r>
        <w:rPr>
          <w:rFonts w:ascii="Times New Roman" w:hAnsi="Times New Roman" w:eastAsia="宋体" w:cs="Times New Roman"/>
          <w:sz w:val="24"/>
          <w:szCs w:val="24"/>
        </w:rPr>
        <w:t>同意推荐为有色金属行业标准。</w:t>
      </w:r>
    </w:p>
    <w:p>
      <w:pPr>
        <w:pStyle w:val="20"/>
        <w:keepNext w:val="0"/>
        <w:keepLines w:val="0"/>
        <w:pageBreakBefore w:val="0"/>
        <w:widowControl/>
        <w:numPr>
          <w:ilvl w:val="0"/>
          <w:numId w:val="0"/>
        </w:numPr>
        <w:kinsoku/>
        <w:wordWrap/>
        <w:overflowPunct/>
        <w:topLinePunct w:val="0"/>
        <w:autoSpaceDE/>
        <w:autoSpaceDN/>
        <w:bidi w:val="0"/>
        <w:adjustRightInd/>
        <w:snapToGrid/>
        <w:spacing w:before="157" w:beforeLines="50" w:after="157" w:afterLines="50" w:line="360" w:lineRule="auto"/>
        <w:ind w:leftChars="50" w:right="105" w:rightChars="50" w:firstLine="240" w:firstLineChars="100"/>
        <w:jc w:val="both"/>
        <w:textAlignment w:val="auto"/>
        <w:outlineLvl w:val="0"/>
        <w:rPr>
          <w:rFonts w:hint="eastAsia"/>
          <w:sz w:val="24"/>
          <w:szCs w:val="24"/>
          <w:lang w:val="en-US" w:eastAsia="zh-CN"/>
        </w:rPr>
      </w:pPr>
      <w:bookmarkStart w:id="12" w:name="_Toc15894_WPSOffice_Level1"/>
      <w:r>
        <w:rPr>
          <w:rFonts w:hint="eastAsia"/>
          <w:sz w:val="24"/>
          <w:szCs w:val="24"/>
          <w:lang w:val="en-US" w:eastAsia="zh-CN"/>
        </w:rPr>
        <w:t>六、标准水平</w:t>
      </w:r>
      <w:bookmarkEnd w:id="12"/>
    </w:p>
    <w:p>
      <w:pPr>
        <w:pageBreakBefore w:val="0"/>
        <w:kinsoku/>
        <w:wordWrap/>
        <w:topLinePunct w:val="0"/>
        <w:autoSpaceDE/>
        <w:autoSpaceDN/>
        <w:bidi w:val="0"/>
        <w:snapToGrid/>
        <w:spacing w:line="360" w:lineRule="auto"/>
        <w:ind w:firstLine="480" w:firstLineChars="200"/>
        <w:outlineLvl w:val="1"/>
        <w:rPr>
          <w:rFonts w:hint="eastAsia"/>
          <w:sz w:val="24"/>
          <w:szCs w:val="24"/>
        </w:rPr>
      </w:pPr>
      <w:r>
        <w:rPr>
          <w:rFonts w:hint="eastAsia"/>
          <w:sz w:val="24"/>
          <w:szCs w:val="24"/>
        </w:rPr>
        <w:t>（1）采用国际标准和国外先进标准的程度</w:t>
      </w:r>
    </w:p>
    <w:p>
      <w:pPr>
        <w:pageBreakBefore w:val="0"/>
        <w:kinsoku/>
        <w:wordWrap/>
        <w:topLinePunct w:val="0"/>
        <w:autoSpaceDE/>
        <w:autoSpaceDN/>
        <w:bidi w:val="0"/>
        <w:snapToGrid/>
        <w:spacing w:line="360" w:lineRule="auto"/>
        <w:ind w:firstLine="480" w:firstLineChars="200"/>
        <w:rPr>
          <w:rFonts w:hint="eastAsia"/>
          <w:sz w:val="24"/>
          <w:szCs w:val="24"/>
        </w:rPr>
      </w:pPr>
      <w:r>
        <w:rPr>
          <w:rFonts w:hint="eastAsia"/>
          <w:sz w:val="24"/>
          <w:szCs w:val="24"/>
        </w:rPr>
        <w:t>未查到</w:t>
      </w:r>
      <w:r>
        <w:rPr>
          <w:rFonts w:hint="eastAsia"/>
          <w:sz w:val="24"/>
          <w:szCs w:val="24"/>
          <w:lang w:val="en-US" w:eastAsia="zh-CN"/>
        </w:rPr>
        <w:t>仲辛基黄药</w:t>
      </w:r>
      <w:r>
        <w:rPr>
          <w:rFonts w:hint="eastAsia"/>
          <w:sz w:val="24"/>
          <w:szCs w:val="24"/>
        </w:rPr>
        <w:t>的国际标准或国外先进标准，所以本标准没有采用其他国际或国外标准。</w:t>
      </w:r>
    </w:p>
    <w:p>
      <w:pPr>
        <w:pageBreakBefore w:val="0"/>
        <w:kinsoku/>
        <w:wordWrap/>
        <w:topLinePunct w:val="0"/>
        <w:autoSpaceDE/>
        <w:autoSpaceDN/>
        <w:bidi w:val="0"/>
        <w:snapToGrid/>
        <w:spacing w:line="360" w:lineRule="auto"/>
        <w:ind w:firstLine="480" w:firstLineChars="200"/>
        <w:outlineLvl w:val="1"/>
        <w:rPr>
          <w:rFonts w:hint="eastAsia"/>
          <w:sz w:val="24"/>
          <w:szCs w:val="24"/>
        </w:rPr>
      </w:pPr>
      <w:r>
        <w:rPr>
          <w:rFonts w:hint="eastAsia"/>
          <w:sz w:val="24"/>
          <w:szCs w:val="24"/>
        </w:rPr>
        <w:t>（2）该标准与国内相关标准间的关系</w:t>
      </w:r>
    </w:p>
    <w:p>
      <w:pPr>
        <w:pageBreakBefore w:val="0"/>
        <w:kinsoku/>
        <w:wordWrap/>
        <w:topLinePunct w:val="0"/>
        <w:autoSpaceDE/>
        <w:autoSpaceDN/>
        <w:bidi w:val="0"/>
        <w:snapToGrid/>
        <w:spacing w:line="360" w:lineRule="auto"/>
        <w:ind w:firstLine="480" w:firstLineChars="200"/>
        <w:rPr>
          <w:rFonts w:ascii="宋体" w:eastAsia="黑体"/>
          <w:sz w:val="24"/>
          <w:szCs w:val="24"/>
        </w:rPr>
      </w:pPr>
      <w:r>
        <w:rPr>
          <w:rFonts w:hint="eastAsia"/>
          <w:sz w:val="24"/>
          <w:szCs w:val="24"/>
        </w:rPr>
        <w:t>未查到相关的国家或行业标准，该标准具有主导地位。</w:t>
      </w:r>
      <w:bookmarkStart w:id="13" w:name="_Toc951_WPSOffice_Level1"/>
    </w:p>
    <w:p>
      <w:pPr>
        <w:pStyle w:val="20"/>
        <w:keepNext w:val="0"/>
        <w:keepLines w:val="0"/>
        <w:pageBreakBefore w:val="0"/>
        <w:widowControl/>
        <w:numPr>
          <w:ilvl w:val="0"/>
          <w:numId w:val="0"/>
        </w:numPr>
        <w:kinsoku/>
        <w:wordWrap/>
        <w:overflowPunct/>
        <w:topLinePunct w:val="0"/>
        <w:autoSpaceDE/>
        <w:autoSpaceDN/>
        <w:bidi w:val="0"/>
        <w:adjustRightInd/>
        <w:snapToGrid/>
        <w:spacing w:before="157" w:beforeLines="50" w:after="157" w:afterLines="50" w:line="360" w:lineRule="auto"/>
        <w:ind w:leftChars="50" w:right="105" w:rightChars="50" w:firstLine="240" w:firstLineChars="100"/>
        <w:jc w:val="both"/>
        <w:textAlignment w:val="auto"/>
        <w:outlineLvl w:val="0"/>
        <w:rPr>
          <w:rFonts w:hint="eastAsia"/>
          <w:sz w:val="24"/>
          <w:szCs w:val="24"/>
          <w:lang w:val="en-US" w:eastAsia="zh-CN"/>
        </w:rPr>
      </w:pPr>
      <w:r>
        <w:rPr>
          <w:rFonts w:hint="eastAsia"/>
          <w:sz w:val="24"/>
          <w:szCs w:val="24"/>
          <w:lang w:val="en-US" w:eastAsia="zh-CN"/>
        </w:rPr>
        <w:t>七、与现行相关法律、法规、规章及相关标准，特别是强制性标准的协调性</w:t>
      </w:r>
    </w:p>
    <w:p>
      <w:pPr>
        <w:pStyle w:val="29"/>
        <w:pageBreakBefore w:val="0"/>
        <w:kinsoku/>
        <w:wordWrap/>
        <w:topLinePunct w:val="0"/>
        <w:autoSpaceDE/>
        <w:autoSpaceDN/>
        <w:bidi w:val="0"/>
        <w:snapToGrid/>
        <w:spacing w:line="360" w:lineRule="auto"/>
        <w:ind w:firstLine="480"/>
        <w:contextualSpacing/>
        <w:rPr>
          <w:sz w:val="24"/>
          <w:szCs w:val="24"/>
        </w:rPr>
      </w:pPr>
      <w:r>
        <w:rPr>
          <w:rFonts w:hint="eastAsia"/>
          <w:sz w:val="24"/>
          <w:szCs w:val="24"/>
        </w:rPr>
        <w:t>本标准的制定过程、技术指标的选定、检验项目的设置符合现行法律、法规和强制性国家标准的规定。</w:t>
      </w:r>
    </w:p>
    <w:p>
      <w:pPr>
        <w:pStyle w:val="20"/>
        <w:keepNext w:val="0"/>
        <w:keepLines w:val="0"/>
        <w:pageBreakBefore w:val="0"/>
        <w:widowControl/>
        <w:numPr>
          <w:ilvl w:val="0"/>
          <w:numId w:val="0"/>
        </w:numPr>
        <w:kinsoku/>
        <w:wordWrap/>
        <w:overflowPunct/>
        <w:topLinePunct w:val="0"/>
        <w:autoSpaceDE/>
        <w:autoSpaceDN/>
        <w:bidi w:val="0"/>
        <w:adjustRightInd/>
        <w:snapToGrid/>
        <w:spacing w:before="157" w:beforeLines="50" w:after="157" w:afterLines="50" w:line="360" w:lineRule="auto"/>
        <w:ind w:leftChars="50" w:right="105" w:rightChars="50" w:firstLine="240" w:firstLineChars="100"/>
        <w:jc w:val="both"/>
        <w:textAlignment w:val="auto"/>
        <w:outlineLvl w:val="0"/>
        <w:rPr>
          <w:rFonts w:hint="eastAsia"/>
          <w:sz w:val="24"/>
          <w:szCs w:val="24"/>
          <w:lang w:val="en-US" w:eastAsia="zh-CN"/>
        </w:rPr>
      </w:pPr>
      <w:r>
        <w:rPr>
          <w:rFonts w:hint="eastAsia"/>
          <w:sz w:val="24"/>
          <w:szCs w:val="24"/>
          <w:lang w:val="en-US" w:eastAsia="zh-CN"/>
        </w:rPr>
        <w:t>八、重大分歧意见的处理经过和依据</w:t>
      </w:r>
    </w:p>
    <w:p>
      <w:pPr>
        <w:pStyle w:val="29"/>
        <w:pageBreakBefore w:val="0"/>
        <w:kinsoku/>
        <w:wordWrap/>
        <w:topLinePunct w:val="0"/>
        <w:autoSpaceDE/>
        <w:autoSpaceDN/>
        <w:bidi w:val="0"/>
        <w:snapToGrid/>
        <w:spacing w:line="360" w:lineRule="auto"/>
        <w:ind w:firstLine="480"/>
        <w:rPr>
          <w:rFonts w:ascii="等线" w:hAnsi="等线"/>
          <w:sz w:val="24"/>
          <w:szCs w:val="24"/>
        </w:rPr>
      </w:pPr>
      <w:r>
        <w:rPr>
          <w:rFonts w:hint="eastAsia"/>
          <w:sz w:val="24"/>
          <w:szCs w:val="24"/>
        </w:rPr>
        <w:t>无</w:t>
      </w:r>
      <w:r>
        <w:rPr>
          <w:rFonts w:hint="eastAsia" w:ascii="等线" w:hAnsi="等线"/>
          <w:sz w:val="24"/>
          <w:szCs w:val="24"/>
        </w:rPr>
        <w:t>。</w:t>
      </w:r>
    </w:p>
    <w:p>
      <w:pPr>
        <w:pStyle w:val="20"/>
        <w:keepNext w:val="0"/>
        <w:keepLines w:val="0"/>
        <w:pageBreakBefore w:val="0"/>
        <w:widowControl/>
        <w:numPr>
          <w:ilvl w:val="0"/>
          <w:numId w:val="0"/>
        </w:numPr>
        <w:kinsoku/>
        <w:wordWrap/>
        <w:overflowPunct/>
        <w:topLinePunct w:val="0"/>
        <w:autoSpaceDE/>
        <w:autoSpaceDN/>
        <w:bidi w:val="0"/>
        <w:adjustRightInd/>
        <w:snapToGrid/>
        <w:spacing w:before="157" w:beforeLines="50" w:after="157" w:afterLines="50" w:line="360" w:lineRule="auto"/>
        <w:ind w:leftChars="50" w:right="105" w:rightChars="50" w:firstLine="240" w:firstLineChars="100"/>
        <w:jc w:val="both"/>
        <w:textAlignment w:val="auto"/>
        <w:outlineLvl w:val="0"/>
        <w:rPr>
          <w:rFonts w:hint="eastAsia"/>
          <w:sz w:val="24"/>
          <w:szCs w:val="24"/>
          <w:lang w:val="en-US" w:eastAsia="zh-CN"/>
        </w:rPr>
      </w:pPr>
      <w:r>
        <w:rPr>
          <w:rFonts w:hint="eastAsia"/>
          <w:sz w:val="24"/>
          <w:szCs w:val="24"/>
          <w:lang w:val="en-US" w:eastAsia="zh-CN"/>
        </w:rPr>
        <w:t>九、标准作为强制性或推荐性标准的建议</w:t>
      </w:r>
    </w:p>
    <w:p>
      <w:pPr>
        <w:pStyle w:val="29"/>
        <w:pageBreakBefore w:val="0"/>
        <w:kinsoku/>
        <w:wordWrap/>
        <w:topLinePunct w:val="0"/>
        <w:autoSpaceDE/>
        <w:autoSpaceDN/>
        <w:bidi w:val="0"/>
        <w:snapToGrid/>
        <w:spacing w:line="360" w:lineRule="auto"/>
        <w:ind w:firstLine="480"/>
        <w:rPr>
          <w:sz w:val="24"/>
          <w:szCs w:val="24"/>
        </w:rPr>
      </w:pPr>
      <w:r>
        <w:rPr>
          <w:rFonts w:hint="eastAsia"/>
          <w:sz w:val="24"/>
          <w:szCs w:val="24"/>
        </w:rPr>
        <w:t>本标准建议作为推荐性行业标准。</w:t>
      </w:r>
    </w:p>
    <w:p>
      <w:pPr>
        <w:pStyle w:val="20"/>
        <w:keepNext w:val="0"/>
        <w:keepLines w:val="0"/>
        <w:pageBreakBefore w:val="0"/>
        <w:widowControl/>
        <w:numPr>
          <w:ilvl w:val="0"/>
          <w:numId w:val="0"/>
        </w:numPr>
        <w:kinsoku/>
        <w:wordWrap/>
        <w:overflowPunct/>
        <w:topLinePunct w:val="0"/>
        <w:autoSpaceDE/>
        <w:autoSpaceDN/>
        <w:bidi w:val="0"/>
        <w:adjustRightInd/>
        <w:snapToGrid/>
        <w:spacing w:before="157" w:beforeLines="50" w:after="157" w:afterLines="50" w:line="360" w:lineRule="auto"/>
        <w:ind w:leftChars="50" w:right="105" w:rightChars="50" w:firstLine="240" w:firstLineChars="100"/>
        <w:jc w:val="both"/>
        <w:textAlignment w:val="auto"/>
        <w:outlineLvl w:val="0"/>
        <w:rPr>
          <w:rFonts w:hint="eastAsia"/>
          <w:sz w:val="24"/>
          <w:szCs w:val="24"/>
          <w:lang w:val="en-US" w:eastAsia="zh-CN"/>
        </w:rPr>
      </w:pPr>
      <w:r>
        <w:rPr>
          <w:rFonts w:hint="eastAsia"/>
          <w:sz w:val="24"/>
          <w:szCs w:val="24"/>
          <w:lang w:val="en-US" w:eastAsia="zh-CN"/>
        </w:rPr>
        <w:t>十、贯彻标准的要求和措施建议</w:t>
      </w:r>
    </w:p>
    <w:p>
      <w:pPr>
        <w:pStyle w:val="29"/>
        <w:pageBreakBefore w:val="0"/>
        <w:kinsoku/>
        <w:wordWrap/>
        <w:topLinePunct w:val="0"/>
        <w:autoSpaceDE/>
        <w:autoSpaceDN/>
        <w:bidi w:val="0"/>
        <w:snapToGrid/>
        <w:spacing w:line="360" w:lineRule="auto"/>
        <w:ind w:firstLine="480"/>
        <w:rPr>
          <w:rFonts w:hint="eastAsia"/>
          <w:sz w:val="24"/>
          <w:szCs w:val="24"/>
        </w:rPr>
      </w:pPr>
      <w:r>
        <w:rPr>
          <w:rFonts w:hint="eastAsia"/>
          <w:sz w:val="24"/>
          <w:szCs w:val="24"/>
        </w:rPr>
        <w:t>建议相关生产及使用单位组织专项标准宣贯会进行系统学习。本标准发布后，各企业应积极宣传和贯彻，并按照新标准进行组织生产，以保证产品质量，满足国内、外市场及用户的需要。</w:t>
      </w:r>
    </w:p>
    <w:bookmarkEnd w:id="13"/>
    <w:p>
      <w:pPr>
        <w:pStyle w:val="20"/>
        <w:keepNext w:val="0"/>
        <w:keepLines w:val="0"/>
        <w:pageBreakBefore w:val="0"/>
        <w:widowControl/>
        <w:numPr>
          <w:ilvl w:val="0"/>
          <w:numId w:val="0"/>
        </w:numPr>
        <w:kinsoku/>
        <w:wordWrap/>
        <w:overflowPunct/>
        <w:topLinePunct w:val="0"/>
        <w:autoSpaceDE/>
        <w:autoSpaceDN/>
        <w:bidi w:val="0"/>
        <w:adjustRightInd/>
        <w:snapToGrid/>
        <w:spacing w:before="157" w:beforeLines="50" w:after="157" w:afterLines="50" w:line="360" w:lineRule="auto"/>
        <w:ind w:leftChars="50" w:right="105" w:rightChars="50" w:firstLine="240" w:firstLineChars="100"/>
        <w:jc w:val="both"/>
        <w:textAlignment w:val="auto"/>
        <w:outlineLvl w:val="0"/>
        <w:rPr>
          <w:rFonts w:hint="eastAsia"/>
          <w:sz w:val="24"/>
          <w:szCs w:val="24"/>
          <w:lang w:val="en-US" w:eastAsia="zh-CN"/>
        </w:rPr>
      </w:pPr>
      <w:r>
        <w:rPr>
          <w:rFonts w:hint="eastAsia"/>
          <w:sz w:val="24"/>
          <w:szCs w:val="24"/>
          <w:lang w:val="en-US" w:eastAsia="zh-CN"/>
        </w:rPr>
        <w:t>十、废止现行有关标准的建议</w:t>
      </w:r>
    </w:p>
    <w:p>
      <w:pPr>
        <w:pageBreakBefore w:val="0"/>
        <w:kinsoku/>
        <w:wordWrap/>
        <w:topLinePunct w:val="0"/>
        <w:autoSpaceDE/>
        <w:autoSpaceDN/>
        <w:bidi w:val="0"/>
        <w:snapToGrid/>
        <w:spacing w:line="360" w:lineRule="auto"/>
        <w:ind w:firstLine="555"/>
        <w:rPr>
          <w:rFonts w:ascii="宋体"/>
          <w:sz w:val="24"/>
          <w:szCs w:val="24"/>
        </w:rPr>
      </w:pPr>
      <w:r>
        <w:rPr>
          <w:rFonts w:hint="eastAsia" w:ascii="宋体"/>
          <w:sz w:val="24"/>
          <w:szCs w:val="24"/>
        </w:rPr>
        <w:t>本标准为新制定标准，不涉及其他标准废止。</w:t>
      </w:r>
    </w:p>
    <w:p>
      <w:pPr>
        <w:pStyle w:val="20"/>
        <w:keepNext w:val="0"/>
        <w:keepLines w:val="0"/>
        <w:pageBreakBefore w:val="0"/>
        <w:widowControl/>
        <w:numPr>
          <w:ilvl w:val="0"/>
          <w:numId w:val="0"/>
        </w:numPr>
        <w:kinsoku/>
        <w:wordWrap/>
        <w:overflowPunct/>
        <w:topLinePunct w:val="0"/>
        <w:autoSpaceDE/>
        <w:autoSpaceDN/>
        <w:bidi w:val="0"/>
        <w:adjustRightInd/>
        <w:snapToGrid/>
        <w:spacing w:before="157" w:beforeLines="50" w:after="157" w:afterLines="50" w:line="360" w:lineRule="auto"/>
        <w:ind w:leftChars="50" w:right="105" w:rightChars="50" w:firstLine="240" w:firstLineChars="100"/>
        <w:jc w:val="both"/>
        <w:textAlignment w:val="auto"/>
        <w:outlineLvl w:val="0"/>
        <w:rPr>
          <w:rFonts w:hint="eastAsia"/>
          <w:sz w:val="24"/>
          <w:szCs w:val="24"/>
          <w:lang w:val="en-US" w:eastAsia="zh-CN"/>
        </w:rPr>
      </w:pPr>
      <w:r>
        <w:rPr>
          <w:rFonts w:hint="eastAsia"/>
          <w:sz w:val="24"/>
          <w:szCs w:val="24"/>
          <w:lang w:val="en-US" w:eastAsia="zh-CN"/>
        </w:rPr>
        <w:t>十一、预期效果</w:t>
      </w:r>
    </w:p>
    <w:p>
      <w:pPr>
        <w:pStyle w:val="29"/>
        <w:pageBreakBefore w:val="0"/>
        <w:kinsoku/>
        <w:wordWrap/>
        <w:topLinePunct w:val="0"/>
        <w:autoSpaceDE/>
        <w:autoSpaceDN/>
        <w:bidi w:val="0"/>
        <w:snapToGrid/>
        <w:spacing w:line="360" w:lineRule="auto"/>
        <w:ind w:firstLineChars="0"/>
        <w:rPr>
          <w:rFonts w:hint="eastAsia"/>
          <w:sz w:val="24"/>
          <w:szCs w:val="24"/>
        </w:rPr>
      </w:pPr>
      <w:r>
        <w:rPr>
          <w:rFonts w:hint="eastAsia"/>
          <w:sz w:val="24"/>
          <w:szCs w:val="24"/>
        </w:rPr>
        <w:t>本标准是在国内生产企业及国内外用户需求的基础上制定，技术指标先进，具有普遍性、广泛性、适用性、科学性和先进性。本标准发布后，将更好的规范</w:t>
      </w:r>
      <w:r>
        <w:rPr>
          <w:rFonts w:hint="eastAsia"/>
          <w:sz w:val="24"/>
          <w:szCs w:val="24"/>
          <w:lang w:eastAsia="zh-CN"/>
        </w:rPr>
        <w:t>仲辛基黄药</w:t>
      </w:r>
      <w:r>
        <w:rPr>
          <w:rFonts w:hint="eastAsia"/>
          <w:sz w:val="24"/>
          <w:szCs w:val="24"/>
        </w:rPr>
        <w:t>的技术要求，提高选矿药剂在国内、外市场上的竞争力，为生产企业带来较大的效益。</w:t>
      </w:r>
    </w:p>
    <w:p>
      <w:pPr>
        <w:pStyle w:val="19"/>
        <w:pageBreakBefore w:val="0"/>
        <w:kinsoku/>
        <w:wordWrap/>
        <w:topLinePunct w:val="0"/>
        <w:autoSpaceDE/>
        <w:autoSpaceDN/>
        <w:bidi w:val="0"/>
        <w:snapToGrid/>
        <w:spacing w:line="360" w:lineRule="auto"/>
        <w:ind w:left="420" w:firstLineChars="0"/>
        <w:rPr>
          <w:rFonts w:ascii="宋体" w:hAnsi="宋体"/>
          <w:sz w:val="24"/>
          <w:szCs w:val="24"/>
        </w:rPr>
      </w:pPr>
    </w:p>
    <w:p>
      <w:pPr>
        <w:pStyle w:val="19"/>
        <w:pageBreakBefore w:val="0"/>
        <w:kinsoku/>
        <w:wordWrap/>
        <w:topLinePunct w:val="0"/>
        <w:autoSpaceDE/>
        <w:autoSpaceDN/>
        <w:bidi w:val="0"/>
        <w:snapToGrid/>
        <w:spacing w:line="360" w:lineRule="auto"/>
        <w:ind w:left="420" w:firstLineChars="0"/>
        <w:rPr>
          <w:rFonts w:ascii="宋体" w:hAnsi="宋体"/>
          <w:sz w:val="24"/>
          <w:szCs w:val="24"/>
        </w:rPr>
      </w:pPr>
    </w:p>
    <w:p>
      <w:pPr>
        <w:pStyle w:val="19"/>
        <w:pageBreakBefore w:val="0"/>
        <w:kinsoku/>
        <w:wordWrap/>
        <w:topLinePunct w:val="0"/>
        <w:autoSpaceDE/>
        <w:autoSpaceDN/>
        <w:bidi w:val="0"/>
        <w:snapToGrid/>
        <w:spacing w:line="360" w:lineRule="auto"/>
        <w:ind w:left="420" w:firstLineChars="0"/>
        <w:jc w:val="right"/>
        <w:outlineLvl w:val="0"/>
        <w:rPr>
          <w:rFonts w:hint="eastAsia" w:ascii="宋体" w:hAnsi="宋体"/>
          <w:sz w:val="24"/>
          <w:szCs w:val="24"/>
          <w:lang w:val="en-US" w:eastAsia="zh-CN"/>
        </w:rPr>
      </w:pPr>
      <w:r>
        <w:rPr>
          <w:rFonts w:hint="eastAsia" w:ascii="宋体" w:hAnsi="宋体"/>
          <w:sz w:val="24"/>
          <w:szCs w:val="24"/>
          <w:lang w:val="en-US" w:eastAsia="zh-CN"/>
        </w:rPr>
        <w:t>矿冶科技集团有限公司</w:t>
      </w:r>
    </w:p>
    <w:p>
      <w:pPr>
        <w:pStyle w:val="19"/>
        <w:pageBreakBefore w:val="0"/>
        <w:kinsoku/>
        <w:wordWrap/>
        <w:topLinePunct w:val="0"/>
        <w:autoSpaceDE/>
        <w:autoSpaceDN/>
        <w:bidi w:val="0"/>
        <w:snapToGrid/>
        <w:spacing w:line="360" w:lineRule="auto"/>
        <w:ind w:left="420" w:firstLineChars="0"/>
        <w:jc w:val="right"/>
        <w:outlineLvl w:val="0"/>
        <w:rPr>
          <w:rFonts w:hint="default" w:ascii="宋体" w:hAnsi="宋体"/>
          <w:sz w:val="24"/>
          <w:szCs w:val="24"/>
          <w:lang w:val="en-US" w:eastAsia="zh-CN"/>
        </w:rPr>
      </w:pPr>
      <w:r>
        <w:rPr>
          <w:rFonts w:hint="eastAsia" w:ascii="宋体" w:hAnsi="宋体"/>
          <w:sz w:val="24"/>
          <w:szCs w:val="24"/>
          <w:lang w:val="en-US" w:eastAsia="zh-CN"/>
        </w:rPr>
        <w:t>2024.6.29</w:t>
      </w:r>
    </w:p>
    <w:sectPr>
      <w:footerReference r:id="rId3" w:type="default"/>
      <w:pgSz w:w="11906" w:h="16838"/>
      <w:pgMar w:top="1247" w:right="1247" w:bottom="1247" w:left="124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MS PGothic">
    <w:panose1 w:val="020B0600070205080204"/>
    <w:charset w:val="80"/>
    <w:family w:val="auto"/>
    <w:pitch w:val="default"/>
    <w:sig w:usb0="E00002FF" w:usb1="6AC7FDFB" w:usb2="08000012" w:usb3="00000000" w:csb0="4002009F" w:csb1="DFD7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rFonts w:ascii="Calibri" w:hAnsi="Calibri" w:eastAsia="宋体" w:cs="黑体"/>
        <w:kern w:val="2"/>
        <w:sz w:val="18"/>
        <w:szCs w:val="18"/>
        <w:lang w:val="en-US"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Quad Arrow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t>1</w:t>
                          </w:r>
                          <w:r>
                            <w:rPr>
                              <w:rFonts w:hint="eastAsia"/>
                              <w:lang w:eastAsia="zh-CN"/>
                            </w:rPr>
                            <w:fldChar w:fldCharType="end"/>
                          </w:r>
                        </w:p>
                      </w:txbxContent>
                    </wps:txbx>
                    <wps:bodyPr wrap="none" lIns="0" tIns="0" rIns="0" bIns="0" upright="0">
                      <a:spAutoFit/>
                    </wps:bodyPr>
                  </wps:wsp>
                </a:graphicData>
              </a:graphic>
            </wp:anchor>
          </w:drawing>
        </mc:Choice>
        <mc:Fallback>
          <w:pict>
            <v:shape id="Quad Arrow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DO&#10;qXm5zwAAAAUBAAAPAAAAAAAAAAEAIAAAACIAAABkcnMvZG93bnJldi54bWxQSwECFAAUAAAACACH&#10;TuJAK3uxBrsBAACaAwAADgAAAAAAAAABACAAAAAeAQAAZHJzL2Uyb0RvYy54bWxQSwUGAAAAAAYA&#10;BgBZAQAASwUAAAAA&#10;">
              <v:fill on="f" focussize="0,0"/>
              <v:stroke on="f"/>
              <v:imagedata o:title=""/>
              <o:lock v:ext="edit" aspectratio="f"/>
              <v:textbox inset="0mm,0mm,0mm,0mm" style="mso-fit-shape-to-text:t;">
                <w:txbxContent>
                  <w:p>
                    <w:pPr>
                      <w:pStyle w:val="9"/>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6933334"/>
    <w:multiLevelType w:val="multilevel"/>
    <w:tmpl w:val="76933334"/>
    <w:lvl w:ilvl="0" w:tentative="0">
      <w:start w:val="1"/>
      <w:numFmt w:val="none"/>
      <w:pStyle w:val="21"/>
      <w:lvlText w:val="%1——"/>
      <w:lvlJc w:val="left"/>
      <w:pPr>
        <w:tabs>
          <w:tab w:val="left" w:pos="1140"/>
        </w:tabs>
        <w:ind w:left="840" w:hanging="420"/>
      </w:pPr>
      <w:rPr>
        <w:rFonts w:hint="eastAsia"/>
      </w:rPr>
    </w:lvl>
    <w:lvl w:ilvl="1" w:tentative="0">
      <w:start w:val="1"/>
      <w:numFmt w:val="decimal"/>
      <w:lvlText w:val="%2．"/>
      <w:lvlJc w:val="left"/>
      <w:pPr>
        <w:tabs>
          <w:tab w:val="left" w:pos="780"/>
        </w:tabs>
        <w:ind w:left="780" w:hanging="360"/>
      </w:pPr>
      <w:rPr>
        <w:rFonts w:hint="eastAsia"/>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VjNGRjM2YzZjQxNjY4Y2VjZmM1M2FlNzg2MjY2MGQifQ=="/>
  </w:docVars>
  <w:rsids>
    <w:rsidRoot w:val="0066274A"/>
    <w:rsid w:val="00041112"/>
    <w:rsid w:val="000631C4"/>
    <w:rsid w:val="00066BE2"/>
    <w:rsid w:val="00067CC8"/>
    <w:rsid w:val="00076A12"/>
    <w:rsid w:val="000965BC"/>
    <w:rsid w:val="000B1605"/>
    <w:rsid w:val="000C5471"/>
    <w:rsid w:val="000C6334"/>
    <w:rsid w:val="000D1C25"/>
    <w:rsid w:val="000F2A2B"/>
    <w:rsid w:val="00100F4B"/>
    <w:rsid w:val="001056E5"/>
    <w:rsid w:val="00113E84"/>
    <w:rsid w:val="00160A5A"/>
    <w:rsid w:val="0018376E"/>
    <w:rsid w:val="001B7FE4"/>
    <w:rsid w:val="001D157F"/>
    <w:rsid w:val="001D56FA"/>
    <w:rsid w:val="002236A6"/>
    <w:rsid w:val="002418CC"/>
    <w:rsid w:val="00245AAF"/>
    <w:rsid w:val="0027721A"/>
    <w:rsid w:val="002911D0"/>
    <w:rsid w:val="002A2F32"/>
    <w:rsid w:val="002B0897"/>
    <w:rsid w:val="002C2248"/>
    <w:rsid w:val="002C56D5"/>
    <w:rsid w:val="002C7B78"/>
    <w:rsid w:val="002E5681"/>
    <w:rsid w:val="002F652B"/>
    <w:rsid w:val="0031542D"/>
    <w:rsid w:val="00340578"/>
    <w:rsid w:val="00342213"/>
    <w:rsid w:val="00343915"/>
    <w:rsid w:val="00390A0A"/>
    <w:rsid w:val="003951E4"/>
    <w:rsid w:val="003C03BB"/>
    <w:rsid w:val="003D39B8"/>
    <w:rsid w:val="003E6023"/>
    <w:rsid w:val="003F0A6C"/>
    <w:rsid w:val="004413B2"/>
    <w:rsid w:val="00446B59"/>
    <w:rsid w:val="0048350B"/>
    <w:rsid w:val="0048372F"/>
    <w:rsid w:val="00497FF6"/>
    <w:rsid w:val="004A5D8E"/>
    <w:rsid w:val="004B7AFE"/>
    <w:rsid w:val="004E07CE"/>
    <w:rsid w:val="004E5FDC"/>
    <w:rsid w:val="004F41BD"/>
    <w:rsid w:val="004F79E9"/>
    <w:rsid w:val="00502283"/>
    <w:rsid w:val="005336EB"/>
    <w:rsid w:val="00557291"/>
    <w:rsid w:val="005A0599"/>
    <w:rsid w:val="005C5E10"/>
    <w:rsid w:val="005D2B3C"/>
    <w:rsid w:val="005E5551"/>
    <w:rsid w:val="006417C4"/>
    <w:rsid w:val="0066274A"/>
    <w:rsid w:val="00664E23"/>
    <w:rsid w:val="00677735"/>
    <w:rsid w:val="006A08DE"/>
    <w:rsid w:val="006B3FC7"/>
    <w:rsid w:val="006D107C"/>
    <w:rsid w:val="00722395"/>
    <w:rsid w:val="00726226"/>
    <w:rsid w:val="007415AC"/>
    <w:rsid w:val="007D53E8"/>
    <w:rsid w:val="007D5927"/>
    <w:rsid w:val="007F57AB"/>
    <w:rsid w:val="00825610"/>
    <w:rsid w:val="00845F87"/>
    <w:rsid w:val="00847D0E"/>
    <w:rsid w:val="00881B97"/>
    <w:rsid w:val="008828E0"/>
    <w:rsid w:val="008B786F"/>
    <w:rsid w:val="008C0A5F"/>
    <w:rsid w:val="008C7FF6"/>
    <w:rsid w:val="008F096E"/>
    <w:rsid w:val="008F3463"/>
    <w:rsid w:val="009034BF"/>
    <w:rsid w:val="0096691E"/>
    <w:rsid w:val="009A34D5"/>
    <w:rsid w:val="009B26C9"/>
    <w:rsid w:val="009B4186"/>
    <w:rsid w:val="00A03DF5"/>
    <w:rsid w:val="00A11164"/>
    <w:rsid w:val="00A16787"/>
    <w:rsid w:val="00A36FDF"/>
    <w:rsid w:val="00A64A7F"/>
    <w:rsid w:val="00A70DB5"/>
    <w:rsid w:val="00AA4849"/>
    <w:rsid w:val="00AA65C8"/>
    <w:rsid w:val="00AB21D0"/>
    <w:rsid w:val="00AB44E3"/>
    <w:rsid w:val="00AB7FDA"/>
    <w:rsid w:val="00AC2AEE"/>
    <w:rsid w:val="00AD4307"/>
    <w:rsid w:val="00AD52D8"/>
    <w:rsid w:val="00B60385"/>
    <w:rsid w:val="00B90234"/>
    <w:rsid w:val="00BF03AC"/>
    <w:rsid w:val="00C04279"/>
    <w:rsid w:val="00C24688"/>
    <w:rsid w:val="00C3613F"/>
    <w:rsid w:val="00C43BC7"/>
    <w:rsid w:val="00C747C7"/>
    <w:rsid w:val="00C9517A"/>
    <w:rsid w:val="00C97C78"/>
    <w:rsid w:val="00CF5C0B"/>
    <w:rsid w:val="00D1642F"/>
    <w:rsid w:val="00D216EE"/>
    <w:rsid w:val="00D346E1"/>
    <w:rsid w:val="00D64E42"/>
    <w:rsid w:val="00DA1FF4"/>
    <w:rsid w:val="00DA64E3"/>
    <w:rsid w:val="00DD0A16"/>
    <w:rsid w:val="00DD76C3"/>
    <w:rsid w:val="00DE4989"/>
    <w:rsid w:val="00DF1C80"/>
    <w:rsid w:val="00DF2D2C"/>
    <w:rsid w:val="00E343CC"/>
    <w:rsid w:val="00E641EF"/>
    <w:rsid w:val="00E72975"/>
    <w:rsid w:val="00E76178"/>
    <w:rsid w:val="00EC7BFC"/>
    <w:rsid w:val="00EE371C"/>
    <w:rsid w:val="00F44BE9"/>
    <w:rsid w:val="00F822A0"/>
    <w:rsid w:val="00FA5626"/>
    <w:rsid w:val="00FB03D9"/>
    <w:rsid w:val="00FC6320"/>
    <w:rsid w:val="00FD162E"/>
    <w:rsid w:val="00FF26D6"/>
    <w:rsid w:val="013623ED"/>
    <w:rsid w:val="015D4541"/>
    <w:rsid w:val="01A70B88"/>
    <w:rsid w:val="02EB2FA7"/>
    <w:rsid w:val="03480AC4"/>
    <w:rsid w:val="0363441D"/>
    <w:rsid w:val="04CB3158"/>
    <w:rsid w:val="052C6A31"/>
    <w:rsid w:val="054439D9"/>
    <w:rsid w:val="06E52216"/>
    <w:rsid w:val="07234A73"/>
    <w:rsid w:val="07586BC1"/>
    <w:rsid w:val="07DD5386"/>
    <w:rsid w:val="083818BB"/>
    <w:rsid w:val="095242FA"/>
    <w:rsid w:val="098F2CB8"/>
    <w:rsid w:val="09FD324D"/>
    <w:rsid w:val="0CA75583"/>
    <w:rsid w:val="0CB63E5B"/>
    <w:rsid w:val="0CD45DC2"/>
    <w:rsid w:val="0D183875"/>
    <w:rsid w:val="0D4C55B3"/>
    <w:rsid w:val="0DC34C5F"/>
    <w:rsid w:val="0E7C7905"/>
    <w:rsid w:val="0EC95D13"/>
    <w:rsid w:val="0F653C89"/>
    <w:rsid w:val="10DB43B2"/>
    <w:rsid w:val="11EE0F06"/>
    <w:rsid w:val="15356120"/>
    <w:rsid w:val="159427DB"/>
    <w:rsid w:val="16592FC9"/>
    <w:rsid w:val="172779EC"/>
    <w:rsid w:val="18F37030"/>
    <w:rsid w:val="1A6062F6"/>
    <w:rsid w:val="1A756B27"/>
    <w:rsid w:val="1AA9322D"/>
    <w:rsid w:val="1BA63977"/>
    <w:rsid w:val="1BBD68F2"/>
    <w:rsid w:val="1D030015"/>
    <w:rsid w:val="1D885361"/>
    <w:rsid w:val="1DB96250"/>
    <w:rsid w:val="1E33198B"/>
    <w:rsid w:val="1F0E3557"/>
    <w:rsid w:val="20097AE7"/>
    <w:rsid w:val="209C1734"/>
    <w:rsid w:val="20E5528C"/>
    <w:rsid w:val="22462E17"/>
    <w:rsid w:val="22CE41F8"/>
    <w:rsid w:val="23144E74"/>
    <w:rsid w:val="284F34BF"/>
    <w:rsid w:val="29363E8F"/>
    <w:rsid w:val="29B16D07"/>
    <w:rsid w:val="29B502CD"/>
    <w:rsid w:val="2B64244D"/>
    <w:rsid w:val="2BC91EE4"/>
    <w:rsid w:val="2BF11293"/>
    <w:rsid w:val="2C994160"/>
    <w:rsid w:val="2EDA5401"/>
    <w:rsid w:val="2F410DCB"/>
    <w:rsid w:val="32CD1101"/>
    <w:rsid w:val="342207D0"/>
    <w:rsid w:val="343A1C33"/>
    <w:rsid w:val="34FF344C"/>
    <w:rsid w:val="380E42AA"/>
    <w:rsid w:val="38583409"/>
    <w:rsid w:val="385951F8"/>
    <w:rsid w:val="3AF66E23"/>
    <w:rsid w:val="3B3C6F8E"/>
    <w:rsid w:val="3B442DD7"/>
    <w:rsid w:val="3DE249BB"/>
    <w:rsid w:val="3E34648A"/>
    <w:rsid w:val="3E3E7964"/>
    <w:rsid w:val="400E2B9D"/>
    <w:rsid w:val="41D351B6"/>
    <w:rsid w:val="422139D0"/>
    <w:rsid w:val="432B23B2"/>
    <w:rsid w:val="43815DB9"/>
    <w:rsid w:val="44F25765"/>
    <w:rsid w:val="466A4464"/>
    <w:rsid w:val="490273BF"/>
    <w:rsid w:val="4A473611"/>
    <w:rsid w:val="4AAC36F0"/>
    <w:rsid w:val="4BB23711"/>
    <w:rsid w:val="4C7465FD"/>
    <w:rsid w:val="4CAB17AD"/>
    <w:rsid w:val="4CD27A3D"/>
    <w:rsid w:val="4D5E3A85"/>
    <w:rsid w:val="4DBA2221"/>
    <w:rsid w:val="4ED951E9"/>
    <w:rsid w:val="517A3052"/>
    <w:rsid w:val="521F4673"/>
    <w:rsid w:val="53382DF9"/>
    <w:rsid w:val="54694B6B"/>
    <w:rsid w:val="547370C6"/>
    <w:rsid w:val="54CC4920"/>
    <w:rsid w:val="57CA7964"/>
    <w:rsid w:val="57F11B84"/>
    <w:rsid w:val="58592FF4"/>
    <w:rsid w:val="599455CA"/>
    <w:rsid w:val="5A0001FC"/>
    <w:rsid w:val="5A41590F"/>
    <w:rsid w:val="5D5944CD"/>
    <w:rsid w:val="5E464EC2"/>
    <w:rsid w:val="5FCA6F11"/>
    <w:rsid w:val="60A10AE2"/>
    <w:rsid w:val="642063EB"/>
    <w:rsid w:val="64666728"/>
    <w:rsid w:val="665615BB"/>
    <w:rsid w:val="68483E8E"/>
    <w:rsid w:val="688B7DDA"/>
    <w:rsid w:val="6968265E"/>
    <w:rsid w:val="69B33527"/>
    <w:rsid w:val="6A347606"/>
    <w:rsid w:val="6A4A1C5F"/>
    <w:rsid w:val="6C1666A6"/>
    <w:rsid w:val="6C420750"/>
    <w:rsid w:val="6C556A27"/>
    <w:rsid w:val="6D120FEF"/>
    <w:rsid w:val="6D974BA1"/>
    <w:rsid w:val="6EF23F0A"/>
    <w:rsid w:val="70891029"/>
    <w:rsid w:val="71432142"/>
    <w:rsid w:val="731A4C66"/>
    <w:rsid w:val="736067A0"/>
    <w:rsid w:val="744C0AF1"/>
    <w:rsid w:val="74807969"/>
    <w:rsid w:val="76940A15"/>
    <w:rsid w:val="76EC0A63"/>
    <w:rsid w:val="78DA7914"/>
    <w:rsid w:val="7BE01972"/>
    <w:rsid w:val="7CBD5A48"/>
    <w:rsid w:val="7CE05FF6"/>
    <w:rsid w:val="7CF76FF7"/>
    <w:rsid w:val="7DB64DC9"/>
    <w:rsid w:val="7DD45AD1"/>
    <w:rsid w:val="7E3E7776"/>
    <w:rsid w:val="7EB00F7E"/>
    <w:rsid w:val="7EB21EED"/>
    <w:rsid w:val="7F487408"/>
    <w:rsid w:val="7FBF3F9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0" w:semiHidden="0"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qFormat="1" w:uiPriority="99"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2"/>
      <w:lang w:val="en-US" w:eastAsia="zh-CN" w:bidi="ar-SA"/>
    </w:rPr>
  </w:style>
  <w:style w:type="paragraph" w:styleId="3">
    <w:name w:val="heading 1"/>
    <w:basedOn w:val="1"/>
    <w:next w:val="1"/>
    <w:autoRedefine/>
    <w:qFormat/>
    <w:uiPriority w:val="9"/>
    <w:pPr>
      <w:spacing w:before="100" w:beforeAutospacing="1" w:after="100" w:afterAutospacing="1"/>
      <w:jc w:val="left"/>
    </w:pPr>
    <w:rPr>
      <w:rFonts w:hint="eastAsia" w:ascii="宋体" w:hAnsi="宋体" w:eastAsia="宋体" w:cs="宋体"/>
      <w:b/>
      <w:kern w:val="44"/>
      <w:sz w:val="48"/>
      <w:szCs w:val="48"/>
      <w:lang w:val="en-US" w:eastAsia="zh-CN" w:bidi="ar-SA"/>
    </w:rPr>
  </w:style>
  <w:style w:type="paragraph" w:styleId="4">
    <w:name w:val="heading 7"/>
    <w:basedOn w:val="1"/>
    <w:next w:val="1"/>
    <w:autoRedefine/>
    <w:unhideWhenUsed/>
    <w:qFormat/>
    <w:uiPriority w:val="0"/>
    <w:pPr>
      <w:keepNext/>
      <w:keepLines/>
      <w:tabs>
        <w:tab w:val="center" w:pos="6804"/>
        <w:tab w:val="right" w:pos="7371"/>
      </w:tabs>
      <w:overflowPunct w:val="0"/>
      <w:adjustRightInd w:val="0"/>
      <w:spacing w:line="317" w:lineRule="auto"/>
      <w:textAlignment w:val="baseline"/>
      <w:outlineLvl w:val="6"/>
    </w:pPr>
    <w:rPr>
      <w:b/>
      <w:sz w:val="24"/>
    </w:rPr>
  </w:style>
  <w:style w:type="character" w:default="1" w:styleId="13">
    <w:name w:val="Default Paragraph Font"/>
    <w:unhideWhenUsed/>
    <w:qFormat/>
    <w:uiPriority w:val="1"/>
  </w:style>
  <w:style w:type="table" w:default="1" w:styleId="11">
    <w:name w:val="Normal Table"/>
    <w:autoRedefine/>
    <w:unhideWhenUsed/>
    <w:qFormat/>
    <w:uiPriority w:val="99"/>
    <w:tblPr>
      <w:tblCellMar>
        <w:top w:w="0" w:type="dxa"/>
        <w:left w:w="108" w:type="dxa"/>
        <w:bottom w:w="0" w:type="dxa"/>
        <w:right w:w="108" w:type="dxa"/>
      </w:tblCellMar>
    </w:tblPr>
  </w:style>
  <w:style w:type="paragraph" w:customStyle="1" w:styleId="2">
    <w:name w:val="Default"/>
    <w:next w:val="1"/>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styleId="5">
    <w:name w:val="annotation text"/>
    <w:basedOn w:val="1"/>
    <w:autoRedefine/>
    <w:unhideWhenUsed/>
    <w:qFormat/>
    <w:uiPriority w:val="0"/>
    <w:pPr>
      <w:jc w:val="left"/>
    </w:pPr>
  </w:style>
  <w:style w:type="paragraph" w:styleId="6">
    <w:name w:val="Body Text"/>
    <w:basedOn w:val="1"/>
    <w:semiHidden/>
    <w:qFormat/>
    <w:uiPriority w:val="0"/>
    <w:rPr>
      <w:rFonts w:ascii="宋体" w:hAnsi="宋体" w:eastAsia="宋体" w:cs="宋体"/>
      <w:sz w:val="38"/>
      <w:szCs w:val="38"/>
      <w:lang w:val="en-US" w:eastAsia="en-US" w:bidi="ar-SA"/>
    </w:rPr>
  </w:style>
  <w:style w:type="paragraph" w:styleId="7">
    <w:name w:val="endnote text"/>
    <w:basedOn w:val="1"/>
    <w:autoRedefine/>
    <w:unhideWhenUsed/>
    <w:qFormat/>
    <w:uiPriority w:val="99"/>
    <w:pPr>
      <w:snapToGrid w:val="0"/>
    </w:pPr>
    <w:rPr>
      <w:rFonts w:ascii="Calibri" w:hAnsi="Calibri" w:eastAsia="宋体" w:cs="Times New Roman"/>
      <w:szCs w:val="24"/>
    </w:rPr>
  </w:style>
  <w:style w:type="paragraph" w:styleId="8">
    <w:name w:val="Balloon Text"/>
    <w:basedOn w:val="1"/>
    <w:link w:val="31"/>
    <w:autoRedefine/>
    <w:unhideWhenUsed/>
    <w:qFormat/>
    <w:uiPriority w:val="99"/>
    <w:rPr>
      <w:sz w:val="18"/>
      <w:szCs w:val="18"/>
    </w:rPr>
  </w:style>
  <w:style w:type="paragraph" w:styleId="9">
    <w:name w:val="footer"/>
    <w:basedOn w:val="1"/>
    <w:link w:val="32"/>
    <w:autoRedefine/>
    <w:unhideWhenUsed/>
    <w:qFormat/>
    <w:uiPriority w:val="99"/>
    <w:pPr>
      <w:tabs>
        <w:tab w:val="center" w:pos="4153"/>
        <w:tab w:val="right" w:pos="8306"/>
      </w:tabs>
      <w:snapToGrid w:val="0"/>
      <w:jc w:val="left"/>
    </w:pPr>
    <w:rPr>
      <w:sz w:val="18"/>
      <w:szCs w:val="18"/>
    </w:rPr>
  </w:style>
  <w:style w:type="paragraph" w:styleId="10">
    <w:name w:val="header"/>
    <w:basedOn w:val="1"/>
    <w:link w:val="30"/>
    <w:autoRedefine/>
    <w:unhideWhenUsed/>
    <w:qFormat/>
    <w:uiPriority w:val="99"/>
    <w:pPr>
      <w:pBdr>
        <w:bottom w:val="single" w:color="auto" w:sz="6" w:space="1"/>
      </w:pBdr>
      <w:tabs>
        <w:tab w:val="center" w:pos="4153"/>
        <w:tab w:val="right" w:pos="8306"/>
      </w:tabs>
      <w:snapToGrid w:val="0"/>
      <w:jc w:val="center"/>
    </w:pPr>
    <w:rPr>
      <w:sz w:val="18"/>
      <w:szCs w:val="18"/>
    </w:rPr>
  </w:style>
  <w:style w:type="table" w:styleId="12">
    <w:name w:val="Table Grid"/>
    <w:basedOn w:val="11"/>
    <w:autoRedefine/>
    <w:qFormat/>
    <w:uiPriority w:val="0"/>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4">
    <w:name w:val="Strong"/>
    <w:basedOn w:val="13"/>
    <w:autoRedefine/>
    <w:qFormat/>
    <w:uiPriority w:val="22"/>
    <w:rPr>
      <w:b/>
    </w:rPr>
  </w:style>
  <w:style w:type="character" w:styleId="15">
    <w:name w:val="page number"/>
    <w:basedOn w:val="13"/>
    <w:autoRedefine/>
    <w:qFormat/>
    <w:uiPriority w:val="0"/>
  </w:style>
  <w:style w:type="paragraph" w:customStyle="1" w:styleId="16">
    <w:name w:val="List Paragraph1"/>
    <w:basedOn w:val="1"/>
    <w:autoRedefine/>
    <w:qFormat/>
    <w:uiPriority w:val="99"/>
    <w:pPr>
      <w:ind w:firstLine="420" w:firstLineChars="200"/>
    </w:pPr>
  </w:style>
  <w:style w:type="paragraph" w:customStyle="1" w:styleId="17">
    <w:name w:val="章标题"/>
    <w:next w:val="18"/>
    <w:qFormat/>
    <w:uiPriority w:val="0"/>
    <w:pPr>
      <w:spacing w:beforeLines="50" w:afterLines="50"/>
      <w:jc w:val="both"/>
      <w:outlineLvl w:val="1"/>
    </w:pPr>
    <w:rPr>
      <w:rFonts w:ascii="黑体" w:hAnsi="Times New Roman" w:eastAsia="黑体" w:cs="Times New Roman"/>
      <w:sz w:val="21"/>
      <w:lang w:val="en-US" w:eastAsia="zh-CN" w:bidi="ar-SA"/>
    </w:rPr>
  </w:style>
  <w:style w:type="paragraph" w:customStyle="1" w:styleId="18">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9">
    <w:name w:val="List Paragraph"/>
    <w:basedOn w:val="1"/>
    <w:autoRedefine/>
    <w:qFormat/>
    <w:uiPriority w:val="34"/>
    <w:pPr>
      <w:ind w:firstLine="420" w:firstLineChars="200"/>
    </w:pPr>
  </w:style>
  <w:style w:type="paragraph" w:customStyle="1" w:styleId="20">
    <w:name w:val="一级条标题"/>
    <w:basedOn w:val="17"/>
    <w:next w:val="18"/>
    <w:autoRedefine/>
    <w:qFormat/>
    <w:uiPriority w:val="0"/>
    <w:pPr>
      <w:spacing w:beforeLines="0" w:afterLines="0"/>
      <w:outlineLvl w:val="2"/>
    </w:pPr>
  </w:style>
  <w:style w:type="paragraph" w:customStyle="1" w:styleId="21">
    <w:name w:val="列项——（一级）"/>
    <w:autoRedefine/>
    <w:qFormat/>
    <w:uiPriority w:val="0"/>
    <w:pPr>
      <w:widowControl w:val="0"/>
      <w:numPr>
        <w:ilvl w:val="0"/>
        <w:numId w:val="1"/>
      </w:numPr>
      <w:jc w:val="both"/>
    </w:pPr>
    <w:rPr>
      <w:rFonts w:ascii="宋体" w:hAnsi="Times New Roman" w:eastAsia="宋体" w:cs="Times New Roman"/>
      <w:sz w:val="21"/>
      <w:lang w:val="en-US" w:eastAsia="zh-CN" w:bidi="ar-SA"/>
    </w:rPr>
  </w:style>
  <w:style w:type="paragraph" w:customStyle="1" w:styleId="22">
    <w:name w:val="二级条标题"/>
    <w:basedOn w:val="20"/>
    <w:next w:val="18"/>
    <w:autoRedefine/>
    <w:qFormat/>
    <w:uiPriority w:val="0"/>
    <w:pPr>
      <w:outlineLvl w:val="3"/>
    </w:pPr>
  </w:style>
  <w:style w:type="paragraph" w:customStyle="1" w:styleId="23">
    <w:name w:val="三级条标题"/>
    <w:basedOn w:val="22"/>
    <w:next w:val="18"/>
    <w:autoRedefine/>
    <w:qFormat/>
    <w:uiPriority w:val="0"/>
    <w:pPr>
      <w:outlineLvl w:val="4"/>
    </w:pPr>
  </w:style>
  <w:style w:type="paragraph" w:customStyle="1" w:styleId="24">
    <w:name w:val="标准书脚_奇数页"/>
    <w:autoRedefine/>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25">
    <w:name w:val="标准书眉_奇数页"/>
    <w:next w:val="1"/>
    <w:autoRedefine/>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26">
    <w:name w:val="封面标准名称"/>
    <w:autoRedefine/>
    <w:qFormat/>
    <w:uiPriority w:val="0"/>
    <w:pPr>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27">
    <w:name w:val="封面标准英文名称"/>
    <w:basedOn w:val="26"/>
    <w:autoRedefine/>
    <w:qFormat/>
    <w:uiPriority w:val="0"/>
    <w:pPr>
      <w:framePr w:wrap="around" w:vAnchor="margin" w:hAnchor="text" w:y="2"/>
      <w:spacing w:before="370" w:line="400" w:lineRule="exact"/>
    </w:pPr>
    <w:rPr>
      <w:rFonts w:ascii="Times New Roman"/>
      <w:sz w:val="28"/>
      <w:szCs w:val="28"/>
    </w:rPr>
  </w:style>
  <w:style w:type="paragraph" w:customStyle="1" w:styleId="28">
    <w:name w:val="封面一致性程度标识"/>
    <w:basedOn w:val="27"/>
    <w:autoRedefine/>
    <w:qFormat/>
    <w:uiPriority w:val="0"/>
    <w:pPr>
      <w:spacing w:before="440"/>
    </w:pPr>
    <w:rPr>
      <w:rFonts w:ascii="宋体" w:eastAsia="宋体"/>
    </w:rPr>
  </w:style>
  <w:style w:type="paragraph" w:customStyle="1" w:styleId="29">
    <w:name w:val="_Style 21"/>
    <w:basedOn w:val="1"/>
    <w:autoRedefine/>
    <w:qFormat/>
    <w:uiPriority w:val="34"/>
    <w:pPr>
      <w:ind w:firstLine="420" w:firstLineChars="200"/>
    </w:pPr>
    <w:rPr>
      <w:szCs w:val="24"/>
    </w:rPr>
  </w:style>
  <w:style w:type="character" w:customStyle="1" w:styleId="30">
    <w:name w:val="页眉 Char"/>
    <w:basedOn w:val="13"/>
    <w:link w:val="10"/>
    <w:autoRedefine/>
    <w:qFormat/>
    <w:uiPriority w:val="99"/>
    <w:rPr>
      <w:sz w:val="18"/>
      <w:szCs w:val="18"/>
    </w:rPr>
  </w:style>
  <w:style w:type="character" w:customStyle="1" w:styleId="31">
    <w:name w:val="批注框文本 Char"/>
    <w:basedOn w:val="13"/>
    <w:link w:val="8"/>
    <w:autoRedefine/>
    <w:semiHidden/>
    <w:qFormat/>
    <w:uiPriority w:val="99"/>
    <w:rPr>
      <w:sz w:val="18"/>
      <w:szCs w:val="18"/>
    </w:rPr>
  </w:style>
  <w:style w:type="character" w:customStyle="1" w:styleId="32">
    <w:name w:val="页脚 Char"/>
    <w:basedOn w:val="13"/>
    <w:link w:val="9"/>
    <w:autoRedefine/>
    <w:qFormat/>
    <w:uiPriority w:val="99"/>
    <w:rPr>
      <w:sz w:val="18"/>
      <w:szCs w:val="18"/>
    </w:rPr>
  </w:style>
  <w:style w:type="character" w:customStyle="1" w:styleId="33">
    <w:name w:val="font11"/>
    <w:basedOn w:val="13"/>
    <w:autoRedefine/>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6169</Words>
  <Characters>6812</Characters>
  <Lines>67</Lines>
  <Paragraphs>18</Paragraphs>
  <TotalTime>1</TotalTime>
  <ScaleCrop>false</ScaleCrop>
  <LinksUpToDate>false</LinksUpToDate>
  <CharactersWithSpaces>6850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2017-06-25T00:35:00Z</dcterms:created>
  <dc:creator>蒋杰</dc:creator>
  <cp:lastModifiedBy>叶子</cp:lastModifiedBy>
  <cp:lastPrinted>2021-12-13T02:40:00Z</cp:lastPrinted>
  <dcterms:modified xsi:type="dcterms:W3CDTF">2024-07-05T07:12:14Z</dcterms:modified>
  <dc:title>《水杨羟肟酸》</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EFB57404C75E47638766ABE8354A084F_13</vt:lpwstr>
  </property>
</Properties>
</file>