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8"/>
      </w:pPr>
      <w:bookmarkStart w:id="0" w:name="SectionMark0"/>
      <w:r>
        <w:drawing>
          <wp:anchor distT="0" distB="0" distL="114300" distR="114300" simplePos="0" relativeHeight="251669504" behindDoc="0" locked="0" layoutInCell="1" allowOverlap="1">
            <wp:simplePos x="0" y="0"/>
            <wp:positionH relativeFrom="column">
              <wp:posOffset>4395470</wp:posOffset>
            </wp:positionH>
            <wp:positionV relativeFrom="paragraph">
              <wp:posOffset>144780</wp:posOffset>
            </wp:positionV>
            <wp:extent cx="1441450" cy="828675"/>
            <wp:effectExtent l="19050" t="0" r="6350" b="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2" cstate="print"/>
                    <a:srcRect/>
                    <a:stretch>
                      <a:fillRect/>
                    </a:stretch>
                  </pic:blipFill>
                  <pic:spPr>
                    <a:xfrm>
                      <a:off x="0" y="0"/>
                      <a:ext cx="1441450" cy="828675"/>
                    </a:xfrm>
                    <a:prstGeom prst="rect">
                      <a:avLst/>
                    </a:prstGeom>
                    <a:noFill/>
                    <a:ln w="9525">
                      <a:noFill/>
                      <a:miter lim="800000"/>
                      <a:headEnd/>
                      <a:tailEnd/>
                    </a:ln>
                  </pic:spPr>
                </pic:pic>
              </a:graphicData>
            </a:graphic>
          </wp:anchor>
        </w:drawing>
      </w:r>
      <w:r>
        <w:t>【】‘</w:t>
      </w:r>
    </w:p>
    <w:p>
      <w:pPr>
        <w:pStyle w:val="58"/>
        <w:tabs>
          <w:tab w:val="left" w:pos="8260"/>
        </w:tabs>
      </w:pPr>
      <w:r>
        <w:tab/>
      </w:r>
      <w:r>
        <w:br w:type="textWrapping"/>
      </w:r>
      <w:r>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8604250</wp:posOffset>
                </wp:positionV>
                <wp:extent cx="6121400" cy="635"/>
                <wp:effectExtent l="0" t="0" r="0" b="0"/>
                <wp:wrapNone/>
                <wp:docPr id="9" name="直线 2"/>
                <wp:cNvGraphicFramePr/>
                <a:graphic xmlns:a="http://schemas.openxmlformats.org/drawingml/2006/main">
                  <a:graphicData uri="http://schemas.microsoft.com/office/word/2010/wordprocessingShape">
                    <wps:wsp>
                      <wps:cNvCnPr/>
                      <wps:spPr>
                        <a:xfrm>
                          <a:off x="0" y="0"/>
                          <a:ext cx="61214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1.5pt;margin-top:677.5pt;height:0.05pt;width:482pt;z-index:251666432;mso-width-relative:page;mso-height-relative:page;" filled="f" stroked="t" coordsize="21600,21600" o:gfxdata="UEsDBAoAAAAAAIdO4kAAAAAAAAAAAAAAAAAEAAAAZHJzL1BLAwQUAAAACACHTuJAP99nS9UAAAAL&#10;AQAADwAAAGRycy9kb3ducmV2LnhtbE1PQU7DMBC8I/EHa5G4USeUlDTEqUQlLr0RKuDoxksSYa+j&#10;2E2b37OIA73NzoxmZ8rN2Vkx4Rh6TwrSRQICqfGmp1bB/u3lLgcRoiajrSdUMGOATXV9VerC+BO9&#10;4lTHVnAIhUIr6GIcCilD06HTYeEHJNa+/Oh05HNspRn1icOdlfdJspJO98QfOj3gtsPmuz46Tsk+&#10;8uedzvfzbOvP9cP2fTeRU+r2Jk2eQEQ8x38z/Nbn6lBxp4M/kgnCKljyksj0MssYsWG9emRw+KNS&#10;kFUpLzdUP1BLAwQUAAAACACHTuJAvHo1FsUBAACEAwAADgAAAGRycy9lMm9Eb2MueG1srVNLjhMx&#10;EN0jcQfLe9KdwERMK51ZTBg2CCIBB6j4023JP7lMOjkL12DFhuPMNSg7IcNnMxrRC3e5/Op1vefq&#10;1c3BWbZXCU3wPZ/PWs6UF0EaP/T886e7F685wwxegg1e9fyokN+snz9bTbFTizAGK1ViROKxm2LP&#10;x5xj1zQoRuUAZyEqT4c6JAeZtmloZIKJ2J1tFm27bKaQZExBKETKbk6HfF35tVYif9AaVWa259Rb&#10;rmuq666szXoF3ZAgjkac24AndOHAeProhWoDGdiXZP6hckakgEHnmQiuCVoboaoGUjNv/1LzcYSo&#10;qhYyB+PFJvx/tOL9fpuYkT2/5syDoyu6//rt/vsPtijeTBE7gtz6bTrvMG5TEXrQyZU3SWCH6ufx&#10;4qc6ZCYouZwv5q9asl3Q2fLlVWFsHkpjwvxWBcdK0HNrfBELHezfYT5Bf0FK2no20Yhdt1eFEWhY&#10;tIVMoYvUPvqhFmOwRt4Za0sJpmF3axPbQ7n++px7+ANWvrIBHE+4elRg0I0K5BsvWT5GMsbTBPPS&#10;g1OSM6to4EtUkRmMfQyS5FtPLhRjT1aWaBfksTpc83TV1afzWJZZ+n1fqx9+nv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99nS9UAAAALAQAADwAAAAAAAAABACAAAAAiAAAAZHJzL2Rvd25yZXYu&#10;eG1sUEsBAhQAFAAAAAgAh07iQLx6NRbFAQAAhAMAAA4AAAAAAAAAAQAgAAAAJAEAAGRycy9lMm9E&#10;b2MueG1sUEsFBgAAAAAGAAYAWQEAAFsFA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2273300</wp:posOffset>
                </wp:positionV>
                <wp:extent cx="6121400" cy="635"/>
                <wp:effectExtent l="0" t="0" r="0" b="0"/>
                <wp:wrapNone/>
                <wp:docPr id="8" name="直线 5"/>
                <wp:cNvGraphicFramePr/>
                <a:graphic xmlns:a="http://schemas.openxmlformats.org/drawingml/2006/main">
                  <a:graphicData uri="http://schemas.microsoft.com/office/word/2010/wordprocessingShape">
                    <wps:wsp>
                      <wps:cNvCnPr/>
                      <wps:spPr>
                        <a:xfrm>
                          <a:off x="0" y="0"/>
                          <a:ext cx="61214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0pt;margin-top:179pt;height:0.05pt;width:482pt;z-index:251665408;mso-width-relative:page;mso-height-relative:page;" filled="f" stroked="t" coordsize="21600,21600" o:gfxdata="UEsDBAoAAAAAAIdO4kAAAAAAAAAAAAAAAAAEAAAAZHJzL1BLAwQUAAAACACHTuJATVVnTtQAAAAI&#10;AQAADwAAAGRycy9kb3ducmV2LnhtbE2PQU/DMAyF70j8h8hI3Fha2KauNJ3EJC67USbg6DWmrWic&#10;qsm69d9juMDt2c96/l6xvbheTTSGzrOBdJGAIq697bgxcHh9vstAhYhssfdMBmYKsC2vrwrMrT/z&#10;C01VbJSEcMjRQBvjkGsd6pYchoUfiMX79KPDKOPYaDviWcJdr++TZK0ddiwfWhxo11L9VZ2cpKze&#10;s6c9Zod57quPzXL3tp/YGXN7kyaPoCJd4t8x/OALOpTCdPQntkH1BqRINPCwykSIvVkvRRx/Nyno&#10;stD/C5TfUEsDBBQAAAAIAIdO4kDfOqRvxwEAAIQDAAAOAAAAZHJzL2Uyb0RvYy54bWytU0uOEzEQ&#10;3SNxB8t70p3ARNBKZxYThg2CSAwHqPjTbck/uUw6OQvXYMWG48w1KDshA8xmhMjCKZerXtV7Vb26&#10;PjjL9iqhCb7n81nLmfIiSOOHnn++u33xmjPM4CXY4FXPjwr59fr5s9UUO7UIY7BSJUYgHrsp9nzM&#10;OXZNg2JUDnAWovL0qENykOmahkYmmAjd2WbRtstmCknGFIRCJO/m9MjXFV9rJfJHrVFlZntOveV6&#10;pnruytmsV9ANCeJoxLkN+IcuHBhPRS9QG8jAviTzCMoZkQIGnWciuCZobYSqHIjNvP2LzacRoqpc&#10;SByMF5nw/8GKD/ttYkb2nAblwdGI7r9+u//+g10VbaaIHYXc+G063zBuUyF60MmVf6LADlXP40VP&#10;dchMkHM5X8xftSS7oLfly4rYPKTGhPmdCo4Vo+fW+EIWOti/x0zlKPRXSHFbzyZasTftVUEEWhZt&#10;IZPpIrWPfqjJGKyRt8bakoJp2N3YxPZQxl9/hRUB/xFWqmwAx1NcfTotxqhAvvWS5WMkYTxtMC89&#10;OCU5s4oWvlgECF0GY58SSaWtpw6KsCcpi7UL8lgVrn4ade3xvJZll36/1+yHj2f9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1VZ07UAAAACAEAAA8AAAAAAAAAAQAgAAAAIgAAAGRycy9kb3ducmV2&#10;LnhtbFBLAQIUABQAAAAIAIdO4kDfOqRvxwEAAIQDAAAOAAAAAAAAAAEAIAAAACMBAABkcnMvZTJv&#10;RG9jLnhtbFBLBQYAAAAABgAGAFkBAABcBQ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4084320</wp:posOffset>
                </wp:positionH>
                <wp:positionV relativeFrom="margin">
                  <wp:posOffset>8402320</wp:posOffset>
                </wp:positionV>
                <wp:extent cx="2019300" cy="312420"/>
                <wp:effectExtent l="0" t="0" r="0" b="11430"/>
                <wp:wrapNone/>
                <wp:docPr id="7"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28"/>
                              <w:ind w:firstLine="1120" w:firstLineChars="400"/>
                              <w:jc w:val="both"/>
                            </w:pPr>
                            <w:r>
                              <w:t>20××-××-××实施</w:t>
                            </w:r>
                          </w:p>
                          <w:p/>
                        </w:txbxContent>
                      </wps:txbx>
                      <wps:bodyPr lIns="0" tIns="0" rIns="0" bIns="0" upright="1"/>
                    </wps:wsp>
                  </a:graphicData>
                </a:graphic>
              </wp:anchor>
            </w:drawing>
          </mc:Choice>
          <mc:Fallback>
            <w:pict>
              <v:shape id="fmFrame6" o:spid="_x0000_s1026" o:spt="202" type="#_x0000_t202" style="position:absolute;left:0pt;margin-left:321.6pt;margin-top:661.6pt;height:24.6pt;width:159pt;mso-position-horizontal-relative:margin;mso-position-vertical-relative:margin;z-index:251664384;mso-width-relative:page;mso-height-relative:page;" fillcolor="#FFFFFF" filled="t" stroked="f" coordsize="21600,21600" o:gfxdata="UEsDBAoAAAAAAIdO4kAAAAAAAAAAAAAAAAAEAAAAZHJzL1BLAwQUAAAACACHTuJAqgASw9kAAAAN&#10;AQAADwAAAGRycy9kb3ducmV2LnhtbE2PwU7DMBBE70j8g7VIXBB14lahDXEq0cINDi1Vz25skoh4&#10;HdlO0/49mxO9ze6MZt8W64vt2Nn40DqUkM4SYAYrp1usJRy+P56XwEJUqFXn0Ei4mgDr8v6uULl2&#10;I+7MeR9rRiUYciWhibHPOQ9VY6wKM9cbJO/Heasijb7m2quRym3HRZJk3KoW6UKjerNpTPW7H6yE&#10;bOuHcYebp+3h/VN99bU4vl2PUj4+pMkrsGgu8T8MEz6hQ0lMJzegDqyjjsVcUJSMuZgURVZZSuI0&#10;rV7EAnhZ8Nsvyj9QSwMEFAAAAAgAh07iQGrLcDCkAQAASgMAAA4AAABkcnMvZTJvRG9jLnhtbK1T&#10;y27bMBC8F8g/ELzHkp0gbQXLAdrAQYGiLZD2AyiKlAiQXGLJWPLfd0lbTh+3ID7Qy93lcGaW2t7P&#10;zrKDwmjAt3y9qjlTXkJv/NDyXz/31x84i0n4XljwquVHFfn97urddgqN2sAItlfICMTHZgotH1MK&#10;TVVFOSon4gqC8lTUgE4k2uJQ9SgmQne22tT1XTUB9gFBqhgp+3Aq8l3B11rJ9F3rqBKzLSduqaxY&#10;1i6v1W4rmgFFGI080xCvYOGE8XTpBepBJMGe0fwH5YxEiKDTSoKrQGsjVdFAatb1P2qeRhFU0ULm&#10;xHCxKb4drPx2+IHM9C1/z5kXjkak3R4puMveTCE21PIUqCnNn2CmGS/5SMksedbo8j+JYVQnl48X&#10;Z9WcmKQkift4U1NJUu1mvbndFOurl9MBY3pU4FgOWo40uWKoOHyNiZhQ69KSL4tgTb831pYNDt1n&#10;i+wgaMr78ssk6chfbdbnZg/52KmcM1XWeNKSozR381l4B/2RdNsvngzPj2cJcAm6JXgOaIaReBd3&#10;CiQNrFA4P678Iv7cl4tfPoHd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KoAEsPZAAAADQEAAA8A&#10;AAAAAAAAAQAgAAAAIgAAAGRycy9kb3ducmV2LnhtbFBLAQIUABQAAAAIAIdO4kBqy3AwpAEAAEoD&#10;AAAOAAAAAAAAAAEAIAAAACgBAABkcnMvZTJvRG9jLnhtbFBLBQYAAAAABgAGAFkBAAA+BQAAAAA=&#10;">
                <v:fill on="t" focussize="0,0"/>
                <v:stroke on="f"/>
                <v:imagedata o:title=""/>
                <o:lock v:ext="edit" aspectratio="f"/>
                <v:textbox inset="0mm,0mm,0mm,0mm">
                  <w:txbxContent>
                    <w:p>
                      <w:pPr>
                        <w:pStyle w:val="28"/>
                        <w:ind w:firstLine="1120" w:firstLineChars="400"/>
                        <w:jc w:val="both"/>
                      </w:pPr>
                      <w:r>
                        <w:t>20××-××-××实施</w:t>
                      </w:r>
                    </w:p>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36830</wp:posOffset>
                </wp:positionH>
                <wp:positionV relativeFrom="margin">
                  <wp:posOffset>8395970</wp:posOffset>
                </wp:positionV>
                <wp:extent cx="2019300" cy="312420"/>
                <wp:effectExtent l="0" t="0" r="0" b="11430"/>
                <wp:wrapNone/>
                <wp:docPr id="5"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29"/>
                            </w:pPr>
                            <w:r>
                              <w:t>20××-××-××发布</w:t>
                            </w:r>
                          </w:p>
                          <w:p/>
                        </w:txbxContent>
                      </wps:txbx>
                      <wps:bodyPr lIns="0" tIns="0" rIns="0" bIns="0" upright="1"/>
                    </wps:wsp>
                  </a:graphicData>
                </a:graphic>
              </wp:anchor>
            </w:drawing>
          </mc:Choice>
          <mc:Fallback>
            <w:pict>
              <v:shape id="fmFrame5" o:spid="_x0000_s1026" o:spt="202" type="#_x0000_t202" style="position:absolute;left:0pt;margin-left:2.9pt;margin-top:661.1pt;height:24.6pt;width:159pt;mso-position-horizontal-relative:margin;mso-position-vertical-relative:margin;z-index:251663360;mso-width-relative:page;mso-height-relative:page;" fillcolor="#FFFFFF" filled="t" stroked="f" coordsize="21600,21600" o:gfxdata="UEsDBAoAAAAAAIdO4kAAAAAAAAAAAAAAAAAEAAAAZHJzL1BLAwQUAAAACACHTuJARDnds9gAAAAL&#10;AQAADwAAAGRycy9kb3ducmV2LnhtbE2PwU7DMAyG70i8Q2QkLoilTWGbStNJbHCDw8a0c9aYtqJx&#10;qiZdt7fHO8HRn3/9/lyszq4TJxxC60lDOktAIFXetlRr2H+9Py5BhGjIms4TarhggFV5e1OY3PqJ&#10;tnjaxVpwCYXcaGhi7HMpQ9WgM2HmeyTeffvBmcjjUEs7mInLXSdVksylMy3xhcb0uG6w+tmNTsN8&#10;M4zTltYPm/3bh/nsa3V4vRy0vr9LkxcQEc/xLwxXfVaHkp2OfiQbRKfhmcUj40wpBYIDmcoYHa9o&#10;kT6BLAv5/4fyF1BLAwQUAAAACACHTuJAAZ/8a6QBAABKAwAADgAAAGRycy9lMm9Eb2MueG1srVPL&#10;btswELwXyD8QvMeSnaRoBcsB2sBBgaItkPYDKIqUCJBcYslY8t93SVtOH7cgPtDL3eVwZpba3s/O&#10;soPCaMC3fL2qOVNeQm/80PJfP/fXHziLSfheWPCq5UcV+f3u6t12Co3awAi2V8gIxMdmCi0fUwpN&#10;VUU5KifiCoLyVNSATiTa4lD1KCZCd7ba1PX7agLsA4JUMVL24VTku4KvtZLpu9ZRJWZbTtxSWbGs&#10;XV6r3VY0A4owGnmmIV7Bwgnj6dIL1INIgj2j+Q/KGYkQQaeVBFeB1kaqooHUrOt/1DyNIqiihcyJ&#10;4WJTfDtY+e3wA5npW37HmReORqTdHim4y95MITbU8hSoKc2fYKYZL/lIySx51ujyP4lhVCeXjxdn&#10;1ZyYpCSJ+3hTU0lS7Wa9ud0U66uX0wFjelTgWA5ajjS5Yqg4fI2JmFDr0pIvi2BNvzfWlg0O3WeL&#10;7CBoyvvyyyTpyF9t1udmD/nYqZwzVdZ40pKjNHfzWXgH/ZF02y+eDM+PZwlwCboleA5ohpF4F3cK&#10;JA2sUDg/rvwi/tyXi18+gd1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RDnds9gAAAALAQAADwAA&#10;AAAAAAABACAAAAAiAAAAZHJzL2Rvd25yZXYueG1sUEsBAhQAFAAAAAgAh07iQAGf/GukAQAASgMA&#10;AA4AAAAAAAAAAQAgAAAAJwEAAGRycy9lMm9Eb2MueG1sUEsFBgAAAAAGAAYAWQEAAD0FAAAAAA==&#10;">
                <v:fill on="t" focussize="0,0"/>
                <v:stroke on="f"/>
                <v:imagedata o:title=""/>
                <o:lock v:ext="edit" aspectratio="f"/>
                <v:textbox inset="0mm,0mm,0mm,0mm">
                  <w:txbxContent>
                    <w:p>
                      <w:pPr>
                        <w:pStyle w:val="29"/>
                      </w:pPr>
                      <w:r>
                        <w:t>20××-××-××发布</w:t>
                      </w:r>
                    </w:p>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4"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pPr>
                              <w:pStyle w:val="13"/>
                              <w:spacing w:after="0" w:line="240" w:lineRule="auto"/>
                              <w:ind w:left="0" w:firstLine="0"/>
                              <w:jc w:val="both"/>
                              <w:rPr>
                                <w:rFonts w:ascii="黑体" w:hAnsi="黑体" w:eastAsia="黑体" w:cs="Times New Roman"/>
                                <w:sz w:val="52"/>
                              </w:rPr>
                            </w:pPr>
                          </w:p>
                          <w:p>
                            <w:pPr>
                              <w:pStyle w:val="13"/>
                              <w:spacing w:after="0" w:line="240" w:lineRule="auto"/>
                              <w:ind w:left="0" w:firstLine="0"/>
                              <w:jc w:val="center"/>
                              <w:rPr>
                                <w:rFonts w:hint="eastAsia" w:eastAsia="黑体"/>
                              </w:rPr>
                            </w:pPr>
                            <w:r>
                              <w:rPr>
                                <w:rFonts w:hint="eastAsia" w:ascii="黑体" w:hAnsi="黑体" w:eastAsia="黑体" w:cs="Times New Roman"/>
                                <w:sz w:val="52"/>
                              </w:rPr>
                              <w:t>高冰</w:t>
                            </w:r>
                            <w:r>
                              <w:rPr>
                                <w:rFonts w:ascii="黑体" w:hAnsi="黑体" w:eastAsia="黑体" w:cs="Times New Roman"/>
                                <w:sz w:val="52"/>
                              </w:rPr>
                              <w:t>钴</w:t>
                            </w:r>
                          </w:p>
                          <w:p>
                            <w:pPr>
                              <w:pStyle w:val="55"/>
                              <w:spacing w:before="0" w:line="240" w:lineRule="atLeast"/>
                              <w:rPr>
                                <w:rFonts w:hint="eastAsia" w:eastAsia="黑体"/>
                                <w:szCs w:val="28"/>
                                <w:lang w:val="en-US" w:eastAsia="zh-CN"/>
                              </w:rPr>
                            </w:pPr>
                            <w:r>
                              <w:rPr>
                                <w:rFonts w:hint="eastAsia" w:eastAsia="黑体"/>
                                <w:szCs w:val="28"/>
                                <w:lang w:val="en-US" w:eastAsia="zh-CN"/>
                              </w:rPr>
                              <w:t>Cobalt-rich matte</w:t>
                            </w:r>
                          </w:p>
                          <w:p>
                            <w:pPr>
                              <w:pStyle w:val="55"/>
                              <w:spacing w:before="0" w:line="240" w:lineRule="atLeast"/>
                              <w:rPr>
                                <w:rFonts w:ascii="黑体" w:hAnsi="黑体" w:eastAsia="黑体" w:cs="黑体"/>
                                <w:szCs w:val="28"/>
                              </w:rPr>
                            </w:pPr>
                            <w:r>
                              <w:rPr>
                                <w:rFonts w:ascii="黑体" w:hAnsi="黑体" w:eastAsia="黑体" w:cs="黑体"/>
                                <w:szCs w:val="28"/>
                              </w:rPr>
                              <w:t>（</w:t>
                            </w:r>
                            <w:r>
                              <w:rPr>
                                <w:rFonts w:hint="eastAsia" w:ascii="黑体" w:hAnsi="黑体" w:eastAsia="黑体" w:cs="黑体"/>
                                <w:szCs w:val="28"/>
                                <w:lang w:val="en-US" w:eastAsia="zh-CN"/>
                              </w:rPr>
                              <w:t>征求意见稿</w:t>
                            </w:r>
                            <w:r>
                              <w:rPr>
                                <w:rFonts w:ascii="黑体" w:hAnsi="黑体" w:eastAsia="黑体" w:cs="黑体"/>
                                <w:szCs w:val="28"/>
                              </w:rPr>
                              <w:t>）</w:t>
                            </w:r>
                          </w:p>
                        </w:txbxContent>
                      </wps:txbx>
                      <wps:bodyPr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2336;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hZFpxqUBAABLAwAADgAAAGRycy9lMm9Eb2MueG1srVPb&#10;jtsgEH2v1H9AvDd2ojTateKs1K5SVaraSrv9AIzBRgIGDWzs/H0HEmd7eauaBzLMDIdzzuD9w+ws&#10;OymMBnzL16uaM+Ul9MYPLf/xfHx3x1lMwvfCglctP6vIHw5v3+yn0KgNjGB7hYxAfGym0PIxpdBU&#10;VZSjciKuIChPRQ3oRKItDlWPYiJ0Z6tNXe+qCbAPCFLFSNnHS5EfCr7WSqZvWkeVmG05cUtlxbJ2&#10;ea0Oe9EMKMJo5JWG+AcWThhPl96gHkUS7AXNX1DOSIQIOq0kuAq0NlIVDaRmXf+h5mkUQRUtZE4M&#10;N5vi/4OVX0/fkZm+5VvOvHA0Iu2OSME2ezOF2FDLU6CmNH+AmWa85CMls+RZo8v/JIZRnVw+35xV&#10;c2KSku/vd/d1TSVJte3ubr3ZFO+r1+MBY/qkwLEctBxpdMVRcfoSE1Gh1qUl3xbBmv5orC0bHLqP&#10;FtlJ0JiP5ZdZ0pHf2qzPzR7ysUs5Z6os8iImR2nu5qvyDvozCbefPTmeX88S4BJ0S/AS0Awj8S72&#10;FEiaWKFwfV35Sfy6Lxe/fgOH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FRXn3HYAAAACQEAAA8A&#10;AAAAAAAAAQAgAAAAIgAAAGRycy9kb3ducmV2LnhtbFBLAQIUABQAAAAIAIdO4kCFkWnGpQEAAEsD&#10;AAAOAAAAAAAAAAEAIAAAACcBAABkcnMvZTJvRG9jLnhtbFBLBQYAAAAABgAGAFkBAAA+BQAAAAA=&#10;">
                <v:fill on="t" focussize="0,0"/>
                <v:stroke on="f"/>
                <v:imagedata o:title=""/>
                <o:lock v:ext="edit" aspectratio="f"/>
                <v:textbox inset="0mm,0mm,0mm,0mm">
                  <w:txbxContent>
                    <w:p>
                      <w:pPr>
                        <w:pStyle w:val="13"/>
                        <w:spacing w:after="0" w:line="240" w:lineRule="auto"/>
                        <w:ind w:left="0" w:firstLine="0"/>
                        <w:jc w:val="both"/>
                        <w:rPr>
                          <w:rFonts w:ascii="黑体" w:hAnsi="黑体" w:eastAsia="黑体" w:cs="Times New Roman"/>
                          <w:sz w:val="52"/>
                        </w:rPr>
                      </w:pPr>
                    </w:p>
                    <w:p>
                      <w:pPr>
                        <w:pStyle w:val="13"/>
                        <w:spacing w:after="0" w:line="240" w:lineRule="auto"/>
                        <w:ind w:left="0" w:firstLine="0"/>
                        <w:jc w:val="center"/>
                        <w:rPr>
                          <w:rFonts w:hint="eastAsia" w:eastAsia="黑体"/>
                        </w:rPr>
                      </w:pPr>
                      <w:r>
                        <w:rPr>
                          <w:rFonts w:hint="eastAsia" w:ascii="黑体" w:hAnsi="黑体" w:eastAsia="黑体" w:cs="Times New Roman"/>
                          <w:sz w:val="52"/>
                        </w:rPr>
                        <w:t>高冰</w:t>
                      </w:r>
                      <w:r>
                        <w:rPr>
                          <w:rFonts w:ascii="黑体" w:hAnsi="黑体" w:eastAsia="黑体" w:cs="Times New Roman"/>
                          <w:sz w:val="52"/>
                        </w:rPr>
                        <w:t>钴</w:t>
                      </w:r>
                    </w:p>
                    <w:p>
                      <w:pPr>
                        <w:pStyle w:val="55"/>
                        <w:spacing w:before="0" w:line="240" w:lineRule="atLeast"/>
                        <w:rPr>
                          <w:rFonts w:hint="eastAsia" w:eastAsia="黑体"/>
                          <w:szCs w:val="28"/>
                          <w:lang w:val="en-US" w:eastAsia="zh-CN"/>
                        </w:rPr>
                      </w:pPr>
                      <w:r>
                        <w:rPr>
                          <w:rFonts w:hint="eastAsia" w:eastAsia="黑体"/>
                          <w:szCs w:val="28"/>
                          <w:lang w:val="en-US" w:eastAsia="zh-CN"/>
                        </w:rPr>
                        <w:t>Cobalt-rich matte</w:t>
                      </w:r>
                    </w:p>
                    <w:p>
                      <w:pPr>
                        <w:pStyle w:val="55"/>
                        <w:spacing w:before="0" w:line="240" w:lineRule="atLeast"/>
                        <w:rPr>
                          <w:rFonts w:ascii="黑体" w:hAnsi="黑体" w:eastAsia="黑体" w:cs="黑体"/>
                          <w:szCs w:val="28"/>
                        </w:rPr>
                      </w:pPr>
                      <w:r>
                        <w:rPr>
                          <w:rFonts w:ascii="黑体" w:hAnsi="黑体" w:eastAsia="黑体" w:cs="黑体"/>
                          <w:szCs w:val="28"/>
                        </w:rPr>
                        <w:t>（</w:t>
                      </w:r>
                      <w:r>
                        <w:rPr>
                          <w:rFonts w:hint="eastAsia" w:ascii="黑体" w:hAnsi="黑体" w:eastAsia="黑体" w:cs="黑体"/>
                          <w:szCs w:val="28"/>
                          <w:lang w:val="en-US" w:eastAsia="zh-CN"/>
                        </w:rPr>
                        <w:t>征求意见稿</w:t>
                      </w:r>
                      <w:r>
                        <w:rPr>
                          <w:rFonts w:ascii="黑体" w:hAnsi="黑体" w:eastAsia="黑体" w:cs="黑体"/>
                          <w:szCs w:val="28"/>
                        </w:rPr>
                        <w:t>）</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1772285</wp:posOffset>
                </wp:positionV>
                <wp:extent cx="5862320" cy="581025"/>
                <wp:effectExtent l="0" t="0" r="5080" b="9525"/>
                <wp:wrapNone/>
                <wp:docPr id="3" name="fmFrame3"/>
                <wp:cNvGraphicFramePr/>
                <a:graphic xmlns:a="http://schemas.openxmlformats.org/drawingml/2006/main">
                  <a:graphicData uri="http://schemas.microsoft.com/office/word/2010/wordprocessingShape">
                    <wps:wsp>
                      <wps:cNvSpPr txBox="1"/>
                      <wps:spPr>
                        <a:xfrm>
                          <a:off x="0" y="0"/>
                          <a:ext cx="5862320" cy="581025"/>
                        </a:xfrm>
                        <a:prstGeom prst="rect">
                          <a:avLst/>
                        </a:prstGeom>
                        <a:solidFill>
                          <a:srgbClr val="FFFFFF"/>
                        </a:solidFill>
                        <a:ln>
                          <a:noFill/>
                        </a:ln>
                      </wps:spPr>
                      <wps:txbx>
                        <w:txbxContent>
                          <w:p>
                            <w:pPr>
                              <w:pStyle w:val="56"/>
                              <w:spacing w:before="0" w:beforeAutospacing="0" w:after="0" w:afterAutospacing="0"/>
                              <w:ind w:right="210"/>
                              <w:rPr>
                                <w:rFonts w:eastAsia="黑体"/>
                              </w:rPr>
                            </w:pPr>
                            <w:bookmarkStart w:id="7" w:name="OLE_LINK6"/>
                            <w:bookmarkStart w:id="8" w:name="OLE_LINK5"/>
                            <w:r>
                              <w:rPr>
                                <w:rFonts w:hint="eastAsia"/>
                              </w:rPr>
                              <w:t>YS</w:t>
                            </w:r>
                            <w:r>
                              <w:t xml:space="preserve">/T </w:t>
                            </w:r>
                            <w:r>
                              <w:rPr>
                                <w:rFonts w:hint="eastAsia"/>
                              </w:rPr>
                              <w:t>XXX—</w:t>
                            </w:r>
                            <w:bookmarkEnd w:id="7"/>
                            <w:bookmarkEnd w:id="8"/>
                            <w:r>
                              <w:rPr>
                                <w:rFonts w:hint="eastAsia"/>
                              </w:rPr>
                              <w:t>XXXX</w:t>
                            </w:r>
                          </w:p>
                          <w:p>
                            <w:pPr>
                              <w:pStyle w:val="56"/>
                              <w:spacing w:before="0" w:beforeAutospacing="0" w:after="0" w:afterAutospacing="0"/>
                              <w:rPr>
                                <w:rFonts w:eastAsia="黑体"/>
                              </w:rPr>
                            </w:pPr>
                          </w:p>
                          <w:p>
                            <w:pPr>
                              <w:pStyle w:val="56"/>
                              <w:rPr>
                                <w:rFonts w:eastAsia="黑体"/>
                              </w:rPr>
                            </w:pPr>
                          </w:p>
                          <w:p>
                            <w:pPr>
                              <w:pStyle w:val="56"/>
                              <w:rPr>
                                <w:rFonts w:eastAsia="黑体"/>
                              </w:rPr>
                            </w:pPr>
                          </w:p>
                          <w:p>
                            <w:pPr>
                              <w:pStyle w:val="56"/>
                              <w:rPr>
                                <w:rFonts w:eastAsia="黑体"/>
                              </w:rPr>
                            </w:pPr>
                          </w:p>
                          <w:p>
                            <w:pPr>
                              <w:pStyle w:val="56"/>
                              <w:rPr>
                                <w:rFonts w:eastAsia="黑体"/>
                              </w:rPr>
                            </w:pPr>
                            <w:r>
                              <w:rPr>
                                <w:rFonts w:eastAsia="黑体"/>
                              </w:rPr>
                              <w:t xml:space="preserve">    </w:t>
                            </w:r>
                          </w:p>
                          <w:p>
                            <w:pPr>
                              <w:pStyle w:val="56"/>
                              <w:rPr>
                                <w:rFonts w:eastAsia="黑体"/>
                              </w:rPr>
                            </w:pPr>
                          </w:p>
                        </w:txbxContent>
                      </wps:txbx>
                      <wps:bodyPr lIns="0" tIns="0" rIns="0" bIns="0" upright="1"/>
                    </wps:wsp>
                  </a:graphicData>
                </a:graphic>
              </wp:anchor>
            </w:drawing>
          </mc:Choice>
          <mc:Fallback>
            <w:pict>
              <v:shape id="fmFrame3" o:spid="_x0000_s1026" o:spt="202" type="#_x0000_t202" style="position:absolute;left:0pt;margin-left:0pt;margin-top:139.55pt;height:45.75pt;width:461.6pt;mso-position-horizontal-relative:margin;mso-position-vertical-relative:margin;z-index:251661312;mso-width-relative:page;mso-height-relative:page;" fillcolor="#FFFFFF" filled="t" stroked="f" coordsize="21600,21600" o:gfxdata="UEsDBAoAAAAAAIdO4kAAAAAAAAAAAAAAAAAEAAAAZHJzL1BLAwQUAAAACACHTuJAff25GdgAAAAI&#10;AQAADwAAAGRycy9kb3ducmV2LnhtbE2PMU/DMBSEdyT+g/WQWBC140opTeNUooUNhpaq82vsJhHx&#10;c2Q7TfvvMROMpzvdfVeur7ZnF+ND50hBNhPADNVOd9QoOHy9P78ACxFJY+/IKLiZAOvq/q7EQruJ&#10;duayjw1LJRQKVNDGOBSch7o1FsPMDYaSd3beYkzSN1x7nFK57bkUIucWO0oLLQ5m05r6ez9aBfnW&#10;j9OONk/bw9sHfg6NPL7ejko9PmRiBSyaa/wLwy9+QocqMZ3cSDqwXkE6EhXIxTIDluylnEtgJwXz&#10;hciBVyX/f6D6AVBLAwQUAAAACACHTuJAq1GzsaIBAABKAwAADgAAAGRycy9lMm9Eb2MueG1srVPb&#10;itswEH0v7D8IvTdyHLIEE2ehXVIKZVvY9gNkWbIFujHSxs7f70iJs9v2rdQP8mhmdDTnzGj/MFtD&#10;ThKi9q6l61VFiXTC99oNLf318/hxR0lM3PXceCdbepaRPhzuPuyn0Mjaj970EgiCuNhMoaVjSqFh&#10;LIpRWh5XPkiHQeXB8oRbGFgPfEJ0a1hdVfds8tAH8ELGiN7HS5AeCr5SUqTvSkWZiGkp1pbKCmXt&#10;8soOe94MwMOoxbUM/g9VWK4dXnqDeuSJkxfQf0FZLcBHr9JKeMu8UlrIwgHZrKs/2DyPPMjCBcWJ&#10;4SZT/H+w4un0A4juW7qhxHGLLVL2CGhssjZTiA2mPAdMSvMnP2OPF39EZ6Y8K7D5j2QIxlHl801Z&#10;OSci0Lnd3debGkMCY9vduqq3GYa9nQ4Q0xfpLclGSwE7VwTlp28xXVKXlHxZ9Eb3R21M2cDQfTZA&#10;Thy7fCzfFf23NONysvP52AUxe1jmeOGSrTR385V45/sz8jZfHQqeh2cxYDG6xXgJoIcR6y7qFEhs&#10;WCF4Ha48Ee/35eK3J3B4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39uRnYAAAACAEAAA8AAAAA&#10;AAAAAQAgAAAAIgAAAGRycy9kb3ducmV2LnhtbFBLAQIUABQAAAAIAIdO4kCrUbOxogEAAEoDAAAO&#10;AAAAAAAAAAEAIAAAACcBAABkcnMvZTJvRG9jLnhtbFBLBQYAAAAABgAGAFkBAAA7BQAAAAA=&#10;">
                <v:fill on="t" focussize="0,0"/>
                <v:stroke on="f"/>
                <v:imagedata o:title=""/>
                <o:lock v:ext="edit" aspectratio="f"/>
                <v:textbox inset="0mm,0mm,0mm,0mm">
                  <w:txbxContent>
                    <w:p>
                      <w:pPr>
                        <w:pStyle w:val="56"/>
                        <w:spacing w:before="0" w:beforeAutospacing="0" w:after="0" w:afterAutospacing="0"/>
                        <w:ind w:right="210"/>
                        <w:rPr>
                          <w:rFonts w:eastAsia="黑体"/>
                        </w:rPr>
                      </w:pPr>
                      <w:bookmarkStart w:id="7" w:name="OLE_LINK6"/>
                      <w:bookmarkStart w:id="8" w:name="OLE_LINK5"/>
                      <w:r>
                        <w:rPr>
                          <w:rFonts w:hint="eastAsia"/>
                        </w:rPr>
                        <w:t>YS</w:t>
                      </w:r>
                      <w:r>
                        <w:t xml:space="preserve">/T </w:t>
                      </w:r>
                      <w:r>
                        <w:rPr>
                          <w:rFonts w:hint="eastAsia"/>
                        </w:rPr>
                        <w:t>XXX—</w:t>
                      </w:r>
                      <w:bookmarkEnd w:id="7"/>
                      <w:bookmarkEnd w:id="8"/>
                      <w:r>
                        <w:rPr>
                          <w:rFonts w:hint="eastAsia"/>
                        </w:rPr>
                        <w:t>XXXX</w:t>
                      </w:r>
                    </w:p>
                    <w:p>
                      <w:pPr>
                        <w:pStyle w:val="56"/>
                        <w:spacing w:before="0" w:beforeAutospacing="0" w:after="0" w:afterAutospacing="0"/>
                        <w:rPr>
                          <w:rFonts w:eastAsia="黑体"/>
                        </w:rPr>
                      </w:pPr>
                    </w:p>
                    <w:p>
                      <w:pPr>
                        <w:pStyle w:val="56"/>
                        <w:rPr>
                          <w:rFonts w:eastAsia="黑体"/>
                        </w:rPr>
                      </w:pPr>
                    </w:p>
                    <w:p>
                      <w:pPr>
                        <w:pStyle w:val="56"/>
                        <w:rPr>
                          <w:rFonts w:eastAsia="黑体"/>
                        </w:rPr>
                      </w:pPr>
                    </w:p>
                    <w:p>
                      <w:pPr>
                        <w:pStyle w:val="56"/>
                        <w:rPr>
                          <w:rFonts w:eastAsia="黑体"/>
                        </w:rPr>
                      </w:pPr>
                    </w:p>
                    <w:p>
                      <w:pPr>
                        <w:pStyle w:val="56"/>
                        <w:rPr>
                          <w:rFonts w:eastAsia="黑体"/>
                        </w:rPr>
                      </w:pPr>
                      <w:r>
                        <w:rPr>
                          <w:rFonts w:eastAsia="黑体"/>
                        </w:rPr>
                        <w:t xml:space="preserve">    </w:t>
                      </w:r>
                    </w:p>
                    <w:p>
                      <w:pPr>
                        <w:pStyle w:val="56"/>
                        <w:rPr>
                          <w:rFonts w:eastAsia="黑体"/>
                        </w:rPr>
                      </w:pP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457835"/>
                <wp:effectExtent l="0" t="0" r="13970" b="18415"/>
                <wp:wrapNone/>
                <wp:docPr id="2" name="fmFrame2"/>
                <wp:cNvGraphicFramePr/>
                <a:graphic xmlns:a="http://schemas.openxmlformats.org/drawingml/2006/main">
                  <a:graphicData uri="http://schemas.microsoft.com/office/word/2010/wordprocessingShape">
                    <wps:wsp>
                      <wps:cNvSpPr txBox="1"/>
                      <wps:spPr>
                        <a:xfrm>
                          <a:off x="0" y="0"/>
                          <a:ext cx="6120130" cy="457835"/>
                        </a:xfrm>
                        <a:prstGeom prst="rect">
                          <a:avLst/>
                        </a:prstGeom>
                        <a:solidFill>
                          <a:srgbClr val="FFFFFF"/>
                        </a:solidFill>
                        <a:ln>
                          <a:noFill/>
                        </a:ln>
                      </wps:spPr>
                      <wps:txbx>
                        <w:txbxContent>
                          <w:p>
                            <w:pPr>
                              <w:jc w:val="center"/>
                              <w:rPr>
                                <w:rFonts w:ascii="宋体"/>
                                <w:b/>
                                <w:spacing w:val="20"/>
                                <w:w w:val="148"/>
                                <w:kern w:val="0"/>
                                <w:sz w:val="36"/>
                                <w:szCs w:val="36"/>
                              </w:rPr>
                            </w:pPr>
                            <w:r>
                              <w:rPr>
                                <w:rFonts w:hint="eastAsia" w:ascii="宋体"/>
                                <w:b/>
                                <w:spacing w:val="20"/>
                                <w:w w:val="148"/>
                                <w:kern w:val="0"/>
                                <w:sz w:val="36"/>
                                <w:szCs w:val="36"/>
                              </w:rPr>
                              <w:t>中华人民共和国有色金属行业标准</w:t>
                            </w:r>
                          </w:p>
                          <w:p>
                            <w:pPr>
                              <w:jc w:val="center"/>
                              <w:rPr>
                                <w:sz w:val="36"/>
                                <w:szCs w:val="36"/>
                              </w:rPr>
                            </w:pPr>
                          </w:p>
                        </w:txbxContent>
                      </wps:txbx>
                      <wps:bodyPr lIns="0" tIns="0" rIns="0" bIns="0" upright="1"/>
                    </wps:wsp>
                  </a:graphicData>
                </a:graphic>
              </wp:anchor>
            </w:drawing>
          </mc:Choice>
          <mc:Fallback>
            <w:pict>
              <v:shape id="fmFrame2" o:spid="_x0000_s1026" o:spt="202" type="#_x0000_t202" style="position:absolute;left:0pt;margin-left:0pt;margin-top:79.6pt;height:36.05pt;width:481.9pt;mso-position-horizontal-relative:margin;mso-position-vertical-relative:margin;z-index:251660288;mso-width-relative:page;mso-height-relative:page;" fillcolor="#FFFFFF" filled="t" stroked="f" coordsize="21600,21600" o:gfxdata="UEsDBAoAAAAAAIdO4kAAAAAAAAAAAAAAAAAEAAAAZHJzL1BLAwQUAAAACACHTuJAsi0NVdcAAAAI&#10;AQAADwAAAGRycy9kb3ducmV2LnhtbE2PTU/DMAyG70j8h8hIXBBLP0TFStNJbHCDw8a0c9aYtqJx&#10;qiRdt3+PObGj/Vqvn6dane0gTuhD70hBukhAIDXO9NQq2H+9Pz6DCFGT0YMjVHDBAKv69qbSpXEz&#10;bfG0i63gEgqlVtDFOJZShqZDq8PCjUicfTtvdeTRt9J4PXO5HWSWJIW0uif+0OkR1x02P7vJKig2&#10;fpq3tH7Y7N8+9OfYZofXy0Gp+7s0eQER8Rz/j+EPn9GhZqajm8gEMShgkcjbp2UGguNlkbPJUUGW&#10;pznIupLXAvUvUEsDBBQAAAAIAIdO4kCcEgyfogEAAEoDAAAOAAAAZHJzL2Uyb0RvYy54bWytU9uO&#10;2yAQfa/Uf0C8NyTZ7nZlxVmpXaWqVLWVtv0AjMFGAgYNbOz8fQcSZ3t5q+oHPMwMhzlnht3D7B07&#10;akwWQss3qzVnOijobRha/uP74c09ZynL0EsHQbf8pBN/2L9+tZtio7cwgus1MgIJqZliy8ecYyNE&#10;UqP2Mq0g6kBBA+hlpi0Ookc5Ebp3Yrte34kJsI8ISqdE3sdzkO8rvjFa5a/GJJ2ZaznVluuKde3K&#10;KvY72Qwo42jVpQz5D1V4aQNdeoV6lFmyZ7R/QXmrEBKYvFLgBRhjla4ciM1m/Qebp1FGXbmQOCle&#10;ZUr/D1Z9OX5DZvuWbzkL0lOLjD8gGduizRRTQylPkZLy/B5m6vHiT+QslGeDvvyJDKM4qXy6Kqvn&#10;zBQ57zZE74ZCimJvb9/d39wWGPFyOmLKHzV4VoyWI3WuCiqPn1M+py4p5bIEzvYH61zd4NB9cMiO&#10;krp8qN8F/bc0F0pygHLsjFg8onA8cylWnrv5QryD/kS83adAgpfhWQxcjG4xniPaYaS6qzoVkhpW&#10;CV6Gq0zEr/t68csT2P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si0NVdcAAAAIAQAADwAAAAAA&#10;AAABACAAAAAiAAAAZHJzL2Rvd25yZXYueG1sUEsBAhQAFAAAAAgAh07iQJwSDJ+iAQAASgMAAA4A&#10;AAAAAAAAAQAgAAAAJgEAAGRycy9lMm9Eb2MueG1sUEsFBgAAAAAGAAYAWQEAADoFAAAAAA==&#10;">
                <v:fill on="t" focussize="0,0"/>
                <v:stroke on="f"/>
                <v:imagedata o:title=""/>
                <o:lock v:ext="edit" aspectratio="f"/>
                <v:textbox inset="0mm,0mm,0mm,0mm">
                  <w:txbxContent>
                    <w:p>
                      <w:pPr>
                        <w:jc w:val="center"/>
                        <w:rPr>
                          <w:rFonts w:ascii="宋体"/>
                          <w:b/>
                          <w:spacing w:val="20"/>
                          <w:w w:val="148"/>
                          <w:kern w:val="0"/>
                          <w:sz w:val="36"/>
                          <w:szCs w:val="36"/>
                        </w:rPr>
                      </w:pPr>
                      <w:r>
                        <w:rPr>
                          <w:rFonts w:hint="eastAsia" w:ascii="宋体"/>
                          <w:b/>
                          <w:spacing w:val="20"/>
                          <w:w w:val="148"/>
                          <w:kern w:val="0"/>
                          <w:sz w:val="36"/>
                          <w:szCs w:val="36"/>
                        </w:rPr>
                        <w:t>中华人民共和国有色金属行业标准</w:t>
                      </w:r>
                    </w:p>
                    <w:p>
                      <w:pPr>
                        <w:jc w:val="center"/>
                        <w:rPr>
                          <w:sz w:val="36"/>
                          <w:szCs w:val="36"/>
                        </w:rPr>
                      </w:pP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28570" cy="657860"/>
                <wp:effectExtent l="0" t="0" r="5080" b="8890"/>
                <wp:wrapNone/>
                <wp:docPr id="1" name="fmFrame1"/>
                <wp:cNvGraphicFramePr/>
                <a:graphic xmlns:a="http://schemas.openxmlformats.org/drawingml/2006/main">
                  <a:graphicData uri="http://schemas.microsoft.com/office/word/2010/wordprocessingShape">
                    <wps:wsp>
                      <wps:cNvSpPr txBox="1"/>
                      <wps:spPr>
                        <a:xfrm>
                          <a:off x="0" y="0"/>
                          <a:ext cx="2528570" cy="657860"/>
                        </a:xfrm>
                        <a:prstGeom prst="rect">
                          <a:avLst/>
                        </a:prstGeom>
                        <a:solidFill>
                          <a:srgbClr val="FFFFFF"/>
                        </a:solidFill>
                        <a:ln>
                          <a:noFill/>
                        </a:ln>
                      </wps:spPr>
                      <wps:txbx>
                        <w:txbxContent>
                          <w:p>
                            <w:pPr>
                              <w:rPr>
                                <w:rFonts w:eastAsia="黑体"/>
                              </w:rPr>
                            </w:pPr>
                            <w:r>
                              <w:rPr>
                                <w:rFonts w:eastAsia="黑体"/>
                              </w:rPr>
                              <w:t>ICS 77.120.40</w:t>
                            </w:r>
                          </w:p>
                          <w:p>
                            <w:pPr>
                              <w:rPr>
                                <w:rFonts w:eastAsia="黑体"/>
                              </w:rPr>
                            </w:pPr>
                            <w:r>
                              <w:rPr>
                                <w:rFonts w:eastAsia="黑体"/>
                                <w:szCs w:val="21"/>
                              </w:rPr>
                              <w:t xml:space="preserve">CCS </w:t>
                            </w:r>
                            <w:r>
                              <w:rPr>
                                <w:rFonts w:eastAsia="黑体"/>
                              </w:rPr>
                              <w:t>H 69</w:t>
                            </w:r>
                          </w:p>
                        </w:txbxContent>
                      </wps:txbx>
                      <wps:bodyPr lIns="0" tIns="0" rIns="0" bIns="0" upright="1"/>
                    </wps:wsp>
                  </a:graphicData>
                </a:graphic>
              </wp:anchor>
            </w:drawing>
          </mc:Choice>
          <mc:Fallback>
            <w:pict>
              <v:shape id="fmFrame1" o:spid="_x0000_s1026" o:spt="202" type="#_x0000_t202" style="position:absolute;left:0pt;margin-left:0pt;margin-top:0pt;height:51.8pt;width:199.1pt;mso-position-horizontal-relative:margin;mso-position-vertical-relative:margin;z-index:251659264;mso-width-relative:page;mso-height-relative:page;" fillcolor="#FFFFFF" filled="t" stroked="f" coordsize="21600,21600" o:gfxdata="UEsDBAoAAAAAAIdO4kAAAAAAAAAAAAAAAAAEAAAAZHJzL1BLAwQUAAAACACHTuJAY7TdYdUAAAAF&#10;AQAADwAAAGRycy9kb3ducmV2LnhtbE2PwU7DMBBE70j8g7VIXBC1m0pRCXEq0cINDi1Vz9t4SSLi&#10;dWQ7Tfv3GC70MtJqRjNvy9XZ9uJEPnSONcxnCgRx7UzHjYb959vjEkSIyAZ7x6ThQgFW1e1NiYVx&#10;E2/ptIuNSCUcCtTQxjgUUoa6JYth5gbi5H05bzGm0zfSeJxSue1lplQuLXacFlocaN1S/b0brYZ8&#10;48dpy+uHzf71HT+GJju8XA5a39/N1TOISOf4H4Zf/IQOVWI6upFNEL2G9Ej80+QtnpYZiGMKqUUO&#10;sirlNX31A1BLAwQUAAAACACHTuJAj++WuqMBAABKAwAADgAAAGRycy9lMm9Eb2MueG1srVPbjtsg&#10;EH2v1H9AvDckkZKNrDgrtatUlaq20rYfgDHYSMCggY2dv+9ALtvLW1U/4GHmMDPnDOwfZ+/YSWOy&#10;EFq+Wiw500FBb8PQ8h/fj+92nKUsQy8dBN3ys0788fD2zX6KjV7DCK7XyChJSM0UWz7mHBshkhq1&#10;l2kBUQcKGkAvM21xED3KibJ7J9bL5VZMgH1EUDol8j5dgvxQ8xujVf5qTNKZuZZTb7muWNeurOKw&#10;l82AMo5WXduQ/9CFlzZQ0XuqJ5kle0H7VypvFUICkxcKvABjrNKVA7FZLf9g8zzKqCsXEifFu0zp&#10;/6VVX07fkNmeZsdZkJ5GZPwRyVgVbaaYGoI8RwLl+T3MBXf1J3IWyrNBX/5EhlGcVD7fldVzZoqc&#10;6816t3mgkKLYdvOw21bpxevpiCl/1OBZMVqONLkqqDx9TpkqEvQGKcUSONsfrXN1g0P3wSE7SZry&#10;sX6lSTryG8yFAg5Qjl3CxSMKxwuXYuW5m68EO+jPxNt9CiR4uTw3A29GdzNeItphpL6rOjUlDay2&#10;cL1c5Ub8uq+FX5/A4S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jtN1h1QAAAAUBAAAPAAAAAAAA&#10;AAEAIAAAACIAAABkcnMvZG93bnJldi54bWxQSwECFAAUAAAACACHTuJAj++WuqMBAABKAwAADgAA&#10;AAAAAAABACAAAAAkAQAAZHJzL2Uyb0RvYy54bWxQSwUGAAAAAAYABgBZAQAAOQUAAAAA&#10;">
                <v:fill on="t" focussize="0,0"/>
                <v:stroke on="f"/>
                <v:imagedata o:title=""/>
                <o:lock v:ext="edit" aspectratio="f"/>
                <v:textbox inset="0mm,0mm,0mm,0mm">
                  <w:txbxContent>
                    <w:p>
                      <w:pPr>
                        <w:rPr>
                          <w:rFonts w:eastAsia="黑体"/>
                        </w:rPr>
                      </w:pPr>
                      <w:r>
                        <w:rPr>
                          <w:rFonts w:eastAsia="黑体"/>
                        </w:rPr>
                        <w:t>ICS 77.120.40</w:t>
                      </w:r>
                    </w:p>
                    <w:p>
                      <w:pPr>
                        <w:rPr>
                          <w:rFonts w:eastAsia="黑体"/>
                        </w:rPr>
                      </w:pPr>
                      <w:r>
                        <w:rPr>
                          <w:rFonts w:eastAsia="黑体"/>
                          <w:szCs w:val="21"/>
                        </w:rPr>
                        <w:t xml:space="preserve">CCS </w:t>
                      </w:r>
                      <w:r>
                        <w:rPr>
                          <w:rFonts w:eastAsia="黑体"/>
                        </w:rPr>
                        <w:t>H 69</w:t>
                      </w:r>
                    </w:p>
                  </w:txbxContent>
                </v:textbox>
                <w10:anchorlock/>
              </v:shape>
            </w:pict>
          </mc:Fallback>
        </mc:AlternateContent>
      </w:r>
      <w:r>
        <w:t>T</w:t>
      </w:r>
    </w:p>
    <w:p>
      <w:pPr>
        <w:pStyle w:val="58"/>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0" w:footer="0" w:gutter="0"/>
          <w:pgNumType w:fmt="upperRoman" w:start="1"/>
          <w:cols w:space="720" w:num="1"/>
          <w:titlePg/>
          <w:docGrid w:type="lines" w:linePitch="312" w:charSpace="0"/>
        </w:sectPr>
      </w:pPr>
      <w:r>
        <mc:AlternateContent>
          <mc:Choice Requires="wps">
            <w:drawing>
              <wp:anchor distT="0" distB="0" distL="114300" distR="114300" simplePos="0" relativeHeight="251668480" behindDoc="0" locked="0" layoutInCell="1" allowOverlap="1">
                <wp:simplePos x="0" y="0"/>
                <wp:positionH relativeFrom="column">
                  <wp:posOffset>481965</wp:posOffset>
                </wp:positionH>
                <wp:positionV relativeFrom="paragraph">
                  <wp:posOffset>8380095</wp:posOffset>
                </wp:positionV>
                <wp:extent cx="5047615" cy="440690"/>
                <wp:effectExtent l="5080" t="4445" r="14605" b="12065"/>
                <wp:wrapNone/>
                <wp:docPr id="11" name="文本框 26"/>
                <wp:cNvGraphicFramePr/>
                <a:graphic xmlns:a="http://schemas.openxmlformats.org/drawingml/2006/main">
                  <a:graphicData uri="http://schemas.microsoft.com/office/word/2010/wordprocessingShape">
                    <wps:wsp>
                      <wps:cNvSpPr txBox="1"/>
                      <wps:spPr>
                        <a:xfrm>
                          <a:off x="0" y="0"/>
                          <a:ext cx="5047615" cy="44069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pStyle w:val="58"/>
                              <w:widowControl w:val="0"/>
                              <w:spacing w:line="240" w:lineRule="atLeast"/>
                              <w:jc w:val="distribute"/>
                              <w:rPr>
                                <w:rFonts w:ascii="黑体" w:hAnsi="黑体" w:eastAsia="黑体"/>
                                <w:color w:val="000000"/>
                                <w:sz w:val="28"/>
                                <w:szCs w:val="28"/>
                              </w:rPr>
                            </w:pPr>
                            <w:r>
                              <w:rPr>
                                <w:rFonts w:hint="eastAsia"/>
                                <w:b/>
                                <w:color w:val="000000"/>
                                <w:sz w:val="36"/>
                                <w:szCs w:val="36"/>
                              </w:rPr>
                              <w:t xml:space="preserve">中华人民共和国工业和信息化部 </w:t>
                            </w:r>
                            <w:r>
                              <w:rPr>
                                <w:rFonts w:ascii="黑体" w:hAnsi="黑体" w:eastAsia="黑体"/>
                                <w:color w:val="000000"/>
                                <w:sz w:val="28"/>
                                <w:szCs w:val="28"/>
                              </w:rPr>
                              <w:t>发布</w:t>
                            </w:r>
                          </w:p>
                          <w:p>
                            <w:pPr>
                              <w:spacing w:line="340" w:lineRule="exact"/>
                              <w:rPr>
                                <w:b/>
                                <w:color w:val="000000"/>
                                <w:sz w:val="36"/>
                                <w:szCs w:val="36"/>
                              </w:rPr>
                            </w:pPr>
                          </w:p>
                        </w:txbxContent>
                      </wps:txbx>
                      <wps:bodyPr upright="1"/>
                    </wps:wsp>
                  </a:graphicData>
                </a:graphic>
              </wp:anchor>
            </w:drawing>
          </mc:Choice>
          <mc:Fallback>
            <w:pict>
              <v:shape id="文本框 26" o:spid="_x0000_s1026" o:spt="202" type="#_x0000_t202" style="position:absolute;left:0pt;margin-left:37.95pt;margin-top:659.85pt;height:34.7pt;width:397.45pt;z-index:251668480;mso-width-relative:page;mso-height-relative:page;" fillcolor="#FFFFFF" filled="t" stroked="t" coordsize="21600,21600" o:gfxdata="UEsDBAoAAAAAAIdO4kAAAAAAAAAAAAAAAAAEAAAAZHJzL1BLAwQUAAAACACHTuJAPlB7vNkAAAAM&#10;AQAADwAAAGRycy9kb3ducmV2LnhtbE2Py07DMBBF90j8gzVI7KgTEOTROJUAFSSEkBr6AW5s4lB7&#10;HMVOE/6e6QqWc+foPqrN4iw76TH0HgWkqwSYxtarHjsB+8/tTQ4sRIlKWo9awI8OsKkvLypZKj/j&#10;Tp+a2DEywVBKASbGoeQ8tEY7GVZ+0Ei/Lz86GekcO65GOZO5s/w2SR64kz1SgpGDfjK6PTaTE/Bo&#10;3+bnl+CP6nWZmo9mt33/NlaI66s0WQOLeol/MJzrU3WoqdPBT6gCswKy+4JI0u/SIgNGRJ4lNOZw&#10;lvIiBV5X/P+I+hdQSwMEFAAAAAgAh07iQBjxWa/8AQAABwQAAA4AAABkcnMvZTJvRG9jLnhtbK1T&#10;zY7TMBC+I/EOlu80adUWNmq6EpRyQYC08ABT20ks+U+2t0lfAN6AExfuPFefg7HTdunuBSFycMYz&#10;nz/PfDNe3Q5akb3wQVpT0+mkpEQYZrk0bU2/fN6+eEVJiGA4KGtETQ8i0Nv182er3lViZjuruPAE&#10;SUyoelfTLkZXFUVgndAQJtYJg8HGeg0Rt74tuIce2bUqZmW5LHrrufOWiRDQuxmDdJ35m0aw+LFp&#10;gohE1RRzi3n1ed2ltVivoGo9uE6yUxrwD1lokAYvvVBtIAK59/IJlZbM22CbOGFWF7ZpJBO5Bqxm&#10;Wj6q5q4DJ3ItKE5wF5nC/6NlH/afPJEcezelxIDGHh2/fzv++HX8+ZXMlkmg3oUKcXcOkXF4bQcE&#10;n/0BnanuofE6/bEignGU+nCRVwyRMHQuyvnL5XRBCcPYfF4ub7L+xcNp50N8J6wmyaipx/ZlVWH/&#10;PkTMBKFnSLosWCX5ViqVN77dvVGe7AFbvc3feFa5Dkbv+bowQjPfFYcypK/pzWKWkgQcx0ZBRFM7&#10;FCiYNhNenThRXd06JnoFS1lvIHQjLofG0dMyCp+HsBPA3xpO4sFhDwy+FpqS0YJTogQ+rmRlZASp&#10;/gaJaimDRab+jX1KVhx2A9Ikc2f5AXt677xsO9Q7dzXDcdqyOqeXkcb5z30mfXi/6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UHu82QAAAAwBAAAPAAAAAAAAAAEAIAAAACIAAABkcnMvZG93bnJl&#10;di54bWxQSwECFAAUAAAACACHTuJAGPFZr/wBAAAHBAAADgAAAAAAAAABACAAAAAoAQAAZHJzL2Uy&#10;b0RvYy54bWxQSwUGAAAAAAYABgBZAQAAlgUAAAAA&#10;">
                <v:fill on="t" opacity="0f" focussize="0,0"/>
                <v:stroke color="#FFFFFF" joinstyle="miter"/>
                <v:imagedata o:title=""/>
                <o:lock v:ext="edit" aspectratio="f"/>
                <v:textbox>
                  <w:txbxContent>
                    <w:p>
                      <w:pPr>
                        <w:pStyle w:val="58"/>
                        <w:widowControl w:val="0"/>
                        <w:spacing w:line="240" w:lineRule="atLeast"/>
                        <w:jc w:val="distribute"/>
                        <w:rPr>
                          <w:rFonts w:ascii="黑体" w:hAnsi="黑体" w:eastAsia="黑体"/>
                          <w:color w:val="000000"/>
                          <w:sz w:val="28"/>
                          <w:szCs w:val="28"/>
                        </w:rPr>
                      </w:pPr>
                      <w:r>
                        <w:rPr>
                          <w:rFonts w:hint="eastAsia"/>
                          <w:b/>
                          <w:color w:val="000000"/>
                          <w:sz w:val="36"/>
                          <w:szCs w:val="36"/>
                        </w:rPr>
                        <w:t xml:space="preserve">中华人民共和国工业和信息化部 </w:t>
                      </w:r>
                      <w:r>
                        <w:rPr>
                          <w:rFonts w:ascii="黑体" w:hAnsi="黑体" w:eastAsia="黑体"/>
                          <w:color w:val="000000"/>
                          <w:sz w:val="28"/>
                          <w:szCs w:val="28"/>
                        </w:rPr>
                        <w:t>发布</w:t>
                      </w:r>
                    </w:p>
                    <w:p>
                      <w:pPr>
                        <w:spacing w:line="340" w:lineRule="exact"/>
                        <w:rPr>
                          <w:b/>
                          <w:color w:val="000000"/>
                          <w:sz w:val="36"/>
                          <w:szCs w:val="36"/>
                        </w:rPr>
                      </w:pPr>
                    </w:p>
                  </w:txbxContent>
                </v:textbox>
              </v:shape>
            </w:pict>
          </mc:Fallback>
        </mc:AlternateContent>
      </w:r>
    </w:p>
    <w:bookmarkEnd w:id="0"/>
    <w:p>
      <w:pPr>
        <w:pStyle w:val="32"/>
        <w:ind w:firstLine="0" w:firstLineChars="0"/>
        <w:rPr>
          <w:rFonts w:ascii="Times New Roman" w:eastAsia="黑体"/>
          <w:sz w:val="32"/>
          <w:szCs w:val="32"/>
        </w:rPr>
      </w:pPr>
      <w:bookmarkStart w:id="1" w:name="SectionMark2"/>
    </w:p>
    <w:p>
      <w:pPr>
        <w:pStyle w:val="32"/>
        <w:spacing w:before="640" w:after="560"/>
        <w:ind w:firstLine="0" w:firstLineChars="0"/>
        <w:jc w:val="center"/>
        <w:rPr>
          <w:rFonts w:ascii="Times New Roman" w:hAnsi="Times New Roman" w:eastAsia="黑体" w:cs="Times New Roman"/>
          <w:sz w:val="32"/>
          <w:szCs w:val="32"/>
        </w:rPr>
      </w:pPr>
      <w:r>
        <w:rPr>
          <w:rFonts w:ascii="Times New Roman" w:hAnsi="Times New Roman" w:eastAsia="黑体" w:cs="Times New Roman"/>
          <w:sz w:val="32"/>
          <w:szCs w:val="32"/>
        </w:rPr>
        <w:t>前  言</w:t>
      </w:r>
    </w:p>
    <w:p>
      <w:pPr>
        <w:keepNext w:val="0"/>
        <w:keepLines w:val="0"/>
        <w:pageBreakBefore w:val="0"/>
        <w:kinsoku/>
        <w:wordWrap/>
        <w:overflowPunct/>
        <w:topLinePunct w:val="0"/>
        <w:bidi w:val="0"/>
        <w:adjustRightInd/>
        <w:snapToGrid/>
        <w:spacing w:line="240" w:lineRule="auto"/>
        <w:ind w:firstLine="420" w:firstLineChars="200"/>
        <w:textAlignment w:val="auto"/>
        <w:rPr>
          <w:szCs w:val="21"/>
        </w:rPr>
      </w:pPr>
      <w:r>
        <w:rPr>
          <w:szCs w:val="21"/>
        </w:rPr>
        <w:t>本文件按照GB/T 1.1-2020《标准化工作导则 第1部分：标准化文件的结构和起草规则》</w:t>
      </w:r>
      <w:r>
        <w:rPr>
          <w:rFonts w:hint="eastAsia"/>
          <w:szCs w:val="21"/>
        </w:rPr>
        <w:t>给出</w:t>
      </w:r>
      <w:r>
        <w:rPr>
          <w:szCs w:val="21"/>
        </w:rPr>
        <w:t>的规</w:t>
      </w:r>
      <w:r>
        <w:rPr>
          <w:rFonts w:hint="eastAsia"/>
          <w:szCs w:val="21"/>
        </w:rPr>
        <w:t>则</w:t>
      </w:r>
      <w:r>
        <w:rPr>
          <w:szCs w:val="21"/>
        </w:rPr>
        <w:t>起草。</w:t>
      </w:r>
    </w:p>
    <w:p>
      <w:pPr>
        <w:pStyle w:val="32"/>
        <w:keepNext w:val="0"/>
        <w:keepLines w:val="0"/>
        <w:pageBreakBefore w:val="0"/>
        <w:kinsoku/>
        <w:wordWrap/>
        <w:overflowPunct/>
        <w:topLinePunct w:val="0"/>
        <w:bidi w:val="0"/>
        <w:adjustRightInd/>
        <w:snapToGrid/>
        <w:spacing w:line="240" w:lineRule="auto"/>
        <w:ind w:firstLine="420"/>
        <w:textAlignment w:val="auto"/>
        <w:rPr>
          <w:rFonts w:ascii="Times New Roman"/>
          <w:kern w:val="2"/>
          <w:szCs w:val="24"/>
        </w:rPr>
      </w:pPr>
      <w:r>
        <w:rPr>
          <w:rFonts w:ascii="Times New Roman"/>
          <w:kern w:val="2"/>
          <w:szCs w:val="24"/>
        </w:rPr>
        <w:t>请注意本文件的某些内容可能涉及专利。本文件的发布机构不承担识别专利的责任。</w:t>
      </w:r>
    </w:p>
    <w:p>
      <w:pPr>
        <w:pStyle w:val="32"/>
        <w:keepNext w:val="0"/>
        <w:keepLines w:val="0"/>
        <w:pageBreakBefore w:val="0"/>
        <w:kinsoku/>
        <w:wordWrap/>
        <w:overflowPunct/>
        <w:topLinePunct w:val="0"/>
        <w:bidi w:val="0"/>
        <w:adjustRightInd/>
        <w:snapToGrid/>
        <w:spacing w:line="240" w:lineRule="auto"/>
        <w:ind w:firstLine="420"/>
        <w:textAlignment w:val="auto"/>
        <w:rPr>
          <w:rFonts w:ascii="Times New Roman"/>
        </w:rPr>
      </w:pPr>
      <w:r>
        <w:rPr>
          <w:rFonts w:ascii="Times New Roman"/>
        </w:rPr>
        <w:t>本</w:t>
      </w:r>
      <w:r>
        <w:rPr>
          <w:rFonts w:ascii="Times New Roman"/>
          <w:szCs w:val="21"/>
        </w:rPr>
        <w:t>文件</w:t>
      </w:r>
      <w:r>
        <w:rPr>
          <w:rFonts w:ascii="Times New Roman"/>
        </w:rPr>
        <w:t>由全国有色金属标准化技术委员会（SAC/TC243）</w:t>
      </w:r>
      <w:r>
        <w:rPr>
          <w:rFonts w:hint="eastAsia" w:ascii="Times New Roman"/>
        </w:rPr>
        <w:t>提出并</w:t>
      </w:r>
      <w:r>
        <w:rPr>
          <w:rFonts w:ascii="Times New Roman"/>
        </w:rPr>
        <w:t>归口。</w:t>
      </w:r>
    </w:p>
    <w:p>
      <w:pPr>
        <w:pStyle w:val="32"/>
        <w:keepNext w:val="0"/>
        <w:keepLines w:val="0"/>
        <w:pageBreakBefore w:val="0"/>
        <w:kinsoku/>
        <w:wordWrap/>
        <w:overflowPunct/>
        <w:topLinePunct w:val="0"/>
        <w:bidi w:val="0"/>
        <w:adjustRightInd/>
        <w:snapToGrid/>
        <w:spacing w:line="240" w:lineRule="auto"/>
        <w:ind w:firstLine="420"/>
        <w:textAlignment w:val="auto"/>
        <w:rPr>
          <w:rFonts w:ascii="Times New Roman"/>
          <w:kern w:val="2"/>
          <w:szCs w:val="24"/>
        </w:rPr>
      </w:pPr>
      <w:r>
        <w:rPr>
          <w:rFonts w:ascii="Times New Roman"/>
          <w:kern w:val="2"/>
          <w:szCs w:val="24"/>
        </w:rPr>
        <w:t>本文件起草单位：衢州华友钴新材料有限公司、</w:t>
      </w:r>
      <w:r>
        <w:rPr>
          <w:rFonts w:hint="eastAsia" w:ascii="Times New Roman"/>
          <w:kern w:val="2"/>
          <w:szCs w:val="24"/>
        </w:rPr>
        <w:t>格林美股份有限公司</w:t>
      </w:r>
      <w:r>
        <w:rPr>
          <w:rFonts w:hint="eastAsia" w:ascii="Times New Roman"/>
          <w:kern w:val="2"/>
          <w:szCs w:val="24"/>
          <w:lang w:val="en-US" w:eastAsia="zh-CN"/>
        </w:rPr>
        <w:t>、</w:t>
      </w:r>
      <w:r>
        <w:rPr>
          <w:rFonts w:hint="eastAsia" w:ascii="Times New Roman"/>
          <w:kern w:val="2"/>
          <w:szCs w:val="24"/>
        </w:rPr>
        <w:t>衢州华友资源再生科技有限公司</w:t>
      </w:r>
      <w:r>
        <w:rPr>
          <w:rFonts w:hint="eastAsia" w:ascii="Times New Roman"/>
          <w:kern w:val="2"/>
          <w:szCs w:val="24"/>
          <w:lang w:eastAsia="zh-CN"/>
        </w:rPr>
        <w:t>、</w:t>
      </w:r>
      <w:r>
        <w:rPr>
          <w:rFonts w:hint="eastAsia" w:ascii="Times New Roman"/>
          <w:kern w:val="2"/>
          <w:szCs w:val="24"/>
        </w:rPr>
        <w:t>XXX。</w:t>
      </w:r>
    </w:p>
    <w:p>
      <w:pPr>
        <w:keepNext w:val="0"/>
        <w:keepLines w:val="0"/>
        <w:pageBreakBefore w:val="0"/>
        <w:kinsoku/>
        <w:wordWrap/>
        <w:overflowPunct/>
        <w:topLinePunct w:val="0"/>
        <w:bidi w:val="0"/>
        <w:adjustRightInd/>
        <w:snapToGrid/>
        <w:spacing w:line="240" w:lineRule="auto"/>
        <w:ind w:firstLine="420" w:firstLineChars="200"/>
        <w:textAlignment w:val="auto"/>
        <w:rPr>
          <w:szCs w:val="21"/>
        </w:rPr>
        <w:sectPr>
          <w:footerReference r:id="rId9" w:type="default"/>
          <w:pgSz w:w="11907" w:h="16839"/>
          <w:pgMar w:top="1418" w:right="1134" w:bottom="1134" w:left="1418" w:header="1418" w:footer="851" w:gutter="0"/>
          <w:cols w:space="720" w:num="1"/>
          <w:docGrid w:type="lines" w:linePitch="312" w:charSpace="0"/>
        </w:sectPr>
      </w:pPr>
      <w:r>
        <w:rPr>
          <w:szCs w:val="21"/>
        </w:rPr>
        <w:t>本文件主要起草人：</w:t>
      </w:r>
      <w:bookmarkEnd w:id="1"/>
      <w:bookmarkStart w:id="2" w:name="SectionMark4"/>
      <w:r>
        <w:rPr>
          <w:szCs w:val="21"/>
        </w:rPr>
        <w:t xml:space="preserve"> </w:t>
      </w:r>
    </w:p>
    <w:p>
      <w:pPr>
        <w:pStyle w:val="45"/>
        <w:spacing w:line="360" w:lineRule="auto"/>
        <w:rPr>
          <w:rFonts w:hint="eastAsia" w:ascii="Times New Roman"/>
        </w:rPr>
      </w:pPr>
      <w:bookmarkStart w:id="3" w:name="_Toc55210702"/>
      <w:bookmarkStart w:id="4" w:name="_Toc65050653"/>
      <w:r>
        <w:rPr>
          <w:rFonts w:hint="eastAsia" w:ascii="Times New Roman"/>
        </w:rPr>
        <w:t>高冰</w:t>
      </w:r>
      <w:r>
        <w:rPr>
          <w:rFonts w:ascii="Times New Roman"/>
        </w:rPr>
        <w:t>钴</w:t>
      </w:r>
    </w:p>
    <w:p>
      <w:pPr>
        <w:pStyle w:val="42"/>
        <w:keepNext w:val="0"/>
        <w:keepLines w:val="0"/>
        <w:pageBreakBefore w:val="0"/>
        <w:kinsoku/>
        <w:wordWrap/>
        <w:overflowPunct/>
        <w:topLinePunct w:val="0"/>
        <w:bidi w:val="0"/>
        <w:adjustRightInd/>
        <w:spacing w:before="312" w:beforeLines="100" w:after="312" w:afterLines="100" w:line="240" w:lineRule="auto"/>
        <w:textAlignment w:val="auto"/>
        <w:rPr>
          <w:rFonts w:hint="eastAsia" w:ascii="黑体" w:hAnsi="黑体" w:eastAsia="黑体" w:cs="黑体"/>
        </w:rPr>
      </w:pPr>
      <w:r>
        <w:rPr>
          <w:rFonts w:hint="eastAsia" w:ascii="黑体" w:hAnsi="黑体" w:eastAsia="黑体" w:cs="黑体"/>
          <w:bCs/>
        </w:rPr>
        <w:t xml:space="preserve">1  </w:t>
      </w:r>
      <w:r>
        <w:rPr>
          <w:rFonts w:hint="eastAsia" w:ascii="黑体" w:hAnsi="黑体" w:eastAsia="黑体" w:cs="黑体"/>
        </w:rPr>
        <w:t>范围</w:t>
      </w:r>
      <w:bookmarkEnd w:id="3"/>
      <w:bookmarkEnd w:id="4"/>
    </w:p>
    <w:p>
      <w:pPr>
        <w:keepNext w:val="0"/>
        <w:keepLines w:val="0"/>
        <w:pageBreakBefore w:val="0"/>
        <w:kinsoku/>
        <w:wordWrap/>
        <w:overflowPunct/>
        <w:topLinePunct w:val="0"/>
        <w:bidi w:val="0"/>
        <w:adjustRightInd/>
        <w:spacing w:line="240" w:lineRule="auto"/>
        <w:ind w:firstLine="420"/>
        <w:textAlignment w:val="auto"/>
      </w:pPr>
      <w:r>
        <w:rPr>
          <w:rFonts w:hint="eastAsia"/>
        </w:rPr>
        <w:t>本</w:t>
      </w:r>
      <w:r>
        <w:rPr>
          <w:rFonts w:hint="eastAsia"/>
          <w:lang w:val="en-US" w:eastAsia="zh-CN"/>
        </w:rPr>
        <w:t>文件</w:t>
      </w:r>
      <w:r>
        <w:rPr>
          <w:rFonts w:hint="eastAsia"/>
        </w:rPr>
        <w:t>规定了高冰钴的</w:t>
      </w:r>
      <w:r>
        <w:rPr>
          <w:rFonts w:hint="eastAsia"/>
          <w:lang w:val="en-US" w:eastAsia="zh-CN"/>
        </w:rPr>
        <w:t>分类、</w:t>
      </w:r>
      <w:r>
        <w:rPr>
          <w:rFonts w:hint="eastAsia"/>
        </w:rPr>
        <w:t>技术要求、试验方法、检验规则、标志、</w:t>
      </w:r>
      <w:r>
        <w:rPr>
          <w:rFonts w:hint="eastAsia"/>
          <w:lang w:val="en-US" w:eastAsia="zh-CN"/>
        </w:rPr>
        <w:t>包装、</w:t>
      </w:r>
      <w:r>
        <w:rPr>
          <w:rFonts w:hint="eastAsia"/>
        </w:rPr>
        <w:t>运输、贮存、随行文件及订货单内容。</w:t>
      </w:r>
    </w:p>
    <w:p>
      <w:pPr>
        <w:keepNext w:val="0"/>
        <w:keepLines w:val="0"/>
        <w:pageBreakBefore w:val="0"/>
        <w:kinsoku/>
        <w:wordWrap/>
        <w:overflowPunct/>
        <w:topLinePunct w:val="0"/>
        <w:bidi w:val="0"/>
        <w:adjustRightInd/>
        <w:spacing w:line="240" w:lineRule="auto"/>
        <w:ind w:firstLine="420" w:firstLineChars="200"/>
        <w:textAlignment w:val="auto"/>
      </w:pPr>
      <w:r>
        <w:rPr>
          <w:rFonts w:hint="eastAsia"/>
        </w:rPr>
        <w:t>本</w:t>
      </w:r>
      <w:r>
        <w:rPr>
          <w:rFonts w:hint="eastAsia"/>
          <w:lang w:val="en-US" w:eastAsia="zh-CN"/>
        </w:rPr>
        <w:t>文件</w:t>
      </w:r>
      <w:r>
        <w:rPr>
          <w:rFonts w:hint="eastAsia"/>
        </w:rPr>
        <w:t>适用于</w:t>
      </w:r>
      <w:r>
        <w:rPr>
          <w:rFonts w:hint="eastAsia"/>
          <w:lang w:val="en-US" w:eastAsia="zh-CN"/>
        </w:rPr>
        <w:t>含钴矿料、含钴废料经火法冶炼工艺生产的高冰钴</w:t>
      </w:r>
      <w:r>
        <w:rPr>
          <w:rFonts w:hint="eastAsia"/>
        </w:rPr>
        <w:t>。</w:t>
      </w:r>
    </w:p>
    <w:p>
      <w:pPr>
        <w:pStyle w:val="42"/>
        <w:keepNext w:val="0"/>
        <w:keepLines w:val="0"/>
        <w:pageBreakBefore w:val="0"/>
        <w:kinsoku/>
        <w:wordWrap/>
        <w:overflowPunct/>
        <w:topLinePunct w:val="0"/>
        <w:bidi w:val="0"/>
        <w:adjustRightInd/>
        <w:spacing w:before="312" w:beforeLines="100" w:after="312" w:afterLines="100" w:line="240" w:lineRule="auto"/>
        <w:textAlignment w:val="auto"/>
        <w:rPr>
          <w:rFonts w:hint="eastAsia" w:ascii="黑体" w:hAnsi="黑体" w:eastAsia="黑体" w:cs="黑体"/>
          <w:bCs/>
        </w:rPr>
      </w:pPr>
      <w:r>
        <w:rPr>
          <w:rFonts w:hint="eastAsia" w:ascii="黑体" w:hAnsi="黑体" w:eastAsia="黑体" w:cs="黑体"/>
          <w:bCs/>
        </w:rPr>
        <w:t>2  规范性引用文件</w:t>
      </w:r>
    </w:p>
    <w:p>
      <w:pPr>
        <w:keepNext w:val="0"/>
        <w:keepLines w:val="0"/>
        <w:pageBreakBefore w:val="0"/>
        <w:widowControl w:val="0"/>
        <w:kinsoku/>
        <w:wordWrap/>
        <w:overflowPunct/>
        <w:topLinePunct w:val="0"/>
        <w:autoSpaceDE/>
        <w:autoSpaceDN/>
        <w:bidi w:val="0"/>
        <w:adjustRightInd/>
        <w:spacing w:line="240" w:lineRule="auto"/>
        <w:ind w:left="0"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
        <w:keepNext w:val="0"/>
        <w:keepLines w:val="0"/>
        <w:pageBreakBefore w:val="0"/>
        <w:widowControl w:val="0"/>
        <w:kinsoku/>
        <w:wordWrap/>
        <w:overflowPunct/>
        <w:topLinePunct w:val="0"/>
        <w:autoSpaceDE/>
        <w:autoSpaceDN/>
        <w:bidi w:val="0"/>
        <w:adjustRightInd/>
        <w:snapToGrid w:val="0"/>
        <w:spacing w:line="240" w:lineRule="auto"/>
        <w:ind w:left="0" w:firstLine="420" w:firstLineChars="200"/>
        <w:textAlignment w:val="auto"/>
        <w:rPr>
          <w:rFonts w:hint="default" w:ascii="Times New Roman" w:hAnsi="Times New Roman" w:eastAsia="宋体" w:cs="Times New Roman"/>
          <w:szCs w:val="24"/>
        </w:rPr>
      </w:pPr>
      <w:r>
        <w:rPr>
          <w:rFonts w:hint="default" w:ascii="Times New Roman" w:hAnsi="Times New Roman" w:eastAsia="宋体" w:cs="Times New Roman"/>
          <w:szCs w:val="21"/>
        </w:rPr>
        <w:t>G</w:t>
      </w:r>
      <w:r>
        <w:rPr>
          <w:rFonts w:hint="default" w:ascii="Times New Roman" w:hAnsi="Times New Roman" w:eastAsia="宋体" w:cs="Times New Roman"/>
          <w:szCs w:val="24"/>
        </w:rPr>
        <w:t>B/T 8170  数值修约规则与极限数值的表示和判定</w:t>
      </w:r>
    </w:p>
    <w:p>
      <w:pPr>
        <w:pStyle w:val="2"/>
        <w:keepNext w:val="0"/>
        <w:keepLines w:val="0"/>
        <w:pageBreakBefore w:val="0"/>
        <w:widowControl w:val="0"/>
        <w:kinsoku/>
        <w:wordWrap/>
        <w:overflowPunct/>
        <w:topLinePunct w:val="0"/>
        <w:autoSpaceDE/>
        <w:autoSpaceDN/>
        <w:bidi w:val="0"/>
        <w:adjustRightInd/>
        <w:snapToGrid w:val="0"/>
        <w:spacing w:line="240" w:lineRule="auto"/>
        <w:ind w:left="0" w:firstLine="420" w:firstLineChars="200"/>
        <w:textAlignment w:val="auto"/>
        <w:rPr>
          <w:rFonts w:hint="default" w:ascii="Times New Roman" w:hAnsi="Times New Roman" w:eastAsia="宋体"/>
          <w:szCs w:val="24"/>
          <w:lang w:val="en-US" w:eastAsia="zh-CN"/>
        </w:rPr>
      </w:pPr>
      <w:r>
        <w:rPr>
          <w:rFonts w:hint="default" w:ascii="Times New Roman" w:hAnsi="Times New Roman" w:eastAsia="宋体"/>
          <w:szCs w:val="24"/>
        </w:rPr>
        <w:t>YS/T 252.</w:t>
      </w:r>
      <w:r>
        <w:rPr>
          <w:rFonts w:hint="default" w:ascii="Times New Roman" w:hAnsi="Times New Roman" w:eastAsia="宋体"/>
          <w:szCs w:val="24"/>
          <w:lang w:val="en-US" w:eastAsia="zh-CN"/>
        </w:rPr>
        <w:t>2  高镍锍化学分析方法  铁量的测定  磺基水杨酸光度法</w:t>
      </w:r>
    </w:p>
    <w:p>
      <w:pPr>
        <w:pStyle w:val="2"/>
        <w:keepNext w:val="0"/>
        <w:keepLines w:val="0"/>
        <w:pageBreakBefore w:val="0"/>
        <w:widowControl w:val="0"/>
        <w:kinsoku/>
        <w:wordWrap/>
        <w:overflowPunct/>
        <w:topLinePunct w:val="0"/>
        <w:autoSpaceDE/>
        <w:autoSpaceDN/>
        <w:bidi w:val="0"/>
        <w:adjustRightInd/>
        <w:snapToGrid w:val="0"/>
        <w:spacing w:line="240" w:lineRule="auto"/>
        <w:ind w:left="0" w:firstLine="420" w:firstLineChars="200"/>
        <w:textAlignment w:val="auto"/>
        <w:rPr>
          <w:rFonts w:hint="default" w:eastAsiaTheme="minorEastAsia"/>
          <w:szCs w:val="22"/>
          <w:lang w:val="en-US" w:eastAsia="zh-CN"/>
        </w:rPr>
      </w:pPr>
      <w:r>
        <w:rPr>
          <w:rFonts w:hint="default" w:ascii="Times New Roman" w:hAnsi="Times New Roman" w:eastAsia="宋体"/>
          <w:szCs w:val="24"/>
        </w:rPr>
        <w:t>YS/T 252.5</w:t>
      </w:r>
      <w:r>
        <w:rPr>
          <w:rFonts w:hint="default" w:ascii="Times New Roman" w:hAnsi="Times New Roman" w:eastAsia="宋体"/>
          <w:szCs w:val="24"/>
          <w:lang w:val="en-US" w:eastAsia="zh-CN"/>
        </w:rPr>
        <w:t xml:space="preserve">  </w:t>
      </w:r>
      <w:r>
        <w:rPr>
          <w:rFonts w:hint="default" w:ascii="Times New Roman" w:hAnsi="Times New Roman" w:eastAsia="宋体" w:cs="Times New Roman"/>
          <w:i w:val="0"/>
          <w:caps w:val="0"/>
          <w:color w:val="auto"/>
          <w:spacing w:val="0"/>
          <w:shd w:val="clear" w:fill="auto"/>
        </w:rPr>
        <w:t xml:space="preserve">高镍锍化学分析方法 </w:t>
      </w:r>
      <w:r>
        <w:rPr>
          <w:rFonts w:hint="eastAsia" w:ascii="Times New Roman" w:hAnsi="Times New Roman" w:cs="Times New Roman"/>
          <w:i w:val="0"/>
          <w:caps w:val="0"/>
          <w:spacing w:val="0"/>
          <w:shd w:val="clear"/>
          <w:lang w:val="en-US" w:eastAsia="zh-CN"/>
        </w:rPr>
        <w:t xml:space="preserve"> </w:t>
      </w:r>
      <w:r>
        <w:rPr>
          <w:rFonts w:hint="default" w:ascii="Times New Roman" w:hAnsi="Times New Roman" w:eastAsia="宋体" w:cs="Times New Roman"/>
          <w:i w:val="0"/>
          <w:caps w:val="0"/>
          <w:color w:val="auto"/>
          <w:spacing w:val="0"/>
          <w:shd w:val="clear" w:fill="auto"/>
        </w:rPr>
        <w:t xml:space="preserve">硫量的测定 </w:t>
      </w:r>
      <w:r>
        <w:rPr>
          <w:rFonts w:hint="eastAsia" w:ascii="Times New Roman" w:hAnsi="Times New Roman" w:cs="Times New Roman"/>
          <w:i w:val="0"/>
          <w:caps w:val="0"/>
          <w:spacing w:val="0"/>
          <w:shd w:val="clear"/>
          <w:lang w:val="en-US" w:eastAsia="zh-CN"/>
        </w:rPr>
        <w:t xml:space="preserve"> </w:t>
      </w:r>
      <w:r>
        <w:rPr>
          <w:rFonts w:hint="default" w:ascii="Times New Roman" w:hAnsi="Times New Roman" w:eastAsia="宋体" w:cs="Times New Roman"/>
          <w:i w:val="0"/>
          <w:caps w:val="0"/>
          <w:color w:val="auto"/>
          <w:spacing w:val="0"/>
          <w:shd w:val="clear" w:fill="auto"/>
        </w:rPr>
        <w:t>燃烧－中和滴定法</w:t>
      </w:r>
    </w:p>
    <w:p>
      <w:pPr>
        <w:pStyle w:val="2"/>
        <w:keepNext w:val="0"/>
        <w:keepLines w:val="0"/>
        <w:pageBreakBefore w:val="0"/>
        <w:widowControl w:val="0"/>
        <w:kinsoku/>
        <w:wordWrap/>
        <w:overflowPunct/>
        <w:topLinePunct w:val="0"/>
        <w:autoSpaceDE/>
        <w:autoSpaceDN/>
        <w:bidi w:val="0"/>
        <w:adjustRightInd/>
        <w:snapToGrid w:val="0"/>
        <w:spacing w:line="240" w:lineRule="auto"/>
        <w:ind w:left="0" w:firstLine="420" w:firstLineChars="20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YS/T 953.1  </w:t>
      </w:r>
      <w:r>
        <w:rPr>
          <w:rFonts w:hint="default" w:ascii="Times New Roman" w:hAnsi="Times New Roman" w:eastAsia="宋体" w:cs="Times New Roman"/>
          <w:i w:val="0"/>
          <w:caps w:val="0"/>
          <w:spacing w:val="0"/>
          <w:kern w:val="2"/>
          <w:szCs w:val="21"/>
          <w:highlight w:val="none"/>
          <w:shd w:val="clear" w:color="auto" w:fill="auto"/>
          <w:lang w:bidi="ar"/>
        </w:rPr>
        <w:t xml:space="preserve">火法冶炼镍基体料化学分析方法 </w:t>
      </w:r>
      <w:r>
        <w:rPr>
          <w:rFonts w:hint="default" w:ascii="Times New Roman" w:hAnsi="Times New Roman" w:eastAsia="宋体" w:cs="Times New Roman"/>
          <w:i w:val="0"/>
          <w:caps w:val="0"/>
          <w:spacing w:val="0"/>
          <w:kern w:val="2"/>
          <w:szCs w:val="21"/>
          <w:highlight w:val="none"/>
          <w:shd w:val="clear" w:color="auto" w:fill="auto"/>
          <w:lang w:val="en-US" w:eastAsia="zh-CN" w:bidi="ar"/>
        </w:rPr>
        <w:t xml:space="preserve"> </w:t>
      </w:r>
      <w:r>
        <w:rPr>
          <w:rFonts w:hint="default" w:ascii="Times New Roman" w:hAnsi="Times New Roman" w:eastAsia="宋体" w:cs="Times New Roman"/>
          <w:i w:val="0"/>
          <w:caps w:val="0"/>
          <w:spacing w:val="0"/>
          <w:kern w:val="2"/>
          <w:szCs w:val="21"/>
          <w:highlight w:val="none"/>
          <w:shd w:val="clear" w:color="auto" w:fill="auto"/>
          <w:lang w:bidi="ar"/>
        </w:rPr>
        <w:t xml:space="preserve">第1部分：镍量的测定 </w:t>
      </w:r>
      <w:r>
        <w:rPr>
          <w:rFonts w:hint="default" w:ascii="Times New Roman" w:hAnsi="Times New Roman" w:eastAsia="宋体" w:cs="Times New Roman"/>
          <w:i w:val="0"/>
          <w:caps w:val="0"/>
          <w:spacing w:val="0"/>
          <w:kern w:val="2"/>
          <w:szCs w:val="21"/>
          <w:highlight w:val="none"/>
          <w:shd w:val="clear" w:color="auto" w:fill="auto"/>
          <w:lang w:val="en-US" w:eastAsia="zh-CN" w:bidi="ar"/>
        </w:rPr>
        <w:t xml:space="preserve"> </w:t>
      </w:r>
      <w:r>
        <w:rPr>
          <w:rFonts w:hint="default" w:ascii="Times New Roman" w:hAnsi="Times New Roman" w:eastAsia="宋体" w:cs="Times New Roman"/>
          <w:i w:val="0"/>
          <w:caps w:val="0"/>
          <w:spacing w:val="0"/>
          <w:kern w:val="2"/>
          <w:szCs w:val="21"/>
          <w:highlight w:val="none"/>
          <w:shd w:val="clear" w:color="auto" w:fill="auto"/>
          <w:lang w:bidi="ar"/>
        </w:rPr>
        <w:t>丁二酮肟分光光度法和丁二酮肟重量法</w:t>
      </w:r>
    </w:p>
    <w:p>
      <w:pPr>
        <w:pStyle w:val="2"/>
        <w:keepNext w:val="0"/>
        <w:keepLines w:val="0"/>
        <w:pageBreakBefore w:val="0"/>
        <w:widowControl w:val="0"/>
        <w:kinsoku/>
        <w:wordWrap/>
        <w:overflowPunct/>
        <w:topLinePunct w:val="0"/>
        <w:autoSpaceDE/>
        <w:autoSpaceDN/>
        <w:bidi w:val="0"/>
        <w:adjustRightInd/>
        <w:snapToGrid/>
        <w:spacing w:line="240" w:lineRule="auto"/>
        <w:ind w:left="0" w:firstLine="420" w:firstLineChars="0"/>
        <w:textAlignment w:val="auto"/>
        <w:rPr>
          <w:rFonts w:hint="default" w:ascii="Times New Roman" w:hAnsi="Times New Roman" w:eastAsia="宋体" w:cs="Times New Roman"/>
          <w:i w:val="0"/>
          <w:caps w:val="0"/>
          <w:spacing w:val="0"/>
          <w:shd w:val="clear"/>
        </w:rPr>
      </w:pPr>
      <w:r>
        <w:rPr>
          <w:rFonts w:hint="default" w:ascii="Times New Roman" w:hAnsi="Times New Roman" w:eastAsia="宋体"/>
          <w:lang w:val="en-US" w:eastAsia="zh-CN"/>
        </w:rPr>
        <w:t xml:space="preserve">YS/T 1332.1  </w:t>
      </w:r>
      <w:r>
        <w:rPr>
          <w:rFonts w:hint="default" w:ascii="Times New Roman" w:hAnsi="Times New Roman" w:eastAsia="宋体" w:cs="Times New Roman"/>
          <w:i w:val="0"/>
          <w:caps w:val="0"/>
          <w:spacing w:val="0"/>
          <w:shd w:val="clear"/>
        </w:rPr>
        <w:t>粗制铜钴原料化学分析方法 第1部分：钴含量的测定 电位滴定法</w:t>
      </w:r>
    </w:p>
    <w:p>
      <w:pPr>
        <w:pStyle w:val="2"/>
        <w:keepNext w:val="0"/>
        <w:keepLines w:val="0"/>
        <w:pageBreakBefore w:val="0"/>
        <w:widowControl w:val="0"/>
        <w:kinsoku/>
        <w:wordWrap/>
        <w:overflowPunct/>
        <w:topLinePunct w:val="0"/>
        <w:autoSpaceDE/>
        <w:autoSpaceDN/>
        <w:bidi w:val="0"/>
        <w:adjustRightInd/>
        <w:snapToGrid/>
        <w:spacing w:line="240" w:lineRule="auto"/>
        <w:ind w:left="0" w:firstLine="420" w:firstLineChars="0"/>
        <w:textAlignment w:val="auto"/>
        <w:rPr>
          <w:rFonts w:hint="default" w:ascii="Times New Roman" w:hAnsi="Times New Roman" w:eastAsia="宋体" w:cs="Times New Roman"/>
          <w:i w:val="0"/>
          <w:caps w:val="0"/>
          <w:spacing w:val="0"/>
          <w:shd w:val="clear"/>
          <w:lang w:val="en-US" w:eastAsia="zh-CN"/>
        </w:rPr>
      </w:pPr>
      <w:r>
        <w:rPr>
          <w:rFonts w:hint="default" w:ascii="Times New Roman" w:hAnsi="Times New Roman" w:eastAsia="宋体"/>
          <w:lang w:val="en-US" w:eastAsia="zh-CN"/>
        </w:rPr>
        <w:t>YS/T 1332.</w:t>
      </w:r>
      <w:r>
        <w:rPr>
          <w:rFonts w:hint="eastAsia" w:ascii="Times New Roman" w:hAnsi="Times New Roman"/>
          <w:lang w:val="en-US" w:eastAsia="zh-CN"/>
        </w:rPr>
        <w:t>2</w:t>
      </w:r>
      <w:r>
        <w:rPr>
          <w:rFonts w:hint="default" w:ascii="Times New Roman" w:hAnsi="Times New Roman" w:eastAsia="宋体"/>
          <w:lang w:val="en-US" w:eastAsia="zh-CN"/>
        </w:rPr>
        <w:t xml:space="preserve">  </w:t>
      </w:r>
      <w:r>
        <w:rPr>
          <w:rFonts w:hint="default" w:ascii="Times New Roman" w:hAnsi="Times New Roman" w:eastAsia="宋体" w:cs="Times New Roman"/>
          <w:i w:val="0"/>
          <w:caps w:val="0"/>
          <w:spacing w:val="0"/>
          <w:shd w:val="clear"/>
        </w:rPr>
        <w:t>粗制铜钴原料化学分析方法 第1部分：</w:t>
      </w:r>
      <w:r>
        <w:rPr>
          <w:rFonts w:hint="eastAsia" w:ascii="Times New Roman" w:hAnsi="Times New Roman" w:cs="Times New Roman"/>
          <w:i w:val="0"/>
          <w:caps w:val="0"/>
          <w:spacing w:val="0"/>
          <w:shd w:val="clear"/>
          <w:lang w:eastAsia="zh-CN"/>
        </w:rPr>
        <w:t>铜</w:t>
      </w:r>
      <w:r>
        <w:rPr>
          <w:rFonts w:hint="default" w:ascii="Times New Roman" w:hAnsi="Times New Roman" w:eastAsia="宋体" w:cs="Times New Roman"/>
          <w:i w:val="0"/>
          <w:caps w:val="0"/>
          <w:spacing w:val="0"/>
          <w:shd w:val="clear"/>
        </w:rPr>
        <w:t xml:space="preserve">含量的测定 </w:t>
      </w:r>
      <w:r>
        <w:rPr>
          <w:rFonts w:hint="eastAsia" w:ascii="Times New Roman" w:hAnsi="Times New Roman" w:cs="Times New Roman"/>
          <w:i w:val="0"/>
          <w:caps w:val="0"/>
          <w:spacing w:val="0"/>
          <w:shd w:val="clear"/>
          <w:lang w:val="en-US" w:eastAsia="zh-CN"/>
        </w:rPr>
        <w:t>碘量法</w:t>
      </w:r>
    </w:p>
    <w:p>
      <w:pPr>
        <w:pStyle w:val="2"/>
        <w:keepNext w:val="0"/>
        <w:keepLines w:val="0"/>
        <w:pageBreakBefore w:val="0"/>
        <w:widowControl w:val="0"/>
        <w:kinsoku/>
        <w:wordWrap/>
        <w:overflowPunct/>
        <w:topLinePunct w:val="0"/>
        <w:autoSpaceDE/>
        <w:autoSpaceDN/>
        <w:bidi w:val="0"/>
        <w:adjustRightInd/>
        <w:snapToGrid w:val="0"/>
        <w:spacing w:line="240" w:lineRule="auto"/>
        <w:ind w:left="0"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rPr>
        <w:t>YS/T 1658.</w:t>
      </w:r>
      <w:r>
        <w:rPr>
          <w:rFonts w:hint="default" w:ascii="Times New Roman" w:hAnsi="Times New Roman" w:eastAsia="宋体" w:cs="Times New Roman"/>
          <w:lang w:val="en-US" w:eastAsia="zh-CN"/>
        </w:rPr>
        <w:t xml:space="preserve">2  </w:t>
      </w:r>
      <w:r>
        <w:rPr>
          <w:rStyle w:val="19"/>
          <w:rFonts w:hint="default" w:ascii="Times New Roman" w:hAnsi="Times New Roman" w:eastAsia="宋体" w:cs="Times New Roman"/>
          <w:b w:val="0"/>
          <w:i w:val="0"/>
          <w:caps w:val="0"/>
          <w:color w:val="auto"/>
          <w:spacing w:val="0"/>
          <w:sz w:val="21"/>
          <w:szCs w:val="21"/>
          <w:shd w:val="clear" w:color="auto" w:fill="FFFFFF"/>
        </w:rPr>
        <w:t>粗氢氧化镍钴化学分析方法 第2部分：铬、磷、锰含量的测定 电感耦合等离子体原子发射光谱法</w:t>
      </w:r>
    </w:p>
    <w:p>
      <w:pPr>
        <w:pStyle w:val="2"/>
        <w:keepNext w:val="0"/>
        <w:keepLines w:val="0"/>
        <w:pageBreakBefore w:val="0"/>
        <w:widowControl w:val="0"/>
        <w:kinsoku/>
        <w:wordWrap/>
        <w:overflowPunct/>
        <w:topLinePunct w:val="0"/>
        <w:autoSpaceDE/>
        <w:autoSpaceDN/>
        <w:bidi w:val="0"/>
        <w:adjustRightInd/>
        <w:snapToGrid w:val="0"/>
        <w:spacing w:line="240" w:lineRule="auto"/>
        <w:ind w:left="0" w:firstLine="420" w:firstLineChars="200"/>
        <w:textAlignment w:val="auto"/>
        <w:rPr>
          <w:rStyle w:val="18"/>
          <w:rFonts w:hint="default" w:ascii="Times New Roman" w:hAnsi="Times New Roman" w:eastAsia="宋体" w:cs="Times New Roman"/>
          <w:b w:val="0"/>
          <w:i w:val="0"/>
          <w:caps w:val="0"/>
          <w:spacing w:val="0"/>
          <w:kern w:val="0"/>
          <w:sz w:val="21"/>
          <w:szCs w:val="21"/>
          <w:shd w:val="clear"/>
          <w:lang w:bidi="ar"/>
        </w:rPr>
      </w:pPr>
      <w:r>
        <w:rPr>
          <w:rFonts w:hint="default" w:ascii="Times New Roman" w:hAnsi="Times New Roman" w:eastAsia="宋体" w:cs="Times New Roman"/>
        </w:rPr>
        <w:t>YS/T 1658.4</w:t>
      </w:r>
      <w:r>
        <w:rPr>
          <w:rFonts w:hint="default" w:ascii="Times New Roman" w:hAnsi="Times New Roman" w:eastAsia="宋体" w:cs="Times New Roman"/>
          <w:lang w:val="en-US" w:eastAsia="zh-CN"/>
        </w:rPr>
        <w:t xml:space="preserve">  </w:t>
      </w:r>
      <w:r>
        <w:rPr>
          <w:rStyle w:val="19"/>
          <w:rFonts w:hint="default" w:ascii="Times New Roman" w:hAnsi="Times New Roman" w:eastAsia="宋体" w:cs="Times New Roman"/>
          <w:b w:val="0"/>
          <w:i w:val="0"/>
          <w:caps w:val="0"/>
          <w:color w:val="auto"/>
          <w:spacing w:val="0"/>
          <w:sz w:val="21"/>
          <w:szCs w:val="21"/>
          <w:shd w:val="clear" w:color="auto" w:fill="FFFFFF"/>
        </w:rPr>
        <w:t>粗氢</w:t>
      </w:r>
      <w:r>
        <w:rPr>
          <w:rStyle w:val="18"/>
          <w:rFonts w:hint="default" w:ascii="Times New Roman" w:hAnsi="Times New Roman" w:eastAsia="宋体" w:cs="Times New Roman"/>
          <w:b w:val="0"/>
          <w:i w:val="0"/>
          <w:caps w:val="0"/>
          <w:spacing w:val="0"/>
          <w:kern w:val="0"/>
          <w:sz w:val="21"/>
          <w:szCs w:val="21"/>
          <w:shd w:val="clear"/>
          <w:lang w:bidi="ar"/>
        </w:rPr>
        <w:t>氧化镍钴化学分析方法 第4部分：铜、铝、锂、锌、镉、铅、砷含量的测定 电感耦合等离子体原子发射光谱法</w:t>
      </w:r>
    </w:p>
    <w:p>
      <w:pPr>
        <w:pStyle w:val="2"/>
        <w:keepNext w:val="0"/>
        <w:keepLines w:val="0"/>
        <w:pageBreakBefore w:val="0"/>
        <w:widowControl w:val="0"/>
        <w:kinsoku/>
        <w:wordWrap/>
        <w:overflowPunct/>
        <w:topLinePunct w:val="0"/>
        <w:autoSpaceDE/>
        <w:autoSpaceDN/>
        <w:bidi w:val="0"/>
        <w:adjustRightInd/>
        <w:snapToGrid w:val="0"/>
        <w:spacing w:line="240" w:lineRule="auto"/>
        <w:ind w:left="0" w:firstLine="420" w:firstLineChars="200"/>
        <w:textAlignment w:val="auto"/>
        <w:rPr>
          <w:rStyle w:val="19"/>
          <w:rFonts w:hint="default" w:ascii="Times New Roman" w:hAnsi="Times New Roman" w:eastAsia="宋体" w:cs="Times New Roman"/>
          <w:b w:val="0"/>
          <w:i w:val="0"/>
          <w:caps w:val="0"/>
          <w:color w:val="auto"/>
          <w:spacing w:val="0"/>
          <w:sz w:val="21"/>
          <w:szCs w:val="21"/>
          <w:shd w:val="clear" w:color="auto" w:fill="FFFFFF"/>
          <w:lang w:val="en-US" w:eastAsia="zh-CN"/>
        </w:rPr>
      </w:pPr>
      <w:r>
        <w:rPr>
          <w:rFonts w:hint="default" w:ascii="Times New Roman" w:hAnsi="Times New Roman" w:eastAsia="宋体" w:cs="Times New Roman"/>
          <w:kern w:val="0"/>
          <w:szCs w:val="21"/>
          <w:lang w:bidi="ar"/>
        </w:rPr>
        <w:t>YS/T 1658.</w:t>
      </w:r>
      <w:r>
        <w:rPr>
          <w:rFonts w:hint="default" w:ascii="Times New Roman" w:hAnsi="Times New Roman" w:cs="Times New Roman"/>
          <w:kern w:val="0"/>
          <w:szCs w:val="21"/>
          <w:lang w:val="en-US" w:eastAsia="zh-CN" w:bidi="ar"/>
        </w:rPr>
        <w:t xml:space="preserve">5  </w:t>
      </w:r>
      <w:r>
        <w:rPr>
          <w:rFonts w:hint="default" w:ascii="Times New Roman" w:hAnsi="Times New Roman" w:eastAsia="宋体" w:cs="Times New Roman"/>
          <w:i w:val="0"/>
          <w:caps w:val="0"/>
          <w:color w:val="auto"/>
          <w:spacing w:val="0"/>
          <w:kern w:val="0"/>
          <w:szCs w:val="21"/>
          <w:shd w:val="clear" w:fill="auto"/>
          <w:lang w:bidi="ar"/>
        </w:rPr>
        <w:t>粗氢氧化镍钴化学分析方法 第5部分：水分含量的测定 重量法</w:t>
      </w:r>
    </w:p>
    <w:p>
      <w:pPr>
        <w:pStyle w:val="42"/>
        <w:keepNext w:val="0"/>
        <w:keepLines w:val="0"/>
        <w:pageBreakBefore w:val="0"/>
        <w:kinsoku/>
        <w:wordWrap/>
        <w:overflowPunct/>
        <w:topLinePunct w:val="0"/>
        <w:bidi w:val="0"/>
        <w:adjustRightInd/>
        <w:spacing w:before="312" w:beforeLines="100" w:after="312" w:afterLines="100" w:line="240" w:lineRule="auto"/>
        <w:textAlignment w:val="auto"/>
        <w:rPr>
          <w:rFonts w:hint="eastAsia" w:ascii="黑体" w:hAnsi="黑体" w:eastAsia="黑体" w:cs="黑体"/>
          <w:bCs w:val="0"/>
          <w:szCs w:val="22"/>
          <w:highlight w:val="none"/>
        </w:rPr>
      </w:pPr>
      <w:r>
        <w:rPr>
          <w:rFonts w:hint="eastAsia" w:ascii="黑体" w:hAnsi="黑体" w:eastAsia="黑体" w:cs="黑体"/>
          <w:bCs w:val="0"/>
          <w:szCs w:val="22"/>
          <w:highlight w:val="none"/>
        </w:rPr>
        <w:t>3  术语和定义</w:t>
      </w:r>
    </w:p>
    <w:p>
      <w:pPr>
        <w:pStyle w:val="32"/>
        <w:keepNext w:val="0"/>
        <w:keepLines w:val="0"/>
        <w:pageBreakBefore w:val="0"/>
        <w:kinsoku/>
        <w:wordWrap/>
        <w:overflowPunct/>
        <w:topLinePunct w:val="0"/>
        <w:bidi w:val="0"/>
        <w:adjustRightInd/>
        <w:spacing w:line="240" w:lineRule="auto"/>
        <w:ind w:firstLine="420"/>
        <w:textAlignment w:val="auto"/>
        <w:rPr>
          <w:rFonts w:ascii="Times New Roman"/>
        </w:rPr>
      </w:pPr>
      <w:r>
        <w:rPr>
          <w:rFonts w:ascii="Times New Roman"/>
        </w:rPr>
        <w:t>本文件没有需要界定的术语和定义。</w:t>
      </w:r>
    </w:p>
    <w:p>
      <w:pPr>
        <w:pStyle w:val="42"/>
        <w:spacing w:before="312" w:beforeLines="100" w:after="312" w:afterLines="100"/>
        <w:rPr>
          <w:rFonts w:hint="eastAsia" w:hAnsi="黑体" w:cs="黑体"/>
          <w:szCs w:val="22"/>
          <w:highlight w:val="none"/>
          <w:lang w:val="en-US" w:eastAsia="zh-CN"/>
        </w:rPr>
      </w:pPr>
      <w:r>
        <w:rPr>
          <w:rFonts w:hint="eastAsia" w:hAnsi="黑体" w:cs="黑体"/>
          <w:szCs w:val="22"/>
          <w:highlight w:val="none"/>
          <w:lang w:val="en-US" w:eastAsia="zh-CN"/>
        </w:rPr>
        <w:t>4  分类</w:t>
      </w:r>
    </w:p>
    <w:p>
      <w:pPr>
        <w:pStyle w:val="32"/>
        <w:keepNext w:val="0"/>
        <w:keepLines w:val="0"/>
        <w:pageBreakBefore w:val="0"/>
        <w:kinsoku/>
        <w:wordWrap/>
        <w:overflowPunct/>
        <w:topLinePunct w:val="0"/>
        <w:bidi w:val="0"/>
        <w:adjustRightInd/>
        <w:spacing w:line="240" w:lineRule="auto"/>
        <w:ind w:firstLine="420"/>
        <w:textAlignment w:val="auto"/>
        <w:rPr>
          <w:rFonts w:hint="default" w:ascii="Times New Roman"/>
          <w:lang w:val="en-US" w:eastAsia="zh-CN"/>
        </w:rPr>
      </w:pPr>
      <w:r>
        <w:rPr>
          <w:rFonts w:hint="eastAsia" w:ascii="Times New Roman"/>
          <w:lang w:val="en-US" w:eastAsia="zh-CN"/>
        </w:rPr>
        <w:t>产品根据化学成分，分为一级品、二级品、三级品。</w:t>
      </w:r>
    </w:p>
    <w:p>
      <w:pPr>
        <w:pStyle w:val="42"/>
        <w:spacing w:before="312" w:beforeLines="100" w:after="312" w:afterLines="100"/>
        <w:rPr>
          <w:rFonts w:hint="eastAsia"/>
          <w:lang w:val="en-US" w:eastAsia="zh-CN"/>
        </w:rPr>
      </w:pPr>
      <w:r>
        <w:rPr>
          <w:rFonts w:hint="eastAsia" w:hAnsi="黑体" w:cs="黑体"/>
          <w:szCs w:val="22"/>
          <w:highlight w:val="none"/>
          <w:lang w:val="en-US" w:eastAsia="zh-CN"/>
        </w:rPr>
        <w:t>5  技术要求</w:t>
      </w:r>
    </w:p>
    <w:p>
      <w:pPr>
        <w:pStyle w:val="32"/>
        <w:keepNext w:val="0"/>
        <w:keepLines w:val="0"/>
        <w:pageBreakBefore w:val="0"/>
        <w:kinsoku/>
        <w:wordWrap/>
        <w:overflowPunct/>
        <w:topLinePunct w:val="0"/>
        <w:bidi w:val="0"/>
        <w:adjustRightInd/>
        <w:spacing w:before="156" w:beforeLines="50" w:after="156" w:afterLines="50" w:line="240" w:lineRule="auto"/>
        <w:ind w:firstLine="0" w:firstLineChars="0"/>
        <w:textAlignment w:val="auto"/>
        <w:rPr>
          <w:rFonts w:hint="eastAsia" w:ascii="黑体" w:hAnsi="黑体" w:eastAsia="黑体" w:cs="黑体"/>
          <w:szCs w:val="21"/>
        </w:rPr>
      </w:pPr>
      <w:r>
        <w:rPr>
          <w:rFonts w:hint="eastAsia" w:ascii="黑体" w:hAnsi="黑体" w:eastAsia="黑体" w:cs="黑体"/>
          <w:szCs w:val="21"/>
          <w:lang w:val="en-US" w:eastAsia="zh-CN"/>
        </w:rPr>
        <w:t>5</w:t>
      </w:r>
      <w:r>
        <w:rPr>
          <w:rFonts w:hint="eastAsia" w:ascii="黑体" w:hAnsi="黑体" w:eastAsia="黑体" w:cs="黑体"/>
          <w:szCs w:val="21"/>
        </w:rPr>
        <w:t>.1  化学成分</w:t>
      </w:r>
    </w:p>
    <w:p>
      <w:pPr>
        <w:pStyle w:val="42"/>
        <w:keepNext w:val="0"/>
        <w:keepLines w:val="0"/>
        <w:pageBreakBefore w:val="0"/>
        <w:kinsoku/>
        <w:wordWrap/>
        <w:overflowPunct/>
        <w:topLinePunct w:val="0"/>
        <w:bidi w:val="0"/>
        <w:adjustRightInd/>
        <w:spacing w:beforeLines="0" w:afterLines="0" w:line="240" w:lineRule="auto"/>
        <w:ind w:firstLine="420" w:firstLineChars="200"/>
        <w:textAlignment w:val="auto"/>
        <w:outlineLvl w:val="2"/>
        <w:rPr>
          <w:rFonts w:ascii="Times New Roman" w:eastAsiaTheme="minorEastAsia"/>
          <w:szCs w:val="21"/>
        </w:rPr>
      </w:pPr>
      <w:r>
        <w:rPr>
          <w:rFonts w:ascii="Times New Roman" w:eastAsiaTheme="minorEastAsia"/>
          <w:szCs w:val="21"/>
        </w:rPr>
        <w:t>产品的化学成分应符合表1的规定。</w:t>
      </w:r>
    </w:p>
    <w:p>
      <w:pPr>
        <w:pStyle w:val="71"/>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17" w:firstLine="420" w:firstLineChars="200"/>
        <w:jc w:val="center"/>
        <w:textAlignment w:val="auto"/>
        <w:rPr>
          <w:rFonts w:hint="eastAsia" w:ascii="黑体" w:hAnsi="黑体" w:eastAsia="黑体" w:cs="黑体"/>
          <w:kern w:val="2"/>
          <w:sz w:val="21"/>
          <w:szCs w:val="21"/>
          <w:lang w:val="en-US" w:bidi="ar-SA"/>
        </w:rPr>
      </w:pPr>
    </w:p>
    <w:p>
      <w:pPr>
        <w:pStyle w:val="71"/>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17" w:firstLine="420" w:firstLineChars="200"/>
        <w:jc w:val="center"/>
        <w:textAlignment w:val="auto"/>
        <w:rPr>
          <w:rFonts w:hint="eastAsia" w:ascii="黑体" w:hAnsi="黑体" w:eastAsia="黑体" w:cs="黑体"/>
          <w:kern w:val="2"/>
          <w:sz w:val="21"/>
          <w:szCs w:val="21"/>
          <w:lang w:val="en-US" w:bidi="ar-SA"/>
        </w:rPr>
      </w:pPr>
    </w:p>
    <w:p>
      <w:pPr>
        <w:pStyle w:val="71"/>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17" w:firstLine="420" w:firstLineChars="200"/>
        <w:jc w:val="center"/>
        <w:textAlignment w:val="auto"/>
        <w:rPr>
          <w:rFonts w:hint="eastAsia" w:ascii="黑体" w:hAnsi="黑体" w:eastAsia="黑体" w:cs="黑体"/>
          <w:kern w:val="2"/>
          <w:sz w:val="21"/>
          <w:szCs w:val="21"/>
          <w:lang w:val="en-US" w:bidi="ar-SA"/>
        </w:rPr>
      </w:pPr>
      <w:r>
        <w:rPr>
          <w:rFonts w:hint="eastAsia" w:ascii="黑体" w:hAnsi="黑体" w:eastAsia="黑体" w:cs="黑体"/>
          <w:kern w:val="2"/>
          <w:sz w:val="21"/>
          <w:szCs w:val="21"/>
          <w:lang w:val="en-US" w:bidi="ar-SA"/>
        </w:rPr>
        <w:t xml:space="preserve">表1  </w:t>
      </w:r>
      <w:r>
        <w:rPr>
          <w:rFonts w:hint="eastAsia" w:ascii="黑体" w:hAnsi="黑体" w:eastAsia="黑体" w:cs="黑体"/>
          <w:kern w:val="2"/>
          <w:sz w:val="21"/>
          <w:szCs w:val="21"/>
          <w:lang w:val="en-US" w:eastAsia="zh-CN" w:bidi="ar-SA"/>
        </w:rPr>
        <w:t>产品</w:t>
      </w:r>
      <w:r>
        <w:rPr>
          <w:rFonts w:hint="eastAsia" w:ascii="黑体" w:hAnsi="黑体" w:eastAsia="黑体" w:cs="黑体"/>
          <w:kern w:val="2"/>
          <w:sz w:val="21"/>
          <w:szCs w:val="21"/>
          <w:lang w:val="en-US" w:bidi="ar-SA"/>
        </w:rPr>
        <w:t>主要化学成分</w:t>
      </w:r>
    </w:p>
    <w:tbl>
      <w:tblPr>
        <w:tblStyle w:val="16"/>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46"/>
        <w:gridCol w:w="1488"/>
        <w:gridCol w:w="1636"/>
        <w:gridCol w:w="1633"/>
        <w:gridCol w:w="1633"/>
        <w:gridCol w:w="16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2385" w:type="pct"/>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40" w:lineRule="auto"/>
              <w:jc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品级</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一级品</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二级品</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三级品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718" w:type="pct"/>
            <w:vMerge w:val="restart"/>
            <w:tcBorders>
              <w:top w:val="single" w:color="000000" w:sz="4" w:space="0"/>
              <w:left w:val="single" w:color="000000" w:sz="4" w:space="0"/>
              <w:right w:val="single" w:color="auto" w:sz="4" w:space="0"/>
            </w:tcBorders>
            <w:shd w:val="clear" w:color="auto" w:fill="auto"/>
            <w:tcMar>
              <w:top w:w="12" w:type="dxa"/>
              <w:left w:w="12" w:type="dxa"/>
              <w:right w:w="12" w:type="dxa"/>
            </w:tcMar>
            <w:vAlign w:val="center"/>
          </w:tcPr>
          <w:p>
            <w:pPr>
              <w:widowControl/>
              <w:spacing w:line="240" w:lineRule="auto"/>
              <w:jc w:val="center"/>
              <w:textAlignment w:val="center"/>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eastAsia="宋体" w:cs="Times New Roman"/>
                <w:color w:val="000000"/>
                <w:kern w:val="0"/>
                <w:sz w:val="18"/>
                <w:szCs w:val="18"/>
                <w:lang w:val="en-US" w:eastAsia="zh-CN" w:bidi="ar"/>
              </w:rPr>
              <w:t>化学成分</w:t>
            </w:r>
          </w:p>
          <w:p>
            <w:pPr>
              <w:widowControl/>
              <w:spacing w:line="240" w:lineRule="auto"/>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color w:val="000000"/>
                <w:kern w:val="0"/>
                <w:sz w:val="18"/>
                <w:szCs w:val="18"/>
                <w:lang w:bidi="ar"/>
              </w:rPr>
              <w:t>（质量分数）%</w:t>
            </w:r>
          </w:p>
        </w:tc>
        <w:tc>
          <w:tcPr>
            <w:tcW w:w="794" w:type="pct"/>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主元素，不小于</w:t>
            </w:r>
          </w:p>
        </w:tc>
        <w:tc>
          <w:tcPr>
            <w:tcW w:w="872" w:type="pct"/>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Co+Cu+Ni</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70</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65</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lang w:val="en-US"/>
              </w:rPr>
            </w:pPr>
            <w:r>
              <w:rPr>
                <w:rFonts w:hint="default" w:ascii="Times New Roman" w:hAnsi="Times New Roman" w:eastAsia="宋体" w:cs="Times New Roman"/>
                <w:i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718" w:type="pct"/>
            <w:vMerge w:val="continue"/>
            <w:tcBorders>
              <w:left w:val="single" w:color="000000" w:sz="4" w:space="0"/>
              <w:right w:val="single" w:color="auto" w:sz="4" w:space="0"/>
            </w:tcBorders>
            <w:shd w:val="clear" w:color="auto" w:fill="auto"/>
            <w:tcMar>
              <w:top w:w="12" w:type="dxa"/>
              <w:left w:w="12" w:type="dxa"/>
              <w:right w:w="12" w:type="dxa"/>
            </w:tcMar>
            <w:vAlign w:val="center"/>
          </w:tcPr>
          <w:p>
            <w:pPr>
              <w:spacing w:line="240" w:lineRule="auto"/>
              <w:jc w:val="center"/>
              <w:rPr>
                <w:rFonts w:hint="default" w:ascii="Times New Roman" w:hAnsi="Times New Roman" w:eastAsia="宋体" w:cs="Times New Roman"/>
                <w:i w:val="0"/>
                <w:color w:val="000000"/>
                <w:sz w:val="18"/>
                <w:szCs w:val="18"/>
                <w:u w:val="none"/>
              </w:rPr>
            </w:pPr>
          </w:p>
        </w:tc>
        <w:tc>
          <w:tcPr>
            <w:tcW w:w="794" w:type="pct"/>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pacing w:line="240" w:lineRule="auto"/>
              <w:jc w:val="center"/>
              <w:rPr>
                <w:rFonts w:hint="default" w:ascii="Times New Roman" w:hAnsi="Times New Roman" w:eastAsia="宋体" w:cs="Times New Roman"/>
                <w:i w:val="0"/>
                <w:color w:val="000000"/>
                <w:sz w:val="18"/>
                <w:szCs w:val="18"/>
                <w:u w:val="none"/>
              </w:rPr>
            </w:pPr>
          </w:p>
        </w:tc>
        <w:tc>
          <w:tcPr>
            <w:tcW w:w="872" w:type="pct"/>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Co</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55</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45</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718" w:type="pct"/>
            <w:vMerge w:val="continue"/>
            <w:tcBorders>
              <w:left w:val="single" w:color="000000" w:sz="4" w:space="0"/>
              <w:right w:val="single" w:color="auto" w:sz="4" w:space="0"/>
            </w:tcBorders>
            <w:shd w:val="clear" w:color="auto" w:fill="auto"/>
            <w:tcMar>
              <w:top w:w="12" w:type="dxa"/>
              <w:left w:w="12" w:type="dxa"/>
              <w:right w:w="12" w:type="dxa"/>
            </w:tcMar>
            <w:vAlign w:val="center"/>
          </w:tcPr>
          <w:p>
            <w:pPr>
              <w:widowControl/>
              <w:spacing w:line="240" w:lineRule="auto"/>
              <w:jc w:val="center"/>
              <w:textAlignment w:val="center"/>
              <w:rPr>
                <w:rFonts w:hint="default" w:ascii="Times New Roman" w:hAnsi="Times New Roman" w:eastAsia="宋体" w:cs="Times New Roman"/>
                <w:i w:val="0"/>
                <w:color w:val="000000"/>
                <w:sz w:val="18"/>
                <w:szCs w:val="18"/>
                <w:u w:val="none"/>
                <w:lang w:val="en-US" w:eastAsia="zh-CN"/>
              </w:rPr>
            </w:pPr>
          </w:p>
        </w:tc>
        <w:tc>
          <w:tcPr>
            <w:tcW w:w="794"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kern w:val="0"/>
                <w:sz w:val="18"/>
                <w:szCs w:val="18"/>
                <w:u w:val="none"/>
                <w:lang w:val="en-US" w:eastAsia="zh-CN" w:bidi="ar"/>
              </w:rPr>
              <w:t>主元素</w:t>
            </w:r>
          </w:p>
        </w:tc>
        <w:tc>
          <w:tcPr>
            <w:tcW w:w="872" w:type="pct"/>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S</w:t>
            </w:r>
          </w:p>
        </w:tc>
        <w:tc>
          <w:tcPr>
            <w:tcW w:w="2614" w:type="pct"/>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718" w:type="pct"/>
            <w:vMerge w:val="continue"/>
            <w:tcBorders>
              <w:left w:val="single" w:color="000000" w:sz="4" w:space="0"/>
              <w:right w:val="single" w:color="auto" w:sz="4" w:space="0"/>
            </w:tcBorders>
            <w:shd w:val="clear" w:color="auto" w:fill="auto"/>
            <w:tcMar>
              <w:top w:w="12" w:type="dxa"/>
              <w:left w:w="12" w:type="dxa"/>
              <w:right w:w="12" w:type="dxa"/>
            </w:tcMar>
            <w:vAlign w:val="center"/>
          </w:tcPr>
          <w:p>
            <w:pPr>
              <w:spacing w:line="240" w:lineRule="auto"/>
              <w:jc w:val="center"/>
              <w:rPr>
                <w:rFonts w:hint="default" w:ascii="Times New Roman" w:hAnsi="Times New Roman" w:eastAsia="宋体" w:cs="Times New Roman"/>
                <w:i w:val="0"/>
                <w:color w:val="000000"/>
                <w:kern w:val="0"/>
                <w:sz w:val="18"/>
                <w:szCs w:val="18"/>
                <w:u w:val="none"/>
                <w:lang w:val="en-US" w:eastAsia="zh-CN" w:bidi="ar"/>
              </w:rPr>
            </w:pPr>
          </w:p>
        </w:tc>
        <w:tc>
          <w:tcPr>
            <w:tcW w:w="794" w:type="pct"/>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auto"/>
              <w:jc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杂质元素，</w:t>
            </w:r>
            <w:r>
              <w:rPr>
                <w:rFonts w:hint="eastAsia" w:ascii="Times New Roman" w:hAnsi="Times New Roman" w:eastAsia="宋体" w:cs="Times New Roman"/>
                <w:i w:val="0"/>
                <w:color w:val="000000"/>
                <w:kern w:val="0"/>
                <w:sz w:val="18"/>
                <w:szCs w:val="18"/>
                <w:u w:val="none"/>
                <w:lang w:val="en-US" w:eastAsia="zh-CN" w:bidi="ar"/>
              </w:rPr>
              <w:t>不大于</w:t>
            </w: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Fe</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718" w:type="pct"/>
            <w:vMerge w:val="continue"/>
            <w:tcBorders>
              <w:left w:val="single" w:color="000000" w:sz="4" w:space="0"/>
              <w:right w:val="single" w:color="auto" w:sz="4" w:space="0"/>
            </w:tcBorders>
            <w:shd w:val="clear" w:color="auto" w:fill="auto"/>
            <w:tcMar>
              <w:top w:w="12" w:type="dxa"/>
              <w:left w:w="12" w:type="dxa"/>
              <w:right w:w="12" w:type="dxa"/>
            </w:tcMar>
            <w:vAlign w:val="center"/>
          </w:tcPr>
          <w:p>
            <w:pPr>
              <w:spacing w:line="240" w:lineRule="auto"/>
              <w:jc w:val="center"/>
              <w:rPr>
                <w:rFonts w:hint="default" w:ascii="Times New Roman" w:hAnsi="Times New Roman" w:eastAsia="宋体" w:cs="Times New Roman"/>
                <w:i w:val="0"/>
                <w:color w:val="000000"/>
                <w:sz w:val="18"/>
                <w:szCs w:val="18"/>
                <w:u w:val="none"/>
              </w:rPr>
            </w:pPr>
          </w:p>
        </w:tc>
        <w:tc>
          <w:tcPr>
            <w:tcW w:w="794" w:type="pct"/>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auto"/>
              <w:jc w:val="center"/>
              <w:rPr>
                <w:rFonts w:hint="default" w:ascii="Times New Roman" w:hAnsi="Times New Roman" w:eastAsia="宋体" w:cs="Times New Roman"/>
                <w:i w:val="0"/>
                <w:color w:val="000000"/>
                <w:sz w:val="18"/>
                <w:szCs w:val="18"/>
                <w:u w:val="none"/>
              </w:rPr>
            </w:pP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Si</w:t>
            </w:r>
          </w:p>
        </w:tc>
        <w:tc>
          <w:tcPr>
            <w:tcW w:w="2614" w:type="pct"/>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718" w:type="pct"/>
            <w:vMerge w:val="continue"/>
            <w:tcBorders>
              <w:left w:val="single" w:color="000000" w:sz="4" w:space="0"/>
              <w:right w:val="single" w:color="auto" w:sz="4" w:space="0"/>
            </w:tcBorders>
            <w:shd w:val="clear" w:color="auto" w:fill="auto"/>
            <w:tcMar>
              <w:top w:w="12" w:type="dxa"/>
              <w:left w:w="12" w:type="dxa"/>
              <w:right w:w="12" w:type="dxa"/>
            </w:tcMar>
            <w:vAlign w:val="center"/>
          </w:tcPr>
          <w:p>
            <w:pPr>
              <w:spacing w:line="240" w:lineRule="auto"/>
              <w:jc w:val="center"/>
              <w:rPr>
                <w:rFonts w:hint="default" w:ascii="Times New Roman" w:hAnsi="Times New Roman" w:eastAsia="宋体" w:cs="Times New Roman"/>
                <w:i w:val="0"/>
                <w:color w:val="000000"/>
                <w:sz w:val="18"/>
                <w:szCs w:val="18"/>
                <w:u w:val="none"/>
              </w:rPr>
            </w:pPr>
          </w:p>
        </w:tc>
        <w:tc>
          <w:tcPr>
            <w:tcW w:w="794" w:type="pct"/>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auto"/>
              <w:jc w:val="center"/>
              <w:rPr>
                <w:rFonts w:hint="default" w:ascii="Times New Roman" w:hAnsi="Times New Roman" w:eastAsia="宋体" w:cs="Times New Roman"/>
                <w:i w:val="0"/>
                <w:color w:val="000000"/>
                <w:sz w:val="18"/>
                <w:szCs w:val="18"/>
                <w:u w:val="none"/>
              </w:rPr>
            </w:pP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Mg</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0.01</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0.05</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18" w:type="pct"/>
            <w:vMerge w:val="continue"/>
            <w:tcBorders>
              <w:left w:val="single" w:color="000000" w:sz="4" w:space="0"/>
              <w:right w:val="single" w:color="auto" w:sz="4" w:space="0"/>
            </w:tcBorders>
            <w:shd w:val="clear" w:color="auto" w:fill="auto"/>
            <w:tcMar>
              <w:top w:w="12" w:type="dxa"/>
              <w:left w:w="12" w:type="dxa"/>
              <w:right w:w="12" w:type="dxa"/>
            </w:tcMar>
            <w:vAlign w:val="center"/>
          </w:tcPr>
          <w:p>
            <w:pPr>
              <w:spacing w:line="240" w:lineRule="auto"/>
              <w:jc w:val="center"/>
              <w:rPr>
                <w:rFonts w:hint="default" w:ascii="Times New Roman" w:hAnsi="Times New Roman" w:eastAsia="宋体" w:cs="Times New Roman"/>
                <w:i w:val="0"/>
                <w:color w:val="000000"/>
                <w:sz w:val="18"/>
                <w:szCs w:val="18"/>
                <w:u w:val="none"/>
              </w:rPr>
            </w:pPr>
          </w:p>
        </w:tc>
        <w:tc>
          <w:tcPr>
            <w:tcW w:w="794" w:type="pct"/>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auto"/>
              <w:jc w:val="center"/>
              <w:rPr>
                <w:rFonts w:hint="default" w:ascii="Times New Roman" w:hAnsi="Times New Roman" w:eastAsia="宋体" w:cs="Times New Roman"/>
                <w:i w:val="0"/>
                <w:color w:val="000000"/>
                <w:sz w:val="18"/>
                <w:szCs w:val="18"/>
                <w:u w:val="none"/>
              </w:rPr>
            </w:pP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Cr</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0.02</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0.05</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lang w:val="en-US"/>
              </w:rPr>
            </w:pPr>
            <w:r>
              <w:rPr>
                <w:rFonts w:hint="default" w:ascii="Times New Roman" w:hAnsi="Times New Roman" w:eastAsia="宋体" w:cs="Times New Roman"/>
                <w:i w:val="0"/>
                <w:color w:val="000000"/>
                <w:kern w:val="0"/>
                <w:sz w:val="18"/>
                <w:szCs w:val="18"/>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718" w:type="pct"/>
            <w:vMerge w:val="continue"/>
            <w:tcBorders>
              <w:left w:val="single" w:color="000000" w:sz="4" w:space="0"/>
              <w:right w:val="single" w:color="auto" w:sz="4" w:space="0"/>
            </w:tcBorders>
            <w:shd w:val="clear" w:color="auto" w:fill="auto"/>
            <w:tcMar>
              <w:top w:w="12" w:type="dxa"/>
              <w:left w:w="12" w:type="dxa"/>
              <w:right w:w="12" w:type="dxa"/>
            </w:tcMar>
            <w:vAlign w:val="center"/>
          </w:tcPr>
          <w:p>
            <w:pPr>
              <w:spacing w:line="240" w:lineRule="auto"/>
              <w:jc w:val="center"/>
              <w:rPr>
                <w:rFonts w:hint="default" w:ascii="Times New Roman" w:hAnsi="Times New Roman" w:eastAsia="宋体" w:cs="Times New Roman"/>
                <w:i w:val="0"/>
                <w:color w:val="000000"/>
                <w:sz w:val="18"/>
                <w:szCs w:val="18"/>
                <w:u w:val="none"/>
              </w:rPr>
            </w:pPr>
          </w:p>
        </w:tc>
        <w:tc>
          <w:tcPr>
            <w:tcW w:w="794" w:type="pct"/>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auto"/>
              <w:jc w:val="center"/>
              <w:rPr>
                <w:rFonts w:hint="default" w:ascii="Times New Roman" w:hAnsi="Times New Roman" w:eastAsia="宋体" w:cs="Times New Roman"/>
                <w:i w:val="0"/>
                <w:color w:val="000000"/>
                <w:sz w:val="18"/>
                <w:szCs w:val="18"/>
                <w:u w:val="none"/>
              </w:rPr>
            </w:pP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Cd</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lang w:val="en-US"/>
              </w:rPr>
            </w:pPr>
            <w:r>
              <w:rPr>
                <w:rFonts w:hint="default" w:ascii="Times New Roman" w:hAnsi="Times New Roman" w:eastAsia="宋体" w:cs="Times New Roman"/>
                <w:i w:val="0"/>
                <w:color w:val="000000"/>
                <w:kern w:val="0"/>
                <w:sz w:val="18"/>
                <w:szCs w:val="18"/>
                <w:u w:val="none"/>
                <w:lang w:val="en-US" w:eastAsia="zh-CN" w:bidi="ar"/>
              </w:rPr>
              <w:t>0.0</w:t>
            </w:r>
            <w:r>
              <w:rPr>
                <w:rFonts w:hint="eastAsia" w:ascii="Times New Roman" w:hAnsi="Times New Roman" w:eastAsia="宋体" w:cs="Times New Roman"/>
                <w:i w:val="0"/>
                <w:color w:val="000000"/>
                <w:kern w:val="0"/>
                <w:sz w:val="18"/>
                <w:szCs w:val="18"/>
                <w:u w:val="none"/>
                <w:lang w:val="en-US" w:eastAsia="zh-CN" w:bidi="ar"/>
              </w:rPr>
              <w:t>05</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ascii="Times New Roman" w:hAnsi="Times New Roman" w:eastAsia="宋体" w:cs="Times New Roman"/>
                <w:i w:val="0"/>
                <w:color w:val="000000"/>
                <w:kern w:val="0"/>
                <w:sz w:val="18"/>
                <w:szCs w:val="18"/>
                <w:u w:val="none"/>
                <w:lang w:val="en-US" w:eastAsia="zh-CN" w:bidi="ar"/>
              </w:rPr>
              <w:t>0.01</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color w:val="000000"/>
                <w:kern w:val="0"/>
                <w:sz w:val="18"/>
                <w:szCs w:val="18"/>
                <w:lang w:bidi="ar"/>
              </w:rPr>
              <w:t>0.</w:t>
            </w:r>
            <w:r>
              <w:rPr>
                <w:rFonts w:hint="eastAsia"/>
                <w:color w:val="000000"/>
                <w:kern w:val="0"/>
                <w:sz w:val="18"/>
                <w:szCs w:val="18"/>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718" w:type="pct"/>
            <w:vMerge w:val="continue"/>
            <w:tcBorders>
              <w:left w:val="single" w:color="000000" w:sz="4" w:space="0"/>
              <w:right w:val="single" w:color="auto" w:sz="4" w:space="0"/>
            </w:tcBorders>
            <w:shd w:val="clear" w:color="auto" w:fill="auto"/>
            <w:tcMar>
              <w:top w:w="12" w:type="dxa"/>
              <w:left w:w="12" w:type="dxa"/>
              <w:right w:w="12" w:type="dxa"/>
            </w:tcMar>
            <w:vAlign w:val="center"/>
          </w:tcPr>
          <w:p>
            <w:pPr>
              <w:spacing w:line="240" w:lineRule="auto"/>
              <w:jc w:val="center"/>
              <w:rPr>
                <w:rFonts w:hint="default" w:ascii="Times New Roman" w:hAnsi="Times New Roman" w:eastAsia="宋体" w:cs="Times New Roman"/>
                <w:i w:val="0"/>
                <w:color w:val="000000"/>
                <w:sz w:val="18"/>
                <w:szCs w:val="18"/>
                <w:u w:val="none"/>
              </w:rPr>
            </w:pPr>
          </w:p>
        </w:tc>
        <w:tc>
          <w:tcPr>
            <w:tcW w:w="794" w:type="pct"/>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auto"/>
              <w:jc w:val="center"/>
              <w:rPr>
                <w:rFonts w:hint="default" w:ascii="Times New Roman" w:hAnsi="Times New Roman" w:eastAsia="宋体" w:cs="Times New Roman"/>
                <w:i w:val="0"/>
                <w:color w:val="000000"/>
                <w:sz w:val="18"/>
                <w:szCs w:val="18"/>
                <w:u w:val="none"/>
              </w:rPr>
            </w:pP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Pb</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0.0</w:t>
            </w:r>
            <w:r>
              <w:rPr>
                <w:rFonts w:hint="eastAsia" w:cs="Times New Roman"/>
                <w:i w:val="0"/>
                <w:color w:val="000000"/>
                <w:kern w:val="0"/>
                <w:sz w:val="18"/>
                <w:szCs w:val="18"/>
                <w:u w:val="none"/>
                <w:lang w:val="en-US" w:eastAsia="zh-CN" w:bidi="ar"/>
              </w:rPr>
              <w:t>2</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0.05</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000000"/>
                <w:kern w:val="0"/>
                <w:sz w:val="18"/>
                <w:szCs w:val="18"/>
                <w:lang w:val="en-US" w:eastAsia="zh-CN" w:bidi="ar"/>
              </w:rPr>
            </w:pPr>
            <w:r>
              <w:rPr>
                <w:color w:val="000000"/>
                <w:kern w:val="0"/>
                <w:sz w:val="18"/>
                <w:szCs w:val="18"/>
                <w:lang w:bidi="ar"/>
              </w:rPr>
              <w:t>0.1</w:t>
            </w:r>
            <w:r>
              <w:rPr>
                <w:rFonts w:hint="eastAsia"/>
                <w:color w:val="000000"/>
                <w:kern w:val="0"/>
                <w:sz w:val="18"/>
                <w:szCs w:val="18"/>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718" w:type="pct"/>
            <w:vMerge w:val="continue"/>
            <w:tcBorders>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spacing w:line="240" w:lineRule="auto"/>
              <w:jc w:val="center"/>
              <w:rPr>
                <w:rFonts w:hint="default" w:ascii="Times New Roman" w:hAnsi="Times New Roman" w:eastAsia="宋体" w:cs="Times New Roman"/>
                <w:i w:val="0"/>
                <w:color w:val="000000"/>
                <w:sz w:val="18"/>
                <w:szCs w:val="18"/>
                <w:u w:val="none"/>
              </w:rPr>
            </w:pPr>
          </w:p>
        </w:tc>
        <w:tc>
          <w:tcPr>
            <w:tcW w:w="794" w:type="pct"/>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auto"/>
              <w:jc w:val="center"/>
              <w:rPr>
                <w:rFonts w:hint="default" w:ascii="Times New Roman" w:hAnsi="Times New Roman" w:eastAsia="宋体" w:cs="Times New Roman"/>
                <w:i w:val="0"/>
                <w:color w:val="000000"/>
                <w:sz w:val="18"/>
                <w:szCs w:val="18"/>
                <w:u w:val="none"/>
              </w:rPr>
            </w:pPr>
          </w:p>
        </w:tc>
        <w:tc>
          <w:tcPr>
            <w:tcW w:w="8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As</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sz w:val="18"/>
                <w:szCs w:val="18"/>
                <w:u w:val="none"/>
                <w:lang w:val="en-US"/>
              </w:rPr>
            </w:pPr>
            <w:r>
              <w:rPr>
                <w:rFonts w:hint="default" w:ascii="Times New Roman" w:hAnsi="Times New Roman" w:eastAsia="宋体" w:cs="Times New Roman"/>
                <w:i w:val="0"/>
                <w:color w:val="000000"/>
                <w:kern w:val="0"/>
                <w:sz w:val="18"/>
                <w:szCs w:val="18"/>
                <w:u w:val="none"/>
                <w:lang w:val="en-US" w:eastAsia="zh-CN" w:bidi="ar"/>
              </w:rPr>
              <w:t>0.0</w:t>
            </w:r>
            <w:r>
              <w:rPr>
                <w:rFonts w:hint="eastAsia" w:cs="Times New Roman"/>
                <w:i w:val="0"/>
                <w:color w:val="000000"/>
                <w:kern w:val="0"/>
                <w:sz w:val="18"/>
                <w:szCs w:val="18"/>
                <w:u w:val="none"/>
                <w:lang w:val="en-US" w:eastAsia="zh-CN" w:bidi="ar"/>
              </w:rPr>
              <w:t>2</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0.05</w:t>
            </w:r>
          </w:p>
        </w:tc>
        <w:tc>
          <w:tcPr>
            <w:tcW w:w="8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000000"/>
                <w:kern w:val="0"/>
                <w:sz w:val="18"/>
                <w:szCs w:val="18"/>
                <w:lang w:val="en-US" w:eastAsia="zh-CN" w:bidi="ar"/>
              </w:rPr>
            </w:pPr>
            <w:r>
              <w:rPr>
                <w:color w:val="000000"/>
                <w:kern w:val="0"/>
                <w:sz w:val="18"/>
                <w:szCs w:val="18"/>
                <w:lang w:bidi="ar"/>
              </w:rPr>
              <w:t>0.1</w:t>
            </w:r>
            <w:r>
              <w:rPr>
                <w:rFonts w:hint="eastAsia"/>
                <w:color w:val="000000"/>
                <w:kern w:val="0"/>
                <w:sz w:val="18"/>
                <w:szCs w:val="18"/>
                <w:lang w:val="en-US" w:eastAsia="zh-CN" w:bidi="ar"/>
              </w:rPr>
              <w:t>0</w:t>
            </w:r>
          </w:p>
        </w:tc>
      </w:tr>
    </w:tbl>
    <w:p>
      <w:pPr>
        <w:pStyle w:val="71"/>
        <w:keepNext w:val="0"/>
        <w:keepLines w:val="0"/>
        <w:pageBreakBefore w:val="0"/>
        <w:kinsoku/>
        <w:wordWrap/>
        <w:overflowPunct/>
        <w:topLinePunct w:val="0"/>
        <w:autoSpaceDE/>
        <w:autoSpaceDN/>
        <w:bidi w:val="0"/>
        <w:adjustRightInd/>
        <w:spacing w:before="0" w:line="240" w:lineRule="auto"/>
        <w:ind w:right="-17"/>
        <w:jc w:val="both"/>
        <w:textAlignment w:val="auto"/>
        <w:rPr>
          <w:rFonts w:hint="eastAsia" w:ascii="黑体" w:hAnsi="黑体" w:eastAsia="黑体" w:cs="黑体"/>
          <w:kern w:val="2"/>
          <w:sz w:val="21"/>
          <w:szCs w:val="21"/>
          <w:lang w:val="en-US" w:bidi="ar-SA"/>
        </w:rPr>
      </w:pPr>
    </w:p>
    <w:p>
      <w:pPr>
        <w:pStyle w:val="32"/>
        <w:keepNext w:val="0"/>
        <w:keepLines w:val="0"/>
        <w:pageBreakBefore w:val="0"/>
        <w:kinsoku/>
        <w:wordWrap/>
        <w:overflowPunct/>
        <w:topLinePunct w:val="0"/>
        <w:bidi w:val="0"/>
        <w:adjustRightInd/>
        <w:spacing w:before="156" w:beforeLines="50" w:after="156" w:afterLines="50" w:line="240" w:lineRule="auto"/>
        <w:ind w:firstLine="0" w:firstLineChars="0"/>
        <w:textAlignment w:val="auto"/>
        <w:rPr>
          <w:rFonts w:hint="eastAsia" w:ascii="黑体" w:hAnsi="黑体" w:eastAsia="黑体" w:cs="黑体"/>
          <w:szCs w:val="21"/>
        </w:rPr>
      </w:pPr>
      <w:r>
        <w:rPr>
          <w:rFonts w:hint="eastAsia" w:ascii="黑体" w:hAnsi="黑体" w:eastAsia="黑体" w:cs="黑体"/>
          <w:szCs w:val="21"/>
          <w:lang w:val="en-US" w:eastAsia="zh-CN"/>
        </w:rPr>
        <w:t>5</w:t>
      </w:r>
      <w:r>
        <w:rPr>
          <w:rFonts w:hint="eastAsia" w:ascii="黑体" w:hAnsi="黑体" w:eastAsia="黑体" w:cs="黑体"/>
          <w:szCs w:val="21"/>
        </w:rPr>
        <w:t>.2  水分</w:t>
      </w:r>
    </w:p>
    <w:p>
      <w:pPr>
        <w:pStyle w:val="32"/>
        <w:ind w:firstLine="420"/>
        <w:rPr>
          <w:rFonts w:hint="eastAsia" w:ascii="Times New Roman" w:eastAsiaTheme="minorEastAsia"/>
          <w:highlight w:val="none"/>
        </w:rPr>
      </w:pPr>
      <w:r>
        <w:rPr>
          <w:rFonts w:hint="eastAsia" w:ascii="Times New Roman" w:eastAsiaTheme="minorEastAsia"/>
          <w:highlight w:val="none"/>
        </w:rPr>
        <w:t>产品的水分含量应不大于10%。</w:t>
      </w:r>
    </w:p>
    <w:p>
      <w:pPr>
        <w:pStyle w:val="32"/>
        <w:keepNext w:val="0"/>
        <w:keepLines w:val="0"/>
        <w:pageBreakBefore w:val="0"/>
        <w:kinsoku/>
        <w:wordWrap/>
        <w:overflowPunct/>
        <w:topLinePunct w:val="0"/>
        <w:bidi w:val="0"/>
        <w:adjustRightInd/>
        <w:spacing w:before="156" w:beforeLines="50" w:after="156" w:afterLines="50" w:line="240" w:lineRule="auto"/>
        <w:ind w:firstLine="0" w:firstLineChars="0"/>
        <w:textAlignment w:val="auto"/>
        <w:rPr>
          <w:rFonts w:hint="eastAsia" w:ascii="黑体" w:hAnsi="黑体" w:eastAsia="黑体" w:cs="黑体"/>
          <w:szCs w:val="21"/>
        </w:rPr>
      </w:pP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3</w:t>
      </w:r>
      <w:r>
        <w:rPr>
          <w:rFonts w:hint="eastAsia" w:ascii="黑体" w:hAnsi="黑体" w:eastAsia="黑体" w:cs="黑体"/>
          <w:szCs w:val="21"/>
        </w:rPr>
        <w:t xml:space="preserve">  产品粒度</w:t>
      </w:r>
    </w:p>
    <w:p>
      <w:pPr>
        <w:pStyle w:val="32"/>
        <w:ind w:firstLine="420"/>
        <w:rPr>
          <w:rFonts w:hint="eastAsia" w:ascii="Times New Roman" w:eastAsiaTheme="minorEastAsia"/>
          <w:highlight w:val="none"/>
        </w:rPr>
      </w:pPr>
      <w:r>
        <w:rPr>
          <w:rFonts w:hint="eastAsia" w:ascii="Times New Roman" w:eastAsiaTheme="minorEastAsia"/>
          <w:highlight w:val="none"/>
          <w:lang w:val="en-US" w:eastAsia="zh-CN"/>
        </w:rPr>
        <w:t>产品</w:t>
      </w:r>
      <w:r>
        <w:rPr>
          <w:rFonts w:hint="eastAsia" w:ascii="宋体" w:hAnsi="宋体" w:eastAsia="宋体" w:cs="Times New Roman"/>
          <w:b w:val="0"/>
          <w:bCs w:val="0"/>
          <w:sz w:val="21"/>
          <w:szCs w:val="21"/>
          <w:lang w:val="en-US" w:eastAsia="zh-CN"/>
        </w:rPr>
        <w:t>烘干后</w:t>
      </w:r>
      <w:r>
        <w:rPr>
          <w:rFonts w:hint="eastAsia" w:hAnsi="宋体" w:cs="Times New Roman"/>
          <w:b w:val="0"/>
          <w:bCs w:val="0"/>
          <w:sz w:val="21"/>
          <w:szCs w:val="21"/>
          <w:lang w:val="en-US" w:eastAsia="zh-CN"/>
        </w:rPr>
        <w:t>，其</w:t>
      </w:r>
      <w:r>
        <w:rPr>
          <w:rFonts w:hint="eastAsia" w:ascii="Times New Roman" w:eastAsiaTheme="minorEastAsia"/>
          <w:highlight w:val="none"/>
        </w:rPr>
        <w:t>粒度</w:t>
      </w:r>
      <w:r>
        <w:rPr>
          <w:rFonts w:hint="eastAsia" w:ascii="Times New Roman" w:eastAsiaTheme="minorEastAsia"/>
          <w:highlight w:val="none"/>
          <w:lang w:val="en-US" w:eastAsia="zh-CN"/>
        </w:rPr>
        <w:t>不大于10 mm</w:t>
      </w:r>
      <w:r>
        <w:rPr>
          <w:rFonts w:hint="eastAsia" w:ascii="Times New Roman" w:eastAsiaTheme="minorEastAsia"/>
          <w:highlight w:val="none"/>
          <w:lang w:eastAsia="zh-CN"/>
        </w:rPr>
        <w:t>部分</w:t>
      </w:r>
      <w:r>
        <w:rPr>
          <w:rFonts w:hint="eastAsia" w:ascii="Times New Roman" w:eastAsiaTheme="minorEastAsia"/>
          <w:highlight w:val="none"/>
        </w:rPr>
        <w:t>的</w:t>
      </w:r>
      <w:r>
        <w:rPr>
          <w:rFonts w:hint="eastAsia" w:ascii="Times New Roman" w:eastAsiaTheme="minorEastAsia"/>
          <w:highlight w:val="none"/>
          <w:lang w:val="en-US" w:eastAsia="zh-CN"/>
        </w:rPr>
        <w:t>重量</w:t>
      </w:r>
      <w:r>
        <w:rPr>
          <w:rFonts w:hint="eastAsia" w:ascii="Times New Roman" w:eastAsiaTheme="minorEastAsia"/>
          <w:highlight w:val="none"/>
          <w:lang w:eastAsia="zh-CN"/>
        </w:rPr>
        <w:t>占比</w:t>
      </w:r>
      <w:r>
        <w:rPr>
          <w:rFonts w:hint="eastAsia" w:ascii="Times New Roman" w:eastAsiaTheme="minorEastAsia"/>
          <w:highlight w:val="none"/>
        </w:rPr>
        <w:t>不低于80%。</w:t>
      </w:r>
    </w:p>
    <w:p>
      <w:pPr>
        <w:pStyle w:val="32"/>
        <w:keepNext w:val="0"/>
        <w:keepLines w:val="0"/>
        <w:pageBreakBefore w:val="0"/>
        <w:kinsoku/>
        <w:wordWrap/>
        <w:overflowPunct/>
        <w:topLinePunct w:val="0"/>
        <w:bidi w:val="0"/>
        <w:adjustRightInd/>
        <w:spacing w:before="156" w:beforeLines="50" w:after="156" w:afterLines="50" w:line="240" w:lineRule="auto"/>
        <w:ind w:firstLine="0" w:firstLineChars="0"/>
        <w:textAlignment w:val="auto"/>
        <w:rPr>
          <w:rFonts w:hint="eastAsia" w:ascii="黑体" w:hAnsi="黑体" w:eastAsia="黑体" w:cs="黑体"/>
          <w:szCs w:val="21"/>
        </w:rPr>
      </w:pPr>
      <w:r>
        <w:rPr>
          <w:rFonts w:hint="eastAsia" w:ascii="黑体" w:hAnsi="黑体" w:eastAsia="黑体" w:cs="黑体"/>
          <w:szCs w:val="21"/>
          <w:lang w:val="en-US" w:eastAsia="zh-CN"/>
        </w:rPr>
        <w:t>5</w:t>
      </w:r>
      <w:r>
        <w:rPr>
          <w:rFonts w:hint="eastAsia" w:ascii="黑体" w:hAnsi="黑体" w:eastAsia="黑体" w:cs="黑体"/>
          <w:szCs w:val="21"/>
        </w:rPr>
        <w:t>.</w:t>
      </w:r>
      <w:r>
        <w:rPr>
          <w:rFonts w:hint="eastAsia" w:ascii="黑体" w:hAnsi="黑体" w:eastAsia="黑体" w:cs="黑体"/>
          <w:szCs w:val="21"/>
          <w:lang w:val="en-US" w:eastAsia="zh-CN"/>
        </w:rPr>
        <w:t>4</w:t>
      </w:r>
      <w:r>
        <w:rPr>
          <w:rFonts w:hint="eastAsia" w:ascii="黑体" w:hAnsi="黑体" w:eastAsia="黑体" w:cs="黑体"/>
          <w:szCs w:val="21"/>
        </w:rPr>
        <w:t xml:space="preserve">  外观质量</w:t>
      </w:r>
    </w:p>
    <w:p>
      <w:pPr>
        <w:pStyle w:val="32"/>
        <w:keepNext w:val="0"/>
        <w:keepLines w:val="0"/>
        <w:pageBreakBefore w:val="0"/>
        <w:widowControl/>
        <w:kinsoku/>
        <w:wordWrap/>
        <w:overflowPunct/>
        <w:topLinePunct w:val="0"/>
        <w:bidi w:val="0"/>
        <w:adjustRightInd/>
        <w:spacing w:line="240" w:lineRule="auto"/>
        <w:ind w:firstLine="420"/>
        <w:textAlignment w:val="auto"/>
        <w:rPr>
          <w:rFonts w:hint="eastAsia" w:ascii="Times New Roman" w:eastAsiaTheme="minorEastAsia"/>
          <w:highlight w:val="none"/>
        </w:rPr>
      </w:pPr>
      <w:r>
        <w:rPr>
          <w:rFonts w:hint="eastAsia" w:ascii="Times New Roman" w:eastAsiaTheme="minorEastAsia"/>
          <w:highlight w:val="none"/>
        </w:rPr>
        <w:t>产品不应混入其他外来夹杂物，同批产品</w:t>
      </w:r>
      <w:r>
        <w:rPr>
          <w:rFonts w:hint="eastAsia" w:ascii="Times New Roman" w:eastAsiaTheme="minorEastAsia"/>
          <w:highlight w:val="none"/>
          <w:lang w:val="en-US" w:eastAsia="zh-CN"/>
        </w:rPr>
        <w:t>颜色</w:t>
      </w:r>
      <w:r>
        <w:rPr>
          <w:rFonts w:hint="eastAsia" w:ascii="Times New Roman" w:eastAsiaTheme="minorEastAsia"/>
          <w:highlight w:val="none"/>
        </w:rPr>
        <w:t>应均匀。</w:t>
      </w:r>
    </w:p>
    <w:p>
      <w:pPr>
        <w:pStyle w:val="32"/>
        <w:keepNext w:val="0"/>
        <w:keepLines w:val="0"/>
        <w:pageBreakBefore w:val="0"/>
        <w:kinsoku/>
        <w:wordWrap/>
        <w:overflowPunct/>
        <w:topLinePunct w:val="0"/>
        <w:bidi w:val="0"/>
        <w:adjustRightInd/>
        <w:spacing w:before="156" w:beforeLines="50" w:after="156" w:afterLines="50" w:line="240" w:lineRule="auto"/>
        <w:ind w:firstLine="0" w:firstLineChars="0"/>
        <w:textAlignment w:val="auto"/>
        <w:rPr>
          <w:rFonts w:hint="eastAsia" w:ascii="黑体" w:hAnsi="黑体" w:eastAsia="黑体" w:cs="黑体"/>
          <w:szCs w:val="21"/>
        </w:rPr>
      </w:pPr>
      <w:r>
        <w:rPr>
          <w:rFonts w:hint="eastAsia" w:ascii="黑体" w:hAnsi="黑体" w:eastAsia="黑体" w:cs="黑体"/>
          <w:szCs w:val="21"/>
          <w:lang w:val="en-US" w:eastAsia="zh-CN"/>
        </w:rPr>
        <w:t>5</w:t>
      </w:r>
      <w:r>
        <w:rPr>
          <w:rFonts w:hint="eastAsia" w:ascii="黑体" w:hAnsi="黑体" w:eastAsia="黑体" w:cs="黑体"/>
          <w:szCs w:val="21"/>
        </w:rPr>
        <w:t>.5  其他</w:t>
      </w:r>
    </w:p>
    <w:p>
      <w:pPr>
        <w:pStyle w:val="32"/>
        <w:keepNext w:val="0"/>
        <w:keepLines w:val="0"/>
        <w:pageBreakBefore w:val="0"/>
        <w:widowControl/>
        <w:kinsoku/>
        <w:wordWrap/>
        <w:overflowPunct/>
        <w:topLinePunct w:val="0"/>
        <w:bidi w:val="0"/>
        <w:adjustRightInd/>
        <w:spacing w:line="240" w:lineRule="auto"/>
        <w:ind w:firstLine="420"/>
        <w:textAlignment w:val="auto"/>
        <w:rPr>
          <w:rFonts w:ascii="Times New Roman" w:eastAsiaTheme="minorEastAsia"/>
        </w:rPr>
      </w:pPr>
      <w:bookmarkStart w:id="9" w:name="_GoBack"/>
      <w:r>
        <w:rPr>
          <w:rFonts w:hint="eastAsia" w:ascii="Times New Roman" w:eastAsiaTheme="minorEastAsia"/>
        </w:rPr>
        <w:t>若需方有特殊要求，可由供需双方协商确定。</w:t>
      </w:r>
    </w:p>
    <w:bookmarkEnd w:id="9"/>
    <w:p>
      <w:pPr>
        <w:keepNext w:val="0"/>
        <w:keepLines w:val="0"/>
        <w:pageBreakBefore w:val="0"/>
        <w:kinsoku/>
        <w:wordWrap/>
        <w:overflowPunct/>
        <w:topLinePunct w:val="0"/>
        <w:bidi w:val="0"/>
        <w:adjustRightInd/>
        <w:spacing w:before="312" w:beforeLines="100" w:after="312" w:afterLines="100" w:line="240" w:lineRule="auto"/>
        <w:textAlignment w:val="auto"/>
        <w:rPr>
          <w:rFonts w:hint="eastAsia" w:ascii="黑体" w:hAnsi="黑体" w:eastAsia="黑体" w:cs="黑体"/>
          <w:bCs/>
        </w:rPr>
      </w:pPr>
      <w:r>
        <w:rPr>
          <w:rFonts w:hint="eastAsia" w:ascii="黑体" w:hAnsi="黑体" w:eastAsia="黑体" w:cs="黑体"/>
          <w:bCs/>
          <w:lang w:val="en-US" w:eastAsia="zh-CN"/>
        </w:rPr>
        <w:t>6</w:t>
      </w:r>
      <w:r>
        <w:rPr>
          <w:rFonts w:hint="eastAsia" w:ascii="黑体" w:hAnsi="黑体" w:eastAsia="黑体" w:cs="黑体"/>
          <w:bCs/>
        </w:rPr>
        <w:t xml:space="preserve">  试验方法</w:t>
      </w:r>
    </w:p>
    <w:p>
      <w:pPr>
        <w:pStyle w:val="32"/>
        <w:keepNext w:val="0"/>
        <w:keepLines w:val="0"/>
        <w:pageBreakBefore w:val="0"/>
        <w:kinsoku/>
        <w:wordWrap/>
        <w:overflowPunct/>
        <w:topLinePunct w:val="0"/>
        <w:bidi w:val="0"/>
        <w:adjustRightInd/>
        <w:spacing w:before="156" w:beforeLines="50" w:after="156" w:afterLines="50" w:line="240" w:lineRule="auto"/>
        <w:ind w:firstLine="0" w:firstLineChars="0"/>
        <w:textAlignment w:val="auto"/>
        <w:rPr>
          <w:rFonts w:hint="eastAsia" w:ascii="黑体" w:hAnsi="黑体" w:eastAsia="黑体" w:cs="黑体"/>
          <w:szCs w:val="21"/>
        </w:rPr>
      </w:pPr>
      <w:r>
        <w:rPr>
          <w:rFonts w:hint="eastAsia" w:ascii="黑体" w:hAnsi="黑体" w:eastAsia="黑体" w:cs="黑体"/>
          <w:szCs w:val="21"/>
          <w:lang w:val="en-US" w:eastAsia="zh-CN"/>
        </w:rPr>
        <w:t>6</w:t>
      </w:r>
      <w:r>
        <w:rPr>
          <w:rFonts w:hint="eastAsia" w:ascii="黑体" w:hAnsi="黑体" w:eastAsia="黑体" w:cs="黑体"/>
          <w:szCs w:val="21"/>
        </w:rPr>
        <w:t>.1  化学成分测定</w:t>
      </w:r>
    </w:p>
    <w:p>
      <w:pPr>
        <w:pStyle w:val="32"/>
        <w:keepNext w:val="0"/>
        <w:keepLines w:val="0"/>
        <w:pageBreakBefore w:val="0"/>
        <w:kinsoku/>
        <w:wordWrap/>
        <w:overflowPunct/>
        <w:topLinePunct w:val="0"/>
        <w:bidi w:val="0"/>
        <w:adjustRightInd/>
        <w:spacing w:line="240" w:lineRule="auto"/>
        <w:ind w:firstLine="0" w:firstLineChars="0"/>
        <w:textAlignment w:val="auto"/>
        <w:rPr>
          <w:rFonts w:ascii="Times New Roman" w:eastAsiaTheme="minorEastAsia"/>
        </w:rPr>
      </w:pPr>
      <w:r>
        <w:rPr>
          <w:rFonts w:hint="eastAsia" w:ascii="黑体" w:hAnsi="黑体" w:eastAsia="黑体" w:cs="黑体"/>
          <w:lang w:val="en-US" w:eastAsia="zh-CN"/>
        </w:rPr>
        <w:t>6</w:t>
      </w:r>
      <w:r>
        <w:rPr>
          <w:rFonts w:hint="eastAsia" w:ascii="黑体" w:hAnsi="黑体" w:eastAsia="黑体" w:cs="黑体"/>
        </w:rPr>
        <w:t>.1.1</w:t>
      </w:r>
      <w:r>
        <w:rPr>
          <w:rFonts w:hint="eastAsia" w:ascii="Times New Roman" w:eastAsiaTheme="minorEastAsia"/>
        </w:rPr>
        <w:t xml:space="preserve">  </w:t>
      </w:r>
      <w:r>
        <w:rPr>
          <w:rFonts w:hint="eastAsia" w:ascii="Times New Roman" w:eastAsiaTheme="minorEastAsia"/>
          <w:lang w:val="en-US" w:eastAsia="zh-CN"/>
        </w:rPr>
        <w:t>产品</w:t>
      </w:r>
      <w:r>
        <w:rPr>
          <w:rFonts w:hint="eastAsia" w:ascii="Times New Roman" w:eastAsiaTheme="minorEastAsia"/>
        </w:rPr>
        <w:t>中的钴含量</w:t>
      </w:r>
      <w:r>
        <w:rPr>
          <w:rFonts w:hint="eastAsia" w:ascii="Times New Roman" w:eastAsiaTheme="minorEastAsia"/>
          <w:color w:val="auto"/>
        </w:rPr>
        <w:t>按</w:t>
      </w:r>
      <w:r>
        <w:rPr>
          <w:rFonts w:hint="eastAsia" w:ascii="Times New Roman" w:eastAsiaTheme="minorEastAsia"/>
          <w:color w:val="auto"/>
          <w:lang w:val="en-US" w:eastAsia="zh-CN"/>
        </w:rPr>
        <w:t>YS/T 1332.1</w:t>
      </w:r>
      <w:r>
        <w:rPr>
          <w:rFonts w:hint="eastAsia" w:ascii="Times New Roman" w:eastAsiaTheme="minorEastAsia"/>
          <w:color w:val="auto"/>
        </w:rPr>
        <w:t>的</w:t>
      </w:r>
      <w:r>
        <w:rPr>
          <w:rFonts w:hint="eastAsia" w:ascii="Times New Roman" w:eastAsiaTheme="minorEastAsia"/>
        </w:rPr>
        <w:t>规定进行测定。</w:t>
      </w:r>
    </w:p>
    <w:p>
      <w:pPr>
        <w:pStyle w:val="32"/>
        <w:keepNext w:val="0"/>
        <w:keepLines w:val="0"/>
        <w:pageBreakBefore w:val="0"/>
        <w:kinsoku/>
        <w:wordWrap/>
        <w:overflowPunct/>
        <w:topLinePunct w:val="0"/>
        <w:bidi w:val="0"/>
        <w:adjustRightInd/>
        <w:spacing w:line="240" w:lineRule="auto"/>
        <w:ind w:firstLine="0" w:firstLineChars="0"/>
        <w:textAlignment w:val="auto"/>
        <w:rPr>
          <w:rFonts w:hint="eastAsia" w:ascii="Times New Roman" w:hAnsi="Times New Roman" w:cs="Times New Roman" w:eastAsiaTheme="minorEastAsia"/>
          <w:lang w:val="en-US" w:eastAsia="zh-CN"/>
        </w:rPr>
      </w:pPr>
      <w:r>
        <w:rPr>
          <w:rFonts w:hint="eastAsia" w:ascii="黑体" w:hAnsi="黑体" w:eastAsia="黑体" w:cs="黑体"/>
          <w:lang w:val="en-US" w:eastAsia="zh-CN"/>
        </w:rPr>
        <w:t>6</w:t>
      </w:r>
      <w:r>
        <w:rPr>
          <w:rFonts w:hint="eastAsia" w:ascii="黑体" w:hAnsi="黑体" w:eastAsia="黑体" w:cs="黑体"/>
        </w:rPr>
        <w:t>.1.2</w:t>
      </w:r>
      <w:r>
        <w:rPr>
          <w:rFonts w:hint="eastAsia" w:ascii="Times New Roman" w:eastAsiaTheme="minorEastAsia"/>
        </w:rPr>
        <w:t xml:space="preserve">  </w:t>
      </w:r>
      <w:r>
        <w:rPr>
          <w:rFonts w:hint="eastAsia" w:ascii="Times New Roman" w:hAnsi="Times New Roman" w:cs="Times New Roman" w:eastAsiaTheme="minorEastAsia"/>
          <w:lang w:eastAsia="zh-CN"/>
        </w:rPr>
        <w:t>产品</w:t>
      </w:r>
      <w:r>
        <w:rPr>
          <w:rFonts w:hint="eastAsia" w:ascii="Times New Roman" w:hAnsi="Times New Roman" w:cs="Times New Roman" w:eastAsiaTheme="minorEastAsia"/>
        </w:rPr>
        <w:t>中的铜含量</w:t>
      </w:r>
      <w:r>
        <w:rPr>
          <w:rFonts w:hint="eastAsia" w:ascii="Times New Roman" w:hAnsi="Times New Roman" w:cs="Times New Roman" w:eastAsiaTheme="minorEastAsia"/>
          <w:lang w:val="en-US" w:eastAsia="zh-CN"/>
        </w:rPr>
        <w:t>按</w:t>
      </w:r>
      <w:r>
        <w:rPr>
          <w:rFonts w:hint="default" w:ascii="Times New Roman" w:hAnsi="Times New Roman" w:eastAsia="宋体" w:cs="Times New Roman"/>
          <w:kern w:val="0"/>
          <w:sz w:val="21"/>
          <w:szCs w:val="21"/>
          <w:lang w:bidi="ar"/>
        </w:rPr>
        <w:t>YS/T 349.2</w:t>
      </w:r>
      <w:r>
        <w:rPr>
          <w:rFonts w:hint="eastAsia" w:ascii="Times New Roman" w:hAnsi="Times New Roman" w:cs="Times New Roman" w:eastAsiaTheme="minorEastAsia"/>
        </w:rPr>
        <w:t>的规定进行</w:t>
      </w:r>
      <w:r>
        <w:rPr>
          <w:rFonts w:hint="eastAsia" w:ascii="Times New Roman" w:hAnsi="Times New Roman" w:cs="Times New Roman" w:eastAsiaTheme="minorEastAsia"/>
          <w:lang w:val="en-US" w:eastAsia="zh-CN"/>
        </w:rPr>
        <w:t>测定</w:t>
      </w:r>
      <w:r>
        <w:rPr>
          <w:rFonts w:hint="eastAsia" w:ascii="Times New Roman" w:cs="Times New Roman" w:eastAsiaTheme="minorEastAsia"/>
          <w:lang w:val="en-US" w:eastAsia="zh-CN"/>
        </w:rPr>
        <w:t>。</w:t>
      </w:r>
    </w:p>
    <w:p>
      <w:pPr>
        <w:pStyle w:val="32"/>
        <w:keepNext w:val="0"/>
        <w:keepLines w:val="0"/>
        <w:pageBreakBefore w:val="0"/>
        <w:kinsoku/>
        <w:wordWrap/>
        <w:overflowPunct/>
        <w:topLinePunct w:val="0"/>
        <w:bidi w:val="0"/>
        <w:adjustRightInd/>
        <w:spacing w:line="240" w:lineRule="auto"/>
        <w:ind w:firstLine="0" w:firstLineChars="0"/>
        <w:textAlignment w:val="auto"/>
        <w:rPr>
          <w:rFonts w:hint="eastAsia" w:ascii="Times New Roman" w:hAnsi="Times New Roman" w:cs="Times New Roman" w:eastAsiaTheme="minorEastAsia"/>
          <w:lang w:val="en-US" w:eastAsia="zh-CN"/>
        </w:rPr>
      </w:pPr>
      <w:r>
        <w:rPr>
          <w:rFonts w:hint="eastAsia" w:ascii="黑体" w:hAnsi="黑体" w:eastAsia="黑体" w:cs="黑体"/>
          <w:lang w:val="en-US" w:eastAsia="zh-CN"/>
        </w:rPr>
        <w:t>6.1.3</w:t>
      </w:r>
      <w:r>
        <w:rPr>
          <w:rFonts w:hint="eastAsia" w:ascii="Times New Roman" w:hAnsi="Times New Roman" w:cs="Times New Roman" w:eastAsiaTheme="minorEastAsia"/>
          <w:lang w:val="en-US" w:eastAsia="zh-CN"/>
        </w:rPr>
        <w:t xml:space="preserve">  产品中的镍含量按YS/T 953.1的规定进行测定。</w:t>
      </w:r>
    </w:p>
    <w:p>
      <w:pPr>
        <w:outlineLvl w:val="2"/>
        <w:rPr>
          <w:rFonts w:hint="eastAsia" w:eastAsiaTheme="minorEastAsia"/>
          <w:szCs w:val="22"/>
        </w:rPr>
      </w:pPr>
      <w:r>
        <w:rPr>
          <w:rFonts w:hint="eastAsia" w:ascii="黑体" w:hAnsi="黑体" w:eastAsia="黑体" w:cs="黑体"/>
          <w:lang w:val="en-US" w:eastAsia="zh-CN"/>
        </w:rPr>
        <w:t>6.1.4</w:t>
      </w:r>
      <w:r>
        <w:rPr>
          <w:rFonts w:hint="eastAsia" w:ascii="Times New Roman" w:eastAsiaTheme="minorEastAsia"/>
          <w:lang w:val="en-US" w:eastAsia="zh-CN"/>
        </w:rPr>
        <w:t xml:space="preserve">  </w:t>
      </w:r>
      <w:r>
        <w:rPr>
          <w:rFonts w:hint="eastAsia" w:ascii="Times New Roman" w:hAnsi="Times New Roman" w:cs="Times New Roman" w:eastAsiaTheme="minorEastAsia"/>
          <w:lang w:val="en-US" w:eastAsia="zh-CN"/>
        </w:rPr>
        <w:t>产品</w:t>
      </w:r>
      <w:r>
        <w:rPr>
          <w:rFonts w:hint="eastAsia" w:ascii="Times New Roman" w:hAnsi="Times New Roman" w:cs="Times New Roman" w:eastAsiaTheme="minorEastAsia"/>
        </w:rPr>
        <w:t>中的硫含量</w:t>
      </w:r>
      <w:r>
        <w:rPr>
          <w:rFonts w:hint="eastAsia" w:eastAsiaTheme="minorEastAsia"/>
          <w:szCs w:val="22"/>
        </w:rPr>
        <w:t>在15%~25%范围内时按YS/T 252.5的规定进行测定，</w:t>
      </w:r>
      <w:r>
        <w:rPr>
          <w:rFonts w:eastAsiaTheme="minorEastAsia"/>
          <w:color w:val="000000"/>
          <w:shd w:val="clear" w:color="auto" w:fill="FFFFFF"/>
        </w:rPr>
        <w:t>YS/T 252.</w:t>
      </w:r>
      <w:r>
        <w:rPr>
          <w:rFonts w:hint="eastAsia" w:eastAsiaTheme="minorEastAsia"/>
          <w:color w:val="000000"/>
          <w:shd w:val="clear" w:color="auto" w:fill="FFFFFF"/>
        </w:rPr>
        <w:t>5分析方法测定范围之外的化学成分，其分析方法由供需双方协商确定</w:t>
      </w:r>
      <w:r>
        <w:rPr>
          <w:rFonts w:hint="eastAsia" w:eastAsiaTheme="minorEastAsia"/>
          <w:szCs w:val="22"/>
        </w:rPr>
        <w:t>。</w:t>
      </w:r>
    </w:p>
    <w:p>
      <w:pPr>
        <w:pStyle w:val="32"/>
        <w:ind w:firstLine="0" w:firstLineChars="0"/>
        <w:outlineLvl w:val="2"/>
        <w:rPr>
          <w:rFonts w:hint="eastAsia" w:ascii="Times New Roman" w:hAnsi="Times New Roman" w:cs="Times New Roman" w:eastAsiaTheme="minorEastAsia"/>
          <w:lang w:val="en-US" w:eastAsia="zh-CN"/>
        </w:rPr>
      </w:pPr>
      <w:r>
        <w:rPr>
          <w:rFonts w:hint="eastAsia" w:ascii="黑体" w:hAnsi="黑体" w:eastAsia="黑体" w:cs="黑体"/>
          <w:lang w:val="en-US" w:eastAsia="zh-CN"/>
        </w:rPr>
        <w:t>6.1.5</w:t>
      </w:r>
      <w:r>
        <w:rPr>
          <w:rFonts w:hint="eastAsia" w:ascii="Times New Roman" w:eastAsiaTheme="minorEastAsia"/>
          <w:lang w:val="en-US" w:eastAsia="zh-CN"/>
        </w:rPr>
        <w:t xml:space="preserve">  </w:t>
      </w:r>
      <w:r>
        <w:rPr>
          <w:rFonts w:hint="eastAsia" w:ascii="Times New Roman" w:eastAsiaTheme="minorEastAsia"/>
        </w:rPr>
        <w:t>产品</w:t>
      </w:r>
      <w:r>
        <w:rPr>
          <w:rFonts w:ascii="Times New Roman" w:eastAsiaTheme="minorEastAsia"/>
        </w:rPr>
        <w:t>中的铁含量</w:t>
      </w:r>
      <w:r>
        <w:rPr>
          <w:rFonts w:hint="eastAsia" w:ascii="Times New Roman" w:eastAsiaTheme="minorEastAsia"/>
          <w:lang w:val="en-US" w:eastAsia="zh-CN"/>
        </w:rPr>
        <w:t>不大于</w:t>
      </w:r>
      <w:r>
        <w:rPr>
          <w:rFonts w:hint="eastAsia" w:ascii="Times New Roman" w:eastAsiaTheme="minorEastAsia"/>
        </w:rPr>
        <w:t>7%时按YS/T 252.2</w:t>
      </w:r>
      <w:r>
        <w:rPr>
          <w:rFonts w:ascii="Times New Roman" w:eastAsiaTheme="minorEastAsia"/>
        </w:rPr>
        <w:t>的规定进行</w:t>
      </w:r>
      <w:r>
        <w:rPr>
          <w:rFonts w:hint="eastAsia" w:ascii="Times New Roman" w:eastAsiaTheme="minorEastAsia"/>
        </w:rPr>
        <w:t>测定，</w:t>
      </w:r>
      <w:r>
        <w:rPr>
          <w:rFonts w:ascii="Times New Roman" w:eastAsiaTheme="minorEastAsia"/>
          <w:color w:val="000000"/>
          <w:shd w:val="clear" w:color="auto" w:fill="FFFFFF"/>
        </w:rPr>
        <w:t>YS/T 252.</w:t>
      </w:r>
      <w:r>
        <w:rPr>
          <w:rFonts w:hint="eastAsia" w:ascii="Times New Roman" w:eastAsiaTheme="minorEastAsia"/>
          <w:color w:val="000000"/>
          <w:shd w:val="clear" w:color="auto" w:fill="FFFFFF"/>
        </w:rPr>
        <w:t>2分析方法测定范围之外的化学成分，其分析方法由供需双方协商确定</w:t>
      </w:r>
      <w:r>
        <w:rPr>
          <w:rFonts w:ascii="Times New Roman" w:eastAsiaTheme="minorEastAsia"/>
        </w:rPr>
        <w:t>。</w:t>
      </w:r>
    </w:p>
    <w:p>
      <w:pPr>
        <w:pStyle w:val="32"/>
        <w:keepNext w:val="0"/>
        <w:keepLines w:val="0"/>
        <w:pageBreakBefore w:val="0"/>
        <w:kinsoku/>
        <w:wordWrap/>
        <w:overflowPunct/>
        <w:topLinePunct w:val="0"/>
        <w:bidi w:val="0"/>
        <w:adjustRightInd/>
        <w:spacing w:line="240" w:lineRule="auto"/>
        <w:ind w:firstLine="0" w:firstLineChars="0"/>
        <w:textAlignment w:val="auto"/>
        <w:rPr>
          <w:rFonts w:hint="eastAsia" w:ascii="Times New Roman" w:eastAsiaTheme="minorEastAsia"/>
        </w:rPr>
      </w:pPr>
      <w:r>
        <w:rPr>
          <w:rFonts w:hint="eastAsia" w:ascii="黑体" w:hAnsi="黑体" w:eastAsia="黑体" w:cs="黑体"/>
          <w:lang w:val="en-US" w:eastAsia="zh-CN"/>
        </w:rPr>
        <w:t>6.1.6</w:t>
      </w:r>
      <w:r>
        <w:rPr>
          <w:rFonts w:hint="eastAsia" w:ascii="Times New Roman" w:eastAsiaTheme="minorEastAsia"/>
          <w:lang w:val="en-US" w:eastAsia="zh-CN"/>
        </w:rPr>
        <w:t xml:space="preserve">  产品中的铬含量不大于0.1%时按</w:t>
      </w:r>
      <w:r>
        <w:rPr>
          <w:rFonts w:hint="eastAsia" w:ascii="Times New Roman" w:eastAsiaTheme="minorEastAsia"/>
        </w:rPr>
        <w:t>YS/T 1658.</w:t>
      </w:r>
      <w:r>
        <w:rPr>
          <w:rFonts w:hint="eastAsia" w:ascii="Times New Roman" w:eastAsiaTheme="minorEastAsia"/>
          <w:lang w:val="en-US" w:eastAsia="zh-CN"/>
        </w:rPr>
        <w:t>2</w:t>
      </w:r>
      <w:r>
        <w:rPr>
          <w:rFonts w:hint="eastAsia" w:ascii="Times New Roman" w:eastAsiaTheme="minorEastAsia"/>
        </w:rPr>
        <w:t>的规定进行测定</w:t>
      </w:r>
      <w:r>
        <w:rPr>
          <w:rFonts w:hint="eastAsia" w:ascii="Times New Roman" w:eastAsiaTheme="minorEastAsia"/>
          <w:lang w:eastAsia="zh-CN"/>
        </w:rPr>
        <w:t>，</w:t>
      </w:r>
      <w:r>
        <w:rPr>
          <w:rFonts w:hint="eastAsia" w:ascii="Times New Roman" w:eastAsiaTheme="minorEastAsia"/>
        </w:rPr>
        <w:t>YS/T 1658.</w:t>
      </w:r>
      <w:r>
        <w:rPr>
          <w:rFonts w:hint="eastAsia" w:ascii="Times New Roman" w:eastAsiaTheme="minorEastAsia"/>
          <w:lang w:val="en-US" w:eastAsia="zh-CN"/>
        </w:rPr>
        <w:t>2分析方法测定范围之外的化学成分，其分析方法</w:t>
      </w:r>
      <w:r>
        <w:rPr>
          <w:rFonts w:hint="eastAsia" w:ascii="Times New Roman" w:eastAsiaTheme="minorEastAsia"/>
          <w:color w:val="000000"/>
          <w:shd w:val="clear" w:color="auto" w:fill="FFFFFF"/>
        </w:rPr>
        <w:t>由供需双方协商确定</w:t>
      </w:r>
      <w:r>
        <w:rPr>
          <w:rFonts w:ascii="Times New Roman" w:eastAsiaTheme="minorEastAsia"/>
        </w:rPr>
        <w:t>。</w:t>
      </w:r>
    </w:p>
    <w:p>
      <w:pPr>
        <w:pStyle w:val="32"/>
        <w:keepNext w:val="0"/>
        <w:keepLines w:val="0"/>
        <w:pageBreakBefore w:val="0"/>
        <w:kinsoku/>
        <w:wordWrap/>
        <w:overflowPunct/>
        <w:topLinePunct w:val="0"/>
        <w:bidi w:val="0"/>
        <w:adjustRightInd/>
        <w:spacing w:line="240" w:lineRule="auto"/>
        <w:ind w:firstLine="0" w:firstLineChars="0"/>
        <w:textAlignment w:val="auto"/>
        <w:rPr>
          <w:rFonts w:hint="default" w:ascii="Times New Roman" w:eastAsiaTheme="minorEastAsia"/>
          <w:lang w:val="en-US" w:eastAsia="zh-CN"/>
        </w:rPr>
      </w:pPr>
      <w:r>
        <w:rPr>
          <w:rFonts w:hint="eastAsia" w:ascii="黑体" w:hAnsi="黑体" w:eastAsia="黑体" w:cs="黑体"/>
          <w:lang w:val="en-US" w:eastAsia="zh-CN"/>
        </w:rPr>
        <w:t>6.1.7</w:t>
      </w:r>
      <w:r>
        <w:rPr>
          <w:rFonts w:hint="eastAsia" w:ascii="Times New Roman" w:eastAsiaTheme="minorEastAsia"/>
        </w:rPr>
        <w:t xml:space="preserve"> </w:t>
      </w:r>
      <w:r>
        <w:rPr>
          <w:rFonts w:ascii="Times New Roman" w:eastAsiaTheme="minorEastAsia"/>
        </w:rPr>
        <w:t xml:space="preserve"> </w:t>
      </w:r>
      <w:r>
        <w:rPr>
          <w:rFonts w:hint="eastAsia" w:ascii="Times New Roman" w:eastAsiaTheme="minorEastAsia"/>
          <w:lang w:val="en-US" w:eastAsia="zh-CN"/>
        </w:rPr>
        <w:t>产品</w:t>
      </w:r>
      <w:r>
        <w:rPr>
          <w:rFonts w:hint="eastAsia" w:ascii="Times New Roman" w:eastAsiaTheme="minorEastAsia"/>
        </w:rPr>
        <w:t>中的</w:t>
      </w:r>
      <w:r>
        <w:rPr>
          <w:rFonts w:hint="eastAsia" w:ascii="Times New Roman" w:eastAsiaTheme="minorEastAsia"/>
          <w:lang w:val="en-US" w:eastAsia="zh-CN"/>
        </w:rPr>
        <w:t>镉、铅、砷含量按</w:t>
      </w:r>
      <w:r>
        <w:rPr>
          <w:rFonts w:hint="eastAsia" w:ascii="Times New Roman" w:eastAsiaTheme="minorEastAsia"/>
          <w:kern w:val="2"/>
          <w:szCs w:val="22"/>
        </w:rPr>
        <w:t>YS/T 1658.4</w:t>
      </w:r>
      <w:r>
        <w:rPr>
          <w:rFonts w:hint="eastAsia" w:ascii="Times New Roman" w:eastAsiaTheme="minorEastAsia"/>
          <w:kern w:val="2"/>
          <w:szCs w:val="22"/>
          <w:lang w:val="en-US" w:eastAsia="zh-CN"/>
        </w:rPr>
        <w:t>的规定进行测定，</w:t>
      </w:r>
      <w:r>
        <w:rPr>
          <w:rFonts w:hint="eastAsia" w:ascii="Times New Roman" w:eastAsiaTheme="minorEastAsia"/>
          <w:kern w:val="2"/>
          <w:szCs w:val="22"/>
        </w:rPr>
        <w:t>YS/T 1658.4</w:t>
      </w:r>
      <w:r>
        <w:rPr>
          <w:rFonts w:hint="eastAsia" w:eastAsiaTheme="minorEastAsia"/>
          <w:color w:val="000000"/>
          <w:shd w:val="clear" w:color="auto" w:fill="FFFFFF"/>
        </w:rPr>
        <w:t>分析方法测定范围之外的化学成分，其分析方法由供需双方协商确定</w:t>
      </w:r>
      <w:r>
        <w:rPr>
          <w:rFonts w:hint="eastAsia" w:ascii="Times New Roman" w:eastAsiaTheme="minorEastAsia"/>
          <w:kern w:val="2"/>
          <w:szCs w:val="22"/>
          <w:lang w:val="en-US" w:eastAsia="zh-CN"/>
        </w:rPr>
        <w:t>。</w:t>
      </w:r>
    </w:p>
    <w:p>
      <w:pPr>
        <w:pStyle w:val="32"/>
        <w:keepNext w:val="0"/>
        <w:keepLines w:val="0"/>
        <w:pageBreakBefore w:val="0"/>
        <w:kinsoku/>
        <w:wordWrap/>
        <w:overflowPunct/>
        <w:topLinePunct w:val="0"/>
        <w:bidi w:val="0"/>
        <w:adjustRightInd/>
        <w:spacing w:line="240" w:lineRule="auto"/>
        <w:ind w:firstLine="0" w:firstLineChars="0"/>
        <w:textAlignment w:val="auto"/>
        <w:rPr>
          <w:rFonts w:hint="eastAsia" w:ascii="Times New Roman" w:eastAsiaTheme="minorEastAsia"/>
        </w:rPr>
      </w:pPr>
      <w:r>
        <w:rPr>
          <w:rFonts w:hint="eastAsia" w:ascii="黑体" w:hAnsi="黑体" w:eastAsia="黑体" w:cs="黑体"/>
          <w:lang w:val="en-US" w:eastAsia="zh-CN"/>
        </w:rPr>
        <w:t>6.1.8</w:t>
      </w:r>
      <w:r>
        <w:rPr>
          <w:rFonts w:hint="eastAsia" w:ascii="Times New Roman" w:eastAsiaTheme="minorEastAsia"/>
        </w:rPr>
        <w:t xml:space="preserve"> </w:t>
      </w:r>
      <w:r>
        <w:rPr>
          <w:rFonts w:ascii="Times New Roman" w:eastAsiaTheme="minorEastAsia"/>
        </w:rPr>
        <w:t xml:space="preserve"> </w:t>
      </w:r>
      <w:r>
        <w:rPr>
          <w:rFonts w:hint="eastAsia" w:ascii="Times New Roman" w:eastAsiaTheme="minorEastAsia"/>
          <w:lang w:val="en-US" w:eastAsia="zh-CN"/>
        </w:rPr>
        <w:t>产品</w:t>
      </w:r>
      <w:r>
        <w:rPr>
          <w:rFonts w:hint="eastAsia" w:ascii="Times New Roman" w:eastAsiaTheme="minorEastAsia"/>
        </w:rPr>
        <w:t>中的</w:t>
      </w:r>
      <w:r>
        <w:rPr>
          <w:rFonts w:hint="eastAsia" w:ascii="Times New Roman" w:eastAsiaTheme="minorEastAsia"/>
          <w:lang w:val="en-US" w:eastAsia="zh-CN"/>
        </w:rPr>
        <w:t>硅、镁</w:t>
      </w:r>
      <w:r>
        <w:rPr>
          <w:rFonts w:hint="eastAsia" w:ascii="Times New Roman" w:eastAsiaTheme="minorEastAsia"/>
        </w:rPr>
        <w:t>含量</w:t>
      </w:r>
      <w:r>
        <w:rPr>
          <w:rStyle w:val="19"/>
          <w:rFonts w:hint="eastAsia" w:ascii="Times New Roman" w:cs="Times New Roman"/>
          <w:b w:val="0"/>
          <w:i w:val="0"/>
          <w:caps w:val="0"/>
          <w:color w:val="auto"/>
          <w:spacing w:val="0"/>
          <w:sz w:val="21"/>
          <w:szCs w:val="21"/>
          <w:shd w:val="clear" w:color="auto" w:fill="FFFFFF"/>
          <w:lang w:val="en-US" w:eastAsia="zh-CN"/>
        </w:rPr>
        <w:t>由</w:t>
      </w:r>
      <w:r>
        <w:rPr>
          <w:rFonts w:hint="eastAsia" w:ascii="Times New Roman" w:hAnsi="Times New Roman" w:cs="Times New Roman"/>
          <w:b w:val="0"/>
          <w:kern w:val="0"/>
          <w:sz w:val="21"/>
          <w:szCs w:val="21"/>
          <w:lang w:val="en-US" w:eastAsia="zh-CN" w:bidi="ar"/>
        </w:rPr>
        <w:t>供需双方协商确定检测方法进行测定。</w:t>
      </w:r>
    </w:p>
    <w:p>
      <w:pPr>
        <w:pStyle w:val="32"/>
        <w:keepNext w:val="0"/>
        <w:keepLines w:val="0"/>
        <w:pageBreakBefore w:val="0"/>
        <w:kinsoku/>
        <w:wordWrap/>
        <w:overflowPunct/>
        <w:topLinePunct w:val="0"/>
        <w:bidi w:val="0"/>
        <w:adjustRightInd/>
        <w:spacing w:before="156" w:beforeLines="50" w:after="156" w:afterLines="50" w:line="240" w:lineRule="auto"/>
        <w:ind w:firstLine="0" w:firstLineChars="0"/>
        <w:textAlignment w:val="auto"/>
        <w:rPr>
          <w:rFonts w:hint="eastAsia" w:ascii="黑体" w:hAnsi="黑体" w:eastAsia="黑体" w:cs="黑体"/>
          <w:szCs w:val="21"/>
        </w:rPr>
      </w:pPr>
      <w:r>
        <w:rPr>
          <w:rFonts w:hint="eastAsia" w:ascii="黑体" w:hAnsi="黑体" w:eastAsia="黑体" w:cs="黑体"/>
          <w:szCs w:val="21"/>
          <w:lang w:val="en-US" w:eastAsia="zh-CN"/>
        </w:rPr>
        <w:t>6</w:t>
      </w:r>
      <w:r>
        <w:rPr>
          <w:rFonts w:hint="eastAsia" w:ascii="黑体" w:hAnsi="黑体" w:eastAsia="黑体" w:cs="黑体"/>
          <w:szCs w:val="21"/>
        </w:rPr>
        <w:t>.2  水分测定</w:t>
      </w:r>
    </w:p>
    <w:p>
      <w:pPr>
        <w:pStyle w:val="32"/>
        <w:ind w:firstLine="420"/>
        <w:rPr>
          <w:rFonts w:ascii="Times New Roman" w:eastAsiaTheme="minorEastAsia"/>
          <w:szCs w:val="21"/>
        </w:rPr>
      </w:pPr>
      <w:r>
        <w:rPr>
          <w:rFonts w:hint="eastAsia" w:ascii="Times New Roman" w:eastAsiaTheme="minorEastAsia"/>
        </w:rPr>
        <w:t>产品</w:t>
      </w:r>
      <w:r>
        <w:rPr>
          <w:rFonts w:ascii="Times New Roman" w:eastAsiaTheme="minorEastAsia"/>
        </w:rPr>
        <w:t>中的</w:t>
      </w:r>
      <w:r>
        <w:rPr>
          <w:rFonts w:hint="eastAsia" w:ascii="Times New Roman" w:eastAsiaTheme="minorEastAsia"/>
        </w:rPr>
        <w:t>水分</w:t>
      </w:r>
      <w:r>
        <w:rPr>
          <w:rFonts w:hint="eastAsia" w:ascii="Times New Roman" w:eastAsiaTheme="minorEastAsia"/>
          <w:lang w:val="en-US" w:eastAsia="zh-CN"/>
        </w:rPr>
        <w:t>不小于</w:t>
      </w:r>
      <w:r>
        <w:rPr>
          <w:rFonts w:hint="eastAsia" w:ascii="Times New Roman" w:eastAsiaTheme="minorEastAsia"/>
        </w:rPr>
        <w:t xml:space="preserve">5%时按YS/T </w:t>
      </w:r>
      <w:r>
        <w:rPr>
          <w:rFonts w:ascii="Times New Roman" w:eastAsiaTheme="minorEastAsia"/>
          <w:szCs w:val="22"/>
        </w:rPr>
        <w:t>1658.</w:t>
      </w:r>
      <w:r>
        <w:rPr>
          <w:rFonts w:hint="eastAsia" w:ascii="Times New Roman" w:eastAsiaTheme="minorEastAsia"/>
          <w:szCs w:val="22"/>
        </w:rPr>
        <w:t>5</w:t>
      </w:r>
      <w:r>
        <w:rPr>
          <w:rFonts w:ascii="Times New Roman" w:eastAsiaTheme="minorEastAsia"/>
        </w:rPr>
        <w:t>的规定进行</w:t>
      </w:r>
      <w:r>
        <w:rPr>
          <w:rFonts w:hint="eastAsia" w:ascii="Times New Roman" w:eastAsiaTheme="minorEastAsia"/>
        </w:rPr>
        <w:t>测定，</w:t>
      </w:r>
      <w:r>
        <w:rPr>
          <w:rFonts w:ascii="Times New Roman" w:eastAsiaTheme="minorEastAsia"/>
          <w:color w:val="000000"/>
          <w:shd w:val="clear" w:color="auto" w:fill="FFFFFF"/>
        </w:rPr>
        <w:t xml:space="preserve">YS/T </w:t>
      </w:r>
      <w:r>
        <w:rPr>
          <w:rFonts w:hint="eastAsia" w:ascii="Times New Roman" w:eastAsiaTheme="minorEastAsia"/>
          <w:color w:val="000000"/>
          <w:shd w:val="clear" w:color="auto" w:fill="FFFFFF"/>
        </w:rPr>
        <w:t>1658.5分析方法测定范围之外的水分，其分析方法由供需双方协商确定</w:t>
      </w:r>
      <w:r>
        <w:rPr>
          <w:rFonts w:ascii="Times New Roman" w:eastAsiaTheme="minorEastAsia"/>
        </w:rPr>
        <w:t>。</w:t>
      </w:r>
    </w:p>
    <w:p>
      <w:pPr>
        <w:pStyle w:val="32"/>
        <w:keepNext w:val="0"/>
        <w:keepLines w:val="0"/>
        <w:pageBreakBefore w:val="0"/>
        <w:kinsoku/>
        <w:wordWrap/>
        <w:overflowPunct/>
        <w:topLinePunct w:val="0"/>
        <w:bidi w:val="0"/>
        <w:adjustRightInd/>
        <w:spacing w:before="156" w:beforeLines="50" w:after="156" w:afterLines="50" w:line="240" w:lineRule="auto"/>
        <w:ind w:firstLine="0" w:firstLineChars="0"/>
        <w:textAlignment w:val="auto"/>
        <w:rPr>
          <w:rFonts w:hint="eastAsia" w:ascii="黑体" w:hAnsi="黑体" w:eastAsia="黑体" w:cs="黑体"/>
          <w:szCs w:val="21"/>
        </w:rPr>
      </w:pPr>
      <w:r>
        <w:rPr>
          <w:rFonts w:hint="eastAsia" w:ascii="黑体" w:hAnsi="黑体" w:eastAsia="黑体" w:cs="黑体"/>
          <w:szCs w:val="21"/>
          <w:lang w:val="en-US" w:eastAsia="zh-CN"/>
        </w:rPr>
        <w:t>6</w:t>
      </w:r>
      <w:r>
        <w:rPr>
          <w:rFonts w:hint="eastAsia" w:ascii="黑体" w:hAnsi="黑体" w:eastAsia="黑体" w:cs="黑体"/>
          <w:szCs w:val="21"/>
        </w:rPr>
        <w:t>.</w:t>
      </w:r>
      <w:r>
        <w:rPr>
          <w:rFonts w:hint="eastAsia" w:ascii="黑体" w:hAnsi="黑体" w:eastAsia="黑体" w:cs="黑体"/>
          <w:szCs w:val="21"/>
          <w:lang w:val="en-US" w:eastAsia="zh-CN"/>
        </w:rPr>
        <w:t>3</w:t>
      </w:r>
      <w:r>
        <w:rPr>
          <w:rFonts w:hint="eastAsia" w:ascii="黑体" w:hAnsi="黑体" w:eastAsia="黑体" w:cs="黑体"/>
          <w:szCs w:val="21"/>
        </w:rPr>
        <w:t xml:space="preserve">  产品粒度</w:t>
      </w:r>
    </w:p>
    <w:p>
      <w:pPr>
        <w:pStyle w:val="32"/>
        <w:ind w:firstLine="420" w:firstLineChars="0"/>
        <w:rPr>
          <w:rFonts w:ascii="Times New Roman" w:eastAsiaTheme="minorEastAsia"/>
          <w:szCs w:val="22"/>
        </w:rPr>
      </w:pPr>
      <w:r>
        <w:rPr>
          <w:rFonts w:hint="eastAsia" w:ascii="Times New Roman" w:eastAsiaTheme="minorEastAsia"/>
        </w:rPr>
        <w:t>产品粒度的测定应使用测定水分后烘干的样品，</w:t>
      </w:r>
      <w:r>
        <w:rPr>
          <w:rFonts w:hint="eastAsia" w:ascii="Times New Roman" w:eastAsiaTheme="minorEastAsia"/>
          <w:szCs w:val="22"/>
        </w:rPr>
        <w:t>采用</w:t>
      </w:r>
      <w:r>
        <w:rPr>
          <w:rFonts w:hint="eastAsia" w:ascii="Times New Roman" w:eastAsiaTheme="minorEastAsia"/>
          <w:szCs w:val="22"/>
          <w:lang w:val="en-US" w:eastAsia="zh-CN"/>
        </w:rPr>
        <w:t>2目</w:t>
      </w:r>
      <w:r>
        <w:rPr>
          <w:rFonts w:hint="eastAsia" w:ascii="Times New Roman" w:eastAsiaTheme="minorEastAsia"/>
          <w:szCs w:val="22"/>
        </w:rPr>
        <w:t>的标准筛</w:t>
      </w:r>
      <w:r>
        <w:rPr>
          <w:rFonts w:hint="eastAsia"/>
          <w:szCs w:val="22"/>
        </w:rPr>
        <w:t>筛分，以筛下物占样品总重量的百分比计算粒度占比</w:t>
      </w:r>
      <w:r>
        <w:rPr>
          <w:rFonts w:hint="eastAsia" w:ascii="Times New Roman" w:eastAsiaTheme="minorEastAsia"/>
          <w:szCs w:val="22"/>
        </w:rPr>
        <w:t>。</w:t>
      </w:r>
    </w:p>
    <w:p>
      <w:pPr>
        <w:pStyle w:val="32"/>
        <w:keepNext w:val="0"/>
        <w:keepLines w:val="0"/>
        <w:pageBreakBefore w:val="0"/>
        <w:kinsoku/>
        <w:wordWrap/>
        <w:overflowPunct/>
        <w:topLinePunct w:val="0"/>
        <w:bidi w:val="0"/>
        <w:adjustRightInd/>
        <w:spacing w:before="156" w:beforeLines="50" w:after="156" w:afterLines="50" w:line="240" w:lineRule="auto"/>
        <w:ind w:firstLine="0" w:firstLineChars="0"/>
        <w:textAlignment w:val="auto"/>
        <w:rPr>
          <w:rFonts w:hint="eastAsia" w:ascii="黑体" w:hAnsi="黑体" w:eastAsia="黑体" w:cs="黑体"/>
          <w:szCs w:val="21"/>
        </w:rPr>
      </w:pPr>
      <w:r>
        <w:rPr>
          <w:rFonts w:hint="eastAsia" w:ascii="黑体" w:hAnsi="黑体" w:eastAsia="黑体" w:cs="黑体"/>
          <w:szCs w:val="21"/>
          <w:lang w:val="en-US" w:eastAsia="zh-CN"/>
        </w:rPr>
        <w:t>6</w:t>
      </w:r>
      <w:r>
        <w:rPr>
          <w:rFonts w:hint="eastAsia" w:ascii="黑体" w:hAnsi="黑体" w:eastAsia="黑体" w:cs="黑体"/>
          <w:szCs w:val="21"/>
        </w:rPr>
        <w:t>.</w:t>
      </w:r>
      <w:r>
        <w:rPr>
          <w:rFonts w:hint="eastAsia" w:ascii="黑体" w:hAnsi="黑体" w:eastAsia="黑体" w:cs="黑体"/>
          <w:szCs w:val="21"/>
          <w:lang w:val="en-US" w:eastAsia="zh-CN"/>
        </w:rPr>
        <w:t>4</w:t>
      </w:r>
      <w:r>
        <w:rPr>
          <w:rFonts w:hint="eastAsia" w:ascii="黑体" w:hAnsi="黑体" w:eastAsia="黑体" w:cs="黑体"/>
          <w:szCs w:val="21"/>
        </w:rPr>
        <w:t xml:space="preserve">  外观质量</w:t>
      </w:r>
    </w:p>
    <w:p>
      <w:pPr>
        <w:pStyle w:val="32"/>
        <w:keepNext w:val="0"/>
        <w:keepLines w:val="0"/>
        <w:pageBreakBefore w:val="0"/>
        <w:kinsoku/>
        <w:wordWrap/>
        <w:overflowPunct/>
        <w:topLinePunct w:val="0"/>
        <w:bidi w:val="0"/>
        <w:adjustRightInd/>
        <w:spacing w:line="240" w:lineRule="auto"/>
        <w:ind w:firstLine="420"/>
        <w:textAlignment w:val="auto"/>
        <w:rPr>
          <w:rFonts w:hint="eastAsia" w:ascii="Times New Roman" w:eastAsiaTheme="minorEastAsia"/>
          <w:szCs w:val="22"/>
        </w:rPr>
      </w:pPr>
      <w:r>
        <w:rPr>
          <w:rFonts w:hint="eastAsia" w:ascii="Times New Roman"/>
          <w:lang w:val="en-US" w:eastAsia="zh-CN"/>
        </w:rPr>
        <w:t>产品</w:t>
      </w:r>
      <w:r>
        <w:rPr>
          <w:rFonts w:ascii="Times New Roman"/>
        </w:rPr>
        <w:t>的外观质量</w:t>
      </w:r>
      <w:r>
        <w:rPr>
          <w:rFonts w:hint="eastAsia" w:ascii="Times New Roman"/>
        </w:rPr>
        <w:t>由目视法</w:t>
      </w:r>
      <w:r>
        <w:rPr>
          <w:rFonts w:ascii="Times New Roman"/>
        </w:rPr>
        <w:t>检查。</w:t>
      </w:r>
    </w:p>
    <w:p>
      <w:pPr>
        <w:keepNext w:val="0"/>
        <w:keepLines w:val="0"/>
        <w:pageBreakBefore w:val="0"/>
        <w:kinsoku/>
        <w:wordWrap/>
        <w:overflowPunct/>
        <w:topLinePunct w:val="0"/>
        <w:bidi w:val="0"/>
        <w:adjustRightInd/>
        <w:spacing w:before="312" w:beforeLines="100" w:after="312" w:afterLines="100" w:line="240" w:lineRule="auto"/>
        <w:textAlignment w:val="auto"/>
        <w:rPr>
          <w:rFonts w:hint="eastAsia" w:ascii="黑体" w:hAnsi="黑体" w:eastAsia="黑体" w:cs="黑体"/>
          <w:bCs/>
        </w:rPr>
      </w:pPr>
      <w:r>
        <w:rPr>
          <w:rFonts w:hint="eastAsia" w:ascii="黑体" w:hAnsi="黑体" w:eastAsia="黑体" w:cs="黑体"/>
          <w:bCs/>
          <w:lang w:val="en-US" w:eastAsia="zh-CN"/>
        </w:rPr>
        <w:t>7</w:t>
      </w:r>
      <w:r>
        <w:rPr>
          <w:rFonts w:hint="eastAsia" w:ascii="黑体" w:hAnsi="黑体" w:eastAsia="黑体" w:cs="黑体"/>
          <w:bCs/>
        </w:rPr>
        <w:t xml:space="preserve">  检验规则</w:t>
      </w:r>
    </w:p>
    <w:p>
      <w:pPr>
        <w:pStyle w:val="32"/>
        <w:keepNext w:val="0"/>
        <w:keepLines w:val="0"/>
        <w:pageBreakBefore w:val="0"/>
        <w:kinsoku/>
        <w:wordWrap/>
        <w:overflowPunct/>
        <w:topLinePunct w:val="0"/>
        <w:bidi w:val="0"/>
        <w:adjustRightInd/>
        <w:spacing w:before="156" w:beforeLines="50" w:after="156" w:afterLines="50" w:line="240" w:lineRule="auto"/>
        <w:ind w:firstLine="0" w:firstLineChars="0"/>
        <w:textAlignment w:val="auto"/>
        <w:rPr>
          <w:rFonts w:hint="eastAsia" w:ascii="黑体" w:hAnsi="黑体" w:eastAsia="黑体" w:cs="黑体"/>
          <w:szCs w:val="21"/>
        </w:rPr>
      </w:pPr>
      <w:r>
        <w:rPr>
          <w:rFonts w:hint="eastAsia" w:ascii="黑体" w:hAnsi="黑体" w:eastAsia="黑体" w:cs="黑体"/>
          <w:szCs w:val="21"/>
          <w:lang w:val="en-US" w:eastAsia="zh-CN"/>
        </w:rPr>
        <w:t>7</w:t>
      </w:r>
      <w:r>
        <w:rPr>
          <w:rFonts w:hint="eastAsia" w:ascii="黑体" w:hAnsi="黑体" w:eastAsia="黑体" w:cs="黑体"/>
          <w:szCs w:val="21"/>
        </w:rPr>
        <w:t>.1  检查和验收</w:t>
      </w:r>
    </w:p>
    <w:p>
      <w:pPr>
        <w:pStyle w:val="32"/>
        <w:keepNext w:val="0"/>
        <w:keepLines w:val="0"/>
        <w:pageBreakBefore w:val="0"/>
        <w:kinsoku/>
        <w:wordWrap/>
        <w:overflowPunct/>
        <w:topLinePunct w:val="0"/>
        <w:bidi w:val="0"/>
        <w:adjustRightInd/>
        <w:spacing w:line="240" w:lineRule="auto"/>
        <w:ind w:firstLine="0" w:firstLineChars="0"/>
        <w:textAlignment w:val="auto"/>
        <w:rPr>
          <w:rFonts w:ascii="Times New Roman"/>
        </w:rPr>
      </w:pPr>
      <w:r>
        <w:rPr>
          <w:rFonts w:hint="eastAsia" w:ascii="黑体" w:hAnsi="黑体" w:eastAsia="黑体" w:cs="黑体"/>
          <w:lang w:val="en-US" w:eastAsia="zh-CN"/>
        </w:rPr>
        <w:t>7</w:t>
      </w:r>
      <w:r>
        <w:rPr>
          <w:rFonts w:hint="eastAsia" w:ascii="黑体" w:hAnsi="黑体" w:eastAsia="黑体" w:cs="黑体"/>
        </w:rPr>
        <w:t>.1.1</w:t>
      </w:r>
      <w:r>
        <w:rPr>
          <w:rFonts w:ascii="Times New Roman" w:eastAsia="黑体"/>
        </w:rPr>
        <w:t xml:space="preserve"> </w:t>
      </w:r>
      <w:r>
        <w:rPr>
          <w:rFonts w:hint="eastAsia" w:ascii="Times New Roman" w:eastAsia="黑体"/>
        </w:rPr>
        <w:t xml:space="preserve"> </w:t>
      </w:r>
      <w:r>
        <w:rPr>
          <w:rFonts w:ascii="Times New Roman"/>
        </w:rPr>
        <w:t>产品由供方</w:t>
      </w:r>
      <w:r>
        <w:rPr>
          <w:rFonts w:hint="eastAsia" w:ascii="Times New Roman"/>
          <w:lang w:val="en-US" w:eastAsia="zh-CN"/>
        </w:rPr>
        <w:t>或第三方</w:t>
      </w:r>
      <w:r>
        <w:rPr>
          <w:rFonts w:ascii="Times New Roman"/>
        </w:rPr>
        <w:t>进行检验，保证产品质量符合本</w:t>
      </w:r>
      <w:r>
        <w:rPr>
          <w:rFonts w:hint="eastAsia" w:ascii="Times New Roman"/>
        </w:rPr>
        <w:t>文件及订货单</w:t>
      </w:r>
      <w:r>
        <w:rPr>
          <w:rFonts w:ascii="Times New Roman"/>
        </w:rPr>
        <w:t>的规定。</w:t>
      </w:r>
    </w:p>
    <w:p>
      <w:pPr>
        <w:pStyle w:val="32"/>
        <w:keepNext w:val="0"/>
        <w:keepLines w:val="0"/>
        <w:pageBreakBefore w:val="0"/>
        <w:kinsoku/>
        <w:wordWrap/>
        <w:overflowPunct/>
        <w:topLinePunct w:val="0"/>
        <w:bidi w:val="0"/>
        <w:adjustRightInd/>
        <w:spacing w:line="240" w:lineRule="auto"/>
        <w:ind w:firstLine="0" w:firstLineChars="0"/>
        <w:textAlignment w:val="auto"/>
        <w:rPr>
          <w:rFonts w:ascii="Times New Roman"/>
        </w:rPr>
      </w:pPr>
      <w:r>
        <w:rPr>
          <w:rFonts w:hint="eastAsia" w:ascii="黑体" w:hAnsi="黑体" w:eastAsia="黑体" w:cs="黑体"/>
          <w:lang w:val="en-US" w:eastAsia="zh-CN"/>
        </w:rPr>
        <w:t>7</w:t>
      </w:r>
      <w:r>
        <w:rPr>
          <w:rFonts w:hint="eastAsia" w:ascii="黑体" w:hAnsi="黑体" w:eastAsia="黑体" w:cs="黑体"/>
        </w:rPr>
        <w:t>.1.2</w:t>
      </w:r>
      <w:r>
        <w:rPr>
          <w:rFonts w:hint="eastAsia" w:ascii="Times New Roman" w:eastAsia="黑体"/>
        </w:rPr>
        <w:t xml:space="preserve"> </w:t>
      </w:r>
      <w:r>
        <w:rPr>
          <w:rFonts w:ascii="Times New Roman" w:eastAsia="黑体"/>
        </w:rPr>
        <w:t xml:space="preserve"> </w:t>
      </w:r>
      <w:r>
        <w:rPr>
          <w:rFonts w:ascii="Times New Roman"/>
        </w:rPr>
        <w:t>需方</w:t>
      </w:r>
      <w:r>
        <w:rPr>
          <w:rFonts w:hint="eastAsia" w:ascii="Times New Roman"/>
        </w:rPr>
        <w:t>可</w:t>
      </w:r>
      <w:r>
        <w:rPr>
          <w:rFonts w:ascii="Times New Roman"/>
        </w:rPr>
        <w:t>对收到的产品按本</w:t>
      </w:r>
      <w:r>
        <w:rPr>
          <w:rFonts w:hint="eastAsia" w:ascii="Times New Roman"/>
        </w:rPr>
        <w:t>文件</w:t>
      </w:r>
      <w:r>
        <w:rPr>
          <w:rFonts w:ascii="Times New Roman"/>
        </w:rPr>
        <w:t>的规定进行检验，</w:t>
      </w:r>
      <w:r>
        <w:rPr>
          <w:rFonts w:hint="eastAsia" w:ascii="Times New Roman"/>
        </w:rPr>
        <w:t>如</w:t>
      </w:r>
      <w:r>
        <w:rPr>
          <w:rFonts w:ascii="Times New Roman"/>
        </w:rPr>
        <w:t>检验结果与本</w:t>
      </w:r>
      <w:r>
        <w:rPr>
          <w:rFonts w:hint="eastAsia" w:ascii="Times New Roman"/>
        </w:rPr>
        <w:t>文件及订货单</w:t>
      </w:r>
      <w:r>
        <w:rPr>
          <w:rFonts w:ascii="Times New Roman"/>
        </w:rPr>
        <w:t>的规定不符时，</w:t>
      </w:r>
      <w:r>
        <w:rPr>
          <w:rFonts w:hint="eastAsia" w:ascii="Times New Roman"/>
        </w:rPr>
        <w:t>应在收到产品之日起30 d内</w:t>
      </w:r>
      <w:r>
        <w:rPr>
          <w:rFonts w:hint="eastAsia" w:ascii="Times New Roman"/>
          <w:lang w:eastAsia="zh-CN"/>
        </w:rPr>
        <w:t>，</w:t>
      </w:r>
      <w:r>
        <w:rPr>
          <w:rFonts w:hint="eastAsia" w:ascii="Times New Roman"/>
        </w:rPr>
        <w:t>以书面形式</w:t>
      </w:r>
      <w:r>
        <w:rPr>
          <w:rFonts w:ascii="Times New Roman"/>
        </w:rPr>
        <w:t>向供方提出，由供需双方协商解决。如需仲裁，</w:t>
      </w:r>
      <w:r>
        <w:rPr>
          <w:rFonts w:hint="eastAsia" w:ascii="Times New Roman"/>
        </w:rPr>
        <w:t>应</w:t>
      </w:r>
      <w:r>
        <w:rPr>
          <w:rFonts w:ascii="Times New Roman"/>
        </w:rPr>
        <w:t>由供需双方</w:t>
      </w:r>
      <w:r>
        <w:rPr>
          <w:rFonts w:hint="eastAsia" w:ascii="Times New Roman"/>
        </w:rPr>
        <w:t>在需方共同取样或协商解决</w:t>
      </w:r>
      <w:r>
        <w:rPr>
          <w:rFonts w:ascii="Times New Roman"/>
        </w:rPr>
        <w:t>。</w:t>
      </w:r>
    </w:p>
    <w:p>
      <w:pPr>
        <w:pStyle w:val="32"/>
        <w:keepNext w:val="0"/>
        <w:keepLines w:val="0"/>
        <w:pageBreakBefore w:val="0"/>
        <w:kinsoku/>
        <w:wordWrap/>
        <w:overflowPunct/>
        <w:topLinePunct w:val="0"/>
        <w:bidi w:val="0"/>
        <w:adjustRightInd/>
        <w:spacing w:before="156" w:beforeLines="50" w:after="156" w:afterLines="50" w:line="240" w:lineRule="auto"/>
        <w:ind w:firstLine="0" w:firstLineChars="0"/>
        <w:textAlignment w:val="auto"/>
        <w:rPr>
          <w:rFonts w:hint="eastAsia" w:ascii="黑体" w:hAnsi="黑体" w:eastAsia="黑体" w:cs="黑体"/>
          <w:szCs w:val="21"/>
        </w:rPr>
      </w:pPr>
      <w:r>
        <w:rPr>
          <w:rFonts w:hint="eastAsia" w:ascii="黑体" w:hAnsi="黑体" w:eastAsia="黑体" w:cs="黑体"/>
          <w:szCs w:val="21"/>
          <w:lang w:val="en-US" w:eastAsia="zh-CN"/>
        </w:rPr>
        <w:t>7</w:t>
      </w:r>
      <w:r>
        <w:rPr>
          <w:rFonts w:hint="eastAsia" w:ascii="黑体" w:hAnsi="黑体" w:eastAsia="黑体" w:cs="黑体"/>
          <w:szCs w:val="21"/>
        </w:rPr>
        <w:t>.2  组批</w:t>
      </w:r>
    </w:p>
    <w:p>
      <w:pPr>
        <w:pStyle w:val="32"/>
        <w:keepNext w:val="0"/>
        <w:keepLines w:val="0"/>
        <w:pageBreakBefore w:val="0"/>
        <w:kinsoku/>
        <w:wordWrap/>
        <w:overflowPunct/>
        <w:topLinePunct w:val="0"/>
        <w:bidi w:val="0"/>
        <w:adjustRightInd/>
        <w:spacing w:line="240" w:lineRule="auto"/>
        <w:ind w:firstLine="420"/>
        <w:textAlignment w:val="auto"/>
        <w:rPr>
          <w:rFonts w:hint="eastAsia" w:ascii="Times New Roman"/>
        </w:rPr>
      </w:pPr>
      <w:r>
        <w:rPr>
          <w:rFonts w:ascii="Times New Roman"/>
        </w:rPr>
        <w:t>产品应成批提交验收，</w:t>
      </w:r>
      <w:r>
        <w:rPr>
          <w:rFonts w:hint="eastAsia" w:ascii="Times New Roman"/>
        </w:rPr>
        <w:t>每批应由同一生产周期、同一品级的产品组成，每批重量不超过20 t。若需方有特殊要求时，由供需双方协商确定。</w:t>
      </w:r>
    </w:p>
    <w:p>
      <w:pPr>
        <w:pStyle w:val="42"/>
        <w:adjustRightInd w:val="0"/>
        <w:snapToGrid w:val="0"/>
        <w:spacing w:before="156" w:after="156"/>
        <w:rPr>
          <w:rFonts w:hint="eastAsia" w:hAnsi="黑体" w:eastAsia="黑体" w:cs="黑体"/>
          <w:bCs/>
          <w:szCs w:val="21"/>
          <w:lang w:eastAsia="zh-CN"/>
        </w:rPr>
      </w:pPr>
      <w:r>
        <w:rPr>
          <w:rFonts w:hint="eastAsia" w:hAnsi="黑体" w:cs="黑体"/>
          <w:bCs/>
          <w:color w:val="000000"/>
          <w:szCs w:val="21"/>
          <w:lang w:eastAsia="zh-CN"/>
        </w:rPr>
        <w:t>7</w:t>
      </w:r>
      <w:r>
        <w:rPr>
          <w:rFonts w:hint="eastAsia" w:hAnsi="黑体" w:cs="黑体"/>
          <w:bCs/>
          <w:color w:val="000000"/>
          <w:szCs w:val="21"/>
        </w:rPr>
        <w:t>.3</w:t>
      </w:r>
      <w:r>
        <w:rPr>
          <w:rFonts w:hint="eastAsia" w:hAnsi="黑体" w:cs="黑体"/>
          <w:bCs/>
          <w:szCs w:val="21"/>
        </w:rPr>
        <w:t xml:space="preserve">  </w:t>
      </w:r>
      <w:r>
        <w:rPr>
          <w:rFonts w:hint="eastAsia" w:hAnsi="黑体" w:cs="黑体"/>
          <w:bCs/>
          <w:szCs w:val="21"/>
          <w:lang w:val="en-US" w:eastAsia="zh-CN"/>
        </w:rPr>
        <w:t>检验项目</w:t>
      </w:r>
    </w:p>
    <w:p>
      <w:pPr>
        <w:pStyle w:val="42"/>
        <w:spacing w:beforeLines="0" w:afterLines="0"/>
        <w:ind w:firstLine="420" w:firstLineChars="200"/>
        <w:outlineLvl w:val="9"/>
        <w:rPr>
          <w:rFonts w:hint="default" w:ascii="Times New Roman" w:hAnsi="Times New Roman" w:eastAsia="宋体"/>
          <w:szCs w:val="21"/>
          <w:lang w:val="en-US" w:eastAsia="zh-CN"/>
        </w:rPr>
      </w:pPr>
      <w:r>
        <w:rPr>
          <w:rFonts w:hint="default" w:ascii="Times New Roman" w:eastAsia="宋体" w:cs="Times New Roman"/>
          <w:color w:val="auto"/>
          <w:lang w:val="en-US" w:eastAsia="zh-CN"/>
        </w:rPr>
        <w:t>本文件规定的所有指标项目为出厂检验项目，检验项目、技术要求和试验方法按表</w:t>
      </w:r>
      <w:r>
        <w:rPr>
          <w:rFonts w:hint="eastAsia" w:ascii="Times New Roman" w:eastAsia="宋体" w:cs="Times New Roman"/>
          <w:color w:val="auto"/>
          <w:lang w:val="en-US" w:eastAsia="zh-CN"/>
        </w:rPr>
        <w:t>2</w:t>
      </w:r>
      <w:r>
        <w:rPr>
          <w:rFonts w:hint="default" w:ascii="Times New Roman" w:eastAsia="宋体" w:cs="Times New Roman"/>
          <w:color w:val="auto"/>
          <w:lang w:val="en-US" w:eastAsia="zh-CN"/>
        </w:rPr>
        <w:t>的规定</w:t>
      </w:r>
      <w:r>
        <w:rPr>
          <w:rFonts w:hint="default" w:ascii="Times New Roman" w:hAnsi="Times New Roman" w:eastAsia="宋体"/>
          <w:szCs w:val="21"/>
          <w:lang w:val="en-US" w:eastAsia="zh-CN"/>
        </w:rPr>
        <w:t>。</w:t>
      </w:r>
    </w:p>
    <w:p>
      <w:pPr>
        <w:pStyle w:val="71"/>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right="-17"/>
        <w:jc w:val="center"/>
        <w:textAlignment w:val="auto"/>
        <w:rPr>
          <w:rFonts w:ascii="黑体" w:hAnsi="黑体" w:eastAsia="黑体" w:cs="黑体"/>
          <w:kern w:val="2"/>
          <w:sz w:val="21"/>
          <w:szCs w:val="21"/>
          <w:lang w:val="en-US" w:bidi="ar-SA"/>
        </w:rPr>
      </w:pPr>
      <w:r>
        <w:rPr>
          <w:rFonts w:ascii="黑体" w:hAnsi="黑体" w:eastAsia="黑体" w:cs="黑体"/>
          <w:kern w:val="2"/>
          <w:sz w:val="21"/>
          <w:szCs w:val="21"/>
          <w:lang w:val="en-US" w:bidi="ar-SA"/>
        </w:rPr>
        <w:t>表2 检验项目</w:t>
      </w:r>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1"/>
        <w:gridCol w:w="2392"/>
        <w:gridCol w:w="2392"/>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249" w:type="pct"/>
            <w:vAlign w:val="center"/>
          </w:tcPr>
          <w:p>
            <w:pPr>
              <w:pStyle w:val="32"/>
              <w:keepNext w:val="0"/>
              <w:keepLines w:val="0"/>
              <w:pageBreakBefore w:val="0"/>
              <w:kinsoku/>
              <w:wordWrap/>
              <w:overflowPunct/>
              <w:topLinePunct w:val="0"/>
              <w:bidi w:val="0"/>
              <w:adjustRightInd/>
              <w:spacing w:line="240" w:lineRule="auto"/>
              <w:ind w:firstLine="0" w:firstLineChars="0"/>
              <w:jc w:val="center"/>
              <w:textAlignment w:val="auto"/>
              <w:rPr>
                <w:rFonts w:ascii="Times New Roman" w:eastAsiaTheme="minorEastAsia"/>
                <w:bCs/>
                <w:sz w:val="18"/>
                <w:szCs w:val="18"/>
              </w:rPr>
            </w:pPr>
            <w:r>
              <w:rPr>
                <w:rFonts w:ascii="Times New Roman" w:eastAsiaTheme="minorEastAsia"/>
                <w:bCs/>
                <w:sz w:val="18"/>
                <w:szCs w:val="18"/>
              </w:rPr>
              <w:t>检验项目</w:t>
            </w:r>
          </w:p>
        </w:tc>
        <w:tc>
          <w:tcPr>
            <w:tcW w:w="1249" w:type="pct"/>
            <w:vAlign w:val="center"/>
          </w:tcPr>
          <w:p>
            <w:pPr>
              <w:pStyle w:val="32"/>
              <w:keepNext w:val="0"/>
              <w:keepLines w:val="0"/>
              <w:pageBreakBefore w:val="0"/>
              <w:kinsoku/>
              <w:wordWrap/>
              <w:overflowPunct/>
              <w:topLinePunct w:val="0"/>
              <w:bidi w:val="0"/>
              <w:adjustRightInd/>
              <w:spacing w:line="240" w:lineRule="auto"/>
              <w:ind w:firstLine="0" w:firstLineChars="0"/>
              <w:jc w:val="center"/>
              <w:textAlignment w:val="auto"/>
              <w:rPr>
                <w:rFonts w:hint="default" w:ascii="Times New Roman" w:eastAsiaTheme="minorEastAsia"/>
                <w:bCs/>
                <w:sz w:val="18"/>
                <w:szCs w:val="18"/>
                <w:lang w:val="en-US" w:eastAsia="zh-CN"/>
              </w:rPr>
            </w:pPr>
            <w:r>
              <w:rPr>
                <w:rFonts w:hint="eastAsia" w:ascii="Times New Roman" w:eastAsiaTheme="minorEastAsia"/>
                <w:bCs/>
                <w:sz w:val="18"/>
                <w:szCs w:val="18"/>
                <w:lang w:val="en-US" w:eastAsia="zh-CN"/>
              </w:rPr>
              <w:t>检验项目</w:t>
            </w:r>
          </w:p>
        </w:tc>
        <w:tc>
          <w:tcPr>
            <w:tcW w:w="1249" w:type="pct"/>
            <w:vAlign w:val="center"/>
          </w:tcPr>
          <w:p>
            <w:pPr>
              <w:pStyle w:val="32"/>
              <w:keepNext w:val="0"/>
              <w:keepLines w:val="0"/>
              <w:pageBreakBefore w:val="0"/>
              <w:kinsoku/>
              <w:wordWrap/>
              <w:overflowPunct/>
              <w:topLinePunct w:val="0"/>
              <w:bidi w:val="0"/>
              <w:adjustRightInd/>
              <w:spacing w:line="240" w:lineRule="auto"/>
              <w:ind w:firstLine="0" w:firstLineChars="0"/>
              <w:jc w:val="center"/>
              <w:textAlignment w:val="auto"/>
              <w:rPr>
                <w:rFonts w:ascii="Times New Roman" w:eastAsiaTheme="minorEastAsia"/>
                <w:bCs/>
                <w:sz w:val="18"/>
                <w:szCs w:val="18"/>
              </w:rPr>
            </w:pPr>
            <w:r>
              <w:rPr>
                <w:rFonts w:ascii="Times New Roman" w:eastAsiaTheme="minorEastAsia"/>
                <w:bCs/>
                <w:sz w:val="18"/>
                <w:szCs w:val="18"/>
              </w:rPr>
              <w:t>要求章节号</w:t>
            </w:r>
          </w:p>
        </w:tc>
        <w:tc>
          <w:tcPr>
            <w:tcW w:w="1250" w:type="pct"/>
            <w:vAlign w:val="center"/>
          </w:tcPr>
          <w:p>
            <w:pPr>
              <w:pStyle w:val="32"/>
              <w:keepNext w:val="0"/>
              <w:keepLines w:val="0"/>
              <w:pageBreakBefore w:val="0"/>
              <w:kinsoku/>
              <w:wordWrap/>
              <w:overflowPunct/>
              <w:topLinePunct w:val="0"/>
              <w:bidi w:val="0"/>
              <w:adjustRightInd/>
              <w:spacing w:line="240" w:lineRule="auto"/>
              <w:ind w:firstLine="0" w:firstLineChars="0"/>
              <w:jc w:val="center"/>
              <w:textAlignment w:val="auto"/>
              <w:rPr>
                <w:rFonts w:ascii="Times New Roman" w:eastAsiaTheme="minorEastAsia"/>
                <w:bCs/>
                <w:sz w:val="18"/>
                <w:szCs w:val="18"/>
              </w:rPr>
            </w:pPr>
            <w:r>
              <w:rPr>
                <w:rFonts w:ascii="Times New Roman" w:eastAsiaTheme="minorEastAsia"/>
                <w:bCs/>
                <w:sz w:val="18"/>
                <w:szCs w:val="18"/>
              </w:rPr>
              <w:t>试验方法章节号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49" w:type="pct"/>
            <w:vAlign w:val="center"/>
          </w:tcPr>
          <w:p>
            <w:pPr>
              <w:pStyle w:val="32"/>
              <w:keepNext w:val="0"/>
              <w:keepLines w:val="0"/>
              <w:pageBreakBefore w:val="0"/>
              <w:kinsoku/>
              <w:wordWrap/>
              <w:overflowPunct/>
              <w:topLinePunct w:val="0"/>
              <w:bidi w:val="0"/>
              <w:adjustRightInd/>
              <w:spacing w:line="240" w:lineRule="auto"/>
              <w:ind w:firstLine="0" w:firstLineChars="0"/>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化学成分</w:t>
            </w:r>
          </w:p>
        </w:tc>
        <w:tc>
          <w:tcPr>
            <w:tcW w:w="1249" w:type="pct"/>
            <w:vMerge w:val="restart"/>
            <w:vAlign w:val="center"/>
          </w:tcPr>
          <w:p>
            <w:pPr>
              <w:pStyle w:val="32"/>
              <w:keepNext w:val="0"/>
              <w:keepLines w:val="0"/>
              <w:pageBreakBefore w:val="0"/>
              <w:kinsoku/>
              <w:wordWrap/>
              <w:overflowPunct/>
              <w:topLinePunct w:val="0"/>
              <w:bidi w:val="0"/>
              <w:adjustRightInd/>
              <w:spacing w:line="240" w:lineRule="auto"/>
              <w:ind w:firstLine="0" w:firstLineChars="0"/>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sz w:val="18"/>
                <w:szCs w:val="18"/>
              </w:rPr>
              <w:t>√</w:t>
            </w:r>
          </w:p>
        </w:tc>
        <w:tc>
          <w:tcPr>
            <w:tcW w:w="1249" w:type="pct"/>
            <w:vAlign w:val="center"/>
          </w:tcPr>
          <w:p>
            <w:pPr>
              <w:pStyle w:val="32"/>
              <w:keepNext w:val="0"/>
              <w:keepLines w:val="0"/>
              <w:pageBreakBefore w:val="0"/>
              <w:kinsoku/>
              <w:wordWrap/>
              <w:overflowPunct/>
              <w:topLinePunct w:val="0"/>
              <w:bidi w:val="0"/>
              <w:adjustRightInd/>
              <w:spacing w:line="240" w:lineRule="auto"/>
              <w:ind w:firstLine="0" w:firstLineChars="0"/>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lang w:val="en-US" w:eastAsia="zh-CN"/>
              </w:rPr>
              <w:t>5</w:t>
            </w:r>
            <w:r>
              <w:rPr>
                <w:rFonts w:hint="default" w:ascii="Times New Roman" w:hAnsi="Times New Roman" w:eastAsia="宋体" w:cs="Times New Roman"/>
                <w:bCs/>
                <w:sz w:val="18"/>
                <w:szCs w:val="18"/>
              </w:rPr>
              <w:t>.1</w:t>
            </w:r>
          </w:p>
        </w:tc>
        <w:tc>
          <w:tcPr>
            <w:tcW w:w="1250" w:type="pct"/>
            <w:vAlign w:val="center"/>
          </w:tcPr>
          <w:p>
            <w:pPr>
              <w:pStyle w:val="32"/>
              <w:keepNext w:val="0"/>
              <w:keepLines w:val="0"/>
              <w:pageBreakBefore w:val="0"/>
              <w:kinsoku/>
              <w:wordWrap/>
              <w:overflowPunct/>
              <w:topLinePunct w:val="0"/>
              <w:bidi w:val="0"/>
              <w:adjustRightInd/>
              <w:spacing w:line="240" w:lineRule="auto"/>
              <w:ind w:firstLine="0" w:firstLineChars="0"/>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lang w:val="en-US" w:eastAsia="zh-CN"/>
              </w:rPr>
              <w:t>6</w:t>
            </w:r>
            <w:r>
              <w:rPr>
                <w:rFonts w:hint="default" w:ascii="Times New Roman" w:hAnsi="Times New Roman" w:eastAsia="宋体" w:cs="Times New Roman"/>
                <w:bCs/>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249" w:type="pct"/>
            <w:vAlign w:val="center"/>
          </w:tcPr>
          <w:p>
            <w:pPr>
              <w:pStyle w:val="32"/>
              <w:keepNext w:val="0"/>
              <w:keepLines w:val="0"/>
              <w:pageBreakBefore w:val="0"/>
              <w:kinsoku/>
              <w:wordWrap/>
              <w:overflowPunct/>
              <w:topLinePunct w:val="0"/>
              <w:bidi w:val="0"/>
              <w:adjustRightInd/>
              <w:spacing w:line="240" w:lineRule="auto"/>
              <w:ind w:firstLine="0" w:firstLineChars="0"/>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水分</w:t>
            </w:r>
          </w:p>
        </w:tc>
        <w:tc>
          <w:tcPr>
            <w:tcW w:w="1249" w:type="pct"/>
            <w:vMerge w:val="continue"/>
            <w:vAlign w:val="center"/>
          </w:tcPr>
          <w:p>
            <w:pPr>
              <w:pStyle w:val="32"/>
              <w:keepNext w:val="0"/>
              <w:keepLines w:val="0"/>
              <w:pageBreakBefore w:val="0"/>
              <w:kinsoku/>
              <w:wordWrap/>
              <w:overflowPunct/>
              <w:topLinePunct w:val="0"/>
              <w:bidi w:val="0"/>
              <w:adjustRightInd/>
              <w:spacing w:line="240" w:lineRule="auto"/>
              <w:ind w:firstLine="0" w:firstLineChars="0"/>
              <w:jc w:val="center"/>
              <w:textAlignment w:val="auto"/>
              <w:rPr>
                <w:rFonts w:hint="default" w:ascii="Times New Roman" w:hAnsi="Times New Roman" w:eastAsia="宋体" w:cs="Times New Roman"/>
                <w:bCs/>
                <w:sz w:val="18"/>
                <w:szCs w:val="18"/>
              </w:rPr>
            </w:pPr>
          </w:p>
        </w:tc>
        <w:tc>
          <w:tcPr>
            <w:tcW w:w="1249" w:type="pct"/>
            <w:vAlign w:val="center"/>
          </w:tcPr>
          <w:p>
            <w:pPr>
              <w:pStyle w:val="32"/>
              <w:keepNext w:val="0"/>
              <w:keepLines w:val="0"/>
              <w:pageBreakBefore w:val="0"/>
              <w:kinsoku/>
              <w:wordWrap/>
              <w:overflowPunct/>
              <w:topLinePunct w:val="0"/>
              <w:bidi w:val="0"/>
              <w:adjustRightInd/>
              <w:spacing w:line="240" w:lineRule="auto"/>
              <w:ind w:firstLine="0" w:firstLineChars="0"/>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lang w:val="en-US" w:eastAsia="zh-CN"/>
              </w:rPr>
              <w:t>5</w:t>
            </w:r>
            <w:r>
              <w:rPr>
                <w:rFonts w:hint="default" w:ascii="Times New Roman" w:hAnsi="Times New Roman" w:eastAsia="宋体" w:cs="Times New Roman"/>
                <w:bCs/>
                <w:sz w:val="18"/>
                <w:szCs w:val="18"/>
              </w:rPr>
              <w:t>.2</w:t>
            </w:r>
          </w:p>
        </w:tc>
        <w:tc>
          <w:tcPr>
            <w:tcW w:w="1250" w:type="pct"/>
            <w:vAlign w:val="center"/>
          </w:tcPr>
          <w:p>
            <w:pPr>
              <w:pStyle w:val="32"/>
              <w:keepNext w:val="0"/>
              <w:keepLines w:val="0"/>
              <w:pageBreakBefore w:val="0"/>
              <w:kinsoku/>
              <w:wordWrap/>
              <w:overflowPunct/>
              <w:topLinePunct w:val="0"/>
              <w:bidi w:val="0"/>
              <w:adjustRightInd/>
              <w:spacing w:line="240" w:lineRule="auto"/>
              <w:ind w:firstLine="0" w:firstLineChars="0"/>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lang w:val="en-US" w:eastAsia="zh-CN"/>
              </w:rPr>
              <w:t>6</w:t>
            </w:r>
            <w:r>
              <w:rPr>
                <w:rFonts w:hint="default" w:ascii="Times New Roman" w:hAnsi="Times New Roman" w:eastAsia="宋体" w:cs="Times New Roman"/>
                <w:bCs/>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49" w:type="pct"/>
            <w:vAlign w:val="center"/>
          </w:tcPr>
          <w:p>
            <w:pPr>
              <w:pStyle w:val="32"/>
              <w:keepNext w:val="0"/>
              <w:keepLines w:val="0"/>
              <w:pageBreakBefore w:val="0"/>
              <w:kinsoku/>
              <w:wordWrap/>
              <w:overflowPunct/>
              <w:topLinePunct w:val="0"/>
              <w:bidi w:val="0"/>
              <w:adjustRightInd/>
              <w:spacing w:line="240" w:lineRule="auto"/>
              <w:ind w:firstLine="0" w:firstLineChars="0"/>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外观质量</w:t>
            </w:r>
          </w:p>
        </w:tc>
        <w:tc>
          <w:tcPr>
            <w:tcW w:w="1249" w:type="pct"/>
            <w:vMerge w:val="continue"/>
            <w:vAlign w:val="center"/>
          </w:tcPr>
          <w:p>
            <w:pPr>
              <w:pStyle w:val="32"/>
              <w:keepNext w:val="0"/>
              <w:keepLines w:val="0"/>
              <w:pageBreakBefore w:val="0"/>
              <w:kinsoku/>
              <w:wordWrap/>
              <w:overflowPunct/>
              <w:topLinePunct w:val="0"/>
              <w:bidi w:val="0"/>
              <w:adjustRightInd/>
              <w:spacing w:line="240" w:lineRule="auto"/>
              <w:ind w:firstLine="0" w:firstLineChars="0"/>
              <w:jc w:val="center"/>
              <w:textAlignment w:val="auto"/>
              <w:rPr>
                <w:rFonts w:hint="default" w:ascii="Times New Roman" w:hAnsi="Times New Roman" w:eastAsia="宋体" w:cs="Times New Roman"/>
                <w:bCs/>
                <w:sz w:val="18"/>
                <w:szCs w:val="18"/>
              </w:rPr>
            </w:pPr>
          </w:p>
        </w:tc>
        <w:tc>
          <w:tcPr>
            <w:tcW w:w="1249" w:type="pct"/>
            <w:vAlign w:val="center"/>
          </w:tcPr>
          <w:p>
            <w:pPr>
              <w:pStyle w:val="32"/>
              <w:keepNext w:val="0"/>
              <w:keepLines w:val="0"/>
              <w:pageBreakBefore w:val="0"/>
              <w:kinsoku/>
              <w:wordWrap/>
              <w:overflowPunct/>
              <w:topLinePunct w:val="0"/>
              <w:bidi w:val="0"/>
              <w:adjustRightInd/>
              <w:spacing w:line="240" w:lineRule="auto"/>
              <w:ind w:firstLine="0" w:firstLineChars="0"/>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lang w:val="en-US" w:eastAsia="zh-CN"/>
              </w:rPr>
              <w:t>5</w:t>
            </w:r>
            <w:r>
              <w:rPr>
                <w:rFonts w:hint="default" w:ascii="Times New Roman" w:hAnsi="Times New Roman" w:eastAsia="宋体" w:cs="Times New Roman"/>
                <w:bCs/>
                <w:sz w:val="18"/>
                <w:szCs w:val="18"/>
              </w:rPr>
              <w:t>.3</w:t>
            </w:r>
          </w:p>
        </w:tc>
        <w:tc>
          <w:tcPr>
            <w:tcW w:w="1250" w:type="pct"/>
            <w:vAlign w:val="center"/>
          </w:tcPr>
          <w:p>
            <w:pPr>
              <w:pStyle w:val="32"/>
              <w:keepNext w:val="0"/>
              <w:keepLines w:val="0"/>
              <w:pageBreakBefore w:val="0"/>
              <w:kinsoku/>
              <w:wordWrap/>
              <w:overflowPunct/>
              <w:topLinePunct w:val="0"/>
              <w:bidi w:val="0"/>
              <w:adjustRightInd/>
              <w:spacing w:line="240" w:lineRule="auto"/>
              <w:ind w:firstLine="0" w:firstLineChars="0"/>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lang w:val="en-US" w:eastAsia="zh-CN"/>
              </w:rPr>
              <w:t>6</w:t>
            </w:r>
            <w:r>
              <w:rPr>
                <w:rFonts w:hint="default" w:ascii="Times New Roman" w:hAnsi="Times New Roman" w:eastAsia="宋体" w:cs="Times New Roman"/>
                <w:bCs/>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49" w:type="pct"/>
            <w:vAlign w:val="center"/>
          </w:tcPr>
          <w:p>
            <w:pPr>
              <w:pStyle w:val="32"/>
              <w:keepNext w:val="0"/>
              <w:keepLines w:val="0"/>
              <w:pageBreakBefore w:val="0"/>
              <w:kinsoku/>
              <w:wordWrap/>
              <w:overflowPunct/>
              <w:topLinePunct w:val="0"/>
              <w:bidi w:val="0"/>
              <w:adjustRightInd/>
              <w:spacing w:line="240" w:lineRule="auto"/>
              <w:ind w:firstLine="0" w:firstLineChars="0"/>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粒度</w:t>
            </w:r>
          </w:p>
        </w:tc>
        <w:tc>
          <w:tcPr>
            <w:tcW w:w="1249" w:type="pct"/>
            <w:vMerge w:val="continue"/>
            <w:vAlign w:val="center"/>
          </w:tcPr>
          <w:p>
            <w:pPr>
              <w:pStyle w:val="32"/>
              <w:keepNext w:val="0"/>
              <w:keepLines w:val="0"/>
              <w:pageBreakBefore w:val="0"/>
              <w:kinsoku/>
              <w:wordWrap/>
              <w:overflowPunct/>
              <w:topLinePunct w:val="0"/>
              <w:bidi w:val="0"/>
              <w:adjustRightInd/>
              <w:spacing w:line="240" w:lineRule="auto"/>
              <w:ind w:firstLine="0" w:firstLineChars="0"/>
              <w:jc w:val="center"/>
              <w:textAlignment w:val="auto"/>
              <w:rPr>
                <w:rFonts w:hint="default" w:ascii="Times New Roman" w:hAnsi="Times New Roman" w:eastAsia="宋体" w:cs="Times New Roman"/>
                <w:bCs/>
                <w:sz w:val="18"/>
                <w:szCs w:val="18"/>
              </w:rPr>
            </w:pPr>
          </w:p>
        </w:tc>
        <w:tc>
          <w:tcPr>
            <w:tcW w:w="1249" w:type="pct"/>
            <w:vAlign w:val="center"/>
          </w:tcPr>
          <w:p>
            <w:pPr>
              <w:pStyle w:val="32"/>
              <w:keepNext w:val="0"/>
              <w:keepLines w:val="0"/>
              <w:pageBreakBefore w:val="0"/>
              <w:kinsoku/>
              <w:wordWrap/>
              <w:overflowPunct/>
              <w:topLinePunct w:val="0"/>
              <w:bidi w:val="0"/>
              <w:adjustRightInd/>
              <w:spacing w:line="240" w:lineRule="auto"/>
              <w:ind w:firstLine="0" w:firstLineChars="0"/>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lang w:val="en-US" w:eastAsia="zh-CN"/>
              </w:rPr>
              <w:t>5</w:t>
            </w:r>
            <w:r>
              <w:rPr>
                <w:rFonts w:hint="default" w:ascii="Times New Roman" w:hAnsi="Times New Roman" w:eastAsia="宋体" w:cs="Times New Roman"/>
                <w:bCs/>
                <w:sz w:val="18"/>
                <w:szCs w:val="18"/>
              </w:rPr>
              <w:t>.4</w:t>
            </w:r>
          </w:p>
        </w:tc>
        <w:tc>
          <w:tcPr>
            <w:tcW w:w="1250" w:type="pct"/>
            <w:vAlign w:val="center"/>
          </w:tcPr>
          <w:p>
            <w:pPr>
              <w:pStyle w:val="32"/>
              <w:keepNext w:val="0"/>
              <w:keepLines w:val="0"/>
              <w:pageBreakBefore w:val="0"/>
              <w:kinsoku/>
              <w:wordWrap/>
              <w:overflowPunct/>
              <w:topLinePunct w:val="0"/>
              <w:bidi w:val="0"/>
              <w:adjustRightInd/>
              <w:spacing w:line="240" w:lineRule="auto"/>
              <w:ind w:firstLine="0" w:firstLineChars="0"/>
              <w:jc w:val="center"/>
              <w:textAlignment w:val="auto"/>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lang w:val="en-US" w:eastAsia="zh-CN"/>
              </w:rPr>
              <w:t>6</w:t>
            </w:r>
            <w:r>
              <w:rPr>
                <w:rFonts w:hint="default" w:ascii="Times New Roman" w:hAnsi="Times New Roman" w:eastAsia="宋体" w:cs="Times New Roman"/>
                <w:bCs/>
                <w:sz w:val="18"/>
                <w:szCs w:val="18"/>
              </w:rPr>
              <w:t>.4</w:t>
            </w:r>
          </w:p>
        </w:tc>
      </w:tr>
    </w:tbl>
    <w:p>
      <w:pPr>
        <w:pStyle w:val="32"/>
        <w:keepNext w:val="0"/>
        <w:keepLines w:val="0"/>
        <w:pageBreakBefore w:val="0"/>
        <w:kinsoku/>
        <w:wordWrap/>
        <w:overflowPunct/>
        <w:topLinePunct w:val="0"/>
        <w:bidi w:val="0"/>
        <w:adjustRightInd/>
        <w:spacing w:line="240" w:lineRule="auto"/>
        <w:ind w:firstLine="420"/>
        <w:textAlignment w:val="auto"/>
        <w:rPr>
          <w:rFonts w:hint="eastAsia" w:ascii="Times New Roman"/>
        </w:rPr>
      </w:pPr>
    </w:p>
    <w:p>
      <w:pPr>
        <w:pStyle w:val="32"/>
        <w:keepNext w:val="0"/>
        <w:keepLines w:val="0"/>
        <w:pageBreakBefore w:val="0"/>
        <w:kinsoku/>
        <w:wordWrap/>
        <w:overflowPunct/>
        <w:topLinePunct w:val="0"/>
        <w:bidi w:val="0"/>
        <w:adjustRightInd/>
        <w:spacing w:before="156" w:beforeLines="50" w:after="156" w:afterLines="50" w:line="240" w:lineRule="auto"/>
        <w:ind w:firstLine="0" w:firstLineChars="0"/>
        <w:textAlignment w:val="auto"/>
        <w:outlineLvl w:val="1"/>
        <w:rPr>
          <w:rFonts w:hint="eastAsia" w:ascii="黑体" w:hAnsi="黑体" w:eastAsia="黑体" w:cs="黑体"/>
          <w:szCs w:val="21"/>
          <w:lang w:val="en-US" w:eastAsia="zh-CN"/>
        </w:rPr>
      </w:pPr>
      <w:r>
        <w:rPr>
          <w:rFonts w:hint="eastAsia" w:ascii="黑体" w:hAnsi="黑体" w:eastAsia="黑体" w:cs="黑体"/>
          <w:szCs w:val="21"/>
          <w:lang w:val="en-US" w:eastAsia="zh-CN"/>
        </w:rPr>
        <w:t>7.4  取样与制样</w:t>
      </w:r>
    </w:p>
    <w:p>
      <w:pPr>
        <w:pStyle w:val="40"/>
        <w:spacing w:before="0" w:beforeLines="0" w:after="0" w:afterLines="0" w:line="240" w:lineRule="auto"/>
        <w:ind w:firstLine="0" w:firstLineChars="0"/>
        <w:outlineLvl w:val="1"/>
        <w:rPr>
          <w:rFonts w:hint="default" w:ascii="Times New Roman" w:hAnsi="Times New Roman" w:eastAsia="宋体" w:cs="Times New Roman"/>
          <w:szCs w:val="20"/>
          <w:highlight w:val="none"/>
          <w:lang w:val="en-US" w:eastAsia="zh-CN"/>
        </w:rPr>
      </w:pPr>
      <w:r>
        <w:rPr>
          <w:rFonts w:hint="eastAsia" w:hAnsi="黑体" w:cs="黑体"/>
          <w:szCs w:val="20"/>
          <w:highlight w:val="none"/>
          <w:lang w:val="en-US" w:eastAsia="zh-CN"/>
        </w:rPr>
        <w:t xml:space="preserve">7.4.1  </w:t>
      </w:r>
      <w:r>
        <w:rPr>
          <w:rFonts w:hint="default" w:ascii="Times New Roman" w:hAnsi="Times New Roman" w:eastAsia="宋体" w:cs="Times New Roman"/>
          <w:szCs w:val="20"/>
          <w:highlight w:val="none"/>
          <w:lang w:val="en-US" w:eastAsia="zh-CN"/>
        </w:rPr>
        <w:t>产品为袋装，按照包装单元全数取样，取样方式由贸易双方现场协商确定。所取样品缩分至不少于3.5 kg。先进行水分测定，再经过破碎、缩分至不少于500 g，均分为四份，作为成分试样。</w:t>
      </w:r>
    </w:p>
    <w:p>
      <w:pPr>
        <w:pStyle w:val="32"/>
        <w:ind w:firstLine="0" w:firstLineChars="0"/>
        <w:rPr>
          <w:rFonts w:hint="default" w:hAnsi="Times New Roman" w:cs="Times New Roman"/>
          <w:szCs w:val="20"/>
          <w:highlight w:val="none"/>
          <w:lang w:val="en-US" w:eastAsia="zh-CN"/>
        </w:rPr>
      </w:pPr>
      <w:r>
        <w:rPr>
          <w:rFonts w:hint="eastAsia" w:ascii="黑体" w:hAnsi="黑体" w:eastAsia="黑体" w:cs="黑体"/>
          <w:szCs w:val="20"/>
          <w:highlight w:val="none"/>
          <w:lang w:val="en-US" w:eastAsia="zh-CN"/>
        </w:rPr>
        <w:t xml:space="preserve">7.4.2 </w:t>
      </w:r>
      <w:r>
        <w:rPr>
          <w:rFonts w:hint="eastAsia" w:hAnsi="宋体" w:cs="宋体"/>
          <w:szCs w:val="20"/>
          <w:highlight w:val="none"/>
          <w:lang w:val="en-US" w:eastAsia="zh-CN"/>
        </w:rPr>
        <w:t xml:space="preserve"> 制备样品份数也可由供需双方按要求进行分配。</w:t>
      </w:r>
      <w:r>
        <w:rPr>
          <w:rFonts w:hint="eastAsia" w:ascii="Times New Roman"/>
          <w:bCs/>
          <w:szCs w:val="21"/>
          <w:highlight w:val="none"/>
        </w:rPr>
        <w:t>一份交需方，一份交供方，一份双方现场签字确认留做仲裁，一份备用</w:t>
      </w:r>
      <w:r>
        <w:rPr>
          <w:rFonts w:hint="eastAsia" w:ascii="Times New Roman"/>
          <w:bCs/>
          <w:szCs w:val="21"/>
          <w:highlight w:val="none"/>
          <w:lang w:eastAsia="zh-CN"/>
        </w:rPr>
        <w:t>。</w:t>
      </w:r>
      <w:r>
        <w:rPr>
          <w:rFonts w:hint="eastAsia" w:ascii="Times New Roman"/>
          <w:bCs/>
          <w:szCs w:val="21"/>
          <w:highlight w:val="none"/>
          <w:lang w:val="en-US" w:eastAsia="zh-CN"/>
        </w:rPr>
        <w:t>仲裁样品由第三方检测机构保存，备用样品由需方保存至双方贸易结算完成。</w:t>
      </w:r>
    </w:p>
    <w:p>
      <w:pPr>
        <w:pStyle w:val="32"/>
        <w:keepNext w:val="0"/>
        <w:keepLines w:val="0"/>
        <w:pageBreakBefore w:val="0"/>
        <w:kinsoku/>
        <w:wordWrap/>
        <w:overflowPunct/>
        <w:topLinePunct w:val="0"/>
        <w:bidi w:val="0"/>
        <w:adjustRightInd/>
        <w:spacing w:before="156" w:beforeLines="50" w:after="156" w:afterLines="50" w:line="240" w:lineRule="auto"/>
        <w:ind w:firstLine="0" w:firstLineChars="0"/>
        <w:textAlignment w:val="auto"/>
        <w:outlineLvl w:val="1"/>
        <w:rPr>
          <w:rFonts w:hint="eastAsia" w:ascii="黑体" w:hAnsi="黑体" w:eastAsia="黑体" w:cs="黑体"/>
          <w:szCs w:val="21"/>
          <w:lang w:val="en-US" w:eastAsia="zh-CN"/>
        </w:rPr>
      </w:pPr>
      <w:r>
        <w:rPr>
          <w:rFonts w:hint="eastAsia" w:ascii="黑体" w:hAnsi="黑体" w:eastAsia="黑体" w:cs="黑体"/>
          <w:szCs w:val="21"/>
          <w:lang w:val="en-US" w:eastAsia="zh-CN"/>
        </w:rPr>
        <w:t>7.5  检验结果判定</w:t>
      </w:r>
    </w:p>
    <w:p>
      <w:pPr>
        <w:snapToGrid w:val="0"/>
        <w:spacing w:line="240" w:lineRule="auto"/>
        <w:ind w:firstLine="0" w:firstLineChars="0"/>
        <w:jc w:val="left"/>
        <w:rPr>
          <w:rFonts w:hint="eastAsia" w:ascii="Times New Roman" w:eastAsiaTheme="minorEastAsia"/>
          <w:lang w:val="en-US" w:eastAsia="zh-CN"/>
        </w:rPr>
      </w:pPr>
      <w:r>
        <w:rPr>
          <w:rFonts w:hint="eastAsia" w:ascii="黑体" w:hAnsi="黑体" w:eastAsia="黑体" w:cs="黑体"/>
          <w:lang w:eastAsia="zh-CN"/>
        </w:rPr>
        <w:t>7</w:t>
      </w:r>
      <w:r>
        <w:rPr>
          <w:rFonts w:hint="eastAsia" w:ascii="黑体" w:hAnsi="黑体" w:eastAsia="黑体" w:cs="黑体"/>
        </w:rPr>
        <w:t>.</w:t>
      </w:r>
      <w:r>
        <w:rPr>
          <w:rFonts w:hint="eastAsia" w:ascii="黑体" w:hAnsi="黑体" w:eastAsia="黑体" w:cs="黑体"/>
          <w:lang w:val="en-US" w:eastAsia="zh-CN"/>
        </w:rPr>
        <w:t>5</w:t>
      </w:r>
      <w:r>
        <w:rPr>
          <w:rFonts w:hint="eastAsia" w:ascii="黑体" w:hAnsi="黑体" w:eastAsia="黑体" w:cs="黑体"/>
        </w:rPr>
        <w:t xml:space="preserve">.1 </w:t>
      </w:r>
      <w:r>
        <w:rPr>
          <w:rFonts w:hint="eastAsia" w:eastAsiaTheme="minorEastAsia"/>
        </w:rPr>
        <w:t xml:space="preserve"> </w:t>
      </w:r>
      <w:r>
        <w:rPr>
          <w:rFonts w:eastAsiaTheme="minorEastAsia"/>
          <w:color w:val="000000"/>
          <w:szCs w:val="21"/>
          <w:lang w:bidi="zh-CN"/>
        </w:rPr>
        <w:t>检验结果的数值按GB/T</w:t>
      </w:r>
      <w:r>
        <w:rPr>
          <w:rFonts w:hint="eastAsia" w:eastAsiaTheme="minorEastAsia"/>
          <w:color w:val="000000"/>
          <w:szCs w:val="21"/>
          <w:lang w:bidi="zh-CN"/>
        </w:rPr>
        <w:t xml:space="preserve"> </w:t>
      </w:r>
      <w:r>
        <w:rPr>
          <w:rFonts w:eastAsiaTheme="minorEastAsia"/>
          <w:color w:val="000000"/>
          <w:szCs w:val="21"/>
          <w:lang w:bidi="zh-CN"/>
        </w:rPr>
        <w:t>8170的规定进行</w:t>
      </w:r>
      <w:r>
        <w:rPr>
          <w:rFonts w:hint="eastAsia" w:eastAsiaTheme="minorEastAsia"/>
          <w:color w:val="000000"/>
          <w:szCs w:val="21"/>
          <w:lang w:bidi="zh-CN"/>
        </w:rPr>
        <w:t>修约，并采用修约值比较法判定</w:t>
      </w:r>
      <w:r>
        <w:rPr>
          <w:rFonts w:eastAsiaTheme="minorEastAsia"/>
          <w:color w:val="000000"/>
          <w:szCs w:val="21"/>
          <w:lang w:bidi="zh-CN"/>
        </w:rPr>
        <w:t>。</w:t>
      </w:r>
    </w:p>
    <w:p>
      <w:pPr>
        <w:pStyle w:val="32"/>
        <w:spacing w:line="240" w:lineRule="auto"/>
        <w:ind w:firstLine="0" w:firstLineChars="0"/>
        <w:outlineLvl w:val="2"/>
        <w:rPr>
          <w:rFonts w:ascii="Times New Roman"/>
          <w:sz w:val="21"/>
          <w:szCs w:val="21"/>
        </w:rPr>
      </w:pPr>
      <w:r>
        <w:rPr>
          <w:rFonts w:ascii="黑体" w:hAnsi="黑体" w:eastAsia="黑体"/>
          <w:sz w:val="21"/>
          <w:szCs w:val="21"/>
        </w:rPr>
        <w:t>7.5.</w:t>
      </w:r>
      <w:r>
        <w:rPr>
          <w:rFonts w:hint="eastAsia" w:ascii="黑体" w:hAnsi="黑体" w:eastAsia="黑体"/>
          <w:sz w:val="21"/>
          <w:szCs w:val="21"/>
          <w:lang w:val="en-US" w:eastAsia="zh-CN"/>
        </w:rPr>
        <w:t>2</w:t>
      </w:r>
      <w:r>
        <w:rPr>
          <w:rFonts w:ascii="黑体" w:hAnsi="黑体" w:eastAsia="黑体"/>
          <w:sz w:val="21"/>
          <w:szCs w:val="21"/>
        </w:rPr>
        <w:t xml:space="preserve">  </w:t>
      </w:r>
      <w:r>
        <w:rPr>
          <w:rFonts w:hint="eastAsia" w:ascii="宋体" w:hAnsi="宋体" w:eastAsia="宋体" w:cs="宋体"/>
          <w:kern w:val="2"/>
          <w:szCs w:val="22"/>
          <w:highlight w:val="none"/>
          <w:lang w:val="en-US" w:eastAsia="zh-CN"/>
        </w:rPr>
        <w:t>产品化学成分、水</w:t>
      </w:r>
      <w:r>
        <w:rPr>
          <w:rFonts w:hint="eastAsia" w:eastAsiaTheme="minorEastAsia"/>
          <w:szCs w:val="22"/>
          <w:highlight w:val="none"/>
        </w:rPr>
        <w:t>分</w:t>
      </w:r>
      <w:r>
        <w:rPr>
          <w:rFonts w:hint="eastAsia" w:eastAsiaTheme="minorEastAsia"/>
          <w:szCs w:val="22"/>
          <w:highlight w:val="none"/>
          <w:lang w:eastAsia="zh-CN"/>
        </w:rPr>
        <w:t>、</w:t>
      </w:r>
      <w:r>
        <w:rPr>
          <w:rFonts w:hint="eastAsia" w:eastAsiaTheme="minorEastAsia"/>
          <w:szCs w:val="22"/>
          <w:highlight w:val="none"/>
          <w:lang w:val="en-US" w:eastAsia="zh-CN"/>
        </w:rPr>
        <w:t>粒度</w:t>
      </w:r>
      <w:r>
        <w:rPr>
          <w:rFonts w:hint="eastAsia" w:ascii="Times New Roman" w:cs="Times New Roman" w:eastAsiaTheme="minorEastAsia"/>
          <w:color w:val="000000"/>
          <w:kern w:val="2"/>
          <w:szCs w:val="21"/>
          <w:highlight w:val="none"/>
          <w:lang w:val="en-US" w:eastAsia="zh-CN" w:bidi="zh-CN"/>
        </w:rPr>
        <w:t>不符合</w:t>
      </w:r>
      <w:r>
        <w:rPr>
          <w:rFonts w:hint="eastAsia" w:ascii="Times New Roman"/>
          <w:sz w:val="21"/>
          <w:szCs w:val="21"/>
          <w:highlight w:val="none"/>
        </w:rPr>
        <w:t>本文件规定时，判该批产品不合格</w:t>
      </w:r>
      <w:r>
        <w:rPr>
          <w:rFonts w:ascii="Times New Roman"/>
          <w:sz w:val="21"/>
          <w:szCs w:val="21"/>
          <w:highlight w:val="none"/>
        </w:rPr>
        <w:t>。</w:t>
      </w:r>
    </w:p>
    <w:p>
      <w:pPr>
        <w:pStyle w:val="32"/>
        <w:spacing w:line="240" w:lineRule="auto"/>
        <w:ind w:firstLine="0" w:firstLineChars="0"/>
        <w:outlineLvl w:val="2"/>
        <w:rPr>
          <w:rFonts w:hint="default" w:ascii="Times New Roman"/>
          <w:sz w:val="21"/>
          <w:szCs w:val="21"/>
          <w:lang w:val="en-US" w:eastAsia="zh-CN"/>
        </w:rPr>
      </w:pPr>
      <w:r>
        <w:rPr>
          <w:rFonts w:ascii="黑体" w:hAnsi="黑体" w:eastAsia="黑体"/>
          <w:sz w:val="21"/>
          <w:szCs w:val="21"/>
        </w:rPr>
        <w:t>7.5.</w:t>
      </w:r>
      <w:r>
        <w:rPr>
          <w:rFonts w:hint="eastAsia" w:ascii="黑体" w:hAnsi="黑体" w:eastAsia="黑体"/>
          <w:sz w:val="21"/>
          <w:szCs w:val="21"/>
          <w:lang w:val="en-US" w:eastAsia="zh-CN"/>
        </w:rPr>
        <w:t xml:space="preserve">3  </w:t>
      </w:r>
      <w:r>
        <w:rPr>
          <w:rFonts w:hint="eastAsia" w:ascii="宋体" w:hAnsi="宋体" w:eastAsia="宋体" w:cs="Times New Roman"/>
          <w:b w:val="0"/>
          <w:bCs w:val="0"/>
          <w:sz w:val="21"/>
          <w:szCs w:val="21"/>
          <w:lang w:val="en-US" w:eastAsia="zh-CN"/>
        </w:rPr>
        <w:t>产品外观质量不符合本文件或订货单的规定时，判该袋产品不合格。</w:t>
      </w:r>
    </w:p>
    <w:p>
      <w:pPr>
        <w:keepNext w:val="0"/>
        <w:keepLines w:val="0"/>
        <w:pageBreakBefore w:val="0"/>
        <w:kinsoku/>
        <w:wordWrap/>
        <w:overflowPunct/>
        <w:topLinePunct w:val="0"/>
        <w:bidi w:val="0"/>
        <w:adjustRightInd/>
        <w:spacing w:before="312" w:beforeLines="100" w:after="312" w:afterLines="100" w:line="240" w:lineRule="auto"/>
        <w:textAlignment w:val="auto"/>
        <w:rPr>
          <w:rFonts w:hint="eastAsia" w:ascii="黑体" w:hAnsi="黑体" w:eastAsia="黑体" w:cs="黑体"/>
          <w:bCs/>
        </w:rPr>
      </w:pPr>
      <w:r>
        <w:rPr>
          <w:rFonts w:hint="eastAsia" w:ascii="黑体" w:hAnsi="黑体" w:eastAsia="黑体" w:cs="黑体"/>
          <w:bCs/>
          <w:lang w:val="en-US" w:eastAsia="zh-CN"/>
        </w:rPr>
        <w:t>8</w:t>
      </w:r>
      <w:r>
        <w:rPr>
          <w:rFonts w:hint="eastAsia" w:ascii="黑体" w:hAnsi="黑体" w:eastAsia="黑体" w:cs="黑体"/>
          <w:bCs/>
        </w:rPr>
        <w:t xml:space="preserve">  标志、包装、运输、贮存及随行文件</w:t>
      </w:r>
    </w:p>
    <w:p>
      <w:pPr>
        <w:pStyle w:val="32"/>
        <w:keepNext w:val="0"/>
        <w:keepLines w:val="0"/>
        <w:pageBreakBefore w:val="0"/>
        <w:kinsoku/>
        <w:wordWrap/>
        <w:overflowPunct/>
        <w:topLinePunct w:val="0"/>
        <w:bidi w:val="0"/>
        <w:adjustRightInd/>
        <w:spacing w:before="156" w:beforeLines="50" w:after="156" w:afterLines="50" w:line="240" w:lineRule="auto"/>
        <w:ind w:firstLine="0" w:firstLineChars="0"/>
        <w:textAlignment w:val="auto"/>
        <w:outlineLvl w:val="1"/>
        <w:rPr>
          <w:rFonts w:hint="eastAsia" w:ascii="黑体" w:hAnsi="黑体" w:eastAsia="黑体" w:cs="黑体"/>
          <w:szCs w:val="21"/>
        </w:rPr>
      </w:pPr>
      <w:r>
        <w:rPr>
          <w:rFonts w:hint="eastAsia" w:ascii="黑体" w:hAnsi="黑体" w:eastAsia="黑体" w:cs="黑体"/>
          <w:szCs w:val="21"/>
          <w:lang w:val="en-US" w:eastAsia="zh-CN"/>
        </w:rPr>
        <w:t>8</w:t>
      </w:r>
      <w:r>
        <w:rPr>
          <w:rFonts w:hint="eastAsia" w:ascii="黑体" w:hAnsi="黑体" w:eastAsia="黑体" w:cs="黑体"/>
          <w:szCs w:val="21"/>
        </w:rPr>
        <w:t>.1  标志</w:t>
      </w:r>
    </w:p>
    <w:p>
      <w:pPr>
        <w:pStyle w:val="32"/>
        <w:keepNext w:val="0"/>
        <w:keepLines w:val="0"/>
        <w:pageBreakBefore w:val="0"/>
        <w:kinsoku/>
        <w:wordWrap/>
        <w:overflowPunct/>
        <w:topLinePunct w:val="0"/>
        <w:bidi w:val="0"/>
        <w:adjustRightInd/>
        <w:snapToGrid/>
        <w:spacing w:line="240" w:lineRule="auto"/>
        <w:ind w:firstLine="420" w:firstLineChars="0"/>
        <w:textAlignment w:val="auto"/>
        <w:outlineLvl w:val="9"/>
        <w:rPr>
          <w:rFonts w:hint="default" w:ascii="宋体" w:hAnsi="Times New Roman" w:eastAsia="宋体"/>
          <w:color w:val="auto"/>
          <w:szCs w:val="20"/>
          <w:highlight w:val="none"/>
          <w:lang w:eastAsia="zh-CN"/>
        </w:rPr>
      </w:pPr>
      <w:r>
        <w:rPr>
          <w:rFonts w:hint="default" w:ascii="宋体" w:hAnsi="Times New Roman"/>
          <w:color w:val="auto"/>
          <w:szCs w:val="20"/>
          <w:highlight w:val="none"/>
          <w:lang w:eastAsia="zh-CN"/>
        </w:rPr>
        <w:t>产品</w:t>
      </w:r>
      <w:r>
        <w:rPr>
          <w:rFonts w:hint="default" w:ascii="宋体" w:hAnsi="Times New Roman"/>
          <w:color w:val="auto"/>
          <w:szCs w:val="20"/>
          <w:highlight w:val="none"/>
        </w:rPr>
        <w:t>包装上应有牢固清晰的标志。内容包括：生产厂名、厂址、产品名称、</w:t>
      </w:r>
      <w:r>
        <w:rPr>
          <w:rFonts w:hint="default" w:ascii="宋体"/>
          <w:color w:val="auto"/>
          <w:szCs w:val="20"/>
          <w:highlight w:val="none"/>
          <w:lang w:eastAsia="zh-CN"/>
        </w:rPr>
        <w:t>品级、</w:t>
      </w:r>
      <w:r>
        <w:rPr>
          <w:rFonts w:hint="default" w:ascii="宋体" w:hAnsi="Times New Roman"/>
          <w:color w:val="auto"/>
          <w:szCs w:val="20"/>
          <w:highlight w:val="none"/>
        </w:rPr>
        <w:t>净</w:t>
      </w:r>
      <w:r>
        <w:rPr>
          <w:rFonts w:hint="default" w:ascii="宋体" w:hAnsi="Times New Roman"/>
          <w:color w:val="auto"/>
          <w:szCs w:val="20"/>
          <w:highlight w:val="none"/>
          <w:lang w:eastAsia="zh-CN"/>
        </w:rPr>
        <w:t>重</w:t>
      </w:r>
      <w:r>
        <w:rPr>
          <w:rFonts w:hint="default" w:ascii="宋体" w:hAnsi="Times New Roman"/>
          <w:color w:val="auto"/>
          <w:szCs w:val="20"/>
          <w:highlight w:val="none"/>
        </w:rPr>
        <w:t>、批号</w:t>
      </w:r>
      <w:r>
        <w:rPr>
          <w:rFonts w:hint="default" w:ascii="宋体" w:hAnsi="Times New Roman"/>
          <w:color w:val="auto"/>
          <w:szCs w:val="20"/>
          <w:highlight w:val="none"/>
          <w:lang w:eastAsia="zh-CN"/>
        </w:rPr>
        <w:t>、</w:t>
      </w:r>
      <w:r>
        <w:rPr>
          <w:rFonts w:hint="default" w:ascii="宋体" w:hAnsi="Times New Roman"/>
          <w:color w:val="auto"/>
          <w:szCs w:val="20"/>
          <w:highlight w:val="none"/>
        </w:rPr>
        <w:t>生产日期、本</w:t>
      </w:r>
      <w:r>
        <w:rPr>
          <w:rFonts w:hint="default" w:ascii="宋体" w:hAnsi="Times New Roman"/>
          <w:color w:val="auto"/>
          <w:szCs w:val="20"/>
          <w:highlight w:val="none"/>
          <w:lang w:eastAsia="zh-CN"/>
        </w:rPr>
        <w:t>文件</w:t>
      </w:r>
      <w:r>
        <w:rPr>
          <w:rFonts w:hint="default" w:ascii="宋体" w:hAnsi="Times New Roman"/>
          <w:color w:val="auto"/>
          <w:szCs w:val="20"/>
          <w:highlight w:val="none"/>
        </w:rPr>
        <w:t>编号。</w:t>
      </w:r>
    </w:p>
    <w:p>
      <w:pPr>
        <w:pStyle w:val="32"/>
        <w:keepNext w:val="0"/>
        <w:keepLines w:val="0"/>
        <w:pageBreakBefore w:val="0"/>
        <w:kinsoku/>
        <w:wordWrap/>
        <w:overflowPunct/>
        <w:topLinePunct w:val="0"/>
        <w:bidi w:val="0"/>
        <w:adjustRightInd/>
        <w:spacing w:before="156" w:beforeLines="50" w:after="156" w:afterLines="50" w:line="240" w:lineRule="auto"/>
        <w:ind w:firstLine="0" w:firstLineChars="0"/>
        <w:textAlignment w:val="auto"/>
        <w:outlineLvl w:val="1"/>
        <w:rPr>
          <w:rFonts w:hint="eastAsia" w:ascii="黑体" w:hAnsi="黑体" w:eastAsia="黑体" w:cs="黑体"/>
          <w:szCs w:val="21"/>
        </w:rPr>
      </w:pPr>
      <w:r>
        <w:rPr>
          <w:rFonts w:hint="eastAsia" w:ascii="黑体" w:hAnsi="黑体" w:eastAsia="黑体" w:cs="黑体"/>
          <w:szCs w:val="21"/>
          <w:lang w:val="en-US" w:eastAsia="zh-CN"/>
        </w:rPr>
        <w:t>8</w:t>
      </w:r>
      <w:r>
        <w:rPr>
          <w:rFonts w:hint="eastAsia" w:ascii="黑体" w:hAnsi="黑体" w:eastAsia="黑体" w:cs="黑体"/>
          <w:szCs w:val="21"/>
        </w:rPr>
        <w:t>.2  包装</w:t>
      </w:r>
    </w:p>
    <w:p>
      <w:pPr>
        <w:pStyle w:val="32"/>
        <w:keepNext w:val="0"/>
        <w:keepLines w:val="0"/>
        <w:pageBreakBefore w:val="0"/>
        <w:kinsoku/>
        <w:wordWrap/>
        <w:overflowPunct/>
        <w:topLinePunct w:val="0"/>
        <w:bidi w:val="0"/>
        <w:adjustRightInd/>
        <w:spacing w:line="240" w:lineRule="auto"/>
        <w:ind w:firstLine="420" w:firstLineChars="0"/>
        <w:textAlignment w:val="auto"/>
        <w:rPr>
          <w:rFonts w:ascii="Times New Roman" w:eastAsiaTheme="minorEastAsia"/>
          <w:szCs w:val="22"/>
        </w:rPr>
      </w:pPr>
      <w:r>
        <w:rPr>
          <w:rFonts w:hint="eastAsia" w:ascii="Times New Roman" w:eastAsiaTheme="minorEastAsia"/>
          <w:szCs w:val="22"/>
        </w:rPr>
        <w:t>产品采用塑料编织袋内衬聚乙烯薄膜袋包装或塑料集装箱编织袋内衬聚乙烯薄膜袋包装，每袋净含量0.8</w:t>
      </w:r>
      <w:r>
        <w:rPr>
          <w:rFonts w:hint="eastAsia" w:ascii="Times New Roman" w:eastAsiaTheme="minorEastAsia"/>
          <w:szCs w:val="22"/>
          <w:lang w:val="en-US" w:eastAsia="zh-CN"/>
        </w:rPr>
        <w:t xml:space="preserve"> </w:t>
      </w:r>
      <w:r>
        <w:rPr>
          <w:rFonts w:hint="eastAsia" w:ascii="Times New Roman" w:eastAsiaTheme="minorEastAsia"/>
          <w:szCs w:val="22"/>
        </w:rPr>
        <w:t>t~1.5</w:t>
      </w:r>
      <w:r>
        <w:rPr>
          <w:rFonts w:hint="eastAsia" w:ascii="Times New Roman" w:eastAsiaTheme="minorEastAsia"/>
          <w:szCs w:val="22"/>
          <w:lang w:val="en-US" w:eastAsia="zh-CN"/>
        </w:rPr>
        <w:t xml:space="preserve"> </w:t>
      </w:r>
      <w:r>
        <w:rPr>
          <w:rFonts w:hint="eastAsia" w:ascii="Times New Roman" w:eastAsiaTheme="minorEastAsia"/>
          <w:szCs w:val="22"/>
        </w:rPr>
        <w:t>t。当用户对包装材料有特殊要求时，供需双方另行协商确定。</w:t>
      </w:r>
    </w:p>
    <w:p>
      <w:pPr>
        <w:pStyle w:val="32"/>
        <w:keepNext w:val="0"/>
        <w:keepLines w:val="0"/>
        <w:pageBreakBefore w:val="0"/>
        <w:kinsoku/>
        <w:wordWrap/>
        <w:overflowPunct/>
        <w:topLinePunct w:val="0"/>
        <w:bidi w:val="0"/>
        <w:adjustRightInd/>
        <w:spacing w:before="156" w:beforeLines="50" w:after="156" w:afterLines="50" w:line="240" w:lineRule="auto"/>
        <w:ind w:firstLine="0" w:firstLineChars="0"/>
        <w:textAlignment w:val="auto"/>
        <w:outlineLvl w:val="1"/>
        <w:rPr>
          <w:rFonts w:hint="eastAsia" w:ascii="黑体" w:hAnsi="黑体" w:eastAsia="黑体" w:cs="黑体"/>
          <w:szCs w:val="21"/>
        </w:rPr>
      </w:pPr>
      <w:r>
        <w:rPr>
          <w:rFonts w:hint="eastAsia" w:ascii="黑体" w:hAnsi="黑体" w:eastAsia="黑体" w:cs="黑体"/>
          <w:szCs w:val="21"/>
          <w:lang w:val="en-US" w:eastAsia="zh-CN"/>
        </w:rPr>
        <w:t>8</w:t>
      </w:r>
      <w:r>
        <w:rPr>
          <w:rFonts w:hint="eastAsia" w:ascii="黑体" w:hAnsi="黑体" w:eastAsia="黑体" w:cs="黑体"/>
          <w:szCs w:val="21"/>
        </w:rPr>
        <w:t>.3  运输</w:t>
      </w:r>
    </w:p>
    <w:p>
      <w:pPr>
        <w:pStyle w:val="32"/>
        <w:keepNext w:val="0"/>
        <w:keepLines w:val="0"/>
        <w:pageBreakBefore w:val="0"/>
        <w:kinsoku/>
        <w:wordWrap/>
        <w:overflowPunct/>
        <w:topLinePunct w:val="0"/>
        <w:bidi w:val="0"/>
        <w:adjustRightInd/>
        <w:spacing w:before="156" w:beforeLines="50" w:after="156" w:afterLines="50" w:line="240" w:lineRule="auto"/>
        <w:ind w:firstLine="420" w:firstLineChars="200"/>
        <w:textAlignment w:val="auto"/>
        <w:outlineLvl w:val="1"/>
        <w:rPr>
          <w:rFonts w:ascii="Times New Roman" w:eastAsiaTheme="minorEastAsia"/>
        </w:rPr>
      </w:pPr>
      <w:r>
        <w:rPr>
          <w:rFonts w:hint="eastAsia" w:ascii="Times New Roman" w:eastAsiaTheme="minorEastAsia"/>
        </w:rPr>
        <w:t>产品运输时应小心轻放，防止包装破损，做好防雨、防水措施等</w:t>
      </w:r>
      <w:r>
        <w:rPr>
          <w:rFonts w:ascii="Times New Roman" w:eastAsiaTheme="minorEastAsia"/>
        </w:rPr>
        <w:t>。</w:t>
      </w:r>
    </w:p>
    <w:p>
      <w:pPr>
        <w:pStyle w:val="32"/>
        <w:keepNext w:val="0"/>
        <w:keepLines w:val="0"/>
        <w:pageBreakBefore w:val="0"/>
        <w:kinsoku/>
        <w:wordWrap/>
        <w:overflowPunct/>
        <w:topLinePunct w:val="0"/>
        <w:bidi w:val="0"/>
        <w:adjustRightInd/>
        <w:spacing w:before="156" w:beforeLines="50" w:after="156" w:afterLines="50" w:line="240" w:lineRule="auto"/>
        <w:ind w:firstLine="0" w:firstLineChars="0"/>
        <w:textAlignment w:val="auto"/>
        <w:outlineLvl w:val="1"/>
        <w:rPr>
          <w:rFonts w:hint="eastAsia" w:ascii="黑体" w:hAnsi="黑体" w:eastAsia="黑体" w:cs="黑体"/>
          <w:szCs w:val="21"/>
        </w:rPr>
      </w:pPr>
      <w:r>
        <w:rPr>
          <w:rFonts w:hint="eastAsia" w:ascii="黑体" w:hAnsi="黑体" w:eastAsia="黑体" w:cs="黑体"/>
          <w:szCs w:val="21"/>
          <w:lang w:val="en-US" w:eastAsia="zh-CN"/>
        </w:rPr>
        <w:t>8</w:t>
      </w:r>
      <w:r>
        <w:rPr>
          <w:rFonts w:hint="eastAsia" w:ascii="黑体" w:hAnsi="黑体" w:eastAsia="黑体" w:cs="黑体"/>
          <w:szCs w:val="21"/>
        </w:rPr>
        <w:t>.4  贮存</w:t>
      </w:r>
    </w:p>
    <w:p>
      <w:pPr>
        <w:pStyle w:val="32"/>
        <w:ind w:firstLine="420"/>
        <w:rPr>
          <w:rFonts w:ascii="Times New Roman" w:eastAsiaTheme="minorEastAsia"/>
          <w:highlight w:val="none"/>
        </w:rPr>
      </w:pPr>
      <w:r>
        <w:rPr>
          <w:rFonts w:ascii="Times New Roman" w:eastAsiaTheme="minorEastAsia"/>
        </w:rPr>
        <w:t>产品应</w:t>
      </w:r>
      <w:r>
        <w:rPr>
          <w:rFonts w:hint="eastAsia" w:cs="Times New Roman"/>
          <w:szCs w:val="21"/>
          <w:highlight w:val="none"/>
          <w:lang w:eastAsia="zh-CN"/>
        </w:rPr>
        <w:t>贮存</w:t>
      </w:r>
      <w:r>
        <w:rPr>
          <w:rFonts w:ascii="Times New Roman" w:eastAsiaTheme="minorEastAsia"/>
        </w:rPr>
        <w:t>于干燥</w:t>
      </w:r>
      <w:r>
        <w:rPr>
          <w:rFonts w:hint="eastAsia" w:ascii="Times New Roman" w:eastAsiaTheme="minorEastAsia"/>
          <w:lang w:eastAsia="zh-CN"/>
        </w:rPr>
        <w:t>、</w:t>
      </w:r>
      <w:r>
        <w:rPr>
          <w:rFonts w:hint="eastAsia" w:ascii="Times New Roman" w:eastAsiaTheme="minorEastAsia"/>
          <w:lang w:val="en-US" w:eastAsia="zh-CN"/>
        </w:rPr>
        <w:t>阴凉、通风、没有腐蚀性物品</w:t>
      </w:r>
      <w:r>
        <w:rPr>
          <w:rFonts w:hint="eastAsia" w:ascii="Times New Roman" w:eastAsiaTheme="minorEastAsia"/>
        </w:rPr>
        <w:t>环境中</w:t>
      </w:r>
      <w:r>
        <w:rPr>
          <w:rFonts w:ascii="Times New Roman" w:eastAsiaTheme="minorEastAsia"/>
          <w:highlight w:val="none"/>
        </w:rPr>
        <w:t>，</w:t>
      </w:r>
      <w:r>
        <w:rPr>
          <w:rFonts w:hint="eastAsia" w:ascii="Times New Roman" w:eastAsiaTheme="minorEastAsia"/>
          <w:highlight w:val="none"/>
          <w:lang w:val="en-US" w:eastAsia="zh-CN"/>
        </w:rPr>
        <w:t>不与酸、碱、油类等化学品混贮，且</w:t>
      </w:r>
      <w:r>
        <w:rPr>
          <w:rFonts w:hint="eastAsia" w:ascii="Times New Roman" w:eastAsiaTheme="minorEastAsia"/>
          <w:highlight w:val="none"/>
        </w:rPr>
        <w:t>防止雨淋、</w:t>
      </w:r>
      <w:r>
        <w:rPr>
          <w:rFonts w:hint="eastAsia" w:ascii="Times New Roman" w:eastAsiaTheme="minorEastAsia"/>
          <w:highlight w:val="none"/>
          <w:lang w:val="en-US" w:eastAsia="zh-CN"/>
        </w:rPr>
        <w:t>腐蚀、受潮等</w:t>
      </w:r>
      <w:r>
        <w:rPr>
          <w:rFonts w:ascii="Times New Roman" w:eastAsiaTheme="minorEastAsia"/>
          <w:highlight w:val="none"/>
        </w:rPr>
        <w:t>。</w:t>
      </w:r>
    </w:p>
    <w:p>
      <w:pPr>
        <w:pStyle w:val="32"/>
        <w:keepNext w:val="0"/>
        <w:keepLines w:val="0"/>
        <w:pageBreakBefore w:val="0"/>
        <w:kinsoku/>
        <w:wordWrap/>
        <w:overflowPunct/>
        <w:topLinePunct w:val="0"/>
        <w:bidi w:val="0"/>
        <w:adjustRightInd/>
        <w:spacing w:before="156" w:beforeLines="50" w:after="156" w:afterLines="50" w:line="240" w:lineRule="auto"/>
        <w:ind w:firstLine="0" w:firstLineChars="0"/>
        <w:textAlignment w:val="auto"/>
        <w:outlineLvl w:val="1"/>
        <w:rPr>
          <w:rFonts w:hint="eastAsia" w:ascii="黑体" w:hAnsi="黑体" w:eastAsia="黑体" w:cs="黑体"/>
          <w:szCs w:val="21"/>
        </w:rPr>
      </w:pPr>
      <w:r>
        <w:rPr>
          <w:rFonts w:hint="eastAsia" w:ascii="黑体" w:hAnsi="黑体" w:eastAsia="黑体" w:cs="黑体"/>
          <w:szCs w:val="21"/>
          <w:lang w:val="en-US" w:eastAsia="zh-CN"/>
        </w:rPr>
        <w:t>8</w:t>
      </w:r>
      <w:r>
        <w:rPr>
          <w:rFonts w:hint="eastAsia" w:ascii="黑体" w:hAnsi="黑体" w:eastAsia="黑体" w:cs="黑体"/>
          <w:szCs w:val="21"/>
        </w:rPr>
        <w:t>.5  随行文件</w:t>
      </w:r>
    </w:p>
    <w:p>
      <w:pPr>
        <w:pStyle w:val="32"/>
        <w:ind w:firstLine="420"/>
        <w:rPr>
          <w:rFonts w:ascii="Times New Roman" w:eastAsiaTheme="minorEastAsia"/>
        </w:rPr>
      </w:pPr>
      <w:r>
        <w:rPr>
          <w:rFonts w:ascii="Times New Roman" w:eastAsiaTheme="minorEastAsia"/>
        </w:rPr>
        <w:t>每批产品应附有</w:t>
      </w:r>
      <w:r>
        <w:rPr>
          <w:rFonts w:hint="eastAsia" w:ascii="Times New Roman" w:eastAsiaTheme="minorEastAsia"/>
        </w:rPr>
        <w:t>随行文件</w:t>
      </w:r>
      <w:r>
        <w:rPr>
          <w:rFonts w:ascii="Times New Roman" w:eastAsiaTheme="minorEastAsia"/>
        </w:rPr>
        <w:t>，</w:t>
      </w:r>
      <w:r>
        <w:rPr>
          <w:rFonts w:hint="eastAsia" w:ascii="Times New Roman" w:eastAsiaTheme="minorEastAsia"/>
        </w:rPr>
        <w:t>其中除应包括供方信息、产品信息、本文件编号、出厂日期或包装日期外，还宜包括：</w:t>
      </w:r>
    </w:p>
    <w:p>
      <w:pPr>
        <w:pStyle w:val="32"/>
        <w:numPr>
          <w:ilvl w:val="255"/>
          <w:numId w:val="0"/>
        </w:numPr>
        <w:ind w:firstLine="420"/>
        <w:rPr>
          <w:rFonts w:ascii="Times New Roman" w:eastAsiaTheme="minorEastAsia"/>
        </w:rPr>
      </w:pPr>
      <w:r>
        <w:rPr>
          <w:rFonts w:hint="eastAsia" w:ascii="Times New Roman" w:eastAsiaTheme="minorEastAsia"/>
        </w:rPr>
        <w:t>a）产品质量保证书：</w:t>
      </w:r>
    </w:p>
    <w:p>
      <w:pPr>
        <w:pStyle w:val="32"/>
        <w:numPr>
          <w:ilvl w:val="255"/>
          <w:numId w:val="0"/>
        </w:numPr>
        <w:ind w:firstLine="480"/>
        <w:rPr>
          <w:rFonts w:ascii="Times New Roman" w:eastAsiaTheme="minorEastAsia"/>
          <w:szCs w:val="21"/>
        </w:rPr>
      </w:pPr>
      <w:r>
        <w:rPr>
          <w:rFonts w:hint="eastAsia" w:ascii="Times New Roman" w:eastAsiaTheme="minorEastAsia"/>
          <w:sz w:val="24"/>
          <w:szCs w:val="24"/>
        </w:rPr>
        <w:t>·</w:t>
      </w:r>
      <w:r>
        <w:rPr>
          <w:rFonts w:hint="eastAsia" w:ascii="Times New Roman" w:eastAsiaTheme="minorEastAsia"/>
          <w:szCs w:val="21"/>
        </w:rPr>
        <w:t>产品的主要性能及技术参数；</w:t>
      </w:r>
    </w:p>
    <w:p>
      <w:pPr>
        <w:pStyle w:val="32"/>
        <w:numPr>
          <w:ilvl w:val="255"/>
          <w:numId w:val="0"/>
        </w:numPr>
        <w:ind w:firstLine="480"/>
        <w:rPr>
          <w:rFonts w:ascii="Times New Roman" w:eastAsiaTheme="minorEastAsia"/>
          <w:szCs w:val="21"/>
        </w:rPr>
      </w:pPr>
      <w:r>
        <w:rPr>
          <w:rFonts w:hint="eastAsia" w:ascii="Times New Roman" w:eastAsiaTheme="minorEastAsia"/>
          <w:sz w:val="24"/>
          <w:szCs w:val="24"/>
        </w:rPr>
        <w:t>·</w:t>
      </w:r>
      <w:r>
        <w:rPr>
          <w:rFonts w:hint="eastAsia" w:ascii="Times New Roman" w:eastAsiaTheme="minorEastAsia"/>
          <w:szCs w:val="21"/>
        </w:rPr>
        <w:t>产品特点（包括制造工艺及原材料的特点）；</w:t>
      </w:r>
    </w:p>
    <w:p>
      <w:pPr>
        <w:pStyle w:val="32"/>
        <w:numPr>
          <w:ilvl w:val="255"/>
          <w:numId w:val="0"/>
        </w:numPr>
        <w:ind w:firstLine="480"/>
        <w:rPr>
          <w:rFonts w:ascii="Times New Roman" w:eastAsiaTheme="minorEastAsia"/>
          <w:szCs w:val="21"/>
        </w:rPr>
      </w:pPr>
      <w:r>
        <w:rPr>
          <w:rFonts w:hint="eastAsia" w:ascii="Times New Roman" w:eastAsiaTheme="minorEastAsia"/>
          <w:sz w:val="24"/>
          <w:szCs w:val="24"/>
        </w:rPr>
        <w:t>·</w:t>
      </w:r>
      <w:r>
        <w:rPr>
          <w:rFonts w:hint="eastAsia" w:ascii="Times New Roman" w:eastAsiaTheme="minorEastAsia"/>
          <w:szCs w:val="21"/>
        </w:rPr>
        <w:t>对产品质量所负的责任；</w:t>
      </w:r>
    </w:p>
    <w:p>
      <w:pPr>
        <w:pStyle w:val="32"/>
        <w:numPr>
          <w:ilvl w:val="255"/>
          <w:numId w:val="0"/>
        </w:numPr>
        <w:ind w:firstLine="480"/>
        <w:rPr>
          <w:rFonts w:ascii="Times New Roman" w:eastAsiaTheme="minorEastAsia"/>
          <w:szCs w:val="21"/>
        </w:rPr>
      </w:pPr>
      <w:r>
        <w:rPr>
          <w:rFonts w:hint="eastAsia" w:ascii="Times New Roman" w:eastAsiaTheme="minorEastAsia"/>
          <w:sz w:val="24"/>
          <w:szCs w:val="24"/>
        </w:rPr>
        <w:t>·</w:t>
      </w:r>
      <w:r>
        <w:rPr>
          <w:rFonts w:hint="eastAsia" w:ascii="Times New Roman" w:eastAsiaTheme="minorEastAsia"/>
          <w:szCs w:val="21"/>
        </w:rPr>
        <w:t>产品获得的质量认证及带供方技术监督部门检印的各项分析检验结果。</w:t>
      </w:r>
    </w:p>
    <w:p>
      <w:pPr>
        <w:pStyle w:val="32"/>
        <w:numPr>
          <w:ilvl w:val="255"/>
          <w:numId w:val="0"/>
        </w:numPr>
        <w:ind w:firstLine="420"/>
        <w:rPr>
          <w:rFonts w:ascii="Times New Roman" w:eastAsiaTheme="minorEastAsia"/>
        </w:rPr>
      </w:pPr>
      <w:r>
        <w:rPr>
          <w:rFonts w:hint="eastAsia" w:ascii="Times New Roman" w:eastAsiaTheme="minorEastAsia"/>
        </w:rPr>
        <w:t>b）产品合格证：</w:t>
      </w:r>
    </w:p>
    <w:p>
      <w:pPr>
        <w:pStyle w:val="32"/>
        <w:numPr>
          <w:ilvl w:val="255"/>
          <w:numId w:val="0"/>
        </w:numPr>
        <w:ind w:firstLine="480" w:firstLineChars="200"/>
        <w:rPr>
          <w:rFonts w:ascii="Times New Roman" w:eastAsiaTheme="minorEastAsia"/>
          <w:szCs w:val="21"/>
        </w:rPr>
      </w:pPr>
      <w:r>
        <w:rPr>
          <w:rFonts w:hint="eastAsia" w:ascii="Times New Roman" w:eastAsiaTheme="minorEastAsia"/>
          <w:sz w:val="24"/>
          <w:szCs w:val="24"/>
        </w:rPr>
        <w:t>·</w:t>
      </w:r>
      <w:r>
        <w:rPr>
          <w:rFonts w:hint="eastAsia" w:ascii="Times New Roman" w:eastAsiaTheme="minorEastAsia"/>
          <w:szCs w:val="21"/>
        </w:rPr>
        <w:t>检验项目及其结果或检验结论；</w:t>
      </w:r>
    </w:p>
    <w:p>
      <w:pPr>
        <w:pStyle w:val="32"/>
        <w:numPr>
          <w:ilvl w:val="255"/>
          <w:numId w:val="0"/>
        </w:numPr>
        <w:ind w:firstLine="480" w:firstLineChars="200"/>
        <w:rPr>
          <w:rFonts w:ascii="Times New Roman" w:eastAsiaTheme="minorEastAsia"/>
          <w:szCs w:val="21"/>
        </w:rPr>
      </w:pPr>
      <w:r>
        <w:rPr>
          <w:rFonts w:hint="eastAsia" w:ascii="Times New Roman" w:eastAsiaTheme="minorEastAsia"/>
          <w:sz w:val="24"/>
          <w:szCs w:val="24"/>
        </w:rPr>
        <w:t>·</w:t>
      </w:r>
      <w:r>
        <w:rPr>
          <w:rFonts w:hint="eastAsia" w:ascii="Times New Roman" w:eastAsiaTheme="minorEastAsia"/>
          <w:szCs w:val="21"/>
        </w:rPr>
        <w:t>批量或批号；</w:t>
      </w:r>
    </w:p>
    <w:p>
      <w:pPr>
        <w:pStyle w:val="32"/>
        <w:numPr>
          <w:ilvl w:val="255"/>
          <w:numId w:val="0"/>
        </w:numPr>
        <w:ind w:firstLine="480" w:firstLineChars="200"/>
        <w:rPr>
          <w:rFonts w:ascii="Times New Roman" w:eastAsiaTheme="minorEastAsia"/>
          <w:szCs w:val="21"/>
        </w:rPr>
      </w:pPr>
      <w:r>
        <w:rPr>
          <w:rFonts w:hint="eastAsia" w:ascii="Times New Roman" w:eastAsiaTheme="minorEastAsia"/>
          <w:sz w:val="24"/>
          <w:szCs w:val="24"/>
        </w:rPr>
        <w:t>·</w:t>
      </w:r>
      <w:r>
        <w:rPr>
          <w:rFonts w:hint="eastAsia" w:ascii="Times New Roman" w:eastAsiaTheme="minorEastAsia"/>
          <w:szCs w:val="21"/>
        </w:rPr>
        <w:t>检验日期；</w:t>
      </w:r>
    </w:p>
    <w:p>
      <w:pPr>
        <w:pStyle w:val="32"/>
        <w:numPr>
          <w:ilvl w:val="255"/>
          <w:numId w:val="0"/>
        </w:numPr>
        <w:ind w:firstLine="480"/>
        <w:rPr>
          <w:rFonts w:ascii="Times New Roman" w:eastAsiaTheme="minorEastAsia"/>
        </w:rPr>
      </w:pPr>
      <w:r>
        <w:rPr>
          <w:rFonts w:hint="eastAsia" w:ascii="Times New Roman" w:eastAsiaTheme="minorEastAsia"/>
          <w:sz w:val="24"/>
          <w:szCs w:val="24"/>
        </w:rPr>
        <w:t>·</w:t>
      </w:r>
      <w:r>
        <w:rPr>
          <w:rFonts w:hint="eastAsia" w:ascii="Times New Roman" w:eastAsiaTheme="minorEastAsia"/>
          <w:szCs w:val="21"/>
        </w:rPr>
        <w:t>检验员签名或盖章。</w:t>
      </w:r>
    </w:p>
    <w:p>
      <w:pPr>
        <w:pStyle w:val="32"/>
        <w:numPr>
          <w:ilvl w:val="255"/>
          <w:numId w:val="0"/>
        </w:numPr>
        <w:ind w:firstLine="420"/>
        <w:rPr>
          <w:rFonts w:ascii="Times New Roman" w:eastAsiaTheme="minorEastAsia"/>
        </w:rPr>
      </w:pPr>
      <w:r>
        <w:rPr>
          <w:rFonts w:hint="eastAsia" w:ascii="Times New Roman" w:eastAsiaTheme="minorEastAsia"/>
        </w:rPr>
        <w:t>c）产品质量控制过程中的检验报告及成品检验报告。</w:t>
      </w:r>
    </w:p>
    <w:p>
      <w:pPr>
        <w:pStyle w:val="32"/>
        <w:numPr>
          <w:ilvl w:val="255"/>
          <w:numId w:val="0"/>
        </w:numPr>
        <w:ind w:firstLine="420"/>
        <w:rPr>
          <w:rFonts w:ascii="Times New Roman" w:eastAsiaTheme="minorEastAsia"/>
        </w:rPr>
      </w:pPr>
      <w:r>
        <w:rPr>
          <w:rFonts w:hint="eastAsia" w:ascii="Times New Roman" w:eastAsiaTheme="minorEastAsia"/>
        </w:rPr>
        <w:t>d）产品使用说明：正确搬运、使用、贮存方法等。</w:t>
      </w:r>
    </w:p>
    <w:p>
      <w:pPr>
        <w:pStyle w:val="32"/>
        <w:numPr>
          <w:ilvl w:val="255"/>
          <w:numId w:val="0"/>
        </w:numPr>
        <w:ind w:firstLine="420"/>
        <w:rPr>
          <w:rFonts w:ascii="Times New Roman" w:eastAsiaTheme="minorEastAsia"/>
        </w:rPr>
      </w:pPr>
      <w:r>
        <w:rPr>
          <w:rFonts w:hint="eastAsia" w:ascii="Times New Roman" w:eastAsiaTheme="minorEastAsia"/>
        </w:rPr>
        <w:t>e）其他。</w:t>
      </w:r>
    </w:p>
    <w:p>
      <w:pPr>
        <w:keepNext w:val="0"/>
        <w:keepLines w:val="0"/>
        <w:pageBreakBefore w:val="0"/>
        <w:kinsoku/>
        <w:wordWrap/>
        <w:overflowPunct/>
        <w:topLinePunct w:val="0"/>
        <w:bidi w:val="0"/>
        <w:adjustRightInd/>
        <w:spacing w:before="312" w:beforeLines="100" w:after="312" w:afterLines="100" w:line="240" w:lineRule="auto"/>
        <w:textAlignment w:val="auto"/>
        <w:rPr>
          <w:rFonts w:hint="eastAsia" w:ascii="黑体" w:hAnsi="黑体" w:eastAsia="黑体" w:cs="黑体"/>
          <w:bCs/>
        </w:rPr>
      </w:pPr>
      <w:r>
        <w:rPr>
          <w:rFonts w:hint="eastAsia" w:ascii="黑体" w:hAnsi="黑体" w:eastAsia="黑体" w:cs="黑体"/>
          <w:bCs/>
          <w:lang w:val="en-US" w:eastAsia="zh-CN"/>
        </w:rPr>
        <w:t>9</w:t>
      </w:r>
      <w:r>
        <w:rPr>
          <w:rFonts w:hint="eastAsia" w:ascii="黑体" w:hAnsi="黑体" w:eastAsia="黑体" w:cs="黑体"/>
          <w:bCs/>
        </w:rPr>
        <w:t xml:space="preserve"> </w:t>
      </w:r>
      <w:r>
        <w:rPr>
          <w:rFonts w:hint="eastAsia" w:ascii="黑体" w:hAnsi="黑体" w:eastAsia="黑体" w:cs="黑体"/>
          <w:bCs/>
          <w:lang w:val="en-US" w:eastAsia="zh-CN"/>
        </w:rPr>
        <w:t xml:space="preserve"> </w:t>
      </w:r>
      <w:r>
        <w:rPr>
          <w:rFonts w:hint="eastAsia" w:ascii="黑体" w:hAnsi="黑体" w:eastAsia="黑体" w:cs="黑体"/>
          <w:bCs/>
        </w:rPr>
        <w:t>订货单内容</w:t>
      </w:r>
    </w:p>
    <w:p>
      <w:pPr>
        <w:pStyle w:val="32"/>
        <w:keepNext w:val="0"/>
        <w:keepLines w:val="0"/>
        <w:pageBreakBefore w:val="0"/>
        <w:kinsoku/>
        <w:wordWrap/>
        <w:overflowPunct/>
        <w:topLinePunct w:val="0"/>
        <w:bidi w:val="0"/>
        <w:adjustRightInd/>
        <w:spacing w:line="240" w:lineRule="auto"/>
        <w:ind w:firstLine="420"/>
        <w:textAlignment w:val="auto"/>
        <w:rPr>
          <w:rFonts w:ascii="Times New Roman" w:eastAsiaTheme="minorEastAsia"/>
        </w:rPr>
      </w:pPr>
      <w:r>
        <w:rPr>
          <w:rFonts w:hint="eastAsia" w:ascii="Times New Roman" w:eastAsiaTheme="minorEastAsia"/>
        </w:rPr>
        <w:t>需方可根据自身的需要，在订购</w:t>
      </w:r>
      <w:r>
        <w:rPr>
          <w:rFonts w:ascii="Times New Roman" w:eastAsiaTheme="minorEastAsia"/>
        </w:rPr>
        <w:t>本文件所列产品的</w:t>
      </w:r>
      <w:r>
        <w:rPr>
          <w:rFonts w:hint="eastAsia" w:ascii="Times New Roman" w:eastAsiaTheme="minorEastAsia"/>
        </w:rPr>
        <w:t>订货单内，列出如下</w:t>
      </w:r>
      <w:r>
        <w:rPr>
          <w:rFonts w:ascii="Times New Roman" w:eastAsiaTheme="minorEastAsia"/>
        </w:rPr>
        <w:t>内容：</w:t>
      </w:r>
    </w:p>
    <w:bookmarkEnd w:id="2"/>
    <w:p>
      <w:pPr>
        <w:pStyle w:val="32"/>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firstLine="420" w:firstLineChars="200"/>
        <w:textAlignment w:val="auto"/>
        <w:rPr>
          <w:rFonts w:ascii="Times New Roman" w:eastAsiaTheme="minorEastAsia"/>
        </w:rPr>
      </w:pPr>
      <w:r>
        <w:rPr>
          <w:rFonts w:hint="eastAsia" w:ascii="Times New Roman" w:eastAsiaTheme="minorEastAsia"/>
          <w:lang w:val="en-US" w:eastAsia="zh-CN"/>
        </w:rPr>
        <w:t>a</w:t>
      </w:r>
      <w:r>
        <w:rPr>
          <w:rFonts w:hint="eastAsia" w:ascii="Times New Roman" w:eastAsiaTheme="minorEastAsia"/>
          <w:lang w:eastAsia="zh-CN"/>
        </w:rPr>
        <w:t>）</w:t>
      </w:r>
      <w:r>
        <w:rPr>
          <w:rFonts w:ascii="Times New Roman" w:eastAsiaTheme="minorEastAsia"/>
        </w:rPr>
        <w:t>产品名称；</w:t>
      </w:r>
    </w:p>
    <w:p>
      <w:pPr>
        <w:pStyle w:val="32"/>
        <w:spacing w:line="240" w:lineRule="auto"/>
        <w:ind w:firstLine="420"/>
        <w:rPr>
          <w:rFonts w:ascii="Times New Roman" w:eastAsiaTheme="minorEastAsia"/>
        </w:rPr>
      </w:pPr>
      <w:r>
        <w:rPr>
          <w:rFonts w:hint="eastAsia" w:ascii="Times New Roman" w:eastAsiaTheme="minorEastAsia"/>
          <w:lang w:val="en-US" w:eastAsia="zh-CN"/>
        </w:rPr>
        <w:t>b</w:t>
      </w:r>
      <w:r>
        <w:rPr>
          <w:rFonts w:hint="eastAsia" w:ascii="Times New Roman" w:eastAsiaTheme="minorEastAsia"/>
          <w:lang w:eastAsia="zh-CN"/>
        </w:rPr>
        <w:t>）</w:t>
      </w:r>
      <w:r>
        <w:rPr>
          <w:rFonts w:ascii="Times New Roman" w:eastAsiaTheme="minorEastAsia"/>
        </w:rPr>
        <w:t>产品</w:t>
      </w:r>
      <w:r>
        <w:rPr>
          <w:rFonts w:hint="eastAsia" w:ascii="Times New Roman" w:eastAsiaTheme="minorEastAsia"/>
        </w:rPr>
        <w:t>品级</w:t>
      </w:r>
      <w:r>
        <w:rPr>
          <w:rFonts w:ascii="Times New Roman" w:eastAsiaTheme="minorEastAsia"/>
        </w:rPr>
        <w:t>；</w:t>
      </w:r>
    </w:p>
    <w:p>
      <w:pPr>
        <w:pStyle w:val="32"/>
        <w:spacing w:line="240" w:lineRule="auto"/>
        <w:ind w:firstLine="420"/>
        <w:rPr>
          <w:rFonts w:ascii="Times New Roman" w:eastAsiaTheme="minorEastAsia"/>
        </w:rPr>
      </w:pPr>
      <w:r>
        <w:rPr>
          <w:rFonts w:hint="eastAsia" w:ascii="Times New Roman" w:eastAsiaTheme="minorEastAsia"/>
          <w:lang w:val="en-US" w:eastAsia="zh-CN"/>
        </w:rPr>
        <w:t>c）净重</w:t>
      </w:r>
      <w:r>
        <w:rPr>
          <w:rFonts w:ascii="Times New Roman" w:eastAsiaTheme="minorEastAsia"/>
        </w:rPr>
        <w:t>；</w:t>
      </w:r>
    </w:p>
    <w:p>
      <w:pPr>
        <w:pStyle w:val="32"/>
        <w:spacing w:line="240" w:lineRule="auto"/>
        <w:ind w:firstLine="420"/>
        <w:rPr>
          <w:rFonts w:ascii="Times New Roman" w:eastAsiaTheme="minorEastAsia"/>
        </w:rPr>
      </w:pPr>
      <w:r>
        <w:rPr>
          <w:rFonts w:hint="eastAsia" w:ascii="Times New Roman" w:eastAsiaTheme="minorEastAsia"/>
          <w:lang w:val="en-US" w:eastAsia="zh-CN"/>
        </w:rPr>
        <w:t>d）</w:t>
      </w:r>
      <w:r>
        <w:rPr>
          <w:rFonts w:ascii="Times New Roman" w:eastAsiaTheme="minorEastAsia"/>
        </w:rPr>
        <w:t>本</w:t>
      </w:r>
      <w:r>
        <w:rPr>
          <w:rFonts w:hint="eastAsia" w:ascii="Times New Roman" w:eastAsiaTheme="minorEastAsia"/>
        </w:rPr>
        <w:t>文件</w:t>
      </w:r>
      <w:r>
        <w:rPr>
          <w:rFonts w:ascii="Times New Roman" w:eastAsiaTheme="minorEastAsia"/>
        </w:rPr>
        <w:t>编号；</w:t>
      </w:r>
    </w:p>
    <w:p>
      <w:pPr>
        <w:pStyle w:val="32"/>
        <w:spacing w:line="240" w:lineRule="auto"/>
        <w:ind w:firstLine="420"/>
        <w:rPr>
          <w:rFonts w:hint="eastAsia" w:ascii="Times New Roman" w:eastAsia="宋体"/>
          <w:lang w:val="en-US" w:eastAsia="zh-CN"/>
        </w:rPr>
      </w:pPr>
      <w:r>
        <w:rPr>
          <w:rFonts w:hint="eastAsia" w:ascii="Times New Roman" w:eastAsiaTheme="minorEastAsia"/>
          <w:lang w:val="en-US" w:eastAsia="zh-CN"/>
        </w:rPr>
        <w:t>e）</w:t>
      </w:r>
      <w:r>
        <w:rPr>
          <w:rFonts w:hint="eastAsia"/>
          <w:szCs w:val="21"/>
        </w:rPr>
        <w:t>本文件中供需双方协商的其他特殊要求</w:t>
      </w:r>
      <w:r>
        <w:rPr>
          <w:rFonts w:hint="eastAsia"/>
          <w:szCs w:val="21"/>
          <w:lang w:eastAsia="zh-CN"/>
        </w:rPr>
        <w:t>；</w:t>
      </w:r>
    </w:p>
    <w:p>
      <w:pPr>
        <w:pStyle w:val="32"/>
        <w:spacing w:line="240" w:lineRule="auto"/>
        <w:ind w:firstLine="420"/>
        <w:rPr>
          <w:rFonts w:hint="eastAsia" w:ascii="Times New Roman" w:eastAsiaTheme="minorEastAsia"/>
          <w:lang w:eastAsia="zh-CN"/>
        </w:rPr>
      </w:pPr>
      <w:r>
        <w:rPr>
          <w:rFonts w:hint="eastAsia" w:ascii="Times New Roman" w:eastAsiaTheme="minorEastAsia"/>
          <w:lang w:val="en-US" w:eastAsia="zh-CN"/>
        </w:rPr>
        <w:t>f）其他。</w:t>
      </w:r>
    </w:p>
    <w:p>
      <w:pPr>
        <w:pStyle w:val="32"/>
        <w:ind w:firstLine="0" w:firstLineChars="0"/>
      </w:pPr>
      <w:r>
        <w:rPr>
          <w:rFonts w:ascii="Times New Roman"/>
          <w:sz w:val="20"/>
        </w:rPr>
        <mc:AlternateContent>
          <mc:Choice Requires="wps">
            <w:drawing>
              <wp:anchor distT="0" distB="0" distL="114300" distR="114300" simplePos="0" relativeHeight="251667456" behindDoc="0" locked="0" layoutInCell="1" allowOverlap="1">
                <wp:simplePos x="0" y="0"/>
                <wp:positionH relativeFrom="column">
                  <wp:posOffset>2209800</wp:posOffset>
                </wp:positionH>
                <wp:positionV relativeFrom="paragraph">
                  <wp:posOffset>208280</wp:posOffset>
                </wp:positionV>
                <wp:extent cx="1524000" cy="635"/>
                <wp:effectExtent l="0" t="0" r="0" b="0"/>
                <wp:wrapNone/>
                <wp:docPr id="10" name="直线 16"/>
                <wp:cNvGraphicFramePr/>
                <a:graphic xmlns:a="http://schemas.openxmlformats.org/drawingml/2006/main">
                  <a:graphicData uri="http://schemas.microsoft.com/office/word/2010/wordprocessingShape">
                    <wps:wsp>
                      <wps:cNvCnPr/>
                      <wps:spPr>
                        <a:xfrm>
                          <a:off x="0" y="0"/>
                          <a:ext cx="152400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6" o:spid="_x0000_s1026" o:spt="20" style="position:absolute;left:0pt;margin-left:174pt;margin-top:16.4pt;height:0.05pt;width:120pt;z-index:251667456;mso-width-relative:page;mso-height-relative:page;" filled="f" stroked="t" coordsize="21600,21600" o:gfxdata="UEsDBAoAAAAAAIdO4kAAAAAAAAAAAAAAAAAEAAAAZHJzL1BLAwQUAAAACACHTuJA8mVJfNcAAAAJ&#10;AQAADwAAAGRycy9kb3ducmV2LnhtbE2PS0/DMBCE70j8B2uRuFGn4eWGOD2AqgrEpS0SVzfexoF4&#10;ncbug3/P5gS33dnR7Dfl/Ow7ccQhtoE0TCcZCKQ62JYaDR+bxY0CEZMha7pAqOEHI8yry4vSFDac&#10;aIXHdWoEh1AsjAaXUl9IGWuH3sRJ6JH4tguDN4nXoZF2MCcO953Ms+xBetMSf3Cmx2eH9ff64DWY&#10;l+Uqfar87bF9de9fm8V+6dRe6+urafYEIuE5/ZlhxGd0qJhpGw5ko+g03N4p7pJ4yLkCG+7VKGxH&#10;YQayKuX/BtUvUEsDBBQAAAAIAIdO4kAbP7MdxQEAAIYDAAAOAAAAZHJzL2Uyb0RvYy54bWytU0uO&#10;EzEQ3SNxB8t70p3ABNRKZxYThg2CSAwHqPjTbck/uUw6OQvXYMWG48w1KDshA8xmhOiF26569bre&#10;c/Xq+uAs26uEJviez2ctZ8qLII0fev757vbFG84wg5dgg1c9Pyrk1+vnz1ZT7NQijMFKlRiReOym&#10;2PMx59g1DYpROcBZiMpTUofkINMxDY1MMBG7s82ibZfNFJKMKQiFSNHNKcnXlV9rJfJHrVFlZntO&#10;veW6prruytqsV9ANCeJoxLkN+IcuHBhPH71QbSAD+5LMIypnRAoYdJ6J4JqgtRGqaiA18/YvNZ9G&#10;iKpqIXMwXmzC/0crPuy3iRlJd0f2eHB0R/dfv91//8Hmy+LOFLEj0I3fpvMJ4zYVqQedXHmTCHao&#10;jh4vjqpDZoKC86vFq7YlZkG55curwtg8lMaE+Z0KjpVNz63xRS50sH+P+QT9BSlh69lEnIvXlRFo&#10;XLSFTOQukgD0Qy3GYI28NdaWEkzD7sYmtocyAPU59/AHrHxlAziecDVVYNCNCuRbL1k+RnLG0wzz&#10;0oNTkjOraOTLriIzGPsUJMm3nlwoxp6sLLtdkMfqcI3TZVefzoNZpun3c61++H3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yZUl81wAAAAkBAAAPAAAAAAAAAAEAIAAAACIAAABkcnMvZG93bnJl&#10;di54bWxQSwECFAAUAAAACACHTuJAGz+zHcUBAACGAwAADgAAAAAAAAABACAAAAAmAQAAZHJzL2Uy&#10;b0RvYy54bWxQSwUGAAAAAAYABgBZAQAAXQUAAAAA&#10;">
                <v:fill on="f" focussize="0,0"/>
                <v:stroke weight="1pt" color="#000000" joinstyle="round"/>
                <v:imagedata o:title=""/>
                <o:lock v:ext="edit" aspectratio="f"/>
              </v:line>
            </w:pict>
          </mc:Fallback>
        </mc:AlternateContent>
      </w:r>
    </w:p>
    <w:sectPr>
      <w:footerReference r:id="rId10" w:type="default"/>
      <w:pgSz w:w="11907" w:h="16839"/>
      <w:pgMar w:top="1418" w:right="1134" w:bottom="1134" w:left="1418" w:header="1418"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10"/>
    </w:pPr>
    <w:r>
      <w:fldChar w:fldCharType="begin"/>
    </w:r>
    <w:r>
      <w:instrText xml:space="preserve">PAGE   \* MERGEFORMAT</w:instrText>
    </w:r>
    <w:r>
      <w:fldChar w:fldCharType="separate"/>
    </w:r>
    <w:r>
      <w:rPr>
        <w:lang w:val="zh-CN"/>
      </w:rPr>
      <w:t>II</w:t>
    </w:r>
    <w:r>
      <w:rPr>
        <w:lang w:val="zh-CN"/>
      </w:rPr>
      <w:fldChar w:fldCharType="end"/>
    </w:r>
  </w:p>
  <w:p>
    <w:pPr>
      <w:pStyle w:val="51"/>
      <w:rPr>
        <w:rStyle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Style w:val="20"/>
      </w:rPr>
    </w:pPr>
    <w:r>
      <w:fldChar w:fldCharType="begin"/>
    </w:r>
    <w:r>
      <w:rPr>
        <w:rStyle w:val="20"/>
      </w:rPr>
      <w:instrText xml:space="preserve">PAGE  </w:instrText>
    </w:r>
    <w:r>
      <w:fldChar w:fldCharType="separate"/>
    </w:r>
    <w:r>
      <w:rPr>
        <w:rStyle w:val="20"/>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10"/>
      <w:rPr>
        <w:rStyle w:val="20"/>
      </w:rPr>
    </w:pPr>
    <w:r>
      <w:rPr>
        <w:rStyle w:val="20"/>
        <w:rFonts w:hint="eastAsia" w:ascii="宋体" w:hAnsi="宋体"/>
      </w:rPr>
      <w:t>Ⅰ</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10"/>
    </w:pPr>
    <w:r>
      <w:fldChar w:fldCharType="begin"/>
    </w:r>
    <w:r>
      <w:instrText xml:space="preserve">PAGE   \* MERGEFORMAT</w:instrText>
    </w:r>
    <w:r>
      <w:fldChar w:fldCharType="separate"/>
    </w:r>
    <w:r>
      <w:rPr>
        <w:lang w:val="zh-CN"/>
      </w:rPr>
      <w:t>4</w:t>
    </w:r>
    <w:r>
      <w:rPr>
        <w:lang w:val="zh-CN"/>
      </w:rPr>
      <w:fldChar w:fldCharType="end"/>
    </w:r>
  </w:p>
  <w:p>
    <w:pPr>
      <w:pStyle w:val="10"/>
      <w:ind w:right="210"/>
      <w:rPr>
        <w:rStyle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rPr>
        <w:rFonts w:hint="eastAsia" w:ascii="黑体" w:hAnsi="黑体" w:eastAsia="黑体" w:cs="黑体"/>
      </w:rPr>
      <w:t>YS/T ×××—20×</w:t>
    </w:r>
    <w:bookmarkStart w:id="5" w:name="OLE_LINK19"/>
    <w:bookmarkStart w:id="6" w:name="OLE_LINK20"/>
    <w:r>
      <w:rPr>
        <w:rFonts w:hint="eastAsia" w:ascii="黑体" w:hAnsi="黑体" w:eastAsia="黑体" w:cs="黑体"/>
      </w:rPr>
      <w:t>×</w:t>
    </w:r>
    <w:bookmarkEnd w:id="5"/>
    <w:bookmarkEnd w:id="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t>GB/T ××××—200×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val="0"/>
  <w:bordersDoNotSurroundFooter w:val="0"/>
  <w:documentProtection w:enforcement="0"/>
  <w:defaultTabStop w:val="420"/>
  <w:drawingGridHorizontalSpacing w:val="181"/>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0Y2FmNjUzNzJkYzQ1ZjY5OGQxN2UyNmQ4NjMzZGMifQ=="/>
  </w:docVars>
  <w:rsids>
    <w:rsidRoot w:val="00172A27"/>
    <w:rsid w:val="00000E16"/>
    <w:rsid w:val="000125A0"/>
    <w:rsid w:val="00012CFC"/>
    <w:rsid w:val="00013A6A"/>
    <w:rsid w:val="00013BDF"/>
    <w:rsid w:val="00016667"/>
    <w:rsid w:val="00021D65"/>
    <w:rsid w:val="00025511"/>
    <w:rsid w:val="000356D7"/>
    <w:rsid w:val="0004164E"/>
    <w:rsid w:val="00042D43"/>
    <w:rsid w:val="00043578"/>
    <w:rsid w:val="00044FDA"/>
    <w:rsid w:val="00045538"/>
    <w:rsid w:val="000457C4"/>
    <w:rsid w:val="00046F28"/>
    <w:rsid w:val="00046F42"/>
    <w:rsid w:val="00046FC1"/>
    <w:rsid w:val="000506BD"/>
    <w:rsid w:val="0005142F"/>
    <w:rsid w:val="00055789"/>
    <w:rsid w:val="0005672F"/>
    <w:rsid w:val="00056B37"/>
    <w:rsid w:val="00057837"/>
    <w:rsid w:val="0006095F"/>
    <w:rsid w:val="0006246B"/>
    <w:rsid w:val="00062FBB"/>
    <w:rsid w:val="00064154"/>
    <w:rsid w:val="00064DFF"/>
    <w:rsid w:val="00064FB6"/>
    <w:rsid w:val="0006640B"/>
    <w:rsid w:val="00066E21"/>
    <w:rsid w:val="000711C4"/>
    <w:rsid w:val="00073328"/>
    <w:rsid w:val="0007419A"/>
    <w:rsid w:val="000757C9"/>
    <w:rsid w:val="000758BF"/>
    <w:rsid w:val="00077A1A"/>
    <w:rsid w:val="00077A85"/>
    <w:rsid w:val="00077BDE"/>
    <w:rsid w:val="0008138E"/>
    <w:rsid w:val="00085CCF"/>
    <w:rsid w:val="000876B6"/>
    <w:rsid w:val="00095560"/>
    <w:rsid w:val="00096CC4"/>
    <w:rsid w:val="000975C5"/>
    <w:rsid w:val="000A0360"/>
    <w:rsid w:val="000A1BAC"/>
    <w:rsid w:val="000A297D"/>
    <w:rsid w:val="000A2B58"/>
    <w:rsid w:val="000A444F"/>
    <w:rsid w:val="000A78CE"/>
    <w:rsid w:val="000A7D96"/>
    <w:rsid w:val="000B0472"/>
    <w:rsid w:val="000B13F8"/>
    <w:rsid w:val="000B4727"/>
    <w:rsid w:val="000B51D9"/>
    <w:rsid w:val="000B5961"/>
    <w:rsid w:val="000B602F"/>
    <w:rsid w:val="000B653C"/>
    <w:rsid w:val="000B7073"/>
    <w:rsid w:val="000C024F"/>
    <w:rsid w:val="000C1E06"/>
    <w:rsid w:val="000C2701"/>
    <w:rsid w:val="000C3DDB"/>
    <w:rsid w:val="000C54DA"/>
    <w:rsid w:val="000C573A"/>
    <w:rsid w:val="000C7112"/>
    <w:rsid w:val="000C7DCC"/>
    <w:rsid w:val="000D1218"/>
    <w:rsid w:val="000D2401"/>
    <w:rsid w:val="000D29A9"/>
    <w:rsid w:val="000D2C49"/>
    <w:rsid w:val="000D3BF7"/>
    <w:rsid w:val="000E1B93"/>
    <w:rsid w:val="000E3575"/>
    <w:rsid w:val="000E6163"/>
    <w:rsid w:val="000E6895"/>
    <w:rsid w:val="000F1835"/>
    <w:rsid w:val="000F2502"/>
    <w:rsid w:val="000F4F28"/>
    <w:rsid w:val="000F793D"/>
    <w:rsid w:val="00101AFB"/>
    <w:rsid w:val="0010676A"/>
    <w:rsid w:val="00111094"/>
    <w:rsid w:val="00113561"/>
    <w:rsid w:val="00113B5C"/>
    <w:rsid w:val="00116EAC"/>
    <w:rsid w:val="00117F4D"/>
    <w:rsid w:val="00120AF9"/>
    <w:rsid w:val="00124018"/>
    <w:rsid w:val="00126960"/>
    <w:rsid w:val="00127A3F"/>
    <w:rsid w:val="001303FB"/>
    <w:rsid w:val="00133268"/>
    <w:rsid w:val="00133D73"/>
    <w:rsid w:val="00136066"/>
    <w:rsid w:val="0013671B"/>
    <w:rsid w:val="001373AD"/>
    <w:rsid w:val="00137C04"/>
    <w:rsid w:val="00142D50"/>
    <w:rsid w:val="001432A4"/>
    <w:rsid w:val="001448E2"/>
    <w:rsid w:val="00144B03"/>
    <w:rsid w:val="00147163"/>
    <w:rsid w:val="00147C75"/>
    <w:rsid w:val="0015264E"/>
    <w:rsid w:val="00153025"/>
    <w:rsid w:val="0015328B"/>
    <w:rsid w:val="00153797"/>
    <w:rsid w:val="001552B5"/>
    <w:rsid w:val="00155B4A"/>
    <w:rsid w:val="00163643"/>
    <w:rsid w:val="0016375D"/>
    <w:rsid w:val="0016389E"/>
    <w:rsid w:val="00165987"/>
    <w:rsid w:val="00172A27"/>
    <w:rsid w:val="00173446"/>
    <w:rsid w:val="001754DB"/>
    <w:rsid w:val="00176172"/>
    <w:rsid w:val="00176ABB"/>
    <w:rsid w:val="00180C2C"/>
    <w:rsid w:val="00183C31"/>
    <w:rsid w:val="00185B43"/>
    <w:rsid w:val="00186520"/>
    <w:rsid w:val="001872AA"/>
    <w:rsid w:val="0019102A"/>
    <w:rsid w:val="00196F81"/>
    <w:rsid w:val="001A0269"/>
    <w:rsid w:val="001A1A68"/>
    <w:rsid w:val="001A2B37"/>
    <w:rsid w:val="001A32D3"/>
    <w:rsid w:val="001A3329"/>
    <w:rsid w:val="001B0FEE"/>
    <w:rsid w:val="001B140C"/>
    <w:rsid w:val="001B2E32"/>
    <w:rsid w:val="001B3700"/>
    <w:rsid w:val="001C1308"/>
    <w:rsid w:val="001C40DF"/>
    <w:rsid w:val="001C4333"/>
    <w:rsid w:val="001C591F"/>
    <w:rsid w:val="001C5FA3"/>
    <w:rsid w:val="001C7710"/>
    <w:rsid w:val="001D138E"/>
    <w:rsid w:val="001D2F1D"/>
    <w:rsid w:val="001D4E82"/>
    <w:rsid w:val="001D4EBD"/>
    <w:rsid w:val="001E639A"/>
    <w:rsid w:val="001E70B7"/>
    <w:rsid w:val="001E75F9"/>
    <w:rsid w:val="001F1EFC"/>
    <w:rsid w:val="001F2140"/>
    <w:rsid w:val="001F4009"/>
    <w:rsid w:val="001F5782"/>
    <w:rsid w:val="001F6922"/>
    <w:rsid w:val="001F6FEF"/>
    <w:rsid w:val="00200A1B"/>
    <w:rsid w:val="00202DD9"/>
    <w:rsid w:val="00203590"/>
    <w:rsid w:val="00205381"/>
    <w:rsid w:val="00205AF2"/>
    <w:rsid w:val="00205C28"/>
    <w:rsid w:val="002101B5"/>
    <w:rsid w:val="00211DE3"/>
    <w:rsid w:val="00212F3E"/>
    <w:rsid w:val="00213174"/>
    <w:rsid w:val="00213734"/>
    <w:rsid w:val="002158A7"/>
    <w:rsid w:val="0021610E"/>
    <w:rsid w:val="00217184"/>
    <w:rsid w:val="00217A08"/>
    <w:rsid w:val="002223C1"/>
    <w:rsid w:val="00223625"/>
    <w:rsid w:val="002254CC"/>
    <w:rsid w:val="00226254"/>
    <w:rsid w:val="00226D90"/>
    <w:rsid w:val="002313A8"/>
    <w:rsid w:val="00231627"/>
    <w:rsid w:val="002320DA"/>
    <w:rsid w:val="00234554"/>
    <w:rsid w:val="0023673B"/>
    <w:rsid w:val="0024088A"/>
    <w:rsid w:val="002414CE"/>
    <w:rsid w:val="00242F36"/>
    <w:rsid w:val="002441BB"/>
    <w:rsid w:val="00244621"/>
    <w:rsid w:val="002449B1"/>
    <w:rsid w:val="00245C26"/>
    <w:rsid w:val="00247FA2"/>
    <w:rsid w:val="00250008"/>
    <w:rsid w:val="00250CF1"/>
    <w:rsid w:val="00250DB1"/>
    <w:rsid w:val="002556C3"/>
    <w:rsid w:val="002606CF"/>
    <w:rsid w:val="00260FB5"/>
    <w:rsid w:val="00262598"/>
    <w:rsid w:val="00263D34"/>
    <w:rsid w:val="00271D3F"/>
    <w:rsid w:val="00271DDF"/>
    <w:rsid w:val="00272574"/>
    <w:rsid w:val="002737BD"/>
    <w:rsid w:val="0027421B"/>
    <w:rsid w:val="0027421E"/>
    <w:rsid w:val="00275B4A"/>
    <w:rsid w:val="00276DCD"/>
    <w:rsid w:val="002772B9"/>
    <w:rsid w:val="00281C99"/>
    <w:rsid w:val="002830CB"/>
    <w:rsid w:val="00284C95"/>
    <w:rsid w:val="00286364"/>
    <w:rsid w:val="0028645A"/>
    <w:rsid w:val="0028745D"/>
    <w:rsid w:val="00287709"/>
    <w:rsid w:val="002914C6"/>
    <w:rsid w:val="0029152B"/>
    <w:rsid w:val="00291B13"/>
    <w:rsid w:val="00291C54"/>
    <w:rsid w:val="00293CC4"/>
    <w:rsid w:val="00294493"/>
    <w:rsid w:val="002A1259"/>
    <w:rsid w:val="002A1408"/>
    <w:rsid w:val="002A2527"/>
    <w:rsid w:val="002A2A8F"/>
    <w:rsid w:val="002A2AB5"/>
    <w:rsid w:val="002A5083"/>
    <w:rsid w:val="002B1FE4"/>
    <w:rsid w:val="002B545C"/>
    <w:rsid w:val="002B6AEA"/>
    <w:rsid w:val="002C117B"/>
    <w:rsid w:val="002C1459"/>
    <w:rsid w:val="002C41B6"/>
    <w:rsid w:val="002C7697"/>
    <w:rsid w:val="002D17D3"/>
    <w:rsid w:val="002D53C6"/>
    <w:rsid w:val="002D5A7F"/>
    <w:rsid w:val="002D7735"/>
    <w:rsid w:val="002E0D4D"/>
    <w:rsid w:val="002E337A"/>
    <w:rsid w:val="002E6DD3"/>
    <w:rsid w:val="002E713B"/>
    <w:rsid w:val="002E7802"/>
    <w:rsid w:val="002F4895"/>
    <w:rsid w:val="002F557D"/>
    <w:rsid w:val="002F661E"/>
    <w:rsid w:val="002F69A1"/>
    <w:rsid w:val="002F6A47"/>
    <w:rsid w:val="002F77C9"/>
    <w:rsid w:val="002F799C"/>
    <w:rsid w:val="003010F2"/>
    <w:rsid w:val="00301608"/>
    <w:rsid w:val="003023C1"/>
    <w:rsid w:val="00302D9E"/>
    <w:rsid w:val="003037BA"/>
    <w:rsid w:val="00304C71"/>
    <w:rsid w:val="003100E4"/>
    <w:rsid w:val="00313F0B"/>
    <w:rsid w:val="00317190"/>
    <w:rsid w:val="00320568"/>
    <w:rsid w:val="00321EBE"/>
    <w:rsid w:val="00322161"/>
    <w:rsid w:val="00322851"/>
    <w:rsid w:val="00323573"/>
    <w:rsid w:val="00330AD4"/>
    <w:rsid w:val="00331A2D"/>
    <w:rsid w:val="003325BF"/>
    <w:rsid w:val="003334E7"/>
    <w:rsid w:val="00333746"/>
    <w:rsid w:val="00336A67"/>
    <w:rsid w:val="00337EDC"/>
    <w:rsid w:val="00342328"/>
    <w:rsid w:val="00346A64"/>
    <w:rsid w:val="00347102"/>
    <w:rsid w:val="00351477"/>
    <w:rsid w:val="00353143"/>
    <w:rsid w:val="0035400D"/>
    <w:rsid w:val="003550D5"/>
    <w:rsid w:val="00357004"/>
    <w:rsid w:val="00361E87"/>
    <w:rsid w:val="00362269"/>
    <w:rsid w:val="0036409E"/>
    <w:rsid w:val="0036433B"/>
    <w:rsid w:val="00364DAD"/>
    <w:rsid w:val="00365B4B"/>
    <w:rsid w:val="003708F6"/>
    <w:rsid w:val="00370EF4"/>
    <w:rsid w:val="00371016"/>
    <w:rsid w:val="003710CA"/>
    <w:rsid w:val="003712EC"/>
    <w:rsid w:val="0037350F"/>
    <w:rsid w:val="00373B9B"/>
    <w:rsid w:val="003823E8"/>
    <w:rsid w:val="003829CA"/>
    <w:rsid w:val="003845AD"/>
    <w:rsid w:val="00384E58"/>
    <w:rsid w:val="00390988"/>
    <w:rsid w:val="003919BC"/>
    <w:rsid w:val="003A04C5"/>
    <w:rsid w:val="003A0735"/>
    <w:rsid w:val="003A3041"/>
    <w:rsid w:val="003A4C13"/>
    <w:rsid w:val="003A513B"/>
    <w:rsid w:val="003A70F7"/>
    <w:rsid w:val="003B0208"/>
    <w:rsid w:val="003B049D"/>
    <w:rsid w:val="003B1058"/>
    <w:rsid w:val="003B399D"/>
    <w:rsid w:val="003B68A6"/>
    <w:rsid w:val="003B7A8B"/>
    <w:rsid w:val="003C0A74"/>
    <w:rsid w:val="003C1860"/>
    <w:rsid w:val="003C37CC"/>
    <w:rsid w:val="003C4C15"/>
    <w:rsid w:val="003C56A6"/>
    <w:rsid w:val="003C6590"/>
    <w:rsid w:val="003C6B75"/>
    <w:rsid w:val="003C7167"/>
    <w:rsid w:val="003C7D6D"/>
    <w:rsid w:val="003D015A"/>
    <w:rsid w:val="003D0596"/>
    <w:rsid w:val="003D0884"/>
    <w:rsid w:val="003D3CBA"/>
    <w:rsid w:val="003D3F72"/>
    <w:rsid w:val="003D3F98"/>
    <w:rsid w:val="003D69C3"/>
    <w:rsid w:val="003E0D74"/>
    <w:rsid w:val="003E51D1"/>
    <w:rsid w:val="003E7204"/>
    <w:rsid w:val="003F183F"/>
    <w:rsid w:val="003F1CBC"/>
    <w:rsid w:val="003F31FE"/>
    <w:rsid w:val="003F3212"/>
    <w:rsid w:val="003F3690"/>
    <w:rsid w:val="003F4590"/>
    <w:rsid w:val="003F51CA"/>
    <w:rsid w:val="003F56EF"/>
    <w:rsid w:val="003F58F9"/>
    <w:rsid w:val="00400B0B"/>
    <w:rsid w:val="00402886"/>
    <w:rsid w:val="0040463D"/>
    <w:rsid w:val="004062BF"/>
    <w:rsid w:val="00406F44"/>
    <w:rsid w:val="00411EA1"/>
    <w:rsid w:val="0041247F"/>
    <w:rsid w:val="00414DE2"/>
    <w:rsid w:val="00421DD9"/>
    <w:rsid w:val="004228E4"/>
    <w:rsid w:val="00424D2A"/>
    <w:rsid w:val="00426179"/>
    <w:rsid w:val="004302CD"/>
    <w:rsid w:val="004314AB"/>
    <w:rsid w:val="00432672"/>
    <w:rsid w:val="0043398B"/>
    <w:rsid w:val="00434917"/>
    <w:rsid w:val="00435BFD"/>
    <w:rsid w:val="00437F75"/>
    <w:rsid w:val="00440DAA"/>
    <w:rsid w:val="0044112E"/>
    <w:rsid w:val="004419F7"/>
    <w:rsid w:val="00442D9C"/>
    <w:rsid w:val="00443C64"/>
    <w:rsid w:val="00445153"/>
    <w:rsid w:val="004464C7"/>
    <w:rsid w:val="00446C5D"/>
    <w:rsid w:val="00447EF0"/>
    <w:rsid w:val="00452B15"/>
    <w:rsid w:val="0045321A"/>
    <w:rsid w:val="00455865"/>
    <w:rsid w:val="0045683E"/>
    <w:rsid w:val="00456F28"/>
    <w:rsid w:val="004576C0"/>
    <w:rsid w:val="00457887"/>
    <w:rsid w:val="004604CF"/>
    <w:rsid w:val="00461262"/>
    <w:rsid w:val="004616A8"/>
    <w:rsid w:val="004616F4"/>
    <w:rsid w:val="00461AD7"/>
    <w:rsid w:val="00462CCE"/>
    <w:rsid w:val="004667EF"/>
    <w:rsid w:val="00467662"/>
    <w:rsid w:val="00467792"/>
    <w:rsid w:val="00467DA1"/>
    <w:rsid w:val="004734AA"/>
    <w:rsid w:val="00476E21"/>
    <w:rsid w:val="00476F21"/>
    <w:rsid w:val="00477CAF"/>
    <w:rsid w:val="00480B4A"/>
    <w:rsid w:val="00483180"/>
    <w:rsid w:val="00483B34"/>
    <w:rsid w:val="00483D3A"/>
    <w:rsid w:val="00486461"/>
    <w:rsid w:val="00491E86"/>
    <w:rsid w:val="00492E8C"/>
    <w:rsid w:val="00494087"/>
    <w:rsid w:val="0049434D"/>
    <w:rsid w:val="004960EB"/>
    <w:rsid w:val="00496D28"/>
    <w:rsid w:val="004A027F"/>
    <w:rsid w:val="004A1191"/>
    <w:rsid w:val="004A14EB"/>
    <w:rsid w:val="004A7C8C"/>
    <w:rsid w:val="004B171E"/>
    <w:rsid w:val="004B2003"/>
    <w:rsid w:val="004B33D9"/>
    <w:rsid w:val="004B3789"/>
    <w:rsid w:val="004B448E"/>
    <w:rsid w:val="004B5C07"/>
    <w:rsid w:val="004B5EAB"/>
    <w:rsid w:val="004B6A2E"/>
    <w:rsid w:val="004B7EEC"/>
    <w:rsid w:val="004C005E"/>
    <w:rsid w:val="004C026A"/>
    <w:rsid w:val="004C0C29"/>
    <w:rsid w:val="004C12B2"/>
    <w:rsid w:val="004C2638"/>
    <w:rsid w:val="004C34F7"/>
    <w:rsid w:val="004C47FD"/>
    <w:rsid w:val="004C55C1"/>
    <w:rsid w:val="004C5C13"/>
    <w:rsid w:val="004C616C"/>
    <w:rsid w:val="004C6286"/>
    <w:rsid w:val="004C7CBA"/>
    <w:rsid w:val="004D0068"/>
    <w:rsid w:val="004D0C56"/>
    <w:rsid w:val="004D18CE"/>
    <w:rsid w:val="004D251E"/>
    <w:rsid w:val="004D4ECD"/>
    <w:rsid w:val="004D705C"/>
    <w:rsid w:val="004E00DF"/>
    <w:rsid w:val="004E2C11"/>
    <w:rsid w:val="004E3F8C"/>
    <w:rsid w:val="004E7BC0"/>
    <w:rsid w:val="004F0101"/>
    <w:rsid w:val="004F127C"/>
    <w:rsid w:val="004F1649"/>
    <w:rsid w:val="004F3B9E"/>
    <w:rsid w:val="004F4F99"/>
    <w:rsid w:val="004F56DA"/>
    <w:rsid w:val="004F5FAE"/>
    <w:rsid w:val="004F6FCF"/>
    <w:rsid w:val="00501668"/>
    <w:rsid w:val="00501F0E"/>
    <w:rsid w:val="00502910"/>
    <w:rsid w:val="00504284"/>
    <w:rsid w:val="0050450B"/>
    <w:rsid w:val="00506871"/>
    <w:rsid w:val="00510714"/>
    <w:rsid w:val="0051203F"/>
    <w:rsid w:val="00512203"/>
    <w:rsid w:val="00512696"/>
    <w:rsid w:val="00516489"/>
    <w:rsid w:val="0051663E"/>
    <w:rsid w:val="00517955"/>
    <w:rsid w:val="00520666"/>
    <w:rsid w:val="005222EA"/>
    <w:rsid w:val="005247AF"/>
    <w:rsid w:val="00525528"/>
    <w:rsid w:val="005258A0"/>
    <w:rsid w:val="0052686C"/>
    <w:rsid w:val="005315A9"/>
    <w:rsid w:val="00532472"/>
    <w:rsid w:val="005329DA"/>
    <w:rsid w:val="005331A2"/>
    <w:rsid w:val="0053384D"/>
    <w:rsid w:val="00535E1C"/>
    <w:rsid w:val="005373F1"/>
    <w:rsid w:val="005379BA"/>
    <w:rsid w:val="00544D44"/>
    <w:rsid w:val="005469FD"/>
    <w:rsid w:val="00546C61"/>
    <w:rsid w:val="00547BA4"/>
    <w:rsid w:val="00550DDA"/>
    <w:rsid w:val="00551E50"/>
    <w:rsid w:val="00551EA2"/>
    <w:rsid w:val="00553B2D"/>
    <w:rsid w:val="00554171"/>
    <w:rsid w:val="00554246"/>
    <w:rsid w:val="00554ED2"/>
    <w:rsid w:val="005557E7"/>
    <w:rsid w:val="00555E9B"/>
    <w:rsid w:val="00555EB2"/>
    <w:rsid w:val="00556B00"/>
    <w:rsid w:val="00556E79"/>
    <w:rsid w:val="00561CFA"/>
    <w:rsid w:val="00562243"/>
    <w:rsid w:val="005638CF"/>
    <w:rsid w:val="00564A35"/>
    <w:rsid w:val="00566040"/>
    <w:rsid w:val="00570A14"/>
    <w:rsid w:val="00570CDE"/>
    <w:rsid w:val="005720F1"/>
    <w:rsid w:val="0057415D"/>
    <w:rsid w:val="0057433D"/>
    <w:rsid w:val="005766EE"/>
    <w:rsid w:val="00577653"/>
    <w:rsid w:val="005804F6"/>
    <w:rsid w:val="00581EFE"/>
    <w:rsid w:val="00582235"/>
    <w:rsid w:val="00582D37"/>
    <w:rsid w:val="00583669"/>
    <w:rsid w:val="00583A36"/>
    <w:rsid w:val="00583DCE"/>
    <w:rsid w:val="005852B1"/>
    <w:rsid w:val="0058574D"/>
    <w:rsid w:val="00587BC2"/>
    <w:rsid w:val="00590966"/>
    <w:rsid w:val="005945F2"/>
    <w:rsid w:val="00595B54"/>
    <w:rsid w:val="00596471"/>
    <w:rsid w:val="005A0D45"/>
    <w:rsid w:val="005A0EAA"/>
    <w:rsid w:val="005A12AE"/>
    <w:rsid w:val="005A1792"/>
    <w:rsid w:val="005A1ACC"/>
    <w:rsid w:val="005A3A95"/>
    <w:rsid w:val="005A6D84"/>
    <w:rsid w:val="005A75BD"/>
    <w:rsid w:val="005B07A8"/>
    <w:rsid w:val="005B087E"/>
    <w:rsid w:val="005B0B16"/>
    <w:rsid w:val="005B240A"/>
    <w:rsid w:val="005B30D4"/>
    <w:rsid w:val="005B48A0"/>
    <w:rsid w:val="005B574B"/>
    <w:rsid w:val="005B6072"/>
    <w:rsid w:val="005B6468"/>
    <w:rsid w:val="005B74F0"/>
    <w:rsid w:val="005B7D03"/>
    <w:rsid w:val="005C1E03"/>
    <w:rsid w:val="005C2AE8"/>
    <w:rsid w:val="005C5E50"/>
    <w:rsid w:val="005C5F0C"/>
    <w:rsid w:val="005C6AFD"/>
    <w:rsid w:val="005C7482"/>
    <w:rsid w:val="005D0EDD"/>
    <w:rsid w:val="005D2A6E"/>
    <w:rsid w:val="005D316D"/>
    <w:rsid w:val="005D3B3F"/>
    <w:rsid w:val="005D42A0"/>
    <w:rsid w:val="005D5401"/>
    <w:rsid w:val="005D755B"/>
    <w:rsid w:val="005D7927"/>
    <w:rsid w:val="005D7A13"/>
    <w:rsid w:val="005E0179"/>
    <w:rsid w:val="005E1A5B"/>
    <w:rsid w:val="005E1DED"/>
    <w:rsid w:val="005E3257"/>
    <w:rsid w:val="005E38DB"/>
    <w:rsid w:val="005E39CB"/>
    <w:rsid w:val="005E3E47"/>
    <w:rsid w:val="005E5159"/>
    <w:rsid w:val="005E7014"/>
    <w:rsid w:val="005E7BF4"/>
    <w:rsid w:val="005F033D"/>
    <w:rsid w:val="005F1FB2"/>
    <w:rsid w:val="005F2585"/>
    <w:rsid w:val="005F2D6E"/>
    <w:rsid w:val="005F4291"/>
    <w:rsid w:val="005F64DC"/>
    <w:rsid w:val="005F67B2"/>
    <w:rsid w:val="005F6BA7"/>
    <w:rsid w:val="0060154D"/>
    <w:rsid w:val="00602700"/>
    <w:rsid w:val="00602DEF"/>
    <w:rsid w:val="006034CC"/>
    <w:rsid w:val="0060576B"/>
    <w:rsid w:val="00606907"/>
    <w:rsid w:val="00607556"/>
    <w:rsid w:val="0060787C"/>
    <w:rsid w:val="00610685"/>
    <w:rsid w:val="00611100"/>
    <w:rsid w:val="00611C2E"/>
    <w:rsid w:val="00611F75"/>
    <w:rsid w:val="00617697"/>
    <w:rsid w:val="00620386"/>
    <w:rsid w:val="006205F2"/>
    <w:rsid w:val="00621545"/>
    <w:rsid w:val="00622DDE"/>
    <w:rsid w:val="0062308D"/>
    <w:rsid w:val="00624A77"/>
    <w:rsid w:val="006265E5"/>
    <w:rsid w:val="006314A6"/>
    <w:rsid w:val="00631AFF"/>
    <w:rsid w:val="00632212"/>
    <w:rsid w:val="00634833"/>
    <w:rsid w:val="00635790"/>
    <w:rsid w:val="0063674F"/>
    <w:rsid w:val="00641D81"/>
    <w:rsid w:val="00643543"/>
    <w:rsid w:val="00643E1B"/>
    <w:rsid w:val="00644139"/>
    <w:rsid w:val="00644F36"/>
    <w:rsid w:val="00644FE6"/>
    <w:rsid w:val="00645047"/>
    <w:rsid w:val="00645DFE"/>
    <w:rsid w:val="00646360"/>
    <w:rsid w:val="00646A98"/>
    <w:rsid w:val="00647078"/>
    <w:rsid w:val="00655EA1"/>
    <w:rsid w:val="006561F6"/>
    <w:rsid w:val="00656928"/>
    <w:rsid w:val="00660250"/>
    <w:rsid w:val="00660C44"/>
    <w:rsid w:val="00661911"/>
    <w:rsid w:val="006635C6"/>
    <w:rsid w:val="00664B63"/>
    <w:rsid w:val="0066594C"/>
    <w:rsid w:val="006669FC"/>
    <w:rsid w:val="00670AC2"/>
    <w:rsid w:val="006743A5"/>
    <w:rsid w:val="00675C75"/>
    <w:rsid w:val="00676186"/>
    <w:rsid w:val="006768E5"/>
    <w:rsid w:val="00680AF3"/>
    <w:rsid w:val="00680F7E"/>
    <w:rsid w:val="006818EF"/>
    <w:rsid w:val="006821A5"/>
    <w:rsid w:val="00683871"/>
    <w:rsid w:val="00683956"/>
    <w:rsid w:val="00687405"/>
    <w:rsid w:val="0069021E"/>
    <w:rsid w:val="00690391"/>
    <w:rsid w:val="0069045B"/>
    <w:rsid w:val="00690768"/>
    <w:rsid w:val="00690D73"/>
    <w:rsid w:val="00694CAE"/>
    <w:rsid w:val="00695F73"/>
    <w:rsid w:val="006A62B0"/>
    <w:rsid w:val="006A6E75"/>
    <w:rsid w:val="006A70D2"/>
    <w:rsid w:val="006A75AB"/>
    <w:rsid w:val="006B03CE"/>
    <w:rsid w:val="006B236F"/>
    <w:rsid w:val="006B3637"/>
    <w:rsid w:val="006B3A26"/>
    <w:rsid w:val="006C1167"/>
    <w:rsid w:val="006C1AC9"/>
    <w:rsid w:val="006C6DFC"/>
    <w:rsid w:val="006D0444"/>
    <w:rsid w:val="006D2C34"/>
    <w:rsid w:val="006D3977"/>
    <w:rsid w:val="006D4170"/>
    <w:rsid w:val="006D4FD8"/>
    <w:rsid w:val="006D5B5F"/>
    <w:rsid w:val="006D7602"/>
    <w:rsid w:val="006D7890"/>
    <w:rsid w:val="006D7A48"/>
    <w:rsid w:val="006E0A43"/>
    <w:rsid w:val="006E1094"/>
    <w:rsid w:val="006E1280"/>
    <w:rsid w:val="006E3BC8"/>
    <w:rsid w:val="006E44C9"/>
    <w:rsid w:val="006E4B2D"/>
    <w:rsid w:val="006E5FD1"/>
    <w:rsid w:val="006E77EB"/>
    <w:rsid w:val="006F33E4"/>
    <w:rsid w:val="006F460A"/>
    <w:rsid w:val="006F5584"/>
    <w:rsid w:val="006F56B5"/>
    <w:rsid w:val="006F7F63"/>
    <w:rsid w:val="007002BD"/>
    <w:rsid w:val="007019A1"/>
    <w:rsid w:val="00702592"/>
    <w:rsid w:val="0070297D"/>
    <w:rsid w:val="00703046"/>
    <w:rsid w:val="00705628"/>
    <w:rsid w:val="00705891"/>
    <w:rsid w:val="0071207E"/>
    <w:rsid w:val="00713399"/>
    <w:rsid w:val="0071514D"/>
    <w:rsid w:val="00715905"/>
    <w:rsid w:val="00723818"/>
    <w:rsid w:val="00723A33"/>
    <w:rsid w:val="00724126"/>
    <w:rsid w:val="0072687B"/>
    <w:rsid w:val="00727D9F"/>
    <w:rsid w:val="00731BC8"/>
    <w:rsid w:val="00732D13"/>
    <w:rsid w:val="007341EC"/>
    <w:rsid w:val="00736481"/>
    <w:rsid w:val="00740777"/>
    <w:rsid w:val="00740D80"/>
    <w:rsid w:val="007416B7"/>
    <w:rsid w:val="007434F5"/>
    <w:rsid w:val="0074525B"/>
    <w:rsid w:val="007460C7"/>
    <w:rsid w:val="0074688B"/>
    <w:rsid w:val="00751DE2"/>
    <w:rsid w:val="0075416B"/>
    <w:rsid w:val="00756519"/>
    <w:rsid w:val="007574BE"/>
    <w:rsid w:val="00757BB6"/>
    <w:rsid w:val="00760345"/>
    <w:rsid w:val="0076396F"/>
    <w:rsid w:val="00773095"/>
    <w:rsid w:val="007736DE"/>
    <w:rsid w:val="00773D2A"/>
    <w:rsid w:val="00774F07"/>
    <w:rsid w:val="00775546"/>
    <w:rsid w:val="00780408"/>
    <w:rsid w:val="007807F3"/>
    <w:rsid w:val="00780999"/>
    <w:rsid w:val="00786905"/>
    <w:rsid w:val="00786DFF"/>
    <w:rsid w:val="007876EB"/>
    <w:rsid w:val="0079189F"/>
    <w:rsid w:val="00791E8B"/>
    <w:rsid w:val="00793307"/>
    <w:rsid w:val="00793365"/>
    <w:rsid w:val="0079683D"/>
    <w:rsid w:val="007A03D2"/>
    <w:rsid w:val="007A2BE6"/>
    <w:rsid w:val="007A3866"/>
    <w:rsid w:val="007A5238"/>
    <w:rsid w:val="007A669F"/>
    <w:rsid w:val="007A699F"/>
    <w:rsid w:val="007A72F1"/>
    <w:rsid w:val="007B31C8"/>
    <w:rsid w:val="007B4917"/>
    <w:rsid w:val="007B764E"/>
    <w:rsid w:val="007C0F12"/>
    <w:rsid w:val="007C2F0D"/>
    <w:rsid w:val="007C4D8F"/>
    <w:rsid w:val="007C77F1"/>
    <w:rsid w:val="007C7D1D"/>
    <w:rsid w:val="007D2FDE"/>
    <w:rsid w:val="007D4F28"/>
    <w:rsid w:val="007D52D0"/>
    <w:rsid w:val="007D6945"/>
    <w:rsid w:val="007D6BAC"/>
    <w:rsid w:val="007E0199"/>
    <w:rsid w:val="007E0CD5"/>
    <w:rsid w:val="007E1E92"/>
    <w:rsid w:val="007E538E"/>
    <w:rsid w:val="007F1E8C"/>
    <w:rsid w:val="007F26CB"/>
    <w:rsid w:val="007F5ECB"/>
    <w:rsid w:val="007F5FE1"/>
    <w:rsid w:val="007F69BF"/>
    <w:rsid w:val="007F6AD8"/>
    <w:rsid w:val="00801083"/>
    <w:rsid w:val="008026BE"/>
    <w:rsid w:val="00806782"/>
    <w:rsid w:val="00814DF5"/>
    <w:rsid w:val="00814E20"/>
    <w:rsid w:val="0081599C"/>
    <w:rsid w:val="00816536"/>
    <w:rsid w:val="00816A40"/>
    <w:rsid w:val="008172DB"/>
    <w:rsid w:val="00817B12"/>
    <w:rsid w:val="008206F3"/>
    <w:rsid w:val="00822835"/>
    <w:rsid w:val="00824FD0"/>
    <w:rsid w:val="008257F1"/>
    <w:rsid w:val="00826857"/>
    <w:rsid w:val="00826F0D"/>
    <w:rsid w:val="00830207"/>
    <w:rsid w:val="00830EA5"/>
    <w:rsid w:val="00843D81"/>
    <w:rsid w:val="00843F61"/>
    <w:rsid w:val="0085544B"/>
    <w:rsid w:val="0085580A"/>
    <w:rsid w:val="00856A41"/>
    <w:rsid w:val="00861DAB"/>
    <w:rsid w:val="00862AD0"/>
    <w:rsid w:val="0086390A"/>
    <w:rsid w:val="0086690C"/>
    <w:rsid w:val="00866D3B"/>
    <w:rsid w:val="0087465C"/>
    <w:rsid w:val="00874768"/>
    <w:rsid w:val="0087478F"/>
    <w:rsid w:val="00875671"/>
    <w:rsid w:val="00875778"/>
    <w:rsid w:val="00876E6B"/>
    <w:rsid w:val="0088114C"/>
    <w:rsid w:val="008816AB"/>
    <w:rsid w:val="00887EDF"/>
    <w:rsid w:val="00891B40"/>
    <w:rsid w:val="0089252E"/>
    <w:rsid w:val="00892DDD"/>
    <w:rsid w:val="00893087"/>
    <w:rsid w:val="008948BC"/>
    <w:rsid w:val="00895311"/>
    <w:rsid w:val="00895847"/>
    <w:rsid w:val="008A093A"/>
    <w:rsid w:val="008A53E7"/>
    <w:rsid w:val="008A69BE"/>
    <w:rsid w:val="008A6E51"/>
    <w:rsid w:val="008A70BA"/>
    <w:rsid w:val="008A710F"/>
    <w:rsid w:val="008A756F"/>
    <w:rsid w:val="008A785D"/>
    <w:rsid w:val="008B0884"/>
    <w:rsid w:val="008B0AC5"/>
    <w:rsid w:val="008B2A16"/>
    <w:rsid w:val="008B48CE"/>
    <w:rsid w:val="008C05D4"/>
    <w:rsid w:val="008C09A6"/>
    <w:rsid w:val="008C1A60"/>
    <w:rsid w:val="008C1C91"/>
    <w:rsid w:val="008C2EFD"/>
    <w:rsid w:val="008C3F32"/>
    <w:rsid w:val="008C47CA"/>
    <w:rsid w:val="008C678C"/>
    <w:rsid w:val="008C6FA0"/>
    <w:rsid w:val="008C7B27"/>
    <w:rsid w:val="008D1925"/>
    <w:rsid w:val="008D1A89"/>
    <w:rsid w:val="008D3B4A"/>
    <w:rsid w:val="008D502D"/>
    <w:rsid w:val="008D5BC2"/>
    <w:rsid w:val="008D6F77"/>
    <w:rsid w:val="008D779E"/>
    <w:rsid w:val="008E0089"/>
    <w:rsid w:val="008E1244"/>
    <w:rsid w:val="008E194F"/>
    <w:rsid w:val="008E22AC"/>
    <w:rsid w:val="008E353D"/>
    <w:rsid w:val="008E38E2"/>
    <w:rsid w:val="008E40BF"/>
    <w:rsid w:val="008E470A"/>
    <w:rsid w:val="008E5D41"/>
    <w:rsid w:val="008E5E37"/>
    <w:rsid w:val="008E6524"/>
    <w:rsid w:val="008E7BAE"/>
    <w:rsid w:val="008F3044"/>
    <w:rsid w:val="008F3C31"/>
    <w:rsid w:val="00902AF5"/>
    <w:rsid w:val="00902D3F"/>
    <w:rsid w:val="0090431F"/>
    <w:rsid w:val="0090663C"/>
    <w:rsid w:val="00907A67"/>
    <w:rsid w:val="00910D93"/>
    <w:rsid w:val="00911596"/>
    <w:rsid w:val="0091228D"/>
    <w:rsid w:val="00912DCA"/>
    <w:rsid w:val="00912F08"/>
    <w:rsid w:val="009147AA"/>
    <w:rsid w:val="00915166"/>
    <w:rsid w:val="00916795"/>
    <w:rsid w:val="00917952"/>
    <w:rsid w:val="00917B37"/>
    <w:rsid w:val="00920B80"/>
    <w:rsid w:val="00920C1E"/>
    <w:rsid w:val="00921438"/>
    <w:rsid w:val="0092164F"/>
    <w:rsid w:val="00921C85"/>
    <w:rsid w:val="009231D7"/>
    <w:rsid w:val="00923D02"/>
    <w:rsid w:val="009246DC"/>
    <w:rsid w:val="00924773"/>
    <w:rsid w:val="00927652"/>
    <w:rsid w:val="00931B8F"/>
    <w:rsid w:val="009322C3"/>
    <w:rsid w:val="00932E57"/>
    <w:rsid w:val="0093593D"/>
    <w:rsid w:val="00940192"/>
    <w:rsid w:val="009409F2"/>
    <w:rsid w:val="00941942"/>
    <w:rsid w:val="00942F3F"/>
    <w:rsid w:val="0094334A"/>
    <w:rsid w:val="00946AF1"/>
    <w:rsid w:val="00950000"/>
    <w:rsid w:val="00950DF0"/>
    <w:rsid w:val="009512AF"/>
    <w:rsid w:val="0095389B"/>
    <w:rsid w:val="00954BF6"/>
    <w:rsid w:val="00956D85"/>
    <w:rsid w:val="00957957"/>
    <w:rsid w:val="009633D2"/>
    <w:rsid w:val="00965200"/>
    <w:rsid w:val="00965454"/>
    <w:rsid w:val="0096564A"/>
    <w:rsid w:val="00965B85"/>
    <w:rsid w:val="0097203E"/>
    <w:rsid w:val="00972A35"/>
    <w:rsid w:val="00973D44"/>
    <w:rsid w:val="00973F38"/>
    <w:rsid w:val="0097463E"/>
    <w:rsid w:val="00974DF7"/>
    <w:rsid w:val="009757D6"/>
    <w:rsid w:val="00976752"/>
    <w:rsid w:val="0097718E"/>
    <w:rsid w:val="00977958"/>
    <w:rsid w:val="00981FCB"/>
    <w:rsid w:val="0098225E"/>
    <w:rsid w:val="00983C2B"/>
    <w:rsid w:val="0098442D"/>
    <w:rsid w:val="0098777F"/>
    <w:rsid w:val="009908F7"/>
    <w:rsid w:val="00994E46"/>
    <w:rsid w:val="00995683"/>
    <w:rsid w:val="009960C0"/>
    <w:rsid w:val="009966CE"/>
    <w:rsid w:val="00997403"/>
    <w:rsid w:val="00997C30"/>
    <w:rsid w:val="00997E28"/>
    <w:rsid w:val="009A1F81"/>
    <w:rsid w:val="009A26D4"/>
    <w:rsid w:val="009A2DB0"/>
    <w:rsid w:val="009A47B0"/>
    <w:rsid w:val="009A5BDB"/>
    <w:rsid w:val="009A6C1A"/>
    <w:rsid w:val="009A799E"/>
    <w:rsid w:val="009B021B"/>
    <w:rsid w:val="009B0D0F"/>
    <w:rsid w:val="009B13E5"/>
    <w:rsid w:val="009B349A"/>
    <w:rsid w:val="009B3A2E"/>
    <w:rsid w:val="009B44BA"/>
    <w:rsid w:val="009B4D31"/>
    <w:rsid w:val="009B4FE7"/>
    <w:rsid w:val="009B563D"/>
    <w:rsid w:val="009B6798"/>
    <w:rsid w:val="009B6DB0"/>
    <w:rsid w:val="009C2236"/>
    <w:rsid w:val="009C2291"/>
    <w:rsid w:val="009C3C0A"/>
    <w:rsid w:val="009C4094"/>
    <w:rsid w:val="009C77D0"/>
    <w:rsid w:val="009D1005"/>
    <w:rsid w:val="009D2429"/>
    <w:rsid w:val="009D2EB5"/>
    <w:rsid w:val="009D30FB"/>
    <w:rsid w:val="009D43BC"/>
    <w:rsid w:val="009D4C3F"/>
    <w:rsid w:val="009D65F0"/>
    <w:rsid w:val="009D7539"/>
    <w:rsid w:val="009D7778"/>
    <w:rsid w:val="009E2559"/>
    <w:rsid w:val="009E36FA"/>
    <w:rsid w:val="009E5DE1"/>
    <w:rsid w:val="009E7640"/>
    <w:rsid w:val="009E77C8"/>
    <w:rsid w:val="009F0996"/>
    <w:rsid w:val="009F2A87"/>
    <w:rsid w:val="009F4F5E"/>
    <w:rsid w:val="00A018B2"/>
    <w:rsid w:val="00A01A78"/>
    <w:rsid w:val="00A01FE4"/>
    <w:rsid w:val="00A024AF"/>
    <w:rsid w:val="00A068DE"/>
    <w:rsid w:val="00A1117E"/>
    <w:rsid w:val="00A11B4F"/>
    <w:rsid w:val="00A13944"/>
    <w:rsid w:val="00A13B1E"/>
    <w:rsid w:val="00A15432"/>
    <w:rsid w:val="00A16BAB"/>
    <w:rsid w:val="00A207B6"/>
    <w:rsid w:val="00A2181A"/>
    <w:rsid w:val="00A2452A"/>
    <w:rsid w:val="00A251EE"/>
    <w:rsid w:val="00A25764"/>
    <w:rsid w:val="00A25D19"/>
    <w:rsid w:val="00A304E0"/>
    <w:rsid w:val="00A31002"/>
    <w:rsid w:val="00A317E7"/>
    <w:rsid w:val="00A33A7D"/>
    <w:rsid w:val="00A33E57"/>
    <w:rsid w:val="00A3434B"/>
    <w:rsid w:val="00A35703"/>
    <w:rsid w:val="00A35978"/>
    <w:rsid w:val="00A36A19"/>
    <w:rsid w:val="00A36B54"/>
    <w:rsid w:val="00A403F3"/>
    <w:rsid w:val="00A415B3"/>
    <w:rsid w:val="00A4194D"/>
    <w:rsid w:val="00A42AFE"/>
    <w:rsid w:val="00A42CBE"/>
    <w:rsid w:val="00A42EDE"/>
    <w:rsid w:val="00A436E6"/>
    <w:rsid w:val="00A43961"/>
    <w:rsid w:val="00A510BA"/>
    <w:rsid w:val="00A53854"/>
    <w:rsid w:val="00A54F97"/>
    <w:rsid w:val="00A55CC6"/>
    <w:rsid w:val="00A568C1"/>
    <w:rsid w:val="00A64D54"/>
    <w:rsid w:val="00A6515B"/>
    <w:rsid w:val="00A655E8"/>
    <w:rsid w:val="00A65898"/>
    <w:rsid w:val="00A65BF0"/>
    <w:rsid w:val="00A666D8"/>
    <w:rsid w:val="00A670DE"/>
    <w:rsid w:val="00A70AC6"/>
    <w:rsid w:val="00A7184B"/>
    <w:rsid w:val="00A72911"/>
    <w:rsid w:val="00A72AC0"/>
    <w:rsid w:val="00A72C9C"/>
    <w:rsid w:val="00A75903"/>
    <w:rsid w:val="00A80370"/>
    <w:rsid w:val="00A83064"/>
    <w:rsid w:val="00A83AA0"/>
    <w:rsid w:val="00A85E2D"/>
    <w:rsid w:val="00A86387"/>
    <w:rsid w:val="00A86D41"/>
    <w:rsid w:val="00A87349"/>
    <w:rsid w:val="00A87E68"/>
    <w:rsid w:val="00A90334"/>
    <w:rsid w:val="00A924F5"/>
    <w:rsid w:val="00A95B8E"/>
    <w:rsid w:val="00A96738"/>
    <w:rsid w:val="00AA0C42"/>
    <w:rsid w:val="00AA3957"/>
    <w:rsid w:val="00AA40AD"/>
    <w:rsid w:val="00AB4A0F"/>
    <w:rsid w:val="00AB60DE"/>
    <w:rsid w:val="00AB7ACC"/>
    <w:rsid w:val="00AC0015"/>
    <w:rsid w:val="00AC6CEB"/>
    <w:rsid w:val="00AC7D27"/>
    <w:rsid w:val="00AD146D"/>
    <w:rsid w:val="00AD1E06"/>
    <w:rsid w:val="00AD21B5"/>
    <w:rsid w:val="00AD2AB8"/>
    <w:rsid w:val="00AD6FA1"/>
    <w:rsid w:val="00AD75C9"/>
    <w:rsid w:val="00AE0846"/>
    <w:rsid w:val="00AE09C3"/>
    <w:rsid w:val="00AE1C31"/>
    <w:rsid w:val="00AE24CF"/>
    <w:rsid w:val="00AE3A00"/>
    <w:rsid w:val="00AE4B6C"/>
    <w:rsid w:val="00AE544E"/>
    <w:rsid w:val="00AE7413"/>
    <w:rsid w:val="00AF26DD"/>
    <w:rsid w:val="00AF4A7E"/>
    <w:rsid w:val="00AF561A"/>
    <w:rsid w:val="00B013EB"/>
    <w:rsid w:val="00B01D5C"/>
    <w:rsid w:val="00B02B1B"/>
    <w:rsid w:val="00B0413F"/>
    <w:rsid w:val="00B0722D"/>
    <w:rsid w:val="00B10127"/>
    <w:rsid w:val="00B125A6"/>
    <w:rsid w:val="00B12675"/>
    <w:rsid w:val="00B130F8"/>
    <w:rsid w:val="00B1354D"/>
    <w:rsid w:val="00B13A19"/>
    <w:rsid w:val="00B154A9"/>
    <w:rsid w:val="00B20F61"/>
    <w:rsid w:val="00B21413"/>
    <w:rsid w:val="00B22770"/>
    <w:rsid w:val="00B22DB9"/>
    <w:rsid w:val="00B240F7"/>
    <w:rsid w:val="00B247D3"/>
    <w:rsid w:val="00B25456"/>
    <w:rsid w:val="00B26C04"/>
    <w:rsid w:val="00B26C71"/>
    <w:rsid w:val="00B30535"/>
    <w:rsid w:val="00B30942"/>
    <w:rsid w:val="00B32A0A"/>
    <w:rsid w:val="00B32AB9"/>
    <w:rsid w:val="00B338FA"/>
    <w:rsid w:val="00B34408"/>
    <w:rsid w:val="00B34A1D"/>
    <w:rsid w:val="00B35DB0"/>
    <w:rsid w:val="00B371CA"/>
    <w:rsid w:val="00B37645"/>
    <w:rsid w:val="00B37D2B"/>
    <w:rsid w:val="00B40A2A"/>
    <w:rsid w:val="00B47D9F"/>
    <w:rsid w:val="00B50632"/>
    <w:rsid w:val="00B514D4"/>
    <w:rsid w:val="00B526BA"/>
    <w:rsid w:val="00B53614"/>
    <w:rsid w:val="00B54E61"/>
    <w:rsid w:val="00B57450"/>
    <w:rsid w:val="00B60972"/>
    <w:rsid w:val="00B6374C"/>
    <w:rsid w:val="00B6388D"/>
    <w:rsid w:val="00B64B85"/>
    <w:rsid w:val="00B654F9"/>
    <w:rsid w:val="00B65DB2"/>
    <w:rsid w:val="00B67A50"/>
    <w:rsid w:val="00B72492"/>
    <w:rsid w:val="00B7254A"/>
    <w:rsid w:val="00B72CB5"/>
    <w:rsid w:val="00B75672"/>
    <w:rsid w:val="00B769DD"/>
    <w:rsid w:val="00B805E0"/>
    <w:rsid w:val="00B82BD5"/>
    <w:rsid w:val="00B8399C"/>
    <w:rsid w:val="00B84525"/>
    <w:rsid w:val="00B86A7B"/>
    <w:rsid w:val="00B877F2"/>
    <w:rsid w:val="00B87BF7"/>
    <w:rsid w:val="00B87E16"/>
    <w:rsid w:val="00BA20B2"/>
    <w:rsid w:val="00BA2B86"/>
    <w:rsid w:val="00BA3C0B"/>
    <w:rsid w:val="00BA4B47"/>
    <w:rsid w:val="00BA5923"/>
    <w:rsid w:val="00BA719D"/>
    <w:rsid w:val="00BA729C"/>
    <w:rsid w:val="00BB1267"/>
    <w:rsid w:val="00BB5D48"/>
    <w:rsid w:val="00BB7FEE"/>
    <w:rsid w:val="00BC1A5A"/>
    <w:rsid w:val="00BC282C"/>
    <w:rsid w:val="00BC31C5"/>
    <w:rsid w:val="00BC3954"/>
    <w:rsid w:val="00BC48FA"/>
    <w:rsid w:val="00BC6F18"/>
    <w:rsid w:val="00BD00B3"/>
    <w:rsid w:val="00BD3FF0"/>
    <w:rsid w:val="00BD404B"/>
    <w:rsid w:val="00BD5579"/>
    <w:rsid w:val="00BE024C"/>
    <w:rsid w:val="00BE0464"/>
    <w:rsid w:val="00BE048A"/>
    <w:rsid w:val="00BE189B"/>
    <w:rsid w:val="00BE1D7A"/>
    <w:rsid w:val="00BE324B"/>
    <w:rsid w:val="00BE3532"/>
    <w:rsid w:val="00BE406C"/>
    <w:rsid w:val="00BE67A7"/>
    <w:rsid w:val="00BF2251"/>
    <w:rsid w:val="00BF325A"/>
    <w:rsid w:val="00BF4690"/>
    <w:rsid w:val="00BF552F"/>
    <w:rsid w:val="00C0008E"/>
    <w:rsid w:val="00C014AD"/>
    <w:rsid w:val="00C0796C"/>
    <w:rsid w:val="00C07C0B"/>
    <w:rsid w:val="00C10D48"/>
    <w:rsid w:val="00C12955"/>
    <w:rsid w:val="00C15EA9"/>
    <w:rsid w:val="00C15ED4"/>
    <w:rsid w:val="00C20124"/>
    <w:rsid w:val="00C209B5"/>
    <w:rsid w:val="00C20B22"/>
    <w:rsid w:val="00C22FA0"/>
    <w:rsid w:val="00C233F8"/>
    <w:rsid w:val="00C246E2"/>
    <w:rsid w:val="00C2650A"/>
    <w:rsid w:val="00C269EF"/>
    <w:rsid w:val="00C307F6"/>
    <w:rsid w:val="00C311C9"/>
    <w:rsid w:val="00C3279B"/>
    <w:rsid w:val="00C34613"/>
    <w:rsid w:val="00C34F9C"/>
    <w:rsid w:val="00C40232"/>
    <w:rsid w:val="00C40B5D"/>
    <w:rsid w:val="00C415C6"/>
    <w:rsid w:val="00C41745"/>
    <w:rsid w:val="00C41EB3"/>
    <w:rsid w:val="00C42D7B"/>
    <w:rsid w:val="00C45698"/>
    <w:rsid w:val="00C47206"/>
    <w:rsid w:val="00C50398"/>
    <w:rsid w:val="00C50E0F"/>
    <w:rsid w:val="00C51055"/>
    <w:rsid w:val="00C52145"/>
    <w:rsid w:val="00C524EC"/>
    <w:rsid w:val="00C54C07"/>
    <w:rsid w:val="00C54ED6"/>
    <w:rsid w:val="00C558DF"/>
    <w:rsid w:val="00C55D3C"/>
    <w:rsid w:val="00C569F9"/>
    <w:rsid w:val="00C57C61"/>
    <w:rsid w:val="00C60B88"/>
    <w:rsid w:val="00C61BC8"/>
    <w:rsid w:val="00C61D8A"/>
    <w:rsid w:val="00C61FDA"/>
    <w:rsid w:val="00C6217F"/>
    <w:rsid w:val="00C632F8"/>
    <w:rsid w:val="00C6514A"/>
    <w:rsid w:val="00C651F5"/>
    <w:rsid w:val="00C663FB"/>
    <w:rsid w:val="00C7114F"/>
    <w:rsid w:val="00C7126D"/>
    <w:rsid w:val="00C715DF"/>
    <w:rsid w:val="00C71781"/>
    <w:rsid w:val="00C73734"/>
    <w:rsid w:val="00C73C49"/>
    <w:rsid w:val="00C75724"/>
    <w:rsid w:val="00C7614D"/>
    <w:rsid w:val="00C801C6"/>
    <w:rsid w:val="00C83187"/>
    <w:rsid w:val="00C83878"/>
    <w:rsid w:val="00C91EB4"/>
    <w:rsid w:val="00C927CF"/>
    <w:rsid w:val="00C9328C"/>
    <w:rsid w:val="00C93463"/>
    <w:rsid w:val="00C934E3"/>
    <w:rsid w:val="00C97D40"/>
    <w:rsid w:val="00CA2A24"/>
    <w:rsid w:val="00CA2AF7"/>
    <w:rsid w:val="00CA3AD2"/>
    <w:rsid w:val="00CA3F15"/>
    <w:rsid w:val="00CA4A94"/>
    <w:rsid w:val="00CA66A0"/>
    <w:rsid w:val="00CA7C6A"/>
    <w:rsid w:val="00CB1E3F"/>
    <w:rsid w:val="00CB78AB"/>
    <w:rsid w:val="00CC0EC0"/>
    <w:rsid w:val="00CC12DF"/>
    <w:rsid w:val="00CC1DF8"/>
    <w:rsid w:val="00CC1EC5"/>
    <w:rsid w:val="00CC2249"/>
    <w:rsid w:val="00CC399A"/>
    <w:rsid w:val="00CC430D"/>
    <w:rsid w:val="00CC4583"/>
    <w:rsid w:val="00CC55EA"/>
    <w:rsid w:val="00CC6DA3"/>
    <w:rsid w:val="00CC7A13"/>
    <w:rsid w:val="00CD1B33"/>
    <w:rsid w:val="00CD34C7"/>
    <w:rsid w:val="00CD442B"/>
    <w:rsid w:val="00CE0CE5"/>
    <w:rsid w:val="00CE149A"/>
    <w:rsid w:val="00CE2EE5"/>
    <w:rsid w:val="00CE2F77"/>
    <w:rsid w:val="00CE3078"/>
    <w:rsid w:val="00CE3236"/>
    <w:rsid w:val="00CE4F03"/>
    <w:rsid w:val="00CE5BBC"/>
    <w:rsid w:val="00CE5CE0"/>
    <w:rsid w:val="00CF1030"/>
    <w:rsid w:val="00CF2807"/>
    <w:rsid w:val="00CF470F"/>
    <w:rsid w:val="00CF7472"/>
    <w:rsid w:val="00CF7BB0"/>
    <w:rsid w:val="00CF7CD7"/>
    <w:rsid w:val="00D00242"/>
    <w:rsid w:val="00D03B7D"/>
    <w:rsid w:val="00D04CF4"/>
    <w:rsid w:val="00D05AD4"/>
    <w:rsid w:val="00D06E5C"/>
    <w:rsid w:val="00D136FE"/>
    <w:rsid w:val="00D139C1"/>
    <w:rsid w:val="00D13ABD"/>
    <w:rsid w:val="00D147C2"/>
    <w:rsid w:val="00D16EEB"/>
    <w:rsid w:val="00D21070"/>
    <w:rsid w:val="00D214EA"/>
    <w:rsid w:val="00D22CAF"/>
    <w:rsid w:val="00D26FBF"/>
    <w:rsid w:val="00D26FE8"/>
    <w:rsid w:val="00D27639"/>
    <w:rsid w:val="00D3043B"/>
    <w:rsid w:val="00D30931"/>
    <w:rsid w:val="00D3270C"/>
    <w:rsid w:val="00D33092"/>
    <w:rsid w:val="00D33AA1"/>
    <w:rsid w:val="00D34B4F"/>
    <w:rsid w:val="00D371D3"/>
    <w:rsid w:val="00D37C12"/>
    <w:rsid w:val="00D40721"/>
    <w:rsid w:val="00D4102F"/>
    <w:rsid w:val="00D4265C"/>
    <w:rsid w:val="00D43111"/>
    <w:rsid w:val="00D45CA7"/>
    <w:rsid w:val="00D469D4"/>
    <w:rsid w:val="00D558DE"/>
    <w:rsid w:val="00D570BE"/>
    <w:rsid w:val="00D61419"/>
    <w:rsid w:val="00D62D47"/>
    <w:rsid w:val="00D62FD4"/>
    <w:rsid w:val="00D652EC"/>
    <w:rsid w:val="00D66139"/>
    <w:rsid w:val="00D67061"/>
    <w:rsid w:val="00D67611"/>
    <w:rsid w:val="00D676BC"/>
    <w:rsid w:val="00D67F66"/>
    <w:rsid w:val="00D70776"/>
    <w:rsid w:val="00D769C6"/>
    <w:rsid w:val="00D76B8B"/>
    <w:rsid w:val="00D76FC9"/>
    <w:rsid w:val="00D8095A"/>
    <w:rsid w:val="00D81A52"/>
    <w:rsid w:val="00D82064"/>
    <w:rsid w:val="00D820C0"/>
    <w:rsid w:val="00D90F1C"/>
    <w:rsid w:val="00D9191C"/>
    <w:rsid w:val="00D93648"/>
    <w:rsid w:val="00D954DF"/>
    <w:rsid w:val="00D967E1"/>
    <w:rsid w:val="00DA0D91"/>
    <w:rsid w:val="00DA42CD"/>
    <w:rsid w:val="00DA60C2"/>
    <w:rsid w:val="00DA6C42"/>
    <w:rsid w:val="00DA74F9"/>
    <w:rsid w:val="00DB0409"/>
    <w:rsid w:val="00DB2B32"/>
    <w:rsid w:val="00DB424B"/>
    <w:rsid w:val="00DB52F9"/>
    <w:rsid w:val="00DB5A13"/>
    <w:rsid w:val="00DB7A93"/>
    <w:rsid w:val="00DC01C5"/>
    <w:rsid w:val="00DC0BCE"/>
    <w:rsid w:val="00DC22A2"/>
    <w:rsid w:val="00DC2B5F"/>
    <w:rsid w:val="00DC52F5"/>
    <w:rsid w:val="00DD01FF"/>
    <w:rsid w:val="00DD27EC"/>
    <w:rsid w:val="00DD3C2B"/>
    <w:rsid w:val="00DD4177"/>
    <w:rsid w:val="00DD4332"/>
    <w:rsid w:val="00DD4367"/>
    <w:rsid w:val="00DD4584"/>
    <w:rsid w:val="00DD4E1F"/>
    <w:rsid w:val="00DD6EDF"/>
    <w:rsid w:val="00DE1021"/>
    <w:rsid w:val="00DE1480"/>
    <w:rsid w:val="00DE14B3"/>
    <w:rsid w:val="00DE5148"/>
    <w:rsid w:val="00DE6A61"/>
    <w:rsid w:val="00DE786A"/>
    <w:rsid w:val="00DE7E6D"/>
    <w:rsid w:val="00DF0E9E"/>
    <w:rsid w:val="00DF1DF6"/>
    <w:rsid w:val="00DF2708"/>
    <w:rsid w:val="00DF3F1D"/>
    <w:rsid w:val="00DF46BA"/>
    <w:rsid w:val="00DF4DBB"/>
    <w:rsid w:val="00DF61E8"/>
    <w:rsid w:val="00DF6AF4"/>
    <w:rsid w:val="00E00580"/>
    <w:rsid w:val="00E0305B"/>
    <w:rsid w:val="00E04CFF"/>
    <w:rsid w:val="00E05BD1"/>
    <w:rsid w:val="00E06B1D"/>
    <w:rsid w:val="00E072B2"/>
    <w:rsid w:val="00E102E2"/>
    <w:rsid w:val="00E10312"/>
    <w:rsid w:val="00E1363F"/>
    <w:rsid w:val="00E138A4"/>
    <w:rsid w:val="00E14715"/>
    <w:rsid w:val="00E14CDA"/>
    <w:rsid w:val="00E1784A"/>
    <w:rsid w:val="00E218B4"/>
    <w:rsid w:val="00E220F9"/>
    <w:rsid w:val="00E227F2"/>
    <w:rsid w:val="00E22E5B"/>
    <w:rsid w:val="00E2370C"/>
    <w:rsid w:val="00E261D4"/>
    <w:rsid w:val="00E3353A"/>
    <w:rsid w:val="00E33A6F"/>
    <w:rsid w:val="00E33BE8"/>
    <w:rsid w:val="00E41246"/>
    <w:rsid w:val="00E41AED"/>
    <w:rsid w:val="00E454C6"/>
    <w:rsid w:val="00E4593B"/>
    <w:rsid w:val="00E45E96"/>
    <w:rsid w:val="00E47AF0"/>
    <w:rsid w:val="00E50573"/>
    <w:rsid w:val="00E50AD8"/>
    <w:rsid w:val="00E522CC"/>
    <w:rsid w:val="00E533EE"/>
    <w:rsid w:val="00E55B69"/>
    <w:rsid w:val="00E574F4"/>
    <w:rsid w:val="00E60A08"/>
    <w:rsid w:val="00E613B0"/>
    <w:rsid w:val="00E65538"/>
    <w:rsid w:val="00E66CB1"/>
    <w:rsid w:val="00E71377"/>
    <w:rsid w:val="00E81564"/>
    <w:rsid w:val="00E822ED"/>
    <w:rsid w:val="00E86007"/>
    <w:rsid w:val="00E8734B"/>
    <w:rsid w:val="00E87F3E"/>
    <w:rsid w:val="00E91D76"/>
    <w:rsid w:val="00E91DBF"/>
    <w:rsid w:val="00E91EB0"/>
    <w:rsid w:val="00E92629"/>
    <w:rsid w:val="00E93BB7"/>
    <w:rsid w:val="00E94D75"/>
    <w:rsid w:val="00E97291"/>
    <w:rsid w:val="00EA0597"/>
    <w:rsid w:val="00EA1D82"/>
    <w:rsid w:val="00EA4CDE"/>
    <w:rsid w:val="00EA5270"/>
    <w:rsid w:val="00EB0D4D"/>
    <w:rsid w:val="00EB2298"/>
    <w:rsid w:val="00EB27DA"/>
    <w:rsid w:val="00EB28BE"/>
    <w:rsid w:val="00EB2F68"/>
    <w:rsid w:val="00EB5C17"/>
    <w:rsid w:val="00EB609D"/>
    <w:rsid w:val="00EB6126"/>
    <w:rsid w:val="00EC00CB"/>
    <w:rsid w:val="00EC2877"/>
    <w:rsid w:val="00EC45FA"/>
    <w:rsid w:val="00EC6968"/>
    <w:rsid w:val="00EC7146"/>
    <w:rsid w:val="00EC742A"/>
    <w:rsid w:val="00EC7F27"/>
    <w:rsid w:val="00ED0485"/>
    <w:rsid w:val="00ED0B70"/>
    <w:rsid w:val="00ED2102"/>
    <w:rsid w:val="00ED2BEF"/>
    <w:rsid w:val="00ED4570"/>
    <w:rsid w:val="00ED49E4"/>
    <w:rsid w:val="00ED547A"/>
    <w:rsid w:val="00EE0485"/>
    <w:rsid w:val="00EE362B"/>
    <w:rsid w:val="00EE4A2E"/>
    <w:rsid w:val="00EE7B1D"/>
    <w:rsid w:val="00EE7FF6"/>
    <w:rsid w:val="00EF0016"/>
    <w:rsid w:val="00EF0D0C"/>
    <w:rsid w:val="00EF1115"/>
    <w:rsid w:val="00EF153D"/>
    <w:rsid w:val="00EF1E73"/>
    <w:rsid w:val="00EF1EF6"/>
    <w:rsid w:val="00F00844"/>
    <w:rsid w:val="00F00E7E"/>
    <w:rsid w:val="00F03CB8"/>
    <w:rsid w:val="00F041DD"/>
    <w:rsid w:val="00F045CD"/>
    <w:rsid w:val="00F05608"/>
    <w:rsid w:val="00F063FB"/>
    <w:rsid w:val="00F14EA6"/>
    <w:rsid w:val="00F15BF9"/>
    <w:rsid w:val="00F205A7"/>
    <w:rsid w:val="00F20E68"/>
    <w:rsid w:val="00F22072"/>
    <w:rsid w:val="00F220E3"/>
    <w:rsid w:val="00F22F35"/>
    <w:rsid w:val="00F23203"/>
    <w:rsid w:val="00F2497B"/>
    <w:rsid w:val="00F24D5C"/>
    <w:rsid w:val="00F25135"/>
    <w:rsid w:val="00F2634D"/>
    <w:rsid w:val="00F26BC9"/>
    <w:rsid w:val="00F32E01"/>
    <w:rsid w:val="00F32F11"/>
    <w:rsid w:val="00F35406"/>
    <w:rsid w:val="00F36A42"/>
    <w:rsid w:val="00F4033D"/>
    <w:rsid w:val="00F41B95"/>
    <w:rsid w:val="00F46C61"/>
    <w:rsid w:val="00F470FF"/>
    <w:rsid w:val="00F47130"/>
    <w:rsid w:val="00F475E8"/>
    <w:rsid w:val="00F51235"/>
    <w:rsid w:val="00F53477"/>
    <w:rsid w:val="00F551F8"/>
    <w:rsid w:val="00F566D7"/>
    <w:rsid w:val="00F573A7"/>
    <w:rsid w:val="00F6037A"/>
    <w:rsid w:val="00F61CBD"/>
    <w:rsid w:val="00F62924"/>
    <w:rsid w:val="00F62AB7"/>
    <w:rsid w:val="00F64475"/>
    <w:rsid w:val="00F66AD9"/>
    <w:rsid w:val="00F70EF7"/>
    <w:rsid w:val="00F713B5"/>
    <w:rsid w:val="00F779E7"/>
    <w:rsid w:val="00F801EC"/>
    <w:rsid w:val="00F81040"/>
    <w:rsid w:val="00F829B0"/>
    <w:rsid w:val="00F83224"/>
    <w:rsid w:val="00F83446"/>
    <w:rsid w:val="00F84078"/>
    <w:rsid w:val="00F84F7F"/>
    <w:rsid w:val="00F86F1E"/>
    <w:rsid w:val="00F903E6"/>
    <w:rsid w:val="00F91065"/>
    <w:rsid w:val="00F957E6"/>
    <w:rsid w:val="00FA1069"/>
    <w:rsid w:val="00FA19AF"/>
    <w:rsid w:val="00FA1EFF"/>
    <w:rsid w:val="00FA2CD9"/>
    <w:rsid w:val="00FA4555"/>
    <w:rsid w:val="00FB0C5A"/>
    <w:rsid w:val="00FB1059"/>
    <w:rsid w:val="00FB2721"/>
    <w:rsid w:val="00FB744D"/>
    <w:rsid w:val="00FB7EEF"/>
    <w:rsid w:val="00FC025B"/>
    <w:rsid w:val="00FC155C"/>
    <w:rsid w:val="00FC1A61"/>
    <w:rsid w:val="00FC1B74"/>
    <w:rsid w:val="00FC2B7C"/>
    <w:rsid w:val="00FC340D"/>
    <w:rsid w:val="00FC3916"/>
    <w:rsid w:val="00FC625D"/>
    <w:rsid w:val="00FD0744"/>
    <w:rsid w:val="00FD1A42"/>
    <w:rsid w:val="00FD431F"/>
    <w:rsid w:val="00FD548F"/>
    <w:rsid w:val="00FD5BEB"/>
    <w:rsid w:val="00FD66DC"/>
    <w:rsid w:val="00FE1D12"/>
    <w:rsid w:val="00FE282F"/>
    <w:rsid w:val="00FE2B3F"/>
    <w:rsid w:val="00FE2FC1"/>
    <w:rsid w:val="00FE3DC0"/>
    <w:rsid w:val="00FE5A48"/>
    <w:rsid w:val="00FE6992"/>
    <w:rsid w:val="00FF5E5B"/>
    <w:rsid w:val="00FF640C"/>
    <w:rsid w:val="00FF6C41"/>
    <w:rsid w:val="01034E2A"/>
    <w:rsid w:val="01F558DB"/>
    <w:rsid w:val="02046404"/>
    <w:rsid w:val="02352B68"/>
    <w:rsid w:val="024B68F3"/>
    <w:rsid w:val="02615D9D"/>
    <w:rsid w:val="028B7635"/>
    <w:rsid w:val="031048F7"/>
    <w:rsid w:val="03524488"/>
    <w:rsid w:val="035B5CEB"/>
    <w:rsid w:val="038E4BF5"/>
    <w:rsid w:val="03B22EB7"/>
    <w:rsid w:val="03B82B2E"/>
    <w:rsid w:val="03CE4BB2"/>
    <w:rsid w:val="03D315DB"/>
    <w:rsid w:val="03D549D7"/>
    <w:rsid w:val="03E162F2"/>
    <w:rsid w:val="03ED19DE"/>
    <w:rsid w:val="03F51771"/>
    <w:rsid w:val="03FA18B4"/>
    <w:rsid w:val="03FD4132"/>
    <w:rsid w:val="041D6232"/>
    <w:rsid w:val="043030FA"/>
    <w:rsid w:val="043B05CC"/>
    <w:rsid w:val="04447D95"/>
    <w:rsid w:val="04DB22B6"/>
    <w:rsid w:val="04F27B85"/>
    <w:rsid w:val="05480343"/>
    <w:rsid w:val="05820EF8"/>
    <w:rsid w:val="059A7058"/>
    <w:rsid w:val="05AD54B2"/>
    <w:rsid w:val="05B03CC2"/>
    <w:rsid w:val="05D439AB"/>
    <w:rsid w:val="05E62EDB"/>
    <w:rsid w:val="06014433"/>
    <w:rsid w:val="0608218B"/>
    <w:rsid w:val="06096038"/>
    <w:rsid w:val="061F1453"/>
    <w:rsid w:val="06294D4F"/>
    <w:rsid w:val="064B28C9"/>
    <w:rsid w:val="066F26EE"/>
    <w:rsid w:val="068B5469"/>
    <w:rsid w:val="06916841"/>
    <w:rsid w:val="06CB07C9"/>
    <w:rsid w:val="06E660D7"/>
    <w:rsid w:val="071D25F6"/>
    <w:rsid w:val="074566D5"/>
    <w:rsid w:val="074F0531"/>
    <w:rsid w:val="076E6A6C"/>
    <w:rsid w:val="07835DE1"/>
    <w:rsid w:val="081D21E9"/>
    <w:rsid w:val="083E3076"/>
    <w:rsid w:val="0894497E"/>
    <w:rsid w:val="08AA2216"/>
    <w:rsid w:val="08C46317"/>
    <w:rsid w:val="08C603A5"/>
    <w:rsid w:val="08DC6AB2"/>
    <w:rsid w:val="08DF4068"/>
    <w:rsid w:val="08E037A8"/>
    <w:rsid w:val="08E325AD"/>
    <w:rsid w:val="092E5190"/>
    <w:rsid w:val="09313EB0"/>
    <w:rsid w:val="093B46F0"/>
    <w:rsid w:val="0970240A"/>
    <w:rsid w:val="0997348A"/>
    <w:rsid w:val="09992481"/>
    <w:rsid w:val="09D26822"/>
    <w:rsid w:val="0A191E44"/>
    <w:rsid w:val="0A261D19"/>
    <w:rsid w:val="0A2B6C96"/>
    <w:rsid w:val="0A42773B"/>
    <w:rsid w:val="0A544AAC"/>
    <w:rsid w:val="0A6B0BBC"/>
    <w:rsid w:val="0AAF446A"/>
    <w:rsid w:val="0AD070A2"/>
    <w:rsid w:val="0AF36AB3"/>
    <w:rsid w:val="0B2013C1"/>
    <w:rsid w:val="0B255009"/>
    <w:rsid w:val="0B2D08C4"/>
    <w:rsid w:val="0B7676CB"/>
    <w:rsid w:val="0BE77C94"/>
    <w:rsid w:val="0C2A22E4"/>
    <w:rsid w:val="0C5D53DD"/>
    <w:rsid w:val="0C9A2105"/>
    <w:rsid w:val="0CB4749A"/>
    <w:rsid w:val="0D074BCE"/>
    <w:rsid w:val="0D232D79"/>
    <w:rsid w:val="0D7E77A2"/>
    <w:rsid w:val="0D8A6AB3"/>
    <w:rsid w:val="0D9055C1"/>
    <w:rsid w:val="0DDB4033"/>
    <w:rsid w:val="0DE2095B"/>
    <w:rsid w:val="0DF37EAE"/>
    <w:rsid w:val="0E3F1309"/>
    <w:rsid w:val="0E7A6730"/>
    <w:rsid w:val="0E9C13C6"/>
    <w:rsid w:val="0EC40E04"/>
    <w:rsid w:val="0EC458BE"/>
    <w:rsid w:val="0F113628"/>
    <w:rsid w:val="0F193000"/>
    <w:rsid w:val="0F2566CF"/>
    <w:rsid w:val="0F6D7C76"/>
    <w:rsid w:val="0F74604D"/>
    <w:rsid w:val="0FAB6A3D"/>
    <w:rsid w:val="0FAE0C1B"/>
    <w:rsid w:val="10497453"/>
    <w:rsid w:val="10805DF5"/>
    <w:rsid w:val="10F2271C"/>
    <w:rsid w:val="10F25566"/>
    <w:rsid w:val="110C61B8"/>
    <w:rsid w:val="11217792"/>
    <w:rsid w:val="11516A1E"/>
    <w:rsid w:val="11762AD5"/>
    <w:rsid w:val="117C0C28"/>
    <w:rsid w:val="117C7226"/>
    <w:rsid w:val="118B2BF4"/>
    <w:rsid w:val="11AA02A9"/>
    <w:rsid w:val="11CD5617"/>
    <w:rsid w:val="11F31858"/>
    <w:rsid w:val="11F4153D"/>
    <w:rsid w:val="120656E1"/>
    <w:rsid w:val="125048B6"/>
    <w:rsid w:val="12584A52"/>
    <w:rsid w:val="128C4A10"/>
    <w:rsid w:val="12C444B8"/>
    <w:rsid w:val="12D5036A"/>
    <w:rsid w:val="1301270B"/>
    <w:rsid w:val="13A7632A"/>
    <w:rsid w:val="13CB1029"/>
    <w:rsid w:val="13D534F9"/>
    <w:rsid w:val="13FE4A55"/>
    <w:rsid w:val="140C75CB"/>
    <w:rsid w:val="14125AB5"/>
    <w:rsid w:val="14197FD6"/>
    <w:rsid w:val="144A02F1"/>
    <w:rsid w:val="145450C2"/>
    <w:rsid w:val="14AD7CDA"/>
    <w:rsid w:val="14F5179D"/>
    <w:rsid w:val="15130A0A"/>
    <w:rsid w:val="15322B17"/>
    <w:rsid w:val="15DE1DF9"/>
    <w:rsid w:val="15E13EF0"/>
    <w:rsid w:val="15EA3D7D"/>
    <w:rsid w:val="160E65CF"/>
    <w:rsid w:val="161B4704"/>
    <w:rsid w:val="16790BA4"/>
    <w:rsid w:val="168408D1"/>
    <w:rsid w:val="16CA686A"/>
    <w:rsid w:val="172930AB"/>
    <w:rsid w:val="17570500"/>
    <w:rsid w:val="178033CD"/>
    <w:rsid w:val="17853822"/>
    <w:rsid w:val="17A4585E"/>
    <w:rsid w:val="17AC372C"/>
    <w:rsid w:val="17D4708E"/>
    <w:rsid w:val="17F22B81"/>
    <w:rsid w:val="17FE3D7E"/>
    <w:rsid w:val="185552F1"/>
    <w:rsid w:val="189153B8"/>
    <w:rsid w:val="18E919C5"/>
    <w:rsid w:val="192B7E45"/>
    <w:rsid w:val="19504AA2"/>
    <w:rsid w:val="19AE4815"/>
    <w:rsid w:val="19B75834"/>
    <w:rsid w:val="19CD62A2"/>
    <w:rsid w:val="1A270841"/>
    <w:rsid w:val="1A2B0264"/>
    <w:rsid w:val="1A584947"/>
    <w:rsid w:val="1A980C6F"/>
    <w:rsid w:val="1AA12B23"/>
    <w:rsid w:val="1AEE0C77"/>
    <w:rsid w:val="1B0C60FC"/>
    <w:rsid w:val="1B162618"/>
    <w:rsid w:val="1B3C3DDA"/>
    <w:rsid w:val="1B4510C3"/>
    <w:rsid w:val="1B51710E"/>
    <w:rsid w:val="1B56582D"/>
    <w:rsid w:val="1B5D52B6"/>
    <w:rsid w:val="1B7C621D"/>
    <w:rsid w:val="1B9F3CEE"/>
    <w:rsid w:val="1BE444F3"/>
    <w:rsid w:val="1C7B47C6"/>
    <w:rsid w:val="1C96141B"/>
    <w:rsid w:val="1CA45C4A"/>
    <w:rsid w:val="1CAF7BC0"/>
    <w:rsid w:val="1CC215A8"/>
    <w:rsid w:val="1D1D2071"/>
    <w:rsid w:val="1D1D2739"/>
    <w:rsid w:val="1D2248BE"/>
    <w:rsid w:val="1D762000"/>
    <w:rsid w:val="1D971104"/>
    <w:rsid w:val="1E412B77"/>
    <w:rsid w:val="1E503DF9"/>
    <w:rsid w:val="1E550484"/>
    <w:rsid w:val="1E6465F1"/>
    <w:rsid w:val="1EE26FE1"/>
    <w:rsid w:val="1F520570"/>
    <w:rsid w:val="1F547033"/>
    <w:rsid w:val="1F725226"/>
    <w:rsid w:val="1F732DD8"/>
    <w:rsid w:val="1FB247B8"/>
    <w:rsid w:val="1FBB3E68"/>
    <w:rsid w:val="1FE859D3"/>
    <w:rsid w:val="1FFC672B"/>
    <w:rsid w:val="202E4DF7"/>
    <w:rsid w:val="207309DC"/>
    <w:rsid w:val="20755B5E"/>
    <w:rsid w:val="2088496A"/>
    <w:rsid w:val="20E2119E"/>
    <w:rsid w:val="212E3FCC"/>
    <w:rsid w:val="21304037"/>
    <w:rsid w:val="214E4652"/>
    <w:rsid w:val="2173580A"/>
    <w:rsid w:val="217D23C6"/>
    <w:rsid w:val="218061AE"/>
    <w:rsid w:val="21866203"/>
    <w:rsid w:val="218F497A"/>
    <w:rsid w:val="224342FA"/>
    <w:rsid w:val="224A50E8"/>
    <w:rsid w:val="22850580"/>
    <w:rsid w:val="22AD79B7"/>
    <w:rsid w:val="22D12F97"/>
    <w:rsid w:val="22D6182B"/>
    <w:rsid w:val="22EB0C14"/>
    <w:rsid w:val="22F16D16"/>
    <w:rsid w:val="22F53974"/>
    <w:rsid w:val="231F06DC"/>
    <w:rsid w:val="23273154"/>
    <w:rsid w:val="23D61272"/>
    <w:rsid w:val="23DD2ABB"/>
    <w:rsid w:val="23E87122"/>
    <w:rsid w:val="241915BC"/>
    <w:rsid w:val="245300A6"/>
    <w:rsid w:val="24FB2EF6"/>
    <w:rsid w:val="252D525D"/>
    <w:rsid w:val="258B7558"/>
    <w:rsid w:val="258C72A1"/>
    <w:rsid w:val="25B317DC"/>
    <w:rsid w:val="263E601B"/>
    <w:rsid w:val="2676194C"/>
    <w:rsid w:val="2694215A"/>
    <w:rsid w:val="26BA3D31"/>
    <w:rsid w:val="26E61785"/>
    <w:rsid w:val="26E63A7F"/>
    <w:rsid w:val="27102B34"/>
    <w:rsid w:val="272C40F1"/>
    <w:rsid w:val="27370964"/>
    <w:rsid w:val="277B1384"/>
    <w:rsid w:val="27DB1524"/>
    <w:rsid w:val="281C60EE"/>
    <w:rsid w:val="284F3B6E"/>
    <w:rsid w:val="28BA31AA"/>
    <w:rsid w:val="290723B2"/>
    <w:rsid w:val="290A0231"/>
    <w:rsid w:val="290C624C"/>
    <w:rsid w:val="29375AC5"/>
    <w:rsid w:val="29522712"/>
    <w:rsid w:val="295858BA"/>
    <w:rsid w:val="297E0A40"/>
    <w:rsid w:val="29946F3E"/>
    <w:rsid w:val="29B91E53"/>
    <w:rsid w:val="29CF406A"/>
    <w:rsid w:val="29D13E2F"/>
    <w:rsid w:val="29D943EF"/>
    <w:rsid w:val="2A2473E7"/>
    <w:rsid w:val="2A5026FE"/>
    <w:rsid w:val="2A875F93"/>
    <w:rsid w:val="2AAC4C7D"/>
    <w:rsid w:val="2AED1F22"/>
    <w:rsid w:val="2AF8208B"/>
    <w:rsid w:val="2B383128"/>
    <w:rsid w:val="2B577548"/>
    <w:rsid w:val="2B750196"/>
    <w:rsid w:val="2B8B3EEB"/>
    <w:rsid w:val="2BD13751"/>
    <w:rsid w:val="2BFF617C"/>
    <w:rsid w:val="2C0B720A"/>
    <w:rsid w:val="2D5D645B"/>
    <w:rsid w:val="2D62768D"/>
    <w:rsid w:val="2D8361FB"/>
    <w:rsid w:val="2DC16E8F"/>
    <w:rsid w:val="2DE27339"/>
    <w:rsid w:val="2DEB587F"/>
    <w:rsid w:val="2E051208"/>
    <w:rsid w:val="2E293AD3"/>
    <w:rsid w:val="2F840A27"/>
    <w:rsid w:val="2F9751C4"/>
    <w:rsid w:val="2FD632A2"/>
    <w:rsid w:val="2FE96A98"/>
    <w:rsid w:val="304D207C"/>
    <w:rsid w:val="305E1C50"/>
    <w:rsid w:val="309036C7"/>
    <w:rsid w:val="309E7F8C"/>
    <w:rsid w:val="30A209BB"/>
    <w:rsid w:val="30E07944"/>
    <w:rsid w:val="30F675F6"/>
    <w:rsid w:val="3116311A"/>
    <w:rsid w:val="31920EFC"/>
    <w:rsid w:val="31C527F2"/>
    <w:rsid w:val="31DA4799"/>
    <w:rsid w:val="31DF2419"/>
    <w:rsid w:val="32521B44"/>
    <w:rsid w:val="32624DE7"/>
    <w:rsid w:val="32A01FA9"/>
    <w:rsid w:val="32CA0966"/>
    <w:rsid w:val="32D862B1"/>
    <w:rsid w:val="32DE56F0"/>
    <w:rsid w:val="32E85B28"/>
    <w:rsid w:val="3340031D"/>
    <w:rsid w:val="335E17A8"/>
    <w:rsid w:val="338374FF"/>
    <w:rsid w:val="338F0F49"/>
    <w:rsid w:val="339C240D"/>
    <w:rsid w:val="33BC7F5E"/>
    <w:rsid w:val="33F73CD2"/>
    <w:rsid w:val="348669D4"/>
    <w:rsid w:val="34DC7C2C"/>
    <w:rsid w:val="34F93EEB"/>
    <w:rsid w:val="351E5DDC"/>
    <w:rsid w:val="357324B6"/>
    <w:rsid w:val="35A02B55"/>
    <w:rsid w:val="35BF4E3C"/>
    <w:rsid w:val="35C82DE7"/>
    <w:rsid w:val="35E45BD9"/>
    <w:rsid w:val="35F60B79"/>
    <w:rsid w:val="35FC6659"/>
    <w:rsid w:val="36032B41"/>
    <w:rsid w:val="36171143"/>
    <w:rsid w:val="364D77F0"/>
    <w:rsid w:val="36B37DAC"/>
    <w:rsid w:val="36BC31FC"/>
    <w:rsid w:val="36EA6F12"/>
    <w:rsid w:val="36ED3CAA"/>
    <w:rsid w:val="36FF2BC7"/>
    <w:rsid w:val="372F571B"/>
    <w:rsid w:val="37645038"/>
    <w:rsid w:val="37C2035E"/>
    <w:rsid w:val="38251926"/>
    <w:rsid w:val="387770BF"/>
    <w:rsid w:val="399D6E44"/>
    <w:rsid w:val="39B72C5B"/>
    <w:rsid w:val="39CC7CAE"/>
    <w:rsid w:val="39E22C74"/>
    <w:rsid w:val="3A2D2A99"/>
    <w:rsid w:val="3A4E7624"/>
    <w:rsid w:val="3A562FA4"/>
    <w:rsid w:val="3A6607FB"/>
    <w:rsid w:val="3B0F6334"/>
    <w:rsid w:val="3B147759"/>
    <w:rsid w:val="3B1D150C"/>
    <w:rsid w:val="3B5122CA"/>
    <w:rsid w:val="3B815AF6"/>
    <w:rsid w:val="3BA02E15"/>
    <w:rsid w:val="3BAC0C70"/>
    <w:rsid w:val="3BBF52F1"/>
    <w:rsid w:val="3BC4015D"/>
    <w:rsid w:val="3BC5720F"/>
    <w:rsid w:val="3BC840A1"/>
    <w:rsid w:val="3C2377F5"/>
    <w:rsid w:val="3C260D2F"/>
    <w:rsid w:val="3C8E0A1B"/>
    <w:rsid w:val="3CF76B1A"/>
    <w:rsid w:val="3D066F82"/>
    <w:rsid w:val="3D0F39CA"/>
    <w:rsid w:val="3D165B71"/>
    <w:rsid w:val="3D522D0F"/>
    <w:rsid w:val="3D5D01B1"/>
    <w:rsid w:val="3D703698"/>
    <w:rsid w:val="3D99307D"/>
    <w:rsid w:val="3E1E7DDD"/>
    <w:rsid w:val="3E5C5D09"/>
    <w:rsid w:val="3EAB429D"/>
    <w:rsid w:val="3EB31164"/>
    <w:rsid w:val="3EBD12EF"/>
    <w:rsid w:val="3F142CC2"/>
    <w:rsid w:val="3F211E56"/>
    <w:rsid w:val="3F261AEF"/>
    <w:rsid w:val="3F340E7B"/>
    <w:rsid w:val="3F532AB4"/>
    <w:rsid w:val="3F5B2410"/>
    <w:rsid w:val="3F886B35"/>
    <w:rsid w:val="3FB51C18"/>
    <w:rsid w:val="3FDE27D9"/>
    <w:rsid w:val="400D09F7"/>
    <w:rsid w:val="405D6EC0"/>
    <w:rsid w:val="4068425F"/>
    <w:rsid w:val="406B2AC3"/>
    <w:rsid w:val="408917C7"/>
    <w:rsid w:val="40A65439"/>
    <w:rsid w:val="40DC1FDE"/>
    <w:rsid w:val="41246B7F"/>
    <w:rsid w:val="41294362"/>
    <w:rsid w:val="41463206"/>
    <w:rsid w:val="415C2E48"/>
    <w:rsid w:val="415E2800"/>
    <w:rsid w:val="419B7C81"/>
    <w:rsid w:val="41C077EE"/>
    <w:rsid w:val="41D55520"/>
    <w:rsid w:val="41DE622C"/>
    <w:rsid w:val="42172FE0"/>
    <w:rsid w:val="421C3D96"/>
    <w:rsid w:val="42242138"/>
    <w:rsid w:val="42351A7E"/>
    <w:rsid w:val="423D5A0C"/>
    <w:rsid w:val="42606B35"/>
    <w:rsid w:val="42731714"/>
    <w:rsid w:val="42D03A33"/>
    <w:rsid w:val="43382E6B"/>
    <w:rsid w:val="43647EF7"/>
    <w:rsid w:val="43931D16"/>
    <w:rsid w:val="43A0038F"/>
    <w:rsid w:val="43B955B0"/>
    <w:rsid w:val="43D870C2"/>
    <w:rsid w:val="43FC5885"/>
    <w:rsid w:val="44111E34"/>
    <w:rsid w:val="44277B4B"/>
    <w:rsid w:val="445D7BBD"/>
    <w:rsid w:val="44667C41"/>
    <w:rsid w:val="44D75166"/>
    <w:rsid w:val="44DC186F"/>
    <w:rsid w:val="452450DB"/>
    <w:rsid w:val="459D79C1"/>
    <w:rsid w:val="45CC116E"/>
    <w:rsid w:val="465760C2"/>
    <w:rsid w:val="466203B3"/>
    <w:rsid w:val="468C5919"/>
    <w:rsid w:val="46DC2655"/>
    <w:rsid w:val="46E37EC5"/>
    <w:rsid w:val="46FC60FC"/>
    <w:rsid w:val="471348C3"/>
    <w:rsid w:val="472C2AAD"/>
    <w:rsid w:val="478E4B4A"/>
    <w:rsid w:val="47A31550"/>
    <w:rsid w:val="47C55CC7"/>
    <w:rsid w:val="47D36958"/>
    <w:rsid w:val="48016910"/>
    <w:rsid w:val="485135B2"/>
    <w:rsid w:val="485644C8"/>
    <w:rsid w:val="487D4864"/>
    <w:rsid w:val="48CD2448"/>
    <w:rsid w:val="48D13D47"/>
    <w:rsid w:val="48E85E28"/>
    <w:rsid w:val="48F9382E"/>
    <w:rsid w:val="49142D27"/>
    <w:rsid w:val="49215537"/>
    <w:rsid w:val="49330BB1"/>
    <w:rsid w:val="4934266D"/>
    <w:rsid w:val="499123D4"/>
    <w:rsid w:val="49AC1D1D"/>
    <w:rsid w:val="49D76B1B"/>
    <w:rsid w:val="49E8502C"/>
    <w:rsid w:val="4AFD5E56"/>
    <w:rsid w:val="4B0D4644"/>
    <w:rsid w:val="4B995FBF"/>
    <w:rsid w:val="4BA86892"/>
    <w:rsid w:val="4C7725DA"/>
    <w:rsid w:val="4C801578"/>
    <w:rsid w:val="4C8A6E37"/>
    <w:rsid w:val="4C8D7888"/>
    <w:rsid w:val="4CBA4F88"/>
    <w:rsid w:val="4CC20C5A"/>
    <w:rsid w:val="4D0E049F"/>
    <w:rsid w:val="4D1A3528"/>
    <w:rsid w:val="4E062C10"/>
    <w:rsid w:val="4E522649"/>
    <w:rsid w:val="4E575021"/>
    <w:rsid w:val="4E71794A"/>
    <w:rsid w:val="4E7D1170"/>
    <w:rsid w:val="4E9173F1"/>
    <w:rsid w:val="4F42769F"/>
    <w:rsid w:val="4FFB4EC4"/>
    <w:rsid w:val="50050B1E"/>
    <w:rsid w:val="50162565"/>
    <w:rsid w:val="5089087F"/>
    <w:rsid w:val="50AE68B4"/>
    <w:rsid w:val="50D01829"/>
    <w:rsid w:val="50E95B26"/>
    <w:rsid w:val="50F40C26"/>
    <w:rsid w:val="50F93F68"/>
    <w:rsid w:val="51624549"/>
    <w:rsid w:val="518A6F9C"/>
    <w:rsid w:val="51B868DE"/>
    <w:rsid w:val="51FF706F"/>
    <w:rsid w:val="52040B53"/>
    <w:rsid w:val="52712579"/>
    <w:rsid w:val="52826CB3"/>
    <w:rsid w:val="52A57AEB"/>
    <w:rsid w:val="52C25A76"/>
    <w:rsid w:val="52DD4EA9"/>
    <w:rsid w:val="530157AD"/>
    <w:rsid w:val="535D6031"/>
    <w:rsid w:val="537A20E2"/>
    <w:rsid w:val="53B10E0E"/>
    <w:rsid w:val="53C56C7C"/>
    <w:rsid w:val="53F161B6"/>
    <w:rsid w:val="54264B76"/>
    <w:rsid w:val="543162D6"/>
    <w:rsid w:val="548E1EB1"/>
    <w:rsid w:val="549A66E3"/>
    <w:rsid w:val="549E2463"/>
    <w:rsid w:val="54AF1A2A"/>
    <w:rsid w:val="550F0A41"/>
    <w:rsid w:val="5522684C"/>
    <w:rsid w:val="55231BEF"/>
    <w:rsid w:val="554C26D2"/>
    <w:rsid w:val="55507983"/>
    <w:rsid w:val="55AC2A1D"/>
    <w:rsid w:val="55CA6D0C"/>
    <w:rsid w:val="55CB6B21"/>
    <w:rsid w:val="56621CC0"/>
    <w:rsid w:val="56804BA8"/>
    <w:rsid w:val="56956BD1"/>
    <w:rsid w:val="56CC4DA9"/>
    <w:rsid w:val="5701542A"/>
    <w:rsid w:val="579B534E"/>
    <w:rsid w:val="582C7CDF"/>
    <w:rsid w:val="583E3BA6"/>
    <w:rsid w:val="58482DC6"/>
    <w:rsid w:val="585E52A9"/>
    <w:rsid w:val="588561B5"/>
    <w:rsid w:val="588D20CB"/>
    <w:rsid w:val="58B57A0E"/>
    <w:rsid w:val="58DB7A0A"/>
    <w:rsid w:val="58F51FFA"/>
    <w:rsid w:val="591B4991"/>
    <w:rsid w:val="592F625D"/>
    <w:rsid w:val="59570292"/>
    <w:rsid w:val="596000F2"/>
    <w:rsid w:val="598A0CFE"/>
    <w:rsid w:val="59FF4D38"/>
    <w:rsid w:val="5A0C4B75"/>
    <w:rsid w:val="5A28064A"/>
    <w:rsid w:val="5A7923BF"/>
    <w:rsid w:val="5A9605BD"/>
    <w:rsid w:val="5AE10FFC"/>
    <w:rsid w:val="5AE47F70"/>
    <w:rsid w:val="5AE67E10"/>
    <w:rsid w:val="5AE911BF"/>
    <w:rsid w:val="5B4F1918"/>
    <w:rsid w:val="5B7F2785"/>
    <w:rsid w:val="5BAC60D4"/>
    <w:rsid w:val="5BDA1DC4"/>
    <w:rsid w:val="5BF506F1"/>
    <w:rsid w:val="5C1D46FC"/>
    <w:rsid w:val="5C3D5425"/>
    <w:rsid w:val="5C58425A"/>
    <w:rsid w:val="5C5A2DA2"/>
    <w:rsid w:val="5C741A7E"/>
    <w:rsid w:val="5C8C3CA8"/>
    <w:rsid w:val="5C9824E3"/>
    <w:rsid w:val="5CAD7201"/>
    <w:rsid w:val="5CD42029"/>
    <w:rsid w:val="5CE864FF"/>
    <w:rsid w:val="5D117FDD"/>
    <w:rsid w:val="5D18719D"/>
    <w:rsid w:val="5D295DC9"/>
    <w:rsid w:val="5D335BD3"/>
    <w:rsid w:val="5D3436B2"/>
    <w:rsid w:val="5D674CB0"/>
    <w:rsid w:val="5D785662"/>
    <w:rsid w:val="5D90031D"/>
    <w:rsid w:val="5DC63B4E"/>
    <w:rsid w:val="5DCC234F"/>
    <w:rsid w:val="5DF45048"/>
    <w:rsid w:val="5E3F14C7"/>
    <w:rsid w:val="5E580E47"/>
    <w:rsid w:val="5E866203"/>
    <w:rsid w:val="5E965310"/>
    <w:rsid w:val="5EAE695A"/>
    <w:rsid w:val="5EF13DC8"/>
    <w:rsid w:val="5F065231"/>
    <w:rsid w:val="5F3F68E4"/>
    <w:rsid w:val="5F8949F9"/>
    <w:rsid w:val="5FA4535D"/>
    <w:rsid w:val="5FB24314"/>
    <w:rsid w:val="5FEE0EFA"/>
    <w:rsid w:val="6005336A"/>
    <w:rsid w:val="60175E9A"/>
    <w:rsid w:val="603871C4"/>
    <w:rsid w:val="60C71945"/>
    <w:rsid w:val="60EA622B"/>
    <w:rsid w:val="613106B6"/>
    <w:rsid w:val="6143275F"/>
    <w:rsid w:val="615014E4"/>
    <w:rsid w:val="61685A62"/>
    <w:rsid w:val="61816777"/>
    <w:rsid w:val="61B54E59"/>
    <w:rsid w:val="61E9479D"/>
    <w:rsid w:val="621B2390"/>
    <w:rsid w:val="627739F9"/>
    <w:rsid w:val="62D9704A"/>
    <w:rsid w:val="62F41621"/>
    <w:rsid w:val="631F5140"/>
    <w:rsid w:val="63206CA6"/>
    <w:rsid w:val="633B597B"/>
    <w:rsid w:val="636D4FE6"/>
    <w:rsid w:val="63F0608C"/>
    <w:rsid w:val="63FE790F"/>
    <w:rsid w:val="64382189"/>
    <w:rsid w:val="64455F5E"/>
    <w:rsid w:val="64834A99"/>
    <w:rsid w:val="64845FD3"/>
    <w:rsid w:val="64995F9E"/>
    <w:rsid w:val="649A1366"/>
    <w:rsid w:val="64A4394A"/>
    <w:rsid w:val="64BB7417"/>
    <w:rsid w:val="64BC06ED"/>
    <w:rsid w:val="64E24D7D"/>
    <w:rsid w:val="64FD655F"/>
    <w:rsid w:val="652105C6"/>
    <w:rsid w:val="652D090B"/>
    <w:rsid w:val="654423FD"/>
    <w:rsid w:val="65580111"/>
    <w:rsid w:val="65847151"/>
    <w:rsid w:val="65F34C4A"/>
    <w:rsid w:val="65F37DD4"/>
    <w:rsid w:val="66003E23"/>
    <w:rsid w:val="66040DA7"/>
    <w:rsid w:val="660663C1"/>
    <w:rsid w:val="663973F8"/>
    <w:rsid w:val="66413961"/>
    <w:rsid w:val="6641458A"/>
    <w:rsid w:val="66835CCD"/>
    <w:rsid w:val="66B934EE"/>
    <w:rsid w:val="66C96879"/>
    <w:rsid w:val="66EB187F"/>
    <w:rsid w:val="67302D72"/>
    <w:rsid w:val="67730275"/>
    <w:rsid w:val="67AE355A"/>
    <w:rsid w:val="67E06F23"/>
    <w:rsid w:val="67EA5932"/>
    <w:rsid w:val="683A1C46"/>
    <w:rsid w:val="68487F40"/>
    <w:rsid w:val="684C3518"/>
    <w:rsid w:val="68A066BA"/>
    <w:rsid w:val="69526C2A"/>
    <w:rsid w:val="69535F9B"/>
    <w:rsid w:val="69654292"/>
    <w:rsid w:val="69734476"/>
    <w:rsid w:val="697F44DA"/>
    <w:rsid w:val="69AD2905"/>
    <w:rsid w:val="69AE5167"/>
    <w:rsid w:val="69B47C6D"/>
    <w:rsid w:val="69D87D95"/>
    <w:rsid w:val="69FE60DF"/>
    <w:rsid w:val="6A093C19"/>
    <w:rsid w:val="6A3476F5"/>
    <w:rsid w:val="6A8638CB"/>
    <w:rsid w:val="6A9341CF"/>
    <w:rsid w:val="6A9853D4"/>
    <w:rsid w:val="6A9B43AC"/>
    <w:rsid w:val="6ABA1BD1"/>
    <w:rsid w:val="6AE362F9"/>
    <w:rsid w:val="6AE53045"/>
    <w:rsid w:val="6B0C6921"/>
    <w:rsid w:val="6B78270D"/>
    <w:rsid w:val="6B901BE4"/>
    <w:rsid w:val="6BF8667B"/>
    <w:rsid w:val="6C3F2DEB"/>
    <w:rsid w:val="6C591948"/>
    <w:rsid w:val="6C73669B"/>
    <w:rsid w:val="6CA90003"/>
    <w:rsid w:val="6CE56B7E"/>
    <w:rsid w:val="6CE6378C"/>
    <w:rsid w:val="6D0E1A49"/>
    <w:rsid w:val="6D321474"/>
    <w:rsid w:val="6D472CF8"/>
    <w:rsid w:val="6D757D14"/>
    <w:rsid w:val="6DF112F5"/>
    <w:rsid w:val="6E0814C1"/>
    <w:rsid w:val="6EA45BE3"/>
    <w:rsid w:val="6EEC7092"/>
    <w:rsid w:val="6F06407D"/>
    <w:rsid w:val="6F0E5947"/>
    <w:rsid w:val="6F1917CD"/>
    <w:rsid w:val="6F1B3C75"/>
    <w:rsid w:val="6F2F3955"/>
    <w:rsid w:val="6F5E5ADE"/>
    <w:rsid w:val="6F6659E6"/>
    <w:rsid w:val="6F7E1EA5"/>
    <w:rsid w:val="6FB71CAB"/>
    <w:rsid w:val="70131B5D"/>
    <w:rsid w:val="701D11D5"/>
    <w:rsid w:val="70495515"/>
    <w:rsid w:val="705E3864"/>
    <w:rsid w:val="70881BA0"/>
    <w:rsid w:val="708A29AB"/>
    <w:rsid w:val="70BC3F8A"/>
    <w:rsid w:val="71097DF4"/>
    <w:rsid w:val="71842F90"/>
    <w:rsid w:val="71D16FA9"/>
    <w:rsid w:val="728104F0"/>
    <w:rsid w:val="72A04B65"/>
    <w:rsid w:val="72C452D2"/>
    <w:rsid w:val="73394BA9"/>
    <w:rsid w:val="735E5E3A"/>
    <w:rsid w:val="73724697"/>
    <w:rsid w:val="73B26F97"/>
    <w:rsid w:val="73BF458F"/>
    <w:rsid w:val="7417588C"/>
    <w:rsid w:val="742B59BE"/>
    <w:rsid w:val="743B6B13"/>
    <w:rsid w:val="747E117B"/>
    <w:rsid w:val="74AD588E"/>
    <w:rsid w:val="751670D0"/>
    <w:rsid w:val="75414655"/>
    <w:rsid w:val="757522EF"/>
    <w:rsid w:val="75EC6F1F"/>
    <w:rsid w:val="75FC1C6A"/>
    <w:rsid w:val="76010416"/>
    <w:rsid w:val="76183E28"/>
    <w:rsid w:val="7645269C"/>
    <w:rsid w:val="76762198"/>
    <w:rsid w:val="767F56D5"/>
    <w:rsid w:val="769E1959"/>
    <w:rsid w:val="76D111AF"/>
    <w:rsid w:val="76DB126A"/>
    <w:rsid w:val="76E76878"/>
    <w:rsid w:val="76F43FBC"/>
    <w:rsid w:val="77182D1C"/>
    <w:rsid w:val="77515D33"/>
    <w:rsid w:val="77E2793C"/>
    <w:rsid w:val="77FF49A6"/>
    <w:rsid w:val="782F21C2"/>
    <w:rsid w:val="78655425"/>
    <w:rsid w:val="78913D4D"/>
    <w:rsid w:val="78B2753C"/>
    <w:rsid w:val="78C7535C"/>
    <w:rsid w:val="78DA7894"/>
    <w:rsid w:val="78FE020D"/>
    <w:rsid w:val="78FE5005"/>
    <w:rsid w:val="790F539F"/>
    <w:rsid w:val="79516C6D"/>
    <w:rsid w:val="79776158"/>
    <w:rsid w:val="79B60BF0"/>
    <w:rsid w:val="79B641BD"/>
    <w:rsid w:val="79C3723C"/>
    <w:rsid w:val="79C579F9"/>
    <w:rsid w:val="7A0F6CE2"/>
    <w:rsid w:val="7A634F5D"/>
    <w:rsid w:val="7A841BA8"/>
    <w:rsid w:val="7AA12A52"/>
    <w:rsid w:val="7AAF2BC9"/>
    <w:rsid w:val="7ABF3BA7"/>
    <w:rsid w:val="7AC850B9"/>
    <w:rsid w:val="7AD52090"/>
    <w:rsid w:val="7AF2025B"/>
    <w:rsid w:val="7B6F6041"/>
    <w:rsid w:val="7B76228F"/>
    <w:rsid w:val="7B9103EF"/>
    <w:rsid w:val="7B9649B6"/>
    <w:rsid w:val="7BA20772"/>
    <w:rsid w:val="7BA504EC"/>
    <w:rsid w:val="7BB04F0E"/>
    <w:rsid w:val="7BBC677E"/>
    <w:rsid w:val="7BD873E8"/>
    <w:rsid w:val="7BF135EE"/>
    <w:rsid w:val="7BFD37C8"/>
    <w:rsid w:val="7C0A237C"/>
    <w:rsid w:val="7C513B96"/>
    <w:rsid w:val="7C6C76BE"/>
    <w:rsid w:val="7C856238"/>
    <w:rsid w:val="7C8A06E5"/>
    <w:rsid w:val="7CC27F9D"/>
    <w:rsid w:val="7CDE147C"/>
    <w:rsid w:val="7CF4395F"/>
    <w:rsid w:val="7CFD7EB9"/>
    <w:rsid w:val="7D392EEF"/>
    <w:rsid w:val="7E030DD8"/>
    <w:rsid w:val="7E09456B"/>
    <w:rsid w:val="7E1518FF"/>
    <w:rsid w:val="7E166EA7"/>
    <w:rsid w:val="7E41445B"/>
    <w:rsid w:val="7E926046"/>
    <w:rsid w:val="7EAC3A17"/>
    <w:rsid w:val="7ECD5A97"/>
    <w:rsid w:val="7F3C4DB8"/>
    <w:rsid w:val="7F9054B1"/>
    <w:rsid w:val="7F91687D"/>
    <w:rsid w:val="7FC13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link w:val="27"/>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72"/>
    <w:unhideWhenUsed/>
    <w:qFormat/>
    <w:uiPriority w:val="99"/>
    <w:pPr>
      <w:snapToGrid w:val="0"/>
    </w:pPr>
    <w:rPr>
      <w:rFonts w:ascii="Calibri" w:hAnsi="Calibri"/>
      <w:szCs w:val="24"/>
    </w:rPr>
  </w:style>
  <w:style w:type="paragraph" w:styleId="5">
    <w:name w:val="Document Map"/>
    <w:basedOn w:val="1"/>
    <w:qFormat/>
    <w:uiPriority w:val="0"/>
    <w:pPr>
      <w:shd w:val="clear" w:color="auto" w:fill="000080"/>
    </w:p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Date"/>
    <w:basedOn w:val="1"/>
    <w:next w:val="1"/>
    <w:link w:val="26"/>
    <w:qFormat/>
    <w:uiPriority w:val="0"/>
    <w:pPr>
      <w:ind w:left="100" w:leftChars="2500"/>
    </w:pPr>
  </w:style>
  <w:style w:type="paragraph" w:styleId="9">
    <w:name w:val="Balloon Text"/>
    <w:basedOn w:val="1"/>
    <w:qFormat/>
    <w:uiPriority w:val="0"/>
    <w:rPr>
      <w:sz w:val="18"/>
    </w:rPr>
  </w:style>
  <w:style w:type="paragraph" w:styleId="10">
    <w:name w:val="footer"/>
    <w:basedOn w:val="1"/>
    <w:link w:val="23"/>
    <w:qFormat/>
    <w:uiPriority w:val="99"/>
    <w:pPr>
      <w:tabs>
        <w:tab w:val="center" w:pos="4153"/>
        <w:tab w:val="right" w:pos="8306"/>
      </w:tabs>
      <w:snapToGrid w:val="0"/>
      <w:ind w:right="100" w:rightChars="100"/>
      <w:jc w:val="right"/>
    </w:pPr>
    <w:rPr>
      <w:sz w:val="18"/>
    </w:rPr>
  </w:style>
  <w:style w:type="paragraph" w:styleId="11">
    <w:name w:val="header"/>
    <w:basedOn w:val="1"/>
    <w:link w:val="24"/>
    <w:qFormat/>
    <w:uiPriority w:val="99"/>
    <w:pPr>
      <w:pBdr>
        <w:bottom w:val="single" w:color="auto" w:sz="6" w:space="1"/>
      </w:pBdr>
      <w:tabs>
        <w:tab w:val="center" w:pos="4153"/>
        <w:tab w:val="right" w:pos="8306"/>
      </w:tabs>
      <w:snapToGrid w:val="0"/>
      <w:jc w:val="center"/>
    </w:pPr>
    <w:rPr>
      <w:sz w:val="18"/>
    </w:rPr>
  </w:style>
  <w:style w:type="paragraph" w:styleId="12">
    <w:name w:val="footnote text"/>
    <w:basedOn w:val="1"/>
    <w:qFormat/>
    <w:uiPriority w:val="0"/>
    <w:pPr>
      <w:snapToGrid w:val="0"/>
      <w:jc w:val="left"/>
    </w:pPr>
    <w:rPr>
      <w:sz w:val="18"/>
    </w:rPr>
  </w:style>
  <w:style w:type="paragraph" w:styleId="13">
    <w:name w:val="index 9"/>
    <w:basedOn w:val="1"/>
    <w:next w:val="1"/>
    <w:qFormat/>
    <w:uiPriority w:val="0"/>
    <w:pPr>
      <w:widowControl/>
      <w:spacing w:after="200" w:line="276" w:lineRule="auto"/>
      <w:ind w:left="1890" w:hanging="210"/>
      <w:jc w:val="left"/>
    </w:pPr>
    <w:rPr>
      <w:rFonts w:ascii="Calibri" w:hAnsi="Calibri" w:eastAsiaTheme="minorEastAsia" w:cstheme="minorBidi"/>
      <w:kern w:val="0"/>
      <w:sz w:val="20"/>
    </w:rPr>
  </w:style>
  <w:style w:type="paragraph" w:styleId="14">
    <w:name w:val="annotation subject"/>
    <w:basedOn w:val="6"/>
    <w:next w:val="6"/>
    <w:qFormat/>
    <w:uiPriority w:val="0"/>
    <w:rPr>
      <w:b/>
    </w:rPr>
  </w:style>
  <w:style w:type="paragraph" w:styleId="15">
    <w:name w:val="Body Text First Indent"/>
    <w:basedOn w:val="7"/>
    <w:qFormat/>
    <w:uiPriority w:val="0"/>
    <w:pPr>
      <w:adjustRightInd w:val="0"/>
      <w:spacing w:after="0"/>
      <w:jc w:val="left"/>
      <w:textAlignment w:val="baseline"/>
    </w:pPr>
    <w:rPr>
      <w:rFonts w:ascii="宋体" w:hAnsi="宋体"/>
      <w:kern w:val="0"/>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qFormat/>
    <w:uiPriority w:val="0"/>
    <w:rPr>
      <w:rFonts w:ascii="Times New Roman" w:hAnsi="Times New Roman" w:eastAsia="宋体"/>
      <w:sz w:val="18"/>
    </w:rPr>
  </w:style>
  <w:style w:type="character" w:styleId="21">
    <w:name w:val="annotation reference"/>
    <w:qFormat/>
    <w:uiPriority w:val="0"/>
    <w:rPr>
      <w:sz w:val="21"/>
    </w:rPr>
  </w:style>
  <w:style w:type="character" w:styleId="22">
    <w:name w:val="footnote reference"/>
    <w:qFormat/>
    <w:uiPriority w:val="0"/>
    <w:rPr>
      <w:vertAlign w:val="superscript"/>
    </w:rPr>
  </w:style>
  <w:style w:type="character" w:customStyle="1" w:styleId="23">
    <w:name w:val="页脚 字符"/>
    <w:link w:val="10"/>
    <w:qFormat/>
    <w:uiPriority w:val="99"/>
    <w:rPr>
      <w:kern w:val="2"/>
      <w:sz w:val="18"/>
    </w:rPr>
  </w:style>
  <w:style w:type="character" w:customStyle="1" w:styleId="24">
    <w:name w:val="页眉 字符"/>
    <w:link w:val="11"/>
    <w:qFormat/>
    <w:uiPriority w:val="99"/>
    <w:rPr>
      <w:kern w:val="2"/>
      <w:sz w:val="18"/>
    </w:rPr>
  </w:style>
  <w:style w:type="character" w:customStyle="1" w:styleId="25">
    <w:name w:val="发布"/>
    <w:qFormat/>
    <w:uiPriority w:val="0"/>
    <w:rPr>
      <w:rFonts w:ascii="黑体" w:eastAsia="黑体"/>
      <w:spacing w:val="22"/>
      <w:w w:val="100"/>
      <w:position w:val="3"/>
      <w:sz w:val="28"/>
    </w:rPr>
  </w:style>
  <w:style w:type="character" w:customStyle="1" w:styleId="26">
    <w:name w:val="日期 字符"/>
    <w:link w:val="8"/>
    <w:qFormat/>
    <w:uiPriority w:val="0"/>
    <w:rPr>
      <w:kern w:val="2"/>
      <w:sz w:val="21"/>
    </w:rPr>
  </w:style>
  <w:style w:type="character" w:customStyle="1" w:styleId="27">
    <w:name w:val="标题 3 字符"/>
    <w:link w:val="4"/>
    <w:semiHidden/>
    <w:qFormat/>
    <w:uiPriority w:val="0"/>
    <w:rPr>
      <w:b/>
      <w:bCs/>
      <w:kern w:val="2"/>
      <w:sz w:val="32"/>
      <w:szCs w:val="32"/>
    </w:rPr>
  </w:style>
  <w:style w:type="paragraph" w:customStyle="1" w:styleId="28">
    <w:name w:val="实施日期"/>
    <w:basedOn w:val="29"/>
    <w:qFormat/>
    <w:uiPriority w:val="0"/>
    <w:pPr>
      <w:jc w:val="right"/>
    </w:pPr>
  </w:style>
  <w:style w:type="paragraph" w:customStyle="1" w:styleId="29">
    <w:name w:val="发布日期"/>
    <w:qFormat/>
    <w:uiPriority w:val="0"/>
    <w:rPr>
      <w:rFonts w:ascii="Times New Roman" w:hAnsi="Times New Roman" w:eastAsia="黑体" w:cs="Times New Roman"/>
      <w:sz w:val="28"/>
      <w:lang w:val="en-US" w:eastAsia="zh-CN" w:bidi="ar-SA"/>
    </w:rPr>
  </w:style>
  <w:style w:type="paragraph" w:customStyle="1" w:styleId="30">
    <w:name w:val="_Style 37"/>
    <w:basedOn w:val="1"/>
    <w:next w:val="7"/>
    <w:qFormat/>
    <w:uiPriority w:val="0"/>
    <w:pPr>
      <w:spacing w:after="120"/>
    </w:pPr>
  </w:style>
  <w:style w:type="paragraph" w:customStyle="1" w:styleId="31">
    <w:name w:val="正文表标题"/>
    <w:next w:val="32"/>
    <w:qFormat/>
    <w:uiPriority w:val="0"/>
    <w:pPr>
      <w:ind w:left="4680"/>
      <w:jc w:val="center"/>
    </w:pPr>
    <w:rPr>
      <w:rFonts w:ascii="黑体" w:hAnsi="Times New Roman" w:eastAsia="黑体" w:cs="Times New Roman"/>
      <w:sz w:val="21"/>
      <w:lang w:val="en-US" w:eastAsia="zh-CN" w:bidi="ar-SA"/>
    </w:rPr>
  </w:style>
  <w:style w:type="paragraph" w:customStyle="1" w:styleId="32">
    <w:name w:val="段"/>
    <w:link w:val="6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4">
    <w:name w:val="附录五级条标题"/>
    <w:basedOn w:val="35"/>
    <w:next w:val="32"/>
    <w:qFormat/>
    <w:uiPriority w:val="0"/>
    <w:pPr>
      <w:outlineLvl w:val="6"/>
    </w:pPr>
  </w:style>
  <w:style w:type="paragraph" w:customStyle="1" w:styleId="35">
    <w:name w:val="附录四级条标题"/>
    <w:basedOn w:val="36"/>
    <w:next w:val="32"/>
    <w:qFormat/>
    <w:uiPriority w:val="0"/>
    <w:pPr>
      <w:outlineLvl w:val="5"/>
    </w:pPr>
  </w:style>
  <w:style w:type="paragraph" w:customStyle="1" w:styleId="36">
    <w:name w:val="附录三级条标题"/>
    <w:basedOn w:val="37"/>
    <w:next w:val="32"/>
    <w:qFormat/>
    <w:uiPriority w:val="0"/>
    <w:pPr>
      <w:outlineLvl w:val="4"/>
    </w:pPr>
  </w:style>
  <w:style w:type="paragraph" w:customStyle="1" w:styleId="37">
    <w:name w:val="附录二级条标题"/>
    <w:basedOn w:val="38"/>
    <w:next w:val="32"/>
    <w:qFormat/>
    <w:uiPriority w:val="0"/>
    <w:pPr>
      <w:outlineLvl w:val="3"/>
    </w:pPr>
  </w:style>
  <w:style w:type="paragraph" w:customStyle="1" w:styleId="38">
    <w:name w:val="附录一级条标题"/>
    <w:basedOn w:val="39"/>
    <w:next w:val="32"/>
    <w:qFormat/>
    <w:uiPriority w:val="0"/>
    <w:pPr>
      <w:autoSpaceDN w:val="0"/>
      <w:spacing w:beforeLines="0" w:afterLines="0"/>
      <w:outlineLvl w:val="2"/>
    </w:pPr>
  </w:style>
  <w:style w:type="paragraph" w:customStyle="1" w:styleId="39">
    <w:name w:val="附录章标题"/>
    <w:next w:val="32"/>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40">
    <w:name w:val="二级条标题"/>
    <w:basedOn w:val="41"/>
    <w:next w:val="32"/>
    <w:qFormat/>
    <w:uiPriority w:val="0"/>
    <w:pPr>
      <w:outlineLvl w:val="3"/>
    </w:pPr>
  </w:style>
  <w:style w:type="paragraph" w:customStyle="1" w:styleId="41">
    <w:name w:val="一级条标题"/>
    <w:basedOn w:val="42"/>
    <w:next w:val="32"/>
    <w:qFormat/>
    <w:uiPriority w:val="0"/>
    <w:pPr>
      <w:spacing w:beforeLines="0" w:afterLines="0"/>
      <w:outlineLvl w:val="2"/>
    </w:pPr>
  </w:style>
  <w:style w:type="paragraph" w:customStyle="1" w:styleId="42">
    <w:name w:val="章标题"/>
    <w:next w:val="32"/>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4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4">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5">
    <w:name w:val="目次、标准名称标题"/>
    <w:basedOn w:val="46"/>
    <w:next w:val="32"/>
    <w:qFormat/>
    <w:uiPriority w:val="99"/>
    <w:pPr>
      <w:spacing w:line="460" w:lineRule="exact"/>
    </w:pPr>
  </w:style>
  <w:style w:type="paragraph" w:customStyle="1" w:styleId="4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7">
    <w:name w:val="三级条标题"/>
    <w:basedOn w:val="40"/>
    <w:next w:val="32"/>
    <w:qFormat/>
    <w:uiPriority w:val="0"/>
    <w:pPr>
      <w:outlineLvl w:val="4"/>
    </w:pPr>
  </w:style>
  <w:style w:type="paragraph" w:customStyle="1" w:styleId="48">
    <w:name w:val="四级条标题"/>
    <w:basedOn w:val="47"/>
    <w:next w:val="32"/>
    <w:qFormat/>
    <w:uiPriority w:val="0"/>
    <w:pPr>
      <w:outlineLvl w:val="5"/>
    </w:pPr>
  </w:style>
  <w:style w:type="paragraph" w:customStyle="1" w:styleId="49">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50">
    <w:name w:val="五级条标题"/>
    <w:basedOn w:val="48"/>
    <w:next w:val="32"/>
    <w:qFormat/>
    <w:uiPriority w:val="0"/>
    <w:pPr>
      <w:outlineLvl w:val="6"/>
    </w:pPr>
  </w:style>
  <w:style w:type="paragraph" w:customStyle="1" w:styleId="5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2">
    <w:name w:val="标准书眉_偶数页"/>
    <w:basedOn w:val="53"/>
    <w:next w:val="1"/>
    <w:qFormat/>
    <w:uiPriority w:val="0"/>
    <w:pPr>
      <w:tabs>
        <w:tab w:val="center" w:pos="4154"/>
        <w:tab w:val="right" w:pos="8306"/>
      </w:tabs>
      <w:jc w:val="left"/>
    </w:pPr>
  </w:style>
  <w:style w:type="paragraph" w:customStyle="1" w:styleId="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4">
    <w:name w:val="篇"/>
    <w:basedOn w:val="1"/>
    <w:next w:val="1"/>
    <w:qFormat/>
    <w:uiPriority w:val="0"/>
    <w:pPr>
      <w:adjustRightInd w:val="0"/>
      <w:spacing w:line="360" w:lineRule="atLeast"/>
      <w:jc w:val="center"/>
      <w:textAlignment w:val="baseline"/>
    </w:pPr>
    <w:rPr>
      <w:rFonts w:eastAsia="黑体"/>
      <w:kern w:val="0"/>
      <w:sz w:val="24"/>
    </w:rPr>
  </w:style>
  <w:style w:type="paragraph" w:customStyle="1" w:styleId="5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6">
    <w:name w:val="封面标准号1"/>
    <w:qFormat/>
    <w:uiPriority w:val="0"/>
    <w:pPr>
      <w:widowControl w:val="0"/>
      <w:kinsoku w:val="0"/>
      <w:overflowPunct w:val="0"/>
      <w:autoSpaceDE w:val="0"/>
      <w:autoSpaceDN w:val="0"/>
      <w:spacing w:before="100" w:beforeAutospacing="1" w:after="100" w:afterAutospacing="1"/>
      <w:jc w:val="right"/>
      <w:textAlignment w:val="center"/>
    </w:pPr>
    <w:rPr>
      <w:rFonts w:ascii="Times New Roman" w:hAnsi="Times New Roman" w:eastAsia="宋体" w:cs="Times New Roman"/>
      <w:sz w:val="28"/>
      <w:lang w:val="en-US" w:eastAsia="zh-CN" w:bidi="ar-SA"/>
    </w:rPr>
  </w:style>
  <w:style w:type="paragraph" w:customStyle="1" w:styleId="5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8">
    <w:name w:val="封面正文"/>
    <w:qFormat/>
    <w:uiPriority w:val="0"/>
    <w:pPr>
      <w:jc w:val="both"/>
    </w:pPr>
    <w:rPr>
      <w:rFonts w:ascii="Times New Roman" w:hAnsi="Times New Roman" w:eastAsia="宋体" w:cs="Times New Roman"/>
      <w:lang w:val="en-US" w:eastAsia="zh-CN" w:bidi="ar-SA"/>
    </w:rPr>
  </w:style>
  <w:style w:type="paragraph" w:customStyle="1" w:styleId="59">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0">
    <w:name w:val="附录标识"/>
    <w:basedOn w:val="46"/>
    <w:qFormat/>
    <w:uiPriority w:val="0"/>
    <w:pPr>
      <w:tabs>
        <w:tab w:val="left" w:pos="6405"/>
      </w:tabs>
      <w:spacing w:after="200"/>
    </w:pPr>
    <w:rPr>
      <w:sz w:val="21"/>
    </w:rPr>
  </w:style>
  <w:style w:type="paragraph" w:customStyle="1" w:styleId="61">
    <w:name w:val="发布部门"/>
    <w:next w:val="32"/>
    <w:qFormat/>
    <w:uiPriority w:val="0"/>
    <w:pPr>
      <w:jc w:val="center"/>
    </w:pPr>
    <w:rPr>
      <w:rFonts w:ascii="宋体" w:hAnsi="Times New Roman" w:eastAsia="宋体" w:cs="Times New Roman"/>
      <w:b/>
      <w:spacing w:val="20"/>
      <w:w w:val="135"/>
      <w:sz w:val="36"/>
      <w:lang w:val="en-US" w:eastAsia="zh-CN" w:bidi="ar-SA"/>
    </w:rPr>
  </w:style>
  <w:style w:type="paragraph" w:customStyle="1" w:styleId="6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64">
    <w:name w:val="标准书眉一"/>
    <w:qFormat/>
    <w:uiPriority w:val="0"/>
    <w:pPr>
      <w:jc w:val="both"/>
    </w:pPr>
    <w:rPr>
      <w:rFonts w:ascii="Times New Roman" w:hAnsi="Times New Roman" w:eastAsia="宋体" w:cs="Times New Roman"/>
      <w:lang w:val="en-US" w:eastAsia="zh-CN" w:bidi="ar-SA"/>
    </w:rPr>
  </w:style>
  <w:style w:type="character" w:styleId="65">
    <w:name w:val="Placeholder Text"/>
    <w:basedOn w:val="18"/>
    <w:unhideWhenUsed/>
    <w:qFormat/>
    <w:uiPriority w:val="99"/>
    <w:rPr>
      <w:color w:val="808080"/>
    </w:rPr>
  </w:style>
  <w:style w:type="character" w:customStyle="1" w:styleId="66">
    <w:name w:val="apple-converted-space"/>
    <w:basedOn w:val="18"/>
    <w:qFormat/>
    <w:uiPriority w:val="0"/>
  </w:style>
  <w:style w:type="character" w:customStyle="1" w:styleId="67">
    <w:name w:val="段 Char"/>
    <w:link w:val="32"/>
    <w:qFormat/>
    <w:uiPriority w:val="0"/>
    <w:rPr>
      <w:rFonts w:ascii="宋体"/>
      <w:sz w:val="21"/>
    </w:rPr>
  </w:style>
  <w:style w:type="paragraph" w:customStyle="1" w:styleId="68">
    <w:name w:val="Body text|2"/>
    <w:basedOn w:val="1"/>
    <w:link w:val="70"/>
    <w:qFormat/>
    <w:uiPriority w:val="0"/>
    <w:pPr>
      <w:shd w:val="clear" w:color="auto" w:fill="FFFFFF"/>
      <w:spacing w:after="3760" w:line="222" w:lineRule="exact"/>
      <w:jc w:val="right"/>
    </w:pPr>
    <w:rPr>
      <w:rFonts w:ascii="PMingLiU" w:hAnsi="PMingLiU" w:eastAsia="PMingLiU" w:cs="PMingLiU"/>
      <w:spacing w:val="20"/>
      <w:sz w:val="18"/>
      <w:szCs w:val="18"/>
    </w:rPr>
  </w:style>
  <w:style w:type="character" w:customStyle="1" w:styleId="69">
    <w:name w:val="Body text|2 + Times New Roman"/>
    <w:basedOn w:val="70"/>
    <w:unhideWhenUsed/>
    <w:qFormat/>
    <w:uiPriority w:val="0"/>
    <w:rPr>
      <w:rFonts w:ascii="Times New Roman" w:hAnsi="Times New Roman" w:eastAsia="Times New Roman" w:cs="Times New Roman"/>
      <w:color w:val="000000"/>
      <w:spacing w:val="10"/>
      <w:w w:val="100"/>
      <w:position w:val="0"/>
      <w:sz w:val="20"/>
      <w:szCs w:val="20"/>
      <w:u w:val="none"/>
      <w:lang w:val="en-US" w:eastAsia="en-US" w:bidi="en-US"/>
    </w:rPr>
  </w:style>
  <w:style w:type="character" w:customStyle="1" w:styleId="70">
    <w:name w:val="Body text|2_"/>
    <w:basedOn w:val="18"/>
    <w:link w:val="68"/>
    <w:qFormat/>
    <w:uiPriority w:val="0"/>
    <w:rPr>
      <w:rFonts w:ascii="PMingLiU" w:hAnsi="PMingLiU" w:eastAsia="PMingLiU" w:cs="PMingLiU"/>
      <w:spacing w:val="20"/>
      <w:sz w:val="18"/>
      <w:szCs w:val="18"/>
      <w:u w:val="none"/>
    </w:rPr>
  </w:style>
  <w:style w:type="paragraph" w:customStyle="1" w:styleId="71">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72">
    <w:name w:val="尾注文本 字符"/>
    <w:basedOn w:val="18"/>
    <w:link w:val="2"/>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305290-B8CF-4C27-881B-2058DD9FE0DA}">
  <ds:schemaRefs/>
</ds:datastoreItem>
</file>

<file path=docProps/app.xml><?xml version="1.0" encoding="utf-8"?>
<Properties xmlns="http://schemas.openxmlformats.org/officeDocument/2006/extended-properties" xmlns:vt="http://schemas.openxmlformats.org/officeDocument/2006/docPropsVTypes">
  <Template>Normal.dotm</Template>
  <Company>mgl</Company>
  <Pages>7</Pages>
  <Words>2714</Words>
  <Characters>3272</Characters>
  <Lines>23</Lines>
  <Paragraphs>6</Paragraphs>
  <TotalTime>23</TotalTime>
  <ScaleCrop>false</ScaleCrop>
  <LinksUpToDate>false</LinksUpToDate>
  <CharactersWithSpaces>3498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2020-07-28T07:18:00Z</dcterms:created>
  <dc:creator>mgl</dc:creator>
  <cp:lastModifiedBy>王志刚</cp:lastModifiedBy>
  <cp:lastPrinted>2024-06-13T05:10:00Z</cp:lastPrinted>
  <dcterms:modified xsi:type="dcterms:W3CDTF">2024-06-14T03:14:17Z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548E03245F4F4B3095379CB4E653E285</vt:lpwstr>
  </property>
</Properties>
</file>