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rPr>
          <w:sz w:val="24"/>
          <w:szCs w:val="24"/>
        </w:rPr>
      </w:pPr>
      <w:bookmarkStart w:id="0" w:name="SectionMark0"/>
      <w:bookmarkStart w:id="1" w:name="SectionMark4"/>
      <w:r>
        <w:rPr>
          <w:sz w:val="24"/>
          <w:szCs w:val="24"/>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有色金属行业数字温度指示调节仪校准规范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有色金属行业数字温度指示调节仪校准规范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bookmarkStart w:id="47" w:name="_GoBack"/>
      <w:bookmarkEnd w:id="47"/>
      <w:r>
        <w:rPr>
          <w:sz w:val="24"/>
          <w:szCs w:val="24"/>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ascii="黑体" w:hAnsi="黑体" w:eastAsia="黑体"/>
                                <w:sz w:val="36"/>
                                <w:szCs w:val="36"/>
                              </w:rPr>
                            </w:pPr>
                            <w:r>
                              <w:rPr>
                                <w:rFonts w:hint="eastAsia" w:ascii="黑体" w:hAnsi="黑体" w:eastAsia="黑体"/>
                                <w:sz w:val="36"/>
                                <w:szCs w:val="36"/>
                                <w:lang w:val="en-US" w:eastAsia="zh-CN"/>
                              </w:rPr>
                              <w:t>讨论稿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24-5</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6"/>
                        <w:spacing w:before="600"/>
                        <w:rPr>
                          <w:rFonts w:ascii="黑体" w:hAnsi="黑体" w:eastAsia="黑体"/>
                          <w:sz w:val="36"/>
                          <w:szCs w:val="36"/>
                        </w:rPr>
                      </w:pPr>
                      <w:r>
                        <w:rPr>
                          <w:rFonts w:hint="eastAsia" w:ascii="黑体" w:hAnsi="黑体" w:eastAsia="黑体"/>
                          <w:sz w:val="36"/>
                          <w:szCs w:val="36"/>
                          <w:lang w:val="en-US" w:eastAsia="zh-CN"/>
                        </w:rPr>
                        <w:t>讨论稿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24-5</w:t>
                      </w:r>
                    </w:p>
                  </w:txbxContent>
                </v:textbox>
                <w10:anchorlock/>
              </v:rect>
            </w:pict>
          </mc:Fallback>
        </mc:AlternateContent>
      </w:r>
      <w:r>
        <w:rPr>
          <w:sz w:val="24"/>
          <w:szCs w:val="24"/>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spacing w:line="360" w:lineRule="auto"/>
                              <w:rPr>
                                <w:rFonts w:hint="default" w:hAnsi="黑体" w:eastAsia="黑体" w:cs="黑体"/>
                                <w:sz w:val="44"/>
                                <w:szCs w:val="44"/>
                                <w:lang w:val="en-US" w:eastAsia="zh-CN"/>
                              </w:rPr>
                            </w:pPr>
                            <w:bookmarkStart w:id="46"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46"/>
                          <w:p>
                            <w:pPr>
                              <w:spacing w:line="360" w:lineRule="auto"/>
                              <w:jc w:val="center"/>
                              <w:rPr>
                                <w:rFonts w:ascii="黑体" w:hAnsi="黑体" w:eastAsia="黑体" w:cs="黑体"/>
                                <w:sz w:val="44"/>
                                <w:szCs w:val="44"/>
                              </w:rPr>
                            </w:pPr>
                            <w:r>
                              <w:rPr>
                                <w:rFonts w:hint="eastAsia" w:ascii="Franklin Gothic Medium" w:hAnsi="Franklin Gothic Medium" w:eastAsia="黑体"/>
                                <w:color w:val="000000"/>
                                <w:kern w:val="36"/>
                                <w:sz w:val="44"/>
                                <w:szCs w:val="44"/>
                                <w:lang w:val="en-US" w:eastAsia="zh-CN"/>
                              </w:rPr>
                              <w:t xml:space="preserve">有色金属行业数字温度指示调节仪校准规范    </w:t>
                            </w: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4"/>
                        <w:spacing w:line="360" w:lineRule="auto"/>
                        <w:rPr>
                          <w:rFonts w:hint="default" w:hAnsi="黑体" w:eastAsia="黑体" w:cs="黑体"/>
                          <w:sz w:val="44"/>
                          <w:szCs w:val="44"/>
                          <w:lang w:val="en-US" w:eastAsia="zh-CN"/>
                        </w:rPr>
                      </w:pPr>
                      <w:bookmarkStart w:id="46" w:name="_Hlk23687263"/>
                      <w:r>
                        <w:rPr>
                          <w:rFonts w:hint="eastAsia" w:hAnsi="黑体" w:cs="黑体"/>
                          <w:sz w:val="44"/>
                          <w:szCs w:val="44"/>
                        </w:rPr>
                        <w:t xml:space="preserve"> JJF（有色金属）</w:t>
                      </w:r>
                      <w:r>
                        <w:rPr>
                          <w:rFonts w:hint="eastAsia" w:hAnsi="黑体" w:cs="黑体"/>
                          <w:sz w:val="44"/>
                          <w:szCs w:val="44"/>
                          <w:lang w:val="en-US" w:eastAsia="zh-CN"/>
                        </w:rPr>
                        <w:t>XXX</w:t>
                      </w:r>
                      <w:r>
                        <w:rPr>
                          <w:rFonts w:hint="eastAsia" w:hAnsi="黑体" w:cs="黑体"/>
                          <w:sz w:val="44"/>
                          <w:szCs w:val="44"/>
                        </w:rPr>
                        <w:t>—</w:t>
                      </w:r>
                      <w:r>
                        <w:rPr>
                          <w:rFonts w:hint="eastAsia" w:hAnsi="黑体" w:cs="黑体"/>
                          <w:sz w:val="44"/>
                          <w:szCs w:val="44"/>
                          <w:lang w:val="en-US" w:eastAsia="zh-CN"/>
                        </w:rPr>
                        <w:t>XXXX</w:t>
                      </w:r>
                    </w:p>
                    <w:bookmarkEnd w:id="46"/>
                    <w:p>
                      <w:pPr>
                        <w:spacing w:line="360" w:lineRule="auto"/>
                        <w:jc w:val="center"/>
                        <w:rPr>
                          <w:rFonts w:ascii="黑体" w:hAnsi="黑体" w:eastAsia="黑体" w:cs="黑体"/>
                          <w:sz w:val="44"/>
                          <w:szCs w:val="44"/>
                        </w:rPr>
                      </w:pPr>
                      <w:r>
                        <w:rPr>
                          <w:rFonts w:hint="eastAsia" w:ascii="Franklin Gothic Medium" w:hAnsi="Franklin Gothic Medium" w:eastAsia="黑体"/>
                          <w:color w:val="000000"/>
                          <w:kern w:val="36"/>
                          <w:sz w:val="44"/>
                          <w:szCs w:val="44"/>
                          <w:lang w:val="en-US" w:eastAsia="zh-CN"/>
                        </w:rPr>
                        <w:t xml:space="preserve">有色金属行业数字温度指示调节仪校准规范    </w:t>
                      </w: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sz w:val="24"/>
          <w:szCs w:val="24"/>
        </w:rPr>
      </w:pPr>
    </w:p>
    <w:p>
      <w:pPr>
        <w:pStyle w:val="57"/>
        <w:ind w:firstLine="420"/>
        <w:rPr>
          <w:sz w:val="24"/>
          <w:szCs w:val="24"/>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rPr>
          <w:sz w:val="24"/>
          <w:szCs w:val="24"/>
        </w:rPr>
      </w:pPr>
      <w:bookmarkStart w:id="2" w:name="_Toc464728891"/>
      <w:r>
        <w:rPr>
          <w:rFonts w:hint="eastAsia"/>
          <w:sz w:val="24"/>
          <w:szCs w:val="24"/>
        </w:rPr>
        <w:t>工作简况</w:t>
      </w:r>
      <w:bookmarkEnd w:id="2"/>
    </w:p>
    <w:p>
      <w:pPr>
        <w:pStyle w:val="60"/>
        <w:spacing w:before="156" w:after="156" w:line="300" w:lineRule="auto"/>
        <w:ind w:left="0"/>
        <w:contextualSpacing/>
        <w:rPr>
          <w:sz w:val="24"/>
          <w:szCs w:val="24"/>
        </w:rPr>
      </w:pPr>
      <w:bookmarkStart w:id="3" w:name="_Toc456592524"/>
      <w:bookmarkStart w:id="4" w:name="_Toc464728892"/>
      <w:r>
        <w:rPr>
          <w:rFonts w:hint="eastAsia"/>
          <w:sz w:val="24"/>
          <w:szCs w:val="24"/>
        </w:rPr>
        <w:t>立项目的</w:t>
      </w:r>
      <w:bookmarkEnd w:id="3"/>
      <w:bookmarkEnd w:id="4"/>
    </w:p>
    <w:p>
      <w:pPr>
        <w:spacing w:line="360" w:lineRule="auto"/>
        <w:ind w:firstLine="480" w:firstLineChars="200"/>
        <w:rPr>
          <w:rFonts w:hint="default"/>
          <w:sz w:val="24"/>
          <w:szCs w:val="24"/>
          <w:lang w:val="en-US" w:eastAsia="zh-CN"/>
        </w:rPr>
      </w:pPr>
      <w:bookmarkStart w:id="5" w:name="_Toc23784544"/>
      <w:bookmarkStart w:id="6" w:name="_Toc23785536"/>
      <w:bookmarkStart w:id="7" w:name="_Toc23784642"/>
      <w:bookmarkStart w:id="8" w:name="_Toc23785216"/>
      <w:bookmarkStart w:id="9" w:name="_Toc28098"/>
      <w:r>
        <w:rPr>
          <w:rFonts w:hint="default"/>
          <w:sz w:val="24"/>
          <w:szCs w:val="24"/>
          <w:lang w:val="en-US" w:eastAsia="zh-CN"/>
        </w:rPr>
        <w:t>JJG 617-1996数字温度指示调节仪检定规程中对校准温度点的绝对误差范围就目前市场上常见的温度指示调节仪过于宽泛。（常见的温度指示调节仪范围（-200~1600）℃，基本误差公式：△=±a%FS。以0.1级为例，1800℃×0.1%=1.8℃）</w:t>
      </w:r>
    </w:p>
    <w:p>
      <w:pPr>
        <w:spacing w:line="360" w:lineRule="auto"/>
        <w:ind w:firstLine="480" w:firstLineChars="200"/>
        <w:rPr>
          <w:rFonts w:hint="eastAsia"/>
          <w:sz w:val="24"/>
          <w:szCs w:val="24"/>
        </w:rPr>
      </w:pPr>
      <w:r>
        <w:rPr>
          <w:rFonts w:hint="default"/>
          <w:sz w:val="24"/>
          <w:szCs w:val="24"/>
          <w:lang w:val="en-US" w:eastAsia="zh-CN"/>
        </w:rPr>
        <w:t>编制数字温度指示调节仪校准规范主要为了满足AMS 2750、GB/T228.2等标准的要求，对原规程中温度部分进行详细阐述和规范</w:t>
      </w:r>
      <w:bookmarkEnd w:id="5"/>
      <w:bookmarkEnd w:id="6"/>
      <w:bookmarkEnd w:id="7"/>
      <w:bookmarkEnd w:id="8"/>
      <w:bookmarkEnd w:id="9"/>
      <w:r>
        <w:rPr>
          <w:rFonts w:hint="eastAsia"/>
          <w:sz w:val="24"/>
          <w:szCs w:val="24"/>
          <w:lang w:val="en-US" w:eastAsia="zh-CN"/>
        </w:rPr>
        <w:t>。科学的校准规范能明确规范校准操作并确保校准结果的准确性，便于提升该仪器的产品质量水平，对有色金属产业升级起到积极作用</w:t>
      </w:r>
      <w:r>
        <w:rPr>
          <w:rFonts w:hint="eastAsia"/>
          <w:sz w:val="24"/>
          <w:szCs w:val="24"/>
        </w:rPr>
        <w:t>。</w:t>
      </w:r>
    </w:p>
    <w:p>
      <w:pPr>
        <w:pStyle w:val="60"/>
        <w:spacing w:before="156" w:after="156" w:line="300" w:lineRule="auto"/>
        <w:ind w:left="0"/>
        <w:contextualSpacing/>
        <w:rPr>
          <w:sz w:val="24"/>
          <w:szCs w:val="24"/>
        </w:rPr>
      </w:pPr>
      <w:bookmarkStart w:id="10" w:name="_Toc464728896"/>
      <w:r>
        <w:rPr>
          <w:rFonts w:hint="eastAsia"/>
          <w:sz w:val="24"/>
          <w:szCs w:val="24"/>
        </w:rPr>
        <w:t>任务来源</w:t>
      </w:r>
      <w:bookmarkEnd w:id="10"/>
    </w:p>
    <w:p>
      <w:pPr>
        <w:spacing w:line="300" w:lineRule="auto"/>
        <w:ind w:firstLine="480" w:firstLineChars="200"/>
        <w:contextualSpacing/>
        <w:jc w:val="left"/>
        <w:rPr>
          <w:sz w:val="24"/>
          <w:szCs w:val="24"/>
        </w:rPr>
      </w:pPr>
      <w:r>
        <w:rPr>
          <w:rFonts w:hint="eastAsia"/>
          <w:sz w:val="24"/>
          <w:szCs w:val="24"/>
        </w:rPr>
        <w:t>为保证和提升我国</w:t>
      </w:r>
      <w:r>
        <w:rPr>
          <w:rFonts w:hint="eastAsia"/>
          <w:sz w:val="24"/>
          <w:szCs w:val="24"/>
          <w:lang w:val="en-US" w:eastAsia="zh-CN"/>
        </w:rPr>
        <w:t>摩擦、磨损和磨耗试验机</w:t>
      </w:r>
      <w:r>
        <w:rPr>
          <w:rFonts w:hint="eastAsia"/>
          <w:sz w:val="24"/>
          <w:szCs w:val="24"/>
        </w:rPr>
        <w:t>试验数据的准确性产品质量，适应我国耐磨性能试验行业的快速发展和满足国内外市场的需要，工业和信息化部以工厅科[20</w:t>
      </w:r>
      <w:r>
        <w:rPr>
          <w:rFonts w:hint="eastAsia"/>
          <w:sz w:val="24"/>
          <w:szCs w:val="24"/>
          <w:lang w:val="en-US" w:eastAsia="zh-CN"/>
        </w:rPr>
        <w:t>23</w:t>
      </w:r>
      <w:r>
        <w:rPr>
          <w:rFonts w:hint="eastAsia"/>
          <w:sz w:val="24"/>
          <w:szCs w:val="24"/>
        </w:rPr>
        <w:t>]</w:t>
      </w:r>
      <w:r>
        <w:rPr>
          <w:rFonts w:hint="eastAsia"/>
          <w:sz w:val="24"/>
          <w:szCs w:val="24"/>
          <w:lang w:val="en-US" w:eastAsia="zh-CN"/>
        </w:rPr>
        <w:t>476</w:t>
      </w:r>
      <w:r>
        <w:rPr>
          <w:rFonts w:hint="eastAsia"/>
          <w:sz w:val="24"/>
          <w:szCs w:val="24"/>
        </w:rPr>
        <w:t>号文下达了《工业和信息化部办公厅关于印发202</w:t>
      </w:r>
      <w:r>
        <w:rPr>
          <w:rFonts w:hint="eastAsia"/>
          <w:sz w:val="24"/>
          <w:szCs w:val="24"/>
          <w:lang w:val="en-US" w:eastAsia="zh-CN"/>
        </w:rPr>
        <w:t>3</w:t>
      </w:r>
      <w:r>
        <w:rPr>
          <w:rFonts w:hint="eastAsia"/>
          <w:sz w:val="24"/>
          <w:szCs w:val="24"/>
        </w:rPr>
        <w:t>计量</w:t>
      </w:r>
      <w:r>
        <w:rPr>
          <w:rFonts w:hint="eastAsia"/>
          <w:sz w:val="24"/>
          <w:szCs w:val="24"/>
          <w:lang w:val="en-US" w:eastAsia="zh-CN"/>
        </w:rPr>
        <w:t>技术</w:t>
      </w:r>
      <w:r>
        <w:rPr>
          <w:rFonts w:hint="eastAsia"/>
          <w:sz w:val="24"/>
          <w:szCs w:val="24"/>
        </w:rPr>
        <w:t>规范制修订计划的通知》，其</w:t>
      </w:r>
      <w:r>
        <w:rPr>
          <w:rFonts w:hint="eastAsia"/>
          <w:sz w:val="24"/>
          <w:szCs w:val="24"/>
          <w:lang w:val="en-US" w:eastAsia="zh-CN"/>
        </w:rPr>
        <w:t>计划号</w:t>
      </w:r>
      <w:r>
        <w:rPr>
          <w:rFonts w:hint="eastAsia"/>
          <w:sz w:val="24"/>
          <w:szCs w:val="24"/>
        </w:rPr>
        <w:t>为：</w:t>
      </w:r>
      <w:r>
        <w:rPr>
          <w:rFonts w:hint="eastAsia"/>
          <w:sz w:val="24"/>
          <w:szCs w:val="24"/>
          <w:lang w:val="en-US" w:eastAsia="zh-CN"/>
        </w:rPr>
        <w:t>JJFZ（有色金属）008-2023</w:t>
      </w:r>
      <w:r>
        <w:rPr>
          <w:rFonts w:hint="eastAsia"/>
          <w:sz w:val="24"/>
          <w:szCs w:val="24"/>
        </w:rPr>
        <w:t>，计划完成年限为202</w:t>
      </w:r>
      <w:r>
        <w:rPr>
          <w:rFonts w:hint="eastAsia"/>
          <w:sz w:val="24"/>
          <w:szCs w:val="24"/>
          <w:lang w:val="en-US" w:eastAsia="zh-CN"/>
        </w:rPr>
        <w:t>5</w:t>
      </w:r>
      <w:r>
        <w:rPr>
          <w:rFonts w:hint="eastAsia"/>
          <w:sz w:val="24"/>
          <w:szCs w:val="24"/>
        </w:rPr>
        <w:t>年。</w:t>
      </w:r>
    </w:p>
    <w:p>
      <w:pPr>
        <w:pStyle w:val="60"/>
        <w:spacing w:before="156" w:after="156" w:line="300" w:lineRule="auto"/>
        <w:ind w:left="0"/>
        <w:contextualSpacing/>
        <w:rPr>
          <w:sz w:val="24"/>
          <w:szCs w:val="24"/>
        </w:rPr>
      </w:pPr>
      <w:bookmarkStart w:id="11" w:name="_Toc464728898"/>
      <w:bookmarkStart w:id="12" w:name="_Toc462884342"/>
      <w:r>
        <w:rPr>
          <w:rFonts w:hint="eastAsia"/>
          <w:sz w:val="24"/>
          <w:szCs w:val="24"/>
        </w:rPr>
        <w:t>项目编制组单位简况</w:t>
      </w:r>
      <w:bookmarkEnd w:id="11"/>
      <w:bookmarkEnd w:id="12"/>
    </w:p>
    <w:p>
      <w:pPr>
        <w:pStyle w:val="59"/>
        <w:spacing w:before="156" w:beforeLines="50" w:after="156" w:afterLines="50" w:line="240" w:lineRule="auto"/>
        <w:ind w:left="0"/>
        <w:rPr>
          <w:color w:val="auto"/>
          <w:sz w:val="24"/>
          <w:szCs w:val="24"/>
        </w:rPr>
      </w:pPr>
      <w:bookmarkStart w:id="13" w:name="_Toc464728899"/>
      <w:bookmarkStart w:id="14" w:name="_Toc462884343"/>
      <w:r>
        <w:rPr>
          <w:rFonts w:hint="eastAsia"/>
          <w:color w:val="auto"/>
          <w:sz w:val="24"/>
          <w:szCs w:val="24"/>
        </w:rPr>
        <w:t>编制组成员单位</w:t>
      </w:r>
      <w:bookmarkEnd w:id="13"/>
      <w:bookmarkEnd w:id="14"/>
    </w:p>
    <w:p>
      <w:pPr>
        <w:spacing w:line="300" w:lineRule="auto"/>
        <w:ind w:firstLine="480" w:firstLineChars="200"/>
        <w:contextualSpacing/>
        <w:jc w:val="left"/>
        <w:rPr>
          <w:sz w:val="24"/>
          <w:szCs w:val="24"/>
        </w:rPr>
      </w:pPr>
      <w:bookmarkStart w:id="15" w:name="_Toc462884344"/>
      <w:bookmarkStart w:id="16" w:name="_Toc464728900"/>
      <w:r>
        <w:rPr>
          <w:rFonts w:hint="eastAsia"/>
          <w:sz w:val="24"/>
          <w:szCs w:val="24"/>
        </w:rPr>
        <w:t>本标准的编制组单位为：国标（北京）检验认证有限公司、上海有色金属工业技术监测中心有限公司</w:t>
      </w:r>
      <w:r>
        <w:rPr>
          <w:rFonts w:hint="eastAsia"/>
          <w:sz w:val="24"/>
          <w:szCs w:val="24"/>
          <w:lang w:eastAsia="zh-CN"/>
        </w:rPr>
        <w:t>、国合通用（重庆）测试评价认证有限公司</w:t>
      </w:r>
      <w:r>
        <w:rPr>
          <w:rFonts w:hint="eastAsia"/>
          <w:sz w:val="24"/>
          <w:szCs w:val="24"/>
        </w:rPr>
        <w:t>。编制组成员单位均是我国有色金属行业的主要计量及科研研制单位。</w:t>
      </w:r>
    </w:p>
    <w:bookmarkEnd w:id="15"/>
    <w:bookmarkEnd w:id="16"/>
    <w:p>
      <w:pPr>
        <w:pStyle w:val="59"/>
        <w:spacing w:before="156" w:beforeLines="50" w:after="156" w:afterLines="50"/>
        <w:ind w:left="0"/>
        <w:contextualSpacing/>
        <w:rPr>
          <w:rFonts w:hAnsi="黑体"/>
          <w:color w:val="auto"/>
          <w:sz w:val="24"/>
          <w:szCs w:val="24"/>
        </w:rPr>
      </w:pPr>
      <w:r>
        <w:rPr>
          <w:rFonts w:hint="eastAsia" w:hAnsi="黑体"/>
          <w:color w:val="auto"/>
          <w:sz w:val="24"/>
          <w:szCs w:val="24"/>
        </w:rPr>
        <w:t>主编单位简介</w:t>
      </w:r>
    </w:p>
    <w:p>
      <w:pPr>
        <w:pStyle w:val="58"/>
        <w:spacing w:before="156" w:beforeLines="50" w:after="156" w:afterLines="50"/>
        <w:ind w:left="0" w:leftChars="0" w:firstLineChars="0"/>
        <w:contextualSpacing/>
        <w:rPr>
          <w:color w:val="auto"/>
          <w:sz w:val="24"/>
          <w:szCs w:val="24"/>
        </w:rPr>
      </w:pPr>
      <w:r>
        <w:rPr>
          <w:rFonts w:hint="eastAsia"/>
          <w:color w:val="auto"/>
          <w:sz w:val="24"/>
          <w:szCs w:val="24"/>
        </w:rPr>
        <w:t>国标（北京）检验认证有限公司</w:t>
      </w:r>
    </w:p>
    <w:p>
      <w:pPr>
        <w:spacing w:line="300" w:lineRule="auto"/>
        <w:ind w:firstLine="480" w:firstLineChars="200"/>
        <w:contextualSpacing/>
        <w:jc w:val="left"/>
        <w:rPr>
          <w:sz w:val="24"/>
          <w:szCs w:val="24"/>
        </w:rPr>
      </w:pPr>
      <w:r>
        <w:rPr>
          <w:rFonts w:hint="eastAsia"/>
          <w:sz w:val="24"/>
          <w:szCs w:val="24"/>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00" w:lineRule="auto"/>
        <w:ind w:firstLine="480" w:firstLineChars="200"/>
        <w:contextualSpacing/>
        <w:jc w:val="left"/>
        <w:rPr>
          <w:sz w:val="24"/>
          <w:szCs w:val="24"/>
        </w:rPr>
      </w:pPr>
      <w:r>
        <w:rPr>
          <w:rFonts w:hint="eastAsia"/>
          <w:sz w:val="24"/>
          <w:szCs w:val="24"/>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pPr>
        <w:spacing w:line="300" w:lineRule="auto"/>
        <w:ind w:firstLine="480" w:firstLineChars="200"/>
        <w:contextualSpacing/>
        <w:jc w:val="left"/>
        <w:rPr>
          <w:sz w:val="24"/>
          <w:szCs w:val="24"/>
        </w:rPr>
      </w:pPr>
      <w:r>
        <w:rPr>
          <w:rFonts w:hint="eastAsia"/>
          <w:sz w:val="24"/>
          <w:szCs w:val="24"/>
        </w:rPr>
        <w:t>本单位积极组织编制组各次工作会议，开展相关的校准，有效组织参编单位多次对标准的各版《征求意见稿》进行认真的讨论和审议，提出大量有益的意见和建议，在编制组中发挥了牵头作用。</w:t>
      </w:r>
    </w:p>
    <w:p>
      <w:pPr>
        <w:pStyle w:val="59"/>
        <w:spacing w:before="156" w:beforeLines="50" w:after="156" w:afterLines="50" w:line="240" w:lineRule="auto"/>
        <w:ind w:left="0"/>
        <w:rPr>
          <w:color w:val="auto"/>
          <w:sz w:val="24"/>
          <w:szCs w:val="24"/>
        </w:rPr>
      </w:pPr>
      <w:bookmarkStart w:id="17" w:name="_Toc462884345"/>
      <w:bookmarkStart w:id="18" w:name="_Toc464728901"/>
      <w:r>
        <w:rPr>
          <w:rFonts w:hint="eastAsia"/>
          <w:color w:val="auto"/>
          <w:sz w:val="24"/>
          <w:szCs w:val="24"/>
        </w:rPr>
        <w:t>成员单位简介</w:t>
      </w:r>
      <w:bookmarkEnd w:id="17"/>
      <w:bookmarkEnd w:id="18"/>
    </w:p>
    <w:p>
      <w:pPr>
        <w:pStyle w:val="58"/>
        <w:spacing w:before="156" w:beforeLines="50" w:after="156" w:afterLines="50"/>
        <w:ind w:left="2"/>
        <w:contextualSpacing/>
        <w:rPr>
          <w:color w:val="auto"/>
          <w:sz w:val="24"/>
          <w:szCs w:val="24"/>
        </w:rPr>
      </w:pPr>
      <w:r>
        <w:rPr>
          <w:rFonts w:hint="eastAsia"/>
          <w:color w:val="auto"/>
          <w:sz w:val="24"/>
          <w:szCs w:val="24"/>
        </w:rPr>
        <w:t>广东省工业分析检测中心</w:t>
      </w:r>
    </w:p>
    <w:p>
      <w:pPr>
        <w:spacing w:line="300" w:lineRule="auto"/>
        <w:ind w:firstLine="480" w:firstLineChars="200"/>
        <w:contextualSpacing/>
        <w:jc w:val="left"/>
        <w:rPr>
          <w:sz w:val="24"/>
          <w:szCs w:val="24"/>
        </w:rPr>
      </w:pPr>
      <w:r>
        <w:rPr>
          <w:rFonts w:hint="eastAsia"/>
          <w:sz w:val="24"/>
          <w:szCs w:val="24"/>
          <w:lang w:val="en-US" w:eastAsia="zh-CN"/>
        </w:rPr>
        <w:t>广东省科学院工业分析检测中心（原广东省工业分析检测中心）是我国从事金属材料、冶金产品、化工产品、再生资源质量检测、欧盟环保（RoHS）指令的有害物质检测、金属材料综合利用检测与咨询、评价以及分析测试技术研究的专业机构。</w:t>
      </w:r>
      <w:r>
        <w:rPr>
          <w:sz w:val="24"/>
          <w:szCs w:val="24"/>
          <w:lang w:val="en-US" w:eastAsia="zh-CN"/>
        </w:rPr>
        <w:t xml:space="preserve"> </w:t>
      </w:r>
    </w:p>
    <w:p>
      <w:pPr>
        <w:spacing w:line="300" w:lineRule="auto"/>
        <w:ind w:firstLine="480" w:firstLineChars="200"/>
        <w:contextualSpacing/>
        <w:jc w:val="left"/>
        <w:rPr>
          <w:sz w:val="24"/>
          <w:szCs w:val="24"/>
        </w:rPr>
      </w:pPr>
      <w:r>
        <w:rPr>
          <w:rFonts w:hint="eastAsia"/>
          <w:sz w:val="24"/>
          <w:szCs w:val="24"/>
          <w:lang w:val="en-US" w:eastAsia="zh-CN"/>
        </w:rPr>
        <w:t xml:space="preserve">    中心始建于1971 年，先后隶属于广州有色金属研究院、广东省工业技术研究院（广州有色金属研究院），2015年12月经广东省机构编制委员会批准成为广东省科学院属下的独立二级事业法人单位。 </w:t>
      </w:r>
    </w:p>
    <w:p>
      <w:pPr>
        <w:spacing w:line="300" w:lineRule="auto"/>
        <w:contextualSpacing/>
        <w:jc w:val="left"/>
        <w:rPr>
          <w:sz w:val="24"/>
          <w:szCs w:val="24"/>
        </w:rPr>
      </w:pPr>
      <w:r>
        <w:rPr>
          <w:rFonts w:hint="eastAsia"/>
          <w:sz w:val="24"/>
          <w:szCs w:val="24"/>
          <w:lang w:val="en-US" w:eastAsia="zh-CN"/>
        </w:rPr>
        <w:t xml:space="preserve">1988 年经原国家进出口商品检验局考核，认可为“钢材及有色金属商检实验室”，是我国第一批被认可的从事进出口商品检验的社会实验室。 1988 年通过国家和省级计量认证，被确认为法定的产品质量监督检验机构，授权为“中国有色金属工业华南产品质量监督检验中心”和“广东省质量监督有色金属产品检验站”。 1989 年经广东省科委批准为“广东省科技成果鉴定检验监督机构”。 1994 年通过中国实验室国家认可委员会认可，是我国第一批公布的60个获得国家认可和国际互认的实验室之一。1996 年被中国方圆标志认证委员会确认为认证产品检验实验室。2006 年12月在广东省科技厅的支持下建立起“广东省金属材料综合利用检测与评价中心”。2008 年由中国质量认证中心确认为认证产品检验实验室。2010 年10 月25 日由中国工业和信息化部批准成立“工业（有色金属及再生有色金属）产品质量控制和技术评价实验室”，2012 年4 月6 日获授牌。 2012 年被中国质量管理协会和全国用户委员会授予“全国用户满意服务”称号。多次被评为执行“商检法”和“质量法”的先进单位。2015 年7月6 日，“国家矿物及再生金属材料质量监督检验中心” 获得中国国家认证认可监督管理委员会的批复和授权。   </w:t>
      </w:r>
    </w:p>
    <w:p>
      <w:pPr>
        <w:spacing w:line="300" w:lineRule="auto"/>
        <w:ind w:firstLine="480" w:firstLineChars="200"/>
        <w:contextualSpacing/>
        <w:jc w:val="left"/>
        <w:rPr>
          <w:sz w:val="24"/>
          <w:szCs w:val="24"/>
        </w:rPr>
      </w:pPr>
      <w:r>
        <w:rPr>
          <w:rFonts w:hint="eastAsia"/>
          <w:sz w:val="24"/>
          <w:szCs w:val="24"/>
          <w:lang w:val="en-US" w:eastAsia="zh-CN"/>
        </w:rPr>
        <w:t xml:space="preserve">中心现有高、中、初级专业技术和管理人员约100余人，其中教授有16人，高级工程师27人，硕博士30多人，具有中级职称以上科技人员占80%。 </w:t>
      </w:r>
    </w:p>
    <w:p>
      <w:pPr>
        <w:spacing w:line="300" w:lineRule="auto"/>
        <w:ind w:firstLine="480" w:firstLineChars="200"/>
        <w:contextualSpacing/>
        <w:jc w:val="left"/>
        <w:rPr>
          <w:sz w:val="24"/>
          <w:szCs w:val="24"/>
        </w:rPr>
      </w:pPr>
      <w:r>
        <w:rPr>
          <w:rFonts w:hint="eastAsia"/>
          <w:sz w:val="24"/>
          <w:szCs w:val="24"/>
          <w:lang w:val="en-US" w:eastAsia="zh-CN"/>
        </w:rPr>
        <w:t>中心近十年来获得省部级科技进步奖20项。累计申请专利15件，其中授权发明专利5件、授权实用新型专利2件。承担国家、省级各类项目50余项，主持和参与国家、行业标准200余项，发表专著5部，发表论文300余篇。</w:t>
      </w:r>
    </w:p>
    <w:p>
      <w:pPr>
        <w:pStyle w:val="58"/>
        <w:spacing w:before="156" w:beforeLines="50" w:after="156" w:afterLines="50"/>
        <w:ind w:left="2"/>
        <w:contextualSpacing/>
        <w:rPr>
          <w:color w:val="auto"/>
          <w:sz w:val="24"/>
          <w:szCs w:val="24"/>
        </w:rPr>
      </w:pPr>
      <w:r>
        <w:rPr>
          <w:rFonts w:hint="eastAsia"/>
          <w:sz w:val="24"/>
          <w:szCs w:val="24"/>
        </w:rPr>
        <w:t>西安汉唐分析检测有限公司</w:t>
      </w:r>
    </w:p>
    <w:p>
      <w:pPr>
        <w:spacing w:line="300" w:lineRule="auto"/>
        <w:ind w:firstLine="480" w:firstLineChars="200"/>
        <w:contextualSpacing/>
        <w:jc w:val="left"/>
        <w:rPr>
          <w:rFonts w:hint="eastAsia"/>
          <w:sz w:val="24"/>
          <w:szCs w:val="24"/>
        </w:rPr>
      </w:pPr>
      <w:r>
        <w:rPr>
          <w:rFonts w:hint="eastAsia"/>
          <w:sz w:val="24"/>
          <w:szCs w:val="24"/>
        </w:rPr>
        <w:t>西安汉唐分析检测有限公司成立于2018年8月，是由西北有色金属研究院（集团）整合其分析检测资源组建的具有独立法律地位的检验检测机构。公司实验室可追溯于1965年，是我国较早开展有色金属材料分析检验检测与评价研究的专业机构之一。</w:t>
      </w:r>
    </w:p>
    <w:p>
      <w:pPr>
        <w:spacing w:line="300" w:lineRule="auto"/>
        <w:ind w:firstLine="480" w:firstLineChars="200"/>
        <w:contextualSpacing/>
        <w:jc w:val="left"/>
        <w:rPr>
          <w:rFonts w:hint="eastAsia"/>
          <w:sz w:val="24"/>
          <w:szCs w:val="24"/>
        </w:rPr>
      </w:pPr>
      <w:r>
        <w:rPr>
          <w:rFonts w:hint="eastAsia"/>
          <w:sz w:val="24"/>
          <w:szCs w:val="24"/>
        </w:rPr>
        <w:t>公司具有雄厚的技术力量、完整的检验检测手段和先进的检验检测设备；在国内有色金属检验检测领域处于领先地位。认可或认证资质齐全，先后通过国家认证认可监督委员会(CMA)、中国合格评定国家认可委员会(CNAS)和国防科技工业实验室认可委员会(DILAC)认证，是国家工信部授权的“工业（稀有金属）产品质量控制和技术评价实验室”，也是陕西省科技厅授权的“陕西省有色金属分析检测与评价中心”、“核工业用金属材料检测与评价服务平台”、“稀有金属检测信息化管理及共享平台”、“陕西省稀有金属材料安全评估与失效分析平台”。2020年初，陕西省市场监督管理局批复公司负责筹建“陕西省有色金属产业计量测试中心”。</w:t>
      </w:r>
    </w:p>
    <w:p>
      <w:pPr>
        <w:spacing w:line="300" w:lineRule="auto"/>
        <w:ind w:firstLine="480" w:firstLineChars="200"/>
        <w:contextualSpacing/>
        <w:jc w:val="left"/>
        <w:rPr>
          <w:rFonts w:hint="eastAsia"/>
          <w:sz w:val="24"/>
          <w:szCs w:val="24"/>
        </w:rPr>
      </w:pPr>
      <w:r>
        <w:rPr>
          <w:rFonts w:hint="eastAsia"/>
          <w:sz w:val="24"/>
          <w:szCs w:val="24"/>
        </w:rPr>
        <w:t>目前，公司在西安、宝鸡两地三区设立活动场所，检测面积8000余平米；下设泾渭分部、西北院分部、宝鸡分公司等三个业务分部，以及技术质量部、行政人事部、市场部、设备安环部、财务部、校准计量部等六个职能部门。现有工作人员150余名，其中技术人员70余名，拥有各种仪器设备设施120多台套。主要承担有色金属、稀有金属、贵金属、钢铁及其合金等产品的化学成份分析、物理性能与力学性能、腐蚀性能测试；材料表面形貌、成分、元素价态等特性的测试与表征；检定校准工作；同时提供技术咨询、实验室规划设计、国际/国家/行业标准制定、计量技术规范、分析方法研究、标准物质研制、人员培训等服务项目。</w:t>
      </w:r>
    </w:p>
    <w:p>
      <w:pPr>
        <w:pStyle w:val="58"/>
        <w:bidi w:val="0"/>
        <w:spacing w:line="360" w:lineRule="auto"/>
      </w:pPr>
      <w:r>
        <w:rPr>
          <w:rFonts w:hint="eastAsia"/>
          <w:sz w:val="24"/>
          <w:szCs w:val="24"/>
          <w:lang w:val="en-US" w:eastAsia="zh-CN"/>
        </w:rPr>
        <w:t>东北轻合金有限责任公司</w:t>
      </w:r>
    </w:p>
    <w:p>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 公司主要生产“天鹅”牌铝、镁及其合金板、带、箔、管、棒、型、线、粉、材、锻件等产品，广泛应用于航空航天、兵器舰船、石油化工、交通运输、电子轻工等国民经济各领域，满足各类飞机、舰艇、导弹、运载火箭及常规兵器的需要。</w:t>
      </w:r>
    </w:p>
    <w:p>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六十多年来，东轻公司创造了中国铝加工历史上无数个第一，为国产C919大飞机、第一艘远洋巨轮、核潜艇以及“神舟”系列飞船和“嫦娥一号”等重点工程提供了大量轻合金材料，为我国航空航天、国防军工事业的起步与发展做出了重要贡献，被盛誉为“祖国的银色支柱”、“中国铝镁加工业的摇篮”。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测量管理体系认证证书。</w:t>
      </w:r>
    </w:p>
    <w:p>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计量管理是公司质量保证体系的重要组成部分，生产保障中心是公司计量专职部门，具备完善的计量体系和现代化的检测设备，是公司专门的计量检定校准机构。</w:t>
      </w:r>
    </w:p>
    <w:p>
      <w:pPr>
        <w:spacing w:line="300" w:lineRule="auto"/>
        <w:contextualSpacing/>
        <w:jc w:val="left"/>
        <w:rPr>
          <w:rFonts w:hint="eastAsia"/>
          <w:sz w:val="24"/>
          <w:szCs w:val="24"/>
          <w:lang w:val="en-US" w:eastAsia="zh-CN"/>
        </w:rPr>
      </w:pPr>
      <w:r>
        <w:rPr>
          <w:rFonts w:hint="eastAsia"/>
          <w:sz w:val="24"/>
          <w:szCs w:val="24"/>
          <w:lang w:val="en-US" w:eastAsia="zh-CN"/>
        </w:rPr>
        <w:t>公司下设熔铸、板带、特种材料、中厚板等生产分厂（公司）及生产保障、龙翔包装公司等辅助部门，并且设备配套齐全、技术先进，手段齐全，功能完善。</w:t>
      </w:r>
    </w:p>
    <w:p>
      <w:pPr>
        <w:spacing w:line="300" w:lineRule="auto"/>
        <w:ind w:firstLine="420" w:firstLineChars="0"/>
        <w:contextualSpacing/>
        <w:jc w:val="left"/>
      </w:pPr>
      <w:r>
        <w:rPr>
          <w:rFonts w:hint="eastAsia"/>
          <w:sz w:val="24"/>
          <w:szCs w:val="24"/>
          <w:lang w:val="en-US" w:eastAsia="zh-CN"/>
        </w:rPr>
        <w:t>有着六十余年辉煌生产历史，充满生机和活力，并具有美好发展前景的东轻公司，将为满足顾客不断发展的需求和期望，为振兴中国的铝加工业作出新的贡献。</w:t>
      </w:r>
    </w:p>
    <w:p>
      <w:pPr>
        <w:pStyle w:val="60"/>
        <w:spacing w:before="156" w:after="156" w:line="300" w:lineRule="auto"/>
        <w:ind w:left="0"/>
        <w:contextualSpacing/>
        <w:rPr>
          <w:rFonts w:hint="default"/>
          <w:sz w:val="24"/>
          <w:szCs w:val="24"/>
          <w:lang w:val="en-US"/>
        </w:rPr>
      </w:pPr>
      <w:bookmarkStart w:id="19" w:name="_Toc462884357"/>
      <w:bookmarkStart w:id="20" w:name="_Toc464728913"/>
      <w:r>
        <w:rPr>
          <w:rFonts w:hint="eastAsia"/>
          <w:sz w:val="24"/>
          <w:szCs w:val="24"/>
        </w:rPr>
        <w:t>主要工作过程</w:t>
      </w:r>
      <w:bookmarkEnd w:id="19"/>
      <w:bookmarkEnd w:id="20"/>
    </w:p>
    <w:p>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4.1 预研阶段</w:t>
      </w:r>
    </w:p>
    <w:p>
      <w:pPr>
        <w:pStyle w:val="57"/>
        <w:spacing w:line="324" w:lineRule="auto"/>
        <w:ind w:firstLine="420"/>
        <w:rPr>
          <w:rFonts w:hint="default"/>
          <w:sz w:val="24"/>
          <w:szCs w:val="24"/>
          <w:lang w:val="en-US" w:eastAsia="zh-CN"/>
        </w:rPr>
      </w:pPr>
      <w:r>
        <w:rPr>
          <w:rFonts w:hint="default"/>
          <w:sz w:val="24"/>
          <w:szCs w:val="24"/>
          <w:lang w:val="en-US" w:eastAsia="zh-CN"/>
        </w:rPr>
        <w:t>编制组内部经实地调研，就规范包含的内容、主要技术指标等问题进行了讨论，确定规范起草的主导思想和起草原则，对起草组人员的工作进行了分配，并对制定规范的技术指标及拟使用的方法进行现场验证。了解使用单位需求情况并进行测试试验,选取有代表性的仪器品牌并对其分类，收集相关技术材料。</w:t>
      </w:r>
    </w:p>
    <w:p>
      <w:pPr>
        <w:pStyle w:val="57"/>
        <w:spacing w:line="324" w:lineRule="auto"/>
        <w:ind w:left="0" w:leftChars="0" w:firstLine="0" w:firstLineChars="0"/>
        <w:rPr>
          <w:rFonts w:hint="default"/>
          <w:sz w:val="24"/>
          <w:szCs w:val="24"/>
          <w:lang w:val="en-US" w:eastAsia="zh-CN"/>
        </w:rPr>
      </w:pPr>
      <w:r>
        <w:rPr>
          <w:rFonts w:hint="eastAsia"/>
          <w:sz w:val="24"/>
          <w:szCs w:val="24"/>
          <w:lang w:val="en-US" w:eastAsia="zh-CN"/>
        </w:rPr>
        <w:t>4.1.1 规范内容的确认</w:t>
      </w:r>
    </w:p>
    <w:p>
      <w:pPr>
        <w:pStyle w:val="57"/>
        <w:spacing w:line="324" w:lineRule="auto"/>
        <w:ind w:left="0" w:leftChars="0" w:firstLine="420" w:firstLineChars="0"/>
        <w:rPr>
          <w:rFonts w:hint="eastAsia"/>
          <w:sz w:val="24"/>
          <w:szCs w:val="24"/>
          <w:lang w:val="en-US" w:eastAsia="zh-CN"/>
        </w:rPr>
      </w:pPr>
      <w:r>
        <w:rPr>
          <w:rFonts w:hint="eastAsia"/>
          <w:sz w:val="24"/>
          <w:szCs w:val="24"/>
          <w:lang w:val="en-US" w:eastAsia="zh-CN"/>
        </w:rPr>
        <w:t>通过参考市场常用设备，对规范的校准项目及参数进行了调研并确认校准项目。</w:t>
      </w:r>
    </w:p>
    <w:p>
      <w:pPr>
        <w:pStyle w:val="57"/>
        <w:spacing w:line="324" w:lineRule="auto"/>
        <w:ind w:left="0" w:leftChars="0" w:firstLine="0" w:firstLineChars="0"/>
        <w:rPr>
          <w:rFonts w:hint="default"/>
          <w:sz w:val="24"/>
          <w:szCs w:val="24"/>
          <w:lang w:val="en-US" w:eastAsia="zh-CN"/>
        </w:rPr>
      </w:pPr>
      <w:r>
        <w:rPr>
          <w:rFonts w:hint="eastAsia"/>
          <w:sz w:val="24"/>
          <w:szCs w:val="24"/>
          <w:lang w:val="en-US" w:eastAsia="zh-CN"/>
        </w:rPr>
        <w:t>4.1.2 技术指标的确认</w:t>
      </w:r>
    </w:p>
    <w:p>
      <w:pPr>
        <w:pStyle w:val="57"/>
        <w:spacing w:line="324" w:lineRule="auto"/>
        <w:ind w:left="0" w:leftChars="0" w:firstLine="420" w:firstLineChars="0"/>
        <w:rPr>
          <w:rFonts w:hint="default"/>
          <w:sz w:val="24"/>
          <w:szCs w:val="24"/>
          <w:lang w:val="en-US" w:eastAsia="zh-CN"/>
        </w:rPr>
      </w:pPr>
      <w:r>
        <w:rPr>
          <w:rFonts w:hint="eastAsia"/>
          <w:sz w:val="24"/>
          <w:szCs w:val="24"/>
          <w:lang w:val="en-US" w:eastAsia="zh-CN"/>
        </w:rPr>
        <w:t>通过参考</w:t>
      </w:r>
      <w:r>
        <w:rPr>
          <w:rFonts w:hint="default" w:ascii="Times New Roman" w:hAnsi="Times New Roman" w:eastAsia="宋体" w:cs="Times New Roman"/>
          <w:bCs w:val="0"/>
          <w:caps w:val="0"/>
          <w:kern w:val="0"/>
          <w:sz w:val="24"/>
          <w:szCs w:val="24"/>
          <w:lang w:val="en-US" w:eastAsia="zh-CN" w:bidi="ar-SA"/>
        </w:rPr>
        <w:t>JJG617</w:t>
      </w:r>
      <w:r>
        <w:rPr>
          <w:rFonts w:hint="eastAsia" w:ascii="Times New Roman" w:hAnsi="Times New Roman" w:eastAsia="宋体" w:cs="Times New Roman"/>
          <w:bCs w:val="0"/>
          <w:caps w:val="0"/>
          <w:kern w:val="0"/>
          <w:sz w:val="24"/>
          <w:szCs w:val="24"/>
          <w:lang w:val="en-US" w:eastAsia="zh-CN" w:bidi="ar-SA"/>
        </w:rPr>
        <w:t>《</w:t>
      </w:r>
      <w:r>
        <w:rPr>
          <w:rFonts w:hint="default" w:ascii="Times New Roman" w:hAnsi="Times New Roman" w:eastAsia="宋体" w:cs="Times New Roman"/>
          <w:bCs w:val="0"/>
          <w:caps w:val="0"/>
          <w:kern w:val="0"/>
          <w:sz w:val="24"/>
          <w:szCs w:val="24"/>
          <w:lang w:val="en-US" w:eastAsia="zh-CN" w:bidi="ar-SA"/>
        </w:rPr>
        <w:t>数字温度指示调节仪</w:t>
      </w:r>
      <w:r>
        <w:rPr>
          <w:rFonts w:hint="eastAsia" w:ascii="Times New Roman" w:hAnsi="Times New Roman" w:eastAsia="宋体" w:cs="Times New Roman"/>
          <w:bCs w:val="0"/>
          <w:caps w:val="0"/>
          <w:kern w:val="0"/>
          <w:sz w:val="24"/>
          <w:szCs w:val="24"/>
          <w:lang w:val="en-US" w:eastAsia="zh-CN" w:bidi="ar-SA"/>
        </w:rPr>
        <w:t>》</w:t>
      </w:r>
      <w:r>
        <w:rPr>
          <w:rFonts w:hint="default" w:ascii="Times New Roman" w:hAnsi="Times New Roman" w:eastAsia="宋体" w:cs="Times New Roman"/>
          <w:bCs w:val="0"/>
          <w:caps w:val="0"/>
          <w:kern w:val="0"/>
          <w:sz w:val="24"/>
          <w:szCs w:val="24"/>
          <w:lang w:val="en-US" w:eastAsia="zh-CN" w:bidi="ar-SA"/>
        </w:rPr>
        <w:t>、JJG951</w:t>
      </w:r>
      <w:r>
        <w:rPr>
          <w:rFonts w:hint="eastAsia" w:ascii="Times New Roman" w:hAnsi="Times New Roman" w:eastAsia="宋体" w:cs="Times New Roman"/>
          <w:bCs w:val="0"/>
          <w:caps w:val="0"/>
          <w:kern w:val="0"/>
          <w:sz w:val="24"/>
          <w:szCs w:val="24"/>
          <w:lang w:val="en-US" w:eastAsia="zh-CN" w:bidi="ar-SA"/>
        </w:rPr>
        <w:t>《</w:t>
      </w:r>
      <w:r>
        <w:rPr>
          <w:rFonts w:hint="default" w:ascii="Times New Roman" w:hAnsi="Times New Roman" w:eastAsia="宋体" w:cs="Times New Roman"/>
          <w:bCs w:val="0"/>
          <w:caps w:val="0"/>
          <w:kern w:val="0"/>
          <w:sz w:val="24"/>
          <w:szCs w:val="24"/>
          <w:lang w:val="en-US" w:eastAsia="zh-CN" w:bidi="ar-SA"/>
        </w:rPr>
        <w:t>模拟式温度指示调节仪</w:t>
      </w:r>
      <w:r>
        <w:rPr>
          <w:rFonts w:hint="eastAsia" w:ascii="Times New Roman" w:hAnsi="Times New Roman" w:eastAsia="宋体" w:cs="Times New Roman"/>
          <w:bCs w:val="0"/>
          <w:caps w:val="0"/>
          <w:kern w:val="0"/>
          <w:sz w:val="24"/>
          <w:szCs w:val="24"/>
          <w:lang w:val="en-US" w:eastAsia="zh-CN" w:bidi="ar-SA"/>
        </w:rPr>
        <w:t>》、JJF1309《温度校准仪校准规范》、JJF1664《温度显示仪校准规范》、AMS2750《高温测量》</w:t>
      </w:r>
      <w:r>
        <w:rPr>
          <w:rFonts w:hint="eastAsia" w:ascii="Times New Roman"/>
          <w:sz w:val="24"/>
          <w:szCs w:val="24"/>
          <w:lang w:val="en-US" w:eastAsia="zh-CN"/>
        </w:rPr>
        <w:t>对</w:t>
      </w:r>
      <w:r>
        <w:rPr>
          <w:rFonts w:hint="default"/>
          <w:sz w:val="24"/>
          <w:szCs w:val="24"/>
          <w:lang w:val="en-US" w:eastAsia="zh-CN"/>
        </w:rPr>
        <w:t>主要技术指标</w:t>
      </w:r>
      <w:r>
        <w:rPr>
          <w:rFonts w:hint="eastAsia"/>
          <w:sz w:val="24"/>
          <w:szCs w:val="24"/>
          <w:lang w:val="en-US" w:eastAsia="zh-CN"/>
        </w:rPr>
        <w:t>进行查询，并与实验室进行技术讨论，最终确认了校准项目的测量范围和误差范围，最终将示值误差规定至±0.6℃。</w:t>
      </w:r>
    </w:p>
    <w:p>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4.2 立项阶段</w:t>
      </w:r>
    </w:p>
    <w:p>
      <w:pPr>
        <w:pStyle w:val="57"/>
        <w:spacing w:line="324" w:lineRule="auto"/>
        <w:ind w:firstLine="420"/>
        <w:rPr>
          <w:rFonts w:hint="default"/>
          <w:sz w:val="24"/>
          <w:szCs w:val="24"/>
          <w:lang w:val="en-US" w:eastAsia="zh-CN"/>
        </w:rPr>
      </w:pPr>
      <w:r>
        <w:rPr>
          <w:rFonts w:hint="default"/>
          <w:sz w:val="24"/>
          <w:szCs w:val="24"/>
          <w:lang w:val="en-US" w:eastAsia="zh-CN"/>
        </w:rPr>
        <w:t>预研工作完成后，由国标（北京）检验认证有限公司提交项目申请书等材料，于2022年6月，工业和信息化部以工信厅科函[2022]464号文下达了《工业和信息化部办公厅关于印发2022年行业计量技术规范制修订计划的通知》，其申报号为：JJFZ(有色金属)</w:t>
      </w:r>
      <w:r>
        <w:rPr>
          <w:rFonts w:hint="eastAsia"/>
          <w:sz w:val="24"/>
          <w:szCs w:val="24"/>
          <w:lang w:val="en-US" w:eastAsia="zh-CN"/>
        </w:rPr>
        <w:t xml:space="preserve"> </w:t>
      </w:r>
      <w:r>
        <w:rPr>
          <w:rFonts w:hint="default"/>
          <w:sz w:val="24"/>
          <w:szCs w:val="24"/>
          <w:lang w:val="en-US" w:eastAsia="zh-CN"/>
        </w:rPr>
        <w:t>00</w:t>
      </w:r>
      <w:r>
        <w:rPr>
          <w:rFonts w:hint="eastAsia"/>
          <w:sz w:val="24"/>
          <w:szCs w:val="24"/>
          <w:lang w:val="en-US" w:eastAsia="zh-CN"/>
        </w:rPr>
        <w:t>8</w:t>
      </w:r>
      <w:r>
        <w:rPr>
          <w:rFonts w:hint="default"/>
          <w:sz w:val="24"/>
          <w:szCs w:val="24"/>
          <w:lang w:val="en-US" w:eastAsia="zh-CN"/>
        </w:rPr>
        <w:t>-2022，计划完成年限为202</w:t>
      </w:r>
      <w:r>
        <w:rPr>
          <w:rFonts w:hint="eastAsia"/>
          <w:sz w:val="24"/>
          <w:szCs w:val="24"/>
          <w:lang w:val="en-US" w:eastAsia="zh-CN"/>
        </w:rPr>
        <w:t>5</w:t>
      </w:r>
      <w:r>
        <w:rPr>
          <w:rFonts w:hint="default"/>
          <w:sz w:val="24"/>
          <w:szCs w:val="24"/>
          <w:lang w:val="en-US" w:eastAsia="zh-CN"/>
        </w:rPr>
        <w:t>年。</w:t>
      </w:r>
    </w:p>
    <w:p>
      <w:pPr>
        <w:pStyle w:val="57"/>
        <w:spacing w:line="360" w:lineRule="auto"/>
        <w:ind w:left="0" w:leftChars="0" w:firstLine="0" w:firstLineChars="0"/>
        <w:rPr>
          <w:rFonts w:hint="default"/>
          <w:sz w:val="24"/>
          <w:szCs w:val="24"/>
          <w:lang w:val="en-US" w:eastAsia="zh-CN"/>
        </w:rPr>
      </w:pPr>
      <w:r>
        <w:rPr>
          <w:rFonts w:hint="default" w:ascii="黑体" w:hAnsi="Times New Roman" w:eastAsia="黑体" w:cs="Times New Roman"/>
          <w:color w:val="auto"/>
          <w:spacing w:val="-4"/>
          <w:sz w:val="24"/>
          <w:szCs w:val="24"/>
          <w:lang w:val="en-US" w:eastAsia="zh-CN" w:bidi="ar-SA"/>
        </w:rPr>
        <w:t>4.3 起草阶段</w:t>
      </w:r>
    </w:p>
    <w:p>
      <w:pPr>
        <w:pStyle w:val="57"/>
        <w:spacing w:line="324" w:lineRule="auto"/>
        <w:ind w:left="0" w:leftChars="0" w:firstLine="0" w:firstLineChars="0"/>
        <w:rPr>
          <w:rFonts w:hint="eastAsia"/>
          <w:color w:val="auto"/>
          <w:sz w:val="24"/>
          <w:szCs w:val="24"/>
        </w:rPr>
      </w:pPr>
      <w:r>
        <w:rPr>
          <w:rFonts w:hint="eastAsia" w:ascii="黑体" w:hAnsi="Times New Roman" w:eastAsia="黑体" w:cs="Times New Roman"/>
          <w:color w:val="auto"/>
          <w:spacing w:val="-4"/>
          <w:sz w:val="24"/>
          <w:szCs w:val="24"/>
          <w:lang w:val="en-US" w:eastAsia="zh-CN" w:bidi="ar-SA"/>
        </w:rPr>
        <w:t>4.3.1 任务讨论会</w:t>
      </w:r>
    </w:p>
    <w:p>
      <w:pPr>
        <w:pStyle w:val="57"/>
        <w:spacing w:line="324" w:lineRule="auto"/>
        <w:ind w:firstLine="420"/>
        <w:rPr>
          <w:rFonts w:hint="default"/>
          <w:sz w:val="24"/>
          <w:szCs w:val="24"/>
          <w:lang w:val="en-US" w:eastAsia="zh-CN"/>
        </w:rPr>
      </w:pPr>
      <w:r>
        <w:rPr>
          <w:rFonts w:hint="eastAsia"/>
          <w:sz w:val="24"/>
          <w:szCs w:val="24"/>
          <w:lang w:val="en-US" w:eastAsia="zh-CN"/>
        </w:rPr>
        <w:t>Xx</w:t>
      </w:r>
    </w:p>
    <w:p>
      <w:pPr>
        <w:jc w:val="center"/>
        <w:rPr>
          <w:rFonts w:hint="default" w:ascii="Times New Roman" w:hAnsi="Times New Roman" w:eastAsia="宋体" w:cs="Times New Roman"/>
          <w:kern w:val="0"/>
          <w:sz w:val="21"/>
          <w:szCs w:val="21"/>
          <w:highlight w:val="none"/>
          <w:lang w:val="en-US" w:eastAsia="zh-CN" w:bidi="ar-SA"/>
        </w:rPr>
      </w:pPr>
      <w:r>
        <w:rPr>
          <w:rFonts w:hint="eastAsia" w:ascii="黑体" w:hAnsi="黑体" w:eastAsia="黑体" w:cs="黑体"/>
          <w:kern w:val="0"/>
          <w:sz w:val="21"/>
          <w:szCs w:val="21"/>
          <w:highlight w:val="none"/>
          <w:lang w:val="en-US" w:eastAsia="zh-CN" w:bidi="ar-SA"/>
        </w:rPr>
        <w:t>表1 有色金属计量技术规范研讨会会议纪要-西安</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7"/>
        <w:gridCol w:w="1"/>
      </w:tblGrid>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参会单位及人员</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具体见签到表扫描件/复印件</w:t>
            </w:r>
          </w:p>
        </w:tc>
      </w:tr>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拟参与编制单位、一验二验单位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一验单位：广东省科学院工业分析检测中心；二验单位：西安汉唐分析检测有限公司、东北轻合金有限责任公司、中船重工725所。</w:t>
            </w:r>
          </w:p>
        </w:tc>
      </w:tr>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时间节点安排</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202</w:t>
            </w:r>
            <w:r>
              <w:rPr>
                <w:rFonts w:hint="eastAsia" w:cs="Times New Roman"/>
                <w:color w:val="000000"/>
                <w:kern w:val="0"/>
                <w:sz w:val="21"/>
                <w:szCs w:val="21"/>
                <w:lang w:val="en-US" w:eastAsia="zh-CN"/>
              </w:rPr>
              <w:t>5</w:t>
            </w:r>
            <w:r>
              <w:rPr>
                <w:rFonts w:hint="default" w:ascii="Times New Roman" w:hAnsi="Times New Roman" w:eastAsia="宋体" w:cs="Times New Roman"/>
                <w:color w:val="000000"/>
                <w:kern w:val="0"/>
                <w:sz w:val="21"/>
                <w:szCs w:val="21"/>
                <w:lang w:val="en-US" w:eastAsia="zh-CN"/>
              </w:rPr>
              <w:t>年完成规范报批</w:t>
            </w:r>
          </w:p>
        </w:tc>
      </w:tr>
      <w:tr>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后续拟征求意见单位</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（可包括编制组单位）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西安汉唐分析检测有限公司、东北轻合金有限责任公司、广东省科学院工业分析检测中心</w:t>
            </w:r>
          </w:p>
        </w:tc>
      </w:tr>
      <w:tr>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rPr>
            </w:pP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eastAsia="zh-CN"/>
              </w:rPr>
            </w:pP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rPr>
            </w:pP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c>
          <w:tcPr>
            <w:tcW w:w="239" w:type="pct"/>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1724" w:hRule="atLeast"/>
        </w:trPr>
        <w:tc>
          <w:tcPr>
            <w:tcW w:w="5000" w:type="pct"/>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b/>
                <w:bCs/>
                <w:color w:val="auto"/>
                <w:kern w:val="0"/>
                <w:sz w:val="21"/>
                <w:szCs w:val="21"/>
              </w:rPr>
              <w:t>下一步要求（讨论会）</w:t>
            </w:r>
            <w:r>
              <w:rPr>
                <w:rFonts w:hint="default" w:ascii="Times New Roman" w:hAnsi="Times New Roman" w:eastAsia="宋体" w:cs="Times New Roman"/>
                <w:color w:val="auto"/>
                <w:kern w:val="0"/>
                <w:sz w:val="21"/>
                <w:szCs w:val="21"/>
              </w:rPr>
              <w:t>：</w:t>
            </w:r>
            <w:r>
              <w:rPr>
                <w:rFonts w:hint="eastAsia" w:cs="Times New Roman"/>
                <w:color w:val="auto"/>
                <w:kern w:val="0"/>
                <w:sz w:val="21"/>
                <w:szCs w:val="21"/>
                <w:lang w:val="en-US" w:eastAsia="zh-CN"/>
              </w:rPr>
              <w:t>XX</w:t>
            </w:r>
          </w:p>
        </w:tc>
      </w:tr>
    </w:tbl>
    <w:p>
      <w:pPr>
        <w:pStyle w:val="57"/>
        <w:spacing w:line="360" w:lineRule="auto"/>
        <w:ind w:firstLine="420"/>
        <w:rPr>
          <w:rFonts w:hint="eastAsia" w:ascii="黑体" w:hAnsi="Times New Roman" w:eastAsia="黑体" w:cs="Times New Roman"/>
          <w:color w:val="auto"/>
          <w:spacing w:val="-4"/>
          <w:sz w:val="24"/>
          <w:szCs w:val="24"/>
          <w:lang w:val="en-US" w:eastAsia="zh-CN" w:bidi="ar-SA"/>
        </w:rPr>
      </w:pPr>
    </w:p>
    <w:p>
      <w:pPr>
        <w:pStyle w:val="57"/>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p>
    <w:p>
      <w:pPr>
        <w:pStyle w:val="57"/>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p>
    <w:p>
      <w:pPr>
        <w:pStyle w:val="57"/>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p>
    <w:p>
      <w:pPr>
        <w:pStyle w:val="57"/>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r>
        <w:rPr>
          <w:rFonts w:hint="default" w:ascii="黑体" w:hAnsi="Times New Roman" w:eastAsia="黑体" w:cs="Times New Roman"/>
          <w:color w:val="auto"/>
          <w:spacing w:val="-4"/>
          <w:sz w:val="24"/>
          <w:szCs w:val="24"/>
          <w:lang w:val="en-US" w:eastAsia="zh-CN" w:bidi="ar-SA"/>
        </w:rPr>
        <w:t>4.3 有色金属计量技术规范研讨会</w:t>
      </w:r>
    </w:p>
    <w:p>
      <w:pPr>
        <w:pStyle w:val="57"/>
        <w:spacing w:line="324" w:lineRule="auto"/>
        <w:ind w:firstLine="420"/>
        <w:rPr>
          <w:rFonts w:hint="default"/>
          <w:sz w:val="24"/>
          <w:szCs w:val="24"/>
          <w:lang w:val="en-US" w:eastAsia="zh-CN"/>
        </w:rPr>
      </w:pPr>
      <w:r>
        <w:rPr>
          <w:rFonts w:hint="eastAsia"/>
          <w:sz w:val="24"/>
          <w:szCs w:val="24"/>
          <w:lang w:val="en-US" w:eastAsia="zh-CN"/>
        </w:rPr>
        <w:t>XXX</w:t>
      </w:r>
    </w:p>
    <w:p>
      <w:pPr>
        <w:pStyle w:val="57"/>
        <w:spacing w:line="324" w:lineRule="auto"/>
        <w:ind w:firstLine="420"/>
        <w:jc w:val="center"/>
        <w:rPr>
          <w:rFonts w:hint="default"/>
          <w:sz w:val="24"/>
          <w:szCs w:val="24"/>
          <w:lang w:val="en-US" w:eastAsia="zh-CN"/>
        </w:rPr>
      </w:pPr>
      <w:r>
        <w:rPr>
          <w:rFonts w:hint="eastAsia" w:ascii="黑体" w:hAnsi="黑体" w:eastAsia="黑体" w:cs="黑体"/>
          <w:kern w:val="0"/>
          <w:sz w:val="21"/>
          <w:szCs w:val="21"/>
          <w:highlight w:val="none"/>
          <w:lang w:val="en-US" w:eastAsia="zh-CN" w:bidi="ar-SA"/>
        </w:rPr>
        <w:t>表2 有色金属计量技术规范研讨会会议纪要-XX</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8"/>
      </w:tblGrid>
      <w:tr>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0"/>
              </w:numPr>
              <w:ind w:leftChars="0"/>
              <w:jc w:val="both"/>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pPr>
              <w:pStyle w:val="301"/>
              <w:widowControl/>
              <w:numPr>
                <w:ilvl w:val="0"/>
                <w:numId w:val="0"/>
              </w:numPr>
              <w:ind w:leftChars="0"/>
              <w:jc w:val="both"/>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eastAsia="zh-CN"/>
              </w:rPr>
            </w:pPr>
          </w:p>
        </w:tc>
        <w:tc>
          <w:tcPr>
            <w:tcW w:w="231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lang w:val="en-US"/>
              </w:rPr>
            </w:pPr>
          </w:p>
        </w:tc>
        <w:tc>
          <w:tcPr>
            <w:tcW w:w="73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c>
          <w:tcPr>
            <w:tcW w:w="74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c>
          <w:tcPr>
            <w:tcW w:w="2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1"/>
                <w:szCs w:val="21"/>
              </w:rPr>
            </w:pPr>
          </w:p>
        </w:tc>
      </w:tr>
      <w:tr>
        <w:tblPrEx>
          <w:tblCellMar>
            <w:top w:w="0" w:type="dxa"/>
            <w:left w:w="108" w:type="dxa"/>
            <w:bottom w:w="0" w:type="dxa"/>
            <w:right w:w="108" w:type="dxa"/>
          </w:tblCellMar>
        </w:tblPrEx>
        <w:trPr>
          <w:trHeight w:val="1490"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auto"/>
                <w:kern w:val="0"/>
                <w:sz w:val="21"/>
                <w:szCs w:val="21"/>
              </w:rPr>
              <w:t>下一步要求（</w:t>
            </w:r>
            <w:r>
              <w:rPr>
                <w:rFonts w:hint="default" w:ascii="Times New Roman" w:hAnsi="Times New Roman" w:eastAsia="宋体" w:cs="Times New Roman"/>
                <w:b/>
                <w:bCs/>
                <w:color w:val="auto"/>
                <w:kern w:val="0"/>
                <w:sz w:val="21"/>
                <w:szCs w:val="21"/>
                <w:lang w:val="en-US" w:eastAsia="zh-CN"/>
              </w:rPr>
              <w:t>审定会</w:t>
            </w:r>
            <w:r>
              <w:rPr>
                <w:rFonts w:hint="default" w:ascii="Times New Roman" w:hAnsi="Times New Roman" w:eastAsia="宋体" w:cs="Times New Roman"/>
                <w:b/>
                <w:bCs/>
                <w:color w:val="auto"/>
                <w:kern w:val="0"/>
                <w:sz w:val="21"/>
                <w:szCs w:val="21"/>
              </w:rPr>
              <w:t>）</w:t>
            </w:r>
            <w:r>
              <w:rPr>
                <w:rFonts w:hint="default" w:ascii="Times New Roman" w:hAnsi="Times New Roman" w:eastAsia="宋体" w:cs="Times New Roman"/>
                <w:color w:val="auto"/>
                <w:kern w:val="0"/>
                <w:sz w:val="21"/>
                <w:szCs w:val="21"/>
              </w:rPr>
              <w:t>：</w:t>
            </w:r>
          </w:p>
        </w:tc>
      </w:tr>
    </w:tbl>
    <w:p>
      <w:pPr>
        <w:rPr>
          <w:rFonts w:hint="default" w:ascii="黑体" w:hAnsi="Times New Roman" w:eastAsia="黑体" w:cs="Times New Roman"/>
          <w:color w:val="auto"/>
          <w:spacing w:val="-4"/>
          <w:sz w:val="24"/>
          <w:szCs w:val="24"/>
          <w:lang w:val="en-US" w:eastAsia="zh-CN" w:bidi="ar-SA"/>
        </w:rPr>
      </w:pPr>
      <w:r>
        <w:rPr>
          <w:rFonts w:hint="default" w:ascii="黑体" w:hAnsi="Times New Roman" w:eastAsia="黑体" w:cs="Times New Roman"/>
          <w:color w:val="auto"/>
          <w:spacing w:val="-4"/>
          <w:sz w:val="24"/>
          <w:szCs w:val="24"/>
          <w:lang w:val="en-US" w:eastAsia="zh-CN" w:bidi="ar-SA"/>
        </w:rPr>
        <w:t>4.</w:t>
      </w:r>
      <w:r>
        <w:rPr>
          <w:rFonts w:hint="eastAsia" w:ascii="黑体" w:eastAsia="黑体" w:cs="Times New Roman"/>
          <w:color w:val="auto"/>
          <w:spacing w:val="-4"/>
          <w:sz w:val="24"/>
          <w:szCs w:val="24"/>
          <w:lang w:val="en-US" w:eastAsia="zh-CN" w:bidi="ar-SA"/>
        </w:rPr>
        <w:t>4</w:t>
      </w:r>
      <w:r>
        <w:rPr>
          <w:rFonts w:hint="default" w:ascii="黑体" w:hAnsi="Times New Roman" w:eastAsia="黑体" w:cs="Times New Roman"/>
          <w:color w:val="auto"/>
          <w:spacing w:val="-4"/>
          <w:sz w:val="24"/>
          <w:szCs w:val="24"/>
          <w:lang w:val="en-US" w:eastAsia="zh-CN" w:bidi="ar-SA"/>
        </w:rPr>
        <w:t xml:space="preserve"> 有色金属计量技术规范研讨会</w:t>
      </w:r>
    </w:p>
    <w:p>
      <w:pPr>
        <w:rPr>
          <w:rFonts w:hint="default" w:ascii="宋体" w:hAnsi="宋体" w:eastAsia="宋体" w:cs="Times New Roman"/>
          <w:kern w:val="0"/>
          <w:sz w:val="24"/>
          <w:szCs w:val="24"/>
          <w:lang w:val="en-US" w:eastAsia="zh-CN" w:bidi="ar-SA"/>
        </w:rPr>
      </w:pPr>
    </w:p>
    <w:p>
      <w:pPr>
        <w:pStyle w:val="73"/>
        <w:numPr>
          <w:ilvl w:val="0"/>
          <w:numId w:val="11"/>
        </w:numPr>
        <w:tabs>
          <w:tab w:val="left" w:pos="426"/>
        </w:tabs>
        <w:spacing w:before="312" w:beforeLines="100" w:after="312" w:afterLines="100"/>
        <w:ind w:hangingChars="200"/>
        <w:jc w:val="left"/>
      </w:pPr>
      <w:bookmarkStart w:id="21" w:name="_Toc464728924"/>
      <w:r>
        <w:rPr>
          <w:rFonts w:hint="eastAsia"/>
          <w:sz w:val="24"/>
          <w:szCs w:val="24"/>
          <w:lang w:eastAsia="zh-CN"/>
        </w:rPr>
        <w:t>规范</w:t>
      </w:r>
      <w:r>
        <w:rPr>
          <w:rFonts w:hint="eastAsia"/>
          <w:sz w:val="24"/>
          <w:szCs w:val="24"/>
        </w:rPr>
        <w:t>编制原则和确定主要内容</w:t>
      </w:r>
      <w:bookmarkEnd w:id="21"/>
    </w:p>
    <w:p>
      <w:pPr>
        <w:pStyle w:val="78"/>
        <w:wordWrap/>
        <w:spacing w:beforeLines="0" w:after="156" w:line="360" w:lineRule="auto"/>
        <w:rPr>
          <w:sz w:val="24"/>
          <w:szCs w:val="24"/>
        </w:rPr>
      </w:pPr>
      <w:bookmarkStart w:id="22" w:name="_Toc464728925"/>
      <w:r>
        <w:rPr>
          <w:rFonts w:hint="eastAsia"/>
          <w:sz w:val="24"/>
          <w:szCs w:val="24"/>
        </w:rPr>
        <w:t>编制原则</w:t>
      </w:r>
      <w:bookmarkEnd w:id="22"/>
    </w:p>
    <w:p>
      <w:pPr>
        <w:pStyle w:val="57"/>
        <w:numPr>
          <w:ilvl w:val="0"/>
          <w:numId w:val="13"/>
        </w:numPr>
        <w:spacing w:line="324" w:lineRule="auto"/>
        <w:ind w:firstLine="420"/>
        <w:rPr>
          <w:sz w:val="24"/>
          <w:szCs w:val="24"/>
        </w:rPr>
      </w:pPr>
      <w:bookmarkStart w:id="23" w:name="_Toc464728926"/>
      <w:r>
        <w:rPr>
          <w:rFonts w:hint="eastAsia"/>
          <w:sz w:val="24"/>
          <w:szCs w:val="24"/>
        </w:rPr>
        <w:t>保证有色行业的特殊性和适用性</w:t>
      </w:r>
    </w:p>
    <w:p>
      <w:pPr>
        <w:pStyle w:val="57"/>
        <w:numPr>
          <w:ilvl w:val="0"/>
          <w:numId w:val="13"/>
        </w:numPr>
        <w:spacing w:line="324" w:lineRule="auto"/>
        <w:ind w:firstLine="420"/>
        <w:rPr>
          <w:sz w:val="24"/>
          <w:szCs w:val="24"/>
        </w:rPr>
      </w:pPr>
      <w:r>
        <w:rPr>
          <w:rFonts w:hint="eastAsia"/>
          <w:sz w:val="24"/>
          <w:szCs w:val="24"/>
        </w:rPr>
        <w:t>保证</w:t>
      </w:r>
      <w:r>
        <w:rPr>
          <w:rFonts w:hint="eastAsia"/>
          <w:sz w:val="24"/>
          <w:szCs w:val="24"/>
          <w:lang w:val="en-US" w:eastAsia="zh-CN"/>
        </w:rPr>
        <w:t>校准规范</w:t>
      </w:r>
      <w:r>
        <w:rPr>
          <w:rFonts w:hint="eastAsia"/>
          <w:sz w:val="24"/>
          <w:szCs w:val="24"/>
        </w:rPr>
        <w:t>的规范性</w:t>
      </w:r>
    </w:p>
    <w:p>
      <w:pPr>
        <w:pStyle w:val="57"/>
        <w:numPr>
          <w:ilvl w:val="0"/>
          <w:numId w:val="13"/>
        </w:numPr>
        <w:spacing w:line="324" w:lineRule="auto"/>
        <w:ind w:firstLine="420"/>
        <w:rPr>
          <w:sz w:val="24"/>
          <w:szCs w:val="24"/>
        </w:rPr>
      </w:pPr>
      <w:r>
        <w:rPr>
          <w:rFonts w:hint="eastAsia"/>
          <w:sz w:val="24"/>
          <w:szCs w:val="24"/>
          <w:lang w:val="en-US" w:eastAsia="zh-CN"/>
        </w:rPr>
        <w:t>保证校准规范</w:t>
      </w:r>
      <w:r>
        <w:rPr>
          <w:rFonts w:hint="eastAsia"/>
          <w:sz w:val="24"/>
          <w:szCs w:val="24"/>
        </w:rPr>
        <w:t>的</w:t>
      </w:r>
      <w:r>
        <w:rPr>
          <w:rFonts w:hint="eastAsia"/>
          <w:sz w:val="24"/>
          <w:szCs w:val="24"/>
          <w:lang w:val="en-US" w:eastAsia="zh-CN"/>
        </w:rPr>
        <w:t>可操作</w:t>
      </w:r>
      <w:r>
        <w:rPr>
          <w:rFonts w:hint="eastAsia"/>
          <w:sz w:val="24"/>
          <w:szCs w:val="24"/>
        </w:rPr>
        <w:t>性</w:t>
      </w:r>
    </w:p>
    <w:p>
      <w:pPr>
        <w:pStyle w:val="78"/>
        <w:spacing w:before="312" w:beforeLines="100" w:after="312" w:afterLines="100"/>
        <w:rPr>
          <w:rFonts w:ascii="宋体" w:hAnsi="宋体"/>
          <w:sz w:val="24"/>
          <w:szCs w:val="24"/>
        </w:rPr>
      </w:pPr>
      <w:r>
        <w:rPr>
          <w:rFonts w:hint="eastAsia"/>
          <w:sz w:val="24"/>
          <w:szCs w:val="24"/>
        </w:rPr>
        <w:t>确定主要内</w:t>
      </w:r>
      <w:bookmarkEnd w:id="23"/>
      <w:r>
        <w:rPr>
          <w:rFonts w:hint="eastAsia"/>
          <w:sz w:val="24"/>
          <w:szCs w:val="24"/>
        </w:rPr>
        <w:t>容</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bookmarkStart w:id="24" w:name="_Toc464728964"/>
      <w:r>
        <w:rPr>
          <w:rFonts w:hint="eastAsia" w:hAnsi="黑体"/>
          <w:sz w:val="24"/>
          <w:szCs w:val="24"/>
          <w:lang w:val="en-US" w:eastAsia="zh-CN"/>
        </w:rPr>
        <w:t xml:space="preserve">1 </w:t>
      </w:r>
      <w:r>
        <w:rPr>
          <w:rFonts w:hint="eastAsia" w:hAnsi="黑体"/>
          <w:sz w:val="24"/>
          <w:szCs w:val="24"/>
        </w:rPr>
        <w:t>范围</w:t>
      </w:r>
    </w:p>
    <w:p>
      <w:pPr>
        <w:pStyle w:val="57"/>
        <w:spacing w:line="360" w:lineRule="auto"/>
        <w:ind w:firstLine="480"/>
        <w:rPr>
          <w:rFonts w:hint="eastAsia" w:eastAsia="宋体"/>
          <w:color w:val="auto"/>
          <w:sz w:val="24"/>
          <w:szCs w:val="24"/>
          <w:lang w:val="en-US" w:eastAsia="zh-CN"/>
        </w:rPr>
      </w:pPr>
      <w:r>
        <w:rPr>
          <w:rFonts w:hint="eastAsia" w:ascii="Times New Roman"/>
          <w:sz w:val="24"/>
          <w:szCs w:val="24"/>
        </w:rPr>
        <w:t>本校准规范适用</w:t>
      </w:r>
      <w:r>
        <w:rPr>
          <w:rFonts w:hint="eastAsia" w:ascii="Times New Roman"/>
          <w:sz w:val="24"/>
          <w:szCs w:val="24"/>
          <w:lang w:val="en-US" w:eastAsia="zh-CN"/>
        </w:rPr>
        <w:t>于</w:t>
      </w:r>
      <w:r>
        <w:rPr>
          <w:rFonts w:hint="eastAsia" w:ascii="Times New Roman"/>
          <w:sz w:val="24"/>
          <w:szCs w:val="24"/>
        </w:rPr>
        <w:t>摩擦磨损试验机和磨耗试验机等（以下简称试验机）</w:t>
      </w:r>
      <w:r>
        <w:rPr>
          <w:rFonts w:ascii="Times New Roman"/>
          <w:sz w:val="24"/>
          <w:szCs w:val="24"/>
        </w:rPr>
        <w:t>的校准。</w:t>
      </w:r>
    </w:p>
    <w:p>
      <w:pPr>
        <w:pStyle w:val="57"/>
        <w:spacing w:line="324" w:lineRule="auto"/>
        <w:ind w:firstLine="420"/>
        <w:rPr>
          <w:rFonts w:hint="eastAsia"/>
          <w:sz w:val="24"/>
          <w:szCs w:val="24"/>
          <w:lang w:val="en-US" w:eastAsia="zh-CN"/>
        </w:rPr>
      </w:pPr>
      <w:r>
        <w:rPr>
          <w:rFonts w:hint="eastAsia"/>
          <w:sz w:val="24"/>
          <w:szCs w:val="24"/>
          <w:lang w:val="en-US" w:eastAsia="zh-CN"/>
        </w:rPr>
        <w:t>编制理由：</w:t>
      </w:r>
    </w:p>
    <w:p>
      <w:pPr>
        <w:pStyle w:val="57"/>
        <w:spacing w:line="324" w:lineRule="auto"/>
        <w:ind w:firstLine="420"/>
        <w:rPr>
          <w:rFonts w:hint="eastAsia"/>
          <w:sz w:val="24"/>
          <w:szCs w:val="24"/>
          <w:lang w:val="en-US" w:eastAsia="zh-CN"/>
        </w:rPr>
      </w:pPr>
      <w:r>
        <w:rPr>
          <w:rFonts w:hint="eastAsia"/>
          <w:sz w:val="24"/>
          <w:szCs w:val="24"/>
          <w:lang w:val="en-US" w:eastAsia="zh-CN"/>
        </w:rPr>
        <w:t>1）目前没有对摩擦磨损类</w:t>
      </w:r>
      <w:r>
        <w:rPr>
          <w:rFonts w:hint="eastAsia"/>
          <w:sz w:val="24"/>
          <w:szCs w:val="24"/>
        </w:rPr>
        <w:t>试验</w:t>
      </w:r>
      <w:r>
        <w:rPr>
          <w:rFonts w:hint="eastAsia"/>
          <w:sz w:val="24"/>
          <w:szCs w:val="24"/>
          <w:lang w:val="en-US" w:eastAsia="zh-CN"/>
        </w:rPr>
        <w:t>机进行校准的规范性文件。</w:t>
      </w:r>
    </w:p>
    <w:p>
      <w:pPr>
        <w:pStyle w:val="57"/>
        <w:spacing w:line="324" w:lineRule="auto"/>
        <w:ind w:firstLine="420"/>
        <w:rPr>
          <w:rFonts w:hint="eastAsia"/>
          <w:sz w:val="24"/>
          <w:szCs w:val="24"/>
          <w:lang w:val="en-US" w:eastAsia="zh-CN"/>
        </w:rPr>
      </w:pPr>
      <w:r>
        <w:rPr>
          <w:rFonts w:hint="eastAsia"/>
          <w:sz w:val="24"/>
          <w:szCs w:val="24"/>
          <w:lang w:val="en-US" w:eastAsia="zh-CN"/>
        </w:rPr>
        <w:t>2）为满足有摩擦磨损及磨耗试验方法中对试验机的校准要求。</w:t>
      </w:r>
    </w:p>
    <w:p>
      <w:pPr>
        <w:pStyle w:val="57"/>
        <w:spacing w:line="324" w:lineRule="auto"/>
        <w:ind w:firstLine="420"/>
        <w:rPr>
          <w:rFonts w:hint="eastAsia"/>
          <w:sz w:val="24"/>
          <w:szCs w:val="24"/>
        </w:rPr>
      </w:pPr>
      <w:r>
        <w:rPr>
          <w:rFonts w:hint="eastAsia"/>
          <w:sz w:val="24"/>
          <w:szCs w:val="24"/>
          <w:lang w:val="en-US" w:eastAsia="zh-CN"/>
        </w:rPr>
        <w:t>3）通过对摩擦磨损</w:t>
      </w:r>
      <w:r>
        <w:rPr>
          <w:rFonts w:hint="eastAsia"/>
          <w:sz w:val="24"/>
          <w:szCs w:val="24"/>
        </w:rPr>
        <w:t>试验</w:t>
      </w:r>
      <w:r>
        <w:rPr>
          <w:rFonts w:hint="eastAsia"/>
          <w:sz w:val="24"/>
          <w:szCs w:val="24"/>
          <w:lang w:val="en-US" w:eastAsia="zh-CN"/>
        </w:rPr>
        <w:t>机进行校准，提高对耐磨材料的质量把控及溯源性。</w:t>
      </w:r>
    </w:p>
    <w:p>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r>
        <w:rPr>
          <w:rFonts w:hint="eastAsia" w:hAnsi="黑体"/>
          <w:sz w:val="24"/>
          <w:szCs w:val="24"/>
          <w:lang w:val="en-US" w:eastAsia="zh-CN"/>
        </w:rPr>
        <w:t xml:space="preserve">2 </w:t>
      </w:r>
      <w:r>
        <w:rPr>
          <w:rFonts w:hint="eastAsia" w:hAnsi="黑体"/>
          <w:sz w:val="24"/>
          <w:szCs w:val="24"/>
        </w:rPr>
        <w:t>规范性引用文件</w:t>
      </w:r>
    </w:p>
    <w:p>
      <w:pPr>
        <w:pStyle w:val="57"/>
        <w:spacing w:line="324" w:lineRule="auto"/>
        <w:ind w:firstLine="420"/>
        <w:rPr>
          <w:rFonts w:hint="default" w:ascii="Times New Roman"/>
          <w:b/>
          <w:bCs/>
          <w:sz w:val="24"/>
          <w:szCs w:val="24"/>
          <w:lang w:val="en-US" w:eastAsia="zh-CN"/>
        </w:rPr>
      </w:pPr>
      <w:r>
        <w:rPr>
          <w:rFonts w:hint="eastAsia"/>
          <w:sz w:val="24"/>
          <w:szCs w:val="24"/>
          <w:lang w:val="en-US" w:eastAsia="zh-CN"/>
        </w:rPr>
        <w:t>（无）。</w:t>
      </w:r>
    </w:p>
    <w:p>
      <w:pPr>
        <w:pStyle w:val="57"/>
        <w:spacing w:line="324" w:lineRule="auto"/>
        <w:ind w:left="0" w:leftChars="0" w:firstLine="0" w:firstLineChars="0"/>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3 概述</w:t>
      </w:r>
    </w:p>
    <w:p>
      <w:pPr>
        <w:pStyle w:val="57"/>
        <w:spacing w:line="324" w:lineRule="auto"/>
        <w:ind w:left="0" w:leftChars="0" w:firstLine="480" w:firstLineChars="200"/>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阐述</w:t>
      </w:r>
      <w:r>
        <w:rPr>
          <w:sz w:val="24"/>
          <w:szCs w:val="24"/>
        </w:rPr>
        <w:t>数字温度指示调节仪</w:t>
      </w:r>
      <w:r>
        <w:rPr>
          <w:rFonts w:hint="eastAsia" w:ascii="Times New Roman" w:hAnsi="Times New Roman" w:cs="Times New Roman"/>
          <w:kern w:val="0"/>
          <w:sz w:val="24"/>
          <w:szCs w:val="24"/>
          <w:lang w:val="en-US" w:eastAsia="zh-CN"/>
        </w:rPr>
        <w:t>的工作原理及分类，并附原理图。</w:t>
      </w:r>
    </w:p>
    <w:p>
      <w:pPr>
        <w:pStyle w:val="57"/>
        <w:spacing w:line="360" w:lineRule="auto"/>
        <w:ind w:left="0" w:leftChars="0" w:firstLine="0" w:firstLineChars="0"/>
        <w:rPr>
          <w:rFonts w:hint="default"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4</w:t>
      </w:r>
      <w:r>
        <w:rPr>
          <w:rFonts w:hint="default" w:ascii="黑体" w:hAnsi="黑体" w:eastAsia="黑体" w:cs="Times New Roman"/>
          <w:sz w:val="24"/>
          <w:szCs w:val="24"/>
          <w:lang w:val="en-US" w:eastAsia="zh-CN" w:bidi="ar-SA"/>
        </w:rPr>
        <w:t xml:space="preserve"> 计量特性</w:t>
      </w:r>
    </w:p>
    <w:p>
      <w:pPr>
        <w:pStyle w:val="57"/>
        <w:numPr>
          <w:ilvl w:val="0"/>
          <w:numId w:val="0"/>
        </w:numPr>
        <w:spacing w:line="360" w:lineRule="auto"/>
        <w:ind w:firstLine="480" w:firstLineChars="200"/>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示值误差。</w:t>
      </w:r>
    </w:p>
    <w:p>
      <w:pPr>
        <w:pStyle w:val="57"/>
        <w:numPr>
          <w:ilvl w:val="0"/>
          <w:numId w:val="0"/>
        </w:numPr>
        <w:spacing w:line="360" w:lineRule="auto"/>
        <w:rPr>
          <w:rFonts w:hint="eastAsia" w:ascii="黑体" w:hAnsi="黑体" w:eastAsia="黑体" w:cs="Times New Roman"/>
          <w:sz w:val="24"/>
          <w:szCs w:val="24"/>
          <w:lang w:val="en-US" w:eastAsia="zh-CN" w:bidi="ar-SA"/>
        </w:rPr>
      </w:pPr>
      <w:r>
        <w:rPr>
          <w:rFonts w:hint="eastAsia" w:ascii="Times New Roman" w:hAnsi="Times New Roman" w:cs="Times New Roman"/>
          <w:color w:val="auto"/>
          <w:spacing w:val="0"/>
          <w:kern w:val="0"/>
          <w:sz w:val="21"/>
          <w:szCs w:val="21"/>
          <w:lang w:val="en-US" w:eastAsia="zh-CN" w:bidi="ar-SA"/>
        </w:rPr>
        <w:t>5</w:t>
      </w:r>
      <w:r>
        <w:rPr>
          <w:rFonts w:hint="eastAsia" w:ascii="黑体" w:hAnsi="黑体" w:eastAsia="黑体" w:cs="Times New Roman"/>
          <w:sz w:val="24"/>
          <w:szCs w:val="24"/>
          <w:lang w:val="en-US" w:eastAsia="zh-CN" w:bidi="ar-SA"/>
        </w:rPr>
        <w:t xml:space="preserve"> 校准条件</w:t>
      </w:r>
    </w:p>
    <w:p>
      <w:pPr>
        <w:pStyle w:val="57"/>
        <w:numPr>
          <w:ilvl w:val="0"/>
          <w:numId w:val="0"/>
        </w:numPr>
        <w:spacing w:line="360" w:lineRule="auto"/>
        <w:ind w:firstLine="480" w:firstLineChars="200"/>
        <w:rPr>
          <w:rFonts w:hint="eastAsia"/>
          <w:sz w:val="24"/>
          <w:szCs w:val="24"/>
          <w:lang w:eastAsia="zh-CN"/>
        </w:rPr>
      </w:pPr>
      <w:r>
        <w:rPr>
          <w:rFonts w:hint="eastAsia"/>
          <w:sz w:val="24"/>
          <w:szCs w:val="24"/>
        </w:rPr>
        <w:t>规定了</w:t>
      </w:r>
      <w:r>
        <w:rPr>
          <w:sz w:val="24"/>
          <w:szCs w:val="24"/>
        </w:rPr>
        <w:t>数字温度指示调节仪</w:t>
      </w:r>
      <w:r>
        <w:rPr>
          <w:rFonts w:hint="eastAsia"/>
          <w:sz w:val="24"/>
          <w:szCs w:val="24"/>
        </w:rPr>
        <w:t>校准的环境条件</w:t>
      </w:r>
      <w:r>
        <w:rPr>
          <w:rFonts w:hint="eastAsia"/>
          <w:sz w:val="24"/>
          <w:szCs w:val="24"/>
          <w:lang w:eastAsia="zh-CN"/>
        </w:rPr>
        <w:t>。</w:t>
      </w:r>
    </w:p>
    <w:p>
      <w:pPr>
        <w:pStyle w:val="57"/>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pPr>
        <w:pStyle w:val="57"/>
        <w:numPr>
          <w:ilvl w:val="0"/>
          <w:numId w:val="14"/>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经对实验室实际工作环境进行调研得出</w:t>
      </w:r>
      <w:r>
        <w:rPr>
          <w:rFonts w:hint="eastAsia" w:ascii="Times New Roman" w:hAnsi="Times New Roman"/>
          <w:color w:val="000000" w:themeColor="text1"/>
          <w:sz w:val="24"/>
          <w:szCs w:val="24"/>
          <w14:textFill>
            <w14:solidFill>
              <w14:schemeClr w14:val="tx1"/>
            </w14:solidFill>
          </w14:textFill>
        </w:rPr>
        <w:t>。</w:t>
      </w:r>
    </w:p>
    <w:p>
      <w:pPr>
        <w:pStyle w:val="57"/>
        <w:numPr>
          <w:ilvl w:val="0"/>
          <w:numId w:val="0"/>
        </w:numPr>
        <w:spacing w:line="360" w:lineRule="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6 测量标准</w:t>
      </w:r>
    </w:p>
    <w:p>
      <w:pPr>
        <w:pStyle w:val="57"/>
        <w:numPr>
          <w:ilvl w:val="0"/>
          <w:numId w:val="0"/>
        </w:numPr>
        <w:spacing w:line="360" w:lineRule="auto"/>
        <w:ind w:firstLine="480" w:firstLineChars="200"/>
        <w:rPr>
          <w:rFonts w:hint="eastAsia" w:ascii="Times New Roman" w:hAnsi="Times New Roman" w:cs="Times New Roman"/>
          <w:sz w:val="24"/>
          <w:szCs w:val="24"/>
          <w:lang w:val="en-US" w:eastAsia="zh-CN"/>
        </w:rPr>
      </w:pPr>
      <w:r>
        <w:rPr>
          <w:rFonts w:hint="eastAsia"/>
          <w:sz w:val="24"/>
          <w:szCs w:val="24"/>
        </w:rPr>
        <w:t>规定了</w:t>
      </w:r>
      <w:r>
        <w:rPr>
          <w:sz w:val="24"/>
          <w:szCs w:val="24"/>
        </w:rPr>
        <w:t>数字温度指示调节仪</w:t>
      </w:r>
      <w:r>
        <w:rPr>
          <w:rFonts w:hint="eastAsia"/>
          <w:sz w:val="24"/>
          <w:szCs w:val="24"/>
        </w:rPr>
        <w:t>校准使用的主要</w:t>
      </w:r>
      <w:r>
        <w:rPr>
          <w:rFonts w:hint="eastAsia" w:ascii="Times New Roman" w:hAnsi="Times New Roman"/>
          <w:color w:val="000000" w:themeColor="text1"/>
          <w:sz w:val="24"/>
          <w:szCs w:val="24"/>
          <w14:textFill>
            <w14:solidFill>
              <w14:schemeClr w14:val="tx1"/>
            </w14:solidFill>
          </w14:textFill>
        </w:rPr>
        <w:t>标准器及其他配套设备。</w:t>
      </w:r>
    </w:p>
    <w:p>
      <w:pPr>
        <w:pStyle w:val="57"/>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pPr>
        <w:pStyle w:val="57"/>
        <w:numPr>
          <w:ilvl w:val="0"/>
          <w:numId w:val="0"/>
        </w:numPr>
        <w:spacing w:line="360" w:lineRule="auto"/>
        <w:ind w:firstLine="480" w:firstLineChars="200"/>
        <w:rPr>
          <w:rFonts w:hint="eastAsia"/>
          <w:color w:val="000000"/>
          <w:sz w:val="24"/>
          <w:szCs w:val="24"/>
          <w:lang w:bidi="zh-TW"/>
        </w:rPr>
      </w:pPr>
      <w:r>
        <w:rPr>
          <w:rFonts w:hint="eastAsia" w:ascii="Times New Roman" w:hAnsi="Times New Roman"/>
          <w:color w:val="000000" w:themeColor="text1"/>
          <w:sz w:val="24"/>
          <w:szCs w:val="24"/>
          <w14:textFill>
            <w14:solidFill>
              <w14:schemeClr w14:val="tx1"/>
            </w14:solidFill>
          </w14:textFill>
        </w:rPr>
        <w:t>对主要标准器及配套设备的技术指标作出说明，为实现计量工作正常有效开展，保证设备正常工作、实现量值统一、建立计量溯源性提供依据。</w:t>
      </w:r>
      <w:r>
        <w:rPr>
          <w:rFonts w:hint="eastAsia"/>
          <w:color w:val="000000"/>
          <w:sz w:val="24"/>
          <w:szCs w:val="24"/>
          <w:lang w:val="zh-TW" w:eastAsia="zh-TW" w:bidi="zh-TW"/>
        </w:rPr>
        <w:t>测量标准器</w:t>
      </w:r>
      <w:r>
        <w:rPr>
          <w:color w:val="000000"/>
          <w:sz w:val="24"/>
          <w:szCs w:val="24"/>
          <w:lang w:val="zh-TW" w:eastAsia="zh-TW" w:bidi="zh-TW"/>
        </w:rPr>
        <w:t>温度传感器的数量应满足校准布点要求，</w:t>
      </w:r>
      <w:r>
        <w:rPr>
          <w:rFonts w:hint="eastAsia"/>
          <w:color w:val="000000"/>
          <w:sz w:val="24"/>
          <w:szCs w:val="24"/>
          <w:lang w:val="en-US" w:eastAsia="zh-CN" w:bidi="zh-TW"/>
        </w:rPr>
        <w:t>具体</w:t>
      </w:r>
      <w:r>
        <w:rPr>
          <w:color w:val="000000"/>
          <w:sz w:val="24"/>
          <w:szCs w:val="24"/>
          <w:lang w:val="zh-TW" w:eastAsia="zh-TW" w:bidi="zh-TW"/>
        </w:rPr>
        <w:t>的</w:t>
      </w:r>
      <w:r>
        <w:rPr>
          <w:rFonts w:hint="eastAsia"/>
          <w:color w:val="000000"/>
          <w:sz w:val="24"/>
          <w:szCs w:val="24"/>
          <w:lang w:val="zh-TW" w:bidi="zh-TW"/>
        </w:rPr>
        <w:t>测量</w:t>
      </w:r>
      <w:r>
        <w:rPr>
          <w:color w:val="000000"/>
          <w:sz w:val="24"/>
          <w:szCs w:val="24"/>
          <w:lang w:val="zh-TW" w:eastAsia="zh-TW" w:bidi="zh-TW"/>
        </w:rPr>
        <w:t>标准技术指标见</w:t>
      </w:r>
      <w:r>
        <w:rPr>
          <w:rFonts w:hint="eastAsia"/>
          <w:color w:val="000000"/>
          <w:sz w:val="24"/>
          <w:szCs w:val="24"/>
          <w:lang w:val="zh-TW" w:bidi="zh-TW"/>
        </w:rPr>
        <w:t>表</w:t>
      </w:r>
      <w:r>
        <w:rPr>
          <w:rFonts w:hint="eastAsia"/>
          <w:color w:val="000000"/>
          <w:sz w:val="24"/>
          <w:szCs w:val="24"/>
          <w:lang w:val="en-US" w:eastAsia="zh-CN" w:bidi="zh-TW"/>
        </w:rPr>
        <w:t>1</w:t>
      </w:r>
      <w:r>
        <w:rPr>
          <w:rFonts w:hint="eastAsia"/>
          <w:color w:val="000000"/>
          <w:sz w:val="24"/>
          <w:szCs w:val="24"/>
          <w:lang w:bidi="zh-TW"/>
        </w:rPr>
        <w:t>。</w:t>
      </w:r>
    </w:p>
    <w:p>
      <w:pPr>
        <w:spacing w:line="360" w:lineRule="auto"/>
        <w:jc w:val="center"/>
        <w:outlineLvl w:val="1"/>
        <w:rPr>
          <w:rFonts w:hint="eastAsia"/>
          <w:sz w:val="24"/>
        </w:rPr>
      </w:pPr>
      <w:r>
        <w:rPr>
          <w:rFonts w:hint="eastAsia" w:ascii="黑体" w:hAnsi="黑体" w:eastAsia="黑体" w:cs="黑体"/>
          <w:szCs w:val="21"/>
        </w:rPr>
        <w:t>表</w:t>
      </w:r>
      <w:r>
        <w:rPr>
          <w:rFonts w:hint="eastAsia" w:ascii="黑体" w:hAnsi="黑体" w:eastAsia="黑体" w:cs="黑体"/>
          <w:szCs w:val="21"/>
          <w:lang w:val="en-US" w:eastAsia="zh-CN"/>
        </w:rPr>
        <w:t>1</w:t>
      </w:r>
      <w:r>
        <w:rPr>
          <w:rFonts w:hint="eastAsia" w:ascii="黑体" w:hAnsi="黑体" w:eastAsia="黑体" w:cs="黑体"/>
          <w:szCs w:val="21"/>
        </w:rPr>
        <w:t xml:space="preserve"> 测量标准</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3627"/>
        <w:gridCol w:w="244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center"/>
          </w:tcPr>
          <w:p>
            <w:pPr>
              <w:pStyle w:val="60"/>
              <w:widowControl w:val="0"/>
              <w:numPr>
                <w:ilvl w:val="0"/>
                <w:numId w:val="0"/>
              </w:numPr>
              <w:spacing w:before="0" w:beforeLines="0" w:after="0" w:afterLines="0" w:line="360" w:lineRule="auto"/>
              <w:jc w:val="center"/>
              <w:rPr>
                <w:rFonts w:ascii="Times New Roman" w:eastAsia="宋体"/>
                <w:szCs w:val="21"/>
              </w:rPr>
            </w:pPr>
            <w:r>
              <w:rPr>
                <w:rFonts w:ascii="Times New Roman" w:eastAsia="宋体"/>
                <w:szCs w:val="21"/>
              </w:rPr>
              <w:t>设备名称</w:t>
            </w:r>
          </w:p>
        </w:tc>
        <w:tc>
          <w:tcPr>
            <w:tcW w:w="3627" w:type="dxa"/>
            <w:noWrap w:val="0"/>
            <w:vAlign w:val="center"/>
          </w:tcPr>
          <w:p>
            <w:pPr>
              <w:pStyle w:val="60"/>
              <w:widowControl w:val="0"/>
              <w:numPr>
                <w:ilvl w:val="0"/>
                <w:numId w:val="0"/>
              </w:numPr>
              <w:spacing w:before="0" w:beforeLines="0" w:after="0" w:afterLines="0" w:line="360" w:lineRule="auto"/>
              <w:jc w:val="center"/>
              <w:rPr>
                <w:rFonts w:ascii="Times New Roman" w:eastAsia="宋体"/>
                <w:szCs w:val="21"/>
              </w:rPr>
            </w:pPr>
            <w:r>
              <w:rPr>
                <w:rFonts w:hint="default" w:ascii="Times New Roman" w:eastAsia="宋体"/>
                <w:szCs w:val="21"/>
                <w:lang w:val="en-US" w:eastAsia="zh-CN"/>
              </w:rPr>
              <w:t>技术</w:t>
            </w:r>
            <w:r>
              <w:rPr>
                <w:rFonts w:hint="eastAsia" w:ascii="Times New Roman" w:eastAsia="宋体"/>
                <w:szCs w:val="21"/>
                <w:lang w:val="en-US" w:eastAsia="zh-CN"/>
              </w:rPr>
              <w:t>要求</w:t>
            </w:r>
          </w:p>
        </w:tc>
        <w:tc>
          <w:tcPr>
            <w:tcW w:w="2440" w:type="dxa"/>
            <w:noWrap w:val="0"/>
            <w:vAlign w:val="center"/>
          </w:tcPr>
          <w:p>
            <w:pPr>
              <w:pStyle w:val="60"/>
              <w:widowControl w:val="0"/>
              <w:numPr>
                <w:ilvl w:val="0"/>
                <w:numId w:val="0"/>
              </w:numPr>
              <w:spacing w:before="0" w:beforeLines="0" w:after="0" w:afterLines="0" w:line="360" w:lineRule="auto"/>
              <w:jc w:val="center"/>
              <w:rPr>
                <w:rFonts w:ascii="Times New Roman" w:eastAsia="宋体"/>
                <w:szCs w:val="21"/>
              </w:rPr>
            </w:pPr>
            <w:r>
              <w:rPr>
                <w:rFonts w:hint="eastAsia" w:ascii="Times New Roman" w:hAnsi="Times New Roman" w:eastAsia="宋体" w:cs="Times New Roman"/>
                <w:sz w:val="21"/>
                <w:szCs w:val="21"/>
                <w:vertAlign w:val="baseline"/>
                <w:lang w:val="en-US" w:eastAsia="zh-CN"/>
              </w:rPr>
              <w:t>用途</w:t>
            </w:r>
          </w:p>
        </w:tc>
        <w:tc>
          <w:tcPr>
            <w:tcW w:w="1790" w:type="dxa"/>
            <w:noWrap w:val="0"/>
            <w:vAlign w:val="center"/>
          </w:tcPr>
          <w:p>
            <w:pPr>
              <w:pStyle w:val="60"/>
              <w:widowControl w:val="0"/>
              <w:numPr>
                <w:ilvl w:val="0"/>
                <w:numId w:val="0"/>
              </w:numPr>
              <w:spacing w:before="0" w:beforeLines="0" w:after="0" w:afterLines="0" w:line="360" w:lineRule="auto"/>
              <w:jc w:val="center"/>
              <w:rPr>
                <w:rFonts w:ascii="Times New Roman" w:eastAsia="宋体"/>
                <w:szCs w:val="21"/>
              </w:rPr>
            </w:pPr>
            <w:r>
              <w:rPr>
                <w:rFonts w:ascii="Times New Roman"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center"/>
          </w:tcPr>
          <w:p>
            <w:pPr>
              <w:pStyle w:val="60"/>
              <w:widowControl w:val="0"/>
              <w:numPr>
                <w:ilvl w:val="0"/>
                <w:numId w:val="0"/>
              </w:numPr>
              <w:spacing w:before="0" w:beforeLines="0" w:after="0" w:afterLines="0" w:line="360" w:lineRule="auto"/>
              <w:jc w:val="center"/>
              <w:rPr>
                <w:rFonts w:hint="default" w:ascii="Times New Roman" w:eastAsia="宋体"/>
                <w:szCs w:val="21"/>
                <w:highlight w:val="none"/>
                <w:lang w:val="en-US"/>
              </w:rPr>
            </w:pPr>
            <w:r>
              <w:rPr>
                <w:rFonts w:hint="eastAsia" w:ascii="Times New Roman" w:eastAsia="宋体"/>
                <w:szCs w:val="21"/>
                <w:highlight w:val="none"/>
                <w:lang w:val="en-US" w:eastAsia="zh-CN"/>
              </w:rPr>
              <w:t>温度校准仪</w:t>
            </w:r>
          </w:p>
        </w:tc>
        <w:tc>
          <w:tcPr>
            <w:tcW w:w="3627" w:type="dxa"/>
            <w:noWrap w:val="0"/>
            <w:vAlign w:val="center"/>
          </w:tcPr>
          <w:p>
            <w:pPr>
              <w:pStyle w:val="60"/>
              <w:widowControl w:val="0"/>
              <w:numPr>
                <w:ilvl w:val="0"/>
                <w:numId w:val="0"/>
              </w:numPr>
              <w:spacing w:before="0" w:beforeLines="0" w:after="0" w:afterLines="0" w:line="360" w:lineRule="auto"/>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模拟热电偶或热电阻输出</w:t>
            </w:r>
          </w:p>
          <w:p>
            <w:pPr>
              <w:pStyle w:val="57"/>
              <w:rPr>
                <w:rFonts w:hint="eastAsia"/>
                <w:lang w:val="en-US" w:eastAsia="zh-CN"/>
              </w:rPr>
            </w:pPr>
            <w:r>
              <w:rPr>
                <w:rFonts w:hint="eastAsia"/>
                <w:lang w:val="en-US" w:eastAsia="zh-CN"/>
              </w:rPr>
              <w:t>准确度等级：不低于0.02级</w:t>
            </w:r>
          </w:p>
          <w:p>
            <w:pPr>
              <w:pStyle w:val="57"/>
              <w:rPr>
                <w:rFonts w:hint="default"/>
                <w:lang w:val="en-US" w:eastAsia="zh-CN"/>
              </w:rPr>
            </w:pPr>
            <w:r>
              <w:rPr>
                <w:rFonts w:hint="eastAsia"/>
                <w:lang w:val="en-US" w:eastAsia="zh-CN"/>
              </w:rPr>
              <w:t>模拟范围：-200</w:t>
            </w:r>
            <w:r>
              <w:rPr>
                <w:rFonts w:hint="default" w:ascii="Times New Roman" w:hAnsi="Times New Roman" w:cs="Times New Roman"/>
                <w:lang w:val="en-US" w:eastAsia="zh-CN"/>
              </w:rPr>
              <w:t>~</w:t>
            </w:r>
            <w:r>
              <w:rPr>
                <w:rFonts w:hint="eastAsia"/>
                <w:lang w:val="en-US" w:eastAsia="zh-CN"/>
              </w:rPr>
              <w:t>2300</w:t>
            </w:r>
          </w:p>
        </w:tc>
        <w:tc>
          <w:tcPr>
            <w:tcW w:w="2440" w:type="dxa"/>
            <w:noWrap w:val="0"/>
            <w:vAlign w:val="center"/>
          </w:tcPr>
          <w:p>
            <w:pPr>
              <w:pStyle w:val="60"/>
              <w:widowControl w:val="0"/>
              <w:numPr>
                <w:ilvl w:val="0"/>
                <w:numId w:val="0"/>
              </w:numPr>
              <w:spacing w:before="0" w:beforeLines="0" w:after="0" w:afterLines="0" w:line="360" w:lineRule="auto"/>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模拟热电偶或热电阻的输出，作为校准配热电偶或热电阻仪表的标准信号源</w:t>
            </w:r>
          </w:p>
        </w:tc>
        <w:tc>
          <w:tcPr>
            <w:tcW w:w="1790" w:type="dxa"/>
            <w:noWrap w:val="0"/>
            <w:vAlign w:val="center"/>
          </w:tcPr>
          <w:p>
            <w:pPr>
              <w:pStyle w:val="60"/>
              <w:widowControl w:val="0"/>
              <w:numPr>
                <w:ilvl w:val="0"/>
                <w:numId w:val="0"/>
              </w:numPr>
              <w:spacing w:before="0" w:beforeLines="0" w:after="0" w:afterLines="0" w:line="360" w:lineRule="auto"/>
              <w:jc w:val="center"/>
              <w:rPr>
                <w:rFonts w:hint="eastAsia" w:ascii="Times New Roman" w:eastAsia="宋体"/>
                <w:szCs w:val="21"/>
                <w:highlight w:val="none"/>
                <w:lang w:val="en-US" w:eastAsia="zh-CN"/>
              </w:rPr>
            </w:pPr>
            <w:r>
              <w:rPr>
                <w:rFonts w:hint="eastAsia" w:ascii="Times New Roman" w:eastAsia="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center"/>
          </w:tcPr>
          <w:p>
            <w:pPr>
              <w:pStyle w:val="60"/>
              <w:widowControl w:val="0"/>
              <w:numPr>
                <w:ilvl w:val="0"/>
                <w:numId w:val="0"/>
              </w:numPr>
              <w:spacing w:before="0" w:beforeLines="0" w:after="0" w:afterLines="0" w:line="360" w:lineRule="auto"/>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补偿导线</w:t>
            </w:r>
          </w:p>
        </w:tc>
        <w:tc>
          <w:tcPr>
            <w:tcW w:w="3627" w:type="dxa"/>
            <w:noWrap w:val="0"/>
            <w:vAlign w:val="center"/>
          </w:tcPr>
          <w:p>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应与被校热电偶分度号相匹配，并经校准具有校准时仪表所处环境温度的修正值。</w:t>
            </w:r>
          </w:p>
        </w:tc>
        <w:tc>
          <w:tcPr>
            <w:tcW w:w="2440" w:type="dxa"/>
            <w:noWrap w:val="0"/>
            <w:vAlign w:val="center"/>
          </w:tcPr>
          <w:p>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校准具有热电偶参考端温度自动补偿仪表时用的专用连线</w:t>
            </w:r>
          </w:p>
        </w:tc>
        <w:tc>
          <w:tcPr>
            <w:tcW w:w="1790" w:type="dxa"/>
            <w:noWrap w:val="0"/>
            <w:vAlign w:val="center"/>
          </w:tcPr>
          <w:p>
            <w:pPr>
              <w:pStyle w:val="60"/>
              <w:widowControl w:val="0"/>
              <w:numPr>
                <w:ilvl w:val="0"/>
                <w:numId w:val="0"/>
              </w:numPr>
              <w:spacing w:before="0" w:beforeLines="0" w:after="0" w:afterLines="0" w:line="360" w:lineRule="auto"/>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center"/>
          </w:tcPr>
          <w:p>
            <w:pPr>
              <w:pStyle w:val="60"/>
              <w:widowControl w:val="0"/>
              <w:numPr>
                <w:ilvl w:val="0"/>
                <w:numId w:val="0"/>
              </w:numPr>
              <w:spacing w:before="0" w:beforeLines="0" w:after="0" w:afterLines="0" w:line="360" w:lineRule="auto"/>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零度恒温器</w:t>
            </w:r>
          </w:p>
        </w:tc>
        <w:tc>
          <w:tcPr>
            <w:tcW w:w="3627" w:type="dxa"/>
            <w:noWrap w:val="0"/>
            <w:vAlign w:val="center"/>
          </w:tcPr>
          <w:p>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温度偏差不超过±0.05℃</w:t>
            </w:r>
          </w:p>
        </w:tc>
        <w:tc>
          <w:tcPr>
            <w:tcW w:w="2440" w:type="dxa"/>
            <w:noWrap w:val="0"/>
            <w:vAlign w:val="center"/>
          </w:tcPr>
          <w:p>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校准仪表时使用</w:t>
            </w:r>
          </w:p>
        </w:tc>
        <w:tc>
          <w:tcPr>
            <w:tcW w:w="1790" w:type="dxa"/>
            <w:noWrap w:val="0"/>
            <w:vAlign w:val="center"/>
          </w:tcPr>
          <w:p>
            <w:pPr>
              <w:pStyle w:val="60"/>
              <w:widowControl w:val="0"/>
              <w:numPr>
                <w:ilvl w:val="0"/>
                <w:numId w:val="0"/>
              </w:numPr>
              <w:spacing w:before="0" w:beforeLines="0" w:after="0" w:afterLines="0" w:line="360" w:lineRule="auto"/>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可用冰点槽代替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center"/>
          </w:tcPr>
          <w:p>
            <w:pPr>
              <w:pStyle w:val="60"/>
              <w:widowControl w:val="0"/>
              <w:numPr>
                <w:ilvl w:val="0"/>
                <w:numId w:val="0"/>
              </w:numPr>
              <w:spacing w:before="0" w:beforeLines="0" w:after="0" w:afterLines="0" w:line="360" w:lineRule="auto"/>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连接导线</w:t>
            </w:r>
          </w:p>
        </w:tc>
        <w:tc>
          <w:tcPr>
            <w:tcW w:w="3627" w:type="dxa"/>
            <w:noWrap w:val="0"/>
            <w:vAlign w:val="center"/>
          </w:tcPr>
          <w:p>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三线制连接时，三根导线电阻之差应尽可能小，在阻值无明确规定时，可在同一根铜导线上等长度（通常不超过1m）截取三段作为连接导线。</w:t>
            </w:r>
          </w:p>
        </w:tc>
        <w:tc>
          <w:tcPr>
            <w:tcW w:w="2440" w:type="dxa"/>
            <w:noWrap w:val="0"/>
            <w:vAlign w:val="center"/>
          </w:tcPr>
          <w:p>
            <w:pPr>
              <w:pStyle w:val="60"/>
              <w:widowControl w:val="0"/>
              <w:numPr>
                <w:ilvl w:val="0"/>
                <w:numId w:val="0"/>
              </w:numPr>
              <w:spacing w:before="0" w:beforeLines="0" w:after="0" w:afterLines="0" w:line="360" w:lineRule="auto"/>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仪表输入端与直流电阻箱或温度校准校准仪之间的连接导线</w:t>
            </w:r>
          </w:p>
        </w:tc>
        <w:tc>
          <w:tcPr>
            <w:tcW w:w="1790" w:type="dxa"/>
            <w:noWrap w:val="0"/>
            <w:vAlign w:val="center"/>
          </w:tcPr>
          <w:p>
            <w:pPr>
              <w:pStyle w:val="60"/>
              <w:widowControl w:val="0"/>
              <w:numPr>
                <w:ilvl w:val="0"/>
                <w:numId w:val="0"/>
              </w:numPr>
              <w:spacing w:before="0" w:beforeLines="0" w:after="0" w:afterLines="0" w:line="360" w:lineRule="auto"/>
              <w:jc w:val="center"/>
              <w:rPr>
                <w:rFonts w:hint="default" w:ascii="Times New Roman" w:eastAsia="宋体"/>
                <w:szCs w:val="21"/>
                <w:highlight w:val="none"/>
                <w:lang w:val="en-US" w:eastAsia="zh-CN"/>
              </w:rPr>
            </w:pPr>
            <w:r>
              <w:rPr>
                <w:rFonts w:hint="eastAsia" w:ascii="Times New Roman" w:eastAsia="宋体"/>
                <w:szCs w:val="21"/>
                <w:highlight w:val="none"/>
                <w:lang w:val="en-US" w:eastAsia="zh-CN"/>
              </w:rPr>
              <w:t>/</w:t>
            </w:r>
          </w:p>
        </w:tc>
      </w:tr>
    </w:tbl>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textAlignment w:val="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 xml:space="preserve">7 </w:t>
      </w:r>
      <w:bookmarkStart w:id="25" w:name="_Toc29120"/>
      <w:bookmarkStart w:id="26" w:name="_Toc193619058"/>
      <w:bookmarkStart w:id="27" w:name="_Toc23784569"/>
      <w:bookmarkStart w:id="28" w:name="_Toc23784668"/>
      <w:bookmarkStart w:id="29" w:name="_Toc193619100"/>
      <w:bookmarkStart w:id="30" w:name="_Toc193860185"/>
      <w:bookmarkStart w:id="31" w:name="_Toc31671"/>
      <w:bookmarkStart w:id="32" w:name="_Toc193618955"/>
      <w:bookmarkStart w:id="33" w:name="_Toc27992_WPSOffice_Level1"/>
      <w:bookmarkStart w:id="34" w:name="_Toc193860216"/>
      <w:bookmarkStart w:id="35" w:name="_Toc23785566"/>
      <w:bookmarkStart w:id="36" w:name="_Toc193860035"/>
      <w:bookmarkStart w:id="37" w:name="_Toc25298"/>
      <w:bookmarkStart w:id="38" w:name="_Toc5198"/>
      <w:r>
        <w:rPr>
          <w:rFonts w:hint="eastAsia" w:ascii="黑体" w:hAnsi="黑体" w:eastAsia="黑体" w:cs="Times New Roman"/>
          <w:sz w:val="24"/>
          <w:szCs w:val="24"/>
          <w:lang w:val="en-US" w:eastAsia="zh-CN" w:bidi="ar-SA"/>
        </w:rPr>
        <w:t>校准项目和校准方法</w:t>
      </w:r>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57"/>
        <w:numPr>
          <w:ilvl w:val="0"/>
          <w:numId w:val="0"/>
        </w:num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对校准项目及操作方法作出说明。</w:t>
      </w:r>
    </w:p>
    <w:p>
      <w:pPr>
        <w:pStyle w:val="73"/>
        <w:numPr>
          <w:ilvl w:val="0"/>
          <w:numId w:val="11"/>
        </w:numPr>
        <w:tabs>
          <w:tab w:val="left" w:pos="426"/>
        </w:tabs>
        <w:spacing w:before="312" w:beforeLines="100" w:after="312" w:afterLines="100"/>
        <w:ind w:hangingChars="200"/>
        <w:jc w:val="left"/>
        <w:rPr>
          <w:sz w:val="24"/>
          <w:szCs w:val="24"/>
        </w:rPr>
      </w:pPr>
      <w:r>
        <w:rPr>
          <w:rFonts w:hint="eastAsia"/>
          <w:sz w:val="24"/>
          <w:szCs w:val="24"/>
        </w:rPr>
        <w:t>实践检测情况</w:t>
      </w:r>
      <w:bookmarkEnd w:id="24"/>
    </w:p>
    <w:p>
      <w:pPr>
        <w:ind w:firstLine="480" w:firstLineChars="200"/>
        <w:rPr>
          <w:rFonts w:hint="eastAsia"/>
          <w:sz w:val="24"/>
          <w:szCs w:val="24"/>
        </w:rPr>
      </w:pPr>
      <w:r>
        <w:rPr>
          <w:rFonts w:hint="eastAsia"/>
          <w:sz w:val="24"/>
          <w:szCs w:val="24"/>
        </w:rPr>
        <w:t>国标（北京）检验认证有限公司根据本</w:t>
      </w:r>
      <w:r>
        <w:rPr>
          <w:rFonts w:hint="eastAsia"/>
          <w:sz w:val="24"/>
          <w:szCs w:val="24"/>
          <w:lang w:val="en-US" w:eastAsia="zh-CN"/>
        </w:rPr>
        <w:t>规范</w:t>
      </w:r>
      <w:r>
        <w:rPr>
          <w:rFonts w:hint="eastAsia"/>
          <w:sz w:val="24"/>
          <w:szCs w:val="24"/>
        </w:rPr>
        <w:t>对</w:t>
      </w:r>
      <w:r>
        <w:rPr>
          <w:sz w:val="24"/>
          <w:szCs w:val="24"/>
        </w:rPr>
        <w:t>数字温度指示调节仪</w:t>
      </w:r>
      <w:r>
        <w:rPr>
          <w:rFonts w:hint="eastAsia"/>
          <w:sz w:val="24"/>
          <w:szCs w:val="24"/>
        </w:rPr>
        <w:t>进行了全计量特性的校准，内容详见校准报告。</w:t>
      </w:r>
    </w:p>
    <w:bookmarkEnd w:id="1"/>
    <w:p>
      <w:pPr>
        <w:pStyle w:val="73"/>
        <w:numPr>
          <w:ilvl w:val="0"/>
          <w:numId w:val="11"/>
        </w:numPr>
        <w:tabs>
          <w:tab w:val="left" w:pos="426"/>
        </w:tabs>
        <w:spacing w:before="312" w:beforeLines="100" w:after="312" w:afterLines="100"/>
        <w:ind w:hangingChars="200"/>
        <w:jc w:val="left"/>
        <w:rPr>
          <w:sz w:val="24"/>
          <w:szCs w:val="24"/>
        </w:rPr>
      </w:pPr>
      <w:bookmarkStart w:id="39" w:name="_Toc464728965"/>
      <w:r>
        <w:rPr>
          <w:rFonts w:hint="eastAsia"/>
          <w:sz w:val="24"/>
          <w:szCs w:val="24"/>
        </w:rPr>
        <w:t>标准水平分析</w:t>
      </w:r>
      <w:bookmarkEnd w:id="39"/>
    </w:p>
    <w:p>
      <w:pPr>
        <w:rPr>
          <w:sz w:val="24"/>
          <w:szCs w:val="24"/>
        </w:rPr>
      </w:pPr>
      <w:r>
        <w:rPr>
          <w:rFonts w:hint="eastAsia"/>
          <w:sz w:val="24"/>
          <w:szCs w:val="24"/>
        </w:rPr>
        <w:t xml:space="preserve">    本</w:t>
      </w:r>
      <w:r>
        <w:rPr>
          <w:rFonts w:hint="eastAsia"/>
          <w:sz w:val="24"/>
          <w:szCs w:val="24"/>
          <w:lang w:eastAsia="zh-CN"/>
        </w:rPr>
        <w:t>规范</w:t>
      </w:r>
      <w:r>
        <w:rPr>
          <w:rFonts w:hint="eastAsia"/>
          <w:sz w:val="24"/>
          <w:szCs w:val="24"/>
        </w:rPr>
        <w:t>的制定填补了有色金属行业用</w:t>
      </w:r>
      <w:r>
        <w:rPr>
          <w:sz w:val="24"/>
          <w:szCs w:val="24"/>
        </w:rPr>
        <w:t>数字温度指示调节仪</w:t>
      </w:r>
      <w:r>
        <w:rPr>
          <w:rFonts w:hint="eastAsia"/>
          <w:sz w:val="24"/>
          <w:szCs w:val="24"/>
        </w:rPr>
        <w:t>的</w:t>
      </w:r>
      <w:r>
        <w:rPr>
          <w:rFonts w:hint="eastAsia"/>
          <w:sz w:val="24"/>
          <w:szCs w:val="24"/>
          <w:lang w:val="en-US" w:eastAsia="zh-CN"/>
        </w:rPr>
        <w:t>校准示值误差范围要求</w:t>
      </w:r>
      <w:r>
        <w:rPr>
          <w:rFonts w:hint="eastAsia"/>
          <w:sz w:val="24"/>
          <w:szCs w:val="24"/>
        </w:rPr>
        <w:t>，属于国内首创，水平达到国内领先。</w:t>
      </w:r>
    </w:p>
    <w:p>
      <w:pPr>
        <w:pStyle w:val="73"/>
        <w:numPr>
          <w:ilvl w:val="0"/>
          <w:numId w:val="11"/>
        </w:numPr>
        <w:tabs>
          <w:tab w:val="left" w:pos="426"/>
        </w:tabs>
        <w:spacing w:before="312" w:beforeLines="100" w:after="312" w:afterLines="100"/>
        <w:ind w:hangingChars="200"/>
        <w:jc w:val="left"/>
        <w:rPr>
          <w:sz w:val="24"/>
          <w:szCs w:val="24"/>
        </w:rPr>
      </w:pPr>
      <w:bookmarkStart w:id="40" w:name="_Toc464728972"/>
      <w:r>
        <w:rPr>
          <w:rFonts w:hint="eastAsia"/>
          <w:sz w:val="24"/>
          <w:szCs w:val="24"/>
        </w:rPr>
        <w:t>与现行相关法律、法规、规章及相关规范，特别是</w:t>
      </w:r>
      <w:r>
        <w:rPr>
          <w:rFonts w:hint="eastAsia"/>
          <w:sz w:val="24"/>
          <w:szCs w:val="24"/>
          <w:lang w:eastAsia="zh-CN"/>
        </w:rPr>
        <w:t>规范</w:t>
      </w:r>
      <w:r>
        <w:rPr>
          <w:rFonts w:hint="eastAsia"/>
          <w:sz w:val="24"/>
          <w:szCs w:val="24"/>
        </w:rPr>
        <w:t>的协调性</w:t>
      </w:r>
      <w:bookmarkEnd w:id="40"/>
    </w:p>
    <w:p>
      <w:pPr>
        <w:pStyle w:val="57"/>
        <w:spacing w:line="300" w:lineRule="auto"/>
        <w:rPr>
          <w:sz w:val="24"/>
          <w:szCs w:val="24"/>
        </w:rPr>
      </w:pPr>
      <w:r>
        <w:rPr>
          <w:rFonts w:hint="eastAsia"/>
          <w:sz w:val="24"/>
          <w:szCs w:val="24"/>
        </w:rPr>
        <w:t>本规范所引用的</w:t>
      </w:r>
      <w:r>
        <w:rPr>
          <w:rFonts w:hint="eastAsia"/>
          <w:sz w:val="24"/>
          <w:szCs w:val="24"/>
          <w:lang w:eastAsia="zh-CN"/>
        </w:rPr>
        <w:t>规范</w:t>
      </w:r>
      <w:r>
        <w:rPr>
          <w:rFonts w:hint="eastAsia"/>
          <w:sz w:val="24"/>
          <w:szCs w:val="24"/>
        </w:rPr>
        <w:t>及规范均为我国现行有效的计量</w:t>
      </w:r>
      <w:r>
        <w:rPr>
          <w:rFonts w:hint="eastAsia"/>
          <w:sz w:val="24"/>
          <w:szCs w:val="24"/>
          <w:lang w:eastAsia="zh-CN"/>
        </w:rPr>
        <w:t>规范</w:t>
      </w:r>
      <w:r>
        <w:rPr>
          <w:rFonts w:hint="eastAsia"/>
          <w:sz w:val="24"/>
          <w:szCs w:val="24"/>
        </w:rPr>
        <w:t>及规范，是本标准的一部分，引用这些</w:t>
      </w:r>
      <w:r>
        <w:rPr>
          <w:rFonts w:hint="eastAsia"/>
          <w:sz w:val="24"/>
          <w:szCs w:val="24"/>
          <w:lang w:eastAsia="zh-CN"/>
        </w:rPr>
        <w:t>规范</w:t>
      </w:r>
      <w:r>
        <w:rPr>
          <w:rFonts w:hint="eastAsia"/>
          <w:sz w:val="24"/>
          <w:szCs w:val="24"/>
        </w:rPr>
        <w:t>及规范后，使本规范的要求与现行的相关法律、法规、规章及相关</w:t>
      </w:r>
      <w:r>
        <w:rPr>
          <w:rFonts w:hint="eastAsia"/>
          <w:sz w:val="24"/>
          <w:szCs w:val="24"/>
          <w:lang w:eastAsia="zh-CN"/>
        </w:rPr>
        <w:t>规范</w:t>
      </w:r>
      <w:r>
        <w:rPr>
          <w:rFonts w:hint="eastAsia"/>
          <w:sz w:val="24"/>
          <w:szCs w:val="24"/>
        </w:rPr>
        <w:t>规范的关系不矛盾、不冲突，其相互关系非常协调。</w:t>
      </w:r>
    </w:p>
    <w:p>
      <w:pPr>
        <w:pStyle w:val="73"/>
        <w:numPr>
          <w:ilvl w:val="0"/>
          <w:numId w:val="11"/>
        </w:numPr>
        <w:tabs>
          <w:tab w:val="left" w:pos="426"/>
        </w:tabs>
        <w:spacing w:before="312" w:beforeLines="100" w:after="312" w:afterLines="100"/>
        <w:ind w:hangingChars="200"/>
        <w:jc w:val="left"/>
        <w:rPr>
          <w:sz w:val="24"/>
          <w:szCs w:val="24"/>
        </w:rPr>
      </w:pPr>
      <w:bookmarkStart w:id="41" w:name="_Toc464728973"/>
      <w:r>
        <w:rPr>
          <w:rFonts w:hint="eastAsia"/>
          <w:sz w:val="24"/>
          <w:szCs w:val="24"/>
        </w:rPr>
        <w:t>标准中涉及的专利或知识产权说明</w:t>
      </w:r>
      <w:bookmarkEnd w:id="41"/>
    </w:p>
    <w:p>
      <w:pPr>
        <w:pStyle w:val="57"/>
        <w:spacing w:line="300" w:lineRule="auto"/>
        <w:ind w:firstLine="420"/>
        <w:contextualSpacing/>
        <w:rPr>
          <w:sz w:val="24"/>
          <w:szCs w:val="24"/>
        </w:rPr>
      </w:pPr>
      <w:r>
        <w:rPr>
          <w:rFonts w:hint="eastAsia"/>
          <w:sz w:val="24"/>
          <w:szCs w:val="24"/>
        </w:rPr>
        <w:t>本标准不涉及任何专利或知识产权。</w:t>
      </w:r>
    </w:p>
    <w:p>
      <w:pPr>
        <w:pStyle w:val="73"/>
        <w:numPr>
          <w:ilvl w:val="0"/>
          <w:numId w:val="11"/>
        </w:numPr>
        <w:tabs>
          <w:tab w:val="left" w:pos="426"/>
        </w:tabs>
        <w:spacing w:before="312" w:beforeLines="100" w:after="312" w:afterLines="100"/>
        <w:ind w:hangingChars="200"/>
        <w:jc w:val="left"/>
        <w:rPr>
          <w:sz w:val="24"/>
          <w:szCs w:val="24"/>
        </w:rPr>
      </w:pPr>
      <w:bookmarkStart w:id="42" w:name="_Toc464728974"/>
      <w:r>
        <w:rPr>
          <w:rFonts w:hint="eastAsia"/>
          <w:sz w:val="24"/>
          <w:szCs w:val="24"/>
        </w:rPr>
        <w:t>重大分歧意见的处理经过和依据</w:t>
      </w:r>
      <w:bookmarkEnd w:id="42"/>
    </w:p>
    <w:p>
      <w:pPr>
        <w:pStyle w:val="14"/>
        <w:ind w:firstLine="420" w:firstLineChars="0"/>
        <w:jc w:val="both"/>
        <w:rPr>
          <w:rFonts w:hint="default"/>
          <w:lang w:val="en-US" w:eastAsia="zh-CN"/>
        </w:rPr>
      </w:pPr>
      <w:r>
        <w:rPr>
          <w:rFonts w:hint="eastAsia" w:ascii="宋体" w:hAnsi="宋体" w:eastAsia="宋体" w:cs="宋体"/>
          <w:sz w:val="24"/>
          <w:szCs w:val="24"/>
        </w:rPr>
        <w:t>（无）</w:t>
      </w:r>
      <w:r>
        <w:rPr>
          <w:rFonts w:hint="eastAsia"/>
          <w:lang w:val="en-US" w:eastAsia="zh-CN"/>
        </w:rPr>
        <w:t>。</w:t>
      </w:r>
    </w:p>
    <w:p>
      <w:pPr>
        <w:pStyle w:val="73"/>
        <w:numPr>
          <w:ilvl w:val="0"/>
          <w:numId w:val="11"/>
        </w:numPr>
        <w:tabs>
          <w:tab w:val="left" w:pos="426"/>
        </w:tabs>
        <w:spacing w:before="312" w:beforeLines="100" w:after="312" w:afterLines="100"/>
        <w:ind w:hangingChars="200"/>
        <w:jc w:val="left"/>
        <w:rPr>
          <w:sz w:val="24"/>
          <w:szCs w:val="24"/>
        </w:rPr>
      </w:pPr>
      <w:bookmarkStart w:id="43" w:name="_Toc464728976"/>
      <w:r>
        <w:rPr>
          <w:rFonts w:hint="eastAsia"/>
          <w:sz w:val="24"/>
          <w:szCs w:val="24"/>
        </w:rPr>
        <w:t>贯彻规范的要求和措施建议</w:t>
      </w:r>
      <w:bookmarkEnd w:id="43"/>
    </w:p>
    <w:p>
      <w:pPr>
        <w:pStyle w:val="57"/>
        <w:spacing w:line="300" w:lineRule="auto"/>
        <w:ind w:firstLine="420"/>
        <w:contextualSpacing/>
        <w:rPr>
          <w:rFonts w:hint="eastAsia"/>
          <w:sz w:val="24"/>
          <w:szCs w:val="24"/>
        </w:rPr>
      </w:pPr>
      <w:r>
        <w:rPr>
          <w:rFonts w:hint="eastAsia"/>
          <w:sz w:val="24"/>
          <w:szCs w:val="24"/>
        </w:rPr>
        <w:t>本规范发布后，中国有色金属行业协会和有色金属行业计量技术委员会应加强本规范的宣传力度，促进</w:t>
      </w:r>
      <w:r>
        <w:rPr>
          <w:sz w:val="24"/>
          <w:szCs w:val="24"/>
        </w:rPr>
        <w:t>数字温度指示调节仪</w:t>
      </w:r>
      <w:r>
        <w:rPr>
          <w:rFonts w:hint="eastAsia"/>
          <w:sz w:val="24"/>
          <w:szCs w:val="24"/>
        </w:rPr>
        <w:t>生产厂家按照设备使用情况合理选用校准</w:t>
      </w:r>
      <w:r>
        <w:rPr>
          <w:rFonts w:hint="eastAsia"/>
          <w:sz w:val="24"/>
          <w:szCs w:val="24"/>
          <w:lang w:eastAsia="zh-CN"/>
        </w:rPr>
        <w:t>规范</w:t>
      </w:r>
      <w:r>
        <w:rPr>
          <w:rFonts w:hint="eastAsia"/>
          <w:sz w:val="24"/>
          <w:szCs w:val="24"/>
        </w:rPr>
        <w:t>，以促进我国企业的技术进步和产品质量，提高我国产品在国际、国内市场的竞争能力，走出国门践行“一带一路”，有效地化解我国的</w:t>
      </w:r>
      <w:r>
        <w:rPr>
          <w:rFonts w:hint="eastAsia"/>
          <w:sz w:val="24"/>
          <w:szCs w:val="24"/>
          <w:lang w:val="en-US" w:eastAsia="zh-CN"/>
        </w:rPr>
        <w:t>有色金属</w:t>
      </w:r>
      <w:r>
        <w:rPr>
          <w:rFonts w:hint="eastAsia"/>
          <w:sz w:val="24"/>
          <w:szCs w:val="24"/>
        </w:rPr>
        <w:t>产能过剩，促进</w:t>
      </w:r>
      <w:r>
        <w:rPr>
          <w:rFonts w:hint="eastAsia"/>
          <w:sz w:val="24"/>
          <w:szCs w:val="24"/>
          <w:lang w:val="en-US" w:eastAsia="zh-CN"/>
        </w:rPr>
        <w:t>有色金属</w:t>
      </w:r>
      <w:r>
        <w:rPr>
          <w:rFonts w:hint="eastAsia"/>
          <w:sz w:val="24"/>
          <w:szCs w:val="24"/>
        </w:rPr>
        <w:t>加工产业的质量提升。</w:t>
      </w:r>
    </w:p>
    <w:p>
      <w:pPr>
        <w:pStyle w:val="73"/>
        <w:numPr>
          <w:ilvl w:val="0"/>
          <w:numId w:val="11"/>
        </w:numPr>
        <w:tabs>
          <w:tab w:val="left" w:pos="426"/>
        </w:tabs>
        <w:spacing w:before="312" w:beforeLines="100" w:after="312" w:afterLines="100"/>
        <w:ind w:hangingChars="200"/>
        <w:jc w:val="left"/>
        <w:rPr>
          <w:sz w:val="24"/>
          <w:szCs w:val="24"/>
        </w:rPr>
      </w:pPr>
      <w:bookmarkStart w:id="44" w:name="_Toc464728977"/>
      <w:r>
        <w:rPr>
          <w:rFonts w:hint="eastAsia"/>
          <w:sz w:val="24"/>
          <w:szCs w:val="24"/>
        </w:rPr>
        <w:t>废止现行有关</w:t>
      </w:r>
      <w:r>
        <w:rPr>
          <w:rFonts w:hint="eastAsia"/>
          <w:sz w:val="24"/>
          <w:szCs w:val="24"/>
          <w:lang w:eastAsia="zh-CN"/>
        </w:rPr>
        <w:t>规范</w:t>
      </w:r>
      <w:r>
        <w:rPr>
          <w:rFonts w:hint="eastAsia"/>
          <w:sz w:val="24"/>
          <w:szCs w:val="24"/>
        </w:rPr>
        <w:t>的建议</w:t>
      </w:r>
      <w:bookmarkEnd w:id="44"/>
    </w:p>
    <w:p>
      <w:pPr>
        <w:pStyle w:val="57"/>
        <w:spacing w:line="300" w:lineRule="auto"/>
        <w:ind w:firstLine="420"/>
        <w:contextualSpacing/>
        <w:rPr>
          <w:sz w:val="24"/>
          <w:szCs w:val="24"/>
        </w:rPr>
      </w:pPr>
      <w:r>
        <w:rPr>
          <w:rFonts w:hint="eastAsia"/>
          <w:sz w:val="24"/>
          <w:szCs w:val="24"/>
        </w:rPr>
        <w:t>（无）。</w:t>
      </w:r>
    </w:p>
    <w:p>
      <w:pPr>
        <w:pStyle w:val="73"/>
        <w:numPr>
          <w:ilvl w:val="0"/>
          <w:numId w:val="11"/>
        </w:numPr>
        <w:tabs>
          <w:tab w:val="left" w:pos="426"/>
        </w:tabs>
        <w:spacing w:before="312" w:beforeLines="100" w:after="312" w:afterLines="100"/>
        <w:ind w:hangingChars="200"/>
        <w:jc w:val="left"/>
        <w:rPr>
          <w:sz w:val="24"/>
          <w:szCs w:val="24"/>
        </w:rPr>
      </w:pPr>
      <w:bookmarkStart w:id="45" w:name="_Toc464728978"/>
      <w:r>
        <w:rPr>
          <w:rFonts w:hint="eastAsia"/>
          <w:sz w:val="24"/>
          <w:szCs w:val="24"/>
        </w:rPr>
        <w:t>产业化情况、推广应用论证和预期达到的经济效果</w:t>
      </w:r>
      <w:bookmarkEnd w:id="45"/>
    </w:p>
    <w:p>
      <w:pPr>
        <w:spacing w:line="300" w:lineRule="auto"/>
        <w:ind w:firstLine="480" w:firstLineChars="200"/>
        <w:contextualSpacing/>
        <w:jc w:val="left"/>
        <w:rPr>
          <w:rFonts w:ascii="宋体" w:hAnsi="宋体" w:cs="宋体"/>
          <w:sz w:val="24"/>
          <w:szCs w:val="24"/>
        </w:rPr>
      </w:pPr>
      <w:r>
        <w:rPr>
          <w:rFonts w:hint="eastAsia" w:ascii="宋体" w:hAnsi="宋体"/>
          <w:kern w:val="0"/>
          <w:sz w:val="24"/>
          <w:szCs w:val="24"/>
        </w:rPr>
        <w:t>本</w:t>
      </w:r>
      <w:r>
        <w:rPr>
          <w:rFonts w:hint="eastAsia"/>
          <w:sz w:val="24"/>
          <w:szCs w:val="24"/>
        </w:rPr>
        <w:t>规范</w:t>
      </w:r>
      <w:r>
        <w:rPr>
          <w:rFonts w:hint="eastAsia" w:ascii="宋体" w:hAnsi="宋体"/>
          <w:kern w:val="0"/>
          <w:sz w:val="24"/>
          <w:szCs w:val="24"/>
        </w:rPr>
        <w:t>发布后将在我国有色金属行业得到广泛的应用，</w:t>
      </w:r>
      <w:r>
        <w:rPr>
          <w:rFonts w:hint="eastAsia"/>
          <w:sz w:val="24"/>
          <w:szCs w:val="24"/>
        </w:rPr>
        <w:t>使用该设备</w:t>
      </w:r>
      <w:r>
        <w:rPr>
          <w:rFonts w:hint="eastAsia" w:ascii="宋体" w:hAnsi="宋体"/>
          <w:kern w:val="0"/>
          <w:sz w:val="24"/>
          <w:szCs w:val="24"/>
        </w:rPr>
        <w:t>的生产厂家众多，使用厂家也多，且随着我国“城市改造、城市建设、城市绿化，保护环境”、“一带一路”和“中国制造2025”战略的实施，随着工程建筑行业的科技进步和快速发展</w:t>
      </w:r>
      <w:r>
        <w:rPr>
          <w:rFonts w:hint="eastAsia" w:ascii="宋体" w:hAnsi="宋体" w:cs="宋体"/>
          <w:sz w:val="24"/>
          <w:szCs w:val="24"/>
        </w:rPr>
        <w:t>。</w:t>
      </w:r>
      <w:r>
        <w:rPr>
          <w:rFonts w:hint="eastAsia"/>
          <w:sz w:val="24"/>
          <w:szCs w:val="24"/>
        </w:rPr>
        <w:t>本规范的顺利制定将进一步推动产品的质量提升，</w:t>
      </w:r>
      <w:r>
        <w:rPr>
          <w:rFonts w:hint="eastAsia" w:ascii="宋体" w:hAnsi="宋体"/>
          <w:kern w:val="0"/>
          <w:sz w:val="24"/>
          <w:szCs w:val="24"/>
        </w:rPr>
        <w:t>市场潜力巨大，经济效益巨大。</w:t>
      </w:r>
    </w:p>
    <w:p>
      <w:pPr>
        <w:pStyle w:val="57"/>
        <w:spacing w:line="300" w:lineRule="auto"/>
        <w:ind w:left="0" w:leftChars="0" w:firstLine="0" w:firstLineChars="0"/>
        <w:contextualSpacing/>
        <w:rPr>
          <w:rFonts w:hint="eastAsia" w:eastAsia="宋体" w:cs="宋体"/>
          <w:kern w:val="2"/>
          <w:sz w:val="24"/>
          <w:szCs w:val="24"/>
          <w:lang w:eastAsia="zh-CN"/>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Franklin Gothic Medium">
    <w:panose1 w:val="020B0603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p>
    <w:pPr>
      <w:pStyle w:val="29"/>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2"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F7A4C2"/>
    <w:multiLevelType w:val="singleLevel"/>
    <w:tmpl w:val="4FF7A4C2"/>
    <w:lvl w:ilvl="0" w:tentative="0">
      <w:start w:val="1"/>
      <w:numFmt w:val="decimal"/>
      <w:suff w:val="nothing"/>
      <w:lvlText w:val="%1）"/>
      <w:lvlJc w:val="left"/>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lNzZhYTllMWEyM2MyNzk4YTU0NGU3MjlhMGFhMTIifQ=="/>
  </w:docVars>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264546B"/>
    <w:rsid w:val="02F703B0"/>
    <w:rsid w:val="05C37B35"/>
    <w:rsid w:val="06DF65A1"/>
    <w:rsid w:val="07DC0ED5"/>
    <w:rsid w:val="0904785D"/>
    <w:rsid w:val="09573966"/>
    <w:rsid w:val="0A781AE7"/>
    <w:rsid w:val="0C554E2E"/>
    <w:rsid w:val="0C8E5209"/>
    <w:rsid w:val="0CCA0314"/>
    <w:rsid w:val="14317D7D"/>
    <w:rsid w:val="14FE0CE9"/>
    <w:rsid w:val="158E7867"/>
    <w:rsid w:val="174C2AB4"/>
    <w:rsid w:val="1F5A1A25"/>
    <w:rsid w:val="1F714057"/>
    <w:rsid w:val="208E75B3"/>
    <w:rsid w:val="218A16C9"/>
    <w:rsid w:val="21BE3478"/>
    <w:rsid w:val="21D04080"/>
    <w:rsid w:val="22423DCF"/>
    <w:rsid w:val="23A74BBD"/>
    <w:rsid w:val="23D43A72"/>
    <w:rsid w:val="25834347"/>
    <w:rsid w:val="28902179"/>
    <w:rsid w:val="29846CB3"/>
    <w:rsid w:val="29E46257"/>
    <w:rsid w:val="2A4110A1"/>
    <w:rsid w:val="2AB85E2C"/>
    <w:rsid w:val="2C281A12"/>
    <w:rsid w:val="2CB24D78"/>
    <w:rsid w:val="2FBE527A"/>
    <w:rsid w:val="31B57A58"/>
    <w:rsid w:val="34745E77"/>
    <w:rsid w:val="36AE69D8"/>
    <w:rsid w:val="38B6063A"/>
    <w:rsid w:val="39E63C45"/>
    <w:rsid w:val="3A910669"/>
    <w:rsid w:val="3BA532D3"/>
    <w:rsid w:val="3BFA1058"/>
    <w:rsid w:val="3EBA5BC3"/>
    <w:rsid w:val="420E5348"/>
    <w:rsid w:val="44100726"/>
    <w:rsid w:val="456D3D97"/>
    <w:rsid w:val="45E87405"/>
    <w:rsid w:val="46474D73"/>
    <w:rsid w:val="48AE19A3"/>
    <w:rsid w:val="48BE5C4B"/>
    <w:rsid w:val="49214E6F"/>
    <w:rsid w:val="4989333F"/>
    <w:rsid w:val="4E3430C7"/>
    <w:rsid w:val="51142E0B"/>
    <w:rsid w:val="52A97DDB"/>
    <w:rsid w:val="56154CA2"/>
    <w:rsid w:val="5A931503"/>
    <w:rsid w:val="5A971C98"/>
    <w:rsid w:val="5AFA5C95"/>
    <w:rsid w:val="5CDE078E"/>
    <w:rsid w:val="5DC655CC"/>
    <w:rsid w:val="5F776EED"/>
    <w:rsid w:val="605176D9"/>
    <w:rsid w:val="62950339"/>
    <w:rsid w:val="633C7C85"/>
    <w:rsid w:val="63F828E6"/>
    <w:rsid w:val="68E47C07"/>
    <w:rsid w:val="6AB57C02"/>
    <w:rsid w:val="6B27051F"/>
    <w:rsid w:val="6B753BDA"/>
    <w:rsid w:val="6B770841"/>
    <w:rsid w:val="6DC12A1C"/>
    <w:rsid w:val="6E8A0C2B"/>
    <w:rsid w:val="6EF60757"/>
    <w:rsid w:val="6F9D433B"/>
    <w:rsid w:val="70FA146A"/>
    <w:rsid w:val="710228B1"/>
    <w:rsid w:val="73A7009A"/>
    <w:rsid w:val="73B95B2E"/>
    <w:rsid w:val="74130018"/>
    <w:rsid w:val="7613428E"/>
    <w:rsid w:val="77457761"/>
    <w:rsid w:val="77CE2BEC"/>
    <w:rsid w:val="7892370F"/>
    <w:rsid w:val="78947487"/>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
    <w:next w:val="1"/>
    <w:link w:val="310"/>
    <w:qFormat/>
    <w:uiPriority w:val="39"/>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szCs w:val="20"/>
    </w:rPr>
  </w:style>
  <w:style w:type="paragraph" w:styleId="15">
    <w:name w:val="annotation text"/>
    <w:basedOn w:val="1"/>
    <w:link w:val="287"/>
    <w:qFormat/>
    <w:uiPriority w:val="0"/>
    <w:pPr>
      <w:jc w:val="left"/>
    </w:pPr>
  </w:style>
  <w:style w:type="paragraph" w:styleId="16">
    <w:name w:val="Body Text"/>
    <w:basedOn w:val="1"/>
    <w:link w:val="282"/>
    <w:qFormat/>
    <w:uiPriority w:val="0"/>
    <w:pPr>
      <w:spacing w:after="120"/>
    </w:pPr>
  </w:style>
  <w:style w:type="paragraph" w:styleId="17">
    <w:name w:val="Body Text Indent"/>
    <w:basedOn w:val="1"/>
    <w:link w:val="285"/>
    <w:qFormat/>
    <w:uiPriority w:val="0"/>
    <w:pPr>
      <w:spacing w:line="360" w:lineRule="exact"/>
      <w:ind w:left="420" w:firstLine="480"/>
    </w:pPr>
    <w:rPr>
      <w:sz w:val="24"/>
      <w:szCs w:val="20"/>
    </w:rPr>
  </w:style>
  <w:style w:type="paragraph" w:styleId="18">
    <w:name w:val="HTML Address"/>
    <w:basedOn w:val="1"/>
    <w:qFormat/>
    <w:uiPriority w:val="0"/>
    <w:rPr>
      <w:i/>
      <w:iCs/>
    </w:rPr>
  </w:style>
  <w:style w:type="paragraph" w:styleId="19">
    <w:name w:val="toc 5"/>
    <w:basedOn w:val="1"/>
    <w:next w:val="1"/>
    <w:qFormat/>
    <w:uiPriority w:val="39"/>
  </w:style>
  <w:style w:type="paragraph" w:styleId="20">
    <w:name w:val="toc 3"/>
    <w:basedOn w:val="21"/>
    <w:next w:val="1"/>
    <w:qFormat/>
    <w:uiPriority w:val="39"/>
  </w:style>
  <w:style w:type="paragraph" w:styleId="21">
    <w:name w:val="toc 2"/>
    <w:basedOn w:val="22"/>
    <w:next w:val="1"/>
    <w:qFormat/>
    <w:uiPriority w:val="39"/>
  </w:style>
  <w:style w:type="paragraph" w:styleId="22">
    <w:name w:val="toc 1"/>
    <w:next w:val="1"/>
    <w:qFormat/>
    <w:uiPriority w:val="39"/>
    <w:pPr>
      <w:jc w:val="both"/>
    </w:pPr>
    <w:rPr>
      <w:rFonts w:ascii="宋体" w:hAnsi="Times New Roman" w:eastAsia="宋体" w:cs="Times New Roman"/>
      <w:sz w:val="21"/>
      <w:lang w:val="en-US" w:eastAsia="zh-CN" w:bidi="ar-SA"/>
    </w:rPr>
  </w:style>
  <w:style w:type="paragraph" w:styleId="23">
    <w:name w:val="Plain Text"/>
    <w:basedOn w:val="1"/>
    <w:link w:val="279"/>
    <w:qFormat/>
    <w:uiPriority w:val="0"/>
    <w:rPr>
      <w:rFonts w:ascii="宋体" w:hAnsi="Courier New"/>
      <w:szCs w:val="21"/>
    </w:rPr>
  </w:style>
  <w:style w:type="paragraph" w:styleId="24">
    <w:name w:val="toc 8"/>
    <w:basedOn w:val="11"/>
    <w:next w:val="1"/>
    <w:qFormat/>
    <w:uiPriority w:val="39"/>
  </w:style>
  <w:style w:type="paragraph" w:styleId="25">
    <w:name w:val="Date"/>
    <w:basedOn w:val="1"/>
    <w:next w:val="1"/>
    <w:link w:val="291"/>
    <w:qFormat/>
    <w:uiPriority w:val="99"/>
    <w:pPr>
      <w:ind w:left="100" w:leftChars="2500"/>
    </w:pPr>
    <w:rPr>
      <w:sz w:val="24"/>
      <w:szCs w:val="20"/>
    </w:rPr>
  </w:style>
  <w:style w:type="paragraph" w:styleId="26">
    <w:name w:val="Body Text Indent 2"/>
    <w:basedOn w:val="1"/>
    <w:link w:val="290"/>
    <w:qFormat/>
    <w:uiPriority w:val="0"/>
    <w:pPr>
      <w:spacing w:after="120" w:line="480" w:lineRule="auto"/>
      <w:ind w:left="420" w:leftChars="200"/>
    </w:pPr>
  </w:style>
  <w:style w:type="paragraph" w:styleId="27">
    <w:name w:val="endnote text"/>
    <w:basedOn w:val="1"/>
    <w:qFormat/>
    <w:uiPriority w:val="0"/>
    <w:pPr>
      <w:snapToGrid w:val="0"/>
    </w:pPr>
  </w:style>
  <w:style w:type="paragraph" w:styleId="28">
    <w:name w:val="Balloon Text"/>
    <w:basedOn w:val="1"/>
    <w:link w:val="281"/>
    <w:autoRedefine/>
    <w:qFormat/>
    <w:uiPriority w:val="99"/>
    <w:rPr>
      <w:sz w:val="18"/>
      <w:szCs w:val="18"/>
    </w:rPr>
  </w:style>
  <w:style w:type="paragraph" w:styleId="29">
    <w:name w:val="footer"/>
    <w:basedOn w:val="1"/>
    <w:link w:val="284"/>
    <w:autoRedefine/>
    <w:qFormat/>
    <w:uiPriority w:val="99"/>
    <w:pPr>
      <w:tabs>
        <w:tab w:val="center" w:pos="4153"/>
        <w:tab w:val="right" w:pos="8306"/>
      </w:tabs>
      <w:snapToGrid w:val="0"/>
      <w:ind w:right="210" w:rightChars="100"/>
      <w:jc w:val="right"/>
    </w:pPr>
    <w:rPr>
      <w:sz w:val="18"/>
      <w:szCs w:val="18"/>
    </w:rPr>
  </w:style>
  <w:style w:type="paragraph" w:styleId="30">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1">
    <w:name w:val="toc 4"/>
    <w:basedOn w:val="20"/>
    <w:next w:val="1"/>
    <w:autoRedefine/>
    <w:qFormat/>
    <w:uiPriority w:val="39"/>
  </w:style>
  <w:style w:type="paragraph" w:styleId="32">
    <w:name w:val="footnote text"/>
    <w:basedOn w:val="1"/>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4"/>
    <w:next w:val="1"/>
    <w:autoRedefine/>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autoRedefine/>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link w:val="288"/>
    <w:qFormat/>
    <w:uiPriority w:val="0"/>
    <w:rPr>
      <w:b/>
      <w:bCs/>
    </w:rPr>
  </w:style>
  <w:style w:type="paragraph" w:styleId="39">
    <w:name w:val="Body Text First Indent"/>
    <w:basedOn w:val="16"/>
    <w:autoRedefine/>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autoRedefine/>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autoRedefine/>
    <w:unhideWhenUsed/>
    <w:qFormat/>
    <w:uiPriority w:val="0"/>
    <w:rPr>
      <w:color w:val="800080"/>
      <w:u w:val="single"/>
    </w:rPr>
  </w:style>
  <w:style w:type="character" w:styleId="46">
    <w:name w:val="HTML Definition"/>
    <w:autoRedefine/>
    <w:qFormat/>
    <w:uiPriority w:val="0"/>
    <w:rPr>
      <w:i/>
      <w:iCs/>
    </w:rPr>
  </w:style>
  <w:style w:type="character" w:styleId="47">
    <w:name w:val="HTML Typewriter"/>
    <w:autoRedefine/>
    <w:qFormat/>
    <w:uiPriority w:val="0"/>
    <w:rPr>
      <w:rFonts w:ascii="Courier New" w:hAnsi="Courier New"/>
      <w:sz w:val="20"/>
      <w:szCs w:val="20"/>
    </w:rPr>
  </w:style>
  <w:style w:type="character" w:styleId="48">
    <w:name w:val="HTML Acronym"/>
    <w:basedOn w:val="42"/>
    <w:autoRedefine/>
    <w:qFormat/>
    <w:uiPriority w:val="0"/>
  </w:style>
  <w:style w:type="character" w:styleId="49">
    <w:name w:val="HTML Variable"/>
    <w:autoRedefin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autoRedefin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autoRedefine/>
    <w:qFormat/>
    <w:uiPriority w:val="0"/>
    <w:rPr>
      <w:i/>
      <w:iCs/>
    </w:rPr>
  </w:style>
  <w:style w:type="character" w:styleId="54">
    <w:name w:val="footnote reference"/>
    <w:autoRedefine/>
    <w:qFormat/>
    <w:uiPriority w:val="0"/>
    <w:rPr>
      <w:vertAlign w:val="superscript"/>
    </w:rPr>
  </w:style>
  <w:style w:type="character" w:styleId="55">
    <w:name w:val="HTML Keyboard"/>
    <w:autoRedefine/>
    <w:qFormat/>
    <w:uiPriority w:val="0"/>
    <w:rPr>
      <w:rFonts w:ascii="Courier New" w:hAnsi="Courier New"/>
      <w:sz w:val="20"/>
      <w:szCs w:val="20"/>
    </w:rPr>
  </w:style>
  <w:style w:type="character" w:styleId="56">
    <w:name w:val="HTML Sample"/>
    <w:autoRedefin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autoRedefine/>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autoRedefine/>
    <w:qFormat/>
    <w:uiPriority w:val="0"/>
    <w:pPr>
      <w:adjustRightInd w:val="0"/>
      <w:spacing w:before="357" w:line="280" w:lineRule="exact"/>
    </w:pPr>
  </w:style>
  <w:style w:type="paragraph" w:customStyle="1" w:styleId="6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autoRedefine/>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autoRedefine/>
    <w:qFormat/>
    <w:uiPriority w:val="0"/>
    <w:pPr>
      <w:numPr>
        <w:ilvl w:val="5"/>
      </w:numPr>
      <w:outlineLvl w:val="5"/>
    </w:pPr>
  </w:style>
  <w:style w:type="paragraph" w:customStyle="1" w:styleId="70">
    <w:name w:val="三级条标题"/>
    <w:basedOn w:val="58"/>
    <w:next w:val="57"/>
    <w:link w:val="280"/>
    <w:autoRedefine/>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autoRedefine/>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autoRedefine/>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autoRedefine/>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autoRedefine/>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autoRedefine/>
    <w:qFormat/>
    <w:uiPriority w:val="0"/>
    <w:pPr>
      <w:jc w:val="left"/>
    </w:pPr>
  </w:style>
  <w:style w:type="paragraph" w:customStyle="1" w:styleId="93">
    <w:name w:val="二级无标题条"/>
    <w:basedOn w:val="1"/>
    <w:autoRedefine/>
    <w:qFormat/>
    <w:uiPriority w:val="0"/>
    <w:pPr>
      <w:numPr>
        <w:ilvl w:val="3"/>
        <w:numId w:val="5"/>
      </w:numPr>
    </w:pPr>
  </w:style>
  <w:style w:type="paragraph" w:customStyle="1" w:styleId="94">
    <w:name w:val="附录表标题"/>
    <w:next w:val="57"/>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autoRedefine/>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autoRedefine/>
    <w:qFormat/>
    <w:uiPriority w:val="0"/>
    <w:pPr>
      <w:numPr>
        <w:ilvl w:val="5"/>
      </w:numPr>
      <w:outlineLvl w:val="5"/>
    </w:pPr>
  </w:style>
  <w:style w:type="paragraph" w:customStyle="1" w:styleId="100">
    <w:name w:val="附录三级条标题"/>
    <w:basedOn w:val="101"/>
    <w:next w:val="57"/>
    <w:autoRedefine/>
    <w:qFormat/>
    <w:uiPriority w:val="0"/>
    <w:pPr>
      <w:numPr>
        <w:ilvl w:val="4"/>
      </w:numPr>
      <w:outlineLvl w:val="4"/>
    </w:pPr>
  </w:style>
  <w:style w:type="paragraph" w:customStyle="1" w:styleId="101">
    <w:name w:val="附录二级条标题"/>
    <w:basedOn w:val="102"/>
    <w:next w:val="57"/>
    <w:autoRedefine/>
    <w:qFormat/>
    <w:uiPriority w:val="0"/>
    <w:pPr>
      <w:numPr>
        <w:ilvl w:val="3"/>
      </w:numPr>
      <w:outlineLvl w:val="3"/>
    </w:pPr>
  </w:style>
  <w:style w:type="paragraph" w:customStyle="1" w:styleId="102">
    <w:name w:val="附录一级条标题"/>
    <w:basedOn w:val="78"/>
    <w:next w:val="57"/>
    <w:autoRedefine/>
    <w:qFormat/>
    <w:uiPriority w:val="0"/>
    <w:pPr>
      <w:numPr>
        <w:ilvl w:val="2"/>
      </w:numPr>
      <w:autoSpaceDN w:val="0"/>
      <w:spacing w:beforeLines="0" w:afterLines="0"/>
      <w:outlineLvl w:val="2"/>
    </w:pPr>
  </w:style>
  <w:style w:type="paragraph" w:customStyle="1" w:styleId="103">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autoRedefine/>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autoRedefine/>
    <w:qFormat/>
    <w:uiPriority w:val="0"/>
    <w:pPr>
      <w:numPr>
        <w:ilvl w:val="5"/>
        <w:numId w:val="5"/>
      </w:numPr>
    </w:pPr>
  </w:style>
  <w:style w:type="paragraph" w:customStyle="1" w:styleId="110">
    <w:name w:val="目次、标准名称标题"/>
    <w:basedOn w:val="65"/>
    <w:next w:val="57"/>
    <w:autoRedefine/>
    <w:qFormat/>
    <w:uiPriority w:val="0"/>
    <w:pPr>
      <w:numPr>
        <w:numId w:val="0"/>
      </w:numPr>
      <w:spacing w:line="460" w:lineRule="exact"/>
    </w:pPr>
  </w:style>
  <w:style w:type="paragraph" w:customStyle="1" w:styleId="111">
    <w:name w:val="标准书眉一"/>
    <w:link w:val="303"/>
    <w:autoRedefine/>
    <w:qFormat/>
    <w:uiPriority w:val="0"/>
    <w:pPr>
      <w:jc w:val="both"/>
    </w:pPr>
    <w:rPr>
      <w:rFonts w:ascii="Times New Roman" w:hAnsi="Times New Roman" w:eastAsia="宋体" w:cs="Times New Roman"/>
      <w:lang w:val="en-US" w:eastAsia="zh-CN" w:bidi="ar-SA"/>
    </w:rPr>
  </w:style>
  <w:style w:type="paragraph" w:customStyle="1" w:styleId="112">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autoRedefine/>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autoRedefine/>
    <w:qFormat/>
    <w:uiPriority w:val="0"/>
    <w:pPr>
      <w:numPr>
        <w:ilvl w:val="2"/>
        <w:numId w:val="5"/>
      </w:numPr>
    </w:pPr>
  </w:style>
  <w:style w:type="paragraph" w:customStyle="1" w:styleId="118">
    <w:name w:val="封面标准代替信息"/>
    <w:basedOn w:val="62"/>
    <w:autoRedefine/>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3">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autoRedefine/>
    <w:qFormat/>
    <w:uiPriority w:val="0"/>
    <w:pPr>
      <w:adjustRightInd w:val="0"/>
      <w:jc w:val="center"/>
    </w:pPr>
    <w:rPr>
      <w:rFonts w:eastAsia="黑体"/>
      <w:kern w:val="0"/>
      <w:sz w:val="52"/>
      <w:szCs w:val="20"/>
    </w:rPr>
  </w:style>
  <w:style w:type="paragraph" w:customStyle="1" w:styleId="146">
    <w:name w:val="样式2"/>
    <w:basedOn w:val="70"/>
    <w:autoRedefine/>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autoRedefine/>
    <w:qFormat/>
    <w:uiPriority w:val="34"/>
    <w:pPr>
      <w:ind w:firstLine="420" w:firstLineChars="200"/>
    </w:pPr>
    <w:rPr>
      <w:sz w:val="24"/>
    </w:rPr>
  </w:style>
  <w:style w:type="paragraph" w:customStyle="1" w:styleId="152">
    <w:name w:val="Char1 Char Char Char"/>
    <w:basedOn w:val="1"/>
    <w:autoRedefine/>
    <w:qFormat/>
    <w:uiPriority w:val="0"/>
    <w:rPr>
      <w:szCs w:val="20"/>
    </w:rPr>
  </w:style>
  <w:style w:type="paragraph" w:customStyle="1" w:styleId="153">
    <w:name w:val="Char1"/>
    <w:basedOn w:val="1"/>
    <w:autoRedefine/>
    <w:qFormat/>
    <w:uiPriority w:val="0"/>
    <w:pPr>
      <w:widowControl/>
      <w:spacing w:after="160" w:line="240" w:lineRule="exact"/>
      <w:jc w:val="left"/>
    </w:pPr>
  </w:style>
  <w:style w:type="paragraph" w:customStyle="1" w:styleId="154">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autoRedefine/>
    <w:qFormat/>
    <w:uiPriority w:val="0"/>
    <w:pPr>
      <w:widowControl/>
      <w:spacing w:after="160" w:line="240" w:lineRule="exact"/>
      <w:jc w:val="left"/>
    </w:pPr>
  </w:style>
  <w:style w:type="paragraph" w:customStyle="1" w:styleId="265">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autoRedefine/>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autoRedefine/>
    <w:qFormat/>
    <w:uiPriority w:val="0"/>
    <w:rPr>
      <w:rFonts w:ascii="Arial" w:hAnsi="Arial" w:eastAsia="宋体" w:cs="Arial"/>
      <w:color w:val="auto"/>
      <w:sz w:val="20"/>
    </w:rPr>
  </w:style>
  <w:style w:type="character" w:customStyle="1" w:styleId="274">
    <w:name w:val="段 Char"/>
    <w:link w:val="57"/>
    <w:autoRedefine/>
    <w:qFormat/>
    <w:uiPriority w:val="0"/>
    <w:rPr>
      <w:rFonts w:ascii="宋体" w:hAnsi="宋体" w:eastAsia="宋体"/>
      <w:sz w:val="21"/>
      <w:lang w:val="en-US" w:eastAsia="zh-CN" w:bidi="ar-SA"/>
    </w:rPr>
  </w:style>
  <w:style w:type="character" w:customStyle="1" w:styleId="275">
    <w:name w:val="个人撰写风格"/>
    <w:autoRedefine/>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3"/>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8"/>
    <w:qFormat/>
    <w:uiPriority w:val="99"/>
    <w:rPr>
      <w:kern w:val="2"/>
      <w:sz w:val="18"/>
      <w:szCs w:val="18"/>
    </w:rPr>
  </w:style>
  <w:style w:type="character" w:customStyle="1" w:styleId="282">
    <w:name w:val="正文文本 字符"/>
    <w:link w:val="16"/>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29"/>
    <w:qFormat/>
    <w:uiPriority w:val="99"/>
    <w:rPr>
      <w:kern w:val="2"/>
      <w:sz w:val="18"/>
      <w:szCs w:val="18"/>
    </w:rPr>
  </w:style>
  <w:style w:type="character" w:customStyle="1" w:styleId="285">
    <w:name w:val="正文文本缩进 字符"/>
    <w:link w:val="17"/>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15"/>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0"/>
    <w:qFormat/>
    <w:uiPriority w:val="99"/>
    <w:rPr>
      <w:kern w:val="2"/>
      <w:sz w:val="18"/>
      <w:szCs w:val="18"/>
    </w:rPr>
  </w:style>
  <w:style w:type="character" w:customStyle="1" w:styleId="290">
    <w:name w:val="正文文本缩进 2 字符"/>
    <w:link w:val="26"/>
    <w:qFormat/>
    <w:uiPriority w:val="0"/>
    <w:rPr>
      <w:kern w:val="2"/>
      <w:sz w:val="21"/>
      <w:szCs w:val="24"/>
    </w:rPr>
  </w:style>
  <w:style w:type="character" w:customStyle="1" w:styleId="291">
    <w:name w:val="日期 字符"/>
    <w:link w:val="25"/>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3">
    <w:name w:val="标准书眉一 Char"/>
    <w:link w:val="111"/>
    <w:qFormat/>
    <w:uiPriority w:val="0"/>
    <w:rPr>
      <w:rFonts w:ascii="Times New Roman" w:hAnsi="Times New Roman" w:eastAsia="宋体" w:cs="Times New Roman"/>
      <w:lang w:val="en-US" w:eastAsia="zh-CN" w:bidi="ar-SA"/>
    </w:rPr>
  </w:style>
  <w:style w:type="character" w:customStyle="1" w:styleId="304">
    <w:name w:val="bds_more"/>
    <w:basedOn w:val="42"/>
    <w:qFormat/>
    <w:uiPriority w:val="0"/>
    <w:rPr>
      <w:rFonts w:hint="eastAsia" w:ascii="宋体" w:hAnsi="宋体" w:eastAsia="宋体" w:cs="宋体"/>
    </w:rPr>
  </w:style>
  <w:style w:type="character" w:customStyle="1" w:styleId="305">
    <w:name w:val="bds_more1"/>
    <w:basedOn w:val="42"/>
    <w:qFormat/>
    <w:uiPriority w:val="0"/>
  </w:style>
  <w:style w:type="character" w:customStyle="1" w:styleId="306">
    <w:name w:val="bds_more2"/>
    <w:basedOn w:val="42"/>
    <w:qFormat/>
    <w:uiPriority w:val="0"/>
  </w:style>
  <w:style w:type="character" w:customStyle="1" w:styleId="307">
    <w:name w:val="bds_nopic"/>
    <w:basedOn w:val="42"/>
    <w:qFormat/>
    <w:uiPriority w:val="0"/>
  </w:style>
  <w:style w:type="character" w:customStyle="1" w:styleId="308">
    <w:name w:val="bds_nopic1"/>
    <w:basedOn w:val="42"/>
    <w:qFormat/>
    <w:uiPriority w:val="0"/>
  </w:style>
  <w:style w:type="character" w:customStyle="1" w:styleId="309">
    <w:name w:val="bds_nopic2"/>
    <w:basedOn w:val="42"/>
    <w:qFormat/>
    <w:uiPriority w:val="0"/>
  </w:style>
  <w:style w:type="character" w:customStyle="1" w:styleId="310">
    <w:name w:val="TOC 6 字符"/>
    <w:link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9</Pages>
  <Words>5737</Words>
  <Characters>6104</Characters>
  <Lines>32</Lines>
  <Paragraphs>9</Paragraphs>
  <TotalTime>1</TotalTime>
  <ScaleCrop>false</ScaleCrop>
  <LinksUpToDate>false</LinksUpToDate>
  <CharactersWithSpaces>6163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樊志罡</cp:lastModifiedBy>
  <cp:lastPrinted>2024-03-01T08:00:00Z</cp:lastPrinted>
  <dcterms:modified xsi:type="dcterms:W3CDTF">2024-06-17T01:33:14Z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BC44CEB89E694EDD83B254D183F46C9C_12</vt:lpwstr>
  </property>
</Properties>
</file>