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pPr>
      <w:bookmarkStart w:id="0" w:name="SectionMark0"/>
      <w:bookmarkStart w:id="1" w:name="SectionMark4"/>
      <w:r>
        <mc:AlternateContent>
          <mc:Choice Requires="wps">
            <w:drawing>
              <wp:anchor distT="0" distB="0" distL="114300" distR="114300" simplePos="0" relativeHeight="251659264"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pStyle w:val="75"/>
                              <w:rPr>
                                <w:rFonts w:ascii="宋体" w:hAnsi="宋体" w:eastAsia="宋体" w:cs="宋体"/>
                                <w:spacing w:val="58"/>
                                <w:w w:val="120"/>
                                <w:kern w:val="2"/>
                                <w:sz w:val="28"/>
                                <w:szCs w:val="28"/>
                              </w:rPr>
                            </w:pPr>
                          </w:p>
                          <w:p>
                            <w:pPr>
                              <w:jc w:val="center"/>
                              <w:rPr>
                                <w:rFonts w:hint="eastAsia" w:ascii="宋体" w:hAnsi="宋体" w:cs="宋体"/>
                                <w:spacing w:val="58"/>
                                <w:w w:val="120"/>
                                <w:sz w:val="28"/>
                                <w:szCs w:val="28"/>
                              </w:rPr>
                            </w:pPr>
                            <w:r>
                              <w:rPr>
                                <w:rFonts w:hint="eastAsia" w:ascii="宋体" w:hAnsi="宋体" w:cs="宋体"/>
                                <w:spacing w:val="58"/>
                                <w:w w:val="120"/>
                                <w:sz w:val="28"/>
                                <w:szCs w:val="28"/>
                              </w:rPr>
                              <w:t>非接触式激光引伸计校准规范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9264;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Jrfr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pStyle w:val="75"/>
                        <w:rPr>
                          <w:rFonts w:ascii="宋体" w:hAnsi="宋体" w:eastAsia="宋体" w:cs="宋体"/>
                          <w:spacing w:val="58"/>
                          <w:w w:val="120"/>
                          <w:kern w:val="2"/>
                          <w:sz w:val="28"/>
                          <w:szCs w:val="28"/>
                        </w:rPr>
                      </w:pPr>
                    </w:p>
                    <w:p>
                      <w:pPr>
                        <w:jc w:val="center"/>
                        <w:rPr>
                          <w:rFonts w:hint="eastAsia" w:ascii="宋体" w:hAnsi="宋体" w:cs="宋体"/>
                          <w:spacing w:val="58"/>
                          <w:w w:val="120"/>
                          <w:sz w:val="28"/>
                          <w:szCs w:val="28"/>
                        </w:rPr>
                      </w:pPr>
                      <w:r>
                        <w:rPr>
                          <w:rFonts w:hint="eastAsia" w:ascii="宋体" w:hAnsi="宋体" w:cs="宋体"/>
                          <w:spacing w:val="58"/>
                          <w:w w:val="120"/>
                          <w:sz w:val="28"/>
                          <w:szCs w:val="28"/>
                        </w:rPr>
                        <w:t>非接触式激光引伸计校准规范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v:textbox>
                <w10:anchorlock/>
              </v:rect>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7"/>
                              <w:spacing w:before="600"/>
                              <w:rPr>
                                <w:rFonts w:ascii="黑体" w:hAnsi="黑体" w:eastAsia="黑体"/>
                                <w:sz w:val="36"/>
                                <w:szCs w:val="36"/>
                              </w:rPr>
                            </w:pPr>
                            <w:r>
                              <w:rPr>
                                <w:rFonts w:hint="eastAsia" w:ascii="黑体" w:hAnsi="黑体" w:eastAsia="黑体"/>
                                <w:sz w:val="36"/>
                                <w:szCs w:val="36"/>
                              </w:rPr>
                              <w:t xml:space="preserve"> 讨论稿</w:t>
                            </w:r>
                          </w:p>
                          <w:p>
                            <w:pPr>
                              <w:pStyle w:val="67"/>
                              <w:spacing w:before="600"/>
                              <w:rPr>
                                <w:rFonts w:ascii="黑体" w:hAnsi="黑体" w:eastAsia="黑体"/>
                                <w:sz w:val="36"/>
                                <w:szCs w:val="36"/>
                              </w:rPr>
                            </w:pPr>
                            <w:r>
                              <w:rPr>
                                <w:rFonts w:hint="eastAsia" w:ascii="黑体" w:hAnsi="黑体" w:eastAsia="黑体"/>
                                <w:sz w:val="36"/>
                                <w:szCs w:val="36"/>
                              </w:rPr>
                              <w:t xml:space="preserve">  20</w:t>
                            </w:r>
                            <w:r>
                              <w:rPr>
                                <w:rFonts w:ascii="黑体" w:hAnsi="黑体" w:eastAsia="黑体"/>
                                <w:sz w:val="36"/>
                                <w:szCs w:val="36"/>
                              </w:rPr>
                              <w:t>2</w:t>
                            </w:r>
                            <w:r>
                              <w:rPr>
                                <w:rFonts w:hint="eastAsia" w:ascii="黑体" w:hAnsi="黑体" w:eastAsia="黑体"/>
                                <w:sz w:val="36"/>
                                <w:szCs w:val="36"/>
                              </w:rPr>
                              <w:t>4-06</w:t>
                            </w: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60288;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qzjsNUAAAAIAQAADwAAAAAAAAABACAAAAAiAAAAZHJzL2Rv&#10;d25yZXYueG1sUEsBAhQAFAAAAAgAh07iQDE7zCDLAQAAkgMAAA4AAAAAAAAAAQAgAAAAJAEAAGRy&#10;cy9lMm9Eb2MueG1sUEsFBgAAAAAGAAYAWQEAAGEFAAAAAA==&#10;">
                <v:fill on="t" focussize="0,0"/>
                <v:stroke on="f"/>
                <v:imagedata o:title=""/>
                <o:lock v:ext="edit" aspectratio="f"/>
                <v:textbox inset="0mm,0mm,0mm,0mm">
                  <w:txbxContent>
                    <w:p>
                      <w:pPr>
                        <w:pStyle w:val="67"/>
                        <w:spacing w:before="600"/>
                        <w:rPr>
                          <w:rFonts w:ascii="黑体" w:hAnsi="黑体" w:eastAsia="黑体"/>
                          <w:sz w:val="36"/>
                          <w:szCs w:val="36"/>
                        </w:rPr>
                      </w:pPr>
                      <w:r>
                        <w:rPr>
                          <w:rFonts w:hint="eastAsia" w:ascii="黑体" w:hAnsi="黑体" w:eastAsia="黑体"/>
                          <w:sz w:val="36"/>
                          <w:szCs w:val="36"/>
                        </w:rPr>
                        <w:t xml:space="preserve"> 讨论稿</w:t>
                      </w:r>
                    </w:p>
                    <w:p>
                      <w:pPr>
                        <w:pStyle w:val="67"/>
                        <w:spacing w:before="600"/>
                        <w:rPr>
                          <w:rFonts w:ascii="黑体" w:hAnsi="黑体" w:eastAsia="黑体"/>
                          <w:sz w:val="36"/>
                          <w:szCs w:val="36"/>
                        </w:rPr>
                      </w:pPr>
                      <w:r>
                        <w:rPr>
                          <w:rFonts w:hint="eastAsia" w:ascii="黑体" w:hAnsi="黑体" w:eastAsia="黑体"/>
                          <w:sz w:val="36"/>
                          <w:szCs w:val="36"/>
                        </w:rPr>
                        <w:t xml:space="preserve">  20</w:t>
                      </w:r>
                      <w:r>
                        <w:rPr>
                          <w:rFonts w:ascii="黑体" w:hAnsi="黑体" w:eastAsia="黑体"/>
                          <w:sz w:val="36"/>
                          <w:szCs w:val="36"/>
                        </w:rPr>
                        <w:t>2</w:t>
                      </w:r>
                      <w:r>
                        <w:rPr>
                          <w:rFonts w:hint="eastAsia" w:ascii="黑体" w:hAnsi="黑体" w:eastAsia="黑体"/>
                          <w:sz w:val="36"/>
                          <w:szCs w:val="36"/>
                        </w:rPr>
                        <w:t>4-06</w:t>
                      </w:r>
                    </w:p>
                  </w:txbxContent>
                </v:textbox>
                <w10:anchorlock/>
              </v:rect>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5"/>
                              <w:rPr>
                                <w:rFonts w:hAnsi="黑体" w:cs="黑体"/>
                                <w:sz w:val="44"/>
                                <w:szCs w:val="44"/>
                              </w:rPr>
                            </w:pPr>
                            <w:bookmarkStart w:id="81" w:name="_Hlk23687263"/>
                            <w:r>
                              <w:rPr>
                                <w:rFonts w:hint="eastAsia" w:hAnsi="黑体" w:cs="黑体"/>
                                <w:sz w:val="44"/>
                                <w:szCs w:val="44"/>
                              </w:rPr>
                              <w:t xml:space="preserve"> JJF（有色金属）</w:t>
                            </w:r>
                            <w:r>
                              <w:rPr>
                                <w:rFonts w:hAnsi="黑体" w:cs="黑体"/>
                                <w:sz w:val="44"/>
                                <w:szCs w:val="44"/>
                              </w:rPr>
                              <w:t>XXX</w:t>
                            </w:r>
                            <w:r>
                              <w:rPr>
                                <w:rFonts w:hint="eastAsia" w:hAnsi="黑体" w:cs="黑体"/>
                                <w:sz w:val="44"/>
                                <w:szCs w:val="44"/>
                              </w:rPr>
                              <w:t>—</w:t>
                            </w:r>
                            <w:r>
                              <w:rPr>
                                <w:rFonts w:hAnsi="黑体" w:cs="黑体"/>
                                <w:sz w:val="44"/>
                                <w:szCs w:val="44"/>
                              </w:rPr>
                              <w:t>XXXX</w:t>
                            </w:r>
                          </w:p>
                          <w:bookmarkEnd w:id="81"/>
                          <w:p>
                            <w:pPr>
                              <w:pStyle w:val="75"/>
                              <w:rPr>
                                <w:rFonts w:hint="eastAsia" w:hAnsi="黑体" w:cs="黑体"/>
                                <w:szCs w:val="52"/>
                              </w:rPr>
                            </w:pPr>
                            <w:r>
                              <w:rPr>
                                <w:rFonts w:hint="eastAsia" w:hAnsi="黑体" w:cs="黑体"/>
                                <w:szCs w:val="52"/>
                              </w:rPr>
                              <w:t>非接触式激光引伸计校准规范</w:t>
                            </w:r>
                          </w:p>
                          <w:p>
                            <w:pPr>
                              <w:jc w:val="center"/>
                              <w:rPr>
                                <w:rFonts w:ascii="黑体" w:hAnsi="黑体" w:eastAsia="黑体" w:cs="黑体"/>
                                <w:sz w:val="44"/>
                                <w:szCs w:val="44"/>
                              </w:rPr>
                            </w:pPr>
                            <w:r>
                              <w:rPr>
                                <w:rFonts w:hint="eastAsia" w:ascii="黑体" w:hAnsi="黑体" w:eastAsia="黑体" w:cs="黑体"/>
                                <w:sz w:val="44"/>
                                <w:szCs w:val="44"/>
                              </w:rPr>
                              <w:t xml:space="preserve"> (编制说明)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61312;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kYo3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pPr>
                        <w:pStyle w:val="75"/>
                        <w:rPr>
                          <w:rFonts w:hAnsi="黑体" w:cs="黑体"/>
                          <w:sz w:val="44"/>
                          <w:szCs w:val="44"/>
                        </w:rPr>
                      </w:pPr>
                      <w:bookmarkStart w:id="81" w:name="_Hlk23687263"/>
                      <w:r>
                        <w:rPr>
                          <w:rFonts w:hint="eastAsia" w:hAnsi="黑体" w:cs="黑体"/>
                          <w:sz w:val="44"/>
                          <w:szCs w:val="44"/>
                        </w:rPr>
                        <w:t xml:space="preserve"> JJF（有色金属）</w:t>
                      </w:r>
                      <w:r>
                        <w:rPr>
                          <w:rFonts w:hAnsi="黑体" w:cs="黑体"/>
                          <w:sz w:val="44"/>
                          <w:szCs w:val="44"/>
                        </w:rPr>
                        <w:t>XXX</w:t>
                      </w:r>
                      <w:r>
                        <w:rPr>
                          <w:rFonts w:hint="eastAsia" w:hAnsi="黑体" w:cs="黑体"/>
                          <w:sz w:val="44"/>
                          <w:szCs w:val="44"/>
                        </w:rPr>
                        <w:t>—</w:t>
                      </w:r>
                      <w:r>
                        <w:rPr>
                          <w:rFonts w:hAnsi="黑体" w:cs="黑体"/>
                          <w:sz w:val="44"/>
                          <w:szCs w:val="44"/>
                        </w:rPr>
                        <w:t>XXXX</w:t>
                      </w:r>
                    </w:p>
                    <w:bookmarkEnd w:id="81"/>
                    <w:p>
                      <w:pPr>
                        <w:pStyle w:val="75"/>
                        <w:rPr>
                          <w:rFonts w:hint="eastAsia" w:hAnsi="黑体" w:cs="黑体"/>
                          <w:szCs w:val="52"/>
                        </w:rPr>
                      </w:pPr>
                      <w:r>
                        <w:rPr>
                          <w:rFonts w:hint="eastAsia" w:hAnsi="黑体" w:cs="黑体"/>
                          <w:szCs w:val="52"/>
                        </w:rPr>
                        <w:t>非接触式激光引伸计校准规范</w:t>
                      </w:r>
                    </w:p>
                    <w:p>
                      <w:pPr>
                        <w:jc w:val="center"/>
                        <w:rPr>
                          <w:rFonts w:ascii="黑体" w:hAnsi="黑体" w:eastAsia="黑体" w:cs="黑体"/>
                          <w:sz w:val="44"/>
                          <w:szCs w:val="44"/>
                        </w:rPr>
                      </w:pPr>
                      <w:r>
                        <w:rPr>
                          <w:rFonts w:hint="eastAsia" w:ascii="黑体" w:hAnsi="黑体" w:eastAsia="黑体" w:cs="黑体"/>
                          <w:sz w:val="44"/>
                          <w:szCs w:val="44"/>
                        </w:rPr>
                        <w:t xml:space="preserve"> (编制说明)</w:t>
                      </w:r>
                    </w:p>
                  </w:txbxContent>
                </v:textbox>
                <w10:anchorlock/>
              </v:rect>
            </w:pict>
          </mc:Fallback>
        </mc:AlternateContent>
      </w:r>
      <w:bookmarkEnd w:id="0"/>
    </w:p>
    <w:p>
      <w:pPr>
        <w:pStyle w:val="72"/>
        <w:numPr>
          <w:ilvl w:val="0"/>
          <w:numId w:val="0"/>
        </w:numPr>
        <w:ind w:left="840" w:hanging="420"/>
        <w:jc w:val="center"/>
        <w:rPr>
          <w:b/>
        </w:rPr>
      </w:pPr>
    </w:p>
    <w:p>
      <w:pPr>
        <w:pStyle w:val="58"/>
        <w:ind w:firstLine="420"/>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pStyle w:val="74"/>
        <w:numPr>
          <w:ilvl w:val="0"/>
          <w:numId w:val="11"/>
        </w:numPr>
        <w:tabs>
          <w:tab w:val="left" w:pos="426"/>
        </w:tabs>
        <w:spacing w:before="312" w:beforeLines="100" w:after="312" w:afterLines="100"/>
        <w:ind w:left="420" w:hangingChars="200"/>
        <w:jc w:val="left"/>
      </w:pPr>
      <w:bookmarkStart w:id="2" w:name="_Toc464728891"/>
      <w:r>
        <w:rPr>
          <w:rFonts w:hint="eastAsia"/>
        </w:rPr>
        <w:t>工作简况</w:t>
      </w:r>
      <w:bookmarkEnd w:id="2"/>
    </w:p>
    <w:p>
      <w:pPr>
        <w:pStyle w:val="61"/>
        <w:numPr>
          <w:ilvl w:val="0"/>
          <w:numId w:val="0"/>
        </w:numPr>
        <w:spacing w:before="156" w:after="156" w:line="300" w:lineRule="auto"/>
        <w:contextualSpacing/>
      </w:pPr>
      <w:bookmarkStart w:id="3" w:name="_Toc456592524"/>
      <w:bookmarkStart w:id="4" w:name="_Toc464728892"/>
      <w:r>
        <w:rPr>
          <w:rFonts w:hint="eastAsia"/>
        </w:rPr>
        <w:t>1.立项目的</w:t>
      </w:r>
      <w:bookmarkEnd w:id="3"/>
      <w:bookmarkEnd w:id="4"/>
    </w:p>
    <w:p>
      <w:pPr>
        <w:autoSpaceDE w:val="0"/>
        <w:autoSpaceDN w:val="0"/>
        <w:adjustRightInd w:val="0"/>
        <w:spacing w:line="440" w:lineRule="exact"/>
        <w:ind w:firstLine="420" w:firstLineChars="200"/>
        <w:rPr>
          <w:kern w:val="0"/>
        </w:rPr>
      </w:pPr>
      <w:bookmarkStart w:id="5" w:name="_Toc464728896"/>
      <w:r>
        <w:rPr>
          <w:rFonts w:hint="eastAsia"/>
          <w:kern w:val="0"/>
        </w:rPr>
        <w:t>激光引伸计</w:t>
      </w:r>
      <w:r>
        <w:rPr>
          <w:kern w:val="0"/>
        </w:rPr>
        <w:t>采用非接触测量金属或非金属材料应变，测量精度高。抗干扰能力强、实现简单、适用</w:t>
      </w:r>
      <w:r>
        <w:rPr>
          <w:rFonts w:hint="eastAsia"/>
          <w:kern w:val="0"/>
        </w:rPr>
        <w:t>范围</w:t>
      </w:r>
      <w:r>
        <w:rPr>
          <w:kern w:val="0"/>
        </w:rPr>
        <w:t>广</w:t>
      </w:r>
      <w:r>
        <w:rPr>
          <w:rFonts w:hint="eastAsia"/>
          <w:kern w:val="0"/>
        </w:rPr>
        <w:t>、避免刀口对试样的划伤、滑脱及可用于超高温环境试验、细薄样品试验等诸多优点，近些年已广泛应用于</w:t>
      </w:r>
      <w:r>
        <w:rPr>
          <w:kern w:val="0"/>
        </w:rPr>
        <w:t>金属</w:t>
      </w:r>
      <w:r>
        <w:rPr>
          <w:rFonts w:hint="eastAsia"/>
          <w:kern w:val="0"/>
        </w:rPr>
        <w:t>材料</w:t>
      </w:r>
      <w:r>
        <w:rPr>
          <w:kern w:val="0"/>
        </w:rPr>
        <w:t>及硬质非金属材料常规拉伸、压缩试验等</w:t>
      </w:r>
      <w:r>
        <w:rPr>
          <w:rFonts w:hint="eastAsia"/>
          <w:kern w:val="0"/>
        </w:rPr>
        <w:t>相关力学性能指标的测定。</w:t>
      </w:r>
    </w:p>
    <w:p>
      <w:pPr>
        <w:spacing w:line="360" w:lineRule="auto"/>
        <w:ind w:firstLine="420" w:firstLineChars="200"/>
        <w:rPr>
          <w:szCs w:val="21"/>
        </w:rPr>
      </w:pPr>
      <w:r>
        <w:rPr>
          <w:rFonts w:hint="eastAsia"/>
          <w:kern w:val="0"/>
        </w:rPr>
        <w:t>基于非接触激光引伸计的工作原理，当一束激光照射到光感粗糙表面时，会往不同的方向发散光线，这些光线发生漫反射，其中一部分光线返回到激光接收器，另一部分散射之后不返回激光接收器，这样就形成了颗粒状的散斑图。在给试样施加载荷的过程中，试样的表面结构会慢慢发生变形，与此同时，照射到试样表面形成的激光散斑也会慢慢发生变形。此时，激光处理器会接收到连续变化的图像，而且激光处理器会定位所存储的散斑图案并计算出散斑图案在图像之间移动的位移，从而达到测量移动距离的目的。</w:t>
      </w:r>
      <w:r>
        <w:rPr>
          <w:rFonts w:hint="eastAsia"/>
          <w:szCs w:val="21"/>
        </w:rPr>
        <w:t>目前，各省市计量技术研究院对激光引伸计的校准工作未开展，或存在不合理不统一的操作。所提出的校准规范望能开展对激光引伸计的校准及分级系统的校准等工作，促进激光引伸计在科研院所及工业产品中更合理更准确的应用。</w:t>
      </w:r>
    </w:p>
    <w:p>
      <w:pPr>
        <w:pStyle w:val="61"/>
        <w:numPr>
          <w:ilvl w:val="0"/>
          <w:numId w:val="0"/>
        </w:numPr>
        <w:spacing w:before="156" w:after="156" w:line="300" w:lineRule="auto"/>
        <w:contextualSpacing/>
      </w:pPr>
      <w:r>
        <w:rPr>
          <w:rFonts w:hint="eastAsia"/>
        </w:rPr>
        <w:t>2.任务来源</w:t>
      </w:r>
      <w:bookmarkEnd w:id="5"/>
    </w:p>
    <w:p>
      <w:pPr>
        <w:spacing w:line="300" w:lineRule="auto"/>
        <w:ind w:firstLine="420" w:firstLineChars="200"/>
        <w:contextualSpacing/>
        <w:jc w:val="left"/>
        <w:rPr>
          <w:color w:val="FF0000"/>
          <w:szCs w:val="21"/>
        </w:rPr>
      </w:pPr>
      <w:r>
        <w:rPr>
          <w:rFonts w:hint="eastAsia"/>
          <w:szCs w:val="21"/>
        </w:rPr>
        <w:t>为保证激光引伸计的量值准确、可靠，适应我国有色金属行业的快速发展和满足国内外市场的需要，工业和信息化部以工信厅下达了《工业和信息化部办公厅关于印发2023年行业计量技术规范制修订计划的通知》</w:t>
      </w:r>
      <w:r>
        <w:rPr>
          <w:rFonts w:hint="eastAsia" w:hAnsi="宋体"/>
          <w:bCs/>
          <w:szCs w:val="21"/>
        </w:rPr>
        <w:t>（工信厅科函［</w:t>
      </w:r>
      <w:r>
        <w:rPr>
          <w:rFonts w:hAnsi="宋体"/>
          <w:bCs/>
          <w:szCs w:val="21"/>
        </w:rPr>
        <w:t>20</w:t>
      </w:r>
      <w:r>
        <w:rPr>
          <w:rFonts w:hint="eastAsia" w:hAnsi="宋体"/>
          <w:bCs/>
          <w:szCs w:val="21"/>
        </w:rPr>
        <w:t>23］476号）</w:t>
      </w:r>
      <w:r>
        <w:rPr>
          <w:rFonts w:hint="eastAsia"/>
          <w:szCs w:val="21"/>
        </w:rPr>
        <w:t>，其计划项目代号为：JJFZ(有色金属)017-2023，计划完成年限为2025年。</w:t>
      </w:r>
    </w:p>
    <w:p>
      <w:pPr>
        <w:pStyle w:val="61"/>
        <w:numPr>
          <w:ilvl w:val="0"/>
          <w:numId w:val="0"/>
        </w:numPr>
        <w:spacing w:before="156" w:after="156" w:line="300" w:lineRule="auto"/>
        <w:contextualSpacing/>
      </w:pPr>
      <w:bookmarkStart w:id="6" w:name="_Toc462884342"/>
      <w:bookmarkStart w:id="7" w:name="_Toc464728898"/>
      <w:r>
        <w:rPr>
          <w:rFonts w:hint="eastAsia"/>
        </w:rPr>
        <w:t>3.项目编制组单位简况</w:t>
      </w:r>
      <w:bookmarkEnd w:id="6"/>
      <w:bookmarkEnd w:id="7"/>
      <w:r>
        <w:rPr>
          <w:rFonts w:hint="eastAsia"/>
        </w:rPr>
        <w:t xml:space="preserve">      </w:t>
      </w:r>
    </w:p>
    <w:p>
      <w:pPr>
        <w:pStyle w:val="60"/>
        <w:numPr>
          <w:ilvl w:val="0"/>
          <w:numId w:val="0"/>
        </w:numPr>
        <w:spacing w:before="156" w:beforeLines="50" w:after="156" w:afterLines="50" w:line="240" w:lineRule="auto"/>
        <w:rPr>
          <w:color w:val="auto"/>
        </w:rPr>
      </w:pPr>
      <w:bookmarkStart w:id="8" w:name="_Toc464728899"/>
      <w:bookmarkStart w:id="9" w:name="_Toc462884343"/>
      <w:r>
        <w:rPr>
          <w:rFonts w:hint="eastAsia"/>
          <w:color w:val="auto"/>
        </w:rPr>
        <w:t>3.1编制组成员单位</w:t>
      </w:r>
      <w:bookmarkEnd w:id="8"/>
      <w:bookmarkEnd w:id="9"/>
    </w:p>
    <w:p>
      <w:pPr>
        <w:widowControl/>
        <w:autoSpaceDE w:val="0"/>
        <w:autoSpaceDN w:val="0"/>
        <w:spacing w:line="360" w:lineRule="auto"/>
        <w:ind w:firstLine="420" w:firstLineChars="200"/>
        <w:rPr>
          <w:szCs w:val="21"/>
        </w:rPr>
      </w:pPr>
      <w:bookmarkStart w:id="10" w:name="_Toc464728900"/>
      <w:bookmarkStart w:id="11" w:name="_Toc462884344"/>
      <w:r>
        <w:rPr>
          <w:rFonts w:hint="eastAsia"/>
          <w:szCs w:val="21"/>
        </w:rPr>
        <w:t>本规范的编制组单位为：西安汉唐分析检测有限公司、中国石油集团工程材料研究院有限公司、中国船舶集团有限公司第七二五研究所。</w:t>
      </w:r>
    </w:p>
    <w:bookmarkEnd w:id="10"/>
    <w:bookmarkEnd w:id="11"/>
    <w:p>
      <w:pPr>
        <w:pStyle w:val="60"/>
        <w:numPr>
          <w:ilvl w:val="0"/>
          <w:numId w:val="0"/>
        </w:numPr>
        <w:spacing w:before="156" w:beforeLines="50" w:after="156" w:afterLines="50"/>
        <w:contextualSpacing/>
        <w:rPr>
          <w:rFonts w:hAnsi="黑体"/>
          <w:color w:val="auto"/>
        </w:rPr>
      </w:pPr>
      <w:r>
        <w:rPr>
          <w:rFonts w:hint="eastAsia" w:hAnsi="黑体"/>
          <w:color w:val="auto"/>
        </w:rPr>
        <w:t>3.2主编单位简介</w:t>
      </w:r>
    </w:p>
    <w:p>
      <w:pPr>
        <w:pStyle w:val="59"/>
        <w:numPr>
          <w:ilvl w:val="0"/>
          <w:numId w:val="0"/>
        </w:numPr>
        <w:spacing w:before="156" w:beforeLines="50" w:after="156" w:afterLines="50"/>
        <w:contextualSpacing/>
        <w:rPr>
          <w:color w:val="auto"/>
        </w:rPr>
      </w:pPr>
      <w:r>
        <w:rPr>
          <w:rFonts w:hint="eastAsia"/>
          <w:color w:val="auto"/>
        </w:rPr>
        <w:t>3.2.1西安汉唐分析检测有限公司</w:t>
      </w:r>
    </w:p>
    <w:p>
      <w:pPr>
        <w:spacing w:line="360" w:lineRule="auto"/>
        <w:ind w:firstLine="420" w:firstLineChars="200"/>
        <w:rPr>
          <w:szCs w:val="21"/>
        </w:rPr>
      </w:pPr>
      <w:r>
        <w:rPr>
          <w:rFonts w:hint="eastAsia"/>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pPr>
        <w:spacing w:line="360" w:lineRule="auto"/>
        <w:ind w:firstLine="420" w:firstLineChars="200"/>
        <w:rPr>
          <w:szCs w:val="21"/>
        </w:rPr>
      </w:pPr>
      <w:r>
        <w:rPr>
          <w:rFonts w:hint="eastAsia"/>
          <w:szCs w:val="21"/>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pPr>
        <w:spacing w:line="360" w:lineRule="auto"/>
        <w:ind w:firstLine="420" w:firstLineChars="200"/>
        <w:rPr>
          <w:rFonts w:hint="eastAsia"/>
          <w:szCs w:val="21"/>
        </w:rPr>
      </w:pPr>
      <w:r>
        <w:rPr>
          <w:rFonts w:hint="eastAsia"/>
          <w:szCs w:val="21"/>
        </w:rPr>
        <w:t>近10年起草有色金属国家/行业规范共80余项、发表论文120余篇、授权专利30余项。先后荣获中国有色金属工业一等奖、二等奖20余次。</w:t>
      </w:r>
    </w:p>
    <w:p>
      <w:pPr>
        <w:spacing w:line="360" w:lineRule="auto"/>
        <w:ind w:firstLine="420" w:firstLineChars="200"/>
        <w:contextualSpacing/>
        <w:jc w:val="left"/>
        <w:rPr>
          <w:rFonts w:hint="eastAsia"/>
          <w:szCs w:val="21"/>
        </w:rPr>
      </w:pPr>
      <w:r>
        <w:rPr>
          <w:rFonts w:hint="eastAsia"/>
          <w:szCs w:val="21"/>
        </w:rPr>
        <w:t>本单位积极组织编制组各次工作会议，开展相关的校准，有效组织参编单位多次对规范的各版《征求意见稿》进行认真的讨论和审议，提出大量有益的意见和建议，在编制组中发挥了牵头作用。</w:t>
      </w:r>
    </w:p>
    <w:p>
      <w:pPr>
        <w:pStyle w:val="59"/>
        <w:numPr>
          <w:ilvl w:val="0"/>
          <w:numId w:val="0"/>
        </w:numPr>
        <w:spacing w:before="156" w:beforeLines="50" w:after="156" w:afterLines="50"/>
        <w:contextualSpacing/>
        <w:rPr>
          <w:rFonts w:hint="eastAsia"/>
          <w:color w:val="auto"/>
        </w:rPr>
      </w:pPr>
      <w:r>
        <w:rPr>
          <w:rFonts w:hint="eastAsia"/>
          <w:color w:val="auto"/>
        </w:rPr>
        <w:t>3.2.2中国石油集团工程材料研究院有限公司</w:t>
      </w:r>
    </w:p>
    <w:p>
      <w:pPr>
        <w:spacing w:line="360" w:lineRule="auto"/>
        <w:ind w:firstLine="420" w:firstLineChars="200"/>
        <w:contextualSpacing/>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中国石油集团工程材料研究院有限公司组建于1981年，坐落于古城西安高新技术开发区，是中国石油集团（CNPC）直属科研机构，也是国内石油行业在石油管工程技术领域唯一集“科学研究、质量监督、工程技术服务”为一体的综合性技术中心与核心科研机构，是为中国石油集团石油管工程技术提供决策支持的“参谋部”，开展石油管工程技术创新的“研发中心”，保障石油管质量安全的“检测评价中心”，为重大管道工程和油气田勘探开发项目提供石油管技术支持与服务的“技术中心”。</w:t>
      </w:r>
    </w:p>
    <w:p>
      <w:pPr>
        <w:spacing w:line="360" w:lineRule="auto"/>
        <w:ind w:firstLine="420" w:firstLineChars="200"/>
        <w:contextualSpacing/>
        <w:jc w:val="left"/>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工程材料研究院有限公司秉承着“创新、致远、严谨、公正”的理念，致力于科技创新。建院四十年来完成国家和省部级科研项目400余项，其中获国家级科技奖励16项，省部级科技奖励150余项（次），专利授权656项（其中发明专利333项），发表论文2900余篇，注册软件95套，制修订国际、国家、行业、企业标准400余项（其中国际标准6项，国家标准40项），参与制修订ISO、API等标准多项。完成质量监督项目近10000余项，失效分析项目1500余项，为西气东输管线、陕京管线、中亚管线等国家重大管道项目建设及塔里木、长庆、新疆、西南等重点油气田勘探开发提供了重要的技术保障。</w:t>
      </w:r>
    </w:p>
    <w:p>
      <w:pPr>
        <w:pStyle w:val="59"/>
        <w:numPr>
          <w:ilvl w:val="0"/>
          <w:numId w:val="0"/>
        </w:numPr>
        <w:spacing w:before="156" w:beforeLines="50" w:after="156" w:afterLines="50"/>
        <w:contextualSpacing/>
        <w:rPr>
          <w:rFonts w:hint="eastAsia"/>
          <w:color w:val="auto"/>
        </w:rPr>
      </w:pPr>
      <w:r>
        <w:rPr>
          <w:rFonts w:hint="eastAsia"/>
          <w:color w:val="auto"/>
        </w:rPr>
        <w:t>3.2.3中国船舶集团有限公司第七二五研究所</w:t>
      </w:r>
    </w:p>
    <w:p>
      <w:pPr>
        <w:spacing w:line="360" w:lineRule="auto"/>
        <w:ind w:firstLine="420" w:firstLineChars="200"/>
        <w:contextualSpacing/>
        <w:jc w:val="left"/>
        <w:rPr>
          <w:szCs w:val="21"/>
        </w:rPr>
      </w:pPr>
      <w:r>
        <w:rPr>
          <w:rFonts w:hint="eastAsia"/>
          <w:szCs w:val="21"/>
        </w:rPr>
        <w:t>中国船舶集团有限公司第七二五研究所(以下简称“七二五所”)成立于1961年，隶属中国船舶集团有限公司，专业从事舰船材料与工艺及应用性研究。七二五所(事业单位)开办资金5307万元，(企业营业执照)注册资金81599万元。</w:t>
      </w:r>
    </w:p>
    <w:p>
      <w:pPr>
        <w:spacing w:line="360" w:lineRule="auto"/>
        <w:ind w:firstLine="420" w:firstLineChars="200"/>
        <w:contextualSpacing/>
        <w:jc w:val="left"/>
        <w:rPr>
          <w:szCs w:val="21"/>
        </w:rPr>
      </w:pPr>
      <w:r>
        <w:rPr>
          <w:rFonts w:hint="eastAsia"/>
          <w:szCs w:val="21"/>
        </w:rPr>
        <w:t>科研方面：涉及船体结构材料、有色金属材料、非金属材料、腐蚀与防护技术、特种材料、焊接工艺、自然环境试验等多个重点领域。目前,七二五所拥有海洋腐蚀与防护国防科技重点实验室等8个国家级创新平台、4个海洋环境试验站、4个国家级检测认证中心、25个省部级及6个市级创新平台;并拥有材料学和材料加工工程硕士学位授权点、材料学博士学位授权点和博士后工作站。</w:t>
      </w:r>
    </w:p>
    <w:p>
      <w:pPr>
        <w:spacing w:line="360" w:lineRule="auto"/>
        <w:ind w:firstLine="420" w:firstLineChars="200"/>
        <w:contextualSpacing/>
        <w:jc w:val="left"/>
        <w:rPr>
          <w:szCs w:val="21"/>
        </w:rPr>
      </w:pPr>
      <w:r>
        <w:rPr>
          <w:rFonts w:hint="eastAsia"/>
          <w:szCs w:val="21"/>
        </w:rPr>
        <w:t>科技产业方面：七二五所秉承“精诚团结、求实创新、志存高远、追求卓越”的精神，致力于构建“国内领先、国际一流的集科研和多个高技术产业为一体的高科技产业集团”，持续推进科技成果转化和高新技术产业化，初步建成了领先的高科技产业集团。主要产品有：金属波纹管膨胀节、特种材料压力容器、管道和桥梁支座、特种材料铸锻件、特种焊接材料、金属爆炸复合材料、钛合金构件和铸件、海绵钛、防腐防污产品、非金属材料制品、风电叶片、船舶压载水系统、海水淡化系统等。</w:t>
      </w:r>
    </w:p>
    <w:p>
      <w:pPr>
        <w:spacing w:line="360" w:lineRule="auto"/>
        <w:ind w:firstLine="420" w:firstLineChars="200"/>
        <w:contextualSpacing/>
        <w:jc w:val="left"/>
        <w:rPr>
          <w:rFonts w:hint="eastAsia"/>
          <w:color w:val="FF0000"/>
          <w:szCs w:val="21"/>
        </w:rPr>
      </w:pPr>
      <w:r>
        <w:rPr>
          <w:rFonts w:hint="eastAsia"/>
          <w:szCs w:val="21"/>
        </w:rPr>
        <w:t>近年来，七二五所获得的主要荣誉：中国质量奖提名奖、全国质量标杆、“中国制造业十大创新企业”、“创建国有企业四好领导班子先进集体”、“中央企业先进集体”、“中央企业先进党组织”、“全国模范职工之家”、“全国五四红旗团委”、“全国文明单位”、“全国无偿献血促进奖(单位奖)”、“首届中国质量奖提名奖”、“第十七届全国质量奖”、国家“守合同重信用”企业等荣誉称号。</w:t>
      </w:r>
    </w:p>
    <w:p>
      <w:pPr>
        <w:pStyle w:val="61"/>
        <w:numPr>
          <w:ilvl w:val="0"/>
          <w:numId w:val="0"/>
        </w:numPr>
        <w:spacing w:before="156" w:after="156" w:line="300" w:lineRule="auto"/>
        <w:contextualSpacing/>
      </w:pPr>
      <w:bookmarkStart w:id="12" w:name="_Toc464728913"/>
      <w:bookmarkStart w:id="13" w:name="_Toc462884357"/>
      <w:r>
        <w:rPr>
          <w:rFonts w:hint="eastAsia"/>
        </w:rPr>
        <w:t>4.主要工作过程</w:t>
      </w:r>
      <w:bookmarkEnd w:id="12"/>
      <w:bookmarkEnd w:id="13"/>
    </w:p>
    <w:p>
      <w:pPr>
        <w:spacing w:line="360" w:lineRule="auto"/>
        <w:ind w:firstLine="420" w:firstLineChars="200"/>
        <w:rPr>
          <w:bCs/>
        </w:rPr>
      </w:pPr>
      <w:bookmarkStart w:id="14" w:name="_Toc464728924"/>
      <w:r>
        <w:rPr>
          <w:rFonts w:hint="eastAsia"/>
          <w:bCs/>
        </w:rPr>
        <w:t>西安汉唐分析检测有限公司接到有色金属行业计量技术委员会转发下达的制定任务后，成立了计量规范编制组，对计量技术规范编写工作进行了部署和分工，制定了制定原则及计划工作。</w:t>
      </w:r>
    </w:p>
    <w:p>
      <w:pPr>
        <w:spacing w:line="360" w:lineRule="auto"/>
        <w:ind w:firstLine="420" w:firstLineChars="200"/>
        <w:rPr>
          <w:bCs/>
        </w:rPr>
      </w:pPr>
      <w:r>
        <w:rPr>
          <w:rFonts w:hint="eastAsia"/>
          <w:bCs/>
        </w:rPr>
        <w:t>2023年7月成立了计量规范编制组，明确编制组成员各自的工作内容及任务，对被校对象的使用单位进行了校准需求调研，收集相关资料。</w:t>
      </w:r>
      <w:bookmarkStart w:id="82" w:name="_GoBack"/>
      <w:bookmarkEnd w:id="82"/>
    </w:p>
    <w:p>
      <w:pPr>
        <w:spacing w:line="360" w:lineRule="auto"/>
        <w:ind w:firstLine="420" w:firstLineChars="200"/>
        <w:rPr>
          <w:bCs/>
        </w:rPr>
      </w:pPr>
      <w:r>
        <w:rPr>
          <w:rFonts w:hint="eastAsia"/>
          <w:bCs/>
        </w:rPr>
        <w:t>2023年8月~2024年2月编制组成员对校准规范中的计量特性及校准方法进行了讨论，确定了校准项目及方法，对关键技术指标提出了修改意见最终形成讨论稿。</w:t>
      </w:r>
    </w:p>
    <w:p>
      <w:pPr>
        <w:pStyle w:val="74"/>
        <w:numPr>
          <w:ilvl w:val="0"/>
          <w:numId w:val="11"/>
        </w:numPr>
        <w:tabs>
          <w:tab w:val="left" w:pos="426"/>
        </w:tabs>
        <w:spacing w:before="312" w:beforeLines="100" w:after="312" w:afterLines="100"/>
        <w:ind w:left="420" w:hangingChars="200"/>
        <w:jc w:val="left"/>
      </w:pPr>
      <w:r>
        <w:rPr>
          <w:rFonts w:hint="eastAsia"/>
        </w:rPr>
        <w:t>规范编制原则和确定主要内容</w:t>
      </w:r>
      <w:bookmarkEnd w:id="14"/>
    </w:p>
    <w:p>
      <w:pPr>
        <w:pStyle w:val="79"/>
        <w:wordWrap/>
        <w:spacing w:beforeLines="0" w:after="156" w:line="360" w:lineRule="auto"/>
      </w:pPr>
      <w:bookmarkStart w:id="15" w:name="_Toc464728925"/>
      <w:r>
        <w:rPr>
          <w:rFonts w:hint="eastAsia"/>
        </w:rPr>
        <w:t>编制原则</w:t>
      </w:r>
      <w:bookmarkEnd w:id="15"/>
    </w:p>
    <w:p>
      <w:pPr>
        <w:pStyle w:val="58"/>
        <w:spacing w:line="324" w:lineRule="auto"/>
        <w:ind w:firstLineChars="0"/>
        <w:rPr>
          <w:rFonts w:ascii="Times New Roman" w:hAnsi="Times New Roman"/>
          <w:kern w:val="2"/>
          <w:szCs w:val="21"/>
        </w:rPr>
      </w:pPr>
      <w:bookmarkStart w:id="16" w:name="_Toc464728926"/>
      <w:r>
        <w:rPr>
          <w:rFonts w:hint="eastAsia" w:ascii="Times New Roman" w:hAnsi="Times New Roman"/>
          <w:kern w:val="2"/>
          <w:szCs w:val="21"/>
        </w:rPr>
        <w:t>本规范是以</w:t>
      </w:r>
      <w:r>
        <w:rPr>
          <w:rFonts w:ascii="Times New Roman" w:hAnsi="Times New Roman"/>
          <w:kern w:val="2"/>
          <w:szCs w:val="21"/>
        </w:rPr>
        <w:t>JJF 1071-2010</w:t>
      </w:r>
      <w:r>
        <w:rPr>
          <w:rFonts w:hint="eastAsia" w:ascii="Times New Roman" w:hAnsi="Times New Roman"/>
          <w:kern w:val="2"/>
          <w:szCs w:val="21"/>
        </w:rPr>
        <w:t>《国家计量校准规范编写规则》、JJF 1001-2011《通用计量术语及定义》和JJF 1059.1-2012《测量不确定度评定与表示》为基础性系列规范进行编写。</w:t>
      </w:r>
    </w:p>
    <w:p>
      <w:pPr>
        <w:pStyle w:val="79"/>
        <w:spacing w:before="312" w:beforeLines="100" w:after="312" w:afterLines="100"/>
        <w:rPr>
          <w:rFonts w:ascii="宋体" w:hAnsi="宋体"/>
        </w:rPr>
      </w:pPr>
      <w:r>
        <w:rPr>
          <w:rFonts w:hint="eastAsia"/>
        </w:rPr>
        <w:t>确定主要内</w:t>
      </w:r>
      <w:bookmarkEnd w:id="16"/>
      <w:r>
        <w:rPr>
          <w:rFonts w:hint="eastAsia"/>
        </w:rPr>
        <w:t>容</w:t>
      </w:r>
    </w:p>
    <w:p>
      <w:pPr>
        <w:pStyle w:val="61"/>
        <w:numPr>
          <w:ilvl w:val="0"/>
          <w:numId w:val="0"/>
        </w:numPr>
        <w:spacing w:beforeLines="0" w:afterLines="0" w:line="360" w:lineRule="auto"/>
        <w:rPr>
          <w:rFonts w:ascii="Times New Roman"/>
          <w:szCs w:val="21"/>
        </w:rPr>
      </w:pPr>
      <w:bookmarkStart w:id="17" w:name="_Toc193860208"/>
      <w:bookmarkStart w:id="18" w:name="_Toc193860027"/>
      <w:bookmarkStart w:id="19" w:name="_Toc23837_WPSOffice_Level1"/>
      <w:bookmarkStart w:id="20" w:name="_Toc500258929"/>
      <w:bookmarkStart w:id="21" w:name="_Toc193860177"/>
      <w:bookmarkStart w:id="22" w:name="_Toc464728964"/>
      <w:r>
        <w:rPr>
          <w:rFonts w:ascii="Times New Roman"/>
          <w:szCs w:val="21"/>
        </w:rPr>
        <w:t>1</w:t>
      </w:r>
      <w:r>
        <w:rPr>
          <w:rFonts w:hint="eastAsia" w:ascii="Times New Roman"/>
          <w:szCs w:val="21"/>
        </w:rPr>
        <w:t xml:space="preserve"> 范围</w:t>
      </w:r>
      <w:bookmarkEnd w:id="17"/>
      <w:bookmarkEnd w:id="18"/>
      <w:bookmarkEnd w:id="19"/>
      <w:bookmarkEnd w:id="20"/>
      <w:bookmarkEnd w:id="21"/>
    </w:p>
    <w:p>
      <w:pPr>
        <w:spacing w:line="360" w:lineRule="auto"/>
        <w:ind w:firstLine="420" w:firstLineChars="200"/>
        <w:rPr>
          <w:rFonts w:ascii="宋体" w:hAnsi="宋体"/>
          <w:kern w:val="0"/>
          <w:szCs w:val="20"/>
        </w:rPr>
      </w:pPr>
      <w:bookmarkStart w:id="23" w:name="_Toc193860209"/>
      <w:bookmarkStart w:id="24" w:name="_Toc193860178"/>
      <w:bookmarkStart w:id="25" w:name="_Toc193860028"/>
      <w:bookmarkStart w:id="26" w:name="_Toc500258930"/>
      <w:bookmarkStart w:id="27" w:name="_Toc7848_WPSOffice_Level1"/>
      <w:r>
        <w:rPr>
          <w:rFonts w:hint="eastAsia" w:ascii="宋体" w:hAnsi="宋体"/>
          <w:kern w:val="0"/>
          <w:szCs w:val="20"/>
        </w:rPr>
        <w:t>本规范适用于金属或非金属材料测试用非接触式激光引伸计</w:t>
      </w:r>
      <w:r>
        <w:rPr>
          <w:rFonts w:ascii="宋体" w:hAnsi="宋体"/>
          <w:kern w:val="0"/>
          <w:szCs w:val="20"/>
        </w:rPr>
        <w:t>的校准</w:t>
      </w:r>
      <w:r>
        <w:rPr>
          <w:rFonts w:hint="eastAsia" w:ascii="宋体" w:hAnsi="宋体"/>
          <w:kern w:val="0"/>
          <w:szCs w:val="20"/>
        </w:rPr>
        <w:t>。</w:t>
      </w:r>
    </w:p>
    <w:p>
      <w:pPr>
        <w:pStyle w:val="61"/>
        <w:numPr>
          <w:ilvl w:val="0"/>
          <w:numId w:val="0"/>
        </w:numPr>
        <w:spacing w:beforeLines="0" w:afterLines="0" w:line="360" w:lineRule="auto"/>
        <w:rPr>
          <w:rFonts w:ascii="Times New Roman"/>
          <w:szCs w:val="21"/>
        </w:rPr>
      </w:pPr>
      <w:r>
        <w:rPr>
          <w:rFonts w:ascii="Times New Roman"/>
          <w:szCs w:val="21"/>
        </w:rPr>
        <w:t>2</w:t>
      </w:r>
      <w:r>
        <w:rPr>
          <w:rFonts w:hint="eastAsia" w:ascii="Times New Roman"/>
          <w:szCs w:val="21"/>
        </w:rPr>
        <w:t xml:space="preserve"> 引用文</w:t>
      </w:r>
      <w:bookmarkEnd w:id="23"/>
      <w:bookmarkEnd w:id="24"/>
      <w:bookmarkEnd w:id="25"/>
      <w:r>
        <w:rPr>
          <w:rFonts w:hint="eastAsia" w:ascii="Times New Roman"/>
          <w:szCs w:val="21"/>
        </w:rPr>
        <w:t>件</w:t>
      </w:r>
      <w:bookmarkEnd w:id="26"/>
      <w:bookmarkEnd w:id="27"/>
    </w:p>
    <w:p>
      <w:pPr>
        <w:spacing w:line="360" w:lineRule="auto"/>
        <w:ind w:firstLine="420" w:firstLineChars="200"/>
        <w:rPr>
          <w:rFonts w:ascii="宋体" w:hAnsi="宋体"/>
          <w:kern w:val="0"/>
          <w:szCs w:val="20"/>
        </w:rPr>
      </w:pPr>
      <w:bookmarkStart w:id="28" w:name="_Toc193619055"/>
      <w:bookmarkStart w:id="29" w:name="_Toc193860211"/>
      <w:bookmarkStart w:id="30" w:name="_Toc13054_WPSOffice_Level1"/>
      <w:bookmarkStart w:id="31" w:name="_Toc193618952"/>
      <w:bookmarkStart w:id="32" w:name="_Toc193860030"/>
      <w:bookmarkStart w:id="33" w:name="_Toc193860180"/>
      <w:bookmarkStart w:id="34" w:name="_Toc500258937"/>
      <w:bookmarkStart w:id="35" w:name="_Toc193619097"/>
      <w:r>
        <w:rPr>
          <w:rFonts w:hint="eastAsia" w:ascii="宋体" w:hAnsi="宋体"/>
          <w:kern w:val="0"/>
          <w:szCs w:val="20"/>
        </w:rPr>
        <w:t>下列文件对于本规范的应用必不可少的。凡是注日期的引用文件，仅注日期的版本适用于本规范；凡是不注日期的引用文件，其最新版本（包括所有的修改单）适用于本规范。</w:t>
      </w:r>
    </w:p>
    <w:p>
      <w:pPr>
        <w:autoSpaceDE w:val="0"/>
        <w:autoSpaceDN w:val="0"/>
        <w:adjustRightInd w:val="0"/>
        <w:spacing w:line="440" w:lineRule="exact"/>
        <w:ind w:firstLine="420" w:firstLineChars="200"/>
        <w:rPr>
          <w:kern w:val="0"/>
          <w:szCs w:val="20"/>
        </w:rPr>
      </w:pPr>
      <w:bookmarkStart w:id="36" w:name="_Hlk37535606"/>
      <w:r>
        <w:rPr>
          <w:rFonts w:hint="eastAsia"/>
          <w:kern w:val="0"/>
          <w:szCs w:val="20"/>
        </w:rPr>
        <w:t>JJF（有色金属）0010-2021材料力学性能测试用非接触式激光引伸计校准规范</w:t>
      </w:r>
    </w:p>
    <w:p>
      <w:pPr>
        <w:autoSpaceDE w:val="0"/>
        <w:autoSpaceDN w:val="0"/>
        <w:adjustRightInd w:val="0"/>
        <w:spacing w:line="440" w:lineRule="exact"/>
        <w:ind w:firstLine="420" w:firstLineChars="200"/>
        <w:rPr>
          <w:kern w:val="0"/>
          <w:szCs w:val="20"/>
        </w:rPr>
      </w:pPr>
      <w:r>
        <w:rPr>
          <w:kern w:val="0"/>
          <w:szCs w:val="20"/>
        </w:rPr>
        <w:t>JJG 762 引伸计</w:t>
      </w:r>
    </w:p>
    <w:bookmarkEnd w:id="36"/>
    <w:p>
      <w:pPr>
        <w:autoSpaceDE w:val="0"/>
        <w:autoSpaceDN w:val="0"/>
        <w:adjustRightInd w:val="0"/>
        <w:spacing w:line="440" w:lineRule="exact"/>
        <w:ind w:firstLine="420" w:firstLineChars="200"/>
        <w:rPr>
          <w:kern w:val="0"/>
          <w:szCs w:val="20"/>
        </w:rPr>
      </w:pPr>
      <w:r>
        <w:rPr>
          <w:kern w:val="0"/>
          <w:szCs w:val="20"/>
        </w:rPr>
        <w:t>ASTM E83 引伸计系统的校准和分级系统校准规范</w:t>
      </w:r>
    </w:p>
    <w:p>
      <w:pPr>
        <w:autoSpaceDE w:val="0"/>
        <w:autoSpaceDN w:val="0"/>
        <w:adjustRightInd w:val="0"/>
        <w:spacing w:line="440" w:lineRule="exact"/>
        <w:ind w:firstLine="420" w:firstLineChars="200"/>
        <w:rPr>
          <w:kern w:val="0"/>
          <w:szCs w:val="20"/>
        </w:rPr>
      </w:pPr>
      <w:r>
        <w:rPr>
          <w:rFonts w:hint="eastAsia"/>
          <w:kern w:val="0"/>
          <w:szCs w:val="20"/>
        </w:rPr>
        <w:t>ISO 9513金属材料 单轴试验用引伸计系统的标定</w:t>
      </w:r>
    </w:p>
    <w:p>
      <w:pPr>
        <w:autoSpaceDE w:val="0"/>
        <w:autoSpaceDN w:val="0"/>
        <w:adjustRightInd w:val="0"/>
        <w:spacing w:line="440" w:lineRule="exact"/>
        <w:ind w:firstLine="420" w:firstLineChars="200"/>
        <w:rPr>
          <w:kern w:val="0"/>
          <w:szCs w:val="20"/>
        </w:rPr>
      </w:pPr>
      <w:r>
        <w:rPr>
          <w:kern w:val="0"/>
          <w:szCs w:val="20"/>
        </w:rPr>
        <w:t>JJF 1096 引伸计标定器校准规范</w:t>
      </w:r>
    </w:p>
    <w:p>
      <w:pPr>
        <w:spacing w:line="360" w:lineRule="auto"/>
        <w:ind w:firstLine="420" w:firstLineChars="200"/>
        <w:rPr>
          <w:kern w:val="0"/>
          <w:szCs w:val="20"/>
        </w:rPr>
      </w:pPr>
      <w:r>
        <w:rPr>
          <w:kern w:val="0"/>
          <w:szCs w:val="20"/>
        </w:rPr>
        <w:t>GB/T 228.1 金属材料拉伸试验 第一部分：室温试验方法</w:t>
      </w:r>
    </w:p>
    <w:p>
      <w:pPr>
        <w:spacing w:line="360" w:lineRule="auto"/>
        <w:ind w:firstLine="420" w:firstLineChars="200"/>
        <w:rPr>
          <w:kern w:val="0"/>
          <w:szCs w:val="20"/>
        </w:rPr>
      </w:pPr>
      <w:r>
        <w:rPr>
          <w:kern w:val="0"/>
          <w:szCs w:val="20"/>
        </w:rPr>
        <w:t>GB/T 228.2 金属材料拉伸试验 第二部分：高温试验方法</w:t>
      </w:r>
    </w:p>
    <w:p>
      <w:pPr>
        <w:pStyle w:val="61"/>
        <w:numPr>
          <w:ilvl w:val="0"/>
          <w:numId w:val="0"/>
        </w:numPr>
        <w:spacing w:beforeLines="0" w:afterLines="0" w:line="360" w:lineRule="auto"/>
        <w:rPr>
          <w:rFonts w:ascii="Times New Roman"/>
          <w:szCs w:val="21"/>
        </w:rPr>
      </w:pPr>
      <w:r>
        <w:rPr>
          <w:rFonts w:hint="eastAsia" w:ascii="Times New Roman"/>
          <w:szCs w:val="21"/>
        </w:rPr>
        <w:t>3 概述</w:t>
      </w:r>
      <w:bookmarkEnd w:id="28"/>
      <w:bookmarkEnd w:id="29"/>
      <w:bookmarkEnd w:id="30"/>
      <w:bookmarkEnd w:id="31"/>
      <w:bookmarkEnd w:id="32"/>
      <w:bookmarkEnd w:id="33"/>
      <w:bookmarkEnd w:id="34"/>
      <w:bookmarkEnd w:id="35"/>
    </w:p>
    <w:p>
      <w:pPr>
        <w:autoSpaceDE w:val="0"/>
        <w:autoSpaceDN w:val="0"/>
        <w:adjustRightInd w:val="0"/>
        <w:spacing w:line="440" w:lineRule="exact"/>
        <w:ind w:firstLine="420" w:firstLineChars="200"/>
        <w:rPr>
          <w:rFonts w:ascii="宋体" w:hAnsi="宋体"/>
          <w:kern w:val="0"/>
          <w:szCs w:val="20"/>
        </w:rPr>
      </w:pPr>
      <w:r>
        <w:rPr>
          <w:rFonts w:hint="eastAsia"/>
          <w:kern w:val="0"/>
        </w:rPr>
        <w:t>激光引伸计</w:t>
      </w:r>
      <w:r>
        <w:rPr>
          <w:rFonts w:ascii="宋体" w:hAnsi="宋体"/>
          <w:kern w:val="0"/>
          <w:szCs w:val="20"/>
        </w:rPr>
        <w:t>采用非接触测量金属或非金属材料应变，测量精度高。抗干扰能力强、实现简单、适用</w:t>
      </w:r>
      <w:r>
        <w:rPr>
          <w:rFonts w:hint="eastAsia" w:ascii="宋体" w:hAnsi="宋体"/>
          <w:kern w:val="0"/>
          <w:szCs w:val="20"/>
        </w:rPr>
        <w:t>范围</w:t>
      </w:r>
      <w:r>
        <w:rPr>
          <w:rFonts w:ascii="宋体" w:hAnsi="宋体"/>
          <w:kern w:val="0"/>
          <w:szCs w:val="20"/>
        </w:rPr>
        <w:t>广</w:t>
      </w:r>
      <w:r>
        <w:rPr>
          <w:rFonts w:hint="eastAsia" w:ascii="宋体" w:hAnsi="宋体"/>
          <w:kern w:val="0"/>
          <w:szCs w:val="20"/>
        </w:rPr>
        <w:t>、避免刀口对试样的划伤、滑脱及可用于超高温环境试验、细薄样品试验等诸多优点，近些年已广泛应用于</w:t>
      </w:r>
      <w:r>
        <w:rPr>
          <w:kern w:val="0"/>
        </w:rPr>
        <w:t>金属</w:t>
      </w:r>
      <w:r>
        <w:rPr>
          <w:rFonts w:hint="eastAsia"/>
          <w:kern w:val="0"/>
        </w:rPr>
        <w:t>材料</w:t>
      </w:r>
      <w:r>
        <w:rPr>
          <w:kern w:val="0"/>
        </w:rPr>
        <w:t>及硬质非金属材料常规拉伸、压缩试验等</w:t>
      </w:r>
      <w:r>
        <w:rPr>
          <w:rFonts w:hint="eastAsia" w:ascii="宋体" w:hAnsi="宋体"/>
          <w:kern w:val="0"/>
          <w:szCs w:val="20"/>
        </w:rPr>
        <w:t>相关力学性能指标的测定。</w:t>
      </w:r>
    </w:p>
    <w:p>
      <w:pPr>
        <w:autoSpaceDE w:val="0"/>
        <w:autoSpaceDN w:val="0"/>
        <w:adjustRightInd w:val="0"/>
        <w:spacing w:line="440" w:lineRule="exact"/>
        <w:ind w:firstLine="420" w:firstLineChars="200"/>
        <w:rPr>
          <w:kern w:val="0"/>
        </w:rPr>
      </w:pPr>
      <w:r>
        <w:rPr>
          <w:rFonts w:hint="eastAsia"/>
          <w:kern w:val="0"/>
        </w:rPr>
        <w:t>当一束激光照射到光感粗糙表面时，会往不同的方向发散光线，这些光线发生漫反射，其中一部分光线返回到激光接收器，另一部分散射之后不返回激光接收器，这样就形成了颗粒状的散斑图。在给试样施加载荷的过程中，试样的表面结构会慢慢发生变形，与此同时，照射到试样表面形成的激光散斑也会慢慢发生变形。此时，激光处理器会接收到连续变化的图像，而且激光处理器会定位所存储的散斑图案并计算出散斑图案在图像之间移动的位移，从而达到测量移动距离的目的。</w:t>
      </w:r>
    </w:p>
    <w:p>
      <w:pPr>
        <w:pStyle w:val="61"/>
        <w:numPr>
          <w:ilvl w:val="0"/>
          <w:numId w:val="0"/>
        </w:numPr>
        <w:spacing w:before="156" w:afterLines="0" w:line="360" w:lineRule="auto"/>
        <w:rPr>
          <w:rFonts w:ascii="Times New Roman"/>
          <w:szCs w:val="21"/>
        </w:rPr>
      </w:pPr>
      <w:bookmarkStart w:id="37" w:name="_Toc193619056"/>
      <w:bookmarkStart w:id="38" w:name="_Toc193860212"/>
      <w:bookmarkStart w:id="39" w:name="_Toc500258938"/>
      <w:bookmarkStart w:id="40" w:name="_Toc193860031"/>
      <w:bookmarkStart w:id="41" w:name="_Toc193860181"/>
      <w:bookmarkStart w:id="42" w:name="_Toc193618953"/>
      <w:bookmarkStart w:id="43" w:name="_Toc193619098"/>
      <w:bookmarkStart w:id="44" w:name="_Toc19851_WPSOffice_Level1"/>
      <w:r>
        <w:rPr>
          <w:rFonts w:hint="eastAsia" w:ascii="Times New Roman"/>
          <w:szCs w:val="21"/>
        </w:rPr>
        <w:t>4 计量特性</w:t>
      </w:r>
      <w:bookmarkEnd w:id="37"/>
      <w:bookmarkEnd w:id="38"/>
      <w:bookmarkEnd w:id="39"/>
      <w:bookmarkEnd w:id="40"/>
      <w:bookmarkEnd w:id="41"/>
      <w:bookmarkEnd w:id="42"/>
      <w:bookmarkEnd w:id="43"/>
      <w:bookmarkEnd w:id="44"/>
    </w:p>
    <w:p>
      <w:pPr>
        <w:pStyle w:val="61"/>
        <w:numPr>
          <w:ilvl w:val="0"/>
          <w:numId w:val="0"/>
        </w:numPr>
        <w:spacing w:before="156" w:after="156" w:line="360" w:lineRule="auto"/>
        <w:ind w:firstLine="420" w:firstLineChars="200"/>
        <w:rPr>
          <w:rFonts w:ascii="Times New Roman" w:eastAsia="宋体"/>
          <w:kern w:val="2"/>
          <w:szCs w:val="21"/>
        </w:rPr>
      </w:pPr>
      <w:bookmarkStart w:id="45" w:name="_Toc25829_WPSOffice_Level1"/>
      <w:r>
        <w:rPr>
          <w:rFonts w:hint="eastAsia" w:ascii="Times New Roman" w:eastAsia="宋体"/>
          <w:kern w:val="2"/>
          <w:szCs w:val="21"/>
        </w:rPr>
        <w:t>一般检查、引伸计标距相对误差、引伸计示值误差。</w:t>
      </w:r>
    </w:p>
    <w:p>
      <w:pPr>
        <w:pStyle w:val="61"/>
        <w:numPr>
          <w:ilvl w:val="0"/>
          <w:numId w:val="0"/>
        </w:numPr>
        <w:spacing w:before="156" w:after="156" w:line="360" w:lineRule="auto"/>
        <w:rPr>
          <w:rFonts w:ascii="Times New Roman"/>
          <w:szCs w:val="21"/>
        </w:rPr>
      </w:pPr>
      <w:r>
        <w:rPr>
          <w:rFonts w:ascii="Times New Roman"/>
          <w:szCs w:val="21"/>
        </w:rPr>
        <w:t>5</w:t>
      </w:r>
      <w:r>
        <w:rPr>
          <w:rFonts w:hint="eastAsia" w:ascii="Times New Roman"/>
          <w:szCs w:val="21"/>
        </w:rPr>
        <w:t xml:space="preserve"> 校准条件</w:t>
      </w:r>
      <w:bookmarkEnd w:id="45"/>
      <w:bookmarkStart w:id="46" w:name="_Toc193860183"/>
      <w:bookmarkStart w:id="47" w:name="_Toc193860214"/>
      <w:bookmarkStart w:id="48" w:name="_Toc193860033"/>
      <w:bookmarkStart w:id="49" w:name="_Toc500258942"/>
    </w:p>
    <w:bookmarkEnd w:id="46"/>
    <w:bookmarkEnd w:id="47"/>
    <w:bookmarkEnd w:id="48"/>
    <w:bookmarkEnd w:id="49"/>
    <w:p>
      <w:pPr>
        <w:pStyle w:val="58"/>
        <w:ind w:firstLine="420"/>
      </w:pPr>
      <w:bookmarkStart w:id="50" w:name="_Toc193860185"/>
      <w:bookmarkStart w:id="51" w:name="_Toc193860035"/>
      <w:bookmarkStart w:id="52" w:name="_Toc500258944"/>
      <w:bookmarkStart w:id="53" w:name="_Toc2741_WPSOffice_Level1"/>
      <w:bookmarkStart w:id="54" w:name="_Toc193618955"/>
      <w:bookmarkStart w:id="55" w:name="_Toc193619058"/>
      <w:bookmarkStart w:id="56" w:name="_Toc193860216"/>
      <w:bookmarkStart w:id="57" w:name="_Toc193619100"/>
      <w:r>
        <w:rPr>
          <w:rFonts w:hint="eastAsia"/>
        </w:rPr>
        <w:t>校准试验应在23℃±5℃，湿度≤85%的条件下进行，校准过程中温度波动不大于2</w:t>
      </w:r>
      <w:r>
        <w:t>℃/</w:t>
      </w:r>
      <w:r>
        <w:rPr>
          <w:rFonts w:hint="eastAsia"/>
        </w:rPr>
        <w:t>h。</w:t>
      </w:r>
    </w:p>
    <w:p>
      <w:pPr>
        <w:pStyle w:val="61"/>
        <w:numPr>
          <w:ilvl w:val="0"/>
          <w:numId w:val="0"/>
        </w:numPr>
        <w:spacing w:before="156" w:after="156" w:line="360" w:lineRule="auto"/>
        <w:rPr>
          <w:rFonts w:ascii="Times New Roman"/>
          <w:szCs w:val="21"/>
        </w:rPr>
      </w:pPr>
      <w:r>
        <w:rPr>
          <w:rFonts w:ascii="Times New Roman"/>
          <w:szCs w:val="21"/>
        </w:rPr>
        <w:t>6</w:t>
      </w:r>
      <w:r>
        <w:rPr>
          <w:rFonts w:hint="eastAsia" w:ascii="Times New Roman"/>
          <w:szCs w:val="21"/>
        </w:rPr>
        <w:t xml:space="preserve"> 校准项目和校准方法</w:t>
      </w:r>
      <w:bookmarkEnd w:id="50"/>
      <w:bookmarkEnd w:id="51"/>
      <w:bookmarkEnd w:id="52"/>
      <w:bookmarkEnd w:id="53"/>
      <w:bookmarkEnd w:id="54"/>
      <w:bookmarkEnd w:id="55"/>
      <w:bookmarkEnd w:id="56"/>
      <w:bookmarkEnd w:id="57"/>
    </w:p>
    <w:p>
      <w:pPr>
        <w:spacing w:line="360" w:lineRule="auto"/>
        <w:rPr>
          <w:rFonts w:hint="eastAsia"/>
          <w:kern w:val="0"/>
          <w:szCs w:val="21"/>
        </w:rPr>
      </w:pPr>
      <w:bookmarkStart w:id="58" w:name="_Toc500258945"/>
      <w:bookmarkStart w:id="59" w:name="_Toc22718_WPSOffice_Level2"/>
      <w:r>
        <w:rPr>
          <w:rFonts w:hint="eastAsia"/>
          <w:kern w:val="0"/>
          <w:szCs w:val="21"/>
        </w:rPr>
        <w:t>6.1校准项目</w:t>
      </w:r>
    </w:p>
    <w:p>
      <w:pPr>
        <w:spacing w:line="360" w:lineRule="auto"/>
        <w:rPr>
          <w:rFonts w:hint="eastAsia"/>
          <w:szCs w:val="21"/>
        </w:rPr>
      </w:pPr>
      <w:r>
        <w:rPr>
          <w:rFonts w:hint="eastAsia"/>
          <w:szCs w:val="21"/>
        </w:rPr>
        <w:t>6.1.1通用技术要求</w:t>
      </w:r>
    </w:p>
    <w:p>
      <w:pPr>
        <w:spacing w:line="360" w:lineRule="auto"/>
        <w:rPr>
          <w:rFonts w:hint="eastAsia"/>
          <w:szCs w:val="21"/>
        </w:rPr>
      </w:pPr>
      <w:r>
        <w:rPr>
          <w:rFonts w:hint="eastAsia"/>
          <w:szCs w:val="21"/>
        </w:rPr>
        <w:t>6.1.2引伸计标距相对误差</w:t>
      </w:r>
    </w:p>
    <w:p>
      <w:pPr>
        <w:spacing w:line="360" w:lineRule="auto"/>
        <w:rPr>
          <w:rFonts w:hint="eastAsia" w:eastAsiaTheme="minorEastAsia"/>
          <w:kern w:val="0"/>
          <w:szCs w:val="21"/>
        </w:rPr>
      </w:pPr>
      <w:r>
        <w:rPr>
          <w:rFonts w:hint="eastAsia"/>
          <w:szCs w:val="21"/>
        </w:rPr>
        <w:t>6.1.3引伸计示值误差</w:t>
      </w:r>
      <w:r>
        <w:rPr>
          <w:rFonts w:hint="eastAsia" w:eastAsiaTheme="minorEastAsia"/>
          <w:kern w:val="0"/>
          <w:szCs w:val="21"/>
        </w:rPr>
        <w:t>。</w:t>
      </w:r>
    </w:p>
    <w:p>
      <w:pPr>
        <w:spacing w:line="360" w:lineRule="auto"/>
        <w:rPr>
          <w:rFonts w:hint="eastAsia"/>
        </w:rPr>
      </w:pPr>
      <w:r>
        <w:rPr>
          <w:rFonts w:hint="eastAsia"/>
        </w:rPr>
        <w:t>6.2校准方法</w:t>
      </w:r>
    </w:p>
    <w:p>
      <w:pPr>
        <w:spacing w:line="360" w:lineRule="auto"/>
        <w:rPr>
          <w:rFonts w:hint="eastAsia"/>
        </w:rPr>
      </w:pPr>
      <w:r>
        <w:rPr>
          <w:rFonts w:hint="eastAsia"/>
        </w:rPr>
        <w:t>6.2.1</w:t>
      </w:r>
      <w:r>
        <w:rPr>
          <w:rFonts w:hint="eastAsia"/>
          <w:szCs w:val="21"/>
        </w:rPr>
        <w:t>通用技术要求</w:t>
      </w:r>
    </w:p>
    <w:p>
      <w:pPr>
        <w:spacing w:line="360" w:lineRule="auto"/>
        <w:ind w:firstLine="420" w:firstLineChars="200"/>
      </w:pPr>
      <w:r>
        <w:rPr>
          <w:rFonts w:hint="eastAsia"/>
        </w:rPr>
        <w:t>采用目测及手动的方法检查激光引伸计</w:t>
      </w:r>
      <w:r>
        <w:t>外观</w:t>
      </w:r>
      <w:r>
        <w:rPr>
          <w:rFonts w:hint="eastAsia"/>
        </w:rPr>
        <w:t>，检查引伸计与计算机联机情况，</w:t>
      </w:r>
      <w:r>
        <w:t>确定无影响计量特性的因素后，再进行校准</w:t>
      </w:r>
      <w:r>
        <w:rPr>
          <w:rFonts w:hint="eastAsia"/>
        </w:rPr>
        <w:t>。</w:t>
      </w:r>
    </w:p>
    <w:p>
      <w:pPr>
        <w:spacing w:line="360" w:lineRule="auto"/>
      </w:pPr>
      <w:r>
        <w:rPr>
          <w:rFonts w:hint="eastAsia" w:eastAsiaTheme="minorEastAsia"/>
          <w:kern w:val="0"/>
          <w:szCs w:val="21"/>
        </w:rPr>
        <w:t>6.2.2</w:t>
      </w:r>
      <w:r>
        <w:rPr>
          <w:rFonts w:hint="eastAsia"/>
        </w:rPr>
        <w:t>激光引伸计标距的校准</w:t>
      </w:r>
    </w:p>
    <w:p>
      <w:pPr>
        <w:spacing w:line="360" w:lineRule="auto"/>
        <w:ind w:firstLine="371" w:firstLineChars="177"/>
      </w:pPr>
      <w:r>
        <w:rPr>
          <w:rFonts w:hint="eastAsia"/>
        </w:rPr>
        <w:t>每个标距测量3次，每次测定的引伸计标距相对误差均应满足要求。</w:t>
      </w:r>
    </w:p>
    <w:p>
      <w:pPr>
        <w:spacing w:line="360" w:lineRule="auto"/>
        <w:rPr>
          <w:rFonts w:hint="eastAsia"/>
        </w:rPr>
      </w:pPr>
      <w:r>
        <w:rPr>
          <w:rFonts w:hint="eastAsia"/>
        </w:rPr>
        <w:t>6.2.3示值误差的校准</w:t>
      </w:r>
    </w:p>
    <w:p>
      <w:pPr>
        <w:spacing w:line="360" w:lineRule="auto"/>
        <w:ind w:firstLine="495" w:firstLineChars="236"/>
      </w:pPr>
      <w:r>
        <w:rPr>
          <w:rFonts w:hint="eastAsia"/>
        </w:rPr>
        <w:t>校准时，先将引伸计标定器安装在试验机底座轴线上，根据激光引伸计类型调节引伸计焦点距离，设置好标距，使引伸计激光光束照射到标定器连接杆上，将引伸计标定器和被校准引伸计示值清零，根据选定的校准点调整引伸计标定器位移，记录每个校准点引伸计示值，直至测量范围上限，达到校准范围的最大位移时，再返回到零点。每组一般不少于10个点（不包括零点），尽量采取均匀分布，重复测量3次，取3次平均值作为引伸计示值。</w:t>
      </w:r>
    </w:p>
    <w:bookmarkEnd w:id="58"/>
    <w:bookmarkEnd w:id="59"/>
    <w:p>
      <w:pPr>
        <w:pStyle w:val="61"/>
        <w:numPr>
          <w:ilvl w:val="0"/>
          <w:numId w:val="0"/>
        </w:numPr>
        <w:spacing w:before="156" w:after="156"/>
        <w:rPr>
          <w:rFonts w:ascii="Times New Roman"/>
          <w:szCs w:val="21"/>
        </w:rPr>
      </w:pPr>
      <w:bookmarkStart w:id="60" w:name="_Toc193618956"/>
      <w:bookmarkStart w:id="61" w:name="_Toc193619101"/>
      <w:bookmarkStart w:id="62" w:name="_Toc193619059"/>
      <w:bookmarkStart w:id="63" w:name="_Toc193860188"/>
      <w:bookmarkStart w:id="64" w:name="_Toc193860038"/>
      <w:bookmarkStart w:id="65" w:name="_Toc193860219"/>
      <w:bookmarkStart w:id="66" w:name="_Toc500258947"/>
      <w:bookmarkStart w:id="67" w:name="_Toc25466_WPSOffice_Level1"/>
      <w:r>
        <w:rPr>
          <w:rFonts w:ascii="Times New Roman"/>
          <w:szCs w:val="21"/>
        </w:rPr>
        <w:t>7</w:t>
      </w:r>
      <w:r>
        <w:rPr>
          <w:rFonts w:hint="eastAsia" w:ascii="Times New Roman"/>
          <w:szCs w:val="21"/>
        </w:rPr>
        <w:t xml:space="preserve"> 校准结果</w:t>
      </w:r>
      <w:bookmarkEnd w:id="60"/>
      <w:bookmarkEnd w:id="61"/>
      <w:bookmarkEnd w:id="62"/>
      <w:bookmarkEnd w:id="63"/>
      <w:bookmarkEnd w:id="64"/>
      <w:bookmarkEnd w:id="65"/>
      <w:r>
        <w:rPr>
          <w:rFonts w:hint="eastAsia" w:ascii="Times New Roman"/>
          <w:szCs w:val="21"/>
        </w:rPr>
        <w:t>表达</w:t>
      </w:r>
      <w:bookmarkEnd w:id="66"/>
      <w:bookmarkEnd w:id="67"/>
    </w:p>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根据实验室环境要求、校准项目校准结果、测量不确定度评定结果等，按照推荐的校准报告格式，出具校准证书。</w:t>
      </w:r>
    </w:p>
    <w:p>
      <w:pPr>
        <w:pStyle w:val="61"/>
        <w:numPr>
          <w:ilvl w:val="0"/>
          <w:numId w:val="0"/>
        </w:numPr>
        <w:spacing w:before="156" w:after="156"/>
        <w:rPr>
          <w:rFonts w:ascii="Times New Roman"/>
          <w:szCs w:val="21"/>
        </w:rPr>
      </w:pPr>
      <w:bookmarkStart w:id="68" w:name="_Toc193860189"/>
      <w:bookmarkStart w:id="69" w:name="_Toc193860220"/>
      <w:bookmarkStart w:id="70" w:name="_Toc5529"/>
      <w:bookmarkStart w:id="71" w:name="_Toc193860040"/>
      <w:bookmarkStart w:id="72" w:name="_Toc14803_WPSOffice_Level1"/>
      <w:bookmarkStart w:id="73" w:name="_Toc193860041"/>
      <w:r>
        <w:rPr>
          <w:rFonts w:ascii="Times New Roman"/>
          <w:szCs w:val="21"/>
        </w:rPr>
        <w:t>8</w:t>
      </w:r>
      <w:r>
        <w:rPr>
          <w:rFonts w:hint="eastAsia" w:ascii="Times New Roman"/>
          <w:szCs w:val="21"/>
        </w:rPr>
        <w:t xml:space="preserve"> 复校</w:t>
      </w:r>
      <w:bookmarkEnd w:id="68"/>
      <w:bookmarkEnd w:id="69"/>
      <w:bookmarkEnd w:id="70"/>
      <w:bookmarkEnd w:id="71"/>
      <w:bookmarkEnd w:id="72"/>
      <w:r>
        <w:rPr>
          <w:rFonts w:hint="eastAsia" w:ascii="Times New Roman"/>
          <w:szCs w:val="21"/>
        </w:rPr>
        <w:t>时间间隔</w:t>
      </w:r>
    </w:p>
    <w:bookmarkEnd w:id="73"/>
    <w:p>
      <w:pPr>
        <w:pStyle w:val="58"/>
        <w:ind w:firstLine="420"/>
        <w:rPr>
          <w:rFonts w:ascii="Calibri"/>
          <w:kern w:val="2"/>
          <w:szCs w:val="24"/>
        </w:rPr>
      </w:pPr>
      <w:r>
        <w:rPr>
          <w:rFonts w:hint="eastAsia" w:ascii="Calibri"/>
          <w:kern w:val="2"/>
          <w:szCs w:val="24"/>
        </w:rPr>
        <w:t>建议复校周期为1年。激光引伸计使用频繁时应适当缩短周期，在使用过程中激光引伸计经过修理、更换重要部件的需要重新校准。</w:t>
      </w:r>
    </w:p>
    <w:p>
      <w:pPr>
        <w:pStyle w:val="61"/>
        <w:numPr>
          <w:ilvl w:val="0"/>
          <w:numId w:val="0"/>
        </w:numPr>
        <w:spacing w:before="156" w:after="156"/>
        <w:rPr>
          <w:rFonts w:ascii="Times New Roman"/>
          <w:szCs w:val="21"/>
        </w:rPr>
      </w:pPr>
      <w:r>
        <w:rPr>
          <w:rFonts w:hint="eastAsia" w:ascii="Times New Roman"/>
          <w:szCs w:val="21"/>
        </w:rPr>
        <w:t>9.附录</w:t>
      </w:r>
    </w:p>
    <w:p>
      <w:pPr>
        <w:pStyle w:val="38"/>
        <w:ind w:firstLine="420" w:firstLineChars="200"/>
        <w:rPr>
          <w:rFonts w:ascii="Times New Roman" w:hAnsi="Times New Roman" w:cs="Times New Roman" w:eastAsiaTheme="minorEastAsia"/>
          <w:b w:val="0"/>
          <w:bCs w:val="0"/>
          <w:sz w:val="21"/>
          <w:szCs w:val="21"/>
        </w:rPr>
      </w:pPr>
      <w:r>
        <w:rPr>
          <w:rFonts w:hint="eastAsia" w:ascii="Times New Roman" w:hAnsi="Times New Roman" w:cs="Times New Roman" w:eastAsiaTheme="minorEastAsia"/>
          <w:b w:val="0"/>
          <w:bCs w:val="0"/>
          <w:sz w:val="21"/>
          <w:szCs w:val="21"/>
        </w:rPr>
        <w:t>附录主要包含校准原始记录参考格式、校准证书内页参考格式、</w:t>
      </w:r>
      <w:bookmarkStart w:id="74" w:name="_Toc20189_WPSOffice_Level1"/>
      <w:bookmarkStart w:id="75" w:name="_Toc23687_WPSOffice_Level1"/>
      <w:r>
        <w:rPr>
          <w:rFonts w:hint="eastAsia" w:ascii="Times New Roman" w:hAnsi="Times New Roman" w:cs="Times New Roman" w:eastAsiaTheme="minorEastAsia"/>
          <w:b w:val="0"/>
          <w:bCs w:val="0"/>
          <w:sz w:val="21"/>
          <w:szCs w:val="21"/>
        </w:rPr>
        <w:t>激光引伸计示值误差测量结果不确定度评定</w:t>
      </w:r>
      <w:bookmarkEnd w:id="74"/>
      <w:bookmarkEnd w:id="75"/>
      <w:r>
        <w:rPr>
          <w:rFonts w:hint="eastAsia" w:ascii="Times New Roman" w:hAnsi="Times New Roman" w:cs="Times New Roman" w:eastAsiaTheme="minorEastAsia"/>
          <w:b w:val="0"/>
          <w:bCs w:val="0"/>
          <w:sz w:val="21"/>
          <w:szCs w:val="21"/>
        </w:rPr>
        <w:t>示例三部分。</w:t>
      </w:r>
    </w:p>
    <w:bookmarkEnd w:id="1"/>
    <w:bookmarkEnd w:id="22"/>
    <w:p>
      <w:pPr>
        <w:pStyle w:val="74"/>
        <w:numPr>
          <w:ilvl w:val="0"/>
          <w:numId w:val="11"/>
        </w:numPr>
        <w:tabs>
          <w:tab w:val="left" w:pos="426"/>
        </w:tabs>
        <w:spacing w:before="312" w:beforeLines="100" w:after="312" w:afterLines="100"/>
        <w:ind w:left="420" w:hangingChars="200"/>
        <w:jc w:val="left"/>
      </w:pPr>
      <w:bookmarkStart w:id="76" w:name="_Toc464728965"/>
      <w:r>
        <w:rPr>
          <w:rFonts w:hint="eastAsia"/>
        </w:rPr>
        <w:t>规范水平分析</w:t>
      </w:r>
      <w:bookmarkEnd w:id="76"/>
    </w:p>
    <w:p>
      <w:pPr>
        <w:adjustRightInd w:val="0"/>
        <w:spacing w:line="360" w:lineRule="auto"/>
        <w:rPr>
          <w:rFonts w:ascii="黑体" w:hAnsi="宋体" w:eastAsia="黑体"/>
          <w:bCs/>
          <w:szCs w:val="21"/>
        </w:rPr>
      </w:pPr>
      <w:r>
        <w:rPr>
          <w:rFonts w:ascii="黑体" w:hAnsi="宋体" w:eastAsia="黑体"/>
          <w:bCs/>
          <w:szCs w:val="21"/>
        </w:rPr>
        <w:t>3.1</w:t>
      </w:r>
      <w:r>
        <w:rPr>
          <w:rFonts w:hint="eastAsia" w:ascii="黑体" w:hAnsi="宋体" w:eastAsia="黑体"/>
          <w:bCs/>
          <w:szCs w:val="21"/>
        </w:rPr>
        <w:t>采用国际标准及国外先进规范的程度</w:t>
      </w:r>
    </w:p>
    <w:p>
      <w:pPr>
        <w:adjustRightInd w:val="0"/>
        <w:spacing w:line="360" w:lineRule="auto"/>
        <w:ind w:firstLine="420" w:firstLineChars="200"/>
        <w:rPr>
          <w:rFonts w:hint="eastAsia"/>
        </w:rPr>
      </w:pPr>
      <w:r>
        <w:rPr>
          <w:rFonts w:hint="eastAsia"/>
        </w:rPr>
        <w:t>本规程的制定填补了有色金属行业用非接触式激光引伸计的校准空白，属于国内首创，水平达到国内领先。</w:t>
      </w:r>
    </w:p>
    <w:p>
      <w:pPr>
        <w:adjustRightInd w:val="0"/>
        <w:spacing w:line="360" w:lineRule="auto"/>
        <w:rPr>
          <w:rFonts w:ascii="黑体" w:hAnsi="宋体" w:eastAsia="黑体"/>
          <w:bCs/>
          <w:szCs w:val="21"/>
        </w:rPr>
      </w:pPr>
      <w:r>
        <w:rPr>
          <w:rFonts w:ascii="黑体" w:hAnsi="宋体" w:eastAsia="黑体"/>
          <w:bCs/>
          <w:szCs w:val="21"/>
        </w:rPr>
        <w:t>3.2</w:t>
      </w:r>
      <w:r>
        <w:rPr>
          <w:rFonts w:hint="eastAsia" w:ascii="黑体" w:hAnsi="宋体" w:eastAsia="黑体"/>
          <w:bCs/>
          <w:szCs w:val="21"/>
        </w:rPr>
        <w:t>与国际及国外同类标准水平的对比分析</w:t>
      </w:r>
    </w:p>
    <w:p>
      <w:pPr>
        <w:spacing w:line="360" w:lineRule="auto"/>
        <w:ind w:firstLine="420" w:firstLineChars="200"/>
        <w:rPr>
          <w:bCs/>
          <w:sz w:val="18"/>
        </w:rPr>
      </w:pPr>
      <w:r>
        <w:rPr>
          <w:rFonts w:hint="eastAsia" w:ascii="宋体" w:hAnsi="宋体"/>
          <w:bCs/>
          <w:szCs w:val="21"/>
        </w:rPr>
        <w:t>目前国外没有相关技术规范，本规范水平达到国外先进水平。</w:t>
      </w:r>
    </w:p>
    <w:p>
      <w:pPr>
        <w:pStyle w:val="74"/>
        <w:numPr>
          <w:ilvl w:val="0"/>
          <w:numId w:val="11"/>
        </w:numPr>
        <w:tabs>
          <w:tab w:val="left" w:pos="426"/>
        </w:tabs>
        <w:spacing w:before="312" w:beforeLines="100" w:after="312" w:afterLines="100"/>
        <w:ind w:left="420" w:hangingChars="200"/>
        <w:jc w:val="left"/>
      </w:pPr>
      <w:r>
        <w:rPr>
          <w:rFonts w:hint="eastAsia" w:hAnsi="宋体"/>
          <w:bCs/>
          <w:szCs w:val="21"/>
        </w:rPr>
        <w:t>与有关的现行法律、法规和强制性国家标准的关系</w:t>
      </w:r>
    </w:p>
    <w:p>
      <w:pPr>
        <w:pStyle w:val="58"/>
        <w:spacing w:line="300" w:lineRule="auto"/>
        <w:ind w:firstLine="420"/>
      </w:pPr>
      <w:r>
        <w:rPr>
          <w:rFonts w:hint="eastAsia"/>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pPr>
        <w:pStyle w:val="74"/>
        <w:numPr>
          <w:ilvl w:val="0"/>
          <w:numId w:val="11"/>
        </w:numPr>
        <w:tabs>
          <w:tab w:val="left" w:pos="426"/>
        </w:tabs>
        <w:spacing w:before="312" w:beforeLines="100" w:after="312" w:afterLines="100"/>
        <w:ind w:left="420" w:hangingChars="200"/>
        <w:jc w:val="left"/>
      </w:pPr>
      <w:bookmarkStart w:id="77" w:name="_Toc464728973"/>
      <w:r>
        <w:rPr>
          <w:rFonts w:hint="eastAsia"/>
        </w:rPr>
        <w:t>规范中涉及的专利或知识产权说明</w:t>
      </w:r>
      <w:bookmarkEnd w:id="77"/>
    </w:p>
    <w:p>
      <w:pPr>
        <w:pStyle w:val="58"/>
        <w:spacing w:line="300" w:lineRule="auto"/>
        <w:ind w:firstLineChars="0"/>
        <w:contextualSpacing/>
        <w:rPr>
          <w:szCs w:val="21"/>
        </w:rPr>
      </w:pPr>
      <w:bookmarkStart w:id="78" w:name="_Toc464728974"/>
      <w:r>
        <w:rPr>
          <w:rFonts w:hint="eastAsia"/>
          <w:szCs w:val="21"/>
        </w:rPr>
        <w:t>（无）</w:t>
      </w:r>
    </w:p>
    <w:p>
      <w:pPr>
        <w:pStyle w:val="74"/>
        <w:numPr>
          <w:ilvl w:val="0"/>
          <w:numId w:val="11"/>
        </w:numPr>
        <w:tabs>
          <w:tab w:val="left" w:pos="426"/>
        </w:tabs>
        <w:spacing w:before="312" w:beforeLines="100" w:after="312" w:afterLines="100"/>
        <w:ind w:left="420" w:hangingChars="200"/>
        <w:jc w:val="left"/>
      </w:pPr>
      <w:r>
        <w:rPr>
          <w:rFonts w:hint="eastAsia"/>
        </w:rPr>
        <w:t>重大分歧意见的处理经过和依据</w:t>
      </w:r>
      <w:bookmarkEnd w:id="78"/>
    </w:p>
    <w:p>
      <w:pPr>
        <w:pStyle w:val="58"/>
        <w:spacing w:line="300" w:lineRule="auto"/>
        <w:ind w:firstLine="420"/>
        <w:contextualSpacing/>
        <w:rPr>
          <w:szCs w:val="21"/>
        </w:rPr>
      </w:pPr>
      <w:r>
        <w:rPr>
          <w:rFonts w:hint="eastAsia"/>
          <w:szCs w:val="21"/>
        </w:rPr>
        <w:t>（无）</w:t>
      </w:r>
    </w:p>
    <w:p>
      <w:pPr>
        <w:pStyle w:val="74"/>
        <w:numPr>
          <w:ilvl w:val="0"/>
          <w:numId w:val="11"/>
        </w:numPr>
        <w:tabs>
          <w:tab w:val="left" w:pos="426"/>
        </w:tabs>
        <w:spacing w:before="312" w:beforeLines="100" w:after="312" w:afterLines="100"/>
        <w:ind w:left="420" w:hangingChars="200"/>
        <w:jc w:val="left"/>
      </w:pPr>
      <w:r>
        <w:rPr>
          <w:rFonts w:hint="eastAsia"/>
        </w:rPr>
        <w:t>规范作为强制性或推荐性国家（或行业）标准的建议</w:t>
      </w:r>
    </w:p>
    <w:p>
      <w:pPr>
        <w:adjustRightInd w:val="0"/>
        <w:spacing w:line="360" w:lineRule="auto"/>
        <w:ind w:firstLine="420" w:firstLineChars="200"/>
        <w:rPr>
          <w:rFonts w:hAnsi="宋体"/>
          <w:bCs/>
          <w:szCs w:val="21"/>
        </w:rPr>
      </w:pPr>
      <w:r>
        <w:rPr>
          <w:rFonts w:hint="eastAsia" w:hAnsi="宋体"/>
          <w:bCs/>
          <w:szCs w:val="21"/>
        </w:rPr>
        <w:t>建议本规范作为推荐性行业计量技术规范，供相关行业参考采用。</w:t>
      </w:r>
    </w:p>
    <w:p>
      <w:pPr>
        <w:pStyle w:val="74"/>
        <w:numPr>
          <w:ilvl w:val="0"/>
          <w:numId w:val="11"/>
        </w:numPr>
        <w:tabs>
          <w:tab w:val="left" w:pos="426"/>
        </w:tabs>
        <w:spacing w:before="312" w:beforeLines="100" w:after="312" w:afterLines="100"/>
        <w:ind w:left="420" w:hangingChars="200"/>
        <w:jc w:val="left"/>
      </w:pPr>
      <w:bookmarkStart w:id="79" w:name="_Toc464728976"/>
      <w:r>
        <w:rPr>
          <w:rFonts w:hint="eastAsia"/>
        </w:rPr>
        <w:t>贯彻规范的要求和措施建议</w:t>
      </w:r>
      <w:bookmarkEnd w:id="79"/>
    </w:p>
    <w:p>
      <w:pPr>
        <w:pStyle w:val="58"/>
        <w:spacing w:line="300" w:lineRule="auto"/>
        <w:ind w:firstLine="420"/>
        <w:contextualSpacing/>
        <w:rPr>
          <w:szCs w:val="21"/>
        </w:rPr>
      </w:pPr>
      <w:r>
        <w:rPr>
          <w:rFonts w:hint="eastAsia"/>
          <w:szCs w:val="21"/>
        </w:rPr>
        <w:t>本规范发布后中国有色金属行业协会和有色金属行业计量技术委员会应加强本规范的宣传力度，促进激光引伸计生产厂家按照设备使用情况合理选用校准规程，以促进我国企业的技术进步和产品质量上档次，提高我国产品在国际国内市场的竞争能力。</w:t>
      </w:r>
    </w:p>
    <w:p>
      <w:pPr>
        <w:pStyle w:val="74"/>
        <w:numPr>
          <w:ilvl w:val="0"/>
          <w:numId w:val="11"/>
        </w:numPr>
        <w:tabs>
          <w:tab w:val="left" w:pos="426"/>
        </w:tabs>
        <w:spacing w:before="312" w:beforeLines="100" w:after="312" w:afterLines="100"/>
        <w:ind w:left="420" w:hangingChars="200"/>
        <w:jc w:val="left"/>
      </w:pPr>
      <w:bookmarkStart w:id="80" w:name="_Toc464728977"/>
      <w:r>
        <w:rPr>
          <w:rFonts w:hint="eastAsia"/>
        </w:rPr>
        <w:t>废止现行有关规范的建议</w:t>
      </w:r>
      <w:bookmarkEnd w:id="80"/>
    </w:p>
    <w:p>
      <w:pPr>
        <w:pStyle w:val="58"/>
        <w:spacing w:line="300" w:lineRule="auto"/>
        <w:ind w:firstLine="420"/>
        <w:contextualSpacing/>
        <w:rPr>
          <w:szCs w:val="21"/>
        </w:rPr>
      </w:pPr>
      <w:r>
        <w:rPr>
          <w:rFonts w:hint="eastAsia"/>
          <w:szCs w:val="21"/>
        </w:rPr>
        <w:t>（无）。</w:t>
      </w:r>
    </w:p>
    <w:p>
      <w:pPr>
        <w:pStyle w:val="74"/>
        <w:numPr>
          <w:ilvl w:val="0"/>
          <w:numId w:val="11"/>
        </w:numPr>
        <w:tabs>
          <w:tab w:val="left" w:pos="426"/>
        </w:tabs>
        <w:spacing w:before="312" w:beforeLines="100" w:after="312" w:afterLines="100"/>
        <w:ind w:left="420" w:hangingChars="200"/>
        <w:jc w:val="left"/>
      </w:pPr>
      <w:r>
        <w:rPr>
          <w:rFonts w:hint="eastAsia"/>
        </w:rPr>
        <w:t>预期效果</w:t>
      </w:r>
    </w:p>
    <w:p>
      <w:pPr>
        <w:pStyle w:val="58"/>
        <w:spacing w:line="300" w:lineRule="auto"/>
        <w:ind w:firstLineChars="0"/>
        <w:contextualSpacing/>
        <w:rPr>
          <w:szCs w:val="21"/>
        </w:rPr>
      </w:pPr>
      <w:r>
        <w:rPr>
          <w:rFonts w:hint="eastAsia"/>
          <w:szCs w:val="21"/>
        </w:rPr>
        <w:t>激光引伸计</w:t>
      </w:r>
      <w:r>
        <w:rPr>
          <w:rFonts w:hint="eastAsia" w:cs="宋体"/>
          <w:szCs w:val="21"/>
        </w:rPr>
        <w:t>校准规范的缺乏，已经无法满足日益增长的应用需求，</w:t>
      </w:r>
      <w:r>
        <w:rPr>
          <w:rFonts w:hint="eastAsia" w:cs="宋体"/>
          <w:kern w:val="2"/>
          <w:szCs w:val="21"/>
        </w:rPr>
        <w:t>本规范的制定，具有极大的经济效益和社会效益，填补了有色金属行业领域校准空白，对</w:t>
      </w:r>
      <w:r>
        <w:rPr>
          <w:rFonts w:hint="eastAsia"/>
          <w:szCs w:val="21"/>
        </w:rPr>
        <w:t>激光引伸计</w:t>
      </w:r>
      <w:r>
        <w:rPr>
          <w:rFonts w:ascii="Times New Roman" w:hAnsi="Times New Roman"/>
        </w:rPr>
        <w:t>的校准</w:t>
      </w:r>
      <w:r>
        <w:rPr>
          <w:rFonts w:hint="eastAsia" w:cs="宋体"/>
          <w:szCs w:val="21"/>
        </w:rPr>
        <w:t>在行业中的校准过程提供了技术支撑。</w:t>
      </w:r>
    </w:p>
    <w:p>
      <w:pPr>
        <w:pStyle w:val="74"/>
        <w:numPr>
          <w:ilvl w:val="0"/>
          <w:numId w:val="11"/>
        </w:numPr>
        <w:tabs>
          <w:tab w:val="left" w:pos="426"/>
        </w:tabs>
        <w:spacing w:before="312" w:beforeLines="100" w:after="312" w:afterLines="100"/>
        <w:ind w:left="420" w:hangingChars="200"/>
        <w:jc w:val="left"/>
      </w:pPr>
      <w:r>
        <w:rPr>
          <w:rFonts w:hint="eastAsia" w:hAnsi="宋体"/>
          <w:bCs/>
          <w:szCs w:val="21"/>
        </w:rPr>
        <w:t>其他应予说明的事项</w:t>
      </w:r>
    </w:p>
    <w:p>
      <w:pPr>
        <w:pStyle w:val="58"/>
        <w:spacing w:line="300" w:lineRule="auto"/>
        <w:ind w:firstLineChars="0"/>
        <w:contextualSpacing/>
        <w:rPr>
          <w:rFonts w:ascii="Times New Roman" w:hAnsi="Times New Roman"/>
          <w:szCs w:val="21"/>
        </w:rPr>
      </w:pPr>
      <w:r>
        <w:rPr>
          <w:rFonts w:hint="eastAsia"/>
          <w:szCs w:val="21"/>
        </w:rPr>
        <w:t>（无）。</w:t>
      </w:r>
    </w:p>
    <w:p>
      <w:pPr>
        <w:pStyle w:val="58"/>
        <w:spacing w:line="300" w:lineRule="auto"/>
        <w:ind w:firstLineChars="0"/>
        <w:contextualSpacing/>
        <w:jc w:val="right"/>
        <w:rPr>
          <w:rFonts w:ascii="Times New Roman" w:hAnsi="Times New Roman"/>
          <w:szCs w:val="21"/>
        </w:rPr>
      </w:pPr>
      <w:r>
        <w:rPr>
          <w:rFonts w:ascii="Times New Roman" w:hAnsi="Times New Roman" w:eastAsia="黑体"/>
          <w:bCs/>
        </w:rPr>
        <w:t xml:space="preserve">  </w:t>
      </w:r>
      <w:r>
        <w:rPr>
          <w:rFonts w:ascii="Times New Roman" w:hAnsi="Times New Roman" w:eastAsia="方正行楷简体"/>
          <w:bCs/>
          <w:szCs w:val="21"/>
        </w:rPr>
        <w:t>《非接触式</w:t>
      </w:r>
      <w:r>
        <w:rPr>
          <w:rFonts w:hint="eastAsia"/>
          <w:szCs w:val="21"/>
        </w:rPr>
        <w:t>激光引伸计</w:t>
      </w:r>
      <w:r>
        <w:rPr>
          <w:rFonts w:ascii="Times New Roman" w:hAnsi="Times New Roman"/>
          <w:szCs w:val="21"/>
        </w:rPr>
        <w:t>校准规范</w:t>
      </w:r>
      <w:r>
        <w:rPr>
          <w:rFonts w:ascii="Times New Roman" w:hAnsi="Times New Roman" w:eastAsia="方正行楷简体"/>
          <w:bCs/>
          <w:szCs w:val="21"/>
        </w:rPr>
        <w:t xml:space="preserve">》编制组  </w:t>
      </w:r>
      <w:r>
        <w:rPr>
          <w:rFonts w:hint="eastAsia" w:ascii="Times New Roman" w:hAnsi="Times New Roman" w:eastAsia="方正行楷简体"/>
          <w:bCs/>
          <w:szCs w:val="21"/>
        </w:rPr>
        <w:t>2024</w:t>
      </w:r>
      <w:r>
        <w:rPr>
          <w:rFonts w:ascii="Times New Roman" w:hAnsi="Times New Roman" w:eastAsia="方正行楷简体"/>
          <w:bCs/>
          <w:szCs w:val="21"/>
        </w:rPr>
        <w:t>年</w:t>
      </w:r>
      <w:r>
        <w:rPr>
          <w:rFonts w:hint="eastAsia" w:ascii="Times New Roman" w:hAnsi="Times New Roman" w:eastAsia="方正行楷简体"/>
          <w:bCs/>
          <w:szCs w:val="21"/>
        </w:rPr>
        <w:t>06</w:t>
      </w:r>
      <w:r>
        <w:rPr>
          <w:rFonts w:ascii="Times New Roman" w:hAnsi="Times New Roman" w:eastAsia="方正行楷简体"/>
          <w:bCs/>
          <w:szCs w:val="21"/>
        </w:rPr>
        <w:t>月</w:t>
      </w:r>
    </w:p>
    <w:p>
      <w:pPr>
        <w:pStyle w:val="58"/>
        <w:spacing w:line="300" w:lineRule="auto"/>
        <w:ind w:firstLine="420"/>
        <w:contextualSpacing/>
        <w:rPr>
          <w:szCs w:val="21"/>
        </w:rPr>
      </w:pP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rPr>
        <w:rStyle w:val="45"/>
      </w:rPr>
    </w:pPr>
    <w:r>
      <w:rPr>
        <w:rStyle w:val="45"/>
      </w:rPr>
      <w:fldChar w:fldCharType="begin"/>
    </w:r>
    <w:r>
      <w:rPr>
        <w:rStyle w:val="45"/>
      </w:rPr>
      <w:instrText xml:space="preserve">PAGE  </w:instrText>
    </w:r>
    <w:r>
      <w:rPr>
        <w:rStyle w:val="45"/>
      </w:rPr>
      <w:fldChar w:fldCharType="separate"/>
    </w:r>
    <w:r>
      <w:rPr>
        <w:rStyle w:val="45"/>
      </w:rPr>
      <w:t>I</w:t>
    </w:r>
    <w:r>
      <w:rPr>
        <w:rStyle w:val="4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rPr>
        <w:rStyle w:val="45"/>
      </w:rPr>
    </w:pPr>
    <w:r>
      <w:rPr>
        <w:rStyle w:val="45"/>
      </w:rPr>
      <w:fldChar w:fldCharType="begin"/>
    </w:r>
    <w:r>
      <w:rPr>
        <w:rStyle w:val="45"/>
      </w:rPr>
      <w:instrText xml:space="preserve">PAGE  </w:instrText>
    </w:r>
    <w:r>
      <w:rPr>
        <w:rStyle w:val="45"/>
      </w:rPr>
      <w:fldChar w:fldCharType="separate"/>
    </w:r>
    <w:r>
      <w:rPr>
        <w:rStyle w:val="45"/>
      </w:rPr>
      <w:t>II</w:t>
    </w:r>
    <w:r>
      <w:rPr>
        <w:rStyle w:val="4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jc w:val="center"/>
      <w:rPr>
        <w:rStyle w:val="45"/>
      </w:rPr>
    </w:pPr>
    <w:r>
      <w:fldChar w:fldCharType="begin"/>
    </w:r>
    <w:r>
      <w:rPr>
        <w:rStyle w:val="45"/>
      </w:rPr>
      <w:instrText xml:space="preserve">PAGE  </w:instrText>
    </w:r>
    <w:r>
      <w:fldChar w:fldCharType="separate"/>
    </w:r>
    <w:r>
      <w:rPr>
        <w:rStyle w:val="45"/>
      </w:rPr>
      <w:t>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284"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97947F5"/>
    <w:multiLevelType w:val="multilevel"/>
    <w:tmpl w:val="297947F5"/>
    <w:lvl w:ilvl="0" w:tentative="0">
      <w:start w:val="1"/>
      <w:numFmt w:val="japaneseCounting"/>
      <w:lvlText w:val="%1、"/>
      <w:lvlJc w:val="left"/>
      <w:pPr>
        <w:ind w:left="127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hideSpellingError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NDNlZWQxYmMyNTU4YWQ1OWIwMDVlZTVmMGE4NzAifQ=="/>
  </w:docVars>
  <w:rsids>
    <w:rsidRoot w:val="00693668"/>
    <w:rsid w:val="00001F60"/>
    <w:rsid w:val="000038F0"/>
    <w:rsid w:val="00004648"/>
    <w:rsid w:val="00013992"/>
    <w:rsid w:val="00014C66"/>
    <w:rsid w:val="000211BF"/>
    <w:rsid w:val="000237D4"/>
    <w:rsid w:val="0002700F"/>
    <w:rsid w:val="000309D7"/>
    <w:rsid w:val="00032AC7"/>
    <w:rsid w:val="00032F98"/>
    <w:rsid w:val="00034584"/>
    <w:rsid w:val="00036A21"/>
    <w:rsid w:val="00036F02"/>
    <w:rsid w:val="00040A01"/>
    <w:rsid w:val="0004299E"/>
    <w:rsid w:val="00043D6D"/>
    <w:rsid w:val="00057128"/>
    <w:rsid w:val="0005764E"/>
    <w:rsid w:val="000657B2"/>
    <w:rsid w:val="0006679C"/>
    <w:rsid w:val="0007070D"/>
    <w:rsid w:val="00073A74"/>
    <w:rsid w:val="00084878"/>
    <w:rsid w:val="000971D5"/>
    <w:rsid w:val="000A0366"/>
    <w:rsid w:val="000C772A"/>
    <w:rsid w:val="000D1F80"/>
    <w:rsid w:val="000F15FB"/>
    <w:rsid w:val="000F714B"/>
    <w:rsid w:val="00100912"/>
    <w:rsid w:val="00104CBC"/>
    <w:rsid w:val="0011419E"/>
    <w:rsid w:val="001164A0"/>
    <w:rsid w:val="0012155C"/>
    <w:rsid w:val="00122AD8"/>
    <w:rsid w:val="00122CAF"/>
    <w:rsid w:val="00123CAD"/>
    <w:rsid w:val="00136813"/>
    <w:rsid w:val="0014120B"/>
    <w:rsid w:val="00150062"/>
    <w:rsid w:val="001527ED"/>
    <w:rsid w:val="0016493A"/>
    <w:rsid w:val="001859F4"/>
    <w:rsid w:val="0019431C"/>
    <w:rsid w:val="001A4F75"/>
    <w:rsid w:val="001B76E1"/>
    <w:rsid w:val="001C0648"/>
    <w:rsid w:val="001C13CE"/>
    <w:rsid w:val="001C7BB8"/>
    <w:rsid w:val="001D0501"/>
    <w:rsid w:val="001D542B"/>
    <w:rsid w:val="001E0288"/>
    <w:rsid w:val="001E09C6"/>
    <w:rsid w:val="0020375B"/>
    <w:rsid w:val="00220437"/>
    <w:rsid w:val="00225EC9"/>
    <w:rsid w:val="00235374"/>
    <w:rsid w:val="00247A7D"/>
    <w:rsid w:val="00255EB1"/>
    <w:rsid w:val="002732FF"/>
    <w:rsid w:val="00275F7A"/>
    <w:rsid w:val="00280BE9"/>
    <w:rsid w:val="002849BB"/>
    <w:rsid w:val="00291548"/>
    <w:rsid w:val="002977EC"/>
    <w:rsid w:val="002A1305"/>
    <w:rsid w:val="002B225D"/>
    <w:rsid w:val="002D0634"/>
    <w:rsid w:val="002D16B1"/>
    <w:rsid w:val="002D2103"/>
    <w:rsid w:val="002E6C19"/>
    <w:rsid w:val="002F4E61"/>
    <w:rsid w:val="002F6135"/>
    <w:rsid w:val="003012C4"/>
    <w:rsid w:val="00305CB9"/>
    <w:rsid w:val="00307A90"/>
    <w:rsid w:val="00314BA2"/>
    <w:rsid w:val="0032338B"/>
    <w:rsid w:val="0033057E"/>
    <w:rsid w:val="003318C1"/>
    <w:rsid w:val="00335FEC"/>
    <w:rsid w:val="0034125E"/>
    <w:rsid w:val="00343AD0"/>
    <w:rsid w:val="00352269"/>
    <w:rsid w:val="00366AF1"/>
    <w:rsid w:val="00373555"/>
    <w:rsid w:val="00397407"/>
    <w:rsid w:val="003B0148"/>
    <w:rsid w:val="003B314C"/>
    <w:rsid w:val="003C2376"/>
    <w:rsid w:val="003C685D"/>
    <w:rsid w:val="003E10E7"/>
    <w:rsid w:val="003E237F"/>
    <w:rsid w:val="003F2C11"/>
    <w:rsid w:val="00400BF2"/>
    <w:rsid w:val="0040777C"/>
    <w:rsid w:val="00411DC2"/>
    <w:rsid w:val="00415481"/>
    <w:rsid w:val="0042558A"/>
    <w:rsid w:val="004257BB"/>
    <w:rsid w:val="00425D1F"/>
    <w:rsid w:val="004315D8"/>
    <w:rsid w:val="004508BB"/>
    <w:rsid w:val="00455FE9"/>
    <w:rsid w:val="0046211B"/>
    <w:rsid w:val="00464019"/>
    <w:rsid w:val="0048362B"/>
    <w:rsid w:val="00497039"/>
    <w:rsid w:val="004A27E5"/>
    <w:rsid w:val="004B1DE2"/>
    <w:rsid w:val="004B3BD5"/>
    <w:rsid w:val="004C6FDF"/>
    <w:rsid w:val="004E1361"/>
    <w:rsid w:val="004E4C45"/>
    <w:rsid w:val="004E5080"/>
    <w:rsid w:val="00517F0A"/>
    <w:rsid w:val="00521FA9"/>
    <w:rsid w:val="00526AEB"/>
    <w:rsid w:val="0052761B"/>
    <w:rsid w:val="005305AE"/>
    <w:rsid w:val="00531FA0"/>
    <w:rsid w:val="00536268"/>
    <w:rsid w:val="00536BFA"/>
    <w:rsid w:val="005535AA"/>
    <w:rsid w:val="0055489A"/>
    <w:rsid w:val="00556A91"/>
    <w:rsid w:val="00556AC4"/>
    <w:rsid w:val="005608DA"/>
    <w:rsid w:val="00567271"/>
    <w:rsid w:val="005709C3"/>
    <w:rsid w:val="00574460"/>
    <w:rsid w:val="0059121E"/>
    <w:rsid w:val="00593500"/>
    <w:rsid w:val="005944B9"/>
    <w:rsid w:val="005A5481"/>
    <w:rsid w:val="005B3A80"/>
    <w:rsid w:val="005B5BAB"/>
    <w:rsid w:val="005C0BE7"/>
    <w:rsid w:val="005C2448"/>
    <w:rsid w:val="005C769A"/>
    <w:rsid w:val="005D60F8"/>
    <w:rsid w:val="005D7687"/>
    <w:rsid w:val="005E67C7"/>
    <w:rsid w:val="005F42DD"/>
    <w:rsid w:val="005F759F"/>
    <w:rsid w:val="00601ADF"/>
    <w:rsid w:val="006053E3"/>
    <w:rsid w:val="00606487"/>
    <w:rsid w:val="0062200F"/>
    <w:rsid w:val="00623451"/>
    <w:rsid w:val="00624A40"/>
    <w:rsid w:val="00625140"/>
    <w:rsid w:val="00627726"/>
    <w:rsid w:val="0063099B"/>
    <w:rsid w:val="00633572"/>
    <w:rsid w:val="00636E32"/>
    <w:rsid w:val="00637AB5"/>
    <w:rsid w:val="00640443"/>
    <w:rsid w:val="00644C6D"/>
    <w:rsid w:val="006510D6"/>
    <w:rsid w:val="00660A77"/>
    <w:rsid w:val="00667FDB"/>
    <w:rsid w:val="00672533"/>
    <w:rsid w:val="006738AA"/>
    <w:rsid w:val="00676748"/>
    <w:rsid w:val="006820CD"/>
    <w:rsid w:val="00683E68"/>
    <w:rsid w:val="00686643"/>
    <w:rsid w:val="00693668"/>
    <w:rsid w:val="006B3185"/>
    <w:rsid w:val="006B3C1A"/>
    <w:rsid w:val="006B43C4"/>
    <w:rsid w:val="006B56BB"/>
    <w:rsid w:val="006C188A"/>
    <w:rsid w:val="006C2258"/>
    <w:rsid w:val="006C2AF8"/>
    <w:rsid w:val="006D1B98"/>
    <w:rsid w:val="006D7E99"/>
    <w:rsid w:val="006E11F0"/>
    <w:rsid w:val="00724E03"/>
    <w:rsid w:val="00733C71"/>
    <w:rsid w:val="00735A75"/>
    <w:rsid w:val="007373AB"/>
    <w:rsid w:val="00740702"/>
    <w:rsid w:val="00743BA2"/>
    <w:rsid w:val="00743BAC"/>
    <w:rsid w:val="00746BAC"/>
    <w:rsid w:val="00750ED3"/>
    <w:rsid w:val="00764D0A"/>
    <w:rsid w:val="00765621"/>
    <w:rsid w:val="00770269"/>
    <w:rsid w:val="007901C0"/>
    <w:rsid w:val="007902D1"/>
    <w:rsid w:val="007A3BEE"/>
    <w:rsid w:val="007C15E3"/>
    <w:rsid w:val="007E56C9"/>
    <w:rsid w:val="00804BC8"/>
    <w:rsid w:val="00817131"/>
    <w:rsid w:val="00820F69"/>
    <w:rsid w:val="00824B04"/>
    <w:rsid w:val="008353D7"/>
    <w:rsid w:val="008461B6"/>
    <w:rsid w:val="0085122B"/>
    <w:rsid w:val="0086056F"/>
    <w:rsid w:val="0086378F"/>
    <w:rsid w:val="00865F38"/>
    <w:rsid w:val="008754EE"/>
    <w:rsid w:val="00876D87"/>
    <w:rsid w:val="008840F2"/>
    <w:rsid w:val="008B22FC"/>
    <w:rsid w:val="008B38E0"/>
    <w:rsid w:val="008C672E"/>
    <w:rsid w:val="008C7D6D"/>
    <w:rsid w:val="008E415E"/>
    <w:rsid w:val="008F1961"/>
    <w:rsid w:val="008F5DCA"/>
    <w:rsid w:val="009034C1"/>
    <w:rsid w:val="009052E4"/>
    <w:rsid w:val="009111C1"/>
    <w:rsid w:val="00913ED1"/>
    <w:rsid w:val="00933D2C"/>
    <w:rsid w:val="009359EC"/>
    <w:rsid w:val="00944D55"/>
    <w:rsid w:val="00946B7D"/>
    <w:rsid w:val="009513C5"/>
    <w:rsid w:val="00954DA4"/>
    <w:rsid w:val="00967A11"/>
    <w:rsid w:val="00967BBB"/>
    <w:rsid w:val="00971240"/>
    <w:rsid w:val="009737CF"/>
    <w:rsid w:val="00982373"/>
    <w:rsid w:val="009919FE"/>
    <w:rsid w:val="009A12AB"/>
    <w:rsid w:val="009B4929"/>
    <w:rsid w:val="009C0597"/>
    <w:rsid w:val="009C2D10"/>
    <w:rsid w:val="009C3FBE"/>
    <w:rsid w:val="009D79FA"/>
    <w:rsid w:val="009E3D09"/>
    <w:rsid w:val="009F420F"/>
    <w:rsid w:val="00A06113"/>
    <w:rsid w:val="00A11A21"/>
    <w:rsid w:val="00A12727"/>
    <w:rsid w:val="00A1378A"/>
    <w:rsid w:val="00A1497C"/>
    <w:rsid w:val="00A15577"/>
    <w:rsid w:val="00A30766"/>
    <w:rsid w:val="00A3211C"/>
    <w:rsid w:val="00A363F7"/>
    <w:rsid w:val="00A40585"/>
    <w:rsid w:val="00A40E4F"/>
    <w:rsid w:val="00A47FE2"/>
    <w:rsid w:val="00A56163"/>
    <w:rsid w:val="00A57E1E"/>
    <w:rsid w:val="00A77511"/>
    <w:rsid w:val="00A7790F"/>
    <w:rsid w:val="00A8043A"/>
    <w:rsid w:val="00A8426B"/>
    <w:rsid w:val="00A86AF0"/>
    <w:rsid w:val="00A872B0"/>
    <w:rsid w:val="00A87866"/>
    <w:rsid w:val="00AA53FB"/>
    <w:rsid w:val="00AB1F90"/>
    <w:rsid w:val="00AB5E4B"/>
    <w:rsid w:val="00AC0924"/>
    <w:rsid w:val="00AC1E7A"/>
    <w:rsid w:val="00AD093B"/>
    <w:rsid w:val="00AE0B35"/>
    <w:rsid w:val="00AE47AC"/>
    <w:rsid w:val="00AF7111"/>
    <w:rsid w:val="00B056DA"/>
    <w:rsid w:val="00B05E25"/>
    <w:rsid w:val="00B07889"/>
    <w:rsid w:val="00B07D3B"/>
    <w:rsid w:val="00B369B6"/>
    <w:rsid w:val="00B43636"/>
    <w:rsid w:val="00B45E9C"/>
    <w:rsid w:val="00B53389"/>
    <w:rsid w:val="00B60FA7"/>
    <w:rsid w:val="00B614F2"/>
    <w:rsid w:val="00B706F7"/>
    <w:rsid w:val="00B7116A"/>
    <w:rsid w:val="00B75677"/>
    <w:rsid w:val="00B817F8"/>
    <w:rsid w:val="00BB316D"/>
    <w:rsid w:val="00BB4554"/>
    <w:rsid w:val="00BB7985"/>
    <w:rsid w:val="00BC66A0"/>
    <w:rsid w:val="00BC6B82"/>
    <w:rsid w:val="00BF4703"/>
    <w:rsid w:val="00C03A4F"/>
    <w:rsid w:val="00C058B2"/>
    <w:rsid w:val="00C10883"/>
    <w:rsid w:val="00C113A5"/>
    <w:rsid w:val="00C2681C"/>
    <w:rsid w:val="00C27739"/>
    <w:rsid w:val="00C3112F"/>
    <w:rsid w:val="00C34261"/>
    <w:rsid w:val="00C40CAE"/>
    <w:rsid w:val="00C5059F"/>
    <w:rsid w:val="00C53BDD"/>
    <w:rsid w:val="00C5550F"/>
    <w:rsid w:val="00C57BAB"/>
    <w:rsid w:val="00C66C85"/>
    <w:rsid w:val="00C70EA3"/>
    <w:rsid w:val="00C7537E"/>
    <w:rsid w:val="00C8056F"/>
    <w:rsid w:val="00C81A49"/>
    <w:rsid w:val="00C86EE5"/>
    <w:rsid w:val="00CB750D"/>
    <w:rsid w:val="00CB7CDF"/>
    <w:rsid w:val="00CC3C55"/>
    <w:rsid w:val="00CC3DDD"/>
    <w:rsid w:val="00CC491D"/>
    <w:rsid w:val="00CC52E3"/>
    <w:rsid w:val="00CD2D13"/>
    <w:rsid w:val="00CD759E"/>
    <w:rsid w:val="00CF3CAA"/>
    <w:rsid w:val="00D01726"/>
    <w:rsid w:val="00D16568"/>
    <w:rsid w:val="00D17115"/>
    <w:rsid w:val="00D22BF5"/>
    <w:rsid w:val="00D25D69"/>
    <w:rsid w:val="00D436F5"/>
    <w:rsid w:val="00D6471A"/>
    <w:rsid w:val="00D71DEC"/>
    <w:rsid w:val="00D81C1D"/>
    <w:rsid w:val="00D85454"/>
    <w:rsid w:val="00D86648"/>
    <w:rsid w:val="00D903E4"/>
    <w:rsid w:val="00DA22D1"/>
    <w:rsid w:val="00DA3611"/>
    <w:rsid w:val="00DB4F65"/>
    <w:rsid w:val="00DD6769"/>
    <w:rsid w:val="00DD7D39"/>
    <w:rsid w:val="00DE144C"/>
    <w:rsid w:val="00E019C6"/>
    <w:rsid w:val="00E22714"/>
    <w:rsid w:val="00E23465"/>
    <w:rsid w:val="00E31A7B"/>
    <w:rsid w:val="00E32480"/>
    <w:rsid w:val="00E544F0"/>
    <w:rsid w:val="00E71DCC"/>
    <w:rsid w:val="00E734F2"/>
    <w:rsid w:val="00E82471"/>
    <w:rsid w:val="00E911BC"/>
    <w:rsid w:val="00EB2994"/>
    <w:rsid w:val="00EC149D"/>
    <w:rsid w:val="00ED5F91"/>
    <w:rsid w:val="00ED67DD"/>
    <w:rsid w:val="00EE0476"/>
    <w:rsid w:val="00EE5988"/>
    <w:rsid w:val="00F065FE"/>
    <w:rsid w:val="00F10C9E"/>
    <w:rsid w:val="00F13CE4"/>
    <w:rsid w:val="00F14A09"/>
    <w:rsid w:val="00F22B01"/>
    <w:rsid w:val="00F32186"/>
    <w:rsid w:val="00F3447A"/>
    <w:rsid w:val="00F45BA8"/>
    <w:rsid w:val="00F507FB"/>
    <w:rsid w:val="00F533AD"/>
    <w:rsid w:val="00F5644A"/>
    <w:rsid w:val="00F7167F"/>
    <w:rsid w:val="00F71F31"/>
    <w:rsid w:val="00F7369D"/>
    <w:rsid w:val="00F80059"/>
    <w:rsid w:val="00F812C6"/>
    <w:rsid w:val="00F91E84"/>
    <w:rsid w:val="00FA4CA4"/>
    <w:rsid w:val="00FA6198"/>
    <w:rsid w:val="00FA7260"/>
    <w:rsid w:val="00FC7BF3"/>
    <w:rsid w:val="00FD235D"/>
    <w:rsid w:val="00FD7FCA"/>
    <w:rsid w:val="00FE0C1C"/>
    <w:rsid w:val="00FE17CA"/>
    <w:rsid w:val="00FE1932"/>
    <w:rsid w:val="00FE1A74"/>
    <w:rsid w:val="00FE36D2"/>
    <w:rsid w:val="00FE4ACB"/>
    <w:rsid w:val="00FF5630"/>
    <w:rsid w:val="01391B68"/>
    <w:rsid w:val="02F703B0"/>
    <w:rsid w:val="07DC0ED5"/>
    <w:rsid w:val="0904785D"/>
    <w:rsid w:val="09573966"/>
    <w:rsid w:val="09816B6D"/>
    <w:rsid w:val="0A781AE7"/>
    <w:rsid w:val="0CCA0314"/>
    <w:rsid w:val="0D975F7E"/>
    <w:rsid w:val="12995D7D"/>
    <w:rsid w:val="13AE36C8"/>
    <w:rsid w:val="14317D7D"/>
    <w:rsid w:val="14FE0CE9"/>
    <w:rsid w:val="158E7867"/>
    <w:rsid w:val="174C2AB4"/>
    <w:rsid w:val="1F5A1A25"/>
    <w:rsid w:val="1F714057"/>
    <w:rsid w:val="208E75B3"/>
    <w:rsid w:val="218A16C9"/>
    <w:rsid w:val="21BE3478"/>
    <w:rsid w:val="21D04080"/>
    <w:rsid w:val="22423DCF"/>
    <w:rsid w:val="23A74BBD"/>
    <w:rsid w:val="23D43A72"/>
    <w:rsid w:val="29846CB3"/>
    <w:rsid w:val="29936EB5"/>
    <w:rsid w:val="29E46257"/>
    <w:rsid w:val="2A4110A1"/>
    <w:rsid w:val="2AB85E2C"/>
    <w:rsid w:val="2C281A12"/>
    <w:rsid w:val="2F4F68AC"/>
    <w:rsid w:val="2FBE527A"/>
    <w:rsid w:val="31B57A58"/>
    <w:rsid w:val="325F3B1A"/>
    <w:rsid w:val="33107F2E"/>
    <w:rsid w:val="34745E77"/>
    <w:rsid w:val="36AE69D8"/>
    <w:rsid w:val="38B6063A"/>
    <w:rsid w:val="39E63C45"/>
    <w:rsid w:val="3A910669"/>
    <w:rsid w:val="3BFA1058"/>
    <w:rsid w:val="3EBA5BC3"/>
    <w:rsid w:val="420E5348"/>
    <w:rsid w:val="44100726"/>
    <w:rsid w:val="44347A9B"/>
    <w:rsid w:val="456D3D97"/>
    <w:rsid w:val="45E87405"/>
    <w:rsid w:val="46474D73"/>
    <w:rsid w:val="464E6392"/>
    <w:rsid w:val="48BE5C4B"/>
    <w:rsid w:val="48D21D3E"/>
    <w:rsid w:val="49214E6F"/>
    <w:rsid w:val="4D432356"/>
    <w:rsid w:val="4E3430C7"/>
    <w:rsid w:val="52A97DDB"/>
    <w:rsid w:val="56154CA2"/>
    <w:rsid w:val="58B15E13"/>
    <w:rsid w:val="5A931503"/>
    <w:rsid w:val="5A971C98"/>
    <w:rsid w:val="5AFA5C95"/>
    <w:rsid w:val="5CDE078E"/>
    <w:rsid w:val="5DC655CC"/>
    <w:rsid w:val="5F776EED"/>
    <w:rsid w:val="605176D9"/>
    <w:rsid w:val="63F828E6"/>
    <w:rsid w:val="654D6460"/>
    <w:rsid w:val="67357B43"/>
    <w:rsid w:val="6A185E9C"/>
    <w:rsid w:val="6AB57C02"/>
    <w:rsid w:val="6B27051F"/>
    <w:rsid w:val="6B753BDA"/>
    <w:rsid w:val="6B770841"/>
    <w:rsid w:val="6E8A0C2B"/>
    <w:rsid w:val="6EF60757"/>
    <w:rsid w:val="70FA146A"/>
    <w:rsid w:val="710228B1"/>
    <w:rsid w:val="73A7009A"/>
    <w:rsid w:val="73B95B2E"/>
    <w:rsid w:val="74130018"/>
    <w:rsid w:val="77CE2BEC"/>
    <w:rsid w:val="7AC757F1"/>
    <w:rsid w:val="7BA80065"/>
    <w:rsid w:val="7D6B27F5"/>
    <w:rsid w:val="7D700DB4"/>
    <w:rsid w:val="7E071551"/>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iPriority="99"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06"/>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307"/>
    <w:autoRedefine/>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2" w:lineRule="auto"/>
      <w:outlineLvl w:val="4"/>
    </w:pPr>
    <w:rPr>
      <w:b/>
      <w:bCs/>
      <w:sz w:val="28"/>
      <w:szCs w:val="28"/>
    </w:rPr>
  </w:style>
  <w:style w:type="paragraph" w:styleId="7">
    <w:name w:val="heading 6"/>
    <w:basedOn w:val="1"/>
    <w:next w:val="1"/>
    <w:autoRedefine/>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autoRedefine/>
    <w:qFormat/>
    <w:uiPriority w:val="0"/>
    <w:pPr>
      <w:keepNext/>
      <w:keepLines/>
      <w:spacing w:before="240" w:after="64" w:line="317" w:lineRule="auto"/>
      <w:outlineLvl w:val="6"/>
    </w:pPr>
    <w:rPr>
      <w:b/>
      <w:bCs/>
      <w:sz w:val="24"/>
    </w:rPr>
  </w:style>
  <w:style w:type="paragraph" w:styleId="9">
    <w:name w:val="heading 8"/>
    <w:basedOn w:val="1"/>
    <w:next w:val="1"/>
    <w:autoRedefine/>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autoRedefine/>
    <w:qFormat/>
    <w:uiPriority w:val="0"/>
  </w:style>
  <w:style w:type="paragraph" w:styleId="12">
    <w:name w:val="toc 6"/>
    <w:basedOn w:val="13"/>
    <w:next w:val="1"/>
    <w:autoRedefine/>
    <w:qFormat/>
    <w:uiPriority w:val="0"/>
  </w:style>
  <w:style w:type="paragraph" w:styleId="13">
    <w:name w:val="toc 5"/>
    <w:basedOn w:val="14"/>
    <w:next w:val="1"/>
    <w:autoRedefine/>
    <w:qFormat/>
    <w:uiPriority w:val="0"/>
  </w:style>
  <w:style w:type="paragraph" w:styleId="14">
    <w:name w:val="toc 4"/>
    <w:basedOn w:val="15"/>
    <w:next w:val="1"/>
    <w:autoRedefine/>
    <w:qFormat/>
    <w:uiPriority w:val="0"/>
  </w:style>
  <w:style w:type="paragraph" w:styleId="15">
    <w:name w:val="toc 3"/>
    <w:basedOn w:val="16"/>
    <w:next w:val="1"/>
    <w:autoRedefine/>
    <w:qFormat/>
    <w:uiPriority w:val="39"/>
  </w:style>
  <w:style w:type="paragraph" w:styleId="16">
    <w:name w:val="toc 2"/>
    <w:basedOn w:val="17"/>
    <w:next w:val="1"/>
    <w:autoRedefine/>
    <w:qFormat/>
    <w:uiPriority w:val="39"/>
  </w:style>
  <w:style w:type="paragraph" w:styleId="17">
    <w:name w:val="toc 1"/>
    <w:next w:val="1"/>
    <w:autoRedefine/>
    <w:qFormat/>
    <w:uiPriority w:val="39"/>
    <w:pPr>
      <w:jc w:val="both"/>
    </w:pPr>
    <w:rPr>
      <w:rFonts w:ascii="宋体" w:hAnsi="Times New Roman" w:eastAsia="宋体" w:cs="Times New Roman"/>
      <w:sz w:val="21"/>
      <w:lang w:val="en-US" w:eastAsia="zh-CN" w:bidi="ar-SA"/>
    </w:rPr>
  </w:style>
  <w:style w:type="paragraph" w:styleId="18">
    <w:name w:val="Normal Indent"/>
    <w:basedOn w:val="1"/>
    <w:autoRedefine/>
    <w:qFormat/>
    <w:uiPriority w:val="0"/>
    <w:pPr>
      <w:ind w:firstLine="420"/>
    </w:pPr>
    <w:rPr>
      <w:szCs w:val="20"/>
    </w:rPr>
  </w:style>
  <w:style w:type="paragraph" w:styleId="19">
    <w:name w:val="caption"/>
    <w:basedOn w:val="1"/>
    <w:next w:val="1"/>
    <w:autoRedefine/>
    <w:qFormat/>
    <w:uiPriority w:val="0"/>
    <w:pPr>
      <w:spacing w:before="152" w:after="160"/>
    </w:pPr>
    <w:rPr>
      <w:rFonts w:ascii="Arial" w:hAnsi="Arial" w:eastAsia="黑体"/>
      <w:szCs w:val="20"/>
    </w:rPr>
  </w:style>
  <w:style w:type="paragraph" w:styleId="20">
    <w:name w:val="annotation text"/>
    <w:basedOn w:val="1"/>
    <w:link w:val="288"/>
    <w:autoRedefine/>
    <w:qFormat/>
    <w:uiPriority w:val="0"/>
    <w:pPr>
      <w:jc w:val="left"/>
    </w:pPr>
  </w:style>
  <w:style w:type="paragraph" w:styleId="21">
    <w:name w:val="Body Text"/>
    <w:basedOn w:val="1"/>
    <w:link w:val="283"/>
    <w:autoRedefine/>
    <w:qFormat/>
    <w:uiPriority w:val="0"/>
    <w:pPr>
      <w:spacing w:after="120"/>
    </w:pPr>
  </w:style>
  <w:style w:type="paragraph" w:styleId="22">
    <w:name w:val="Body Text Indent"/>
    <w:basedOn w:val="1"/>
    <w:link w:val="286"/>
    <w:autoRedefine/>
    <w:qFormat/>
    <w:uiPriority w:val="0"/>
    <w:pPr>
      <w:spacing w:line="360" w:lineRule="exact"/>
      <w:ind w:left="420" w:firstLine="480"/>
    </w:pPr>
    <w:rPr>
      <w:sz w:val="24"/>
      <w:szCs w:val="20"/>
    </w:rPr>
  </w:style>
  <w:style w:type="paragraph" w:styleId="23">
    <w:name w:val="HTML Address"/>
    <w:basedOn w:val="1"/>
    <w:autoRedefine/>
    <w:qFormat/>
    <w:uiPriority w:val="0"/>
    <w:rPr>
      <w:i/>
      <w:iCs/>
    </w:rPr>
  </w:style>
  <w:style w:type="paragraph" w:styleId="24">
    <w:name w:val="Plain Text"/>
    <w:basedOn w:val="1"/>
    <w:link w:val="280"/>
    <w:autoRedefine/>
    <w:qFormat/>
    <w:uiPriority w:val="99"/>
    <w:rPr>
      <w:rFonts w:ascii="宋体" w:hAnsi="Courier New"/>
      <w:szCs w:val="21"/>
    </w:rPr>
  </w:style>
  <w:style w:type="paragraph" w:styleId="25">
    <w:name w:val="toc 8"/>
    <w:basedOn w:val="11"/>
    <w:next w:val="1"/>
    <w:autoRedefine/>
    <w:qFormat/>
    <w:uiPriority w:val="0"/>
  </w:style>
  <w:style w:type="paragraph" w:styleId="26">
    <w:name w:val="Date"/>
    <w:basedOn w:val="1"/>
    <w:next w:val="1"/>
    <w:link w:val="292"/>
    <w:autoRedefine/>
    <w:qFormat/>
    <w:uiPriority w:val="99"/>
    <w:pPr>
      <w:ind w:left="100" w:leftChars="2500"/>
    </w:pPr>
    <w:rPr>
      <w:sz w:val="24"/>
      <w:szCs w:val="20"/>
    </w:rPr>
  </w:style>
  <w:style w:type="paragraph" w:styleId="27">
    <w:name w:val="Body Text Indent 2"/>
    <w:basedOn w:val="1"/>
    <w:link w:val="291"/>
    <w:autoRedefine/>
    <w:qFormat/>
    <w:uiPriority w:val="0"/>
    <w:pPr>
      <w:spacing w:after="120" w:line="480" w:lineRule="auto"/>
      <w:ind w:left="420" w:leftChars="200"/>
    </w:pPr>
  </w:style>
  <w:style w:type="paragraph" w:styleId="28">
    <w:name w:val="endnote text"/>
    <w:basedOn w:val="1"/>
    <w:autoRedefine/>
    <w:qFormat/>
    <w:uiPriority w:val="0"/>
    <w:pPr>
      <w:snapToGrid w:val="0"/>
    </w:pPr>
  </w:style>
  <w:style w:type="paragraph" w:styleId="29">
    <w:name w:val="Balloon Text"/>
    <w:basedOn w:val="1"/>
    <w:link w:val="282"/>
    <w:autoRedefine/>
    <w:qFormat/>
    <w:uiPriority w:val="0"/>
    <w:rPr>
      <w:sz w:val="18"/>
      <w:szCs w:val="18"/>
    </w:rPr>
  </w:style>
  <w:style w:type="paragraph" w:styleId="30">
    <w:name w:val="footer"/>
    <w:basedOn w:val="1"/>
    <w:link w:val="285"/>
    <w:autoRedefine/>
    <w:qFormat/>
    <w:uiPriority w:val="0"/>
    <w:pPr>
      <w:tabs>
        <w:tab w:val="center" w:pos="4153"/>
        <w:tab w:val="right" w:pos="8306"/>
      </w:tabs>
      <w:snapToGrid w:val="0"/>
      <w:ind w:right="210" w:rightChars="100"/>
      <w:jc w:val="right"/>
    </w:pPr>
    <w:rPr>
      <w:sz w:val="18"/>
      <w:szCs w:val="18"/>
    </w:rPr>
  </w:style>
  <w:style w:type="paragraph" w:styleId="31">
    <w:name w:val="header"/>
    <w:basedOn w:val="1"/>
    <w:link w:val="290"/>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309"/>
    <w:autoRedefine/>
    <w:qFormat/>
    <w:uiPriority w:val="0"/>
    <w:pPr>
      <w:snapToGrid w:val="0"/>
      <w:jc w:val="left"/>
    </w:pPr>
    <w:rPr>
      <w:sz w:val="18"/>
      <w:szCs w:val="18"/>
    </w:rPr>
  </w:style>
  <w:style w:type="paragraph" w:styleId="33">
    <w:name w:val="Body Text Indent 3"/>
    <w:basedOn w:val="1"/>
    <w:autoRedefine/>
    <w:qFormat/>
    <w:uiPriority w:val="0"/>
    <w:pPr>
      <w:widowControl/>
      <w:spacing w:line="360" w:lineRule="auto"/>
      <w:ind w:firstLine="420"/>
    </w:pPr>
    <w:rPr>
      <w:rFonts w:hAnsi="宋体"/>
      <w:sz w:val="18"/>
    </w:rPr>
  </w:style>
  <w:style w:type="paragraph" w:styleId="34">
    <w:name w:val="toc 9"/>
    <w:basedOn w:val="25"/>
    <w:next w:val="1"/>
    <w:autoRedefine/>
    <w:qFormat/>
    <w:uiPriority w:val="0"/>
  </w:style>
  <w:style w:type="paragraph" w:styleId="35">
    <w:name w:val="Body Text 2"/>
    <w:basedOn w:val="1"/>
    <w:autoRedefine/>
    <w:semiHidden/>
    <w:unhideWhenUsed/>
    <w:qFormat/>
    <w:uiPriority w:val="99"/>
    <w:pPr>
      <w:spacing w:after="120" w:line="480" w:lineRule="auto"/>
    </w:pPr>
  </w:style>
  <w:style w:type="paragraph" w:styleId="36">
    <w:name w:val="HTML Preformatted"/>
    <w:basedOn w:val="1"/>
    <w:autoRedefine/>
    <w:qFormat/>
    <w:uiPriority w:val="0"/>
    <w:rPr>
      <w:rFonts w:ascii="Courier New" w:hAnsi="Courier New" w:cs="Courier New"/>
      <w:sz w:val="20"/>
      <w:szCs w:val="20"/>
    </w:rPr>
  </w:style>
  <w:style w:type="paragraph" w:styleId="3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autoRedefine/>
    <w:qFormat/>
    <w:uiPriority w:val="0"/>
    <w:pPr>
      <w:spacing w:before="240" w:after="60"/>
      <w:jc w:val="left"/>
      <w:outlineLvl w:val="0"/>
    </w:pPr>
    <w:rPr>
      <w:rFonts w:ascii="Arial" w:hAnsi="Arial" w:cs="Arial"/>
      <w:b/>
      <w:bCs/>
      <w:sz w:val="32"/>
      <w:szCs w:val="32"/>
    </w:rPr>
  </w:style>
  <w:style w:type="paragraph" w:styleId="39">
    <w:name w:val="annotation subject"/>
    <w:basedOn w:val="20"/>
    <w:next w:val="20"/>
    <w:link w:val="289"/>
    <w:autoRedefine/>
    <w:qFormat/>
    <w:uiPriority w:val="0"/>
    <w:rPr>
      <w:b/>
      <w:bCs/>
    </w:rPr>
  </w:style>
  <w:style w:type="paragraph" w:styleId="40">
    <w:name w:val="Body Text First Indent"/>
    <w:basedOn w:val="21"/>
    <w:autoRedefine/>
    <w:qFormat/>
    <w:uiPriority w:val="0"/>
    <w:pPr>
      <w:ind w:firstLine="420"/>
    </w:pPr>
    <w:rPr>
      <w:szCs w:val="20"/>
    </w:rPr>
  </w:style>
  <w:style w:type="table" w:styleId="42">
    <w:name w:val="Table Grid"/>
    <w:basedOn w:val="4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4">
    <w:name w:val="Strong"/>
    <w:autoRedefine/>
    <w:qFormat/>
    <w:uiPriority w:val="22"/>
    <w:rPr>
      <w:b/>
      <w:bCs/>
    </w:rPr>
  </w:style>
  <w:style w:type="character" w:styleId="45">
    <w:name w:val="page number"/>
    <w:autoRedefine/>
    <w:qFormat/>
    <w:uiPriority w:val="0"/>
    <w:rPr>
      <w:rFonts w:ascii="Times New Roman" w:hAnsi="Times New Roman" w:eastAsia="宋体"/>
      <w:sz w:val="18"/>
    </w:rPr>
  </w:style>
  <w:style w:type="character" w:styleId="46">
    <w:name w:val="FollowedHyperlink"/>
    <w:autoRedefine/>
    <w:unhideWhenUsed/>
    <w:qFormat/>
    <w:uiPriority w:val="0"/>
    <w:rPr>
      <w:color w:val="800080"/>
      <w:u w:val="single"/>
    </w:rPr>
  </w:style>
  <w:style w:type="character" w:styleId="47">
    <w:name w:val="HTML Definition"/>
    <w:autoRedefine/>
    <w:qFormat/>
    <w:uiPriority w:val="0"/>
    <w:rPr>
      <w:i/>
      <w:iCs/>
    </w:rPr>
  </w:style>
  <w:style w:type="character" w:styleId="48">
    <w:name w:val="HTML Typewriter"/>
    <w:autoRedefine/>
    <w:qFormat/>
    <w:uiPriority w:val="0"/>
    <w:rPr>
      <w:rFonts w:ascii="Courier New" w:hAnsi="Courier New"/>
      <w:sz w:val="20"/>
      <w:szCs w:val="20"/>
    </w:rPr>
  </w:style>
  <w:style w:type="character" w:styleId="49">
    <w:name w:val="HTML Acronym"/>
    <w:basedOn w:val="43"/>
    <w:autoRedefine/>
    <w:qFormat/>
    <w:uiPriority w:val="0"/>
  </w:style>
  <w:style w:type="character" w:styleId="50">
    <w:name w:val="HTML Variable"/>
    <w:autoRedefine/>
    <w:qFormat/>
    <w:uiPriority w:val="0"/>
    <w:rPr>
      <w:i/>
      <w:iCs/>
    </w:rPr>
  </w:style>
  <w:style w:type="character" w:styleId="51">
    <w:name w:val="Hyperlink"/>
    <w:basedOn w:val="43"/>
    <w:autoRedefine/>
    <w:qFormat/>
    <w:uiPriority w:val="99"/>
    <w:rPr>
      <w:rFonts w:ascii="Times New Roman" w:hAnsi="Times New Roman" w:eastAsia="宋体"/>
      <w:color w:val="auto"/>
      <w:spacing w:val="0"/>
      <w:w w:val="100"/>
      <w:position w:val="0"/>
      <w:sz w:val="21"/>
      <w:u w:val="none"/>
    </w:rPr>
  </w:style>
  <w:style w:type="character" w:styleId="52">
    <w:name w:val="HTML Code"/>
    <w:autoRedefine/>
    <w:qFormat/>
    <w:uiPriority w:val="0"/>
    <w:rPr>
      <w:rFonts w:ascii="Courier New" w:hAnsi="Courier New"/>
      <w:sz w:val="20"/>
      <w:szCs w:val="20"/>
    </w:rPr>
  </w:style>
  <w:style w:type="character" w:styleId="53">
    <w:name w:val="annotation reference"/>
    <w:autoRedefine/>
    <w:qFormat/>
    <w:uiPriority w:val="0"/>
    <w:rPr>
      <w:sz w:val="21"/>
      <w:szCs w:val="21"/>
    </w:rPr>
  </w:style>
  <w:style w:type="character" w:styleId="54">
    <w:name w:val="HTML Cite"/>
    <w:autoRedefine/>
    <w:qFormat/>
    <w:uiPriority w:val="0"/>
    <w:rPr>
      <w:i/>
      <w:iCs/>
    </w:rPr>
  </w:style>
  <w:style w:type="character" w:styleId="55">
    <w:name w:val="footnote reference"/>
    <w:autoRedefine/>
    <w:qFormat/>
    <w:uiPriority w:val="0"/>
    <w:rPr>
      <w:vertAlign w:val="superscript"/>
    </w:rPr>
  </w:style>
  <w:style w:type="character" w:styleId="56">
    <w:name w:val="HTML Keyboard"/>
    <w:autoRedefine/>
    <w:qFormat/>
    <w:uiPriority w:val="0"/>
    <w:rPr>
      <w:rFonts w:ascii="Courier New" w:hAnsi="Courier New"/>
      <w:sz w:val="20"/>
      <w:szCs w:val="20"/>
    </w:rPr>
  </w:style>
  <w:style w:type="character" w:styleId="57">
    <w:name w:val="HTML Sample"/>
    <w:autoRedefine/>
    <w:qFormat/>
    <w:uiPriority w:val="0"/>
    <w:rPr>
      <w:rFonts w:ascii="Courier New" w:hAnsi="Courier New"/>
    </w:rPr>
  </w:style>
  <w:style w:type="paragraph" w:customStyle="1" w:styleId="58">
    <w:name w:val="段"/>
    <w:link w:val="275"/>
    <w:autoRedefine/>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9">
    <w:name w:val="二级条标题"/>
    <w:basedOn w:val="60"/>
    <w:next w:val="58"/>
    <w:link w:val="277"/>
    <w:autoRedefine/>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60">
    <w:name w:val="一级条标题"/>
    <w:basedOn w:val="61"/>
    <w:next w:val="58"/>
    <w:link w:val="279"/>
    <w:autoRedefine/>
    <w:qFormat/>
    <w:uiPriority w:val="0"/>
    <w:pPr>
      <w:numPr>
        <w:ilvl w:val="2"/>
      </w:numPr>
      <w:spacing w:beforeLines="0" w:afterLines="0" w:line="300" w:lineRule="auto"/>
      <w:outlineLvl w:val="2"/>
    </w:pPr>
    <w:rPr>
      <w:color w:val="FF0000"/>
      <w:spacing w:val="-4"/>
      <w:szCs w:val="24"/>
    </w:rPr>
  </w:style>
  <w:style w:type="paragraph" w:customStyle="1" w:styleId="61">
    <w:name w:val="章标题"/>
    <w:next w:val="58"/>
    <w:link w:val="278"/>
    <w:autoRedefine/>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2">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autoRedefine/>
    <w:qFormat/>
    <w:uiPriority w:val="0"/>
    <w:pPr>
      <w:adjustRightInd w:val="0"/>
      <w:spacing w:before="357" w:line="280" w:lineRule="exact"/>
    </w:pPr>
  </w:style>
  <w:style w:type="paragraph" w:customStyle="1" w:styleId="64">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autoRedefine/>
    <w:qFormat/>
    <w:uiPriority w:val="0"/>
    <w:pPr>
      <w:numPr>
        <w:ilvl w:val="0"/>
        <w:numId w:val="2"/>
      </w:numPr>
      <w:tabs>
        <w:tab w:val="left" w:pos="6405"/>
      </w:tabs>
      <w:spacing w:after="200"/>
    </w:pPr>
    <w:rPr>
      <w:sz w:val="21"/>
    </w:rPr>
  </w:style>
  <w:style w:type="paragraph" w:customStyle="1" w:styleId="66">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autoRedefine/>
    <w:qFormat/>
    <w:uiPriority w:val="0"/>
    <w:pPr>
      <w:numPr>
        <w:ilvl w:val="5"/>
      </w:numPr>
      <w:outlineLvl w:val="5"/>
    </w:pPr>
  </w:style>
  <w:style w:type="paragraph" w:customStyle="1" w:styleId="71">
    <w:name w:val="三级条标题"/>
    <w:basedOn w:val="59"/>
    <w:next w:val="58"/>
    <w:link w:val="281"/>
    <w:autoRedefine/>
    <w:qFormat/>
    <w:uiPriority w:val="0"/>
    <w:pPr>
      <w:numPr>
        <w:ilvl w:val="4"/>
      </w:numPr>
      <w:outlineLvl w:val="4"/>
    </w:pPr>
  </w:style>
  <w:style w:type="paragraph" w:customStyle="1" w:styleId="72">
    <w:name w:val="列项——"/>
    <w:autoRedefine/>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autoRedefine/>
    <w:qFormat/>
    <w:uiPriority w:val="0"/>
    <w:pPr>
      <w:numPr>
        <w:numId w:val="0"/>
      </w:numPr>
      <w:spacing w:after="200"/>
    </w:pPr>
    <w:rPr>
      <w:sz w:val="21"/>
    </w:rPr>
  </w:style>
  <w:style w:type="paragraph" w:customStyle="1" w:styleId="75">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autoRedefine/>
    <w:qFormat/>
    <w:uiPriority w:val="0"/>
    <w:pPr>
      <w:jc w:val="right"/>
    </w:pPr>
  </w:style>
  <w:style w:type="paragraph" w:customStyle="1" w:styleId="77">
    <w:name w:val="发布日期"/>
    <w:qFormat/>
    <w:uiPriority w:val="0"/>
    <w:rPr>
      <w:rFonts w:ascii="Times New Roman" w:hAnsi="Times New Roman" w:eastAsia="黑体" w:cs="Times New Roman"/>
      <w:sz w:val="28"/>
      <w:lang w:val="en-US" w:eastAsia="zh-CN" w:bidi="ar-SA"/>
    </w:rPr>
  </w:style>
  <w:style w:type="paragraph" w:customStyle="1" w:styleId="78">
    <w:name w:val="条文脚注"/>
    <w:basedOn w:val="32"/>
    <w:autoRedefine/>
    <w:qFormat/>
    <w:uiPriority w:val="0"/>
    <w:pPr>
      <w:ind w:left="780" w:leftChars="200" w:hanging="360" w:hangingChars="200"/>
      <w:jc w:val="both"/>
    </w:pPr>
    <w:rPr>
      <w:rFonts w:ascii="宋体"/>
    </w:rPr>
  </w:style>
  <w:style w:type="paragraph" w:customStyle="1" w:styleId="79">
    <w:name w:val="附录章标题"/>
    <w:next w:val="58"/>
    <w:autoRedefine/>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autoRedefine/>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autoRedefine/>
    <w:qFormat/>
    <w:uiPriority w:val="0"/>
    <w:pPr>
      <w:numPr>
        <w:ilvl w:val="6"/>
        <w:numId w:val="5"/>
      </w:numPr>
    </w:pPr>
  </w:style>
  <w:style w:type="paragraph" w:customStyle="1" w:styleId="84">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qFormat/>
    <w:uiPriority w:val="0"/>
    <w:pPr>
      <w:widowControl/>
      <w:spacing w:after="160" w:line="240" w:lineRule="exact"/>
      <w:jc w:val="left"/>
    </w:pPr>
  </w:style>
  <w:style w:type="paragraph" w:customStyle="1" w:styleId="86">
    <w:name w:val="无标题条"/>
    <w:next w:val="58"/>
    <w:autoRedefine/>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autoRedefine/>
    <w:qFormat/>
    <w:uiPriority w:val="0"/>
    <w:pPr>
      <w:numPr>
        <w:ilvl w:val="6"/>
      </w:numPr>
      <w:outlineLvl w:val="6"/>
    </w:pPr>
  </w:style>
  <w:style w:type="paragraph" w:customStyle="1" w:styleId="88">
    <w:name w:val="Default"/>
    <w:autoRedefine/>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autoRedefine/>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autoRedefine/>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autoRedefine/>
    <w:qFormat/>
    <w:uiPriority w:val="0"/>
    <w:pPr>
      <w:jc w:val="left"/>
    </w:pPr>
  </w:style>
  <w:style w:type="paragraph" w:customStyle="1" w:styleId="94">
    <w:name w:val="二级无标题条"/>
    <w:basedOn w:val="1"/>
    <w:autoRedefine/>
    <w:qFormat/>
    <w:uiPriority w:val="0"/>
    <w:pPr>
      <w:numPr>
        <w:ilvl w:val="3"/>
        <w:numId w:val="5"/>
      </w:numPr>
    </w:pPr>
  </w:style>
  <w:style w:type="paragraph" w:customStyle="1" w:styleId="95">
    <w:name w:val="附录表标题"/>
    <w:next w:val="58"/>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autoRedefine/>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qFormat/>
    <w:uiPriority w:val="0"/>
    <w:pPr>
      <w:numPr>
        <w:ilvl w:val="6"/>
      </w:numPr>
      <w:outlineLvl w:val="6"/>
    </w:pPr>
  </w:style>
  <w:style w:type="paragraph" w:customStyle="1" w:styleId="100">
    <w:name w:val="附录四级条标题"/>
    <w:basedOn w:val="101"/>
    <w:next w:val="58"/>
    <w:autoRedefine/>
    <w:qFormat/>
    <w:uiPriority w:val="0"/>
    <w:pPr>
      <w:numPr>
        <w:ilvl w:val="5"/>
      </w:numPr>
      <w:outlineLvl w:val="5"/>
    </w:pPr>
  </w:style>
  <w:style w:type="paragraph" w:customStyle="1" w:styleId="101">
    <w:name w:val="附录三级条标题"/>
    <w:basedOn w:val="102"/>
    <w:next w:val="58"/>
    <w:autoRedefine/>
    <w:qFormat/>
    <w:uiPriority w:val="0"/>
    <w:pPr>
      <w:numPr>
        <w:ilvl w:val="4"/>
      </w:numPr>
      <w:outlineLvl w:val="4"/>
    </w:pPr>
  </w:style>
  <w:style w:type="paragraph" w:customStyle="1" w:styleId="102">
    <w:name w:val="附录二级条标题"/>
    <w:basedOn w:val="103"/>
    <w:next w:val="58"/>
    <w:autoRedefine/>
    <w:qFormat/>
    <w:uiPriority w:val="0"/>
    <w:pPr>
      <w:numPr>
        <w:ilvl w:val="3"/>
      </w:numPr>
      <w:outlineLvl w:val="3"/>
    </w:pPr>
  </w:style>
  <w:style w:type="paragraph" w:customStyle="1" w:styleId="103">
    <w:name w:val="附录一级条标题"/>
    <w:basedOn w:val="79"/>
    <w:next w:val="58"/>
    <w:autoRedefine/>
    <w:qFormat/>
    <w:uiPriority w:val="0"/>
    <w:pPr>
      <w:numPr>
        <w:ilvl w:val="2"/>
      </w:numPr>
      <w:autoSpaceDN w:val="0"/>
      <w:spacing w:beforeLines="0" w:afterLines="0"/>
      <w:outlineLvl w:val="2"/>
    </w:pPr>
  </w:style>
  <w:style w:type="paragraph" w:customStyle="1" w:styleId="104">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autoRedefine/>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autoRedefine/>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autoRedefine/>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autoRedefine/>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autoRedefine/>
    <w:qFormat/>
    <w:uiPriority w:val="0"/>
    <w:pPr>
      <w:numPr>
        <w:ilvl w:val="5"/>
        <w:numId w:val="5"/>
      </w:numPr>
    </w:pPr>
  </w:style>
  <w:style w:type="paragraph" w:customStyle="1" w:styleId="111">
    <w:name w:val="目次、标准名称标题"/>
    <w:basedOn w:val="66"/>
    <w:next w:val="58"/>
    <w:autoRedefine/>
    <w:qFormat/>
    <w:uiPriority w:val="0"/>
    <w:pPr>
      <w:numPr>
        <w:numId w:val="0"/>
      </w:numPr>
      <w:spacing w:line="460" w:lineRule="exact"/>
    </w:pPr>
  </w:style>
  <w:style w:type="paragraph" w:customStyle="1" w:styleId="112">
    <w:name w:val="标准书眉一"/>
    <w:autoRedefine/>
    <w:qFormat/>
    <w:uiPriority w:val="0"/>
    <w:pPr>
      <w:jc w:val="both"/>
    </w:pPr>
    <w:rPr>
      <w:rFonts w:ascii="Times New Roman" w:hAnsi="Times New Roman" w:eastAsia="宋体" w:cs="Times New Roman"/>
      <w:lang w:val="en-US" w:eastAsia="zh-CN" w:bidi="ar-SA"/>
    </w:rPr>
  </w:style>
  <w:style w:type="paragraph" w:customStyle="1" w:styleId="113">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autoRedefine/>
    <w:qFormat/>
    <w:uiPriority w:val="0"/>
    <w:pPr>
      <w:spacing w:line="0" w:lineRule="atLeast"/>
    </w:pPr>
    <w:rPr>
      <w:rFonts w:ascii="黑体" w:eastAsia="黑体"/>
      <w:b w:val="0"/>
    </w:rPr>
  </w:style>
  <w:style w:type="paragraph" w:customStyle="1" w:styleId="115">
    <w:name w:val="列项·"/>
    <w:autoRedefine/>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autoRedefine/>
    <w:qFormat/>
    <w:uiPriority w:val="0"/>
    <w:pPr>
      <w:numPr>
        <w:ilvl w:val="4"/>
        <w:numId w:val="5"/>
      </w:numPr>
    </w:pPr>
  </w:style>
  <w:style w:type="paragraph" w:customStyle="1" w:styleId="11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autoRedefine/>
    <w:qFormat/>
    <w:uiPriority w:val="0"/>
    <w:pPr>
      <w:numPr>
        <w:ilvl w:val="2"/>
        <w:numId w:val="5"/>
      </w:numPr>
    </w:pPr>
  </w:style>
  <w:style w:type="paragraph" w:customStyle="1" w:styleId="119">
    <w:name w:val="封面标准代替信息"/>
    <w:basedOn w:val="63"/>
    <w:autoRedefine/>
    <w:qFormat/>
    <w:uiPriority w:val="0"/>
    <w:pPr>
      <w:spacing w:before="57"/>
    </w:pPr>
    <w:rPr>
      <w:rFonts w:ascii="宋体"/>
      <w:sz w:val="21"/>
    </w:rPr>
  </w:style>
  <w:style w:type="paragraph" w:customStyle="1" w:styleId="120">
    <w:name w:val="标准正文"/>
    <w:basedOn w:val="1"/>
    <w:autoRedefine/>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autoRedefine/>
    <w:qFormat/>
    <w:uiPriority w:val="0"/>
    <w:pPr>
      <w:widowControl/>
      <w:spacing w:before="100" w:beforeAutospacing="1" w:after="100" w:afterAutospacing="1"/>
      <w:jc w:val="left"/>
    </w:pPr>
    <w:rPr>
      <w:b/>
      <w:bCs/>
      <w:kern w:val="0"/>
      <w:sz w:val="20"/>
      <w:szCs w:val="20"/>
    </w:rPr>
  </w:style>
  <w:style w:type="paragraph" w:customStyle="1" w:styleId="124">
    <w:name w:val="font7"/>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autoRedefine/>
    <w:qFormat/>
    <w:uiPriority w:val="0"/>
    <w:pPr>
      <w:adjustRightInd w:val="0"/>
      <w:jc w:val="center"/>
    </w:pPr>
    <w:rPr>
      <w:rFonts w:eastAsia="黑体"/>
      <w:kern w:val="0"/>
      <w:sz w:val="52"/>
      <w:szCs w:val="20"/>
    </w:rPr>
  </w:style>
  <w:style w:type="paragraph" w:customStyle="1" w:styleId="147">
    <w:name w:val="样式2"/>
    <w:basedOn w:val="71"/>
    <w:autoRedefine/>
    <w:qFormat/>
    <w:uiPriority w:val="0"/>
    <w:pPr>
      <w:numPr>
        <w:numId w:val="0"/>
      </w:numPr>
      <w:spacing w:line="240" w:lineRule="auto"/>
      <w:ind w:left="454"/>
    </w:pPr>
    <w:rPr>
      <w:color w:val="auto"/>
      <w:spacing w:val="0"/>
      <w:szCs w:val="20"/>
    </w:rPr>
  </w:style>
  <w:style w:type="paragraph" w:customStyle="1" w:styleId="148">
    <w:name w:val="列出段落1"/>
    <w:basedOn w:val="1"/>
    <w:autoRedefine/>
    <w:qFormat/>
    <w:uiPriority w:val="34"/>
    <w:pPr>
      <w:ind w:firstLine="420" w:firstLineChars="200"/>
    </w:pPr>
    <w:rPr>
      <w:rFonts w:ascii="Calibri" w:hAnsi="Calibri"/>
      <w:szCs w:val="22"/>
    </w:rPr>
  </w:style>
  <w:style w:type="paragraph" w:customStyle="1" w:styleId="149">
    <w:name w:val="图表脚注说明"/>
    <w:basedOn w:val="1"/>
    <w:autoRedefine/>
    <w:qFormat/>
    <w:uiPriority w:val="0"/>
    <w:rPr>
      <w:rFonts w:ascii="宋体"/>
      <w:sz w:val="18"/>
      <w:szCs w:val="18"/>
    </w:rPr>
  </w:style>
  <w:style w:type="paragraph" w:customStyle="1" w:styleId="150">
    <w:name w:val="Char11"/>
    <w:basedOn w:val="1"/>
    <w:autoRedefine/>
    <w:qFormat/>
    <w:uiPriority w:val="0"/>
    <w:pPr>
      <w:widowControl/>
      <w:spacing w:after="160" w:line="240" w:lineRule="exact"/>
      <w:jc w:val="left"/>
    </w:pPr>
  </w:style>
  <w:style w:type="paragraph" w:customStyle="1" w:styleId="151">
    <w:name w:val="ordinary-output"/>
    <w:basedOn w:val="1"/>
    <w:autoRedefine/>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autoRedefine/>
    <w:qFormat/>
    <w:uiPriority w:val="34"/>
    <w:pPr>
      <w:ind w:firstLine="420" w:firstLineChars="200"/>
    </w:pPr>
    <w:rPr>
      <w:sz w:val="24"/>
    </w:rPr>
  </w:style>
  <w:style w:type="paragraph" w:customStyle="1" w:styleId="153">
    <w:name w:val="Char1 Char Char Char"/>
    <w:basedOn w:val="1"/>
    <w:autoRedefine/>
    <w:qFormat/>
    <w:uiPriority w:val="0"/>
    <w:rPr>
      <w:szCs w:val="20"/>
    </w:rPr>
  </w:style>
  <w:style w:type="paragraph" w:customStyle="1" w:styleId="154">
    <w:name w:val="Char1"/>
    <w:basedOn w:val="1"/>
    <w:autoRedefine/>
    <w:qFormat/>
    <w:uiPriority w:val="0"/>
    <w:pPr>
      <w:widowControl/>
      <w:spacing w:after="160" w:line="240" w:lineRule="exact"/>
      <w:jc w:val="left"/>
    </w:pPr>
  </w:style>
  <w:style w:type="paragraph" w:customStyle="1" w:styleId="155">
    <w:name w:val="Decimal Aligned"/>
    <w:basedOn w:val="1"/>
    <w:autoRedefine/>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autoRedefine/>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autoRedefine/>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autoRedefine/>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autoRedefine/>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autoRedefine/>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autoRedefine/>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autoRedefine/>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autoRedefine/>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autoRedefine/>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autoRedefine/>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autoRedefine/>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autoRedefine/>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autoRedefine/>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autoRedefine/>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autoRedefine/>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autoRedefine/>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autoRedefine/>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autoRedefine/>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autoRedefine/>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autoRedefine/>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autoRedefine/>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autoRedefine/>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autoRedefine/>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autoRedefine/>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autoRedefine/>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autoRedefine/>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autoRedefine/>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autoRedefine/>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autoRedefine/>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autoRedefine/>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autoRedefine/>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autoRedefine/>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autoRedefine/>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autoRedefine/>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autoRedefine/>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autoRedefine/>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autoRedefine/>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autoRedefine/>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autoRedefine/>
    <w:qFormat/>
    <w:uiPriority w:val="0"/>
    <w:pPr>
      <w:widowControl/>
      <w:spacing w:after="160" w:line="240" w:lineRule="exact"/>
      <w:jc w:val="left"/>
    </w:pPr>
  </w:style>
  <w:style w:type="paragraph" w:customStyle="1" w:styleId="266">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autoRedefine/>
    <w:qFormat/>
    <w:uiPriority w:val="0"/>
    <w:pPr>
      <w:widowControl/>
      <w:jc w:val="left"/>
    </w:pPr>
    <w:rPr>
      <w:kern w:val="0"/>
      <w:szCs w:val="21"/>
    </w:rPr>
  </w:style>
  <w:style w:type="paragraph" w:customStyle="1" w:styleId="269">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autoRedefine/>
    <w:qFormat/>
    <w:uiPriority w:val="0"/>
    <w:rPr>
      <w:rFonts w:ascii="黑体" w:eastAsia="黑体"/>
      <w:spacing w:val="22"/>
      <w:w w:val="100"/>
      <w:position w:val="3"/>
      <w:sz w:val="28"/>
    </w:rPr>
  </w:style>
  <w:style w:type="character" w:customStyle="1" w:styleId="274">
    <w:name w:val="个人答复风格"/>
    <w:autoRedefine/>
    <w:qFormat/>
    <w:uiPriority w:val="0"/>
    <w:rPr>
      <w:rFonts w:ascii="Arial" w:hAnsi="Arial" w:eastAsia="宋体" w:cs="Arial"/>
      <w:color w:val="auto"/>
      <w:sz w:val="20"/>
    </w:rPr>
  </w:style>
  <w:style w:type="character" w:customStyle="1" w:styleId="275">
    <w:name w:val="段 Char"/>
    <w:link w:val="58"/>
    <w:autoRedefine/>
    <w:qFormat/>
    <w:uiPriority w:val="0"/>
    <w:rPr>
      <w:rFonts w:ascii="宋体" w:hAnsi="宋体" w:eastAsia="宋体"/>
      <w:sz w:val="21"/>
      <w:lang w:val="en-US" w:eastAsia="zh-CN" w:bidi="ar-SA"/>
    </w:rPr>
  </w:style>
  <w:style w:type="character" w:customStyle="1" w:styleId="276">
    <w:name w:val="个人撰写风格"/>
    <w:autoRedefine/>
    <w:qFormat/>
    <w:uiPriority w:val="0"/>
    <w:rPr>
      <w:rFonts w:ascii="Arial" w:hAnsi="Arial" w:eastAsia="宋体" w:cs="Arial"/>
      <w:color w:val="auto"/>
      <w:sz w:val="20"/>
    </w:rPr>
  </w:style>
  <w:style w:type="character" w:customStyle="1" w:styleId="277">
    <w:name w:val="二级条标题 Char"/>
    <w:link w:val="59"/>
    <w:autoRedefine/>
    <w:qFormat/>
    <w:uiPriority w:val="0"/>
    <w:rPr>
      <w:rFonts w:ascii="黑体" w:hAnsi="黑体" w:eastAsia="黑体" w:cs="Times New Roman"/>
      <w:color w:val="000000" w:themeColor="text1"/>
      <w:spacing w:val="-6"/>
      <w:sz w:val="21"/>
      <w:szCs w:val="24"/>
      <w14:textFill>
        <w14:solidFill>
          <w14:schemeClr w14:val="tx1"/>
        </w14:solidFill>
      </w14:textFill>
    </w:rPr>
  </w:style>
  <w:style w:type="character" w:customStyle="1" w:styleId="278">
    <w:name w:val="章标题 Char"/>
    <w:link w:val="61"/>
    <w:autoRedefine/>
    <w:qFormat/>
    <w:uiPriority w:val="0"/>
    <w:rPr>
      <w:rFonts w:ascii="黑体" w:hAnsi="Times New Roman" w:eastAsia="黑体" w:cs="Times New Roman"/>
      <w:sz w:val="21"/>
    </w:rPr>
  </w:style>
  <w:style w:type="character" w:customStyle="1" w:styleId="279">
    <w:name w:val="一级条标题 Char"/>
    <w:link w:val="60"/>
    <w:autoRedefine/>
    <w:qFormat/>
    <w:uiPriority w:val="0"/>
    <w:rPr>
      <w:rFonts w:ascii="黑体" w:hAnsi="Times New Roman" w:eastAsia="黑体" w:cs="Times New Roman"/>
      <w:color w:val="FF0000"/>
      <w:spacing w:val="-4"/>
      <w:sz w:val="21"/>
      <w:szCs w:val="24"/>
    </w:rPr>
  </w:style>
  <w:style w:type="character" w:customStyle="1" w:styleId="280">
    <w:name w:val="纯文本 Char"/>
    <w:link w:val="24"/>
    <w:autoRedefine/>
    <w:qFormat/>
    <w:uiPriority w:val="99"/>
    <w:rPr>
      <w:rFonts w:ascii="宋体" w:hAnsi="Courier New" w:cs="Courier New"/>
      <w:kern w:val="2"/>
      <w:sz w:val="21"/>
      <w:szCs w:val="21"/>
    </w:rPr>
  </w:style>
  <w:style w:type="character" w:customStyle="1" w:styleId="281">
    <w:name w:val="三级条标题 Char"/>
    <w:link w:val="71"/>
    <w:autoRedefine/>
    <w:qFormat/>
    <w:uiPriority w:val="0"/>
    <w:rPr>
      <w:rFonts w:ascii="黑体" w:eastAsia="黑体"/>
      <w:color w:val="FF0000"/>
      <w:spacing w:val="-4"/>
      <w:sz w:val="21"/>
      <w:szCs w:val="24"/>
    </w:rPr>
  </w:style>
  <w:style w:type="character" w:customStyle="1" w:styleId="282">
    <w:name w:val="批注框文本 Char"/>
    <w:link w:val="29"/>
    <w:autoRedefine/>
    <w:qFormat/>
    <w:uiPriority w:val="0"/>
    <w:rPr>
      <w:kern w:val="2"/>
      <w:sz w:val="18"/>
      <w:szCs w:val="18"/>
    </w:rPr>
  </w:style>
  <w:style w:type="character" w:customStyle="1" w:styleId="283">
    <w:name w:val="正文文本 Char"/>
    <w:link w:val="21"/>
    <w:autoRedefine/>
    <w:qFormat/>
    <w:uiPriority w:val="0"/>
    <w:rPr>
      <w:kern w:val="2"/>
      <w:sz w:val="21"/>
      <w:szCs w:val="24"/>
    </w:rPr>
  </w:style>
  <w:style w:type="character" w:customStyle="1" w:styleId="284">
    <w:name w:val="注： Char"/>
    <w:link w:val="91"/>
    <w:autoRedefine/>
    <w:qFormat/>
    <w:uiPriority w:val="0"/>
    <w:rPr>
      <w:rFonts w:ascii="宋体"/>
      <w:sz w:val="18"/>
    </w:rPr>
  </w:style>
  <w:style w:type="character" w:customStyle="1" w:styleId="285">
    <w:name w:val="页脚 Char"/>
    <w:link w:val="30"/>
    <w:autoRedefine/>
    <w:qFormat/>
    <w:uiPriority w:val="99"/>
    <w:rPr>
      <w:kern w:val="2"/>
      <w:sz w:val="18"/>
      <w:szCs w:val="18"/>
    </w:rPr>
  </w:style>
  <w:style w:type="character" w:customStyle="1" w:styleId="286">
    <w:name w:val="正文文本缩进 Char"/>
    <w:link w:val="22"/>
    <w:autoRedefine/>
    <w:qFormat/>
    <w:uiPriority w:val="0"/>
    <w:rPr>
      <w:kern w:val="2"/>
      <w:sz w:val="24"/>
    </w:rPr>
  </w:style>
  <w:style w:type="character" w:customStyle="1" w:styleId="287">
    <w:name w:val="表中文字"/>
    <w:autoRedefine/>
    <w:qFormat/>
    <w:uiPriority w:val="0"/>
    <w:rPr>
      <w:rFonts w:ascii="宋体" w:eastAsia="宋体"/>
      <w:sz w:val="18"/>
    </w:rPr>
  </w:style>
  <w:style w:type="character" w:customStyle="1" w:styleId="288">
    <w:name w:val="批注文字 Char"/>
    <w:link w:val="20"/>
    <w:autoRedefine/>
    <w:qFormat/>
    <w:uiPriority w:val="0"/>
    <w:rPr>
      <w:kern w:val="2"/>
      <w:sz w:val="21"/>
      <w:szCs w:val="24"/>
    </w:rPr>
  </w:style>
  <w:style w:type="character" w:customStyle="1" w:styleId="289">
    <w:name w:val="批注主题 Char"/>
    <w:link w:val="39"/>
    <w:autoRedefine/>
    <w:qFormat/>
    <w:uiPriority w:val="0"/>
    <w:rPr>
      <w:b/>
      <w:bCs/>
      <w:kern w:val="2"/>
      <w:sz w:val="21"/>
      <w:szCs w:val="24"/>
    </w:rPr>
  </w:style>
  <w:style w:type="character" w:customStyle="1" w:styleId="290">
    <w:name w:val="页眉 Char"/>
    <w:link w:val="31"/>
    <w:autoRedefine/>
    <w:qFormat/>
    <w:uiPriority w:val="99"/>
    <w:rPr>
      <w:kern w:val="2"/>
      <w:sz w:val="18"/>
      <w:szCs w:val="18"/>
    </w:rPr>
  </w:style>
  <w:style w:type="character" w:customStyle="1" w:styleId="291">
    <w:name w:val="正文文本缩进 2 Char"/>
    <w:link w:val="27"/>
    <w:autoRedefine/>
    <w:qFormat/>
    <w:uiPriority w:val="0"/>
    <w:rPr>
      <w:kern w:val="2"/>
      <w:sz w:val="21"/>
      <w:szCs w:val="24"/>
    </w:rPr>
  </w:style>
  <w:style w:type="character" w:customStyle="1" w:styleId="292">
    <w:name w:val="日期 Char"/>
    <w:link w:val="26"/>
    <w:autoRedefine/>
    <w:qFormat/>
    <w:uiPriority w:val="99"/>
    <w:rPr>
      <w:kern w:val="2"/>
      <w:sz w:val="24"/>
    </w:rPr>
  </w:style>
  <w:style w:type="character" w:customStyle="1" w:styleId="293">
    <w:name w:val="访问过的超链接1"/>
    <w:autoRedefine/>
    <w:qFormat/>
    <w:uiPriority w:val="99"/>
    <w:rPr>
      <w:color w:val="800080"/>
      <w:u w:val="single"/>
    </w:rPr>
  </w:style>
  <w:style w:type="character" w:customStyle="1" w:styleId="294">
    <w:name w:val="段 Char Char Char Char"/>
    <w:autoRedefine/>
    <w:qFormat/>
    <w:uiPriority w:val="0"/>
    <w:rPr>
      <w:rFonts w:ascii="宋体"/>
      <w:sz w:val="21"/>
      <w:lang w:val="en-US" w:eastAsia="zh-CN" w:bidi="ar-SA"/>
    </w:rPr>
  </w:style>
  <w:style w:type="character" w:customStyle="1" w:styleId="295">
    <w:name w:val="章标题 Char Char"/>
    <w:autoRedefine/>
    <w:qFormat/>
    <w:uiPriority w:val="0"/>
    <w:rPr>
      <w:rFonts w:ascii="黑体" w:eastAsia="黑体"/>
      <w:sz w:val="21"/>
      <w:lang w:val="en-US" w:eastAsia="zh-CN" w:bidi="ar-SA"/>
    </w:rPr>
  </w:style>
  <w:style w:type="character" w:customStyle="1" w:styleId="296">
    <w:name w:val="正文文本缩进 Char1"/>
    <w:autoRedefine/>
    <w:qFormat/>
    <w:uiPriority w:val="0"/>
    <w:rPr>
      <w:kern w:val="2"/>
      <w:sz w:val="21"/>
      <w:szCs w:val="24"/>
    </w:rPr>
  </w:style>
  <w:style w:type="character" w:customStyle="1" w:styleId="297">
    <w:name w:val="font21"/>
    <w:autoRedefine/>
    <w:qFormat/>
    <w:uiPriority w:val="0"/>
    <w:rPr>
      <w:rFonts w:hint="eastAsia" w:ascii="宋体" w:hAnsi="宋体" w:eastAsia="宋体" w:cs="宋体"/>
      <w:b/>
      <w:color w:val="FF0000"/>
      <w:sz w:val="21"/>
      <w:szCs w:val="21"/>
      <w:u w:val="none"/>
    </w:rPr>
  </w:style>
  <w:style w:type="character" w:customStyle="1" w:styleId="298">
    <w:name w:val="font41"/>
    <w:autoRedefine/>
    <w:qFormat/>
    <w:uiPriority w:val="0"/>
    <w:rPr>
      <w:rFonts w:hint="eastAsia" w:ascii="宋体" w:hAnsi="宋体" w:eastAsia="宋体" w:cs="宋体"/>
      <w:b/>
      <w:color w:val="FF0000"/>
      <w:sz w:val="21"/>
      <w:szCs w:val="21"/>
      <w:u w:val="none"/>
    </w:rPr>
  </w:style>
  <w:style w:type="character" w:customStyle="1" w:styleId="299">
    <w:name w:val="font01"/>
    <w:autoRedefine/>
    <w:qFormat/>
    <w:uiPriority w:val="0"/>
    <w:rPr>
      <w:rFonts w:hint="eastAsia" w:ascii="宋体" w:hAnsi="宋体" w:eastAsia="宋体"/>
      <w:color w:val="000000"/>
      <w:sz w:val="24"/>
      <w:szCs w:val="24"/>
      <w:u w:val="none"/>
    </w:rPr>
  </w:style>
  <w:style w:type="character" w:customStyle="1" w:styleId="300">
    <w:name w:val="附录标识 Char"/>
    <w:link w:val="65"/>
    <w:autoRedefine/>
    <w:qFormat/>
    <w:uiPriority w:val="0"/>
    <w:rPr>
      <w:sz w:val="21"/>
    </w:rPr>
  </w:style>
  <w:style w:type="character" w:customStyle="1" w:styleId="301">
    <w:name w:val="font31"/>
    <w:autoRedefine/>
    <w:qFormat/>
    <w:uiPriority w:val="0"/>
    <w:rPr>
      <w:rFonts w:hint="eastAsia" w:ascii="宋体" w:hAnsi="宋体" w:eastAsia="宋体" w:cs="宋体"/>
      <w:color w:val="000000"/>
      <w:sz w:val="22"/>
      <w:szCs w:val="22"/>
      <w:u w:val="none"/>
    </w:rPr>
  </w:style>
  <w:style w:type="paragraph" w:styleId="302">
    <w:name w:val="List Paragraph"/>
    <w:basedOn w:val="1"/>
    <w:autoRedefine/>
    <w:qFormat/>
    <w:uiPriority w:val="34"/>
    <w:pPr>
      <w:ind w:firstLine="420" w:firstLineChars="200"/>
    </w:pPr>
  </w:style>
  <w:style w:type="paragraph" w:customStyle="1" w:styleId="303">
    <w:name w:val="Table Paragraph"/>
    <w:basedOn w:val="1"/>
    <w:autoRedefine/>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autoRedefine/>
    <w:qFormat/>
    <w:uiPriority w:val="0"/>
    <w:rPr>
      <w:rFonts w:hint="eastAsia" w:ascii="宋体" w:hAnsi="宋体" w:eastAsia="宋体"/>
      <w:color w:val="000000"/>
      <w:sz w:val="24"/>
      <w:szCs w:val="24"/>
    </w:rPr>
  </w:style>
  <w:style w:type="character" w:customStyle="1" w:styleId="305">
    <w:name w:val="标题 1 Char"/>
    <w:basedOn w:val="43"/>
    <w:link w:val="2"/>
    <w:autoRedefine/>
    <w:qFormat/>
    <w:uiPriority w:val="0"/>
    <w:rPr>
      <w:rFonts w:ascii="Times New Roman" w:hAnsi="Times New Roman" w:eastAsia="宋体" w:cs="Times New Roman"/>
      <w:b/>
      <w:bCs/>
      <w:kern w:val="44"/>
      <w:sz w:val="44"/>
      <w:szCs w:val="44"/>
    </w:rPr>
  </w:style>
  <w:style w:type="character" w:customStyle="1" w:styleId="306">
    <w:name w:val="标题 2 Char"/>
    <w:basedOn w:val="43"/>
    <w:link w:val="3"/>
    <w:autoRedefine/>
    <w:qFormat/>
    <w:uiPriority w:val="0"/>
    <w:rPr>
      <w:rFonts w:ascii="Arial" w:hAnsi="Arial" w:eastAsia="黑体" w:cs="Times New Roman"/>
      <w:b/>
      <w:bCs/>
      <w:kern w:val="2"/>
      <w:sz w:val="32"/>
      <w:szCs w:val="32"/>
    </w:rPr>
  </w:style>
  <w:style w:type="character" w:customStyle="1" w:styleId="307">
    <w:name w:val="标题 3 Char"/>
    <w:basedOn w:val="43"/>
    <w:link w:val="4"/>
    <w:autoRedefine/>
    <w:qFormat/>
    <w:uiPriority w:val="0"/>
    <w:rPr>
      <w:rFonts w:ascii="Times New Roman" w:hAnsi="Times New Roman" w:eastAsia="宋体" w:cs="Times New Roman"/>
      <w:b/>
      <w:bCs/>
      <w:kern w:val="2"/>
      <w:sz w:val="32"/>
      <w:szCs w:val="32"/>
    </w:rPr>
  </w:style>
  <w:style w:type="character" w:customStyle="1" w:styleId="308">
    <w:name w:val="标题 Char"/>
    <w:link w:val="38"/>
    <w:autoRedefine/>
    <w:qFormat/>
    <w:uiPriority w:val="0"/>
    <w:rPr>
      <w:rFonts w:ascii="Arial" w:hAnsi="Arial" w:cs="Arial"/>
      <w:b/>
      <w:bCs/>
      <w:kern w:val="2"/>
      <w:sz w:val="32"/>
      <w:szCs w:val="32"/>
    </w:rPr>
  </w:style>
  <w:style w:type="character" w:customStyle="1" w:styleId="309">
    <w:name w:val="脚注文本 Char"/>
    <w:link w:val="32"/>
    <w:autoRedefine/>
    <w:qFormat/>
    <w:uiPriority w:val="0"/>
    <w:rPr>
      <w:rFonts w:ascii="Times New Roman" w:hAnsi="Times New Roman" w:eastAsia="宋体" w:cs="Times New Roman"/>
      <w:kern w:val="2"/>
      <w:sz w:val="18"/>
      <w:szCs w:val="18"/>
    </w:rPr>
  </w:style>
  <w:style w:type="character" w:customStyle="1" w:styleId="310">
    <w:name w:val="未处理的提及"/>
    <w:autoRedefine/>
    <w:unhideWhenUsed/>
    <w:qFormat/>
    <w:uiPriority w:val="99"/>
    <w:rPr>
      <w:color w:val="605E5C"/>
      <w:shd w:val="clear" w:color="auto" w:fill="E1DFDD"/>
    </w:rPr>
  </w:style>
  <w:style w:type="character" w:customStyle="1" w:styleId="311">
    <w:name w:val="批注框文本 Char1"/>
    <w:basedOn w:val="43"/>
    <w:autoRedefine/>
    <w:semiHidden/>
    <w:qFormat/>
    <w:uiPriority w:val="99"/>
    <w:rPr>
      <w:rFonts w:ascii="Calibri" w:hAnsi="Calibri" w:eastAsia="宋体" w:cs="Times New Roman"/>
      <w:sz w:val="18"/>
      <w:szCs w:val="18"/>
    </w:rPr>
  </w:style>
  <w:style w:type="character" w:customStyle="1" w:styleId="312">
    <w:name w:val="脚注文本 Char1"/>
    <w:basedOn w:val="43"/>
    <w:autoRedefine/>
    <w:semiHidden/>
    <w:qFormat/>
    <w:uiPriority w:val="99"/>
    <w:rPr>
      <w:rFonts w:ascii="Calibri" w:hAnsi="Calibri" w:eastAsia="宋体" w:cs="Times New Roman"/>
      <w:sz w:val="18"/>
      <w:szCs w:val="18"/>
    </w:rPr>
  </w:style>
  <w:style w:type="character" w:customStyle="1" w:styleId="313">
    <w:name w:val="标题 Char1"/>
    <w:basedOn w:val="43"/>
    <w:qFormat/>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autoRedefine/>
    <w:qFormat/>
    <w:uiPriority w:val="0"/>
  </w:style>
  <w:style w:type="paragraph" w:customStyle="1" w:styleId="315">
    <w:name w:val="WPSOffice手动目录 1"/>
    <w:autoRedefine/>
    <w:qFormat/>
    <w:uiPriority w:val="0"/>
    <w:rPr>
      <w:rFonts w:ascii="Calibri" w:hAnsi="Calibri" w:eastAsia="宋体" w:cs="Times New Roman"/>
      <w:lang w:val="en-US" w:eastAsia="zh-CN" w:bidi="ar-SA"/>
    </w:rPr>
  </w:style>
  <w:style w:type="paragraph" w:customStyle="1" w:styleId="316">
    <w:name w:val="1"/>
    <w:basedOn w:val="1"/>
    <w:next w:val="22"/>
    <w:autoRedefine/>
    <w:qFormat/>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qFormat/>
    <w:uiPriority w:val="0"/>
  </w:style>
  <w:style w:type="paragraph" w:customStyle="1" w:styleId="318">
    <w:name w:val="WPSOffice手动目录 2"/>
    <w:autoRedefine/>
    <w:qFormat/>
    <w:uiPriority w:val="0"/>
    <w:pPr>
      <w:ind w:left="200" w:leftChars="200"/>
    </w:pPr>
    <w:rPr>
      <w:rFonts w:ascii="Calibri" w:hAnsi="Calibri" w:eastAsia="宋体" w:cs="Times New Roman"/>
      <w:lang w:val="en-US" w:eastAsia="zh-CN" w:bidi="ar-SA"/>
    </w:rPr>
  </w:style>
  <w:style w:type="table" w:customStyle="1" w:styleId="319">
    <w:name w:val="网格型1"/>
    <w:basedOn w:val="41"/>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0">
    <w:name w:val="Placeholder Text"/>
    <w:basedOn w:val="43"/>
    <w:autoRedefine/>
    <w:semiHidden/>
    <w:qFormat/>
    <w:uiPriority w:val="99"/>
    <w:rPr>
      <w:color w:val="808080"/>
    </w:rPr>
  </w:style>
  <w:style w:type="table" w:customStyle="1" w:styleId="32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8B0580-C990-4277-8B43-8CF367950226}">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7</Pages>
  <Words>3424</Words>
  <Characters>3615</Characters>
  <Lines>26</Lines>
  <Paragraphs>7</Paragraphs>
  <TotalTime>0</TotalTime>
  <ScaleCrop>false</ScaleCrop>
  <LinksUpToDate>false</LinksUpToDate>
  <CharactersWithSpaces>3650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2024-06-14T03:14:00Z</dcterms:created>
  <dc:creator>标准李瑞山9585</dc:creator>
  <cp:lastModifiedBy>喆@瑶爸</cp:lastModifiedBy>
  <cp:lastPrinted>2016-10-20T04:13:00Z</cp:lastPrinted>
  <dcterms:modified xsi:type="dcterms:W3CDTF">2024-06-14T06:33:45Z</dcterms:modified>
  <dc:title>标准名称</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7CC6B53A8B674E13988B212B17AB9464_13</vt:lpwstr>
  </property>
</Properties>
</file>