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pPr>
      <w:bookmarkStart w:id="0" w:name="SectionMark0"/>
      <w:bookmarkStart w:id="1" w:name="SectionMark4"/>
      <w:r>
        <mc:AlternateContent>
          <mc:Choice Requires="wps">
            <w:drawing>
              <wp:anchor distT="0" distB="0" distL="114300" distR="114300" simplePos="0" relativeHeight="251659264"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冲击低温槽校准规范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9264;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Jrfr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冲击低温槽校准规范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v:textbox>
                <w10:anchorlock/>
              </v:rect>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7"/>
                              <w:spacing w:before="600"/>
                              <w:rPr>
                                <w:rFonts w:ascii="黑体" w:hAnsi="黑体" w:eastAsia="黑体"/>
                                <w:sz w:val="36"/>
                                <w:szCs w:val="36"/>
                              </w:rPr>
                            </w:pPr>
                            <w:r>
                              <w:rPr>
                                <w:rFonts w:hint="eastAsia" w:ascii="黑体" w:hAnsi="黑体" w:eastAsia="黑体"/>
                                <w:sz w:val="36"/>
                                <w:szCs w:val="36"/>
                              </w:rPr>
                              <w:t xml:space="preserve"> 讨论稿</w:t>
                            </w:r>
                          </w:p>
                          <w:p>
                            <w:pPr>
                              <w:pStyle w:val="67"/>
                              <w:spacing w:before="600"/>
                              <w:rPr>
                                <w:rFonts w:ascii="黑体" w:hAnsi="黑体" w:eastAsia="黑体"/>
                                <w:sz w:val="36"/>
                                <w:szCs w:val="36"/>
                              </w:rPr>
                            </w:pPr>
                            <w:r>
                              <w:rPr>
                                <w:rFonts w:hint="eastAsia" w:ascii="黑体" w:hAnsi="黑体" w:eastAsia="黑体"/>
                                <w:sz w:val="36"/>
                                <w:szCs w:val="36"/>
                              </w:rPr>
                              <w:t xml:space="preserve">  20</w:t>
                            </w:r>
                            <w:r>
                              <w:rPr>
                                <w:rFonts w:ascii="黑体" w:hAnsi="黑体" w:eastAsia="黑体"/>
                                <w:sz w:val="36"/>
                                <w:szCs w:val="36"/>
                              </w:rPr>
                              <w:t>2</w:t>
                            </w:r>
                            <w:r>
                              <w:rPr>
                                <w:rFonts w:hint="eastAsia" w:ascii="黑体" w:hAnsi="黑体" w:eastAsia="黑体"/>
                                <w:sz w:val="36"/>
                                <w:szCs w:val="36"/>
                              </w:rPr>
                              <w:t>4-03</w:t>
                            </w: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60288;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qzjsNUAAAAIAQAADwAAAAAAAAABACAAAAAiAAAAZHJzL2Rv&#10;d25yZXYueG1sUEsBAhQAFAAAAAgAh07iQDE7zCDLAQAAkgMAAA4AAAAAAAAAAQAgAAAAJAEAAGRy&#10;cy9lMm9Eb2MueG1sUEsFBgAAAAAGAAYAWQEAAGEFAAAAAA==&#10;">
                <v:fill on="t" focussize="0,0"/>
                <v:stroke on="f"/>
                <v:imagedata o:title=""/>
                <o:lock v:ext="edit" aspectratio="f"/>
                <v:textbox inset="0mm,0mm,0mm,0mm">
                  <w:txbxContent>
                    <w:p>
                      <w:pPr>
                        <w:pStyle w:val="67"/>
                        <w:spacing w:before="600"/>
                        <w:rPr>
                          <w:rFonts w:ascii="黑体" w:hAnsi="黑体" w:eastAsia="黑体"/>
                          <w:sz w:val="36"/>
                          <w:szCs w:val="36"/>
                        </w:rPr>
                      </w:pPr>
                      <w:r>
                        <w:rPr>
                          <w:rFonts w:hint="eastAsia" w:ascii="黑体" w:hAnsi="黑体" w:eastAsia="黑体"/>
                          <w:sz w:val="36"/>
                          <w:szCs w:val="36"/>
                        </w:rPr>
                        <w:t xml:space="preserve"> 讨论稿</w:t>
                      </w:r>
                    </w:p>
                    <w:p>
                      <w:pPr>
                        <w:pStyle w:val="67"/>
                        <w:spacing w:before="600"/>
                        <w:rPr>
                          <w:rFonts w:ascii="黑体" w:hAnsi="黑体" w:eastAsia="黑体"/>
                          <w:sz w:val="36"/>
                          <w:szCs w:val="36"/>
                        </w:rPr>
                      </w:pPr>
                      <w:r>
                        <w:rPr>
                          <w:rFonts w:hint="eastAsia" w:ascii="黑体" w:hAnsi="黑体" w:eastAsia="黑体"/>
                          <w:sz w:val="36"/>
                          <w:szCs w:val="36"/>
                        </w:rPr>
                        <w:t xml:space="preserve">  20</w:t>
                      </w:r>
                      <w:r>
                        <w:rPr>
                          <w:rFonts w:ascii="黑体" w:hAnsi="黑体" w:eastAsia="黑体"/>
                          <w:sz w:val="36"/>
                          <w:szCs w:val="36"/>
                        </w:rPr>
                        <w:t>2</w:t>
                      </w:r>
                      <w:r>
                        <w:rPr>
                          <w:rFonts w:hint="eastAsia" w:ascii="黑体" w:hAnsi="黑体" w:eastAsia="黑体"/>
                          <w:sz w:val="36"/>
                          <w:szCs w:val="36"/>
                        </w:rPr>
                        <w:t>4-03</w:t>
                      </w:r>
                    </w:p>
                  </w:txbxContent>
                </v:textbox>
                <w10:anchorlock/>
              </v:rect>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5"/>
                              <w:rPr>
                                <w:rFonts w:hAnsi="黑体" w:cs="黑体"/>
                                <w:sz w:val="44"/>
                                <w:szCs w:val="44"/>
                              </w:rPr>
                            </w:pPr>
                            <w:bookmarkStart w:id="78"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78"/>
                          <w:p>
                            <w:pPr>
                              <w:pStyle w:val="75"/>
                              <w:rPr>
                                <w:rFonts w:hAnsi="黑体" w:cs="黑体"/>
                                <w:szCs w:val="52"/>
                              </w:rPr>
                            </w:pPr>
                            <w:r>
                              <w:rPr>
                                <w:rFonts w:hint="eastAsia" w:hAnsi="黑体" w:cs="黑体"/>
                                <w:szCs w:val="52"/>
                              </w:rPr>
                              <w:t>冲击低温槽校准规范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61312;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kYo3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pPr>
                        <w:pStyle w:val="75"/>
                        <w:rPr>
                          <w:rFonts w:hAnsi="黑体" w:cs="黑体"/>
                          <w:sz w:val="44"/>
                          <w:szCs w:val="44"/>
                        </w:rPr>
                      </w:pPr>
                      <w:bookmarkStart w:id="78"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78"/>
                    <w:p>
                      <w:pPr>
                        <w:pStyle w:val="75"/>
                        <w:rPr>
                          <w:rFonts w:hAnsi="黑体" w:cs="黑体"/>
                          <w:szCs w:val="52"/>
                        </w:rPr>
                      </w:pPr>
                      <w:r>
                        <w:rPr>
                          <w:rFonts w:hint="eastAsia" w:hAnsi="黑体" w:cs="黑体"/>
                          <w:szCs w:val="52"/>
                        </w:rPr>
                        <w:t>冲击低温槽校准规范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bookmarkEnd w:id="0"/>
    </w:p>
    <w:p>
      <w:pPr>
        <w:pStyle w:val="72"/>
        <w:numPr>
          <w:ilvl w:val="0"/>
          <w:numId w:val="0"/>
        </w:numPr>
        <w:ind w:left="840" w:hanging="420"/>
        <w:jc w:val="center"/>
        <w:rPr>
          <w:b/>
        </w:rPr>
      </w:pPr>
    </w:p>
    <w:p>
      <w:pPr>
        <w:pStyle w:val="58"/>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pStyle w:val="74"/>
        <w:numPr>
          <w:ilvl w:val="0"/>
          <w:numId w:val="11"/>
        </w:numPr>
        <w:tabs>
          <w:tab w:val="left" w:pos="426"/>
        </w:tabs>
        <w:spacing w:before="312" w:beforeLines="100" w:after="312" w:afterLines="100"/>
        <w:ind w:left="420" w:hangingChars="200"/>
        <w:jc w:val="left"/>
      </w:pPr>
      <w:bookmarkStart w:id="2" w:name="_Toc464728891"/>
      <w:r>
        <w:rPr>
          <w:rFonts w:hint="eastAsia"/>
        </w:rPr>
        <w:t>工作简况</w:t>
      </w:r>
      <w:bookmarkEnd w:id="2"/>
    </w:p>
    <w:p>
      <w:pPr>
        <w:pStyle w:val="61"/>
        <w:numPr>
          <w:ilvl w:val="0"/>
          <w:numId w:val="0"/>
        </w:numPr>
        <w:spacing w:before="156" w:after="156" w:line="300" w:lineRule="auto"/>
        <w:contextualSpacing/>
      </w:pPr>
      <w:bookmarkStart w:id="3" w:name="_Toc464728892"/>
      <w:bookmarkStart w:id="4" w:name="_Toc456592524"/>
      <w:r>
        <w:rPr>
          <w:rFonts w:hint="eastAsia"/>
        </w:rPr>
        <w:t>1.立项目的</w:t>
      </w:r>
      <w:bookmarkEnd w:id="3"/>
      <w:bookmarkEnd w:id="4"/>
    </w:p>
    <w:p>
      <w:pPr>
        <w:spacing w:line="300" w:lineRule="auto"/>
        <w:ind w:firstLine="420" w:firstLineChars="200"/>
      </w:pPr>
      <w:bookmarkStart w:id="5" w:name="_Toc464728896"/>
      <w:r>
        <w:t>冲击试验低温槽，是一种与</w:t>
      </w:r>
      <w:r>
        <w:fldChar w:fldCharType="begin"/>
      </w:r>
      <w:r>
        <w:instrText xml:space="preserve"> HYPERLINK "https://baike.baidu.com/item/%E5%86%B2%E5%87%BB%E8%AF%95%E9%AA%8C%E6%9C%BA/3468557?fromModule=lemma_inlink" \t "_blank" </w:instrText>
      </w:r>
      <w:r>
        <w:fldChar w:fldCharType="separate"/>
      </w:r>
      <w:r>
        <w:rPr>
          <w:rStyle w:val="51"/>
        </w:rPr>
        <w:t>冲击试验机</w:t>
      </w:r>
      <w:r>
        <w:fldChar w:fldCharType="end"/>
      </w:r>
      <w:r>
        <w:t>配套为其试样提供低温环境的一种专用试验设备，广泛应用于石油化工、冶金、</w:t>
      </w:r>
      <w:r>
        <w:fldChar w:fldCharType="begin"/>
      </w:r>
      <w:r>
        <w:instrText xml:space="preserve"> HYPERLINK "https://baike.baidu.com/item/%E9%94%85%E7%82%89%E5%8E%8B%E5%8A%9B%E5%AE%B9%E5%99%A8/9347287?fromModule=lemma_inlink" \t "_blank" </w:instrText>
      </w:r>
      <w:r>
        <w:fldChar w:fldCharType="separate"/>
      </w:r>
      <w:r>
        <w:rPr>
          <w:rStyle w:val="51"/>
        </w:rPr>
        <w:t>锅炉压力容器</w:t>
      </w:r>
      <w:r>
        <w:rPr>
          <w:rStyle w:val="51"/>
        </w:rPr>
        <w:fldChar w:fldCharType="end"/>
      </w:r>
      <w:r>
        <w:t>、钢铁、钢管、五金、铸造、泵、阀门、紧固件、车船、机械制造、航空航天及科研等行业部门的低温理化试验。</w:t>
      </w:r>
    </w:p>
    <w:p>
      <w:pPr>
        <w:pStyle w:val="61"/>
        <w:numPr>
          <w:ilvl w:val="0"/>
          <w:numId w:val="0"/>
        </w:numPr>
        <w:spacing w:before="156" w:after="156" w:line="300" w:lineRule="auto"/>
        <w:contextualSpacing/>
      </w:pPr>
      <w:r>
        <w:rPr>
          <w:rFonts w:hint="eastAsia"/>
        </w:rPr>
        <w:t>2.任务来源</w:t>
      </w:r>
      <w:bookmarkEnd w:id="5"/>
    </w:p>
    <w:p>
      <w:pPr>
        <w:spacing w:line="300" w:lineRule="auto"/>
        <w:ind w:firstLine="420" w:firstLineChars="200"/>
        <w:contextualSpacing/>
        <w:jc w:val="left"/>
        <w:rPr>
          <w:color w:val="auto"/>
          <w:szCs w:val="21"/>
        </w:rPr>
      </w:pPr>
      <w:r>
        <w:rPr>
          <w:rFonts w:hint="eastAsia"/>
          <w:color w:val="auto"/>
          <w:szCs w:val="21"/>
        </w:rPr>
        <w:t>为保证用于试验</w:t>
      </w:r>
      <w:r>
        <w:rPr>
          <w:color w:val="auto"/>
        </w:rPr>
        <w:t>冲击试验低温槽</w:t>
      </w:r>
      <w:r>
        <w:rPr>
          <w:rFonts w:hint="eastAsia"/>
          <w:color w:val="auto"/>
          <w:szCs w:val="21"/>
        </w:rPr>
        <w:t>的量值准确、可靠，适应我国有色金属行业的快速发展和满足国内外市场的需要，工业和信息化部以工信厅下达了《工业和信息化部办公厅关于印发2023年行业计量技术规范制修订计划的通知》</w:t>
      </w:r>
      <w:r>
        <w:rPr>
          <w:rFonts w:hint="eastAsia" w:hAnsi="宋体"/>
          <w:bCs/>
          <w:color w:val="auto"/>
          <w:szCs w:val="21"/>
        </w:rPr>
        <w:t>（工信厅科函［</w:t>
      </w:r>
      <w:r>
        <w:rPr>
          <w:rFonts w:hAnsi="宋体"/>
          <w:bCs/>
          <w:color w:val="auto"/>
          <w:szCs w:val="21"/>
        </w:rPr>
        <w:t>20</w:t>
      </w:r>
      <w:r>
        <w:rPr>
          <w:rFonts w:hint="eastAsia" w:hAnsi="宋体"/>
          <w:bCs/>
          <w:color w:val="auto"/>
          <w:szCs w:val="21"/>
        </w:rPr>
        <w:t>23］476号）</w:t>
      </w:r>
      <w:r>
        <w:rPr>
          <w:rFonts w:hint="eastAsia"/>
          <w:color w:val="auto"/>
          <w:szCs w:val="21"/>
        </w:rPr>
        <w:t>，其计划项目代号为：JJFZ(有色金属)016-2024，计划完成年限为2025年。</w:t>
      </w:r>
    </w:p>
    <w:p>
      <w:pPr>
        <w:pStyle w:val="61"/>
        <w:numPr>
          <w:ilvl w:val="0"/>
          <w:numId w:val="0"/>
        </w:numPr>
        <w:spacing w:before="156" w:after="156" w:line="300" w:lineRule="auto"/>
        <w:contextualSpacing/>
        <w:rPr>
          <w:color w:val="auto"/>
        </w:rPr>
      </w:pPr>
      <w:bookmarkStart w:id="6" w:name="_Toc464728898"/>
      <w:bookmarkStart w:id="7" w:name="_Toc462884342"/>
      <w:r>
        <w:rPr>
          <w:rFonts w:hint="eastAsia"/>
          <w:color w:val="auto"/>
        </w:rPr>
        <w:t>3.项目编制组单位简况</w:t>
      </w:r>
      <w:bookmarkEnd w:id="6"/>
      <w:bookmarkEnd w:id="7"/>
      <w:r>
        <w:rPr>
          <w:rFonts w:hint="eastAsia"/>
          <w:color w:val="auto"/>
        </w:rPr>
        <w:t xml:space="preserve">      </w:t>
      </w:r>
    </w:p>
    <w:p>
      <w:pPr>
        <w:pStyle w:val="60"/>
        <w:numPr>
          <w:ilvl w:val="0"/>
          <w:numId w:val="0"/>
        </w:numPr>
        <w:spacing w:before="156" w:beforeLines="50" w:after="156" w:afterLines="50" w:line="240" w:lineRule="auto"/>
        <w:rPr>
          <w:color w:val="auto"/>
        </w:rPr>
      </w:pPr>
      <w:bookmarkStart w:id="8" w:name="_Toc464728899"/>
      <w:bookmarkStart w:id="9" w:name="_Toc462884343"/>
      <w:r>
        <w:rPr>
          <w:rFonts w:hint="eastAsia"/>
          <w:color w:val="auto"/>
        </w:rPr>
        <w:t>3.1编制组成员单位</w:t>
      </w:r>
      <w:bookmarkEnd w:id="8"/>
      <w:bookmarkEnd w:id="9"/>
    </w:p>
    <w:p>
      <w:pPr>
        <w:widowControl/>
        <w:autoSpaceDE w:val="0"/>
        <w:autoSpaceDN w:val="0"/>
        <w:spacing w:line="360" w:lineRule="auto"/>
        <w:ind w:firstLine="420" w:firstLineChars="200"/>
        <w:rPr>
          <w:szCs w:val="21"/>
        </w:rPr>
      </w:pPr>
      <w:bookmarkStart w:id="10" w:name="_Toc462884344"/>
      <w:bookmarkStart w:id="11" w:name="_Toc464728900"/>
      <w:r>
        <w:rPr>
          <w:rFonts w:hint="eastAsia"/>
          <w:szCs w:val="21"/>
        </w:rPr>
        <w:t>本规范的编制组单位为：西安汉唐分析检测有限公司</w:t>
      </w:r>
      <w:r>
        <w:rPr>
          <w:rFonts w:hint="eastAsia"/>
          <w:szCs w:val="21"/>
          <w:lang w:eastAsia="zh-CN"/>
        </w:rPr>
        <w:t>、</w:t>
      </w:r>
      <w:r>
        <w:rPr>
          <w:rFonts w:hint="eastAsia"/>
          <w:szCs w:val="21"/>
          <w:lang w:val="en-US" w:eastAsia="zh-CN"/>
        </w:rPr>
        <w:t>中国石油集团工程材料研究院有限公司、中国船舶集团有限公司第七二五研究所、西安摩尔石油工程实验室股份有限公司、广东省阳江市质量计量监督检测所</w:t>
      </w:r>
      <w:r>
        <w:rPr>
          <w:rFonts w:hint="eastAsia"/>
          <w:szCs w:val="21"/>
        </w:rPr>
        <w:t>。</w:t>
      </w:r>
    </w:p>
    <w:bookmarkEnd w:id="10"/>
    <w:bookmarkEnd w:id="11"/>
    <w:p>
      <w:pPr>
        <w:pStyle w:val="60"/>
        <w:numPr>
          <w:ilvl w:val="0"/>
          <w:numId w:val="0"/>
        </w:numPr>
        <w:spacing w:before="156" w:beforeLines="50" w:after="156" w:afterLines="50"/>
        <w:contextualSpacing/>
        <w:rPr>
          <w:rFonts w:hAnsi="黑体"/>
          <w:color w:val="auto"/>
        </w:rPr>
      </w:pPr>
      <w:r>
        <w:rPr>
          <w:rFonts w:hint="eastAsia" w:hAnsi="黑体"/>
          <w:color w:val="auto"/>
        </w:rPr>
        <w:t>3.2主编单位简介</w:t>
      </w:r>
    </w:p>
    <w:p>
      <w:pPr>
        <w:pStyle w:val="59"/>
        <w:numPr>
          <w:ilvl w:val="0"/>
          <w:numId w:val="0"/>
        </w:numPr>
        <w:spacing w:before="156" w:beforeLines="50" w:after="156" w:afterLines="50"/>
        <w:contextualSpacing/>
        <w:rPr>
          <w:color w:val="auto"/>
        </w:rPr>
      </w:pPr>
      <w:r>
        <w:rPr>
          <w:rFonts w:hint="eastAsia"/>
          <w:color w:val="auto"/>
        </w:rPr>
        <w:t>3.2.1西安汉唐分析检测有限公司</w:t>
      </w:r>
    </w:p>
    <w:p>
      <w:pPr>
        <w:spacing w:line="360" w:lineRule="auto"/>
        <w:ind w:firstLine="420" w:firstLineChars="200"/>
        <w:rPr>
          <w:szCs w:val="21"/>
        </w:rPr>
      </w:pPr>
      <w:r>
        <w:rPr>
          <w:rFonts w:hint="eastAsia"/>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pPr>
        <w:spacing w:line="360" w:lineRule="auto"/>
        <w:ind w:firstLine="420" w:firstLineChars="200"/>
        <w:rPr>
          <w:szCs w:val="21"/>
        </w:rPr>
      </w:pPr>
      <w:r>
        <w:rPr>
          <w:rFonts w:hint="eastAsia"/>
          <w:szCs w:val="21"/>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pPr>
        <w:spacing w:line="360" w:lineRule="auto"/>
        <w:ind w:firstLine="420" w:firstLineChars="200"/>
        <w:rPr>
          <w:szCs w:val="21"/>
        </w:rPr>
      </w:pPr>
      <w:r>
        <w:rPr>
          <w:rFonts w:hint="eastAsia"/>
          <w:szCs w:val="21"/>
        </w:rPr>
        <w:t>近10年起草有色金属国家/行业规范共80余项、发表论文120余篇、授权专利30余项。先后荣获中国有色金属工业一等奖、二等奖20余次。</w:t>
      </w:r>
    </w:p>
    <w:p>
      <w:pPr>
        <w:spacing w:line="360" w:lineRule="auto"/>
        <w:ind w:firstLine="420" w:firstLineChars="200"/>
        <w:contextualSpacing/>
        <w:jc w:val="left"/>
        <w:rPr>
          <w:rFonts w:hint="eastAsia"/>
          <w:szCs w:val="21"/>
        </w:rPr>
      </w:pPr>
      <w:r>
        <w:rPr>
          <w:rFonts w:hint="eastAsia"/>
          <w:szCs w:val="21"/>
        </w:rPr>
        <w:t>本单位积极组织编制组各次工作会议，开展相关的校准，有效组织参编单位多次对规范的各版《征求意见稿》进行认真的讨论和审议，提出大量有益的意见和建议，在编制组中发挥了牵头作用。</w:t>
      </w:r>
    </w:p>
    <w:p>
      <w:pPr>
        <w:pStyle w:val="59"/>
        <w:numPr>
          <w:ilvl w:val="0"/>
          <w:numId w:val="0"/>
        </w:numPr>
        <w:spacing w:before="156" w:beforeLines="50" w:after="156" w:afterLines="50"/>
        <w:contextualSpacing/>
        <w:rPr>
          <w:rFonts w:hint="eastAsia"/>
          <w:szCs w:val="21"/>
          <w:lang w:val="en-US" w:eastAsia="zh-CN"/>
        </w:rPr>
      </w:pPr>
      <w:r>
        <w:rPr>
          <w:rFonts w:hint="eastAsia"/>
          <w:color w:val="auto"/>
          <w:lang w:val="en-US" w:eastAsia="zh-CN"/>
        </w:rPr>
        <w:t>3.2.2</w:t>
      </w:r>
      <w:r>
        <w:rPr>
          <w:rFonts w:hint="eastAsia"/>
          <w:szCs w:val="21"/>
          <w:lang w:val="en-US" w:eastAsia="zh-CN"/>
        </w:rPr>
        <w:t>中国石油集团工程材料研究院有限公司</w:t>
      </w:r>
    </w:p>
    <w:p>
      <w:pPr>
        <w:spacing w:line="360" w:lineRule="auto"/>
        <w:ind w:firstLine="420" w:firstLineChars="200"/>
        <w:contextualSpacing/>
        <w:jc w:val="left"/>
        <w:rPr>
          <w:szCs w:val="21"/>
        </w:rPr>
      </w:pPr>
      <w:r>
        <w:rPr>
          <w:szCs w:val="21"/>
        </w:rPr>
        <w:t>中国石油集团工程材料研究院有限公司组建于1981年，坐落于古城西安高新技术开发区，是中国石油集团（CNPC）直属科研机构，也是国内石油行业在石油管工程技术领域唯一集“科学研究、质量监督、工程技术服务”为一体的综合性技术中心与核心科研机构，是为中国石油集团石油管工程技术提供决策支持的“参谋部”，开展石油管工程技术创新的“研发中心”，保障石油管质量安全的“检测评价中心”，为重大管道工程和油气田勘探开发项目提供石油管技术支持与服务的“技术中心”。</w:t>
      </w:r>
    </w:p>
    <w:p>
      <w:pPr>
        <w:spacing w:line="360" w:lineRule="auto"/>
        <w:ind w:firstLine="420" w:firstLineChars="200"/>
        <w:contextualSpacing/>
        <w:jc w:val="left"/>
        <w:rPr>
          <w:szCs w:val="21"/>
        </w:rPr>
      </w:pPr>
      <w:r>
        <w:rPr>
          <w:szCs w:val="21"/>
        </w:rPr>
        <w:t>工程材料研究院有限公司秉承着“创新、致远、严谨、公正”的理念，致力于科技创新。建院四十年来完成国家和省部级科研项目400余项，其中获国家级科技奖励16项，省部级科技奖励150余项（次），专利授权656项（其中发明专利333项），发表论文2900余篇，注册软件95套，制修订国际、国家、行业、企业标准400余项（其中国际标准6项，国家标准40项），参与制修订ISO、API等标准多项。完成质量监督项目近10000余项，失效分析项目1500余项，为西气东输管线、陕京管线、中亚管线等国家重大管道项目建设及塔里木、长庆、新疆、西南等重点油气田勘探开发提供了重要的技术保障。</w:t>
      </w:r>
    </w:p>
    <w:p>
      <w:pPr>
        <w:pStyle w:val="59"/>
        <w:numPr>
          <w:ilvl w:val="0"/>
          <w:numId w:val="0"/>
        </w:numPr>
        <w:spacing w:before="156" w:beforeLines="50" w:after="156" w:afterLines="50"/>
        <w:contextualSpacing/>
        <w:rPr>
          <w:rFonts w:hint="eastAsia"/>
          <w:color w:val="auto"/>
          <w:lang w:val="en-US" w:eastAsia="zh-CN"/>
        </w:rPr>
      </w:pPr>
      <w:r>
        <w:rPr>
          <w:rFonts w:hint="eastAsia"/>
          <w:color w:val="auto"/>
          <w:lang w:val="en-US" w:eastAsia="zh-CN"/>
        </w:rPr>
        <w:t>3.2.3中国船舶集团有限公司第七二五研究所</w:t>
      </w:r>
    </w:p>
    <w:p>
      <w:pPr>
        <w:spacing w:line="360" w:lineRule="auto"/>
        <w:ind w:firstLine="420" w:firstLineChars="200"/>
        <w:contextualSpacing/>
        <w:jc w:val="left"/>
        <w:rPr>
          <w:szCs w:val="21"/>
        </w:rPr>
      </w:pPr>
      <w:r>
        <w:rPr>
          <w:rFonts w:hint="eastAsia"/>
          <w:szCs w:val="21"/>
        </w:rPr>
        <w:t>中国船舶集团有限公司第七二五研究所(以下简称“七二五所”)成立于1961年，隶属中国船舶集团有限公司，专业从事舰船材料与工艺及应用性研究。七二五所(事业单位)开办资金5307万元，(企业营业执照)注册资金81599万元。</w:t>
      </w:r>
    </w:p>
    <w:p>
      <w:pPr>
        <w:spacing w:line="360" w:lineRule="auto"/>
        <w:ind w:firstLine="420" w:firstLineChars="200"/>
        <w:contextualSpacing/>
        <w:jc w:val="left"/>
        <w:rPr>
          <w:szCs w:val="21"/>
        </w:rPr>
      </w:pPr>
      <w:r>
        <w:rPr>
          <w:rFonts w:hint="eastAsia"/>
          <w:szCs w:val="21"/>
        </w:rPr>
        <w:t>科研方面：涉及船体结构材料、有色金属材料、非金属材料、腐蚀与防护技术、特种材料、焊接工艺、自然环境试验等多个重点领域。目前,七二五所拥有海洋腐蚀与防护国防科技重点实验室等8个国家级创新平台、4个海洋环境试验站、4个国家级检测认证中心、25个省部级及6个市级创新平台;并拥有材料学和材料加工工程硕士学位授权点、材料学博士学位授权点和博士后工作站。</w:t>
      </w:r>
    </w:p>
    <w:p>
      <w:pPr>
        <w:spacing w:line="360" w:lineRule="auto"/>
        <w:ind w:firstLine="420" w:firstLineChars="200"/>
        <w:contextualSpacing/>
        <w:jc w:val="left"/>
        <w:rPr>
          <w:szCs w:val="21"/>
        </w:rPr>
      </w:pPr>
      <w:r>
        <w:rPr>
          <w:rFonts w:hint="eastAsia"/>
          <w:szCs w:val="21"/>
        </w:rPr>
        <w:t>科技产业方面：七二五所秉承“精诚团结、求实创新、志存高远、追求卓越”的精神，致力于构建“国内领先、国际一流的集科研和多个高技术产业为一体的高科技产业集团”，持续推进科技成果转化和高新技术产业化，初步建成了领先的高科技产业集团。主要产品有：金属波纹管膨胀节、特种材料压力容器、管道和桥梁支座、特种材料铸锻件、特种焊接材料、金属爆炸复合材料、钛合金构件和铸件、海绵钛、防腐防污产品、非金属材料制品、风电叶片、船舶压载水系统、海水淡化系统等。</w:t>
      </w:r>
    </w:p>
    <w:p>
      <w:pPr>
        <w:spacing w:line="360" w:lineRule="auto"/>
        <w:ind w:firstLine="420" w:firstLineChars="200"/>
        <w:contextualSpacing/>
        <w:jc w:val="left"/>
        <w:rPr>
          <w:rFonts w:hint="eastAsia"/>
          <w:lang w:val="en-US" w:eastAsia="zh-CN"/>
        </w:rPr>
      </w:pPr>
      <w:r>
        <w:rPr>
          <w:rFonts w:hint="eastAsia"/>
          <w:szCs w:val="21"/>
        </w:rPr>
        <w:t>近年来，七二五所获得的主要荣誉：中国质量奖提名奖、全国质量标杆、“中国制造业十大创新企业”、“创建国有企业四好领导班子先进集体”、“中央企业先进集体”、“中央企业先进党组织”、“全国模范职工之家”、“全国五四红旗团委”、“全国文明单位”、“全国无偿献血促进奖(单位奖)”、“首届中国质量奖提名奖”、“第十七届全国质量奖”、国家“守合同重信用”企业等荣誉称号。</w:t>
      </w:r>
    </w:p>
    <w:p>
      <w:pPr>
        <w:pStyle w:val="59"/>
        <w:numPr>
          <w:ilvl w:val="0"/>
          <w:numId w:val="0"/>
        </w:numPr>
        <w:spacing w:before="156" w:beforeLines="50" w:after="156" w:afterLines="50"/>
        <w:contextualSpacing/>
        <w:rPr>
          <w:rFonts w:hint="eastAsia"/>
          <w:color w:val="auto"/>
          <w:lang w:val="en-US" w:eastAsia="zh-CN"/>
        </w:rPr>
      </w:pPr>
      <w:r>
        <w:rPr>
          <w:rFonts w:hint="eastAsia"/>
          <w:color w:val="auto"/>
          <w:lang w:val="en-US" w:eastAsia="zh-CN"/>
        </w:rPr>
        <w:t>3.2.4西安摩尔石油工程实验室股份有限公司</w:t>
      </w:r>
    </w:p>
    <w:p>
      <w:pPr>
        <w:spacing w:line="360" w:lineRule="auto"/>
        <w:ind w:firstLine="420" w:firstLineChars="200"/>
        <w:contextualSpacing/>
        <w:jc w:val="left"/>
        <w:rPr>
          <w:rFonts w:hint="eastAsia"/>
          <w:szCs w:val="21"/>
          <w:lang w:val="en-US" w:eastAsia="zh-CN"/>
        </w:rPr>
      </w:pPr>
      <w:r>
        <w:rPr>
          <w:rFonts w:hint="eastAsia"/>
          <w:szCs w:val="21"/>
          <w:lang w:val="en-US" w:eastAsia="zh-CN"/>
        </w:rPr>
        <w:t>西安摩尔石油工程实验室股份有限公司成立于2005年，地处西安市高新技术开发区，是提供材料与产品应用研究、试验分析、检验检测及技术服务的专业机构。</w:t>
      </w:r>
    </w:p>
    <w:p>
      <w:pPr>
        <w:spacing w:line="360" w:lineRule="auto"/>
        <w:ind w:firstLine="420" w:firstLineChars="200"/>
        <w:contextualSpacing/>
        <w:jc w:val="left"/>
        <w:rPr>
          <w:rFonts w:hint="eastAsia"/>
          <w:szCs w:val="21"/>
          <w:lang w:val="en-US" w:eastAsia="zh-CN"/>
        </w:rPr>
      </w:pPr>
      <w:r>
        <w:rPr>
          <w:rFonts w:hint="eastAsia"/>
          <w:szCs w:val="21"/>
          <w:lang w:val="en-US" w:eastAsia="zh-CN"/>
        </w:rPr>
        <w:t>主要业务包括工程材料腐蚀与防护研究、力学分析与管柱设计、失效分析与预防、材料理化性能检验试验、腐蚀试验、磨损试验、冲蚀试验、防腐层评价、石油天然气行业设备监理、无损检测、阴极保护、腐蚀监测等。</w:t>
      </w:r>
      <w:bookmarkStart w:id="79" w:name="_GoBack"/>
      <w:bookmarkEnd w:id="79"/>
    </w:p>
    <w:p>
      <w:pPr>
        <w:spacing w:line="360" w:lineRule="auto"/>
        <w:ind w:firstLine="420" w:firstLineChars="200"/>
        <w:contextualSpacing/>
        <w:jc w:val="left"/>
        <w:rPr>
          <w:rFonts w:hint="eastAsia"/>
          <w:szCs w:val="21"/>
          <w:lang w:val="en-US" w:eastAsia="zh-CN"/>
        </w:rPr>
      </w:pPr>
      <w:r>
        <w:rPr>
          <w:rFonts w:hint="eastAsia"/>
          <w:szCs w:val="21"/>
          <w:lang w:val="en-US" w:eastAsia="zh-CN"/>
        </w:rPr>
        <w:t>摩尔股份通过了美国石油协会API SPEC Q1及ISO9001质量管理体系认证、GB/T28001/ OHSAS18001职业健康安全管理体系认证、GB/T14001/ISO14001环境管理体系认证、Q/SY 1002.1健康安全环境管理体系认证。取得了中国合格评定国家认可委员会实验室认可（CNAS）证书、陕西省质量技术监督局计量认证（CMA）证书、中华人民共和国特种设备检验检测机构核准证无损检测证书和甲级设备监理单位资格证书。</w:t>
      </w:r>
    </w:p>
    <w:p>
      <w:pPr>
        <w:spacing w:line="360" w:lineRule="auto"/>
        <w:ind w:firstLine="420" w:firstLineChars="200"/>
        <w:contextualSpacing/>
        <w:jc w:val="left"/>
        <w:rPr>
          <w:rFonts w:hint="eastAsia"/>
          <w:szCs w:val="21"/>
          <w:lang w:val="en-US" w:eastAsia="zh-CN"/>
        </w:rPr>
      </w:pPr>
      <w:r>
        <w:rPr>
          <w:rFonts w:hint="eastAsia"/>
          <w:szCs w:val="21"/>
          <w:lang w:val="en-US" w:eastAsia="zh-CN"/>
        </w:rPr>
        <w:t>摩尔股份积极参与国内外专业学会活动，现为美国腐蚀工程师协会（NACE）西安分会联络处，中国机械工程学会失效分析分会网点单位，中国设备监理协会常务理事单位，中国工业防腐蚀技术协会理事单位，陕西省机械工程学会理事单位，陕西省设备监理协会理事单位，中国石油工程建设协会防腐保温技术专业委员会会员单位。</w:t>
      </w:r>
    </w:p>
    <w:p>
      <w:pPr>
        <w:pStyle w:val="59"/>
        <w:numPr>
          <w:ilvl w:val="0"/>
          <w:numId w:val="0"/>
        </w:numPr>
        <w:spacing w:before="156" w:beforeLines="50" w:after="156" w:afterLines="50"/>
        <w:contextualSpacing/>
        <w:rPr>
          <w:rFonts w:hint="eastAsia"/>
          <w:color w:val="auto"/>
          <w:lang w:val="en-US" w:eastAsia="zh-CN"/>
        </w:rPr>
      </w:pPr>
      <w:r>
        <w:rPr>
          <w:rFonts w:hint="eastAsia"/>
          <w:color w:val="auto"/>
          <w:lang w:val="en-US" w:eastAsia="zh-CN"/>
        </w:rPr>
        <w:t>3.2.5广东省阳江市质量计量监督检测所</w:t>
      </w:r>
    </w:p>
    <w:p>
      <w:pPr>
        <w:spacing w:line="360" w:lineRule="auto"/>
        <w:ind w:firstLine="420" w:firstLineChars="200"/>
        <w:contextualSpacing/>
        <w:jc w:val="left"/>
        <w:rPr>
          <w:rFonts w:hint="eastAsia"/>
          <w:szCs w:val="21"/>
        </w:rPr>
      </w:pPr>
      <w:r>
        <w:rPr>
          <w:rFonts w:hint="eastAsia"/>
          <w:szCs w:val="21"/>
        </w:rPr>
        <w:t>广东省阳江市质量计量监督检测所于2003年8月以粤机编办[2003]191号文件为依据在原广东省阳江市产品质量监督检验所和广东省阳江市计量测试所的基础上合并成立，2015年后属原省质监局直属地市级质检及计量技术机构。</w:t>
      </w:r>
    </w:p>
    <w:p>
      <w:pPr>
        <w:spacing w:line="360" w:lineRule="auto"/>
        <w:ind w:firstLine="420" w:firstLineChars="200"/>
        <w:contextualSpacing/>
        <w:jc w:val="left"/>
        <w:rPr>
          <w:rFonts w:hint="default"/>
          <w:szCs w:val="21"/>
          <w:lang w:val="en-US" w:eastAsia="zh-CN"/>
        </w:rPr>
      </w:pPr>
      <w:r>
        <w:rPr>
          <w:rFonts w:hint="eastAsia"/>
          <w:szCs w:val="21"/>
        </w:rPr>
        <w:t>广东省阳江市质量计量监督检测所的主要任务是受上级主管部门委托，对本行政区域的产品（含食品相关产品）质量进行监督抽查检验、合格率调查、风险监测等；承担产品质量仲裁检验和委托检验，指导企业建立健全检验制度，统一检验方法，完善检测手段；受有关部门委托承担新产品投产鉴定检验和优质产品评选检验、采标验收检验以及质量认证检验等；承担其他检验工作；主导或参与产品标准的制订、修订和宣传贯彻工作；承担本行政区域内最高计量标准和社会公用计量标准研究、建立、保存工作；开展量值传递；执行计量检定规程，依法执行强制检定；提供计量检定、校准、测试服务；受上级主管部门委托，承担计量检定人员培训工作。</w:t>
      </w:r>
    </w:p>
    <w:p>
      <w:pPr>
        <w:pStyle w:val="61"/>
        <w:numPr>
          <w:ilvl w:val="0"/>
          <w:numId w:val="0"/>
        </w:numPr>
        <w:spacing w:before="156" w:after="156" w:line="300" w:lineRule="auto"/>
        <w:contextualSpacing/>
      </w:pPr>
      <w:bookmarkStart w:id="12" w:name="_Toc462884357"/>
      <w:bookmarkStart w:id="13" w:name="_Toc464728913"/>
      <w:r>
        <w:rPr>
          <w:rFonts w:hint="eastAsia"/>
        </w:rPr>
        <w:t>4.主要工作过程</w:t>
      </w:r>
      <w:bookmarkEnd w:id="12"/>
      <w:bookmarkEnd w:id="13"/>
    </w:p>
    <w:p>
      <w:pPr>
        <w:spacing w:line="360" w:lineRule="auto"/>
        <w:ind w:firstLine="420" w:firstLineChars="200"/>
        <w:rPr>
          <w:bCs/>
        </w:rPr>
      </w:pPr>
      <w:bookmarkStart w:id="14" w:name="_Toc464728924"/>
      <w:r>
        <w:rPr>
          <w:rFonts w:hint="eastAsia"/>
          <w:bCs/>
        </w:rPr>
        <w:t>西安汉唐分析检测有限公司接到有色金属行业计量技术委员会转发下达的制定任务后，成立了计量规范编制组，对计量技术规范编写工作进行了部署和分工，制定了制定原则及计划工作。</w:t>
      </w:r>
    </w:p>
    <w:p>
      <w:pPr>
        <w:spacing w:line="360" w:lineRule="auto"/>
        <w:ind w:firstLine="420" w:firstLineChars="200"/>
        <w:rPr>
          <w:bCs/>
        </w:rPr>
      </w:pPr>
      <w:r>
        <w:rPr>
          <w:rFonts w:hint="eastAsia"/>
          <w:bCs/>
        </w:rPr>
        <w:t>2023年7月成立了计量规范编制组，明确编制组成员各自的工作内容及任务，对被校对象的使用单位进行了校准需求调研，收集相关资料。</w:t>
      </w:r>
    </w:p>
    <w:p>
      <w:pPr>
        <w:spacing w:line="360" w:lineRule="auto"/>
        <w:ind w:firstLine="420" w:firstLineChars="200"/>
        <w:rPr>
          <w:bCs/>
        </w:rPr>
      </w:pPr>
      <w:r>
        <w:rPr>
          <w:rFonts w:hint="eastAsia"/>
          <w:bCs/>
        </w:rPr>
        <w:t>2023年8月~2024年</w:t>
      </w:r>
      <w:r>
        <w:rPr>
          <w:rFonts w:hint="eastAsia"/>
          <w:bCs/>
          <w:lang w:val="en-US" w:eastAsia="zh-CN"/>
        </w:rPr>
        <w:t>6</w:t>
      </w:r>
      <w:r>
        <w:rPr>
          <w:rFonts w:hint="eastAsia"/>
          <w:bCs/>
        </w:rPr>
        <w:t>月编制组成员对校准规范中的计量特性及校准方法进行了讨论，确定了校准项目及方法，对关键技术指标提出了修改意见最终形成讨论稿。</w:t>
      </w:r>
    </w:p>
    <w:p>
      <w:pPr>
        <w:pStyle w:val="74"/>
        <w:numPr>
          <w:ilvl w:val="0"/>
          <w:numId w:val="11"/>
        </w:numPr>
        <w:tabs>
          <w:tab w:val="left" w:pos="426"/>
        </w:tabs>
        <w:spacing w:before="312" w:beforeLines="100" w:after="312" w:afterLines="100"/>
        <w:ind w:left="420" w:hangingChars="200"/>
        <w:jc w:val="left"/>
      </w:pPr>
      <w:r>
        <w:rPr>
          <w:rFonts w:hint="eastAsia"/>
        </w:rPr>
        <w:t>规范编制原则和确定主要内容</w:t>
      </w:r>
      <w:bookmarkEnd w:id="14"/>
    </w:p>
    <w:p>
      <w:pPr>
        <w:pStyle w:val="79"/>
      </w:pPr>
      <w:bookmarkStart w:id="15" w:name="_Toc464728925"/>
      <w:r>
        <w:rPr>
          <w:rFonts w:hint="eastAsia"/>
        </w:rPr>
        <w:t>编制原则</w:t>
      </w:r>
      <w:bookmarkEnd w:id="15"/>
    </w:p>
    <w:p>
      <w:pPr>
        <w:pStyle w:val="58"/>
      </w:pPr>
      <w:bookmarkStart w:id="16" w:name="_Toc464728926"/>
      <w:r>
        <w:rPr>
          <w:rFonts w:hint="eastAsia"/>
        </w:rPr>
        <w:t>本规范是以</w:t>
      </w:r>
      <w:r>
        <w:t>JJF 1071-2010</w:t>
      </w:r>
      <w:r>
        <w:rPr>
          <w:rFonts w:hint="eastAsia"/>
        </w:rPr>
        <w:t>《国家计量校准规范编写规则》、JJF 1001-2011《通用计量术语及定义》和JJF 1059.1-2012《测量不确定度评定与表示》为基础性系列规范进行编写。</w:t>
      </w:r>
    </w:p>
    <w:p>
      <w:pPr>
        <w:pStyle w:val="58"/>
      </w:pPr>
      <w:r>
        <w:rPr>
          <w:rFonts w:hint="eastAsia"/>
        </w:rPr>
        <w:t>本规范引用</w:t>
      </w:r>
      <w:r>
        <w:t>GB/T 229金属材料</w:t>
      </w:r>
      <w:r>
        <w:rPr>
          <w:rFonts w:hint="eastAsia"/>
        </w:rPr>
        <w:t xml:space="preserve">  夏比摆锤冲击试验方法，</w:t>
      </w:r>
      <w:r>
        <w:t>GB / T26808</w:t>
      </w:r>
      <w:r>
        <w:rPr>
          <w:rFonts w:hint="eastAsia"/>
        </w:rPr>
        <w:t xml:space="preserve"> 恒温槽与恒温循环装置 低温恒温槽，JJF 2019  液体恒温试验设备温度性能测试规范</w:t>
      </w:r>
      <w:r>
        <w:t>等相关内容。</w:t>
      </w:r>
    </w:p>
    <w:p>
      <w:pPr>
        <w:pStyle w:val="79"/>
        <w:rPr>
          <w:rFonts w:ascii="宋体" w:hAnsi="宋体"/>
        </w:rPr>
      </w:pPr>
      <w:r>
        <w:rPr>
          <w:rFonts w:hint="eastAsia"/>
        </w:rPr>
        <w:t>确定主要内</w:t>
      </w:r>
      <w:bookmarkEnd w:id="16"/>
      <w:r>
        <w:rPr>
          <w:rFonts w:hint="eastAsia"/>
        </w:rPr>
        <w:t>容</w:t>
      </w:r>
    </w:p>
    <w:p>
      <w:pPr>
        <w:pStyle w:val="61"/>
        <w:numPr>
          <w:ilvl w:val="0"/>
          <w:numId w:val="0"/>
        </w:numPr>
        <w:spacing w:beforeLines="0" w:afterLines="0" w:line="360" w:lineRule="auto"/>
        <w:rPr>
          <w:rFonts w:ascii="Times New Roman"/>
          <w:sz w:val="21"/>
          <w:szCs w:val="21"/>
        </w:rPr>
      </w:pPr>
      <w:bookmarkStart w:id="17" w:name="_Toc500258929"/>
      <w:bookmarkStart w:id="18" w:name="_Toc193860177"/>
      <w:bookmarkStart w:id="19" w:name="_Toc23837_WPSOffice_Level1"/>
      <w:bookmarkStart w:id="20" w:name="_Toc193860208"/>
      <w:bookmarkStart w:id="21" w:name="_Toc193860027"/>
      <w:bookmarkStart w:id="22" w:name="_Toc464728964"/>
      <w:r>
        <w:rPr>
          <w:rFonts w:ascii="Times New Roman"/>
          <w:sz w:val="21"/>
          <w:szCs w:val="21"/>
        </w:rPr>
        <w:t>1</w:t>
      </w:r>
      <w:r>
        <w:rPr>
          <w:rFonts w:hint="eastAsia" w:ascii="Times New Roman"/>
          <w:sz w:val="21"/>
          <w:szCs w:val="21"/>
        </w:rPr>
        <w:t xml:space="preserve"> 范围</w:t>
      </w:r>
      <w:bookmarkEnd w:id="17"/>
      <w:bookmarkEnd w:id="18"/>
      <w:bookmarkEnd w:id="19"/>
      <w:bookmarkEnd w:id="20"/>
      <w:bookmarkEnd w:id="21"/>
    </w:p>
    <w:p>
      <w:pPr>
        <w:widowControl/>
        <w:spacing w:line="360" w:lineRule="auto"/>
        <w:ind w:firstLine="420" w:firstLineChars="200"/>
        <w:rPr>
          <w:sz w:val="21"/>
          <w:szCs w:val="21"/>
        </w:rPr>
      </w:pPr>
      <w:bookmarkStart w:id="23" w:name="_Toc193860178"/>
      <w:bookmarkStart w:id="24" w:name="_Toc193860209"/>
      <w:bookmarkStart w:id="25" w:name="_Toc193860028"/>
      <w:bookmarkStart w:id="26" w:name="_Toc7848_WPSOffice_Level1"/>
      <w:bookmarkStart w:id="27" w:name="_Toc500258930"/>
      <w:r>
        <w:rPr>
          <w:kern w:val="0"/>
          <w:sz w:val="21"/>
          <w:szCs w:val="21"/>
        </w:rPr>
        <w:t>本规范适用于温度（</w:t>
      </w:r>
      <w:r>
        <w:rPr>
          <w:rFonts w:hint="eastAsia"/>
          <w:kern w:val="0"/>
          <w:sz w:val="21"/>
          <w:szCs w:val="21"/>
        </w:rPr>
        <w:t>-100℃~+30℃）冲击试验低温槽</w:t>
      </w:r>
      <w:r>
        <w:rPr>
          <w:kern w:val="0"/>
          <w:sz w:val="21"/>
          <w:szCs w:val="21"/>
        </w:rPr>
        <w:t>的校准。</w:t>
      </w:r>
    </w:p>
    <w:p>
      <w:pPr>
        <w:pStyle w:val="61"/>
        <w:numPr>
          <w:ilvl w:val="0"/>
          <w:numId w:val="0"/>
        </w:numPr>
        <w:spacing w:beforeLines="0" w:afterLines="0" w:line="360" w:lineRule="auto"/>
        <w:rPr>
          <w:rFonts w:ascii="Times New Roman"/>
          <w:sz w:val="21"/>
          <w:szCs w:val="21"/>
        </w:rPr>
      </w:pPr>
      <w:r>
        <w:rPr>
          <w:rFonts w:ascii="Times New Roman"/>
          <w:sz w:val="21"/>
          <w:szCs w:val="21"/>
        </w:rPr>
        <w:t>2</w:t>
      </w:r>
      <w:r>
        <w:rPr>
          <w:rFonts w:hint="eastAsia" w:ascii="Times New Roman"/>
          <w:sz w:val="21"/>
          <w:szCs w:val="21"/>
        </w:rPr>
        <w:t xml:space="preserve"> 引用文</w:t>
      </w:r>
      <w:bookmarkEnd w:id="23"/>
      <w:bookmarkEnd w:id="24"/>
      <w:bookmarkEnd w:id="25"/>
      <w:r>
        <w:rPr>
          <w:rFonts w:hint="eastAsia" w:ascii="Times New Roman"/>
          <w:sz w:val="21"/>
          <w:szCs w:val="21"/>
        </w:rPr>
        <w:t>件</w:t>
      </w:r>
      <w:bookmarkEnd w:id="26"/>
      <w:bookmarkEnd w:id="27"/>
    </w:p>
    <w:p>
      <w:pPr>
        <w:spacing w:line="360" w:lineRule="auto"/>
        <w:ind w:firstLine="420" w:firstLineChars="200"/>
        <w:rPr>
          <w:color w:val="000000" w:themeColor="text1"/>
          <w:kern w:val="0"/>
          <w:sz w:val="21"/>
          <w:szCs w:val="21"/>
          <w14:textFill>
            <w14:solidFill>
              <w14:schemeClr w14:val="tx1"/>
            </w14:solidFill>
          </w14:textFill>
        </w:rPr>
      </w:pPr>
      <w:bookmarkStart w:id="28" w:name="_Toc13054_WPSOffice_Level1"/>
      <w:bookmarkStart w:id="29" w:name="_Toc500258937"/>
      <w:bookmarkStart w:id="30" w:name="_Toc193619097"/>
      <w:bookmarkStart w:id="31" w:name="_Toc193618952"/>
      <w:bookmarkStart w:id="32" w:name="_Toc193860030"/>
      <w:bookmarkStart w:id="33" w:name="_Toc193860180"/>
      <w:bookmarkStart w:id="34" w:name="_Toc193619055"/>
      <w:bookmarkStart w:id="35" w:name="_Toc193860211"/>
      <w:r>
        <w:rPr>
          <w:kern w:val="0"/>
          <w:sz w:val="21"/>
          <w:szCs w:val="21"/>
        </w:rPr>
        <w:t>GB/T 2</w:t>
      </w:r>
      <w:r>
        <w:rPr>
          <w:color w:val="000000" w:themeColor="text1"/>
          <w:kern w:val="0"/>
          <w:sz w:val="21"/>
          <w:szCs w:val="21"/>
          <w14:textFill>
            <w14:solidFill>
              <w14:schemeClr w14:val="tx1"/>
            </w14:solidFill>
          </w14:textFill>
        </w:rPr>
        <w:t>29金属材料</w:t>
      </w:r>
      <w:r>
        <w:rPr>
          <w:rFonts w:hint="eastAsia"/>
          <w:color w:val="000000" w:themeColor="text1"/>
          <w:kern w:val="0"/>
          <w:sz w:val="21"/>
          <w:szCs w:val="21"/>
          <w14:textFill>
            <w14:solidFill>
              <w14:schemeClr w14:val="tx1"/>
            </w14:solidFill>
          </w14:textFill>
        </w:rPr>
        <w:t xml:space="preserve">  夏比摆锤冲击试验方法</w:t>
      </w:r>
    </w:p>
    <w:p>
      <w:pPr>
        <w:spacing w:line="360" w:lineRule="auto"/>
        <w:ind w:firstLine="420" w:firstLineChars="20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GB / T</w:t>
      </w:r>
      <w:r>
        <w:rPr>
          <w:rFonts w:hint="eastAsia"/>
          <w:color w:val="000000" w:themeColor="text1"/>
          <w:kern w:val="0"/>
          <w:sz w:val="21"/>
          <w:szCs w:val="21"/>
          <w14:textFill>
            <w14:solidFill>
              <w14:schemeClr w14:val="tx1"/>
            </w14:solidFill>
          </w14:textFill>
        </w:rPr>
        <w:t xml:space="preserve"> </w:t>
      </w:r>
      <w:r>
        <w:rPr>
          <w:color w:val="000000" w:themeColor="text1"/>
          <w:kern w:val="0"/>
          <w:sz w:val="21"/>
          <w:szCs w:val="21"/>
          <w14:textFill>
            <w14:solidFill>
              <w14:schemeClr w14:val="tx1"/>
            </w14:solidFill>
          </w14:textFill>
        </w:rPr>
        <w:t>26808</w:t>
      </w:r>
      <w:r>
        <w:rPr>
          <w:rFonts w:hint="eastAsia"/>
          <w:color w:val="000000" w:themeColor="text1"/>
          <w:kern w:val="0"/>
          <w:sz w:val="21"/>
          <w:szCs w:val="21"/>
          <w14:textFill>
            <w14:solidFill>
              <w14:schemeClr w14:val="tx1"/>
            </w14:solidFill>
          </w14:textFill>
        </w:rPr>
        <w:t xml:space="preserve"> 恒温槽与恒温循环装置 低温恒温槽</w:t>
      </w:r>
    </w:p>
    <w:p>
      <w:pPr>
        <w:spacing w:line="360" w:lineRule="auto"/>
        <w:ind w:firstLine="420" w:firstLineChars="200"/>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JJF 2019  液体恒温试验设备温度性能测试规范</w:t>
      </w:r>
    </w:p>
    <w:p>
      <w:pPr>
        <w:pStyle w:val="61"/>
        <w:numPr>
          <w:ilvl w:val="0"/>
          <w:numId w:val="0"/>
        </w:numPr>
        <w:spacing w:beforeLines="0" w:afterLines="0" w:line="360" w:lineRule="auto"/>
        <w:rPr>
          <w:rFonts w:ascii="Times New Roman"/>
          <w:sz w:val="21"/>
          <w:szCs w:val="21"/>
        </w:rPr>
      </w:pPr>
      <w:r>
        <w:rPr>
          <w:rFonts w:hint="eastAsia" w:ascii="Times New Roman"/>
          <w:sz w:val="21"/>
          <w:szCs w:val="21"/>
        </w:rPr>
        <w:t>3 概述</w:t>
      </w:r>
      <w:bookmarkEnd w:id="28"/>
      <w:bookmarkEnd w:id="29"/>
      <w:bookmarkEnd w:id="30"/>
      <w:bookmarkEnd w:id="31"/>
      <w:bookmarkEnd w:id="32"/>
      <w:bookmarkEnd w:id="33"/>
      <w:bookmarkEnd w:id="34"/>
      <w:bookmarkEnd w:id="35"/>
    </w:p>
    <w:p>
      <w:pPr>
        <w:pStyle w:val="58"/>
        <w:rPr>
          <w:rFonts w:hint="eastAsia"/>
          <w:sz w:val="21"/>
          <w:szCs w:val="21"/>
        </w:rPr>
      </w:pPr>
      <w:bookmarkStart w:id="36" w:name="_Toc193860181"/>
      <w:bookmarkStart w:id="37" w:name="_Toc193618953"/>
      <w:bookmarkStart w:id="38" w:name="_Toc193619056"/>
      <w:bookmarkStart w:id="39" w:name="_Toc19851_WPSOffice_Level1"/>
      <w:bookmarkStart w:id="40" w:name="_Toc193619098"/>
      <w:bookmarkStart w:id="41" w:name="_Toc193860212"/>
      <w:bookmarkStart w:id="42" w:name="_Toc500258938"/>
      <w:bookmarkStart w:id="43" w:name="_Toc193860031"/>
      <w:r>
        <w:rPr>
          <w:rFonts w:hint="eastAsia"/>
          <w:sz w:val="21"/>
          <w:szCs w:val="21"/>
        </w:rPr>
        <w:t>冲击试验低温槽是以电为能源，在某一规定的时间内，通过空气压缩机产生制冷，其传热方式为铜管传导等。主要由槽体搅拌装置和制冷温度控制系统组成，两者既可相互独立，也可组合为一体。槽体</w:t>
      </w:r>
      <w:r>
        <w:rPr>
          <w:sz w:val="21"/>
          <w:szCs w:val="21"/>
        </w:rPr>
        <w:t>由</w:t>
      </w:r>
      <w:r>
        <w:rPr>
          <w:rFonts w:hint="eastAsia"/>
          <w:sz w:val="21"/>
          <w:szCs w:val="21"/>
        </w:rPr>
        <w:t>导热</w:t>
      </w:r>
      <w:r>
        <w:rPr>
          <w:sz w:val="21"/>
          <w:szCs w:val="21"/>
        </w:rPr>
        <w:t>元件、保温层以及</w:t>
      </w:r>
      <w:r>
        <w:rPr>
          <w:rFonts w:hint="eastAsia"/>
          <w:sz w:val="21"/>
          <w:szCs w:val="21"/>
        </w:rPr>
        <w:t>搅拌装置</w:t>
      </w:r>
      <w:r>
        <w:rPr>
          <w:sz w:val="21"/>
          <w:szCs w:val="21"/>
        </w:rPr>
        <w:t>等组成</w:t>
      </w:r>
      <w:r>
        <w:rPr>
          <w:rFonts w:hint="eastAsia"/>
          <w:sz w:val="21"/>
          <w:szCs w:val="21"/>
        </w:rPr>
        <w:t>，低温槽与制冷控制器装配简图如图1所示</w:t>
      </w:r>
    </w:p>
    <w:p>
      <w:pPr>
        <w:pStyle w:val="58"/>
        <w:rPr>
          <w:sz w:val="21"/>
          <w:szCs w:val="21"/>
        </w:rPr>
      </w:pPr>
      <w:r>
        <w:rPr>
          <w:rFonts w:hint="eastAsia"/>
          <w:sz w:val="21"/>
          <w:szCs w:val="21"/>
        </w:rPr>
        <w:t>4 计量特性</w:t>
      </w:r>
      <w:bookmarkEnd w:id="36"/>
      <w:bookmarkEnd w:id="37"/>
      <w:bookmarkEnd w:id="38"/>
      <w:bookmarkEnd w:id="39"/>
      <w:bookmarkEnd w:id="40"/>
      <w:bookmarkEnd w:id="41"/>
      <w:bookmarkEnd w:id="42"/>
      <w:bookmarkEnd w:id="43"/>
    </w:p>
    <w:p>
      <w:pPr>
        <w:ind w:firstLine="420" w:firstLineChars="200"/>
        <w:rPr>
          <w:color w:val="000000" w:themeColor="text1"/>
          <w:sz w:val="21"/>
          <w:szCs w:val="21"/>
          <w14:textFill>
            <w14:solidFill>
              <w14:schemeClr w14:val="tx1"/>
            </w14:solidFill>
          </w14:textFill>
        </w:rPr>
      </w:pPr>
      <w:bookmarkStart w:id="44" w:name="_Toc25829_WPSOffice_Level1"/>
      <w:r>
        <w:rPr>
          <w:color w:val="000000" w:themeColor="text1"/>
          <w:sz w:val="21"/>
          <w:szCs w:val="21"/>
          <w14:textFill>
            <w14:solidFill>
              <w14:schemeClr w14:val="tx1"/>
            </w14:solidFill>
          </w14:textFill>
        </w:rPr>
        <w:t>计量特性包括温</w:t>
      </w:r>
      <w:r>
        <w:rPr>
          <w:rFonts w:hint="eastAsia"/>
          <w:color w:val="000000" w:themeColor="text1"/>
          <w:sz w:val="21"/>
          <w:szCs w:val="21"/>
          <w14:textFill>
            <w14:solidFill>
              <w14:schemeClr w14:val="tx1"/>
            </w14:solidFill>
          </w14:textFill>
        </w:rPr>
        <w:t>度</w:t>
      </w:r>
      <w:r>
        <w:rPr>
          <w:color w:val="000000" w:themeColor="text1"/>
          <w:sz w:val="21"/>
          <w:szCs w:val="21"/>
          <w14:textFill>
            <w14:solidFill>
              <w14:schemeClr w14:val="tx1"/>
            </w14:solidFill>
          </w14:textFill>
        </w:rPr>
        <w:t>偏差、</w:t>
      </w:r>
      <w:r>
        <w:rPr>
          <w:rFonts w:hint="eastAsia"/>
          <w:color w:val="000000" w:themeColor="text1"/>
          <w:sz w:val="21"/>
          <w:szCs w:val="21"/>
          <w14:textFill>
            <w14:solidFill>
              <w14:schemeClr w14:val="tx1"/>
            </w14:solidFill>
          </w14:textFill>
        </w:rPr>
        <w:t>温度均匀度</w:t>
      </w:r>
      <w:r>
        <w:rPr>
          <w:color w:val="000000" w:themeColor="text1"/>
          <w:sz w:val="21"/>
          <w:szCs w:val="21"/>
          <w14:textFill>
            <w14:solidFill>
              <w14:schemeClr w14:val="tx1"/>
            </w14:solidFill>
          </w14:textFill>
        </w:rPr>
        <w:t>和</w:t>
      </w:r>
      <w:r>
        <w:rPr>
          <w:rFonts w:hint="eastAsia"/>
          <w:color w:val="000000" w:themeColor="text1"/>
          <w:sz w:val="21"/>
          <w:szCs w:val="21"/>
          <w14:textFill>
            <w14:solidFill>
              <w14:schemeClr w14:val="tx1"/>
            </w14:solidFill>
          </w14:textFill>
        </w:rPr>
        <w:t>温度波动度</w:t>
      </w:r>
      <w:r>
        <w:rPr>
          <w:color w:val="000000" w:themeColor="text1"/>
          <w:sz w:val="21"/>
          <w:szCs w:val="21"/>
          <w14:textFill>
            <w14:solidFill>
              <w14:schemeClr w14:val="tx1"/>
            </w14:solidFill>
          </w14:textFill>
        </w:rPr>
        <w:t>，见表1。</w:t>
      </w:r>
    </w:p>
    <w:p>
      <w:pPr>
        <w:pStyle w:val="58"/>
        <w:rPr>
          <w:sz w:val="21"/>
          <w:szCs w:val="21"/>
        </w:rPr>
      </w:pPr>
      <w:r>
        <w:rPr>
          <w:sz w:val="21"/>
          <w:szCs w:val="21"/>
        </w:rPr>
        <w:t>表1</w:t>
      </w:r>
      <w:r>
        <w:rPr>
          <w:rFonts w:hint="eastAsia"/>
          <w:sz w:val="21"/>
          <w:szCs w:val="21"/>
        </w:rPr>
        <w:t xml:space="preserve"> </w:t>
      </w:r>
      <w:r>
        <w:rPr>
          <w:sz w:val="21"/>
          <w:szCs w:val="21"/>
        </w:rPr>
        <w:t>计量特性</w:t>
      </w:r>
    </w:p>
    <w:tbl>
      <w:tblPr>
        <w:tblStyle w:val="4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81"/>
        <w:gridCol w:w="2381"/>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67" w:type="pct"/>
            <w:vAlign w:val="center"/>
          </w:tcPr>
          <w:p>
            <w:pPr>
              <w:spacing w:line="360" w:lineRule="auto"/>
              <w:jc w:val="center"/>
              <w:rPr>
                <w:sz w:val="21"/>
                <w:szCs w:val="21"/>
              </w:rPr>
            </w:pPr>
            <w:r>
              <w:rPr>
                <w:sz w:val="21"/>
                <w:szCs w:val="21"/>
              </w:rPr>
              <w:t>试验温度</w:t>
            </w:r>
            <w:r>
              <w:rPr>
                <w:i/>
                <w:sz w:val="21"/>
                <w:szCs w:val="21"/>
              </w:rPr>
              <w:t>T</w:t>
            </w:r>
            <w:r>
              <w:rPr>
                <w:sz w:val="21"/>
                <w:szCs w:val="21"/>
              </w:rPr>
              <w:t>/℃</w:t>
            </w:r>
          </w:p>
        </w:tc>
        <w:tc>
          <w:tcPr>
            <w:tcW w:w="1244" w:type="pct"/>
            <w:vAlign w:val="center"/>
          </w:tcPr>
          <w:p>
            <w:pPr>
              <w:spacing w:line="360" w:lineRule="auto"/>
              <w:jc w:val="center"/>
              <w:rPr>
                <w:sz w:val="21"/>
                <w:szCs w:val="21"/>
              </w:rPr>
            </w:pPr>
            <w:r>
              <w:rPr>
                <w:rFonts w:hint="eastAsia"/>
                <w:sz w:val="21"/>
                <w:szCs w:val="21"/>
              </w:rPr>
              <w:t>温度</w:t>
            </w:r>
            <w:r>
              <w:rPr>
                <w:sz w:val="21"/>
                <w:szCs w:val="21"/>
              </w:rPr>
              <w:t>偏差/℃</w:t>
            </w:r>
          </w:p>
        </w:tc>
        <w:tc>
          <w:tcPr>
            <w:tcW w:w="1244" w:type="pct"/>
            <w:vAlign w:val="center"/>
          </w:tcPr>
          <w:p>
            <w:pPr>
              <w:spacing w:line="360" w:lineRule="auto"/>
              <w:jc w:val="center"/>
              <w:rPr>
                <w:sz w:val="21"/>
                <w:szCs w:val="21"/>
              </w:rPr>
            </w:pPr>
            <w:r>
              <w:rPr>
                <w:rFonts w:hint="eastAsia"/>
                <w:sz w:val="21"/>
                <w:szCs w:val="21"/>
              </w:rPr>
              <w:t>温度均匀度</w:t>
            </w:r>
          </w:p>
        </w:tc>
        <w:tc>
          <w:tcPr>
            <w:tcW w:w="1244" w:type="pct"/>
          </w:tcPr>
          <w:p>
            <w:pPr>
              <w:spacing w:line="360" w:lineRule="auto"/>
              <w:jc w:val="center"/>
              <w:rPr>
                <w:sz w:val="21"/>
                <w:szCs w:val="21"/>
              </w:rPr>
            </w:pPr>
            <w:r>
              <w:rPr>
                <w:rFonts w:hint="eastAsia"/>
                <w:sz w:val="21"/>
                <w:szCs w:val="21"/>
              </w:rPr>
              <w:t>温度波动度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67" w:type="pct"/>
            <w:vAlign w:val="center"/>
          </w:tcPr>
          <w:p>
            <w:pPr>
              <w:widowControl/>
              <w:spacing w:line="360" w:lineRule="auto"/>
              <w:jc w:val="center"/>
              <w:rPr>
                <w:sz w:val="21"/>
                <w:szCs w:val="21"/>
              </w:rPr>
            </w:pPr>
            <w:r>
              <w:rPr>
                <w:rFonts w:hint="eastAsia"/>
                <w:sz w:val="21"/>
                <w:szCs w:val="21"/>
              </w:rPr>
              <w:t>-</w:t>
            </w:r>
            <w:r>
              <w:rPr>
                <w:sz w:val="21"/>
                <w:szCs w:val="21"/>
              </w:rPr>
              <w:t>100~30</w:t>
            </w:r>
          </w:p>
        </w:tc>
        <w:tc>
          <w:tcPr>
            <w:tcW w:w="1244" w:type="pct"/>
            <w:vAlign w:val="center"/>
          </w:tcPr>
          <w:p>
            <w:pPr>
              <w:widowControl/>
              <w:spacing w:line="360" w:lineRule="auto"/>
              <w:jc w:val="center"/>
              <w:rPr>
                <w:sz w:val="21"/>
                <w:szCs w:val="21"/>
              </w:rPr>
            </w:pPr>
            <w:r>
              <w:rPr>
                <w:sz w:val="21"/>
                <w:szCs w:val="21"/>
              </w:rPr>
              <w:t>±1.0</w:t>
            </w:r>
          </w:p>
        </w:tc>
        <w:tc>
          <w:tcPr>
            <w:tcW w:w="1244" w:type="pct"/>
            <w:vAlign w:val="center"/>
          </w:tcPr>
          <w:p>
            <w:pPr>
              <w:widowControl/>
              <w:spacing w:line="360" w:lineRule="auto"/>
              <w:jc w:val="center"/>
              <w:rPr>
                <w:sz w:val="21"/>
                <w:szCs w:val="21"/>
              </w:rPr>
            </w:pPr>
            <w:r>
              <w:rPr>
                <w:rFonts w:hint="eastAsia"/>
                <w:sz w:val="21"/>
                <w:szCs w:val="21"/>
              </w:rPr>
              <w:t>±1.0</w:t>
            </w:r>
          </w:p>
        </w:tc>
        <w:tc>
          <w:tcPr>
            <w:tcW w:w="1244" w:type="pct"/>
            <w:vAlign w:val="center"/>
          </w:tcPr>
          <w:p>
            <w:pPr>
              <w:widowControl/>
              <w:spacing w:line="360" w:lineRule="auto"/>
              <w:jc w:val="center"/>
              <w:rPr>
                <w:sz w:val="21"/>
                <w:szCs w:val="21"/>
              </w:rPr>
            </w:pPr>
            <w:r>
              <w:rPr>
                <w:sz w:val="21"/>
                <w:szCs w:val="21"/>
              </w:rPr>
              <w:t>±</w:t>
            </w:r>
            <w:r>
              <w:rPr>
                <w:rFonts w:hint="eastAsia"/>
                <w:sz w:val="21"/>
                <w:szCs w:val="21"/>
              </w:rPr>
              <w:t>0.5℃</w:t>
            </w:r>
          </w:p>
        </w:tc>
      </w:tr>
    </w:tbl>
    <w:p>
      <w:pPr>
        <w:pStyle w:val="61"/>
        <w:numPr>
          <w:ilvl w:val="0"/>
          <w:numId w:val="0"/>
        </w:numPr>
        <w:spacing w:before="156" w:after="156" w:line="360" w:lineRule="auto"/>
        <w:rPr>
          <w:rFonts w:ascii="Times New Roman"/>
          <w:sz w:val="21"/>
          <w:szCs w:val="21"/>
        </w:rPr>
      </w:pPr>
      <w:r>
        <w:rPr>
          <w:rFonts w:ascii="Times New Roman"/>
          <w:sz w:val="21"/>
          <w:szCs w:val="21"/>
        </w:rPr>
        <w:t>5</w:t>
      </w:r>
      <w:r>
        <w:rPr>
          <w:rFonts w:hint="eastAsia" w:ascii="Times New Roman"/>
          <w:sz w:val="21"/>
          <w:szCs w:val="21"/>
        </w:rPr>
        <w:t xml:space="preserve"> 校准条件</w:t>
      </w:r>
      <w:bookmarkEnd w:id="44"/>
      <w:bookmarkStart w:id="45" w:name="_Toc500258942"/>
      <w:bookmarkStart w:id="46" w:name="_Toc193860214"/>
      <w:bookmarkStart w:id="47" w:name="_Toc193860033"/>
      <w:bookmarkStart w:id="48" w:name="_Toc193860183"/>
    </w:p>
    <w:bookmarkEnd w:id="45"/>
    <w:bookmarkEnd w:id="46"/>
    <w:bookmarkEnd w:id="47"/>
    <w:bookmarkEnd w:id="48"/>
    <w:p>
      <w:pPr>
        <w:pStyle w:val="61"/>
        <w:numPr>
          <w:ilvl w:val="0"/>
          <w:numId w:val="0"/>
        </w:numPr>
        <w:spacing w:before="156" w:after="156" w:line="360" w:lineRule="auto"/>
        <w:ind w:left="420"/>
        <w:rPr>
          <w:rFonts w:ascii="Times New Roman" w:eastAsia="宋体"/>
          <w:kern w:val="2"/>
          <w:sz w:val="21"/>
          <w:szCs w:val="21"/>
        </w:rPr>
      </w:pPr>
      <w:bookmarkStart w:id="49" w:name="_Toc193860185"/>
      <w:bookmarkStart w:id="50" w:name="_Toc193619100"/>
      <w:bookmarkStart w:id="51" w:name="_Toc193860216"/>
      <w:bookmarkStart w:id="52" w:name="_Toc2741_WPSOffice_Level1"/>
      <w:bookmarkStart w:id="53" w:name="_Toc500258944"/>
      <w:bookmarkStart w:id="54" w:name="_Toc193619058"/>
      <w:bookmarkStart w:id="55" w:name="_Toc193618955"/>
      <w:bookmarkStart w:id="56" w:name="_Toc193860035"/>
      <w:r>
        <w:rPr>
          <w:rFonts w:hint="eastAsia" w:ascii="Times New Roman" w:eastAsia="宋体"/>
          <w:kern w:val="2"/>
          <w:sz w:val="21"/>
          <w:szCs w:val="21"/>
        </w:rPr>
        <w:t>校准时的环境条件应满足以下要求：</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环境温度：（10～35）</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湿度：≤80%</w:t>
      </w:r>
      <w:r>
        <w:rPr>
          <w:rFonts w:hint="eastAsia"/>
          <w:color w:val="000000" w:themeColor="text1"/>
          <w:sz w:val="21"/>
          <w:szCs w:val="21"/>
          <w14:textFill>
            <w14:solidFill>
              <w14:schemeClr w14:val="tx1"/>
            </w14:solidFill>
          </w14:textFill>
        </w:rPr>
        <w:t>RH</w:t>
      </w:r>
      <w:r>
        <w:rPr>
          <w:color w:val="000000" w:themeColor="text1"/>
          <w:sz w:val="21"/>
          <w:szCs w:val="21"/>
          <w14:textFill>
            <w14:solidFill>
              <w14:schemeClr w14:val="tx1"/>
            </w14:solidFill>
          </w14:textFill>
        </w:rPr>
        <w:t>；</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其他条件应满足所用仪器设备的正常使用要求。</w:t>
      </w:r>
    </w:p>
    <w:p>
      <w:pPr>
        <w:pStyle w:val="61"/>
        <w:numPr>
          <w:ilvl w:val="0"/>
          <w:numId w:val="0"/>
        </w:numPr>
        <w:spacing w:before="156" w:after="156" w:line="360" w:lineRule="auto"/>
        <w:rPr>
          <w:rFonts w:ascii="Times New Roman"/>
          <w:szCs w:val="21"/>
        </w:rPr>
      </w:pPr>
      <w:r>
        <w:rPr>
          <w:rFonts w:ascii="Times New Roman"/>
          <w:szCs w:val="21"/>
        </w:rPr>
        <w:t>6</w:t>
      </w:r>
      <w:r>
        <w:rPr>
          <w:rFonts w:hint="eastAsia" w:ascii="Times New Roman"/>
          <w:szCs w:val="21"/>
        </w:rPr>
        <w:t xml:space="preserve"> 校准项目和校准方法</w:t>
      </w:r>
      <w:bookmarkEnd w:id="49"/>
      <w:bookmarkEnd w:id="50"/>
      <w:bookmarkEnd w:id="51"/>
      <w:bookmarkEnd w:id="52"/>
      <w:bookmarkEnd w:id="53"/>
      <w:bookmarkEnd w:id="54"/>
      <w:bookmarkEnd w:id="55"/>
      <w:bookmarkEnd w:id="56"/>
    </w:p>
    <w:p>
      <w:pPr>
        <w:spacing w:line="360" w:lineRule="auto"/>
        <w:ind w:firstLine="420" w:firstLineChars="200"/>
        <w:rPr>
          <w:rFonts w:eastAsiaTheme="minorEastAsia"/>
          <w:color w:val="000000" w:themeColor="text1"/>
          <w:kern w:val="0"/>
          <w:szCs w:val="21"/>
          <w14:textFill>
            <w14:solidFill>
              <w14:schemeClr w14:val="tx1"/>
            </w14:solidFill>
          </w14:textFill>
        </w:rPr>
      </w:pPr>
      <w:bookmarkStart w:id="57" w:name="_Toc22718_WPSOffice_Level2"/>
      <w:bookmarkStart w:id="58" w:name="_Toc500258945"/>
      <w:r>
        <w:rPr>
          <w:rFonts w:hint="eastAsia"/>
          <w:color w:val="000000" w:themeColor="text1"/>
          <w:kern w:val="0"/>
          <w:szCs w:val="21"/>
          <w14:textFill>
            <w14:solidFill>
              <w14:schemeClr w14:val="tx1"/>
            </w14:solidFill>
          </w14:textFill>
        </w:rPr>
        <w:t>校准项目包含</w:t>
      </w:r>
      <w:r>
        <w:rPr>
          <w:rFonts w:hint="eastAsia"/>
          <w:color w:val="000000" w:themeColor="text1"/>
          <w:szCs w:val="21"/>
          <w14:textFill>
            <w14:solidFill>
              <w14:schemeClr w14:val="tx1"/>
            </w14:solidFill>
          </w14:textFill>
        </w:rPr>
        <w:t>外观要求、</w:t>
      </w:r>
      <w:r>
        <w:rPr>
          <w:color w:val="000000" w:themeColor="text1"/>
          <w:szCs w:val="21"/>
          <w14:textFill>
            <w14:solidFill>
              <w14:schemeClr w14:val="tx1"/>
            </w14:solidFill>
          </w14:textFill>
        </w:rPr>
        <w:t>校准温度点的选择、</w:t>
      </w:r>
      <w:r>
        <w:rPr>
          <w:rFonts w:hint="eastAsia"/>
          <w:color w:val="000000" w:themeColor="text1"/>
          <w:szCs w:val="21"/>
          <w14:textFill>
            <w14:solidFill>
              <w14:schemeClr w14:val="tx1"/>
            </w14:solidFill>
          </w14:textFill>
        </w:rPr>
        <w:t>工作空间的确定、测量点的位置、温度偏差、温度均匀性及温度波动</w:t>
      </w:r>
      <w:r>
        <w:rPr>
          <w:rFonts w:hint="eastAsia" w:eastAsiaTheme="minorEastAsia"/>
          <w:color w:val="000000" w:themeColor="text1"/>
          <w:kern w:val="0"/>
          <w:szCs w:val="21"/>
          <w14:textFill>
            <w14:solidFill>
              <w14:schemeClr w14:val="tx1"/>
            </w14:solidFill>
          </w14:textFill>
        </w:rPr>
        <w:t>具体的校准方法。</w:t>
      </w:r>
    </w:p>
    <w:bookmarkEnd w:id="57"/>
    <w:bookmarkEnd w:id="58"/>
    <w:p>
      <w:pPr>
        <w:pStyle w:val="61"/>
        <w:numPr>
          <w:ilvl w:val="0"/>
          <w:numId w:val="0"/>
        </w:numPr>
        <w:spacing w:before="156" w:after="156"/>
        <w:rPr>
          <w:rFonts w:ascii="Times New Roman"/>
          <w:color w:val="000000" w:themeColor="text1"/>
          <w:szCs w:val="21"/>
          <w14:textFill>
            <w14:solidFill>
              <w14:schemeClr w14:val="tx1"/>
            </w14:solidFill>
          </w14:textFill>
        </w:rPr>
      </w:pPr>
      <w:bookmarkStart w:id="59" w:name="_Toc193860219"/>
      <w:bookmarkStart w:id="60" w:name="_Toc193619059"/>
      <w:bookmarkStart w:id="61" w:name="_Toc193860188"/>
      <w:bookmarkStart w:id="62" w:name="_Toc193860038"/>
      <w:bookmarkStart w:id="63" w:name="_Toc193618956"/>
      <w:bookmarkStart w:id="64" w:name="_Toc193619101"/>
      <w:bookmarkStart w:id="65" w:name="_Toc25466_WPSOffice_Level1"/>
      <w:bookmarkStart w:id="66" w:name="_Toc500258947"/>
      <w:r>
        <w:rPr>
          <w:rFonts w:ascii="Times New Roman"/>
          <w:color w:val="000000" w:themeColor="text1"/>
          <w:szCs w:val="21"/>
          <w14:textFill>
            <w14:solidFill>
              <w14:schemeClr w14:val="tx1"/>
            </w14:solidFill>
          </w14:textFill>
        </w:rPr>
        <w:t>7</w:t>
      </w:r>
      <w:r>
        <w:rPr>
          <w:rFonts w:hint="eastAsia" w:ascii="Times New Roman"/>
          <w:color w:val="000000" w:themeColor="text1"/>
          <w:szCs w:val="21"/>
          <w14:textFill>
            <w14:solidFill>
              <w14:schemeClr w14:val="tx1"/>
            </w14:solidFill>
          </w14:textFill>
        </w:rPr>
        <w:t xml:space="preserve"> 校准结果</w:t>
      </w:r>
      <w:bookmarkEnd w:id="59"/>
      <w:bookmarkEnd w:id="60"/>
      <w:bookmarkEnd w:id="61"/>
      <w:bookmarkEnd w:id="62"/>
      <w:bookmarkEnd w:id="63"/>
      <w:bookmarkEnd w:id="64"/>
      <w:r>
        <w:rPr>
          <w:rFonts w:hint="eastAsia" w:ascii="Times New Roman"/>
          <w:color w:val="000000" w:themeColor="text1"/>
          <w:szCs w:val="21"/>
          <w14:textFill>
            <w14:solidFill>
              <w14:schemeClr w14:val="tx1"/>
            </w14:solidFill>
          </w14:textFill>
        </w:rPr>
        <w:t>表达</w:t>
      </w:r>
      <w:bookmarkEnd w:id="65"/>
      <w:bookmarkEnd w:id="66"/>
    </w:p>
    <w:p>
      <w:pPr>
        <w:pStyle w:val="58"/>
      </w:pPr>
      <w:r>
        <w:rPr>
          <w:rFonts w:hint="eastAsia"/>
        </w:rPr>
        <w:t>根据实验室环境要求、校准项目校准结果、测量不确定度评定结果等，按照推荐的校准报告格式，出具校准证书。</w:t>
      </w:r>
    </w:p>
    <w:p>
      <w:pPr>
        <w:pStyle w:val="61"/>
        <w:numPr>
          <w:ilvl w:val="0"/>
          <w:numId w:val="0"/>
        </w:numPr>
        <w:spacing w:before="156" w:after="156"/>
        <w:rPr>
          <w:rFonts w:ascii="Times New Roman"/>
          <w:color w:val="000000" w:themeColor="text1"/>
          <w:szCs w:val="21"/>
          <w14:textFill>
            <w14:solidFill>
              <w14:schemeClr w14:val="tx1"/>
            </w14:solidFill>
          </w14:textFill>
        </w:rPr>
      </w:pPr>
      <w:bookmarkStart w:id="67" w:name="_Toc193860220"/>
      <w:bookmarkStart w:id="68" w:name="_Toc193860189"/>
      <w:bookmarkStart w:id="69" w:name="_Toc5529"/>
      <w:bookmarkStart w:id="70" w:name="_Toc14803_WPSOffice_Level1"/>
      <w:bookmarkStart w:id="71" w:name="_Toc193860040"/>
      <w:bookmarkStart w:id="72" w:name="_Toc193860041"/>
      <w:r>
        <w:rPr>
          <w:rFonts w:ascii="Times New Roman"/>
          <w:color w:val="000000" w:themeColor="text1"/>
          <w:szCs w:val="21"/>
          <w14:textFill>
            <w14:solidFill>
              <w14:schemeClr w14:val="tx1"/>
            </w14:solidFill>
          </w14:textFill>
        </w:rPr>
        <w:t>8</w:t>
      </w:r>
      <w:r>
        <w:rPr>
          <w:rFonts w:hint="eastAsia" w:ascii="Times New Roman"/>
          <w:color w:val="000000" w:themeColor="text1"/>
          <w:szCs w:val="21"/>
          <w14:textFill>
            <w14:solidFill>
              <w14:schemeClr w14:val="tx1"/>
            </w14:solidFill>
          </w14:textFill>
        </w:rPr>
        <w:t xml:space="preserve"> 复校</w:t>
      </w:r>
      <w:bookmarkEnd w:id="67"/>
      <w:bookmarkEnd w:id="68"/>
      <w:bookmarkEnd w:id="69"/>
      <w:bookmarkEnd w:id="70"/>
      <w:bookmarkEnd w:id="71"/>
      <w:r>
        <w:rPr>
          <w:rFonts w:hint="eastAsia" w:ascii="Times New Roman"/>
          <w:color w:val="000000" w:themeColor="text1"/>
          <w:szCs w:val="21"/>
          <w14:textFill>
            <w14:solidFill>
              <w14:schemeClr w14:val="tx1"/>
            </w14:solidFill>
          </w14:textFill>
        </w:rPr>
        <w:t>时间间隔</w:t>
      </w:r>
    </w:p>
    <w:bookmarkEnd w:id="72"/>
    <w:p>
      <w:pPr>
        <w:pStyle w:val="58"/>
      </w:pPr>
      <w:r>
        <w:rPr>
          <w:rFonts w:hint="eastAsia"/>
        </w:rPr>
        <w:t>建议冲击试验低温槽校准时间间隔为1年；低温槽</w:t>
      </w:r>
      <w:r>
        <w:t>使用频繁时应适当缩短周期，在使用过程中</w:t>
      </w:r>
      <w:r>
        <w:rPr>
          <w:rFonts w:hint="eastAsia"/>
        </w:rPr>
        <w:t>低温槽</w:t>
      </w:r>
      <w:r>
        <w:t>经过修理、更换重要部件</w:t>
      </w:r>
      <w:r>
        <w:rPr>
          <w:rFonts w:hint="eastAsia"/>
        </w:rPr>
        <w:t>时</w:t>
      </w:r>
      <w:r>
        <w:t>应重新校准。</w:t>
      </w:r>
    </w:p>
    <w:p>
      <w:pPr>
        <w:pStyle w:val="61"/>
        <w:numPr>
          <w:ilvl w:val="0"/>
          <w:numId w:val="0"/>
        </w:numPr>
        <w:spacing w:before="156" w:after="156"/>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9.附录</w:t>
      </w:r>
    </w:p>
    <w:p>
      <w:pPr>
        <w:pStyle w:val="58"/>
      </w:pPr>
      <w:r>
        <w:rPr>
          <w:rFonts w:hint="eastAsia"/>
        </w:rPr>
        <w:t>附录主要包含校准原始记录参考格式、校准证书内页参考格式、冲击试验低温槽温度偏差、温度均匀性、温度波动度测量不确定度评定示例五部分。</w:t>
      </w:r>
    </w:p>
    <w:bookmarkEnd w:id="1"/>
    <w:bookmarkEnd w:id="22"/>
    <w:p>
      <w:pPr>
        <w:pStyle w:val="74"/>
        <w:numPr>
          <w:ilvl w:val="0"/>
          <w:numId w:val="11"/>
        </w:numPr>
        <w:tabs>
          <w:tab w:val="left" w:pos="426"/>
        </w:tabs>
        <w:spacing w:before="312" w:beforeLines="100" w:after="312" w:afterLines="100"/>
        <w:ind w:left="420" w:hangingChars="200"/>
        <w:jc w:val="left"/>
      </w:pPr>
      <w:bookmarkStart w:id="73" w:name="_Toc464728965"/>
      <w:r>
        <w:rPr>
          <w:rFonts w:hint="eastAsia"/>
        </w:rPr>
        <w:t>规范水平分析</w:t>
      </w:r>
      <w:bookmarkEnd w:id="73"/>
    </w:p>
    <w:p>
      <w:pPr>
        <w:adjustRightInd w:val="0"/>
        <w:spacing w:line="360" w:lineRule="auto"/>
        <w:rPr>
          <w:rFonts w:ascii="黑体" w:hAnsi="宋体" w:eastAsia="黑体"/>
          <w:bCs/>
          <w:szCs w:val="21"/>
        </w:rPr>
      </w:pPr>
      <w:r>
        <w:rPr>
          <w:rFonts w:ascii="黑体" w:hAnsi="宋体" w:eastAsia="黑体"/>
          <w:bCs/>
          <w:szCs w:val="21"/>
        </w:rPr>
        <w:t>3.1</w:t>
      </w:r>
      <w:r>
        <w:rPr>
          <w:rFonts w:hint="eastAsia" w:ascii="黑体" w:hAnsi="宋体" w:eastAsia="黑体"/>
          <w:bCs/>
          <w:szCs w:val="21"/>
        </w:rPr>
        <w:t>采用国际标准及国外先进规范的程度</w:t>
      </w:r>
    </w:p>
    <w:p>
      <w:pPr>
        <w:adjustRightInd w:val="0"/>
        <w:spacing w:line="360" w:lineRule="auto"/>
        <w:ind w:firstLine="420" w:firstLineChars="200"/>
        <w:rPr>
          <w:bCs/>
          <w:szCs w:val="21"/>
        </w:rPr>
      </w:pPr>
      <w:r>
        <w:rPr>
          <w:bCs/>
          <w:szCs w:val="21"/>
        </w:rPr>
        <w:t>据查，目前国内外没有针对</w:t>
      </w:r>
      <w:r>
        <w:rPr>
          <w:rFonts w:hint="eastAsia"/>
        </w:rPr>
        <w:t>冲击试验低温槽</w:t>
      </w:r>
      <w:r>
        <w:rPr>
          <w:bCs/>
          <w:szCs w:val="21"/>
        </w:rPr>
        <w:t>的校准规范，计量检测机构对</w:t>
      </w:r>
      <w:r>
        <w:rPr>
          <w:rFonts w:hint="eastAsia"/>
        </w:rPr>
        <w:t>冲击试验低温槽</w:t>
      </w:r>
      <w:r>
        <w:rPr>
          <w:bCs/>
          <w:szCs w:val="21"/>
        </w:rPr>
        <w:t>校准项目的选取以及校准方式参照</w:t>
      </w:r>
      <w:r>
        <w:rPr>
          <w:rFonts w:hint="eastAsia"/>
          <w:bCs/>
          <w:szCs w:val="21"/>
        </w:rPr>
        <w:t>JJF 1101-2019《环境试验设备校准规范》</w:t>
      </w:r>
      <w:r>
        <w:rPr>
          <w:bCs/>
          <w:szCs w:val="21"/>
        </w:rPr>
        <w:t>，</w:t>
      </w:r>
      <w:r>
        <w:rPr>
          <w:rFonts w:hint="eastAsia"/>
          <w:bCs/>
          <w:szCs w:val="21"/>
        </w:rPr>
        <w:t>JJF 2019-2022《液体恒温试验设备温度性能测试规范》</w:t>
      </w:r>
    </w:p>
    <w:p>
      <w:pPr>
        <w:adjustRightInd w:val="0"/>
        <w:spacing w:line="360" w:lineRule="auto"/>
        <w:rPr>
          <w:rFonts w:ascii="黑体" w:hAnsi="宋体" w:eastAsia="黑体"/>
          <w:bCs/>
          <w:szCs w:val="21"/>
        </w:rPr>
      </w:pPr>
      <w:r>
        <w:rPr>
          <w:rFonts w:ascii="黑体" w:hAnsi="宋体" w:eastAsia="黑体"/>
          <w:bCs/>
          <w:szCs w:val="21"/>
        </w:rPr>
        <w:t>3.2</w:t>
      </w:r>
      <w:r>
        <w:rPr>
          <w:rFonts w:hint="eastAsia" w:ascii="黑体" w:hAnsi="宋体" w:eastAsia="黑体"/>
          <w:bCs/>
          <w:szCs w:val="21"/>
        </w:rPr>
        <w:t>与国际及国外同类标准水平的对比分析</w:t>
      </w:r>
    </w:p>
    <w:p>
      <w:pPr>
        <w:spacing w:line="360" w:lineRule="auto"/>
        <w:ind w:firstLine="420" w:firstLineChars="200"/>
        <w:rPr>
          <w:bCs/>
          <w:sz w:val="18"/>
        </w:rPr>
      </w:pPr>
      <w:r>
        <w:rPr>
          <w:rFonts w:hint="eastAsia" w:ascii="宋体" w:hAnsi="宋体"/>
          <w:bCs/>
          <w:szCs w:val="21"/>
        </w:rPr>
        <w:t>目前国外没有相关技术规范，本规范水平达到国外先进水平。</w:t>
      </w:r>
    </w:p>
    <w:p>
      <w:pPr>
        <w:pStyle w:val="74"/>
        <w:numPr>
          <w:ilvl w:val="0"/>
          <w:numId w:val="11"/>
        </w:numPr>
        <w:tabs>
          <w:tab w:val="left" w:pos="426"/>
        </w:tabs>
        <w:spacing w:before="312" w:beforeLines="100" w:after="312" w:afterLines="100"/>
        <w:ind w:left="420" w:hangingChars="200"/>
        <w:jc w:val="left"/>
        <w:rPr>
          <w:color w:val="000000" w:themeColor="text1"/>
          <w14:textFill>
            <w14:solidFill>
              <w14:schemeClr w14:val="tx1"/>
            </w14:solidFill>
          </w14:textFill>
        </w:rPr>
      </w:pPr>
      <w:r>
        <w:rPr>
          <w:rFonts w:hint="eastAsia" w:hAnsi="宋体"/>
          <w:bCs/>
          <w:color w:val="000000" w:themeColor="text1"/>
          <w:szCs w:val="21"/>
          <w14:textFill>
            <w14:solidFill>
              <w14:schemeClr w14:val="tx1"/>
            </w14:solidFill>
          </w14:textFill>
        </w:rPr>
        <w:t>与有关的现行法律、法规和强制性国家标准的关系</w:t>
      </w:r>
    </w:p>
    <w:p>
      <w:pPr>
        <w:pStyle w:val="58"/>
      </w:pPr>
      <w:r>
        <w:rPr>
          <w:rFonts w:hint="eastAsia"/>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pPr>
        <w:pStyle w:val="74"/>
        <w:numPr>
          <w:ilvl w:val="0"/>
          <w:numId w:val="11"/>
        </w:numPr>
        <w:tabs>
          <w:tab w:val="left" w:pos="426"/>
        </w:tabs>
        <w:spacing w:before="312" w:beforeLines="100" w:after="312" w:afterLines="100"/>
        <w:ind w:left="420" w:hangingChars="200"/>
        <w:jc w:val="left"/>
        <w:rPr>
          <w:color w:val="000000" w:themeColor="text1"/>
          <w14:textFill>
            <w14:solidFill>
              <w14:schemeClr w14:val="tx1"/>
            </w14:solidFill>
          </w14:textFill>
        </w:rPr>
      </w:pPr>
      <w:bookmarkStart w:id="74" w:name="_Toc464728973"/>
      <w:r>
        <w:rPr>
          <w:rFonts w:hint="eastAsia"/>
          <w:color w:val="000000" w:themeColor="text1"/>
          <w14:textFill>
            <w14:solidFill>
              <w14:schemeClr w14:val="tx1"/>
            </w14:solidFill>
          </w14:textFill>
        </w:rPr>
        <w:t>规范中涉及的专利或知识产权说明</w:t>
      </w:r>
      <w:bookmarkEnd w:id="74"/>
    </w:p>
    <w:p>
      <w:pPr>
        <w:pStyle w:val="58"/>
      </w:pPr>
      <w:bookmarkStart w:id="75" w:name="_Toc464728974"/>
      <w:r>
        <w:rPr>
          <w:rFonts w:hint="eastAsia"/>
        </w:rPr>
        <w:t>（无）</w:t>
      </w:r>
    </w:p>
    <w:p>
      <w:pPr>
        <w:pStyle w:val="74"/>
        <w:numPr>
          <w:ilvl w:val="0"/>
          <w:numId w:val="11"/>
        </w:numPr>
        <w:tabs>
          <w:tab w:val="left" w:pos="426"/>
        </w:tabs>
        <w:spacing w:before="312" w:beforeLines="100" w:after="312" w:afterLines="100"/>
        <w:ind w:left="420" w:hanging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重大分歧意见的处理经过和依据</w:t>
      </w:r>
      <w:bookmarkEnd w:id="75"/>
    </w:p>
    <w:p>
      <w:pPr>
        <w:pStyle w:val="58"/>
      </w:pPr>
      <w:r>
        <w:rPr>
          <w:rFonts w:hint="eastAsia"/>
        </w:rPr>
        <w:t>（无）</w:t>
      </w:r>
    </w:p>
    <w:p>
      <w:pPr>
        <w:pStyle w:val="74"/>
        <w:numPr>
          <w:ilvl w:val="0"/>
          <w:numId w:val="11"/>
        </w:numPr>
        <w:tabs>
          <w:tab w:val="left" w:pos="426"/>
        </w:tabs>
        <w:spacing w:before="312" w:beforeLines="100" w:after="312" w:afterLines="100"/>
        <w:ind w:left="420" w:hangingChars="200"/>
        <w:jc w:val="left"/>
      </w:pPr>
      <w:r>
        <w:rPr>
          <w:rFonts w:hint="eastAsia"/>
        </w:rPr>
        <w:t>规范作为强制性或推荐性国家（或行业）标准的建议</w:t>
      </w:r>
    </w:p>
    <w:p>
      <w:pPr>
        <w:adjustRightInd w:val="0"/>
        <w:spacing w:line="360" w:lineRule="auto"/>
        <w:ind w:firstLine="420" w:firstLineChars="200"/>
        <w:rPr>
          <w:rFonts w:hAnsi="宋体"/>
          <w:bCs/>
          <w:szCs w:val="21"/>
        </w:rPr>
      </w:pPr>
      <w:r>
        <w:rPr>
          <w:rFonts w:hint="eastAsia" w:hAnsi="宋体"/>
          <w:bCs/>
          <w:szCs w:val="21"/>
        </w:rPr>
        <w:t>建议本规范作为推荐性行业计量技术规范，供相关行业参考采用。</w:t>
      </w:r>
    </w:p>
    <w:p>
      <w:pPr>
        <w:pStyle w:val="74"/>
        <w:numPr>
          <w:ilvl w:val="0"/>
          <w:numId w:val="11"/>
        </w:numPr>
        <w:tabs>
          <w:tab w:val="left" w:pos="426"/>
        </w:tabs>
        <w:spacing w:before="312" w:beforeLines="100" w:after="312" w:afterLines="100"/>
        <w:ind w:left="420" w:hangingChars="200"/>
        <w:jc w:val="left"/>
      </w:pPr>
      <w:bookmarkStart w:id="76" w:name="_Toc464728976"/>
      <w:r>
        <w:rPr>
          <w:rFonts w:hint="eastAsia"/>
        </w:rPr>
        <w:t>贯彻规范的要求和措施建议</w:t>
      </w:r>
      <w:bookmarkEnd w:id="76"/>
    </w:p>
    <w:p>
      <w:pPr>
        <w:pStyle w:val="58"/>
      </w:pPr>
      <w:r>
        <w:rPr>
          <w:rFonts w:hint="eastAsia"/>
        </w:rPr>
        <w:t>本规范发布后，中国有色金属行业协会和有色金属行业计量技术委员会应加强本规范的宣传力度，促进生产厂家按照实际情况合理选用校准规程，以促进我国企业的技术进步和产品质量上档次，提高我国产品在国际国内市场的竞争能力。</w:t>
      </w:r>
    </w:p>
    <w:p>
      <w:pPr>
        <w:pStyle w:val="74"/>
        <w:numPr>
          <w:ilvl w:val="0"/>
          <w:numId w:val="11"/>
        </w:numPr>
        <w:tabs>
          <w:tab w:val="left" w:pos="426"/>
        </w:tabs>
        <w:spacing w:before="312" w:beforeLines="100" w:after="312" w:afterLines="100"/>
        <w:ind w:left="420" w:hangingChars="200"/>
        <w:jc w:val="left"/>
        <w:rPr>
          <w:color w:val="000000" w:themeColor="text1"/>
          <w14:textFill>
            <w14:solidFill>
              <w14:schemeClr w14:val="tx1"/>
            </w14:solidFill>
          </w14:textFill>
        </w:rPr>
      </w:pPr>
      <w:bookmarkStart w:id="77" w:name="_Toc464728977"/>
      <w:r>
        <w:rPr>
          <w:rFonts w:hint="eastAsia"/>
          <w:color w:val="000000" w:themeColor="text1"/>
          <w14:textFill>
            <w14:solidFill>
              <w14:schemeClr w14:val="tx1"/>
            </w14:solidFill>
          </w14:textFill>
        </w:rPr>
        <w:t>废止现行有关规范的建议</w:t>
      </w:r>
      <w:bookmarkEnd w:id="77"/>
    </w:p>
    <w:p>
      <w:pPr>
        <w:pStyle w:val="58"/>
      </w:pPr>
      <w:r>
        <w:rPr>
          <w:rFonts w:hint="eastAsia"/>
        </w:rPr>
        <w:t>（无）。</w:t>
      </w:r>
    </w:p>
    <w:p>
      <w:pPr>
        <w:pStyle w:val="74"/>
        <w:numPr>
          <w:ilvl w:val="0"/>
          <w:numId w:val="11"/>
        </w:numPr>
        <w:tabs>
          <w:tab w:val="left" w:pos="426"/>
        </w:tabs>
        <w:spacing w:before="312" w:beforeLines="100" w:after="312" w:afterLines="100"/>
        <w:ind w:left="420" w:hanging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预期效果</w:t>
      </w:r>
    </w:p>
    <w:p>
      <w:pPr>
        <w:pStyle w:val="58"/>
      </w:pPr>
      <w:r>
        <w:rPr>
          <w:rFonts w:hint="eastAsia"/>
        </w:rPr>
        <w:t>冲击试验低温槽校准规范的缺乏，已经无法满足日益增长的应用需求，本规范的制定，具有极大的经济效益和社会效益，填补了有色金属行业领域校准空白，对</w:t>
      </w:r>
      <w:r>
        <w:t>电火花检漏仪的校准</w:t>
      </w:r>
      <w:r>
        <w:rPr>
          <w:rFonts w:hint="eastAsia"/>
        </w:rPr>
        <w:t>在行业中的校准过程提供了技术支撑。</w:t>
      </w:r>
    </w:p>
    <w:p>
      <w:pPr>
        <w:pStyle w:val="74"/>
        <w:numPr>
          <w:ilvl w:val="0"/>
          <w:numId w:val="11"/>
        </w:numPr>
        <w:tabs>
          <w:tab w:val="left" w:pos="426"/>
        </w:tabs>
        <w:spacing w:before="312" w:beforeLines="100" w:after="312" w:afterLines="100"/>
        <w:ind w:left="420" w:hangingChars="200"/>
        <w:jc w:val="left"/>
      </w:pPr>
      <w:r>
        <w:rPr>
          <w:rFonts w:hint="eastAsia" w:hAnsi="宋体"/>
          <w:bCs/>
          <w:szCs w:val="21"/>
        </w:rPr>
        <w:t>其他应予说明的事项</w:t>
      </w:r>
    </w:p>
    <w:p>
      <w:pPr>
        <w:pStyle w:val="58"/>
      </w:pPr>
      <w:r>
        <w:rPr>
          <w:rFonts w:hint="eastAsia"/>
        </w:rPr>
        <w:t>（无）。</w:t>
      </w:r>
    </w:p>
    <w:p>
      <w:pPr>
        <w:pStyle w:val="58"/>
        <w:jc w:val="right"/>
      </w:pPr>
      <w:r>
        <w:rPr>
          <w:rFonts w:eastAsia="黑体"/>
        </w:rPr>
        <w:t xml:space="preserve">  </w:t>
      </w:r>
      <w:r>
        <w:t>《</w:t>
      </w:r>
      <w:r>
        <w:rPr>
          <w:rFonts w:hint="eastAsia"/>
        </w:rPr>
        <w:t>冲击试验低温槽</w:t>
      </w:r>
      <w:r>
        <w:t xml:space="preserve">校准规范》编制组  </w:t>
      </w:r>
      <w:r>
        <w:rPr>
          <w:rFonts w:hint="eastAsia"/>
        </w:rPr>
        <w:t>2024</w:t>
      </w:r>
      <w:r>
        <w:t>年</w:t>
      </w:r>
      <w:r>
        <w:rPr>
          <w:rFonts w:hint="eastAsia"/>
        </w:rPr>
        <w:t>03</w:t>
      </w:r>
      <w:r>
        <w:t>月</w:t>
      </w:r>
    </w:p>
    <w:p>
      <w:pPr>
        <w:pStyle w:val="58"/>
      </w:pP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rPr>
        <w:rStyle w:val="45"/>
      </w:rPr>
    </w:pPr>
    <w:r>
      <w:rPr>
        <w:rStyle w:val="45"/>
      </w:rPr>
      <w:fldChar w:fldCharType="begin"/>
    </w:r>
    <w:r>
      <w:rPr>
        <w:rStyle w:val="45"/>
      </w:rPr>
      <w:instrText xml:space="preserve">PAGE  </w:instrText>
    </w:r>
    <w:r>
      <w:rPr>
        <w:rStyle w:val="45"/>
      </w:rPr>
      <w:fldChar w:fldCharType="separate"/>
    </w:r>
    <w:r>
      <w:rPr>
        <w:rStyle w:val="45"/>
      </w:rPr>
      <w:t>I</w:t>
    </w:r>
    <w:r>
      <w:rPr>
        <w:rStyle w:val="4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rPr>
        <w:rStyle w:val="45"/>
      </w:rPr>
    </w:pPr>
    <w:r>
      <w:rPr>
        <w:rStyle w:val="45"/>
      </w:rPr>
      <w:fldChar w:fldCharType="begin"/>
    </w:r>
    <w:r>
      <w:rPr>
        <w:rStyle w:val="45"/>
      </w:rPr>
      <w:instrText xml:space="preserve">PAGE  </w:instrText>
    </w:r>
    <w:r>
      <w:rPr>
        <w:rStyle w:val="45"/>
      </w:rPr>
      <w:fldChar w:fldCharType="separate"/>
    </w:r>
    <w:r>
      <w:rPr>
        <w:rStyle w:val="45"/>
      </w:rPr>
      <w:t>II</w:t>
    </w:r>
    <w:r>
      <w:rPr>
        <w:rStyle w:val="4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jc w:val="center"/>
      <w:rPr>
        <w:rStyle w:val="45"/>
      </w:rPr>
    </w:pPr>
    <w:r>
      <w:fldChar w:fldCharType="begin"/>
    </w:r>
    <w:r>
      <w:rPr>
        <w:rStyle w:val="45"/>
      </w:rPr>
      <w:instrText xml:space="preserve">PAGE  </w:instrText>
    </w:r>
    <w:r>
      <w:fldChar w:fldCharType="separate"/>
    </w:r>
    <w:r>
      <w:rPr>
        <w:rStyle w:val="45"/>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7939"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284"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97947F5"/>
    <w:multiLevelType w:val="multilevel"/>
    <w:tmpl w:val="297947F5"/>
    <w:lvl w:ilvl="0" w:tentative="0">
      <w:start w:val="1"/>
      <w:numFmt w:val="japaneseCounting"/>
      <w:lvlText w:val="%1、"/>
      <w:lvlJc w:val="left"/>
      <w:pPr>
        <w:ind w:left="127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hideSpellingError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NDNlZWQxYmMyNTU4YWQ1OWIwMDVlZTVmMGE4NzAifQ=="/>
  </w:docVars>
  <w:rsids>
    <w:rsidRoot w:val="00693668"/>
    <w:rsid w:val="00001F60"/>
    <w:rsid w:val="000038F0"/>
    <w:rsid w:val="00004648"/>
    <w:rsid w:val="00013992"/>
    <w:rsid w:val="00014C66"/>
    <w:rsid w:val="000211BF"/>
    <w:rsid w:val="000237D4"/>
    <w:rsid w:val="0002700F"/>
    <w:rsid w:val="000309D7"/>
    <w:rsid w:val="00032AC7"/>
    <w:rsid w:val="00032F98"/>
    <w:rsid w:val="00034584"/>
    <w:rsid w:val="00036A21"/>
    <w:rsid w:val="00036F02"/>
    <w:rsid w:val="00040A01"/>
    <w:rsid w:val="0004299E"/>
    <w:rsid w:val="00043D6D"/>
    <w:rsid w:val="00057128"/>
    <w:rsid w:val="0005764E"/>
    <w:rsid w:val="000657B2"/>
    <w:rsid w:val="0006679C"/>
    <w:rsid w:val="0007070D"/>
    <w:rsid w:val="00073A74"/>
    <w:rsid w:val="00084878"/>
    <w:rsid w:val="000971D5"/>
    <w:rsid w:val="000A0366"/>
    <w:rsid w:val="000C772A"/>
    <w:rsid w:val="000D1F80"/>
    <w:rsid w:val="000F15FB"/>
    <w:rsid w:val="000F714B"/>
    <w:rsid w:val="00100912"/>
    <w:rsid w:val="00104CBC"/>
    <w:rsid w:val="001164A0"/>
    <w:rsid w:val="0012155C"/>
    <w:rsid w:val="00122AD8"/>
    <w:rsid w:val="00122CAF"/>
    <w:rsid w:val="00123CAD"/>
    <w:rsid w:val="00136813"/>
    <w:rsid w:val="0014120B"/>
    <w:rsid w:val="00150062"/>
    <w:rsid w:val="001527ED"/>
    <w:rsid w:val="0016493A"/>
    <w:rsid w:val="001859F4"/>
    <w:rsid w:val="0019431C"/>
    <w:rsid w:val="001A4F75"/>
    <w:rsid w:val="001B76E1"/>
    <w:rsid w:val="001C0648"/>
    <w:rsid w:val="001C13CE"/>
    <w:rsid w:val="001C7BB8"/>
    <w:rsid w:val="001D0501"/>
    <w:rsid w:val="001E0288"/>
    <w:rsid w:val="001E09C6"/>
    <w:rsid w:val="0020375B"/>
    <w:rsid w:val="00220437"/>
    <w:rsid w:val="00225EC9"/>
    <w:rsid w:val="00235374"/>
    <w:rsid w:val="00247A7D"/>
    <w:rsid w:val="00255EB1"/>
    <w:rsid w:val="002732FF"/>
    <w:rsid w:val="00275F7A"/>
    <w:rsid w:val="00280BE9"/>
    <w:rsid w:val="002849BB"/>
    <w:rsid w:val="00291548"/>
    <w:rsid w:val="002977EC"/>
    <w:rsid w:val="002A1305"/>
    <w:rsid w:val="002B225D"/>
    <w:rsid w:val="002D0634"/>
    <w:rsid w:val="002D16B1"/>
    <w:rsid w:val="002D2103"/>
    <w:rsid w:val="002E6C19"/>
    <w:rsid w:val="002F4E61"/>
    <w:rsid w:val="002F6135"/>
    <w:rsid w:val="003012C4"/>
    <w:rsid w:val="00305CB9"/>
    <w:rsid w:val="00307A90"/>
    <w:rsid w:val="00314BA2"/>
    <w:rsid w:val="0032338B"/>
    <w:rsid w:val="0033057E"/>
    <w:rsid w:val="003318C1"/>
    <w:rsid w:val="00335FEC"/>
    <w:rsid w:val="0034125E"/>
    <w:rsid w:val="00343AD0"/>
    <w:rsid w:val="00352269"/>
    <w:rsid w:val="00366AF1"/>
    <w:rsid w:val="00373555"/>
    <w:rsid w:val="00397407"/>
    <w:rsid w:val="003B0148"/>
    <w:rsid w:val="003B314C"/>
    <w:rsid w:val="003C2376"/>
    <w:rsid w:val="003C685D"/>
    <w:rsid w:val="003E10E7"/>
    <w:rsid w:val="003E237F"/>
    <w:rsid w:val="003F2C11"/>
    <w:rsid w:val="00400BF2"/>
    <w:rsid w:val="0040777C"/>
    <w:rsid w:val="00411DC2"/>
    <w:rsid w:val="00415481"/>
    <w:rsid w:val="0042558A"/>
    <w:rsid w:val="004257BB"/>
    <w:rsid w:val="00425D1F"/>
    <w:rsid w:val="004315D8"/>
    <w:rsid w:val="004508BB"/>
    <w:rsid w:val="00455FE9"/>
    <w:rsid w:val="0046211B"/>
    <w:rsid w:val="00464019"/>
    <w:rsid w:val="0048362B"/>
    <w:rsid w:val="00497039"/>
    <w:rsid w:val="004A27E5"/>
    <w:rsid w:val="004B1DE2"/>
    <w:rsid w:val="004B3BD5"/>
    <w:rsid w:val="004C6FDF"/>
    <w:rsid w:val="004E1361"/>
    <w:rsid w:val="004E4C45"/>
    <w:rsid w:val="004E5080"/>
    <w:rsid w:val="00521FA9"/>
    <w:rsid w:val="00526AEB"/>
    <w:rsid w:val="0052761B"/>
    <w:rsid w:val="005305AE"/>
    <w:rsid w:val="00531FA0"/>
    <w:rsid w:val="00536268"/>
    <w:rsid w:val="00536BFA"/>
    <w:rsid w:val="005535AA"/>
    <w:rsid w:val="0055489A"/>
    <w:rsid w:val="00556AC4"/>
    <w:rsid w:val="005608DA"/>
    <w:rsid w:val="00567271"/>
    <w:rsid w:val="005709C3"/>
    <w:rsid w:val="0059121E"/>
    <w:rsid w:val="00593500"/>
    <w:rsid w:val="005944B9"/>
    <w:rsid w:val="005B3A80"/>
    <w:rsid w:val="005B5BAB"/>
    <w:rsid w:val="005C0BE7"/>
    <w:rsid w:val="005C2448"/>
    <w:rsid w:val="005C769A"/>
    <w:rsid w:val="005D60F8"/>
    <w:rsid w:val="005D7687"/>
    <w:rsid w:val="005E67C7"/>
    <w:rsid w:val="005F42DD"/>
    <w:rsid w:val="005F759F"/>
    <w:rsid w:val="00601ADF"/>
    <w:rsid w:val="00606487"/>
    <w:rsid w:val="00623451"/>
    <w:rsid w:val="00624A40"/>
    <w:rsid w:val="00625140"/>
    <w:rsid w:val="00627726"/>
    <w:rsid w:val="00633572"/>
    <w:rsid w:val="00636E32"/>
    <w:rsid w:val="00637AB5"/>
    <w:rsid w:val="00640443"/>
    <w:rsid w:val="00644C6D"/>
    <w:rsid w:val="006510D6"/>
    <w:rsid w:val="00660A77"/>
    <w:rsid w:val="00667FDB"/>
    <w:rsid w:val="00672533"/>
    <w:rsid w:val="006738AA"/>
    <w:rsid w:val="00676748"/>
    <w:rsid w:val="006820CD"/>
    <w:rsid w:val="00683E68"/>
    <w:rsid w:val="00686643"/>
    <w:rsid w:val="00693668"/>
    <w:rsid w:val="006B3185"/>
    <w:rsid w:val="006B43C4"/>
    <w:rsid w:val="006B56BB"/>
    <w:rsid w:val="006C188A"/>
    <w:rsid w:val="006C2258"/>
    <w:rsid w:val="006C2AF8"/>
    <w:rsid w:val="006D1B98"/>
    <w:rsid w:val="006D7E99"/>
    <w:rsid w:val="006E11F0"/>
    <w:rsid w:val="00724E03"/>
    <w:rsid w:val="00733C71"/>
    <w:rsid w:val="00735A75"/>
    <w:rsid w:val="007373AB"/>
    <w:rsid w:val="00740702"/>
    <w:rsid w:val="00743BA2"/>
    <w:rsid w:val="00743BAC"/>
    <w:rsid w:val="00746BAC"/>
    <w:rsid w:val="00750ED3"/>
    <w:rsid w:val="00764D0A"/>
    <w:rsid w:val="00765621"/>
    <w:rsid w:val="00770269"/>
    <w:rsid w:val="007901C0"/>
    <w:rsid w:val="007902D1"/>
    <w:rsid w:val="007A3BEE"/>
    <w:rsid w:val="007C15E3"/>
    <w:rsid w:val="007E56C9"/>
    <w:rsid w:val="00804BC8"/>
    <w:rsid w:val="00817131"/>
    <w:rsid w:val="00820F69"/>
    <w:rsid w:val="00824B04"/>
    <w:rsid w:val="008353D7"/>
    <w:rsid w:val="008461B6"/>
    <w:rsid w:val="0085122B"/>
    <w:rsid w:val="0086056F"/>
    <w:rsid w:val="0086378F"/>
    <w:rsid w:val="00865F38"/>
    <w:rsid w:val="008754EE"/>
    <w:rsid w:val="00876D87"/>
    <w:rsid w:val="008840F2"/>
    <w:rsid w:val="008B22FC"/>
    <w:rsid w:val="008B38E0"/>
    <w:rsid w:val="008C672E"/>
    <w:rsid w:val="008C7D6D"/>
    <w:rsid w:val="008E415E"/>
    <w:rsid w:val="008F1961"/>
    <w:rsid w:val="008F5DCA"/>
    <w:rsid w:val="009034C1"/>
    <w:rsid w:val="009052E4"/>
    <w:rsid w:val="009111C1"/>
    <w:rsid w:val="00913ED1"/>
    <w:rsid w:val="00933D2C"/>
    <w:rsid w:val="009359EC"/>
    <w:rsid w:val="00944D55"/>
    <w:rsid w:val="00946B7D"/>
    <w:rsid w:val="009513C5"/>
    <w:rsid w:val="00954DA4"/>
    <w:rsid w:val="00967A11"/>
    <w:rsid w:val="00967BBB"/>
    <w:rsid w:val="00971240"/>
    <w:rsid w:val="009737CF"/>
    <w:rsid w:val="0098005C"/>
    <w:rsid w:val="00982373"/>
    <w:rsid w:val="00983855"/>
    <w:rsid w:val="009919FE"/>
    <w:rsid w:val="009A12AB"/>
    <w:rsid w:val="009B4929"/>
    <w:rsid w:val="009C0597"/>
    <w:rsid w:val="009C2D10"/>
    <w:rsid w:val="009C3FBE"/>
    <w:rsid w:val="009D79FA"/>
    <w:rsid w:val="009E3D09"/>
    <w:rsid w:val="009F420F"/>
    <w:rsid w:val="00A06113"/>
    <w:rsid w:val="00A11A21"/>
    <w:rsid w:val="00A12727"/>
    <w:rsid w:val="00A1378A"/>
    <w:rsid w:val="00A1497C"/>
    <w:rsid w:val="00A15577"/>
    <w:rsid w:val="00A30766"/>
    <w:rsid w:val="00A3211C"/>
    <w:rsid w:val="00A363F7"/>
    <w:rsid w:val="00A40585"/>
    <w:rsid w:val="00A40E4F"/>
    <w:rsid w:val="00A47FE2"/>
    <w:rsid w:val="00A56163"/>
    <w:rsid w:val="00A57E1E"/>
    <w:rsid w:val="00A77511"/>
    <w:rsid w:val="00A7790F"/>
    <w:rsid w:val="00A8043A"/>
    <w:rsid w:val="00A81133"/>
    <w:rsid w:val="00A8426B"/>
    <w:rsid w:val="00A86AF0"/>
    <w:rsid w:val="00A872B0"/>
    <w:rsid w:val="00A87866"/>
    <w:rsid w:val="00AA53FB"/>
    <w:rsid w:val="00AB1F90"/>
    <w:rsid w:val="00AC0924"/>
    <w:rsid w:val="00AC1E7A"/>
    <w:rsid w:val="00AD093B"/>
    <w:rsid w:val="00AE0B35"/>
    <w:rsid w:val="00AE47AC"/>
    <w:rsid w:val="00AF7111"/>
    <w:rsid w:val="00B056DA"/>
    <w:rsid w:val="00B05E25"/>
    <w:rsid w:val="00B07889"/>
    <w:rsid w:val="00B07D3B"/>
    <w:rsid w:val="00B369B6"/>
    <w:rsid w:val="00B43636"/>
    <w:rsid w:val="00B45E9C"/>
    <w:rsid w:val="00B53389"/>
    <w:rsid w:val="00B602BC"/>
    <w:rsid w:val="00B60FA7"/>
    <w:rsid w:val="00B614F2"/>
    <w:rsid w:val="00B706F7"/>
    <w:rsid w:val="00B7116A"/>
    <w:rsid w:val="00B75677"/>
    <w:rsid w:val="00B817F8"/>
    <w:rsid w:val="00BB316D"/>
    <w:rsid w:val="00BB4554"/>
    <w:rsid w:val="00BB7985"/>
    <w:rsid w:val="00BC66A0"/>
    <w:rsid w:val="00BC6B82"/>
    <w:rsid w:val="00BF4703"/>
    <w:rsid w:val="00C03A4F"/>
    <w:rsid w:val="00C058B2"/>
    <w:rsid w:val="00C10883"/>
    <w:rsid w:val="00C113A5"/>
    <w:rsid w:val="00C2681C"/>
    <w:rsid w:val="00C27739"/>
    <w:rsid w:val="00C3112F"/>
    <w:rsid w:val="00C34261"/>
    <w:rsid w:val="00C40CAE"/>
    <w:rsid w:val="00C5059F"/>
    <w:rsid w:val="00C53BDD"/>
    <w:rsid w:val="00C5550F"/>
    <w:rsid w:val="00C57BAB"/>
    <w:rsid w:val="00C66C85"/>
    <w:rsid w:val="00C70EA3"/>
    <w:rsid w:val="00C7537E"/>
    <w:rsid w:val="00C8056F"/>
    <w:rsid w:val="00C81A49"/>
    <w:rsid w:val="00C86EE5"/>
    <w:rsid w:val="00C968F9"/>
    <w:rsid w:val="00CB750D"/>
    <w:rsid w:val="00CB7CDF"/>
    <w:rsid w:val="00CC3C55"/>
    <w:rsid w:val="00CC3DDD"/>
    <w:rsid w:val="00CC491D"/>
    <w:rsid w:val="00CC52E3"/>
    <w:rsid w:val="00CD1DB4"/>
    <w:rsid w:val="00CD2D13"/>
    <w:rsid w:val="00CD759E"/>
    <w:rsid w:val="00CF3CAA"/>
    <w:rsid w:val="00D01726"/>
    <w:rsid w:val="00D16568"/>
    <w:rsid w:val="00D17115"/>
    <w:rsid w:val="00D25D69"/>
    <w:rsid w:val="00D436F5"/>
    <w:rsid w:val="00D6471A"/>
    <w:rsid w:val="00D71DEC"/>
    <w:rsid w:val="00D81C1D"/>
    <w:rsid w:val="00D85454"/>
    <w:rsid w:val="00D86648"/>
    <w:rsid w:val="00D903E4"/>
    <w:rsid w:val="00DA22D1"/>
    <w:rsid w:val="00DA3611"/>
    <w:rsid w:val="00DB4F65"/>
    <w:rsid w:val="00DD6769"/>
    <w:rsid w:val="00DD7D39"/>
    <w:rsid w:val="00DE144C"/>
    <w:rsid w:val="00E019C6"/>
    <w:rsid w:val="00E22714"/>
    <w:rsid w:val="00E23465"/>
    <w:rsid w:val="00E31A7B"/>
    <w:rsid w:val="00E32480"/>
    <w:rsid w:val="00E544F0"/>
    <w:rsid w:val="00E71DCC"/>
    <w:rsid w:val="00E734F2"/>
    <w:rsid w:val="00E82471"/>
    <w:rsid w:val="00E911BC"/>
    <w:rsid w:val="00EB2994"/>
    <w:rsid w:val="00EC149D"/>
    <w:rsid w:val="00ED5F91"/>
    <w:rsid w:val="00ED67DD"/>
    <w:rsid w:val="00EE0476"/>
    <w:rsid w:val="00EE5988"/>
    <w:rsid w:val="00F00662"/>
    <w:rsid w:val="00F10C9E"/>
    <w:rsid w:val="00F13CE4"/>
    <w:rsid w:val="00F14A09"/>
    <w:rsid w:val="00F22B01"/>
    <w:rsid w:val="00F32186"/>
    <w:rsid w:val="00F3447A"/>
    <w:rsid w:val="00F45BA8"/>
    <w:rsid w:val="00F507FB"/>
    <w:rsid w:val="00F533AD"/>
    <w:rsid w:val="00F5644A"/>
    <w:rsid w:val="00F7167F"/>
    <w:rsid w:val="00F71F31"/>
    <w:rsid w:val="00F7369D"/>
    <w:rsid w:val="00F80059"/>
    <w:rsid w:val="00F812C6"/>
    <w:rsid w:val="00F91E84"/>
    <w:rsid w:val="00FA483E"/>
    <w:rsid w:val="00FA4CA4"/>
    <w:rsid w:val="00FA6198"/>
    <w:rsid w:val="00FA7260"/>
    <w:rsid w:val="00FC7BF3"/>
    <w:rsid w:val="00FD235D"/>
    <w:rsid w:val="00FD7FCA"/>
    <w:rsid w:val="00FE0C1C"/>
    <w:rsid w:val="00FE17CA"/>
    <w:rsid w:val="00FE1932"/>
    <w:rsid w:val="00FE1A74"/>
    <w:rsid w:val="00FE36D2"/>
    <w:rsid w:val="00FE4ACB"/>
    <w:rsid w:val="00FF5630"/>
    <w:rsid w:val="01391B68"/>
    <w:rsid w:val="02F703B0"/>
    <w:rsid w:val="07DC0ED5"/>
    <w:rsid w:val="0904785D"/>
    <w:rsid w:val="09573966"/>
    <w:rsid w:val="0A781AE7"/>
    <w:rsid w:val="0CCA0314"/>
    <w:rsid w:val="0D975F7E"/>
    <w:rsid w:val="12995D7D"/>
    <w:rsid w:val="13AE36C8"/>
    <w:rsid w:val="14317D7D"/>
    <w:rsid w:val="14FE0CE9"/>
    <w:rsid w:val="158E7867"/>
    <w:rsid w:val="174C2AB4"/>
    <w:rsid w:val="1EF56F43"/>
    <w:rsid w:val="1F5A1A25"/>
    <w:rsid w:val="1F714057"/>
    <w:rsid w:val="208E75B3"/>
    <w:rsid w:val="218A16C9"/>
    <w:rsid w:val="21BE3478"/>
    <w:rsid w:val="21D04080"/>
    <w:rsid w:val="22423DCF"/>
    <w:rsid w:val="23A74BBD"/>
    <w:rsid w:val="23D43A72"/>
    <w:rsid w:val="29846CB3"/>
    <w:rsid w:val="29936EB5"/>
    <w:rsid w:val="29E46257"/>
    <w:rsid w:val="2A4110A1"/>
    <w:rsid w:val="2AB85E2C"/>
    <w:rsid w:val="2C281A12"/>
    <w:rsid w:val="2F4F68AC"/>
    <w:rsid w:val="2FBE527A"/>
    <w:rsid w:val="31B57A58"/>
    <w:rsid w:val="325F3B1A"/>
    <w:rsid w:val="33107F2E"/>
    <w:rsid w:val="34745E77"/>
    <w:rsid w:val="36AE69D8"/>
    <w:rsid w:val="38B6063A"/>
    <w:rsid w:val="39E63C45"/>
    <w:rsid w:val="3A910669"/>
    <w:rsid w:val="3BFA1058"/>
    <w:rsid w:val="3EBA5BC3"/>
    <w:rsid w:val="420E5348"/>
    <w:rsid w:val="44100726"/>
    <w:rsid w:val="44347A9B"/>
    <w:rsid w:val="456D3D97"/>
    <w:rsid w:val="45E87405"/>
    <w:rsid w:val="46474D73"/>
    <w:rsid w:val="464E6392"/>
    <w:rsid w:val="48BE5C4B"/>
    <w:rsid w:val="48D21D3E"/>
    <w:rsid w:val="49214E6F"/>
    <w:rsid w:val="4D432356"/>
    <w:rsid w:val="4E3430C7"/>
    <w:rsid w:val="52A97DDB"/>
    <w:rsid w:val="52CC2B54"/>
    <w:rsid w:val="56154CA2"/>
    <w:rsid w:val="58B15E13"/>
    <w:rsid w:val="5A931503"/>
    <w:rsid w:val="5A971C98"/>
    <w:rsid w:val="5AFA5C95"/>
    <w:rsid w:val="5CDE078E"/>
    <w:rsid w:val="5DC655CC"/>
    <w:rsid w:val="5F776EED"/>
    <w:rsid w:val="605176D9"/>
    <w:rsid w:val="63F828E6"/>
    <w:rsid w:val="654D6460"/>
    <w:rsid w:val="67357B43"/>
    <w:rsid w:val="6A185E9C"/>
    <w:rsid w:val="6AB57C02"/>
    <w:rsid w:val="6B27051F"/>
    <w:rsid w:val="6B753BDA"/>
    <w:rsid w:val="6B770841"/>
    <w:rsid w:val="6E8A0C2B"/>
    <w:rsid w:val="6EF60757"/>
    <w:rsid w:val="70FA146A"/>
    <w:rsid w:val="710228B1"/>
    <w:rsid w:val="73A7009A"/>
    <w:rsid w:val="73B95B2E"/>
    <w:rsid w:val="74130018"/>
    <w:rsid w:val="77CE2BEC"/>
    <w:rsid w:val="7AC757F1"/>
    <w:rsid w:val="7BA80065"/>
    <w:rsid w:val="7D6B27F5"/>
    <w:rsid w:val="7D700DB4"/>
    <w:rsid w:val="7E071551"/>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iPriority="99"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06"/>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307"/>
    <w:autoRedefine/>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2" w:lineRule="auto"/>
      <w:outlineLvl w:val="4"/>
    </w:pPr>
    <w:rPr>
      <w:b/>
      <w:bCs/>
      <w:sz w:val="28"/>
      <w:szCs w:val="28"/>
    </w:rPr>
  </w:style>
  <w:style w:type="paragraph" w:styleId="7">
    <w:name w:val="heading 6"/>
    <w:basedOn w:val="1"/>
    <w:next w:val="1"/>
    <w:autoRedefine/>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autoRedefine/>
    <w:qFormat/>
    <w:uiPriority w:val="0"/>
    <w:pPr>
      <w:keepNext/>
      <w:keepLines/>
      <w:spacing w:before="240" w:after="64" w:line="317" w:lineRule="auto"/>
      <w:outlineLvl w:val="6"/>
    </w:pPr>
    <w:rPr>
      <w:b/>
      <w:bCs/>
      <w:sz w:val="24"/>
    </w:rPr>
  </w:style>
  <w:style w:type="paragraph" w:styleId="9">
    <w:name w:val="heading 8"/>
    <w:basedOn w:val="1"/>
    <w:next w:val="1"/>
    <w:autoRedefine/>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autoRedefine/>
    <w:qFormat/>
    <w:uiPriority w:val="0"/>
  </w:style>
  <w:style w:type="paragraph" w:styleId="12">
    <w:name w:val="toc 6"/>
    <w:basedOn w:val="13"/>
    <w:next w:val="1"/>
    <w:autoRedefine/>
    <w:qFormat/>
    <w:uiPriority w:val="0"/>
  </w:style>
  <w:style w:type="paragraph" w:styleId="13">
    <w:name w:val="toc 5"/>
    <w:basedOn w:val="14"/>
    <w:next w:val="1"/>
    <w:autoRedefine/>
    <w:qFormat/>
    <w:uiPriority w:val="0"/>
  </w:style>
  <w:style w:type="paragraph" w:styleId="14">
    <w:name w:val="toc 4"/>
    <w:basedOn w:val="15"/>
    <w:next w:val="1"/>
    <w:autoRedefine/>
    <w:qFormat/>
    <w:uiPriority w:val="0"/>
  </w:style>
  <w:style w:type="paragraph" w:styleId="15">
    <w:name w:val="toc 3"/>
    <w:basedOn w:val="16"/>
    <w:next w:val="1"/>
    <w:autoRedefine/>
    <w:qFormat/>
    <w:uiPriority w:val="39"/>
  </w:style>
  <w:style w:type="paragraph" w:styleId="16">
    <w:name w:val="toc 2"/>
    <w:basedOn w:val="17"/>
    <w:next w:val="1"/>
    <w:autoRedefine/>
    <w:qFormat/>
    <w:uiPriority w:val="39"/>
  </w:style>
  <w:style w:type="paragraph" w:styleId="17">
    <w:name w:val="toc 1"/>
    <w:next w:val="1"/>
    <w:autoRedefine/>
    <w:qFormat/>
    <w:uiPriority w:val="39"/>
    <w:pPr>
      <w:jc w:val="both"/>
    </w:pPr>
    <w:rPr>
      <w:rFonts w:ascii="宋体" w:hAnsi="Times New Roman" w:eastAsia="宋体" w:cs="Times New Roman"/>
      <w:sz w:val="21"/>
      <w:lang w:val="en-US" w:eastAsia="zh-CN" w:bidi="ar-SA"/>
    </w:rPr>
  </w:style>
  <w:style w:type="paragraph" w:styleId="18">
    <w:name w:val="Normal Indent"/>
    <w:basedOn w:val="1"/>
    <w:autoRedefine/>
    <w:qFormat/>
    <w:uiPriority w:val="0"/>
    <w:pPr>
      <w:ind w:firstLine="420"/>
    </w:pPr>
    <w:rPr>
      <w:szCs w:val="20"/>
    </w:rPr>
  </w:style>
  <w:style w:type="paragraph" w:styleId="19">
    <w:name w:val="caption"/>
    <w:basedOn w:val="1"/>
    <w:next w:val="1"/>
    <w:autoRedefine/>
    <w:qFormat/>
    <w:uiPriority w:val="0"/>
    <w:pPr>
      <w:spacing w:before="152" w:after="160"/>
    </w:pPr>
    <w:rPr>
      <w:rFonts w:ascii="Arial" w:hAnsi="Arial" w:eastAsia="黑体"/>
      <w:szCs w:val="20"/>
    </w:rPr>
  </w:style>
  <w:style w:type="paragraph" w:styleId="20">
    <w:name w:val="annotation text"/>
    <w:basedOn w:val="1"/>
    <w:link w:val="288"/>
    <w:autoRedefine/>
    <w:qFormat/>
    <w:uiPriority w:val="0"/>
    <w:pPr>
      <w:jc w:val="left"/>
    </w:pPr>
  </w:style>
  <w:style w:type="paragraph" w:styleId="21">
    <w:name w:val="Body Text"/>
    <w:basedOn w:val="1"/>
    <w:link w:val="283"/>
    <w:autoRedefine/>
    <w:qFormat/>
    <w:uiPriority w:val="0"/>
    <w:pPr>
      <w:spacing w:after="120"/>
    </w:pPr>
  </w:style>
  <w:style w:type="paragraph" w:styleId="22">
    <w:name w:val="Body Text Indent"/>
    <w:basedOn w:val="1"/>
    <w:link w:val="286"/>
    <w:autoRedefine/>
    <w:qFormat/>
    <w:uiPriority w:val="0"/>
    <w:pPr>
      <w:spacing w:line="360" w:lineRule="exact"/>
      <w:ind w:left="420" w:firstLine="480"/>
    </w:pPr>
    <w:rPr>
      <w:sz w:val="24"/>
      <w:szCs w:val="20"/>
    </w:rPr>
  </w:style>
  <w:style w:type="paragraph" w:styleId="23">
    <w:name w:val="HTML Address"/>
    <w:basedOn w:val="1"/>
    <w:autoRedefine/>
    <w:qFormat/>
    <w:uiPriority w:val="0"/>
    <w:rPr>
      <w:i/>
      <w:iCs/>
    </w:rPr>
  </w:style>
  <w:style w:type="paragraph" w:styleId="24">
    <w:name w:val="Plain Text"/>
    <w:basedOn w:val="1"/>
    <w:link w:val="280"/>
    <w:autoRedefine/>
    <w:qFormat/>
    <w:uiPriority w:val="99"/>
    <w:rPr>
      <w:rFonts w:ascii="宋体" w:hAnsi="Courier New"/>
      <w:szCs w:val="21"/>
    </w:rPr>
  </w:style>
  <w:style w:type="paragraph" w:styleId="25">
    <w:name w:val="toc 8"/>
    <w:basedOn w:val="11"/>
    <w:next w:val="1"/>
    <w:autoRedefine/>
    <w:qFormat/>
    <w:uiPriority w:val="0"/>
  </w:style>
  <w:style w:type="paragraph" w:styleId="26">
    <w:name w:val="Date"/>
    <w:basedOn w:val="1"/>
    <w:next w:val="1"/>
    <w:link w:val="292"/>
    <w:autoRedefine/>
    <w:qFormat/>
    <w:uiPriority w:val="99"/>
    <w:pPr>
      <w:ind w:left="100" w:leftChars="2500"/>
    </w:pPr>
    <w:rPr>
      <w:sz w:val="24"/>
      <w:szCs w:val="20"/>
    </w:rPr>
  </w:style>
  <w:style w:type="paragraph" w:styleId="27">
    <w:name w:val="Body Text Indent 2"/>
    <w:basedOn w:val="1"/>
    <w:link w:val="291"/>
    <w:autoRedefine/>
    <w:qFormat/>
    <w:uiPriority w:val="0"/>
    <w:pPr>
      <w:spacing w:after="120" w:line="480" w:lineRule="auto"/>
      <w:ind w:left="420" w:leftChars="200"/>
    </w:pPr>
  </w:style>
  <w:style w:type="paragraph" w:styleId="28">
    <w:name w:val="endnote text"/>
    <w:basedOn w:val="1"/>
    <w:autoRedefine/>
    <w:qFormat/>
    <w:uiPriority w:val="0"/>
    <w:pPr>
      <w:snapToGrid w:val="0"/>
    </w:pPr>
  </w:style>
  <w:style w:type="paragraph" w:styleId="29">
    <w:name w:val="Balloon Text"/>
    <w:basedOn w:val="1"/>
    <w:link w:val="282"/>
    <w:autoRedefine/>
    <w:qFormat/>
    <w:uiPriority w:val="0"/>
    <w:rPr>
      <w:sz w:val="18"/>
      <w:szCs w:val="18"/>
    </w:rPr>
  </w:style>
  <w:style w:type="paragraph" w:styleId="30">
    <w:name w:val="footer"/>
    <w:basedOn w:val="1"/>
    <w:link w:val="285"/>
    <w:autoRedefine/>
    <w:qFormat/>
    <w:uiPriority w:val="0"/>
    <w:pPr>
      <w:tabs>
        <w:tab w:val="center" w:pos="4153"/>
        <w:tab w:val="right" w:pos="8306"/>
      </w:tabs>
      <w:snapToGrid w:val="0"/>
      <w:ind w:right="210" w:rightChars="100"/>
      <w:jc w:val="right"/>
    </w:pPr>
    <w:rPr>
      <w:sz w:val="18"/>
      <w:szCs w:val="18"/>
    </w:rPr>
  </w:style>
  <w:style w:type="paragraph" w:styleId="31">
    <w:name w:val="header"/>
    <w:basedOn w:val="1"/>
    <w:link w:val="290"/>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309"/>
    <w:autoRedefine/>
    <w:qFormat/>
    <w:uiPriority w:val="0"/>
    <w:pPr>
      <w:snapToGrid w:val="0"/>
      <w:jc w:val="left"/>
    </w:pPr>
    <w:rPr>
      <w:sz w:val="18"/>
      <w:szCs w:val="18"/>
    </w:rPr>
  </w:style>
  <w:style w:type="paragraph" w:styleId="33">
    <w:name w:val="Body Text Indent 3"/>
    <w:basedOn w:val="1"/>
    <w:autoRedefine/>
    <w:qFormat/>
    <w:uiPriority w:val="0"/>
    <w:pPr>
      <w:widowControl/>
      <w:spacing w:line="360" w:lineRule="auto"/>
      <w:ind w:firstLine="420"/>
    </w:pPr>
    <w:rPr>
      <w:rFonts w:hAnsi="宋体"/>
      <w:sz w:val="18"/>
    </w:rPr>
  </w:style>
  <w:style w:type="paragraph" w:styleId="34">
    <w:name w:val="toc 9"/>
    <w:basedOn w:val="25"/>
    <w:next w:val="1"/>
    <w:autoRedefine/>
    <w:qFormat/>
    <w:uiPriority w:val="0"/>
  </w:style>
  <w:style w:type="paragraph" w:styleId="35">
    <w:name w:val="Body Text 2"/>
    <w:basedOn w:val="1"/>
    <w:autoRedefine/>
    <w:semiHidden/>
    <w:unhideWhenUsed/>
    <w:qFormat/>
    <w:uiPriority w:val="99"/>
    <w:pPr>
      <w:spacing w:after="120" w:line="480" w:lineRule="auto"/>
    </w:pPr>
  </w:style>
  <w:style w:type="paragraph" w:styleId="36">
    <w:name w:val="HTML Preformatted"/>
    <w:basedOn w:val="1"/>
    <w:autoRedefine/>
    <w:qFormat/>
    <w:uiPriority w:val="0"/>
    <w:rPr>
      <w:rFonts w:ascii="Courier New" w:hAnsi="Courier New" w:cs="Courier New"/>
      <w:sz w:val="20"/>
      <w:szCs w:val="20"/>
    </w:rPr>
  </w:style>
  <w:style w:type="paragraph" w:styleId="3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autoRedefine/>
    <w:qFormat/>
    <w:uiPriority w:val="0"/>
    <w:pPr>
      <w:spacing w:before="240" w:after="60"/>
      <w:jc w:val="center"/>
      <w:outlineLvl w:val="0"/>
    </w:pPr>
    <w:rPr>
      <w:rFonts w:ascii="Arial" w:hAnsi="Arial" w:cs="Arial"/>
      <w:b/>
      <w:bCs/>
      <w:sz w:val="32"/>
      <w:szCs w:val="32"/>
    </w:rPr>
  </w:style>
  <w:style w:type="paragraph" w:styleId="39">
    <w:name w:val="annotation subject"/>
    <w:basedOn w:val="20"/>
    <w:next w:val="20"/>
    <w:link w:val="289"/>
    <w:autoRedefine/>
    <w:qFormat/>
    <w:uiPriority w:val="0"/>
    <w:rPr>
      <w:b/>
      <w:bCs/>
    </w:rPr>
  </w:style>
  <w:style w:type="paragraph" w:styleId="40">
    <w:name w:val="Body Text First Indent"/>
    <w:basedOn w:val="21"/>
    <w:autoRedefine/>
    <w:qFormat/>
    <w:uiPriority w:val="0"/>
    <w:pPr>
      <w:ind w:firstLine="420"/>
    </w:pPr>
    <w:rPr>
      <w:szCs w:val="20"/>
    </w:rPr>
  </w:style>
  <w:style w:type="table" w:styleId="42">
    <w:name w:val="Table Grid"/>
    <w:basedOn w:val="4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4">
    <w:name w:val="Strong"/>
    <w:autoRedefine/>
    <w:qFormat/>
    <w:uiPriority w:val="22"/>
    <w:rPr>
      <w:b/>
      <w:bCs/>
    </w:rPr>
  </w:style>
  <w:style w:type="character" w:styleId="45">
    <w:name w:val="page number"/>
    <w:autoRedefine/>
    <w:qFormat/>
    <w:uiPriority w:val="0"/>
    <w:rPr>
      <w:rFonts w:ascii="Times New Roman" w:hAnsi="Times New Roman" w:eastAsia="宋体"/>
      <w:sz w:val="18"/>
    </w:rPr>
  </w:style>
  <w:style w:type="character" w:styleId="46">
    <w:name w:val="FollowedHyperlink"/>
    <w:autoRedefine/>
    <w:unhideWhenUsed/>
    <w:qFormat/>
    <w:uiPriority w:val="0"/>
    <w:rPr>
      <w:color w:val="800080"/>
      <w:u w:val="single"/>
    </w:rPr>
  </w:style>
  <w:style w:type="character" w:styleId="47">
    <w:name w:val="HTML Definition"/>
    <w:autoRedefine/>
    <w:qFormat/>
    <w:uiPriority w:val="0"/>
    <w:rPr>
      <w:i/>
      <w:iCs/>
    </w:rPr>
  </w:style>
  <w:style w:type="character" w:styleId="48">
    <w:name w:val="HTML Typewriter"/>
    <w:autoRedefine/>
    <w:qFormat/>
    <w:uiPriority w:val="0"/>
    <w:rPr>
      <w:rFonts w:ascii="Courier New" w:hAnsi="Courier New"/>
      <w:sz w:val="20"/>
      <w:szCs w:val="20"/>
    </w:rPr>
  </w:style>
  <w:style w:type="character" w:styleId="49">
    <w:name w:val="HTML Acronym"/>
    <w:basedOn w:val="43"/>
    <w:autoRedefine/>
    <w:qFormat/>
    <w:uiPriority w:val="0"/>
  </w:style>
  <w:style w:type="character" w:styleId="50">
    <w:name w:val="HTML Variable"/>
    <w:autoRedefine/>
    <w:qFormat/>
    <w:uiPriority w:val="0"/>
    <w:rPr>
      <w:i/>
      <w:iCs/>
    </w:rPr>
  </w:style>
  <w:style w:type="character" w:styleId="51">
    <w:name w:val="Hyperlink"/>
    <w:basedOn w:val="43"/>
    <w:autoRedefine/>
    <w:qFormat/>
    <w:uiPriority w:val="99"/>
    <w:rPr>
      <w:rFonts w:ascii="Times New Roman" w:hAnsi="Times New Roman" w:eastAsia="宋体"/>
      <w:color w:val="auto"/>
      <w:spacing w:val="0"/>
      <w:w w:val="100"/>
      <w:position w:val="0"/>
      <w:sz w:val="21"/>
      <w:u w:val="none"/>
    </w:rPr>
  </w:style>
  <w:style w:type="character" w:styleId="52">
    <w:name w:val="HTML Code"/>
    <w:autoRedefine/>
    <w:qFormat/>
    <w:uiPriority w:val="0"/>
    <w:rPr>
      <w:rFonts w:ascii="Courier New" w:hAnsi="Courier New"/>
      <w:sz w:val="20"/>
      <w:szCs w:val="20"/>
    </w:rPr>
  </w:style>
  <w:style w:type="character" w:styleId="53">
    <w:name w:val="annotation reference"/>
    <w:autoRedefine/>
    <w:qFormat/>
    <w:uiPriority w:val="0"/>
    <w:rPr>
      <w:sz w:val="21"/>
      <w:szCs w:val="21"/>
    </w:rPr>
  </w:style>
  <w:style w:type="character" w:styleId="54">
    <w:name w:val="HTML Cite"/>
    <w:autoRedefine/>
    <w:qFormat/>
    <w:uiPriority w:val="0"/>
    <w:rPr>
      <w:i/>
      <w:iCs/>
    </w:rPr>
  </w:style>
  <w:style w:type="character" w:styleId="55">
    <w:name w:val="footnote reference"/>
    <w:autoRedefine/>
    <w:qFormat/>
    <w:uiPriority w:val="0"/>
    <w:rPr>
      <w:vertAlign w:val="superscript"/>
    </w:rPr>
  </w:style>
  <w:style w:type="character" w:styleId="56">
    <w:name w:val="HTML Keyboard"/>
    <w:autoRedefine/>
    <w:qFormat/>
    <w:uiPriority w:val="0"/>
    <w:rPr>
      <w:rFonts w:ascii="Courier New" w:hAnsi="Courier New"/>
      <w:sz w:val="20"/>
      <w:szCs w:val="20"/>
    </w:rPr>
  </w:style>
  <w:style w:type="character" w:styleId="57">
    <w:name w:val="HTML Sample"/>
    <w:autoRedefine/>
    <w:qFormat/>
    <w:uiPriority w:val="0"/>
    <w:rPr>
      <w:rFonts w:ascii="Courier New" w:hAnsi="Courier New"/>
    </w:rPr>
  </w:style>
  <w:style w:type="paragraph" w:customStyle="1" w:styleId="58">
    <w:name w:val="段"/>
    <w:link w:val="275"/>
    <w:autoRedefine/>
    <w:qFormat/>
    <w:uiPriority w:val="0"/>
    <w:pPr>
      <w:autoSpaceDE w:val="0"/>
      <w:autoSpaceDN w:val="0"/>
      <w:adjustRightInd w:val="0"/>
      <w:snapToGrid w:val="0"/>
      <w:spacing w:line="324" w:lineRule="auto"/>
      <w:ind w:firstLine="400"/>
      <w:jc w:val="both"/>
    </w:pP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style>
  <w:style w:type="paragraph" w:customStyle="1" w:styleId="59">
    <w:name w:val="二级条标题"/>
    <w:basedOn w:val="60"/>
    <w:next w:val="58"/>
    <w:link w:val="277"/>
    <w:autoRedefine/>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60">
    <w:name w:val="一级条标题"/>
    <w:basedOn w:val="61"/>
    <w:next w:val="58"/>
    <w:link w:val="279"/>
    <w:autoRedefine/>
    <w:qFormat/>
    <w:uiPriority w:val="0"/>
    <w:pPr>
      <w:numPr>
        <w:ilvl w:val="2"/>
      </w:numPr>
      <w:spacing w:beforeLines="0" w:afterLines="0" w:line="300" w:lineRule="auto"/>
      <w:outlineLvl w:val="2"/>
    </w:pPr>
    <w:rPr>
      <w:color w:val="FF0000"/>
      <w:spacing w:val="-4"/>
      <w:szCs w:val="24"/>
    </w:rPr>
  </w:style>
  <w:style w:type="paragraph" w:customStyle="1" w:styleId="61">
    <w:name w:val="章标题"/>
    <w:next w:val="58"/>
    <w:link w:val="278"/>
    <w:autoRedefine/>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2">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autoRedefine/>
    <w:qFormat/>
    <w:uiPriority w:val="0"/>
    <w:pPr>
      <w:adjustRightInd w:val="0"/>
      <w:spacing w:before="357" w:line="280" w:lineRule="exact"/>
    </w:pPr>
  </w:style>
  <w:style w:type="paragraph" w:customStyle="1" w:styleId="64">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autoRedefine/>
    <w:qFormat/>
    <w:uiPriority w:val="0"/>
    <w:pPr>
      <w:numPr>
        <w:ilvl w:val="0"/>
        <w:numId w:val="2"/>
      </w:numPr>
      <w:tabs>
        <w:tab w:val="left" w:pos="6405"/>
      </w:tabs>
      <w:spacing w:after="200"/>
    </w:pPr>
    <w:rPr>
      <w:sz w:val="21"/>
    </w:rPr>
  </w:style>
  <w:style w:type="paragraph" w:customStyle="1" w:styleId="66">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autoRedefine/>
    <w:qFormat/>
    <w:uiPriority w:val="0"/>
    <w:pPr>
      <w:numPr>
        <w:ilvl w:val="5"/>
      </w:numPr>
      <w:outlineLvl w:val="5"/>
    </w:pPr>
  </w:style>
  <w:style w:type="paragraph" w:customStyle="1" w:styleId="71">
    <w:name w:val="三级条标题"/>
    <w:basedOn w:val="59"/>
    <w:next w:val="58"/>
    <w:link w:val="281"/>
    <w:autoRedefine/>
    <w:qFormat/>
    <w:uiPriority w:val="0"/>
    <w:pPr>
      <w:numPr>
        <w:ilvl w:val="4"/>
      </w:numPr>
      <w:outlineLvl w:val="4"/>
    </w:pPr>
  </w:style>
  <w:style w:type="paragraph" w:customStyle="1" w:styleId="72">
    <w:name w:val="列项——"/>
    <w:autoRedefine/>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autoRedefine/>
    <w:qFormat/>
    <w:uiPriority w:val="0"/>
    <w:pPr>
      <w:numPr>
        <w:numId w:val="0"/>
      </w:numPr>
      <w:spacing w:after="200"/>
    </w:pPr>
    <w:rPr>
      <w:sz w:val="21"/>
    </w:rPr>
  </w:style>
  <w:style w:type="paragraph" w:customStyle="1" w:styleId="75">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autoRedefine/>
    <w:qFormat/>
    <w:uiPriority w:val="0"/>
    <w:pPr>
      <w:jc w:val="right"/>
    </w:pPr>
  </w:style>
  <w:style w:type="paragraph" w:customStyle="1" w:styleId="77">
    <w:name w:val="发布日期"/>
    <w:qFormat/>
    <w:uiPriority w:val="0"/>
    <w:rPr>
      <w:rFonts w:ascii="Times New Roman" w:hAnsi="Times New Roman" w:eastAsia="黑体" w:cs="Times New Roman"/>
      <w:sz w:val="28"/>
      <w:lang w:val="en-US" w:eastAsia="zh-CN" w:bidi="ar-SA"/>
    </w:rPr>
  </w:style>
  <w:style w:type="paragraph" w:customStyle="1" w:styleId="78">
    <w:name w:val="条文脚注"/>
    <w:basedOn w:val="32"/>
    <w:autoRedefine/>
    <w:qFormat/>
    <w:uiPriority w:val="0"/>
    <w:pPr>
      <w:ind w:left="780" w:leftChars="200" w:hanging="360" w:hangingChars="200"/>
      <w:jc w:val="both"/>
    </w:pPr>
    <w:rPr>
      <w:rFonts w:ascii="宋体"/>
    </w:rPr>
  </w:style>
  <w:style w:type="paragraph" w:customStyle="1" w:styleId="79">
    <w:name w:val="附录章标题"/>
    <w:next w:val="58"/>
    <w:autoRedefine/>
    <w:qFormat/>
    <w:uiPriority w:val="0"/>
    <w:pPr>
      <w:numPr>
        <w:ilvl w:val="1"/>
        <w:numId w:val="2"/>
      </w:numPr>
      <w:wordWrap w:val="0"/>
      <w:overflowPunct w:val="0"/>
      <w:autoSpaceDE w:val="0"/>
      <w:spacing w:before="312" w:beforeLines="100" w:after="312" w:afterLines="100"/>
      <w:ind w:left="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autoRedefine/>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autoRedefine/>
    <w:qFormat/>
    <w:uiPriority w:val="0"/>
    <w:pPr>
      <w:numPr>
        <w:ilvl w:val="6"/>
        <w:numId w:val="5"/>
      </w:numPr>
    </w:pPr>
  </w:style>
  <w:style w:type="paragraph" w:customStyle="1" w:styleId="84">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qFormat/>
    <w:uiPriority w:val="0"/>
    <w:pPr>
      <w:widowControl/>
      <w:spacing w:after="160" w:line="240" w:lineRule="exact"/>
      <w:jc w:val="left"/>
    </w:pPr>
  </w:style>
  <w:style w:type="paragraph" w:customStyle="1" w:styleId="86">
    <w:name w:val="无标题条"/>
    <w:next w:val="58"/>
    <w:autoRedefine/>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autoRedefine/>
    <w:qFormat/>
    <w:uiPriority w:val="0"/>
    <w:pPr>
      <w:numPr>
        <w:ilvl w:val="6"/>
      </w:numPr>
      <w:outlineLvl w:val="6"/>
    </w:pPr>
  </w:style>
  <w:style w:type="paragraph" w:customStyle="1" w:styleId="88">
    <w:name w:val="Default"/>
    <w:autoRedefine/>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autoRedefine/>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autoRedefine/>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autoRedefine/>
    <w:qFormat/>
    <w:uiPriority w:val="0"/>
    <w:pPr>
      <w:jc w:val="left"/>
    </w:pPr>
  </w:style>
  <w:style w:type="paragraph" w:customStyle="1" w:styleId="94">
    <w:name w:val="二级无标题条"/>
    <w:basedOn w:val="1"/>
    <w:autoRedefine/>
    <w:qFormat/>
    <w:uiPriority w:val="0"/>
    <w:pPr>
      <w:numPr>
        <w:ilvl w:val="3"/>
        <w:numId w:val="5"/>
      </w:numPr>
    </w:pPr>
  </w:style>
  <w:style w:type="paragraph" w:customStyle="1" w:styleId="95">
    <w:name w:val="附录表标题"/>
    <w:next w:val="58"/>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autoRedefine/>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qFormat/>
    <w:uiPriority w:val="0"/>
    <w:pPr>
      <w:numPr>
        <w:ilvl w:val="6"/>
      </w:numPr>
      <w:outlineLvl w:val="6"/>
    </w:pPr>
  </w:style>
  <w:style w:type="paragraph" w:customStyle="1" w:styleId="100">
    <w:name w:val="附录四级条标题"/>
    <w:basedOn w:val="101"/>
    <w:next w:val="58"/>
    <w:autoRedefine/>
    <w:qFormat/>
    <w:uiPriority w:val="0"/>
    <w:pPr>
      <w:numPr>
        <w:ilvl w:val="5"/>
      </w:numPr>
      <w:outlineLvl w:val="5"/>
    </w:pPr>
  </w:style>
  <w:style w:type="paragraph" w:customStyle="1" w:styleId="101">
    <w:name w:val="附录三级条标题"/>
    <w:basedOn w:val="102"/>
    <w:next w:val="58"/>
    <w:autoRedefine/>
    <w:qFormat/>
    <w:uiPriority w:val="0"/>
    <w:pPr>
      <w:numPr>
        <w:ilvl w:val="4"/>
      </w:numPr>
      <w:outlineLvl w:val="4"/>
    </w:pPr>
  </w:style>
  <w:style w:type="paragraph" w:customStyle="1" w:styleId="102">
    <w:name w:val="附录二级条标题"/>
    <w:basedOn w:val="103"/>
    <w:next w:val="58"/>
    <w:autoRedefine/>
    <w:qFormat/>
    <w:uiPriority w:val="0"/>
    <w:pPr>
      <w:numPr>
        <w:ilvl w:val="3"/>
      </w:numPr>
      <w:outlineLvl w:val="3"/>
    </w:pPr>
  </w:style>
  <w:style w:type="paragraph" w:customStyle="1" w:styleId="103">
    <w:name w:val="附录一级条标题"/>
    <w:basedOn w:val="79"/>
    <w:next w:val="58"/>
    <w:autoRedefine/>
    <w:qFormat/>
    <w:uiPriority w:val="0"/>
    <w:pPr>
      <w:numPr>
        <w:ilvl w:val="2"/>
      </w:numPr>
      <w:autoSpaceDN w:val="0"/>
      <w:spacing w:beforeLines="0" w:afterLines="0"/>
      <w:outlineLvl w:val="2"/>
    </w:pPr>
  </w:style>
  <w:style w:type="paragraph" w:customStyle="1" w:styleId="104">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autoRedefine/>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autoRedefine/>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autoRedefine/>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autoRedefine/>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autoRedefine/>
    <w:qFormat/>
    <w:uiPriority w:val="0"/>
    <w:pPr>
      <w:numPr>
        <w:ilvl w:val="5"/>
        <w:numId w:val="5"/>
      </w:numPr>
    </w:pPr>
  </w:style>
  <w:style w:type="paragraph" w:customStyle="1" w:styleId="111">
    <w:name w:val="目次、标准名称标题"/>
    <w:basedOn w:val="66"/>
    <w:next w:val="58"/>
    <w:autoRedefine/>
    <w:qFormat/>
    <w:uiPriority w:val="0"/>
    <w:pPr>
      <w:numPr>
        <w:numId w:val="0"/>
      </w:numPr>
      <w:spacing w:line="460" w:lineRule="exact"/>
    </w:pPr>
  </w:style>
  <w:style w:type="paragraph" w:customStyle="1" w:styleId="112">
    <w:name w:val="标准书眉一"/>
    <w:autoRedefine/>
    <w:qFormat/>
    <w:uiPriority w:val="0"/>
    <w:pPr>
      <w:jc w:val="both"/>
    </w:pPr>
    <w:rPr>
      <w:rFonts w:ascii="Times New Roman" w:hAnsi="Times New Roman" w:eastAsia="宋体" w:cs="Times New Roman"/>
      <w:lang w:val="en-US" w:eastAsia="zh-CN" w:bidi="ar-SA"/>
    </w:rPr>
  </w:style>
  <w:style w:type="paragraph" w:customStyle="1" w:styleId="113">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autoRedefine/>
    <w:qFormat/>
    <w:uiPriority w:val="0"/>
    <w:pPr>
      <w:spacing w:line="0" w:lineRule="atLeast"/>
    </w:pPr>
    <w:rPr>
      <w:rFonts w:ascii="黑体" w:eastAsia="黑体"/>
      <w:b w:val="0"/>
    </w:rPr>
  </w:style>
  <w:style w:type="paragraph" w:customStyle="1" w:styleId="115">
    <w:name w:val="列项·"/>
    <w:autoRedefine/>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autoRedefine/>
    <w:qFormat/>
    <w:uiPriority w:val="0"/>
    <w:pPr>
      <w:numPr>
        <w:ilvl w:val="4"/>
        <w:numId w:val="5"/>
      </w:numPr>
    </w:pPr>
  </w:style>
  <w:style w:type="paragraph" w:customStyle="1" w:styleId="11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autoRedefine/>
    <w:qFormat/>
    <w:uiPriority w:val="0"/>
    <w:pPr>
      <w:numPr>
        <w:ilvl w:val="2"/>
        <w:numId w:val="5"/>
      </w:numPr>
    </w:pPr>
  </w:style>
  <w:style w:type="paragraph" w:customStyle="1" w:styleId="119">
    <w:name w:val="封面标准代替信息"/>
    <w:basedOn w:val="63"/>
    <w:autoRedefine/>
    <w:qFormat/>
    <w:uiPriority w:val="0"/>
    <w:pPr>
      <w:spacing w:before="57"/>
    </w:pPr>
    <w:rPr>
      <w:rFonts w:ascii="宋体"/>
      <w:sz w:val="21"/>
    </w:rPr>
  </w:style>
  <w:style w:type="paragraph" w:customStyle="1" w:styleId="120">
    <w:name w:val="标准正文"/>
    <w:basedOn w:val="1"/>
    <w:autoRedefine/>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autoRedefine/>
    <w:qFormat/>
    <w:uiPriority w:val="0"/>
    <w:pPr>
      <w:widowControl/>
      <w:spacing w:before="100" w:beforeAutospacing="1" w:after="100" w:afterAutospacing="1"/>
      <w:jc w:val="left"/>
    </w:pPr>
    <w:rPr>
      <w:b/>
      <w:bCs/>
      <w:kern w:val="0"/>
      <w:sz w:val="20"/>
      <w:szCs w:val="20"/>
    </w:rPr>
  </w:style>
  <w:style w:type="paragraph" w:customStyle="1" w:styleId="124">
    <w:name w:val="font7"/>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autoRedefine/>
    <w:qFormat/>
    <w:uiPriority w:val="0"/>
    <w:pPr>
      <w:adjustRightInd w:val="0"/>
      <w:jc w:val="center"/>
    </w:pPr>
    <w:rPr>
      <w:rFonts w:eastAsia="黑体"/>
      <w:kern w:val="0"/>
      <w:sz w:val="52"/>
      <w:szCs w:val="20"/>
    </w:rPr>
  </w:style>
  <w:style w:type="paragraph" w:customStyle="1" w:styleId="147">
    <w:name w:val="样式2"/>
    <w:basedOn w:val="71"/>
    <w:autoRedefine/>
    <w:qFormat/>
    <w:uiPriority w:val="0"/>
    <w:pPr>
      <w:numPr>
        <w:numId w:val="0"/>
      </w:numPr>
      <w:spacing w:line="240" w:lineRule="auto"/>
      <w:ind w:left="454"/>
    </w:pPr>
    <w:rPr>
      <w:color w:val="auto"/>
      <w:spacing w:val="0"/>
      <w:szCs w:val="20"/>
    </w:rPr>
  </w:style>
  <w:style w:type="paragraph" w:customStyle="1" w:styleId="148">
    <w:name w:val="列出段落1"/>
    <w:basedOn w:val="1"/>
    <w:autoRedefine/>
    <w:qFormat/>
    <w:uiPriority w:val="34"/>
    <w:pPr>
      <w:ind w:firstLine="420" w:firstLineChars="200"/>
    </w:pPr>
    <w:rPr>
      <w:rFonts w:ascii="Calibri" w:hAnsi="Calibri"/>
      <w:szCs w:val="22"/>
    </w:rPr>
  </w:style>
  <w:style w:type="paragraph" w:customStyle="1" w:styleId="149">
    <w:name w:val="图表脚注说明"/>
    <w:basedOn w:val="1"/>
    <w:autoRedefine/>
    <w:qFormat/>
    <w:uiPriority w:val="0"/>
    <w:rPr>
      <w:rFonts w:ascii="宋体"/>
      <w:sz w:val="18"/>
      <w:szCs w:val="18"/>
    </w:rPr>
  </w:style>
  <w:style w:type="paragraph" w:customStyle="1" w:styleId="150">
    <w:name w:val="Char11"/>
    <w:basedOn w:val="1"/>
    <w:autoRedefine/>
    <w:qFormat/>
    <w:uiPriority w:val="0"/>
    <w:pPr>
      <w:widowControl/>
      <w:spacing w:after="160" w:line="240" w:lineRule="exact"/>
      <w:jc w:val="left"/>
    </w:pPr>
  </w:style>
  <w:style w:type="paragraph" w:customStyle="1" w:styleId="151">
    <w:name w:val="ordinary-output"/>
    <w:basedOn w:val="1"/>
    <w:autoRedefine/>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autoRedefine/>
    <w:qFormat/>
    <w:uiPriority w:val="34"/>
    <w:pPr>
      <w:ind w:firstLine="420" w:firstLineChars="200"/>
    </w:pPr>
    <w:rPr>
      <w:sz w:val="24"/>
    </w:rPr>
  </w:style>
  <w:style w:type="paragraph" w:customStyle="1" w:styleId="153">
    <w:name w:val="Char1 Char Char Char"/>
    <w:basedOn w:val="1"/>
    <w:autoRedefine/>
    <w:qFormat/>
    <w:uiPriority w:val="0"/>
    <w:rPr>
      <w:szCs w:val="20"/>
    </w:rPr>
  </w:style>
  <w:style w:type="paragraph" w:customStyle="1" w:styleId="154">
    <w:name w:val="Char1"/>
    <w:basedOn w:val="1"/>
    <w:autoRedefine/>
    <w:qFormat/>
    <w:uiPriority w:val="0"/>
    <w:pPr>
      <w:widowControl/>
      <w:spacing w:after="160" w:line="240" w:lineRule="exact"/>
      <w:jc w:val="left"/>
    </w:pPr>
  </w:style>
  <w:style w:type="paragraph" w:customStyle="1" w:styleId="155">
    <w:name w:val="Decimal Aligned"/>
    <w:basedOn w:val="1"/>
    <w:autoRedefine/>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autoRedefine/>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autoRedefine/>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autoRedefine/>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autoRedefine/>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autoRedefine/>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autoRedefine/>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autoRedefine/>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autoRedefine/>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autoRedefine/>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autoRedefine/>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autoRedefine/>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autoRedefine/>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autoRedefine/>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autoRedefine/>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autoRedefine/>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autoRedefine/>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autoRedefine/>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autoRedefine/>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autoRedefine/>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autoRedefine/>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autoRedefine/>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autoRedefine/>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autoRedefine/>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autoRedefine/>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autoRedefine/>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autoRedefine/>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autoRedefine/>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autoRedefine/>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autoRedefine/>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autoRedefine/>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autoRedefine/>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autoRedefine/>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autoRedefine/>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autoRedefine/>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autoRedefine/>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autoRedefine/>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autoRedefine/>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autoRedefine/>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autoRedefine/>
    <w:qFormat/>
    <w:uiPriority w:val="0"/>
    <w:pPr>
      <w:widowControl/>
      <w:spacing w:after="160" w:line="240" w:lineRule="exact"/>
      <w:jc w:val="left"/>
    </w:pPr>
  </w:style>
  <w:style w:type="paragraph" w:customStyle="1" w:styleId="266">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autoRedefine/>
    <w:qFormat/>
    <w:uiPriority w:val="0"/>
    <w:pPr>
      <w:widowControl/>
      <w:jc w:val="left"/>
    </w:pPr>
    <w:rPr>
      <w:kern w:val="0"/>
      <w:szCs w:val="21"/>
    </w:rPr>
  </w:style>
  <w:style w:type="paragraph" w:customStyle="1" w:styleId="269">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autoRedefine/>
    <w:qFormat/>
    <w:uiPriority w:val="0"/>
    <w:rPr>
      <w:rFonts w:ascii="黑体" w:eastAsia="黑体"/>
      <w:spacing w:val="22"/>
      <w:w w:val="100"/>
      <w:position w:val="3"/>
      <w:sz w:val="28"/>
    </w:rPr>
  </w:style>
  <w:style w:type="character" w:customStyle="1" w:styleId="274">
    <w:name w:val="个人答复风格"/>
    <w:autoRedefine/>
    <w:qFormat/>
    <w:uiPriority w:val="0"/>
    <w:rPr>
      <w:rFonts w:ascii="Arial" w:hAnsi="Arial" w:eastAsia="宋体" w:cs="Arial"/>
      <w:color w:val="auto"/>
      <w:sz w:val="20"/>
    </w:rPr>
  </w:style>
  <w:style w:type="character" w:customStyle="1" w:styleId="275">
    <w:name w:val="段 Char"/>
    <w:link w:val="58"/>
    <w:autoRedefine/>
    <w:qFormat/>
    <w:uiPriority w:val="0"/>
    <w:rPr>
      <w:rFonts w:ascii="Times New Roman" w:hAnsi="Times New Roman" w:cs="Times New Roman"/>
      <w:color w:val="000000" w:themeColor="text1"/>
      <w:kern w:val="2"/>
      <w:sz w:val="21"/>
      <w:szCs w:val="21"/>
      <w14:textFill>
        <w14:solidFill>
          <w14:schemeClr w14:val="tx1"/>
        </w14:solidFill>
      </w14:textFill>
    </w:rPr>
  </w:style>
  <w:style w:type="character" w:customStyle="1" w:styleId="276">
    <w:name w:val="个人撰写风格"/>
    <w:autoRedefine/>
    <w:qFormat/>
    <w:uiPriority w:val="0"/>
    <w:rPr>
      <w:rFonts w:ascii="Arial" w:hAnsi="Arial" w:eastAsia="宋体" w:cs="Arial"/>
      <w:color w:val="auto"/>
      <w:sz w:val="20"/>
    </w:rPr>
  </w:style>
  <w:style w:type="character" w:customStyle="1" w:styleId="277">
    <w:name w:val="二级条标题 Char"/>
    <w:link w:val="59"/>
    <w:autoRedefine/>
    <w:qFormat/>
    <w:uiPriority w:val="0"/>
    <w:rPr>
      <w:rFonts w:ascii="黑体" w:hAnsi="黑体" w:eastAsia="黑体" w:cs="Times New Roman"/>
      <w:color w:val="000000" w:themeColor="text1"/>
      <w:spacing w:val="-6"/>
      <w:sz w:val="21"/>
      <w:szCs w:val="24"/>
      <w14:textFill>
        <w14:solidFill>
          <w14:schemeClr w14:val="tx1"/>
        </w14:solidFill>
      </w14:textFill>
    </w:rPr>
  </w:style>
  <w:style w:type="character" w:customStyle="1" w:styleId="278">
    <w:name w:val="章标题 Char"/>
    <w:link w:val="61"/>
    <w:autoRedefine/>
    <w:qFormat/>
    <w:uiPriority w:val="0"/>
    <w:rPr>
      <w:rFonts w:ascii="黑体" w:hAnsi="Times New Roman" w:eastAsia="黑体" w:cs="Times New Roman"/>
      <w:sz w:val="21"/>
    </w:rPr>
  </w:style>
  <w:style w:type="character" w:customStyle="1" w:styleId="279">
    <w:name w:val="一级条标题 Char"/>
    <w:link w:val="60"/>
    <w:autoRedefine/>
    <w:qFormat/>
    <w:uiPriority w:val="0"/>
    <w:rPr>
      <w:rFonts w:ascii="黑体" w:hAnsi="Times New Roman" w:eastAsia="黑体" w:cs="Times New Roman"/>
      <w:color w:val="FF0000"/>
      <w:spacing w:val="-4"/>
      <w:sz w:val="21"/>
      <w:szCs w:val="24"/>
    </w:rPr>
  </w:style>
  <w:style w:type="character" w:customStyle="1" w:styleId="280">
    <w:name w:val="纯文本 Char"/>
    <w:link w:val="24"/>
    <w:autoRedefine/>
    <w:qFormat/>
    <w:uiPriority w:val="99"/>
    <w:rPr>
      <w:rFonts w:ascii="宋体" w:hAnsi="Courier New" w:cs="Courier New"/>
      <w:kern w:val="2"/>
      <w:sz w:val="21"/>
      <w:szCs w:val="21"/>
    </w:rPr>
  </w:style>
  <w:style w:type="character" w:customStyle="1" w:styleId="281">
    <w:name w:val="三级条标题 Char"/>
    <w:link w:val="71"/>
    <w:autoRedefine/>
    <w:qFormat/>
    <w:uiPriority w:val="0"/>
    <w:rPr>
      <w:rFonts w:ascii="黑体" w:eastAsia="黑体"/>
      <w:color w:val="FF0000"/>
      <w:spacing w:val="-4"/>
      <w:sz w:val="21"/>
      <w:szCs w:val="24"/>
    </w:rPr>
  </w:style>
  <w:style w:type="character" w:customStyle="1" w:styleId="282">
    <w:name w:val="批注框文本 Char"/>
    <w:link w:val="29"/>
    <w:autoRedefine/>
    <w:qFormat/>
    <w:uiPriority w:val="0"/>
    <w:rPr>
      <w:kern w:val="2"/>
      <w:sz w:val="18"/>
      <w:szCs w:val="18"/>
    </w:rPr>
  </w:style>
  <w:style w:type="character" w:customStyle="1" w:styleId="283">
    <w:name w:val="正文文本 Char"/>
    <w:link w:val="21"/>
    <w:autoRedefine/>
    <w:qFormat/>
    <w:uiPriority w:val="0"/>
    <w:rPr>
      <w:kern w:val="2"/>
      <w:sz w:val="21"/>
      <w:szCs w:val="24"/>
    </w:rPr>
  </w:style>
  <w:style w:type="character" w:customStyle="1" w:styleId="284">
    <w:name w:val="注： Char"/>
    <w:link w:val="91"/>
    <w:autoRedefine/>
    <w:qFormat/>
    <w:uiPriority w:val="0"/>
    <w:rPr>
      <w:rFonts w:ascii="宋体"/>
      <w:sz w:val="18"/>
    </w:rPr>
  </w:style>
  <w:style w:type="character" w:customStyle="1" w:styleId="285">
    <w:name w:val="页脚 Char"/>
    <w:link w:val="30"/>
    <w:autoRedefine/>
    <w:qFormat/>
    <w:uiPriority w:val="99"/>
    <w:rPr>
      <w:kern w:val="2"/>
      <w:sz w:val="18"/>
      <w:szCs w:val="18"/>
    </w:rPr>
  </w:style>
  <w:style w:type="character" w:customStyle="1" w:styleId="286">
    <w:name w:val="正文文本缩进 Char"/>
    <w:link w:val="22"/>
    <w:autoRedefine/>
    <w:qFormat/>
    <w:uiPriority w:val="0"/>
    <w:rPr>
      <w:kern w:val="2"/>
      <w:sz w:val="24"/>
    </w:rPr>
  </w:style>
  <w:style w:type="character" w:customStyle="1" w:styleId="287">
    <w:name w:val="表中文字"/>
    <w:autoRedefine/>
    <w:qFormat/>
    <w:uiPriority w:val="0"/>
    <w:rPr>
      <w:rFonts w:ascii="宋体" w:eastAsia="宋体"/>
      <w:sz w:val="18"/>
    </w:rPr>
  </w:style>
  <w:style w:type="character" w:customStyle="1" w:styleId="288">
    <w:name w:val="批注文字 Char"/>
    <w:link w:val="20"/>
    <w:autoRedefine/>
    <w:qFormat/>
    <w:uiPriority w:val="0"/>
    <w:rPr>
      <w:kern w:val="2"/>
      <w:sz w:val="21"/>
      <w:szCs w:val="24"/>
    </w:rPr>
  </w:style>
  <w:style w:type="character" w:customStyle="1" w:styleId="289">
    <w:name w:val="批注主题 Char"/>
    <w:link w:val="39"/>
    <w:autoRedefine/>
    <w:qFormat/>
    <w:uiPriority w:val="0"/>
    <w:rPr>
      <w:b/>
      <w:bCs/>
      <w:kern w:val="2"/>
      <w:sz w:val="21"/>
      <w:szCs w:val="24"/>
    </w:rPr>
  </w:style>
  <w:style w:type="character" w:customStyle="1" w:styleId="290">
    <w:name w:val="页眉 Char"/>
    <w:link w:val="31"/>
    <w:autoRedefine/>
    <w:qFormat/>
    <w:uiPriority w:val="99"/>
    <w:rPr>
      <w:kern w:val="2"/>
      <w:sz w:val="18"/>
      <w:szCs w:val="18"/>
    </w:rPr>
  </w:style>
  <w:style w:type="character" w:customStyle="1" w:styleId="291">
    <w:name w:val="正文文本缩进 2 Char"/>
    <w:link w:val="27"/>
    <w:autoRedefine/>
    <w:qFormat/>
    <w:uiPriority w:val="0"/>
    <w:rPr>
      <w:kern w:val="2"/>
      <w:sz w:val="21"/>
      <w:szCs w:val="24"/>
    </w:rPr>
  </w:style>
  <w:style w:type="character" w:customStyle="1" w:styleId="292">
    <w:name w:val="日期 Char"/>
    <w:link w:val="26"/>
    <w:autoRedefine/>
    <w:qFormat/>
    <w:uiPriority w:val="99"/>
    <w:rPr>
      <w:kern w:val="2"/>
      <w:sz w:val="24"/>
    </w:rPr>
  </w:style>
  <w:style w:type="character" w:customStyle="1" w:styleId="293">
    <w:name w:val="访问过的超链接1"/>
    <w:autoRedefine/>
    <w:qFormat/>
    <w:uiPriority w:val="99"/>
    <w:rPr>
      <w:color w:val="800080"/>
      <w:u w:val="single"/>
    </w:rPr>
  </w:style>
  <w:style w:type="character" w:customStyle="1" w:styleId="294">
    <w:name w:val="段 Char Char Char Char"/>
    <w:autoRedefine/>
    <w:qFormat/>
    <w:uiPriority w:val="0"/>
    <w:rPr>
      <w:rFonts w:ascii="宋体"/>
      <w:sz w:val="21"/>
      <w:lang w:val="en-US" w:eastAsia="zh-CN" w:bidi="ar-SA"/>
    </w:rPr>
  </w:style>
  <w:style w:type="character" w:customStyle="1" w:styleId="295">
    <w:name w:val="章标题 Char Char"/>
    <w:autoRedefine/>
    <w:qFormat/>
    <w:uiPriority w:val="0"/>
    <w:rPr>
      <w:rFonts w:ascii="黑体" w:eastAsia="黑体"/>
      <w:sz w:val="21"/>
      <w:lang w:val="en-US" w:eastAsia="zh-CN" w:bidi="ar-SA"/>
    </w:rPr>
  </w:style>
  <w:style w:type="character" w:customStyle="1" w:styleId="296">
    <w:name w:val="正文文本缩进 Char1"/>
    <w:autoRedefine/>
    <w:qFormat/>
    <w:uiPriority w:val="0"/>
    <w:rPr>
      <w:kern w:val="2"/>
      <w:sz w:val="21"/>
      <w:szCs w:val="24"/>
    </w:rPr>
  </w:style>
  <w:style w:type="character" w:customStyle="1" w:styleId="297">
    <w:name w:val="font21"/>
    <w:autoRedefine/>
    <w:qFormat/>
    <w:uiPriority w:val="0"/>
    <w:rPr>
      <w:rFonts w:hint="eastAsia" w:ascii="宋体" w:hAnsi="宋体" w:eastAsia="宋体" w:cs="宋体"/>
      <w:b/>
      <w:color w:val="FF0000"/>
      <w:sz w:val="21"/>
      <w:szCs w:val="21"/>
      <w:u w:val="none"/>
    </w:rPr>
  </w:style>
  <w:style w:type="character" w:customStyle="1" w:styleId="298">
    <w:name w:val="font41"/>
    <w:autoRedefine/>
    <w:qFormat/>
    <w:uiPriority w:val="0"/>
    <w:rPr>
      <w:rFonts w:hint="eastAsia" w:ascii="宋体" w:hAnsi="宋体" w:eastAsia="宋体" w:cs="宋体"/>
      <w:b/>
      <w:color w:val="FF0000"/>
      <w:sz w:val="21"/>
      <w:szCs w:val="21"/>
      <w:u w:val="none"/>
    </w:rPr>
  </w:style>
  <w:style w:type="character" w:customStyle="1" w:styleId="299">
    <w:name w:val="font01"/>
    <w:autoRedefine/>
    <w:qFormat/>
    <w:uiPriority w:val="0"/>
    <w:rPr>
      <w:rFonts w:hint="eastAsia" w:ascii="宋体" w:hAnsi="宋体" w:eastAsia="宋体"/>
      <w:color w:val="000000"/>
      <w:sz w:val="24"/>
      <w:szCs w:val="24"/>
      <w:u w:val="none"/>
    </w:rPr>
  </w:style>
  <w:style w:type="character" w:customStyle="1" w:styleId="300">
    <w:name w:val="附录标识 Char"/>
    <w:link w:val="65"/>
    <w:autoRedefine/>
    <w:qFormat/>
    <w:uiPriority w:val="0"/>
    <w:rPr>
      <w:sz w:val="21"/>
    </w:rPr>
  </w:style>
  <w:style w:type="character" w:customStyle="1" w:styleId="301">
    <w:name w:val="font31"/>
    <w:autoRedefine/>
    <w:qFormat/>
    <w:uiPriority w:val="0"/>
    <w:rPr>
      <w:rFonts w:hint="eastAsia" w:ascii="宋体" w:hAnsi="宋体" w:eastAsia="宋体" w:cs="宋体"/>
      <w:color w:val="000000"/>
      <w:sz w:val="22"/>
      <w:szCs w:val="22"/>
      <w:u w:val="none"/>
    </w:rPr>
  </w:style>
  <w:style w:type="paragraph" w:styleId="302">
    <w:name w:val="List Paragraph"/>
    <w:basedOn w:val="1"/>
    <w:autoRedefine/>
    <w:qFormat/>
    <w:uiPriority w:val="34"/>
    <w:pPr>
      <w:ind w:firstLine="420" w:firstLineChars="200"/>
    </w:pPr>
  </w:style>
  <w:style w:type="paragraph" w:customStyle="1" w:styleId="303">
    <w:name w:val="Table Paragraph"/>
    <w:basedOn w:val="1"/>
    <w:autoRedefine/>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autoRedefine/>
    <w:qFormat/>
    <w:uiPriority w:val="0"/>
    <w:rPr>
      <w:rFonts w:hint="eastAsia" w:ascii="宋体" w:hAnsi="宋体" w:eastAsia="宋体"/>
      <w:color w:val="000000"/>
      <w:sz w:val="24"/>
      <w:szCs w:val="24"/>
    </w:rPr>
  </w:style>
  <w:style w:type="character" w:customStyle="1" w:styleId="305">
    <w:name w:val="标题 1 Char"/>
    <w:basedOn w:val="43"/>
    <w:link w:val="2"/>
    <w:autoRedefine/>
    <w:qFormat/>
    <w:uiPriority w:val="0"/>
    <w:rPr>
      <w:rFonts w:ascii="Times New Roman" w:hAnsi="Times New Roman" w:eastAsia="宋体" w:cs="Times New Roman"/>
      <w:b/>
      <w:bCs/>
      <w:kern w:val="44"/>
      <w:sz w:val="44"/>
      <w:szCs w:val="44"/>
    </w:rPr>
  </w:style>
  <w:style w:type="character" w:customStyle="1" w:styleId="306">
    <w:name w:val="标题 2 Char"/>
    <w:basedOn w:val="43"/>
    <w:link w:val="3"/>
    <w:autoRedefine/>
    <w:qFormat/>
    <w:uiPriority w:val="0"/>
    <w:rPr>
      <w:rFonts w:ascii="Arial" w:hAnsi="Arial" w:eastAsia="黑体" w:cs="Times New Roman"/>
      <w:b/>
      <w:bCs/>
      <w:kern w:val="2"/>
      <w:sz w:val="32"/>
      <w:szCs w:val="32"/>
    </w:rPr>
  </w:style>
  <w:style w:type="character" w:customStyle="1" w:styleId="307">
    <w:name w:val="标题 3 Char"/>
    <w:basedOn w:val="43"/>
    <w:link w:val="4"/>
    <w:autoRedefine/>
    <w:qFormat/>
    <w:uiPriority w:val="0"/>
    <w:rPr>
      <w:rFonts w:ascii="Times New Roman" w:hAnsi="Times New Roman" w:eastAsia="宋体" w:cs="Times New Roman"/>
      <w:b/>
      <w:bCs/>
      <w:kern w:val="2"/>
      <w:sz w:val="32"/>
      <w:szCs w:val="32"/>
    </w:rPr>
  </w:style>
  <w:style w:type="character" w:customStyle="1" w:styleId="308">
    <w:name w:val="标题 Char"/>
    <w:link w:val="38"/>
    <w:autoRedefine/>
    <w:qFormat/>
    <w:uiPriority w:val="0"/>
    <w:rPr>
      <w:rFonts w:ascii="Arial" w:hAnsi="Arial" w:eastAsia="宋体" w:cs="Arial"/>
      <w:b/>
      <w:bCs/>
      <w:kern w:val="2"/>
      <w:sz w:val="32"/>
      <w:szCs w:val="32"/>
    </w:rPr>
  </w:style>
  <w:style w:type="character" w:customStyle="1" w:styleId="309">
    <w:name w:val="脚注文本 Char"/>
    <w:link w:val="32"/>
    <w:autoRedefine/>
    <w:qFormat/>
    <w:uiPriority w:val="0"/>
    <w:rPr>
      <w:rFonts w:ascii="Times New Roman" w:hAnsi="Times New Roman" w:eastAsia="宋体" w:cs="Times New Roman"/>
      <w:kern w:val="2"/>
      <w:sz w:val="18"/>
      <w:szCs w:val="18"/>
    </w:rPr>
  </w:style>
  <w:style w:type="character" w:customStyle="1" w:styleId="310">
    <w:name w:val="未处理的提及"/>
    <w:autoRedefine/>
    <w:unhideWhenUsed/>
    <w:qFormat/>
    <w:uiPriority w:val="99"/>
    <w:rPr>
      <w:color w:val="605E5C"/>
      <w:shd w:val="clear" w:color="auto" w:fill="E1DFDD"/>
    </w:rPr>
  </w:style>
  <w:style w:type="character" w:customStyle="1" w:styleId="311">
    <w:name w:val="批注框文本 Char1"/>
    <w:basedOn w:val="43"/>
    <w:autoRedefine/>
    <w:semiHidden/>
    <w:qFormat/>
    <w:uiPriority w:val="99"/>
    <w:rPr>
      <w:rFonts w:ascii="Calibri" w:hAnsi="Calibri" w:eastAsia="宋体" w:cs="Times New Roman"/>
      <w:sz w:val="18"/>
      <w:szCs w:val="18"/>
    </w:rPr>
  </w:style>
  <w:style w:type="character" w:customStyle="1" w:styleId="312">
    <w:name w:val="脚注文本 Char1"/>
    <w:basedOn w:val="43"/>
    <w:autoRedefine/>
    <w:semiHidden/>
    <w:qFormat/>
    <w:uiPriority w:val="99"/>
    <w:rPr>
      <w:rFonts w:ascii="Calibri" w:hAnsi="Calibri" w:eastAsia="宋体" w:cs="Times New Roman"/>
      <w:sz w:val="18"/>
      <w:szCs w:val="18"/>
    </w:rPr>
  </w:style>
  <w:style w:type="character" w:customStyle="1" w:styleId="313">
    <w:name w:val="标题 Char1"/>
    <w:basedOn w:val="43"/>
    <w:qFormat/>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autoRedefine/>
    <w:qFormat/>
    <w:uiPriority w:val="0"/>
  </w:style>
  <w:style w:type="paragraph" w:customStyle="1" w:styleId="315">
    <w:name w:val="WPSOffice手动目录 1"/>
    <w:autoRedefine/>
    <w:qFormat/>
    <w:uiPriority w:val="0"/>
    <w:rPr>
      <w:rFonts w:ascii="Calibri" w:hAnsi="Calibri" w:eastAsia="宋体" w:cs="Times New Roman"/>
      <w:lang w:val="en-US" w:eastAsia="zh-CN" w:bidi="ar-SA"/>
    </w:rPr>
  </w:style>
  <w:style w:type="paragraph" w:customStyle="1" w:styleId="316">
    <w:name w:val="1"/>
    <w:basedOn w:val="1"/>
    <w:next w:val="22"/>
    <w:autoRedefine/>
    <w:qFormat/>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qFormat/>
    <w:uiPriority w:val="0"/>
  </w:style>
  <w:style w:type="paragraph" w:customStyle="1" w:styleId="318">
    <w:name w:val="WPSOffice手动目录 2"/>
    <w:autoRedefine/>
    <w:qFormat/>
    <w:uiPriority w:val="0"/>
    <w:pPr>
      <w:ind w:left="200" w:leftChars="200"/>
    </w:pPr>
    <w:rPr>
      <w:rFonts w:ascii="Calibri" w:hAnsi="Calibri" w:eastAsia="宋体" w:cs="Times New Roman"/>
      <w:lang w:val="en-US" w:eastAsia="zh-CN" w:bidi="ar-SA"/>
    </w:rPr>
  </w:style>
  <w:style w:type="table" w:customStyle="1" w:styleId="319">
    <w:name w:val="网格型1"/>
    <w:basedOn w:val="41"/>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0">
    <w:name w:val="Placeholder Text"/>
    <w:basedOn w:val="43"/>
    <w:autoRedefine/>
    <w:semiHidden/>
    <w:qFormat/>
    <w:uiPriority w:val="99"/>
    <w:rPr>
      <w:color w:val="808080"/>
    </w:rPr>
  </w:style>
  <w:style w:type="table" w:customStyle="1" w:styleId="32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E84FEE-12D9-4986-B0BF-26A582BEC68A}">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7</Pages>
  <Words>2524</Words>
  <Characters>2712</Characters>
  <Lines>22</Lines>
  <Paragraphs>6</Paragraphs>
  <TotalTime>1</TotalTime>
  <ScaleCrop>false</ScaleCrop>
  <LinksUpToDate>false</LinksUpToDate>
  <CharactersWithSpaces>2757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2024-06-14T00:25:00Z</dcterms:created>
  <dc:creator>标准李瑞山9585</dc:creator>
  <cp:lastModifiedBy>喆@瑶爸</cp:lastModifiedBy>
  <cp:lastPrinted>2016-10-20T04:13:00Z</cp:lastPrinted>
  <dcterms:modified xsi:type="dcterms:W3CDTF">2024-06-14T06:50:50Z</dcterms:modified>
  <dc:title>标准名称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7CC6B53A8B674E13988B212B17AB9464_13</vt:lpwstr>
  </property>
</Properties>
</file>