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C2" w:rsidRDefault="00F605C2" w:rsidP="00F605C2">
      <w:pPr>
        <w:jc w:val="center"/>
        <w:rPr>
          <w:szCs w:val="21"/>
        </w:rPr>
      </w:pPr>
      <w:r>
        <w:rPr>
          <w:b/>
          <w:bCs/>
          <w:sz w:val="32"/>
          <w:szCs w:val="32"/>
        </w:rPr>
        <w:t>标准征求意见</w:t>
      </w:r>
      <w:proofErr w:type="gramStart"/>
      <w:r>
        <w:rPr>
          <w:b/>
          <w:bCs/>
          <w:sz w:val="32"/>
          <w:szCs w:val="32"/>
        </w:rPr>
        <w:t>稿意见</w:t>
      </w:r>
      <w:proofErr w:type="gramEnd"/>
      <w:r>
        <w:rPr>
          <w:b/>
          <w:bCs/>
          <w:sz w:val="32"/>
          <w:szCs w:val="32"/>
        </w:rPr>
        <w:t>汇总处理表</w:t>
      </w:r>
    </w:p>
    <w:p w:rsidR="00F605C2" w:rsidRDefault="00F605C2" w:rsidP="00F605C2">
      <w:r>
        <w:t>标准名称：</w:t>
      </w:r>
      <w:proofErr w:type="gramStart"/>
      <w:r>
        <w:rPr>
          <w:rFonts w:hint="eastAsia"/>
        </w:rPr>
        <w:t>富锂铁酸</w:t>
      </w:r>
      <w:proofErr w:type="gramEnd"/>
      <w:r>
        <w:rPr>
          <w:rFonts w:hint="eastAsia"/>
        </w:rPr>
        <w:t>锂</w:t>
      </w:r>
      <w:r>
        <w:rPr>
          <w:rFonts w:hint="eastAsia"/>
        </w:rPr>
        <w:t xml:space="preserve">               </w:t>
      </w:r>
      <w:r>
        <w:t>承办人：</w:t>
      </w:r>
      <w:r>
        <w:rPr>
          <w:rFonts w:hint="eastAsia"/>
        </w:rPr>
        <w:t>钟文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</w:t>
      </w:r>
      <w:r>
        <w:t xml:space="preserve"> </w:t>
      </w:r>
      <w:r>
        <w:rPr>
          <w:rFonts w:hint="eastAsia"/>
        </w:rPr>
        <w:t xml:space="preserve">      </w:t>
      </w:r>
      <w:r>
        <w:t>共</w:t>
      </w:r>
      <w:r>
        <w:t xml:space="preserve"> </w:t>
      </w:r>
      <w:r>
        <w:rPr>
          <w:rFonts w:hint="eastAsia"/>
        </w:rPr>
        <w:t>5</w:t>
      </w:r>
      <w:r>
        <w:t>页</w:t>
      </w:r>
      <w:r>
        <w:t xml:space="preserve"> </w:t>
      </w:r>
      <w:r>
        <w:t>第</w:t>
      </w:r>
      <w:r>
        <w:t xml:space="preserve"> 1 </w:t>
      </w:r>
      <w:r>
        <w:t>页</w:t>
      </w:r>
    </w:p>
    <w:p w:rsidR="00F605C2" w:rsidRDefault="00F605C2" w:rsidP="00F605C2">
      <w:r>
        <w:t>标准起草单位：</w:t>
      </w:r>
      <w:r w:rsidRPr="00455F93">
        <w:rPr>
          <w:rFonts w:hint="eastAsia"/>
          <w:szCs w:val="21"/>
        </w:rPr>
        <w:t>深圳市</w:t>
      </w:r>
      <w:proofErr w:type="gramStart"/>
      <w:r w:rsidRPr="00455F93">
        <w:rPr>
          <w:rFonts w:hint="eastAsia"/>
          <w:szCs w:val="21"/>
        </w:rPr>
        <w:t>德方创域新能源</w:t>
      </w:r>
      <w:proofErr w:type="gramEnd"/>
      <w:r w:rsidRPr="00455F93">
        <w:rPr>
          <w:rFonts w:hint="eastAsia"/>
          <w:szCs w:val="21"/>
        </w:rPr>
        <w:t>科技有限公司</w:t>
      </w:r>
      <w:r>
        <w:rPr>
          <w:szCs w:val="21"/>
        </w:rPr>
        <w:t xml:space="preserve">  </w:t>
      </w:r>
      <w:r>
        <w:t>电话：</w:t>
      </w:r>
      <w:r>
        <w:rPr>
          <w:rFonts w:hint="eastAsia"/>
        </w:rPr>
        <w:t>19168515693</w:t>
      </w:r>
      <w:r>
        <w:t xml:space="preserve"> </w:t>
      </w:r>
      <w:r>
        <w:rPr>
          <w:rFonts w:hint="eastAsia"/>
        </w:rPr>
        <w:t xml:space="preserve"> </w:t>
      </w:r>
      <w:r>
        <w:t>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4</w:t>
      </w:r>
      <w:r>
        <w:t>月</w:t>
      </w:r>
      <w:r>
        <w:rPr>
          <w:rFonts w:hint="eastAsia"/>
        </w:rPr>
        <w:t>10</w:t>
      </w:r>
      <w:r>
        <w:t>日填写</w:t>
      </w:r>
      <w:r>
        <w:t xml:space="preserve">                 </w:t>
      </w:r>
      <w:r>
        <w:rPr>
          <w:szCs w:val="21"/>
        </w:rPr>
        <w:t xml:space="preserve"> </w:t>
      </w:r>
      <w:r>
        <w:t xml:space="preserve">            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40"/>
        <w:gridCol w:w="2817"/>
        <w:gridCol w:w="2261"/>
        <w:gridCol w:w="840"/>
        <w:gridCol w:w="1907"/>
      </w:tblGrid>
      <w:tr w:rsidR="00F605C2" w:rsidTr="0019467A">
        <w:trPr>
          <w:jc w:val="center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标准章条编号</w:t>
            </w:r>
            <w:proofErr w:type="gramEnd"/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意见内容</w:t>
            </w:r>
          </w:p>
        </w:tc>
        <w:tc>
          <w:tcPr>
            <w:tcW w:w="1248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提出单位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</w:t>
            </w:r>
          </w:p>
        </w:tc>
        <w:tc>
          <w:tcPr>
            <w:tcW w:w="10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标题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建议确认英文标题名称</w:t>
            </w:r>
          </w:p>
        </w:tc>
        <w:tc>
          <w:tcPr>
            <w:tcW w:w="1248" w:type="pct"/>
            <w:vAlign w:val="center"/>
          </w:tcPr>
          <w:p w:rsidR="00F605C2" w:rsidRPr="00C10289" w:rsidRDefault="00F605C2" w:rsidP="0019467A">
            <w:pPr>
              <w:rPr>
                <w:sz w:val="18"/>
                <w:szCs w:val="18"/>
              </w:rPr>
            </w:pPr>
            <w:r w:rsidRPr="00332F76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已确认英文标题为</w:t>
            </w:r>
            <w:r>
              <w:rPr>
                <w:rFonts w:hint="eastAsia"/>
                <w:sz w:val="18"/>
                <w:szCs w:val="18"/>
              </w:rPr>
              <w:t>Lithium-rich lithium iron oxide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核对正文引用的标准</w:t>
            </w:r>
          </w:p>
        </w:tc>
        <w:tc>
          <w:tcPr>
            <w:tcW w:w="1248" w:type="pct"/>
            <w:vAlign w:val="center"/>
          </w:tcPr>
          <w:p w:rsidR="00F605C2" w:rsidRPr="00332F76" w:rsidRDefault="00F605C2" w:rsidP="0019467A">
            <w:pPr>
              <w:rPr>
                <w:sz w:val="18"/>
                <w:szCs w:val="18"/>
              </w:rPr>
            </w:pPr>
            <w:r w:rsidRPr="00C11D73">
              <w:rPr>
                <w:rFonts w:hint="eastAsia"/>
                <w:sz w:val="18"/>
                <w:szCs w:val="18"/>
              </w:rPr>
              <w:t>广东省科学院工业分析检测中心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 w:rsidRPr="00332F76">
              <w:rPr>
                <w:rFonts w:hint="eastAsia"/>
                <w:sz w:val="18"/>
                <w:szCs w:val="18"/>
              </w:rPr>
              <w:t>已</w:t>
            </w:r>
            <w:r>
              <w:rPr>
                <w:rFonts w:hint="eastAsia"/>
                <w:sz w:val="18"/>
                <w:szCs w:val="18"/>
              </w:rPr>
              <w:t>核对补充正文引用的标准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3.1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建议将补锂比容量的定义修改为：在规定条件下首次充电比容量与首次放电比容量的差值，单位为毫安时每克（</w:t>
            </w:r>
            <w:proofErr w:type="spellStart"/>
            <w:r>
              <w:rPr>
                <w:rFonts w:hint="eastAsia"/>
                <w:sz w:val="18"/>
                <w:szCs w:val="18"/>
              </w:rPr>
              <w:t>mAh</w:t>
            </w:r>
            <w:proofErr w:type="spellEnd"/>
            <w:r>
              <w:rPr>
                <w:rFonts w:hint="eastAsia"/>
                <w:sz w:val="18"/>
                <w:szCs w:val="18"/>
              </w:rPr>
              <w:t>/g</w:t>
            </w:r>
            <w:r>
              <w:rPr>
                <w:rFonts w:hint="eastAsia"/>
                <w:sz w:val="18"/>
                <w:szCs w:val="18"/>
              </w:rPr>
              <w:t>）。</w:t>
            </w:r>
          </w:p>
        </w:tc>
        <w:tc>
          <w:tcPr>
            <w:tcW w:w="1248" w:type="pct"/>
            <w:vAlign w:val="center"/>
          </w:tcPr>
          <w:p w:rsidR="00F605C2" w:rsidRPr="00332F76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  <w:proofErr w:type="gramStart"/>
            <w:r>
              <w:rPr>
                <w:rFonts w:hint="eastAsia"/>
                <w:sz w:val="18"/>
                <w:szCs w:val="18"/>
              </w:rPr>
              <w:t>能科技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厦门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Pr="00332F76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已按建议修改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建议将耐湿性</w:t>
            </w:r>
            <w:proofErr w:type="gramEnd"/>
            <w:r>
              <w:rPr>
                <w:rFonts w:hint="eastAsia"/>
                <w:sz w:val="18"/>
                <w:szCs w:val="18"/>
              </w:rPr>
              <w:t>的定义修改为：</w:t>
            </w:r>
            <w:r w:rsidRPr="00904990">
              <w:rPr>
                <w:rFonts w:hint="eastAsia"/>
                <w:sz w:val="18"/>
                <w:szCs w:val="18"/>
              </w:rPr>
              <w:t>在一定时间和湿度范围内，抵抗潮湿环境侵蚀的能力，以吸湿速率表示。</w:t>
            </w:r>
          </w:p>
        </w:tc>
        <w:tc>
          <w:tcPr>
            <w:tcW w:w="1248" w:type="pct"/>
            <w:vAlign w:val="center"/>
          </w:tcPr>
          <w:p w:rsidR="00F605C2" w:rsidRPr="00332F76" w:rsidRDefault="00F605C2" w:rsidP="0019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北京有</w:t>
            </w:r>
            <w:proofErr w:type="gramStart"/>
            <w:r>
              <w:rPr>
                <w:sz w:val="18"/>
                <w:szCs w:val="18"/>
              </w:rPr>
              <w:t>研</w:t>
            </w:r>
            <w:proofErr w:type="gramEnd"/>
            <w:r>
              <w:rPr>
                <w:sz w:val="18"/>
                <w:szCs w:val="18"/>
              </w:rPr>
              <w:t>粉末新材料研究院有限公司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已按建议修改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55" w:type="pct"/>
            <w:vAlign w:val="center"/>
          </w:tcPr>
          <w:p w:rsidR="00F605C2" w:rsidRPr="001660D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将章标题改为：产品分类</w:t>
            </w:r>
          </w:p>
        </w:tc>
        <w:tc>
          <w:tcPr>
            <w:tcW w:w="1248" w:type="pct"/>
            <w:vAlign w:val="center"/>
          </w:tcPr>
          <w:p w:rsidR="00F605C2" w:rsidRPr="001660D2" w:rsidRDefault="00F605C2" w:rsidP="0019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江苏锂源电池材料有限公司</w:t>
            </w:r>
          </w:p>
        </w:tc>
        <w:tc>
          <w:tcPr>
            <w:tcW w:w="464" w:type="pct"/>
            <w:vAlign w:val="center"/>
          </w:tcPr>
          <w:p w:rsidR="00F605C2" w:rsidRPr="001660D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Pr="0038270B" w:rsidRDefault="00F605C2" w:rsidP="0019467A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已按建议修改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</w:t>
            </w:r>
            <w:r w:rsidRPr="00BC3735">
              <w:rPr>
                <w:rFonts w:hint="eastAsia"/>
                <w:sz w:val="18"/>
                <w:szCs w:val="18"/>
              </w:rPr>
              <w:t>市场是</w:t>
            </w:r>
            <w:proofErr w:type="gramStart"/>
            <w:r>
              <w:rPr>
                <w:rFonts w:hint="eastAsia"/>
                <w:sz w:val="18"/>
                <w:szCs w:val="18"/>
              </w:rPr>
              <w:t>按补锂</w:t>
            </w:r>
            <w:proofErr w:type="gramEnd"/>
            <w:r>
              <w:rPr>
                <w:rFonts w:hint="eastAsia"/>
                <w:sz w:val="18"/>
                <w:szCs w:val="18"/>
              </w:rPr>
              <w:t>比容量进行</w:t>
            </w:r>
            <w:r w:rsidRPr="00BC3735">
              <w:rPr>
                <w:rFonts w:hint="eastAsia"/>
                <w:sz w:val="18"/>
                <w:szCs w:val="18"/>
              </w:rPr>
              <w:t>分类的吗？除了补锂比容量不同，其他指标能不能也做分类</w:t>
            </w:r>
          </w:p>
        </w:tc>
        <w:tc>
          <w:tcPr>
            <w:tcW w:w="1248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江苏威拉里新材料科技有限公司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部分采纳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ind w:rightChars="20" w:right="4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富</w:t>
            </w:r>
            <w:proofErr w:type="gramStart"/>
            <w:r>
              <w:rPr>
                <w:rFonts w:hint="eastAsia"/>
                <w:sz w:val="18"/>
                <w:szCs w:val="18"/>
              </w:rPr>
              <w:t>锂铁酸锂是</w:t>
            </w:r>
            <w:proofErr w:type="gramEnd"/>
            <w:r>
              <w:rPr>
                <w:rFonts w:hint="eastAsia"/>
                <w:sz w:val="18"/>
                <w:szCs w:val="18"/>
              </w:rPr>
              <w:t>新型的锂电补锂添加材料，补锂比容量是区分产品补</w:t>
            </w:r>
            <w:proofErr w:type="gramStart"/>
            <w:r>
              <w:rPr>
                <w:rFonts w:hint="eastAsia"/>
                <w:sz w:val="18"/>
                <w:szCs w:val="18"/>
              </w:rPr>
              <w:t>锂效果</w:t>
            </w:r>
            <w:proofErr w:type="gramEnd"/>
            <w:r>
              <w:rPr>
                <w:rFonts w:hint="eastAsia"/>
                <w:sz w:val="18"/>
                <w:szCs w:val="18"/>
              </w:rPr>
              <w:t>的关键参数指标，</w:t>
            </w:r>
            <w:proofErr w:type="gramStart"/>
            <w:r>
              <w:rPr>
                <w:rFonts w:hint="eastAsia"/>
                <w:sz w:val="18"/>
                <w:szCs w:val="18"/>
              </w:rPr>
              <w:t>按补锂</w:t>
            </w:r>
            <w:proofErr w:type="gramEnd"/>
            <w:r>
              <w:rPr>
                <w:rFonts w:hint="eastAsia"/>
                <w:sz w:val="18"/>
                <w:szCs w:val="18"/>
              </w:rPr>
              <w:t>比容量进行分类是合适的。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Pr="00F07BF7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</w:t>
            </w:r>
          </w:p>
        </w:tc>
        <w:tc>
          <w:tcPr>
            <w:tcW w:w="1555" w:type="pct"/>
            <w:vAlign w:val="center"/>
          </w:tcPr>
          <w:p w:rsidR="00F605C2" w:rsidRPr="00C81AE0" w:rsidRDefault="00F605C2" w:rsidP="0019467A">
            <w:pPr>
              <w:rPr>
                <w:sz w:val="18"/>
                <w:szCs w:val="18"/>
              </w:rPr>
            </w:pPr>
            <w:r w:rsidRPr="00C81AE0">
              <w:rPr>
                <w:rFonts w:hint="eastAsia"/>
                <w:sz w:val="18"/>
                <w:szCs w:val="18"/>
              </w:rPr>
              <w:t>建议增加残余碱含量的指标</w:t>
            </w:r>
          </w:p>
        </w:tc>
        <w:tc>
          <w:tcPr>
            <w:tcW w:w="1248" w:type="pct"/>
            <w:vAlign w:val="center"/>
          </w:tcPr>
          <w:p w:rsidR="00F605C2" w:rsidRPr="00C81AE0" w:rsidRDefault="00F605C2" w:rsidP="0019467A">
            <w:pPr>
              <w:rPr>
                <w:sz w:val="18"/>
                <w:szCs w:val="18"/>
              </w:rPr>
            </w:pPr>
            <w:r w:rsidRPr="00C81AE0">
              <w:rPr>
                <w:sz w:val="18"/>
                <w:szCs w:val="18"/>
              </w:rPr>
              <w:t>北矿检测技术有限公司</w:t>
            </w:r>
          </w:p>
        </w:tc>
        <w:tc>
          <w:tcPr>
            <w:tcW w:w="464" w:type="pct"/>
            <w:vAlign w:val="center"/>
          </w:tcPr>
          <w:p w:rsidR="00F605C2" w:rsidRPr="00C81AE0" w:rsidRDefault="00F605C2" w:rsidP="0019467A">
            <w:pPr>
              <w:jc w:val="center"/>
              <w:rPr>
                <w:sz w:val="18"/>
                <w:szCs w:val="18"/>
              </w:rPr>
            </w:pPr>
            <w:r w:rsidRPr="00C81AE0"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Pr="00C81AE0" w:rsidRDefault="00F605C2" w:rsidP="0019467A">
            <w:pPr>
              <w:rPr>
                <w:sz w:val="18"/>
                <w:szCs w:val="18"/>
              </w:rPr>
            </w:pPr>
            <w:r w:rsidRPr="00C81AE0">
              <w:rPr>
                <w:rFonts w:hint="eastAsia"/>
                <w:sz w:val="18"/>
                <w:szCs w:val="18"/>
              </w:rPr>
              <w:t>已增加</w:t>
            </w:r>
            <w:r w:rsidR="0014628F">
              <w:rPr>
                <w:rFonts w:hint="eastAsia"/>
                <w:sz w:val="18"/>
                <w:szCs w:val="18"/>
              </w:rPr>
              <w:t>“残余碱和残余锂含量”</w:t>
            </w:r>
            <w:r w:rsidRPr="00C81AE0">
              <w:rPr>
                <w:rFonts w:hint="eastAsia"/>
                <w:sz w:val="18"/>
                <w:szCs w:val="18"/>
              </w:rPr>
              <w:t>条款</w:t>
            </w:r>
            <w:r w:rsidR="0014628F">
              <w:rPr>
                <w:rFonts w:hint="eastAsia"/>
                <w:sz w:val="18"/>
                <w:szCs w:val="18"/>
              </w:rPr>
              <w:t>，见</w:t>
            </w:r>
            <w:r w:rsidR="0014628F">
              <w:rPr>
                <w:rFonts w:hint="eastAsia"/>
                <w:sz w:val="18"/>
                <w:szCs w:val="18"/>
              </w:rPr>
              <w:t>5.11</w:t>
            </w:r>
            <w:bookmarkStart w:id="0" w:name="_GoBack"/>
            <w:bookmarkEnd w:id="0"/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Pr="00F07BF7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</w:t>
            </w:r>
          </w:p>
        </w:tc>
        <w:tc>
          <w:tcPr>
            <w:tcW w:w="1555" w:type="pct"/>
            <w:vAlign w:val="center"/>
          </w:tcPr>
          <w:p w:rsidR="00F605C2" w:rsidRPr="00F07BF7" w:rsidRDefault="00F605C2" w:rsidP="0019467A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如果对磁性杂质含量有要求，建议增加该指标</w:t>
            </w:r>
          </w:p>
        </w:tc>
        <w:tc>
          <w:tcPr>
            <w:tcW w:w="1248" w:type="pct"/>
            <w:vAlign w:val="center"/>
          </w:tcPr>
          <w:p w:rsidR="00F605C2" w:rsidRPr="00F07BF7" w:rsidRDefault="00F605C2" w:rsidP="0019467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金驰能源材料</w:t>
            </w:r>
            <w:proofErr w:type="gramEnd"/>
            <w:r>
              <w:rPr>
                <w:sz w:val="18"/>
                <w:szCs w:val="18"/>
              </w:rPr>
              <w:t>有限公司</w:t>
            </w:r>
          </w:p>
        </w:tc>
        <w:tc>
          <w:tcPr>
            <w:tcW w:w="464" w:type="pct"/>
            <w:vAlign w:val="center"/>
          </w:tcPr>
          <w:p w:rsidR="00F605C2" w:rsidRPr="00F07BF7" w:rsidRDefault="00F605C2" w:rsidP="0019467A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未采纳</w:t>
            </w:r>
          </w:p>
        </w:tc>
        <w:tc>
          <w:tcPr>
            <w:tcW w:w="1053" w:type="pct"/>
            <w:vAlign w:val="center"/>
          </w:tcPr>
          <w:p w:rsidR="00F605C2" w:rsidRPr="00F07BF7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经调研，富</w:t>
            </w:r>
            <w:proofErr w:type="gramStart"/>
            <w:r>
              <w:rPr>
                <w:rFonts w:hint="eastAsia"/>
                <w:sz w:val="18"/>
                <w:szCs w:val="18"/>
              </w:rPr>
              <w:t>锂铁酸锂生产</w:t>
            </w:r>
            <w:proofErr w:type="gramEnd"/>
            <w:r>
              <w:rPr>
                <w:rFonts w:hint="eastAsia"/>
                <w:sz w:val="18"/>
                <w:szCs w:val="18"/>
              </w:rPr>
              <w:t>企业及应用企业，暂未对该技术指标进行约定，尚未有成熟的测试方法。</w:t>
            </w:r>
            <w:r w:rsidRPr="00F07BF7">
              <w:rPr>
                <w:rFonts w:hint="eastAsia"/>
                <w:sz w:val="18"/>
                <w:szCs w:val="18"/>
              </w:rPr>
              <w:t>由于富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锂铁酸锂材料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本身具有磁性，现行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锂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离子电池正极材料磁性异物的测试方法，采用磁棒吸附磁性异物，无法分离出主要材料和磁性异物，该方法并不适用于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富锂铁酸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锂材料，无法表</w:t>
            </w:r>
            <w:r w:rsidRPr="00F07BF7">
              <w:rPr>
                <w:rFonts w:hint="eastAsia"/>
                <w:sz w:val="18"/>
                <w:szCs w:val="18"/>
              </w:rPr>
              <w:lastRenderedPageBreak/>
              <w:t>征其</w:t>
            </w:r>
            <w:r>
              <w:rPr>
                <w:rFonts w:hint="eastAsia"/>
                <w:sz w:val="18"/>
                <w:szCs w:val="18"/>
              </w:rPr>
              <w:t>材料的磁性杂质含量。因此，暂</w:t>
            </w:r>
            <w:r w:rsidRPr="00F07BF7">
              <w:rPr>
                <w:rFonts w:hint="eastAsia"/>
                <w:sz w:val="18"/>
                <w:szCs w:val="18"/>
              </w:rPr>
              <w:t>不增加磁性杂质含量的指标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</w:t>
            </w:r>
          </w:p>
        </w:tc>
        <w:tc>
          <w:tcPr>
            <w:tcW w:w="1555" w:type="pct"/>
            <w:vAlign w:val="center"/>
          </w:tcPr>
          <w:p w:rsidR="00F605C2" w:rsidRPr="00212264" w:rsidRDefault="00F605C2" w:rsidP="0019467A">
            <w:pPr>
              <w:rPr>
                <w:sz w:val="18"/>
                <w:szCs w:val="18"/>
              </w:rPr>
            </w:pPr>
            <w:r w:rsidRPr="00212264">
              <w:rPr>
                <w:rFonts w:hint="eastAsia"/>
                <w:sz w:val="18"/>
                <w:szCs w:val="18"/>
              </w:rPr>
              <w:t>建议规定分子式，给出主要化学成分</w:t>
            </w:r>
          </w:p>
        </w:tc>
        <w:tc>
          <w:tcPr>
            <w:tcW w:w="1248" w:type="pct"/>
            <w:vAlign w:val="center"/>
          </w:tcPr>
          <w:p w:rsidR="00F605C2" w:rsidRPr="00212264" w:rsidRDefault="00F605C2" w:rsidP="0019467A">
            <w:pPr>
              <w:rPr>
                <w:sz w:val="18"/>
                <w:szCs w:val="18"/>
              </w:rPr>
            </w:pPr>
            <w:r w:rsidRPr="00212264">
              <w:rPr>
                <w:sz w:val="18"/>
                <w:szCs w:val="18"/>
              </w:rPr>
              <w:t>钢铁研究总院</w:t>
            </w:r>
            <w:r w:rsidRPr="00212264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4" w:type="pct"/>
            <w:vAlign w:val="center"/>
          </w:tcPr>
          <w:p w:rsidR="00F605C2" w:rsidRPr="00212264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部分</w:t>
            </w:r>
            <w:r w:rsidRPr="00212264"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Pr="00212264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已增加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“晶体结构”的条款，见</w:t>
            </w:r>
            <w:r>
              <w:rPr>
                <w:rFonts w:hint="eastAsia"/>
                <w:sz w:val="18"/>
                <w:szCs w:val="18"/>
              </w:rPr>
              <w:t>5.2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三种类别主元素含量需有明确区分，如果没有明确区分，建议合并</w:t>
            </w:r>
          </w:p>
        </w:tc>
        <w:tc>
          <w:tcPr>
            <w:tcW w:w="1248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武汉大学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已按建议修改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建议增加锂、铁摩尔比</w:t>
            </w:r>
          </w:p>
        </w:tc>
        <w:tc>
          <w:tcPr>
            <w:tcW w:w="1248" w:type="pct"/>
            <w:vAlign w:val="center"/>
          </w:tcPr>
          <w:p w:rsidR="00F605C2" w:rsidRPr="00C10289" w:rsidRDefault="00F605C2" w:rsidP="0019467A">
            <w:pPr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衢州华友钴新材料有限公司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未采纳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已给出锂、铁含量的范围限定，锂、铁摩尔比可根据锂、铁含量直接计算得出，在此不做重复限定，故不再单独增加锂、铁摩尔比指标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建议增加包覆元素的含量</w:t>
            </w:r>
          </w:p>
        </w:tc>
        <w:tc>
          <w:tcPr>
            <w:tcW w:w="1248" w:type="pct"/>
            <w:vAlign w:val="center"/>
          </w:tcPr>
          <w:p w:rsidR="00F605C2" w:rsidRPr="00C10289" w:rsidRDefault="00F605C2" w:rsidP="0019467A">
            <w:pPr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蜂巢能源科技股份有限公司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的注中已说明包覆元素含量由供需双方协商确定</w:t>
            </w:r>
          </w:p>
        </w:tc>
      </w:tr>
      <w:tr w:rsidR="00F605C2" w:rsidRPr="00F07BF7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</w:t>
            </w:r>
          </w:p>
        </w:tc>
        <w:tc>
          <w:tcPr>
            <w:tcW w:w="1555" w:type="pct"/>
            <w:vAlign w:val="center"/>
          </w:tcPr>
          <w:p w:rsidR="00F605C2" w:rsidRPr="00F07BF7" w:rsidRDefault="00F605C2" w:rsidP="0019467A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其他单位暂无耐湿性的数据，建议该指标改为供需双方协商比较合适</w:t>
            </w:r>
            <w:r w:rsidRPr="00F07B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8" w:type="pct"/>
            <w:vAlign w:val="center"/>
          </w:tcPr>
          <w:p w:rsidR="00F605C2" w:rsidRPr="00F07BF7" w:rsidRDefault="00F605C2" w:rsidP="0019467A">
            <w:pPr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西北有色金属研究院</w:t>
            </w:r>
          </w:p>
        </w:tc>
        <w:tc>
          <w:tcPr>
            <w:tcW w:w="464" w:type="pct"/>
            <w:vAlign w:val="center"/>
          </w:tcPr>
          <w:p w:rsidR="00F605C2" w:rsidRPr="00F07BF7" w:rsidRDefault="00F605C2" w:rsidP="0019467A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未采纳</w:t>
            </w:r>
          </w:p>
        </w:tc>
        <w:tc>
          <w:tcPr>
            <w:tcW w:w="1053" w:type="pct"/>
            <w:vAlign w:val="center"/>
          </w:tcPr>
          <w:p w:rsidR="00F605C2" w:rsidRPr="00F07BF7" w:rsidRDefault="00F605C2" w:rsidP="0019467A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耐湿性直接</w:t>
            </w:r>
            <w:r>
              <w:rPr>
                <w:rFonts w:hint="eastAsia"/>
                <w:sz w:val="18"/>
                <w:szCs w:val="18"/>
              </w:rPr>
              <w:t>反映</w:t>
            </w:r>
            <w:r w:rsidRPr="00F07BF7">
              <w:rPr>
                <w:rFonts w:hint="eastAsia"/>
                <w:sz w:val="18"/>
                <w:szCs w:val="18"/>
              </w:rPr>
              <w:t>富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锂铁酸锂材料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的可使用性，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富锂铁酸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锂极易与空气中的水发生反应，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若耐湿性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差，则电池浆料匀浆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07BF7">
              <w:rPr>
                <w:rFonts w:hint="eastAsia"/>
                <w:sz w:val="18"/>
                <w:szCs w:val="18"/>
              </w:rPr>
              <w:t>极片储存等的条件变得严苛，需要在极低的湿度条件下进行。且目前大部分客户均对耐湿性有较高要求，耐湿性属于材料是否合格的重要指标，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如耐湿性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不达标，则判定材料不合格，故在此标准中做出</w:t>
            </w:r>
            <w:r>
              <w:rPr>
                <w:rFonts w:hint="eastAsia"/>
                <w:sz w:val="18"/>
                <w:szCs w:val="18"/>
              </w:rPr>
              <w:t>规</w:t>
            </w:r>
            <w:r w:rsidRPr="00F07BF7">
              <w:rPr>
                <w:rFonts w:hint="eastAsia"/>
                <w:sz w:val="18"/>
                <w:szCs w:val="18"/>
              </w:rPr>
              <w:t>定。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</w:t>
            </w:r>
            <w:r w:rsidRPr="00365285">
              <w:rPr>
                <w:rFonts w:hint="eastAsia"/>
                <w:sz w:val="18"/>
                <w:szCs w:val="18"/>
              </w:rPr>
              <w:t>给出</w:t>
            </w:r>
            <w:r>
              <w:rPr>
                <w:rFonts w:hint="eastAsia"/>
                <w:sz w:val="18"/>
                <w:szCs w:val="18"/>
              </w:rPr>
              <w:t>耐湿性</w:t>
            </w:r>
            <w:r w:rsidRPr="00365285">
              <w:rPr>
                <w:rFonts w:hint="eastAsia"/>
                <w:sz w:val="18"/>
                <w:szCs w:val="18"/>
              </w:rPr>
              <w:t>指标，不规定测试方法，由供需双方商定测试方法</w:t>
            </w:r>
          </w:p>
        </w:tc>
        <w:tc>
          <w:tcPr>
            <w:tcW w:w="1248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 w:rsidRPr="001867FF">
              <w:rPr>
                <w:rFonts w:ascii="宋体" w:hAnsi="宋体" w:cs="Arial" w:hint="eastAsia"/>
                <w:sz w:val="18"/>
                <w:szCs w:val="18"/>
              </w:rPr>
              <w:t>全国有色粉末冶金标准化分技术委员会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已按建议修改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</w:t>
            </w:r>
          </w:p>
        </w:tc>
        <w:tc>
          <w:tcPr>
            <w:tcW w:w="1555" w:type="pct"/>
            <w:vAlign w:val="center"/>
          </w:tcPr>
          <w:p w:rsidR="00F605C2" w:rsidRPr="00D903E4" w:rsidRDefault="00F605C2" w:rsidP="0019467A">
            <w:pPr>
              <w:tabs>
                <w:tab w:val="left" w:pos="822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建议将外观质量的描述修改为：产品颜色应均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，无结块、夹杂物</w:t>
            </w:r>
          </w:p>
        </w:tc>
        <w:tc>
          <w:tcPr>
            <w:tcW w:w="1248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国联汽车动力电池研究院有限责任公司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已按建议修改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5.5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</w:t>
            </w:r>
            <w:r>
              <w:rPr>
                <w:rFonts w:hint="eastAsia"/>
                <w:sz w:val="18"/>
                <w:szCs w:val="18"/>
              </w:rPr>
              <w:t>值的范围过宽，建议根据调研数据和验证数据进行调整</w:t>
            </w:r>
          </w:p>
        </w:tc>
        <w:tc>
          <w:tcPr>
            <w:tcW w:w="1248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先进储能材料国家工程研究中心有限责任公司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结合调研数据和验证数据，修改为：产品的</w:t>
            </w:r>
            <w:r>
              <w:rPr>
                <w:rFonts w:hint="eastAsia"/>
                <w:sz w:val="18"/>
                <w:szCs w:val="18"/>
              </w:rPr>
              <w:t>pH</w:t>
            </w:r>
            <w:r>
              <w:rPr>
                <w:rFonts w:hint="eastAsia"/>
                <w:sz w:val="18"/>
                <w:szCs w:val="18"/>
              </w:rPr>
              <w:t>值应在</w:t>
            </w:r>
            <w:r>
              <w:rPr>
                <w:rFonts w:hint="eastAsia"/>
                <w:sz w:val="18"/>
                <w:szCs w:val="18"/>
              </w:rPr>
              <w:t>11~13</w:t>
            </w:r>
            <w:r>
              <w:rPr>
                <w:rFonts w:hint="eastAsia"/>
                <w:sz w:val="18"/>
                <w:szCs w:val="18"/>
              </w:rPr>
              <w:t>范围内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5.6</w:t>
            </w:r>
          </w:p>
        </w:tc>
        <w:tc>
          <w:tcPr>
            <w:tcW w:w="1555" w:type="pct"/>
            <w:vAlign w:val="center"/>
          </w:tcPr>
          <w:p w:rsidR="00F605C2" w:rsidRPr="00F07BF7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振实密度的值比调研数据和验证数据都小，建议调整</w:t>
            </w:r>
          </w:p>
        </w:tc>
        <w:tc>
          <w:tcPr>
            <w:tcW w:w="1248" w:type="pct"/>
            <w:vAlign w:val="center"/>
          </w:tcPr>
          <w:p w:rsidR="00F605C2" w:rsidRPr="00F07BF7" w:rsidRDefault="00F605C2" w:rsidP="0019467A">
            <w:pPr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北矿新材科技有限公司</w:t>
            </w:r>
          </w:p>
        </w:tc>
        <w:tc>
          <w:tcPr>
            <w:tcW w:w="464" w:type="pct"/>
            <w:vAlign w:val="center"/>
          </w:tcPr>
          <w:p w:rsidR="00F605C2" w:rsidRPr="00F07BF7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Pr="00F07BF7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结合调研数据和验证数据，</w:t>
            </w:r>
            <w:r w:rsidRPr="00F02672">
              <w:rPr>
                <w:rFonts w:hint="eastAsia"/>
                <w:sz w:val="18"/>
                <w:szCs w:val="18"/>
              </w:rPr>
              <w:t>修改为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02672">
              <w:rPr>
                <w:rFonts w:hint="eastAsia"/>
                <w:sz w:val="18"/>
                <w:szCs w:val="18"/>
              </w:rPr>
              <w:t>产品的振实密度应不小于</w:t>
            </w:r>
            <w:r>
              <w:rPr>
                <w:rFonts w:hint="eastAsia"/>
                <w:sz w:val="18"/>
                <w:szCs w:val="18"/>
              </w:rPr>
              <w:t xml:space="preserve">1.0 </w:t>
            </w:r>
            <w:r>
              <w:rPr>
                <w:rFonts w:hint="eastAsia"/>
                <w:sz w:val="18"/>
                <w:szCs w:val="18"/>
              </w:rPr>
              <w:lastRenderedPageBreak/>
              <w:t>g/cm</w:t>
            </w:r>
            <w:r w:rsidRPr="00F02672"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5.9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参考已发布标准，修改粒度分布的描述</w:t>
            </w:r>
          </w:p>
        </w:tc>
        <w:tc>
          <w:tcPr>
            <w:tcW w:w="1248" w:type="pct"/>
            <w:vAlign w:val="center"/>
          </w:tcPr>
          <w:p w:rsidR="00F605C2" w:rsidRPr="00F07BF7" w:rsidDel="0091077B" w:rsidRDefault="00F605C2" w:rsidP="0019467A">
            <w:pPr>
              <w:rPr>
                <w:sz w:val="18"/>
                <w:szCs w:val="18"/>
              </w:rPr>
            </w:pPr>
            <w:r w:rsidRPr="001867FF">
              <w:rPr>
                <w:rFonts w:hint="eastAsia"/>
                <w:sz w:val="18"/>
                <w:szCs w:val="18"/>
              </w:rPr>
              <w:t>浙江钠创新能源有限公司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粒度分布的描述修改为：</w:t>
            </w:r>
            <w:r w:rsidRPr="0013154D">
              <w:rPr>
                <w:rFonts w:hint="eastAsia"/>
                <w:sz w:val="18"/>
                <w:szCs w:val="18"/>
              </w:rPr>
              <w:t>产品的粒度分布要求呈正态分布，特征值要求范围为</w:t>
            </w:r>
            <w:r w:rsidRPr="0013154D">
              <w:rPr>
                <w:i/>
                <w:iCs/>
                <w:sz w:val="18"/>
                <w:szCs w:val="18"/>
              </w:rPr>
              <w:t>D</w:t>
            </w:r>
            <w:r w:rsidRPr="0013154D">
              <w:rPr>
                <w:sz w:val="18"/>
                <w:szCs w:val="18"/>
                <w:vertAlign w:val="subscript"/>
              </w:rPr>
              <w:t>10</w:t>
            </w:r>
            <w:r w:rsidRPr="0013154D">
              <w:rPr>
                <w:rFonts w:hint="eastAsia"/>
                <w:sz w:val="18"/>
                <w:szCs w:val="18"/>
              </w:rPr>
              <w:t>应不少于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13154D">
              <w:rPr>
                <w:sz w:val="18"/>
                <w:szCs w:val="18"/>
              </w:rPr>
              <w:t xml:space="preserve">.0 </w:t>
            </w:r>
            <w:r w:rsidRPr="0013154D">
              <w:rPr>
                <w:rFonts w:hint="eastAsia"/>
                <w:sz w:val="18"/>
                <w:szCs w:val="18"/>
              </w:rPr>
              <w:t>μ</w:t>
            </w:r>
            <w:r w:rsidRPr="0013154D">
              <w:rPr>
                <w:sz w:val="18"/>
                <w:szCs w:val="18"/>
              </w:rPr>
              <w:t>m</w:t>
            </w:r>
            <w:r w:rsidRPr="0013154D">
              <w:rPr>
                <w:rFonts w:hint="eastAsia"/>
                <w:sz w:val="18"/>
                <w:szCs w:val="18"/>
              </w:rPr>
              <w:t>；</w:t>
            </w:r>
            <w:r w:rsidRPr="0013154D">
              <w:rPr>
                <w:i/>
                <w:iCs/>
                <w:sz w:val="18"/>
                <w:szCs w:val="18"/>
              </w:rPr>
              <w:t>D</w:t>
            </w:r>
            <w:r w:rsidRPr="0013154D">
              <w:rPr>
                <w:sz w:val="18"/>
                <w:szCs w:val="18"/>
                <w:vertAlign w:val="subscript"/>
              </w:rPr>
              <w:t>50</w:t>
            </w:r>
            <w:r w:rsidRPr="0013154D">
              <w:rPr>
                <w:rFonts w:hint="eastAsia"/>
                <w:sz w:val="18"/>
                <w:szCs w:val="18"/>
              </w:rPr>
              <w:t>应在</w:t>
            </w:r>
            <w:r>
              <w:rPr>
                <w:rFonts w:hint="eastAsia"/>
                <w:sz w:val="18"/>
                <w:szCs w:val="18"/>
              </w:rPr>
              <w:t>4.0</w:t>
            </w:r>
            <w:r w:rsidRPr="0013154D">
              <w:rPr>
                <w:sz w:val="18"/>
                <w:szCs w:val="18"/>
              </w:rPr>
              <w:t xml:space="preserve"> </w:t>
            </w:r>
            <w:r w:rsidRPr="0013154D">
              <w:rPr>
                <w:rFonts w:hint="eastAsia"/>
                <w:sz w:val="18"/>
                <w:szCs w:val="18"/>
              </w:rPr>
              <w:t>μ</w:t>
            </w:r>
            <w:r w:rsidRPr="0013154D">
              <w:rPr>
                <w:sz w:val="18"/>
                <w:szCs w:val="18"/>
              </w:rPr>
              <w:t>m ~18</w:t>
            </w:r>
            <w:r>
              <w:rPr>
                <w:rFonts w:hint="eastAsia"/>
                <w:sz w:val="18"/>
                <w:szCs w:val="18"/>
              </w:rPr>
              <w:t>.0</w:t>
            </w:r>
            <w:r w:rsidRPr="0013154D">
              <w:rPr>
                <w:sz w:val="18"/>
                <w:szCs w:val="18"/>
              </w:rPr>
              <w:t xml:space="preserve"> </w:t>
            </w:r>
            <w:r w:rsidRPr="0013154D">
              <w:rPr>
                <w:rFonts w:hint="eastAsia"/>
                <w:sz w:val="18"/>
                <w:szCs w:val="18"/>
              </w:rPr>
              <w:t>μ</w:t>
            </w:r>
            <w:r w:rsidRPr="0013154D">
              <w:rPr>
                <w:sz w:val="18"/>
                <w:szCs w:val="18"/>
              </w:rPr>
              <w:t>m</w:t>
            </w:r>
            <w:r w:rsidRPr="0013154D">
              <w:rPr>
                <w:rFonts w:hint="eastAsia"/>
                <w:sz w:val="18"/>
                <w:szCs w:val="18"/>
              </w:rPr>
              <w:t>范围内；</w:t>
            </w:r>
            <w:r w:rsidRPr="0013154D">
              <w:rPr>
                <w:i/>
                <w:iCs/>
                <w:sz w:val="18"/>
                <w:szCs w:val="18"/>
              </w:rPr>
              <w:t>D</w:t>
            </w:r>
            <w:r w:rsidRPr="0013154D">
              <w:rPr>
                <w:sz w:val="18"/>
                <w:szCs w:val="18"/>
                <w:vertAlign w:val="subscript"/>
              </w:rPr>
              <w:t>90</w:t>
            </w:r>
            <w:r w:rsidRPr="0013154D">
              <w:rPr>
                <w:rFonts w:hint="eastAsia"/>
                <w:sz w:val="18"/>
                <w:szCs w:val="18"/>
              </w:rPr>
              <w:t>应不大于</w:t>
            </w:r>
            <w:r w:rsidRPr="0013154D">
              <w:rPr>
                <w:sz w:val="18"/>
                <w:szCs w:val="18"/>
              </w:rPr>
              <w:t xml:space="preserve">37.5 </w:t>
            </w:r>
            <w:r w:rsidRPr="0013154D">
              <w:rPr>
                <w:rFonts w:hint="eastAsia"/>
                <w:sz w:val="18"/>
                <w:szCs w:val="18"/>
              </w:rPr>
              <w:t>μ</w:t>
            </w:r>
            <w:r w:rsidRPr="0013154D">
              <w:rPr>
                <w:sz w:val="18"/>
                <w:szCs w:val="18"/>
              </w:rPr>
              <w:t>m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5.10</w:t>
            </w:r>
          </w:p>
        </w:tc>
        <w:tc>
          <w:tcPr>
            <w:tcW w:w="1555" w:type="pct"/>
            <w:vAlign w:val="center"/>
          </w:tcPr>
          <w:p w:rsidR="00F605C2" w:rsidRPr="00F07BF7" w:rsidRDefault="00F605C2" w:rsidP="0019467A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建议根据首次充电比容量和首次放电比容量的差值对富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锂铁酸锂进行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分级，将其差值定义为补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锂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比容量，这样可以更直观反映补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锂材料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的补锂性能</w:t>
            </w:r>
          </w:p>
        </w:tc>
        <w:tc>
          <w:tcPr>
            <w:tcW w:w="1248" w:type="pct"/>
            <w:vAlign w:val="center"/>
          </w:tcPr>
          <w:p w:rsidR="00F605C2" w:rsidRPr="00F07BF7" w:rsidRDefault="00F605C2" w:rsidP="0019467A">
            <w:pPr>
              <w:rPr>
                <w:sz w:val="18"/>
                <w:szCs w:val="18"/>
              </w:rPr>
            </w:pPr>
            <w:r w:rsidRPr="001867FF">
              <w:rPr>
                <w:rFonts w:hint="eastAsia"/>
                <w:sz w:val="18"/>
                <w:szCs w:val="18"/>
              </w:rPr>
              <w:t>中国有色金属工业标准计量质量研究所</w:t>
            </w:r>
          </w:p>
        </w:tc>
        <w:tc>
          <w:tcPr>
            <w:tcW w:w="464" w:type="pct"/>
            <w:vAlign w:val="center"/>
          </w:tcPr>
          <w:p w:rsidR="00F605C2" w:rsidRPr="00F07BF7" w:rsidRDefault="00F605C2" w:rsidP="0019467A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Pr="00E70F59" w:rsidRDefault="00F605C2" w:rsidP="0019467A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已按建议修改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5.11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建议对首次放电比容量进行分类</w:t>
            </w:r>
          </w:p>
        </w:tc>
        <w:tc>
          <w:tcPr>
            <w:tcW w:w="1248" w:type="pct"/>
            <w:vAlign w:val="center"/>
          </w:tcPr>
          <w:p w:rsidR="00F605C2" w:rsidRPr="00BF48C0" w:rsidRDefault="00F605C2" w:rsidP="0019467A">
            <w:pPr>
              <w:rPr>
                <w:sz w:val="18"/>
                <w:szCs w:val="18"/>
              </w:rPr>
            </w:pPr>
            <w:r w:rsidRPr="001867FF">
              <w:rPr>
                <w:rFonts w:hint="eastAsia"/>
                <w:sz w:val="18"/>
                <w:szCs w:val="18"/>
              </w:rPr>
              <w:t>华友新能源科技</w:t>
            </w:r>
            <w:r w:rsidRPr="001867FF">
              <w:rPr>
                <w:rFonts w:hint="eastAsia"/>
                <w:sz w:val="18"/>
                <w:szCs w:val="18"/>
              </w:rPr>
              <w:t>(</w:t>
            </w:r>
            <w:r w:rsidRPr="001867FF">
              <w:rPr>
                <w:rFonts w:hint="eastAsia"/>
                <w:sz w:val="18"/>
                <w:szCs w:val="18"/>
              </w:rPr>
              <w:t>衢州</w:t>
            </w:r>
            <w:r w:rsidRPr="001867FF">
              <w:rPr>
                <w:rFonts w:hint="eastAsia"/>
                <w:sz w:val="18"/>
                <w:szCs w:val="18"/>
              </w:rPr>
              <w:t>)</w:t>
            </w:r>
            <w:r w:rsidRPr="001867FF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由于补锂比容量是首次充电比容量与首次放电比容量的差值，可反映材料的补锂能力，此处规定的首次放电比容量是最基本要求，无须进行分类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如果现行标准可满足化学成分测试，直接引用即可，无须增加化学成分测试的附录</w:t>
            </w:r>
          </w:p>
        </w:tc>
        <w:tc>
          <w:tcPr>
            <w:tcW w:w="1248" w:type="pct"/>
            <w:vAlign w:val="center"/>
          </w:tcPr>
          <w:p w:rsidR="00F605C2" w:rsidRPr="00366D65" w:rsidRDefault="00F605C2" w:rsidP="0019467A">
            <w:pPr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紫金矿业集团股份有限公司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修改为：</w:t>
            </w:r>
            <w:r w:rsidRPr="00E91923">
              <w:rPr>
                <w:rFonts w:hint="eastAsia"/>
                <w:sz w:val="18"/>
                <w:szCs w:val="18"/>
              </w:rPr>
              <w:t>产品化学成分的分析按照</w:t>
            </w:r>
            <w:r w:rsidRPr="00E91923">
              <w:rPr>
                <w:rFonts w:hint="eastAsia"/>
                <w:sz w:val="18"/>
                <w:szCs w:val="18"/>
              </w:rPr>
              <w:t>GB/T 23942</w:t>
            </w:r>
            <w:r w:rsidRPr="00E91923">
              <w:rPr>
                <w:rFonts w:hint="eastAsia"/>
                <w:sz w:val="18"/>
                <w:szCs w:val="18"/>
              </w:rPr>
              <w:t>的规定进行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水分含量的测试建议采用已发布的</w:t>
            </w:r>
            <w:r>
              <w:rPr>
                <w:rFonts w:hint="eastAsia"/>
                <w:sz w:val="18"/>
                <w:szCs w:val="18"/>
              </w:rPr>
              <w:t>GB/T 6283</w:t>
            </w:r>
          </w:p>
        </w:tc>
        <w:tc>
          <w:tcPr>
            <w:tcW w:w="1248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 w:rsidRPr="001867FF">
              <w:rPr>
                <w:rFonts w:hint="eastAsia"/>
                <w:sz w:val="18"/>
                <w:szCs w:val="18"/>
              </w:rPr>
              <w:t>沈阳有色金属研究所有限公司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已按建议修改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6.7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建议给出明确的压强值</w:t>
            </w:r>
          </w:p>
        </w:tc>
        <w:tc>
          <w:tcPr>
            <w:tcW w:w="1248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 w:rsidRPr="0056009B">
              <w:rPr>
                <w:rFonts w:hint="eastAsia"/>
                <w:sz w:val="18"/>
                <w:szCs w:val="18"/>
              </w:rPr>
              <w:t>格林美</w:t>
            </w:r>
            <w:r w:rsidRPr="0056009B">
              <w:rPr>
                <w:rFonts w:hint="eastAsia"/>
                <w:sz w:val="18"/>
                <w:szCs w:val="18"/>
              </w:rPr>
              <w:t>(</w:t>
            </w:r>
            <w:r w:rsidRPr="0056009B">
              <w:rPr>
                <w:rFonts w:hint="eastAsia"/>
                <w:sz w:val="18"/>
                <w:szCs w:val="18"/>
              </w:rPr>
              <w:t>无锡</w:t>
            </w:r>
            <w:r w:rsidRPr="0056009B">
              <w:rPr>
                <w:rFonts w:hint="eastAsia"/>
                <w:sz w:val="18"/>
                <w:szCs w:val="18"/>
              </w:rPr>
              <w:t>)</w:t>
            </w:r>
            <w:r w:rsidRPr="0056009B">
              <w:rPr>
                <w:rFonts w:hint="eastAsia"/>
                <w:sz w:val="18"/>
                <w:szCs w:val="18"/>
              </w:rPr>
              <w:t>能</w:t>
            </w:r>
            <w:proofErr w:type="gramStart"/>
            <w:r w:rsidRPr="0056009B">
              <w:rPr>
                <w:rFonts w:hint="eastAsia"/>
                <w:sz w:val="18"/>
                <w:szCs w:val="18"/>
              </w:rPr>
              <w:t>源材料</w:t>
            </w:r>
            <w:proofErr w:type="gramEnd"/>
            <w:r w:rsidRPr="0056009B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各家对于该材料测试压强均不相同，故再次不做限定，以供需双方协商认可的压强值进行。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6.10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建议采用已发布标准进行补锂比容量的测试，</w:t>
            </w:r>
            <w:r w:rsidRPr="0093134F">
              <w:rPr>
                <w:rFonts w:hint="eastAsia"/>
                <w:sz w:val="18"/>
                <w:szCs w:val="18"/>
              </w:rPr>
              <w:t>补充特殊测试条款</w:t>
            </w:r>
          </w:p>
        </w:tc>
        <w:tc>
          <w:tcPr>
            <w:tcW w:w="1248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 w:rsidRPr="0056009B">
              <w:rPr>
                <w:rFonts w:hint="eastAsia"/>
                <w:sz w:val="18"/>
                <w:szCs w:val="18"/>
              </w:rPr>
              <w:t>国联汽车动力电池研究院有限责任公司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已按建议修改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建议调研各家</w:t>
            </w:r>
            <w:proofErr w:type="gramStart"/>
            <w:r>
              <w:rPr>
                <w:rFonts w:hint="eastAsia"/>
                <w:sz w:val="18"/>
                <w:szCs w:val="18"/>
              </w:rPr>
              <w:t>的组批数据</w:t>
            </w:r>
            <w:proofErr w:type="gramEnd"/>
            <w:r>
              <w:rPr>
                <w:rFonts w:hint="eastAsia"/>
                <w:sz w:val="18"/>
                <w:szCs w:val="18"/>
              </w:rPr>
              <w:t>，给出合适</w:t>
            </w:r>
            <w:proofErr w:type="gramStart"/>
            <w:r>
              <w:rPr>
                <w:rFonts w:hint="eastAsia"/>
                <w:sz w:val="18"/>
                <w:szCs w:val="18"/>
              </w:rPr>
              <w:t>的组批重量</w:t>
            </w:r>
            <w:proofErr w:type="gramEnd"/>
          </w:p>
        </w:tc>
        <w:tc>
          <w:tcPr>
            <w:tcW w:w="1248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 w:rsidRPr="00332F76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已调研相关单位，确定每批重量宜不超过</w:t>
            </w:r>
            <w:r>
              <w:rPr>
                <w:rFonts w:hint="eastAsia"/>
                <w:sz w:val="18"/>
                <w:szCs w:val="18"/>
              </w:rPr>
              <w:t>2t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.3.4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建议将“耐湿性”的检验类别改为周期检验</w:t>
            </w:r>
          </w:p>
        </w:tc>
        <w:tc>
          <w:tcPr>
            <w:tcW w:w="1248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 w:rsidRPr="0056009B">
              <w:rPr>
                <w:rFonts w:hint="eastAsia"/>
                <w:sz w:val="18"/>
                <w:szCs w:val="18"/>
              </w:rPr>
              <w:t>四川新锂想能源科技有限责任公司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未采纳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一般周期检测的项目是耗时长、操作复杂的项目，耐湿性项目的检测并不属于这一类项目；且目前大部分客户均对耐湿性有较高要求，耐湿性属于材料是否合格的重</w:t>
            </w:r>
            <w:r w:rsidRPr="00F07BF7">
              <w:rPr>
                <w:rFonts w:hint="eastAsia"/>
                <w:sz w:val="18"/>
                <w:szCs w:val="18"/>
              </w:rPr>
              <w:lastRenderedPageBreak/>
              <w:t>要指标，客户要求进行逐批检测，故在此标准中</w:t>
            </w:r>
            <w:r>
              <w:rPr>
                <w:rFonts w:hint="eastAsia"/>
                <w:sz w:val="18"/>
                <w:szCs w:val="18"/>
              </w:rPr>
              <w:t>将“耐湿性”的检验类别规定为“逐批检验”</w:t>
            </w:r>
            <w:r w:rsidRPr="00F07BF7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7.3.4.2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取样方法合并到表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48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 w:rsidRPr="0056009B">
              <w:rPr>
                <w:rFonts w:hint="eastAsia"/>
                <w:sz w:val="18"/>
                <w:szCs w:val="18"/>
              </w:rPr>
              <w:t>广东佳纳能源科技有限公司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已按建议修改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7.4.3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建议将“首次充电比容量”改为“补锂比容量”</w:t>
            </w:r>
          </w:p>
        </w:tc>
        <w:tc>
          <w:tcPr>
            <w:tcW w:w="1248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 w:rsidRPr="00332F76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已按建议修改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Pr="002311DB" w:rsidRDefault="00F605C2" w:rsidP="0019467A">
            <w:pPr>
              <w:jc w:val="center"/>
              <w:rPr>
                <w:sz w:val="18"/>
                <w:szCs w:val="18"/>
              </w:rPr>
            </w:pPr>
            <w:r w:rsidRPr="002311DB">
              <w:rPr>
                <w:sz w:val="18"/>
                <w:szCs w:val="18"/>
              </w:rPr>
              <w:t>8.4</w:t>
            </w:r>
          </w:p>
        </w:tc>
        <w:tc>
          <w:tcPr>
            <w:tcW w:w="1555" w:type="pct"/>
            <w:vAlign w:val="center"/>
          </w:tcPr>
          <w:p w:rsidR="00F605C2" w:rsidRPr="002311DB" w:rsidRDefault="00F605C2" w:rsidP="0019467A">
            <w:pPr>
              <w:rPr>
                <w:sz w:val="18"/>
                <w:szCs w:val="18"/>
              </w:rPr>
            </w:pPr>
            <w:r w:rsidRPr="002311DB">
              <w:rPr>
                <w:rFonts w:hint="eastAsia"/>
                <w:sz w:val="18"/>
                <w:szCs w:val="18"/>
              </w:rPr>
              <w:t>贮存条件对湿度是否有要求</w:t>
            </w:r>
          </w:p>
        </w:tc>
        <w:tc>
          <w:tcPr>
            <w:tcW w:w="1248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 w:rsidRPr="0056009B">
              <w:rPr>
                <w:rFonts w:hint="eastAsia"/>
                <w:sz w:val="18"/>
                <w:szCs w:val="18"/>
              </w:rPr>
              <w:t>长沙矿冶研究院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已确认采用铝塑膜真空封装后，贮存环境无特殊要求，常规环境即可</w:t>
            </w:r>
          </w:p>
        </w:tc>
      </w:tr>
      <w:tr w:rsidR="00F605C2" w:rsidTr="0019467A">
        <w:trPr>
          <w:jc w:val="center"/>
        </w:trPr>
        <w:tc>
          <w:tcPr>
            <w:tcW w:w="216" w:type="pct"/>
            <w:vAlign w:val="center"/>
          </w:tcPr>
          <w:p w:rsidR="00F605C2" w:rsidRPr="00A41BC7" w:rsidRDefault="00F605C2" w:rsidP="0019467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附录</w:t>
            </w:r>
            <w:r>
              <w:rPr>
                <w:rFonts w:hint="eastAsia"/>
                <w:sz w:val="18"/>
                <w:szCs w:val="18"/>
              </w:rPr>
              <w:t>A~C</w:t>
            </w:r>
          </w:p>
        </w:tc>
        <w:tc>
          <w:tcPr>
            <w:tcW w:w="1555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如果可直接采用现行标准进行相关测试，可删去附录</w:t>
            </w:r>
            <w:r>
              <w:rPr>
                <w:rFonts w:hint="eastAsia"/>
                <w:sz w:val="18"/>
                <w:szCs w:val="18"/>
              </w:rPr>
              <w:t>A~C</w:t>
            </w:r>
          </w:p>
        </w:tc>
        <w:tc>
          <w:tcPr>
            <w:tcW w:w="1248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 w:rsidRPr="001867FF">
              <w:rPr>
                <w:rFonts w:ascii="宋体" w:hAnsi="宋体" w:cs="Arial" w:hint="eastAsia"/>
                <w:sz w:val="18"/>
                <w:szCs w:val="18"/>
              </w:rPr>
              <w:t>全国有色粉末冶金标准化分技术委员会</w:t>
            </w:r>
          </w:p>
        </w:tc>
        <w:tc>
          <w:tcPr>
            <w:tcW w:w="464" w:type="pct"/>
            <w:vAlign w:val="center"/>
          </w:tcPr>
          <w:p w:rsidR="00F605C2" w:rsidRDefault="00F605C2" w:rsidP="00194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3" w:type="pct"/>
            <w:vAlign w:val="center"/>
          </w:tcPr>
          <w:p w:rsidR="00F605C2" w:rsidRDefault="00F605C2" w:rsidP="001946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采用现行标准，删去附录</w:t>
            </w:r>
            <w:r>
              <w:rPr>
                <w:rFonts w:hint="eastAsia"/>
                <w:sz w:val="18"/>
                <w:szCs w:val="18"/>
              </w:rPr>
              <w:t>A~C</w:t>
            </w:r>
          </w:p>
        </w:tc>
      </w:tr>
    </w:tbl>
    <w:p w:rsidR="00F605C2" w:rsidRDefault="00F605C2" w:rsidP="00F605C2">
      <w:pPr>
        <w:rPr>
          <w:szCs w:val="21"/>
        </w:rPr>
      </w:pPr>
      <w:r>
        <w:rPr>
          <w:szCs w:val="21"/>
        </w:rPr>
        <w:t>说明：</w:t>
      </w:r>
    </w:p>
    <w:p w:rsidR="00F605C2" w:rsidRDefault="00F605C2" w:rsidP="00F605C2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）发送</w:t>
      </w:r>
      <w:r>
        <w:rPr>
          <w:szCs w:val="21"/>
        </w:rPr>
        <w:t>“</w:t>
      </w:r>
      <w:r>
        <w:rPr>
          <w:szCs w:val="21"/>
        </w:rPr>
        <w:t>征求意见稿</w:t>
      </w:r>
      <w:r>
        <w:rPr>
          <w:szCs w:val="21"/>
        </w:rPr>
        <w:t>”</w:t>
      </w:r>
      <w:r>
        <w:rPr>
          <w:szCs w:val="21"/>
        </w:rPr>
        <w:t>的单位数：</w:t>
      </w:r>
      <w:r>
        <w:rPr>
          <w:rFonts w:hint="eastAsia"/>
          <w:szCs w:val="21"/>
        </w:rPr>
        <w:t>30</w:t>
      </w:r>
      <w:r>
        <w:rPr>
          <w:szCs w:val="21"/>
        </w:rPr>
        <w:t>个。</w:t>
      </w:r>
    </w:p>
    <w:p w:rsidR="00F605C2" w:rsidRDefault="00F605C2" w:rsidP="00F605C2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）收到</w:t>
      </w:r>
      <w:r>
        <w:rPr>
          <w:szCs w:val="21"/>
        </w:rPr>
        <w:t>“</w:t>
      </w:r>
      <w:r>
        <w:rPr>
          <w:szCs w:val="21"/>
        </w:rPr>
        <w:t>征求意见稿</w:t>
      </w:r>
      <w:r>
        <w:rPr>
          <w:szCs w:val="21"/>
        </w:rPr>
        <w:t>”</w:t>
      </w:r>
      <w:r>
        <w:rPr>
          <w:szCs w:val="21"/>
        </w:rPr>
        <w:t>后，回函的单位数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szCs w:val="21"/>
        </w:rPr>
        <w:t>个。</w:t>
      </w:r>
    </w:p>
    <w:p w:rsidR="00F605C2" w:rsidRDefault="00F605C2" w:rsidP="00F605C2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）收到</w:t>
      </w:r>
      <w:r>
        <w:rPr>
          <w:szCs w:val="21"/>
        </w:rPr>
        <w:t>“</w:t>
      </w:r>
      <w:r>
        <w:rPr>
          <w:szCs w:val="21"/>
        </w:rPr>
        <w:t>征求意见稿</w:t>
      </w:r>
      <w:r>
        <w:rPr>
          <w:szCs w:val="21"/>
        </w:rPr>
        <w:t>”</w:t>
      </w:r>
      <w:r>
        <w:rPr>
          <w:szCs w:val="21"/>
        </w:rPr>
        <w:t>后，回函并有建立或意见的单位数：</w:t>
      </w:r>
      <w:r>
        <w:rPr>
          <w:rFonts w:hint="eastAsia"/>
          <w:szCs w:val="21"/>
        </w:rPr>
        <w:t>30</w:t>
      </w:r>
      <w:r>
        <w:rPr>
          <w:szCs w:val="21"/>
        </w:rPr>
        <w:t>个。</w:t>
      </w:r>
    </w:p>
    <w:p w:rsidR="00F605C2" w:rsidRDefault="00F605C2" w:rsidP="00F605C2">
      <w:pPr>
        <w:pStyle w:val="a0"/>
        <w:rPr>
          <w:sz w:val="21"/>
          <w:szCs w:val="21"/>
        </w:rPr>
      </w:pPr>
      <w:r>
        <w:rPr>
          <w:sz w:val="21"/>
          <w:szCs w:val="21"/>
        </w:rPr>
        <w:t>（</w:t>
      </w:r>
      <w:r>
        <w:rPr>
          <w:sz w:val="21"/>
          <w:szCs w:val="21"/>
        </w:rPr>
        <w:t>4</w:t>
      </w:r>
      <w:r>
        <w:rPr>
          <w:sz w:val="21"/>
          <w:szCs w:val="21"/>
        </w:rPr>
        <w:t>）没有回函的单位数：</w:t>
      </w:r>
      <w:r>
        <w:rPr>
          <w:rFonts w:hint="eastAsia"/>
          <w:sz w:val="21"/>
          <w:szCs w:val="21"/>
        </w:rPr>
        <w:t>0</w:t>
      </w:r>
      <w:r>
        <w:rPr>
          <w:sz w:val="21"/>
          <w:szCs w:val="21"/>
        </w:rPr>
        <w:t>个</w:t>
      </w:r>
      <w:r>
        <w:rPr>
          <w:rFonts w:hint="eastAsia"/>
          <w:sz w:val="21"/>
          <w:szCs w:val="21"/>
        </w:rPr>
        <w:t>。</w:t>
      </w:r>
    </w:p>
    <w:p w:rsidR="00F605C2" w:rsidRPr="00305C3A" w:rsidRDefault="00F605C2" w:rsidP="00F605C2"/>
    <w:p w:rsidR="004C3DEE" w:rsidRPr="00F605C2" w:rsidRDefault="004C3DEE"/>
    <w:sectPr w:rsidR="004C3DEE" w:rsidRPr="00F605C2">
      <w:pgSz w:w="11906" w:h="16838"/>
      <w:pgMar w:top="1417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20CF"/>
    <w:multiLevelType w:val="hybridMultilevel"/>
    <w:tmpl w:val="95764420"/>
    <w:lvl w:ilvl="0" w:tplc="F69C606E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09"/>
    <w:rsid w:val="0014628F"/>
    <w:rsid w:val="004C3DEE"/>
    <w:rsid w:val="00994609"/>
    <w:rsid w:val="00F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715C"/>
  <w15:chartTrackingRefBased/>
  <w15:docId w15:val="{693DB077-AB16-43B0-B3AA-2DD3CD6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605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F605C2"/>
    <w:pPr>
      <w:spacing w:after="120"/>
    </w:pPr>
    <w:rPr>
      <w:sz w:val="24"/>
    </w:rPr>
  </w:style>
  <w:style w:type="character" w:customStyle="1" w:styleId="a4">
    <w:name w:val="正文文本 字符"/>
    <w:basedOn w:val="a1"/>
    <w:link w:val="a0"/>
    <w:uiPriority w:val="99"/>
    <w:rsid w:val="00F605C2"/>
    <w:rPr>
      <w:rFonts w:ascii="Times New Roman" w:eastAsia="宋体" w:hAnsi="Times New Roman" w:cs="Times New Roman"/>
      <w:sz w:val="24"/>
      <w:szCs w:val="24"/>
    </w:rPr>
  </w:style>
  <w:style w:type="paragraph" w:styleId="a5">
    <w:name w:val="List Paragraph"/>
    <w:basedOn w:val="a"/>
    <w:uiPriority w:val="99"/>
    <w:rsid w:val="00F605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深圳德方创域-钟文</dc:creator>
  <cp:keywords/>
  <dc:description/>
  <cp:lastModifiedBy>深圳德方创域-钟文</cp:lastModifiedBy>
  <cp:revision>3</cp:revision>
  <dcterms:created xsi:type="dcterms:W3CDTF">2024-06-06T06:42:00Z</dcterms:created>
  <dcterms:modified xsi:type="dcterms:W3CDTF">2024-06-07T01:38:00Z</dcterms:modified>
</cp:coreProperties>
</file>