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71</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2"/>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8"/>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lang w:val="fr-FR" w:eastAsia="zh-CN"/>
        </w:rPr>
        <w:t>7</w:t>
      </w:r>
      <w:r>
        <w:rPr>
          <w:rFonts w:hint="eastAsia"/>
          <w:lang w:val="en-US" w:eastAsia="zh-CN"/>
        </w:rPr>
        <w:t>06</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w:t>
      </w:r>
      <w:r>
        <w:fldChar w:fldCharType="end"/>
      </w:r>
      <w:bookmarkEnd w:id="7"/>
    </w:p>
    <w:p>
      <w:pPr>
        <w:pStyle w:val="199"/>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int="eastAsia" w:hAnsi="黑体"/>
        </w:rPr>
        <w:t>代替YS/T706-2009</w:t>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lang w:val="fr-FR"/>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包覆铁青铜粉</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Iron </w:t>
      </w:r>
      <w:r>
        <w:rPr>
          <w:rFonts w:hint="eastAsia" w:eastAsia="黑体"/>
          <w:szCs w:val="28"/>
          <w:lang w:val="en-US" w:eastAsia="zh-CN"/>
        </w:rPr>
        <w:t>c</w:t>
      </w:r>
      <w:r>
        <w:rPr>
          <w:rFonts w:hint="eastAsia" w:eastAsia="黑体"/>
          <w:szCs w:val="28"/>
        </w:rPr>
        <w:t xml:space="preserve">oated </w:t>
      </w:r>
      <w:r>
        <w:rPr>
          <w:rFonts w:hint="eastAsia" w:eastAsia="黑体"/>
          <w:szCs w:val="28"/>
          <w:lang w:val="en-US" w:eastAsia="zh-CN"/>
        </w:rPr>
        <w:t>b</w:t>
      </w:r>
      <w:r>
        <w:rPr>
          <w:rFonts w:hint="eastAsia" w:eastAsia="黑体"/>
          <w:szCs w:val="28"/>
        </w:rPr>
        <w:t xml:space="preserve">ronze </w:t>
      </w:r>
      <w:r>
        <w:rPr>
          <w:rFonts w:hint="eastAsia" w:eastAsia="黑体"/>
          <w:szCs w:val="28"/>
          <w:lang w:val="en-US" w:eastAsia="zh-CN"/>
        </w:rPr>
        <w:t>p</w:t>
      </w:r>
      <w:r>
        <w:rPr>
          <w:rFonts w:hint="eastAsia" w:eastAsia="黑体"/>
          <w:szCs w:val="28"/>
        </w:rPr>
        <w:t>owder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4</w:t>
      </w:r>
      <w:r>
        <w:rPr>
          <w:sz w:val="21"/>
          <w:szCs w:val="28"/>
        </w:rPr>
        <w:t>.</w:t>
      </w:r>
      <w:r>
        <w:rPr>
          <w:rFonts w:hint="eastAsia"/>
          <w:sz w:val="21"/>
          <w:szCs w:val="28"/>
          <w:lang w:val="en-US" w:eastAsia="zh-CN"/>
        </w:rPr>
        <w:t>06</w:t>
      </w:r>
      <w:r>
        <w:rPr>
          <w:rFonts w:hint="eastAsia"/>
          <w:sz w:val="21"/>
          <w:szCs w:val="28"/>
        </w:rPr>
        <w:t>）</w:t>
      </w:r>
      <w:r>
        <w:rPr>
          <w:sz w:val="21"/>
          <w:szCs w:val="28"/>
        </w:rPr>
        <w:fldChar w:fldCharType="end"/>
      </w:r>
      <w:bookmarkEnd w:id="13"/>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6"/>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highlight w:val="none"/>
        </w:rPr>
      </w:pPr>
      <w:bookmarkStart w:id="22" w:name="BookMark2"/>
      <w:r>
        <w:rPr>
          <w:spacing w:val="320"/>
          <w:highlight w:val="none"/>
        </w:rPr>
        <w:t>前</w:t>
      </w:r>
      <w:r>
        <w:rPr>
          <w:highlight w:val="none"/>
        </w:rPr>
        <w:t>言</w:t>
      </w:r>
    </w:p>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本文件按照GB/T 1.1—2020《标准化工作导则  第1部分：标准化文件的结构和起草规则》的规定起草。</w:t>
      </w:r>
    </w:p>
    <w:p>
      <w:pPr>
        <w:pStyle w:val="59"/>
        <w:ind w:firstLine="420"/>
        <w:rPr>
          <w:rFonts w:hint="eastAsia" w:ascii="Times New Roman" w:hAnsi="Times New Roman" w:eastAsia="宋体" w:cs="宋体"/>
          <w:color w:val="auto"/>
          <w:sz w:val="21"/>
          <w:highlight w:val="none"/>
          <w:lang w:val="en-US" w:eastAsia="zh-CN"/>
        </w:rPr>
      </w:pPr>
      <w:r>
        <w:rPr>
          <w:rFonts w:hint="eastAsia" w:ascii="Times New Roman" w:hAnsi="Times New Roman" w:eastAsia="宋体" w:cs="宋体"/>
          <w:color w:val="auto"/>
          <w:sz w:val="21"/>
          <w:highlight w:val="none"/>
          <w:lang w:val="en-US" w:eastAsia="zh-CN"/>
        </w:rPr>
        <w:t>本文件代替YS/T 706-2009《铁青铜复合粉》。与YS/T 706-2009相比，除结构调整和编辑性改动外，主要技术变化如下：</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删除了“4.1牌号”（见4，2009年版的3.1）</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增加了FHFeCu-3、FHFeCu-4两个牌号（见4.1，2009年版</w:t>
      </w:r>
      <w:bookmarkStart w:id="45" w:name="_GoBack"/>
      <w:bookmarkEnd w:id="45"/>
      <w:r>
        <w:rPr>
          <w:rFonts w:hint="eastAsia" w:ascii="Times New Roman" w:cs="宋体"/>
          <w:color w:val="auto"/>
          <w:sz w:val="21"/>
          <w:highlight w:val="none"/>
          <w:lang w:val="en-US" w:eastAsia="zh-CN"/>
        </w:rPr>
        <w:t>的3.1）；</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删除了FHFeCuSnZn-3、FHFeCuSnZn-4两个牌号（见4.1，2009年版的3.1）</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更改了包覆铁青铜粉的化学成分的指标值，将“硝酸处理后灼烧残渣”更改为“硝酸不溶物”（见5.1，2009年版的3.2）；</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更改了包覆铁青铜粉的粒度分布、质量分数和松装密度的指标值（见5.2，2009年版的3.3）；</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删除了“</w:t>
      </w:r>
      <w:r>
        <w:rPr>
          <w:rFonts w:hint="eastAsia" w:ascii="Times New Roman" w:hAnsi="Times New Roman" w:eastAsia="宋体" w:cs="宋体"/>
          <w:color w:val="auto"/>
          <w:sz w:val="21"/>
          <w:szCs w:val="21"/>
          <w:highlight w:val="none"/>
          <w:lang w:val="en-US" w:eastAsia="zh-CN"/>
        </w:rPr>
        <w:t>注2：表中“+”表示筛上，“-”表示筛下。</w:t>
      </w:r>
      <w:r>
        <w:rPr>
          <w:rFonts w:hint="eastAsia" w:ascii="Times New Roman" w:cs="宋体"/>
          <w:color w:val="auto"/>
          <w:sz w:val="21"/>
          <w:highlight w:val="none"/>
          <w:lang w:val="en-US" w:eastAsia="zh-CN"/>
        </w:rPr>
        <w:t>”（见5.2，2009年版的3.3）</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将“表面质量”改为“外观质量”，删除部分外观质量表述（见5.3，2009年版3.4）；</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更改了检查和验收、组批规则（见7.1、7.2，2009年版的5.1、5.2）；</w:t>
      </w:r>
    </w:p>
    <w:p>
      <w:pPr>
        <w:pStyle w:val="59"/>
        <w:numPr>
          <w:ilvl w:val="0"/>
          <w:numId w:val="32"/>
        </w:numPr>
        <w:ind w:firstLine="420"/>
        <w:rPr>
          <w:rFonts w:hint="eastAsia" w:ascii="Times New Roman" w:cs="宋体"/>
          <w:color w:val="auto"/>
          <w:sz w:val="21"/>
          <w:highlight w:val="none"/>
          <w:lang w:val="en-US" w:eastAsia="zh-CN"/>
        </w:rPr>
      </w:pPr>
      <w:r>
        <w:rPr>
          <w:rFonts w:hint="eastAsia" w:ascii="Times New Roman" w:cs="宋体"/>
          <w:color w:val="auto"/>
          <w:sz w:val="21"/>
          <w:highlight w:val="none"/>
          <w:lang w:val="en-US" w:eastAsia="zh-CN"/>
        </w:rPr>
        <w:t>更改了</w:t>
      </w:r>
      <w:r>
        <w:rPr>
          <w:rFonts w:hint="eastAsia"/>
          <w:color w:val="auto"/>
          <w:highlight w:val="none"/>
          <w:lang w:val="en-US" w:eastAsia="zh-CN"/>
        </w:rPr>
        <w:t>检验项目</w:t>
      </w:r>
      <w:r>
        <w:rPr>
          <w:rFonts w:hint="eastAsia" w:ascii="Times New Roman" w:cs="宋体"/>
          <w:color w:val="auto"/>
          <w:sz w:val="21"/>
          <w:highlight w:val="none"/>
          <w:lang w:val="en-US" w:eastAsia="zh-CN"/>
        </w:rPr>
        <w:t>（见7.4，2009年版的5.4）；</w:t>
      </w:r>
    </w:p>
    <w:p>
      <w:pPr>
        <w:pStyle w:val="59"/>
        <w:numPr>
          <w:ilvl w:val="0"/>
          <w:numId w:val="32"/>
        </w:numPr>
        <w:ind w:firstLine="420"/>
        <w:rPr>
          <w:rFonts w:hint="eastAsia" w:ascii="Times New Roman" w:cs="宋体"/>
          <w:color w:val="auto"/>
          <w:sz w:val="21"/>
          <w:highlight w:val="none"/>
          <w:lang w:val="en-US" w:eastAsia="zh-CN"/>
        </w:rPr>
      </w:pPr>
      <w:r>
        <w:rPr>
          <w:rFonts w:hint="eastAsia" w:ascii="Times New Roman" w:cs="宋体"/>
          <w:color w:val="auto"/>
          <w:sz w:val="21"/>
          <w:highlight w:val="none"/>
          <w:lang w:val="en-US" w:eastAsia="zh-CN"/>
        </w:rPr>
        <w:t>增加数值修约的规定（见7.5.1）</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更改了包装规则（见8.1，2009年版的6.1）；</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增加了随行文件的相关内容（见8.5）；</w:t>
      </w:r>
    </w:p>
    <w:p>
      <w:pPr>
        <w:pStyle w:val="59"/>
        <w:numPr>
          <w:ilvl w:val="0"/>
          <w:numId w:val="32"/>
        </w:numPr>
        <w:ind w:firstLine="420"/>
        <w:rPr>
          <w:rFonts w:hint="eastAsia" w:ascii="Times New Roman" w:hAnsi="Times New Roman" w:eastAsia="宋体" w:cs="宋体"/>
          <w:color w:val="auto"/>
          <w:sz w:val="21"/>
          <w:highlight w:val="none"/>
          <w:lang w:val="en-US" w:eastAsia="zh-CN"/>
        </w:rPr>
      </w:pPr>
      <w:r>
        <w:rPr>
          <w:rFonts w:hint="eastAsia" w:ascii="Times New Roman" w:hAnsi="Times New Roman" w:eastAsia="宋体" w:cs="宋体"/>
          <w:color w:val="auto"/>
          <w:sz w:val="21"/>
          <w:highlight w:val="none"/>
          <w:lang w:val="en-US" w:eastAsia="zh-CN"/>
        </w:rPr>
        <w:t>标准名称的完善：由“铁青铜复合粉”改为“包覆铁青铜粉”。</w:t>
      </w:r>
    </w:p>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请注意本文件的某些内容可能涉及专利。本文件的发布机构不承担识别专利的责任。</w:t>
      </w:r>
    </w:p>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本文件由全国有色金属标准化技术委员会（SAC/TC 243）提出并归口。</w:t>
      </w:r>
    </w:p>
    <w:p>
      <w:pPr>
        <w:pStyle w:val="59"/>
        <w:ind w:firstLine="420"/>
        <w:rPr>
          <w:rFonts w:ascii="Times New Roman" w:hAnsi="Times New Roman" w:cs="宋体"/>
          <w:color w:val="auto"/>
          <w:sz w:val="21"/>
          <w:highlight w:val="none"/>
        </w:rPr>
      </w:pPr>
      <w:r>
        <w:rPr>
          <w:rFonts w:hint="eastAsia" w:ascii="Times New Roman" w:hAnsi="Times New Roman" w:cs="宋体"/>
          <w:color w:val="auto"/>
          <w:sz w:val="21"/>
          <w:highlight w:val="none"/>
        </w:rPr>
        <w:t>本文件起草单位：重庆有研重冶新材料有限公司、有研粉末新材料（合肥）有限公司、有色金属技术经济研究院有限责任公司</w:t>
      </w:r>
      <w:r>
        <w:rPr>
          <w:rFonts w:hint="eastAsia" w:ascii="Times New Roman" w:hAnsi="Times New Roman" w:cs="宋体"/>
          <w:color w:val="auto"/>
          <w:sz w:val="21"/>
          <w:highlight w:val="none"/>
          <w:lang w:eastAsia="zh-CN"/>
        </w:rPr>
        <w:t>、山东华大金科新材料有限公司</w:t>
      </w:r>
      <w:r>
        <w:rPr>
          <w:rFonts w:hint="eastAsia" w:ascii="Times New Roman" w:hAnsi="Times New Roman" w:cs="宋体"/>
          <w:color w:val="auto"/>
          <w:sz w:val="21"/>
          <w:highlight w:val="none"/>
        </w:rPr>
        <w:t>。</w:t>
      </w:r>
    </w:p>
    <w:p>
      <w:pPr>
        <w:pStyle w:val="59"/>
        <w:ind w:firstLine="420"/>
        <w:rPr>
          <w:rFonts w:ascii="Times New Roman" w:hAnsi="Times New Roman" w:cs="宋体"/>
          <w:color w:val="auto"/>
          <w:sz w:val="21"/>
          <w:highlight w:val="none"/>
        </w:rPr>
      </w:pPr>
      <w:r>
        <w:rPr>
          <w:rFonts w:hint="eastAsia" w:ascii="Times New Roman" w:hAnsi="Times New Roman" w:cs="宋体"/>
          <w:color w:val="auto"/>
          <w:sz w:val="21"/>
          <w:highlight w:val="none"/>
        </w:rPr>
        <w:t>本文件主要起草人：李占荣、陈林、张敬国、张玉波、李逍遥、汪礼敏、贺会军、胡强、</w:t>
      </w:r>
      <w:r>
        <w:rPr>
          <w:rFonts w:hint="eastAsia" w:ascii="Times New Roman" w:hAnsi="Times New Roman" w:eastAsia="宋体" w:cs="Times New Roman"/>
          <w:color w:val="000000"/>
          <w:szCs w:val="21"/>
          <w:lang w:val="en-US" w:eastAsia="zh-CN"/>
        </w:rPr>
        <w:t>宣颖丽、张煦</w:t>
      </w:r>
      <w:r>
        <w:rPr>
          <w:rFonts w:hint="eastAsia" w:ascii="Times New Roman" w:cs="Times New Roman"/>
          <w:color w:val="000000"/>
          <w:szCs w:val="21"/>
          <w:lang w:val="en-US" w:eastAsia="zh-CN"/>
        </w:rPr>
        <w:t>、祝伟、</w:t>
      </w:r>
      <w:r>
        <w:rPr>
          <w:rFonts w:hint="eastAsia" w:ascii="Times New Roman" w:hAnsi="Times New Roman" w:cs="宋体"/>
          <w:color w:val="auto"/>
          <w:sz w:val="21"/>
          <w:highlight w:val="none"/>
          <w:lang w:val="en-US" w:eastAsia="zh-CN"/>
        </w:rPr>
        <w:t>李浩、</w:t>
      </w:r>
      <w:r>
        <w:rPr>
          <w:rFonts w:hint="eastAsia" w:ascii="Times New Roman" w:hAnsi="Times New Roman" w:cs="宋体"/>
          <w:color w:val="auto"/>
          <w:sz w:val="21"/>
          <w:highlight w:val="none"/>
        </w:rPr>
        <w:t>赖坤、王骏、胡光明</w:t>
      </w:r>
      <w:r>
        <w:rPr>
          <w:rFonts w:hint="eastAsia" w:ascii="Times New Roman" w:cs="宋体"/>
          <w:color w:val="auto"/>
          <w:sz w:val="21"/>
          <w:highlight w:val="none"/>
          <w:lang w:eastAsia="zh-CN"/>
        </w:rPr>
        <w:t>、</w:t>
      </w:r>
      <w:r>
        <w:rPr>
          <w:rFonts w:hint="eastAsia" w:ascii="Times New Roman" w:cs="宋体"/>
          <w:color w:val="auto"/>
          <w:sz w:val="21"/>
          <w:highlight w:val="none"/>
          <w:lang w:val="en-US" w:eastAsia="zh-CN"/>
        </w:rPr>
        <w:t>吴卫</w:t>
      </w:r>
      <w:r>
        <w:rPr>
          <w:rFonts w:hint="eastAsia" w:ascii="Times New Roman" w:hAnsi="Times New Roman" w:cs="宋体"/>
          <w:color w:val="auto"/>
          <w:sz w:val="21"/>
          <w:highlight w:val="none"/>
        </w:rPr>
        <w:t>、班丽卿、韩知</w:t>
      </w:r>
      <w:r>
        <w:rPr>
          <w:rFonts w:hint="eastAsia" w:ascii="Times New Roman" w:cs="宋体"/>
          <w:color w:val="auto"/>
          <w:sz w:val="21"/>
          <w:highlight w:val="none"/>
          <w:lang w:val="en-US" w:eastAsia="zh-CN"/>
        </w:rPr>
        <w:t>为</w:t>
      </w:r>
      <w:r>
        <w:rPr>
          <w:rFonts w:hint="eastAsia" w:ascii="Times New Roman" w:hAnsi="Times New Roman" w:cs="宋体"/>
          <w:color w:val="auto"/>
          <w:sz w:val="21"/>
          <w:highlight w:val="none"/>
        </w:rPr>
        <w:t>、唐剑英、任莉。</w:t>
      </w:r>
    </w:p>
    <w:p>
      <w:pPr>
        <w:pStyle w:val="59"/>
        <w:ind w:firstLine="420"/>
        <w:rPr>
          <w:rFonts w:hint="default" w:ascii="Times New Roman" w:hAnsi="Times New Roman" w:eastAsia="宋体"/>
          <w:color w:val="auto"/>
          <w:sz w:val="21"/>
          <w:highlight w:val="none"/>
          <w:lang w:val="en-US" w:eastAsia="zh-CN"/>
        </w:rPr>
      </w:pPr>
      <w:r>
        <w:rPr>
          <w:rFonts w:hint="eastAsia" w:ascii="Times New Roman" w:hAnsi="Times New Roman" w:cs="宋体"/>
          <w:color w:val="auto"/>
          <w:sz w:val="21"/>
          <w:highlight w:val="none"/>
          <w:lang w:val="en-US" w:eastAsia="zh-CN"/>
        </w:rPr>
        <w:t>本文件于2009年首次发布，本次为第一次修订。</w:t>
      </w:r>
    </w:p>
    <w:p>
      <w:pPr>
        <w:pStyle w:val="59"/>
        <w:ind w:firstLine="420"/>
        <w:rPr>
          <w:rFonts w:ascii="Times New Roman" w:hAnsi="Times New Roman"/>
          <w:color w:val="auto"/>
          <w:sz w:val="21"/>
          <w:highlight w:val="none"/>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pPr>
        <w:spacing w:line="20" w:lineRule="exact"/>
        <w:jc w:val="center"/>
        <w:rPr>
          <w:rFonts w:ascii="黑体" w:hAnsi="黑体" w:eastAsia="黑体"/>
          <w:color w:val="auto"/>
          <w:sz w:val="32"/>
          <w:szCs w:val="32"/>
          <w:highlight w:val="none"/>
        </w:rPr>
      </w:pPr>
      <w:bookmarkStart w:id="23" w:name="BookMark4"/>
    </w:p>
    <w:p>
      <w:pPr>
        <w:spacing w:line="20" w:lineRule="exact"/>
        <w:jc w:val="center"/>
        <w:rPr>
          <w:rFonts w:ascii="黑体" w:hAnsi="黑体" w:eastAsia="黑体"/>
          <w:color w:val="auto"/>
          <w:sz w:val="32"/>
          <w:szCs w:val="32"/>
          <w:highlight w:val="none"/>
        </w:rPr>
      </w:pPr>
    </w:p>
    <w:sdt>
      <w:sdtPr>
        <w:rPr>
          <w:rFonts w:hint="default"/>
          <w:color w:val="auto"/>
          <w:highlight w:val="none"/>
          <w:lang w:val="en-US"/>
        </w:rPr>
        <w:tag w:val="NEW_STAND_NAME"/>
        <w:id w:val="595910757"/>
        <w:lock w:val="sdtLocked"/>
        <w:placeholder>
          <w:docPart w:val="72B0EF8E17B7449BA1CB2ABD6A3FEE97"/>
        </w:placeholder>
      </w:sdtPr>
      <w:sdtEndPr>
        <w:rPr>
          <w:rFonts w:hint="default"/>
          <w:color w:val="auto"/>
          <w:highlight w:val="none"/>
          <w:lang w:val="en-US"/>
        </w:rPr>
      </w:sdtEndPr>
      <w:sdtContent>
        <w:p>
          <w:pPr>
            <w:pStyle w:val="180"/>
            <w:spacing w:before="240" w:beforeLines="100" w:after="528" w:afterLines="220"/>
            <w:rPr>
              <w:color w:val="auto"/>
              <w:highlight w:val="none"/>
            </w:rPr>
          </w:pPr>
          <w:bookmarkStart w:id="24" w:name="NEW_STAND_NAME"/>
          <w:r>
            <w:rPr>
              <w:rFonts w:hint="eastAsia"/>
              <w:color w:val="auto"/>
              <w:highlight w:val="none"/>
              <w:lang w:val="en-US" w:eastAsia="zh-CN"/>
            </w:rPr>
            <w:t>包覆铁青铜粉</w:t>
          </w:r>
        </w:p>
      </w:sdtContent>
    </w:sdt>
    <w:bookmarkEnd w:id="24"/>
    <w:p>
      <w:pPr>
        <w:pStyle w:val="107"/>
        <w:spacing w:before="240" w:after="240"/>
        <w:rPr>
          <w:color w:val="auto"/>
          <w:highlight w:val="none"/>
        </w:rPr>
      </w:pPr>
      <w:bookmarkStart w:id="25" w:name="_Toc24884218"/>
      <w:bookmarkStart w:id="26" w:name="_Toc26986530"/>
      <w:bookmarkStart w:id="27" w:name="_Toc24884211"/>
      <w:bookmarkStart w:id="28" w:name="_Toc26648465"/>
      <w:bookmarkStart w:id="29" w:name="_Toc26986771"/>
      <w:bookmarkStart w:id="30" w:name="_Toc17233333"/>
      <w:bookmarkStart w:id="31" w:name="_Toc26718930"/>
      <w:bookmarkStart w:id="32" w:name="_Toc97195091"/>
      <w:bookmarkStart w:id="33" w:name="_Toc17233325"/>
      <w:r>
        <w:rPr>
          <w:rFonts w:hint="eastAsia"/>
          <w:color w:val="auto"/>
          <w:highlight w:val="none"/>
        </w:rPr>
        <w:t>范围</w:t>
      </w:r>
      <w:bookmarkEnd w:id="25"/>
      <w:bookmarkEnd w:id="26"/>
      <w:bookmarkEnd w:id="27"/>
      <w:bookmarkEnd w:id="28"/>
      <w:bookmarkEnd w:id="29"/>
      <w:bookmarkEnd w:id="30"/>
      <w:bookmarkEnd w:id="31"/>
      <w:bookmarkEnd w:id="32"/>
      <w:bookmarkEnd w:id="33"/>
    </w:p>
    <w:p>
      <w:pPr>
        <w:pStyle w:val="59"/>
        <w:ind w:firstLine="420"/>
        <w:rPr>
          <w:rFonts w:hint="eastAsia" w:ascii="Times New Roman" w:hAnsi="Times New Roman" w:eastAsia="宋体" w:cs="宋体"/>
          <w:color w:val="auto"/>
          <w:sz w:val="21"/>
          <w:szCs w:val="21"/>
          <w:highlight w:val="none"/>
        </w:rPr>
      </w:pPr>
      <w:bookmarkStart w:id="34" w:name="_Toc17233334"/>
      <w:bookmarkStart w:id="35" w:name="_Toc24884219"/>
      <w:bookmarkStart w:id="36" w:name="_Toc26648466"/>
      <w:bookmarkStart w:id="37" w:name="_Toc24884212"/>
      <w:bookmarkStart w:id="38" w:name="_Toc17233326"/>
      <w:r>
        <w:rPr>
          <w:rFonts w:hint="eastAsia" w:ascii="Times New Roman" w:hAnsi="Times New Roman" w:eastAsia="宋体" w:cs="宋体"/>
          <w:color w:val="auto"/>
          <w:sz w:val="21"/>
          <w:szCs w:val="21"/>
          <w:highlight w:val="none"/>
        </w:rPr>
        <w:t>本</w:t>
      </w:r>
      <w:r>
        <w:rPr>
          <w:rFonts w:hint="eastAsia" w:ascii="Times New Roman" w:hAnsi="Times New Roman" w:eastAsia="宋体" w:cs="宋体"/>
          <w:color w:val="auto"/>
          <w:sz w:val="21"/>
          <w:szCs w:val="21"/>
          <w:highlight w:val="none"/>
          <w:lang w:eastAsia="zh-CN"/>
        </w:rPr>
        <w:t>文件</w:t>
      </w:r>
      <w:r>
        <w:rPr>
          <w:rFonts w:hint="eastAsia" w:ascii="Times New Roman" w:hAnsi="Times New Roman" w:eastAsia="宋体" w:cs="宋体"/>
          <w:color w:val="auto"/>
          <w:sz w:val="21"/>
          <w:szCs w:val="21"/>
          <w:highlight w:val="none"/>
        </w:rPr>
        <w:t>规定了</w:t>
      </w:r>
      <w:r>
        <w:rPr>
          <w:rFonts w:hint="eastAsia" w:ascii="Times New Roman" w:hAnsi="Times New Roman" w:eastAsia="宋体" w:cs="宋体"/>
          <w:color w:val="auto"/>
          <w:sz w:val="21"/>
          <w:szCs w:val="21"/>
          <w:highlight w:val="none"/>
          <w:lang w:val="en-US" w:eastAsia="zh-CN"/>
        </w:rPr>
        <w:t>包覆铁青铜</w:t>
      </w:r>
      <w:r>
        <w:rPr>
          <w:rFonts w:hint="eastAsia" w:ascii="Times New Roman" w:hAnsi="Times New Roman" w:eastAsia="宋体" w:cs="宋体"/>
          <w:color w:val="auto"/>
          <w:sz w:val="21"/>
          <w:szCs w:val="21"/>
          <w:highlight w:val="none"/>
        </w:rPr>
        <w:t>粉的产品分类、化学成分、物理性能、</w:t>
      </w:r>
      <w:r>
        <w:rPr>
          <w:rFonts w:hint="eastAsia" w:ascii="Times New Roman" w:cs="宋体"/>
          <w:color w:val="auto"/>
          <w:sz w:val="21"/>
          <w:szCs w:val="21"/>
          <w:highlight w:val="none"/>
          <w:lang w:val="en-US" w:eastAsia="zh-CN"/>
        </w:rPr>
        <w:t>外观</w:t>
      </w:r>
      <w:r>
        <w:rPr>
          <w:rFonts w:hint="eastAsia" w:ascii="Times New Roman" w:hAnsi="Times New Roman" w:eastAsia="宋体" w:cs="宋体"/>
          <w:color w:val="auto"/>
          <w:sz w:val="21"/>
          <w:szCs w:val="21"/>
          <w:highlight w:val="none"/>
        </w:rPr>
        <w:t>质量、试验方法、检验规则、包装、标志、运输、贮存、</w:t>
      </w:r>
      <w:r>
        <w:rPr>
          <w:rFonts w:hint="eastAsia" w:ascii="Times New Roman" w:cs="宋体"/>
          <w:color w:val="auto"/>
          <w:sz w:val="21"/>
          <w:szCs w:val="21"/>
          <w:highlight w:val="none"/>
          <w:lang w:val="en-US" w:eastAsia="zh-CN"/>
        </w:rPr>
        <w:t>随行文件</w:t>
      </w:r>
      <w:r>
        <w:rPr>
          <w:rFonts w:hint="eastAsia" w:ascii="Times New Roman" w:hAnsi="Times New Roman" w:eastAsia="宋体" w:cs="宋体"/>
          <w:color w:val="auto"/>
          <w:sz w:val="21"/>
          <w:szCs w:val="21"/>
          <w:highlight w:val="none"/>
        </w:rPr>
        <w:t>和订货单内容。</w:t>
      </w:r>
    </w:p>
    <w:p>
      <w:pPr>
        <w:pStyle w:val="59"/>
        <w:ind w:firstLine="420"/>
        <w:rPr>
          <w:rFonts w:hint="eastAsia" w:ascii="Times New Roman"/>
          <w:color w:val="auto"/>
          <w:szCs w:val="21"/>
          <w:highlight w:val="none"/>
        </w:rPr>
      </w:pPr>
      <w:r>
        <w:rPr>
          <w:rFonts w:hint="eastAsia" w:ascii="Times New Roman" w:hAnsi="Times New Roman" w:eastAsia="宋体" w:cs="宋体"/>
          <w:color w:val="auto"/>
          <w:sz w:val="21"/>
          <w:szCs w:val="21"/>
          <w:highlight w:val="none"/>
        </w:rPr>
        <w:t>本</w:t>
      </w:r>
      <w:r>
        <w:rPr>
          <w:rFonts w:hint="eastAsia" w:ascii="Times New Roman" w:hAnsi="Times New Roman" w:eastAsia="宋体" w:cs="宋体"/>
          <w:color w:val="auto"/>
          <w:sz w:val="21"/>
          <w:szCs w:val="21"/>
          <w:highlight w:val="none"/>
          <w:lang w:eastAsia="zh-CN"/>
        </w:rPr>
        <w:t>文件</w:t>
      </w:r>
      <w:r>
        <w:rPr>
          <w:rFonts w:hint="eastAsia" w:ascii="Times New Roman" w:hAnsi="Times New Roman" w:eastAsia="宋体" w:cs="宋体"/>
          <w:color w:val="auto"/>
          <w:sz w:val="21"/>
          <w:szCs w:val="21"/>
          <w:highlight w:val="none"/>
        </w:rPr>
        <w:t>适用于以铁粉为基础原料，采用化学浸镀、烧结扩散在铁粉颗粒外面包覆铜/铜、锡/铜、锌合金的</w:t>
      </w:r>
      <w:r>
        <w:rPr>
          <w:rFonts w:hint="eastAsia" w:ascii="Times New Roman" w:hAnsi="Times New Roman" w:eastAsia="宋体" w:cs="宋体"/>
          <w:color w:val="auto"/>
          <w:sz w:val="21"/>
          <w:szCs w:val="21"/>
          <w:highlight w:val="none"/>
          <w:lang w:val="en-US" w:eastAsia="zh-CN"/>
        </w:rPr>
        <w:t>包覆铁青铜粉</w:t>
      </w:r>
      <w:r>
        <w:rPr>
          <w:rFonts w:hint="eastAsia" w:ascii="Times New Roman" w:hAnsi="Times New Roman" w:eastAsia="宋体" w:cs="宋体"/>
          <w:color w:val="auto"/>
          <w:sz w:val="21"/>
          <w:szCs w:val="21"/>
          <w:highlight w:val="none"/>
        </w:rPr>
        <w:t>，主要用于金刚石工具、含油轴承、粉末冶金结构件、刹车片、电碳制品等制造领域。</w:t>
      </w:r>
    </w:p>
    <w:p>
      <w:pPr>
        <w:pStyle w:val="107"/>
        <w:spacing w:before="240" w:after="240"/>
        <w:rPr>
          <w:color w:val="auto"/>
          <w:highlight w:val="none"/>
        </w:rPr>
      </w:pPr>
      <w:bookmarkStart w:id="39" w:name="_Toc97195092"/>
      <w:bookmarkStart w:id="40" w:name="_Toc26986531"/>
      <w:bookmarkStart w:id="41" w:name="_Toc26986772"/>
      <w:bookmarkStart w:id="42" w:name="_Toc26718931"/>
      <w:r>
        <w:rPr>
          <w:rFonts w:hint="eastAsia"/>
          <w:color w:val="auto"/>
          <w:highlight w:val="none"/>
        </w:rPr>
        <w:t>规范性引用文件</w:t>
      </w:r>
      <w:bookmarkEnd w:id="34"/>
      <w:bookmarkEnd w:id="35"/>
      <w:bookmarkEnd w:id="36"/>
      <w:bookmarkEnd w:id="37"/>
      <w:bookmarkEnd w:id="38"/>
      <w:bookmarkEnd w:id="39"/>
      <w:bookmarkEnd w:id="40"/>
      <w:bookmarkEnd w:id="41"/>
      <w:bookmarkEnd w:id="42"/>
    </w:p>
    <w:sdt>
      <w:sdtPr>
        <w:rPr>
          <w:rFonts w:hint="eastAsia"/>
          <w:color w:val="auto"/>
          <w:highlight w:val="none"/>
        </w:rPr>
        <w:id w:val="715848253"/>
        <w:placeholder>
          <w:docPart w:val="7971392AF9784C3D8A3450307B6959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eastAsia="宋体" w:cs="宋体"/>
          <w:color w:val="auto"/>
          <w:sz w:val="21"/>
          <w:highlight w:val="none"/>
        </w:rPr>
      </w:sdtEndPr>
      <w:sdtContent>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1479</w:t>
      </w:r>
      <w:r>
        <w:rPr>
          <w:rFonts w:hint="eastAsia" w:ascii="Times New Roman" w:hAnsi="Times New Roman" w:eastAsia="宋体" w:cs="宋体"/>
          <w:color w:val="auto"/>
          <w:sz w:val="21"/>
          <w:highlight w:val="none"/>
          <w:lang w:val="en-US" w:eastAsia="zh-CN"/>
        </w:rPr>
        <w:t>.1</w:t>
      </w:r>
      <w:r>
        <w:rPr>
          <w:rFonts w:hint="eastAsia" w:ascii="Times New Roman" w:hAnsi="Times New Roman" w:eastAsia="宋体" w:cs="宋体"/>
          <w:color w:val="auto"/>
          <w:sz w:val="21"/>
          <w:highlight w:val="none"/>
        </w:rPr>
        <w:t xml:space="preserve"> 金属粉末</w:t>
      </w:r>
      <w:r>
        <w:rPr>
          <w:rFonts w:hint="eastAsia" w:ascii="Times New Roman" w:hAnsi="Times New Roman" w:eastAsia="宋体" w:cs="宋体"/>
          <w:color w:val="auto"/>
          <w:sz w:val="21"/>
          <w:highlight w:val="none"/>
          <w:lang w:val="en-US" w:eastAsia="zh-CN"/>
        </w:rPr>
        <w:t xml:space="preserve"> </w:t>
      </w:r>
      <w:r>
        <w:rPr>
          <w:rFonts w:hint="eastAsia" w:ascii="Times New Roman" w:hAnsi="Times New Roman" w:eastAsia="宋体" w:cs="宋体"/>
          <w:color w:val="auto"/>
          <w:sz w:val="21"/>
          <w:highlight w:val="none"/>
        </w:rPr>
        <w:t>松装密度的测定  第</w:t>
      </w:r>
      <w:r>
        <w:rPr>
          <w:rFonts w:hint="eastAsia" w:ascii="Times New Roman" w:hAnsi="Times New Roman" w:eastAsia="宋体" w:cs="宋体"/>
          <w:color w:val="auto"/>
          <w:sz w:val="21"/>
          <w:highlight w:val="none"/>
          <w:lang w:val="en-US" w:eastAsia="zh-CN"/>
        </w:rPr>
        <w:t>1</w:t>
      </w:r>
      <w:r>
        <w:rPr>
          <w:rFonts w:hint="eastAsia" w:ascii="Times New Roman" w:hAnsi="Times New Roman" w:eastAsia="宋体" w:cs="宋体"/>
          <w:color w:val="auto"/>
          <w:sz w:val="21"/>
          <w:highlight w:val="none"/>
        </w:rPr>
        <w:t>部</w:t>
      </w:r>
      <w:r>
        <w:rPr>
          <w:rFonts w:hint="eastAsia" w:ascii="Times New Roman" w:hAnsi="Times New Roman" w:eastAsia="宋体" w:cs="宋体"/>
          <w:color w:val="auto"/>
          <w:sz w:val="21"/>
          <w:highlight w:val="none"/>
          <w:lang w:eastAsia="zh-CN"/>
        </w:rPr>
        <w:t>分：</w:t>
      </w:r>
      <w:r>
        <w:rPr>
          <w:rFonts w:hint="eastAsia" w:ascii="Times New Roman" w:hAnsi="Times New Roman" w:eastAsia="宋体" w:cs="宋体"/>
          <w:color w:val="auto"/>
          <w:sz w:val="21"/>
          <w:highlight w:val="none"/>
        </w:rPr>
        <w:t>漏斗法</w:t>
      </w:r>
    </w:p>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1480 金属粉末粒度组成的测定——干筛分法</w:t>
      </w:r>
    </w:p>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1482 金属粉末 流动性的测定 标准漏斗法（霍尔流速计）</w:t>
      </w:r>
    </w:p>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5121（所有部分） 铜及铜合金化学分析方法</w:t>
      </w:r>
    </w:p>
    <w:p>
      <w:pPr>
        <w:pStyle w:val="59"/>
        <w:ind w:firstLine="420"/>
        <w:rPr>
          <w:rFonts w:hint="eastAsia" w:ascii="Times New Roman" w:hAnsi="Times New Roman" w:eastAsia="宋体" w:cs="宋体"/>
          <w:color w:val="auto"/>
          <w:sz w:val="21"/>
          <w:highlight w:val="none"/>
          <w:lang w:eastAsia="zh-CN"/>
        </w:rPr>
      </w:pPr>
      <w:r>
        <w:rPr>
          <w:rFonts w:hint="eastAsia" w:ascii="Times New Roman" w:hAnsi="Times New Roman" w:eastAsia="宋体" w:cs="宋体"/>
          <w:color w:val="auto"/>
          <w:sz w:val="21"/>
          <w:highlight w:val="none"/>
        </w:rPr>
        <w:t>GB/T 5246-20</w:t>
      </w:r>
      <w:r>
        <w:rPr>
          <w:rFonts w:hint="eastAsia" w:ascii="Times New Roman" w:hAnsi="Times New Roman" w:eastAsia="宋体" w:cs="宋体"/>
          <w:color w:val="auto"/>
          <w:sz w:val="21"/>
          <w:highlight w:val="none"/>
          <w:lang w:val="en-US" w:eastAsia="zh-CN"/>
        </w:rPr>
        <w:t>23</w:t>
      </w:r>
      <w:r>
        <w:rPr>
          <w:rFonts w:hint="eastAsia" w:ascii="Times New Roman" w:hAnsi="Times New Roman" w:eastAsia="宋体" w:cs="宋体"/>
          <w:color w:val="auto"/>
          <w:sz w:val="21"/>
          <w:highlight w:val="none"/>
        </w:rPr>
        <w:t xml:space="preserve"> 电解铜粉 </w:t>
      </w:r>
    </w:p>
    <w:p>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5314 粉末冶金用粉末的取样方法</w:t>
      </w:r>
    </w:p>
    <w:p>
      <w:pPr>
        <w:pStyle w:val="59"/>
        <w:ind w:firstLine="420"/>
        <w:rPr>
          <w:rFonts w:hint="default" w:ascii="Times New Roman" w:hAnsi="Times New Roman" w:eastAsia="宋体" w:cs="宋体"/>
          <w:color w:val="auto"/>
          <w:sz w:val="21"/>
          <w:highlight w:val="none"/>
          <w:lang w:val="en-US"/>
        </w:rPr>
      </w:pPr>
      <w:r>
        <w:rPr>
          <w:rFonts w:hint="eastAsia" w:ascii="Times New Roman" w:hAnsi="Times New Roman" w:cs="Times New Roman"/>
          <w:color w:val="000000"/>
          <w:szCs w:val="21"/>
          <w:lang w:val="en-US" w:eastAsia="zh-CN"/>
        </w:rPr>
        <w:t>GB/T38812.2</w:t>
      </w:r>
      <w:r>
        <w:rPr>
          <w:rFonts w:hint="eastAsia" w:ascii="Times New Roman" w:cs="Times New Roman"/>
          <w:color w:val="000000"/>
          <w:szCs w:val="21"/>
          <w:lang w:val="en-US" w:eastAsia="zh-CN"/>
        </w:rPr>
        <w:t xml:space="preserve"> </w:t>
      </w:r>
      <w:r>
        <w:rPr>
          <w:rFonts w:hint="eastAsia" w:ascii="Times New Roman" w:hAnsi="Times New Roman" w:cs="Times New Roman"/>
          <w:color w:val="000000"/>
          <w:szCs w:val="21"/>
        </w:rPr>
        <w:t>直接还原铁　金属铁含量的测定</w:t>
      </w:r>
      <w:r>
        <w:rPr>
          <w:rFonts w:hint="eastAsia" w:ascii="Times New Roman" w:cs="Times New Roman"/>
          <w:color w:val="000000"/>
          <w:szCs w:val="21"/>
          <w:lang w:val="en-US" w:eastAsia="zh-CN"/>
        </w:rPr>
        <w:t xml:space="preserve">  </w:t>
      </w:r>
      <w:r>
        <w:rPr>
          <w:rFonts w:hint="eastAsia" w:ascii="Times New Roman" w:hAnsi="Times New Roman" w:cs="Times New Roman"/>
          <w:color w:val="000000"/>
          <w:szCs w:val="21"/>
        </w:rPr>
        <w:t>三氯化铁分解重铬酸钾滴定法</w:t>
      </w:r>
    </w:p>
    <w:p>
      <w:pPr>
        <w:pStyle w:val="107"/>
        <w:spacing w:before="240" w:after="240"/>
        <w:rPr>
          <w:color w:val="auto"/>
          <w:highlight w:val="none"/>
        </w:rPr>
      </w:pPr>
      <w:bookmarkStart w:id="43" w:name="_Toc97195093"/>
      <w:r>
        <w:rPr>
          <w:rFonts w:hint="eastAsia"/>
          <w:color w:val="auto"/>
          <w:szCs w:val="21"/>
          <w:highlight w:val="none"/>
        </w:rPr>
        <w:t>术语和定义</w:t>
      </w:r>
      <w:bookmarkEnd w:id="43"/>
    </w:p>
    <w:sdt>
      <w:sdtPr>
        <w:rPr>
          <w:color w:val="auto"/>
          <w:highlight w:val="none"/>
        </w:rPr>
        <w:id w:val="-1909835108"/>
        <w:placeholder>
          <w:docPart w:val="807F7DCD899842CBB3B9C568B829CE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59"/>
            <w:ind w:firstLine="420"/>
            <w:rPr>
              <w:color w:val="auto"/>
              <w:highlight w:val="none"/>
            </w:rPr>
          </w:pPr>
          <w:bookmarkStart w:id="44" w:name="_Toc26986532"/>
          <w:bookmarkEnd w:id="44"/>
          <w:r>
            <w:rPr>
              <w:color w:val="auto"/>
              <w:highlight w:val="none"/>
            </w:rPr>
            <w:t>本文件没有需要界定的术语和定义。</w:t>
          </w:r>
        </w:p>
      </w:sdtContent>
    </w:sdt>
    <w:p>
      <w:pPr>
        <w:pStyle w:val="107"/>
        <w:spacing w:before="240" w:after="240"/>
        <w:rPr>
          <w:color w:val="auto"/>
          <w:highlight w:val="none"/>
        </w:rPr>
      </w:pPr>
      <w:r>
        <w:rPr>
          <w:rFonts w:hint="eastAsia"/>
          <w:color w:val="auto"/>
          <w:highlight w:val="none"/>
          <w:lang w:val="en-US" w:eastAsia="zh-CN"/>
        </w:rPr>
        <w:t>产品</w:t>
      </w:r>
      <w:r>
        <w:rPr>
          <w:rFonts w:hint="eastAsia"/>
          <w:color w:val="auto"/>
          <w:highlight w:val="none"/>
        </w:rPr>
        <w:t>分类</w:t>
      </w:r>
    </w:p>
    <w:p>
      <w:pPr>
        <w:pStyle w:val="59"/>
        <w:ind w:firstLine="420"/>
        <w:rPr>
          <w:rFonts w:hint="eastAsia"/>
          <w:color w:val="auto"/>
          <w:highlight w:val="none"/>
        </w:rPr>
      </w:pPr>
      <w:r>
        <w:rPr>
          <w:rFonts w:hint="eastAsia" w:hAnsi="宋体" w:cs="宋体"/>
          <w:color w:val="auto"/>
          <w:sz w:val="21"/>
          <w:szCs w:val="21"/>
          <w:highlight w:val="none"/>
          <w:lang w:val="en-US" w:eastAsia="zh-CN"/>
        </w:rPr>
        <w:t>包覆铁青铜粉</w:t>
      </w:r>
      <w:r>
        <w:rPr>
          <w:rFonts w:hint="eastAsia"/>
          <w:color w:val="auto"/>
          <w:highlight w:val="none"/>
        </w:rPr>
        <w:t>按化学成分</w:t>
      </w:r>
      <w:r>
        <w:rPr>
          <w:rFonts w:hint="eastAsia"/>
          <w:color w:val="auto"/>
          <w:highlight w:val="none"/>
          <w:lang w:eastAsia="zh-CN"/>
        </w:rPr>
        <w:t>、</w:t>
      </w:r>
      <w:r>
        <w:rPr>
          <w:rFonts w:hint="eastAsia"/>
          <w:color w:val="auto"/>
          <w:highlight w:val="none"/>
          <w:lang w:val="en-US" w:eastAsia="zh-CN"/>
        </w:rPr>
        <w:t>生产工艺</w:t>
      </w:r>
      <w:r>
        <w:rPr>
          <w:rFonts w:hint="eastAsia"/>
          <w:color w:val="auto"/>
          <w:highlight w:val="none"/>
        </w:rPr>
        <w:t>和物理性能分为以下</w:t>
      </w:r>
      <w:r>
        <w:rPr>
          <w:rFonts w:hint="eastAsia"/>
          <w:color w:val="auto"/>
          <w:highlight w:val="none"/>
          <w:lang w:val="en-US" w:eastAsia="zh-CN"/>
        </w:rPr>
        <w:t>8</w:t>
      </w:r>
      <w:r>
        <w:rPr>
          <w:rFonts w:hint="eastAsia"/>
          <w:color w:val="auto"/>
          <w:highlight w:val="none"/>
        </w:rPr>
        <w:t>个牌号：</w:t>
      </w:r>
    </w:p>
    <w:p>
      <w:pPr>
        <w:pStyle w:val="59"/>
        <w:ind w:firstLine="420"/>
        <w:rPr>
          <w:rFonts w:hint="eastAsia"/>
          <w:color w:val="auto"/>
          <w:highlight w:val="none"/>
        </w:rPr>
      </w:pPr>
      <w:r>
        <w:rPr>
          <w:rFonts w:hint="eastAsia"/>
          <w:color w:val="auto"/>
          <w:highlight w:val="none"/>
        </w:rPr>
        <w:t>FHFeCu-1、FHFeCu-2、FHFeCu-3、FHFeCu-4</w:t>
      </w:r>
    </w:p>
    <w:p>
      <w:pPr>
        <w:pStyle w:val="59"/>
        <w:ind w:firstLine="420"/>
        <w:rPr>
          <w:rFonts w:hint="eastAsia"/>
          <w:color w:val="auto"/>
          <w:highlight w:val="none"/>
        </w:rPr>
      </w:pPr>
      <w:r>
        <w:rPr>
          <w:rFonts w:hint="eastAsia"/>
          <w:color w:val="auto"/>
          <w:highlight w:val="none"/>
        </w:rPr>
        <w:t>FHFeCuSn-1、FHFeCuSn-2</w:t>
      </w:r>
    </w:p>
    <w:p>
      <w:pPr>
        <w:pStyle w:val="59"/>
        <w:ind w:firstLine="420"/>
        <w:rPr>
          <w:rFonts w:hint="eastAsia"/>
          <w:color w:val="auto"/>
          <w:highlight w:val="none"/>
        </w:rPr>
      </w:pPr>
      <w:r>
        <w:rPr>
          <w:rFonts w:hint="eastAsia"/>
          <w:color w:val="auto"/>
          <w:highlight w:val="none"/>
        </w:rPr>
        <w:t>FHFeCuZn-1、FHFeCuZn-2</w:t>
      </w:r>
    </w:p>
    <w:p>
      <w:pPr>
        <w:pStyle w:val="107"/>
        <w:spacing w:before="240" w:after="240"/>
        <w:rPr>
          <w:color w:val="auto"/>
          <w:highlight w:val="none"/>
        </w:rPr>
      </w:pPr>
      <w:r>
        <w:rPr>
          <w:rFonts w:hint="eastAsia"/>
          <w:color w:val="auto"/>
          <w:highlight w:val="none"/>
        </w:rPr>
        <w:t>技术要求</w:t>
      </w:r>
    </w:p>
    <w:p>
      <w:pPr>
        <w:pStyle w:val="108"/>
        <w:spacing w:before="120" w:after="120"/>
        <w:rPr>
          <w:color w:val="auto"/>
          <w:highlight w:val="none"/>
        </w:rPr>
      </w:pPr>
      <w:r>
        <w:rPr>
          <w:rFonts w:hint="eastAsia"/>
          <w:color w:val="auto"/>
          <w:highlight w:val="none"/>
        </w:rPr>
        <w:t>化学成分</w:t>
      </w:r>
    </w:p>
    <w:p>
      <w:pPr>
        <w:pStyle w:val="14"/>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包覆铁青铜粉</w:t>
      </w:r>
      <w:r>
        <w:rPr>
          <w:rFonts w:hint="eastAsia" w:ascii="宋体" w:hAnsi="宋体" w:eastAsia="宋体" w:cs="宋体"/>
          <w:color w:val="auto"/>
          <w:sz w:val="21"/>
          <w:szCs w:val="21"/>
          <w:highlight w:val="none"/>
        </w:rPr>
        <w:t>的化学成分应符合表1的规定</w:t>
      </w:r>
      <w:r>
        <w:rPr>
          <w:rFonts w:hint="eastAsia" w:ascii="宋体" w:hAnsi="宋体" w:cs="宋体"/>
          <w:color w:val="auto"/>
          <w:sz w:val="21"/>
          <w:szCs w:val="21"/>
          <w:highlight w:val="none"/>
          <w:lang w:eastAsia="zh-CN"/>
        </w:rPr>
        <w:t>。</w:t>
      </w:r>
    </w:p>
    <w:p>
      <w:pPr>
        <w:pStyle w:val="14"/>
        <w:spacing w:before="156" w:beforeLines="50" w:after="156" w:afterLines="50" w:line="440" w:lineRule="exact"/>
        <w:ind w:firstLine="0"/>
        <w:jc w:val="center"/>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 xml:space="preserve">表1  </w:t>
      </w:r>
      <w:r>
        <w:rPr>
          <w:rFonts w:hint="eastAsia" w:ascii="黑体" w:hAnsi="黑体" w:eastAsia="黑体" w:cs="黑体"/>
          <w:color w:val="auto"/>
          <w:sz w:val="21"/>
          <w:szCs w:val="21"/>
          <w:highlight w:val="none"/>
          <w:lang w:val="en-US" w:eastAsia="zh-CN"/>
        </w:rPr>
        <w:t>包覆铁青铜粉</w:t>
      </w:r>
      <w:r>
        <w:rPr>
          <w:rFonts w:hint="eastAsia" w:ascii="黑体" w:hAnsi="黑体" w:eastAsia="黑体" w:cs="黑体"/>
          <w:bCs/>
          <w:color w:val="auto"/>
          <w:sz w:val="21"/>
          <w:szCs w:val="21"/>
          <w:highlight w:val="none"/>
        </w:rPr>
        <w:t>的化学成分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596"/>
        <w:gridCol w:w="1319"/>
        <w:gridCol w:w="1319"/>
        <w:gridCol w:w="1231"/>
        <w:gridCol w:w="161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94"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产  品  牌  号</w:t>
            </w:r>
          </w:p>
        </w:tc>
        <w:tc>
          <w:tcPr>
            <w:tcW w:w="2855" w:type="pct"/>
            <w:gridSpan w:val="4"/>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rPr>
              <w:t>主要成分</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质量分数</w:t>
            </w:r>
            <w:r>
              <w:rPr>
                <w:rFonts w:hint="eastAsia" w:ascii="Times New Roman" w:hAnsi="Times New Roman" w:eastAsia="宋体" w:cs="宋体"/>
                <w:color w:val="auto"/>
                <w:sz w:val="21"/>
                <w:szCs w:val="21"/>
                <w:highlight w:val="none"/>
                <w:lang w:eastAsia="zh-CN"/>
              </w:rPr>
              <w:t>）</w:t>
            </w:r>
          </w:p>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1449" w:type="pct"/>
            <w:gridSpan w:val="2"/>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rPr>
              <w:t>杂质成分</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质量分数</w:t>
            </w:r>
            <w:r>
              <w:rPr>
                <w:rFonts w:hint="eastAsia" w:ascii="Times New Roman" w:hAnsi="Times New Roman" w:eastAsia="宋体" w:cs="宋体"/>
                <w:color w:val="auto"/>
                <w:sz w:val="21"/>
                <w:szCs w:val="21"/>
                <w:highlight w:val="none"/>
                <w:lang w:eastAsia="zh-CN"/>
              </w:rPr>
              <w:t>）</w:t>
            </w:r>
          </w:p>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94"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83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Fe</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Cu</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Sn</w:t>
            </w:r>
          </w:p>
        </w:tc>
        <w:tc>
          <w:tcPr>
            <w:tcW w:w="642"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Zn</w:t>
            </w:r>
          </w:p>
        </w:tc>
        <w:tc>
          <w:tcPr>
            <w:tcW w:w="845" w:type="pct"/>
            <w:noWrap w:val="0"/>
            <w:vAlign w:val="center"/>
          </w:tcPr>
          <w:p>
            <w:pPr>
              <w:pStyle w:val="14"/>
              <w:spacing w:line="440" w:lineRule="exact"/>
              <w:ind w:firstLine="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硝酸不溶物</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FHFeCu-1</w:t>
            </w:r>
          </w:p>
        </w:tc>
        <w:tc>
          <w:tcPr>
            <w:tcW w:w="834" w:type="pct"/>
            <w:noWrap w:val="0"/>
            <w:vAlign w:val="center"/>
          </w:tcPr>
          <w:p>
            <w:pPr>
              <w:pStyle w:val="14"/>
              <w:spacing w:line="440" w:lineRule="exact"/>
              <w:ind w:firstLine="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2"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FHFeCu-2</w:t>
            </w:r>
          </w:p>
        </w:tc>
        <w:tc>
          <w:tcPr>
            <w:tcW w:w="834" w:type="pct"/>
            <w:tcBorders>
              <w:bottom w:val="single" w:color="auto" w:sz="4" w:space="0"/>
            </w:tcBorders>
            <w:noWrap w:val="0"/>
            <w:vAlign w:val="center"/>
          </w:tcPr>
          <w:p>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2"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FHFeCu-3</w:t>
            </w:r>
          </w:p>
        </w:tc>
        <w:tc>
          <w:tcPr>
            <w:tcW w:w="834" w:type="pct"/>
            <w:noWrap w:val="0"/>
            <w:vAlign w:val="center"/>
          </w:tcPr>
          <w:p>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p>
        </w:tc>
        <w:tc>
          <w:tcPr>
            <w:tcW w:w="642"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FHFeCu-4</w:t>
            </w:r>
          </w:p>
        </w:tc>
        <w:tc>
          <w:tcPr>
            <w:tcW w:w="834" w:type="pct"/>
            <w:noWrap w:val="0"/>
            <w:vAlign w:val="center"/>
          </w:tcPr>
          <w:p>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p>
        </w:tc>
        <w:tc>
          <w:tcPr>
            <w:tcW w:w="642"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FHFeCuSn-1</w:t>
            </w:r>
          </w:p>
        </w:tc>
        <w:tc>
          <w:tcPr>
            <w:tcW w:w="834" w:type="pct"/>
            <w:noWrap w:val="0"/>
            <w:vAlign w:val="center"/>
          </w:tcPr>
          <w:p>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75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noWrap w:val="0"/>
            <w:vAlign w:val="center"/>
          </w:tcPr>
          <w:p>
            <w:pPr>
              <w:pStyle w:val="14"/>
              <w:spacing w:line="440" w:lineRule="exact"/>
              <w:ind w:firstLine="0"/>
              <w:jc w:val="center"/>
              <w:rPr>
                <w:rFonts w:hint="eastAsia" w:ascii="Times New Roman" w:hAnsi="Times New Roman" w:eastAsia="宋体" w:cs="宋体"/>
                <w:b/>
                <w:bCs/>
                <w:i/>
                <w:iCs/>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2.2</w:t>
            </w:r>
          </w:p>
        </w:tc>
        <w:tc>
          <w:tcPr>
            <w:tcW w:w="642"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FHFeCuSn-2</w:t>
            </w:r>
          </w:p>
        </w:tc>
        <w:tc>
          <w:tcPr>
            <w:tcW w:w="834" w:type="pct"/>
            <w:tcBorders>
              <w:bottom w:val="single" w:color="auto" w:sz="4" w:space="0"/>
            </w:tcBorders>
            <w:noWrap w:val="0"/>
            <w:vAlign w:val="center"/>
          </w:tcPr>
          <w:p>
            <w:pPr>
              <w:spacing w:line="440" w:lineRule="exact"/>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75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b/>
                <w:bCs/>
                <w:i/>
                <w:iCs/>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2.2</w:t>
            </w:r>
          </w:p>
        </w:tc>
        <w:tc>
          <w:tcPr>
            <w:tcW w:w="642"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FHFeCuZn-1</w:t>
            </w:r>
          </w:p>
        </w:tc>
        <w:tc>
          <w:tcPr>
            <w:tcW w:w="834" w:type="pct"/>
            <w:noWrap w:val="0"/>
            <w:vAlign w:val="center"/>
          </w:tcPr>
          <w:p>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70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2"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8</w:t>
            </w: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4" w:type="pc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FHFeCuZn-2</w:t>
            </w:r>
          </w:p>
        </w:tc>
        <w:tc>
          <w:tcPr>
            <w:tcW w:w="834" w:type="pct"/>
            <w:noWrap w:val="0"/>
            <w:vAlign w:val="center"/>
          </w:tcPr>
          <w:p>
            <w:pPr>
              <w:spacing w:line="440" w:lineRule="exact"/>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70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2"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8</w:t>
            </w:r>
          </w:p>
        </w:tc>
        <w:tc>
          <w:tcPr>
            <w:tcW w:w="845"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4" w:type="pct"/>
            <w:noWrap w:val="0"/>
            <w:vAlign w:val="center"/>
          </w:tcPr>
          <w:p>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7"/>
            <w:noWrap w:val="0"/>
            <w:vAlign w:val="center"/>
          </w:tcPr>
          <w:p>
            <w:pPr>
              <w:pStyle w:val="14"/>
              <w:spacing w:line="440" w:lineRule="exact"/>
              <w:ind w:firstLine="0"/>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注：如需方对化学成分有特殊要求，由供需双方协商确定。</w:t>
            </w:r>
          </w:p>
        </w:tc>
      </w:tr>
    </w:tbl>
    <w:p>
      <w:pPr>
        <w:pStyle w:val="108"/>
        <w:spacing w:before="120" w:after="120"/>
        <w:rPr>
          <w:color w:val="auto"/>
          <w:highlight w:val="none"/>
        </w:rPr>
      </w:pPr>
      <w:r>
        <w:rPr>
          <w:rFonts w:hint="eastAsia"/>
          <w:color w:val="auto"/>
          <w:highlight w:val="none"/>
          <w:lang w:val="en-US" w:eastAsia="zh-CN"/>
        </w:rPr>
        <w:t>物理性能</w:t>
      </w:r>
    </w:p>
    <w:p>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包覆铁青铜粉的物理性能应符合表2的规定</w:t>
      </w:r>
    </w:p>
    <w:p>
      <w:pPr>
        <w:pStyle w:val="14"/>
        <w:spacing w:before="156" w:beforeLines="50" w:after="156" w:afterLines="50" w:line="440" w:lineRule="exact"/>
        <w:ind w:firstLine="0"/>
        <w:jc w:val="center"/>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表2  包覆铁青铜粉的物理性能</w:t>
      </w:r>
    </w:p>
    <w:tbl>
      <w:tblPr>
        <w:tblStyle w:val="29"/>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2875"/>
        <w:gridCol w:w="2463"/>
        <w:gridCol w:w="2025"/>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产  品  牌  号</w:t>
            </w:r>
          </w:p>
        </w:tc>
        <w:tc>
          <w:tcPr>
            <w:tcW w:w="2709" w:type="pct"/>
            <w:gridSpan w:val="2"/>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lang w:val="en-US" w:eastAsia="zh-CN"/>
              </w:rPr>
              <w:t>粒度</w:t>
            </w:r>
          </w:p>
        </w:tc>
        <w:tc>
          <w:tcPr>
            <w:tcW w:w="1028"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松装密度</w:t>
            </w:r>
          </w:p>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（g/cm</w:t>
            </w:r>
            <w:r>
              <w:rPr>
                <w:rFonts w:hint="eastAsia" w:ascii="Times New Roman" w:hAnsi="Times New Roman" w:eastAsia="宋体" w:cs="宋体"/>
                <w:color w:val="auto"/>
                <w:spacing w:val="-20"/>
                <w:sz w:val="21"/>
                <w:szCs w:val="21"/>
                <w:highlight w:val="none"/>
                <w:vertAlign w:val="superscript"/>
              </w:rPr>
              <w:t>3</w:t>
            </w:r>
            <w:r>
              <w:rPr>
                <w:rFonts w:hint="eastAsia" w:ascii="Times New Roman" w:hAnsi="Times New Roman" w:eastAsia="宋体" w:cs="宋体"/>
                <w:color w:val="auto"/>
                <w:spacing w:val="-20"/>
                <w:sz w:val="21"/>
                <w:szCs w:val="21"/>
                <w:highlight w:val="none"/>
              </w:rPr>
              <w:t>）</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流动性</w:t>
            </w:r>
          </w:p>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(s/50g)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99"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rPr>
              <w:t xml:space="preserve">粒 度 </w:t>
            </w:r>
            <w:r>
              <w:rPr>
                <w:rFonts w:hint="eastAsia" w:ascii="Times New Roman" w:hAnsi="Times New Roman" w:eastAsia="宋体" w:cs="宋体"/>
                <w:color w:val="auto"/>
                <w:spacing w:val="-20"/>
                <w:sz w:val="21"/>
                <w:szCs w:val="21"/>
                <w:highlight w:val="none"/>
                <w:lang w:val="en-US" w:eastAsia="zh-CN"/>
              </w:rPr>
              <w:t>分布</w:t>
            </w:r>
          </w:p>
          <w:p>
            <w:pPr>
              <w:pStyle w:val="14"/>
              <w:spacing w:line="440" w:lineRule="exact"/>
              <w:ind w:firstLine="0"/>
              <w:jc w:val="center"/>
              <w:rPr>
                <w:rFonts w:hint="default"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lang w:val="en-US" w:eastAsia="zh-CN"/>
              </w:rPr>
              <w:t>um</w:t>
            </w:r>
          </w:p>
        </w:tc>
        <w:tc>
          <w:tcPr>
            <w:tcW w:w="1250" w:type="pc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lang w:val="en-US" w:eastAsia="zh-CN"/>
              </w:rPr>
              <w:t>质量分数</w:t>
            </w:r>
          </w:p>
          <w:p>
            <w:pPr>
              <w:pStyle w:val="14"/>
              <w:spacing w:line="440" w:lineRule="exact"/>
              <w:ind w:firstLine="0"/>
              <w:jc w:val="center"/>
              <w:rPr>
                <w:rFonts w:hint="default"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lang w:val="en-US" w:eastAsia="zh-CN"/>
              </w:rPr>
              <w:t>%</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FHFeCu-1</w:t>
            </w:r>
          </w:p>
        </w:tc>
        <w:tc>
          <w:tcPr>
            <w:tcW w:w="1459"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0.5</w:t>
            </w:r>
          </w:p>
        </w:tc>
        <w:tc>
          <w:tcPr>
            <w:tcW w:w="1028"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rFonts w:ascii="Times New Roman" w:hAnsi="Times New Roman" w:eastAsia="宋体" w:cs="宋体"/>
                <w:color w:val="auto"/>
                <w:highlight w:val="none"/>
              </w:rPr>
            </w:pPr>
          </w:p>
        </w:tc>
        <w:tc>
          <w:tcPr>
            <w:tcW w:w="1459"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5</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lang w:val="en-US" w:eastAsia="zh-CN"/>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30</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FHFeCu-2</w:t>
            </w:r>
          </w:p>
        </w:tc>
        <w:tc>
          <w:tcPr>
            <w:tcW w:w="1459"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spacing w:val="-20"/>
                <w:sz w:val="21"/>
                <w:szCs w:val="21"/>
                <w:highlight w:val="none"/>
                <w:lang w:val="en-US"/>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≤0.1</w:t>
            </w:r>
          </w:p>
        </w:tc>
        <w:tc>
          <w:tcPr>
            <w:tcW w:w="1028"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rFonts w:ascii="Times New Roman" w:hAnsi="Times New Roman" w:eastAsia="宋体" w:cs="宋体"/>
                <w:color w:val="auto"/>
                <w:highlight w:val="none"/>
              </w:rPr>
            </w:pPr>
          </w:p>
        </w:tc>
        <w:tc>
          <w:tcPr>
            <w:tcW w:w="1459"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highlight w:val="none"/>
                <w:lang w:val="en-US"/>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71</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 xml:space="preserve">≤10 </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FHFeCu-3</w:t>
            </w:r>
          </w:p>
        </w:tc>
        <w:tc>
          <w:tcPr>
            <w:tcW w:w="1459"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0.5</w:t>
            </w:r>
          </w:p>
        </w:tc>
        <w:tc>
          <w:tcPr>
            <w:tcW w:w="1028"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color w:val="auto"/>
                <w:highlight w:val="none"/>
              </w:rPr>
            </w:pPr>
          </w:p>
        </w:tc>
        <w:tc>
          <w:tcPr>
            <w:tcW w:w="1459" w:type="pct"/>
            <w:tcBorders>
              <w:bottom w:val="single" w:color="auto" w:sz="4" w:space="0"/>
            </w:tcBorders>
            <w:noWrap w:val="0"/>
            <w:vAlign w:val="center"/>
          </w:tcPr>
          <w:p>
            <w:pPr>
              <w:pStyle w:val="14"/>
              <w:spacing w:line="440" w:lineRule="exact"/>
              <w:ind w:firstLine="0"/>
              <w:jc w:val="center"/>
              <w:rPr>
                <w:rFonts w:hint="default"/>
                <w:color w:val="auto"/>
                <w:highlight w:val="none"/>
                <w:lang w:val="en-US"/>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≤5</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jc w:val="center"/>
              <w:rPr>
                <w:rFonts w:hint="default" w:ascii="Times New Roman" w:hAnsi="Times New Roman" w:eastAsia="宋体" w:cs="宋体"/>
                <w:color w:val="auto"/>
                <w:spacing w:val="-20"/>
                <w:sz w:val="21"/>
                <w:szCs w:val="21"/>
                <w:highlight w:val="none"/>
                <w:lang w:val="en-US" w:eastAsia="zh-CN"/>
              </w:rPr>
            </w:pPr>
            <w:r>
              <w:rPr>
                <w:rFonts w:hint="eastAsia" w:ascii="Times New Roman" w:hAnsi="Times New Roman" w:eastAsia="宋体" w:cs="宋体"/>
                <w:color w:val="auto"/>
                <w:spacing w:val="-20"/>
                <w:sz w:val="21"/>
                <w:szCs w:val="21"/>
                <w:highlight w:val="none"/>
              </w:rPr>
              <w:t>≤</w:t>
            </w:r>
            <w:r>
              <w:rPr>
                <w:rFonts w:hint="eastAsia" w:ascii="Times New Roman" w:hAnsi="Times New Roman"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lang w:val="en-US" w:eastAsia="zh-CN"/>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18"/>
                <w:szCs w:val="18"/>
                <w:highlight w:val="none"/>
                <w:lang w:val="en-US" w:eastAsia="zh-CN"/>
              </w:rPr>
              <w:t>4</w:t>
            </w:r>
            <w:r>
              <w:rPr>
                <w:rFonts w:hint="eastAsia" w:ascii="Times New Roman" w:hAnsi="Times New Roman" w:eastAsia="宋体" w:cs="宋体"/>
                <w:color w:val="auto"/>
                <w:spacing w:val="-20"/>
                <w:sz w:val="21"/>
                <w:szCs w:val="21"/>
                <w:highlight w:val="none"/>
                <w:lang w:val="en-US" w:eastAsia="zh-CN"/>
              </w:rPr>
              <w:t>0</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FHFeCu-4</w:t>
            </w: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≤0.1</w:t>
            </w:r>
          </w:p>
        </w:tc>
        <w:tc>
          <w:tcPr>
            <w:tcW w:w="1028"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color w:val="auto"/>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color w:val="auto"/>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71</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 xml:space="preserve">≤10 </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FHFeCuSn-1</w:t>
            </w: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0.5</w:t>
            </w:r>
          </w:p>
        </w:tc>
        <w:tc>
          <w:tcPr>
            <w:tcW w:w="1028"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color w:val="auto"/>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color w:val="auto"/>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5</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lang w:val="en-US" w:eastAsia="zh-CN"/>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30</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FHFeCuSn-2</w:t>
            </w: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≤0.1</w:t>
            </w:r>
          </w:p>
        </w:tc>
        <w:tc>
          <w:tcPr>
            <w:tcW w:w="1028"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color w:val="auto"/>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color w:val="auto"/>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71</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 xml:space="preserve">≤10 </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＞40</w:t>
            </w:r>
          </w:p>
        </w:tc>
        <w:tc>
          <w:tcPr>
            <w:tcW w:w="1028"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color w:val="auto"/>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color w:val="auto"/>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71</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 xml:space="preserve">≤10 </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＞40</w:t>
            </w:r>
          </w:p>
        </w:tc>
        <w:tc>
          <w:tcPr>
            <w:tcW w:w="1028"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FHFeCuZn-1</w:t>
            </w: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0.5</w:t>
            </w:r>
          </w:p>
        </w:tc>
        <w:tc>
          <w:tcPr>
            <w:tcW w:w="1028" w:type="pct"/>
            <w:vMerge w:val="restart"/>
            <w:noWrap w:val="0"/>
            <w:vAlign w:val="center"/>
          </w:tcPr>
          <w:p>
            <w:pPr>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color w:val="auto"/>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color w:val="auto"/>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180</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5</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lang w:val="en-US" w:eastAsia="zh-CN"/>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30</w:t>
            </w:r>
          </w:p>
        </w:tc>
        <w:tc>
          <w:tcPr>
            <w:tcW w:w="1028"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FHFeCuZn-2</w:t>
            </w: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≤0.1</w:t>
            </w:r>
          </w:p>
        </w:tc>
        <w:tc>
          <w:tcPr>
            <w:tcW w:w="1028" w:type="pct"/>
            <w:vMerge w:val="restart"/>
            <w:noWrap w:val="0"/>
            <w:vAlign w:val="center"/>
          </w:tcPr>
          <w:p>
            <w:pPr>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62" w:type="pct"/>
            <w:vMerge w:val="restart"/>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noWrap w:val="0"/>
            <w:vAlign w:val="center"/>
          </w:tcPr>
          <w:p>
            <w:pPr>
              <w:pStyle w:val="14"/>
              <w:spacing w:line="440" w:lineRule="exact"/>
              <w:ind w:firstLine="0"/>
              <w:jc w:val="center"/>
              <w:rPr>
                <w:color w:val="auto"/>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color w:val="auto"/>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71</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lang w:val="en-US" w:eastAsia="zh-CN"/>
              </w:rPr>
              <w:t>154</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 xml:space="preserve">≤10 </w:t>
            </w:r>
          </w:p>
        </w:tc>
        <w:tc>
          <w:tcPr>
            <w:tcW w:w="1028"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9"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59"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w:t>
            </w:r>
            <w:r>
              <w:rPr>
                <w:rFonts w:hint="eastAsia" w:ascii="Times New Roman" w:hAnsi="Times New Roman" w:eastAsia="宋体" w:cs="宋体"/>
                <w:color w:val="auto"/>
                <w:spacing w:val="-20"/>
                <w:sz w:val="21"/>
                <w:szCs w:val="21"/>
                <w:highlight w:val="none"/>
                <w:lang w:val="en-US" w:eastAsia="zh-CN"/>
              </w:rPr>
              <w:t>45</w:t>
            </w:r>
          </w:p>
        </w:tc>
        <w:tc>
          <w:tcPr>
            <w:tcW w:w="1250" w:type="pct"/>
            <w:tcBorders>
              <w:bottom w:val="single" w:color="auto" w:sz="4" w:space="0"/>
            </w:tcBorders>
            <w:noWrap w:val="0"/>
            <w:vAlign w:val="center"/>
          </w:tcPr>
          <w:p>
            <w:pPr>
              <w:pStyle w:val="14"/>
              <w:spacing w:line="440" w:lineRule="exact"/>
              <w:ind w:firstLine="0" w:firstLineChars="0"/>
              <w:jc w:val="center"/>
              <w:rPr>
                <w:rFonts w:hint="eastAsia" w:ascii="Times New Roman" w:hAnsi="Times New Roman" w:eastAsia="宋体" w:cs="宋体"/>
                <w:color w:val="auto"/>
                <w:spacing w:val="-20"/>
                <w:kern w:val="2"/>
                <w:sz w:val="21"/>
                <w:szCs w:val="21"/>
                <w:highlight w:val="none"/>
                <w:lang w:val="en-US" w:eastAsia="zh-CN" w:bidi="ar-SA"/>
              </w:rPr>
            </w:pPr>
            <w:r>
              <w:rPr>
                <w:rFonts w:hint="eastAsia" w:ascii="Times New Roman" w:hAnsi="Times New Roman" w:eastAsia="宋体" w:cs="宋体"/>
                <w:color w:val="auto"/>
                <w:spacing w:val="-20"/>
                <w:sz w:val="21"/>
                <w:szCs w:val="21"/>
                <w:highlight w:val="none"/>
              </w:rPr>
              <w:t>＞40</w:t>
            </w:r>
          </w:p>
        </w:tc>
        <w:tc>
          <w:tcPr>
            <w:tcW w:w="1028"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62" w:type="pct"/>
            <w:vMerge w:val="continue"/>
            <w:tcBorders>
              <w:bottom w:val="single" w:color="auto" w:sz="4" w:space="0"/>
            </w:tcBorders>
            <w:noWrap w:val="0"/>
            <w:vAlign w:val="center"/>
          </w:tcPr>
          <w:p>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5"/>
            <w:noWrap w:val="0"/>
            <w:vAlign w:val="center"/>
          </w:tcPr>
          <w:p>
            <w:pPr>
              <w:pStyle w:val="14"/>
              <w:tabs>
                <w:tab w:val="center" w:pos="4734"/>
              </w:tabs>
              <w:spacing w:line="440" w:lineRule="exact"/>
              <w:ind w:firstLine="0"/>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注</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：如需方对粒度或松装密度有特殊要求，由供需双方协商确定。</w:t>
            </w:r>
          </w:p>
        </w:tc>
      </w:tr>
    </w:tbl>
    <w:p>
      <w:pPr>
        <w:pStyle w:val="108"/>
        <w:spacing w:before="120" w:after="120"/>
        <w:rPr>
          <w:color w:val="auto"/>
          <w:highlight w:val="none"/>
        </w:rPr>
      </w:pPr>
      <w:r>
        <w:rPr>
          <w:rFonts w:hint="eastAsia"/>
          <w:color w:val="auto"/>
          <w:highlight w:val="none"/>
        </w:rPr>
        <w:t>外观质量</w:t>
      </w:r>
    </w:p>
    <w:p>
      <w:pPr>
        <w:pStyle w:val="108"/>
        <w:numPr>
          <w:ilvl w:val="2"/>
          <w:numId w:val="0"/>
        </w:numPr>
        <w:spacing w:before="120" w:after="120"/>
        <w:ind w:leftChars="0" w:firstLine="420" w:firstLineChars="200"/>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产品形状为不规则颗粒。FHFeCu-1、FHFeCu-2、FHFeCu-3、FHFeCu-4牌号包覆粉外观颜色为紫红色；FHFeCuSn-1、FHFeCuSn-2牌号包覆粉外观颜色为青铜色；FHFeCuZn-1、FHFeCuZn-2牌号包覆粉外观颜色为黄铜色。产品应纯净，无肉眼可见的夹杂物及氧化色，并不应有结块。</w:t>
      </w:r>
    </w:p>
    <w:p>
      <w:pPr>
        <w:pStyle w:val="108"/>
        <w:spacing w:before="120" w:after="120"/>
        <w:rPr>
          <w:color w:val="auto"/>
          <w:highlight w:val="none"/>
        </w:rPr>
      </w:pPr>
      <w:r>
        <w:rPr>
          <w:rFonts w:hint="eastAsia"/>
          <w:color w:val="auto"/>
          <w:highlight w:val="none"/>
        </w:rPr>
        <w:t>其他</w:t>
      </w:r>
    </w:p>
    <w:p>
      <w:pPr>
        <w:pStyle w:val="59"/>
        <w:ind w:firstLine="420"/>
        <w:rPr>
          <w:color w:val="auto"/>
          <w:highlight w:val="none"/>
        </w:rPr>
      </w:pPr>
      <w:r>
        <w:rPr>
          <w:rFonts w:hint="eastAsia"/>
          <w:color w:val="auto"/>
          <w:highlight w:val="none"/>
        </w:rPr>
        <w:t>需方如果对产品有特殊要求，可由供需</w:t>
      </w:r>
      <w:r>
        <w:rPr>
          <w:rFonts w:hint="eastAsia" w:ascii="Times New Roman" w:hAnsi="Times New Roman" w:eastAsia="宋体" w:cs="宋体"/>
          <w:color w:val="auto"/>
          <w:sz w:val="21"/>
          <w:szCs w:val="21"/>
          <w:highlight w:val="none"/>
        </w:rPr>
        <w:t>协商确定</w:t>
      </w:r>
      <w:r>
        <w:rPr>
          <w:rFonts w:hint="eastAsia"/>
          <w:color w:val="auto"/>
          <w:highlight w:val="none"/>
        </w:rPr>
        <w:t>。</w:t>
      </w:r>
    </w:p>
    <w:p>
      <w:pPr>
        <w:pStyle w:val="107"/>
        <w:spacing w:before="240" w:after="240"/>
        <w:rPr>
          <w:color w:val="auto"/>
          <w:highlight w:val="none"/>
        </w:rPr>
      </w:pPr>
      <w:r>
        <w:rPr>
          <w:rFonts w:hint="eastAsia"/>
          <w:color w:val="auto"/>
          <w:highlight w:val="none"/>
        </w:rPr>
        <w:t>试验方法</w:t>
      </w:r>
    </w:p>
    <w:p>
      <w:pPr>
        <w:pStyle w:val="108"/>
        <w:spacing w:before="120" w:after="120"/>
        <w:rPr>
          <w:color w:val="auto"/>
          <w:highlight w:val="none"/>
        </w:rPr>
      </w:pPr>
      <w:r>
        <w:rPr>
          <w:rFonts w:hint="eastAsia"/>
          <w:color w:val="auto"/>
          <w:highlight w:val="none"/>
        </w:rPr>
        <w:t>化学成分</w:t>
      </w:r>
    </w:p>
    <w:p>
      <w:pPr>
        <w:pStyle w:val="168"/>
        <w:rPr>
          <w:color w:val="auto"/>
          <w:highlight w:val="none"/>
        </w:rPr>
      </w:pPr>
      <w:r>
        <w:rPr>
          <w:rFonts w:hint="eastAsia"/>
          <w:color w:val="auto"/>
          <w:highlight w:val="none"/>
        </w:rPr>
        <w:t>Cu、Zn、Sn的测定按GB/T 5121</w:t>
      </w:r>
      <w:r>
        <w:rPr>
          <w:rFonts w:hint="eastAsia"/>
          <w:color w:val="auto"/>
          <w:highlight w:val="none"/>
          <w:lang w:eastAsia="zh-CN"/>
        </w:rPr>
        <w:t>（</w:t>
      </w:r>
      <w:r>
        <w:rPr>
          <w:rFonts w:hint="eastAsia"/>
          <w:color w:val="auto"/>
          <w:highlight w:val="none"/>
          <w:lang w:val="en-US" w:eastAsia="zh-CN"/>
        </w:rPr>
        <w:t>所有部分</w:t>
      </w:r>
      <w:r>
        <w:rPr>
          <w:rFonts w:hint="eastAsia"/>
          <w:color w:val="auto"/>
          <w:highlight w:val="none"/>
          <w:lang w:eastAsia="zh-CN"/>
        </w:rPr>
        <w:t>）</w:t>
      </w:r>
      <w:r>
        <w:rPr>
          <w:rFonts w:hint="eastAsia"/>
          <w:color w:val="auto"/>
          <w:highlight w:val="none"/>
        </w:rPr>
        <w:t>的规定进行。</w:t>
      </w:r>
    </w:p>
    <w:p>
      <w:pPr>
        <w:pStyle w:val="168"/>
        <w:rPr>
          <w:color w:val="auto"/>
          <w:highlight w:val="none"/>
        </w:rPr>
      </w:pPr>
      <w:r>
        <w:rPr>
          <w:rFonts w:hint="eastAsia"/>
          <w:color w:val="auto"/>
          <w:highlight w:val="none"/>
          <w:lang w:eastAsia="zh-CN"/>
        </w:rPr>
        <w:t>Fe的测定</w:t>
      </w:r>
      <w:r>
        <w:rPr>
          <w:rFonts w:hint="eastAsia"/>
          <w:color w:val="auto"/>
          <w:highlight w:val="none"/>
          <w:lang w:val="en-US" w:eastAsia="zh-CN"/>
        </w:rPr>
        <w:t>按GB/T 38812.2</w:t>
      </w:r>
      <w:r>
        <w:rPr>
          <w:rFonts w:hint="eastAsia"/>
          <w:color w:val="auto"/>
          <w:highlight w:val="none"/>
          <w:lang w:val="en-US" w:eastAsia="zh-CN"/>
        </w:rPr>
        <w:t>的规定进行</w:t>
      </w:r>
      <w:r>
        <w:rPr>
          <w:rFonts w:hint="eastAsia"/>
          <w:color w:val="auto"/>
          <w:highlight w:val="none"/>
        </w:rPr>
        <w:t>。</w:t>
      </w:r>
    </w:p>
    <w:p>
      <w:pPr>
        <w:pStyle w:val="168"/>
        <w:rPr>
          <w:color w:val="auto"/>
          <w:highlight w:val="none"/>
        </w:rPr>
      </w:pPr>
      <w:r>
        <w:rPr>
          <w:rFonts w:hint="eastAsia"/>
          <w:color w:val="auto"/>
          <w:highlight w:val="none"/>
        </w:rPr>
        <w:t>氧的测定按GB/T 5121</w:t>
      </w:r>
      <w:r>
        <w:rPr>
          <w:rFonts w:hint="eastAsia"/>
          <w:color w:val="auto"/>
          <w:highlight w:val="none"/>
          <w:lang w:val="en-US" w:eastAsia="zh-CN"/>
        </w:rPr>
        <w:t>的规定</w:t>
      </w:r>
      <w:r>
        <w:rPr>
          <w:rFonts w:hint="eastAsia"/>
          <w:color w:val="auto"/>
          <w:highlight w:val="none"/>
        </w:rPr>
        <w:t>进行。</w:t>
      </w:r>
    </w:p>
    <w:p>
      <w:pPr>
        <w:pStyle w:val="168"/>
        <w:rPr>
          <w:color w:val="auto"/>
          <w:highlight w:val="none"/>
        </w:rPr>
      </w:pPr>
      <w:r>
        <w:rPr>
          <w:rFonts w:hint="eastAsia"/>
          <w:color w:val="auto"/>
          <w:highlight w:val="none"/>
          <w:lang w:val="en-US" w:eastAsia="zh-CN"/>
        </w:rPr>
        <w:t>硝酸不溶物</w:t>
      </w:r>
      <w:r>
        <w:rPr>
          <w:rFonts w:hint="eastAsia"/>
          <w:color w:val="auto"/>
          <w:highlight w:val="none"/>
        </w:rPr>
        <w:t>的测定按GB/T</w:t>
      </w:r>
      <w:r>
        <w:rPr>
          <w:rFonts w:hint="eastAsia"/>
          <w:color w:val="auto"/>
          <w:highlight w:val="none"/>
          <w:lang w:val="en-US" w:eastAsia="zh-CN"/>
        </w:rPr>
        <w:t xml:space="preserve"> </w:t>
      </w:r>
      <w:r>
        <w:rPr>
          <w:rFonts w:hint="eastAsia"/>
          <w:color w:val="auto"/>
          <w:highlight w:val="none"/>
        </w:rPr>
        <w:t>5246-20</w:t>
      </w:r>
      <w:r>
        <w:rPr>
          <w:rFonts w:hint="eastAsia"/>
          <w:color w:val="auto"/>
          <w:highlight w:val="none"/>
          <w:lang w:val="en-US" w:eastAsia="zh-CN"/>
        </w:rPr>
        <w:t>23</w:t>
      </w:r>
      <w:r>
        <w:rPr>
          <w:rFonts w:hint="eastAsia"/>
          <w:color w:val="auto"/>
          <w:highlight w:val="none"/>
        </w:rPr>
        <w:t>中附录</w:t>
      </w:r>
      <w:r>
        <w:rPr>
          <w:rFonts w:hint="eastAsia"/>
          <w:color w:val="auto"/>
          <w:highlight w:val="none"/>
          <w:lang w:val="en-US" w:eastAsia="zh-CN"/>
        </w:rPr>
        <w:t>A</w:t>
      </w:r>
      <w:r>
        <w:rPr>
          <w:rFonts w:hint="eastAsia"/>
          <w:color w:val="auto"/>
          <w:highlight w:val="none"/>
        </w:rPr>
        <w:t>的规定或供需双方认可的方法进行。</w:t>
      </w:r>
    </w:p>
    <w:p>
      <w:pPr>
        <w:pStyle w:val="108"/>
        <w:spacing w:before="120" w:after="120"/>
        <w:rPr>
          <w:color w:val="auto"/>
          <w:highlight w:val="none"/>
        </w:rPr>
      </w:pPr>
      <w:r>
        <w:rPr>
          <w:rFonts w:hint="eastAsia"/>
          <w:color w:val="auto"/>
          <w:highlight w:val="none"/>
        </w:rPr>
        <w:t>物理性能</w:t>
      </w:r>
    </w:p>
    <w:p>
      <w:pPr>
        <w:pStyle w:val="168"/>
        <w:rPr>
          <w:color w:val="auto"/>
          <w:highlight w:val="none"/>
        </w:rPr>
      </w:pPr>
      <w:r>
        <w:rPr>
          <w:rFonts w:hint="eastAsia"/>
          <w:color w:val="auto"/>
          <w:highlight w:val="none"/>
        </w:rPr>
        <w:t>粒度组成的测定按GB/T1480的规定进行。</w:t>
      </w:r>
    </w:p>
    <w:p>
      <w:pPr>
        <w:pStyle w:val="168"/>
        <w:rPr>
          <w:color w:val="auto"/>
          <w:highlight w:val="none"/>
        </w:rPr>
      </w:pPr>
      <w:r>
        <w:rPr>
          <w:rFonts w:hint="eastAsia"/>
          <w:color w:val="auto"/>
          <w:highlight w:val="none"/>
        </w:rPr>
        <w:t>松装密度的测定按GB/T1479</w:t>
      </w:r>
      <w:r>
        <w:rPr>
          <w:rFonts w:hint="eastAsia"/>
          <w:color w:val="auto"/>
          <w:highlight w:val="none"/>
          <w:lang w:val="en-US" w:eastAsia="zh-CN"/>
        </w:rPr>
        <w:t>.1</w:t>
      </w:r>
      <w:r>
        <w:rPr>
          <w:rFonts w:hint="eastAsia"/>
          <w:color w:val="auto"/>
          <w:highlight w:val="none"/>
        </w:rPr>
        <w:t>的规定进行。</w:t>
      </w:r>
    </w:p>
    <w:p>
      <w:pPr>
        <w:pStyle w:val="168"/>
        <w:rPr>
          <w:color w:val="auto"/>
          <w:highlight w:val="none"/>
        </w:rPr>
      </w:pPr>
      <w:r>
        <w:rPr>
          <w:rFonts w:hint="eastAsia"/>
          <w:color w:val="auto"/>
          <w:highlight w:val="none"/>
        </w:rPr>
        <w:t>流动性的测定按GB/T1482的规定进行。</w:t>
      </w:r>
    </w:p>
    <w:p>
      <w:pPr>
        <w:pStyle w:val="108"/>
        <w:spacing w:before="120" w:after="120"/>
        <w:rPr>
          <w:color w:val="auto"/>
          <w:highlight w:val="none"/>
        </w:rPr>
      </w:pPr>
      <w:r>
        <w:rPr>
          <w:rFonts w:hint="eastAsia"/>
          <w:color w:val="auto"/>
          <w:highlight w:val="none"/>
        </w:rPr>
        <w:t>外观质量</w:t>
      </w:r>
    </w:p>
    <w:p>
      <w:pPr>
        <w:pStyle w:val="59"/>
        <w:ind w:firstLine="420"/>
        <w:rPr>
          <w:color w:val="auto"/>
          <w:highlight w:val="none"/>
        </w:rPr>
      </w:pPr>
      <w:r>
        <w:rPr>
          <w:rFonts w:hint="eastAsia"/>
          <w:color w:val="auto"/>
          <w:highlight w:val="none"/>
        </w:rPr>
        <w:t>产品的外观质量</w:t>
      </w:r>
      <w:r>
        <w:rPr>
          <w:rFonts w:hint="eastAsia"/>
          <w:color w:val="auto"/>
          <w:highlight w:val="none"/>
          <w:lang w:val="en-US" w:eastAsia="zh-CN"/>
        </w:rPr>
        <w:t>用目视法检验</w:t>
      </w:r>
      <w:r>
        <w:rPr>
          <w:rFonts w:hint="eastAsia"/>
          <w:color w:val="auto"/>
          <w:highlight w:val="none"/>
        </w:rPr>
        <w:t>。</w:t>
      </w:r>
    </w:p>
    <w:p>
      <w:pPr>
        <w:pStyle w:val="107"/>
        <w:spacing w:before="240" w:after="240"/>
        <w:rPr>
          <w:color w:val="auto"/>
          <w:highlight w:val="none"/>
        </w:rPr>
      </w:pPr>
      <w:r>
        <w:rPr>
          <w:rFonts w:hint="eastAsia"/>
          <w:color w:val="auto"/>
          <w:highlight w:val="none"/>
        </w:rPr>
        <w:t>检验规则</w:t>
      </w:r>
    </w:p>
    <w:p>
      <w:pPr>
        <w:pStyle w:val="108"/>
        <w:spacing w:before="120" w:after="120"/>
        <w:rPr>
          <w:color w:val="auto"/>
          <w:highlight w:val="none"/>
        </w:rPr>
      </w:pPr>
      <w:r>
        <w:rPr>
          <w:rFonts w:hint="eastAsia"/>
          <w:color w:val="auto"/>
          <w:highlight w:val="none"/>
        </w:rPr>
        <w:t>检查和验收</w:t>
      </w:r>
    </w:p>
    <w:p>
      <w:pPr>
        <w:pStyle w:val="168"/>
        <w:rPr>
          <w:color w:val="auto"/>
          <w:highlight w:val="none"/>
        </w:rPr>
      </w:pPr>
      <w:r>
        <w:rPr>
          <w:rFonts w:hint="eastAsia"/>
          <w:color w:val="auto"/>
          <w:highlight w:val="none"/>
        </w:rPr>
        <w:t>产品由供方</w:t>
      </w:r>
      <w:r>
        <w:rPr>
          <w:rFonts w:hint="eastAsia"/>
          <w:color w:val="auto"/>
          <w:highlight w:val="none"/>
          <w:lang w:val="en-US" w:eastAsia="zh-CN"/>
        </w:rPr>
        <w:t>或第三方</w:t>
      </w:r>
      <w:r>
        <w:rPr>
          <w:rFonts w:hint="eastAsia"/>
          <w:color w:val="auto"/>
          <w:highlight w:val="none"/>
        </w:rPr>
        <w:t>进行检验，产品质量</w:t>
      </w:r>
      <w:r>
        <w:rPr>
          <w:rFonts w:hint="eastAsia"/>
          <w:color w:val="auto"/>
          <w:highlight w:val="none"/>
          <w:lang w:val="en-US" w:eastAsia="zh-CN"/>
        </w:rPr>
        <w:t>应</w:t>
      </w:r>
      <w:r>
        <w:rPr>
          <w:rFonts w:hint="eastAsia"/>
          <w:color w:val="auto"/>
          <w:highlight w:val="none"/>
        </w:rPr>
        <w:t>符合本</w:t>
      </w:r>
      <w:r>
        <w:rPr>
          <w:rFonts w:hint="eastAsia"/>
          <w:color w:val="auto"/>
          <w:highlight w:val="none"/>
          <w:lang w:val="en-US" w:eastAsia="zh-CN"/>
        </w:rPr>
        <w:t>文件</w:t>
      </w:r>
      <w:r>
        <w:rPr>
          <w:rFonts w:hint="eastAsia"/>
          <w:color w:val="auto"/>
          <w:highlight w:val="none"/>
        </w:rPr>
        <w:t>或订货单要求</w:t>
      </w:r>
      <w:r>
        <w:rPr>
          <w:rFonts w:hint="eastAsia"/>
          <w:color w:val="auto"/>
          <w:highlight w:val="none"/>
          <w:lang w:eastAsia="zh-CN"/>
        </w:rPr>
        <w:t>。</w:t>
      </w:r>
    </w:p>
    <w:p>
      <w:pPr>
        <w:pStyle w:val="168"/>
        <w:rPr>
          <w:color w:val="auto"/>
          <w:highlight w:val="none"/>
        </w:rPr>
      </w:pPr>
      <w:r>
        <w:rPr>
          <w:rFonts w:hint="eastAsia"/>
          <w:color w:val="auto"/>
          <w:highlight w:val="none"/>
        </w:rPr>
        <w:t>需方应对收到的产品进行检验，如检验结果与本</w:t>
      </w:r>
      <w:r>
        <w:rPr>
          <w:rFonts w:hint="eastAsia"/>
          <w:color w:val="auto"/>
          <w:highlight w:val="none"/>
          <w:lang w:val="en-US" w:eastAsia="zh-CN"/>
        </w:rPr>
        <w:t>文件</w:t>
      </w:r>
      <w:r>
        <w:rPr>
          <w:rFonts w:hint="eastAsia"/>
          <w:color w:val="auto"/>
          <w:highlight w:val="none"/>
        </w:rPr>
        <w:t>或订货单的规定不符时，应在收到产品之日起15天内向供方提出，由供需双方协商解决。如需仲裁时，由供需双方在需方共同取样。</w:t>
      </w:r>
    </w:p>
    <w:p>
      <w:pPr>
        <w:pStyle w:val="108"/>
        <w:spacing w:before="120" w:after="120"/>
        <w:rPr>
          <w:color w:val="auto"/>
          <w:highlight w:val="none"/>
        </w:rPr>
      </w:pPr>
      <w:r>
        <w:rPr>
          <w:rFonts w:hint="eastAsia"/>
          <w:color w:val="auto"/>
          <w:highlight w:val="none"/>
        </w:rPr>
        <w:t>组批</w:t>
      </w:r>
    </w:p>
    <w:p>
      <w:pPr>
        <w:pStyle w:val="59"/>
        <w:ind w:firstLine="420"/>
        <w:rPr>
          <w:color w:val="auto"/>
          <w:highlight w:val="none"/>
        </w:rPr>
      </w:pPr>
      <w:r>
        <w:rPr>
          <w:rFonts w:hint="eastAsia"/>
          <w:color w:val="auto"/>
          <w:highlight w:val="none"/>
        </w:rPr>
        <w:t>每批产品应由同一天内、同一批原料生产的同一牌号的产品组成。每批重量1t</w:t>
      </w:r>
      <w:r>
        <w:rPr>
          <w:rFonts w:hint="default" w:ascii="Times New Roman" w:hAnsi="Times New Roman" w:cs="Times New Roman"/>
          <w:color w:val="auto"/>
          <w:highlight w:val="none"/>
          <w:lang w:val="en-US" w:eastAsia="zh-CN"/>
        </w:rPr>
        <w:t>~</w:t>
      </w:r>
      <w:r>
        <w:rPr>
          <w:rFonts w:hint="eastAsia"/>
          <w:color w:val="auto"/>
          <w:highlight w:val="none"/>
        </w:rPr>
        <w:t>5t。</w:t>
      </w:r>
    </w:p>
    <w:p>
      <w:pPr>
        <w:pStyle w:val="108"/>
        <w:spacing w:before="120" w:after="120"/>
        <w:rPr>
          <w:color w:val="auto"/>
          <w:highlight w:val="none"/>
        </w:rPr>
      </w:pPr>
      <w:r>
        <w:rPr>
          <w:rFonts w:hint="eastAsia"/>
          <w:color w:val="auto"/>
          <w:highlight w:val="none"/>
          <w:lang w:val="en-US" w:eastAsia="zh-CN"/>
        </w:rPr>
        <w:t>取样</w:t>
      </w:r>
    </w:p>
    <w:p>
      <w:pPr>
        <w:pStyle w:val="59"/>
        <w:ind w:firstLine="420"/>
        <w:rPr>
          <w:color w:val="auto"/>
          <w:highlight w:val="none"/>
        </w:rPr>
      </w:pPr>
      <w:r>
        <w:rPr>
          <w:rFonts w:hint="eastAsia"/>
          <w:color w:val="auto"/>
          <w:highlight w:val="none"/>
        </w:rPr>
        <w:t>产品取样按GB/T</w:t>
      </w:r>
      <w:r>
        <w:rPr>
          <w:rFonts w:hint="eastAsia"/>
          <w:color w:val="auto"/>
          <w:highlight w:val="none"/>
          <w:lang w:val="en-US" w:eastAsia="zh-CN"/>
        </w:rPr>
        <w:t xml:space="preserve"> </w:t>
      </w:r>
      <w:r>
        <w:rPr>
          <w:rFonts w:hint="eastAsia"/>
          <w:color w:val="auto"/>
          <w:highlight w:val="none"/>
        </w:rPr>
        <w:t>5314的规定进行，所取样品为一式二份，一份送理化检测，另一份由检验部门保存。</w:t>
      </w:r>
    </w:p>
    <w:p>
      <w:pPr>
        <w:pStyle w:val="108"/>
        <w:spacing w:before="120" w:after="120"/>
        <w:rPr>
          <w:color w:val="auto"/>
          <w:highlight w:val="none"/>
        </w:rPr>
      </w:pPr>
      <w:r>
        <w:rPr>
          <w:rFonts w:hint="eastAsia"/>
          <w:color w:val="auto"/>
          <w:highlight w:val="none"/>
          <w:lang w:val="en-US" w:eastAsia="zh-CN"/>
        </w:rPr>
        <w:t>检验项目</w:t>
      </w:r>
    </w:p>
    <w:p>
      <w:pPr>
        <w:pStyle w:val="14"/>
        <w:spacing w:line="440" w:lineRule="exact"/>
        <w:ind w:firstLine="420" w:firstLineChars="200"/>
        <w:rPr>
          <w:rFonts w:hint="default"/>
          <w:color w:val="auto"/>
          <w:highlight w:val="none"/>
          <w:lang w:val="en-US"/>
        </w:rPr>
      </w:pPr>
      <w:r>
        <w:rPr>
          <w:rFonts w:hint="eastAsia" w:ascii="宋体" w:hAnsi="Times New Roman" w:cs="Times New Roman"/>
          <w:color w:val="auto"/>
          <w:sz w:val="21"/>
          <w:highlight w:val="none"/>
          <w:lang w:val="en-US" w:eastAsia="zh-CN" w:bidi="ar-SA"/>
        </w:rPr>
        <w:t>每批产品应进行化学成分、物理性能、外观质量的检验。</w:t>
      </w:r>
    </w:p>
    <w:p>
      <w:pPr>
        <w:pStyle w:val="108"/>
        <w:spacing w:before="120" w:after="120"/>
        <w:rPr>
          <w:color w:val="auto"/>
          <w:highlight w:val="none"/>
        </w:rPr>
      </w:pPr>
      <w:r>
        <w:rPr>
          <w:rFonts w:hint="eastAsia"/>
          <w:color w:val="auto"/>
          <w:highlight w:val="none"/>
        </w:rPr>
        <w:t>检验结果的判定</w:t>
      </w:r>
    </w:p>
    <w:p>
      <w:pPr>
        <w:pStyle w:val="168"/>
        <w:numPr>
          <w:ilvl w:val="3"/>
          <w:numId w:val="0"/>
        </w:numPr>
        <w:ind w:leftChars="0" w:firstLine="420" w:firstLineChars="200"/>
        <w:rPr>
          <w:rFonts w:hint="default"/>
          <w:color w:val="auto"/>
          <w:highlight w:val="none"/>
          <w:lang w:val="en-US" w:eastAsia="zh-CN"/>
        </w:rPr>
      </w:pPr>
      <w:r>
        <w:rPr>
          <w:rFonts w:hint="eastAsia"/>
          <w:color w:val="auto"/>
          <w:highlight w:val="none"/>
          <w:lang w:val="en-US" w:eastAsia="zh-CN"/>
        </w:rPr>
        <w:t>7.5.1 产品检验结果的数值按GB/T 8170的规定进行修约，并采用修约比较法判定。</w:t>
      </w:r>
    </w:p>
    <w:p>
      <w:pPr>
        <w:pStyle w:val="168"/>
        <w:numPr>
          <w:ilvl w:val="3"/>
          <w:numId w:val="0"/>
        </w:numPr>
        <w:ind w:leftChars="0" w:firstLine="420" w:firstLineChars="200"/>
        <w:rPr>
          <w:color w:val="auto"/>
          <w:highlight w:val="none"/>
        </w:rPr>
      </w:pPr>
      <w:r>
        <w:rPr>
          <w:rFonts w:hint="eastAsia"/>
          <w:color w:val="auto"/>
          <w:highlight w:val="none"/>
          <w:lang w:val="en-US" w:eastAsia="zh-CN"/>
        </w:rPr>
        <w:t>7.5.2</w:t>
      </w:r>
      <w:r>
        <w:rPr>
          <w:rFonts w:hint="eastAsia"/>
          <w:color w:val="auto"/>
          <w:highlight w:val="none"/>
        </w:rPr>
        <w:t>如化学成分检验结果不符合本</w:t>
      </w:r>
      <w:r>
        <w:rPr>
          <w:rFonts w:hint="eastAsia"/>
          <w:color w:val="auto"/>
          <w:highlight w:val="none"/>
          <w:lang w:val="en-US" w:eastAsia="zh-CN"/>
        </w:rPr>
        <w:t>文件的规定</w:t>
      </w:r>
      <w:r>
        <w:rPr>
          <w:rFonts w:hint="eastAsia"/>
          <w:color w:val="auto"/>
          <w:highlight w:val="none"/>
        </w:rPr>
        <w:t>时，按批判不合格；</w:t>
      </w:r>
      <w:r>
        <w:rPr>
          <w:rFonts w:hint="eastAsia"/>
          <w:color w:val="auto"/>
          <w:highlight w:val="none"/>
          <w:lang w:val="en-US" w:eastAsia="zh-CN"/>
        </w:rPr>
        <w:t>粒度</w:t>
      </w:r>
      <w:r>
        <w:rPr>
          <w:rFonts w:hint="eastAsia"/>
          <w:color w:val="auto"/>
          <w:highlight w:val="none"/>
        </w:rPr>
        <w:t>、松装密度和流动性检验结果不符合本标准时，则在该批中对不符合本标准规定的项目加倍取样复验</w:t>
      </w:r>
      <w:r>
        <w:rPr>
          <w:rFonts w:hint="eastAsia"/>
          <w:color w:val="auto"/>
          <w:highlight w:val="none"/>
          <w:lang w:eastAsia="zh-CN"/>
        </w:rPr>
        <w:t>（</w:t>
      </w:r>
      <w:r>
        <w:rPr>
          <w:rFonts w:hint="eastAsia"/>
          <w:color w:val="auto"/>
          <w:highlight w:val="none"/>
          <w:lang w:val="en-US" w:eastAsia="zh-CN"/>
        </w:rPr>
        <w:t>包括原检验不合格的那份样品</w:t>
      </w:r>
      <w:r>
        <w:rPr>
          <w:rFonts w:hint="eastAsia"/>
          <w:color w:val="auto"/>
          <w:highlight w:val="none"/>
          <w:lang w:eastAsia="zh-CN"/>
        </w:rPr>
        <w:t>）</w:t>
      </w:r>
      <w:r>
        <w:rPr>
          <w:rFonts w:hint="eastAsia"/>
          <w:color w:val="auto"/>
          <w:highlight w:val="none"/>
        </w:rPr>
        <w:t>，若仍不符合本</w:t>
      </w:r>
      <w:r>
        <w:rPr>
          <w:rFonts w:hint="eastAsia"/>
          <w:color w:val="auto"/>
          <w:highlight w:val="none"/>
          <w:lang w:val="en-US" w:eastAsia="zh-CN"/>
        </w:rPr>
        <w:t>文件</w:t>
      </w:r>
      <w:r>
        <w:rPr>
          <w:rFonts w:hint="eastAsia"/>
          <w:color w:val="auto"/>
          <w:highlight w:val="none"/>
        </w:rPr>
        <w:t>规定，则该批产品判为不合格。</w:t>
      </w:r>
    </w:p>
    <w:p>
      <w:pPr>
        <w:pStyle w:val="107"/>
        <w:spacing w:before="240" w:after="240"/>
        <w:rPr>
          <w:color w:val="auto"/>
          <w:highlight w:val="none"/>
        </w:rPr>
      </w:pPr>
      <w:r>
        <w:rPr>
          <w:rFonts w:hint="eastAsia"/>
          <w:color w:val="auto"/>
          <w:highlight w:val="none"/>
        </w:rPr>
        <w:t>包装、标志、运输、贮存和</w:t>
      </w:r>
      <w:r>
        <w:rPr>
          <w:rFonts w:hint="eastAsia"/>
          <w:color w:val="auto"/>
          <w:highlight w:val="none"/>
          <w:lang w:val="en-US" w:eastAsia="zh-CN"/>
        </w:rPr>
        <w:t>随行文件</w:t>
      </w:r>
    </w:p>
    <w:p>
      <w:pPr>
        <w:pStyle w:val="108"/>
        <w:spacing w:before="120" w:after="120"/>
        <w:rPr>
          <w:color w:val="auto"/>
          <w:highlight w:val="none"/>
        </w:rPr>
      </w:pPr>
      <w:r>
        <w:rPr>
          <w:rFonts w:hint="eastAsia"/>
          <w:color w:val="auto"/>
          <w:highlight w:val="none"/>
        </w:rPr>
        <w:t>包装</w:t>
      </w:r>
    </w:p>
    <w:p>
      <w:pPr>
        <w:pStyle w:val="168"/>
        <w:numPr>
          <w:ilvl w:val="3"/>
          <w:numId w:val="0"/>
        </w:numPr>
        <w:ind w:leftChars="0" w:firstLine="420" w:firstLineChars="200"/>
        <w:rPr>
          <w:color w:val="auto"/>
          <w:highlight w:val="none"/>
        </w:rPr>
      </w:pPr>
      <w:r>
        <w:rPr>
          <w:rFonts w:hint="eastAsia"/>
          <w:color w:val="auto"/>
          <w:highlight w:val="none"/>
        </w:rPr>
        <w:t>产品用塑料袋包装，每袋10kg，用铁桶盛装，每桶40kg；也可每袋25kg进行包装，用纸箱盛装，每箱25kg即一袋；用编织袋盛装，每袋25kg。</w:t>
      </w:r>
    </w:p>
    <w:p>
      <w:pPr>
        <w:pStyle w:val="108"/>
        <w:spacing w:before="120" w:after="120"/>
        <w:rPr>
          <w:color w:val="auto"/>
          <w:highlight w:val="none"/>
        </w:rPr>
      </w:pPr>
      <w:r>
        <w:rPr>
          <w:rFonts w:hint="eastAsia"/>
          <w:color w:val="auto"/>
          <w:highlight w:val="none"/>
        </w:rPr>
        <w:t>标志</w:t>
      </w:r>
    </w:p>
    <w:p>
      <w:pPr>
        <w:pStyle w:val="177"/>
        <w:numPr>
          <w:ilvl w:val="0"/>
          <w:numId w:val="0"/>
        </w:numPr>
        <w:ind w:firstLine="420" w:firstLineChars="200"/>
        <w:rPr>
          <w:color w:val="auto"/>
          <w:highlight w:val="none"/>
        </w:rPr>
      </w:pPr>
      <w:r>
        <w:rPr>
          <w:rFonts w:hint="eastAsia"/>
          <w:color w:val="auto"/>
          <w:highlight w:val="none"/>
        </w:rPr>
        <w:t>每个包装内放合格证，合格证上注明：批号、检验员；</w:t>
      </w:r>
      <w:r>
        <w:rPr>
          <w:rFonts w:hint="eastAsia"/>
          <w:color w:val="auto"/>
          <w:highlight w:val="none"/>
        </w:rPr>
        <w:t>包装外有：供方名称、产品名称、批号、净重、生产日期、保质期、商标等标识。</w:t>
      </w:r>
    </w:p>
    <w:p>
      <w:pPr>
        <w:pStyle w:val="108"/>
        <w:spacing w:before="120" w:after="120"/>
        <w:rPr>
          <w:color w:val="auto"/>
          <w:highlight w:val="none"/>
        </w:rPr>
      </w:pPr>
      <w:r>
        <w:rPr>
          <w:rFonts w:hint="eastAsia"/>
          <w:color w:val="auto"/>
          <w:highlight w:val="none"/>
        </w:rPr>
        <w:t>运输</w:t>
      </w:r>
    </w:p>
    <w:p>
      <w:pPr>
        <w:pStyle w:val="59"/>
        <w:ind w:firstLine="420"/>
        <w:rPr>
          <w:rFonts w:hint="eastAsia"/>
          <w:color w:val="auto"/>
          <w:highlight w:val="none"/>
        </w:rPr>
      </w:pPr>
      <w:r>
        <w:rPr>
          <w:rFonts w:hint="eastAsia"/>
          <w:color w:val="auto"/>
          <w:highlight w:val="none"/>
        </w:rPr>
        <w:t>产品运输时应小心轻放，不得撞击、穿刺、滚动和倒置，应与其它物品分开堆放。</w:t>
      </w:r>
    </w:p>
    <w:p>
      <w:pPr>
        <w:pStyle w:val="108"/>
        <w:spacing w:before="120" w:after="120"/>
        <w:rPr>
          <w:color w:val="auto"/>
          <w:highlight w:val="none"/>
        </w:rPr>
      </w:pPr>
      <w:r>
        <w:rPr>
          <w:rFonts w:hint="eastAsia"/>
          <w:color w:val="auto"/>
          <w:highlight w:val="none"/>
        </w:rPr>
        <w:t>贮存</w:t>
      </w:r>
    </w:p>
    <w:p>
      <w:pPr>
        <w:pStyle w:val="59"/>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产品贮存于通风干燥、</w:t>
      </w:r>
      <w:r>
        <w:rPr>
          <w:rFonts w:hint="eastAsia" w:ascii="宋体" w:hAnsi="Times New Roman" w:eastAsia="宋体" w:cs="Times New Roman"/>
          <w:color w:val="auto"/>
          <w:sz w:val="21"/>
          <w:highlight w:val="none"/>
          <w:lang w:val="en-US" w:eastAsia="zh-CN" w:bidi="ar-SA"/>
        </w:rPr>
        <w:t>无腐蚀性气体的仓库中，避免阳光直射，温度不大于25℃，相对湿度不大于70%。在此条件下，质量保证期为六个月。使用时应注意清洁，防止外来杂质渗入。开包使用时应随取随扎好，防止吸潮、影响质量。</w:t>
      </w:r>
    </w:p>
    <w:p>
      <w:pPr>
        <w:pStyle w:val="27"/>
        <w:spacing w:before="312" w:after="312"/>
        <w:rPr>
          <w:rFonts w:hint="eastAsia" w:ascii="黑体" w:hAnsi="Times New Roman" w:eastAsia="黑体" w:cs="Times New Roman"/>
          <w:color w:val="auto"/>
          <w:sz w:val="21"/>
          <w:highlight w:val="none"/>
          <w:lang w:val="en-US" w:eastAsia="zh-CN" w:bidi="ar-SA"/>
        </w:rPr>
      </w:pPr>
      <w:r>
        <w:rPr>
          <w:rFonts w:hint="eastAsia" w:ascii="黑体" w:hAnsi="Times New Roman" w:eastAsia="黑体" w:cs="Times New Roman"/>
          <w:color w:val="auto"/>
          <w:sz w:val="21"/>
          <w:highlight w:val="none"/>
          <w:lang w:val="en-US" w:eastAsia="zh-CN" w:bidi="ar-SA"/>
        </w:rPr>
        <w:t>8.5随行文件</w:t>
      </w:r>
    </w:p>
    <w:p>
      <w:pPr>
        <w:ind w:firstLine="420" w:firstLineChars="200"/>
        <w:rPr>
          <w:color w:val="auto"/>
          <w:szCs w:val="21"/>
          <w:highlight w:val="none"/>
        </w:rPr>
      </w:pPr>
      <w:r>
        <w:rPr>
          <w:color w:val="auto"/>
          <w:szCs w:val="21"/>
          <w:highlight w:val="none"/>
        </w:rPr>
        <w:t>每批产品应附有随行文件，其中除应包括供方信息、产品信息、本文件编号、出厂日期或包装日期外，还宜包括：</w:t>
      </w:r>
    </w:p>
    <w:p>
      <w:pPr>
        <w:numPr>
          <w:ilvl w:val="0"/>
          <w:numId w:val="33"/>
        </w:numPr>
        <w:tabs>
          <w:tab w:val="left" w:pos="780"/>
        </w:tabs>
        <w:ind w:firstLine="420" w:firstLineChars="200"/>
        <w:jc w:val="left"/>
        <w:rPr>
          <w:color w:val="auto"/>
          <w:szCs w:val="21"/>
          <w:highlight w:val="none"/>
        </w:rPr>
      </w:pPr>
      <w:r>
        <w:rPr>
          <w:color w:val="auto"/>
          <w:szCs w:val="21"/>
          <w:highlight w:val="none"/>
          <w:shd w:val="clear" w:color="auto" w:fill="FFFFFF"/>
        </w:rPr>
        <w:t>产品质量保证书，内容如下</w:t>
      </w:r>
      <w:r>
        <w:rPr>
          <w:color w:val="auto"/>
          <w:szCs w:val="21"/>
          <w:highlight w:val="none"/>
        </w:rPr>
        <w:t>：</w:t>
      </w:r>
    </w:p>
    <w:p>
      <w:pPr>
        <w:tabs>
          <w:tab w:val="left" w:pos="780"/>
          <w:tab w:val="left" w:pos="7407"/>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产品的主要性能；</w:t>
      </w:r>
      <w:r>
        <w:rPr>
          <w:rFonts w:hint="eastAsia"/>
          <w:color w:val="auto"/>
          <w:szCs w:val="21"/>
          <w:highlight w:val="none"/>
        </w:rPr>
        <w:tab/>
      </w:r>
    </w:p>
    <w:p>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对产品质量所负的责任；</w:t>
      </w:r>
    </w:p>
    <w:p>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产品获得的质量认证及</w:t>
      </w:r>
      <w:r>
        <w:rPr>
          <w:color w:val="auto"/>
          <w:szCs w:val="21"/>
          <w:highlight w:val="none"/>
          <w:shd w:val="clear" w:color="auto" w:fill="FFFFFF"/>
        </w:rPr>
        <w:t>带</w:t>
      </w:r>
      <w:r>
        <w:rPr>
          <w:color w:val="auto"/>
          <w:szCs w:val="21"/>
          <w:highlight w:val="none"/>
        </w:rPr>
        <w:t>供方技术监督部门检印的各项分析检验结果。</w:t>
      </w:r>
    </w:p>
    <w:p>
      <w:pPr>
        <w:numPr>
          <w:ilvl w:val="0"/>
          <w:numId w:val="33"/>
        </w:numPr>
        <w:tabs>
          <w:tab w:val="left" w:pos="780"/>
        </w:tabs>
        <w:ind w:firstLine="420" w:firstLineChars="200"/>
        <w:jc w:val="left"/>
        <w:rPr>
          <w:color w:val="auto"/>
          <w:szCs w:val="21"/>
          <w:highlight w:val="none"/>
        </w:rPr>
      </w:pPr>
      <w:r>
        <w:rPr>
          <w:color w:val="auto"/>
          <w:szCs w:val="21"/>
          <w:highlight w:val="none"/>
          <w:shd w:val="clear" w:color="auto" w:fill="FFFFFF"/>
        </w:rPr>
        <w:t>产品合格证，内容如下：</w:t>
      </w:r>
    </w:p>
    <w:p>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检验项目及其结果或检验结论；</w:t>
      </w:r>
    </w:p>
    <w:p>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批量或批号；</w:t>
      </w:r>
    </w:p>
    <w:p>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检验日期；</w:t>
      </w:r>
    </w:p>
    <w:p>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检验员签名或盖章。</w:t>
      </w:r>
    </w:p>
    <w:p>
      <w:pPr>
        <w:numPr>
          <w:ilvl w:val="0"/>
          <w:numId w:val="33"/>
        </w:numPr>
        <w:tabs>
          <w:tab w:val="left" w:pos="780"/>
        </w:tabs>
        <w:ind w:firstLine="420" w:firstLineChars="200"/>
        <w:jc w:val="left"/>
        <w:rPr>
          <w:color w:val="auto"/>
          <w:szCs w:val="21"/>
          <w:highlight w:val="none"/>
        </w:rPr>
      </w:pPr>
      <w:r>
        <w:rPr>
          <w:color w:val="auto"/>
          <w:szCs w:val="21"/>
          <w:highlight w:val="none"/>
          <w:shd w:val="clear" w:color="auto" w:fill="FFFFFF"/>
        </w:rPr>
        <w:t>产品</w:t>
      </w:r>
      <w:r>
        <w:rPr>
          <w:color w:val="auto"/>
          <w:szCs w:val="21"/>
          <w:highlight w:val="none"/>
        </w:rPr>
        <w:t>检验报告</w:t>
      </w:r>
      <w:r>
        <w:rPr>
          <w:color w:val="auto"/>
          <w:szCs w:val="21"/>
          <w:highlight w:val="none"/>
          <w:shd w:val="clear" w:color="auto" w:fill="FFFFFF"/>
        </w:rPr>
        <w:t>；</w:t>
      </w:r>
    </w:p>
    <w:p>
      <w:pPr>
        <w:numPr>
          <w:ilvl w:val="0"/>
          <w:numId w:val="33"/>
        </w:numPr>
        <w:tabs>
          <w:tab w:val="left" w:pos="780"/>
        </w:tabs>
        <w:ind w:firstLine="420" w:firstLineChars="200"/>
        <w:jc w:val="left"/>
        <w:rPr>
          <w:rFonts w:hint="eastAsia" w:ascii="宋体" w:hAnsi="Times New Roman" w:eastAsia="宋体" w:cs="Times New Roman"/>
          <w:color w:val="auto"/>
          <w:sz w:val="21"/>
          <w:highlight w:val="none"/>
          <w:lang w:val="en-US" w:eastAsia="zh-CN" w:bidi="ar-SA"/>
        </w:rPr>
      </w:pPr>
      <w:r>
        <w:rPr>
          <w:color w:val="auto"/>
          <w:szCs w:val="21"/>
          <w:highlight w:val="none"/>
          <w:shd w:val="clear" w:color="auto" w:fill="FFFFFF"/>
        </w:rPr>
        <w:t>产品使用说明：正确搬运、使用、贮存方法等；</w:t>
      </w:r>
    </w:p>
    <w:p>
      <w:pPr>
        <w:numPr>
          <w:ilvl w:val="0"/>
          <w:numId w:val="33"/>
        </w:numPr>
        <w:tabs>
          <w:tab w:val="left" w:pos="780"/>
        </w:tabs>
        <w:ind w:firstLine="420" w:firstLineChars="200"/>
        <w:jc w:val="left"/>
        <w:rPr>
          <w:rFonts w:hint="eastAsia" w:ascii="宋体" w:hAnsi="Times New Roman" w:eastAsia="宋体" w:cs="Times New Roman"/>
          <w:color w:val="auto"/>
          <w:sz w:val="21"/>
          <w:highlight w:val="none"/>
          <w:lang w:val="en-US" w:eastAsia="zh-CN" w:bidi="ar-SA"/>
        </w:rPr>
      </w:pPr>
      <w:r>
        <w:rPr>
          <w:color w:val="auto"/>
          <w:szCs w:val="21"/>
          <w:highlight w:val="none"/>
        </w:rPr>
        <w:t>其他。</w:t>
      </w:r>
    </w:p>
    <w:p>
      <w:pPr>
        <w:pStyle w:val="107"/>
        <w:spacing w:before="240" w:after="240"/>
        <w:rPr>
          <w:color w:val="auto"/>
          <w:highlight w:val="none"/>
        </w:rPr>
      </w:pPr>
      <w:r>
        <w:rPr>
          <w:rFonts w:hint="eastAsia"/>
          <w:color w:val="auto"/>
          <w:highlight w:val="none"/>
        </w:rPr>
        <w:t>订货单内容</w:t>
      </w:r>
    </w:p>
    <w:p>
      <w:pPr>
        <w:pStyle w:val="177"/>
        <w:numPr>
          <w:ilvl w:val="0"/>
          <w:numId w:val="34"/>
        </w:numPr>
        <w:rPr>
          <w:rFonts w:hint="eastAsia"/>
          <w:color w:val="auto"/>
          <w:highlight w:val="none"/>
        </w:rPr>
      </w:pPr>
      <w:r>
        <w:rPr>
          <w:rFonts w:hint="eastAsia"/>
          <w:color w:val="auto"/>
          <w:highlight w:val="none"/>
        </w:rPr>
        <w:t>订货单应包括下列内容：</w:t>
      </w:r>
    </w:p>
    <w:p>
      <w:pPr>
        <w:pStyle w:val="177"/>
        <w:numPr>
          <w:ilvl w:val="0"/>
          <w:numId w:val="34"/>
        </w:numPr>
        <w:rPr>
          <w:rFonts w:hint="eastAsia"/>
          <w:color w:val="auto"/>
          <w:highlight w:val="none"/>
        </w:rPr>
      </w:pPr>
      <w:r>
        <w:rPr>
          <w:rFonts w:hint="eastAsia"/>
          <w:color w:val="auto"/>
          <w:highlight w:val="none"/>
        </w:rPr>
        <w:t>产品名称；</w:t>
      </w:r>
    </w:p>
    <w:p>
      <w:pPr>
        <w:pStyle w:val="177"/>
        <w:numPr>
          <w:ilvl w:val="0"/>
          <w:numId w:val="34"/>
        </w:numPr>
        <w:rPr>
          <w:rFonts w:hint="eastAsia"/>
          <w:color w:val="auto"/>
          <w:highlight w:val="none"/>
        </w:rPr>
      </w:pPr>
      <w:r>
        <w:rPr>
          <w:rFonts w:hint="eastAsia"/>
          <w:color w:val="auto"/>
          <w:highlight w:val="none"/>
        </w:rPr>
        <w:t>牌号；</w:t>
      </w:r>
    </w:p>
    <w:p>
      <w:pPr>
        <w:pStyle w:val="177"/>
        <w:numPr>
          <w:ilvl w:val="0"/>
          <w:numId w:val="34"/>
        </w:numPr>
        <w:rPr>
          <w:rFonts w:hint="eastAsia"/>
          <w:color w:val="auto"/>
          <w:highlight w:val="none"/>
        </w:rPr>
      </w:pPr>
      <w:r>
        <w:rPr>
          <w:rFonts w:hint="eastAsia"/>
          <w:color w:val="auto"/>
          <w:highlight w:val="none"/>
        </w:rPr>
        <w:t>化学成分及物理规格的持殊要求；</w:t>
      </w:r>
    </w:p>
    <w:p>
      <w:pPr>
        <w:pStyle w:val="177"/>
        <w:numPr>
          <w:ilvl w:val="0"/>
          <w:numId w:val="34"/>
        </w:numPr>
        <w:rPr>
          <w:rFonts w:hint="eastAsia"/>
          <w:color w:val="auto"/>
          <w:highlight w:val="none"/>
        </w:rPr>
      </w:pPr>
      <w:r>
        <w:rPr>
          <w:rFonts w:hint="eastAsia"/>
          <w:color w:val="auto"/>
          <w:highlight w:val="none"/>
        </w:rPr>
        <w:t>数量；</w:t>
      </w:r>
    </w:p>
    <w:p>
      <w:pPr>
        <w:pStyle w:val="177"/>
        <w:numPr>
          <w:ilvl w:val="0"/>
          <w:numId w:val="34"/>
        </w:numPr>
        <w:rPr>
          <w:rFonts w:hint="eastAsia"/>
          <w:color w:val="auto"/>
          <w:highlight w:val="none"/>
        </w:rPr>
      </w:pPr>
      <w:r>
        <w:rPr>
          <w:rFonts w:hint="eastAsia"/>
          <w:color w:val="auto"/>
          <w:highlight w:val="none"/>
        </w:rPr>
        <w:t>本标准编号；</w:t>
      </w:r>
    </w:p>
    <w:p>
      <w:pPr>
        <w:pStyle w:val="177"/>
        <w:numPr>
          <w:ilvl w:val="0"/>
          <w:numId w:val="34"/>
        </w:numPr>
        <w:rPr>
          <w:color w:val="auto"/>
          <w:highlight w:val="none"/>
        </w:rPr>
      </w:pPr>
      <w:r>
        <w:rPr>
          <w:rFonts w:hint="eastAsia"/>
          <w:color w:val="auto"/>
          <w:highlight w:val="none"/>
        </w:rPr>
        <w:t>其它需要协商或增加的标准以外要求的内容。</w:t>
      </w:r>
      <w:bookmarkEnd w:id="23"/>
    </w:p>
    <w:p>
      <w:pPr>
        <w:pStyle w:val="177"/>
        <w:numPr>
          <w:ilvl w:val="0"/>
          <w:numId w:val="0"/>
        </w:numPr>
        <w:jc w:val="both"/>
        <w:rPr>
          <w:rFonts w:hint="eastAsia"/>
          <w:color w:val="auto"/>
          <w:highlight w:val="none"/>
        </w:rPr>
      </w:pPr>
    </w:p>
    <w:p>
      <w:pPr>
        <w:pStyle w:val="177"/>
        <w:numPr>
          <w:ilvl w:val="0"/>
          <w:numId w:val="0"/>
        </w:numPr>
        <w:jc w:val="both"/>
        <w:rPr>
          <w:rFonts w:hint="default" w:eastAsia="宋体"/>
          <w:color w:val="auto"/>
          <w:sz w:val="48"/>
          <w:szCs w:val="48"/>
          <w:highlight w:val="none"/>
          <w:u w:val="single"/>
          <w:lang w:val="en-US" w:eastAsia="zh-CN"/>
        </w:rPr>
      </w:pPr>
      <w:r>
        <w:rPr>
          <w:rFonts w:hint="eastAsia"/>
          <w:color w:val="auto"/>
          <w:sz w:val="48"/>
          <w:szCs w:val="48"/>
          <w:highlight w:val="none"/>
          <w:u w:val="single"/>
          <w:lang w:val="en-US" w:eastAsia="zh-CN"/>
        </w:rPr>
        <w:t xml:space="preserve">                       </w:t>
      </w: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YS/T 706—20**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YS/T 706—20**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DEEE0447"/>
    <w:multiLevelType w:val="singleLevel"/>
    <w:tmpl w:val="DEEE0447"/>
    <w:lvl w:ilvl="0" w:tentative="0">
      <w:start w:val="1"/>
      <w:numFmt w:val="lowerLetter"/>
      <w:suff w:val="nothing"/>
      <w:lvlText w:val="%1）"/>
      <w:lvlJc w:val="left"/>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1"/>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np0FVrCpGXJeXQ5/psu9knTaY4pTOWNpt0oR9q/GGDZToifVd15B/KW1dfByRXUsV3F2TidjnOaiSoVySnOeZA==" w:salt="i/ZmkCGXzbeBDJBLxWM7h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MzcwMDcxZTQ2NDA4NjI0YTE5OGY1MzNlMWQ1MjEifQ=="/>
  </w:docVars>
  <w:rsids>
    <w:rsidRoot w:val="00132D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6154"/>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8B5"/>
    <w:rsid w:val="000C4B41"/>
    <w:rsid w:val="000C57D6"/>
    <w:rsid w:val="000C7666"/>
    <w:rsid w:val="000D0A9C"/>
    <w:rsid w:val="000D1795"/>
    <w:rsid w:val="000D2F41"/>
    <w:rsid w:val="000D329A"/>
    <w:rsid w:val="000D4888"/>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2DB9"/>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AE2"/>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45"/>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6491"/>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42C"/>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272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4CD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3D"/>
    <w:rsid w:val="00454484"/>
    <w:rsid w:val="0045517B"/>
    <w:rsid w:val="004563CD"/>
    <w:rsid w:val="00463B77"/>
    <w:rsid w:val="00463C7B"/>
    <w:rsid w:val="00463F02"/>
    <w:rsid w:val="004644A6"/>
    <w:rsid w:val="004659BD"/>
    <w:rsid w:val="00466293"/>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47E"/>
    <w:rsid w:val="004E67C0"/>
    <w:rsid w:val="004F391A"/>
    <w:rsid w:val="004F3CFB"/>
    <w:rsid w:val="004F6456"/>
    <w:rsid w:val="004F696E"/>
    <w:rsid w:val="004F6C71"/>
    <w:rsid w:val="00501139"/>
    <w:rsid w:val="00502991"/>
    <w:rsid w:val="0050363E"/>
    <w:rsid w:val="005039BC"/>
    <w:rsid w:val="005043BB"/>
    <w:rsid w:val="00504A3D"/>
    <w:rsid w:val="00504AB4"/>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2AD0"/>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5D9"/>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3EF"/>
    <w:rsid w:val="006D6593"/>
    <w:rsid w:val="006D686E"/>
    <w:rsid w:val="006F03A8"/>
    <w:rsid w:val="006F0C4E"/>
    <w:rsid w:val="006F126C"/>
    <w:rsid w:val="006F2ACA"/>
    <w:rsid w:val="006F2ADC"/>
    <w:rsid w:val="006F2BFE"/>
    <w:rsid w:val="006F31E9"/>
    <w:rsid w:val="006F56E5"/>
    <w:rsid w:val="006F6284"/>
    <w:rsid w:val="007002C5"/>
    <w:rsid w:val="00700AFB"/>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C7A64"/>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6C9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ED7"/>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840"/>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14CA"/>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3AB"/>
    <w:rsid w:val="00941FA3"/>
    <w:rsid w:val="009429D5"/>
    <w:rsid w:val="00942BF1"/>
    <w:rsid w:val="00945180"/>
    <w:rsid w:val="00945428"/>
    <w:rsid w:val="0094607B"/>
    <w:rsid w:val="00953604"/>
    <w:rsid w:val="0095496B"/>
    <w:rsid w:val="009610DC"/>
    <w:rsid w:val="00961490"/>
    <w:rsid w:val="00961DF1"/>
    <w:rsid w:val="0096381A"/>
    <w:rsid w:val="00965E04"/>
    <w:rsid w:val="009674AD"/>
    <w:rsid w:val="00970CDC"/>
    <w:rsid w:val="00977010"/>
    <w:rsid w:val="00977D02"/>
    <w:rsid w:val="009809BB"/>
    <w:rsid w:val="0098364B"/>
    <w:rsid w:val="009858FE"/>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1886"/>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7039"/>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343"/>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2198"/>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799"/>
    <w:rsid w:val="00C6329F"/>
    <w:rsid w:val="00C63340"/>
    <w:rsid w:val="00C63A23"/>
    <w:rsid w:val="00C63D26"/>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021"/>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097C"/>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B54"/>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B03"/>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47"/>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4CB7"/>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5FEA"/>
    <w:rsid w:val="00F66A4A"/>
    <w:rsid w:val="00F71E22"/>
    <w:rsid w:val="00F72142"/>
    <w:rsid w:val="00F72AE7"/>
    <w:rsid w:val="00F77D98"/>
    <w:rsid w:val="00F8110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C80"/>
    <w:rsid w:val="00FE1FBE"/>
    <w:rsid w:val="00FE3901"/>
    <w:rsid w:val="00FE39D3"/>
    <w:rsid w:val="00FE4BCE"/>
    <w:rsid w:val="00FE54AE"/>
    <w:rsid w:val="00FE576A"/>
    <w:rsid w:val="00FE7E79"/>
    <w:rsid w:val="00FF3E7D"/>
    <w:rsid w:val="00FF5B99"/>
    <w:rsid w:val="00FF730C"/>
    <w:rsid w:val="00FF73F4"/>
    <w:rsid w:val="00FF7CE4"/>
    <w:rsid w:val="00FF7E39"/>
    <w:rsid w:val="05477301"/>
    <w:rsid w:val="0C3B6393"/>
    <w:rsid w:val="0F5372FC"/>
    <w:rsid w:val="132F62D2"/>
    <w:rsid w:val="154B4ABE"/>
    <w:rsid w:val="159243B6"/>
    <w:rsid w:val="16F56A5E"/>
    <w:rsid w:val="1FBD01F9"/>
    <w:rsid w:val="20141B6E"/>
    <w:rsid w:val="20576822"/>
    <w:rsid w:val="22835CF3"/>
    <w:rsid w:val="22AE0C4E"/>
    <w:rsid w:val="238177CA"/>
    <w:rsid w:val="26F25732"/>
    <w:rsid w:val="2BC0152C"/>
    <w:rsid w:val="2DED6189"/>
    <w:rsid w:val="2E8E2948"/>
    <w:rsid w:val="370916AD"/>
    <w:rsid w:val="3B935937"/>
    <w:rsid w:val="3F385747"/>
    <w:rsid w:val="438A47AE"/>
    <w:rsid w:val="47AB239C"/>
    <w:rsid w:val="47C57487"/>
    <w:rsid w:val="4873547D"/>
    <w:rsid w:val="4D9601E0"/>
    <w:rsid w:val="527332AB"/>
    <w:rsid w:val="555F703A"/>
    <w:rsid w:val="562903ED"/>
    <w:rsid w:val="57861F9F"/>
    <w:rsid w:val="5B690C52"/>
    <w:rsid w:val="5E0B671C"/>
    <w:rsid w:val="60975C0A"/>
    <w:rsid w:val="6315178D"/>
    <w:rsid w:val="63D44A2C"/>
    <w:rsid w:val="65E816C2"/>
    <w:rsid w:val="676E63E8"/>
    <w:rsid w:val="67B13B0B"/>
    <w:rsid w:val="69951B60"/>
    <w:rsid w:val="6A6444EF"/>
    <w:rsid w:val="70B85308"/>
    <w:rsid w:val="747F6ED0"/>
    <w:rsid w:val="750545ED"/>
    <w:rsid w:val="780D4916"/>
    <w:rsid w:val="78C1171D"/>
    <w:rsid w:val="79714E85"/>
    <w:rsid w:val="79B042AD"/>
    <w:rsid w:val="7C1C2DB5"/>
    <w:rsid w:val="7EA6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9"/>
    <w:autoRedefine/>
    <w:qFormat/>
    <w:uiPriority w:val="0"/>
    <w:pPr>
      <w:spacing w:after="120"/>
    </w:pPr>
  </w:style>
  <w:style w:type="paragraph" w:styleId="14">
    <w:name w:val="Body Text Indent"/>
    <w:basedOn w:val="1"/>
    <w:autoRedefine/>
    <w:qFormat/>
    <w:uiPriority w:val="0"/>
    <w:pPr>
      <w:ind w:firstLine="51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ody Text Indent 2"/>
    <w:basedOn w:val="1"/>
    <w:autoRedefine/>
    <w:qFormat/>
    <w:uiPriority w:val="0"/>
    <w:pPr>
      <w:spacing w:line="360" w:lineRule="auto"/>
      <w:ind w:firstLine="359" w:firstLineChars="171"/>
    </w:pPr>
  </w:style>
  <w:style w:type="paragraph" w:styleId="18">
    <w:name w:val="Balloon Text"/>
    <w:basedOn w:val="1"/>
    <w:link w:val="48"/>
    <w:autoRedefine/>
    <w:semiHidden/>
    <w:unhideWhenUsed/>
    <w:qFormat/>
    <w:uiPriority w:val="99"/>
    <w:rPr>
      <w:sz w:val="18"/>
      <w:szCs w:val="18"/>
    </w:rPr>
  </w:style>
  <w:style w:type="paragraph" w:styleId="19">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Body Text Indent 3"/>
    <w:basedOn w:val="1"/>
    <w:autoRedefine/>
    <w:qFormat/>
    <w:uiPriority w:val="0"/>
    <w:pPr>
      <w:spacing w:line="360" w:lineRule="auto"/>
      <w:ind w:firstLine="345" w:firstLineChars="171"/>
    </w:pPr>
    <w:rPr>
      <w:rFonts w:ascii="宋体" w:hAnsi="宋体"/>
      <w:spacing w:val="-4"/>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Title"/>
    <w:basedOn w:val="1"/>
    <w:link w:val="5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autoRedefine/>
    <w:qFormat/>
    <w:uiPriority w:val="0"/>
    <w:rPr>
      <w:b/>
      <w:bCs/>
      <w:kern w:val="2"/>
      <w:sz w:val="32"/>
      <w:szCs w:val="32"/>
    </w:rPr>
  </w:style>
  <w:style w:type="character" w:customStyle="1" w:styleId="40">
    <w:name w:val="标题 4 字符"/>
    <w:link w:val="5"/>
    <w:autoRedefine/>
    <w:qFormat/>
    <w:uiPriority w:val="0"/>
    <w:rPr>
      <w:rFonts w:ascii="Arial" w:hAnsi="Arial" w:eastAsia="黑体"/>
      <w:b/>
      <w:bCs/>
      <w:kern w:val="2"/>
      <w:sz w:val="28"/>
      <w:szCs w:val="28"/>
    </w:rPr>
  </w:style>
  <w:style w:type="character" w:customStyle="1" w:styleId="41">
    <w:name w:val="标题 5 字符"/>
    <w:link w:val="6"/>
    <w:autoRedefine/>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20"/>
    <w:autoRedefine/>
    <w:qFormat/>
    <w:uiPriority w:val="99"/>
    <w:rPr>
      <w:kern w:val="2"/>
      <w:sz w:val="18"/>
      <w:szCs w:val="18"/>
    </w:rPr>
  </w:style>
  <w:style w:type="character" w:customStyle="1" w:styleId="47">
    <w:name w:val="页脚 字符"/>
    <w:link w:val="19"/>
    <w:autoRedefine/>
    <w:qFormat/>
    <w:uiPriority w:val="99"/>
    <w:rPr>
      <w:rFonts w:ascii="宋体"/>
      <w:kern w:val="2"/>
      <w:sz w:val="18"/>
      <w:szCs w:val="18"/>
    </w:rPr>
  </w:style>
  <w:style w:type="character" w:customStyle="1" w:styleId="48">
    <w:name w:val="批注框文本 字符"/>
    <w:link w:val="18"/>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8"/>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autoRedefine/>
    <w:semiHidden/>
    <w:qFormat/>
    <w:uiPriority w:val="0"/>
    <w:rPr>
      <w:rFonts w:ascii="宋体"/>
      <w:kern w:val="2"/>
      <w:sz w:val="18"/>
      <w:szCs w:val="18"/>
    </w:rPr>
  </w:style>
  <w:style w:type="paragraph" w:customStyle="1" w:styleId="103">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1"/>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1"/>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B0EF8E17B7449BA1CB2ABD6A3FEE97"/>
        <w:style w:val=""/>
        <w:category>
          <w:name w:val="常规"/>
          <w:gallery w:val="placeholder"/>
        </w:category>
        <w:types>
          <w:type w:val="bbPlcHdr"/>
        </w:types>
        <w:behaviors>
          <w:behavior w:val="content"/>
        </w:behaviors>
        <w:description w:val=""/>
        <w:guid w:val="{7C4C248D-239E-4C77-9FB5-9583E5D28D07}"/>
      </w:docPartPr>
      <w:docPartBody>
        <w:p>
          <w:pPr>
            <w:pStyle w:val="5"/>
          </w:pPr>
          <w:r>
            <w:rPr>
              <w:rStyle w:val="4"/>
              <w:rFonts w:hint="eastAsia"/>
            </w:rPr>
            <w:t>单击或点击此处输入文字。</w:t>
          </w:r>
        </w:p>
      </w:docPartBody>
    </w:docPart>
    <w:docPart>
      <w:docPartPr>
        <w:name w:val="7971392AF9784C3D8A3450307B6959E8"/>
        <w:style w:val=""/>
        <w:category>
          <w:name w:val="常规"/>
          <w:gallery w:val="placeholder"/>
        </w:category>
        <w:types>
          <w:type w:val="bbPlcHdr"/>
        </w:types>
        <w:behaviors>
          <w:behavior w:val="content"/>
        </w:behaviors>
        <w:description w:val=""/>
        <w:guid w:val="{268B6A71-C908-4216-9979-69EBDB3FA187}"/>
      </w:docPartPr>
      <w:docPartBody>
        <w:p>
          <w:pPr>
            <w:pStyle w:val="6"/>
          </w:pPr>
          <w:r>
            <w:rPr>
              <w:rStyle w:val="4"/>
              <w:rFonts w:hint="eastAsia"/>
            </w:rPr>
            <w:t>选择一项。</w:t>
          </w:r>
        </w:p>
      </w:docPartBody>
    </w:docPart>
    <w:docPart>
      <w:docPartPr>
        <w:name w:val="807F7DCD899842CBB3B9C568B829CE93"/>
        <w:style w:val=""/>
        <w:category>
          <w:name w:val="常规"/>
          <w:gallery w:val="placeholder"/>
        </w:category>
        <w:types>
          <w:type w:val="bbPlcHdr"/>
        </w:types>
        <w:behaviors>
          <w:behavior w:val="content"/>
        </w:behaviors>
        <w:description w:val=""/>
        <w:guid w:val="{E2DB41BA-EFD8-4622-B8CD-19EAD44D2CE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48"/>
    <w:rsid w:val="0003673B"/>
    <w:rsid w:val="00075934"/>
    <w:rsid w:val="00103733"/>
    <w:rsid w:val="0022138B"/>
    <w:rsid w:val="003C5148"/>
    <w:rsid w:val="004965A1"/>
    <w:rsid w:val="00772031"/>
    <w:rsid w:val="009A39DA"/>
    <w:rsid w:val="00AA2692"/>
    <w:rsid w:val="00AB3BA9"/>
    <w:rsid w:val="00FB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2B0EF8E17B7449BA1CB2ABD6A3FEE9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971392AF9784C3D8A3450307B6959E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07F7DCD899842CBB3B9C568B829CE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9F3D-B720-4208-91D8-E325AF241696}">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7</Pages>
  <Words>2877</Words>
  <Characters>3741</Characters>
  <Lines>41</Lines>
  <Paragraphs>11</Paragraphs>
  <TotalTime>12</TotalTime>
  <ScaleCrop>false</ScaleCrop>
  <LinksUpToDate>false</LinksUpToDate>
  <CharactersWithSpaces>3854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2022-09-24T00:20:00Z</dcterms:created>
  <dc:creator>万思成</dc:creator>
  <dc:description>&lt;config cover="true" show_menu="true" version="1.0.0" doctype="SDKXY"&gt;_x000d_
&lt;/config&gt;</dc:description>
  <cp:lastModifiedBy>办公</cp:lastModifiedBy>
  <cp:lastPrinted>2021-02-02T08:18:00Z</cp:lastPrinted>
  <dcterms:modified xsi:type="dcterms:W3CDTF">2024-06-06T03:13:42Z</dcterms:modified>
  <dc:title>行业标准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08779BC740834D2BA09000D061CED7ED</vt:lpwstr>
  </property>
</Properties>
</file>