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spacing w:line="560" w:lineRule="atLeast"/>
        <w:rPr>
          <w:rFonts w:eastAsia="黑体"/>
          <w:sz w:val="48"/>
          <w:szCs w:val="48"/>
        </w:rPr>
      </w:pPr>
    </w:p>
    <w:p>
      <w:pPr>
        <w:pStyle w:val="52"/>
        <w:spacing w:line="560" w:lineRule="atLeast"/>
        <w:rPr>
          <w:rFonts w:eastAsia="黑体"/>
          <w:sz w:val="48"/>
          <w:szCs w:val="48"/>
        </w:rPr>
      </w:pPr>
    </w:p>
    <w:p>
      <w:pPr>
        <w:pStyle w:val="52"/>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黑体"/>
          <w:b w:val="0"/>
          <w:bCs w:val="0"/>
          <w:sz w:val="36"/>
          <w:szCs w:val="36"/>
        </w:rPr>
      </w:pPr>
      <w:r>
        <w:rPr>
          <w:rFonts w:eastAsia="黑体"/>
          <w:b w:val="0"/>
          <w:bCs w:val="0"/>
          <w:sz w:val="36"/>
          <w:szCs w:val="36"/>
        </w:rPr>
        <w:t>复合氧化铜粉中铜、氧化亚铜、氧化铜</w:t>
      </w:r>
    </w:p>
    <w:p>
      <w:pPr>
        <w:pStyle w:val="52"/>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outlineLvl w:val="0"/>
        <w:rPr>
          <w:rFonts w:eastAsia="黑体"/>
          <w:b w:val="0"/>
          <w:bCs w:val="0"/>
          <w:sz w:val="36"/>
          <w:szCs w:val="36"/>
        </w:rPr>
      </w:pPr>
      <w:bookmarkStart w:id="0" w:name="_Toc17915"/>
      <w:r>
        <w:rPr>
          <w:rFonts w:eastAsia="黑体"/>
          <w:b w:val="0"/>
          <w:bCs w:val="0"/>
          <w:sz w:val="36"/>
          <w:szCs w:val="36"/>
        </w:rPr>
        <w:t>组分的测定</w:t>
      </w:r>
      <w:r>
        <w:rPr>
          <w:rFonts w:hint="eastAsia" w:eastAsia="黑体"/>
          <w:b w:val="0"/>
          <w:bCs w:val="0"/>
          <w:sz w:val="36"/>
          <w:szCs w:val="36"/>
        </w:rPr>
        <w:t xml:space="preserve"> </w:t>
      </w:r>
      <w:r>
        <w:rPr>
          <w:rFonts w:eastAsia="黑体"/>
          <w:b w:val="0"/>
          <w:bCs w:val="0"/>
          <w:sz w:val="36"/>
          <w:szCs w:val="36"/>
        </w:rPr>
        <w:t>氧化还原滴定法和差减法</w:t>
      </w:r>
      <w:bookmarkEnd w:id="0"/>
    </w:p>
    <w:p>
      <w:pPr>
        <w:pStyle w:val="52"/>
        <w:spacing w:line="560" w:lineRule="atLeast"/>
        <w:ind w:left="0" w:leftChars="0" w:firstLine="0" w:firstLineChars="0"/>
        <w:jc w:val="both"/>
        <w:rPr>
          <w:rFonts w:eastAsia="黑体"/>
          <w:sz w:val="28"/>
          <w:szCs w:val="28"/>
        </w:rPr>
      </w:pPr>
    </w:p>
    <w:p>
      <w:pPr>
        <w:pStyle w:val="52"/>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黑体"/>
          <w:sz w:val="28"/>
          <w:szCs w:val="28"/>
        </w:rPr>
      </w:pPr>
      <w:r>
        <w:rPr>
          <w:rFonts w:eastAsia="黑体"/>
          <w:sz w:val="28"/>
          <w:szCs w:val="28"/>
        </w:rPr>
        <w:t>（征求意见稿）</w:t>
      </w:r>
    </w:p>
    <w:p>
      <w:pPr>
        <w:pStyle w:val="52"/>
        <w:spacing w:line="560" w:lineRule="atLeast"/>
        <w:ind w:firstLine="723"/>
        <w:jc w:val="center"/>
        <w:rPr>
          <w:rFonts w:eastAsia="黑体"/>
          <w:b/>
          <w:bCs/>
          <w:sz w:val="36"/>
          <w:szCs w:val="36"/>
        </w:rPr>
      </w:pPr>
    </w:p>
    <w:p>
      <w:pPr>
        <w:pStyle w:val="52"/>
        <w:spacing w:line="560" w:lineRule="atLeast"/>
        <w:ind w:firstLine="602"/>
        <w:rPr>
          <w:rFonts w:eastAsia="黑体"/>
          <w:b/>
          <w:bCs/>
          <w:sz w:val="30"/>
          <w:szCs w:val="30"/>
        </w:rPr>
      </w:pPr>
      <w:r>
        <w:rPr>
          <w:rFonts w:eastAsia="黑体"/>
          <w:b/>
          <w:bCs/>
          <w:sz w:val="30"/>
          <w:szCs w:val="30"/>
        </w:rPr>
        <w:tab/>
      </w:r>
    </w:p>
    <w:p>
      <w:pPr>
        <w:pStyle w:val="52"/>
        <w:spacing w:line="560" w:lineRule="atLeast"/>
        <w:ind w:firstLine="602"/>
        <w:rPr>
          <w:rFonts w:eastAsia="黑体"/>
          <w:b/>
          <w:bCs/>
          <w:sz w:val="30"/>
          <w:szCs w:val="30"/>
        </w:rPr>
      </w:pPr>
    </w:p>
    <w:p>
      <w:pPr>
        <w:pStyle w:val="52"/>
        <w:spacing w:line="560" w:lineRule="atLeast"/>
        <w:ind w:firstLine="602"/>
        <w:rPr>
          <w:rFonts w:eastAsia="黑体"/>
          <w:b/>
          <w:bCs/>
          <w:sz w:val="30"/>
          <w:szCs w:val="30"/>
        </w:rPr>
      </w:pPr>
    </w:p>
    <w:p>
      <w:pPr>
        <w:pStyle w:val="52"/>
        <w:spacing w:line="560" w:lineRule="atLeast"/>
        <w:ind w:left="0" w:leftChars="0" w:firstLine="0" w:firstLineChars="0"/>
        <w:rPr>
          <w:rFonts w:eastAsia="黑体"/>
          <w:b/>
          <w:bCs/>
          <w:sz w:val="30"/>
          <w:szCs w:val="30"/>
        </w:rPr>
      </w:pPr>
    </w:p>
    <w:p>
      <w:pPr>
        <w:pStyle w:val="52"/>
        <w:spacing w:line="560" w:lineRule="atLeast"/>
        <w:ind w:firstLine="602"/>
        <w:rPr>
          <w:rFonts w:eastAsia="黑体"/>
          <w:b/>
          <w:bCs/>
          <w:sz w:val="30"/>
          <w:szCs w:val="30"/>
        </w:rPr>
      </w:pPr>
    </w:p>
    <w:p>
      <w:pPr>
        <w:pStyle w:val="52"/>
        <w:spacing w:line="560" w:lineRule="atLeast"/>
        <w:ind w:firstLine="600"/>
        <w:jc w:val="center"/>
        <w:rPr>
          <w:rFonts w:eastAsia="黑体"/>
          <w:sz w:val="30"/>
          <w:szCs w:val="30"/>
        </w:rPr>
      </w:pPr>
    </w:p>
    <w:p>
      <w:pPr>
        <w:pStyle w:val="52"/>
        <w:spacing w:line="560" w:lineRule="atLeast"/>
        <w:ind w:left="0" w:leftChars="0" w:firstLine="0" w:firstLineChars="0"/>
        <w:jc w:val="both"/>
        <w:rPr>
          <w:rFonts w:eastAsia="黑体"/>
          <w:sz w:val="30"/>
          <w:szCs w:val="30"/>
        </w:rPr>
      </w:pPr>
    </w:p>
    <w:p>
      <w:pPr>
        <w:pStyle w:val="52"/>
        <w:spacing w:line="560" w:lineRule="atLeast"/>
        <w:ind w:left="0" w:leftChars="0" w:firstLine="0" w:firstLineChars="0"/>
        <w:jc w:val="both"/>
        <w:rPr>
          <w:rFonts w:eastAsia="黑体"/>
          <w:sz w:val="30"/>
          <w:szCs w:val="30"/>
        </w:rPr>
      </w:pPr>
    </w:p>
    <w:p>
      <w:pPr>
        <w:pStyle w:val="52"/>
        <w:spacing w:line="560" w:lineRule="atLeast"/>
        <w:ind w:left="0" w:leftChars="0" w:firstLine="0" w:firstLineChars="0"/>
        <w:jc w:val="both"/>
        <w:rPr>
          <w:rFonts w:eastAsia="黑体"/>
          <w:sz w:val="30"/>
          <w:szCs w:val="30"/>
        </w:rPr>
      </w:pPr>
    </w:p>
    <w:p>
      <w:pPr>
        <w:pStyle w:val="52"/>
        <w:spacing w:line="560" w:lineRule="atLeast"/>
        <w:ind w:firstLine="600"/>
        <w:jc w:val="center"/>
        <w:rPr>
          <w:rFonts w:eastAsia="黑体"/>
          <w:sz w:val="30"/>
          <w:szCs w:val="30"/>
        </w:rPr>
      </w:pPr>
    </w:p>
    <w:p>
      <w:pPr>
        <w:pStyle w:val="52"/>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0"/>
          <w:szCs w:val="30"/>
        </w:rPr>
      </w:pPr>
      <w:r>
        <w:rPr>
          <w:rFonts w:hint="eastAsia" w:ascii="黑体" w:hAnsi="黑体" w:eastAsia="黑体" w:cs="黑体"/>
          <w:sz w:val="30"/>
          <w:szCs w:val="30"/>
        </w:rPr>
        <w:t>有研粉末新材料（合肥）有限公司</w:t>
      </w:r>
    </w:p>
    <w:p>
      <w:pPr>
        <w:pStyle w:val="52"/>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0"/>
          <w:szCs w:val="30"/>
        </w:rPr>
      </w:pPr>
      <w:r>
        <w:rPr>
          <w:rFonts w:hint="eastAsia" w:ascii="黑体" w:hAnsi="黑体" w:eastAsia="黑体" w:cs="黑体"/>
          <w:sz w:val="30"/>
          <w:szCs w:val="30"/>
        </w:rPr>
        <w:t>2024年05月</w:t>
      </w:r>
    </w:p>
    <w:p>
      <w:pPr>
        <w:pStyle w:val="52"/>
        <w:spacing w:line="560" w:lineRule="atLeast"/>
        <w:ind w:firstLine="600"/>
        <w:jc w:val="center"/>
        <w:rPr>
          <w:rFonts w:eastAsia="黑体"/>
          <w:sz w:val="30"/>
          <w:szCs w:val="30"/>
        </w:rPr>
      </w:pPr>
    </w:p>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imes New Roman"/>
          <w:kern w:val="2"/>
          <w:sz w:val="32"/>
          <w:szCs w:val="32"/>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p>
    <w:sdt>
      <w:sdtPr>
        <w:rPr>
          <w:rFonts w:ascii="宋体" w:hAnsi="宋体" w:eastAsia="宋体" w:cs="Times New Roman"/>
          <w:kern w:val="2"/>
          <w:sz w:val="32"/>
          <w:szCs w:val="32"/>
          <w:lang w:val="en-US" w:eastAsia="zh-CN" w:bidi="ar-SA"/>
        </w:rPr>
        <w:id w:val="147475571"/>
        <w15:color w:val="DBDBDB"/>
        <w:docPartObj>
          <w:docPartGallery w:val="Table of Contents"/>
          <w:docPartUnique/>
        </w:docPartObj>
      </w:sdtPr>
      <w:sdtEndPr>
        <w:rPr>
          <w:rFonts w:ascii="Times New Roman" w:hAnsi="Times New Roman" w:eastAsia="黑体" w:cs="Times New Roman"/>
          <w:b/>
          <w:kern w:val="2"/>
          <w:sz w:val="21"/>
          <w:szCs w:val="24"/>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b/>
              <w:bCs/>
              <w:sz w:val="32"/>
              <w:szCs w:val="32"/>
            </w:rPr>
          </w:pPr>
          <w:r>
            <w:rPr>
              <w:rFonts w:ascii="宋体" w:hAnsi="宋体" w:eastAsia="宋体"/>
              <w:b/>
              <w:bCs/>
              <w:sz w:val="32"/>
              <w:szCs w:val="32"/>
            </w:rPr>
            <w:t>目录</w:t>
          </w:r>
        </w:p>
        <w:p>
          <w:pPr>
            <w:pStyle w:val="127"/>
            <w:keepNext w:val="0"/>
            <w:keepLines w:val="0"/>
            <w:pageBreakBefore w:val="0"/>
            <w:tabs>
              <w:tab w:val="right" w:leader="dot" w:pos="8306"/>
            </w:tabs>
            <w:kinsoku/>
            <w:wordWrap/>
            <w:overflowPunct/>
            <w:topLinePunct w:val="0"/>
            <w:autoSpaceDE/>
            <w:autoSpaceDN/>
            <w:bidi w:val="0"/>
            <w:adjustRightInd/>
            <w:snapToGrid/>
            <w:spacing w:line="360" w:lineRule="auto"/>
            <w:ind w:firstLine="0" w:firstLineChars="0"/>
            <w:textAlignment w:val="auto"/>
            <w:rPr>
              <w:b w:val="0"/>
              <w:bCs w:val="0"/>
              <w:sz w:val="24"/>
              <w:szCs w:val="24"/>
            </w:rPr>
          </w:pPr>
          <w:r>
            <w:rPr>
              <w:rFonts w:eastAsia="黑体"/>
              <w:b w:val="0"/>
              <w:bCs w:val="0"/>
              <w:sz w:val="24"/>
              <w:szCs w:val="24"/>
            </w:rPr>
            <w:fldChar w:fldCharType="begin"/>
          </w:r>
          <w:r>
            <w:rPr>
              <w:rFonts w:eastAsia="黑体"/>
              <w:b w:val="0"/>
              <w:bCs w:val="0"/>
              <w:sz w:val="24"/>
              <w:szCs w:val="24"/>
            </w:rPr>
            <w:instrText xml:space="preserve">TOC \o "1-2" \h \u </w:instrText>
          </w:r>
          <w:r>
            <w:rPr>
              <w:rFonts w:eastAsia="黑体"/>
              <w:b w:val="0"/>
              <w:bCs w:val="0"/>
              <w:sz w:val="24"/>
              <w:szCs w:val="24"/>
            </w:rPr>
            <w:fldChar w:fldCharType="separate"/>
          </w:r>
        </w:p>
        <w:p>
          <w:pPr>
            <w:pStyle w:val="127"/>
            <w:keepNext w:val="0"/>
            <w:keepLines w:val="0"/>
            <w:pageBreakBefore w:val="0"/>
            <w:tabs>
              <w:tab w:val="right" w:leader="dot" w:pos="8306"/>
            </w:tabs>
            <w:kinsoku/>
            <w:wordWrap/>
            <w:overflowPunct/>
            <w:topLinePunct w:val="0"/>
            <w:autoSpaceDE/>
            <w:autoSpaceDN/>
            <w:bidi w:val="0"/>
            <w:adjustRightInd/>
            <w:snapToGrid/>
            <w:spacing w:line="360" w:lineRule="auto"/>
            <w:ind w:firstLine="0" w:firstLineChars="0"/>
            <w:textAlignment w:val="auto"/>
            <w:rPr>
              <w:b w:val="0"/>
              <w:bCs w:val="0"/>
              <w:sz w:val="24"/>
              <w:szCs w:val="24"/>
            </w:rPr>
          </w:pPr>
          <w:r>
            <w:rPr>
              <w:rFonts w:eastAsia="黑体"/>
              <w:b w:val="0"/>
              <w:bCs w:val="0"/>
              <w:sz w:val="24"/>
              <w:szCs w:val="24"/>
            </w:rPr>
            <w:fldChar w:fldCharType="begin"/>
          </w:r>
          <w:r>
            <w:rPr>
              <w:rFonts w:eastAsia="黑体"/>
              <w:b w:val="0"/>
              <w:bCs w:val="0"/>
              <w:sz w:val="24"/>
              <w:szCs w:val="24"/>
            </w:rPr>
            <w:instrText xml:space="preserve"> HYPERLINK \l _Toc3937 </w:instrText>
          </w:r>
          <w:r>
            <w:rPr>
              <w:rFonts w:eastAsia="黑体"/>
              <w:b w:val="0"/>
              <w:bCs w:val="0"/>
              <w:sz w:val="24"/>
              <w:szCs w:val="24"/>
            </w:rPr>
            <w:fldChar w:fldCharType="separate"/>
          </w:r>
          <w:r>
            <w:rPr>
              <w:b w:val="0"/>
              <w:bCs w:val="0"/>
              <w:sz w:val="24"/>
              <w:szCs w:val="24"/>
            </w:rPr>
            <w:t>一、工作简况</w:t>
          </w:r>
          <w:r>
            <w:rPr>
              <w:b w:val="0"/>
              <w:bCs w:val="0"/>
              <w:sz w:val="24"/>
              <w:szCs w:val="24"/>
            </w:rPr>
            <w:tab/>
          </w:r>
          <w:r>
            <w:rPr>
              <w:b w:val="0"/>
              <w:bCs w:val="0"/>
              <w:sz w:val="24"/>
              <w:szCs w:val="24"/>
            </w:rPr>
            <w:fldChar w:fldCharType="begin"/>
          </w:r>
          <w:r>
            <w:rPr>
              <w:b w:val="0"/>
              <w:bCs w:val="0"/>
              <w:sz w:val="24"/>
              <w:szCs w:val="24"/>
            </w:rPr>
            <w:instrText xml:space="preserve"> PAGEREF _Toc3937 \h </w:instrText>
          </w:r>
          <w:r>
            <w:rPr>
              <w:b w:val="0"/>
              <w:bCs w:val="0"/>
              <w:sz w:val="24"/>
              <w:szCs w:val="24"/>
            </w:rPr>
            <w:fldChar w:fldCharType="separate"/>
          </w:r>
          <w:r>
            <w:rPr>
              <w:b w:val="0"/>
              <w:bCs w:val="0"/>
              <w:sz w:val="24"/>
              <w:szCs w:val="24"/>
            </w:rPr>
            <w:t>1</w:t>
          </w:r>
          <w:r>
            <w:rPr>
              <w:b w:val="0"/>
              <w:bCs w:val="0"/>
              <w:sz w:val="24"/>
              <w:szCs w:val="24"/>
            </w:rPr>
            <w:fldChar w:fldCharType="end"/>
          </w:r>
          <w:r>
            <w:rPr>
              <w:rFonts w:eastAsia="黑体"/>
              <w:b w:val="0"/>
              <w:bCs w:val="0"/>
              <w:sz w:val="24"/>
              <w:szCs w:val="24"/>
            </w:rPr>
            <w:fldChar w:fldCharType="end"/>
          </w:r>
        </w:p>
        <w:p>
          <w:pPr>
            <w:pStyle w:val="128"/>
            <w:keepNext w:val="0"/>
            <w:keepLines w:val="0"/>
            <w:pageBreakBefore w:val="0"/>
            <w:tabs>
              <w:tab w:val="right" w:leader="dot" w:pos="8306"/>
            </w:tabs>
            <w:kinsoku/>
            <w:wordWrap/>
            <w:overflowPunct/>
            <w:topLinePunct w:val="0"/>
            <w:autoSpaceDE/>
            <w:autoSpaceDN/>
            <w:bidi w:val="0"/>
            <w:adjustRightInd/>
            <w:snapToGrid/>
            <w:spacing w:line="360" w:lineRule="auto"/>
            <w:ind w:firstLine="0" w:firstLineChars="0"/>
            <w:textAlignment w:val="auto"/>
            <w:rPr>
              <w:b w:val="0"/>
              <w:bCs w:val="0"/>
              <w:sz w:val="24"/>
              <w:szCs w:val="24"/>
            </w:rPr>
          </w:pPr>
          <w:r>
            <w:rPr>
              <w:rFonts w:eastAsia="黑体"/>
              <w:b w:val="0"/>
              <w:bCs w:val="0"/>
              <w:sz w:val="24"/>
              <w:szCs w:val="24"/>
            </w:rPr>
            <w:fldChar w:fldCharType="begin"/>
          </w:r>
          <w:r>
            <w:rPr>
              <w:rFonts w:eastAsia="黑体"/>
              <w:b w:val="0"/>
              <w:bCs w:val="0"/>
              <w:sz w:val="24"/>
              <w:szCs w:val="24"/>
            </w:rPr>
            <w:instrText xml:space="preserve"> HYPERLINK \l _Toc8995 </w:instrText>
          </w:r>
          <w:r>
            <w:rPr>
              <w:rFonts w:eastAsia="黑体"/>
              <w:b w:val="0"/>
              <w:bCs w:val="0"/>
              <w:sz w:val="24"/>
              <w:szCs w:val="24"/>
            </w:rPr>
            <w:fldChar w:fldCharType="separate"/>
          </w:r>
          <w:r>
            <w:rPr>
              <w:b w:val="0"/>
              <w:bCs w:val="0"/>
              <w:sz w:val="24"/>
              <w:szCs w:val="24"/>
            </w:rPr>
            <w:t>（一） 任务来源</w:t>
          </w:r>
          <w:r>
            <w:rPr>
              <w:b w:val="0"/>
              <w:bCs w:val="0"/>
              <w:sz w:val="24"/>
              <w:szCs w:val="24"/>
            </w:rPr>
            <w:tab/>
          </w:r>
          <w:r>
            <w:rPr>
              <w:b w:val="0"/>
              <w:bCs w:val="0"/>
              <w:sz w:val="24"/>
              <w:szCs w:val="24"/>
            </w:rPr>
            <w:fldChar w:fldCharType="begin"/>
          </w:r>
          <w:r>
            <w:rPr>
              <w:b w:val="0"/>
              <w:bCs w:val="0"/>
              <w:sz w:val="24"/>
              <w:szCs w:val="24"/>
            </w:rPr>
            <w:instrText xml:space="preserve"> PAGEREF _Toc8995 \h </w:instrText>
          </w:r>
          <w:r>
            <w:rPr>
              <w:b w:val="0"/>
              <w:bCs w:val="0"/>
              <w:sz w:val="24"/>
              <w:szCs w:val="24"/>
            </w:rPr>
            <w:fldChar w:fldCharType="separate"/>
          </w:r>
          <w:r>
            <w:rPr>
              <w:b w:val="0"/>
              <w:bCs w:val="0"/>
              <w:sz w:val="24"/>
              <w:szCs w:val="24"/>
            </w:rPr>
            <w:t>1</w:t>
          </w:r>
          <w:r>
            <w:rPr>
              <w:b w:val="0"/>
              <w:bCs w:val="0"/>
              <w:sz w:val="24"/>
              <w:szCs w:val="24"/>
            </w:rPr>
            <w:fldChar w:fldCharType="end"/>
          </w:r>
          <w:r>
            <w:rPr>
              <w:rFonts w:eastAsia="黑体"/>
              <w:b w:val="0"/>
              <w:bCs w:val="0"/>
              <w:sz w:val="24"/>
              <w:szCs w:val="24"/>
            </w:rPr>
            <w:fldChar w:fldCharType="end"/>
          </w:r>
        </w:p>
        <w:p>
          <w:pPr>
            <w:pStyle w:val="128"/>
            <w:keepNext w:val="0"/>
            <w:keepLines w:val="0"/>
            <w:pageBreakBefore w:val="0"/>
            <w:tabs>
              <w:tab w:val="right" w:leader="dot" w:pos="8306"/>
            </w:tabs>
            <w:kinsoku/>
            <w:wordWrap/>
            <w:overflowPunct/>
            <w:topLinePunct w:val="0"/>
            <w:autoSpaceDE/>
            <w:autoSpaceDN/>
            <w:bidi w:val="0"/>
            <w:adjustRightInd/>
            <w:snapToGrid/>
            <w:spacing w:line="360" w:lineRule="auto"/>
            <w:ind w:firstLine="0" w:firstLineChars="0"/>
            <w:textAlignment w:val="auto"/>
            <w:rPr>
              <w:b w:val="0"/>
              <w:bCs w:val="0"/>
              <w:sz w:val="24"/>
              <w:szCs w:val="24"/>
            </w:rPr>
          </w:pPr>
          <w:r>
            <w:rPr>
              <w:rFonts w:eastAsia="黑体"/>
              <w:b w:val="0"/>
              <w:bCs w:val="0"/>
              <w:sz w:val="24"/>
              <w:szCs w:val="24"/>
            </w:rPr>
            <w:fldChar w:fldCharType="begin"/>
          </w:r>
          <w:r>
            <w:rPr>
              <w:rFonts w:eastAsia="黑体"/>
              <w:b w:val="0"/>
              <w:bCs w:val="0"/>
              <w:sz w:val="24"/>
              <w:szCs w:val="24"/>
            </w:rPr>
            <w:instrText xml:space="preserve"> HYPERLINK \l _Toc29580 </w:instrText>
          </w:r>
          <w:r>
            <w:rPr>
              <w:rFonts w:eastAsia="黑体"/>
              <w:b w:val="0"/>
              <w:bCs w:val="0"/>
              <w:sz w:val="24"/>
              <w:szCs w:val="24"/>
            </w:rPr>
            <w:fldChar w:fldCharType="separate"/>
          </w:r>
          <w:r>
            <w:rPr>
              <w:b w:val="0"/>
              <w:bCs w:val="0"/>
              <w:sz w:val="24"/>
              <w:szCs w:val="24"/>
            </w:rPr>
            <w:t>（二）试验方法概况和立项目的</w:t>
          </w:r>
          <w:r>
            <w:rPr>
              <w:b w:val="0"/>
              <w:bCs w:val="0"/>
              <w:sz w:val="24"/>
              <w:szCs w:val="24"/>
            </w:rPr>
            <w:tab/>
          </w:r>
          <w:r>
            <w:rPr>
              <w:b w:val="0"/>
              <w:bCs w:val="0"/>
              <w:sz w:val="24"/>
              <w:szCs w:val="24"/>
            </w:rPr>
            <w:fldChar w:fldCharType="begin"/>
          </w:r>
          <w:r>
            <w:rPr>
              <w:b w:val="0"/>
              <w:bCs w:val="0"/>
              <w:sz w:val="24"/>
              <w:szCs w:val="24"/>
            </w:rPr>
            <w:instrText xml:space="preserve"> PAGEREF _Toc29580 \h </w:instrText>
          </w:r>
          <w:r>
            <w:rPr>
              <w:b w:val="0"/>
              <w:bCs w:val="0"/>
              <w:sz w:val="24"/>
              <w:szCs w:val="24"/>
            </w:rPr>
            <w:fldChar w:fldCharType="separate"/>
          </w:r>
          <w:r>
            <w:rPr>
              <w:b w:val="0"/>
              <w:bCs w:val="0"/>
              <w:sz w:val="24"/>
              <w:szCs w:val="24"/>
            </w:rPr>
            <w:t>1</w:t>
          </w:r>
          <w:r>
            <w:rPr>
              <w:b w:val="0"/>
              <w:bCs w:val="0"/>
              <w:sz w:val="24"/>
              <w:szCs w:val="24"/>
            </w:rPr>
            <w:fldChar w:fldCharType="end"/>
          </w:r>
          <w:r>
            <w:rPr>
              <w:rFonts w:eastAsia="黑体"/>
              <w:b w:val="0"/>
              <w:bCs w:val="0"/>
              <w:sz w:val="24"/>
              <w:szCs w:val="24"/>
            </w:rPr>
            <w:fldChar w:fldCharType="end"/>
          </w:r>
          <w:bookmarkStart w:id="24" w:name="_GoBack"/>
          <w:bookmarkEnd w:id="24"/>
        </w:p>
        <w:p>
          <w:pPr>
            <w:pStyle w:val="128"/>
            <w:keepNext w:val="0"/>
            <w:keepLines w:val="0"/>
            <w:pageBreakBefore w:val="0"/>
            <w:tabs>
              <w:tab w:val="right" w:leader="dot" w:pos="8306"/>
            </w:tabs>
            <w:kinsoku/>
            <w:wordWrap/>
            <w:overflowPunct/>
            <w:topLinePunct w:val="0"/>
            <w:autoSpaceDE/>
            <w:autoSpaceDN/>
            <w:bidi w:val="0"/>
            <w:adjustRightInd/>
            <w:snapToGrid/>
            <w:spacing w:line="360" w:lineRule="auto"/>
            <w:ind w:firstLine="0" w:firstLineChars="0"/>
            <w:textAlignment w:val="auto"/>
            <w:rPr>
              <w:b w:val="0"/>
              <w:bCs w:val="0"/>
              <w:sz w:val="24"/>
              <w:szCs w:val="24"/>
            </w:rPr>
          </w:pPr>
          <w:r>
            <w:rPr>
              <w:rFonts w:eastAsia="黑体"/>
              <w:b w:val="0"/>
              <w:bCs w:val="0"/>
              <w:sz w:val="24"/>
              <w:szCs w:val="24"/>
            </w:rPr>
            <w:fldChar w:fldCharType="begin"/>
          </w:r>
          <w:r>
            <w:rPr>
              <w:rFonts w:eastAsia="黑体"/>
              <w:b w:val="0"/>
              <w:bCs w:val="0"/>
              <w:sz w:val="24"/>
              <w:szCs w:val="24"/>
            </w:rPr>
            <w:instrText xml:space="preserve"> HYPERLINK \l _Toc629 </w:instrText>
          </w:r>
          <w:r>
            <w:rPr>
              <w:rFonts w:eastAsia="黑体"/>
              <w:b w:val="0"/>
              <w:bCs w:val="0"/>
              <w:sz w:val="24"/>
              <w:szCs w:val="24"/>
            </w:rPr>
            <w:fldChar w:fldCharType="separate"/>
          </w:r>
          <w:r>
            <w:rPr>
              <w:b w:val="0"/>
              <w:bCs w:val="0"/>
              <w:sz w:val="24"/>
              <w:szCs w:val="24"/>
            </w:rPr>
            <w:t>（三）主要参加单位和工作组成员及其工作</w:t>
          </w:r>
          <w:r>
            <w:rPr>
              <w:b w:val="0"/>
              <w:bCs w:val="0"/>
              <w:sz w:val="24"/>
              <w:szCs w:val="24"/>
            </w:rPr>
            <w:tab/>
          </w:r>
          <w:r>
            <w:rPr>
              <w:b w:val="0"/>
              <w:bCs w:val="0"/>
              <w:sz w:val="24"/>
              <w:szCs w:val="24"/>
            </w:rPr>
            <w:fldChar w:fldCharType="begin"/>
          </w:r>
          <w:r>
            <w:rPr>
              <w:b w:val="0"/>
              <w:bCs w:val="0"/>
              <w:sz w:val="24"/>
              <w:szCs w:val="24"/>
            </w:rPr>
            <w:instrText xml:space="preserve"> PAGEREF _Toc629 \h </w:instrText>
          </w:r>
          <w:r>
            <w:rPr>
              <w:b w:val="0"/>
              <w:bCs w:val="0"/>
              <w:sz w:val="24"/>
              <w:szCs w:val="24"/>
            </w:rPr>
            <w:fldChar w:fldCharType="separate"/>
          </w:r>
          <w:r>
            <w:rPr>
              <w:b w:val="0"/>
              <w:bCs w:val="0"/>
              <w:sz w:val="24"/>
              <w:szCs w:val="24"/>
            </w:rPr>
            <w:t>3</w:t>
          </w:r>
          <w:r>
            <w:rPr>
              <w:b w:val="0"/>
              <w:bCs w:val="0"/>
              <w:sz w:val="24"/>
              <w:szCs w:val="24"/>
            </w:rPr>
            <w:fldChar w:fldCharType="end"/>
          </w:r>
          <w:r>
            <w:rPr>
              <w:rFonts w:eastAsia="黑体"/>
              <w:b w:val="0"/>
              <w:bCs w:val="0"/>
              <w:sz w:val="24"/>
              <w:szCs w:val="24"/>
            </w:rPr>
            <w:fldChar w:fldCharType="end"/>
          </w:r>
        </w:p>
        <w:p>
          <w:pPr>
            <w:pStyle w:val="128"/>
            <w:keepNext w:val="0"/>
            <w:keepLines w:val="0"/>
            <w:pageBreakBefore w:val="0"/>
            <w:tabs>
              <w:tab w:val="right" w:leader="dot" w:pos="8306"/>
            </w:tabs>
            <w:kinsoku/>
            <w:wordWrap/>
            <w:overflowPunct/>
            <w:topLinePunct w:val="0"/>
            <w:autoSpaceDE/>
            <w:autoSpaceDN/>
            <w:bidi w:val="0"/>
            <w:adjustRightInd/>
            <w:snapToGrid/>
            <w:spacing w:line="360" w:lineRule="auto"/>
            <w:ind w:firstLine="0" w:firstLineChars="0"/>
            <w:textAlignment w:val="auto"/>
            <w:rPr>
              <w:b w:val="0"/>
              <w:bCs w:val="0"/>
              <w:sz w:val="24"/>
              <w:szCs w:val="24"/>
            </w:rPr>
          </w:pPr>
          <w:r>
            <w:rPr>
              <w:rFonts w:eastAsia="黑体"/>
              <w:b w:val="0"/>
              <w:bCs w:val="0"/>
              <w:sz w:val="24"/>
              <w:szCs w:val="24"/>
            </w:rPr>
            <w:fldChar w:fldCharType="begin"/>
          </w:r>
          <w:r>
            <w:rPr>
              <w:rFonts w:eastAsia="黑体"/>
              <w:b w:val="0"/>
              <w:bCs w:val="0"/>
              <w:sz w:val="24"/>
              <w:szCs w:val="24"/>
            </w:rPr>
            <w:instrText xml:space="preserve"> HYPERLINK \l _Toc11201 </w:instrText>
          </w:r>
          <w:r>
            <w:rPr>
              <w:rFonts w:eastAsia="黑体"/>
              <w:b w:val="0"/>
              <w:bCs w:val="0"/>
              <w:sz w:val="24"/>
              <w:szCs w:val="24"/>
            </w:rPr>
            <w:fldChar w:fldCharType="separate"/>
          </w:r>
          <w:r>
            <w:rPr>
              <w:b w:val="0"/>
              <w:bCs w:val="0"/>
              <w:sz w:val="24"/>
              <w:szCs w:val="24"/>
            </w:rPr>
            <w:t>（四）主要工作过程</w:t>
          </w:r>
          <w:r>
            <w:rPr>
              <w:b w:val="0"/>
              <w:bCs w:val="0"/>
              <w:sz w:val="24"/>
              <w:szCs w:val="24"/>
            </w:rPr>
            <w:tab/>
          </w:r>
          <w:r>
            <w:rPr>
              <w:b w:val="0"/>
              <w:bCs w:val="0"/>
              <w:sz w:val="24"/>
              <w:szCs w:val="24"/>
            </w:rPr>
            <w:fldChar w:fldCharType="begin"/>
          </w:r>
          <w:r>
            <w:rPr>
              <w:b w:val="0"/>
              <w:bCs w:val="0"/>
              <w:sz w:val="24"/>
              <w:szCs w:val="24"/>
            </w:rPr>
            <w:instrText xml:space="preserve"> PAGEREF _Toc11201 \h </w:instrText>
          </w:r>
          <w:r>
            <w:rPr>
              <w:b w:val="0"/>
              <w:bCs w:val="0"/>
              <w:sz w:val="24"/>
              <w:szCs w:val="24"/>
            </w:rPr>
            <w:fldChar w:fldCharType="separate"/>
          </w:r>
          <w:r>
            <w:rPr>
              <w:b w:val="0"/>
              <w:bCs w:val="0"/>
              <w:sz w:val="24"/>
              <w:szCs w:val="24"/>
            </w:rPr>
            <w:t>4</w:t>
          </w:r>
          <w:r>
            <w:rPr>
              <w:b w:val="0"/>
              <w:bCs w:val="0"/>
              <w:sz w:val="24"/>
              <w:szCs w:val="24"/>
            </w:rPr>
            <w:fldChar w:fldCharType="end"/>
          </w:r>
          <w:r>
            <w:rPr>
              <w:rFonts w:eastAsia="黑体"/>
              <w:b w:val="0"/>
              <w:bCs w:val="0"/>
              <w:sz w:val="24"/>
              <w:szCs w:val="24"/>
            </w:rPr>
            <w:fldChar w:fldCharType="end"/>
          </w:r>
        </w:p>
        <w:p>
          <w:pPr>
            <w:pStyle w:val="127"/>
            <w:keepNext w:val="0"/>
            <w:keepLines w:val="0"/>
            <w:pageBreakBefore w:val="0"/>
            <w:tabs>
              <w:tab w:val="right" w:leader="dot" w:pos="8306"/>
            </w:tabs>
            <w:kinsoku/>
            <w:wordWrap/>
            <w:overflowPunct/>
            <w:topLinePunct w:val="0"/>
            <w:autoSpaceDE/>
            <w:autoSpaceDN/>
            <w:bidi w:val="0"/>
            <w:adjustRightInd/>
            <w:snapToGrid/>
            <w:spacing w:line="360" w:lineRule="auto"/>
            <w:ind w:firstLine="0" w:firstLineChars="0"/>
            <w:textAlignment w:val="auto"/>
            <w:rPr>
              <w:b w:val="0"/>
              <w:bCs w:val="0"/>
              <w:sz w:val="24"/>
              <w:szCs w:val="24"/>
            </w:rPr>
          </w:pPr>
          <w:r>
            <w:rPr>
              <w:rFonts w:eastAsia="黑体"/>
              <w:b w:val="0"/>
              <w:bCs w:val="0"/>
              <w:sz w:val="24"/>
              <w:szCs w:val="24"/>
            </w:rPr>
            <w:fldChar w:fldCharType="begin"/>
          </w:r>
          <w:r>
            <w:rPr>
              <w:rFonts w:eastAsia="黑体"/>
              <w:b w:val="0"/>
              <w:bCs w:val="0"/>
              <w:sz w:val="24"/>
              <w:szCs w:val="24"/>
            </w:rPr>
            <w:instrText xml:space="preserve"> HYPERLINK \l _Toc27255 </w:instrText>
          </w:r>
          <w:r>
            <w:rPr>
              <w:rFonts w:eastAsia="黑体"/>
              <w:b w:val="0"/>
              <w:bCs w:val="0"/>
              <w:sz w:val="24"/>
              <w:szCs w:val="24"/>
            </w:rPr>
            <w:fldChar w:fldCharType="separate"/>
          </w:r>
          <w:r>
            <w:rPr>
              <w:b w:val="0"/>
              <w:bCs w:val="0"/>
              <w:sz w:val="24"/>
              <w:szCs w:val="24"/>
            </w:rPr>
            <w:t>二、标准编制原则</w:t>
          </w:r>
          <w:r>
            <w:rPr>
              <w:b w:val="0"/>
              <w:bCs w:val="0"/>
              <w:sz w:val="24"/>
              <w:szCs w:val="24"/>
            </w:rPr>
            <w:tab/>
          </w:r>
          <w:r>
            <w:rPr>
              <w:b w:val="0"/>
              <w:bCs w:val="0"/>
              <w:sz w:val="24"/>
              <w:szCs w:val="24"/>
            </w:rPr>
            <w:fldChar w:fldCharType="begin"/>
          </w:r>
          <w:r>
            <w:rPr>
              <w:b w:val="0"/>
              <w:bCs w:val="0"/>
              <w:sz w:val="24"/>
              <w:szCs w:val="24"/>
            </w:rPr>
            <w:instrText xml:space="preserve"> PAGEREF _Toc27255 \h </w:instrText>
          </w:r>
          <w:r>
            <w:rPr>
              <w:b w:val="0"/>
              <w:bCs w:val="0"/>
              <w:sz w:val="24"/>
              <w:szCs w:val="24"/>
            </w:rPr>
            <w:fldChar w:fldCharType="separate"/>
          </w:r>
          <w:r>
            <w:rPr>
              <w:b w:val="0"/>
              <w:bCs w:val="0"/>
              <w:sz w:val="24"/>
              <w:szCs w:val="24"/>
            </w:rPr>
            <w:t>7</w:t>
          </w:r>
          <w:r>
            <w:rPr>
              <w:b w:val="0"/>
              <w:bCs w:val="0"/>
              <w:sz w:val="24"/>
              <w:szCs w:val="24"/>
            </w:rPr>
            <w:fldChar w:fldCharType="end"/>
          </w:r>
          <w:r>
            <w:rPr>
              <w:rFonts w:eastAsia="黑体"/>
              <w:b w:val="0"/>
              <w:bCs w:val="0"/>
              <w:sz w:val="24"/>
              <w:szCs w:val="24"/>
            </w:rPr>
            <w:fldChar w:fldCharType="end"/>
          </w:r>
        </w:p>
        <w:p>
          <w:pPr>
            <w:pStyle w:val="127"/>
            <w:keepNext w:val="0"/>
            <w:keepLines w:val="0"/>
            <w:pageBreakBefore w:val="0"/>
            <w:tabs>
              <w:tab w:val="right" w:leader="dot" w:pos="8306"/>
            </w:tabs>
            <w:kinsoku/>
            <w:wordWrap/>
            <w:overflowPunct/>
            <w:topLinePunct w:val="0"/>
            <w:autoSpaceDE/>
            <w:autoSpaceDN/>
            <w:bidi w:val="0"/>
            <w:adjustRightInd/>
            <w:snapToGrid/>
            <w:spacing w:line="360" w:lineRule="auto"/>
            <w:ind w:firstLine="0" w:firstLineChars="0"/>
            <w:textAlignment w:val="auto"/>
            <w:rPr>
              <w:b w:val="0"/>
              <w:bCs w:val="0"/>
              <w:sz w:val="24"/>
              <w:szCs w:val="24"/>
            </w:rPr>
          </w:pPr>
          <w:r>
            <w:rPr>
              <w:rFonts w:eastAsia="黑体"/>
              <w:b w:val="0"/>
              <w:bCs w:val="0"/>
              <w:sz w:val="24"/>
              <w:szCs w:val="24"/>
            </w:rPr>
            <w:fldChar w:fldCharType="begin"/>
          </w:r>
          <w:r>
            <w:rPr>
              <w:rFonts w:eastAsia="黑体"/>
              <w:b w:val="0"/>
              <w:bCs w:val="0"/>
              <w:sz w:val="24"/>
              <w:szCs w:val="24"/>
            </w:rPr>
            <w:instrText xml:space="preserve"> HYPERLINK \l _Toc2168 </w:instrText>
          </w:r>
          <w:r>
            <w:rPr>
              <w:rFonts w:eastAsia="黑体"/>
              <w:b w:val="0"/>
              <w:bCs w:val="0"/>
              <w:sz w:val="24"/>
              <w:szCs w:val="24"/>
            </w:rPr>
            <w:fldChar w:fldCharType="separate"/>
          </w:r>
          <w:r>
            <w:rPr>
              <w:b w:val="0"/>
              <w:bCs w:val="0"/>
              <w:sz w:val="24"/>
              <w:szCs w:val="24"/>
            </w:rPr>
            <w:t>三、标准内容的确定依据及主要试验和验证情况分析</w:t>
          </w:r>
          <w:r>
            <w:rPr>
              <w:b w:val="0"/>
              <w:bCs w:val="0"/>
              <w:sz w:val="24"/>
              <w:szCs w:val="24"/>
            </w:rPr>
            <w:tab/>
          </w:r>
          <w:r>
            <w:rPr>
              <w:b w:val="0"/>
              <w:bCs w:val="0"/>
              <w:sz w:val="24"/>
              <w:szCs w:val="24"/>
            </w:rPr>
            <w:fldChar w:fldCharType="begin"/>
          </w:r>
          <w:r>
            <w:rPr>
              <w:b w:val="0"/>
              <w:bCs w:val="0"/>
              <w:sz w:val="24"/>
              <w:szCs w:val="24"/>
            </w:rPr>
            <w:instrText xml:space="preserve"> PAGEREF _Toc2168 \h </w:instrText>
          </w:r>
          <w:r>
            <w:rPr>
              <w:b w:val="0"/>
              <w:bCs w:val="0"/>
              <w:sz w:val="24"/>
              <w:szCs w:val="24"/>
            </w:rPr>
            <w:fldChar w:fldCharType="separate"/>
          </w:r>
          <w:r>
            <w:rPr>
              <w:b w:val="0"/>
              <w:bCs w:val="0"/>
              <w:sz w:val="24"/>
              <w:szCs w:val="24"/>
            </w:rPr>
            <w:t>7</w:t>
          </w:r>
          <w:r>
            <w:rPr>
              <w:b w:val="0"/>
              <w:bCs w:val="0"/>
              <w:sz w:val="24"/>
              <w:szCs w:val="24"/>
            </w:rPr>
            <w:fldChar w:fldCharType="end"/>
          </w:r>
          <w:r>
            <w:rPr>
              <w:rFonts w:eastAsia="黑体"/>
              <w:b w:val="0"/>
              <w:bCs w:val="0"/>
              <w:sz w:val="24"/>
              <w:szCs w:val="24"/>
            </w:rPr>
            <w:fldChar w:fldCharType="end"/>
          </w:r>
        </w:p>
        <w:p>
          <w:pPr>
            <w:pStyle w:val="128"/>
            <w:keepNext w:val="0"/>
            <w:keepLines w:val="0"/>
            <w:pageBreakBefore w:val="0"/>
            <w:tabs>
              <w:tab w:val="right" w:leader="dot" w:pos="8306"/>
            </w:tabs>
            <w:kinsoku/>
            <w:wordWrap/>
            <w:overflowPunct/>
            <w:topLinePunct w:val="0"/>
            <w:autoSpaceDE/>
            <w:autoSpaceDN/>
            <w:bidi w:val="0"/>
            <w:adjustRightInd/>
            <w:snapToGrid/>
            <w:spacing w:line="360" w:lineRule="auto"/>
            <w:ind w:firstLine="0" w:firstLineChars="0"/>
            <w:textAlignment w:val="auto"/>
            <w:rPr>
              <w:b w:val="0"/>
              <w:bCs w:val="0"/>
              <w:sz w:val="24"/>
              <w:szCs w:val="24"/>
            </w:rPr>
          </w:pPr>
          <w:r>
            <w:rPr>
              <w:rFonts w:eastAsia="黑体"/>
              <w:b w:val="0"/>
              <w:bCs w:val="0"/>
              <w:sz w:val="24"/>
              <w:szCs w:val="24"/>
            </w:rPr>
            <w:fldChar w:fldCharType="begin"/>
          </w:r>
          <w:r>
            <w:rPr>
              <w:rFonts w:eastAsia="黑体"/>
              <w:b w:val="0"/>
              <w:bCs w:val="0"/>
              <w:sz w:val="24"/>
              <w:szCs w:val="24"/>
            </w:rPr>
            <w:instrText xml:space="preserve"> HYPERLINK \l _Toc16955 </w:instrText>
          </w:r>
          <w:r>
            <w:rPr>
              <w:rFonts w:eastAsia="黑体"/>
              <w:b w:val="0"/>
              <w:bCs w:val="0"/>
              <w:sz w:val="24"/>
              <w:szCs w:val="24"/>
            </w:rPr>
            <w:fldChar w:fldCharType="separate"/>
          </w:r>
          <w:r>
            <w:rPr>
              <w:b w:val="0"/>
              <w:bCs w:val="0"/>
              <w:sz w:val="24"/>
              <w:szCs w:val="24"/>
            </w:rPr>
            <w:t>（一）条件试验结果与讨论</w:t>
          </w:r>
          <w:r>
            <w:rPr>
              <w:b w:val="0"/>
              <w:bCs w:val="0"/>
              <w:sz w:val="24"/>
              <w:szCs w:val="24"/>
            </w:rPr>
            <w:tab/>
          </w:r>
          <w:r>
            <w:rPr>
              <w:b w:val="0"/>
              <w:bCs w:val="0"/>
              <w:sz w:val="24"/>
              <w:szCs w:val="24"/>
            </w:rPr>
            <w:fldChar w:fldCharType="begin"/>
          </w:r>
          <w:r>
            <w:rPr>
              <w:b w:val="0"/>
              <w:bCs w:val="0"/>
              <w:sz w:val="24"/>
              <w:szCs w:val="24"/>
            </w:rPr>
            <w:instrText xml:space="preserve"> PAGEREF _Toc16955 \h </w:instrText>
          </w:r>
          <w:r>
            <w:rPr>
              <w:b w:val="0"/>
              <w:bCs w:val="0"/>
              <w:sz w:val="24"/>
              <w:szCs w:val="24"/>
            </w:rPr>
            <w:fldChar w:fldCharType="separate"/>
          </w:r>
          <w:r>
            <w:rPr>
              <w:b w:val="0"/>
              <w:bCs w:val="0"/>
              <w:sz w:val="24"/>
              <w:szCs w:val="24"/>
            </w:rPr>
            <w:t>7</w:t>
          </w:r>
          <w:r>
            <w:rPr>
              <w:b w:val="0"/>
              <w:bCs w:val="0"/>
              <w:sz w:val="24"/>
              <w:szCs w:val="24"/>
            </w:rPr>
            <w:fldChar w:fldCharType="end"/>
          </w:r>
          <w:r>
            <w:rPr>
              <w:rFonts w:eastAsia="黑体"/>
              <w:b w:val="0"/>
              <w:bCs w:val="0"/>
              <w:sz w:val="24"/>
              <w:szCs w:val="24"/>
            </w:rPr>
            <w:fldChar w:fldCharType="end"/>
          </w:r>
        </w:p>
        <w:p>
          <w:pPr>
            <w:pStyle w:val="127"/>
            <w:keepNext w:val="0"/>
            <w:keepLines w:val="0"/>
            <w:pageBreakBefore w:val="0"/>
            <w:tabs>
              <w:tab w:val="right" w:leader="dot" w:pos="8306"/>
            </w:tabs>
            <w:kinsoku/>
            <w:wordWrap/>
            <w:overflowPunct/>
            <w:topLinePunct w:val="0"/>
            <w:autoSpaceDE/>
            <w:autoSpaceDN/>
            <w:bidi w:val="0"/>
            <w:adjustRightInd/>
            <w:snapToGrid/>
            <w:spacing w:line="360" w:lineRule="auto"/>
            <w:ind w:firstLine="0" w:firstLineChars="0"/>
            <w:textAlignment w:val="auto"/>
            <w:rPr>
              <w:b w:val="0"/>
              <w:bCs w:val="0"/>
              <w:sz w:val="24"/>
              <w:szCs w:val="24"/>
            </w:rPr>
          </w:pPr>
          <w:r>
            <w:rPr>
              <w:rFonts w:eastAsia="黑体"/>
              <w:b w:val="0"/>
              <w:bCs w:val="0"/>
              <w:sz w:val="24"/>
              <w:szCs w:val="24"/>
            </w:rPr>
            <w:fldChar w:fldCharType="begin"/>
          </w:r>
          <w:r>
            <w:rPr>
              <w:rFonts w:eastAsia="黑体"/>
              <w:b w:val="0"/>
              <w:bCs w:val="0"/>
              <w:sz w:val="24"/>
              <w:szCs w:val="24"/>
            </w:rPr>
            <w:instrText xml:space="preserve"> HYPERLINK \l _Toc13068 </w:instrText>
          </w:r>
          <w:r>
            <w:rPr>
              <w:rFonts w:eastAsia="黑体"/>
              <w:b w:val="0"/>
              <w:bCs w:val="0"/>
              <w:sz w:val="24"/>
              <w:szCs w:val="24"/>
            </w:rPr>
            <w:fldChar w:fldCharType="separate"/>
          </w:r>
          <w:r>
            <w:rPr>
              <w:rFonts w:hint="eastAsia"/>
              <w:b w:val="0"/>
              <w:bCs w:val="0"/>
              <w:sz w:val="24"/>
              <w:szCs w:val="24"/>
            </w:rPr>
            <w:t xml:space="preserve">四、 </w:t>
          </w:r>
          <w:r>
            <w:rPr>
              <w:b w:val="0"/>
              <w:bCs w:val="0"/>
              <w:sz w:val="24"/>
              <w:szCs w:val="24"/>
            </w:rPr>
            <w:t>标准中涉及的专利情况</w:t>
          </w:r>
          <w:r>
            <w:rPr>
              <w:b w:val="0"/>
              <w:bCs w:val="0"/>
              <w:sz w:val="24"/>
              <w:szCs w:val="24"/>
            </w:rPr>
            <w:tab/>
          </w:r>
          <w:r>
            <w:rPr>
              <w:b w:val="0"/>
              <w:bCs w:val="0"/>
              <w:sz w:val="24"/>
              <w:szCs w:val="24"/>
            </w:rPr>
            <w:fldChar w:fldCharType="begin"/>
          </w:r>
          <w:r>
            <w:rPr>
              <w:b w:val="0"/>
              <w:bCs w:val="0"/>
              <w:sz w:val="24"/>
              <w:szCs w:val="24"/>
            </w:rPr>
            <w:instrText xml:space="preserve"> PAGEREF _Toc13068 \h </w:instrText>
          </w:r>
          <w:r>
            <w:rPr>
              <w:b w:val="0"/>
              <w:bCs w:val="0"/>
              <w:sz w:val="24"/>
              <w:szCs w:val="24"/>
            </w:rPr>
            <w:fldChar w:fldCharType="separate"/>
          </w:r>
          <w:r>
            <w:rPr>
              <w:b w:val="0"/>
              <w:bCs w:val="0"/>
              <w:sz w:val="24"/>
              <w:szCs w:val="24"/>
            </w:rPr>
            <w:t>18</w:t>
          </w:r>
          <w:r>
            <w:rPr>
              <w:b w:val="0"/>
              <w:bCs w:val="0"/>
              <w:sz w:val="24"/>
              <w:szCs w:val="24"/>
            </w:rPr>
            <w:fldChar w:fldCharType="end"/>
          </w:r>
          <w:r>
            <w:rPr>
              <w:rFonts w:eastAsia="黑体"/>
              <w:b w:val="0"/>
              <w:bCs w:val="0"/>
              <w:sz w:val="24"/>
              <w:szCs w:val="24"/>
            </w:rPr>
            <w:fldChar w:fldCharType="end"/>
          </w:r>
        </w:p>
        <w:p>
          <w:pPr>
            <w:pStyle w:val="127"/>
            <w:keepNext w:val="0"/>
            <w:keepLines w:val="0"/>
            <w:pageBreakBefore w:val="0"/>
            <w:tabs>
              <w:tab w:val="right" w:leader="dot" w:pos="8306"/>
            </w:tabs>
            <w:kinsoku/>
            <w:wordWrap/>
            <w:overflowPunct/>
            <w:topLinePunct w:val="0"/>
            <w:autoSpaceDE/>
            <w:autoSpaceDN/>
            <w:bidi w:val="0"/>
            <w:adjustRightInd/>
            <w:snapToGrid/>
            <w:spacing w:line="360" w:lineRule="auto"/>
            <w:ind w:firstLine="0" w:firstLineChars="0"/>
            <w:textAlignment w:val="auto"/>
            <w:rPr>
              <w:b w:val="0"/>
              <w:bCs w:val="0"/>
              <w:sz w:val="24"/>
              <w:szCs w:val="24"/>
            </w:rPr>
          </w:pPr>
          <w:r>
            <w:rPr>
              <w:rFonts w:eastAsia="黑体"/>
              <w:b w:val="0"/>
              <w:bCs w:val="0"/>
              <w:sz w:val="24"/>
              <w:szCs w:val="24"/>
            </w:rPr>
            <w:fldChar w:fldCharType="begin"/>
          </w:r>
          <w:r>
            <w:rPr>
              <w:rFonts w:eastAsia="黑体"/>
              <w:b w:val="0"/>
              <w:bCs w:val="0"/>
              <w:sz w:val="24"/>
              <w:szCs w:val="24"/>
            </w:rPr>
            <w:instrText xml:space="preserve"> HYPERLINK \l _Toc14844 </w:instrText>
          </w:r>
          <w:r>
            <w:rPr>
              <w:rFonts w:eastAsia="黑体"/>
              <w:b w:val="0"/>
              <w:bCs w:val="0"/>
              <w:sz w:val="24"/>
              <w:szCs w:val="24"/>
            </w:rPr>
            <w:fldChar w:fldCharType="separate"/>
          </w:r>
          <w:r>
            <w:rPr>
              <w:rFonts w:hint="eastAsia"/>
              <w:b w:val="0"/>
              <w:bCs w:val="0"/>
              <w:sz w:val="24"/>
              <w:szCs w:val="24"/>
            </w:rPr>
            <w:t xml:space="preserve">五、 </w:t>
          </w:r>
          <w:r>
            <w:rPr>
              <w:b w:val="0"/>
              <w:bCs w:val="0"/>
              <w:sz w:val="24"/>
              <w:szCs w:val="24"/>
            </w:rPr>
            <w:t>标准预期达到的社会效益等情况</w:t>
          </w:r>
          <w:r>
            <w:rPr>
              <w:b w:val="0"/>
              <w:bCs w:val="0"/>
              <w:sz w:val="24"/>
              <w:szCs w:val="24"/>
            </w:rPr>
            <w:tab/>
          </w:r>
          <w:r>
            <w:rPr>
              <w:b w:val="0"/>
              <w:bCs w:val="0"/>
              <w:sz w:val="24"/>
              <w:szCs w:val="24"/>
            </w:rPr>
            <w:fldChar w:fldCharType="begin"/>
          </w:r>
          <w:r>
            <w:rPr>
              <w:b w:val="0"/>
              <w:bCs w:val="0"/>
              <w:sz w:val="24"/>
              <w:szCs w:val="24"/>
            </w:rPr>
            <w:instrText xml:space="preserve"> PAGEREF _Toc14844 \h </w:instrText>
          </w:r>
          <w:r>
            <w:rPr>
              <w:b w:val="0"/>
              <w:bCs w:val="0"/>
              <w:sz w:val="24"/>
              <w:szCs w:val="24"/>
            </w:rPr>
            <w:fldChar w:fldCharType="separate"/>
          </w:r>
          <w:r>
            <w:rPr>
              <w:b w:val="0"/>
              <w:bCs w:val="0"/>
              <w:sz w:val="24"/>
              <w:szCs w:val="24"/>
            </w:rPr>
            <w:t>18</w:t>
          </w:r>
          <w:r>
            <w:rPr>
              <w:b w:val="0"/>
              <w:bCs w:val="0"/>
              <w:sz w:val="24"/>
              <w:szCs w:val="24"/>
            </w:rPr>
            <w:fldChar w:fldCharType="end"/>
          </w:r>
          <w:r>
            <w:rPr>
              <w:rFonts w:eastAsia="黑体"/>
              <w:b w:val="0"/>
              <w:bCs w:val="0"/>
              <w:sz w:val="24"/>
              <w:szCs w:val="24"/>
            </w:rPr>
            <w:fldChar w:fldCharType="end"/>
          </w:r>
        </w:p>
        <w:p>
          <w:pPr>
            <w:pStyle w:val="128"/>
            <w:keepNext w:val="0"/>
            <w:keepLines w:val="0"/>
            <w:pageBreakBefore w:val="0"/>
            <w:tabs>
              <w:tab w:val="right" w:leader="dot" w:pos="8306"/>
            </w:tabs>
            <w:kinsoku/>
            <w:wordWrap/>
            <w:overflowPunct/>
            <w:topLinePunct w:val="0"/>
            <w:autoSpaceDE/>
            <w:autoSpaceDN/>
            <w:bidi w:val="0"/>
            <w:adjustRightInd/>
            <w:snapToGrid/>
            <w:spacing w:line="360" w:lineRule="auto"/>
            <w:ind w:firstLine="0" w:firstLineChars="0"/>
            <w:textAlignment w:val="auto"/>
            <w:rPr>
              <w:b w:val="0"/>
              <w:bCs w:val="0"/>
              <w:sz w:val="24"/>
              <w:szCs w:val="24"/>
            </w:rPr>
          </w:pPr>
          <w:r>
            <w:rPr>
              <w:rFonts w:eastAsia="黑体"/>
              <w:b w:val="0"/>
              <w:bCs w:val="0"/>
              <w:sz w:val="24"/>
              <w:szCs w:val="24"/>
            </w:rPr>
            <w:fldChar w:fldCharType="begin"/>
          </w:r>
          <w:r>
            <w:rPr>
              <w:rFonts w:eastAsia="黑体"/>
              <w:b w:val="0"/>
              <w:bCs w:val="0"/>
              <w:sz w:val="24"/>
              <w:szCs w:val="24"/>
            </w:rPr>
            <w:instrText xml:space="preserve"> HYPERLINK \l _Toc15856 </w:instrText>
          </w:r>
          <w:r>
            <w:rPr>
              <w:rFonts w:eastAsia="黑体"/>
              <w:b w:val="0"/>
              <w:bCs w:val="0"/>
              <w:sz w:val="24"/>
              <w:szCs w:val="24"/>
            </w:rPr>
            <w:fldChar w:fldCharType="separate"/>
          </w:r>
          <w:r>
            <w:rPr>
              <w:b w:val="0"/>
              <w:bCs w:val="0"/>
              <w:sz w:val="24"/>
              <w:szCs w:val="24"/>
            </w:rPr>
            <w:t>（一）标准编写的目的和意义</w:t>
          </w:r>
          <w:r>
            <w:rPr>
              <w:b w:val="0"/>
              <w:bCs w:val="0"/>
              <w:sz w:val="24"/>
              <w:szCs w:val="24"/>
            </w:rPr>
            <w:tab/>
          </w:r>
          <w:r>
            <w:rPr>
              <w:b w:val="0"/>
              <w:bCs w:val="0"/>
              <w:sz w:val="24"/>
              <w:szCs w:val="24"/>
            </w:rPr>
            <w:fldChar w:fldCharType="begin"/>
          </w:r>
          <w:r>
            <w:rPr>
              <w:b w:val="0"/>
              <w:bCs w:val="0"/>
              <w:sz w:val="24"/>
              <w:szCs w:val="24"/>
            </w:rPr>
            <w:instrText xml:space="preserve"> PAGEREF _Toc15856 \h </w:instrText>
          </w:r>
          <w:r>
            <w:rPr>
              <w:b w:val="0"/>
              <w:bCs w:val="0"/>
              <w:sz w:val="24"/>
              <w:szCs w:val="24"/>
            </w:rPr>
            <w:fldChar w:fldCharType="separate"/>
          </w:r>
          <w:r>
            <w:rPr>
              <w:b w:val="0"/>
              <w:bCs w:val="0"/>
              <w:sz w:val="24"/>
              <w:szCs w:val="24"/>
            </w:rPr>
            <w:t>18</w:t>
          </w:r>
          <w:r>
            <w:rPr>
              <w:b w:val="0"/>
              <w:bCs w:val="0"/>
              <w:sz w:val="24"/>
              <w:szCs w:val="24"/>
            </w:rPr>
            <w:fldChar w:fldCharType="end"/>
          </w:r>
          <w:r>
            <w:rPr>
              <w:rFonts w:eastAsia="黑体"/>
              <w:b w:val="0"/>
              <w:bCs w:val="0"/>
              <w:sz w:val="24"/>
              <w:szCs w:val="24"/>
            </w:rPr>
            <w:fldChar w:fldCharType="end"/>
          </w:r>
        </w:p>
        <w:p>
          <w:pPr>
            <w:pStyle w:val="128"/>
            <w:keepNext w:val="0"/>
            <w:keepLines w:val="0"/>
            <w:pageBreakBefore w:val="0"/>
            <w:tabs>
              <w:tab w:val="right" w:leader="dot" w:pos="8306"/>
            </w:tabs>
            <w:kinsoku/>
            <w:wordWrap/>
            <w:overflowPunct/>
            <w:topLinePunct w:val="0"/>
            <w:autoSpaceDE/>
            <w:autoSpaceDN/>
            <w:bidi w:val="0"/>
            <w:adjustRightInd/>
            <w:snapToGrid/>
            <w:spacing w:line="360" w:lineRule="auto"/>
            <w:ind w:firstLine="0" w:firstLineChars="0"/>
            <w:textAlignment w:val="auto"/>
            <w:rPr>
              <w:b w:val="0"/>
              <w:bCs w:val="0"/>
              <w:sz w:val="24"/>
              <w:szCs w:val="24"/>
            </w:rPr>
          </w:pPr>
          <w:r>
            <w:rPr>
              <w:rFonts w:eastAsia="黑体"/>
              <w:b w:val="0"/>
              <w:bCs w:val="0"/>
              <w:sz w:val="24"/>
              <w:szCs w:val="24"/>
            </w:rPr>
            <w:fldChar w:fldCharType="begin"/>
          </w:r>
          <w:r>
            <w:rPr>
              <w:rFonts w:eastAsia="黑体"/>
              <w:b w:val="0"/>
              <w:bCs w:val="0"/>
              <w:sz w:val="24"/>
              <w:szCs w:val="24"/>
            </w:rPr>
            <w:instrText xml:space="preserve"> HYPERLINK \l _Toc14587 </w:instrText>
          </w:r>
          <w:r>
            <w:rPr>
              <w:rFonts w:eastAsia="黑体"/>
              <w:b w:val="0"/>
              <w:bCs w:val="0"/>
              <w:sz w:val="24"/>
              <w:szCs w:val="24"/>
            </w:rPr>
            <w:fldChar w:fldCharType="separate"/>
          </w:r>
          <w:r>
            <w:rPr>
              <w:rFonts w:hint="eastAsia"/>
              <w:b w:val="0"/>
              <w:bCs w:val="0"/>
              <w:sz w:val="24"/>
              <w:szCs w:val="24"/>
            </w:rPr>
            <w:t xml:space="preserve">（二） </w:t>
          </w:r>
          <w:r>
            <w:rPr>
              <w:b w:val="0"/>
              <w:bCs w:val="0"/>
              <w:sz w:val="24"/>
              <w:szCs w:val="24"/>
            </w:rPr>
            <w:t>标准预期的作用和效益</w:t>
          </w:r>
          <w:r>
            <w:rPr>
              <w:b w:val="0"/>
              <w:bCs w:val="0"/>
              <w:sz w:val="24"/>
              <w:szCs w:val="24"/>
            </w:rPr>
            <w:tab/>
          </w:r>
          <w:r>
            <w:rPr>
              <w:b w:val="0"/>
              <w:bCs w:val="0"/>
              <w:sz w:val="24"/>
              <w:szCs w:val="24"/>
            </w:rPr>
            <w:fldChar w:fldCharType="begin"/>
          </w:r>
          <w:r>
            <w:rPr>
              <w:b w:val="0"/>
              <w:bCs w:val="0"/>
              <w:sz w:val="24"/>
              <w:szCs w:val="24"/>
            </w:rPr>
            <w:instrText xml:space="preserve"> PAGEREF _Toc14587 \h </w:instrText>
          </w:r>
          <w:r>
            <w:rPr>
              <w:b w:val="0"/>
              <w:bCs w:val="0"/>
              <w:sz w:val="24"/>
              <w:szCs w:val="24"/>
            </w:rPr>
            <w:fldChar w:fldCharType="separate"/>
          </w:r>
          <w:r>
            <w:rPr>
              <w:b w:val="0"/>
              <w:bCs w:val="0"/>
              <w:sz w:val="24"/>
              <w:szCs w:val="24"/>
            </w:rPr>
            <w:t>19</w:t>
          </w:r>
          <w:r>
            <w:rPr>
              <w:b w:val="0"/>
              <w:bCs w:val="0"/>
              <w:sz w:val="24"/>
              <w:szCs w:val="24"/>
            </w:rPr>
            <w:fldChar w:fldCharType="end"/>
          </w:r>
          <w:r>
            <w:rPr>
              <w:rFonts w:eastAsia="黑体"/>
              <w:b w:val="0"/>
              <w:bCs w:val="0"/>
              <w:sz w:val="24"/>
              <w:szCs w:val="24"/>
            </w:rPr>
            <w:fldChar w:fldCharType="end"/>
          </w:r>
        </w:p>
        <w:p>
          <w:pPr>
            <w:pStyle w:val="127"/>
            <w:keepNext w:val="0"/>
            <w:keepLines w:val="0"/>
            <w:pageBreakBefore w:val="0"/>
            <w:tabs>
              <w:tab w:val="right" w:leader="dot" w:pos="8306"/>
            </w:tabs>
            <w:kinsoku/>
            <w:wordWrap/>
            <w:overflowPunct/>
            <w:topLinePunct w:val="0"/>
            <w:autoSpaceDE/>
            <w:autoSpaceDN/>
            <w:bidi w:val="0"/>
            <w:adjustRightInd/>
            <w:snapToGrid/>
            <w:spacing w:line="360" w:lineRule="auto"/>
            <w:ind w:firstLine="0" w:firstLineChars="0"/>
            <w:textAlignment w:val="auto"/>
            <w:rPr>
              <w:b w:val="0"/>
              <w:bCs w:val="0"/>
              <w:sz w:val="24"/>
              <w:szCs w:val="24"/>
            </w:rPr>
          </w:pPr>
          <w:r>
            <w:rPr>
              <w:rFonts w:eastAsia="黑体"/>
              <w:b w:val="0"/>
              <w:bCs w:val="0"/>
              <w:sz w:val="24"/>
              <w:szCs w:val="24"/>
            </w:rPr>
            <w:fldChar w:fldCharType="begin"/>
          </w:r>
          <w:r>
            <w:rPr>
              <w:rFonts w:eastAsia="黑体"/>
              <w:b w:val="0"/>
              <w:bCs w:val="0"/>
              <w:sz w:val="24"/>
              <w:szCs w:val="24"/>
            </w:rPr>
            <w:instrText xml:space="preserve"> HYPERLINK \l _Toc32658 </w:instrText>
          </w:r>
          <w:r>
            <w:rPr>
              <w:rFonts w:eastAsia="黑体"/>
              <w:b w:val="0"/>
              <w:bCs w:val="0"/>
              <w:sz w:val="24"/>
              <w:szCs w:val="24"/>
            </w:rPr>
            <w:fldChar w:fldCharType="separate"/>
          </w:r>
          <w:r>
            <w:rPr>
              <w:rFonts w:hint="eastAsia"/>
              <w:b w:val="0"/>
              <w:bCs w:val="0"/>
              <w:sz w:val="24"/>
              <w:szCs w:val="24"/>
            </w:rPr>
            <w:t xml:space="preserve">六、 </w:t>
          </w:r>
          <w:r>
            <w:rPr>
              <w:b w:val="0"/>
              <w:bCs w:val="0"/>
              <w:sz w:val="24"/>
              <w:szCs w:val="24"/>
            </w:rPr>
            <w:t>采用国际标准和国外先进标准的情况</w:t>
          </w:r>
          <w:r>
            <w:rPr>
              <w:b w:val="0"/>
              <w:bCs w:val="0"/>
              <w:sz w:val="24"/>
              <w:szCs w:val="24"/>
            </w:rPr>
            <w:tab/>
          </w:r>
          <w:r>
            <w:rPr>
              <w:b w:val="0"/>
              <w:bCs w:val="0"/>
              <w:sz w:val="24"/>
              <w:szCs w:val="24"/>
            </w:rPr>
            <w:fldChar w:fldCharType="begin"/>
          </w:r>
          <w:r>
            <w:rPr>
              <w:b w:val="0"/>
              <w:bCs w:val="0"/>
              <w:sz w:val="24"/>
              <w:szCs w:val="24"/>
            </w:rPr>
            <w:instrText xml:space="preserve"> PAGEREF _Toc32658 \h </w:instrText>
          </w:r>
          <w:r>
            <w:rPr>
              <w:b w:val="0"/>
              <w:bCs w:val="0"/>
              <w:sz w:val="24"/>
              <w:szCs w:val="24"/>
            </w:rPr>
            <w:fldChar w:fldCharType="separate"/>
          </w:r>
          <w:r>
            <w:rPr>
              <w:b w:val="0"/>
              <w:bCs w:val="0"/>
              <w:sz w:val="24"/>
              <w:szCs w:val="24"/>
            </w:rPr>
            <w:t>19</w:t>
          </w:r>
          <w:r>
            <w:rPr>
              <w:b w:val="0"/>
              <w:bCs w:val="0"/>
              <w:sz w:val="24"/>
              <w:szCs w:val="24"/>
            </w:rPr>
            <w:fldChar w:fldCharType="end"/>
          </w:r>
          <w:r>
            <w:rPr>
              <w:rFonts w:eastAsia="黑体"/>
              <w:b w:val="0"/>
              <w:bCs w:val="0"/>
              <w:sz w:val="24"/>
              <w:szCs w:val="24"/>
            </w:rPr>
            <w:fldChar w:fldCharType="end"/>
          </w:r>
        </w:p>
        <w:p>
          <w:pPr>
            <w:pStyle w:val="127"/>
            <w:keepNext w:val="0"/>
            <w:keepLines w:val="0"/>
            <w:pageBreakBefore w:val="0"/>
            <w:tabs>
              <w:tab w:val="right" w:leader="dot" w:pos="8306"/>
            </w:tabs>
            <w:kinsoku/>
            <w:wordWrap/>
            <w:overflowPunct/>
            <w:topLinePunct w:val="0"/>
            <w:autoSpaceDE/>
            <w:autoSpaceDN/>
            <w:bidi w:val="0"/>
            <w:adjustRightInd/>
            <w:snapToGrid/>
            <w:spacing w:line="360" w:lineRule="auto"/>
            <w:ind w:firstLine="0" w:firstLineChars="0"/>
            <w:textAlignment w:val="auto"/>
            <w:rPr>
              <w:b w:val="0"/>
              <w:bCs w:val="0"/>
              <w:sz w:val="24"/>
              <w:szCs w:val="24"/>
            </w:rPr>
          </w:pPr>
          <w:r>
            <w:rPr>
              <w:rFonts w:eastAsia="黑体"/>
              <w:b w:val="0"/>
              <w:bCs w:val="0"/>
              <w:sz w:val="24"/>
              <w:szCs w:val="24"/>
            </w:rPr>
            <w:fldChar w:fldCharType="begin"/>
          </w:r>
          <w:r>
            <w:rPr>
              <w:rFonts w:eastAsia="黑体"/>
              <w:b w:val="0"/>
              <w:bCs w:val="0"/>
              <w:sz w:val="24"/>
              <w:szCs w:val="24"/>
            </w:rPr>
            <w:instrText xml:space="preserve"> HYPERLINK \l _Toc24409 </w:instrText>
          </w:r>
          <w:r>
            <w:rPr>
              <w:rFonts w:eastAsia="黑体"/>
              <w:b w:val="0"/>
              <w:bCs w:val="0"/>
              <w:sz w:val="24"/>
              <w:szCs w:val="24"/>
            </w:rPr>
            <w:fldChar w:fldCharType="separate"/>
          </w:r>
          <w:r>
            <w:rPr>
              <w:rFonts w:hint="eastAsia"/>
              <w:b w:val="0"/>
              <w:bCs w:val="0"/>
              <w:sz w:val="24"/>
              <w:szCs w:val="24"/>
            </w:rPr>
            <w:t xml:space="preserve">七、 </w:t>
          </w:r>
          <w:r>
            <w:rPr>
              <w:b w:val="0"/>
              <w:bCs w:val="0"/>
              <w:sz w:val="24"/>
              <w:szCs w:val="24"/>
            </w:rPr>
            <w:t>与现行法律、法规、强制性国家标准及相关标准协调配套情况</w:t>
          </w:r>
          <w:r>
            <w:rPr>
              <w:b w:val="0"/>
              <w:bCs w:val="0"/>
              <w:sz w:val="24"/>
              <w:szCs w:val="24"/>
            </w:rPr>
            <w:tab/>
          </w:r>
          <w:r>
            <w:rPr>
              <w:b w:val="0"/>
              <w:bCs w:val="0"/>
              <w:sz w:val="24"/>
              <w:szCs w:val="24"/>
            </w:rPr>
            <w:fldChar w:fldCharType="begin"/>
          </w:r>
          <w:r>
            <w:rPr>
              <w:b w:val="0"/>
              <w:bCs w:val="0"/>
              <w:sz w:val="24"/>
              <w:szCs w:val="24"/>
            </w:rPr>
            <w:instrText xml:space="preserve"> PAGEREF _Toc24409 \h </w:instrText>
          </w:r>
          <w:r>
            <w:rPr>
              <w:b w:val="0"/>
              <w:bCs w:val="0"/>
              <w:sz w:val="24"/>
              <w:szCs w:val="24"/>
            </w:rPr>
            <w:fldChar w:fldCharType="separate"/>
          </w:r>
          <w:r>
            <w:rPr>
              <w:b w:val="0"/>
              <w:bCs w:val="0"/>
              <w:sz w:val="24"/>
              <w:szCs w:val="24"/>
            </w:rPr>
            <w:t>19</w:t>
          </w:r>
          <w:r>
            <w:rPr>
              <w:b w:val="0"/>
              <w:bCs w:val="0"/>
              <w:sz w:val="24"/>
              <w:szCs w:val="24"/>
            </w:rPr>
            <w:fldChar w:fldCharType="end"/>
          </w:r>
          <w:r>
            <w:rPr>
              <w:rFonts w:eastAsia="黑体"/>
              <w:b w:val="0"/>
              <w:bCs w:val="0"/>
              <w:sz w:val="24"/>
              <w:szCs w:val="24"/>
            </w:rPr>
            <w:fldChar w:fldCharType="end"/>
          </w:r>
        </w:p>
        <w:p>
          <w:pPr>
            <w:pStyle w:val="127"/>
            <w:keepNext w:val="0"/>
            <w:keepLines w:val="0"/>
            <w:pageBreakBefore w:val="0"/>
            <w:tabs>
              <w:tab w:val="right" w:leader="dot" w:pos="8306"/>
            </w:tabs>
            <w:kinsoku/>
            <w:wordWrap/>
            <w:overflowPunct/>
            <w:topLinePunct w:val="0"/>
            <w:autoSpaceDE/>
            <w:autoSpaceDN/>
            <w:bidi w:val="0"/>
            <w:adjustRightInd/>
            <w:snapToGrid/>
            <w:spacing w:line="360" w:lineRule="auto"/>
            <w:ind w:firstLine="0" w:firstLineChars="0"/>
            <w:textAlignment w:val="auto"/>
            <w:rPr>
              <w:b w:val="0"/>
              <w:bCs w:val="0"/>
              <w:sz w:val="24"/>
              <w:szCs w:val="24"/>
            </w:rPr>
          </w:pPr>
          <w:r>
            <w:rPr>
              <w:rFonts w:eastAsia="黑体"/>
              <w:b w:val="0"/>
              <w:bCs w:val="0"/>
              <w:sz w:val="24"/>
              <w:szCs w:val="24"/>
            </w:rPr>
            <w:fldChar w:fldCharType="begin"/>
          </w:r>
          <w:r>
            <w:rPr>
              <w:rFonts w:eastAsia="黑体"/>
              <w:b w:val="0"/>
              <w:bCs w:val="0"/>
              <w:sz w:val="24"/>
              <w:szCs w:val="24"/>
            </w:rPr>
            <w:instrText xml:space="preserve"> HYPERLINK \l _Toc21841 </w:instrText>
          </w:r>
          <w:r>
            <w:rPr>
              <w:rFonts w:eastAsia="黑体"/>
              <w:b w:val="0"/>
              <w:bCs w:val="0"/>
              <w:sz w:val="24"/>
              <w:szCs w:val="24"/>
            </w:rPr>
            <w:fldChar w:fldCharType="separate"/>
          </w:r>
          <w:r>
            <w:rPr>
              <w:rFonts w:hint="eastAsia"/>
              <w:b w:val="0"/>
              <w:bCs w:val="0"/>
              <w:sz w:val="24"/>
              <w:szCs w:val="24"/>
            </w:rPr>
            <w:t xml:space="preserve">八、 </w:t>
          </w:r>
          <w:r>
            <w:rPr>
              <w:b w:val="0"/>
              <w:bCs w:val="0"/>
              <w:sz w:val="24"/>
              <w:szCs w:val="24"/>
            </w:rPr>
            <w:t>重大分歧意见的处理经过和依据</w:t>
          </w:r>
          <w:r>
            <w:rPr>
              <w:b w:val="0"/>
              <w:bCs w:val="0"/>
              <w:sz w:val="24"/>
              <w:szCs w:val="24"/>
            </w:rPr>
            <w:tab/>
          </w:r>
          <w:r>
            <w:rPr>
              <w:b w:val="0"/>
              <w:bCs w:val="0"/>
              <w:sz w:val="24"/>
              <w:szCs w:val="24"/>
            </w:rPr>
            <w:fldChar w:fldCharType="begin"/>
          </w:r>
          <w:r>
            <w:rPr>
              <w:b w:val="0"/>
              <w:bCs w:val="0"/>
              <w:sz w:val="24"/>
              <w:szCs w:val="24"/>
            </w:rPr>
            <w:instrText xml:space="preserve"> PAGEREF _Toc21841 \h </w:instrText>
          </w:r>
          <w:r>
            <w:rPr>
              <w:b w:val="0"/>
              <w:bCs w:val="0"/>
              <w:sz w:val="24"/>
              <w:szCs w:val="24"/>
            </w:rPr>
            <w:fldChar w:fldCharType="separate"/>
          </w:r>
          <w:r>
            <w:rPr>
              <w:b w:val="0"/>
              <w:bCs w:val="0"/>
              <w:sz w:val="24"/>
              <w:szCs w:val="24"/>
            </w:rPr>
            <w:t>19</w:t>
          </w:r>
          <w:r>
            <w:rPr>
              <w:b w:val="0"/>
              <w:bCs w:val="0"/>
              <w:sz w:val="24"/>
              <w:szCs w:val="24"/>
            </w:rPr>
            <w:fldChar w:fldCharType="end"/>
          </w:r>
          <w:r>
            <w:rPr>
              <w:rFonts w:eastAsia="黑体"/>
              <w:b w:val="0"/>
              <w:bCs w:val="0"/>
              <w:sz w:val="24"/>
              <w:szCs w:val="24"/>
            </w:rPr>
            <w:fldChar w:fldCharType="end"/>
          </w:r>
        </w:p>
        <w:p>
          <w:pPr>
            <w:pStyle w:val="127"/>
            <w:keepNext w:val="0"/>
            <w:keepLines w:val="0"/>
            <w:pageBreakBefore w:val="0"/>
            <w:tabs>
              <w:tab w:val="right" w:leader="dot" w:pos="8306"/>
            </w:tabs>
            <w:kinsoku/>
            <w:wordWrap/>
            <w:overflowPunct/>
            <w:topLinePunct w:val="0"/>
            <w:autoSpaceDE/>
            <w:autoSpaceDN/>
            <w:bidi w:val="0"/>
            <w:adjustRightInd/>
            <w:snapToGrid/>
            <w:spacing w:line="360" w:lineRule="auto"/>
            <w:ind w:firstLine="0" w:firstLineChars="0"/>
            <w:textAlignment w:val="auto"/>
            <w:rPr>
              <w:b w:val="0"/>
              <w:bCs w:val="0"/>
              <w:sz w:val="24"/>
              <w:szCs w:val="24"/>
            </w:rPr>
          </w:pPr>
          <w:r>
            <w:rPr>
              <w:rFonts w:eastAsia="黑体"/>
              <w:b w:val="0"/>
              <w:bCs w:val="0"/>
              <w:sz w:val="24"/>
              <w:szCs w:val="24"/>
            </w:rPr>
            <w:fldChar w:fldCharType="begin"/>
          </w:r>
          <w:r>
            <w:rPr>
              <w:rFonts w:eastAsia="黑体"/>
              <w:b w:val="0"/>
              <w:bCs w:val="0"/>
              <w:sz w:val="24"/>
              <w:szCs w:val="24"/>
            </w:rPr>
            <w:instrText xml:space="preserve"> HYPERLINK \l _Toc25519 </w:instrText>
          </w:r>
          <w:r>
            <w:rPr>
              <w:rFonts w:eastAsia="黑体"/>
              <w:b w:val="0"/>
              <w:bCs w:val="0"/>
              <w:sz w:val="24"/>
              <w:szCs w:val="24"/>
            </w:rPr>
            <w:fldChar w:fldCharType="separate"/>
          </w:r>
          <w:r>
            <w:rPr>
              <w:rFonts w:hint="eastAsia"/>
              <w:b w:val="0"/>
              <w:bCs w:val="0"/>
              <w:sz w:val="24"/>
              <w:szCs w:val="24"/>
            </w:rPr>
            <w:t xml:space="preserve">九、 </w:t>
          </w:r>
          <w:r>
            <w:rPr>
              <w:b w:val="0"/>
              <w:bCs w:val="0"/>
              <w:sz w:val="24"/>
              <w:szCs w:val="24"/>
            </w:rPr>
            <w:t>标准作为强制性或推荐性标准的建议</w:t>
          </w:r>
          <w:r>
            <w:rPr>
              <w:b w:val="0"/>
              <w:bCs w:val="0"/>
              <w:sz w:val="24"/>
              <w:szCs w:val="24"/>
            </w:rPr>
            <w:tab/>
          </w:r>
          <w:r>
            <w:rPr>
              <w:b w:val="0"/>
              <w:bCs w:val="0"/>
              <w:sz w:val="24"/>
              <w:szCs w:val="24"/>
            </w:rPr>
            <w:fldChar w:fldCharType="begin"/>
          </w:r>
          <w:r>
            <w:rPr>
              <w:b w:val="0"/>
              <w:bCs w:val="0"/>
              <w:sz w:val="24"/>
              <w:szCs w:val="24"/>
            </w:rPr>
            <w:instrText xml:space="preserve"> PAGEREF _Toc25519 \h </w:instrText>
          </w:r>
          <w:r>
            <w:rPr>
              <w:b w:val="0"/>
              <w:bCs w:val="0"/>
              <w:sz w:val="24"/>
              <w:szCs w:val="24"/>
            </w:rPr>
            <w:fldChar w:fldCharType="separate"/>
          </w:r>
          <w:r>
            <w:rPr>
              <w:b w:val="0"/>
              <w:bCs w:val="0"/>
              <w:sz w:val="24"/>
              <w:szCs w:val="24"/>
            </w:rPr>
            <w:t>19</w:t>
          </w:r>
          <w:r>
            <w:rPr>
              <w:b w:val="0"/>
              <w:bCs w:val="0"/>
              <w:sz w:val="24"/>
              <w:szCs w:val="24"/>
            </w:rPr>
            <w:fldChar w:fldCharType="end"/>
          </w:r>
          <w:r>
            <w:rPr>
              <w:rFonts w:eastAsia="黑体"/>
              <w:b w:val="0"/>
              <w:bCs w:val="0"/>
              <w:sz w:val="24"/>
              <w:szCs w:val="24"/>
            </w:rPr>
            <w:fldChar w:fldCharType="end"/>
          </w:r>
        </w:p>
        <w:p>
          <w:pPr>
            <w:pStyle w:val="127"/>
            <w:keepNext w:val="0"/>
            <w:keepLines w:val="0"/>
            <w:pageBreakBefore w:val="0"/>
            <w:tabs>
              <w:tab w:val="right" w:leader="dot" w:pos="8306"/>
            </w:tabs>
            <w:kinsoku/>
            <w:wordWrap/>
            <w:overflowPunct/>
            <w:topLinePunct w:val="0"/>
            <w:autoSpaceDE/>
            <w:autoSpaceDN/>
            <w:bidi w:val="0"/>
            <w:adjustRightInd/>
            <w:snapToGrid/>
            <w:spacing w:line="360" w:lineRule="auto"/>
            <w:ind w:firstLine="0" w:firstLineChars="0"/>
            <w:textAlignment w:val="auto"/>
            <w:rPr>
              <w:b w:val="0"/>
              <w:bCs w:val="0"/>
              <w:sz w:val="24"/>
              <w:szCs w:val="24"/>
            </w:rPr>
          </w:pPr>
          <w:r>
            <w:rPr>
              <w:rFonts w:eastAsia="黑体"/>
              <w:b w:val="0"/>
              <w:bCs w:val="0"/>
              <w:sz w:val="24"/>
              <w:szCs w:val="24"/>
            </w:rPr>
            <w:fldChar w:fldCharType="begin"/>
          </w:r>
          <w:r>
            <w:rPr>
              <w:rFonts w:eastAsia="黑体"/>
              <w:b w:val="0"/>
              <w:bCs w:val="0"/>
              <w:sz w:val="24"/>
              <w:szCs w:val="24"/>
            </w:rPr>
            <w:instrText xml:space="preserve"> HYPERLINK \l _Toc5942 </w:instrText>
          </w:r>
          <w:r>
            <w:rPr>
              <w:rFonts w:eastAsia="黑体"/>
              <w:b w:val="0"/>
              <w:bCs w:val="0"/>
              <w:sz w:val="24"/>
              <w:szCs w:val="24"/>
            </w:rPr>
            <w:fldChar w:fldCharType="separate"/>
          </w:r>
          <w:r>
            <w:rPr>
              <w:rFonts w:hint="eastAsia"/>
              <w:b w:val="0"/>
              <w:bCs w:val="0"/>
              <w:sz w:val="24"/>
              <w:szCs w:val="24"/>
            </w:rPr>
            <w:t xml:space="preserve">十、 </w:t>
          </w:r>
          <w:r>
            <w:rPr>
              <w:b w:val="0"/>
              <w:bCs w:val="0"/>
              <w:sz w:val="24"/>
              <w:szCs w:val="24"/>
            </w:rPr>
            <w:t>贯彻标准的要求和措施建议</w:t>
          </w:r>
          <w:r>
            <w:rPr>
              <w:b w:val="0"/>
              <w:bCs w:val="0"/>
              <w:sz w:val="24"/>
              <w:szCs w:val="24"/>
            </w:rPr>
            <w:tab/>
          </w:r>
          <w:r>
            <w:rPr>
              <w:b w:val="0"/>
              <w:bCs w:val="0"/>
              <w:sz w:val="24"/>
              <w:szCs w:val="24"/>
            </w:rPr>
            <w:fldChar w:fldCharType="begin"/>
          </w:r>
          <w:r>
            <w:rPr>
              <w:b w:val="0"/>
              <w:bCs w:val="0"/>
              <w:sz w:val="24"/>
              <w:szCs w:val="24"/>
            </w:rPr>
            <w:instrText xml:space="preserve"> PAGEREF _Toc5942 \h </w:instrText>
          </w:r>
          <w:r>
            <w:rPr>
              <w:b w:val="0"/>
              <w:bCs w:val="0"/>
              <w:sz w:val="24"/>
              <w:szCs w:val="24"/>
            </w:rPr>
            <w:fldChar w:fldCharType="separate"/>
          </w:r>
          <w:r>
            <w:rPr>
              <w:b w:val="0"/>
              <w:bCs w:val="0"/>
              <w:sz w:val="24"/>
              <w:szCs w:val="24"/>
            </w:rPr>
            <w:t>19</w:t>
          </w:r>
          <w:r>
            <w:rPr>
              <w:b w:val="0"/>
              <w:bCs w:val="0"/>
              <w:sz w:val="24"/>
              <w:szCs w:val="24"/>
            </w:rPr>
            <w:fldChar w:fldCharType="end"/>
          </w:r>
          <w:r>
            <w:rPr>
              <w:rFonts w:eastAsia="黑体"/>
              <w:b w:val="0"/>
              <w:bCs w:val="0"/>
              <w:sz w:val="24"/>
              <w:szCs w:val="24"/>
            </w:rPr>
            <w:fldChar w:fldCharType="end"/>
          </w:r>
        </w:p>
        <w:p>
          <w:pPr>
            <w:pStyle w:val="127"/>
            <w:keepNext w:val="0"/>
            <w:keepLines w:val="0"/>
            <w:pageBreakBefore w:val="0"/>
            <w:tabs>
              <w:tab w:val="right" w:leader="dot" w:pos="8306"/>
            </w:tabs>
            <w:kinsoku/>
            <w:wordWrap/>
            <w:overflowPunct/>
            <w:topLinePunct w:val="0"/>
            <w:autoSpaceDE/>
            <w:autoSpaceDN/>
            <w:bidi w:val="0"/>
            <w:adjustRightInd/>
            <w:snapToGrid/>
            <w:spacing w:line="360" w:lineRule="auto"/>
            <w:ind w:firstLine="0" w:firstLineChars="0"/>
            <w:textAlignment w:val="auto"/>
            <w:rPr>
              <w:b w:val="0"/>
              <w:bCs w:val="0"/>
              <w:sz w:val="24"/>
              <w:szCs w:val="24"/>
            </w:rPr>
          </w:pPr>
          <w:r>
            <w:rPr>
              <w:rFonts w:eastAsia="黑体"/>
              <w:b w:val="0"/>
              <w:bCs w:val="0"/>
              <w:sz w:val="24"/>
              <w:szCs w:val="24"/>
            </w:rPr>
            <w:fldChar w:fldCharType="begin"/>
          </w:r>
          <w:r>
            <w:rPr>
              <w:rFonts w:eastAsia="黑体"/>
              <w:b w:val="0"/>
              <w:bCs w:val="0"/>
              <w:sz w:val="24"/>
              <w:szCs w:val="24"/>
            </w:rPr>
            <w:instrText xml:space="preserve"> HYPERLINK \l _Toc4719 </w:instrText>
          </w:r>
          <w:r>
            <w:rPr>
              <w:rFonts w:eastAsia="黑体"/>
              <w:b w:val="0"/>
              <w:bCs w:val="0"/>
              <w:sz w:val="24"/>
              <w:szCs w:val="24"/>
            </w:rPr>
            <w:fldChar w:fldCharType="separate"/>
          </w:r>
          <w:r>
            <w:rPr>
              <w:rFonts w:hint="eastAsia"/>
              <w:b w:val="0"/>
              <w:bCs w:val="0"/>
              <w:sz w:val="24"/>
              <w:szCs w:val="24"/>
            </w:rPr>
            <w:t xml:space="preserve">十一、 </w:t>
          </w:r>
          <w:r>
            <w:rPr>
              <w:b w:val="0"/>
              <w:bCs w:val="0"/>
              <w:sz w:val="24"/>
              <w:szCs w:val="24"/>
            </w:rPr>
            <w:t>废止现行有关标准的建议</w:t>
          </w:r>
          <w:r>
            <w:rPr>
              <w:b w:val="0"/>
              <w:bCs w:val="0"/>
              <w:sz w:val="24"/>
              <w:szCs w:val="24"/>
            </w:rPr>
            <w:tab/>
          </w:r>
          <w:r>
            <w:rPr>
              <w:b w:val="0"/>
              <w:bCs w:val="0"/>
              <w:sz w:val="24"/>
              <w:szCs w:val="24"/>
            </w:rPr>
            <w:fldChar w:fldCharType="begin"/>
          </w:r>
          <w:r>
            <w:rPr>
              <w:b w:val="0"/>
              <w:bCs w:val="0"/>
              <w:sz w:val="24"/>
              <w:szCs w:val="24"/>
            </w:rPr>
            <w:instrText xml:space="preserve"> PAGEREF _Toc4719 \h </w:instrText>
          </w:r>
          <w:r>
            <w:rPr>
              <w:b w:val="0"/>
              <w:bCs w:val="0"/>
              <w:sz w:val="24"/>
              <w:szCs w:val="24"/>
            </w:rPr>
            <w:fldChar w:fldCharType="separate"/>
          </w:r>
          <w:r>
            <w:rPr>
              <w:b w:val="0"/>
              <w:bCs w:val="0"/>
              <w:sz w:val="24"/>
              <w:szCs w:val="24"/>
            </w:rPr>
            <w:t>19</w:t>
          </w:r>
          <w:r>
            <w:rPr>
              <w:b w:val="0"/>
              <w:bCs w:val="0"/>
              <w:sz w:val="24"/>
              <w:szCs w:val="24"/>
            </w:rPr>
            <w:fldChar w:fldCharType="end"/>
          </w:r>
          <w:r>
            <w:rPr>
              <w:rFonts w:eastAsia="黑体"/>
              <w:b w:val="0"/>
              <w:bCs w:val="0"/>
              <w:sz w:val="24"/>
              <w:szCs w:val="24"/>
            </w:rPr>
            <w:fldChar w:fldCharType="end"/>
          </w:r>
        </w:p>
        <w:p>
          <w:pPr>
            <w:pStyle w:val="127"/>
            <w:keepNext w:val="0"/>
            <w:keepLines w:val="0"/>
            <w:pageBreakBefore w:val="0"/>
            <w:tabs>
              <w:tab w:val="right" w:leader="dot" w:pos="8306"/>
            </w:tabs>
            <w:kinsoku/>
            <w:wordWrap/>
            <w:overflowPunct/>
            <w:topLinePunct w:val="0"/>
            <w:autoSpaceDE/>
            <w:autoSpaceDN/>
            <w:bidi w:val="0"/>
            <w:adjustRightInd/>
            <w:snapToGrid/>
            <w:spacing w:line="360" w:lineRule="auto"/>
            <w:ind w:firstLine="0" w:firstLineChars="0"/>
            <w:textAlignment w:val="auto"/>
            <w:rPr>
              <w:b w:val="0"/>
              <w:bCs w:val="0"/>
              <w:sz w:val="24"/>
              <w:szCs w:val="24"/>
            </w:rPr>
          </w:pPr>
          <w:r>
            <w:rPr>
              <w:rFonts w:eastAsia="黑体"/>
              <w:b w:val="0"/>
              <w:bCs w:val="0"/>
              <w:sz w:val="24"/>
              <w:szCs w:val="24"/>
            </w:rPr>
            <w:fldChar w:fldCharType="begin"/>
          </w:r>
          <w:r>
            <w:rPr>
              <w:rFonts w:eastAsia="黑体"/>
              <w:b w:val="0"/>
              <w:bCs w:val="0"/>
              <w:sz w:val="24"/>
              <w:szCs w:val="24"/>
            </w:rPr>
            <w:instrText xml:space="preserve"> HYPERLINK \l _Toc2632 </w:instrText>
          </w:r>
          <w:r>
            <w:rPr>
              <w:rFonts w:eastAsia="黑体"/>
              <w:b w:val="0"/>
              <w:bCs w:val="0"/>
              <w:sz w:val="24"/>
              <w:szCs w:val="24"/>
            </w:rPr>
            <w:fldChar w:fldCharType="separate"/>
          </w:r>
          <w:r>
            <w:rPr>
              <w:rFonts w:hint="eastAsia"/>
              <w:b w:val="0"/>
              <w:bCs w:val="0"/>
              <w:sz w:val="24"/>
              <w:szCs w:val="24"/>
            </w:rPr>
            <w:t xml:space="preserve">十二、 </w:t>
          </w:r>
          <w:r>
            <w:rPr>
              <w:b w:val="0"/>
              <w:bCs w:val="0"/>
              <w:sz w:val="24"/>
              <w:szCs w:val="24"/>
            </w:rPr>
            <w:t>其他应予说明的事项</w:t>
          </w:r>
          <w:r>
            <w:rPr>
              <w:b w:val="0"/>
              <w:bCs w:val="0"/>
              <w:sz w:val="24"/>
              <w:szCs w:val="24"/>
            </w:rPr>
            <w:tab/>
          </w:r>
          <w:r>
            <w:rPr>
              <w:b w:val="0"/>
              <w:bCs w:val="0"/>
              <w:sz w:val="24"/>
              <w:szCs w:val="24"/>
            </w:rPr>
            <w:fldChar w:fldCharType="begin"/>
          </w:r>
          <w:r>
            <w:rPr>
              <w:b w:val="0"/>
              <w:bCs w:val="0"/>
              <w:sz w:val="24"/>
              <w:szCs w:val="24"/>
            </w:rPr>
            <w:instrText xml:space="preserve"> PAGEREF _Toc2632 \h </w:instrText>
          </w:r>
          <w:r>
            <w:rPr>
              <w:b w:val="0"/>
              <w:bCs w:val="0"/>
              <w:sz w:val="24"/>
              <w:szCs w:val="24"/>
            </w:rPr>
            <w:fldChar w:fldCharType="separate"/>
          </w:r>
          <w:r>
            <w:rPr>
              <w:b w:val="0"/>
              <w:bCs w:val="0"/>
              <w:sz w:val="24"/>
              <w:szCs w:val="24"/>
            </w:rPr>
            <w:t>20</w:t>
          </w:r>
          <w:r>
            <w:rPr>
              <w:b w:val="0"/>
              <w:bCs w:val="0"/>
              <w:sz w:val="24"/>
              <w:szCs w:val="24"/>
            </w:rPr>
            <w:fldChar w:fldCharType="end"/>
          </w:r>
          <w:r>
            <w:rPr>
              <w:rFonts w:eastAsia="黑体"/>
              <w:b w:val="0"/>
              <w:bCs w:val="0"/>
              <w:sz w:val="24"/>
              <w:szCs w:val="24"/>
            </w:rPr>
            <w:fldChar w:fldCharType="end"/>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eastAsia="黑体"/>
              <w:sz w:val="24"/>
            </w:rPr>
          </w:pPr>
          <w:r>
            <w:rPr>
              <w:rFonts w:eastAsia="黑体"/>
              <w:b w:val="0"/>
              <w:bCs w:val="0"/>
              <w:sz w:val="24"/>
              <w:szCs w:val="24"/>
            </w:rPr>
            <w:fldChar w:fldCharType="end"/>
          </w:r>
        </w:p>
      </w:sdtContent>
    </w:sdt>
    <w:p>
      <w:pPr>
        <w:spacing w:line="360" w:lineRule="auto"/>
        <w:ind w:firstLine="480"/>
        <w:jc w:val="center"/>
        <w:rPr>
          <w:rFonts w:eastAsia="黑体"/>
          <w:sz w:val="24"/>
        </w:rPr>
        <w:sectPr>
          <w:footerReference r:id="rId11" w:type="default"/>
          <w:pgSz w:w="11906" w:h="16838"/>
          <w:pgMar w:top="1440" w:right="1800" w:bottom="1440" w:left="1800" w:header="851" w:footer="992" w:gutter="0"/>
          <w:pgNumType w:start="1"/>
          <w:cols w:space="720" w:num="1"/>
          <w:docGrid w:type="lines" w:linePitch="312" w:charSpace="0"/>
        </w:sectPr>
      </w:pPr>
    </w:p>
    <w:p>
      <w:pPr>
        <w:spacing w:line="360" w:lineRule="auto"/>
        <w:ind w:firstLine="480"/>
        <w:jc w:val="center"/>
        <w:rPr>
          <w:rFonts w:eastAsia="黑体"/>
          <w:sz w:val="24"/>
        </w:rPr>
      </w:pPr>
    </w:p>
    <w:p>
      <w:pPr>
        <w:spacing w:line="360" w:lineRule="auto"/>
        <w:ind w:left="0" w:leftChars="0" w:firstLine="0" w:firstLineChars="0"/>
        <w:jc w:val="center"/>
        <w:rPr>
          <w:rFonts w:hint="eastAsia" w:eastAsia="黑体"/>
          <w:sz w:val="32"/>
          <w:szCs w:val="32"/>
        </w:rPr>
      </w:pPr>
      <w:r>
        <w:rPr>
          <w:rFonts w:hint="eastAsia" w:eastAsia="黑体"/>
          <w:sz w:val="32"/>
          <w:szCs w:val="32"/>
        </w:rPr>
        <w:t>复合氧化铜粉中铜、氧化亚铜、氧化铜</w:t>
      </w:r>
    </w:p>
    <w:p>
      <w:pPr>
        <w:spacing w:line="360" w:lineRule="auto"/>
        <w:ind w:left="0" w:leftChars="0" w:firstLine="0" w:firstLineChars="0"/>
        <w:jc w:val="center"/>
        <w:rPr>
          <w:rFonts w:eastAsia="黑体"/>
          <w:sz w:val="32"/>
          <w:szCs w:val="32"/>
        </w:rPr>
      </w:pPr>
      <w:r>
        <w:rPr>
          <w:rFonts w:hint="eastAsia" w:eastAsia="黑体"/>
          <w:sz w:val="32"/>
          <w:szCs w:val="32"/>
        </w:rPr>
        <w:t>组分的测定 氧化还原滴定法和差减法</w:t>
      </w:r>
    </w:p>
    <w:p>
      <w:pPr>
        <w:spacing w:line="360" w:lineRule="auto"/>
        <w:ind w:firstLine="3200" w:firstLineChars="1000"/>
        <w:rPr>
          <w:rFonts w:eastAsia="黑体"/>
          <w:sz w:val="32"/>
          <w:szCs w:val="32"/>
        </w:rPr>
      </w:pPr>
      <w:r>
        <w:rPr>
          <w:rFonts w:eastAsia="黑体"/>
          <w:sz w:val="32"/>
          <w:szCs w:val="32"/>
        </w:rPr>
        <w:t>编制说明</w:t>
      </w:r>
    </w:p>
    <w:p>
      <w:pPr>
        <w:pStyle w:val="2"/>
        <w:bidi w:val="0"/>
      </w:pPr>
      <w:bookmarkStart w:id="1" w:name="_Toc3937"/>
      <w:r>
        <w:t>一、工作简况</w:t>
      </w:r>
      <w:bookmarkEnd w:id="1"/>
    </w:p>
    <w:p>
      <w:pPr>
        <w:pStyle w:val="3"/>
        <w:bidi w:val="0"/>
      </w:pPr>
      <w:bookmarkStart w:id="2" w:name="_Toc8995"/>
      <w:r>
        <w:t>（一） 任务来源</w:t>
      </w:r>
      <w:bookmarkEnd w:id="2"/>
    </w:p>
    <w:p>
      <w:pPr>
        <w:keepNext w:val="0"/>
        <w:keepLines w:val="0"/>
        <w:widowControl/>
        <w:suppressLineNumbers w:val="0"/>
        <w:jc w:val="left"/>
        <w:rPr>
          <w:szCs w:val="21"/>
        </w:rPr>
      </w:pPr>
      <w:r>
        <w:rPr>
          <w:szCs w:val="21"/>
        </w:rPr>
        <w:t>根据工信部《工业和信息化部办公厅关于印发2023年第一批行业标准制修订和外文版项目计划的通知》</w:t>
      </w:r>
      <w:r>
        <w:rPr>
          <w:rFonts w:hint="eastAsia"/>
          <w:szCs w:val="21"/>
          <w:lang w:eastAsia="zh-CN"/>
        </w:rPr>
        <w:t>（</w:t>
      </w:r>
      <w:r>
        <w:rPr>
          <w:szCs w:val="21"/>
        </w:rPr>
        <w:t>工信厅科</w:t>
      </w:r>
      <w:r>
        <w:rPr>
          <w:rFonts w:hint="eastAsia"/>
          <w:szCs w:val="21"/>
          <w:lang w:eastAsia="zh-CN"/>
        </w:rPr>
        <w:t>〔</w:t>
      </w:r>
      <w:r>
        <w:rPr>
          <w:szCs w:val="21"/>
        </w:rPr>
        <w:t>2023</w:t>
      </w:r>
      <w:r>
        <w:rPr>
          <w:rFonts w:hint="eastAsia"/>
          <w:szCs w:val="21"/>
          <w:lang w:eastAsia="zh-CN"/>
        </w:rPr>
        <w:t>〕</w:t>
      </w:r>
      <w:r>
        <w:rPr>
          <w:szCs w:val="21"/>
        </w:rPr>
        <w:t>18号</w:t>
      </w:r>
      <w:r>
        <w:rPr>
          <w:rFonts w:hint="eastAsia"/>
          <w:szCs w:val="21"/>
          <w:lang w:eastAsia="zh-CN"/>
        </w:rPr>
        <w:t>）</w:t>
      </w:r>
      <w:r>
        <w:rPr>
          <w:szCs w:val="21"/>
        </w:rPr>
        <w:t>精神，行业标准《复合氧化铜粉中铜、氧化亚铜、氧化铜组分的测定</w:t>
      </w:r>
      <w:r>
        <w:rPr>
          <w:rFonts w:hint="eastAsia"/>
          <w:szCs w:val="21"/>
          <w:lang w:val="en-US" w:eastAsia="zh-CN"/>
        </w:rPr>
        <w:t xml:space="preserve"> </w:t>
      </w:r>
      <w:r>
        <w:rPr>
          <w:rFonts w:hint="eastAsia" w:ascii="宋体" w:hAnsi="宋体" w:eastAsia="宋体" w:cs="宋体"/>
          <w:color w:val="000000"/>
          <w:kern w:val="0"/>
          <w:sz w:val="21"/>
          <w:szCs w:val="21"/>
          <w:lang w:val="en-US" w:eastAsia="zh-CN" w:bidi="ar"/>
        </w:rPr>
        <w:t>氧化还原滴定法和差减法</w:t>
      </w:r>
      <w:r>
        <w:rPr>
          <w:szCs w:val="21"/>
        </w:rPr>
        <w:t>》制定项目属于2023年第二批有色金属行业标准制</w:t>
      </w:r>
      <w:r>
        <w:rPr>
          <w:rFonts w:hint="eastAsia"/>
          <w:szCs w:val="21"/>
          <w:lang w:eastAsia="zh-CN"/>
        </w:rPr>
        <w:t>（</w:t>
      </w:r>
      <w:r>
        <w:rPr>
          <w:szCs w:val="21"/>
        </w:rPr>
        <w:t>修</w:t>
      </w:r>
      <w:r>
        <w:rPr>
          <w:rFonts w:hint="eastAsia"/>
          <w:szCs w:val="21"/>
          <w:lang w:eastAsia="zh-CN"/>
        </w:rPr>
        <w:t>）</w:t>
      </w:r>
      <w:r>
        <w:rPr>
          <w:szCs w:val="21"/>
        </w:rPr>
        <w:t>订计划及行业标准外文版项目计划，由全国有色金属标准化技术委员会负责归口，计划编号为2023-0</w:t>
      </w:r>
      <w:r>
        <w:rPr>
          <w:rFonts w:hint="eastAsia"/>
          <w:szCs w:val="21"/>
          <w:lang w:val="en-US" w:eastAsia="zh-CN"/>
        </w:rPr>
        <w:t>4</w:t>
      </w:r>
      <w:r>
        <w:rPr>
          <w:szCs w:val="21"/>
        </w:rPr>
        <w:t>06T-YS，项目计划完成时间为2024年。由</w:t>
      </w:r>
      <w:r>
        <w:rPr>
          <w:iCs/>
          <w:szCs w:val="21"/>
        </w:rPr>
        <w:t>有研粉末新材料（合肥）有限公司</w:t>
      </w:r>
      <w:r>
        <w:rPr>
          <w:szCs w:val="21"/>
        </w:rPr>
        <w:t>牵头起草。技术归口单位为全国有色金属标准化技术委员会。</w:t>
      </w:r>
    </w:p>
    <w:p>
      <w:pPr>
        <w:pStyle w:val="3"/>
        <w:bidi w:val="0"/>
      </w:pPr>
      <w:bookmarkStart w:id="3" w:name="_Toc29580"/>
      <w:r>
        <w:t>（二）试验方法概况和立项目的</w:t>
      </w:r>
      <w:bookmarkEnd w:id="3"/>
    </w:p>
    <w:p>
      <w:pPr>
        <w:pStyle w:val="4"/>
        <w:bidi w:val="0"/>
      </w:pPr>
      <w:r>
        <w:t>1.1 标准制定的必要性</w:t>
      </w:r>
    </w:p>
    <w:p>
      <w:pPr>
        <w:bidi w:val="0"/>
      </w:pPr>
      <w:r>
        <w:t>1.1.1复合氧化铜粉主要应用于有机硅单体合成过程中。有机硅材料因兼具无机物的特性和有机物的功能于一身</w:t>
      </w:r>
      <w:r>
        <w:rPr>
          <w:rFonts w:hint="eastAsia"/>
          <w:lang w:eastAsia="zh-CN"/>
        </w:rPr>
        <w:t>，</w:t>
      </w:r>
      <w:r>
        <w:t>如：耐腐蚀性、耐氧化稳定性、气体渗透性高、耐高低温性等</w:t>
      </w:r>
      <w:r>
        <w:rPr>
          <w:rFonts w:hint="eastAsia"/>
          <w:lang w:eastAsia="zh-CN"/>
        </w:rPr>
        <w:t>，</w:t>
      </w:r>
      <w:r>
        <w:t>广泛应用于国防军工、航天航空、电子电器等国民经济的各个领域。作为化工新材料中发展最快的品种之一</w:t>
      </w:r>
      <w:r>
        <w:rPr>
          <w:rFonts w:hint="eastAsia"/>
          <w:lang w:eastAsia="zh-CN"/>
        </w:rPr>
        <w:t>，</w:t>
      </w:r>
      <w:r>
        <w:t>有机硅也是国家重点发展的新材料；随着出口国外的深加工产品增多以及国内新能源汽车等行业需求的进一步扩大</w:t>
      </w:r>
      <w:r>
        <w:rPr>
          <w:rFonts w:hint="eastAsia"/>
          <w:lang w:eastAsia="zh-CN"/>
        </w:rPr>
        <w:t>，</w:t>
      </w:r>
      <w:r>
        <w:t>有机硅行业也得到了迅速发展</w:t>
      </w:r>
      <w:r>
        <w:rPr>
          <w:rFonts w:hint="eastAsia"/>
          <w:lang w:eastAsia="zh-CN"/>
        </w:rPr>
        <w:t>，成为</w:t>
      </w:r>
      <w:r>
        <w:t>高性能化工新材料领域中的重要支柱</w:t>
      </w:r>
      <w:r>
        <w:rPr>
          <w:rFonts w:hint="eastAsia"/>
          <w:lang w:eastAsia="zh-CN"/>
        </w:rPr>
        <w:t>，</w:t>
      </w:r>
      <w:r>
        <w:t>同时也为相关工业领域的发展提供了材料基础和技术保证。因此</w:t>
      </w:r>
      <w:r>
        <w:rPr>
          <w:rFonts w:hint="eastAsia"/>
          <w:lang w:eastAsia="zh-CN"/>
        </w:rPr>
        <w:t>，</w:t>
      </w:r>
      <w:r>
        <w:t>有机硅工业的发展水平在很大程度上</w:t>
      </w:r>
      <w:r>
        <w:rPr>
          <w:rFonts w:hint="eastAsia"/>
          <w:lang w:eastAsia="zh-CN"/>
        </w:rPr>
        <w:t>，</w:t>
      </w:r>
      <w:r>
        <w:t>已经可以反映一个国家的工业化水平。在整个产业链中</w:t>
      </w:r>
      <w:r>
        <w:rPr>
          <w:rFonts w:hint="eastAsia"/>
          <w:lang w:eastAsia="zh-CN"/>
        </w:rPr>
        <w:t>，</w:t>
      </w:r>
      <w:r>
        <w:t>甲基氯硅烷</w:t>
      </w:r>
      <w:r>
        <w:rPr>
          <w:rFonts w:hint="eastAsia"/>
          <w:lang w:eastAsia="zh-CN"/>
        </w:rPr>
        <w:t>（简称</w:t>
      </w:r>
      <w:r>
        <w:t>MCS</w:t>
      </w:r>
      <w:r>
        <w:rPr>
          <w:rFonts w:hint="eastAsia"/>
          <w:lang w:eastAsia="zh-CN"/>
        </w:rPr>
        <w:t>）</w:t>
      </w:r>
      <w:r>
        <w:t>的化学活性高</w:t>
      </w:r>
      <w:r>
        <w:rPr>
          <w:rFonts w:hint="eastAsia"/>
          <w:lang w:eastAsia="zh-CN"/>
        </w:rPr>
        <w:t>，</w:t>
      </w:r>
      <w:r>
        <w:t>可深加工的潜能巨大</w:t>
      </w:r>
      <w:r>
        <w:rPr>
          <w:rFonts w:hint="eastAsia"/>
          <w:lang w:eastAsia="zh-CN"/>
        </w:rPr>
        <w:t>，</w:t>
      </w:r>
      <w:r>
        <w:t>是制造有机硅材料的重要原料。在甲基氯硅烷的合成中</w:t>
      </w:r>
      <w:r>
        <w:rPr>
          <w:rFonts w:hint="eastAsia"/>
          <w:lang w:eastAsia="zh-CN"/>
        </w:rPr>
        <w:t>，</w:t>
      </w:r>
      <w:r>
        <w:t>二甲基二氯硅烷</w:t>
      </w:r>
      <w:r>
        <w:rPr>
          <w:rFonts w:hint="eastAsia"/>
          <w:lang w:eastAsia="zh-CN"/>
        </w:rPr>
        <w:t>（</w:t>
      </w:r>
      <w:r>
        <w:t>简称M2</w:t>
      </w:r>
      <w:r>
        <w:rPr>
          <w:rFonts w:hint="eastAsia"/>
          <w:lang w:eastAsia="zh-CN"/>
        </w:rPr>
        <w:t>）</w:t>
      </w:r>
      <w:r>
        <w:t>作为价值最高</w:t>
      </w:r>
      <w:r>
        <w:rPr>
          <w:rFonts w:hint="eastAsia"/>
          <w:lang w:eastAsia="zh-CN"/>
        </w:rPr>
        <w:t>，</w:t>
      </w:r>
      <w:r>
        <w:t>用量最大的有机硅单体</w:t>
      </w:r>
      <w:r>
        <w:rPr>
          <w:rFonts w:hint="eastAsia"/>
          <w:lang w:eastAsia="zh-CN"/>
        </w:rPr>
        <w:t>，</w:t>
      </w:r>
      <w:r>
        <w:t>它的收率直接反映甲基氯硅烷的合成工艺水平；因此</w:t>
      </w:r>
      <w:r>
        <w:rPr>
          <w:rFonts w:hint="eastAsia"/>
          <w:lang w:eastAsia="zh-CN"/>
        </w:rPr>
        <w:t>，</w:t>
      </w:r>
      <w:r>
        <w:t>其生产水平也成为了衡量整个行业技术发展的重要标志。</w:t>
      </w:r>
    </w:p>
    <w:p>
      <w:pPr>
        <w:bidi w:val="0"/>
      </w:pPr>
      <w:r>
        <w:t>1.1.2</w:t>
      </w:r>
      <w:bookmarkStart w:id="4" w:name="OLE_LINK1"/>
      <w:r>
        <w:t>复合氧化铜粉作为一种催化剂</w:t>
      </w:r>
      <w:r>
        <w:rPr>
          <w:rFonts w:hint="eastAsia"/>
          <w:lang w:eastAsia="zh-CN"/>
        </w:rPr>
        <w:t>，</w:t>
      </w:r>
      <w:r>
        <w:t>是生产有机硅单体的核心关键材料。其中</w:t>
      </w:r>
      <w:r>
        <w:rPr>
          <w:rFonts w:hint="eastAsia"/>
          <w:lang w:eastAsia="zh-CN"/>
        </w:rPr>
        <w:t>，</w:t>
      </w:r>
      <w:r>
        <w:t>由单质铜(Cu)、氧化亚铜(Cu</w:t>
      </w:r>
      <w:r>
        <w:rPr>
          <w:vertAlign w:val="subscript"/>
        </w:rPr>
        <w:t>2</w:t>
      </w:r>
      <w:r>
        <w:t>O)和氧化铜(CuO)组成的三价态铜基催化剂是目前国内外各有机硅单体公司生产甲基氯硅烷主要应用的催化剂。然而</w:t>
      </w:r>
      <w:r>
        <w:rPr>
          <w:rFonts w:hint="eastAsia"/>
          <w:lang w:eastAsia="zh-CN"/>
        </w:rPr>
        <w:t>，</w:t>
      </w:r>
      <w:r>
        <w:t>三价态铜间各组分的比例由于生产厂家、生产工艺、比例需求的差异而产生不同。另一方面</w:t>
      </w:r>
      <w:r>
        <w:rPr>
          <w:rFonts w:hint="eastAsia"/>
          <w:lang w:eastAsia="zh-CN"/>
        </w:rPr>
        <w:t>，</w:t>
      </w:r>
      <w:r>
        <w:t>由于国内至今没有相关的行业标准</w:t>
      </w:r>
      <w:r>
        <w:rPr>
          <w:rFonts w:hint="eastAsia"/>
          <w:lang w:eastAsia="zh-CN"/>
        </w:rPr>
        <w:t>，</w:t>
      </w:r>
      <w:r>
        <w:t>各有机硅企业和下游用户对三价态铜基催化剂中三价态成分的测定方法也不尽相同</w:t>
      </w:r>
      <w:r>
        <w:rPr>
          <w:rFonts w:hint="eastAsia"/>
          <w:lang w:eastAsia="zh-CN"/>
        </w:rPr>
        <w:t>，</w:t>
      </w:r>
      <w:r>
        <w:t>导致双方间结果与结论产生偏差</w:t>
      </w:r>
      <w:r>
        <w:rPr>
          <w:rFonts w:hint="eastAsia"/>
          <w:lang w:eastAsia="zh-CN"/>
        </w:rPr>
        <w:t>，</w:t>
      </w:r>
      <w:r>
        <w:t>一定程度上影响了有机硅单体的稳定生产。目前</w:t>
      </w:r>
      <w:r>
        <w:rPr>
          <w:rFonts w:hint="eastAsia"/>
          <w:lang w:eastAsia="zh-CN"/>
        </w:rPr>
        <w:t>，</w:t>
      </w:r>
      <w:r>
        <w:t>复合氧化铜粉的市场需求旺盛(大约在2万吨)；然而市场封闭</w:t>
      </w:r>
      <w:r>
        <w:rPr>
          <w:rFonts w:hint="eastAsia"/>
          <w:lang w:eastAsia="zh-CN"/>
        </w:rPr>
        <w:t>，</w:t>
      </w:r>
      <w:r>
        <w:t>规范性很差</w:t>
      </w:r>
      <w:r>
        <w:rPr>
          <w:rFonts w:hint="eastAsia"/>
          <w:lang w:eastAsia="zh-CN"/>
        </w:rPr>
        <w:t>，</w:t>
      </w:r>
      <w:r>
        <w:t>缺少统一的测试标准方法</w:t>
      </w:r>
      <w:r>
        <w:rPr>
          <w:rFonts w:hint="eastAsia"/>
          <w:lang w:eastAsia="zh-CN"/>
        </w:rPr>
        <w:t>，</w:t>
      </w:r>
      <w:r>
        <w:t>这不利于上下游企业间的技术交流</w:t>
      </w:r>
      <w:r>
        <w:rPr>
          <w:rFonts w:hint="eastAsia"/>
          <w:lang w:eastAsia="zh-CN"/>
        </w:rPr>
        <w:t>，</w:t>
      </w:r>
      <w:r>
        <w:t>也将影响到对三价态铜基催化剂成分结构一性能间“构效关系”的深入研究。因此</w:t>
      </w:r>
      <w:r>
        <w:rPr>
          <w:rFonts w:hint="eastAsia"/>
          <w:lang w:eastAsia="zh-CN"/>
        </w:rPr>
        <w:t>，</w:t>
      </w:r>
      <w:r>
        <w:t>为了研制并生产出性能更优异的复合氧化铜粉</w:t>
      </w:r>
      <w:r>
        <w:rPr>
          <w:rFonts w:hint="eastAsia"/>
          <w:lang w:eastAsia="zh-CN"/>
        </w:rPr>
        <w:t>，</w:t>
      </w:r>
      <w:r>
        <w:t>规范测试材料中三种组分</w:t>
      </w:r>
      <w:r>
        <w:rPr>
          <w:rFonts w:hint="eastAsia"/>
          <w:lang w:eastAsia="zh-CN"/>
        </w:rPr>
        <w:t>，</w:t>
      </w:r>
      <w:r>
        <w:t>制定出复合氧化铜粉三组分的测定标准势在必行。</w:t>
      </w:r>
    </w:p>
    <w:bookmarkEnd w:id="4"/>
    <w:p>
      <w:pPr>
        <w:pStyle w:val="4"/>
        <w:bidi w:val="0"/>
      </w:pPr>
      <w:r>
        <w:t>1.2 标准适用范围</w:t>
      </w:r>
    </w:p>
    <w:p>
      <w:pPr>
        <w:bidi w:val="0"/>
      </w:pPr>
      <w:r>
        <w:t>本标准适用于复合铜基材料、复合氧化铜粉、有机硅甲基、苯基单体合成用铜基催化材料中三组分</w:t>
      </w:r>
      <w:r>
        <w:rPr>
          <w:rFonts w:hint="eastAsia"/>
          <w:lang w:eastAsia="zh-CN"/>
        </w:rPr>
        <w:t>（</w:t>
      </w:r>
      <w:r>
        <w:t>即：铜一氧化亚铜一氧化铜</w:t>
      </w:r>
      <w:r>
        <w:rPr>
          <w:rFonts w:hint="eastAsia"/>
          <w:lang w:eastAsia="zh-CN"/>
        </w:rPr>
        <w:t>，</w:t>
      </w:r>
      <w:r>
        <w:t>又称Cu-Cu</w:t>
      </w:r>
      <w:r>
        <w:rPr>
          <w:vertAlign w:val="subscript"/>
        </w:rPr>
        <w:t>2</w:t>
      </w:r>
      <w:r>
        <w:t>O-CuO</w:t>
      </w:r>
      <w:r>
        <w:rPr>
          <w:rFonts w:hint="eastAsia"/>
          <w:lang w:eastAsia="zh-CN"/>
        </w:rPr>
        <w:t>）</w:t>
      </w:r>
      <w:r>
        <w:t>的测定。测定范围：铜（Cu）含量：0.1%-20%氧化亚铜（Cu</w:t>
      </w:r>
      <w:r>
        <w:rPr>
          <w:vertAlign w:val="subscript"/>
        </w:rPr>
        <w:t>2</w:t>
      </w:r>
      <w:r>
        <w:t>O）含量：40%-95%，氧化铜（CuO）含量：5%-45%。</w:t>
      </w:r>
    </w:p>
    <w:p>
      <w:pPr>
        <w:pStyle w:val="4"/>
        <w:bidi w:val="0"/>
      </w:pPr>
      <w:r>
        <w:t>1.3 标准制定的可行性</w:t>
      </w:r>
    </w:p>
    <w:p>
      <w:pPr>
        <w:bidi w:val="0"/>
      </w:pPr>
      <w:r>
        <w:t>本项目规定了检测铜基催化材料的化学试剂、仪器要求、容器要求、检测方法及操作规程等。测试不需要采购专门的分析仪器设备，成本低廉；操作简单，普通人员既可以完成操作；结果误差较小，完全能够满足生产上对三元铜基催化剂的选择或者研发要求。有利于提升我国检测依据及检测水平，建立和完善三元铜基催化剂三元成分测定的检测标准体系。</w:t>
      </w:r>
    </w:p>
    <w:p>
      <w:pPr>
        <w:pStyle w:val="4"/>
        <w:bidi w:val="0"/>
      </w:pPr>
      <w:r>
        <w:t>1.4 拟要解决的主要问题</w:t>
      </w:r>
    </w:p>
    <w:p>
      <w:pPr>
        <w:bidi w:val="0"/>
      </w:pPr>
      <w:r>
        <w:t>解决复合氧化铜粉三价态铜/铜氧化物测定无标准可执行，无检测依据。方法不统一，导致销售时常有争议。</w:t>
      </w:r>
    </w:p>
    <w:p>
      <w:pPr>
        <w:pStyle w:val="4"/>
        <w:bidi w:val="0"/>
      </w:pPr>
      <w:r>
        <w:t>1.5 国内外标准情况</w:t>
      </w:r>
    </w:p>
    <w:p>
      <w:pPr>
        <w:bidi w:val="0"/>
      </w:pPr>
      <w:r>
        <w:t>有机硅是典型的资金、技术密集型行业</w:t>
      </w:r>
      <w:r>
        <w:rPr>
          <w:rFonts w:hint="eastAsia"/>
          <w:lang w:eastAsia="zh-CN"/>
        </w:rPr>
        <w:t>，</w:t>
      </w:r>
      <w:r>
        <w:t>长期以来为少数外国公司所垄断。但自21世纪初以来</w:t>
      </w:r>
      <w:r>
        <w:rPr>
          <w:rFonts w:hint="eastAsia"/>
          <w:lang w:eastAsia="zh-CN"/>
        </w:rPr>
        <w:t>，</w:t>
      </w:r>
      <w:r>
        <w:t>随着中国企业的崛起</w:t>
      </w:r>
      <w:r>
        <w:rPr>
          <w:rFonts w:hint="eastAsia"/>
          <w:lang w:eastAsia="zh-CN"/>
        </w:rPr>
        <w:t>，</w:t>
      </w:r>
      <w:r>
        <w:t>市场格局逐步发生变化</w:t>
      </w:r>
      <w:r>
        <w:rPr>
          <w:rFonts w:hint="eastAsia"/>
          <w:lang w:eastAsia="zh-CN"/>
        </w:rPr>
        <w:t>，</w:t>
      </w:r>
      <w:r>
        <w:t>中国企业在市场所占的比例快速提高</w:t>
      </w:r>
      <w:r>
        <w:rPr>
          <w:rFonts w:hint="eastAsia"/>
          <w:lang w:eastAsia="zh-CN"/>
        </w:rPr>
        <w:t>，</w:t>
      </w:r>
      <w:r>
        <w:t>国外企业所占比例逐步下滑。尤其是近十年来</w:t>
      </w:r>
      <w:r>
        <w:rPr>
          <w:rFonts w:hint="eastAsia"/>
          <w:lang w:eastAsia="zh-CN"/>
        </w:rPr>
        <w:t>，</w:t>
      </w:r>
      <w:r>
        <w:t>有机硅全球产能向中国国内转移趋势明显</w:t>
      </w:r>
      <w:r>
        <w:rPr>
          <w:rFonts w:hint="eastAsia"/>
          <w:lang w:eastAsia="zh-CN"/>
        </w:rPr>
        <w:t>，</w:t>
      </w:r>
      <w:r>
        <w:t>我国已成为有机硅生产和消费大国。</w:t>
      </w:r>
    </w:p>
    <w:p>
      <w:pPr>
        <w:bidi w:val="0"/>
      </w:pPr>
      <w:r>
        <w:t>目前</w:t>
      </w:r>
      <w:r>
        <w:rPr>
          <w:rFonts w:hint="eastAsia"/>
          <w:lang w:eastAsia="zh-CN"/>
        </w:rPr>
        <w:t>，</w:t>
      </w:r>
      <w:r>
        <w:t>全球有机硅单体产能主要分布在中国、德国、美国、英国、日本、泰国和法国。主要企业为</w:t>
      </w:r>
      <w:r>
        <w:rPr>
          <w:rFonts w:hint="eastAsia"/>
          <w:lang w:eastAsia="zh-CN"/>
        </w:rPr>
        <w:t>：</w:t>
      </w:r>
      <w:r>
        <w:t>陶氏化学公司</w:t>
      </w:r>
      <w:r>
        <w:rPr>
          <w:rFonts w:hint="eastAsia"/>
          <w:lang w:eastAsia="zh-CN"/>
        </w:rPr>
        <w:t>（</w:t>
      </w:r>
      <w:r>
        <w:t>美国</w:t>
      </w:r>
      <w:r>
        <w:rPr>
          <w:rFonts w:hint="eastAsia"/>
          <w:lang w:eastAsia="zh-CN"/>
        </w:rPr>
        <w:t>，</w:t>
      </w:r>
      <w:r>
        <w:t>前身为道康宁</w:t>
      </w:r>
      <w:r>
        <w:rPr>
          <w:rFonts w:hint="eastAsia"/>
          <w:lang w:eastAsia="zh-CN"/>
        </w:rPr>
        <w:t>）</w:t>
      </w:r>
      <w:r>
        <w:t>、埃肯公司</w:t>
      </w:r>
      <w:r>
        <w:rPr>
          <w:rFonts w:hint="eastAsia"/>
          <w:lang w:eastAsia="zh-CN"/>
        </w:rPr>
        <w:t>（</w:t>
      </w:r>
      <w:r>
        <w:t>法国/中国</w:t>
      </w:r>
      <w:r>
        <w:rPr>
          <w:rFonts w:hint="eastAsia"/>
          <w:lang w:eastAsia="zh-CN"/>
        </w:rPr>
        <w:t>）</w:t>
      </w:r>
      <w:r>
        <w:t>、瓦克化学</w:t>
      </w:r>
      <w:r>
        <w:rPr>
          <w:rFonts w:hint="eastAsia"/>
          <w:lang w:eastAsia="zh-CN"/>
        </w:rPr>
        <w:t>（</w:t>
      </w:r>
      <w:r>
        <w:t>德国</w:t>
      </w:r>
      <w:r>
        <w:rPr>
          <w:rFonts w:hint="eastAsia"/>
          <w:lang w:eastAsia="zh-CN"/>
        </w:rPr>
        <w:t>）</w:t>
      </w:r>
      <w:r>
        <w:t>、合盛硅业</w:t>
      </w:r>
      <w:r>
        <w:rPr>
          <w:rFonts w:hint="eastAsia"/>
          <w:lang w:eastAsia="zh-CN"/>
        </w:rPr>
        <w:t>（</w:t>
      </w:r>
      <w:r>
        <w:t>中国</w:t>
      </w:r>
      <w:r>
        <w:rPr>
          <w:rFonts w:hint="eastAsia"/>
          <w:lang w:eastAsia="zh-CN"/>
        </w:rPr>
        <w:t>）</w:t>
      </w:r>
      <w:r>
        <w:t>、迈图</w:t>
      </w:r>
      <w:r>
        <w:rPr>
          <w:rFonts w:hint="eastAsia"/>
          <w:lang w:eastAsia="zh-CN"/>
        </w:rPr>
        <w:t>（</w:t>
      </w:r>
      <w:r>
        <w:t>美国/韩国</w:t>
      </w:r>
      <w:r>
        <w:rPr>
          <w:rFonts w:hint="eastAsia"/>
          <w:lang w:eastAsia="zh-CN"/>
        </w:rPr>
        <w:t>）</w:t>
      </w:r>
      <w:r>
        <w:t>、新安股份</w:t>
      </w:r>
      <w:r>
        <w:rPr>
          <w:rFonts w:hint="eastAsia"/>
          <w:lang w:eastAsia="zh-CN"/>
        </w:rPr>
        <w:t>（</w:t>
      </w:r>
      <w:r>
        <w:t>中国</w:t>
      </w:r>
      <w:r>
        <w:rPr>
          <w:rFonts w:hint="eastAsia"/>
          <w:lang w:eastAsia="zh-CN"/>
        </w:rPr>
        <w:t>）</w:t>
      </w:r>
      <w:r>
        <w:t>、信越化学工业株式会社</w:t>
      </w:r>
      <w:r>
        <w:rPr>
          <w:rFonts w:hint="eastAsia"/>
          <w:lang w:eastAsia="zh-CN"/>
        </w:rPr>
        <w:t>（</w:t>
      </w:r>
      <w:r>
        <w:t>日本</w:t>
      </w:r>
      <w:r>
        <w:rPr>
          <w:rFonts w:hint="eastAsia"/>
          <w:lang w:eastAsia="zh-CN"/>
        </w:rPr>
        <w:t>）</w:t>
      </w:r>
      <w:r>
        <w:t>、兴发集团</w:t>
      </w:r>
      <w:r>
        <w:rPr>
          <w:rFonts w:hint="eastAsia"/>
          <w:lang w:eastAsia="zh-CN"/>
        </w:rPr>
        <w:t>（</w:t>
      </w:r>
      <w:r>
        <w:t>中国</w:t>
      </w:r>
      <w:r>
        <w:rPr>
          <w:rFonts w:hint="eastAsia"/>
          <w:lang w:eastAsia="zh-CN"/>
        </w:rPr>
        <w:t>）</w:t>
      </w:r>
      <w:r>
        <w:t>、东岳硅材</w:t>
      </w:r>
      <w:r>
        <w:rPr>
          <w:rFonts w:hint="eastAsia"/>
          <w:lang w:eastAsia="zh-CN"/>
        </w:rPr>
        <w:t>（</w:t>
      </w:r>
      <w:r>
        <w:t>中国</w:t>
      </w:r>
      <w:r>
        <w:rPr>
          <w:rFonts w:hint="eastAsia"/>
          <w:lang w:eastAsia="zh-CN"/>
        </w:rPr>
        <w:t>）</w:t>
      </w:r>
      <w:r>
        <w:t>以及三友化工</w:t>
      </w:r>
      <w:r>
        <w:rPr>
          <w:rFonts w:hint="eastAsia"/>
          <w:lang w:eastAsia="zh-CN"/>
        </w:rPr>
        <w:t>（</w:t>
      </w:r>
      <w:r>
        <w:t>中国</w:t>
      </w:r>
      <w:r>
        <w:rPr>
          <w:rFonts w:hint="eastAsia"/>
          <w:lang w:eastAsia="zh-CN"/>
        </w:rPr>
        <w:t>）</w:t>
      </w:r>
      <w:r>
        <w:t>。截止至2021年6月底</w:t>
      </w:r>
      <w:r>
        <w:rPr>
          <w:rFonts w:hint="eastAsia"/>
          <w:lang w:eastAsia="zh-CN"/>
        </w:rPr>
        <w:t>，</w:t>
      </w:r>
      <w:r>
        <w:t>全球有机硅甲基单体产能约617.6万吨/年</w:t>
      </w:r>
      <w:r>
        <w:rPr>
          <w:rFonts w:hint="eastAsia"/>
          <w:lang w:eastAsia="zh-CN"/>
        </w:rPr>
        <w:t>，</w:t>
      </w:r>
      <w:r>
        <w:t>其中中国境内有机硅甲基单体产能约370.5万吨/年</w:t>
      </w:r>
      <w:r>
        <w:rPr>
          <w:rFonts w:hint="eastAsia"/>
          <w:lang w:eastAsia="zh-CN"/>
        </w:rPr>
        <w:t>，</w:t>
      </w:r>
      <w:r>
        <w:t>占全球有机硅甲基单体产能的60%。</w:t>
      </w:r>
    </w:p>
    <w:p>
      <w:pPr>
        <w:bidi w:val="0"/>
      </w:pPr>
      <w:r>
        <w:t>有机硅甲基单体合成工业生产的铜基催化剂经历了从电解铜粉、铜盐(CuCl</w:t>
      </w:r>
      <w:r>
        <w:rPr>
          <w:vertAlign w:val="subscript"/>
        </w:rPr>
        <w:t>2</w:t>
      </w:r>
      <w:r>
        <w:t>)、金属铜(Cu)、氧化亚铜(Cu</w:t>
      </w:r>
      <w:r>
        <w:rPr>
          <w:vertAlign w:val="subscript"/>
        </w:rPr>
        <w:t>2</w:t>
      </w:r>
      <w:r>
        <w:t>O)、氧化铜(CuO)到三价态复合氧化铜粉(Cu-Cu</w:t>
      </w:r>
      <w:r>
        <w:rPr>
          <w:vertAlign w:val="subscript"/>
        </w:rPr>
        <w:t>2</w:t>
      </w:r>
      <w:r>
        <w:t>O-CuO)的发展历程,如今主要是复合氧化铜粉铜基催化剂粉体材料。复合氧化铜粉的催化性能主要取决于三种铜组分的比例,又受到催化剂粒度以及形貌的影响。最具代表性的复合氧化铜粉是由美国的Smith Corona Marchant(SCM)公司在1962年开发的</w:t>
      </w:r>
      <w:r>
        <w:rPr>
          <w:rFonts w:hint="eastAsia"/>
          <w:lang w:eastAsia="zh-CN"/>
        </w:rPr>
        <w:t>，</w:t>
      </w:r>
      <w:r>
        <w:t>通过对金属铜粉的可控氧化</w:t>
      </w:r>
      <w:r>
        <w:rPr>
          <w:rFonts w:hint="eastAsia"/>
          <w:lang w:eastAsia="zh-CN"/>
        </w:rPr>
        <w:t>，</w:t>
      </w:r>
      <w:r>
        <w:t>得到的复合氧化铜粉粒径约为1-35μm</w:t>
      </w:r>
      <w:r>
        <w:rPr>
          <w:rFonts w:hint="eastAsia"/>
          <w:lang w:eastAsia="zh-CN"/>
        </w:rPr>
        <w:t>，</w:t>
      </w:r>
      <w:r>
        <w:t>比表面积约为3-4m</w:t>
      </w:r>
      <w:r>
        <w:rPr>
          <w:vertAlign w:val="superscript"/>
        </w:rPr>
        <w:t>2</w:t>
      </w:r>
      <w:r>
        <w:t>/g。</w:t>
      </w:r>
    </w:p>
    <w:p>
      <w:pPr>
        <w:bidi w:val="0"/>
      </w:pPr>
      <w:r>
        <w:t>国产铜基催化剂开发成功之前</w:t>
      </w:r>
      <w:r>
        <w:rPr>
          <w:rFonts w:hint="eastAsia"/>
          <w:lang w:eastAsia="zh-CN"/>
        </w:rPr>
        <w:t>，</w:t>
      </w:r>
      <w:r>
        <w:t>国内的有机硅单体生产企业</w:t>
      </w:r>
      <w:r>
        <w:rPr>
          <w:rFonts w:hint="eastAsia"/>
          <w:lang w:eastAsia="zh-CN"/>
        </w:rPr>
        <w:t>基本</w:t>
      </w:r>
      <w:r>
        <w:t>是采购美国SCM公司的铜基催化剂产品</w:t>
      </w:r>
      <w:r>
        <w:rPr>
          <w:rFonts w:hint="eastAsia"/>
          <w:lang w:eastAsia="zh-CN"/>
        </w:rPr>
        <w:t>，</w:t>
      </w:r>
      <w:r>
        <w:t>后来逐步被国产铜基催化剂粉体材料替代。近年来</w:t>
      </w:r>
      <w:r>
        <w:rPr>
          <w:rFonts w:hint="eastAsia"/>
          <w:lang w:eastAsia="zh-CN"/>
        </w:rPr>
        <w:t>，</w:t>
      </w:r>
      <w:r>
        <w:t>国内的有机硅单体企业基本已不再采购美国SCM公司的催化剂粉体产品</w:t>
      </w:r>
      <w:r>
        <w:rPr>
          <w:rFonts w:hint="eastAsia"/>
          <w:lang w:eastAsia="zh-CN"/>
        </w:rPr>
        <w:t>，</w:t>
      </w:r>
      <w:r>
        <w:t>设在国内的分公司一元磁新型材料</w:t>
      </w:r>
      <w:r>
        <w:rPr>
          <w:rFonts w:hint="eastAsia"/>
          <w:lang w:eastAsia="zh-CN"/>
        </w:rPr>
        <w:t>（</w:t>
      </w:r>
      <w:r>
        <w:t>苏州</w:t>
      </w:r>
      <w:r>
        <w:rPr>
          <w:rFonts w:hint="eastAsia"/>
          <w:lang w:eastAsia="zh-CN"/>
        </w:rPr>
        <w:t>）</w:t>
      </w:r>
      <w:r>
        <w:t>有限公司经营状况也一般。目前</w:t>
      </w:r>
      <w:r>
        <w:rPr>
          <w:rFonts w:hint="eastAsia"/>
          <w:lang w:eastAsia="zh-CN"/>
        </w:rPr>
        <w:t>，</w:t>
      </w:r>
      <w:r>
        <w:t>国内生产有机硅单体合成用铜基催化剂的企业主要有</w:t>
      </w:r>
      <w:r>
        <w:rPr>
          <w:rFonts w:hint="eastAsia"/>
          <w:lang w:eastAsia="zh-CN"/>
        </w:rPr>
        <w:t>：</w:t>
      </w:r>
      <w:r>
        <w:t>湖南天心博力科技有限公司、昆山德泰新材料科技有限公司、苏州铜宝锐新材料有限公司、安徽旭晶粉体新材料科技有限公司、兰州蓝星清洗有限公司。</w:t>
      </w:r>
    </w:p>
    <w:p>
      <w:pPr>
        <w:bidi w:val="0"/>
      </w:pPr>
      <w:r>
        <w:t>虽然</w:t>
      </w:r>
      <w:r>
        <w:rPr>
          <w:rFonts w:hint="eastAsia"/>
          <w:lang w:eastAsia="zh-CN"/>
        </w:rPr>
        <w:t>，</w:t>
      </w:r>
      <w:r>
        <w:t>国内有少数单体公司通过碘量滴定法检测复合氧化铜粉催化剂样品中金属铜含量</w:t>
      </w:r>
      <w:r>
        <w:rPr>
          <w:rFonts w:hint="eastAsia"/>
          <w:lang w:eastAsia="zh-CN"/>
        </w:rPr>
        <w:t>，</w:t>
      </w:r>
      <w:r>
        <w:t>却不能完全区分出不同价位铜的含量。而利用XRD、ICP和XPS等手段进行分析也都是定性检测</w:t>
      </w:r>
      <w:r>
        <w:rPr>
          <w:rFonts w:hint="eastAsia"/>
          <w:lang w:eastAsia="zh-CN"/>
        </w:rPr>
        <w:t>，</w:t>
      </w:r>
      <w:r>
        <w:t>不能将各组分定量</w:t>
      </w:r>
      <w:r>
        <w:rPr>
          <w:rFonts w:hint="eastAsia"/>
          <w:lang w:eastAsia="zh-CN"/>
        </w:rPr>
        <w:t>，</w:t>
      </w:r>
      <w:r>
        <w:t>且使用仪器检测</w:t>
      </w:r>
      <w:r>
        <w:rPr>
          <w:rFonts w:hint="eastAsia"/>
          <w:lang w:eastAsia="zh-CN"/>
        </w:rPr>
        <w:t>，</w:t>
      </w:r>
      <w:r>
        <w:t>具有成本高且需要专业人员进行操作、维护等局限性。</w:t>
      </w:r>
    </w:p>
    <w:p>
      <w:pPr>
        <w:bidi w:val="0"/>
        <w:rPr>
          <w:rFonts w:ascii="Times New Roman" w:hAnsi="Times New Roman"/>
        </w:rPr>
      </w:pPr>
      <w:r>
        <w:t>迄今为止，国内没有查到复合氧化铜粉三价态铜/铜氧化物测定的有关标准，国外也没有查到相关的技术条件。</w:t>
      </w:r>
    </w:p>
    <w:p>
      <w:pPr>
        <w:pStyle w:val="3"/>
        <w:bidi w:val="0"/>
      </w:pPr>
      <w:bookmarkStart w:id="5" w:name="_Toc629"/>
      <w:r>
        <w:t>（三）主要参加单位和工作组成员及其工作</w:t>
      </w:r>
      <w:bookmarkEnd w:id="5"/>
    </w:p>
    <w:p>
      <w:pPr>
        <w:pStyle w:val="4"/>
        <w:bidi w:val="0"/>
      </w:pPr>
      <w:r>
        <w:t>3.1 起草单位和验证单位</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szCs w:val="21"/>
        </w:rPr>
      </w:pPr>
      <w:r>
        <w:rPr>
          <w:rFonts w:hint="eastAsia" w:ascii="黑体" w:hAnsi="黑体" w:eastAsia="黑体" w:cs="黑体"/>
          <w:szCs w:val="21"/>
        </w:rPr>
        <w:t>表1 起草单位和验证单位</w:t>
      </w:r>
    </w:p>
    <w:tbl>
      <w:tblPr>
        <w:tblStyle w:val="2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4079"/>
        <w:gridCol w:w="3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序号</w:t>
            </w:r>
          </w:p>
        </w:tc>
        <w:tc>
          <w:tcPr>
            <w:tcW w:w="40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单位名称</w:t>
            </w:r>
          </w:p>
        </w:tc>
        <w:tc>
          <w:tcPr>
            <w:tcW w:w="37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起草或验证情况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1</w:t>
            </w:r>
          </w:p>
        </w:tc>
        <w:tc>
          <w:tcPr>
            <w:tcW w:w="40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有研粉末新材料（合肥）有限公司</w:t>
            </w:r>
          </w:p>
        </w:tc>
        <w:tc>
          <w:tcPr>
            <w:tcW w:w="37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kern w:val="0"/>
                <w:sz w:val="20"/>
                <w:szCs w:val="21"/>
                <w:lang w:val="en-US" w:eastAsia="zh-CN"/>
              </w:rPr>
            </w:pPr>
            <w:r>
              <w:rPr>
                <w:rFonts w:hint="eastAsia"/>
                <w:kern w:val="0"/>
                <w:sz w:val="20"/>
                <w:szCs w:val="21"/>
                <w:lang w:val="en-US" w:eastAsia="zh-CN"/>
              </w:rPr>
              <w:t>2</w:t>
            </w:r>
          </w:p>
        </w:tc>
        <w:tc>
          <w:tcPr>
            <w:tcW w:w="40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深圳市中金岭南有色金属股份有限公司</w:t>
            </w:r>
          </w:p>
        </w:tc>
        <w:tc>
          <w:tcPr>
            <w:tcW w:w="37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一验单位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kern w:val="0"/>
                <w:sz w:val="20"/>
                <w:szCs w:val="21"/>
                <w:lang w:val="en-US" w:eastAsia="zh-CN"/>
              </w:rPr>
            </w:pPr>
            <w:r>
              <w:rPr>
                <w:rFonts w:hint="eastAsia"/>
                <w:kern w:val="0"/>
                <w:sz w:val="20"/>
                <w:szCs w:val="21"/>
                <w:lang w:val="en-US" w:eastAsia="zh-CN"/>
              </w:rPr>
              <w:t>3</w:t>
            </w:r>
          </w:p>
        </w:tc>
        <w:tc>
          <w:tcPr>
            <w:tcW w:w="4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国标</w:t>
            </w:r>
            <w:r>
              <w:rPr>
                <w:rFonts w:hint="eastAsia"/>
                <w:kern w:val="0"/>
                <w:sz w:val="20"/>
                <w:szCs w:val="21"/>
                <w:lang w:eastAsia="zh-CN"/>
              </w:rPr>
              <w:t>（</w:t>
            </w:r>
            <w:r>
              <w:rPr>
                <w:rFonts w:ascii="Times New Roman" w:hAnsi="Times New Roman" w:eastAsia="宋体"/>
                <w:kern w:val="0"/>
                <w:sz w:val="20"/>
                <w:szCs w:val="21"/>
              </w:rPr>
              <w:t>北京</w:t>
            </w:r>
            <w:r>
              <w:rPr>
                <w:rFonts w:hint="eastAsia"/>
                <w:kern w:val="0"/>
                <w:sz w:val="20"/>
                <w:szCs w:val="21"/>
                <w:lang w:eastAsia="zh-CN"/>
              </w:rPr>
              <w:t>）</w:t>
            </w:r>
            <w:r>
              <w:rPr>
                <w:rFonts w:ascii="Times New Roman" w:hAnsi="Times New Roman" w:eastAsia="宋体"/>
                <w:kern w:val="0"/>
                <w:sz w:val="20"/>
                <w:szCs w:val="21"/>
              </w:rPr>
              <w:t>检验认证有限公司</w:t>
            </w:r>
          </w:p>
        </w:tc>
        <w:tc>
          <w:tcPr>
            <w:tcW w:w="37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一验单位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kern w:val="0"/>
                <w:sz w:val="20"/>
                <w:szCs w:val="21"/>
                <w:lang w:val="en-US" w:eastAsia="zh-CN"/>
              </w:rPr>
            </w:pPr>
            <w:r>
              <w:rPr>
                <w:rFonts w:hint="eastAsia"/>
                <w:kern w:val="0"/>
                <w:sz w:val="20"/>
                <w:szCs w:val="21"/>
                <w:lang w:val="en-US" w:eastAsia="zh-CN"/>
              </w:rPr>
              <w:t>4</w:t>
            </w:r>
          </w:p>
        </w:tc>
        <w:tc>
          <w:tcPr>
            <w:tcW w:w="4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江西铜业股份有限公司</w:t>
            </w:r>
          </w:p>
        </w:tc>
        <w:tc>
          <w:tcPr>
            <w:tcW w:w="37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一验单位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kern w:val="0"/>
                <w:sz w:val="20"/>
                <w:szCs w:val="21"/>
                <w:lang w:val="en-US" w:eastAsia="zh-CN"/>
              </w:rPr>
            </w:pPr>
            <w:r>
              <w:rPr>
                <w:rFonts w:hint="eastAsia"/>
                <w:kern w:val="0"/>
                <w:sz w:val="20"/>
                <w:szCs w:val="21"/>
                <w:lang w:val="en-US" w:eastAsia="zh-CN"/>
              </w:rPr>
              <w:t>5</w:t>
            </w:r>
          </w:p>
        </w:tc>
        <w:tc>
          <w:tcPr>
            <w:tcW w:w="4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唐山三友硅业有限责任公司</w:t>
            </w:r>
          </w:p>
        </w:tc>
        <w:tc>
          <w:tcPr>
            <w:tcW w:w="37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一验单位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0"/>
                <w:szCs w:val="21"/>
                <w:lang w:val="en-US" w:eastAsia="zh-CN" w:bidi="ar-SA"/>
              </w:rPr>
            </w:pPr>
            <w:r>
              <w:rPr>
                <w:rFonts w:hint="eastAsia" w:cs="Times New Roman"/>
                <w:kern w:val="0"/>
                <w:sz w:val="20"/>
                <w:szCs w:val="21"/>
                <w:lang w:val="en-US" w:eastAsia="zh-CN" w:bidi="ar-SA"/>
              </w:rPr>
              <w:t>6</w:t>
            </w:r>
          </w:p>
        </w:tc>
        <w:tc>
          <w:tcPr>
            <w:tcW w:w="4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kern w:val="0"/>
                <w:sz w:val="20"/>
                <w:szCs w:val="21"/>
                <w:lang w:val="en-US" w:eastAsia="zh-CN" w:bidi="ar-SA"/>
              </w:rPr>
            </w:pPr>
            <w:r>
              <w:rPr>
                <w:rFonts w:ascii="Times New Roman" w:hAnsi="Times New Roman" w:eastAsia="宋体"/>
                <w:kern w:val="0"/>
                <w:sz w:val="20"/>
                <w:szCs w:val="21"/>
              </w:rPr>
              <w:t>有研粉末新材料股份有限公司</w:t>
            </w:r>
          </w:p>
        </w:tc>
        <w:tc>
          <w:tcPr>
            <w:tcW w:w="37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kern w:val="0"/>
                <w:sz w:val="20"/>
                <w:szCs w:val="21"/>
                <w:lang w:val="en-US" w:eastAsia="zh-CN" w:bidi="ar-SA"/>
              </w:rPr>
            </w:pPr>
            <w:r>
              <w:rPr>
                <w:rFonts w:ascii="Times New Roman" w:hAnsi="Times New Roman" w:eastAsia="宋体"/>
                <w:kern w:val="0"/>
                <w:sz w:val="20"/>
                <w:szCs w:val="21"/>
              </w:rPr>
              <w:t>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kern w:val="0"/>
                <w:sz w:val="20"/>
                <w:szCs w:val="21"/>
                <w:lang w:val="en-US" w:eastAsia="zh-CN"/>
              </w:rPr>
            </w:pPr>
            <w:r>
              <w:rPr>
                <w:rFonts w:hint="eastAsia"/>
                <w:kern w:val="0"/>
                <w:sz w:val="20"/>
                <w:szCs w:val="21"/>
                <w:lang w:val="en-US" w:eastAsia="zh-CN"/>
              </w:rPr>
              <w:t>7</w:t>
            </w:r>
          </w:p>
        </w:tc>
        <w:tc>
          <w:tcPr>
            <w:tcW w:w="4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金川集团股份有限公司</w:t>
            </w:r>
          </w:p>
        </w:tc>
        <w:tc>
          <w:tcPr>
            <w:tcW w:w="37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二验单位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kern w:val="0"/>
                <w:sz w:val="20"/>
                <w:szCs w:val="21"/>
                <w:lang w:val="en-US" w:eastAsia="zh-CN"/>
              </w:rPr>
            </w:pPr>
            <w:r>
              <w:rPr>
                <w:rFonts w:hint="eastAsia"/>
                <w:kern w:val="0"/>
                <w:sz w:val="20"/>
                <w:szCs w:val="21"/>
                <w:lang w:val="en-US" w:eastAsia="zh-CN"/>
              </w:rPr>
              <w:t>8</w:t>
            </w:r>
          </w:p>
        </w:tc>
        <w:tc>
          <w:tcPr>
            <w:tcW w:w="4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中国检验认证集团广西有限公司</w:t>
            </w:r>
          </w:p>
        </w:tc>
        <w:tc>
          <w:tcPr>
            <w:tcW w:w="37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二验单位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kern w:val="0"/>
                <w:sz w:val="20"/>
                <w:szCs w:val="21"/>
                <w:lang w:val="en-US" w:eastAsia="zh-CN"/>
              </w:rPr>
            </w:pPr>
            <w:r>
              <w:rPr>
                <w:rFonts w:hint="eastAsia"/>
                <w:kern w:val="0"/>
                <w:sz w:val="20"/>
                <w:szCs w:val="21"/>
                <w:lang w:val="en-US" w:eastAsia="zh-CN"/>
              </w:rPr>
              <w:t>9</w:t>
            </w:r>
          </w:p>
        </w:tc>
        <w:tc>
          <w:tcPr>
            <w:tcW w:w="4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辽宁中科力勒检测技术股份有限公司</w:t>
            </w:r>
          </w:p>
        </w:tc>
        <w:tc>
          <w:tcPr>
            <w:tcW w:w="37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二验单位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kern w:val="0"/>
                <w:sz w:val="20"/>
                <w:szCs w:val="21"/>
                <w:lang w:val="en-US" w:eastAsia="zh-CN"/>
              </w:rPr>
            </w:pPr>
            <w:r>
              <w:rPr>
                <w:rFonts w:hint="eastAsia"/>
                <w:kern w:val="0"/>
                <w:sz w:val="20"/>
                <w:szCs w:val="21"/>
                <w:lang w:val="en-US" w:eastAsia="zh-CN"/>
              </w:rPr>
              <w:t>10</w:t>
            </w:r>
          </w:p>
        </w:tc>
        <w:tc>
          <w:tcPr>
            <w:tcW w:w="4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中国检验认证集团广东黄埔有限公司</w:t>
            </w:r>
          </w:p>
        </w:tc>
        <w:tc>
          <w:tcPr>
            <w:tcW w:w="37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二验单位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kern w:val="0"/>
                <w:sz w:val="20"/>
                <w:szCs w:val="21"/>
                <w:lang w:val="en-US" w:eastAsia="zh-CN"/>
              </w:rPr>
            </w:pPr>
            <w:r>
              <w:rPr>
                <w:rFonts w:hint="eastAsia"/>
                <w:kern w:val="0"/>
                <w:sz w:val="20"/>
                <w:szCs w:val="21"/>
                <w:lang w:val="en-US" w:eastAsia="zh-CN"/>
              </w:rPr>
              <w:t>11</w:t>
            </w:r>
          </w:p>
        </w:tc>
        <w:tc>
          <w:tcPr>
            <w:tcW w:w="4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紫金矿业集团股份有限公司</w:t>
            </w:r>
          </w:p>
        </w:tc>
        <w:tc>
          <w:tcPr>
            <w:tcW w:w="37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二验单位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kern w:val="0"/>
                <w:sz w:val="20"/>
                <w:szCs w:val="21"/>
                <w:lang w:val="en-US" w:eastAsia="zh-CN"/>
              </w:rPr>
            </w:pPr>
            <w:r>
              <w:rPr>
                <w:rFonts w:ascii="Times New Roman" w:hAnsi="Times New Roman" w:eastAsia="宋体"/>
                <w:kern w:val="0"/>
                <w:sz w:val="20"/>
                <w:szCs w:val="21"/>
              </w:rPr>
              <w:t>1</w:t>
            </w:r>
            <w:r>
              <w:rPr>
                <w:rFonts w:hint="eastAsia"/>
                <w:kern w:val="0"/>
                <w:sz w:val="20"/>
                <w:szCs w:val="21"/>
                <w:lang w:val="en-US" w:eastAsia="zh-CN"/>
              </w:rPr>
              <w:t>2</w:t>
            </w:r>
          </w:p>
        </w:tc>
        <w:tc>
          <w:tcPr>
            <w:tcW w:w="4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铜陵有色金属集团控股有限公司</w:t>
            </w:r>
          </w:p>
        </w:tc>
        <w:tc>
          <w:tcPr>
            <w:tcW w:w="37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二验单位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kern w:val="0"/>
                <w:sz w:val="20"/>
                <w:szCs w:val="21"/>
                <w:lang w:val="en-US" w:eastAsia="zh-CN"/>
              </w:rPr>
            </w:pPr>
            <w:r>
              <w:rPr>
                <w:rFonts w:ascii="Times New Roman" w:hAnsi="Times New Roman" w:eastAsia="宋体"/>
                <w:kern w:val="0"/>
                <w:sz w:val="20"/>
                <w:szCs w:val="21"/>
              </w:rPr>
              <w:t>1</w:t>
            </w:r>
            <w:r>
              <w:rPr>
                <w:rFonts w:hint="eastAsia"/>
                <w:kern w:val="0"/>
                <w:sz w:val="20"/>
                <w:szCs w:val="21"/>
                <w:lang w:val="en-US" w:eastAsia="zh-CN"/>
              </w:rPr>
              <w:t>3</w:t>
            </w:r>
          </w:p>
        </w:tc>
        <w:tc>
          <w:tcPr>
            <w:tcW w:w="4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江西江南新材料科技股份有限公司</w:t>
            </w:r>
          </w:p>
        </w:tc>
        <w:tc>
          <w:tcPr>
            <w:tcW w:w="37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0"/>
                <w:szCs w:val="21"/>
              </w:rPr>
            </w:pPr>
            <w:r>
              <w:rPr>
                <w:rFonts w:ascii="Times New Roman" w:hAnsi="Times New Roman" w:eastAsia="宋体"/>
                <w:kern w:val="0"/>
                <w:sz w:val="20"/>
                <w:szCs w:val="21"/>
              </w:rPr>
              <w:t>二验单位</w:t>
            </w:r>
          </w:p>
        </w:tc>
      </w:tr>
    </w:tbl>
    <w:p>
      <w:pPr>
        <w:pStyle w:val="4"/>
        <w:bidi w:val="0"/>
      </w:pPr>
      <w:r>
        <w:t>3.2 本文件主要起草人</w:t>
      </w:r>
    </w:p>
    <w:p>
      <w:pPr>
        <w:ind w:firstLine="420"/>
        <w:rPr>
          <w:szCs w:val="21"/>
        </w:rPr>
      </w:pPr>
      <w:r>
        <w:rPr>
          <w:szCs w:val="21"/>
        </w:rPr>
        <w:t>各起草人在本文件编制过程中的工作职责见表2所示：</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szCs w:val="21"/>
        </w:rPr>
      </w:pPr>
      <w:r>
        <w:rPr>
          <w:rFonts w:hint="eastAsia" w:ascii="黑体" w:hAnsi="黑体" w:eastAsia="黑体" w:cs="黑体"/>
          <w:szCs w:val="21"/>
        </w:rPr>
        <w:t>表</w:t>
      </w:r>
      <w:r>
        <w:rPr>
          <w:rFonts w:hint="eastAsia" w:ascii="黑体" w:hAnsi="黑体" w:eastAsia="黑体" w:cs="黑体"/>
          <w:szCs w:val="21"/>
          <w:lang w:val="en-US" w:eastAsia="zh-CN"/>
        </w:rPr>
        <w:t>2</w:t>
      </w:r>
      <w:r>
        <w:rPr>
          <w:rFonts w:hint="eastAsia" w:ascii="黑体" w:hAnsi="黑体" w:eastAsia="黑体" w:cs="黑体"/>
          <w:szCs w:val="21"/>
        </w:rPr>
        <w:t xml:space="preserve"> 各起草人及其工作职责</w:t>
      </w:r>
    </w:p>
    <w:tbl>
      <w:tblPr>
        <w:tblStyle w:val="1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3"/>
        <w:gridCol w:w="3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65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color w:val="000000"/>
                <w:sz w:val="20"/>
                <w:szCs w:val="20"/>
              </w:rPr>
            </w:pPr>
            <w:r>
              <w:rPr>
                <w:rFonts w:hint="eastAsia" w:ascii="Times New Roman" w:hAnsi="Times New Roman" w:eastAsia="宋体" w:cs="宋体"/>
                <w:color w:val="000000"/>
                <w:sz w:val="20"/>
                <w:szCs w:val="20"/>
              </w:rPr>
              <w:t>起草人</w:t>
            </w:r>
          </w:p>
        </w:tc>
        <w:tc>
          <w:tcPr>
            <w:tcW w:w="2340"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color w:val="000000"/>
                <w:sz w:val="20"/>
                <w:szCs w:val="20"/>
              </w:rPr>
            </w:pPr>
            <w:r>
              <w:rPr>
                <w:rFonts w:hint="eastAsia" w:ascii="Times New Roman" w:hAnsi="Times New Roman" w:eastAsia="宋体" w:cs="宋体"/>
                <w:color w:val="000000"/>
                <w:sz w:val="20"/>
                <w:szCs w:val="20"/>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65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班丽卿、李伟英、张煦</w:t>
            </w:r>
          </w:p>
        </w:tc>
        <w:tc>
          <w:tcPr>
            <w:tcW w:w="2340"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负责标准起草的组织协调、试验方案的确定和开展试验，以及各类报告、文本、材料的撰写工作。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659" w:type="pct"/>
            <w:vAlign w:val="center"/>
          </w:tcPr>
          <w:p>
            <w:pPr>
              <w:pStyle w:val="123"/>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左鸿毅、唐华全、李云、姜文静、张香丽、强文志</w:t>
            </w:r>
          </w:p>
        </w:tc>
        <w:tc>
          <w:tcPr>
            <w:tcW w:w="2340"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color w:val="000000"/>
                <w:sz w:val="20"/>
                <w:szCs w:val="20"/>
              </w:rPr>
            </w:pPr>
            <w:r>
              <w:rPr>
                <w:rFonts w:hint="eastAsia" w:ascii="Times New Roman" w:hAnsi="Times New Roman" w:eastAsia="宋体" w:cs="宋体"/>
                <w:color w:val="000000"/>
                <w:sz w:val="20"/>
                <w:szCs w:val="20"/>
              </w:rPr>
              <w:t>参与标准试验一验的验证工作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65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温炜炜、王玮、黄淑玲、徐兵胜、梁承云、罗荣跟、刘娟</w:t>
            </w:r>
          </w:p>
        </w:tc>
        <w:tc>
          <w:tcPr>
            <w:tcW w:w="2340"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sz w:val="20"/>
                <w:szCs w:val="20"/>
              </w:rPr>
            </w:pPr>
            <w:r>
              <w:rPr>
                <w:rFonts w:hint="eastAsia" w:ascii="Times New Roman" w:hAnsi="Times New Roman" w:eastAsia="宋体" w:cs="宋体"/>
                <w:sz w:val="20"/>
                <w:szCs w:val="20"/>
              </w:rPr>
              <w:t>参与标准试验二验的验证工作</w:t>
            </w:r>
          </w:p>
        </w:tc>
      </w:tr>
    </w:tbl>
    <w:p>
      <w:pPr>
        <w:pStyle w:val="3"/>
        <w:bidi w:val="0"/>
      </w:pPr>
      <w:bookmarkStart w:id="6" w:name="_Toc11201"/>
      <w:r>
        <w:t>（四）主要工作过程</w:t>
      </w:r>
      <w:bookmarkEnd w:id="6"/>
    </w:p>
    <w:p>
      <w:pPr>
        <w:pStyle w:val="4"/>
        <w:bidi w:val="0"/>
      </w:pPr>
      <w:r>
        <w:t>4.1  预研阶段</w:t>
      </w:r>
    </w:p>
    <w:p>
      <w:pPr>
        <w:tabs>
          <w:tab w:val="left" w:pos="709"/>
        </w:tabs>
        <w:spacing w:before="156" w:beforeLines="50" w:after="156" w:afterLines="50"/>
        <w:ind w:firstLine="420"/>
        <w:rPr>
          <w:szCs w:val="21"/>
        </w:rPr>
      </w:pPr>
      <w:r>
        <w:rPr>
          <w:szCs w:val="21"/>
        </w:rPr>
        <w:t>2022年~2023年，起草单位对复合铜中氧化亚铜、铜和氧化铜的含量范围及有研集团内外各企业所用方法以电话和视频会议形式进行了全面调研，确定了含量范围，和初步方案，经过为期2年的试验和生产实际应用，确定方案准确度高，精密度好，于是向全国有色金属标准化技术委员会提交了立项建议书。</w:t>
      </w:r>
    </w:p>
    <w:p>
      <w:pPr>
        <w:pStyle w:val="4"/>
        <w:bidi w:val="0"/>
      </w:pPr>
      <w:r>
        <w:t>4.2  立项阶段</w:t>
      </w:r>
    </w:p>
    <w:p>
      <w:pPr>
        <w:tabs>
          <w:tab w:val="left" w:pos="709"/>
        </w:tabs>
        <w:spacing w:before="156" w:beforeLines="50" w:after="156" w:afterLines="50"/>
        <w:ind w:firstLine="420"/>
        <w:rPr>
          <w:szCs w:val="21"/>
        </w:rPr>
      </w:pPr>
      <w:r>
        <w:rPr>
          <w:szCs w:val="21"/>
        </w:rPr>
        <w:t>2023年6月有研粉末新材料（合肥）有限公司负责起草向全国有色金属标准化技术委员会重金属分标委全体委员会提交了标准《混合铅锌精矿化学分析方法 第8部分：复合氧化铜粉中铜、氧化亚铜、氧化铜组分的测定 氧化还原滴定法和差减法》修订项目建议书、标准草案及标准立项可研报告等材料，全体委员会议论证结论为同意国家标准立项。由秘书处组织委员现场投票，投票通过后转报国标委，并挂网向社会公开征求意见。</w:t>
      </w:r>
    </w:p>
    <w:p>
      <w:pPr>
        <w:pStyle w:val="4"/>
        <w:bidi w:val="0"/>
      </w:pPr>
      <w:r>
        <w:t>4.3  起草阶段</w:t>
      </w:r>
    </w:p>
    <w:p>
      <w:pPr>
        <w:tabs>
          <w:tab w:val="left" w:pos="709"/>
        </w:tabs>
        <w:ind w:firstLine="420"/>
        <w:rPr>
          <w:szCs w:val="21"/>
        </w:rPr>
      </w:pPr>
      <w:r>
        <w:rPr>
          <w:szCs w:val="21"/>
        </w:rPr>
        <w:t>2023年6月，根据全国有色金属标准化技术委员会《关于印发〈混合铅锌精矿化学分析方法 第8部分：铜含量的测定 火焰原子吸收光谱法和碘量法〉等5项行业标准任务落实会会议纪要的通知》（有色标秘〔2023〕61号）要求，有色行业标准《复合氧化铜粉中铜、氧化亚铜、氧化铜组分的测定 氧化还原滴定法和差减法》由有研粉末新材料（合肥）有限公司负责起草</w:t>
      </w:r>
      <w:bookmarkStart w:id="7" w:name="_Hlk166783999"/>
      <w:r>
        <w:rPr>
          <w:szCs w:val="21"/>
        </w:rPr>
        <w:t>，由深圳市中金岭南有色金属股份有限公司</w:t>
      </w:r>
      <w:r>
        <w:rPr>
          <w:rFonts w:hint="eastAsia"/>
          <w:szCs w:val="21"/>
          <w:lang w:eastAsia="zh-CN"/>
        </w:rPr>
        <w:t>、</w:t>
      </w:r>
      <w:r>
        <w:rPr>
          <w:szCs w:val="21"/>
        </w:rPr>
        <w:t>国标</w:t>
      </w:r>
      <w:r>
        <w:rPr>
          <w:rFonts w:hint="eastAsia"/>
          <w:szCs w:val="21"/>
          <w:lang w:eastAsia="zh-CN"/>
        </w:rPr>
        <w:t>（</w:t>
      </w:r>
      <w:r>
        <w:rPr>
          <w:szCs w:val="21"/>
        </w:rPr>
        <w:t>北京</w:t>
      </w:r>
      <w:r>
        <w:rPr>
          <w:rFonts w:hint="eastAsia"/>
          <w:szCs w:val="21"/>
          <w:lang w:eastAsia="zh-CN"/>
        </w:rPr>
        <w:t>）</w:t>
      </w:r>
      <w:r>
        <w:rPr>
          <w:szCs w:val="21"/>
        </w:rPr>
        <w:t>检验认证有限公司、江西铜业股份有限公司、唐山三友硅业有限责任公司、有研粉末新材料股份有限公司、金川集团股份有限公司、江西江南新材料科技股份有限公司、中国检验认证集团广西有限公司、中国检验认证集团广东黄埔有限公司、紫金矿业集团股份有限公司、铜陵有色金属集团控股有限公司、</w:t>
      </w:r>
      <w:bookmarkEnd w:id="7"/>
      <w:r>
        <w:rPr>
          <w:szCs w:val="21"/>
        </w:rPr>
        <w:t>辽宁中科力勒检测技术股份有限公司等12家单位参与起草修订。</w:t>
      </w:r>
    </w:p>
    <w:p>
      <w:pPr>
        <w:tabs>
          <w:tab w:val="left" w:pos="709"/>
        </w:tabs>
        <w:ind w:firstLine="420"/>
        <w:rPr>
          <w:kern w:val="0"/>
          <w:szCs w:val="21"/>
        </w:rPr>
      </w:pPr>
      <w:r>
        <w:rPr>
          <w:kern w:val="0"/>
          <w:szCs w:val="21"/>
        </w:rPr>
        <w:t>2023年7月，</w:t>
      </w:r>
      <w:r>
        <w:rPr>
          <w:szCs w:val="21"/>
        </w:rPr>
        <w:t>有研粉末新材料（合肥）有限公司确定了《复合氧化铜粉中铜、氧化亚铜、氧化铜组分的测定 氧化还原滴定法和差减法》</w:t>
      </w:r>
      <w:r>
        <w:rPr>
          <w:kern w:val="0"/>
          <w:szCs w:val="21"/>
        </w:rPr>
        <w:t>标准编制小组，确定编制组成员，落实试验任务分工，确定标准编审原则。</w:t>
      </w:r>
    </w:p>
    <w:p>
      <w:pPr>
        <w:tabs>
          <w:tab w:val="left" w:pos="709"/>
        </w:tabs>
        <w:ind w:firstLine="420"/>
        <w:rPr>
          <w:kern w:val="0"/>
          <w:szCs w:val="21"/>
        </w:rPr>
      </w:pPr>
      <w:r>
        <w:rPr>
          <w:kern w:val="0"/>
          <w:szCs w:val="21"/>
        </w:rPr>
        <w:t>2023年11月</w:t>
      </w:r>
      <w:r>
        <w:rPr>
          <w:rFonts w:hint="eastAsia"/>
          <w:kern w:val="0"/>
          <w:szCs w:val="21"/>
          <w:lang w:eastAsia="zh-CN"/>
        </w:rPr>
        <w:t>～</w:t>
      </w:r>
      <w:r>
        <w:rPr>
          <w:kern w:val="0"/>
          <w:szCs w:val="21"/>
        </w:rPr>
        <w:t>2024年2月，设计试验方案，</w:t>
      </w:r>
      <w:r>
        <w:rPr>
          <w:szCs w:val="21"/>
        </w:rPr>
        <w:t>收集合适的试验统一样品，</w:t>
      </w:r>
      <w:r>
        <w:rPr>
          <w:kern w:val="0"/>
          <w:szCs w:val="21"/>
        </w:rPr>
        <w:t>进行方法试验，</w:t>
      </w:r>
      <w:r>
        <w:rPr>
          <w:szCs w:val="21"/>
        </w:rPr>
        <w:t>形成试验报告和标准文本，随即将验证样品、试验报告和标准讨论稿交与各</w:t>
      </w:r>
      <w:r>
        <w:rPr>
          <w:bCs/>
          <w:color w:val="000000"/>
          <w:szCs w:val="21"/>
        </w:rPr>
        <w:t>参加起草单位开展验证工作</w:t>
      </w:r>
      <w:r>
        <w:rPr>
          <w:kern w:val="0"/>
          <w:szCs w:val="21"/>
        </w:rPr>
        <w:t>。</w:t>
      </w:r>
    </w:p>
    <w:p>
      <w:pPr>
        <w:tabs>
          <w:tab w:val="left" w:pos="709"/>
        </w:tabs>
        <w:ind w:firstLine="420"/>
        <w:rPr>
          <w:kern w:val="0"/>
          <w:szCs w:val="21"/>
        </w:rPr>
      </w:pPr>
      <w:r>
        <w:rPr>
          <w:kern w:val="0"/>
          <w:szCs w:val="21"/>
        </w:rPr>
        <w:t>2024年3~5月，完成部分试验报告。并将试验样品和试验报告寄给有关验证单位，进行方法的验证试验和讨论稿征求意见工作。</w:t>
      </w:r>
    </w:p>
    <w:p>
      <w:pPr>
        <w:pStyle w:val="49"/>
        <w:ind w:firstLine="420"/>
        <w:rPr>
          <w:rFonts w:ascii="Times New Roman" w:hAnsi="Times New Roman" w:cs="Times New Roman"/>
          <w:bCs/>
          <w:color w:val="000000"/>
          <w:szCs w:val="21"/>
        </w:rPr>
      </w:pPr>
      <w:r>
        <w:rPr>
          <w:rFonts w:ascii="Times New Roman" w:hAnsi="Times New Roman" w:cs="Times New Roman"/>
          <w:bCs/>
          <w:color w:val="000000"/>
          <w:szCs w:val="21"/>
        </w:rPr>
        <w:t>各验证单位在验证过程中提出的意见或建议如下：</w:t>
      </w:r>
    </w:p>
    <w:p>
      <w:pPr>
        <w:pStyle w:val="59"/>
        <w:numPr>
          <w:ilvl w:val="0"/>
          <w:numId w:val="5"/>
        </w:numPr>
        <w:tabs>
          <w:tab w:val="left" w:pos="709"/>
        </w:tabs>
        <w:ind w:firstLineChars="0"/>
        <w:rPr>
          <w:szCs w:val="21"/>
        </w:rPr>
      </w:pPr>
      <w:r>
        <w:rPr>
          <w:szCs w:val="21"/>
        </w:rPr>
        <w:t>深圳市中金岭南有色金属股份有限公司</w:t>
      </w:r>
    </w:p>
    <w:p>
      <w:pPr>
        <w:pStyle w:val="59"/>
        <w:numPr>
          <w:ilvl w:val="0"/>
          <w:numId w:val="6"/>
        </w:numPr>
        <w:tabs>
          <w:tab w:val="left" w:pos="709"/>
        </w:tabs>
        <w:ind w:firstLineChars="0"/>
        <w:rPr>
          <w:szCs w:val="21"/>
        </w:rPr>
      </w:pPr>
      <w:r>
        <w:rPr>
          <w:szCs w:val="21"/>
        </w:rPr>
        <w:t>氧化亚铜-乙腈溶液的稳定性时间应重点试验。有资料显示，稳定性时间不超120s。初步结论也如此，将氧化亚铜-乙腈溶液定容后分取，越往后分取的溶液，滴定结果越低。</w:t>
      </w:r>
    </w:p>
    <w:p>
      <w:pPr>
        <w:pStyle w:val="59"/>
        <w:numPr>
          <w:ilvl w:val="0"/>
          <w:numId w:val="6"/>
        </w:numPr>
        <w:tabs>
          <w:tab w:val="left" w:pos="709"/>
        </w:tabs>
        <w:ind w:firstLineChars="0"/>
        <w:rPr>
          <w:szCs w:val="21"/>
        </w:rPr>
      </w:pPr>
      <w:r>
        <w:rPr>
          <w:szCs w:val="21"/>
        </w:rPr>
        <w:t>抽滤后洗涤，不宜用水洗涤，氧化亚铜-乙腈溶液在水溶液中更不稳定，易歧化成单质铜和二价铜，导致亚铜结果不准确，单质铜也不准确。</w:t>
      </w:r>
    </w:p>
    <w:p>
      <w:pPr>
        <w:pStyle w:val="59"/>
        <w:numPr>
          <w:ilvl w:val="0"/>
          <w:numId w:val="6"/>
        </w:numPr>
        <w:tabs>
          <w:tab w:val="left" w:pos="709"/>
        </w:tabs>
        <w:ind w:firstLineChars="0"/>
        <w:rPr>
          <w:szCs w:val="21"/>
        </w:rPr>
      </w:pPr>
      <w:r>
        <w:rPr>
          <w:szCs w:val="21"/>
        </w:rPr>
        <w:t>而Fe</w:t>
      </w:r>
      <w:r>
        <w:rPr>
          <w:szCs w:val="21"/>
          <w:vertAlign w:val="superscript"/>
        </w:rPr>
        <w:t>2+</w:t>
      </w:r>
      <w:r>
        <w:rPr>
          <w:szCs w:val="21"/>
        </w:rPr>
        <w:t>的稳定性时间较久一些，建议</w:t>
      </w:r>
    </w:p>
    <w:p>
      <w:pPr>
        <w:pStyle w:val="59"/>
        <w:tabs>
          <w:tab w:val="left" w:pos="709"/>
        </w:tabs>
        <w:ind w:left="1140" w:firstLine="0" w:firstLineChars="0"/>
        <w:rPr>
          <w:szCs w:val="21"/>
        </w:rPr>
      </w:pPr>
      <w:r>
        <w:rPr>
          <w:szCs w:val="21"/>
        </w:rPr>
        <w:t>（a）先氯化铁溶液溶解，滴定铜和亚铜总量。</w:t>
      </w:r>
    </w:p>
    <w:p>
      <w:pPr>
        <w:pStyle w:val="59"/>
        <w:tabs>
          <w:tab w:val="left" w:pos="709"/>
        </w:tabs>
        <w:ind w:left="1140" w:firstLine="0" w:firstLineChars="0"/>
        <w:rPr>
          <w:szCs w:val="21"/>
        </w:rPr>
      </w:pPr>
      <w:r>
        <w:rPr>
          <w:szCs w:val="21"/>
        </w:rPr>
        <w:t>（b）、用乙腈溶解亚铜，分离（乙腈-盐酸溶液洗涤）后，用氯化铁溶液溶解测金属铜。（或硝酸溶解，AAS测定也可）。</w:t>
      </w:r>
    </w:p>
    <w:p>
      <w:pPr>
        <w:pStyle w:val="59"/>
        <w:numPr>
          <w:ilvl w:val="0"/>
          <w:numId w:val="6"/>
        </w:numPr>
        <w:tabs>
          <w:tab w:val="left" w:pos="709"/>
        </w:tabs>
        <w:ind w:firstLineChars="0"/>
        <w:rPr>
          <w:szCs w:val="21"/>
        </w:rPr>
      </w:pPr>
      <w:r>
        <w:rPr>
          <w:szCs w:val="21"/>
        </w:rPr>
        <w:t>我室先按原方案试验，结果很不稳定，浪费了不少样品。后来自行修改方案，初步做了铜和亚铜总量，结果基本稳定一致（但是与起草单位的结果有差异）。</w:t>
      </w:r>
    </w:p>
    <w:p>
      <w:pPr>
        <w:pStyle w:val="59"/>
        <w:numPr>
          <w:ilvl w:val="0"/>
          <w:numId w:val="5"/>
        </w:numPr>
        <w:tabs>
          <w:tab w:val="left" w:pos="709"/>
        </w:tabs>
        <w:ind w:firstLineChars="0"/>
        <w:rPr>
          <w:kern w:val="0"/>
          <w:szCs w:val="21"/>
        </w:rPr>
      </w:pPr>
      <w:r>
        <w:rPr>
          <w:szCs w:val="21"/>
        </w:rPr>
        <w:t>江西铜业股份有限公司</w:t>
      </w:r>
    </w:p>
    <w:p>
      <w:pPr>
        <w:pStyle w:val="59"/>
        <w:numPr>
          <w:ilvl w:val="0"/>
          <w:numId w:val="7"/>
        </w:numPr>
        <w:tabs>
          <w:tab w:val="left" w:pos="709"/>
        </w:tabs>
        <w:ind w:firstLineChars="0"/>
        <w:rPr>
          <w:kern w:val="0"/>
          <w:szCs w:val="21"/>
        </w:rPr>
      </w:pPr>
      <w:r>
        <w:rPr>
          <w:kern w:val="0"/>
          <w:szCs w:val="21"/>
        </w:rPr>
        <w:t>因高锰酸钾不是基准物质，建议增加高锰酸钾标准滴定溶液的标定过程。</w:t>
      </w:r>
    </w:p>
    <w:p>
      <w:pPr>
        <w:pStyle w:val="59"/>
        <w:numPr>
          <w:ilvl w:val="0"/>
          <w:numId w:val="7"/>
        </w:numPr>
        <w:tabs>
          <w:tab w:val="left" w:pos="709"/>
        </w:tabs>
        <w:ind w:firstLineChars="0"/>
        <w:rPr>
          <w:kern w:val="0"/>
          <w:szCs w:val="21"/>
        </w:rPr>
      </w:pPr>
      <w:r>
        <w:rPr>
          <w:kern w:val="0"/>
          <w:szCs w:val="21"/>
        </w:rPr>
        <w:t>因复合氧化铜粉样品中铜含量较低，消耗量2-8mL，建议增加一个浓度更低的高锰酸钾标准滴定溶液，c(1/5KMnO4)≈0.02mol/L。</w:t>
      </w:r>
    </w:p>
    <w:p>
      <w:pPr>
        <w:pStyle w:val="59"/>
        <w:numPr>
          <w:ilvl w:val="0"/>
          <w:numId w:val="7"/>
        </w:numPr>
        <w:tabs>
          <w:tab w:val="left" w:pos="709"/>
        </w:tabs>
        <w:ind w:firstLineChars="0"/>
        <w:rPr>
          <w:kern w:val="0"/>
          <w:szCs w:val="21"/>
        </w:rPr>
      </w:pPr>
      <w:r>
        <w:rPr>
          <w:kern w:val="0"/>
          <w:szCs w:val="21"/>
        </w:rPr>
        <w:t>因乙腈为有机试剂，从环保及职业卫生健康角度出发，建议乙腈用量在允许范围内最低，建议调整为110mL。</w:t>
      </w:r>
    </w:p>
    <w:p>
      <w:pPr>
        <w:pStyle w:val="59"/>
        <w:numPr>
          <w:ilvl w:val="0"/>
          <w:numId w:val="7"/>
        </w:numPr>
        <w:tabs>
          <w:tab w:val="left" w:pos="709"/>
        </w:tabs>
        <w:ind w:firstLineChars="0"/>
        <w:rPr>
          <w:kern w:val="0"/>
          <w:szCs w:val="21"/>
        </w:rPr>
      </w:pPr>
      <w:r>
        <w:rPr>
          <w:kern w:val="0"/>
          <w:szCs w:val="21"/>
        </w:rPr>
        <w:t>因乙腈与Cu（I）生成的配位化合物在水较多时不稳定，建议盐酸浓度由（1+1）提高至（2+1），则加入量相应由40mL调整为30mL。</w:t>
      </w:r>
    </w:p>
    <w:p>
      <w:pPr>
        <w:pStyle w:val="59"/>
        <w:numPr>
          <w:ilvl w:val="0"/>
          <w:numId w:val="7"/>
        </w:numPr>
        <w:tabs>
          <w:tab w:val="left" w:pos="709"/>
        </w:tabs>
        <w:ind w:firstLineChars="0"/>
        <w:rPr>
          <w:kern w:val="0"/>
          <w:szCs w:val="21"/>
        </w:rPr>
      </w:pPr>
      <w:r>
        <w:rPr>
          <w:kern w:val="0"/>
          <w:szCs w:val="21"/>
        </w:rPr>
        <w:t>方法草案8.1：称取0.3 g样品，精确到0.001 g，建议改成称取0.3 g样品，精确到0.0001 g。</w:t>
      </w:r>
    </w:p>
    <w:p>
      <w:pPr>
        <w:pStyle w:val="59"/>
        <w:numPr>
          <w:ilvl w:val="0"/>
          <w:numId w:val="7"/>
        </w:numPr>
        <w:tabs>
          <w:tab w:val="left" w:pos="709"/>
        </w:tabs>
        <w:ind w:firstLineChars="0"/>
        <w:rPr>
          <w:kern w:val="0"/>
          <w:szCs w:val="21"/>
        </w:rPr>
      </w:pPr>
      <w:r>
        <w:rPr>
          <w:kern w:val="0"/>
          <w:szCs w:val="21"/>
        </w:rPr>
        <w:t>方法草案8.1：抽滤后滤液加水160 mL稀释。建议改成：抽滤后将滤液转移至500mL烧杯中，加水稀释至320mL。</w:t>
      </w:r>
    </w:p>
    <w:p>
      <w:pPr>
        <w:pStyle w:val="59"/>
        <w:numPr>
          <w:ilvl w:val="0"/>
          <w:numId w:val="7"/>
        </w:numPr>
        <w:tabs>
          <w:tab w:val="left" w:pos="709"/>
        </w:tabs>
        <w:ind w:firstLineChars="0"/>
        <w:rPr>
          <w:kern w:val="0"/>
          <w:szCs w:val="21"/>
        </w:rPr>
      </w:pPr>
      <w:r>
        <w:rPr>
          <w:kern w:val="0"/>
          <w:szCs w:val="21"/>
        </w:rPr>
        <w:t>方法草案中缺少对样品粒度和贮存条件的要求，建议补充。</w:t>
      </w:r>
    </w:p>
    <w:p>
      <w:pPr>
        <w:pStyle w:val="59"/>
        <w:numPr>
          <w:ilvl w:val="0"/>
          <w:numId w:val="5"/>
        </w:numPr>
        <w:tabs>
          <w:tab w:val="left" w:pos="709"/>
        </w:tabs>
        <w:ind w:firstLineChars="0"/>
        <w:rPr>
          <w:kern w:val="0"/>
          <w:szCs w:val="21"/>
        </w:rPr>
      </w:pPr>
      <w:r>
        <w:rPr>
          <w:szCs w:val="21"/>
        </w:rPr>
        <w:t>紫金矿业集团股份有限公司</w:t>
      </w:r>
    </w:p>
    <w:p>
      <w:pPr>
        <w:pStyle w:val="59"/>
        <w:tabs>
          <w:tab w:val="left" w:pos="709"/>
        </w:tabs>
        <w:ind w:left="780" w:firstLine="0" w:firstLineChars="0"/>
        <w:rPr>
          <w:kern w:val="0"/>
          <w:szCs w:val="21"/>
        </w:rPr>
      </w:pPr>
      <w:r>
        <w:rPr>
          <w:kern w:val="0"/>
          <w:szCs w:val="21"/>
        </w:rPr>
        <w:t>a. 方法草案4.12条款中：称取1.5803 g高锰酸钾（KMnO</w:t>
      </w:r>
      <w:r>
        <w:rPr>
          <w:kern w:val="0"/>
          <w:szCs w:val="21"/>
          <w:vertAlign w:val="subscript"/>
        </w:rPr>
        <w:t>4</w:t>
      </w:r>
      <w:r>
        <w:rPr>
          <w:kern w:val="0"/>
          <w:szCs w:val="21"/>
        </w:rPr>
        <w:t>），配制高锰酸钾滴定液。未体现高锰酸钾的纯度要求。另因高锰酸钾常含有少量杂质，如硫酸盐、硝酸盐及氯化物等，建议进行标定，并体现有效期或复标的时限要求。</w:t>
      </w:r>
    </w:p>
    <w:p>
      <w:pPr>
        <w:pStyle w:val="59"/>
        <w:tabs>
          <w:tab w:val="left" w:pos="709"/>
        </w:tabs>
        <w:ind w:left="780" w:firstLine="0" w:firstLineChars="0"/>
        <w:rPr>
          <w:kern w:val="0"/>
          <w:szCs w:val="21"/>
        </w:rPr>
      </w:pPr>
      <w:r>
        <w:rPr>
          <w:kern w:val="0"/>
          <w:szCs w:val="21"/>
        </w:rPr>
        <w:t>b. 因标准草案中未体现空白试验要求，因此表1验证结果均未</w:t>
      </w:r>
      <w:r>
        <w:rPr>
          <w:rFonts w:hint="eastAsia"/>
          <w:kern w:val="0"/>
          <w:szCs w:val="21"/>
          <w:lang w:eastAsia="zh-CN"/>
        </w:rPr>
        <w:t>见</w:t>
      </w:r>
      <w:r>
        <w:rPr>
          <w:kern w:val="0"/>
          <w:szCs w:val="21"/>
        </w:rPr>
        <w:t>空白结果。根据本公司空白试验，减空白与未减空白结果相差：金属铜、氧化亚铜约0.05%，氧化铜相差约0.10%。因此建议方法草案“8 试验步骤”增加随同试样分析做空白试验，并将空白结果纳入结果计算中。</w:t>
      </w:r>
    </w:p>
    <w:p>
      <w:pPr>
        <w:pStyle w:val="59"/>
        <w:tabs>
          <w:tab w:val="left" w:pos="709"/>
        </w:tabs>
        <w:ind w:left="780" w:firstLine="0" w:firstLineChars="0"/>
        <w:rPr>
          <w:kern w:val="0"/>
          <w:szCs w:val="21"/>
        </w:rPr>
      </w:pPr>
      <w:r>
        <w:rPr>
          <w:kern w:val="0"/>
          <w:szCs w:val="21"/>
        </w:rPr>
        <w:t>c. 方法草案“9 试验数据处理”建议写明各待测组分的计算公式和结果修约要求。</w:t>
      </w:r>
    </w:p>
    <w:p>
      <w:pPr>
        <w:pStyle w:val="59"/>
        <w:tabs>
          <w:tab w:val="left" w:pos="709"/>
        </w:tabs>
        <w:ind w:left="780" w:firstLine="0" w:firstLineChars="0"/>
        <w:rPr>
          <w:kern w:val="0"/>
          <w:szCs w:val="21"/>
        </w:rPr>
      </w:pPr>
      <w:r>
        <w:rPr>
          <w:kern w:val="0"/>
          <w:szCs w:val="21"/>
        </w:rPr>
        <w:t>d. 方法草案中未出现“含氧量”相关信息及计算方式，试验报告的精密度数据中有体现，建议统一。</w:t>
      </w:r>
    </w:p>
    <w:p>
      <w:pPr>
        <w:pStyle w:val="59"/>
        <w:numPr>
          <w:ilvl w:val="0"/>
          <w:numId w:val="5"/>
        </w:numPr>
        <w:tabs>
          <w:tab w:val="left" w:pos="709"/>
        </w:tabs>
        <w:ind w:firstLineChars="0"/>
        <w:rPr>
          <w:kern w:val="0"/>
          <w:szCs w:val="21"/>
        </w:rPr>
      </w:pPr>
      <w:r>
        <w:rPr>
          <w:szCs w:val="21"/>
        </w:rPr>
        <w:t>江西江南新材料科技股份有限公司等</w:t>
      </w:r>
    </w:p>
    <w:p>
      <w:pPr>
        <w:pStyle w:val="59"/>
        <w:tabs>
          <w:tab w:val="left" w:pos="709"/>
        </w:tabs>
        <w:ind w:left="780" w:firstLine="0" w:firstLineChars="0"/>
        <w:rPr>
          <w:kern w:val="0"/>
          <w:szCs w:val="21"/>
        </w:rPr>
      </w:pPr>
      <w:r>
        <w:rPr>
          <w:kern w:val="0"/>
          <w:szCs w:val="21"/>
        </w:rPr>
        <w:t>8.1 氧化亚铜含量的测定。修订建议：氧化亚铜，用高锰酸钾滴定前加个指示剂（联邻甲苯胺）。这个加了颜色变化更好看点，检测效果更准确。</w:t>
      </w:r>
    </w:p>
    <w:p>
      <w:pPr>
        <w:pStyle w:val="4"/>
        <w:bidi w:val="0"/>
      </w:pPr>
      <w:r>
        <w:t>4.4  征询意见阶段</w:t>
      </w:r>
    </w:p>
    <w:p>
      <w:pPr>
        <w:widowControl/>
        <w:spacing w:line="240" w:lineRule="auto"/>
        <w:ind w:firstLine="0" w:firstLineChars="0"/>
        <w:jc w:val="left"/>
        <w:rPr>
          <w:b/>
          <w:szCs w:val="21"/>
        </w:rPr>
      </w:pPr>
      <w:r>
        <w:rPr>
          <w:b/>
          <w:szCs w:val="21"/>
        </w:rPr>
        <w:br w:type="page"/>
      </w:r>
    </w:p>
    <w:p>
      <w:pPr>
        <w:pStyle w:val="2"/>
        <w:bidi w:val="0"/>
      </w:pPr>
      <w:bookmarkStart w:id="8" w:name="_Toc27255"/>
      <w:r>
        <w:t>二、标准编制原则</w:t>
      </w:r>
      <w:bookmarkEnd w:id="8"/>
    </w:p>
    <w:p>
      <w:pPr>
        <w:ind w:firstLine="420"/>
      </w:pPr>
      <w:r>
        <w:t>本文件严格按照GB/T 1.1-2020《标准化工作导则 第1部分：标准化文件的结构和起草规则》、GB/T 20001.4-2015《标准编写规则 第4部分：试验方法标准》的要求进行编制。</w:t>
      </w:r>
    </w:p>
    <w:p>
      <w:pPr>
        <w:ind w:firstLine="420"/>
      </w:pPr>
      <w:r>
        <w:rPr>
          <w:szCs w:val="21"/>
        </w:rPr>
        <w:t>2023-0406T-YS所规定的测定范围：铜（Cu）含量：0.1%-20%氧化亚铜（Cu</w:t>
      </w:r>
      <w:r>
        <w:rPr>
          <w:szCs w:val="21"/>
          <w:vertAlign w:val="subscript"/>
        </w:rPr>
        <w:t>2</w:t>
      </w:r>
      <w:r>
        <w:rPr>
          <w:szCs w:val="21"/>
        </w:rPr>
        <w:t>O）含量：40%-95%，氧化铜（CuO）含量：5%-45%。</w:t>
      </w:r>
    </w:p>
    <w:p>
      <w:pPr>
        <w:pStyle w:val="2"/>
        <w:bidi w:val="0"/>
      </w:pPr>
      <w:bookmarkStart w:id="9" w:name="_Toc2168"/>
      <w:r>
        <w:t>三、标准内容的确定依据及主要试验和验证情况分析</w:t>
      </w:r>
      <w:bookmarkEnd w:id="9"/>
    </w:p>
    <w:p>
      <w:pPr>
        <w:pStyle w:val="3"/>
        <w:bidi w:val="0"/>
      </w:pPr>
      <w:bookmarkStart w:id="10" w:name="_Toc16955"/>
      <w:r>
        <w:t>（一）条件试验结果与讨论</w:t>
      </w:r>
      <w:bookmarkEnd w:id="10"/>
    </w:p>
    <w:p>
      <w:pPr>
        <w:pStyle w:val="4"/>
        <w:bidi w:val="0"/>
      </w:pPr>
      <w:r>
        <w:t>3.1乙腈用量对测定结果的影响</w:t>
      </w:r>
    </w:p>
    <w:p>
      <w:pPr>
        <w:ind w:firstLine="420"/>
      </w:pPr>
      <w:r>
        <w:t>在测定氧化亚铜含量时，分别取0.3 g四种复合氧化铜粉，每个样品加入不同量的乙腈和盐酸（5.8配制）40 mL。而后按试验步骤进行测定，结果如表</w:t>
      </w:r>
      <w:r>
        <w:rPr>
          <w:rFonts w:hint="eastAsia"/>
          <w:lang w:val="en-US" w:eastAsia="zh-CN"/>
        </w:rPr>
        <w:t>3</w:t>
      </w:r>
      <w:r>
        <w:t>。试验表明乙腈用量等于或少于100 mL时测定的Cu</w:t>
      </w:r>
      <w:r>
        <w:rPr>
          <w:vertAlign w:val="subscript"/>
        </w:rPr>
        <w:t>2</w:t>
      </w:r>
      <w:r>
        <w:t>O结果偏低，这是由于乙腈与Cu（I）生成的配位化合物在水较多时仍不稳定所致，乙腈用量在110 mL或者以上，结果稳定，故选择乙腈用量为120 mL。</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szCs w:val="21"/>
        </w:rPr>
      </w:pPr>
      <w:r>
        <w:rPr>
          <w:rFonts w:hint="eastAsia" w:ascii="黑体" w:hAnsi="黑体" w:eastAsia="黑体" w:cs="黑体"/>
          <w:szCs w:val="21"/>
        </w:rPr>
        <w:t>表</w:t>
      </w:r>
      <w:r>
        <w:rPr>
          <w:rFonts w:hint="eastAsia" w:ascii="黑体" w:hAnsi="黑体" w:eastAsia="黑体" w:cs="黑体"/>
          <w:szCs w:val="21"/>
          <w:lang w:val="en-US" w:eastAsia="zh-CN"/>
        </w:rPr>
        <w:t>3</w:t>
      </w:r>
      <w:r>
        <w:rPr>
          <w:rFonts w:hint="eastAsia" w:ascii="黑体" w:hAnsi="黑体" w:eastAsia="黑体" w:cs="黑体"/>
          <w:szCs w:val="21"/>
        </w:rPr>
        <w:t xml:space="preserve"> 乙腈用量对铜基复合氧化铜粉三组分含量测定结果的影响</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9"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样品编号</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bCs/>
                <w:kern w:val="0"/>
                <w:sz w:val="20"/>
                <w:szCs w:val="21"/>
              </w:rPr>
              <w:t>Cu (wt%)</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bCs/>
                <w:kern w:val="0"/>
                <w:sz w:val="20"/>
                <w:szCs w:val="21"/>
              </w:rPr>
              <w:t>Cu</w:t>
            </w:r>
            <w:r>
              <w:rPr>
                <w:bCs/>
                <w:kern w:val="0"/>
                <w:sz w:val="20"/>
                <w:szCs w:val="21"/>
                <w:vertAlign w:val="subscript"/>
              </w:rPr>
              <w:t>2</w:t>
            </w:r>
            <w:r>
              <w:rPr>
                <w:bCs/>
                <w:kern w:val="0"/>
                <w:sz w:val="20"/>
                <w:szCs w:val="21"/>
              </w:rPr>
              <w:t>O (wt%)</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bCs/>
                <w:kern w:val="0"/>
                <w:sz w:val="20"/>
                <w:szCs w:val="21"/>
              </w:rPr>
              <w:t>CuO (wt%)</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含氧量（wt%）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9"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 xml:space="preserve">1#-90 mL </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2.32</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57.27</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40.41</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9"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 xml:space="preserve">1#-100 mL </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2.22</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57.74</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40.04</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9"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 xml:space="preserve">1#-110 mL </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2.43</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58.17</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39.40</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9"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1#-120 mL</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2.22</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58.22</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39.56</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9"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1#-130 mL</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2.33</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58.27</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39.40</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9"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2#-90 mL</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8.57</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66.26</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25.17</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9"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2#-100 mL</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8.67</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66.65</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24.68</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9"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2#-110 mL</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8.75</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68.55</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22.70</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99"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2#-120 mL</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8.67</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68.79</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22.54</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9"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2#-130 mL</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8.79</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68.79</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22.43</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9"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3#-90 mL</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5.81</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72.95</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21.24</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9"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3#-100 mL</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5.91</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74.35</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19.74</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9"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3#-110 mL</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5.80</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75.73</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18.47</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9"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3#-120 mL</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5.90</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75.94</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18.16</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9"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3#-130 mL</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5.91</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75.82</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18.27</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9"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4#-90 mL</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3.38</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78.07</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18.55</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99"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4#-100 mL</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4.32</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80.13</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15.55</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9"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4#-110 mL</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4.12</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80.79</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15.09</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9"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4#-120 mL</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3.90</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80.40</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15.71</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12.07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9"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4#-130 mL</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4.11</w:t>
            </w:r>
          </w:p>
        </w:tc>
        <w:tc>
          <w:tcPr>
            <w:tcW w:w="99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80.37</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15.52</w:t>
            </w:r>
          </w:p>
        </w:tc>
        <w:tc>
          <w:tcPr>
            <w:tcW w:w="100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12.03</w:t>
            </w:r>
          </w:p>
        </w:tc>
      </w:tr>
    </w:tbl>
    <w:p>
      <w:pPr>
        <w:pStyle w:val="4"/>
        <w:bidi w:val="0"/>
      </w:pPr>
      <w:r>
        <w:t>3.2 盐酸用量对测定结果的影响</w:t>
      </w:r>
    </w:p>
    <w:p>
      <w:pPr>
        <w:ind w:firstLine="420"/>
      </w:pPr>
      <w:r>
        <w:t>在测定氧化亚铜含量时，分别取0.3 g四种复合氧化铜粉，每个样品加入选定的120 mL乙腈和不同量的盐酸（5.8配制）。而后按试验步骤进行测定，结果如表</w:t>
      </w:r>
      <w:r>
        <w:rPr>
          <w:rFonts w:hint="eastAsia"/>
          <w:lang w:val="en-US" w:eastAsia="zh-CN"/>
        </w:rPr>
        <w:t>4</w:t>
      </w:r>
      <w:r>
        <w:t>。试验表明不加盐酸，短时间内复合铜粉在乙腈溶液中并不溶解，无法准确测试，当盐酸用量在一定范围内（30 mL~50 mL）对于测试结果并没有明显影响。</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szCs w:val="21"/>
        </w:rPr>
      </w:pPr>
      <w:r>
        <w:rPr>
          <w:rFonts w:hint="eastAsia" w:ascii="黑体" w:hAnsi="黑体" w:eastAsia="黑体" w:cs="黑体"/>
          <w:szCs w:val="21"/>
        </w:rPr>
        <w:t>表</w:t>
      </w:r>
      <w:r>
        <w:rPr>
          <w:rFonts w:hint="eastAsia" w:ascii="黑体" w:hAnsi="黑体" w:eastAsia="黑体" w:cs="黑体"/>
          <w:szCs w:val="21"/>
          <w:lang w:val="en-US" w:eastAsia="zh-CN"/>
        </w:rPr>
        <w:t>4</w:t>
      </w:r>
      <w:r>
        <w:rPr>
          <w:rFonts w:hint="eastAsia" w:ascii="黑体" w:hAnsi="黑体" w:eastAsia="黑体" w:cs="黑体"/>
          <w:szCs w:val="21"/>
        </w:rPr>
        <w:t xml:space="preserve"> 盐酸用量对铜基复合氧化铜粉三组分含量测定结果的影响</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3"/>
        <w:gridCol w:w="1749"/>
        <w:gridCol w:w="1454"/>
        <w:gridCol w:w="1602"/>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样品编号</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bCs/>
                <w:kern w:val="0"/>
                <w:sz w:val="20"/>
                <w:szCs w:val="21"/>
              </w:rPr>
              <w:t>Cu (wt%)</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bCs/>
                <w:kern w:val="0"/>
                <w:sz w:val="20"/>
                <w:szCs w:val="21"/>
              </w:rPr>
              <w:t>Cu</w:t>
            </w:r>
            <w:r>
              <w:rPr>
                <w:bCs/>
                <w:kern w:val="0"/>
                <w:sz w:val="20"/>
                <w:szCs w:val="21"/>
                <w:vertAlign w:val="subscript"/>
              </w:rPr>
              <w:t>2</w:t>
            </w:r>
            <w:r>
              <w:rPr>
                <w:bCs/>
                <w:kern w:val="0"/>
                <w:sz w:val="20"/>
                <w:szCs w:val="21"/>
              </w:rPr>
              <w:t>O (wt%)</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bCs/>
                <w:kern w:val="0"/>
                <w:sz w:val="20"/>
                <w:szCs w:val="21"/>
              </w:rPr>
              <w:t>CuO (wt%)</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含氧量（wt%）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 xml:space="preserve">1#-30 mL </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2.24</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58.40</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39.36</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 xml:space="preserve">1#-40 mL </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szCs w:val="21"/>
              </w:rPr>
              <w:t>2.22</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szCs w:val="21"/>
              </w:rPr>
              <w:t>58.22</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szCs w:val="21"/>
              </w:rPr>
              <w:t>39.56</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szCs w:val="21"/>
              </w:rPr>
              <w:t>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 xml:space="preserve">1#-50 mL </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2.20</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58.45</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39.35</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2#-30 mL</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8.56</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68.55</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22.89</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2#-40 mL</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8.67</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68.79</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22.54</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2#-50 mL</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8.62</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68.43</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22.95</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3#-30 mL</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5.93</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75.47</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18.60</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3#-40 mL</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5.90</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75.94</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18.16</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3#-50 mL</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5.89</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75.97</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18.14</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4#-30 mL</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4.32</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80.37</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15.31</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4#-40 mL</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3.90</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80.40</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15.71</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12.07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4#-50 mL</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4.16</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80.84</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15.00</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11.98</w:t>
            </w:r>
          </w:p>
        </w:tc>
      </w:tr>
    </w:tbl>
    <w:p>
      <w:pPr>
        <w:pStyle w:val="4"/>
        <w:bidi w:val="0"/>
      </w:pPr>
      <w:r>
        <w:t>3.3 氯化铁用量对测定结果的影响</w:t>
      </w:r>
    </w:p>
    <w:p>
      <w:pPr>
        <w:ind w:firstLine="420"/>
      </w:pPr>
      <w:r>
        <w:t>在测定4种复合氧化铜粉中的铜含量时，改变氯化铁用量，结果如表</w:t>
      </w:r>
      <w:r>
        <w:rPr>
          <w:rFonts w:hint="eastAsia"/>
          <w:lang w:val="en-US" w:eastAsia="zh-CN"/>
        </w:rPr>
        <w:t>5</w:t>
      </w:r>
      <w:r>
        <w:t>所示。不加氯化</w:t>
      </w:r>
      <w:r>
        <w:rPr>
          <w:rFonts w:hint="eastAsia"/>
          <w:lang w:val="en-US" w:eastAsia="zh-CN"/>
        </w:rPr>
        <w:t>铁</w:t>
      </w:r>
      <w:r>
        <w:t>，则Cu无法溶解，导致Cu含量无法测量。如果加入氯化铁的量小于20 mL时，Cu溶解慢且不完全，造成测试的Cu含量结果略微偏低，当等于或者大于20 mL对于反应测试结果没有明显影响。</w:t>
      </w:r>
    </w:p>
    <w:p>
      <w:pPr>
        <w:ind w:firstLine="420"/>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szCs w:val="21"/>
        </w:rPr>
      </w:pPr>
      <w:r>
        <w:rPr>
          <w:rFonts w:hint="eastAsia" w:ascii="黑体" w:hAnsi="黑体" w:eastAsia="黑体" w:cs="黑体"/>
          <w:szCs w:val="21"/>
        </w:rPr>
        <w:t>表</w:t>
      </w:r>
      <w:r>
        <w:rPr>
          <w:rFonts w:hint="eastAsia" w:ascii="黑体" w:hAnsi="黑体" w:eastAsia="黑体" w:cs="黑体"/>
          <w:szCs w:val="21"/>
          <w:lang w:val="en-US" w:eastAsia="zh-CN"/>
        </w:rPr>
        <w:t>5</w:t>
      </w:r>
      <w:r>
        <w:rPr>
          <w:rFonts w:hint="eastAsia" w:ascii="黑体" w:hAnsi="黑体" w:eastAsia="黑体" w:cs="黑体"/>
          <w:szCs w:val="21"/>
        </w:rPr>
        <w:t xml:space="preserve"> 氯化铁用量对铜基复合氧化铜粉三组分含量测定结果的影响</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3"/>
        <w:gridCol w:w="1749"/>
        <w:gridCol w:w="1454"/>
        <w:gridCol w:w="1602"/>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93" w:type="pct"/>
            <w:vAlign w:val="center"/>
          </w:tcPr>
          <w:p>
            <w:pPr>
              <w:widowControl/>
              <w:tabs>
                <w:tab w:val="left" w:pos="8789"/>
              </w:tabs>
              <w:ind w:firstLine="0" w:firstLineChars="0"/>
              <w:jc w:val="center"/>
              <w:rPr>
                <w:kern w:val="0"/>
                <w:sz w:val="20"/>
                <w:szCs w:val="21"/>
              </w:rPr>
            </w:pPr>
            <w:r>
              <w:rPr>
                <w:kern w:val="0"/>
                <w:sz w:val="20"/>
                <w:szCs w:val="21"/>
              </w:rPr>
              <w:t>样品编号</w:t>
            </w:r>
          </w:p>
        </w:tc>
        <w:tc>
          <w:tcPr>
            <w:tcW w:w="1026" w:type="pct"/>
            <w:tcBorders>
              <w:top w:val="single" w:color="auto" w:sz="4" w:space="0"/>
              <w:bottom w:val="single" w:color="auto" w:sz="4" w:space="0"/>
            </w:tcBorders>
            <w:vAlign w:val="center"/>
          </w:tcPr>
          <w:p>
            <w:pPr>
              <w:ind w:firstLine="0" w:firstLineChars="0"/>
              <w:jc w:val="center"/>
              <w:rPr>
                <w:kern w:val="0"/>
                <w:sz w:val="20"/>
                <w:szCs w:val="21"/>
              </w:rPr>
            </w:pPr>
            <w:r>
              <w:rPr>
                <w:bCs/>
                <w:kern w:val="0"/>
                <w:sz w:val="20"/>
                <w:szCs w:val="21"/>
              </w:rPr>
              <w:t>Cu (wt%)</w:t>
            </w:r>
          </w:p>
        </w:tc>
        <w:tc>
          <w:tcPr>
            <w:tcW w:w="853" w:type="pct"/>
            <w:tcBorders>
              <w:top w:val="single" w:color="auto" w:sz="4" w:space="0"/>
              <w:bottom w:val="single" w:color="auto" w:sz="4" w:space="0"/>
            </w:tcBorders>
            <w:vAlign w:val="center"/>
          </w:tcPr>
          <w:p>
            <w:pPr>
              <w:ind w:firstLine="0" w:firstLineChars="0"/>
              <w:jc w:val="center"/>
              <w:rPr>
                <w:kern w:val="0"/>
                <w:sz w:val="20"/>
                <w:szCs w:val="21"/>
              </w:rPr>
            </w:pPr>
            <w:r>
              <w:rPr>
                <w:bCs/>
                <w:kern w:val="0"/>
                <w:sz w:val="20"/>
                <w:szCs w:val="21"/>
              </w:rPr>
              <w:t>Cu</w:t>
            </w:r>
            <w:r>
              <w:rPr>
                <w:bCs/>
                <w:kern w:val="0"/>
                <w:sz w:val="20"/>
                <w:szCs w:val="21"/>
                <w:vertAlign w:val="subscript"/>
              </w:rPr>
              <w:t>2</w:t>
            </w:r>
            <w:r>
              <w:rPr>
                <w:bCs/>
                <w:kern w:val="0"/>
                <w:sz w:val="20"/>
                <w:szCs w:val="21"/>
              </w:rPr>
              <w:t>O (wt%)</w:t>
            </w:r>
          </w:p>
        </w:tc>
        <w:tc>
          <w:tcPr>
            <w:tcW w:w="940" w:type="pct"/>
            <w:tcBorders>
              <w:top w:val="single" w:color="auto" w:sz="4" w:space="0"/>
              <w:bottom w:val="single" w:color="auto" w:sz="4" w:space="0"/>
            </w:tcBorders>
            <w:vAlign w:val="center"/>
          </w:tcPr>
          <w:p>
            <w:pPr>
              <w:ind w:firstLine="0" w:firstLineChars="0"/>
              <w:jc w:val="center"/>
              <w:rPr>
                <w:kern w:val="0"/>
                <w:sz w:val="20"/>
                <w:szCs w:val="21"/>
              </w:rPr>
            </w:pPr>
            <w:r>
              <w:rPr>
                <w:bCs/>
                <w:kern w:val="0"/>
                <w:sz w:val="20"/>
                <w:szCs w:val="21"/>
              </w:rPr>
              <w:t>CuO (wt%)</w:t>
            </w:r>
          </w:p>
        </w:tc>
        <w:tc>
          <w:tcPr>
            <w:tcW w:w="988" w:type="pct"/>
            <w:tcBorders>
              <w:top w:val="single" w:color="auto" w:sz="4" w:space="0"/>
              <w:bottom w:val="single" w:color="auto" w:sz="4" w:space="0"/>
            </w:tcBorders>
            <w:vAlign w:val="center"/>
          </w:tcPr>
          <w:p>
            <w:pPr>
              <w:ind w:firstLine="0" w:firstLineChars="0"/>
              <w:jc w:val="center"/>
              <w:rPr>
                <w:kern w:val="0"/>
                <w:sz w:val="20"/>
                <w:szCs w:val="21"/>
              </w:rPr>
            </w:pPr>
            <w:r>
              <w:rPr>
                <w:kern w:val="0"/>
                <w:sz w:val="20"/>
                <w:szCs w:val="21"/>
              </w:rPr>
              <w:t>含氧量（wt%）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93" w:type="pct"/>
            <w:vAlign w:val="center"/>
          </w:tcPr>
          <w:p>
            <w:pPr>
              <w:widowControl/>
              <w:tabs>
                <w:tab w:val="left" w:pos="8789"/>
              </w:tabs>
              <w:ind w:firstLine="0" w:firstLineChars="0"/>
              <w:jc w:val="center"/>
              <w:rPr>
                <w:kern w:val="0"/>
                <w:sz w:val="20"/>
                <w:szCs w:val="21"/>
              </w:rPr>
            </w:pPr>
            <w:r>
              <w:rPr>
                <w:kern w:val="0"/>
                <w:sz w:val="20"/>
                <w:szCs w:val="21"/>
              </w:rPr>
              <w:t xml:space="preserve">1#-10 mL </w:t>
            </w:r>
          </w:p>
        </w:tc>
        <w:tc>
          <w:tcPr>
            <w:tcW w:w="1026" w:type="pct"/>
            <w:tcBorders>
              <w:top w:val="single" w:color="auto" w:sz="4" w:space="0"/>
              <w:bottom w:val="single" w:color="auto" w:sz="4" w:space="0"/>
            </w:tcBorders>
            <w:vAlign w:val="center"/>
          </w:tcPr>
          <w:p>
            <w:pPr>
              <w:ind w:firstLine="0" w:firstLineChars="0"/>
              <w:jc w:val="center"/>
              <w:rPr>
                <w:kern w:val="0"/>
                <w:sz w:val="20"/>
                <w:szCs w:val="21"/>
              </w:rPr>
            </w:pPr>
            <w:r>
              <w:rPr>
                <w:kern w:val="0"/>
                <w:sz w:val="20"/>
                <w:szCs w:val="21"/>
              </w:rPr>
              <w:t>1.90</w:t>
            </w:r>
          </w:p>
        </w:tc>
        <w:tc>
          <w:tcPr>
            <w:tcW w:w="853" w:type="pct"/>
            <w:tcBorders>
              <w:top w:val="single" w:color="auto" w:sz="4" w:space="0"/>
              <w:bottom w:val="single" w:color="auto" w:sz="4" w:space="0"/>
            </w:tcBorders>
            <w:vAlign w:val="center"/>
          </w:tcPr>
          <w:p>
            <w:pPr>
              <w:ind w:firstLine="0" w:firstLineChars="0"/>
              <w:jc w:val="center"/>
              <w:rPr>
                <w:kern w:val="0"/>
                <w:sz w:val="20"/>
                <w:szCs w:val="21"/>
              </w:rPr>
            </w:pPr>
            <w:r>
              <w:rPr>
                <w:kern w:val="0"/>
                <w:sz w:val="20"/>
                <w:szCs w:val="21"/>
              </w:rPr>
              <w:t>58.14</w:t>
            </w:r>
          </w:p>
        </w:tc>
        <w:tc>
          <w:tcPr>
            <w:tcW w:w="940" w:type="pct"/>
            <w:tcBorders>
              <w:top w:val="single" w:color="auto" w:sz="4" w:space="0"/>
              <w:bottom w:val="single" w:color="auto" w:sz="4" w:space="0"/>
            </w:tcBorders>
            <w:vAlign w:val="center"/>
          </w:tcPr>
          <w:p>
            <w:pPr>
              <w:ind w:firstLine="0" w:firstLineChars="0"/>
              <w:jc w:val="center"/>
              <w:rPr>
                <w:kern w:val="0"/>
                <w:sz w:val="20"/>
                <w:szCs w:val="21"/>
              </w:rPr>
            </w:pPr>
            <w:r>
              <w:rPr>
                <w:kern w:val="0"/>
                <w:sz w:val="20"/>
                <w:szCs w:val="21"/>
              </w:rPr>
              <w:t>39.96</w:t>
            </w:r>
          </w:p>
        </w:tc>
        <w:tc>
          <w:tcPr>
            <w:tcW w:w="988" w:type="pct"/>
            <w:tcBorders>
              <w:top w:val="single" w:color="auto" w:sz="4" w:space="0"/>
              <w:bottom w:val="single" w:color="auto" w:sz="4" w:space="0"/>
            </w:tcBorders>
            <w:vAlign w:val="center"/>
          </w:tcPr>
          <w:p>
            <w:pPr>
              <w:ind w:firstLine="0" w:firstLineChars="0"/>
              <w:jc w:val="center"/>
              <w:rPr>
                <w:kern w:val="0"/>
                <w:sz w:val="20"/>
                <w:szCs w:val="21"/>
              </w:rPr>
            </w:pPr>
            <w:r>
              <w:rPr>
                <w:kern w:val="0"/>
                <w:sz w:val="20"/>
                <w:szCs w:val="21"/>
              </w:rPr>
              <w:t>14.45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93" w:type="pct"/>
            <w:vAlign w:val="center"/>
          </w:tcPr>
          <w:p>
            <w:pPr>
              <w:widowControl/>
              <w:tabs>
                <w:tab w:val="left" w:pos="8789"/>
              </w:tabs>
              <w:ind w:firstLine="0" w:firstLineChars="0"/>
              <w:jc w:val="center"/>
              <w:rPr>
                <w:kern w:val="0"/>
                <w:sz w:val="20"/>
                <w:szCs w:val="21"/>
              </w:rPr>
            </w:pPr>
            <w:r>
              <w:rPr>
                <w:kern w:val="0"/>
                <w:sz w:val="20"/>
                <w:szCs w:val="21"/>
              </w:rPr>
              <w:t xml:space="preserve">1#-20 mL </w:t>
            </w:r>
          </w:p>
        </w:tc>
        <w:tc>
          <w:tcPr>
            <w:tcW w:w="1026" w:type="pct"/>
            <w:tcBorders>
              <w:top w:val="single" w:color="auto" w:sz="4" w:space="0"/>
              <w:bottom w:val="single" w:color="auto" w:sz="4" w:space="0"/>
            </w:tcBorders>
            <w:vAlign w:val="center"/>
          </w:tcPr>
          <w:p>
            <w:pPr>
              <w:ind w:firstLine="0" w:firstLineChars="0"/>
              <w:jc w:val="center"/>
              <w:rPr>
                <w:kern w:val="0"/>
                <w:sz w:val="20"/>
              </w:rPr>
            </w:pPr>
            <w:r>
              <w:rPr>
                <w:kern w:val="0"/>
                <w:sz w:val="20"/>
                <w:szCs w:val="21"/>
              </w:rPr>
              <w:t>2.22</w:t>
            </w:r>
          </w:p>
        </w:tc>
        <w:tc>
          <w:tcPr>
            <w:tcW w:w="853" w:type="pct"/>
            <w:tcBorders>
              <w:top w:val="single" w:color="auto" w:sz="4" w:space="0"/>
              <w:bottom w:val="single" w:color="auto" w:sz="4" w:space="0"/>
            </w:tcBorders>
            <w:vAlign w:val="center"/>
          </w:tcPr>
          <w:p>
            <w:pPr>
              <w:ind w:firstLine="0" w:firstLineChars="0"/>
              <w:jc w:val="center"/>
              <w:rPr>
                <w:kern w:val="0"/>
                <w:sz w:val="20"/>
              </w:rPr>
            </w:pPr>
            <w:r>
              <w:rPr>
                <w:kern w:val="0"/>
                <w:sz w:val="20"/>
                <w:szCs w:val="21"/>
              </w:rPr>
              <w:t>58.22</w:t>
            </w:r>
          </w:p>
        </w:tc>
        <w:tc>
          <w:tcPr>
            <w:tcW w:w="940" w:type="pct"/>
            <w:tcBorders>
              <w:top w:val="single" w:color="auto" w:sz="4" w:space="0"/>
              <w:bottom w:val="single" w:color="auto" w:sz="4" w:space="0"/>
            </w:tcBorders>
            <w:vAlign w:val="center"/>
          </w:tcPr>
          <w:p>
            <w:pPr>
              <w:ind w:firstLine="0" w:firstLineChars="0"/>
              <w:jc w:val="center"/>
              <w:rPr>
                <w:kern w:val="0"/>
                <w:sz w:val="20"/>
              </w:rPr>
            </w:pPr>
            <w:r>
              <w:rPr>
                <w:kern w:val="0"/>
                <w:sz w:val="20"/>
                <w:szCs w:val="21"/>
              </w:rPr>
              <w:t>39.56</w:t>
            </w:r>
          </w:p>
        </w:tc>
        <w:tc>
          <w:tcPr>
            <w:tcW w:w="988" w:type="pct"/>
            <w:tcBorders>
              <w:top w:val="single" w:color="auto" w:sz="4" w:space="0"/>
              <w:bottom w:val="single" w:color="auto" w:sz="4" w:space="0"/>
            </w:tcBorders>
            <w:vAlign w:val="center"/>
          </w:tcPr>
          <w:p>
            <w:pPr>
              <w:ind w:firstLine="0" w:firstLineChars="0"/>
              <w:jc w:val="center"/>
              <w:rPr>
                <w:kern w:val="0"/>
                <w:sz w:val="20"/>
              </w:rPr>
            </w:pPr>
            <w:r>
              <w:rPr>
                <w:kern w:val="0"/>
                <w:sz w:val="20"/>
                <w:szCs w:val="21"/>
              </w:rPr>
              <w:t>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93" w:type="pct"/>
            <w:vAlign w:val="center"/>
          </w:tcPr>
          <w:p>
            <w:pPr>
              <w:widowControl/>
              <w:tabs>
                <w:tab w:val="left" w:pos="8789"/>
              </w:tabs>
              <w:ind w:firstLine="0" w:firstLineChars="0"/>
              <w:jc w:val="center"/>
              <w:rPr>
                <w:kern w:val="0"/>
                <w:sz w:val="20"/>
                <w:szCs w:val="21"/>
              </w:rPr>
            </w:pPr>
            <w:r>
              <w:rPr>
                <w:kern w:val="0"/>
                <w:sz w:val="20"/>
                <w:szCs w:val="21"/>
              </w:rPr>
              <w:t xml:space="preserve">1#-30 mL </w:t>
            </w:r>
          </w:p>
        </w:tc>
        <w:tc>
          <w:tcPr>
            <w:tcW w:w="1026" w:type="pct"/>
            <w:tcBorders>
              <w:top w:val="single" w:color="auto" w:sz="4" w:space="0"/>
              <w:bottom w:val="single" w:color="auto" w:sz="4" w:space="0"/>
            </w:tcBorders>
            <w:vAlign w:val="center"/>
          </w:tcPr>
          <w:p>
            <w:pPr>
              <w:ind w:firstLine="0" w:firstLineChars="0"/>
              <w:jc w:val="center"/>
              <w:rPr>
                <w:kern w:val="0"/>
                <w:sz w:val="20"/>
              </w:rPr>
            </w:pPr>
            <w:r>
              <w:rPr>
                <w:kern w:val="0"/>
                <w:sz w:val="20"/>
              </w:rPr>
              <w:t>2.85</w:t>
            </w:r>
          </w:p>
        </w:tc>
        <w:tc>
          <w:tcPr>
            <w:tcW w:w="853" w:type="pct"/>
            <w:tcBorders>
              <w:top w:val="single" w:color="auto" w:sz="4" w:space="0"/>
              <w:bottom w:val="single" w:color="auto" w:sz="4" w:space="0"/>
            </w:tcBorders>
            <w:vAlign w:val="center"/>
          </w:tcPr>
          <w:p>
            <w:pPr>
              <w:ind w:firstLine="0" w:firstLineChars="0"/>
              <w:jc w:val="center"/>
              <w:rPr>
                <w:kern w:val="0"/>
                <w:sz w:val="20"/>
              </w:rPr>
            </w:pPr>
            <w:r>
              <w:rPr>
                <w:kern w:val="0"/>
                <w:sz w:val="20"/>
              </w:rPr>
              <w:t>58.28</w:t>
            </w:r>
          </w:p>
        </w:tc>
        <w:tc>
          <w:tcPr>
            <w:tcW w:w="940" w:type="pct"/>
            <w:tcBorders>
              <w:top w:val="single" w:color="auto" w:sz="4" w:space="0"/>
              <w:bottom w:val="single" w:color="auto" w:sz="4" w:space="0"/>
            </w:tcBorders>
            <w:vAlign w:val="center"/>
          </w:tcPr>
          <w:p>
            <w:pPr>
              <w:ind w:firstLine="0" w:firstLineChars="0"/>
              <w:jc w:val="center"/>
              <w:rPr>
                <w:kern w:val="0"/>
                <w:sz w:val="20"/>
              </w:rPr>
            </w:pPr>
            <w:r>
              <w:rPr>
                <w:kern w:val="0"/>
                <w:sz w:val="20"/>
              </w:rPr>
              <w:t>38.87</w:t>
            </w:r>
          </w:p>
        </w:tc>
        <w:tc>
          <w:tcPr>
            <w:tcW w:w="988" w:type="pct"/>
            <w:tcBorders>
              <w:top w:val="single" w:color="auto" w:sz="4" w:space="0"/>
              <w:bottom w:val="single" w:color="auto" w:sz="4" w:space="0"/>
            </w:tcBorders>
            <w:vAlign w:val="center"/>
          </w:tcPr>
          <w:p>
            <w:pPr>
              <w:ind w:firstLine="0" w:firstLineChars="0"/>
              <w:jc w:val="center"/>
              <w:rPr>
                <w:kern w:val="0"/>
                <w:sz w:val="20"/>
              </w:rPr>
            </w:pPr>
            <w:r>
              <w:rPr>
                <w:kern w:val="0"/>
                <w:sz w:val="20"/>
              </w:rPr>
              <w:t>14.25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93" w:type="pct"/>
            <w:vAlign w:val="center"/>
          </w:tcPr>
          <w:p>
            <w:pPr>
              <w:widowControl/>
              <w:tabs>
                <w:tab w:val="left" w:pos="8789"/>
              </w:tabs>
              <w:ind w:firstLine="0" w:firstLineChars="0"/>
              <w:jc w:val="center"/>
              <w:rPr>
                <w:color w:val="000000" w:themeColor="text1"/>
                <w:kern w:val="0"/>
                <w:sz w:val="20"/>
                <w:szCs w:val="21"/>
                <w14:textFill>
                  <w14:solidFill>
                    <w14:schemeClr w14:val="tx1"/>
                  </w14:solidFill>
                </w14:textFill>
              </w:rPr>
            </w:pPr>
            <w:r>
              <w:rPr>
                <w:color w:val="000000" w:themeColor="text1"/>
                <w:kern w:val="0"/>
                <w:sz w:val="20"/>
                <w:szCs w:val="21"/>
                <w14:textFill>
                  <w14:solidFill>
                    <w14:schemeClr w14:val="tx1"/>
                  </w14:solidFill>
                </w14:textFill>
              </w:rPr>
              <w:t>2#-10 mL</w:t>
            </w:r>
          </w:p>
        </w:tc>
        <w:tc>
          <w:tcPr>
            <w:tcW w:w="1026" w:type="pct"/>
            <w:tcBorders>
              <w:top w:val="single" w:color="auto" w:sz="4" w:space="0"/>
              <w:bottom w:val="single" w:color="auto" w:sz="4" w:space="0"/>
            </w:tcBorders>
            <w:vAlign w:val="center"/>
          </w:tcPr>
          <w:p>
            <w:pPr>
              <w:ind w:firstLine="0" w:firstLineChars="0"/>
              <w:jc w:val="center"/>
              <w:rPr>
                <w:color w:val="000000" w:themeColor="text1"/>
                <w:kern w:val="0"/>
                <w:sz w:val="20"/>
                <w:szCs w:val="21"/>
                <w14:textFill>
                  <w14:solidFill>
                    <w14:schemeClr w14:val="tx1"/>
                  </w14:solidFill>
                </w14:textFill>
              </w:rPr>
            </w:pPr>
            <w:r>
              <w:rPr>
                <w:color w:val="000000" w:themeColor="text1"/>
                <w:kern w:val="0"/>
                <w:sz w:val="20"/>
                <w:szCs w:val="21"/>
                <w14:textFill>
                  <w14:solidFill>
                    <w14:schemeClr w14:val="tx1"/>
                  </w14:solidFill>
                </w14:textFill>
              </w:rPr>
              <w:t>7.82</w:t>
            </w:r>
          </w:p>
        </w:tc>
        <w:tc>
          <w:tcPr>
            <w:tcW w:w="853" w:type="pct"/>
            <w:tcBorders>
              <w:top w:val="single" w:color="auto" w:sz="4" w:space="0"/>
              <w:bottom w:val="single" w:color="auto" w:sz="4" w:space="0"/>
            </w:tcBorders>
            <w:vAlign w:val="center"/>
          </w:tcPr>
          <w:p>
            <w:pPr>
              <w:ind w:firstLine="0" w:firstLineChars="0"/>
              <w:jc w:val="center"/>
              <w:rPr>
                <w:color w:val="000000" w:themeColor="text1"/>
                <w:kern w:val="0"/>
                <w:sz w:val="20"/>
                <w:szCs w:val="21"/>
                <w14:textFill>
                  <w14:solidFill>
                    <w14:schemeClr w14:val="tx1"/>
                  </w14:solidFill>
                </w14:textFill>
              </w:rPr>
            </w:pPr>
            <w:r>
              <w:rPr>
                <w:color w:val="000000" w:themeColor="text1"/>
                <w:kern w:val="0"/>
                <w:sz w:val="20"/>
                <w:szCs w:val="21"/>
                <w14:textFill>
                  <w14:solidFill>
                    <w14:schemeClr w14:val="tx1"/>
                  </w14:solidFill>
                </w14:textFill>
              </w:rPr>
              <w:t>68.65</w:t>
            </w:r>
          </w:p>
        </w:tc>
        <w:tc>
          <w:tcPr>
            <w:tcW w:w="940" w:type="pct"/>
            <w:tcBorders>
              <w:top w:val="single" w:color="auto" w:sz="4" w:space="0"/>
              <w:bottom w:val="single" w:color="auto" w:sz="4" w:space="0"/>
            </w:tcBorders>
            <w:vAlign w:val="center"/>
          </w:tcPr>
          <w:p>
            <w:pPr>
              <w:ind w:firstLine="0" w:firstLineChars="0"/>
              <w:jc w:val="center"/>
              <w:rPr>
                <w:color w:val="000000" w:themeColor="text1"/>
                <w:kern w:val="0"/>
                <w:sz w:val="20"/>
                <w:szCs w:val="21"/>
                <w14:textFill>
                  <w14:solidFill>
                    <w14:schemeClr w14:val="tx1"/>
                  </w14:solidFill>
                </w14:textFill>
              </w:rPr>
            </w:pPr>
            <w:r>
              <w:rPr>
                <w:color w:val="000000" w:themeColor="text1"/>
                <w:kern w:val="0"/>
                <w:sz w:val="20"/>
                <w:szCs w:val="21"/>
                <w14:textFill>
                  <w14:solidFill>
                    <w14:schemeClr w14:val="tx1"/>
                  </w14:solidFill>
                </w14:textFill>
              </w:rPr>
              <w:t>23.53</w:t>
            </w:r>
          </w:p>
        </w:tc>
        <w:tc>
          <w:tcPr>
            <w:tcW w:w="988" w:type="pct"/>
            <w:tcBorders>
              <w:top w:val="single" w:color="auto" w:sz="4" w:space="0"/>
              <w:bottom w:val="single" w:color="auto" w:sz="4" w:space="0"/>
            </w:tcBorders>
            <w:vAlign w:val="center"/>
          </w:tcPr>
          <w:p>
            <w:pPr>
              <w:ind w:firstLine="0" w:firstLineChars="0"/>
              <w:jc w:val="center"/>
              <w:rPr>
                <w:color w:val="000000" w:themeColor="text1"/>
                <w:kern w:val="0"/>
                <w:sz w:val="20"/>
                <w:szCs w:val="21"/>
                <w14:textFill>
                  <w14:solidFill>
                    <w14:schemeClr w14:val="tx1"/>
                  </w14:solidFill>
                </w14:textFill>
              </w:rPr>
            </w:pPr>
            <w:r>
              <w:rPr>
                <w:color w:val="000000" w:themeColor="text1"/>
                <w:kern w:val="0"/>
                <w:sz w:val="20"/>
                <w:szCs w:val="21"/>
                <w14:textFill>
                  <w14:solidFill>
                    <w14:schemeClr w14:val="tx1"/>
                  </w14:solidFill>
                </w14:textFill>
              </w:rPr>
              <w:t>12.33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93" w:type="pct"/>
            <w:vAlign w:val="center"/>
          </w:tcPr>
          <w:p>
            <w:pPr>
              <w:widowControl/>
              <w:tabs>
                <w:tab w:val="left" w:pos="8789"/>
              </w:tabs>
              <w:ind w:firstLine="0" w:firstLineChars="0"/>
              <w:jc w:val="center"/>
              <w:rPr>
                <w:color w:val="000000" w:themeColor="text1"/>
                <w:kern w:val="0"/>
                <w:sz w:val="20"/>
                <w:szCs w:val="21"/>
                <w14:textFill>
                  <w14:solidFill>
                    <w14:schemeClr w14:val="tx1"/>
                  </w14:solidFill>
                </w14:textFill>
              </w:rPr>
            </w:pPr>
            <w:r>
              <w:rPr>
                <w:color w:val="000000" w:themeColor="text1"/>
                <w:kern w:val="0"/>
                <w:sz w:val="20"/>
                <w:szCs w:val="21"/>
                <w14:textFill>
                  <w14:solidFill>
                    <w14:schemeClr w14:val="tx1"/>
                  </w14:solidFill>
                </w14:textFill>
              </w:rPr>
              <w:t>2#-20 mL</w:t>
            </w:r>
          </w:p>
        </w:tc>
        <w:tc>
          <w:tcPr>
            <w:tcW w:w="1026" w:type="pct"/>
            <w:tcBorders>
              <w:top w:val="single" w:color="auto" w:sz="4" w:space="0"/>
              <w:bottom w:val="single" w:color="auto" w:sz="4" w:space="0"/>
            </w:tcBorders>
            <w:vAlign w:val="center"/>
          </w:tcPr>
          <w:p>
            <w:pPr>
              <w:ind w:firstLine="0" w:firstLineChars="0"/>
              <w:jc w:val="center"/>
              <w:rPr>
                <w:color w:val="000000" w:themeColor="text1"/>
                <w:kern w:val="0"/>
                <w:sz w:val="20"/>
                <w:szCs w:val="21"/>
                <w14:textFill>
                  <w14:solidFill>
                    <w14:schemeClr w14:val="tx1"/>
                  </w14:solidFill>
                </w14:textFill>
              </w:rPr>
            </w:pPr>
            <w:r>
              <w:rPr>
                <w:color w:val="000000" w:themeColor="text1"/>
                <w:kern w:val="0"/>
                <w:sz w:val="20"/>
                <w:szCs w:val="21"/>
                <w14:textFill>
                  <w14:solidFill>
                    <w14:schemeClr w14:val="tx1"/>
                  </w14:solidFill>
                </w14:textFill>
              </w:rPr>
              <w:t>8.67</w:t>
            </w:r>
          </w:p>
        </w:tc>
        <w:tc>
          <w:tcPr>
            <w:tcW w:w="853" w:type="pct"/>
            <w:tcBorders>
              <w:top w:val="single" w:color="auto" w:sz="4" w:space="0"/>
              <w:bottom w:val="single" w:color="auto" w:sz="4" w:space="0"/>
            </w:tcBorders>
            <w:vAlign w:val="center"/>
          </w:tcPr>
          <w:p>
            <w:pPr>
              <w:ind w:firstLine="0" w:firstLineChars="0"/>
              <w:jc w:val="center"/>
              <w:rPr>
                <w:color w:val="000000" w:themeColor="text1"/>
                <w:kern w:val="0"/>
                <w:sz w:val="20"/>
                <w:szCs w:val="21"/>
                <w14:textFill>
                  <w14:solidFill>
                    <w14:schemeClr w14:val="tx1"/>
                  </w14:solidFill>
                </w14:textFill>
              </w:rPr>
            </w:pPr>
            <w:r>
              <w:rPr>
                <w:color w:val="000000" w:themeColor="text1"/>
                <w:kern w:val="0"/>
                <w:sz w:val="20"/>
                <w:szCs w:val="21"/>
                <w14:textFill>
                  <w14:solidFill>
                    <w14:schemeClr w14:val="tx1"/>
                  </w14:solidFill>
                </w14:textFill>
              </w:rPr>
              <w:t>68.79</w:t>
            </w:r>
          </w:p>
        </w:tc>
        <w:tc>
          <w:tcPr>
            <w:tcW w:w="940" w:type="pct"/>
            <w:tcBorders>
              <w:top w:val="single" w:color="auto" w:sz="4" w:space="0"/>
              <w:bottom w:val="single" w:color="auto" w:sz="4" w:space="0"/>
            </w:tcBorders>
            <w:vAlign w:val="center"/>
          </w:tcPr>
          <w:p>
            <w:pPr>
              <w:ind w:firstLine="0" w:firstLineChars="0"/>
              <w:jc w:val="center"/>
              <w:rPr>
                <w:color w:val="000000" w:themeColor="text1"/>
                <w:kern w:val="0"/>
                <w:sz w:val="20"/>
                <w:szCs w:val="21"/>
                <w14:textFill>
                  <w14:solidFill>
                    <w14:schemeClr w14:val="tx1"/>
                  </w14:solidFill>
                </w14:textFill>
              </w:rPr>
            </w:pPr>
            <w:r>
              <w:rPr>
                <w:color w:val="000000" w:themeColor="text1"/>
                <w:kern w:val="0"/>
                <w:sz w:val="20"/>
                <w:szCs w:val="21"/>
                <w14:textFill>
                  <w14:solidFill>
                    <w14:schemeClr w14:val="tx1"/>
                  </w14:solidFill>
                </w14:textFill>
              </w:rPr>
              <w:t>22.54</w:t>
            </w:r>
          </w:p>
        </w:tc>
        <w:tc>
          <w:tcPr>
            <w:tcW w:w="988" w:type="pct"/>
            <w:tcBorders>
              <w:top w:val="single" w:color="auto" w:sz="4" w:space="0"/>
              <w:bottom w:val="single" w:color="auto" w:sz="4" w:space="0"/>
            </w:tcBorders>
            <w:vAlign w:val="center"/>
          </w:tcPr>
          <w:p>
            <w:pPr>
              <w:ind w:firstLine="0" w:firstLineChars="0"/>
              <w:jc w:val="center"/>
              <w:rPr>
                <w:color w:val="000000" w:themeColor="text1"/>
                <w:kern w:val="0"/>
                <w:sz w:val="20"/>
                <w:szCs w:val="21"/>
                <w14:textFill>
                  <w14:solidFill>
                    <w14:schemeClr w14:val="tx1"/>
                  </w14:solidFill>
                </w14:textFill>
              </w:rPr>
            </w:pPr>
            <w:r>
              <w:rPr>
                <w:color w:val="000000" w:themeColor="text1"/>
                <w:kern w:val="0"/>
                <w:sz w:val="20"/>
                <w:szCs w:val="21"/>
                <w14:textFill>
                  <w14:solidFill>
                    <w14:schemeClr w14:val="tx1"/>
                  </w14:solidFill>
                </w14:textFill>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93" w:type="pct"/>
            <w:vAlign w:val="center"/>
          </w:tcPr>
          <w:p>
            <w:pPr>
              <w:widowControl/>
              <w:tabs>
                <w:tab w:val="left" w:pos="8789"/>
              </w:tabs>
              <w:ind w:firstLine="0" w:firstLineChars="0"/>
              <w:jc w:val="center"/>
              <w:rPr>
                <w:color w:val="000000" w:themeColor="text1"/>
                <w:kern w:val="0"/>
                <w:sz w:val="20"/>
                <w:szCs w:val="21"/>
                <w14:textFill>
                  <w14:solidFill>
                    <w14:schemeClr w14:val="tx1"/>
                  </w14:solidFill>
                </w14:textFill>
              </w:rPr>
            </w:pPr>
            <w:r>
              <w:rPr>
                <w:color w:val="000000" w:themeColor="text1"/>
                <w:kern w:val="0"/>
                <w:sz w:val="20"/>
                <w:szCs w:val="21"/>
                <w14:textFill>
                  <w14:solidFill>
                    <w14:schemeClr w14:val="tx1"/>
                  </w14:solidFill>
                </w14:textFill>
              </w:rPr>
              <w:t>2#-30 mL</w:t>
            </w:r>
          </w:p>
        </w:tc>
        <w:tc>
          <w:tcPr>
            <w:tcW w:w="1026" w:type="pct"/>
            <w:tcBorders>
              <w:top w:val="single" w:color="auto" w:sz="4" w:space="0"/>
              <w:bottom w:val="single" w:color="auto" w:sz="4" w:space="0"/>
            </w:tcBorders>
            <w:vAlign w:val="center"/>
          </w:tcPr>
          <w:p>
            <w:pPr>
              <w:ind w:firstLine="0" w:firstLineChars="0"/>
              <w:jc w:val="center"/>
              <w:rPr>
                <w:color w:val="000000" w:themeColor="text1"/>
                <w:kern w:val="0"/>
                <w:sz w:val="20"/>
                <w:szCs w:val="21"/>
                <w14:textFill>
                  <w14:solidFill>
                    <w14:schemeClr w14:val="tx1"/>
                  </w14:solidFill>
                </w14:textFill>
              </w:rPr>
            </w:pPr>
            <w:r>
              <w:rPr>
                <w:color w:val="000000" w:themeColor="text1"/>
                <w:kern w:val="0"/>
                <w:sz w:val="20"/>
                <w:szCs w:val="21"/>
                <w14:textFill>
                  <w14:solidFill>
                    <w14:schemeClr w14:val="tx1"/>
                  </w14:solidFill>
                </w14:textFill>
              </w:rPr>
              <w:t>8.71</w:t>
            </w:r>
          </w:p>
        </w:tc>
        <w:tc>
          <w:tcPr>
            <w:tcW w:w="853" w:type="pct"/>
            <w:tcBorders>
              <w:top w:val="single" w:color="auto" w:sz="4" w:space="0"/>
              <w:bottom w:val="single" w:color="auto" w:sz="4" w:space="0"/>
            </w:tcBorders>
            <w:vAlign w:val="center"/>
          </w:tcPr>
          <w:p>
            <w:pPr>
              <w:ind w:firstLine="0" w:firstLineChars="0"/>
              <w:jc w:val="center"/>
              <w:rPr>
                <w:color w:val="000000" w:themeColor="text1"/>
                <w:kern w:val="0"/>
                <w:sz w:val="20"/>
                <w:szCs w:val="21"/>
                <w14:textFill>
                  <w14:solidFill>
                    <w14:schemeClr w14:val="tx1"/>
                  </w14:solidFill>
                </w14:textFill>
              </w:rPr>
            </w:pPr>
            <w:r>
              <w:rPr>
                <w:color w:val="000000" w:themeColor="text1"/>
                <w:kern w:val="0"/>
                <w:sz w:val="20"/>
                <w:szCs w:val="21"/>
                <w14:textFill>
                  <w14:solidFill>
                    <w14:schemeClr w14:val="tx1"/>
                  </w14:solidFill>
                </w14:textFill>
              </w:rPr>
              <w:t>68.81</w:t>
            </w:r>
          </w:p>
        </w:tc>
        <w:tc>
          <w:tcPr>
            <w:tcW w:w="940" w:type="pct"/>
            <w:tcBorders>
              <w:top w:val="single" w:color="auto" w:sz="4" w:space="0"/>
              <w:bottom w:val="single" w:color="auto" w:sz="4" w:space="0"/>
            </w:tcBorders>
            <w:vAlign w:val="center"/>
          </w:tcPr>
          <w:p>
            <w:pPr>
              <w:ind w:firstLine="0" w:firstLineChars="0"/>
              <w:jc w:val="center"/>
              <w:rPr>
                <w:color w:val="000000" w:themeColor="text1"/>
                <w:kern w:val="0"/>
                <w:sz w:val="20"/>
                <w:szCs w:val="21"/>
                <w14:textFill>
                  <w14:solidFill>
                    <w14:schemeClr w14:val="tx1"/>
                  </w14:solidFill>
                </w14:textFill>
              </w:rPr>
            </w:pPr>
            <w:r>
              <w:rPr>
                <w:color w:val="000000" w:themeColor="text1"/>
                <w:kern w:val="0"/>
                <w:sz w:val="20"/>
                <w:szCs w:val="21"/>
                <w14:textFill>
                  <w14:solidFill>
                    <w14:schemeClr w14:val="tx1"/>
                  </w14:solidFill>
                </w14:textFill>
              </w:rPr>
              <w:t>22.48</w:t>
            </w:r>
          </w:p>
        </w:tc>
        <w:tc>
          <w:tcPr>
            <w:tcW w:w="988" w:type="pct"/>
            <w:tcBorders>
              <w:top w:val="single" w:color="auto" w:sz="4" w:space="0"/>
              <w:bottom w:val="single" w:color="auto" w:sz="4" w:space="0"/>
            </w:tcBorders>
            <w:vAlign w:val="center"/>
          </w:tcPr>
          <w:p>
            <w:pPr>
              <w:ind w:firstLine="0" w:firstLineChars="0"/>
              <w:jc w:val="center"/>
              <w:rPr>
                <w:color w:val="000000" w:themeColor="text1"/>
                <w:kern w:val="0"/>
                <w:sz w:val="20"/>
                <w:szCs w:val="21"/>
                <w14:textFill>
                  <w14:solidFill>
                    <w14:schemeClr w14:val="tx1"/>
                  </w14:solidFill>
                </w14:textFill>
              </w:rPr>
            </w:pPr>
            <w:r>
              <w:rPr>
                <w:color w:val="000000" w:themeColor="text1"/>
                <w:kern w:val="0"/>
                <w:sz w:val="20"/>
                <w:szCs w:val="21"/>
                <w14:textFill>
                  <w14:solidFill>
                    <w14:schemeClr w14:val="tx1"/>
                  </w14:solidFill>
                </w14:textFill>
              </w:rPr>
              <w:t>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93" w:type="pct"/>
            <w:vAlign w:val="center"/>
          </w:tcPr>
          <w:p>
            <w:pPr>
              <w:widowControl/>
              <w:tabs>
                <w:tab w:val="left" w:pos="8789"/>
              </w:tabs>
              <w:ind w:firstLine="0" w:firstLineChars="0"/>
              <w:jc w:val="center"/>
              <w:rPr>
                <w:color w:val="000000" w:themeColor="text1"/>
                <w:kern w:val="0"/>
                <w:sz w:val="20"/>
                <w:szCs w:val="21"/>
                <w14:textFill>
                  <w14:solidFill>
                    <w14:schemeClr w14:val="tx1"/>
                  </w14:solidFill>
                </w14:textFill>
              </w:rPr>
            </w:pPr>
            <w:r>
              <w:rPr>
                <w:color w:val="000000" w:themeColor="text1"/>
                <w:kern w:val="0"/>
                <w:sz w:val="20"/>
                <w:szCs w:val="21"/>
                <w14:textFill>
                  <w14:solidFill>
                    <w14:schemeClr w14:val="tx1"/>
                  </w14:solidFill>
                </w14:textFill>
              </w:rPr>
              <w:t>3#-10 mL</w:t>
            </w:r>
          </w:p>
        </w:tc>
        <w:tc>
          <w:tcPr>
            <w:tcW w:w="1026" w:type="pct"/>
            <w:tcBorders>
              <w:top w:val="single" w:color="auto" w:sz="4" w:space="0"/>
              <w:bottom w:val="single" w:color="auto" w:sz="4" w:space="0"/>
            </w:tcBorders>
            <w:vAlign w:val="center"/>
          </w:tcPr>
          <w:p>
            <w:pPr>
              <w:ind w:firstLine="0" w:firstLineChars="0"/>
              <w:jc w:val="center"/>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5.06</w:t>
            </w:r>
          </w:p>
        </w:tc>
        <w:tc>
          <w:tcPr>
            <w:tcW w:w="853" w:type="pct"/>
            <w:tcBorders>
              <w:top w:val="single" w:color="auto" w:sz="4" w:space="0"/>
              <w:bottom w:val="single" w:color="auto" w:sz="4" w:space="0"/>
            </w:tcBorders>
            <w:vAlign w:val="center"/>
          </w:tcPr>
          <w:p>
            <w:pPr>
              <w:ind w:firstLine="0" w:firstLineChars="0"/>
              <w:jc w:val="center"/>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76.06</w:t>
            </w:r>
          </w:p>
        </w:tc>
        <w:tc>
          <w:tcPr>
            <w:tcW w:w="940" w:type="pct"/>
            <w:tcBorders>
              <w:top w:val="single" w:color="auto" w:sz="4" w:space="0"/>
              <w:bottom w:val="single" w:color="auto" w:sz="4" w:space="0"/>
            </w:tcBorders>
            <w:vAlign w:val="center"/>
          </w:tcPr>
          <w:p>
            <w:pPr>
              <w:ind w:firstLine="0" w:firstLineChars="0"/>
              <w:jc w:val="center"/>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18.88</w:t>
            </w:r>
          </w:p>
        </w:tc>
        <w:tc>
          <w:tcPr>
            <w:tcW w:w="988" w:type="pct"/>
            <w:tcBorders>
              <w:top w:val="single" w:color="auto" w:sz="4" w:space="0"/>
              <w:bottom w:val="single" w:color="auto" w:sz="4" w:space="0"/>
            </w:tcBorders>
            <w:vAlign w:val="center"/>
          </w:tcPr>
          <w:p>
            <w:pPr>
              <w:ind w:firstLine="0" w:firstLineChars="0"/>
              <w:jc w:val="center"/>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12.23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93" w:type="pct"/>
            <w:vAlign w:val="center"/>
          </w:tcPr>
          <w:p>
            <w:pPr>
              <w:widowControl/>
              <w:tabs>
                <w:tab w:val="left" w:pos="8789"/>
              </w:tabs>
              <w:ind w:firstLine="0" w:firstLineChars="0"/>
              <w:jc w:val="center"/>
              <w:rPr>
                <w:color w:val="000000" w:themeColor="text1"/>
                <w:kern w:val="0"/>
                <w:sz w:val="20"/>
                <w:szCs w:val="21"/>
                <w14:textFill>
                  <w14:solidFill>
                    <w14:schemeClr w14:val="tx1"/>
                  </w14:solidFill>
                </w14:textFill>
              </w:rPr>
            </w:pPr>
            <w:r>
              <w:rPr>
                <w:color w:val="000000" w:themeColor="text1"/>
                <w:kern w:val="0"/>
                <w:sz w:val="20"/>
                <w:szCs w:val="21"/>
                <w14:textFill>
                  <w14:solidFill>
                    <w14:schemeClr w14:val="tx1"/>
                  </w14:solidFill>
                </w14:textFill>
              </w:rPr>
              <w:t>3#-20 mL</w:t>
            </w:r>
          </w:p>
        </w:tc>
        <w:tc>
          <w:tcPr>
            <w:tcW w:w="1026" w:type="pct"/>
            <w:tcBorders>
              <w:top w:val="single" w:color="auto" w:sz="4" w:space="0"/>
              <w:bottom w:val="single" w:color="auto" w:sz="4" w:space="0"/>
            </w:tcBorders>
            <w:vAlign w:val="center"/>
          </w:tcPr>
          <w:p>
            <w:pPr>
              <w:ind w:firstLine="0" w:firstLineChars="0"/>
              <w:jc w:val="center"/>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5.90</w:t>
            </w:r>
          </w:p>
        </w:tc>
        <w:tc>
          <w:tcPr>
            <w:tcW w:w="853" w:type="pct"/>
            <w:tcBorders>
              <w:top w:val="single" w:color="auto" w:sz="4" w:space="0"/>
              <w:bottom w:val="single" w:color="auto" w:sz="4" w:space="0"/>
            </w:tcBorders>
            <w:vAlign w:val="center"/>
          </w:tcPr>
          <w:p>
            <w:pPr>
              <w:ind w:firstLine="0" w:firstLineChars="0"/>
              <w:jc w:val="center"/>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75.94</w:t>
            </w:r>
          </w:p>
        </w:tc>
        <w:tc>
          <w:tcPr>
            <w:tcW w:w="940" w:type="pct"/>
            <w:tcBorders>
              <w:top w:val="single" w:color="auto" w:sz="4" w:space="0"/>
              <w:bottom w:val="single" w:color="auto" w:sz="4" w:space="0"/>
            </w:tcBorders>
            <w:vAlign w:val="center"/>
          </w:tcPr>
          <w:p>
            <w:pPr>
              <w:ind w:firstLine="0" w:firstLineChars="0"/>
              <w:jc w:val="center"/>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18.16</w:t>
            </w:r>
          </w:p>
        </w:tc>
        <w:tc>
          <w:tcPr>
            <w:tcW w:w="988" w:type="pct"/>
            <w:tcBorders>
              <w:top w:val="single" w:color="auto" w:sz="4" w:space="0"/>
              <w:bottom w:val="single" w:color="auto" w:sz="4" w:space="0"/>
            </w:tcBorders>
            <w:vAlign w:val="center"/>
          </w:tcPr>
          <w:p>
            <w:pPr>
              <w:ind w:firstLine="0" w:firstLineChars="0"/>
              <w:jc w:val="center"/>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12.07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93" w:type="pct"/>
            <w:vAlign w:val="center"/>
          </w:tcPr>
          <w:p>
            <w:pPr>
              <w:widowControl/>
              <w:tabs>
                <w:tab w:val="left" w:pos="8789"/>
              </w:tabs>
              <w:ind w:firstLine="0" w:firstLineChars="0"/>
              <w:jc w:val="center"/>
              <w:rPr>
                <w:color w:val="000000" w:themeColor="text1"/>
                <w:kern w:val="0"/>
                <w:sz w:val="20"/>
                <w:szCs w:val="21"/>
                <w14:textFill>
                  <w14:solidFill>
                    <w14:schemeClr w14:val="tx1"/>
                  </w14:solidFill>
                </w14:textFill>
              </w:rPr>
            </w:pPr>
            <w:r>
              <w:rPr>
                <w:color w:val="000000" w:themeColor="text1"/>
                <w:kern w:val="0"/>
                <w:sz w:val="20"/>
                <w:szCs w:val="21"/>
                <w14:textFill>
                  <w14:solidFill>
                    <w14:schemeClr w14:val="tx1"/>
                  </w14:solidFill>
                </w14:textFill>
              </w:rPr>
              <w:t>3#-30 mL</w:t>
            </w:r>
          </w:p>
        </w:tc>
        <w:tc>
          <w:tcPr>
            <w:tcW w:w="1026" w:type="pct"/>
            <w:tcBorders>
              <w:top w:val="single" w:color="auto" w:sz="4" w:space="0"/>
              <w:bottom w:val="single" w:color="auto" w:sz="4" w:space="0"/>
            </w:tcBorders>
            <w:vAlign w:val="center"/>
          </w:tcPr>
          <w:p>
            <w:pPr>
              <w:ind w:firstLine="0" w:firstLineChars="0"/>
              <w:jc w:val="center"/>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6.00</w:t>
            </w:r>
          </w:p>
        </w:tc>
        <w:tc>
          <w:tcPr>
            <w:tcW w:w="853" w:type="pct"/>
            <w:tcBorders>
              <w:top w:val="single" w:color="auto" w:sz="4" w:space="0"/>
              <w:bottom w:val="single" w:color="auto" w:sz="4" w:space="0"/>
            </w:tcBorders>
            <w:vAlign w:val="center"/>
          </w:tcPr>
          <w:p>
            <w:pPr>
              <w:ind w:firstLine="0" w:firstLineChars="0"/>
              <w:jc w:val="center"/>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75.87</w:t>
            </w:r>
          </w:p>
        </w:tc>
        <w:tc>
          <w:tcPr>
            <w:tcW w:w="940" w:type="pct"/>
            <w:tcBorders>
              <w:top w:val="single" w:color="auto" w:sz="4" w:space="0"/>
              <w:bottom w:val="single" w:color="auto" w:sz="4" w:space="0"/>
            </w:tcBorders>
            <w:vAlign w:val="center"/>
          </w:tcPr>
          <w:p>
            <w:pPr>
              <w:ind w:firstLine="0" w:firstLineChars="0"/>
              <w:jc w:val="center"/>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18.13</w:t>
            </w:r>
          </w:p>
        </w:tc>
        <w:tc>
          <w:tcPr>
            <w:tcW w:w="988" w:type="pct"/>
            <w:tcBorders>
              <w:top w:val="single" w:color="auto" w:sz="4" w:space="0"/>
              <w:bottom w:val="single" w:color="auto" w:sz="4" w:space="0"/>
            </w:tcBorders>
            <w:vAlign w:val="center"/>
          </w:tcPr>
          <w:p>
            <w:pPr>
              <w:ind w:firstLine="0" w:firstLineChars="0"/>
              <w:jc w:val="center"/>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12.06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93" w:type="pct"/>
            <w:vAlign w:val="center"/>
          </w:tcPr>
          <w:p>
            <w:pPr>
              <w:widowControl/>
              <w:tabs>
                <w:tab w:val="left" w:pos="8789"/>
              </w:tabs>
              <w:ind w:firstLine="0" w:firstLineChars="0"/>
              <w:jc w:val="center"/>
              <w:rPr>
                <w:kern w:val="0"/>
                <w:sz w:val="20"/>
                <w:szCs w:val="21"/>
              </w:rPr>
            </w:pPr>
            <w:r>
              <w:rPr>
                <w:kern w:val="0"/>
                <w:sz w:val="20"/>
                <w:szCs w:val="21"/>
              </w:rPr>
              <w:t>4#-10 mL</w:t>
            </w:r>
          </w:p>
        </w:tc>
        <w:tc>
          <w:tcPr>
            <w:tcW w:w="1026" w:type="pct"/>
            <w:tcBorders>
              <w:top w:val="single" w:color="auto" w:sz="4" w:space="0"/>
              <w:bottom w:val="single" w:color="auto" w:sz="4" w:space="0"/>
            </w:tcBorders>
            <w:vAlign w:val="center"/>
          </w:tcPr>
          <w:p>
            <w:pPr>
              <w:ind w:firstLine="0" w:firstLineChars="0"/>
              <w:jc w:val="center"/>
              <w:rPr>
                <w:kern w:val="0"/>
                <w:sz w:val="20"/>
              </w:rPr>
            </w:pPr>
            <w:r>
              <w:rPr>
                <w:kern w:val="0"/>
                <w:sz w:val="20"/>
              </w:rPr>
              <w:t>3.38</w:t>
            </w:r>
          </w:p>
        </w:tc>
        <w:tc>
          <w:tcPr>
            <w:tcW w:w="853" w:type="pct"/>
            <w:tcBorders>
              <w:top w:val="single" w:color="auto" w:sz="4" w:space="0"/>
              <w:bottom w:val="single" w:color="auto" w:sz="4" w:space="0"/>
            </w:tcBorders>
            <w:vAlign w:val="center"/>
          </w:tcPr>
          <w:p>
            <w:pPr>
              <w:ind w:firstLine="0" w:firstLineChars="0"/>
              <w:jc w:val="center"/>
              <w:rPr>
                <w:kern w:val="0"/>
                <w:sz w:val="20"/>
              </w:rPr>
            </w:pPr>
            <w:r>
              <w:rPr>
                <w:kern w:val="0"/>
                <w:sz w:val="20"/>
              </w:rPr>
              <w:t>80.32</w:t>
            </w:r>
          </w:p>
        </w:tc>
        <w:tc>
          <w:tcPr>
            <w:tcW w:w="940" w:type="pct"/>
            <w:tcBorders>
              <w:top w:val="single" w:color="auto" w:sz="4" w:space="0"/>
              <w:bottom w:val="single" w:color="auto" w:sz="4" w:space="0"/>
            </w:tcBorders>
            <w:vAlign w:val="center"/>
          </w:tcPr>
          <w:p>
            <w:pPr>
              <w:ind w:firstLine="0" w:firstLineChars="0"/>
              <w:jc w:val="center"/>
              <w:rPr>
                <w:kern w:val="0"/>
                <w:sz w:val="20"/>
              </w:rPr>
            </w:pPr>
            <w:r>
              <w:rPr>
                <w:kern w:val="0"/>
                <w:sz w:val="20"/>
              </w:rPr>
              <w:t>16.30</w:t>
            </w:r>
          </w:p>
        </w:tc>
        <w:tc>
          <w:tcPr>
            <w:tcW w:w="988" w:type="pct"/>
            <w:tcBorders>
              <w:top w:val="single" w:color="auto" w:sz="4" w:space="0"/>
              <w:bottom w:val="single" w:color="auto" w:sz="4" w:space="0"/>
            </w:tcBorders>
            <w:vAlign w:val="center"/>
          </w:tcPr>
          <w:p>
            <w:pPr>
              <w:ind w:firstLine="0" w:firstLineChars="0"/>
              <w:jc w:val="center"/>
              <w:rPr>
                <w:kern w:val="0"/>
                <w:sz w:val="20"/>
              </w:rPr>
            </w:pPr>
            <w:r>
              <w:rPr>
                <w:kern w:val="0"/>
                <w:sz w:val="20"/>
              </w:rPr>
              <w:t>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93" w:type="pct"/>
            <w:vAlign w:val="center"/>
          </w:tcPr>
          <w:p>
            <w:pPr>
              <w:widowControl/>
              <w:tabs>
                <w:tab w:val="left" w:pos="8789"/>
              </w:tabs>
              <w:ind w:firstLine="0" w:firstLineChars="0"/>
              <w:jc w:val="center"/>
              <w:rPr>
                <w:color w:val="000000" w:themeColor="text1"/>
                <w:kern w:val="0"/>
                <w:sz w:val="20"/>
                <w:szCs w:val="21"/>
                <w14:textFill>
                  <w14:solidFill>
                    <w14:schemeClr w14:val="tx1"/>
                  </w14:solidFill>
                </w14:textFill>
              </w:rPr>
            </w:pPr>
            <w:r>
              <w:rPr>
                <w:color w:val="000000" w:themeColor="text1"/>
                <w:kern w:val="0"/>
                <w:sz w:val="20"/>
                <w:szCs w:val="21"/>
                <w14:textFill>
                  <w14:solidFill>
                    <w14:schemeClr w14:val="tx1"/>
                  </w14:solidFill>
                </w14:textFill>
              </w:rPr>
              <w:t>4#-20 mL</w:t>
            </w:r>
          </w:p>
        </w:tc>
        <w:tc>
          <w:tcPr>
            <w:tcW w:w="1026" w:type="pct"/>
            <w:tcBorders>
              <w:top w:val="single" w:color="auto" w:sz="4" w:space="0"/>
              <w:bottom w:val="single" w:color="auto" w:sz="4" w:space="0"/>
            </w:tcBorders>
            <w:vAlign w:val="center"/>
          </w:tcPr>
          <w:p>
            <w:pPr>
              <w:ind w:firstLine="0" w:firstLineChars="0"/>
              <w:jc w:val="center"/>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3.90</w:t>
            </w:r>
          </w:p>
        </w:tc>
        <w:tc>
          <w:tcPr>
            <w:tcW w:w="853" w:type="pct"/>
            <w:tcBorders>
              <w:top w:val="single" w:color="auto" w:sz="4" w:space="0"/>
              <w:bottom w:val="single" w:color="auto" w:sz="4" w:space="0"/>
            </w:tcBorders>
            <w:vAlign w:val="center"/>
          </w:tcPr>
          <w:p>
            <w:pPr>
              <w:ind w:firstLine="0" w:firstLineChars="0"/>
              <w:jc w:val="center"/>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80.40</w:t>
            </w:r>
          </w:p>
        </w:tc>
        <w:tc>
          <w:tcPr>
            <w:tcW w:w="940" w:type="pct"/>
            <w:tcBorders>
              <w:top w:val="single" w:color="auto" w:sz="4" w:space="0"/>
              <w:bottom w:val="single" w:color="auto" w:sz="4" w:space="0"/>
            </w:tcBorders>
            <w:vAlign w:val="center"/>
          </w:tcPr>
          <w:p>
            <w:pPr>
              <w:ind w:firstLine="0" w:firstLineChars="0"/>
              <w:jc w:val="center"/>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15.71</w:t>
            </w:r>
          </w:p>
        </w:tc>
        <w:tc>
          <w:tcPr>
            <w:tcW w:w="988" w:type="pct"/>
            <w:tcBorders>
              <w:top w:val="single" w:color="auto" w:sz="4" w:space="0"/>
              <w:bottom w:val="single" w:color="auto" w:sz="4" w:space="0"/>
            </w:tcBorders>
            <w:vAlign w:val="center"/>
          </w:tcPr>
          <w:p>
            <w:pPr>
              <w:ind w:firstLine="0" w:firstLineChars="0"/>
              <w:jc w:val="center"/>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12.07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93" w:type="pct"/>
            <w:vAlign w:val="center"/>
          </w:tcPr>
          <w:p>
            <w:pPr>
              <w:widowControl/>
              <w:tabs>
                <w:tab w:val="left" w:pos="8789"/>
              </w:tabs>
              <w:ind w:firstLine="0" w:firstLineChars="0"/>
              <w:jc w:val="center"/>
              <w:rPr>
                <w:kern w:val="0"/>
                <w:sz w:val="20"/>
                <w:szCs w:val="21"/>
              </w:rPr>
            </w:pPr>
            <w:r>
              <w:rPr>
                <w:kern w:val="0"/>
                <w:sz w:val="20"/>
                <w:szCs w:val="21"/>
              </w:rPr>
              <w:t>4#-30 mL</w:t>
            </w:r>
          </w:p>
        </w:tc>
        <w:tc>
          <w:tcPr>
            <w:tcW w:w="1026" w:type="pct"/>
            <w:tcBorders>
              <w:top w:val="single" w:color="auto" w:sz="4" w:space="0"/>
              <w:bottom w:val="single" w:color="auto" w:sz="4" w:space="0"/>
            </w:tcBorders>
            <w:vAlign w:val="center"/>
          </w:tcPr>
          <w:p>
            <w:pPr>
              <w:ind w:firstLine="0" w:firstLineChars="0"/>
              <w:jc w:val="center"/>
              <w:rPr>
                <w:kern w:val="0"/>
                <w:sz w:val="20"/>
              </w:rPr>
            </w:pPr>
            <w:r>
              <w:rPr>
                <w:kern w:val="0"/>
                <w:sz w:val="20"/>
              </w:rPr>
              <w:t>4.12</w:t>
            </w:r>
          </w:p>
        </w:tc>
        <w:tc>
          <w:tcPr>
            <w:tcW w:w="853" w:type="pct"/>
            <w:tcBorders>
              <w:top w:val="single" w:color="auto" w:sz="4" w:space="0"/>
              <w:bottom w:val="single" w:color="auto" w:sz="4" w:space="0"/>
            </w:tcBorders>
            <w:vAlign w:val="center"/>
          </w:tcPr>
          <w:p>
            <w:pPr>
              <w:ind w:firstLine="0" w:firstLineChars="0"/>
              <w:jc w:val="center"/>
              <w:rPr>
                <w:kern w:val="0"/>
                <w:sz w:val="20"/>
              </w:rPr>
            </w:pPr>
            <w:r>
              <w:rPr>
                <w:kern w:val="0"/>
                <w:sz w:val="20"/>
              </w:rPr>
              <w:t>80.19</w:t>
            </w:r>
          </w:p>
        </w:tc>
        <w:tc>
          <w:tcPr>
            <w:tcW w:w="940" w:type="pct"/>
            <w:tcBorders>
              <w:top w:val="single" w:color="auto" w:sz="4" w:space="0"/>
              <w:bottom w:val="single" w:color="auto" w:sz="4" w:space="0"/>
            </w:tcBorders>
            <w:vAlign w:val="center"/>
          </w:tcPr>
          <w:p>
            <w:pPr>
              <w:ind w:firstLine="0" w:firstLineChars="0"/>
              <w:jc w:val="center"/>
              <w:rPr>
                <w:kern w:val="0"/>
                <w:sz w:val="20"/>
              </w:rPr>
            </w:pPr>
            <w:r>
              <w:rPr>
                <w:kern w:val="0"/>
                <w:sz w:val="20"/>
              </w:rPr>
              <w:t>15.69</w:t>
            </w:r>
          </w:p>
        </w:tc>
        <w:tc>
          <w:tcPr>
            <w:tcW w:w="988" w:type="pct"/>
            <w:tcBorders>
              <w:top w:val="single" w:color="auto" w:sz="4" w:space="0"/>
              <w:bottom w:val="single" w:color="auto" w:sz="4" w:space="0"/>
            </w:tcBorders>
            <w:vAlign w:val="center"/>
          </w:tcPr>
          <w:p>
            <w:pPr>
              <w:ind w:firstLine="0" w:firstLineChars="0"/>
              <w:jc w:val="center"/>
              <w:rPr>
                <w:kern w:val="0"/>
                <w:sz w:val="20"/>
              </w:rPr>
            </w:pPr>
            <w:r>
              <w:rPr>
                <w:kern w:val="0"/>
                <w:sz w:val="20"/>
              </w:rPr>
              <w:t>12.05</w:t>
            </w:r>
          </w:p>
        </w:tc>
      </w:tr>
    </w:tbl>
    <w:p>
      <w:pPr>
        <w:pStyle w:val="4"/>
        <w:bidi w:val="0"/>
      </w:pPr>
      <w:r>
        <w:t>3.4 硫酸锰用量对测定结果的影响</w:t>
      </w:r>
    </w:p>
    <w:p>
      <w:pPr>
        <w:ind w:firstLine="420"/>
      </w:pPr>
      <w:r>
        <w:t>在测定4种复合氧化铜粉中的铜含量时，改变硫酸锰用量，结果如表</w:t>
      </w:r>
      <w:r>
        <w:rPr>
          <w:rFonts w:hint="eastAsia"/>
          <w:lang w:val="en-US" w:eastAsia="zh-CN"/>
        </w:rPr>
        <w:t>6</w:t>
      </w:r>
      <w:r>
        <w:t>所示。试验表明不加硫酸锰，直接用高锰酸钾滴定Fe</w:t>
      </w:r>
      <w:r>
        <w:rPr>
          <w:vertAlign w:val="superscript"/>
        </w:rPr>
        <w:t>2+</w:t>
      </w:r>
      <w:r>
        <w:t>，显色会非常慢，导致消耗的高锰酸钾用量异常。高锰酸钾在酸性环境下才能充分发挥氧化作用，故需加入适量的硫酸锰，一方面硫酸锰的加入能使得溶液保持酸性，另一方面硫酸锰的加入能够加速高锰酸钾与Fe</w:t>
      </w:r>
      <w:r>
        <w:rPr>
          <w:vertAlign w:val="superscript"/>
        </w:rPr>
        <w:t>2+</w:t>
      </w:r>
      <w:r>
        <w:t>反应。当硫酸锰用量小于20 mL时，测试的Cu含量结果略微偏大，当等于或大于20 mL对于测试结果没有明显影响。</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szCs w:val="21"/>
        </w:rPr>
      </w:pPr>
      <w:r>
        <w:rPr>
          <w:rFonts w:hint="eastAsia" w:ascii="黑体" w:hAnsi="黑体" w:eastAsia="黑体" w:cs="黑体"/>
          <w:szCs w:val="21"/>
        </w:rPr>
        <w:t>表</w:t>
      </w:r>
      <w:r>
        <w:rPr>
          <w:rFonts w:hint="eastAsia" w:ascii="黑体" w:hAnsi="黑体" w:eastAsia="黑体" w:cs="黑体"/>
          <w:szCs w:val="21"/>
          <w:lang w:val="en-US" w:eastAsia="zh-CN"/>
        </w:rPr>
        <w:t>6</w:t>
      </w:r>
      <w:r>
        <w:rPr>
          <w:rFonts w:hint="eastAsia" w:ascii="黑体" w:hAnsi="黑体" w:eastAsia="黑体" w:cs="黑体"/>
          <w:szCs w:val="21"/>
        </w:rPr>
        <w:t xml:space="preserve"> 硫酸锰用量对铜基复合氧化铜粉三组分含量测定结果的影响</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3"/>
        <w:gridCol w:w="1749"/>
        <w:gridCol w:w="1454"/>
        <w:gridCol w:w="1602"/>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样品编号</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bCs/>
                <w:kern w:val="0"/>
                <w:sz w:val="20"/>
                <w:szCs w:val="21"/>
              </w:rPr>
              <w:t>Cu (wt%)</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bCs/>
                <w:kern w:val="0"/>
                <w:sz w:val="20"/>
                <w:szCs w:val="21"/>
              </w:rPr>
              <w:t>Cu</w:t>
            </w:r>
            <w:r>
              <w:rPr>
                <w:bCs/>
                <w:kern w:val="0"/>
                <w:sz w:val="20"/>
                <w:szCs w:val="21"/>
                <w:vertAlign w:val="subscript"/>
              </w:rPr>
              <w:t>2</w:t>
            </w:r>
            <w:r>
              <w:rPr>
                <w:bCs/>
                <w:kern w:val="0"/>
                <w:sz w:val="20"/>
                <w:szCs w:val="21"/>
              </w:rPr>
              <w:t>O (wt%)</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bCs/>
                <w:kern w:val="0"/>
                <w:sz w:val="20"/>
                <w:szCs w:val="21"/>
              </w:rPr>
              <w:t>CuO (wt%)</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含氧量（wt%）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 xml:space="preserve">1#-10 mL </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2.95</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58.44</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38.61</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 xml:space="preserve">1#-20 mL </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szCs w:val="21"/>
              </w:rPr>
              <w:t>2.22</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szCs w:val="21"/>
              </w:rPr>
              <w:t>58.22</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szCs w:val="21"/>
              </w:rPr>
              <w:t>39.56</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szCs w:val="21"/>
              </w:rPr>
              <w:t>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 xml:space="preserve">1#-30 mL </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2.11</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58.51</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39.38</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2#-10 mL</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9.62</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68.67</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21.71</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2#-20 mL</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8.67</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68.79</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22.54</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2#-30 mL</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8.35</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68.81</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22.84</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3#-10 mL</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6.64</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76.18</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17.18</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3#-20 mL</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5.90</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75.94</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18.16</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3#-30 mL</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5.96</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76.39</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17.65</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4#-10 mL</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5.05</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80.84</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14.10</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4#-20 mL</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4.21</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80.61</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15.18</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4#-30 mL</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4.32</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80.49</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15.19</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11.98</w:t>
            </w:r>
          </w:p>
        </w:tc>
      </w:tr>
    </w:tbl>
    <w:p>
      <w:pPr>
        <w:pStyle w:val="4"/>
        <w:bidi w:val="0"/>
      </w:pPr>
      <w:r>
        <w:t>3.5试料共存元素干扰试验</w:t>
      </w:r>
    </w:p>
    <w:p>
      <w:pPr>
        <w:bidi w:val="0"/>
      </w:pPr>
      <w:r>
        <w:t>为了验证复合铜氧化物中铁、锌、锡、镍等元素对试验全过程铜含量测定的影响，试样在焙烧前加入一定量的各元素按照试验步骤进行试验。</w:t>
      </w:r>
    </w:p>
    <w:p>
      <w:pPr>
        <w:bidi w:val="0"/>
      </w:pPr>
      <w:r>
        <w:t>试验表明：样品中杂质共存元素对铜含量的测定没有干扰。（具体试验数据见附件1试验报告）</w:t>
      </w:r>
    </w:p>
    <w:p>
      <w:pPr>
        <w:pStyle w:val="4"/>
        <w:bidi w:val="0"/>
      </w:pPr>
      <w:r>
        <w:t>3.6精密度的测定</w:t>
      </w:r>
    </w:p>
    <w:p>
      <w:pPr>
        <w:bidi w:val="0"/>
      </w:pPr>
      <w:r>
        <w:t>将4个试验样品按照试验报告中试验步骤进行精密度试验，每个样品重复测定11份，试验结果见表</w:t>
      </w:r>
      <w:r>
        <w:rPr>
          <w:rFonts w:hint="eastAsia"/>
          <w:lang w:val="en-US" w:eastAsia="zh-CN"/>
        </w:rPr>
        <w:t>7</w:t>
      </w:r>
      <w:r>
        <w:t>。由表中数据可知，方法精密度良好可靠。</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szCs w:val="21"/>
        </w:rPr>
      </w:pPr>
      <w:r>
        <w:rPr>
          <w:rFonts w:hint="eastAsia" w:ascii="黑体" w:hAnsi="黑体" w:eastAsia="黑体" w:cs="黑体"/>
          <w:szCs w:val="21"/>
        </w:rPr>
        <w:t>表</w:t>
      </w:r>
      <w:r>
        <w:rPr>
          <w:rFonts w:hint="eastAsia" w:ascii="黑体" w:hAnsi="黑体" w:eastAsia="黑体" w:cs="黑体"/>
          <w:szCs w:val="21"/>
          <w:lang w:val="en-US" w:eastAsia="zh-CN"/>
        </w:rPr>
        <w:t>7</w:t>
      </w:r>
      <w:r>
        <w:rPr>
          <w:rFonts w:hint="eastAsia" w:ascii="黑体" w:hAnsi="黑体" w:eastAsia="黑体" w:cs="黑体"/>
          <w:szCs w:val="21"/>
        </w:rPr>
        <w:t xml:space="preserve"> 精密度试验结果</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2"/>
        <w:gridCol w:w="1749"/>
        <w:gridCol w:w="1454"/>
        <w:gridCol w:w="1601"/>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b/>
                <w:kern w:val="0"/>
                <w:sz w:val="20"/>
                <w:szCs w:val="21"/>
              </w:rPr>
            </w:pPr>
            <w:r>
              <w:rPr>
                <w:kern w:val="0"/>
                <w:sz w:val="20"/>
                <w:szCs w:val="21"/>
              </w:rPr>
              <w:t>样品编号</w:t>
            </w:r>
          </w:p>
        </w:tc>
        <w:tc>
          <w:tcPr>
            <w:tcW w:w="102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bCs/>
                <w:kern w:val="0"/>
                <w:sz w:val="20"/>
                <w:szCs w:val="21"/>
              </w:rPr>
              <w:t>Cu(wt%)</w:t>
            </w:r>
          </w:p>
        </w:tc>
        <w:tc>
          <w:tcPr>
            <w:tcW w:w="853"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bCs/>
                <w:kern w:val="0"/>
                <w:sz w:val="20"/>
                <w:szCs w:val="21"/>
              </w:rPr>
            </w:pPr>
            <w:r>
              <w:rPr>
                <w:bCs/>
                <w:kern w:val="0"/>
                <w:sz w:val="20"/>
                <w:szCs w:val="21"/>
              </w:rPr>
              <w:t>Cu</w:t>
            </w:r>
            <w:r>
              <w:rPr>
                <w:bCs/>
                <w:kern w:val="0"/>
                <w:sz w:val="20"/>
                <w:szCs w:val="21"/>
                <w:vertAlign w:val="subscript"/>
              </w:rPr>
              <w:t>2</w:t>
            </w:r>
            <w:r>
              <w:rPr>
                <w:bCs/>
                <w:kern w:val="0"/>
                <w:sz w:val="20"/>
                <w:szCs w:val="21"/>
              </w:rPr>
              <w:t>O(wt%)</w:t>
            </w:r>
          </w:p>
        </w:tc>
        <w:tc>
          <w:tcPr>
            <w:tcW w:w="939"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bCs/>
                <w:kern w:val="0"/>
                <w:sz w:val="20"/>
                <w:szCs w:val="21"/>
              </w:rPr>
              <w:t>CuO(wt%)</w:t>
            </w:r>
          </w:p>
        </w:tc>
        <w:tc>
          <w:tcPr>
            <w:tcW w:w="988"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含氧量（wt%）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1#-1</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2.52</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16.15</w:t>
            </w:r>
          </w:p>
        </w:tc>
        <w:tc>
          <w:tcPr>
            <w:tcW w:w="93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81.29</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1#-2</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2.50</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16.1</w:t>
            </w:r>
          </w:p>
        </w:tc>
        <w:tc>
          <w:tcPr>
            <w:tcW w:w="93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81.40</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1#-3</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2.48</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16.08</w:t>
            </w:r>
          </w:p>
        </w:tc>
        <w:tc>
          <w:tcPr>
            <w:tcW w:w="93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81.44</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1#-平均值</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2.50</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16.11</w:t>
            </w:r>
          </w:p>
        </w:tc>
        <w:tc>
          <w:tcPr>
            <w:tcW w:w="93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81.38</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1#-标准偏差/%</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rFonts w:eastAsia="等线"/>
                <w:color w:val="000000"/>
                <w:sz w:val="20"/>
                <w:szCs w:val="20"/>
              </w:rPr>
              <w:t>0.02</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rFonts w:eastAsia="等线"/>
                <w:color w:val="000000"/>
                <w:sz w:val="20"/>
                <w:szCs w:val="20"/>
              </w:rPr>
              <w:t>0.03</w:t>
            </w:r>
          </w:p>
        </w:tc>
        <w:tc>
          <w:tcPr>
            <w:tcW w:w="93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rFonts w:eastAsia="等线"/>
                <w:color w:val="000000"/>
                <w:sz w:val="20"/>
                <w:szCs w:val="20"/>
              </w:rPr>
              <w:t>0.06</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rFonts w:eastAsia="等线"/>
                <w:color w:val="000000"/>
                <w:sz w:val="20"/>
                <w:szCs w:val="20"/>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1#-RSD/%</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rFonts w:eastAsia="等线"/>
                <w:color w:val="000000"/>
                <w:sz w:val="20"/>
                <w:szCs w:val="20"/>
              </w:rPr>
              <w:t>0.68</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rFonts w:eastAsia="等线"/>
                <w:color w:val="000000"/>
                <w:sz w:val="20"/>
                <w:szCs w:val="20"/>
              </w:rPr>
              <w:t>0.18</w:t>
            </w:r>
          </w:p>
        </w:tc>
        <w:tc>
          <w:tcPr>
            <w:tcW w:w="93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rFonts w:eastAsia="等线"/>
                <w:color w:val="000000"/>
                <w:sz w:val="20"/>
                <w:szCs w:val="20"/>
              </w:rPr>
              <w:t>0.08</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rFonts w:eastAsia="等线"/>
                <w:color w:val="000000"/>
                <w:sz w:val="20"/>
                <w:szCs w:val="20"/>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2#-1</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11.65</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19.03</w:t>
            </w:r>
          </w:p>
        </w:tc>
        <w:tc>
          <w:tcPr>
            <w:tcW w:w="93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69.32</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rPr>
              <w:t>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2#-2</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11.60</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19.14</w:t>
            </w:r>
          </w:p>
        </w:tc>
        <w:tc>
          <w:tcPr>
            <w:tcW w:w="93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69.26</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2#-3</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11.54</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19.04</w:t>
            </w:r>
          </w:p>
        </w:tc>
        <w:tc>
          <w:tcPr>
            <w:tcW w:w="93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69.42</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2#-平均值</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11.60</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19.07</w:t>
            </w:r>
          </w:p>
        </w:tc>
        <w:tc>
          <w:tcPr>
            <w:tcW w:w="93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69.33</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2#-标准偏差/%</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rFonts w:eastAsia="等线"/>
                <w:color w:val="000000"/>
                <w:sz w:val="20"/>
                <w:szCs w:val="20"/>
              </w:rPr>
              <w:t>0.05</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rFonts w:eastAsia="等线"/>
                <w:color w:val="000000"/>
                <w:sz w:val="20"/>
                <w:szCs w:val="20"/>
              </w:rPr>
              <w:t>0.05</w:t>
            </w:r>
          </w:p>
        </w:tc>
        <w:tc>
          <w:tcPr>
            <w:tcW w:w="93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rFonts w:eastAsia="等线"/>
                <w:color w:val="000000"/>
                <w:sz w:val="20"/>
                <w:szCs w:val="20"/>
              </w:rPr>
              <w:t>0.07</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rFonts w:eastAsia="等线"/>
                <w:color w:val="000000"/>
                <w:sz w:val="20"/>
                <w:szCs w:val="20"/>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2#-RSD/%</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rFonts w:eastAsia="等线"/>
                <w:color w:val="000000"/>
                <w:sz w:val="20"/>
                <w:szCs w:val="20"/>
              </w:rPr>
              <w:t>0.39</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rFonts w:eastAsia="等线"/>
                <w:color w:val="000000"/>
                <w:sz w:val="20"/>
                <w:szCs w:val="20"/>
              </w:rPr>
              <w:t>0.26</w:t>
            </w:r>
          </w:p>
        </w:tc>
        <w:tc>
          <w:tcPr>
            <w:tcW w:w="93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rFonts w:eastAsia="等线"/>
                <w:color w:val="000000"/>
                <w:sz w:val="20"/>
                <w:szCs w:val="20"/>
              </w:rPr>
              <w:t>0.10</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rFonts w:eastAsia="等线"/>
                <w:color w:val="000000"/>
                <w:sz w:val="20"/>
                <w:szCs w:val="20"/>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3#-1</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8.08</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20.97</w:t>
            </w:r>
          </w:p>
        </w:tc>
        <w:tc>
          <w:tcPr>
            <w:tcW w:w="93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70.95</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3#-2</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7.94</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21.06</w:t>
            </w:r>
          </w:p>
        </w:tc>
        <w:tc>
          <w:tcPr>
            <w:tcW w:w="93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71.00</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3#-3</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7.99</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20.94</w:t>
            </w:r>
          </w:p>
        </w:tc>
        <w:tc>
          <w:tcPr>
            <w:tcW w:w="93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71.07</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3#-平均值</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8.00</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20.99</w:t>
            </w:r>
          </w:p>
        </w:tc>
        <w:tc>
          <w:tcPr>
            <w:tcW w:w="93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71.01</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3#-标准偏差/%</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rFonts w:eastAsia="等线"/>
                <w:color w:val="000000"/>
                <w:sz w:val="20"/>
                <w:szCs w:val="20"/>
              </w:rPr>
              <w:t>0.06</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rFonts w:eastAsia="等线"/>
                <w:color w:val="000000"/>
                <w:sz w:val="20"/>
                <w:szCs w:val="20"/>
              </w:rPr>
              <w:t>0.05</w:t>
            </w:r>
          </w:p>
        </w:tc>
        <w:tc>
          <w:tcPr>
            <w:tcW w:w="93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rFonts w:eastAsia="等线"/>
                <w:color w:val="000000"/>
                <w:sz w:val="20"/>
                <w:szCs w:val="20"/>
              </w:rPr>
              <w:t>0.05</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rFonts w:eastAsia="等线"/>
                <w:color w:val="000000"/>
                <w:sz w:val="20"/>
                <w:szCs w:val="20"/>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3#-RSD/%</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rFonts w:eastAsia="等线"/>
                <w:color w:val="000000"/>
                <w:sz w:val="20"/>
                <w:szCs w:val="20"/>
              </w:rPr>
              <w:t>0.72</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rFonts w:eastAsia="等线"/>
                <w:color w:val="000000"/>
                <w:sz w:val="20"/>
                <w:szCs w:val="20"/>
              </w:rPr>
              <w:t>0.24</w:t>
            </w:r>
          </w:p>
        </w:tc>
        <w:tc>
          <w:tcPr>
            <w:tcW w:w="93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rFonts w:eastAsia="等线"/>
                <w:color w:val="000000"/>
                <w:sz w:val="20"/>
                <w:szCs w:val="20"/>
              </w:rPr>
              <w:t>0.07</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rFonts w:eastAsia="等线"/>
                <w:color w:val="000000"/>
                <w:sz w:val="20"/>
                <w:szCs w:val="20"/>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4#-1</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5.48</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22.30</w:t>
            </w:r>
          </w:p>
        </w:tc>
        <w:tc>
          <w:tcPr>
            <w:tcW w:w="93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72.02</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4#-2</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5.40</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22.24</w:t>
            </w:r>
          </w:p>
        </w:tc>
        <w:tc>
          <w:tcPr>
            <w:tcW w:w="93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72.36</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4#-3</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5.52</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22.34</w:t>
            </w:r>
          </w:p>
        </w:tc>
        <w:tc>
          <w:tcPr>
            <w:tcW w:w="93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72.14</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4#-平均值</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5.51</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22.29</w:t>
            </w:r>
          </w:p>
        </w:tc>
        <w:tc>
          <w:tcPr>
            <w:tcW w:w="93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72.18</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4#-标准偏差/%</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rFonts w:eastAsia="等线"/>
                <w:color w:val="000000"/>
                <w:sz w:val="20"/>
                <w:szCs w:val="20"/>
              </w:rPr>
              <w:t>0.05</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rFonts w:eastAsia="等线"/>
                <w:color w:val="000000"/>
                <w:sz w:val="20"/>
                <w:szCs w:val="20"/>
              </w:rPr>
              <w:t>0.04</w:t>
            </w:r>
          </w:p>
        </w:tc>
        <w:tc>
          <w:tcPr>
            <w:tcW w:w="93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rFonts w:eastAsia="等线"/>
                <w:color w:val="000000"/>
                <w:sz w:val="20"/>
                <w:szCs w:val="20"/>
              </w:rPr>
              <w:t>0.14</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rFonts w:eastAsia="等线"/>
                <w:color w:val="000000"/>
                <w:sz w:val="20"/>
                <w:szCs w:val="20"/>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4#-RSD/%</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rFonts w:eastAsia="等线"/>
                <w:color w:val="000000"/>
                <w:sz w:val="20"/>
                <w:szCs w:val="20"/>
              </w:rPr>
              <w:t>0.99</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rFonts w:eastAsia="等线"/>
                <w:color w:val="000000"/>
                <w:sz w:val="20"/>
                <w:szCs w:val="20"/>
              </w:rPr>
              <w:t>0.18</w:t>
            </w:r>
          </w:p>
        </w:tc>
        <w:tc>
          <w:tcPr>
            <w:tcW w:w="93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rFonts w:eastAsia="等线"/>
                <w:color w:val="000000"/>
                <w:sz w:val="20"/>
                <w:szCs w:val="20"/>
              </w:rPr>
              <w:t>0.20</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rFonts w:eastAsia="等线"/>
                <w:color w:val="000000"/>
                <w:sz w:val="20"/>
                <w:szCs w:val="20"/>
              </w:rPr>
              <w:t>0.24</w:t>
            </w:r>
          </w:p>
        </w:tc>
      </w:tr>
    </w:tbl>
    <w:p>
      <w:pPr>
        <w:pStyle w:val="4"/>
        <w:bidi w:val="0"/>
      </w:pPr>
      <w:r>
        <w:t>3.7加标回收试验</w:t>
      </w:r>
    </w:p>
    <w:p>
      <w:pPr>
        <w:bidi w:val="0"/>
      </w:pPr>
      <w:r>
        <w:t>向3#试验样品中分别加入不同量的基准铜、氧化亚铜、氧化铜标准溶液，按照选定的试验方法进行测定，考察该方法的准确度，测定结果见表</w:t>
      </w:r>
      <w:r>
        <w:rPr>
          <w:rFonts w:hint="eastAsia"/>
          <w:lang w:val="en-US" w:eastAsia="zh-CN"/>
        </w:rPr>
        <w:t>8</w:t>
      </w:r>
      <w:r>
        <w:t>。</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szCs w:val="21"/>
        </w:rPr>
      </w:pPr>
      <w:r>
        <w:rPr>
          <w:rFonts w:hint="eastAsia" w:ascii="黑体" w:hAnsi="黑体" w:eastAsia="黑体" w:cs="黑体"/>
          <w:szCs w:val="21"/>
        </w:rPr>
        <w:t>表</w:t>
      </w:r>
      <w:r>
        <w:rPr>
          <w:rFonts w:hint="eastAsia" w:ascii="黑体" w:hAnsi="黑体" w:eastAsia="黑体" w:cs="黑体"/>
          <w:szCs w:val="21"/>
          <w:lang w:val="en-US" w:eastAsia="zh-CN"/>
        </w:rPr>
        <w:t>8</w:t>
      </w:r>
      <w:r>
        <w:rPr>
          <w:rFonts w:hint="eastAsia" w:ascii="黑体" w:hAnsi="黑体" w:eastAsia="黑体" w:cs="黑体"/>
          <w:szCs w:val="21"/>
        </w:rPr>
        <w:t xml:space="preserve"> 加标回收试验</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8"/>
        <w:gridCol w:w="2122"/>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000000"/>
                <w:kern w:val="0"/>
                <w:szCs w:val="21"/>
              </w:rPr>
            </w:pPr>
            <w:r>
              <w:rPr>
                <w:color w:val="000000"/>
                <w:kern w:val="0"/>
                <w:szCs w:val="21"/>
              </w:rPr>
              <w:t>编号</w:t>
            </w:r>
          </w:p>
        </w:tc>
        <w:tc>
          <w:tcPr>
            <w:tcW w:w="2490"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eastAsia="等线"/>
                <w:color w:val="000000"/>
                <w:kern w:val="0"/>
                <w:szCs w:val="21"/>
              </w:rPr>
            </w:pPr>
            <w:r>
              <w:rPr>
                <w:rFonts w:eastAsia="等线"/>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000000"/>
                <w:kern w:val="0"/>
                <w:szCs w:val="21"/>
              </w:rPr>
            </w:pPr>
            <w:r>
              <w:rPr>
                <w:color w:val="000000"/>
                <w:kern w:val="0"/>
                <w:szCs w:val="21"/>
              </w:rPr>
              <w:t>样品零价铜量/mg</w:t>
            </w:r>
          </w:p>
        </w:tc>
        <w:tc>
          <w:tcPr>
            <w:tcW w:w="12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eastAsia="等线"/>
                <w:color w:val="000000"/>
                <w:kern w:val="0"/>
                <w:szCs w:val="21"/>
              </w:rPr>
            </w:pPr>
            <w:r>
              <w:rPr>
                <w:rFonts w:eastAsia="等线"/>
                <w:color w:val="000000"/>
                <w:kern w:val="0"/>
                <w:szCs w:val="21"/>
              </w:rPr>
              <w:t xml:space="preserve">74.1 </w:t>
            </w:r>
          </w:p>
        </w:tc>
        <w:tc>
          <w:tcPr>
            <w:tcW w:w="12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eastAsia="等线"/>
                <w:color w:val="000000"/>
                <w:kern w:val="0"/>
                <w:szCs w:val="21"/>
              </w:rPr>
            </w:pPr>
            <w:r>
              <w:rPr>
                <w:rFonts w:eastAsia="等线"/>
                <w:color w:val="000000"/>
                <w:kern w:val="0"/>
                <w:szCs w:val="21"/>
              </w:rPr>
              <w:t xml:space="preserve">74.7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000000"/>
                <w:kern w:val="0"/>
                <w:szCs w:val="21"/>
              </w:rPr>
            </w:pPr>
            <w:r>
              <w:rPr>
                <w:color w:val="000000"/>
                <w:kern w:val="0"/>
                <w:szCs w:val="21"/>
              </w:rPr>
              <w:t>加入铜量/mg</w:t>
            </w:r>
          </w:p>
        </w:tc>
        <w:tc>
          <w:tcPr>
            <w:tcW w:w="124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eastAsia="等线"/>
                <w:color w:val="000000"/>
                <w:kern w:val="0"/>
                <w:szCs w:val="21"/>
              </w:rPr>
            </w:pPr>
            <w:r>
              <w:rPr>
                <w:rFonts w:eastAsia="等线"/>
                <w:color w:val="000000"/>
                <w:kern w:val="0"/>
                <w:szCs w:val="21"/>
              </w:rPr>
              <w:t xml:space="preserve">70.0 </w:t>
            </w:r>
          </w:p>
        </w:tc>
        <w:tc>
          <w:tcPr>
            <w:tcW w:w="124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eastAsia="等线"/>
                <w:color w:val="000000"/>
                <w:kern w:val="0"/>
                <w:szCs w:val="21"/>
              </w:rPr>
            </w:pPr>
            <w:r>
              <w:rPr>
                <w:rFonts w:eastAsia="等线"/>
                <w:color w:val="000000"/>
                <w:kern w:val="0"/>
                <w:szCs w:val="21"/>
              </w:rPr>
              <w:t xml:space="preserve">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000000"/>
                <w:kern w:val="0"/>
                <w:szCs w:val="21"/>
              </w:rPr>
            </w:pPr>
            <w:r>
              <w:rPr>
                <w:color w:val="000000"/>
                <w:kern w:val="0"/>
                <w:szCs w:val="21"/>
              </w:rPr>
              <w:t>测得铜量/mg</w:t>
            </w:r>
          </w:p>
        </w:tc>
        <w:tc>
          <w:tcPr>
            <w:tcW w:w="124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eastAsia="等线"/>
                <w:color w:val="000000"/>
                <w:kern w:val="0"/>
                <w:szCs w:val="21"/>
              </w:rPr>
            </w:pPr>
            <w:r>
              <w:rPr>
                <w:rFonts w:eastAsia="等线"/>
                <w:color w:val="000000"/>
                <w:kern w:val="0"/>
                <w:szCs w:val="21"/>
              </w:rPr>
              <w:t xml:space="preserve">144.9 </w:t>
            </w:r>
          </w:p>
        </w:tc>
        <w:tc>
          <w:tcPr>
            <w:tcW w:w="124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eastAsia="等线"/>
                <w:color w:val="000000"/>
                <w:kern w:val="0"/>
                <w:szCs w:val="21"/>
              </w:rPr>
            </w:pPr>
            <w:r>
              <w:rPr>
                <w:rFonts w:eastAsia="等线"/>
                <w:color w:val="000000"/>
                <w:kern w:val="0"/>
                <w:szCs w:val="21"/>
              </w:rPr>
              <w:t xml:space="preserve">143.7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000000"/>
                <w:kern w:val="0"/>
                <w:szCs w:val="21"/>
              </w:rPr>
            </w:pPr>
            <w:r>
              <w:rPr>
                <w:color w:val="000000"/>
                <w:kern w:val="0"/>
                <w:szCs w:val="21"/>
              </w:rPr>
              <w:t>回收率（%）</w:t>
            </w:r>
          </w:p>
        </w:tc>
        <w:tc>
          <w:tcPr>
            <w:tcW w:w="12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eastAsia="等线"/>
                <w:color w:val="000000"/>
                <w:kern w:val="0"/>
                <w:szCs w:val="21"/>
              </w:rPr>
            </w:pPr>
            <w:r>
              <w:rPr>
                <w:rFonts w:eastAsia="等线"/>
                <w:color w:val="000000"/>
                <w:kern w:val="0"/>
                <w:szCs w:val="21"/>
              </w:rPr>
              <w:t xml:space="preserve">100.6 </w:t>
            </w:r>
          </w:p>
        </w:tc>
        <w:tc>
          <w:tcPr>
            <w:tcW w:w="12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eastAsia="等线"/>
                <w:color w:val="000000"/>
                <w:kern w:val="0"/>
                <w:szCs w:val="21"/>
              </w:rPr>
            </w:pPr>
            <w:r>
              <w:rPr>
                <w:rFonts w:eastAsia="等线"/>
                <w:color w:val="000000"/>
                <w:kern w:val="0"/>
                <w:szCs w:val="21"/>
              </w:rPr>
              <w:t xml:space="preserve">99.3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000000"/>
                <w:kern w:val="0"/>
                <w:szCs w:val="21"/>
              </w:rPr>
            </w:pPr>
            <w:r>
              <w:rPr>
                <w:color w:val="000000"/>
                <w:kern w:val="0"/>
                <w:szCs w:val="21"/>
              </w:rPr>
              <w:t>样品氧化亚铜含量/mg</w:t>
            </w:r>
          </w:p>
        </w:tc>
        <w:tc>
          <w:tcPr>
            <w:tcW w:w="12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eastAsia="等线"/>
                <w:color w:val="000000"/>
                <w:kern w:val="0"/>
                <w:szCs w:val="21"/>
              </w:rPr>
            </w:pPr>
            <w:r>
              <w:rPr>
                <w:rFonts w:eastAsia="等线"/>
                <w:color w:val="000000"/>
                <w:kern w:val="0"/>
                <w:szCs w:val="21"/>
              </w:rPr>
              <w:t xml:space="preserve">713.2 </w:t>
            </w:r>
          </w:p>
        </w:tc>
        <w:tc>
          <w:tcPr>
            <w:tcW w:w="12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eastAsia="等线"/>
                <w:color w:val="000000"/>
                <w:kern w:val="0"/>
                <w:szCs w:val="21"/>
              </w:rPr>
            </w:pPr>
            <w:r>
              <w:rPr>
                <w:rFonts w:eastAsia="等线"/>
                <w:color w:val="000000"/>
                <w:kern w:val="0"/>
                <w:szCs w:val="21"/>
              </w:rPr>
              <w:t xml:space="preserve">709.3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000000"/>
                <w:kern w:val="0"/>
                <w:szCs w:val="21"/>
              </w:rPr>
            </w:pPr>
            <w:r>
              <w:rPr>
                <w:color w:val="000000"/>
                <w:kern w:val="0"/>
                <w:szCs w:val="21"/>
              </w:rPr>
              <w:t>加入氧化亚铜量/mg</w:t>
            </w:r>
          </w:p>
        </w:tc>
        <w:tc>
          <w:tcPr>
            <w:tcW w:w="124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eastAsia="等线"/>
                <w:color w:val="000000"/>
                <w:kern w:val="0"/>
                <w:szCs w:val="21"/>
              </w:rPr>
            </w:pPr>
            <w:r>
              <w:rPr>
                <w:rFonts w:eastAsia="等线"/>
                <w:color w:val="000000"/>
                <w:kern w:val="0"/>
                <w:szCs w:val="21"/>
              </w:rPr>
              <w:t xml:space="preserve">700.0 </w:t>
            </w:r>
          </w:p>
        </w:tc>
        <w:tc>
          <w:tcPr>
            <w:tcW w:w="124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eastAsia="等线"/>
                <w:color w:val="000000"/>
                <w:kern w:val="0"/>
                <w:szCs w:val="21"/>
              </w:rPr>
            </w:pPr>
            <w:r>
              <w:rPr>
                <w:rFonts w:eastAsia="等线"/>
                <w:color w:val="000000"/>
                <w:kern w:val="0"/>
                <w:szCs w:val="21"/>
              </w:rPr>
              <w:t xml:space="preserve">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000000"/>
                <w:kern w:val="0"/>
                <w:szCs w:val="21"/>
              </w:rPr>
            </w:pPr>
            <w:r>
              <w:rPr>
                <w:color w:val="000000"/>
                <w:kern w:val="0"/>
                <w:szCs w:val="21"/>
              </w:rPr>
              <w:t>测得氧化亚铜量/mg</w:t>
            </w:r>
          </w:p>
        </w:tc>
        <w:tc>
          <w:tcPr>
            <w:tcW w:w="124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eastAsia="等线"/>
                <w:color w:val="000000"/>
                <w:kern w:val="0"/>
                <w:szCs w:val="21"/>
              </w:rPr>
            </w:pPr>
            <w:r>
              <w:rPr>
                <w:rFonts w:eastAsia="等线"/>
                <w:color w:val="000000"/>
                <w:kern w:val="0"/>
                <w:szCs w:val="21"/>
              </w:rPr>
              <w:t xml:space="preserve">1402.3 </w:t>
            </w:r>
          </w:p>
        </w:tc>
        <w:tc>
          <w:tcPr>
            <w:tcW w:w="124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eastAsia="等线"/>
                <w:color w:val="000000"/>
                <w:kern w:val="0"/>
                <w:szCs w:val="21"/>
              </w:rPr>
            </w:pPr>
            <w:r>
              <w:rPr>
                <w:rFonts w:eastAsia="等线"/>
                <w:color w:val="000000"/>
                <w:kern w:val="0"/>
                <w:szCs w:val="21"/>
              </w:rPr>
              <w:t xml:space="preserve">1395.2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000000"/>
                <w:kern w:val="0"/>
                <w:szCs w:val="21"/>
              </w:rPr>
            </w:pPr>
            <w:r>
              <w:rPr>
                <w:color w:val="000000"/>
                <w:kern w:val="0"/>
                <w:szCs w:val="21"/>
              </w:rPr>
              <w:t>回收率（%）</w:t>
            </w:r>
          </w:p>
        </w:tc>
        <w:tc>
          <w:tcPr>
            <w:tcW w:w="12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eastAsia="等线"/>
                <w:color w:val="000000"/>
                <w:kern w:val="0"/>
                <w:szCs w:val="21"/>
              </w:rPr>
            </w:pPr>
            <w:r>
              <w:rPr>
                <w:rFonts w:eastAsia="等线"/>
                <w:color w:val="000000"/>
                <w:kern w:val="0"/>
                <w:szCs w:val="21"/>
              </w:rPr>
              <w:t xml:space="preserve">99.2 </w:t>
            </w:r>
          </w:p>
        </w:tc>
        <w:tc>
          <w:tcPr>
            <w:tcW w:w="12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eastAsia="等线"/>
                <w:color w:val="000000"/>
                <w:kern w:val="0"/>
                <w:szCs w:val="21"/>
              </w:rPr>
            </w:pPr>
            <w:r>
              <w:rPr>
                <w:rFonts w:eastAsia="等线"/>
                <w:color w:val="000000"/>
                <w:kern w:val="0"/>
                <w:szCs w:val="21"/>
              </w:rPr>
              <w:t xml:space="preserve">99.0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000000"/>
                <w:kern w:val="0"/>
                <w:szCs w:val="21"/>
              </w:rPr>
            </w:pPr>
            <w:r>
              <w:rPr>
                <w:color w:val="000000"/>
                <w:kern w:val="0"/>
                <w:szCs w:val="21"/>
              </w:rPr>
              <w:t>样品氧化铜含量/mg</w:t>
            </w:r>
          </w:p>
        </w:tc>
        <w:tc>
          <w:tcPr>
            <w:tcW w:w="12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eastAsia="等线"/>
                <w:color w:val="000000"/>
                <w:kern w:val="0"/>
                <w:szCs w:val="21"/>
              </w:rPr>
            </w:pPr>
            <w:r>
              <w:rPr>
                <w:rFonts w:eastAsia="等线"/>
                <w:color w:val="000000"/>
                <w:kern w:val="0"/>
                <w:szCs w:val="21"/>
              </w:rPr>
              <w:t xml:space="preserve">215.5 </w:t>
            </w:r>
          </w:p>
        </w:tc>
        <w:tc>
          <w:tcPr>
            <w:tcW w:w="12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eastAsia="等线"/>
                <w:color w:val="000000"/>
                <w:kern w:val="0"/>
                <w:szCs w:val="21"/>
              </w:rPr>
            </w:pPr>
            <w:r>
              <w:rPr>
                <w:rFonts w:eastAsia="等线"/>
                <w:color w:val="000000"/>
                <w:kern w:val="0"/>
                <w:szCs w:val="21"/>
              </w:rPr>
              <w:t xml:space="preserve">215.5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000000"/>
                <w:kern w:val="0"/>
                <w:szCs w:val="21"/>
              </w:rPr>
            </w:pPr>
            <w:r>
              <w:rPr>
                <w:color w:val="000000"/>
                <w:kern w:val="0"/>
                <w:szCs w:val="21"/>
              </w:rPr>
              <w:t>加入氧化铜量/mg</w:t>
            </w:r>
          </w:p>
        </w:tc>
        <w:tc>
          <w:tcPr>
            <w:tcW w:w="124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eastAsia="等线"/>
                <w:color w:val="000000"/>
                <w:kern w:val="0"/>
                <w:szCs w:val="21"/>
              </w:rPr>
            </w:pPr>
            <w:r>
              <w:rPr>
                <w:rFonts w:eastAsia="等线"/>
                <w:color w:val="000000"/>
                <w:kern w:val="0"/>
                <w:szCs w:val="21"/>
              </w:rPr>
              <w:t xml:space="preserve">200.0 </w:t>
            </w:r>
          </w:p>
        </w:tc>
        <w:tc>
          <w:tcPr>
            <w:tcW w:w="124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eastAsia="等线"/>
                <w:color w:val="000000"/>
                <w:kern w:val="0"/>
                <w:szCs w:val="21"/>
              </w:rPr>
            </w:pPr>
            <w:r>
              <w:rPr>
                <w:rFonts w:eastAsia="等线"/>
                <w:color w:val="000000"/>
                <w:kern w:val="0"/>
                <w:szCs w:val="21"/>
              </w:rPr>
              <w:t xml:space="preserve">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000000"/>
                <w:kern w:val="0"/>
                <w:szCs w:val="21"/>
              </w:rPr>
            </w:pPr>
            <w:r>
              <w:rPr>
                <w:color w:val="000000"/>
                <w:kern w:val="0"/>
                <w:szCs w:val="21"/>
              </w:rPr>
              <w:t>测得氧化铜量/mg</w:t>
            </w:r>
          </w:p>
        </w:tc>
        <w:tc>
          <w:tcPr>
            <w:tcW w:w="124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eastAsia="等线"/>
                <w:color w:val="000000"/>
                <w:kern w:val="0"/>
                <w:szCs w:val="21"/>
              </w:rPr>
            </w:pPr>
            <w:r>
              <w:rPr>
                <w:rFonts w:eastAsia="等线"/>
                <w:color w:val="000000"/>
                <w:kern w:val="0"/>
                <w:szCs w:val="21"/>
              </w:rPr>
              <w:t xml:space="preserve">416.9 </w:t>
            </w:r>
          </w:p>
        </w:tc>
        <w:tc>
          <w:tcPr>
            <w:tcW w:w="124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eastAsia="等线"/>
                <w:color w:val="000000"/>
                <w:kern w:val="0"/>
                <w:szCs w:val="21"/>
              </w:rPr>
            </w:pPr>
            <w:r>
              <w:rPr>
                <w:rFonts w:eastAsia="等线"/>
                <w:color w:val="000000"/>
                <w:kern w:val="0"/>
                <w:szCs w:val="21"/>
              </w:rPr>
              <w:t xml:space="preserve">413.4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000000"/>
                <w:kern w:val="0"/>
                <w:szCs w:val="21"/>
              </w:rPr>
            </w:pPr>
            <w:r>
              <w:rPr>
                <w:color w:val="000000"/>
                <w:kern w:val="0"/>
                <w:szCs w:val="21"/>
              </w:rPr>
              <w:t>回收率（%）</w:t>
            </w:r>
          </w:p>
        </w:tc>
        <w:tc>
          <w:tcPr>
            <w:tcW w:w="12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eastAsia="等线"/>
                <w:color w:val="000000"/>
                <w:kern w:val="0"/>
                <w:szCs w:val="21"/>
              </w:rPr>
            </w:pPr>
            <w:r>
              <w:rPr>
                <w:rFonts w:eastAsia="等线"/>
                <w:color w:val="000000"/>
                <w:kern w:val="0"/>
                <w:szCs w:val="21"/>
              </w:rPr>
              <w:t xml:space="preserve">100.3 </w:t>
            </w:r>
          </w:p>
        </w:tc>
        <w:tc>
          <w:tcPr>
            <w:tcW w:w="1245"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eastAsia="等线"/>
                <w:color w:val="000000"/>
                <w:kern w:val="0"/>
                <w:szCs w:val="21"/>
              </w:rPr>
            </w:pPr>
            <w:r>
              <w:rPr>
                <w:rFonts w:eastAsia="等线"/>
                <w:color w:val="000000"/>
                <w:kern w:val="0"/>
                <w:szCs w:val="21"/>
              </w:rPr>
              <w:t xml:space="preserve">99.5 </w:t>
            </w:r>
          </w:p>
        </w:tc>
      </w:tr>
    </w:tbl>
    <w:p>
      <w:pPr>
        <w:bidi w:val="0"/>
      </w:pPr>
      <w:r>
        <w:t>从表</w:t>
      </w:r>
      <w:r>
        <w:rPr>
          <w:rFonts w:hint="eastAsia"/>
          <w:lang w:val="en-US" w:eastAsia="zh-CN"/>
        </w:rPr>
        <w:t>8</w:t>
      </w:r>
      <w:r>
        <w:t>结果中可以看出，本方法的加标回收率在99.0％~100.6％之间，准确度较高，能够满足分析要求。</w:t>
      </w:r>
    </w:p>
    <w:p>
      <w:pPr>
        <w:pStyle w:val="4"/>
        <w:bidi w:val="0"/>
      </w:pPr>
      <w:r>
        <w:t>3.8实验室间验证结果</w:t>
      </w:r>
    </w:p>
    <w:p>
      <w:pPr>
        <w:bidi w:val="0"/>
      </w:pPr>
      <w:r>
        <w:t>由深圳市中金岭南有色金属股份有限公司、国标</w:t>
      </w:r>
      <w:r>
        <w:rPr>
          <w:rFonts w:hint="eastAsia"/>
          <w:lang w:eastAsia="zh-CN"/>
        </w:rPr>
        <w:t>（</w:t>
      </w:r>
      <w:r>
        <w:t>北京</w:t>
      </w:r>
      <w:r>
        <w:rPr>
          <w:rFonts w:hint="eastAsia"/>
          <w:lang w:eastAsia="zh-CN"/>
        </w:rPr>
        <w:t>）</w:t>
      </w:r>
      <w:r>
        <w:t>检验认证有限公司、江西铜业股份有限公司、唐山三友硅业有限责任公司、有研粉末新材料股份有限公司、金川集团股份有限公司、中国检验认证集团广西有限公司、辽宁中科力勒检测技术股份有限公司、中国检验认证集团广东黄埔有限公司、紫金矿业集团股份有限公司、铜陵有色金属集团控股有限公司、江西江南新材料科技股份有限公司按照标准草案要求对每个样品进行11次独立测定。按照GB/T 6379.2-2004确定标准测量方法的重复性和再现性的基本方法的规定，对收到的数据进行统计分析，结果</w:t>
      </w:r>
      <w:r>
        <w:rPr>
          <w:rFonts w:hint="eastAsia"/>
          <w:lang w:val="en-US" w:eastAsia="zh-CN"/>
        </w:rPr>
        <w:t>如下所示</w:t>
      </w:r>
      <w:r>
        <w:t>。</w:t>
      </w:r>
    </w:p>
    <w:p>
      <w:pPr>
        <w:numPr>
          <w:ilvl w:val="0"/>
          <w:numId w:val="8"/>
        </w:numPr>
        <w:bidi w:val="0"/>
        <w:ind w:left="1134" w:leftChars="0" w:hanging="1134" w:firstLineChars="0"/>
      </w:pPr>
      <w:r>
        <w:rPr>
          <w:rFonts w:hint="eastAsia"/>
        </w:rPr>
        <w:t>深圳市中金岭南有色金属股份有限公司</w:t>
      </w:r>
    </w:p>
    <w:p>
      <w:pPr>
        <w:bidi w:val="0"/>
      </w:pPr>
      <w:r>
        <w:t>按照试验步骤测定1# ~4#样品中铜、氧化铜、氧化亚铜含量，精密度结果见表</w:t>
      </w:r>
      <w:r>
        <w:rPr>
          <w:rFonts w:hint="eastAsia"/>
          <w:lang w:val="en-US" w:eastAsia="zh-CN"/>
        </w:rPr>
        <w:t>9</w:t>
      </w:r>
      <w:r>
        <w:t>。</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szCs w:val="21"/>
        </w:rPr>
      </w:pPr>
      <w:r>
        <w:rPr>
          <w:rFonts w:hint="eastAsia" w:ascii="黑体" w:hAnsi="黑体" w:eastAsia="黑体" w:cs="黑体"/>
          <w:szCs w:val="21"/>
        </w:rPr>
        <w:t>表</w:t>
      </w:r>
      <w:r>
        <w:rPr>
          <w:rFonts w:hint="eastAsia" w:ascii="黑体" w:hAnsi="黑体" w:eastAsia="黑体" w:cs="黑体"/>
          <w:szCs w:val="21"/>
          <w:lang w:val="en-US" w:eastAsia="zh-CN"/>
        </w:rPr>
        <w:t>9</w:t>
      </w:r>
      <w:r>
        <w:rPr>
          <w:rFonts w:hint="eastAsia" w:ascii="黑体" w:hAnsi="黑体" w:eastAsia="黑体" w:cs="黑体"/>
          <w:szCs w:val="21"/>
        </w:rPr>
        <w:t xml:space="preserve"> 中金岭南复合氧化铜粉中铜、氧化亚铜、氧化铜含量的精密度试验结果</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3"/>
        <w:gridCol w:w="1749"/>
        <w:gridCol w:w="1454"/>
        <w:gridCol w:w="1602"/>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b/>
                <w:kern w:val="0"/>
                <w:sz w:val="20"/>
                <w:szCs w:val="21"/>
              </w:rPr>
            </w:pPr>
            <w:r>
              <w:rPr>
                <w:kern w:val="0"/>
                <w:sz w:val="20"/>
                <w:szCs w:val="21"/>
              </w:rPr>
              <w:t>样品编号</w:t>
            </w:r>
          </w:p>
        </w:tc>
        <w:tc>
          <w:tcPr>
            <w:tcW w:w="102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bCs/>
                <w:kern w:val="0"/>
                <w:sz w:val="20"/>
                <w:szCs w:val="21"/>
              </w:rPr>
              <w:t>Cu(wt%)</w:t>
            </w:r>
          </w:p>
        </w:tc>
        <w:tc>
          <w:tcPr>
            <w:tcW w:w="853"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bCs/>
                <w:kern w:val="0"/>
                <w:sz w:val="20"/>
                <w:szCs w:val="21"/>
              </w:rPr>
            </w:pPr>
            <w:r>
              <w:rPr>
                <w:bCs/>
                <w:kern w:val="0"/>
                <w:sz w:val="20"/>
                <w:szCs w:val="21"/>
              </w:rPr>
              <w:t>Cu</w:t>
            </w:r>
            <w:r>
              <w:rPr>
                <w:bCs/>
                <w:kern w:val="0"/>
                <w:sz w:val="20"/>
                <w:szCs w:val="21"/>
                <w:vertAlign w:val="subscript"/>
              </w:rPr>
              <w:t>2</w:t>
            </w:r>
            <w:r>
              <w:rPr>
                <w:bCs/>
                <w:kern w:val="0"/>
                <w:sz w:val="20"/>
                <w:szCs w:val="21"/>
              </w:rPr>
              <w:t>O(wt%)</w:t>
            </w:r>
          </w:p>
        </w:tc>
        <w:tc>
          <w:tcPr>
            <w:tcW w:w="940"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bCs/>
                <w:kern w:val="0"/>
                <w:sz w:val="20"/>
                <w:szCs w:val="21"/>
              </w:rPr>
              <w:t>CuO(wt%)</w:t>
            </w:r>
          </w:p>
        </w:tc>
        <w:tc>
          <w:tcPr>
            <w:tcW w:w="988"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含氧量（wt%）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bookmarkStart w:id="11" w:name="_Hlk86675492"/>
            <w:r>
              <w:rPr>
                <w:kern w:val="0"/>
                <w:sz w:val="20"/>
                <w:szCs w:val="21"/>
              </w:rPr>
              <w:t>1#-1</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2.32</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58.32</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39.36</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1#-2</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2.22</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58.22</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39.56</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1#-3</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2.21</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58.14</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39.64</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1#-平均值</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2.25</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58.23</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39.52</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1#-标准偏差/%</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0.06</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0.09</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0.14</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1#-RSD/%</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2.67</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0.15</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0.36</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2#-1</w:t>
            </w:r>
          </w:p>
        </w:tc>
        <w:tc>
          <w:tcPr>
            <w:tcW w:w="1026" w:type="pct"/>
            <w:tcBorders>
              <w:top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rPr>
              <w:t>8.68</w:t>
            </w:r>
          </w:p>
        </w:tc>
        <w:tc>
          <w:tcPr>
            <w:tcW w:w="853" w:type="pct"/>
            <w:tcBorders>
              <w:top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rPr>
              <w:t>68.64</w:t>
            </w:r>
          </w:p>
        </w:tc>
        <w:tc>
          <w:tcPr>
            <w:tcW w:w="940" w:type="pct"/>
            <w:tcBorders>
              <w:top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rPr>
              <w:t>22.68</w:t>
            </w:r>
          </w:p>
        </w:tc>
        <w:tc>
          <w:tcPr>
            <w:tcW w:w="988" w:type="pct"/>
            <w:tcBorders>
              <w:top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rPr>
              <w:t>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2#-2</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8.67</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68.79</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22.54</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2#-3</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8.58</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68.45</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22.97</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2#-平均值</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8.64</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68.63</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22.73</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2#-标准偏差/%</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0.06</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0.17</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0.22</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2#-RSD/%</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0.69</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0.25</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0.96</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3#-1</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6.01</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75.78</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18.21</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3#-2</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5.90</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75.94</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18.16</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3#-3</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6.01</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75.52</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18.47</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3#-平均值</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5.97</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75.75</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18.28</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3#-标准偏差/%</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0.06</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0.21</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0.17</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3#-RSD/%</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1.06</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0.28</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0.91</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4#-1</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4.21</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80.61</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15.18</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4#-2</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4.01</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80.45</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15.55</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4#-3</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4.12</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80.79</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15.09</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4#-平均值</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4.11</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80.62</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15.27</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4#-标准偏差/%</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0.10</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0.17</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0.24</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4#-RSD/%</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2.44</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0.21</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1.60</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0.29</w:t>
            </w:r>
          </w:p>
        </w:tc>
      </w:tr>
      <w:bookmarkEnd w:id="11"/>
    </w:tbl>
    <w:p>
      <w:pPr>
        <w:bidi w:val="0"/>
      </w:pPr>
      <w:r>
        <w:t>结论：从表</w:t>
      </w:r>
      <w:r>
        <w:rPr>
          <w:rFonts w:hint="eastAsia"/>
          <w:lang w:val="en-US" w:eastAsia="zh-CN"/>
        </w:rPr>
        <w:t>9</w:t>
      </w:r>
      <w:r>
        <w:t>结果可知，4种复合氧化铜粉中铜、氧化亚铜、氧化铜含量精密度试验结果的RSD分别在0.69%～2.67%，0.15%～0.28%，和0.36%～1.60%，该方法精密度良好，能够满足分析要求。</w:t>
      </w:r>
    </w:p>
    <w:p>
      <w:pPr>
        <w:numPr>
          <w:ilvl w:val="0"/>
          <w:numId w:val="8"/>
        </w:numPr>
        <w:bidi w:val="0"/>
        <w:ind w:left="1134" w:leftChars="0" w:hanging="1134" w:firstLineChars="0"/>
      </w:pPr>
      <w:r>
        <w:t>江西铜业股份有限公司</w:t>
      </w:r>
    </w:p>
    <w:p>
      <w:pPr>
        <w:bidi w:val="0"/>
      </w:pPr>
      <w:r>
        <w:t>按照试验方法，选用乙腈用量120 mL，盐酸用量40 mL，氯化铁用量20 mL，和硫酸锰用量20 mL，对4个复合氧化铜粉中的铜、氧化亚铜、氧化铜的含量进行3次独立测定，结果见表</w:t>
      </w:r>
      <w:r>
        <w:rPr>
          <w:rFonts w:hint="eastAsia"/>
          <w:lang w:val="en-US" w:eastAsia="zh-CN"/>
        </w:rPr>
        <w:t>10</w:t>
      </w:r>
      <w:r>
        <w:t>。</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szCs w:val="21"/>
        </w:rPr>
      </w:pPr>
      <w:bookmarkStart w:id="12" w:name="_Hlk167092795"/>
      <w:r>
        <w:rPr>
          <w:rFonts w:hint="eastAsia" w:ascii="黑体" w:hAnsi="黑体" w:eastAsia="黑体" w:cs="黑体"/>
          <w:szCs w:val="21"/>
        </w:rPr>
        <w:t>表</w:t>
      </w:r>
      <w:r>
        <w:rPr>
          <w:rFonts w:hint="eastAsia" w:ascii="黑体" w:hAnsi="黑体" w:eastAsia="黑体" w:cs="黑体"/>
          <w:szCs w:val="21"/>
          <w:lang w:val="en-US" w:eastAsia="zh-CN"/>
        </w:rPr>
        <w:t>10</w:t>
      </w:r>
      <w:r>
        <w:rPr>
          <w:rFonts w:hint="eastAsia" w:ascii="黑体" w:hAnsi="黑体" w:eastAsia="黑体" w:cs="黑体"/>
          <w:szCs w:val="21"/>
        </w:rPr>
        <w:t xml:space="preserve"> 复合氧化铜粉中铜、氧化亚铜、氧化铜含量的精密度试验结果</w:t>
      </w:r>
    </w:p>
    <w:tbl>
      <w:tblPr>
        <w:tblStyle w:val="1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3"/>
        <w:gridCol w:w="1749"/>
        <w:gridCol w:w="1454"/>
        <w:gridCol w:w="1457"/>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kern w:val="0"/>
                <w:szCs w:val="21"/>
              </w:rPr>
            </w:pPr>
            <w:r>
              <w:rPr>
                <w:kern w:val="0"/>
                <w:szCs w:val="21"/>
              </w:rPr>
              <w:t>样品编号</w:t>
            </w:r>
          </w:p>
        </w:tc>
        <w:tc>
          <w:tcPr>
            <w:tcW w:w="102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bCs/>
                <w:kern w:val="0"/>
                <w:szCs w:val="21"/>
              </w:rPr>
            </w:pPr>
            <w:r>
              <w:rPr>
                <w:bCs/>
                <w:kern w:val="0"/>
                <w:szCs w:val="21"/>
              </w:rPr>
              <w:t>Cu(wt%)</w:t>
            </w:r>
          </w:p>
        </w:tc>
        <w:tc>
          <w:tcPr>
            <w:tcW w:w="853"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bCs/>
                <w:kern w:val="0"/>
                <w:szCs w:val="21"/>
              </w:rPr>
            </w:pPr>
            <w:r>
              <w:rPr>
                <w:bCs/>
                <w:kern w:val="0"/>
                <w:szCs w:val="21"/>
              </w:rPr>
              <w:t>Cu</w:t>
            </w:r>
            <w:r>
              <w:rPr>
                <w:bCs/>
                <w:kern w:val="0"/>
                <w:szCs w:val="21"/>
                <w:vertAlign w:val="subscript"/>
              </w:rPr>
              <w:t>2</w:t>
            </w:r>
            <w:r>
              <w:rPr>
                <w:bCs/>
                <w:kern w:val="0"/>
                <w:szCs w:val="21"/>
              </w:rPr>
              <w:t>O(wt%)</w:t>
            </w:r>
          </w:p>
        </w:tc>
        <w:tc>
          <w:tcPr>
            <w:tcW w:w="855"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bCs/>
                <w:kern w:val="0"/>
                <w:szCs w:val="21"/>
              </w:rPr>
            </w:pPr>
            <w:r>
              <w:rPr>
                <w:bCs/>
                <w:kern w:val="0"/>
                <w:szCs w:val="21"/>
              </w:rPr>
              <w:t>CuO(wt%)</w:t>
            </w:r>
          </w:p>
        </w:tc>
        <w:tc>
          <w:tcPr>
            <w:tcW w:w="107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rPr>
                <w:kern w:val="0"/>
                <w:szCs w:val="21"/>
              </w:rPr>
            </w:pPr>
            <w:r>
              <w:rPr>
                <w:kern w:val="0"/>
                <w:szCs w:val="21"/>
              </w:rPr>
              <w:t>含氧量（wt%）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rPr>
                <w:kern w:val="0"/>
                <w:szCs w:val="21"/>
              </w:rPr>
            </w:pPr>
            <w:r>
              <w:rPr>
                <w:kern w:val="0"/>
                <w:szCs w:val="21"/>
              </w:rPr>
              <w:t>1#-1</w:t>
            </w:r>
          </w:p>
        </w:tc>
        <w:tc>
          <w:tcPr>
            <w:tcW w:w="1026"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2.26 </w:t>
            </w:r>
          </w:p>
        </w:tc>
        <w:tc>
          <w:tcPr>
            <w:tcW w:w="85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58.36 </w:t>
            </w:r>
          </w:p>
        </w:tc>
        <w:tc>
          <w:tcPr>
            <w:tcW w:w="855"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39.38 </w:t>
            </w:r>
          </w:p>
        </w:tc>
        <w:tc>
          <w:tcPr>
            <w:tcW w:w="107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14.45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rPr>
                <w:kern w:val="0"/>
                <w:szCs w:val="21"/>
              </w:rPr>
            </w:pPr>
            <w:r>
              <w:rPr>
                <w:kern w:val="0"/>
                <w:szCs w:val="21"/>
              </w:rPr>
              <w:t>1#-2</w:t>
            </w:r>
          </w:p>
        </w:tc>
        <w:tc>
          <w:tcPr>
            <w:tcW w:w="1026"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2.31 </w:t>
            </w:r>
          </w:p>
        </w:tc>
        <w:tc>
          <w:tcPr>
            <w:tcW w:w="85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58.29 </w:t>
            </w:r>
          </w:p>
        </w:tc>
        <w:tc>
          <w:tcPr>
            <w:tcW w:w="855"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39.40 </w:t>
            </w:r>
          </w:p>
        </w:tc>
        <w:tc>
          <w:tcPr>
            <w:tcW w:w="107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14.44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rPr>
                <w:kern w:val="0"/>
                <w:szCs w:val="21"/>
              </w:rPr>
            </w:pPr>
            <w:r>
              <w:rPr>
                <w:kern w:val="0"/>
                <w:szCs w:val="21"/>
              </w:rPr>
              <w:t>1#-3</w:t>
            </w:r>
          </w:p>
        </w:tc>
        <w:tc>
          <w:tcPr>
            <w:tcW w:w="1026"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2.38 </w:t>
            </w:r>
          </w:p>
        </w:tc>
        <w:tc>
          <w:tcPr>
            <w:tcW w:w="85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58.15 </w:t>
            </w:r>
          </w:p>
        </w:tc>
        <w:tc>
          <w:tcPr>
            <w:tcW w:w="855"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39.47 </w:t>
            </w:r>
          </w:p>
        </w:tc>
        <w:tc>
          <w:tcPr>
            <w:tcW w:w="107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14.44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rPr>
                <w:kern w:val="0"/>
                <w:szCs w:val="21"/>
              </w:rPr>
            </w:pPr>
            <w:r>
              <w:rPr>
                <w:kern w:val="0"/>
                <w:szCs w:val="21"/>
              </w:rPr>
              <w:t>1#-平均值</w:t>
            </w:r>
          </w:p>
        </w:tc>
        <w:tc>
          <w:tcPr>
            <w:tcW w:w="1026"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2.32 </w:t>
            </w:r>
          </w:p>
        </w:tc>
        <w:tc>
          <w:tcPr>
            <w:tcW w:w="85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58.27 </w:t>
            </w:r>
          </w:p>
        </w:tc>
        <w:tc>
          <w:tcPr>
            <w:tcW w:w="855"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39.42 </w:t>
            </w:r>
          </w:p>
        </w:tc>
        <w:tc>
          <w:tcPr>
            <w:tcW w:w="107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14.44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rPr>
                <w:kern w:val="0"/>
                <w:szCs w:val="21"/>
              </w:rPr>
            </w:pPr>
            <w:r>
              <w:rPr>
                <w:kern w:val="0"/>
                <w:szCs w:val="21"/>
              </w:rPr>
              <w:t>1#-标准偏差/%</w:t>
            </w:r>
          </w:p>
        </w:tc>
        <w:tc>
          <w:tcPr>
            <w:tcW w:w="1026"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0.05 </w:t>
            </w:r>
          </w:p>
        </w:tc>
        <w:tc>
          <w:tcPr>
            <w:tcW w:w="85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0.09 </w:t>
            </w:r>
          </w:p>
        </w:tc>
        <w:tc>
          <w:tcPr>
            <w:tcW w:w="855"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0.04 </w:t>
            </w:r>
          </w:p>
        </w:tc>
        <w:tc>
          <w:tcPr>
            <w:tcW w:w="107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rPr>
                <w:kern w:val="0"/>
                <w:szCs w:val="21"/>
              </w:rPr>
            </w:pPr>
            <w:r>
              <w:rPr>
                <w:kern w:val="0"/>
                <w:szCs w:val="21"/>
              </w:rPr>
              <w:t>1#-RSD/%</w:t>
            </w:r>
          </w:p>
        </w:tc>
        <w:tc>
          <w:tcPr>
            <w:tcW w:w="1026"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2.12 </w:t>
            </w:r>
          </w:p>
        </w:tc>
        <w:tc>
          <w:tcPr>
            <w:tcW w:w="85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0.15 </w:t>
            </w:r>
          </w:p>
        </w:tc>
        <w:tc>
          <w:tcPr>
            <w:tcW w:w="855"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0.10 </w:t>
            </w:r>
          </w:p>
        </w:tc>
        <w:tc>
          <w:tcPr>
            <w:tcW w:w="107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rPr>
                <w:kern w:val="0"/>
                <w:szCs w:val="21"/>
              </w:rPr>
            </w:pPr>
            <w:r>
              <w:rPr>
                <w:kern w:val="0"/>
                <w:szCs w:val="21"/>
              </w:rPr>
              <w:t>2#-1</w:t>
            </w:r>
          </w:p>
        </w:tc>
        <w:tc>
          <w:tcPr>
            <w:tcW w:w="1026" w:type="pct"/>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top"/>
              <w:rPr>
                <w:kern w:val="0"/>
                <w:szCs w:val="21"/>
              </w:rPr>
            </w:pPr>
            <w:r>
              <w:rPr>
                <w:color w:val="000000"/>
                <w:kern w:val="0"/>
                <w:szCs w:val="21"/>
                <w:lang w:bidi="ar"/>
              </w:rPr>
              <w:t xml:space="preserve">8.84 </w:t>
            </w:r>
          </w:p>
        </w:tc>
        <w:tc>
          <w:tcPr>
            <w:tcW w:w="853" w:type="pct"/>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top"/>
              <w:rPr>
                <w:kern w:val="0"/>
                <w:szCs w:val="21"/>
              </w:rPr>
            </w:pPr>
            <w:r>
              <w:rPr>
                <w:color w:val="000000"/>
                <w:kern w:val="0"/>
                <w:szCs w:val="21"/>
                <w:lang w:bidi="ar"/>
              </w:rPr>
              <w:t xml:space="preserve">68.68 </w:t>
            </w:r>
          </w:p>
        </w:tc>
        <w:tc>
          <w:tcPr>
            <w:tcW w:w="855"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22.48 </w:t>
            </w:r>
          </w:p>
        </w:tc>
        <w:tc>
          <w:tcPr>
            <w:tcW w:w="107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12.20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rPr>
                <w:kern w:val="0"/>
                <w:szCs w:val="21"/>
              </w:rPr>
            </w:pPr>
            <w:r>
              <w:rPr>
                <w:kern w:val="0"/>
                <w:szCs w:val="21"/>
              </w:rPr>
              <w:t>2#-2</w:t>
            </w:r>
          </w:p>
        </w:tc>
        <w:tc>
          <w:tcPr>
            <w:tcW w:w="1026"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8.92 </w:t>
            </w:r>
          </w:p>
        </w:tc>
        <w:tc>
          <w:tcPr>
            <w:tcW w:w="85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68.81 </w:t>
            </w:r>
          </w:p>
        </w:tc>
        <w:tc>
          <w:tcPr>
            <w:tcW w:w="855"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22.54 </w:t>
            </w:r>
          </w:p>
        </w:tc>
        <w:tc>
          <w:tcPr>
            <w:tcW w:w="107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12.23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rPr>
                <w:kern w:val="0"/>
                <w:szCs w:val="21"/>
              </w:rPr>
            </w:pPr>
            <w:r>
              <w:rPr>
                <w:kern w:val="0"/>
                <w:szCs w:val="21"/>
              </w:rPr>
              <w:t>2#-3</w:t>
            </w:r>
          </w:p>
        </w:tc>
        <w:tc>
          <w:tcPr>
            <w:tcW w:w="1026"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8.76 </w:t>
            </w:r>
          </w:p>
        </w:tc>
        <w:tc>
          <w:tcPr>
            <w:tcW w:w="85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68.58 </w:t>
            </w:r>
          </w:p>
        </w:tc>
        <w:tc>
          <w:tcPr>
            <w:tcW w:w="855"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22.97 </w:t>
            </w:r>
          </w:p>
        </w:tc>
        <w:tc>
          <w:tcPr>
            <w:tcW w:w="107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12.29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rPr>
                <w:kern w:val="0"/>
                <w:szCs w:val="21"/>
              </w:rPr>
            </w:pPr>
            <w:r>
              <w:rPr>
                <w:kern w:val="0"/>
                <w:szCs w:val="21"/>
              </w:rPr>
              <w:t>2#-平均值</w:t>
            </w:r>
          </w:p>
        </w:tc>
        <w:tc>
          <w:tcPr>
            <w:tcW w:w="1026"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8.84 </w:t>
            </w:r>
          </w:p>
        </w:tc>
        <w:tc>
          <w:tcPr>
            <w:tcW w:w="85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68.69 </w:t>
            </w:r>
          </w:p>
        </w:tc>
        <w:tc>
          <w:tcPr>
            <w:tcW w:w="855"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22.66 </w:t>
            </w:r>
          </w:p>
        </w:tc>
        <w:tc>
          <w:tcPr>
            <w:tcW w:w="107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12.24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rPr>
                <w:kern w:val="0"/>
                <w:szCs w:val="21"/>
              </w:rPr>
            </w:pPr>
            <w:r>
              <w:rPr>
                <w:kern w:val="0"/>
                <w:szCs w:val="21"/>
              </w:rPr>
              <w:t>2#-标准偏差/%</w:t>
            </w:r>
          </w:p>
        </w:tc>
        <w:tc>
          <w:tcPr>
            <w:tcW w:w="1026"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0.07 </w:t>
            </w:r>
          </w:p>
        </w:tc>
        <w:tc>
          <w:tcPr>
            <w:tcW w:w="85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0.09 </w:t>
            </w:r>
          </w:p>
        </w:tc>
        <w:tc>
          <w:tcPr>
            <w:tcW w:w="855"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0.22 </w:t>
            </w:r>
          </w:p>
        </w:tc>
        <w:tc>
          <w:tcPr>
            <w:tcW w:w="107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0.04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rPr>
                <w:kern w:val="0"/>
                <w:szCs w:val="21"/>
              </w:rPr>
            </w:pPr>
            <w:r>
              <w:rPr>
                <w:kern w:val="0"/>
                <w:szCs w:val="21"/>
              </w:rPr>
              <w:t>2#-RSD/%</w:t>
            </w:r>
          </w:p>
        </w:tc>
        <w:tc>
          <w:tcPr>
            <w:tcW w:w="1026"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0.74 </w:t>
            </w:r>
          </w:p>
        </w:tc>
        <w:tc>
          <w:tcPr>
            <w:tcW w:w="85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0.14 </w:t>
            </w:r>
          </w:p>
        </w:tc>
        <w:tc>
          <w:tcPr>
            <w:tcW w:w="855"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0.96 </w:t>
            </w:r>
          </w:p>
        </w:tc>
        <w:tc>
          <w:tcPr>
            <w:tcW w:w="107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rPr>
                <w:kern w:val="0"/>
                <w:szCs w:val="21"/>
              </w:rPr>
            </w:pPr>
            <w:r>
              <w:rPr>
                <w:kern w:val="0"/>
                <w:szCs w:val="21"/>
              </w:rPr>
              <w:t>3#-1</w:t>
            </w:r>
          </w:p>
        </w:tc>
        <w:tc>
          <w:tcPr>
            <w:tcW w:w="1026"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6.12 </w:t>
            </w:r>
          </w:p>
        </w:tc>
        <w:tc>
          <w:tcPr>
            <w:tcW w:w="85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75.89 </w:t>
            </w:r>
          </w:p>
        </w:tc>
        <w:tc>
          <w:tcPr>
            <w:tcW w:w="855"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17.99 </w:t>
            </w:r>
          </w:p>
        </w:tc>
        <w:tc>
          <w:tcPr>
            <w:tcW w:w="107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12.10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rPr>
                <w:kern w:val="0"/>
                <w:szCs w:val="21"/>
              </w:rPr>
            </w:pPr>
            <w:r>
              <w:rPr>
                <w:kern w:val="0"/>
                <w:szCs w:val="21"/>
              </w:rPr>
              <w:t>3#-2</w:t>
            </w:r>
          </w:p>
        </w:tc>
        <w:tc>
          <w:tcPr>
            <w:tcW w:w="1026"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6.08 </w:t>
            </w:r>
          </w:p>
        </w:tc>
        <w:tc>
          <w:tcPr>
            <w:tcW w:w="85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75.73 </w:t>
            </w:r>
          </w:p>
        </w:tc>
        <w:tc>
          <w:tcPr>
            <w:tcW w:w="855"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18.19 </w:t>
            </w:r>
          </w:p>
        </w:tc>
        <w:tc>
          <w:tcPr>
            <w:tcW w:w="107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12.13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rPr>
                <w:kern w:val="0"/>
                <w:szCs w:val="21"/>
              </w:rPr>
            </w:pPr>
            <w:r>
              <w:rPr>
                <w:kern w:val="0"/>
                <w:szCs w:val="21"/>
              </w:rPr>
              <w:t>3#-3</w:t>
            </w:r>
          </w:p>
        </w:tc>
        <w:tc>
          <w:tcPr>
            <w:tcW w:w="1026"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6.18 </w:t>
            </w:r>
          </w:p>
        </w:tc>
        <w:tc>
          <w:tcPr>
            <w:tcW w:w="85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75.64 </w:t>
            </w:r>
          </w:p>
        </w:tc>
        <w:tc>
          <w:tcPr>
            <w:tcW w:w="855"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18.18 </w:t>
            </w:r>
          </w:p>
        </w:tc>
        <w:tc>
          <w:tcPr>
            <w:tcW w:w="107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12.11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rPr>
                <w:kern w:val="0"/>
                <w:szCs w:val="21"/>
              </w:rPr>
            </w:pPr>
            <w:r>
              <w:rPr>
                <w:kern w:val="0"/>
                <w:szCs w:val="21"/>
              </w:rPr>
              <w:t>3#-平均值</w:t>
            </w:r>
          </w:p>
        </w:tc>
        <w:tc>
          <w:tcPr>
            <w:tcW w:w="1026"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6.13 </w:t>
            </w:r>
          </w:p>
        </w:tc>
        <w:tc>
          <w:tcPr>
            <w:tcW w:w="85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75.75 </w:t>
            </w:r>
          </w:p>
        </w:tc>
        <w:tc>
          <w:tcPr>
            <w:tcW w:w="855"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18.12 </w:t>
            </w:r>
          </w:p>
        </w:tc>
        <w:tc>
          <w:tcPr>
            <w:tcW w:w="107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12.11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rPr>
                <w:kern w:val="0"/>
                <w:szCs w:val="21"/>
              </w:rPr>
            </w:pPr>
            <w:r>
              <w:rPr>
                <w:kern w:val="0"/>
                <w:szCs w:val="21"/>
              </w:rPr>
              <w:t>3#-标准偏差/%</w:t>
            </w:r>
          </w:p>
        </w:tc>
        <w:tc>
          <w:tcPr>
            <w:tcW w:w="1026"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0.04 </w:t>
            </w:r>
          </w:p>
        </w:tc>
        <w:tc>
          <w:tcPr>
            <w:tcW w:w="85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0.10 </w:t>
            </w:r>
          </w:p>
        </w:tc>
        <w:tc>
          <w:tcPr>
            <w:tcW w:w="855"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0.09 </w:t>
            </w:r>
          </w:p>
        </w:tc>
        <w:tc>
          <w:tcPr>
            <w:tcW w:w="107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rPr>
                <w:kern w:val="0"/>
                <w:szCs w:val="21"/>
              </w:rPr>
            </w:pPr>
            <w:r>
              <w:rPr>
                <w:kern w:val="0"/>
                <w:szCs w:val="21"/>
              </w:rPr>
              <w:t>3#-RSD/%</w:t>
            </w:r>
          </w:p>
        </w:tc>
        <w:tc>
          <w:tcPr>
            <w:tcW w:w="1026"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0.67 </w:t>
            </w:r>
          </w:p>
        </w:tc>
        <w:tc>
          <w:tcPr>
            <w:tcW w:w="85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0.14 </w:t>
            </w:r>
          </w:p>
        </w:tc>
        <w:tc>
          <w:tcPr>
            <w:tcW w:w="855"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0.51 </w:t>
            </w:r>
          </w:p>
        </w:tc>
        <w:tc>
          <w:tcPr>
            <w:tcW w:w="107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rPr>
                <w:kern w:val="0"/>
                <w:szCs w:val="21"/>
              </w:rPr>
            </w:pPr>
            <w:r>
              <w:rPr>
                <w:kern w:val="0"/>
                <w:szCs w:val="21"/>
              </w:rPr>
              <w:t>4#-1</w:t>
            </w:r>
          </w:p>
        </w:tc>
        <w:tc>
          <w:tcPr>
            <w:tcW w:w="1026"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4.16 </w:t>
            </w:r>
          </w:p>
        </w:tc>
        <w:tc>
          <w:tcPr>
            <w:tcW w:w="85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80.84 </w:t>
            </w:r>
          </w:p>
        </w:tc>
        <w:tc>
          <w:tcPr>
            <w:tcW w:w="855"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15.00 </w:t>
            </w:r>
          </w:p>
        </w:tc>
        <w:tc>
          <w:tcPr>
            <w:tcW w:w="107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12.06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rPr>
                <w:kern w:val="0"/>
                <w:szCs w:val="21"/>
              </w:rPr>
            </w:pPr>
            <w:r>
              <w:rPr>
                <w:kern w:val="0"/>
                <w:szCs w:val="21"/>
              </w:rPr>
              <w:t>4#-2</w:t>
            </w:r>
          </w:p>
        </w:tc>
        <w:tc>
          <w:tcPr>
            <w:tcW w:w="1026"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4.03 </w:t>
            </w:r>
          </w:p>
        </w:tc>
        <w:tc>
          <w:tcPr>
            <w:tcW w:w="85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80.69 </w:t>
            </w:r>
          </w:p>
        </w:tc>
        <w:tc>
          <w:tcPr>
            <w:tcW w:w="855"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15.28 </w:t>
            </w:r>
          </w:p>
        </w:tc>
        <w:tc>
          <w:tcPr>
            <w:tcW w:w="107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12.10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rPr>
                <w:kern w:val="0"/>
                <w:szCs w:val="21"/>
              </w:rPr>
            </w:pPr>
            <w:r>
              <w:rPr>
                <w:kern w:val="0"/>
                <w:szCs w:val="21"/>
              </w:rPr>
              <w:t>4#-3</w:t>
            </w:r>
          </w:p>
        </w:tc>
        <w:tc>
          <w:tcPr>
            <w:tcW w:w="1026"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4.09 </w:t>
            </w:r>
          </w:p>
        </w:tc>
        <w:tc>
          <w:tcPr>
            <w:tcW w:w="85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80.85 </w:t>
            </w:r>
          </w:p>
        </w:tc>
        <w:tc>
          <w:tcPr>
            <w:tcW w:w="855"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15.06 </w:t>
            </w:r>
          </w:p>
        </w:tc>
        <w:tc>
          <w:tcPr>
            <w:tcW w:w="107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12.07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rPr>
                <w:kern w:val="0"/>
                <w:szCs w:val="21"/>
              </w:rPr>
            </w:pPr>
            <w:r>
              <w:rPr>
                <w:kern w:val="0"/>
                <w:szCs w:val="21"/>
              </w:rPr>
              <w:t>4#-平均值</w:t>
            </w:r>
          </w:p>
        </w:tc>
        <w:tc>
          <w:tcPr>
            <w:tcW w:w="1026"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4.09 </w:t>
            </w:r>
          </w:p>
        </w:tc>
        <w:tc>
          <w:tcPr>
            <w:tcW w:w="85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80.79 </w:t>
            </w:r>
          </w:p>
        </w:tc>
        <w:tc>
          <w:tcPr>
            <w:tcW w:w="855"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15.11 </w:t>
            </w:r>
          </w:p>
        </w:tc>
        <w:tc>
          <w:tcPr>
            <w:tcW w:w="107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12.07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rPr>
                <w:kern w:val="0"/>
                <w:szCs w:val="21"/>
              </w:rPr>
            </w:pPr>
            <w:r>
              <w:rPr>
                <w:kern w:val="0"/>
                <w:szCs w:val="21"/>
              </w:rPr>
              <w:t>4#-标准偏差/%</w:t>
            </w:r>
          </w:p>
        </w:tc>
        <w:tc>
          <w:tcPr>
            <w:tcW w:w="1026"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0.05 </w:t>
            </w:r>
          </w:p>
        </w:tc>
        <w:tc>
          <w:tcPr>
            <w:tcW w:w="85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0.07 </w:t>
            </w:r>
          </w:p>
        </w:tc>
        <w:tc>
          <w:tcPr>
            <w:tcW w:w="855"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0.12 </w:t>
            </w:r>
          </w:p>
        </w:tc>
        <w:tc>
          <w:tcPr>
            <w:tcW w:w="107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rPr>
                <w:kern w:val="0"/>
                <w:szCs w:val="21"/>
              </w:rPr>
            </w:pPr>
            <w:r>
              <w:rPr>
                <w:kern w:val="0"/>
                <w:szCs w:val="21"/>
              </w:rPr>
              <w:t>4#-RSD/%</w:t>
            </w:r>
          </w:p>
        </w:tc>
        <w:tc>
          <w:tcPr>
            <w:tcW w:w="1026"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1.30 </w:t>
            </w:r>
          </w:p>
        </w:tc>
        <w:tc>
          <w:tcPr>
            <w:tcW w:w="85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0.09 </w:t>
            </w:r>
          </w:p>
        </w:tc>
        <w:tc>
          <w:tcPr>
            <w:tcW w:w="855"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0.80 </w:t>
            </w:r>
          </w:p>
        </w:tc>
        <w:tc>
          <w:tcPr>
            <w:tcW w:w="1073"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kern w:val="0"/>
                <w:szCs w:val="21"/>
              </w:rPr>
            </w:pPr>
            <w:r>
              <w:rPr>
                <w:color w:val="000000"/>
                <w:kern w:val="0"/>
                <w:szCs w:val="21"/>
                <w:lang w:bidi="ar"/>
              </w:rPr>
              <w:t xml:space="preserve">0.14 </w:t>
            </w:r>
          </w:p>
        </w:tc>
      </w:tr>
      <w:bookmarkEnd w:id="12"/>
    </w:tbl>
    <w:p>
      <w:pPr>
        <w:bidi w:val="0"/>
      </w:pPr>
      <w:r>
        <w:t>从表</w:t>
      </w:r>
      <w:r>
        <w:rPr>
          <w:rFonts w:hint="eastAsia"/>
          <w:lang w:val="en-US" w:eastAsia="zh-CN"/>
        </w:rPr>
        <w:t>10</w:t>
      </w:r>
      <w:r>
        <w:t>结果可知，4个复合氧化铜粉样品中铜、氧化亚铜、氧化铜含量精密度试验结果的RSD分别在0.67%～2.12%，0.10%～0.14%和0.10%～0.96%，该方法精密度良好，能够满足分析要求。</w:t>
      </w:r>
    </w:p>
    <w:p>
      <w:pPr>
        <w:pStyle w:val="59"/>
        <w:numPr>
          <w:ilvl w:val="0"/>
          <w:numId w:val="8"/>
        </w:numPr>
        <w:ind w:left="1134" w:leftChars="0" w:hanging="1134" w:firstLineChars="0"/>
      </w:pPr>
      <w:r>
        <w:rPr>
          <w:rFonts w:hint="eastAsia"/>
        </w:rPr>
        <w:t>唐山三友硅业股份有限公司</w:t>
      </w:r>
    </w:p>
    <w:p>
      <w:pPr>
        <w:bidi w:val="0"/>
      </w:pPr>
      <w:r>
        <w:t>按照试验步骤测定1# ~4#样品中铜、氧化铜、氧化亚铜含量，精密度结果见表</w:t>
      </w:r>
      <w:r>
        <w:rPr>
          <w:rFonts w:hint="eastAsia"/>
          <w:lang w:val="en-US" w:eastAsia="zh-CN"/>
        </w:rPr>
        <w:t>11</w:t>
      </w:r>
      <w:r>
        <w:t>。</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szCs w:val="21"/>
        </w:rPr>
      </w:pPr>
      <w:r>
        <w:rPr>
          <w:rFonts w:hint="eastAsia" w:ascii="黑体" w:hAnsi="黑体" w:eastAsia="黑体" w:cs="黑体"/>
          <w:szCs w:val="21"/>
        </w:rPr>
        <w:t>表</w:t>
      </w:r>
      <w:r>
        <w:rPr>
          <w:rFonts w:hint="eastAsia" w:ascii="黑体" w:hAnsi="黑体" w:eastAsia="黑体" w:cs="黑体"/>
          <w:szCs w:val="21"/>
          <w:lang w:val="en-US" w:eastAsia="zh-CN"/>
        </w:rPr>
        <w:t>11</w:t>
      </w:r>
      <w:r>
        <w:rPr>
          <w:rFonts w:hint="eastAsia" w:ascii="黑体" w:hAnsi="黑体" w:eastAsia="黑体" w:cs="黑体"/>
          <w:szCs w:val="21"/>
        </w:rPr>
        <w:t xml:space="preserve"> 复合氧化铜粉中铜、氧化亚铜、氧化铜含量的精密度试验结果</w:t>
      </w:r>
    </w:p>
    <w:tbl>
      <w:tblPr>
        <w:tblStyle w:val="26"/>
        <w:tblpPr w:leftFromText="180" w:rightFromText="180" w:vertAnchor="text" w:horzAnchor="margin" w:tblpXSpec="center" w:tblpY="2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2"/>
        <w:gridCol w:w="2180"/>
        <w:gridCol w:w="1812"/>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样品编号</w:t>
            </w:r>
          </w:p>
        </w:tc>
        <w:tc>
          <w:tcPr>
            <w:tcW w:w="1279"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Cu(wt%)</w:t>
            </w:r>
          </w:p>
        </w:tc>
        <w:tc>
          <w:tcPr>
            <w:tcW w:w="1063"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Cu</w:t>
            </w:r>
            <w:r>
              <w:rPr>
                <w:szCs w:val="21"/>
                <w:vertAlign w:val="subscript"/>
              </w:rPr>
              <w:t>2</w:t>
            </w:r>
            <w:r>
              <w:rPr>
                <w:szCs w:val="21"/>
              </w:rPr>
              <w:t>O(wt%)</w:t>
            </w:r>
          </w:p>
        </w:tc>
        <w:tc>
          <w:tcPr>
            <w:tcW w:w="1172"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CuO(wt%)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6"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1#-1</w:t>
            </w:r>
          </w:p>
        </w:tc>
        <w:tc>
          <w:tcPr>
            <w:tcW w:w="127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1.16</w:t>
            </w:r>
          </w:p>
        </w:tc>
        <w:tc>
          <w:tcPr>
            <w:tcW w:w="106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56.13</w:t>
            </w:r>
          </w:p>
        </w:tc>
        <w:tc>
          <w:tcPr>
            <w:tcW w:w="1172"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42.71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6"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1#-2</w:t>
            </w:r>
          </w:p>
        </w:tc>
        <w:tc>
          <w:tcPr>
            <w:tcW w:w="127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1.17</w:t>
            </w:r>
          </w:p>
        </w:tc>
        <w:tc>
          <w:tcPr>
            <w:tcW w:w="106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56.82</w:t>
            </w:r>
          </w:p>
        </w:tc>
        <w:tc>
          <w:tcPr>
            <w:tcW w:w="1172"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42.01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6"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1#-3</w:t>
            </w:r>
          </w:p>
        </w:tc>
        <w:tc>
          <w:tcPr>
            <w:tcW w:w="127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1.13</w:t>
            </w:r>
          </w:p>
        </w:tc>
        <w:tc>
          <w:tcPr>
            <w:tcW w:w="106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56.39</w:t>
            </w:r>
          </w:p>
        </w:tc>
        <w:tc>
          <w:tcPr>
            <w:tcW w:w="1172"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42.48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6"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1#-平均值</w:t>
            </w:r>
          </w:p>
        </w:tc>
        <w:tc>
          <w:tcPr>
            <w:tcW w:w="127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1.15</w:t>
            </w:r>
          </w:p>
        </w:tc>
        <w:tc>
          <w:tcPr>
            <w:tcW w:w="106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56.45</w:t>
            </w:r>
          </w:p>
        </w:tc>
        <w:tc>
          <w:tcPr>
            <w:tcW w:w="1172"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42.40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6"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1#-标准偏差</w:t>
            </w:r>
          </w:p>
        </w:tc>
        <w:tc>
          <w:tcPr>
            <w:tcW w:w="127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0.02</w:t>
            </w:r>
          </w:p>
        </w:tc>
        <w:tc>
          <w:tcPr>
            <w:tcW w:w="106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0.35</w:t>
            </w:r>
          </w:p>
        </w:tc>
        <w:tc>
          <w:tcPr>
            <w:tcW w:w="1172"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6"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1#-RSD/%</w:t>
            </w:r>
          </w:p>
        </w:tc>
        <w:tc>
          <w:tcPr>
            <w:tcW w:w="127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1.74</w:t>
            </w:r>
          </w:p>
        </w:tc>
        <w:tc>
          <w:tcPr>
            <w:tcW w:w="106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0.62</w:t>
            </w:r>
          </w:p>
        </w:tc>
        <w:tc>
          <w:tcPr>
            <w:tcW w:w="1172"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6"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2#-1</w:t>
            </w:r>
          </w:p>
        </w:tc>
        <w:tc>
          <w:tcPr>
            <w:tcW w:w="127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3.89</w:t>
            </w:r>
          </w:p>
        </w:tc>
        <w:tc>
          <w:tcPr>
            <w:tcW w:w="106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76.45</w:t>
            </w:r>
          </w:p>
        </w:tc>
        <w:tc>
          <w:tcPr>
            <w:tcW w:w="1172"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19.66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6"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2#-2</w:t>
            </w:r>
          </w:p>
        </w:tc>
        <w:tc>
          <w:tcPr>
            <w:tcW w:w="127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3.81</w:t>
            </w:r>
          </w:p>
        </w:tc>
        <w:tc>
          <w:tcPr>
            <w:tcW w:w="106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76.20</w:t>
            </w:r>
          </w:p>
        </w:tc>
        <w:tc>
          <w:tcPr>
            <w:tcW w:w="1172"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6"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2#-3</w:t>
            </w:r>
          </w:p>
        </w:tc>
        <w:tc>
          <w:tcPr>
            <w:tcW w:w="127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4.33</w:t>
            </w:r>
          </w:p>
        </w:tc>
        <w:tc>
          <w:tcPr>
            <w:tcW w:w="106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75.29</w:t>
            </w:r>
          </w:p>
        </w:tc>
        <w:tc>
          <w:tcPr>
            <w:tcW w:w="1172"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6"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2#-平均值</w:t>
            </w:r>
          </w:p>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szCs w:val="21"/>
              </w:rPr>
            </w:pPr>
          </w:p>
        </w:tc>
        <w:tc>
          <w:tcPr>
            <w:tcW w:w="127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4.01</w:t>
            </w:r>
          </w:p>
        </w:tc>
        <w:tc>
          <w:tcPr>
            <w:tcW w:w="106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75.98</w:t>
            </w:r>
          </w:p>
        </w:tc>
        <w:tc>
          <w:tcPr>
            <w:tcW w:w="1172"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6"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2#-标准偏差</w:t>
            </w:r>
          </w:p>
        </w:tc>
        <w:tc>
          <w:tcPr>
            <w:tcW w:w="127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0.28</w:t>
            </w:r>
          </w:p>
        </w:tc>
        <w:tc>
          <w:tcPr>
            <w:tcW w:w="106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0.61</w:t>
            </w:r>
          </w:p>
        </w:tc>
        <w:tc>
          <w:tcPr>
            <w:tcW w:w="1172"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6"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2#-RSD/%</w:t>
            </w:r>
          </w:p>
        </w:tc>
        <w:tc>
          <w:tcPr>
            <w:tcW w:w="127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6.98</w:t>
            </w:r>
          </w:p>
        </w:tc>
        <w:tc>
          <w:tcPr>
            <w:tcW w:w="106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0.80</w:t>
            </w:r>
          </w:p>
        </w:tc>
        <w:tc>
          <w:tcPr>
            <w:tcW w:w="1172"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6"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3#-1</w:t>
            </w:r>
          </w:p>
        </w:tc>
        <w:tc>
          <w:tcPr>
            <w:tcW w:w="127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8.18</w:t>
            </w:r>
          </w:p>
        </w:tc>
        <w:tc>
          <w:tcPr>
            <w:tcW w:w="106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68.59</w:t>
            </w:r>
          </w:p>
        </w:tc>
        <w:tc>
          <w:tcPr>
            <w:tcW w:w="1172"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6"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3#-2</w:t>
            </w:r>
          </w:p>
        </w:tc>
        <w:tc>
          <w:tcPr>
            <w:tcW w:w="127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8.15</w:t>
            </w:r>
          </w:p>
        </w:tc>
        <w:tc>
          <w:tcPr>
            <w:tcW w:w="106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68.32</w:t>
            </w:r>
          </w:p>
        </w:tc>
        <w:tc>
          <w:tcPr>
            <w:tcW w:w="1172"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6"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3#-3</w:t>
            </w:r>
          </w:p>
        </w:tc>
        <w:tc>
          <w:tcPr>
            <w:tcW w:w="127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8.28</w:t>
            </w:r>
          </w:p>
        </w:tc>
        <w:tc>
          <w:tcPr>
            <w:tcW w:w="106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67.80</w:t>
            </w:r>
          </w:p>
        </w:tc>
        <w:tc>
          <w:tcPr>
            <w:tcW w:w="1172"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6"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3#-平均值</w:t>
            </w:r>
          </w:p>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szCs w:val="21"/>
              </w:rPr>
            </w:pPr>
          </w:p>
        </w:tc>
        <w:tc>
          <w:tcPr>
            <w:tcW w:w="127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8.20</w:t>
            </w:r>
          </w:p>
        </w:tc>
        <w:tc>
          <w:tcPr>
            <w:tcW w:w="106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68.24</w:t>
            </w:r>
          </w:p>
        </w:tc>
        <w:tc>
          <w:tcPr>
            <w:tcW w:w="1172"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6"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3#-标准偏差</w:t>
            </w:r>
          </w:p>
        </w:tc>
        <w:tc>
          <w:tcPr>
            <w:tcW w:w="127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0.07</w:t>
            </w:r>
          </w:p>
        </w:tc>
        <w:tc>
          <w:tcPr>
            <w:tcW w:w="106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0.40</w:t>
            </w:r>
          </w:p>
        </w:tc>
        <w:tc>
          <w:tcPr>
            <w:tcW w:w="1172"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6"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3#-RSD/%</w:t>
            </w:r>
          </w:p>
        </w:tc>
        <w:tc>
          <w:tcPr>
            <w:tcW w:w="127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0.85</w:t>
            </w:r>
          </w:p>
        </w:tc>
        <w:tc>
          <w:tcPr>
            <w:tcW w:w="106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0.59</w:t>
            </w:r>
          </w:p>
        </w:tc>
        <w:tc>
          <w:tcPr>
            <w:tcW w:w="1172"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6"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4#-1</w:t>
            </w:r>
          </w:p>
        </w:tc>
        <w:tc>
          <w:tcPr>
            <w:tcW w:w="127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2.80</w:t>
            </w:r>
          </w:p>
        </w:tc>
        <w:tc>
          <w:tcPr>
            <w:tcW w:w="106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80.38</w:t>
            </w:r>
          </w:p>
        </w:tc>
        <w:tc>
          <w:tcPr>
            <w:tcW w:w="1172"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16.82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6"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4#-2</w:t>
            </w:r>
          </w:p>
        </w:tc>
        <w:tc>
          <w:tcPr>
            <w:tcW w:w="127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3.10</w:t>
            </w:r>
          </w:p>
        </w:tc>
        <w:tc>
          <w:tcPr>
            <w:tcW w:w="106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79.63</w:t>
            </w:r>
          </w:p>
        </w:tc>
        <w:tc>
          <w:tcPr>
            <w:tcW w:w="1172"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17.27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6"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4#-3</w:t>
            </w:r>
          </w:p>
        </w:tc>
        <w:tc>
          <w:tcPr>
            <w:tcW w:w="127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2.90</w:t>
            </w:r>
          </w:p>
        </w:tc>
        <w:tc>
          <w:tcPr>
            <w:tcW w:w="106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79.23</w:t>
            </w:r>
          </w:p>
        </w:tc>
        <w:tc>
          <w:tcPr>
            <w:tcW w:w="1172"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17.87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6"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4#-平均值</w:t>
            </w:r>
          </w:p>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szCs w:val="21"/>
              </w:rPr>
            </w:pPr>
          </w:p>
        </w:tc>
        <w:tc>
          <w:tcPr>
            <w:tcW w:w="127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2.93</w:t>
            </w:r>
          </w:p>
        </w:tc>
        <w:tc>
          <w:tcPr>
            <w:tcW w:w="106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79.75</w:t>
            </w:r>
          </w:p>
        </w:tc>
        <w:tc>
          <w:tcPr>
            <w:tcW w:w="1172"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17.32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486"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4#-标准偏差</w:t>
            </w:r>
          </w:p>
        </w:tc>
        <w:tc>
          <w:tcPr>
            <w:tcW w:w="127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0.15</w:t>
            </w:r>
          </w:p>
        </w:tc>
        <w:tc>
          <w:tcPr>
            <w:tcW w:w="106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0.58</w:t>
            </w:r>
          </w:p>
        </w:tc>
        <w:tc>
          <w:tcPr>
            <w:tcW w:w="1172"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6"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4#-RSD/%</w:t>
            </w:r>
          </w:p>
        </w:tc>
        <w:tc>
          <w:tcPr>
            <w:tcW w:w="1279"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5.12</w:t>
            </w:r>
          </w:p>
        </w:tc>
        <w:tc>
          <w:tcPr>
            <w:tcW w:w="106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0.73</w:t>
            </w:r>
          </w:p>
        </w:tc>
        <w:tc>
          <w:tcPr>
            <w:tcW w:w="1172"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3.06</w:t>
            </w:r>
          </w:p>
        </w:tc>
      </w:tr>
    </w:tbl>
    <w:p>
      <w:pPr>
        <w:pStyle w:val="59"/>
        <w:numPr>
          <w:ilvl w:val="0"/>
          <w:numId w:val="8"/>
        </w:numPr>
        <w:ind w:left="1134" w:leftChars="0" w:hanging="1134" w:firstLineChars="0"/>
      </w:pPr>
      <w:r>
        <w:t>金川集团股份有限公司</w:t>
      </w:r>
    </w:p>
    <w:p>
      <w:pPr>
        <w:ind w:left="420" w:firstLine="0" w:firstLineChars="0"/>
      </w:pPr>
      <w:r>
        <w:t>按照试验步骤测定1# ~4#样品中铜、氧化铜、氧化亚铜含量，精密度结果见表1</w:t>
      </w:r>
      <w:r>
        <w:rPr>
          <w:rFonts w:hint="eastAsia"/>
          <w:lang w:val="en-US" w:eastAsia="zh-CN"/>
        </w:rPr>
        <w:t>2</w:t>
      </w:r>
      <w:r>
        <w:t>。</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szCs w:val="21"/>
        </w:rPr>
      </w:pPr>
      <w:r>
        <w:rPr>
          <w:rFonts w:hint="eastAsia" w:ascii="黑体" w:hAnsi="黑体" w:eastAsia="黑体" w:cs="黑体"/>
          <w:szCs w:val="21"/>
        </w:rPr>
        <w:t>表1</w:t>
      </w:r>
      <w:r>
        <w:rPr>
          <w:rFonts w:hint="eastAsia" w:ascii="黑体" w:hAnsi="黑体" w:eastAsia="黑体" w:cs="黑体"/>
          <w:szCs w:val="21"/>
          <w:lang w:val="en-US" w:eastAsia="zh-CN"/>
        </w:rPr>
        <w:t>2</w:t>
      </w:r>
      <w:r>
        <w:rPr>
          <w:rFonts w:hint="eastAsia" w:ascii="黑体" w:hAnsi="黑体" w:eastAsia="黑体" w:cs="黑体"/>
          <w:szCs w:val="21"/>
        </w:rPr>
        <w:t xml:space="preserve"> 复合氧化铜粉中铜、氧化亚铜、氧化铜含量的精密度试验结果</w:t>
      </w:r>
    </w:p>
    <w:tbl>
      <w:tblPr>
        <w:tblStyle w:val="25"/>
        <w:tblW w:w="5000" w:type="pct"/>
        <w:tblInd w:w="0" w:type="dxa"/>
        <w:tblLayout w:type="autofit"/>
        <w:tblCellMar>
          <w:top w:w="0" w:type="dxa"/>
          <w:left w:w="108" w:type="dxa"/>
          <w:bottom w:w="0" w:type="dxa"/>
          <w:right w:w="108" w:type="dxa"/>
        </w:tblCellMar>
      </w:tblPr>
      <w:tblGrid>
        <w:gridCol w:w="2840"/>
        <w:gridCol w:w="1996"/>
        <w:gridCol w:w="1843"/>
        <w:gridCol w:w="1843"/>
      </w:tblGrid>
      <w:tr>
        <w:tblPrEx>
          <w:tblCellMar>
            <w:top w:w="0" w:type="dxa"/>
            <w:left w:w="108" w:type="dxa"/>
            <w:bottom w:w="0" w:type="dxa"/>
            <w:right w:w="108" w:type="dxa"/>
          </w:tblCellMar>
        </w:tblPrEx>
        <w:trPr>
          <w:trHeight w:val="454" w:hRule="atLeast"/>
        </w:trPr>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样品编号</w:t>
            </w:r>
          </w:p>
        </w:tc>
        <w:tc>
          <w:tcPr>
            <w:tcW w:w="1171"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Cu</w:t>
            </w:r>
            <w:r>
              <w:rPr>
                <w:color w:val="000000"/>
                <w:kern w:val="0"/>
                <w:szCs w:val="21"/>
                <w:vertAlign w:val="subscript"/>
              </w:rPr>
              <w:t>2</w:t>
            </w:r>
            <w:r>
              <w:rPr>
                <w:color w:val="000000"/>
                <w:kern w:val="0"/>
                <w:szCs w:val="21"/>
              </w:rPr>
              <w:t>O (wt%)</w:t>
            </w:r>
          </w:p>
        </w:tc>
        <w:tc>
          <w:tcPr>
            <w:tcW w:w="1081"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Cu(wt%)</w:t>
            </w:r>
          </w:p>
        </w:tc>
        <w:tc>
          <w:tcPr>
            <w:tcW w:w="1081"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CuO(wt%)</w:t>
            </w:r>
          </w:p>
        </w:tc>
      </w:tr>
      <w:tr>
        <w:trPr>
          <w:trHeight w:val="454" w:hRule="atLeast"/>
        </w:trPr>
        <w:tc>
          <w:tcPr>
            <w:tcW w:w="1666"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1#</w:t>
            </w:r>
          </w:p>
        </w:tc>
        <w:tc>
          <w:tcPr>
            <w:tcW w:w="1171"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57.88</w:t>
            </w:r>
          </w:p>
        </w:tc>
        <w:tc>
          <w:tcPr>
            <w:tcW w:w="1081"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1.03</w:t>
            </w:r>
          </w:p>
        </w:tc>
        <w:tc>
          <w:tcPr>
            <w:tcW w:w="1081"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41.09</w:t>
            </w:r>
          </w:p>
        </w:tc>
      </w:tr>
      <w:tr>
        <w:tblPrEx>
          <w:tblCellMar>
            <w:top w:w="0" w:type="dxa"/>
            <w:left w:w="108" w:type="dxa"/>
            <w:bottom w:w="0" w:type="dxa"/>
            <w:right w:w="108" w:type="dxa"/>
          </w:tblCellMar>
        </w:tblPrEx>
        <w:trPr>
          <w:trHeight w:val="454" w:hRule="atLeast"/>
        </w:trPr>
        <w:tc>
          <w:tcPr>
            <w:tcW w:w="1666" w:type="pct"/>
            <w:vMerge w:val="continue"/>
            <w:tcBorders>
              <w:top w:val="nil"/>
              <w:left w:val="single" w:color="auto" w:sz="4" w:space="0"/>
              <w:bottom w:val="single" w:color="auto" w:sz="4" w:space="0"/>
              <w:right w:val="single" w:color="auto" w:sz="4" w:space="0"/>
            </w:tcBorders>
            <w:vAlign w:val="center"/>
          </w:tcPr>
          <w:p>
            <w:pPr>
              <w:widowControl/>
              <w:spacing w:line="360" w:lineRule="auto"/>
              <w:ind w:firstLine="0" w:firstLineChars="0"/>
              <w:jc w:val="left"/>
              <w:rPr>
                <w:color w:val="000000"/>
                <w:kern w:val="0"/>
                <w:szCs w:val="21"/>
              </w:rPr>
            </w:pPr>
          </w:p>
        </w:tc>
        <w:tc>
          <w:tcPr>
            <w:tcW w:w="117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57.58</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0.90</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41.52</w:t>
            </w:r>
          </w:p>
        </w:tc>
      </w:tr>
      <w:tr>
        <w:tblPrEx>
          <w:tblCellMar>
            <w:top w:w="0" w:type="dxa"/>
            <w:left w:w="108" w:type="dxa"/>
            <w:bottom w:w="0" w:type="dxa"/>
            <w:right w:w="108" w:type="dxa"/>
          </w:tblCellMar>
        </w:tblPrEx>
        <w:trPr>
          <w:trHeight w:val="454" w:hRule="atLeast"/>
        </w:trPr>
        <w:tc>
          <w:tcPr>
            <w:tcW w:w="1666" w:type="pct"/>
            <w:vMerge w:val="continue"/>
            <w:tcBorders>
              <w:top w:val="nil"/>
              <w:left w:val="single" w:color="auto" w:sz="4" w:space="0"/>
              <w:bottom w:val="single" w:color="auto" w:sz="4" w:space="0"/>
              <w:right w:val="single" w:color="auto" w:sz="4" w:space="0"/>
            </w:tcBorders>
            <w:vAlign w:val="center"/>
          </w:tcPr>
          <w:p>
            <w:pPr>
              <w:widowControl/>
              <w:spacing w:line="360" w:lineRule="auto"/>
              <w:ind w:firstLine="0" w:firstLineChars="0"/>
              <w:jc w:val="left"/>
              <w:rPr>
                <w:color w:val="000000"/>
                <w:kern w:val="0"/>
                <w:szCs w:val="21"/>
              </w:rPr>
            </w:pPr>
          </w:p>
        </w:tc>
        <w:tc>
          <w:tcPr>
            <w:tcW w:w="117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57.20</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0.99</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41.81</w:t>
            </w:r>
          </w:p>
        </w:tc>
      </w:tr>
      <w:tr>
        <w:tblPrEx>
          <w:tblCellMar>
            <w:top w:w="0" w:type="dxa"/>
            <w:left w:w="108" w:type="dxa"/>
            <w:bottom w:w="0" w:type="dxa"/>
            <w:right w:w="108" w:type="dxa"/>
          </w:tblCellMar>
        </w:tblPrEx>
        <w:trPr>
          <w:trHeight w:val="454" w:hRule="atLeast"/>
        </w:trPr>
        <w:tc>
          <w:tcPr>
            <w:tcW w:w="1666" w:type="pct"/>
            <w:vMerge w:val="continue"/>
            <w:tcBorders>
              <w:top w:val="nil"/>
              <w:left w:val="single" w:color="auto" w:sz="4" w:space="0"/>
              <w:bottom w:val="single" w:color="auto" w:sz="4" w:space="0"/>
              <w:right w:val="single" w:color="auto" w:sz="4" w:space="0"/>
            </w:tcBorders>
            <w:vAlign w:val="center"/>
          </w:tcPr>
          <w:p>
            <w:pPr>
              <w:widowControl/>
              <w:spacing w:line="360" w:lineRule="auto"/>
              <w:ind w:firstLine="0" w:firstLineChars="0"/>
              <w:jc w:val="left"/>
              <w:rPr>
                <w:color w:val="000000"/>
                <w:kern w:val="0"/>
                <w:szCs w:val="21"/>
              </w:rPr>
            </w:pPr>
          </w:p>
        </w:tc>
        <w:tc>
          <w:tcPr>
            <w:tcW w:w="117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57.43</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0.93</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41.64</w:t>
            </w:r>
          </w:p>
        </w:tc>
      </w:tr>
      <w:tr>
        <w:tblPrEx>
          <w:tblCellMar>
            <w:top w:w="0" w:type="dxa"/>
            <w:left w:w="108" w:type="dxa"/>
            <w:bottom w:w="0" w:type="dxa"/>
            <w:right w:w="108" w:type="dxa"/>
          </w:tblCellMar>
        </w:tblPrEx>
        <w:trPr>
          <w:trHeight w:val="454" w:hRule="atLeast"/>
        </w:trPr>
        <w:tc>
          <w:tcPr>
            <w:tcW w:w="1666"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平均值</w:t>
            </w:r>
          </w:p>
        </w:tc>
        <w:tc>
          <w:tcPr>
            <w:tcW w:w="117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57.52</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0.96</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41.52</w:t>
            </w:r>
          </w:p>
        </w:tc>
      </w:tr>
      <w:tr>
        <w:tblPrEx>
          <w:tblCellMar>
            <w:top w:w="0" w:type="dxa"/>
            <w:left w:w="108" w:type="dxa"/>
            <w:bottom w:w="0" w:type="dxa"/>
            <w:right w:w="108" w:type="dxa"/>
          </w:tblCellMar>
        </w:tblPrEx>
        <w:trPr>
          <w:trHeight w:val="454" w:hRule="atLeast"/>
        </w:trPr>
        <w:tc>
          <w:tcPr>
            <w:tcW w:w="1666"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SD</w:t>
            </w:r>
          </w:p>
        </w:tc>
        <w:tc>
          <w:tcPr>
            <w:tcW w:w="117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0.29</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0.06</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0.31</w:t>
            </w:r>
          </w:p>
        </w:tc>
      </w:tr>
      <w:tr>
        <w:tblPrEx>
          <w:tblCellMar>
            <w:top w:w="0" w:type="dxa"/>
            <w:left w:w="108" w:type="dxa"/>
            <w:bottom w:w="0" w:type="dxa"/>
            <w:right w:w="108" w:type="dxa"/>
          </w:tblCellMar>
        </w:tblPrEx>
        <w:trPr>
          <w:trHeight w:val="454" w:hRule="atLeast"/>
        </w:trPr>
        <w:tc>
          <w:tcPr>
            <w:tcW w:w="1666"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RSD/%</w:t>
            </w:r>
          </w:p>
        </w:tc>
        <w:tc>
          <w:tcPr>
            <w:tcW w:w="117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0.50</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6.08</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0.74</w:t>
            </w:r>
          </w:p>
        </w:tc>
      </w:tr>
      <w:tr>
        <w:tblPrEx>
          <w:tblCellMar>
            <w:top w:w="0" w:type="dxa"/>
            <w:left w:w="108" w:type="dxa"/>
            <w:bottom w:w="0" w:type="dxa"/>
            <w:right w:w="108" w:type="dxa"/>
          </w:tblCellMar>
        </w:tblPrEx>
        <w:trPr>
          <w:trHeight w:val="454" w:hRule="atLeast"/>
        </w:trPr>
        <w:tc>
          <w:tcPr>
            <w:tcW w:w="1666"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2#</w:t>
            </w:r>
          </w:p>
        </w:tc>
        <w:tc>
          <w:tcPr>
            <w:tcW w:w="117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68.63</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7.16</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24.21</w:t>
            </w:r>
          </w:p>
        </w:tc>
      </w:tr>
      <w:tr>
        <w:tblPrEx>
          <w:tblCellMar>
            <w:top w:w="0" w:type="dxa"/>
            <w:left w:w="108" w:type="dxa"/>
            <w:bottom w:w="0" w:type="dxa"/>
            <w:right w:w="108" w:type="dxa"/>
          </w:tblCellMar>
        </w:tblPrEx>
        <w:trPr>
          <w:trHeight w:val="454" w:hRule="atLeast"/>
        </w:trPr>
        <w:tc>
          <w:tcPr>
            <w:tcW w:w="1666" w:type="pct"/>
            <w:vMerge w:val="continue"/>
            <w:tcBorders>
              <w:top w:val="nil"/>
              <w:left w:val="single" w:color="auto" w:sz="4" w:space="0"/>
              <w:bottom w:val="single" w:color="auto" w:sz="4" w:space="0"/>
              <w:right w:val="single" w:color="auto" w:sz="4" w:space="0"/>
            </w:tcBorders>
            <w:vAlign w:val="center"/>
          </w:tcPr>
          <w:p>
            <w:pPr>
              <w:widowControl/>
              <w:spacing w:line="360" w:lineRule="auto"/>
              <w:ind w:firstLine="0" w:firstLineChars="0"/>
              <w:jc w:val="left"/>
              <w:rPr>
                <w:color w:val="000000"/>
                <w:kern w:val="0"/>
                <w:szCs w:val="21"/>
              </w:rPr>
            </w:pPr>
          </w:p>
        </w:tc>
        <w:tc>
          <w:tcPr>
            <w:tcW w:w="117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68.17</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7.63</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24.20</w:t>
            </w:r>
          </w:p>
        </w:tc>
      </w:tr>
      <w:tr>
        <w:tblPrEx>
          <w:tblCellMar>
            <w:top w:w="0" w:type="dxa"/>
            <w:left w:w="108" w:type="dxa"/>
            <w:bottom w:w="0" w:type="dxa"/>
            <w:right w:w="108" w:type="dxa"/>
          </w:tblCellMar>
        </w:tblPrEx>
        <w:trPr>
          <w:trHeight w:val="454" w:hRule="atLeast"/>
        </w:trPr>
        <w:tc>
          <w:tcPr>
            <w:tcW w:w="1666" w:type="pct"/>
            <w:vMerge w:val="continue"/>
            <w:tcBorders>
              <w:top w:val="nil"/>
              <w:left w:val="single" w:color="auto" w:sz="4" w:space="0"/>
              <w:bottom w:val="single" w:color="auto" w:sz="4" w:space="0"/>
              <w:right w:val="single" w:color="auto" w:sz="4" w:space="0"/>
            </w:tcBorders>
            <w:vAlign w:val="center"/>
          </w:tcPr>
          <w:p>
            <w:pPr>
              <w:widowControl/>
              <w:spacing w:line="360" w:lineRule="auto"/>
              <w:ind w:firstLine="0" w:firstLineChars="0"/>
              <w:jc w:val="left"/>
              <w:rPr>
                <w:color w:val="000000"/>
                <w:kern w:val="0"/>
                <w:szCs w:val="21"/>
              </w:rPr>
            </w:pPr>
          </w:p>
        </w:tc>
        <w:tc>
          <w:tcPr>
            <w:tcW w:w="117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68.88</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7.02</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24.10</w:t>
            </w:r>
          </w:p>
        </w:tc>
      </w:tr>
      <w:tr>
        <w:tblPrEx>
          <w:tblCellMar>
            <w:top w:w="0" w:type="dxa"/>
            <w:left w:w="108" w:type="dxa"/>
            <w:bottom w:w="0" w:type="dxa"/>
            <w:right w:w="108" w:type="dxa"/>
          </w:tblCellMar>
        </w:tblPrEx>
        <w:trPr>
          <w:trHeight w:val="454" w:hRule="atLeast"/>
        </w:trPr>
        <w:tc>
          <w:tcPr>
            <w:tcW w:w="1666" w:type="pct"/>
            <w:vMerge w:val="continue"/>
            <w:tcBorders>
              <w:top w:val="nil"/>
              <w:left w:val="single" w:color="auto" w:sz="4" w:space="0"/>
              <w:bottom w:val="single" w:color="auto" w:sz="4" w:space="0"/>
              <w:right w:val="single" w:color="auto" w:sz="4" w:space="0"/>
            </w:tcBorders>
            <w:vAlign w:val="center"/>
          </w:tcPr>
          <w:p>
            <w:pPr>
              <w:widowControl/>
              <w:spacing w:line="360" w:lineRule="auto"/>
              <w:ind w:firstLine="0" w:firstLineChars="0"/>
              <w:jc w:val="left"/>
              <w:rPr>
                <w:color w:val="000000"/>
                <w:kern w:val="0"/>
                <w:szCs w:val="21"/>
              </w:rPr>
            </w:pPr>
          </w:p>
        </w:tc>
        <w:tc>
          <w:tcPr>
            <w:tcW w:w="117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69.48</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6.88</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23.64</w:t>
            </w:r>
          </w:p>
        </w:tc>
      </w:tr>
      <w:tr>
        <w:tblPrEx>
          <w:tblCellMar>
            <w:top w:w="0" w:type="dxa"/>
            <w:left w:w="108" w:type="dxa"/>
            <w:bottom w:w="0" w:type="dxa"/>
            <w:right w:w="108" w:type="dxa"/>
          </w:tblCellMar>
        </w:tblPrEx>
        <w:trPr>
          <w:trHeight w:val="454" w:hRule="atLeast"/>
        </w:trPr>
        <w:tc>
          <w:tcPr>
            <w:tcW w:w="1666"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平均值</w:t>
            </w:r>
          </w:p>
        </w:tc>
        <w:tc>
          <w:tcPr>
            <w:tcW w:w="117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68.79</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7.17</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24.04</w:t>
            </w:r>
          </w:p>
        </w:tc>
      </w:tr>
      <w:tr>
        <w:tblPrEx>
          <w:tblCellMar>
            <w:top w:w="0" w:type="dxa"/>
            <w:left w:w="108" w:type="dxa"/>
            <w:bottom w:w="0" w:type="dxa"/>
            <w:right w:w="108" w:type="dxa"/>
          </w:tblCellMar>
        </w:tblPrEx>
        <w:trPr>
          <w:trHeight w:val="454" w:hRule="atLeast"/>
        </w:trPr>
        <w:tc>
          <w:tcPr>
            <w:tcW w:w="1666"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SD</w:t>
            </w:r>
          </w:p>
        </w:tc>
        <w:tc>
          <w:tcPr>
            <w:tcW w:w="117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0.55</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0.33</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0.27</w:t>
            </w:r>
          </w:p>
        </w:tc>
      </w:tr>
      <w:tr>
        <w:tblPrEx>
          <w:tblCellMar>
            <w:top w:w="0" w:type="dxa"/>
            <w:left w:w="108" w:type="dxa"/>
            <w:bottom w:w="0" w:type="dxa"/>
            <w:right w:w="108" w:type="dxa"/>
          </w:tblCellMar>
        </w:tblPrEx>
        <w:trPr>
          <w:trHeight w:val="454" w:hRule="atLeast"/>
        </w:trPr>
        <w:tc>
          <w:tcPr>
            <w:tcW w:w="1666"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RSD/%</w:t>
            </w:r>
          </w:p>
        </w:tc>
        <w:tc>
          <w:tcPr>
            <w:tcW w:w="117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0.79</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4.54</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1.12</w:t>
            </w:r>
          </w:p>
        </w:tc>
      </w:tr>
      <w:tr>
        <w:tblPrEx>
          <w:tblCellMar>
            <w:top w:w="0" w:type="dxa"/>
            <w:left w:w="108" w:type="dxa"/>
            <w:bottom w:w="0" w:type="dxa"/>
            <w:right w:w="108" w:type="dxa"/>
          </w:tblCellMar>
        </w:tblPrEx>
        <w:trPr>
          <w:trHeight w:val="454" w:hRule="atLeast"/>
        </w:trPr>
        <w:tc>
          <w:tcPr>
            <w:tcW w:w="1666"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3#</w:t>
            </w:r>
          </w:p>
        </w:tc>
        <w:tc>
          <w:tcPr>
            <w:tcW w:w="117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76.76</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3.47</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19.77</w:t>
            </w:r>
          </w:p>
        </w:tc>
      </w:tr>
      <w:tr>
        <w:tblPrEx>
          <w:tblCellMar>
            <w:top w:w="0" w:type="dxa"/>
            <w:left w:w="108" w:type="dxa"/>
            <w:bottom w:w="0" w:type="dxa"/>
            <w:right w:w="108" w:type="dxa"/>
          </w:tblCellMar>
        </w:tblPrEx>
        <w:trPr>
          <w:trHeight w:val="454" w:hRule="atLeast"/>
        </w:trPr>
        <w:tc>
          <w:tcPr>
            <w:tcW w:w="1666" w:type="pct"/>
            <w:vMerge w:val="continue"/>
            <w:tcBorders>
              <w:top w:val="nil"/>
              <w:left w:val="single" w:color="auto" w:sz="4" w:space="0"/>
              <w:bottom w:val="single" w:color="auto" w:sz="4" w:space="0"/>
              <w:right w:val="single" w:color="auto" w:sz="4" w:space="0"/>
            </w:tcBorders>
            <w:vAlign w:val="center"/>
          </w:tcPr>
          <w:p>
            <w:pPr>
              <w:widowControl/>
              <w:spacing w:line="360" w:lineRule="auto"/>
              <w:ind w:firstLine="0" w:firstLineChars="0"/>
              <w:jc w:val="left"/>
              <w:rPr>
                <w:color w:val="000000"/>
                <w:kern w:val="0"/>
                <w:szCs w:val="21"/>
              </w:rPr>
            </w:pPr>
          </w:p>
        </w:tc>
        <w:tc>
          <w:tcPr>
            <w:tcW w:w="117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76.37</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3.12</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20.51</w:t>
            </w:r>
          </w:p>
        </w:tc>
      </w:tr>
      <w:tr>
        <w:trPr>
          <w:trHeight w:val="454" w:hRule="atLeast"/>
        </w:trPr>
        <w:tc>
          <w:tcPr>
            <w:tcW w:w="1666" w:type="pct"/>
            <w:vMerge w:val="continue"/>
            <w:tcBorders>
              <w:top w:val="nil"/>
              <w:left w:val="single" w:color="auto" w:sz="4" w:space="0"/>
              <w:bottom w:val="single" w:color="auto" w:sz="4" w:space="0"/>
              <w:right w:val="single" w:color="auto" w:sz="4" w:space="0"/>
            </w:tcBorders>
            <w:vAlign w:val="center"/>
          </w:tcPr>
          <w:p>
            <w:pPr>
              <w:widowControl/>
              <w:spacing w:line="360" w:lineRule="auto"/>
              <w:ind w:firstLine="0" w:firstLineChars="0"/>
              <w:jc w:val="left"/>
              <w:rPr>
                <w:color w:val="000000"/>
                <w:kern w:val="0"/>
                <w:szCs w:val="21"/>
              </w:rPr>
            </w:pPr>
          </w:p>
        </w:tc>
        <w:tc>
          <w:tcPr>
            <w:tcW w:w="117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76.63</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3.00</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20.37</w:t>
            </w:r>
          </w:p>
        </w:tc>
      </w:tr>
      <w:tr>
        <w:tblPrEx>
          <w:tblCellMar>
            <w:top w:w="0" w:type="dxa"/>
            <w:left w:w="108" w:type="dxa"/>
            <w:bottom w:w="0" w:type="dxa"/>
            <w:right w:w="108" w:type="dxa"/>
          </w:tblCellMar>
        </w:tblPrEx>
        <w:trPr>
          <w:trHeight w:val="454" w:hRule="atLeast"/>
        </w:trPr>
        <w:tc>
          <w:tcPr>
            <w:tcW w:w="1666" w:type="pct"/>
            <w:vMerge w:val="continue"/>
            <w:tcBorders>
              <w:top w:val="nil"/>
              <w:left w:val="single" w:color="auto" w:sz="4" w:space="0"/>
              <w:bottom w:val="single" w:color="auto" w:sz="4" w:space="0"/>
              <w:right w:val="single" w:color="auto" w:sz="4" w:space="0"/>
            </w:tcBorders>
            <w:vAlign w:val="center"/>
          </w:tcPr>
          <w:p>
            <w:pPr>
              <w:widowControl/>
              <w:spacing w:line="360" w:lineRule="auto"/>
              <w:ind w:firstLine="0" w:firstLineChars="0"/>
              <w:jc w:val="left"/>
              <w:rPr>
                <w:color w:val="000000"/>
                <w:kern w:val="0"/>
                <w:szCs w:val="21"/>
              </w:rPr>
            </w:pPr>
          </w:p>
        </w:tc>
        <w:tc>
          <w:tcPr>
            <w:tcW w:w="117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76.5</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3.35</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20.15</w:t>
            </w:r>
          </w:p>
        </w:tc>
      </w:tr>
      <w:tr>
        <w:tblPrEx>
          <w:tblCellMar>
            <w:top w:w="0" w:type="dxa"/>
            <w:left w:w="108" w:type="dxa"/>
            <w:bottom w:w="0" w:type="dxa"/>
            <w:right w:w="108" w:type="dxa"/>
          </w:tblCellMar>
        </w:tblPrEx>
        <w:trPr>
          <w:trHeight w:val="454" w:hRule="atLeast"/>
        </w:trPr>
        <w:tc>
          <w:tcPr>
            <w:tcW w:w="1666"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平均值</w:t>
            </w:r>
          </w:p>
        </w:tc>
        <w:tc>
          <w:tcPr>
            <w:tcW w:w="117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76.57</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3.24</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20.20</w:t>
            </w:r>
          </w:p>
        </w:tc>
      </w:tr>
      <w:tr>
        <w:tblPrEx>
          <w:tblCellMar>
            <w:top w:w="0" w:type="dxa"/>
            <w:left w:w="108" w:type="dxa"/>
            <w:bottom w:w="0" w:type="dxa"/>
            <w:right w:w="108" w:type="dxa"/>
          </w:tblCellMar>
        </w:tblPrEx>
        <w:trPr>
          <w:trHeight w:val="454" w:hRule="atLeast"/>
        </w:trPr>
        <w:tc>
          <w:tcPr>
            <w:tcW w:w="1666"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SD</w:t>
            </w:r>
          </w:p>
        </w:tc>
        <w:tc>
          <w:tcPr>
            <w:tcW w:w="117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0.17</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0.21</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0.32</w:t>
            </w:r>
          </w:p>
        </w:tc>
      </w:tr>
      <w:tr>
        <w:tblPrEx>
          <w:tblCellMar>
            <w:top w:w="0" w:type="dxa"/>
            <w:left w:w="108" w:type="dxa"/>
            <w:bottom w:w="0" w:type="dxa"/>
            <w:right w:w="108" w:type="dxa"/>
          </w:tblCellMar>
        </w:tblPrEx>
        <w:trPr>
          <w:trHeight w:val="454" w:hRule="atLeast"/>
        </w:trPr>
        <w:tc>
          <w:tcPr>
            <w:tcW w:w="1666"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RSD/%</w:t>
            </w:r>
          </w:p>
        </w:tc>
        <w:tc>
          <w:tcPr>
            <w:tcW w:w="117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0.22</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6.60</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1.60</w:t>
            </w:r>
          </w:p>
        </w:tc>
      </w:tr>
      <w:tr>
        <w:tblPrEx>
          <w:tblCellMar>
            <w:top w:w="0" w:type="dxa"/>
            <w:left w:w="108" w:type="dxa"/>
            <w:bottom w:w="0" w:type="dxa"/>
            <w:right w:w="108" w:type="dxa"/>
          </w:tblCellMar>
        </w:tblPrEx>
        <w:trPr>
          <w:trHeight w:val="454" w:hRule="atLeast"/>
        </w:trPr>
        <w:tc>
          <w:tcPr>
            <w:tcW w:w="1666"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4#</w:t>
            </w:r>
          </w:p>
        </w:tc>
        <w:tc>
          <w:tcPr>
            <w:tcW w:w="117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80.40</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1.87</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17.73</w:t>
            </w:r>
          </w:p>
        </w:tc>
      </w:tr>
      <w:tr>
        <w:tblPrEx>
          <w:tblCellMar>
            <w:top w:w="0" w:type="dxa"/>
            <w:left w:w="108" w:type="dxa"/>
            <w:bottom w:w="0" w:type="dxa"/>
            <w:right w:w="108" w:type="dxa"/>
          </w:tblCellMar>
        </w:tblPrEx>
        <w:trPr>
          <w:trHeight w:val="454" w:hRule="atLeast"/>
        </w:trPr>
        <w:tc>
          <w:tcPr>
            <w:tcW w:w="1666" w:type="pct"/>
            <w:vMerge w:val="continue"/>
            <w:tcBorders>
              <w:top w:val="nil"/>
              <w:left w:val="single" w:color="auto" w:sz="4" w:space="0"/>
              <w:bottom w:val="single" w:color="auto" w:sz="4" w:space="0"/>
              <w:right w:val="single" w:color="auto" w:sz="4" w:space="0"/>
            </w:tcBorders>
            <w:vAlign w:val="center"/>
          </w:tcPr>
          <w:p>
            <w:pPr>
              <w:widowControl/>
              <w:spacing w:line="360" w:lineRule="auto"/>
              <w:ind w:firstLine="0" w:firstLineChars="0"/>
              <w:jc w:val="left"/>
              <w:rPr>
                <w:color w:val="000000"/>
                <w:kern w:val="0"/>
                <w:szCs w:val="21"/>
              </w:rPr>
            </w:pPr>
          </w:p>
        </w:tc>
        <w:tc>
          <w:tcPr>
            <w:tcW w:w="117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79.49</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1.73</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18.78</w:t>
            </w:r>
          </w:p>
        </w:tc>
      </w:tr>
      <w:tr>
        <w:tblPrEx>
          <w:tblCellMar>
            <w:top w:w="0" w:type="dxa"/>
            <w:left w:w="108" w:type="dxa"/>
            <w:bottom w:w="0" w:type="dxa"/>
            <w:right w:w="108" w:type="dxa"/>
          </w:tblCellMar>
        </w:tblPrEx>
        <w:trPr>
          <w:trHeight w:val="454" w:hRule="atLeast"/>
        </w:trPr>
        <w:tc>
          <w:tcPr>
            <w:tcW w:w="1666" w:type="pct"/>
            <w:vMerge w:val="continue"/>
            <w:tcBorders>
              <w:top w:val="nil"/>
              <w:left w:val="single" w:color="auto" w:sz="4" w:space="0"/>
              <w:bottom w:val="single" w:color="auto" w:sz="4" w:space="0"/>
              <w:right w:val="single" w:color="auto" w:sz="4" w:space="0"/>
            </w:tcBorders>
            <w:vAlign w:val="center"/>
          </w:tcPr>
          <w:p>
            <w:pPr>
              <w:widowControl/>
              <w:spacing w:line="360" w:lineRule="auto"/>
              <w:ind w:firstLine="0" w:firstLineChars="0"/>
              <w:jc w:val="left"/>
              <w:rPr>
                <w:color w:val="000000"/>
                <w:kern w:val="0"/>
                <w:szCs w:val="21"/>
              </w:rPr>
            </w:pPr>
          </w:p>
        </w:tc>
        <w:tc>
          <w:tcPr>
            <w:tcW w:w="117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80.14</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1.91</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17.95</w:t>
            </w:r>
          </w:p>
        </w:tc>
      </w:tr>
      <w:tr>
        <w:tblPrEx>
          <w:tblCellMar>
            <w:top w:w="0" w:type="dxa"/>
            <w:left w:w="108" w:type="dxa"/>
            <w:bottom w:w="0" w:type="dxa"/>
            <w:right w:w="108" w:type="dxa"/>
          </w:tblCellMar>
        </w:tblPrEx>
        <w:trPr>
          <w:trHeight w:val="454" w:hRule="atLeast"/>
        </w:trPr>
        <w:tc>
          <w:tcPr>
            <w:tcW w:w="1666" w:type="pct"/>
            <w:vMerge w:val="continue"/>
            <w:tcBorders>
              <w:top w:val="nil"/>
              <w:left w:val="single" w:color="auto" w:sz="4" w:space="0"/>
              <w:bottom w:val="single" w:color="auto" w:sz="4" w:space="0"/>
              <w:right w:val="single" w:color="auto" w:sz="4" w:space="0"/>
            </w:tcBorders>
            <w:vAlign w:val="center"/>
          </w:tcPr>
          <w:p>
            <w:pPr>
              <w:widowControl/>
              <w:spacing w:line="360" w:lineRule="auto"/>
              <w:ind w:firstLine="0" w:firstLineChars="0"/>
              <w:jc w:val="left"/>
              <w:rPr>
                <w:color w:val="000000"/>
                <w:kern w:val="0"/>
                <w:szCs w:val="21"/>
              </w:rPr>
            </w:pPr>
          </w:p>
        </w:tc>
        <w:tc>
          <w:tcPr>
            <w:tcW w:w="117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79.88</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1.76</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18.36</w:t>
            </w:r>
          </w:p>
        </w:tc>
      </w:tr>
      <w:tr>
        <w:tblPrEx>
          <w:tblCellMar>
            <w:top w:w="0" w:type="dxa"/>
            <w:left w:w="108" w:type="dxa"/>
            <w:bottom w:w="0" w:type="dxa"/>
            <w:right w:w="108" w:type="dxa"/>
          </w:tblCellMar>
        </w:tblPrEx>
        <w:trPr>
          <w:trHeight w:val="454" w:hRule="atLeast"/>
        </w:trPr>
        <w:tc>
          <w:tcPr>
            <w:tcW w:w="1666"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平均值</w:t>
            </w:r>
          </w:p>
        </w:tc>
        <w:tc>
          <w:tcPr>
            <w:tcW w:w="117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79.98</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1.82</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18.21</w:t>
            </w:r>
          </w:p>
        </w:tc>
      </w:tr>
      <w:tr>
        <w:trPr>
          <w:trHeight w:val="454" w:hRule="atLeast"/>
        </w:trPr>
        <w:tc>
          <w:tcPr>
            <w:tcW w:w="1666"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SD</w:t>
            </w:r>
          </w:p>
        </w:tc>
        <w:tc>
          <w:tcPr>
            <w:tcW w:w="117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0.39</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0.09</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0.46</w:t>
            </w:r>
          </w:p>
        </w:tc>
      </w:tr>
      <w:tr>
        <w:tblPrEx>
          <w:tblCellMar>
            <w:top w:w="0" w:type="dxa"/>
            <w:left w:w="108" w:type="dxa"/>
            <w:bottom w:w="0" w:type="dxa"/>
            <w:right w:w="108" w:type="dxa"/>
          </w:tblCellMar>
        </w:tblPrEx>
        <w:trPr>
          <w:trHeight w:val="454" w:hRule="atLeast"/>
        </w:trPr>
        <w:tc>
          <w:tcPr>
            <w:tcW w:w="1666"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RSD/%</w:t>
            </w:r>
          </w:p>
        </w:tc>
        <w:tc>
          <w:tcPr>
            <w:tcW w:w="117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0.49</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4.74</w:t>
            </w:r>
          </w:p>
        </w:tc>
        <w:tc>
          <w:tcPr>
            <w:tcW w:w="1081" w:type="pct"/>
            <w:tcBorders>
              <w:top w:val="nil"/>
              <w:left w:val="nil"/>
              <w:bottom w:val="single" w:color="auto" w:sz="4" w:space="0"/>
              <w:right w:val="single" w:color="auto" w:sz="4" w:space="0"/>
            </w:tcBorders>
            <w:shd w:val="clear" w:color="auto" w:fill="auto"/>
            <w:vAlign w:val="center"/>
          </w:tcPr>
          <w:p>
            <w:pPr>
              <w:widowControl/>
              <w:spacing w:line="360" w:lineRule="auto"/>
              <w:ind w:firstLine="0" w:firstLineChars="0"/>
              <w:jc w:val="center"/>
              <w:rPr>
                <w:color w:val="000000"/>
                <w:kern w:val="0"/>
                <w:szCs w:val="21"/>
              </w:rPr>
            </w:pPr>
            <w:r>
              <w:rPr>
                <w:color w:val="000000"/>
                <w:kern w:val="0"/>
                <w:szCs w:val="21"/>
              </w:rPr>
              <w:t>2.55</w:t>
            </w:r>
          </w:p>
        </w:tc>
      </w:tr>
    </w:tbl>
    <w:p>
      <w:pPr>
        <w:pStyle w:val="59"/>
        <w:numPr>
          <w:ilvl w:val="0"/>
          <w:numId w:val="8"/>
        </w:numPr>
        <w:ind w:left="1134" w:leftChars="0" w:hanging="1134" w:firstLineChars="0"/>
      </w:pPr>
      <w:r>
        <w:t>中国检验认证集团广东黄埔有限公司</w:t>
      </w:r>
    </w:p>
    <w:p>
      <w:pPr>
        <w:ind w:firstLine="0" w:firstLineChars="0"/>
        <w:jc w:val="center"/>
      </w:pPr>
      <w:r>
        <w:t>按照试验步骤测定1# ~4#样品中铜、氧化铜、氧化亚铜含量，精密度结果见表1</w:t>
      </w:r>
      <w:r>
        <w:rPr>
          <w:rFonts w:hint="eastAsia"/>
          <w:lang w:val="en-US" w:eastAsia="zh-CN"/>
        </w:rPr>
        <w:t>3</w:t>
      </w:r>
      <w:r>
        <w:t>。</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szCs w:val="21"/>
        </w:rPr>
      </w:pPr>
      <w:r>
        <w:rPr>
          <w:rFonts w:hint="eastAsia" w:ascii="黑体" w:hAnsi="黑体" w:eastAsia="黑体" w:cs="黑体"/>
          <w:szCs w:val="21"/>
        </w:rPr>
        <w:t>表1</w:t>
      </w:r>
      <w:r>
        <w:rPr>
          <w:rFonts w:hint="eastAsia" w:ascii="黑体" w:hAnsi="黑体" w:eastAsia="黑体" w:cs="黑体"/>
          <w:szCs w:val="21"/>
          <w:lang w:val="en-US" w:eastAsia="zh-CN"/>
        </w:rPr>
        <w:t>3</w:t>
      </w:r>
      <w:r>
        <w:rPr>
          <w:rFonts w:hint="eastAsia" w:ascii="黑体" w:hAnsi="黑体" w:eastAsia="黑体" w:cs="黑体"/>
          <w:szCs w:val="21"/>
        </w:rPr>
        <w:t xml:space="preserve"> 复合氧化铜粉中铜、氧化亚铜、氧化铜含量的精密度试验结果</w:t>
      </w:r>
    </w:p>
    <w:tbl>
      <w:tblPr>
        <w:tblStyle w:val="26"/>
        <w:tblpPr w:leftFromText="180" w:rightFromText="180" w:vertAnchor="page" w:horzAnchor="margin" w:tblpY="174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3"/>
        <w:gridCol w:w="1749"/>
        <w:gridCol w:w="1454"/>
        <w:gridCol w:w="1602"/>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b/>
                <w:kern w:val="0"/>
                <w:sz w:val="20"/>
                <w:szCs w:val="21"/>
              </w:rPr>
            </w:pPr>
            <w:r>
              <w:rPr>
                <w:kern w:val="0"/>
                <w:sz w:val="20"/>
                <w:szCs w:val="21"/>
              </w:rPr>
              <w:t>样品编号</w:t>
            </w:r>
          </w:p>
        </w:tc>
        <w:tc>
          <w:tcPr>
            <w:tcW w:w="102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bCs/>
                <w:kern w:val="0"/>
                <w:sz w:val="20"/>
                <w:szCs w:val="21"/>
              </w:rPr>
              <w:t>Cu(wt%)</w:t>
            </w:r>
          </w:p>
        </w:tc>
        <w:tc>
          <w:tcPr>
            <w:tcW w:w="853"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bCs/>
                <w:kern w:val="0"/>
                <w:sz w:val="20"/>
                <w:szCs w:val="21"/>
              </w:rPr>
            </w:pPr>
            <w:r>
              <w:rPr>
                <w:bCs/>
                <w:kern w:val="0"/>
                <w:sz w:val="20"/>
                <w:szCs w:val="21"/>
              </w:rPr>
              <w:t>Cu</w:t>
            </w:r>
            <w:r>
              <w:rPr>
                <w:bCs/>
                <w:kern w:val="0"/>
                <w:sz w:val="20"/>
                <w:szCs w:val="21"/>
                <w:vertAlign w:val="subscript"/>
              </w:rPr>
              <w:t>2</w:t>
            </w:r>
            <w:r>
              <w:rPr>
                <w:bCs/>
                <w:kern w:val="0"/>
                <w:sz w:val="20"/>
                <w:szCs w:val="21"/>
              </w:rPr>
              <w:t>O(wt%)</w:t>
            </w:r>
          </w:p>
        </w:tc>
        <w:tc>
          <w:tcPr>
            <w:tcW w:w="940"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bCs/>
                <w:kern w:val="0"/>
                <w:sz w:val="20"/>
                <w:szCs w:val="21"/>
              </w:rPr>
              <w:t>CuO(wt%)</w:t>
            </w:r>
          </w:p>
        </w:tc>
        <w:tc>
          <w:tcPr>
            <w:tcW w:w="988"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含氧量（wt%）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1#-1</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0.43</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55.22</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44.35</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1#-2</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0.48</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55.32</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44.20</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1#-3</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0.48</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56.09</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43.43</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1#-平均值</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0.46</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55.54</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43.99</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1#-标准偏差/%</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0.029</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0.48</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0.49</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1#-RSD/%</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6.23</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0.86</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1.12</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2#-1</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rPr>
              <w:t>3.61</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rPr>
              <w:t>72.10</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rPr>
              <w:t>24.29</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2#-2</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4.30</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72.82</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22.88</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2#-3</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4.72</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71.91</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23.37</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2#-平均值</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4.21</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72.28</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23.51</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2#-标准偏差/%</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0.56</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0.48</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0.72</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2#-RSD/%</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13.31</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0.66</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3.04</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3#-1</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1.32</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78.35</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20.33</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3#-2</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1.65</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77.50</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20.85</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3#-3</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1.38</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77.52</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21.10</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3#-平均值</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1.45</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77.79</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20.76</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3#-标准偏差/%</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0.18</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0.49</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0.40</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3#-RSD/%</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12.12</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0.63</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1.90</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4#-1</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0.74</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77.43</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21.83</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4#-2</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0.73</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77.95</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21.52</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4#-3</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0.80</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77.52</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21.68</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4#-平均值</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0.69</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77.63</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21.68</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13.04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4#-标准偏差/%</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0.14</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0.28</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0.16</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3" w:type="pct"/>
            <w:vAlign w:val="center"/>
          </w:tcPr>
          <w:p>
            <w:pPr>
              <w:keepNext w:val="0"/>
              <w:keepLines w:val="0"/>
              <w:pageBreakBefore w:val="0"/>
              <w:widowControl/>
              <w:tabs>
                <w:tab w:val="left" w:pos="8789"/>
              </w:tabs>
              <w:kinsoku/>
              <w:wordWrap/>
              <w:overflowPunct/>
              <w:topLinePunct w:val="0"/>
              <w:autoSpaceDE/>
              <w:autoSpaceDN/>
              <w:bidi w:val="0"/>
              <w:adjustRightInd/>
              <w:snapToGrid/>
              <w:spacing w:line="240" w:lineRule="auto"/>
              <w:ind w:firstLine="0" w:firstLineChars="0"/>
              <w:jc w:val="center"/>
              <w:textAlignment w:val="auto"/>
              <w:rPr>
                <w:kern w:val="0"/>
                <w:sz w:val="20"/>
                <w:szCs w:val="21"/>
              </w:rPr>
            </w:pPr>
            <w:r>
              <w:rPr>
                <w:kern w:val="0"/>
                <w:sz w:val="20"/>
                <w:szCs w:val="21"/>
              </w:rPr>
              <w:t>4#-RSD/%</w:t>
            </w:r>
          </w:p>
        </w:tc>
        <w:tc>
          <w:tcPr>
            <w:tcW w:w="1026"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2.55</w:t>
            </w:r>
          </w:p>
        </w:tc>
        <w:tc>
          <w:tcPr>
            <w:tcW w:w="853"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0.36</w:t>
            </w:r>
          </w:p>
        </w:tc>
        <w:tc>
          <w:tcPr>
            <w:tcW w:w="940"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0.72</w:t>
            </w:r>
          </w:p>
        </w:tc>
        <w:tc>
          <w:tcPr>
            <w:tcW w:w="988" w:type="pct"/>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kern w:val="0"/>
                <w:sz w:val="20"/>
              </w:rPr>
            </w:pPr>
            <w:r>
              <w:rPr>
                <w:kern w:val="0"/>
                <w:sz w:val="20"/>
              </w:rPr>
              <w:t>0.077</w:t>
            </w:r>
          </w:p>
        </w:tc>
      </w:tr>
    </w:tbl>
    <w:p>
      <w:pPr>
        <w:pStyle w:val="59"/>
        <w:numPr>
          <w:ilvl w:val="0"/>
          <w:numId w:val="8"/>
        </w:numPr>
        <w:ind w:left="1134" w:leftChars="0" w:hanging="1134" w:firstLineChars="0"/>
      </w:pPr>
      <w:r>
        <w:t>紫金矿业集团股份有限公司</w:t>
      </w:r>
    </w:p>
    <w:p>
      <w:pPr>
        <w:ind w:left="420" w:firstLine="0" w:firstLineChars="0"/>
      </w:pPr>
      <w:r>
        <w:t>按照试验步骤测定1# ~4#样品中铜、氧化铜、氧化亚铜含量，精密度结果见表1</w:t>
      </w:r>
      <w:r>
        <w:rPr>
          <w:rFonts w:hint="eastAsia"/>
          <w:lang w:val="en-US" w:eastAsia="zh-CN"/>
        </w:rPr>
        <w:t>4</w:t>
      </w:r>
      <w:r>
        <w:t>。</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szCs w:val="21"/>
        </w:rPr>
      </w:pPr>
      <w:r>
        <w:rPr>
          <w:rFonts w:hint="eastAsia" w:ascii="黑体" w:hAnsi="黑体" w:eastAsia="黑体" w:cs="黑体"/>
          <w:szCs w:val="21"/>
        </w:rPr>
        <w:t>表1</w:t>
      </w:r>
      <w:r>
        <w:rPr>
          <w:rFonts w:hint="eastAsia" w:ascii="黑体" w:hAnsi="黑体" w:eastAsia="黑体" w:cs="黑体"/>
          <w:szCs w:val="21"/>
          <w:lang w:val="en-US" w:eastAsia="zh-CN"/>
        </w:rPr>
        <w:t>4</w:t>
      </w:r>
      <w:r>
        <w:rPr>
          <w:rFonts w:hint="eastAsia" w:ascii="黑体" w:hAnsi="黑体" w:eastAsia="黑体" w:cs="黑体"/>
          <w:szCs w:val="21"/>
        </w:rPr>
        <w:t xml:space="preserve"> 复合氧化铜粉中铜、氧化亚铜、氧化铜含量的精密度试验结果</w:t>
      </w:r>
    </w:p>
    <w:tbl>
      <w:tblPr>
        <w:tblStyle w:val="25"/>
        <w:tblW w:w="5000" w:type="pct"/>
        <w:tblInd w:w="0" w:type="dxa"/>
        <w:tblLayout w:type="autofit"/>
        <w:tblCellMar>
          <w:top w:w="0" w:type="dxa"/>
          <w:left w:w="108" w:type="dxa"/>
          <w:bottom w:w="0" w:type="dxa"/>
          <w:right w:w="108" w:type="dxa"/>
        </w:tblCellMar>
      </w:tblPr>
      <w:tblGrid>
        <w:gridCol w:w="2136"/>
        <w:gridCol w:w="1805"/>
        <w:gridCol w:w="1452"/>
        <w:gridCol w:w="1687"/>
        <w:gridCol w:w="1442"/>
      </w:tblGrid>
      <w:tr>
        <w:tblPrEx>
          <w:tblCellMar>
            <w:top w:w="0" w:type="dxa"/>
            <w:left w:w="108" w:type="dxa"/>
            <w:bottom w:w="0" w:type="dxa"/>
            <w:right w:w="108" w:type="dxa"/>
          </w:tblCellMar>
        </w:tblPrEx>
        <w:trPr>
          <w:trHeight w:val="454" w:hRule="atLeast"/>
        </w:trPr>
        <w:tc>
          <w:tcPr>
            <w:tcW w:w="1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样品编号</w:t>
            </w:r>
          </w:p>
        </w:tc>
        <w:tc>
          <w:tcPr>
            <w:tcW w:w="10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Cu（wt%）</w:t>
            </w:r>
          </w:p>
        </w:tc>
        <w:tc>
          <w:tcPr>
            <w:tcW w:w="85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Cu</w:t>
            </w:r>
            <w:r>
              <w:rPr>
                <w:rStyle w:val="125"/>
                <w:rFonts w:hint="default" w:ascii="Times New Roman" w:hAnsi="Times New Roman" w:cs="Times New Roman"/>
                <w:sz w:val="18"/>
                <w:szCs w:val="18"/>
                <w:lang w:bidi="ar"/>
              </w:rPr>
              <w:t>2</w:t>
            </w:r>
            <w:r>
              <w:rPr>
                <w:rStyle w:val="125"/>
                <w:rFonts w:hint="default" w:ascii="Times New Roman" w:hAnsi="Times New Roman" w:cs="Times New Roman"/>
                <w:sz w:val="18"/>
                <w:szCs w:val="18"/>
                <w:vertAlign w:val="baseline"/>
                <w:lang w:val="en-US" w:eastAsia="zh-CN" w:bidi="ar"/>
              </w:rPr>
              <w:t>O</w:t>
            </w:r>
            <w:r>
              <w:rPr>
                <w:rStyle w:val="126"/>
                <w:rFonts w:hint="default" w:ascii="Times New Roman" w:hAnsi="Times New Roman" w:cs="Times New Roman"/>
                <w:sz w:val="18"/>
                <w:szCs w:val="18"/>
                <w:lang w:bidi="ar"/>
              </w:rPr>
              <w:t>（wt%）</w:t>
            </w:r>
          </w:p>
        </w:tc>
        <w:tc>
          <w:tcPr>
            <w:tcW w:w="99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CuO（wt%）</w:t>
            </w:r>
          </w:p>
        </w:tc>
        <w:tc>
          <w:tcPr>
            <w:tcW w:w="84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含氧量（wt%）</w:t>
            </w:r>
          </w:p>
        </w:tc>
      </w:tr>
      <w:tr>
        <w:tblPrEx>
          <w:tblCellMar>
            <w:top w:w="0" w:type="dxa"/>
            <w:left w:w="108" w:type="dxa"/>
            <w:bottom w:w="0" w:type="dxa"/>
            <w:right w:w="108" w:type="dxa"/>
          </w:tblCellMar>
        </w:tblPrEx>
        <w:trPr>
          <w:trHeight w:val="454" w:hRule="atLeast"/>
        </w:trPr>
        <w:tc>
          <w:tcPr>
            <w:tcW w:w="1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1#-1</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2.31</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58.24</w:t>
            </w:r>
          </w:p>
        </w:tc>
        <w:tc>
          <w:tcPr>
            <w:tcW w:w="9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39.45</w:t>
            </w:r>
          </w:p>
        </w:tc>
        <w:tc>
          <w:tcPr>
            <w:tcW w:w="8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14.40</w:t>
            </w:r>
          </w:p>
        </w:tc>
      </w:tr>
      <w:tr>
        <w:tblPrEx>
          <w:tblCellMar>
            <w:top w:w="0" w:type="dxa"/>
            <w:left w:w="108" w:type="dxa"/>
            <w:bottom w:w="0" w:type="dxa"/>
            <w:right w:w="108" w:type="dxa"/>
          </w:tblCellMar>
        </w:tblPrEx>
        <w:trPr>
          <w:trHeight w:val="454" w:hRule="atLeast"/>
        </w:trPr>
        <w:tc>
          <w:tcPr>
            <w:tcW w:w="1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1#-2</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2.26</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58.30</w:t>
            </w:r>
          </w:p>
        </w:tc>
        <w:tc>
          <w:tcPr>
            <w:tcW w:w="9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39.44</w:t>
            </w:r>
          </w:p>
        </w:tc>
        <w:tc>
          <w:tcPr>
            <w:tcW w:w="8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14.41</w:t>
            </w:r>
          </w:p>
        </w:tc>
      </w:tr>
      <w:tr>
        <w:tblPrEx>
          <w:tblCellMar>
            <w:top w:w="0" w:type="dxa"/>
            <w:left w:w="108" w:type="dxa"/>
            <w:bottom w:w="0" w:type="dxa"/>
            <w:right w:w="108" w:type="dxa"/>
          </w:tblCellMar>
        </w:tblPrEx>
        <w:trPr>
          <w:trHeight w:val="454" w:hRule="atLeast"/>
        </w:trPr>
        <w:tc>
          <w:tcPr>
            <w:tcW w:w="1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1#-3</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2.22</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58.26</w:t>
            </w:r>
          </w:p>
        </w:tc>
        <w:tc>
          <w:tcPr>
            <w:tcW w:w="9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39.52</w:t>
            </w:r>
          </w:p>
        </w:tc>
        <w:tc>
          <w:tcPr>
            <w:tcW w:w="8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14.42</w:t>
            </w:r>
          </w:p>
        </w:tc>
      </w:tr>
      <w:tr>
        <w:tblPrEx>
          <w:tblCellMar>
            <w:top w:w="0" w:type="dxa"/>
            <w:left w:w="108" w:type="dxa"/>
            <w:bottom w:w="0" w:type="dxa"/>
            <w:right w:w="108" w:type="dxa"/>
          </w:tblCellMar>
        </w:tblPrEx>
        <w:trPr>
          <w:trHeight w:val="454" w:hRule="atLeast"/>
        </w:trPr>
        <w:tc>
          <w:tcPr>
            <w:tcW w:w="1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1#-平均值</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2.26</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58.27</w:t>
            </w:r>
          </w:p>
        </w:tc>
        <w:tc>
          <w:tcPr>
            <w:tcW w:w="9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39.47</w:t>
            </w:r>
          </w:p>
        </w:tc>
        <w:tc>
          <w:tcPr>
            <w:tcW w:w="8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14.41</w:t>
            </w:r>
          </w:p>
        </w:tc>
      </w:tr>
      <w:tr>
        <w:tblPrEx>
          <w:tblCellMar>
            <w:top w:w="0" w:type="dxa"/>
            <w:left w:w="108" w:type="dxa"/>
            <w:bottom w:w="0" w:type="dxa"/>
            <w:right w:w="108" w:type="dxa"/>
          </w:tblCellMar>
        </w:tblPrEx>
        <w:trPr>
          <w:trHeight w:val="454" w:hRule="atLeast"/>
        </w:trPr>
        <w:tc>
          <w:tcPr>
            <w:tcW w:w="1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1#-标准偏差/%</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0.05</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0.03</w:t>
            </w:r>
          </w:p>
        </w:tc>
        <w:tc>
          <w:tcPr>
            <w:tcW w:w="9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0.04</w:t>
            </w:r>
          </w:p>
        </w:tc>
        <w:tc>
          <w:tcPr>
            <w:tcW w:w="8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0.01</w:t>
            </w:r>
          </w:p>
        </w:tc>
      </w:tr>
      <w:tr>
        <w:tblPrEx>
          <w:tblCellMar>
            <w:top w:w="0" w:type="dxa"/>
            <w:left w:w="108" w:type="dxa"/>
            <w:bottom w:w="0" w:type="dxa"/>
            <w:right w:w="108" w:type="dxa"/>
          </w:tblCellMar>
        </w:tblPrEx>
        <w:trPr>
          <w:trHeight w:val="454" w:hRule="atLeast"/>
        </w:trPr>
        <w:tc>
          <w:tcPr>
            <w:tcW w:w="1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1#-RSD/%</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1.99</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0.05</w:t>
            </w:r>
          </w:p>
        </w:tc>
        <w:tc>
          <w:tcPr>
            <w:tcW w:w="9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0.11</w:t>
            </w:r>
          </w:p>
        </w:tc>
        <w:tc>
          <w:tcPr>
            <w:tcW w:w="8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0.06</w:t>
            </w:r>
          </w:p>
        </w:tc>
      </w:tr>
      <w:tr>
        <w:tblPrEx>
          <w:tblCellMar>
            <w:top w:w="0" w:type="dxa"/>
            <w:left w:w="108" w:type="dxa"/>
            <w:bottom w:w="0" w:type="dxa"/>
            <w:right w:w="108" w:type="dxa"/>
          </w:tblCellMar>
        </w:tblPrEx>
        <w:trPr>
          <w:trHeight w:val="454" w:hRule="atLeast"/>
        </w:trPr>
        <w:tc>
          <w:tcPr>
            <w:tcW w:w="1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2#-1</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8.45</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68.45</w:t>
            </w:r>
          </w:p>
        </w:tc>
        <w:tc>
          <w:tcPr>
            <w:tcW w:w="9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23.10</w:t>
            </w:r>
          </w:p>
        </w:tc>
        <w:tc>
          <w:tcPr>
            <w:tcW w:w="8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12.27</w:t>
            </w:r>
          </w:p>
        </w:tc>
      </w:tr>
      <w:tr>
        <w:tblPrEx>
          <w:tblCellMar>
            <w:top w:w="0" w:type="dxa"/>
            <w:left w:w="108" w:type="dxa"/>
            <w:bottom w:w="0" w:type="dxa"/>
            <w:right w:w="108" w:type="dxa"/>
          </w:tblCellMar>
        </w:tblPrEx>
        <w:trPr>
          <w:trHeight w:val="454" w:hRule="atLeast"/>
        </w:trPr>
        <w:tc>
          <w:tcPr>
            <w:tcW w:w="1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2#-2</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8.50</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68.72</w:t>
            </w:r>
          </w:p>
        </w:tc>
        <w:tc>
          <w:tcPr>
            <w:tcW w:w="9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22.78</w:t>
            </w:r>
          </w:p>
        </w:tc>
        <w:tc>
          <w:tcPr>
            <w:tcW w:w="8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12.24</w:t>
            </w:r>
          </w:p>
        </w:tc>
      </w:tr>
      <w:tr>
        <w:tblPrEx>
          <w:tblCellMar>
            <w:top w:w="0" w:type="dxa"/>
            <w:left w:w="108" w:type="dxa"/>
            <w:bottom w:w="0" w:type="dxa"/>
            <w:right w:w="108" w:type="dxa"/>
          </w:tblCellMar>
        </w:tblPrEx>
        <w:trPr>
          <w:trHeight w:val="454" w:hRule="atLeast"/>
        </w:trPr>
        <w:tc>
          <w:tcPr>
            <w:tcW w:w="1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2#-3</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8.64</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68.74</w:t>
            </w:r>
          </w:p>
        </w:tc>
        <w:tc>
          <w:tcPr>
            <w:tcW w:w="9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22.62</w:t>
            </w:r>
          </w:p>
        </w:tc>
        <w:tc>
          <w:tcPr>
            <w:tcW w:w="8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12.21</w:t>
            </w:r>
          </w:p>
        </w:tc>
      </w:tr>
      <w:tr>
        <w:tblPrEx>
          <w:tblCellMar>
            <w:top w:w="0" w:type="dxa"/>
            <w:left w:w="108" w:type="dxa"/>
            <w:bottom w:w="0" w:type="dxa"/>
            <w:right w:w="108" w:type="dxa"/>
          </w:tblCellMar>
        </w:tblPrEx>
        <w:trPr>
          <w:trHeight w:val="454" w:hRule="atLeast"/>
        </w:trPr>
        <w:tc>
          <w:tcPr>
            <w:tcW w:w="1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sz w:val="18"/>
                <w:szCs w:val="18"/>
              </w:rPr>
              <w:t>2#-平均值</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8.53</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68.64</w:t>
            </w:r>
          </w:p>
        </w:tc>
        <w:tc>
          <w:tcPr>
            <w:tcW w:w="9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22.83</w:t>
            </w:r>
          </w:p>
        </w:tc>
        <w:tc>
          <w:tcPr>
            <w:tcW w:w="8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12.24</w:t>
            </w:r>
          </w:p>
        </w:tc>
      </w:tr>
      <w:tr>
        <w:tblPrEx>
          <w:tblCellMar>
            <w:top w:w="0" w:type="dxa"/>
            <w:left w:w="108" w:type="dxa"/>
            <w:bottom w:w="0" w:type="dxa"/>
            <w:right w:w="108" w:type="dxa"/>
          </w:tblCellMar>
        </w:tblPrEx>
        <w:trPr>
          <w:trHeight w:val="454" w:hRule="atLeast"/>
        </w:trPr>
        <w:tc>
          <w:tcPr>
            <w:tcW w:w="1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sz w:val="18"/>
                <w:szCs w:val="18"/>
              </w:rPr>
              <w:t>2#-标准偏差/%</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0.10</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0.16</w:t>
            </w:r>
          </w:p>
        </w:tc>
        <w:tc>
          <w:tcPr>
            <w:tcW w:w="9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0.24</w:t>
            </w:r>
          </w:p>
        </w:tc>
        <w:tc>
          <w:tcPr>
            <w:tcW w:w="8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0.03</w:t>
            </w:r>
          </w:p>
        </w:tc>
      </w:tr>
      <w:tr>
        <w:tblPrEx>
          <w:tblCellMar>
            <w:top w:w="0" w:type="dxa"/>
            <w:left w:w="108" w:type="dxa"/>
            <w:bottom w:w="0" w:type="dxa"/>
            <w:right w:w="108" w:type="dxa"/>
          </w:tblCellMar>
        </w:tblPrEx>
        <w:trPr>
          <w:trHeight w:val="454" w:hRule="atLeast"/>
        </w:trPr>
        <w:tc>
          <w:tcPr>
            <w:tcW w:w="1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sz w:val="18"/>
                <w:szCs w:val="18"/>
              </w:rPr>
              <w:t>2#-RSD/%</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1.15</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0.24</w:t>
            </w:r>
          </w:p>
        </w:tc>
        <w:tc>
          <w:tcPr>
            <w:tcW w:w="9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1.07</w:t>
            </w:r>
          </w:p>
        </w:tc>
        <w:tc>
          <w:tcPr>
            <w:tcW w:w="8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0.26</w:t>
            </w:r>
          </w:p>
        </w:tc>
      </w:tr>
      <w:tr>
        <w:tblPrEx>
          <w:tblCellMar>
            <w:top w:w="0" w:type="dxa"/>
            <w:left w:w="108" w:type="dxa"/>
            <w:bottom w:w="0" w:type="dxa"/>
            <w:right w:w="108" w:type="dxa"/>
          </w:tblCellMar>
        </w:tblPrEx>
        <w:trPr>
          <w:trHeight w:val="454" w:hRule="atLeast"/>
        </w:trPr>
        <w:tc>
          <w:tcPr>
            <w:tcW w:w="1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sz w:val="18"/>
                <w:szCs w:val="18"/>
              </w:rPr>
              <w:t>3#-1</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5.95</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75.74</w:t>
            </w:r>
          </w:p>
        </w:tc>
        <w:tc>
          <w:tcPr>
            <w:tcW w:w="9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18.31</w:t>
            </w:r>
          </w:p>
        </w:tc>
        <w:tc>
          <w:tcPr>
            <w:tcW w:w="8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12.13</w:t>
            </w:r>
          </w:p>
        </w:tc>
      </w:tr>
      <w:tr>
        <w:tblPrEx>
          <w:tblCellMar>
            <w:top w:w="0" w:type="dxa"/>
            <w:left w:w="108" w:type="dxa"/>
            <w:bottom w:w="0" w:type="dxa"/>
            <w:right w:w="108" w:type="dxa"/>
          </w:tblCellMar>
        </w:tblPrEx>
        <w:trPr>
          <w:trHeight w:val="454" w:hRule="atLeast"/>
        </w:trPr>
        <w:tc>
          <w:tcPr>
            <w:tcW w:w="1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sz w:val="18"/>
                <w:szCs w:val="18"/>
              </w:rPr>
              <w:t>3#-2</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5.89</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75.88</w:t>
            </w:r>
          </w:p>
        </w:tc>
        <w:tc>
          <w:tcPr>
            <w:tcW w:w="9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18.23</w:t>
            </w:r>
          </w:p>
        </w:tc>
        <w:tc>
          <w:tcPr>
            <w:tcW w:w="8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12.13</w:t>
            </w:r>
          </w:p>
        </w:tc>
      </w:tr>
      <w:tr>
        <w:tblPrEx>
          <w:tblCellMar>
            <w:top w:w="0" w:type="dxa"/>
            <w:left w:w="108" w:type="dxa"/>
            <w:bottom w:w="0" w:type="dxa"/>
            <w:right w:w="108" w:type="dxa"/>
          </w:tblCellMar>
        </w:tblPrEx>
        <w:trPr>
          <w:trHeight w:val="454" w:hRule="atLeast"/>
        </w:trPr>
        <w:tc>
          <w:tcPr>
            <w:tcW w:w="1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sz w:val="18"/>
                <w:szCs w:val="18"/>
              </w:rPr>
              <w:t>3#-3</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5.92</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75.78</w:t>
            </w:r>
          </w:p>
        </w:tc>
        <w:tc>
          <w:tcPr>
            <w:tcW w:w="9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18.30</w:t>
            </w:r>
          </w:p>
        </w:tc>
        <w:tc>
          <w:tcPr>
            <w:tcW w:w="8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12.13</w:t>
            </w:r>
          </w:p>
        </w:tc>
      </w:tr>
      <w:tr>
        <w:tblPrEx>
          <w:tblCellMar>
            <w:top w:w="0" w:type="dxa"/>
            <w:left w:w="108" w:type="dxa"/>
            <w:bottom w:w="0" w:type="dxa"/>
            <w:right w:w="108" w:type="dxa"/>
          </w:tblCellMar>
        </w:tblPrEx>
        <w:trPr>
          <w:trHeight w:val="454" w:hRule="atLeast"/>
        </w:trPr>
        <w:tc>
          <w:tcPr>
            <w:tcW w:w="1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sz w:val="18"/>
                <w:szCs w:val="18"/>
              </w:rPr>
              <w:t>3#-平均值</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5.92</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75.80</w:t>
            </w:r>
          </w:p>
        </w:tc>
        <w:tc>
          <w:tcPr>
            <w:tcW w:w="9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18.28</w:t>
            </w:r>
          </w:p>
        </w:tc>
        <w:tc>
          <w:tcPr>
            <w:tcW w:w="8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12.13</w:t>
            </w:r>
          </w:p>
        </w:tc>
      </w:tr>
      <w:tr>
        <w:tblPrEx>
          <w:tblCellMar>
            <w:top w:w="0" w:type="dxa"/>
            <w:left w:w="108" w:type="dxa"/>
            <w:bottom w:w="0" w:type="dxa"/>
            <w:right w:w="108" w:type="dxa"/>
          </w:tblCellMar>
        </w:tblPrEx>
        <w:trPr>
          <w:trHeight w:val="454" w:hRule="atLeast"/>
        </w:trPr>
        <w:tc>
          <w:tcPr>
            <w:tcW w:w="1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sz w:val="18"/>
                <w:szCs w:val="18"/>
              </w:rPr>
              <w:t>3#-标准偏差/%</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0.03</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0.07</w:t>
            </w:r>
          </w:p>
        </w:tc>
        <w:tc>
          <w:tcPr>
            <w:tcW w:w="9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0.04</w:t>
            </w:r>
          </w:p>
        </w:tc>
        <w:tc>
          <w:tcPr>
            <w:tcW w:w="8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0.00</w:t>
            </w:r>
          </w:p>
        </w:tc>
      </w:tr>
      <w:tr>
        <w:tblPrEx>
          <w:tblCellMar>
            <w:top w:w="0" w:type="dxa"/>
            <w:left w:w="108" w:type="dxa"/>
            <w:bottom w:w="0" w:type="dxa"/>
            <w:right w:w="108" w:type="dxa"/>
          </w:tblCellMar>
        </w:tblPrEx>
        <w:trPr>
          <w:trHeight w:val="454" w:hRule="atLeast"/>
        </w:trPr>
        <w:tc>
          <w:tcPr>
            <w:tcW w:w="1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sz w:val="18"/>
                <w:szCs w:val="18"/>
              </w:rPr>
              <w:t>3#-RSD/%</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0.51</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0.10</w:t>
            </w:r>
          </w:p>
        </w:tc>
        <w:tc>
          <w:tcPr>
            <w:tcW w:w="9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0.24</w:t>
            </w:r>
          </w:p>
        </w:tc>
        <w:tc>
          <w:tcPr>
            <w:tcW w:w="8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0.01</w:t>
            </w:r>
          </w:p>
        </w:tc>
      </w:tr>
      <w:tr>
        <w:tblPrEx>
          <w:tblCellMar>
            <w:top w:w="0" w:type="dxa"/>
            <w:left w:w="108" w:type="dxa"/>
            <w:bottom w:w="0" w:type="dxa"/>
            <w:right w:w="108" w:type="dxa"/>
          </w:tblCellMar>
        </w:tblPrEx>
        <w:trPr>
          <w:trHeight w:val="454" w:hRule="atLeast"/>
        </w:trPr>
        <w:tc>
          <w:tcPr>
            <w:tcW w:w="1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sz w:val="18"/>
                <w:szCs w:val="18"/>
              </w:rPr>
              <w:t>4#-1</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4.10</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80.62</w:t>
            </w:r>
          </w:p>
        </w:tc>
        <w:tc>
          <w:tcPr>
            <w:tcW w:w="9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15.28</w:t>
            </w:r>
          </w:p>
        </w:tc>
        <w:tc>
          <w:tcPr>
            <w:tcW w:w="8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12.07</w:t>
            </w:r>
          </w:p>
        </w:tc>
      </w:tr>
      <w:tr>
        <w:tblPrEx>
          <w:tblCellMar>
            <w:top w:w="0" w:type="dxa"/>
            <w:left w:w="108" w:type="dxa"/>
            <w:bottom w:w="0" w:type="dxa"/>
            <w:right w:w="108" w:type="dxa"/>
          </w:tblCellMar>
        </w:tblPrEx>
        <w:trPr>
          <w:trHeight w:val="454" w:hRule="atLeast"/>
        </w:trPr>
        <w:tc>
          <w:tcPr>
            <w:tcW w:w="1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sz w:val="18"/>
                <w:szCs w:val="18"/>
              </w:rPr>
              <w:t>4#-2</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3.98</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80.44</w:t>
            </w:r>
          </w:p>
        </w:tc>
        <w:tc>
          <w:tcPr>
            <w:tcW w:w="9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15.58</w:t>
            </w:r>
          </w:p>
        </w:tc>
        <w:tc>
          <w:tcPr>
            <w:tcW w:w="8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12.11</w:t>
            </w:r>
          </w:p>
        </w:tc>
      </w:tr>
      <w:tr>
        <w:tblPrEx>
          <w:tblCellMar>
            <w:top w:w="0" w:type="dxa"/>
            <w:left w:w="108" w:type="dxa"/>
            <w:bottom w:w="0" w:type="dxa"/>
            <w:right w:w="108" w:type="dxa"/>
          </w:tblCellMar>
        </w:tblPrEx>
        <w:trPr>
          <w:trHeight w:val="454" w:hRule="atLeast"/>
        </w:trPr>
        <w:tc>
          <w:tcPr>
            <w:tcW w:w="1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sz w:val="18"/>
                <w:szCs w:val="18"/>
              </w:rPr>
              <w:t>4#-3</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4.01</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80.72</w:t>
            </w:r>
          </w:p>
        </w:tc>
        <w:tc>
          <w:tcPr>
            <w:tcW w:w="9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15.27</w:t>
            </w:r>
          </w:p>
        </w:tc>
        <w:tc>
          <w:tcPr>
            <w:tcW w:w="8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12.08</w:t>
            </w:r>
          </w:p>
        </w:tc>
      </w:tr>
      <w:tr>
        <w:tblPrEx>
          <w:tblCellMar>
            <w:top w:w="0" w:type="dxa"/>
            <w:left w:w="108" w:type="dxa"/>
            <w:bottom w:w="0" w:type="dxa"/>
            <w:right w:w="108" w:type="dxa"/>
          </w:tblCellMar>
        </w:tblPrEx>
        <w:trPr>
          <w:trHeight w:val="454" w:hRule="atLeast"/>
        </w:trPr>
        <w:tc>
          <w:tcPr>
            <w:tcW w:w="1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sz w:val="18"/>
                <w:szCs w:val="18"/>
              </w:rPr>
              <w:t>4#-平均值</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4.03</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80.59</w:t>
            </w:r>
          </w:p>
        </w:tc>
        <w:tc>
          <w:tcPr>
            <w:tcW w:w="9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15.38</w:t>
            </w:r>
          </w:p>
        </w:tc>
        <w:tc>
          <w:tcPr>
            <w:tcW w:w="8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12.09</w:t>
            </w:r>
          </w:p>
        </w:tc>
      </w:tr>
      <w:tr>
        <w:tblPrEx>
          <w:tblCellMar>
            <w:top w:w="0" w:type="dxa"/>
            <w:left w:w="108" w:type="dxa"/>
            <w:bottom w:w="0" w:type="dxa"/>
            <w:right w:w="108" w:type="dxa"/>
          </w:tblCellMar>
        </w:tblPrEx>
        <w:trPr>
          <w:trHeight w:val="454" w:hRule="atLeast"/>
        </w:trPr>
        <w:tc>
          <w:tcPr>
            <w:tcW w:w="1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sz w:val="18"/>
                <w:szCs w:val="18"/>
              </w:rPr>
              <w:t>4#-标准偏差/%</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0.06</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0.14</w:t>
            </w:r>
          </w:p>
        </w:tc>
        <w:tc>
          <w:tcPr>
            <w:tcW w:w="9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0.18</w:t>
            </w:r>
          </w:p>
        </w:tc>
        <w:tc>
          <w:tcPr>
            <w:tcW w:w="8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0.02</w:t>
            </w:r>
          </w:p>
        </w:tc>
      </w:tr>
      <w:tr>
        <w:tblPrEx>
          <w:tblCellMar>
            <w:top w:w="0" w:type="dxa"/>
            <w:left w:w="108" w:type="dxa"/>
            <w:bottom w:w="0" w:type="dxa"/>
            <w:right w:w="108" w:type="dxa"/>
          </w:tblCellMar>
        </w:tblPrEx>
        <w:trPr>
          <w:trHeight w:val="454" w:hRule="atLeast"/>
        </w:trPr>
        <w:tc>
          <w:tcPr>
            <w:tcW w:w="1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sz w:val="18"/>
                <w:szCs w:val="18"/>
              </w:rPr>
              <w:t>4#-RSD/%</w:t>
            </w:r>
          </w:p>
        </w:tc>
        <w:tc>
          <w:tcPr>
            <w:tcW w:w="10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1.55</w:t>
            </w:r>
          </w:p>
        </w:tc>
        <w:tc>
          <w:tcPr>
            <w:tcW w:w="8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0.18</w:t>
            </w:r>
          </w:p>
        </w:tc>
        <w:tc>
          <w:tcPr>
            <w:tcW w:w="9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1.15</w:t>
            </w:r>
          </w:p>
        </w:tc>
        <w:tc>
          <w:tcPr>
            <w:tcW w:w="8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color w:val="000000"/>
                <w:sz w:val="18"/>
                <w:szCs w:val="18"/>
              </w:rPr>
            </w:pPr>
            <w:r>
              <w:rPr>
                <w:color w:val="000000"/>
                <w:kern w:val="0"/>
                <w:sz w:val="18"/>
                <w:szCs w:val="18"/>
                <w:lang w:bidi="ar"/>
              </w:rPr>
              <w:t>0.17</w:t>
            </w:r>
          </w:p>
        </w:tc>
      </w:tr>
    </w:tbl>
    <w:p>
      <w:pPr>
        <w:spacing w:line="360" w:lineRule="auto"/>
        <w:ind w:firstLine="0" w:firstLineChars="0"/>
      </w:pPr>
    </w:p>
    <w:p>
      <w:pPr>
        <w:spacing w:line="360" w:lineRule="auto"/>
        <w:ind w:firstLine="0" w:firstLineChars="0"/>
        <w:rPr>
          <w:rFonts w:eastAsia="黑体"/>
          <w:szCs w:val="21"/>
        </w:rPr>
      </w:pPr>
      <w:r>
        <w:rPr>
          <w:rFonts w:eastAsia="黑体"/>
          <w:szCs w:val="21"/>
        </w:rPr>
        <w:t>1.试验数据统计</w:t>
      </w:r>
    </w:p>
    <w:p>
      <w:pPr>
        <w:snapToGrid w:val="0"/>
        <w:spacing w:line="360" w:lineRule="auto"/>
        <w:ind w:firstLine="420"/>
        <w:jc w:val="left"/>
        <w:rPr>
          <w:szCs w:val="21"/>
        </w:rPr>
      </w:pPr>
      <w:r>
        <w:rPr>
          <w:szCs w:val="21"/>
        </w:rPr>
        <w:t>对各试验室内数据按6732.2进行精密度数据统计。</w:t>
      </w:r>
    </w:p>
    <w:p>
      <w:pPr>
        <w:numPr>
          <w:ilvl w:val="0"/>
          <w:numId w:val="9"/>
        </w:numPr>
        <w:spacing w:line="360" w:lineRule="auto"/>
        <w:ind w:firstLine="0" w:firstLineChars="0"/>
        <w:rPr>
          <w:rFonts w:eastAsia="黑体"/>
          <w:szCs w:val="21"/>
        </w:rPr>
      </w:pPr>
      <w:r>
        <w:rPr>
          <w:rFonts w:eastAsia="黑体"/>
          <w:szCs w:val="21"/>
        </w:rPr>
        <w:t>单元平均值的计算</w:t>
      </w:r>
    </w:p>
    <w:p>
      <w:pPr>
        <w:numPr>
          <w:ilvl w:val="0"/>
          <w:numId w:val="9"/>
        </w:numPr>
        <w:spacing w:line="360" w:lineRule="auto"/>
        <w:ind w:firstLine="0" w:firstLineChars="0"/>
        <w:rPr>
          <w:rFonts w:eastAsia="黑体"/>
          <w:szCs w:val="21"/>
        </w:rPr>
      </w:pPr>
      <w:r>
        <w:rPr>
          <w:rFonts w:eastAsia="黑体"/>
          <w:szCs w:val="21"/>
        </w:rPr>
        <w:t>单元平均值的计算</w:t>
      </w:r>
    </w:p>
    <w:p>
      <w:pPr>
        <w:spacing w:line="240" w:lineRule="auto"/>
        <w:ind w:firstLine="0" w:firstLineChars="0"/>
        <w:rPr>
          <w:rFonts w:eastAsia="黑体"/>
          <w:szCs w:val="21"/>
        </w:rPr>
      </w:pPr>
      <w:r>
        <w:rPr>
          <w:rFonts w:eastAsia="黑体"/>
          <w:szCs w:val="21"/>
        </w:rPr>
        <w:t>……</w:t>
      </w:r>
    </w:p>
    <w:p>
      <w:pPr>
        <w:numPr>
          <w:ilvl w:val="0"/>
          <w:numId w:val="9"/>
        </w:numPr>
        <w:spacing w:line="240" w:lineRule="auto"/>
        <w:ind w:firstLine="0" w:firstLineChars="0"/>
        <w:rPr>
          <w:rFonts w:eastAsia="黑体"/>
          <w:szCs w:val="21"/>
        </w:rPr>
      </w:pPr>
      <w:r>
        <w:rPr>
          <w:rFonts w:eastAsia="黑体"/>
          <w:szCs w:val="21"/>
        </w:rPr>
        <w:t>单元离散度的计算</w:t>
      </w:r>
    </w:p>
    <w:p>
      <w:pPr>
        <w:spacing w:line="240" w:lineRule="auto"/>
        <w:ind w:firstLine="0" w:firstLineChars="0"/>
        <w:rPr>
          <w:rFonts w:eastAsia="黑体"/>
          <w:szCs w:val="21"/>
        </w:rPr>
      </w:pPr>
      <w:r>
        <w:rPr>
          <w:rFonts w:eastAsia="黑体"/>
          <w:szCs w:val="21"/>
        </w:rPr>
        <w:t>……</w:t>
      </w:r>
    </w:p>
    <w:p>
      <w:pPr>
        <w:pStyle w:val="2"/>
        <w:numPr>
          <w:ilvl w:val="0"/>
          <w:numId w:val="10"/>
        </w:numPr>
        <w:bidi w:val="0"/>
      </w:pPr>
      <w:bookmarkStart w:id="13" w:name="_Toc13068"/>
      <w:r>
        <w:t>标准中涉及的专利情况</w:t>
      </w:r>
      <w:bookmarkEnd w:id="13"/>
    </w:p>
    <w:p>
      <w:pPr>
        <w:ind w:firstLine="420"/>
      </w:pPr>
      <w:r>
        <w:t>本标准起草过程中，如果涉及到专利和知识产权时请使用单位与专利和知识产权方协商，本标准的发布机构不承担识别这些专利的责任。</w:t>
      </w:r>
    </w:p>
    <w:p>
      <w:pPr>
        <w:pStyle w:val="2"/>
        <w:numPr>
          <w:ilvl w:val="0"/>
          <w:numId w:val="10"/>
        </w:numPr>
        <w:bidi w:val="0"/>
      </w:pPr>
      <w:bookmarkStart w:id="14" w:name="_Toc14844"/>
      <w:r>
        <w:t>标准预期达到的社会效益等情况</w:t>
      </w:r>
      <w:bookmarkEnd w:id="14"/>
    </w:p>
    <w:p>
      <w:pPr>
        <w:pStyle w:val="3"/>
        <w:bidi w:val="0"/>
      </w:pPr>
      <w:bookmarkStart w:id="15" w:name="_Toc15856"/>
      <w:r>
        <w:t>（一）标准编写的目的和意义</w:t>
      </w:r>
      <w:bookmarkEnd w:id="15"/>
    </w:p>
    <w:p>
      <w:pPr>
        <w:ind w:firstLine="420"/>
      </w:pPr>
      <w:r>
        <w:t>复合氧化铜粉作为一种催化剂</w:t>
      </w:r>
      <w:r>
        <w:rPr>
          <w:rFonts w:hint="eastAsia"/>
          <w:lang w:eastAsia="zh-CN"/>
        </w:rPr>
        <w:t>，</w:t>
      </w:r>
      <w:r>
        <w:t>是生产有机硅单体的核心关键材料。其中</w:t>
      </w:r>
      <w:r>
        <w:rPr>
          <w:rFonts w:hint="eastAsia"/>
          <w:lang w:eastAsia="zh-CN"/>
        </w:rPr>
        <w:t>，</w:t>
      </w:r>
      <w:r>
        <w:t>由单质铜(Cu)、氧化亚铜(Cu</w:t>
      </w:r>
      <w:r>
        <w:rPr>
          <w:vertAlign w:val="subscript"/>
        </w:rPr>
        <w:t>2</w:t>
      </w:r>
      <w:r>
        <w:t>O)和氧化铜(CuO)组成的三价态铜基催化剂是目前国内外各有机硅单体公司生产甲基氯硅烷主要应用的催化剂。然而，三价态铜间各组分的比例由于生产厂家、生产工艺、比例需求的差异而产生不同。另一方面</w:t>
      </w:r>
      <w:r>
        <w:rPr>
          <w:rFonts w:hint="eastAsia"/>
          <w:lang w:eastAsia="zh-CN"/>
        </w:rPr>
        <w:t>，</w:t>
      </w:r>
      <w:r>
        <w:t>由于国内至今没有相关的行业标准</w:t>
      </w:r>
      <w:r>
        <w:rPr>
          <w:rFonts w:hint="eastAsia"/>
          <w:lang w:eastAsia="zh-CN"/>
        </w:rPr>
        <w:t>，</w:t>
      </w:r>
      <w:r>
        <w:t>各有机硅企业和下游用户对三价态铜基催化剂中三价态成分的测定方法也不尽相同</w:t>
      </w:r>
      <w:r>
        <w:rPr>
          <w:rFonts w:hint="eastAsia"/>
          <w:lang w:eastAsia="zh-CN"/>
        </w:rPr>
        <w:t>，</w:t>
      </w:r>
      <w:r>
        <w:t>导致双方间结果与结论产生偏差</w:t>
      </w:r>
      <w:r>
        <w:rPr>
          <w:rFonts w:hint="eastAsia"/>
          <w:lang w:eastAsia="zh-CN"/>
        </w:rPr>
        <w:t>，</w:t>
      </w:r>
      <w:r>
        <w:t>一定程度上影响了有机硅单体的稳定生产。目前</w:t>
      </w:r>
      <w:r>
        <w:rPr>
          <w:rFonts w:hint="eastAsia"/>
          <w:lang w:eastAsia="zh-CN"/>
        </w:rPr>
        <w:t>，</w:t>
      </w:r>
      <w:r>
        <w:t>复合氧化铜粉的市场需求旺盛</w:t>
      </w:r>
      <w:r>
        <w:rPr>
          <w:rFonts w:hint="eastAsia"/>
          <w:lang w:eastAsia="zh-CN"/>
        </w:rPr>
        <w:t>（</w:t>
      </w:r>
      <w:r>
        <w:t>大约在2万吨</w:t>
      </w:r>
      <w:r>
        <w:rPr>
          <w:rFonts w:hint="eastAsia"/>
          <w:lang w:eastAsia="zh-CN"/>
        </w:rPr>
        <w:t>）</w:t>
      </w:r>
      <w:r>
        <w:t>；然而市场封闭</w:t>
      </w:r>
      <w:r>
        <w:rPr>
          <w:rFonts w:hint="eastAsia"/>
          <w:lang w:eastAsia="zh-CN"/>
        </w:rPr>
        <w:t>，</w:t>
      </w:r>
      <w:r>
        <w:t>规范性很差</w:t>
      </w:r>
      <w:r>
        <w:rPr>
          <w:rFonts w:hint="eastAsia"/>
          <w:lang w:eastAsia="zh-CN"/>
        </w:rPr>
        <w:t>，</w:t>
      </w:r>
      <w:r>
        <w:t>缺少统一的测试标准方法</w:t>
      </w:r>
      <w:r>
        <w:rPr>
          <w:rFonts w:hint="eastAsia"/>
          <w:lang w:eastAsia="zh-CN"/>
        </w:rPr>
        <w:t>，</w:t>
      </w:r>
      <w:r>
        <w:t>这不利于上下游企业间的技术交流</w:t>
      </w:r>
      <w:r>
        <w:rPr>
          <w:rFonts w:hint="eastAsia"/>
          <w:lang w:eastAsia="zh-CN"/>
        </w:rPr>
        <w:t>，</w:t>
      </w:r>
      <w:r>
        <w:t>也将影响到对三价态铜基催化剂成分结构</w:t>
      </w:r>
      <w:r>
        <w:rPr>
          <w:rFonts w:hint="eastAsia"/>
          <w:lang w:val="en-US" w:eastAsia="zh-CN"/>
        </w:rPr>
        <w:t>-</w:t>
      </w:r>
      <w:r>
        <w:t>性能间“构效关系”的深入研究。因此</w:t>
      </w:r>
      <w:r>
        <w:rPr>
          <w:rFonts w:hint="eastAsia"/>
          <w:lang w:eastAsia="zh-CN"/>
        </w:rPr>
        <w:t>，</w:t>
      </w:r>
      <w:r>
        <w:t>为了研制并生产出性能更优异的复合氧化铜粉</w:t>
      </w:r>
      <w:r>
        <w:rPr>
          <w:rFonts w:hint="eastAsia"/>
          <w:lang w:eastAsia="zh-CN"/>
        </w:rPr>
        <w:t>，</w:t>
      </w:r>
      <w:r>
        <w:t>规范测试材料中三种组分</w:t>
      </w:r>
      <w:r>
        <w:rPr>
          <w:rFonts w:hint="eastAsia"/>
          <w:lang w:eastAsia="zh-CN"/>
        </w:rPr>
        <w:t>，</w:t>
      </w:r>
      <w:r>
        <w:t>制定出复合氧化铜粉三组分的测定标准势在必行。</w:t>
      </w:r>
    </w:p>
    <w:p>
      <w:pPr>
        <w:ind w:firstLine="420"/>
        <w:rPr>
          <w:szCs w:val="21"/>
        </w:rPr>
      </w:pPr>
      <w:r>
        <w:t>本项目规定了检测铜基复合材料的化学试剂、仪器要求、检测方法及操作规程等。测试不需要采购专门的分析仪器设备，成本低廉；操作简单，普通人员既可以完成操作；结果误差较小，能够完全满足生产上对复合氧化铜粉的选择和研发需求。有利于提升我国检测依据及检测水平，建立和完善复合氧化铜粉三组分测定的检测标准体系。</w:t>
      </w:r>
    </w:p>
    <w:p>
      <w:pPr>
        <w:pStyle w:val="3"/>
        <w:numPr>
          <w:ilvl w:val="0"/>
          <w:numId w:val="11"/>
        </w:numPr>
        <w:bidi w:val="0"/>
      </w:pPr>
      <w:bookmarkStart w:id="16" w:name="_Toc14587"/>
      <w:r>
        <w:t>标准预期的作用和效益</w:t>
      </w:r>
      <w:bookmarkEnd w:id="16"/>
    </w:p>
    <w:p>
      <w:pPr>
        <w:ind w:firstLine="420"/>
      </w:pPr>
      <w:r>
        <w:t>复合氧化铜粉铜基催化材料是有机硅单体合成的重要核心材料，但受限于标准缺失，上下游企业的对产品的组分规格测定出入较大，很大程度上影响了铜基催化剂产品的使用和性能提升。因此，制定复合氧化铜粉铜基催化剂的三组分测定标准势在必行。这一标准的制定将有助于提高复合氧化铜粉铜基催化材料的质量和性能，更好地规范市场秩序；对促进铜基催化剂产业</w:t>
      </w:r>
      <w:r>
        <w:rPr>
          <w:rFonts w:hint="eastAsia"/>
          <w:lang w:eastAsia="zh-CN"/>
        </w:rPr>
        <w:t>乃至</w:t>
      </w:r>
      <w:r>
        <w:t>整个有机硅行业的进步，提升我国在先进基础材料上的国际竞争力都具有重要意义。</w:t>
      </w:r>
    </w:p>
    <w:p>
      <w:pPr>
        <w:pStyle w:val="2"/>
        <w:numPr>
          <w:ilvl w:val="0"/>
          <w:numId w:val="10"/>
        </w:numPr>
        <w:bidi w:val="0"/>
      </w:pPr>
      <w:bookmarkStart w:id="17" w:name="_Toc32658"/>
      <w:r>
        <w:t>采用国际标准和国外先进标准的情况</w:t>
      </w:r>
      <w:bookmarkEnd w:id="17"/>
    </w:p>
    <w:p>
      <w:pPr>
        <w:ind w:firstLine="420"/>
      </w:pPr>
      <w:r>
        <w:t>无。</w:t>
      </w:r>
    </w:p>
    <w:p>
      <w:pPr>
        <w:pStyle w:val="2"/>
        <w:numPr>
          <w:ilvl w:val="0"/>
          <w:numId w:val="10"/>
        </w:numPr>
        <w:bidi w:val="0"/>
      </w:pPr>
      <w:bookmarkStart w:id="18" w:name="_Toc24409"/>
      <w:r>
        <w:t>与现行法律、法规、强制性国家标准及相关标准协调配套情况</w:t>
      </w:r>
      <w:bookmarkEnd w:id="18"/>
    </w:p>
    <w:p>
      <w:pPr>
        <w:ind w:firstLine="420"/>
      </w:pPr>
      <w:r>
        <w:t>本标准完全满足现行法律、法规等的要求，标准的格式和表达方式等方面完全执行了现行的国家标准和有关规范，符合GB/T 1.1的有关要求。</w:t>
      </w:r>
    </w:p>
    <w:p>
      <w:pPr>
        <w:pStyle w:val="2"/>
        <w:numPr>
          <w:ilvl w:val="0"/>
          <w:numId w:val="10"/>
        </w:numPr>
        <w:bidi w:val="0"/>
      </w:pPr>
      <w:bookmarkStart w:id="19" w:name="_Toc21841"/>
      <w:r>
        <w:t>重大分歧意见的处理经过和依据</w:t>
      </w:r>
      <w:bookmarkEnd w:id="19"/>
    </w:p>
    <w:p>
      <w:pPr>
        <w:ind w:firstLine="840" w:firstLineChars="400"/>
      </w:pPr>
      <w:r>
        <w:t>无。</w:t>
      </w:r>
    </w:p>
    <w:p>
      <w:pPr>
        <w:pStyle w:val="2"/>
        <w:numPr>
          <w:ilvl w:val="0"/>
          <w:numId w:val="10"/>
        </w:numPr>
        <w:bidi w:val="0"/>
      </w:pPr>
      <w:bookmarkStart w:id="20" w:name="_Toc25519"/>
      <w:r>
        <w:t>标准作为强制性或推荐性标准的建议</w:t>
      </w:r>
      <w:bookmarkEnd w:id="20"/>
    </w:p>
    <w:p>
      <w:pPr>
        <w:ind w:firstLine="840" w:firstLineChars="400"/>
      </w:pPr>
      <w:r>
        <w:t>建议该标准作为推荐性行业标准。</w:t>
      </w:r>
    </w:p>
    <w:p>
      <w:pPr>
        <w:pStyle w:val="2"/>
        <w:numPr>
          <w:ilvl w:val="0"/>
          <w:numId w:val="10"/>
        </w:numPr>
        <w:bidi w:val="0"/>
      </w:pPr>
      <w:bookmarkStart w:id="21" w:name="_Toc5942"/>
      <w:r>
        <w:t>贯彻标准的要求和措施建议</w:t>
      </w:r>
      <w:bookmarkEnd w:id="21"/>
    </w:p>
    <w:p>
      <w:pPr>
        <w:ind w:firstLine="840" w:firstLineChars="400"/>
      </w:pPr>
      <w:r>
        <w:t>无。</w:t>
      </w:r>
    </w:p>
    <w:p>
      <w:pPr>
        <w:pStyle w:val="2"/>
        <w:numPr>
          <w:ilvl w:val="0"/>
          <w:numId w:val="10"/>
        </w:numPr>
        <w:bidi w:val="0"/>
      </w:pPr>
      <w:bookmarkStart w:id="22" w:name="_Toc4719"/>
      <w:r>
        <w:t>废止现行有关标准的建议</w:t>
      </w:r>
      <w:bookmarkEnd w:id="22"/>
    </w:p>
    <w:p>
      <w:pPr>
        <w:ind w:firstLine="840" w:firstLineChars="400"/>
      </w:pPr>
      <w:r>
        <w:t>无。</w:t>
      </w:r>
    </w:p>
    <w:p>
      <w:pPr>
        <w:pStyle w:val="2"/>
        <w:numPr>
          <w:ilvl w:val="0"/>
          <w:numId w:val="10"/>
        </w:numPr>
        <w:bidi w:val="0"/>
      </w:pPr>
      <w:bookmarkStart w:id="23" w:name="_Toc2632"/>
      <w:r>
        <w:t>其他应予说明的事项</w:t>
      </w:r>
      <w:bookmarkEnd w:id="23"/>
    </w:p>
    <w:p>
      <w:pPr>
        <w:ind w:firstLine="840" w:firstLineChars="400"/>
      </w:pPr>
      <w:r>
        <w:t>无。</w:t>
      </w:r>
    </w:p>
    <w:p>
      <w:pPr>
        <w:numPr>
          <w:ilvl w:val="255"/>
          <w:numId w:val="0"/>
        </w:numPr>
        <w:spacing w:line="360" w:lineRule="auto"/>
        <w:rPr>
          <w:rFonts w:eastAsia="黑体"/>
          <w:kern w:val="0"/>
          <w:szCs w:val="21"/>
        </w:rPr>
      </w:pPr>
    </w:p>
    <w:p>
      <w:pPr>
        <w:numPr>
          <w:ilvl w:val="255"/>
          <w:numId w:val="0"/>
        </w:numPr>
        <w:spacing w:line="360" w:lineRule="auto"/>
        <w:ind w:firstLine="6300" w:firstLineChars="3000"/>
        <w:rPr>
          <w:szCs w:val="21"/>
        </w:rPr>
      </w:pPr>
      <w:r>
        <w:rPr>
          <w:szCs w:val="21"/>
        </w:rPr>
        <w:t>编制组</w:t>
      </w:r>
    </w:p>
    <w:p>
      <w:pPr>
        <w:spacing w:line="360" w:lineRule="auto"/>
        <w:ind w:firstLine="6090" w:firstLineChars="2900"/>
        <w:jc w:val="left"/>
        <w:rPr>
          <w:rFonts w:eastAsia="黑体"/>
          <w:szCs w:val="21"/>
        </w:rPr>
      </w:pPr>
      <w:r>
        <w:rPr>
          <w:rFonts w:eastAsia="黑体"/>
          <w:szCs w:val="21"/>
        </w:rPr>
        <w:t>2024年05月</w:t>
      </w:r>
    </w:p>
    <w:sectPr>
      <w:footerReference r:id="rId12"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BZ+ZMdJRg-2">
    <w:altName w:val="Times New Roman"/>
    <w:panose1 w:val="00000000000000000000"/>
    <w:charset w:val="00"/>
    <w:family w:val="roman"/>
    <w:pitch w:val="default"/>
    <w:sig w:usb0="00000000" w:usb1="00000000" w:usb2="00000000" w:usb3="00000000" w:csb0="00000001" w:csb1="00000000"/>
  </w:font>
  <w:font w:name="KTJ0+ZMdJRg-5">
    <w:altName w:val="Times New Roman"/>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pPr>
    <w:r>
      <w:fldChar w:fldCharType="begin"/>
    </w:r>
    <w:r>
      <w:rPr>
        <w:rStyle w:val="28"/>
      </w:rPr>
      <w:instrText xml:space="preserve"> PAGE </w:instrText>
    </w:r>
    <w:r>
      <w:fldChar w:fldCharType="separate"/>
    </w:r>
    <w:r>
      <w:rPr>
        <w:rStyle w:val="28"/>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E22AA"/>
    <w:multiLevelType w:val="singleLevel"/>
    <w:tmpl w:val="989E22AA"/>
    <w:lvl w:ilvl="0" w:tentative="0">
      <w:start w:val="2"/>
      <w:numFmt w:val="decimal"/>
      <w:lvlText w:val="%1."/>
      <w:lvlJc w:val="left"/>
      <w:pPr>
        <w:tabs>
          <w:tab w:val="left" w:pos="312"/>
        </w:tabs>
      </w:pPr>
    </w:lvl>
  </w:abstractNum>
  <w:abstractNum w:abstractNumId="1">
    <w:nsid w:val="9E7FA3C1"/>
    <w:multiLevelType w:val="singleLevel"/>
    <w:tmpl w:val="9E7FA3C1"/>
    <w:lvl w:ilvl="0" w:tentative="0">
      <w:start w:val="1"/>
      <w:numFmt w:val="decimal"/>
      <w:lvlText w:val="(%1)"/>
      <w:lvlJc w:val="left"/>
      <w:pPr>
        <w:ind w:left="1134" w:leftChars="0" w:hanging="1134" w:firstLineChars="0"/>
      </w:pPr>
      <w:rPr>
        <w:rFonts w:hint="default"/>
      </w:rPr>
    </w:lvl>
  </w:abstractNum>
  <w:abstractNum w:abstractNumId="2">
    <w:nsid w:val="00000001"/>
    <w:multiLevelType w:val="singleLevel"/>
    <w:tmpl w:val="00000001"/>
    <w:lvl w:ilvl="0" w:tentative="0">
      <w:start w:val="4"/>
      <w:numFmt w:val="chineseCounting"/>
      <w:suff w:val="nothing"/>
      <w:lvlText w:val="%1、"/>
      <w:lvlJc w:val="left"/>
      <w:rPr>
        <w:rFonts w:hint="eastAsia"/>
      </w:rPr>
    </w:lvl>
  </w:abstractNum>
  <w:abstractNum w:abstractNumId="3">
    <w:nsid w:val="00000003"/>
    <w:multiLevelType w:val="multilevel"/>
    <w:tmpl w:val="00000003"/>
    <w:lvl w:ilvl="0" w:tentative="0">
      <w:start w:val="1"/>
      <w:numFmt w:val="decimal"/>
      <w:lvlText w:val="%1"/>
      <w:lvlJc w:val="left"/>
      <w:pPr>
        <w:tabs>
          <w:tab w:val="left" w:pos="432"/>
        </w:tabs>
        <w:ind w:left="432" w:hanging="432"/>
      </w:pPr>
      <w:rPr>
        <w:rFonts w:hint="default"/>
      </w:rPr>
    </w:lvl>
    <w:lvl w:ilvl="1" w:tentative="0">
      <w:start w:val="1"/>
      <w:numFmt w:val="decimal"/>
      <w:pStyle w:val="96"/>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07"/>
    <w:multiLevelType w:val="multilevel"/>
    <w:tmpl w:val="00000007"/>
    <w:lvl w:ilvl="0" w:tentative="0">
      <w:start w:val="1"/>
      <w:numFmt w:val="decimal"/>
      <w:pStyle w:val="102"/>
      <w:suff w:val="nothing"/>
      <w:lvlText w:val="表%1　"/>
      <w:lvlJc w:val="left"/>
      <w:pPr>
        <w:ind w:left="241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08"/>
    <w:multiLevelType w:val="multilevel"/>
    <w:tmpl w:val="00000008"/>
    <w:lvl w:ilvl="0" w:tentative="0">
      <w:start w:val="1"/>
      <w:numFmt w:val="upperLetter"/>
      <w:pStyle w:val="87"/>
      <w:suff w:val="nothing"/>
      <w:lvlText w:val="附　录　%1"/>
      <w:lvlJc w:val="left"/>
      <w:pPr>
        <w:ind w:left="0" w:firstLine="0"/>
      </w:pPr>
      <w:rPr>
        <w:rFonts w:hint="eastAsia" w:ascii="黑体" w:hAnsi="Times New Roman" w:eastAsia="黑体"/>
        <w:b w:val="0"/>
        <w:i w:val="0"/>
        <w:sz w:val="21"/>
      </w:rPr>
    </w:lvl>
    <w:lvl w:ilvl="1" w:tentative="0">
      <w:start w:val="1"/>
      <w:numFmt w:val="decimal"/>
      <w:lvlText w:val="%2."/>
      <w:lvlJc w:val="left"/>
      <w:pPr>
        <w:tabs>
          <w:tab w:val="left" w:pos="420"/>
        </w:tabs>
        <w:ind w:left="420" w:hanging="420"/>
      </w:pPr>
      <w:rPr>
        <w:rFonts w:hint="eastAsia"/>
        <w:b w:val="0"/>
        <w:i w:val="0"/>
        <w:sz w:val="21"/>
      </w:rPr>
    </w:lvl>
    <w:lvl w:ilvl="2" w:tentative="0">
      <w:start w:val="1"/>
      <w:numFmt w:val="decimal"/>
      <w:pStyle w:val="88"/>
      <w:suff w:val="nothing"/>
      <w:lvlText w:val="%1.%2.%3　"/>
      <w:lvlJc w:val="left"/>
      <w:pPr>
        <w:ind w:left="141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09"/>
    <w:multiLevelType w:val="multilevel"/>
    <w:tmpl w:val="00000009"/>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50"/>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105" w:firstLine="0"/>
      </w:pPr>
      <w:rPr>
        <w:rFonts w:hint="eastAsia" w:ascii="黑体" w:hAnsi="Times New Roman" w:eastAsia="黑体"/>
        <w:b w:val="0"/>
        <w:i w:val="0"/>
        <w:sz w:val="21"/>
      </w:rPr>
    </w:lvl>
    <w:lvl w:ilvl="3" w:tentative="0">
      <w:start w:val="1"/>
      <w:numFmt w:val="decimal"/>
      <w:suff w:val="nothing"/>
      <w:lvlText w:val="%1%2.%3.%4　"/>
      <w:lvlJc w:val="left"/>
      <w:pPr>
        <w:ind w:left="42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7505255"/>
    <w:multiLevelType w:val="multilevel"/>
    <w:tmpl w:val="27505255"/>
    <w:lvl w:ilvl="0" w:tentative="0">
      <w:start w:val="1"/>
      <w:numFmt w:val="lowerLetter"/>
      <w:lvlText w:val="%1."/>
      <w:lvlJc w:val="left"/>
      <w:pPr>
        <w:ind w:left="1140" w:hanging="360"/>
      </w:pPr>
      <w:rPr>
        <w:rFonts w:hint="default"/>
      </w:rPr>
    </w:lvl>
    <w:lvl w:ilvl="1" w:tentative="0">
      <w:start w:val="1"/>
      <w:numFmt w:val="lowerLetter"/>
      <w:lvlText w:val="%2)"/>
      <w:lvlJc w:val="left"/>
      <w:pPr>
        <w:ind w:left="1660" w:hanging="440"/>
      </w:pPr>
    </w:lvl>
    <w:lvl w:ilvl="2" w:tentative="0">
      <w:start w:val="1"/>
      <w:numFmt w:val="lowerRoman"/>
      <w:lvlText w:val="%3."/>
      <w:lvlJc w:val="right"/>
      <w:pPr>
        <w:ind w:left="2100" w:hanging="440"/>
      </w:pPr>
    </w:lvl>
    <w:lvl w:ilvl="3" w:tentative="0">
      <w:start w:val="1"/>
      <w:numFmt w:val="decimal"/>
      <w:lvlText w:val="%4."/>
      <w:lvlJc w:val="left"/>
      <w:pPr>
        <w:ind w:left="2540" w:hanging="440"/>
      </w:pPr>
    </w:lvl>
    <w:lvl w:ilvl="4" w:tentative="0">
      <w:start w:val="1"/>
      <w:numFmt w:val="lowerLetter"/>
      <w:lvlText w:val="%5)"/>
      <w:lvlJc w:val="left"/>
      <w:pPr>
        <w:ind w:left="2980" w:hanging="440"/>
      </w:pPr>
    </w:lvl>
    <w:lvl w:ilvl="5" w:tentative="0">
      <w:start w:val="1"/>
      <w:numFmt w:val="lowerRoman"/>
      <w:lvlText w:val="%6."/>
      <w:lvlJc w:val="right"/>
      <w:pPr>
        <w:ind w:left="3420" w:hanging="440"/>
      </w:pPr>
    </w:lvl>
    <w:lvl w:ilvl="6" w:tentative="0">
      <w:start w:val="1"/>
      <w:numFmt w:val="decimal"/>
      <w:lvlText w:val="%7."/>
      <w:lvlJc w:val="left"/>
      <w:pPr>
        <w:ind w:left="3860" w:hanging="440"/>
      </w:pPr>
    </w:lvl>
    <w:lvl w:ilvl="7" w:tentative="0">
      <w:start w:val="1"/>
      <w:numFmt w:val="lowerLetter"/>
      <w:lvlText w:val="%8)"/>
      <w:lvlJc w:val="left"/>
      <w:pPr>
        <w:ind w:left="4300" w:hanging="440"/>
      </w:pPr>
    </w:lvl>
    <w:lvl w:ilvl="8" w:tentative="0">
      <w:start w:val="1"/>
      <w:numFmt w:val="lowerRoman"/>
      <w:lvlText w:val="%9."/>
      <w:lvlJc w:val="right"/>
      <w:pPr>
        <w:ind w:left="4740" w:hanging="440"/>
      </w:pPr>
    </w:lvl>
  </w:abstractNum>
  <w:abstractNum w:abstractNumId="8">
    <w:nsid w:val="2F3D7583"/>
    <w:multiLevelType w:val="multilevel"/>
    <w:tmpl w:val="2F3D7583"/>
    <w:lvl w:ilvl="0" w:tentative="0">
      <w:start w:val="1"/>
      <w:numFmt w:val="lowerLetter"/>
      <w:lvlText w:val="%1."/>
      <w:lvlJc w:val="left"/>
      <w:pPr>
        <w:ind w:left="1140" w:hanging="360"/>
      </w:pPr>
      <w:rPr>
        <w:rFonts w:hint="default"/>
      </w:rPr>
    </w:lvl>
    <w:lvl w:ilvl="1" w:tentative="0">
      <w:start w:val="1"/>
      <w:numFmt w:val="lowerLetter"/>
      <w:lvlText w:val="%2)"/>
      <w:lvlJc w:val="left"/>
      <w:pPr>
        <w:ind w:left="1660" w:hanging="440"/>
      </w:pPr>
    </w:lvl>
    <w:lvl w:ilvl="2" w:tentative="0">
      <w:start w:val="1"/>
      <w:numFmt w:val="lowerRoman"/>
      <w:lvlText w:val="%3."/>
      <w:lvlJc w:val="right"/>
      <w:pPr>
        <w:ind w:left="2100" w:hanging="440"/>
      </w:pPr>
    </w:lvl>
    <w:lvl w:ilvl="3" w:tentative="0">
      <w:start w:val="1"/>
      <w:numFmt w:val="decimal"/>
      <w:lvlText w:val="%4."/>
      <w:lvlJc w:val="left"/>
      <w:pPr>
        <w:ind w:left="2540" w:hanging="440"/>
      </w:pPr>
    </w:lvl>
    <w:lvl w:ilvl="4" w:tentative="0">
      <w:start w:val="1"/>
      <w:numFmt w:val="lowerLetter"/>
      <w:lvlText w:val="%5)"/>
      <w:lvlJc w:val="left"/>
      <w:pPr>
        <w:ind w:left="2980" w:hanging="440"/>
      </w:pPr>
    </w:lvl>
    <w:lvl w:ilvl="5" w:tentative="0">
      <w:start w:val="1"/>
      <w:numFmt w:val="lowerRoman"/>
      <w:lvlText w:val="%6."/>
      <w:lvlJc w:val="right"/>
      <w:pPr>
        <w:ind w:left="3420" w:hanging="440"/>
      </w:pPr>
    </w:lvl>
    <w:lvl w:ilvl="6" w:tentative="0">
      <w:start w:val="1"/>
      <w:numFmt w:val="decimal"/>
      <w:lvlText w:val="%7."/>
      <w:lvlJc w:val="left"/>
      <w:pPr>
        <w:ind w:left="3860" w:hanging="440"/>
      </w:pPr>
    </w:lvl>
    <w:lvl w:ilvl="7" w:tentative="0">
      <w:start w:val="1"/>
      <w:numFmt w:val="lowerLetter"/>
      <w:lvlText w:val="%8)"/>
      <w:lvlJc w:val="left"/>
      <w:pPr>
        <w:ind w:left="4300" w:hanging="440"/>
      </w:pPr>
    </w:lvl>
    <w:lvl w:ilvl="8" w:tentative="0">
      <w:start w:val="1"/>
      <w:numFmt w:val="lowerRoman"/>
      <w:lvlText w:val="%9."/>
      <w:lvlJc w:val="right"/>
      <w:pPr>
        <w:ind w:left="4740" w:hanging="440"/>
      </w:pPr>
    </w:lvl>
  </w:abstractNum>
  <w:abstractNum w:abstractNumId="9">
    <w:nsid w:val="6AA92EDC"/>
    <w:multiLevelType w:val="multilevel"/>
    <w:tmpl w:val="6AA92EDC"/>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0">
    <w:nsid w:val="7912D5AE"/>
    <w:multiLevelType w:val="singleLevel"/>
    <w:tmpl w:val="7912D5AE"/>
    <w:lvl w:ilvl="0" w:tentative="0">
      <w:start w:val="2"/>
      <w:numFmt w:val="chineseCounting"/>
      <w:suff w:val="nothing"/>
      <w:lvlText w:val="（%1）"/>
      <w:lvlJc w:val="left"/>
      <w:rPr>
        <w:rFonts w:hint="eastAsia"/>
      </w:rPr>
    </w:lvl>
  </w:abstractNum>
  <w:num w:numId="1">
    <w:abstractNumId w:val="6"/>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8"/>
  </w:num>
  <w:num w:numId="7">
    <w:abstractNumId w:val="7"/>
  </w:num>
  <w:num w:numId="8">
    <w:abstractNumId w:val="1"/>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yZTFlOTdlMWI4ODU1ZTEwNzA0M2ZjZGZlM2E4ZjYifQ=="/>
  </w:docVars>
  <w:rsids>
    <w:rsidRoot w:val="00761785"/>
    <w:rsid w:val="00086D07"/>
    <w:rsid w:val="001757CF"/>
    <w:rsid w:val="001866AF"/>
    <w:rsid w:val="001B2A6A"/>
    <w:rsid w:val="00291BA2"/>
    <w:rsid w:val="003265BD"/>
    <w:rsid w:val="00347131"/>
    <w:rsid w:val="003D6C4E"/>
    <w:rsid w:val="00403658"/>
    <w:rsid w:val="004B18CC"/>
    <w:rsid w:val="00600BC1"/>
    <w:rsid w:val="00695927"/>
    <w:rsid w:val="00724F38"/>
    <w:rsid w:val="00761785"/>
    <w:rsid w:val="008006E2"/>
    <w:rsid w:val="0080488B"/>
    <w:rsid w:val="0080590B"/>
    <w:rsid w:val="008816F3"/>
    <w:rsid w:val="00940270"/>
    <w:rsid w:val="00A05462"/>
    <w:rsid w:val="00A1319E"/>
    <w:rsid w:val="00A73053"/>
    <w:rsid w:val="00AA18D1"/>
    <w:rsid w:val="00B14DC9"/>
    <w:rsid w:val="00B7205A"/>
    <w:rsid w:val="00C00ABE"/>
    <w:rsid w:val="00C2531E"/>
    <w:rsid w:val="00C30519"/>
    <w:rsid w:val="00C53582"/>
    <w:rsid w:val="00C84846"/>
    <w:rsid w:val="00EC216C"/>
    <w:rsid w:val="00EF4E09"/>
    <w:rsid w:val="00F00B97"/>
    <w:rsid w:val="00F52A15"/>
    <w:rsid w:val="00FE6275"/>
    <w:rsid w:val="05807618"/>
    <w:rsid w:val="059A2ECF"/>
    <w:rsid w:val="0C560BBE"/>
    <w:rsid w:val="0C576306"/>
    <w:rsid w:val="236230E8"/>
    <w:rsid w:val="263334AF"/>
    <w:rsid w:val="29AC06D1"/>
    <w:rsid w:val="3BB52984"/>
    <w:rsid w:val="3D871C18"/>
    <w:rsid w:val="43471903"/>
    <w:rsid w:val="4BD37E23"/>
    <w:rsid w:val="4D224AD3"/>
    <w:rsid w:val="550D6161"/>
    <w:rsid w:val="5B6C4769"/>
    <w:rsid w:val="5C9B2A63"/>
    <w:rsid w:val="63F8298F"/>
    <w:rsid w:val="6876094E"/>
    <w:rsid w:val="6C260898"/>
    <w:rsid w:val="72DC286A"/>
    <w:rsid w:val="745F0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96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9"/>
    <w:pPr>
      <w:keepNext/>
      <w:keepLines/>
      <w:spacing w:line="360" w:lineRule="auto"/>
      <w:ind w:firstLine="0" w:firstLineChars="0"/>
      <w:outlineLvl w:val="0"/>
    </w:pPr>
    <w:rPr>
      <w:rFonts w:eastAsia="黑体"/>
      <w:b/>
      <w:bCs/>
      <w:kern w:val="44"/>
      <w:sz w:val="24"/>
      <w:szCs w:val="44"/>
    </w:rPr>
  </w:style>
  <w:style w:type="paragraph" w:styleId="3">
    <w:name w:val="heading 2"/>
    <w:basedOn w:val="1"/>
    <w:next w:val="1"/>
    <w:link w:val="36"/>
    <w:qFormat/>
    <w:uiPriority w:val="9"/>
    <w:pPr>
      <w:keepNext/>
      <w:keepLines/>
      <w:spacing w:before="50" w:beforeLines="50" w:after="50" w:afterLines="50" w:line="440" w:lineRule="exact"/>
      <w:ind w:firstLine="0" w:firstLineChars="0"/>
      <w:outlineLvl w:val="1"/>
    </w:pPr>
    <w:rPr>
      <w:rFonts w:ascii="Calibri Light" w:hAnsi="Calibri Light" w:cs="宋体"/>
      <w:b/>
      <w:bCs/>
      <w:sz w:val="24"/>
      <w:szCs w:val="32"/>
    </w:rPr>
  </w:style>
  <w:style w:type="paragraph" w:styleId="4">
    <w:name w:val="heading 3"/>
    <w:basedOn w:val="1"/>
    <w:next w:val="1"/>
    <w:link w:val="37"/>
    <w:qFormat/>
    <w:uiPriority w:val="0"/>
    <w:pPr>
      <w:keepNext/>
      <w:keepLines/>
      <w:ind w:firstLine="0" w:firstLineChars="0"/>
      <w:outlineLvl w:val="2"/>
    </w:pPr>
    <w:rPr>
      <w:b/>
      <w:bCs/>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spacing w:before="280" w:after="290" w:line="376" w:lineRule="auto"/>
      <w:outlineLvl w:val="4"/>
    </w:pPr>
    <w:rPr>
      <w:b/>
      <w:bCs/>
      <w:sz w:val="28"/>
      <w:szCs w:val="28"/>
    </w:rPr>
  </w:style>
  <w:style w:type="paragraph" w:styleId="7">
    <w:name w:val="heading 6"/>
    <w:basedOn w:val="1"/>
    <w:next w:val="1"/>
    <w:link w:val="40"/>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41"/>
    <w:qFormat/>
    <w:uiPriority w:val="0"/>
    <w:pPr>
      <w:keepNext/>
      <w:keepLines/>
      <w:spacing w:before="240" w:after="64" w:line="320" w:lineRule="auto"/>
      <w:outlineLvl w:val="6"/>
    </w:pPr>
    <w:rPr>
      <w:b/>
      <w:bCs/>
      <w:sz w:val="24"/>
    </w:rPr>
  </w:style>
  <w:style w:type="paragraph" w:styleId="9">
    <w:name w:val="heading 8"/>
    <w:basedOn w:val="1"/>
    <w:next w:val="1"/>
    <w:link w:val="42"/>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43"/>
    <w:qFormat/>
    <w:uiPriority w:val="0"/>
    <w:pPr>
      <w:keepNext/>
      <w:keepLines/>
      <w:spacing w:before="240" w:after="64" w:line="320" w:lineRule="auto"/>
      <w:outlineLvl w:val="8"/>
    </w:pPr>
    <w:rPr>
      <w:rFonts w:ascii="Arial" w:hAnsi="Arial" w:eastAsia="黑体"/>
      <w:szCs w:val="21"/>
    </w:rPr>
  </w:style>
  <w:style w:type="character" w:default="1" w:styleId="27">
    <w:name w:val="Default Paragraph Font"/>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ind w:firstLine="420"/>
    </w:pPr>
  </w:style>
  <w:style w:type="paragraph" w:styleId="12">
    <w:name w:val="Document Map"/>
    <w:basedOn w:val="1"/>
    <w:link w:val="82"/>
    <w:qFormat/>
    <w:uiPriority w:val="0"/>
    <w:pPr>
      <w:shd w:val="clear" w:color="auto" w:fill="000080"/>
    </w:pPr>
  </w:style>
  <w:style w:type="paragraph" w:styleId="13">
    <w:name w:val="annotation text"/>
    <w:basedOn w:val="1"/>
    <w:link w:val="44"/>
    <w:qFormat/>
    <w:uiPriority w:val="99"/>
    <w:pPr>
      <w:jc w:val="left"/>
    </w:pPr>
    <w:rPr>
      <w:szCs w:val="21"/>
    </w:rPr>
  </w:style>
  <w:style w:type="paragraph" w:styleId="14">
    <w:name w:val="Body Text"/>
    <w:basedOn w:val="1"/>
    <w:link w:val="104"/>
    <w:qFormat/>
    <w:uiPriority w:val="0"/>
    <w:pPr>
      <w:spacing w:after="120"/>
    </w:pPr>
  </w:style>
  <w:style w:type="paragraph" w:styleId="15">
    <w:name w:val="Body Text Indent"/>
    <w:basedOn w:val="1"/>
    <w:link w:val="45"/>
    <w:qFormat/>
    <w:uiPriority w:val="99"/>
    <w:pPr>
      <w:ind w:left="360"/>
    </w:pPr>
    <w:rPr>
      <w:sz w:val="24"/>
    </w:rPr>
  </w:style>
  <w:style w:type="paragraph" w:styleId="16">
    <w:name w:val="Date"/>
    <w:basedOn w:val="1"/>
    <w:next w:val="1"/>
    <w:link w:val="46"/>
    <w:qFormat/>
    <w:uiPriority w:val="0"/>
    <w:pPr>
      <w:ind w:left="100" w:leftChars="2500"/>
    </w:pPr>
  </w:style>
  <w:style w:type="paragraph" w:styleId="17">
    <w:name w:val="endnote text"/>
    <w:basedOn w:val="1"/>
    <w:unhideWhenUsed/>
    <w:qFormat/>
    <w:uiPriority w:val="99"/>
    <w:pPr>
      <w:snapToGrid w:val="0"/>
    </w:pPr>
    <w:rPr>
      <w:rFonts w:ascii="Calibri" w:hAnsi="Calibri"/>
    </w:rPr>
  </w:style>
  <w:style w:type="paragraph" w:styleId="18">
    <w:name w:val="Balloon Text"/>
    <w:basedOn w:val="1"/>
    <w:link w:val="47"/>
    <w:qFormat/>
    <w:uiPriority w:val="99"/>
    <w:rPr>
      <w:sz w:val="18"/>
      <w:szCs w:val="18"/>
    </w:rPr>
  </w:style>
  <w:style w:type="paragraph" w:styleId="19">
    <w:name w:val="footer"/>
    <w:basedOn w:val="1"/>
    <w:link w:val="35"/>
    <w:qFormat/>
    <w:uiPriority w:val="0"/>
    <w:pPr>
      <w:tabs>
        <w:tab w:val="center" w:pos="4153"/>
        <w:tab w:val="right" w:pos="8306"/>
      </w:tabs>
      <w:snapToGrid w:val="0"/>
      <w:jc w:val="left"/>
    </w:pPr>
    <w:rPr>
      <w:sz w:val="18"/>
      <w:szCs w:val="18"/>
    </w:rPr>
  </w:style>
  <w:style w:type="paragraph" w:styleId="20">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line="360" w:lineRule="auto"/>
    </w:pPr>
    <w:rPr>
      <w:rFonts w:ascii="Calibri" w:hAnsi="Calibri" w:cs="宋体"/>
      <w:sz w:val="24"/>
      <w:szCs w:val="22"/>
    </w:rPr>
  </w:style>
  <w:style w:type="paragraph" w:styleId="22">
    <w:name w:val="Subtitle"/>
    <w:basedOn w:val="1"/>
    <w:next w:val="1"/>
    <w:link w:val="117"/>
    <w:autoRedefine/>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83"/>
    <w:qFormat/>
    <w:uiPriority w:val="0"/>
    <w:pPr>
      <w:snapToGrid w:val="0"/>
      <w:jc w:val="left"/>
    </w:pPr>
    <w:rPr>
      <w:sz w:val="18"/>
      <w:szCs w:val="18"/>
    </w:rPr>
  </w:style>
  <w:style w:type="paragraph" w:styleId="24">
    <w:name w:val="annotation subject"/>
    <w:basedOn w:val="13"/>
    <w:next w:val="13"/>
    <w:link w:val="103"/>
    <w:qFormat/>
    <w:uiPriority w:val="99"/>
    <w:rPr>
      <w:rFonts w:ascii="Calibri" w:hAnsi="Calibri" w:cs="宋体"/>
      <w:b/>
      <w:bCs/>
      <w:szCs w:val="22"/>
    </w:rPr>
  </w:style>
  <w:style w:type="table" w:styleId="26">
    <w:name w:val="Table Grid"/>
    <w:basedOn w:val="25"/>
    <w:qFormat/>
    <w:uiPriority w:val="5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autoRedefine/>
    <w:qFormat/>
    <w:uiPriority w:val="0"/>
  </w:style>
  <w:style w:type="character" w:styleId="29">
    <w:name w:val="FollowedHyperlink"/>
    <w:basedOn w:val="27"/>
    <w:qFormat/>
    <w:uiPriority w:val="99"/>
    <w:rPr>
      <w:color w:val="800080"/>
      <w:u w:val="single"/>
    </w:rPr>
  </w:style>
  <w:style w:type="character" w:styleId="30">
    <w:name w:val="Hyperlink"/>
    <w:basedOn w:val="27"/>
    <w:autoRedefine/>
    <w:qFormat/>
    <w:uiPriority w:val="99"/>
    <w:rPr>
      <w:color w:val="0000FF"/>
      <w:u w:val="single"/>
    </w:rPr>
  </w:style>
  <w:style w:type="character" w:styleId="31">
    <w:name w:val="annotation reference"/>
    <w:basedOn w:val="27"/>
    <w:qFormat/>
    <w:uiPriority w:val="99"/>
    <w:rPr>
      <w:sz w:val="21"/>
      <w:szCs w:val="21"/>
    </w:rPr>
  </w:style>
  <w:style w:type="character" w:styleId="32">
    <w:name w:val="footnote reference"/>
    <w:basedOn w:val="27"/>
    <w:autoRedefine/>
    <w:qFormat/>
    <w:uiPriority w:val="0"/>
    <w:rPr>
      <w:vertAlign w:val="superscript"/>
    </w:rPr>
  </w:style>
  <w:style w:type="character" w:customStyle="1" w:styleId="33">
    <w:name w:val="标题 1 字符"/>
    <w:basedOn w:val="27"/>
    <w:link w:val="2"/>
    <w:qFormat/>
    <w:uiPriority w:val="9"/>
    <w:rPr>
      <w:rFonts w:ascii="Times New Roman" w:hAnsi="Times New Roman" w:eastAsia="黑体" w:cs="Times New Roman"/>
      <w:b/>
      <w:bCs/>
      <w:kern w:val="44"/>
      <w:sz w:val="24"/>
      <w:szCs w:val="44"/>
    </w:rPr>
  </w:style>
  <w:style w:type="character" w:customStyle="1" w:styleId="34">
    <w:name w:val="页眉 字符"/>
    <w:basedOn w:val="27"/>
    <w:link w:val="20"/>
    <w:qFormat/>
    <w:uiPriority w:val="0"/>
    <w:rPr>
      <w:sz w:val="18"/>
      <w:szCs w:val="18"/>
    </w:rPr>
  </w:style>
  <w:style w:type="character" w:customStyle="1" w:styleId="35">
    <w:name w:val="页脚 字符"/>
    <w:basedOn w:val="27"/>
    <w:link w:val="19"/>
    <w:qFormat/>
    <w:uiPriority w:val="99"/>
    <w:rPr>
      <w:sz w:val="18"/>
      <w:szCs w:val="18"/>
    </w:rPr>
  </w:style>
  <w:style w:type="character" w:customStyle="1" w:styleId="36">
    <w:name w:val="标题 2 字符"/>
    <w:basedOn w:val="27"/>
    <w:link w:val="3"/>
    <w:qFormat/>
    <w:uiPriority w:val="9"/>
    <w:rPr>
      <w:rFonts w:ascii="Calibri Light" w:hAnsi="Calibri Light" w:eastAsia="宋体" w:cs="宋体"/>
      <w:b/>
      <w:bCs/>
      <w:sz w:val="24"/>
      <w:szCs w:val="32"/>
    </w:rPr>
  </w:style>
  <w:style w:type="character" w:customStyle="1" w:styleId="37">
    <w:name w:val="标题 3 字符"/>
    <w:basedOn w:val="27"/>
    <w:link w:val="4"/>
    <w:qFormat/>
    <w:uiPriority w:val="0"/>
    <w:rPr>
      <w:rFonts w:ascii="Times New Roman" w:hAnsi="Times New Roman" w:eastAsia="宋体" w:cs="Times New Roman"/>
      <w:b/>
      <w:bCs/>
      <w:sz w:val="21"/>
      <w:szCs w:val="32"/>
    </w:rPr>
  </w:style>
  <w:style w:type="character" w:customStyle="1" w:styleId="38">
    <w:name w:val="标题 4 字符"/>
    <w:basedOn w:val="27"/>
    <w:link w:val="5"/>
    <w:autoRedefine/>
    <w:qFormat/>
    <w:uiPriority w:val="0"/>
    <w:rPr>
      <w:rFonts w:ascii="Arial" w:hAnsi="Arial" w:eastAsia="黑体" w:cs="Times New Roman"/>
      <w:b/>
      <w:bCs/>
      <w:sz w:val="28"/>
      <w:szCs w:val="28"/>
    </w:rPr>
  </w:style>
  <w:style w:type="character" w:customStyle="1" w:styleId="39">
    <w:name w:val="标题 5 字符"/>
    <w:basedOn w:val="27"/>
    <w:link w:val="6"/>
    <w:qFormat/>
    <w:uiPriority w:val="0"/>
    <w:rPr>
      <w:rFonts w:ascii="Times New Roman" w:hAnsi="Times New Roman" w:eastAsia="宋体" w:cs="Times New Roman"/>
      <w:b/>
      <w:bCs/>
      <w:sz w:val="28"/>
      <w:szCs w:val="28"/>
    </w:rPr>
  </w:style>
  <w:style w:type="character" w:customStyle="1" w:styleId="40">
    <w:name w:val="标题 6 字符"/>
    <w:basedOn w:val="27"/>
    <w:link w:val="7"/>
    <w:qFormat/>
    <w:uiPriority w:val="0"/>
    <w:rPr>
      <w:rFonts w:ascii="Arial" w:hAnsi="Arial" w:eastAsia="黑体" w:cs="Times New Roman"/>
      <w:b/>
      <w:bCs/>
      <w:sz w:val="24"/>
      <w:szCs w:val="24"/>
    </w:rPr>
  </w:style>
  <w:style w:type="character" w:customStyle="1" w:styleId="41">
    <w:name w:val="标题 7 字符"/>
    <w:basedOn w:val="27"/>
    <w:link w:val="8"/>
    <w:autoRedefine/>
    <w:qFormat/>
    <w:uiPriority w:val="0"/>
    <w:rPr>
      <w:rFonts w:ascii="Times New Roman" w:hAnsi="Times New Roman" w:eastAsia="宋体" w:cs="Times New Roman"/>
      <w:b/>
      <w:bCs/>
      <w:sz w:val="24"/>
      <w:szCs w:val="24"/>
    </w:rPr>
  </w:style>
  <w:style w:type="character" w:customStyle="1" w:styleId="42">
    <w:name w:val="标题 8 字符"/>
    <w:basedOn w:val="27"/>
    <w:link w:val="9"/>
    <w:autoRedefine/>
    <w:qFormat/>
    <w:uiPriority w:val="0"/>
    <w:rPr>
      <w:rFonts w:ascii="Arial" w:hAnsi="Arial" w:eastAsia="黑体" w:cs="Times New Roman"/>
      <w:sz w:val="24"/>
      <w:szCs w:val="24"/>
    </w:rPr>
  </w:style>
  <w:style w:type="character" w:customStyle="1" w:styleId="43">
    <w:name w:val="标题 9 字符"/>
    <w:basedOn w:val="27"/>
    <w:link w:val="10"/>
    <w:autoRedefine/>
    <w:qFormat/>
    <w:uiPriority w:val="0"/>
    <w:rPr>
      <w:rFonts w:ascii="Arial" w:hAnsi="Arial" w:eastAsia="黑体" w:cs="Times New Roman"/>
      <w:szCs w:val="21"/>
    </w:rPr>
  </w:style>
  <w:style w:type="character" w:customStyle="1" w:styleId="44">
    <w:name w:val="批注文字 字符"/>
    <w:basedOn w:val="27"/>
    <w:link w:val="13"/>
    <w:autoRedefine/>
    <w:qFormat/>
    <w:uiPriority w:val="99"/>
    <w:rPr>
      <w:rFonts w:ascii="Times New Roman" w:hAnsi="Times New Roman" w:eastAsia="宋体" w:cs="Times New Roman"/>
      <w:szCs w:val="21"/>
    </w:rPr>
  </w:style>
  <w:style w:type="character" w:customStyle="1" w:styleId="45">
    <w:name w:val="正文文本缩进 字符"/>
    <w:basedOn w:val="27"/>
    <w:link w:val="15"/>
    <w:autoRedefine/>
    <w:qFormat/>
    <w:uiPriority w:val="99"/>
    <w:rPr>
      <w:rFonts w:ascii="Times New Roman" w:hAnsi="Times New Roman" w:eastAsia="宋体" w:cs="Times New Roman"/>
      <w:sz w:val="24"/>
      <w:szCs w:val="24"/>
    </w:rPr>
  </w:style>
  <w:style w:type="character" w:customStyle="1" w:styleId="46">
    <w:name w:val="日期 字符"/>
    <w:basedOn w:val="27"/>
    <w:link w:val="16"/>
    <w:autoRedefine/>
    <w:qFormat/>
    <w:uiPriority w:val="0"/>
    <w:rPr>
      <w:rFonts w:ascii="Times New Roman" w:hAnsi="Times New Roman" w:eastAsia="宋体" w:cs="Times New Roman"/>
      <w:szCs w:val="24"/>
    </w:rPr>
  </w:style>
  <w:style w:type="character" w:customStyle="1" w:styleId="47">
    <w:name w:val="批注框文本 字符"/>
    <w:basedOn w:val="27"/>
    <w:link w:val="18"/>
    <w:qFormat/>
    <w:uiPriority w:val="99"/>
    <w:rPr>
      <w:rFonts w:ascii="Times New Roman" w:hAnsi="Times New Roman" w:eastAsia="宋体" w:cs="Times New Roman"/>
      <w:sz w:val="18"/>
      <w:szCs w:val="18"/>
    </w:rPr>
  </w:style>
  <w:style w:type="character" w:customStyle="1" w:styleId="48">
    <w:name w:val="段 Char"/>
    <w:link w:val="49"/>
    <w:qFormat/>
    <w:uiPriority w:val="99"/>
    <w:rPr>
      <w:rFonts w:ascii="宋体"/>
    </w:rPr>
  </w:style>
  <w:style w:type="paragraph" w:customStyle="1" w:styleId="49">
    <w:name w:val="段"/>
    <w:link w:val="48"/>
    <w:qFormat/>
    <w:uiPriority w:val="0"/>
    <w:pPr>
      <w:autoSpaceDE w:val="0"/>
      <w:autoSpaceDN w:val="0"/>
      <w:ind w:firstLine="200" w:firstLineChars="200"/>
      <w:jc w:val="both"/>
    </w:pPr>
    <w:rPr>
      <w:rFonts w:ascii="宋体" w:hAnsi="Calibri" w:eastAsia="宋体" w:cs="宋体"/>
      <w:kern w:val="2"/>
      <w:sz w:val="21"/>
      <w:szCs w:val="22"/>
      <w:lang w:val="en-US" w:eastAsia="zh-CN" w:bidi="ar-SA"/>
    </w:rPr>
  </w:style>
  <w:style w:type="paragraph" w:customStyle="1" w:styleId="50">
    <w:name w:val="章标题"/>
    <w:next w:val="49"/>
    <w:link w:val="53"/>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51">
    <w:name w:val="Char Char Char1 Char Char Char Char Char Char Char Char Char Char"/>
    <w:basedOn w:val="1"/>
    <w:autoRedefine/>
    <w:qFormat/>
    <w:uiPriority w:val="0"/>
    <w:pPr>
      <w:widowControl/>
      <w:spacing w:after="160" w:line="240" w:lineRule="exact"/>
      <w:jc w:val="left"/>
    </w:pPr>
    <w:rPr>
      <w:szCs w:val="20"/>
    </w:rPr>
  </w:style>
  <w:style w:type="paragraph" w:customStyle="1" w:styleId="52">
    <w:name w:val="p0"/>
    <w:basedOn w:val="1"/>
    <w:qFormat/>
    <w:uiPriority w:val="0"/>
    <w:pPr>
      <w:widowControl/>
    </w:pPr>
    <w:rPr>
      <w:kern w:val="0"/>
      <w:szCs w:val="21"/>
    </w:rPr>
  </w:style>
  <w:style w:type="character" w:customStyle="1" w:styleId="53">
    <w:name w:val="章标题 Char"/>
    <w:basedOn w:val="27"/>
    <w:link w:val="50"/>
    <w:qFormat/>
    <w:uiPriority w:val="0"/>
    <w:rPr>
      <w:rFonts w:ascii="黑体" w:hAnsi="Times New Roman" w:eastAsia="黑体" w:cs="Times New Roman"/>
      <w:kern w:val="0"/>
      <w:szCs w:val="20"/>
    </w:rPr>
  </w:style>
  <w:style w:type="character" w:customStyle="1" w:styleId="54">
    <w:name w:val="fontstyle01"/>
    <w:basedOn w:val="27"/>
    <w:qFormat/>
    <w:uiPriority w:val="0"/>
    <w:rPr>
      <w:rFonts w:hint="eastAsia" w:ascii="宋体" w:hAnsi="宋体" w:eastAsia="宋体"/>
      <w:color w:val="000000"/>
      <w:sz w:val="22"/>
      <w:szCs w:val="22"/>
    </w:rPr>
  </w:style>
  <w:style w:type="character" w:customStyle="1" w:styleId="55">
    <w:name w:val="fontstyle21"/>
    <w:basedOn w:val="27"/>
    <w:qFormat/>
    <w:uiPriority w:val="0"/>
    <w:rPr>
      <w:rFonts w:hint="default" w:ascii="E-BZ+ZMdJRg-2" w:hAnsi="E-BZ+ZMdJRg-2"/>
      <w:color w:val="000000"/>
      <w:sz w:val="22"/>
      <w:szCs w:val="22"/>
    </w:rPr>
  </w:style>
  <w:style w:type="character" w:customStyle="1" w:styleId="56">
    <w:name w:val="fontstyle11"/>
    <w:basedOn w:val="27"/>
    <w:qFormat/>
    <w:uiPriority w:val="0"/>
    <w:rPr>
      <w:rFonts w:hint="eastAsia" w:ascii="宋体" w:hAnsi="宋体" w:eastAsia="宋体"/>
      <w:color w:val="000000"/>
      <w:sz w:val="22"/>
      <w:szCs w:val="22"/>
    </w:rPr>
  </w:style>
  <w:style w:type="character" w:customStyle="1" w:styleId="57">
    <w:name w:val="fontstyle31"/>
    <w:basedOn w:val="27"/>
    <w:qFormat/>
    <w:uiPriority w:val="0"/>
    <w:rPr>
      <w:rFonts w:hint="default" w:ascii="E-BZ+ZMdJRg-2" w:hAnsi="E-BZ+ZMdJRg-2"/>
      <w:color w:val="000000"/>
      <w:sz w:val="22"/>
      <w:szCs w:val="22"/>
    </w:rPr>
  </w:style>
  <w:style w:type="character" w:customStyle="1" w:styleId="58">
    <w:name w:val="fontstyle41"/>
    <w:basedOn w:val="27"/>
    <w:qFormat/>
    <w:uiPriority w:val="0"/>
    <w:rPr>
      <w:rFonts w:hint="default" w:ascii="KTJ0+ZMdJRg-5" w:hAnsi="KTJ0+ZMdJRg-5"/>
      <w:color w:val="000000"/>
      <w:sz w:val="22"/>
      <w:szCs w:val="22"/>
    </w:rPr>
  </w:style>
  <w:style w:type="paragraph" w:styleId="59">
    <w:name w:val="List Paragraph"/>
    <w:basedOn w:val="1"/>
    <w:qFormat/>
    <w:uiPriority w:val="34"/>
    <w:pPr>
      <w:ind w:firstLine="420"/>
    </w:pPr>
  </w:style>
  <w:style w:type="paragraph" w:customStyle="1" w:styleId="60">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character" w:customStyle="1" w:styleId="61">
    <w:name w:val="段 Char Char"/>
    <w:qFormat/>
    <w:uiPriority w:val="0"/>
    <w:rPr>
      <w:rFonts w:ascii="宋体" w:hAnsi="宋体"/>
      <w:sz w:val="21"/>
      <w:lang w:val="en-US" w:eastAsia="zh-CN" w:bidi="ar-SA"/>
    </w:rPr>
  </w:style>
  <w:style w:type="character" w:customStyle="1" w:styleId="62">
    <w:name w:val="列项——（一级） Char"/>
    <w:basedOn w:val="27"/>
    <w:link w:val="63"/>
    <w:qFormat/>
    <w:uiPriority w:val="99"/>
    <w:rPr>
      <w:rFonts w:ascii="宋体" w:cs="宋体"/>
      <w:szCs w:val="21"/>
    </w:rPr>
  </w:style>
  <w:style w:type="paragraph" w:customStyle="1" w:styleId="63">
    <w:name w:val="列项——（一级）"/>
    <w:link w:val="62"/>
    <w:qFormat/>
    <w:uiPriority w:val="99"/>
    <w:pPr>
      <w:widowControl w:val="0"/>
      <w:tabs>
        <w:tab w:val="left" w:pos="854"/>
      </w:tabs>
      <w:ind w:left="840" w:leftChars="200" w:hanging="420" w:hangingChars="200"/>
      <w:jc w:val="both"/>
    </w:pPr>
    <w:rPr>
      <w:rFonts w:ascii="宋体" w:hAnsi="Calibri" w:eastAsia="宋体" w:cs="宋体"/>
      <w:kern w:val="2"/>
      <w:sz w:val="21"/>
      <w:szCs w:val="21"/>
      <w:lang w:val="en-US" w:eastAsia="zh-CN" w:bidi="ar-SA"/>
    </w:rPr>
  </w:style>
  <w:style w:type="character" w:customStyle="1" w:styleId="64">
    <w:name w:val="发布"/>
    <w:basedOn w:val="27"/>
    <w:qFormat/>
    <w:uiPriority w:val="99"/>
    <w:rPr>
      <w:rFonts w:ascii="黑体" w:eastAsia="黑体" w:cs="黑体"/>
      <w:spacing w:val="22"/>
      <w:w w:val="100"/>
      <w:position w:val="3"/>
      <w:sz w:val="28"/>
      <w:szCs w:val="28"/>
    </w:rPr>
  </w:style>
  <w:style w:type="paragraph" w:customStyle="1" w:styleId="65">
    <w:name w:val="前言、引言标题"/>
    <w:next w:val="1"/>
    <w:qFormat/>
    <w:uiPriority w:val="0"/>
    <w:p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66">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szCs w:val="21"/>
      <w:lang w:val="en-US" w:eastAsia="zh-CN" w:bidi="ar-SA"/>
    </w:rPr>
  </w:style>
  <w:style w:type="paragraph" w:customStyle="1" w:styleId="67">
    <w:name w:val="实施日期"/>
    <w:basedOn w:val="68"/>
    <w:qFormat/>
    <w:uiPriority w:val="99"/>
    <w:pPr>
      <w:framePr w:hSpace="0" w:wrap="around" w:vAnchor="text" w:hAnchor="text" w:xAlign="right"/>
      <w:jc w:val="right"/>
    </w:pPr>
  </w:style>
  <w:style w:type="paragraph" w:customStyle="1" w:styleId="68">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szCs w:val="28"/>
      <w:lang w:val="en-US" w:eastAsia="zh-CN" w:bidi="ar-SA"/>
    </w:rPr>
  </w:style>
  <w:style w:type="paragraph" w:customStyle="1" w:styleId="69">
    <w:name w:val="封面标准号2"/>
    <w:basedOn w:val="1"/>
    <w:qFormat/>
    <w:uiPriority w:val="99"/>
    <w:pPr>
      <w:framePr w:w="9138" w:h="1244" w:hRule="exact" w:wrap="around" w:vAnchor="page" w:hAnchor="margin" w:y="2909"/>
      <w:kinsoku w:val="0"/>
      <w:overflowPunct w:val="0"/>
      <w:autoSpaceDE w:val="0"/>
      <w:autoSpaceDN w:val="0"/>
      <w:adjustRightInd w:val="0"/>
      <w:spacing w:before="357" w:line="280" w:lineRule="exact"/>
      <w:jc w:val="right"/>
      <w:textAlignment w:val="center"/>
    </w:pPr>
    <w:rPr>
      <w:kern w:val="0"/>
      <w:sz w:val="28"/>
      <w:szCs w:val="28"/>
    </w:rPr>
  </w:style>
  <w:style w:type="paragraph" w:customStyle="1" w:styleId="7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szCs w:val="21"/>
      <w:lang w:val="en-US" w:eastAsia="zh-CN" w:bidi="ar-SA"/>
    </w:rPr>
  </w:style>
  <w:style w:type="paragraph" w:customStyle="1" w:styleId="71">
    <w:name w:val="封面标准文稿编辑信息"/>
    <w:autoRedefine/>
    <w:qFormat/>
    <w:uiPriority w:val="99"/>
    <w:pPr>
      <w:spacing w:before="180" w:line="180" w:lineRule="exact"/>
      <w:jc w:val="center"/>
    </w:pPr>
    <w:rPr>
      <w:rFonts w:ascii="宋体" w:hAnsi="Times New Roman" w:eastAsia="宋体" w:cs="宋体"/>
      <w:sz w:val="21"/>
      <w:szCs w:val="21"/>
      <w:lang w:val="en-US" w:eastAsia="zh-CN" w:bidi="ar-SA"/>
    </w:rPr>
  </w:style>
  <w:style w:type="paragraph" w:customStyle="1" w:styleId="72">
    <w:name w:val="封面标准代替信息"/>
    <w:basedOn w:val="69"/>
    <w:qFormat/>
    <w:uiPriority w:val="99"/>
    <w:pPr>
      <w:framePr w:wrap="around"/>
      <w:spacing w:before="57"/>
    </w:pPr>
    <w:rPr>
      <w:rFonts w:ascii="宋体" w:cs="宋体"/>
      <w:sz w:val="21"/>
      <w:szCs w:val="21"/>
    </w:rPr>
  </w:style>
  <w:style w:type="paragraph" w:customStyle="1" w:styleId="73">
    <w:name w:val="标准书眉一"/>
    <w:qFormat/>
    <w:uiPriority w:val="99"/>
    <w:pPr>
      <w:jc w:val="both"/>
    </w:pPr>
    <w:rPr>
      <w:rFonts w:ascii="Times New Roman" w:hAnsi="Times New Roman" w:eastAsia="宋体" w:cs="Times New Roman"/>
      <w:lang w:val="en-US" w:eastAsia="zh-CN" w:bidi="ar-SA"/>
    </w:rPr>
  </w:style>
  <w:style w:type="paragraph" w:customStyle="1" w:styleId="74">
    <w:name w:val="封面正文"/>
    <w:autoRedefine/>
    <w:qFormat/>
    <w:uiPriority w:val="99"/>
    <w:pPr>
      <w:jc w:val="both"/>
    </w:pPr>
    <w:rPr>
      <w:rFonts w:ascii="Times New Roman" w:hAnsi="Times New Roman" w:eastAsia="宋体" w:cs="Times New Roman"/>
      <w:lang w:val="en-US" w:eastAsia="zh-CN" w:bidi="ar-SA"/>
    </w:rPr>
  </w:style>
  <w:style w:type="paragraph" w:customStyle="1" w:styleId="75">
    <w:name w:val="发布部门"/>
    <w:next w:val="49"/>
    <w:autoRedefine/>
    <w:qFormat/>
    <w:uiPriority w:val="99"/>
    <w:pPr>
      <w:framePr w:w="7433" w:h="585" w:hRule="exact" w:hSpace="180" w:vSpace="180" w:wrap="around" w:vAnchor="margin" w:hAnchor="margin" w:xAlign="center" w:y="14402" w:anchorLock="1"/>
      <w:jc w:val="center"/>
    </w:pPr>
    <w:rPr>
      <w:rFonts w:ascii="宋体" w:hAnsi="Times New Roman" w:eastAsia="宋体" w:cs="宋体"/>
      <w:b/>
      <w:bCs/>
      <w:spacing w:val="20"/>
      <w:w w:val="135"/>
      <w:sz w:val="36"/>
      <w:szCs w:val="36"/>
      <w:lang w:val="en-US" w:eastAsia="zh-CN" w:bidi="ar-SA"/>
    </w:rPr>
  </w:style>
  <w:style w:type="paragraph" w:customStyle="1" w:styleId="76">
    <w:name w:val="标准称谓"/>
    <w:next w:val="1"/>
    <w:autoRedefine/>
    <w:qFormat/>
    <w:uiPriority w:val="99"/>
    <w:pPr>
      <w:framePr w:w="9638" w:h="754" w:hRule="exact" w:hSpace="180" w:vSpace="180" w:wrap="around" w:vAnchor="page" w:hAnchor="margin" w:xAlign="center" w:y="2129" w:anchorLock="1"/>
      <w:widowControl w:val="0"/>
      <w:kinsoku w:val="0"/>
      <w:overflowPunct w:val="0"/>
      <w:autoSpaceDE w:val="0"/>
      <w:autoSpaceDN w:val="0"/>
      <w:spacing w:line="240" w:lineRule="atLeast"/>
      <w:jc w:val="distribute"/>
    </w:pPr>
    <w:rPr>
      <w:rFonts w:ascii="宋体" w:hAnsi="Times New Roman" w:eastAsia="宋体" w:cs="宋体"/>
      <w:b/>
      <w:bCs/>
      <w:spacing w:val="20"/>
      <w:w w:val="148"/>
      <w:sz w:val="52"/>
      <w:szCs w:val="52"/>
      <w:lang w:val="en-US" w:eastAsia="zh-CN" w:bidi="ar-SA"/>
    </w:rPr>
  </w:style>
  <w:style w:type="paragraph" w:customStyle="1" w:styleId="77">
    <w:name w:val="标准书脚_奇数页"/>
    <w:autoRedefine/>
    <w:qFormat/>
    <w:uiPriority w:val="99"/>
    <w:pPr>
      <w:spacing w:before="120"/>
      <w:jc w:val="right"/>
    </w:pPr>
    <w:rPr>
      <w:rFonts w:ascii="Times New Roman" w:hAnsi="Times New Roman" w:eastAsia="宋体" w:cs="Times New Roman"/>
      <w:sz w:val="18"/>
      <w:szCs w:val="18"/>
      <w:lang w:val="en-US" w:eastAsia="zh-CN" w:bidi="ar-SA"/>
    </w:rPr>
  </w:style>
  <w:style w:type="paragraph" w:customStyle="1" w:styleId="78">
    <w:name w:val="样式1"/>
    <w:basedOn w:val="1"/>
    <w:qFormat/>
    <w:uiPriority w:val="99"/>
    <w:pPr>
      <w:tabs>
        <w:tab w:val="left" w:pos="525"/>
      </w:tabs>
    </w:pPr>
    <w:rPr>
      <w:rFonts w:ascii="宋体" w:hAnsi="宋体" w:cs="宋体"/>
      <w:szCs w:val="21"/>
    </w:rPr>
  </w:style>
  <w:style w:type="paragraph" w:customStyle="1" w:styleId="79">
    <w:name w:val="Char Char Char Char"/>
    <w:basedOn w:val="1"/>
    <w:autoRedefine/>
    <w:qFormat/>
    <w:uiPriority w:val="0"/>
    <w:pPr>
      <w:widowControl/>
      <w:spacing w:after="160" w:line="240" w:lineRule="exact"/>
      <w:jc w:val="left"/>
    </w:pPr>
  </w:style>
  <w:style w:type="character" w:customStyle="1" w:styleId="80">
    <w:name w:val="Plain Text Char"/>
    <w:basedOn w:val="27"/>
    <w:link w:val="81"/>
    <w:qFormat/>
    <w:uiPriority w:val="0"/>
    <w:rPr>
      <w:rFonts w:ascii="宋体" w:hAnsi="Courier New"/>
    </w:rPr>
  </w:style>
  <w:style w:type="paragraph" w:customStyle="1" w:styleId="81">
    <w:name w:val="纯文本1"/>
    <w:basedOn w:val="1"/>
    <w:link w:val="80"/>
    <w:qFormat/>
    <w:uiPriority w:val="0"/>
    <w:rPr>
      <w:rFonts w:ascii="宋体" w:hAnsi="Courier New" w:cs="宋体"/>
      <w:szCs w:val="22"/>
    </w:rPr>
  </w:style>
  <w:style w:type="character" w:customStyle="1" w:styleId="82">
    <w:name w:val="文档结构图 字符"/>
    <w:basedOn w:val="27"/>
    <w:link w:val="12"/>
    <w:qFormat/>
    <w:uiPriority w:val="0"/>
    <w:rPr>
      <w:rFonts w:ascii="Times New Roman" w:hAnsi="Times New Roman" w:eastAsia="宋体" w:cs="Times New Roman"/>
      <w:szCs w:val="24"/>
      <w:shd w:val="clear" w:color="auto" w:fill="000080"/>
    </w:rPr>
  </w:style>
  <w:style w:type="character" w:customStyle="1" w:styleId="83">
    <w:name w:val="脚注文本 字符"/>
    <w:basedOn w:val="27"/>
    <w:link w:val="23"/>
    <w:qFormat/>
    <w:uiPriority w:val="0"/>
    <w:rPr>
      <w:rFonts w:ascii="Times New Roman" w:hAnsi="Times New Roman" w:eastAsia="宋体" w:cs="Times New Roman"/>
      <w:sz w:val="18"/>
      <w:szCs w:val="18"/>
    </w:rPr>
  </w:style>
  <w:style w:type="paragraph" w:customStyle="1" w:styleId="84">
    <w:name w:val="样式3"/>
    <w:basedOn w:val="23"/>
    <w:next w:val="23"/>
    <w:qFormat/>
    <w:uiPriority w:val="0"/>
    <w:pPr>
      <w:spacing w:line="300" w:lineRule="auto"/>
      <w:ind w:firstLine="480"/>
    </w:pPr>
    <w:rPr>
      <w:rFonts w:ascii="宋体" w:hAnsi="宋体"/>
    </w:rPr>
  </w:style>
  <w:style w:type="paragraph" w:customStyle="1" w:styleId="85">
    <w:name w:val="一级条标题"/>
    <w:next w:val="49"/>
    <w:qFormat/>
    <w:uiPriority w:val="0"/>
    <w:pPr>
      <w:ind w:left="284"/>
      <w:outlineLvl w:val="2"/>
    </w:pPr>
    <w:rPr>
      <w:rFonts w:ascii="Times New Roman" w:hAnsi="Times New Roman" w:eastAsia="黑体" w:cs="Times New Roman"/>
      <w:sz w:val="21"/>
      <w:lang w:val="en-US" w:eastAsia="zh-CN" w:bidi="ar-SA"/>
    </w:rPr>
  </w:style>
  <w:style w:type="paragraph" w:customStyle="1" w:styleId="86">
    <w:name w:val="二级条标题"/>
    <w:basedOn w:val="85"/>
    <w:next w:val="49"/>
    <w:autoRedefine/>
    <w:qFormat/>
    <w:uiPriority w:val="0"/>
    <w:pPr>
      <w:ind w:left="0"/>
      <w:outlineLvl w:val="3"/>
    </w:pPr>
  </w:style>
  <w:style w:type="paragraph" w:customStyle="1" w:styleId="87">
    <w:name w:val="附录标识"/>
    <w:basedOn w:val="1"/>
    <w:qFormat/>
    <w:uiPriority w:val="0"/>
    <w:pPr>
      <w:widowControl/>
      <w:numPr>
        <w:ilvl w:val="0"/>
        <w:numId w:val="2"/>
      </w:numPr>
      <w:shd w:val="clear" w:color="FFFFFF" w:fill="FFFFFF"/>
      <w:tabs>
        <w:tab w:val="left" w:pos="6405"/>
      </w:tabs>
      <w:spacing w:before="640" w:after="200"/>
      <w:jc w:val="center"/>
      <w:outlineLvl w:val="0"/>
    </w:pPr>
    <w:rPr>
      <w:rFonts w:ascii="黑体" w:eastAsia="黑体"/>
      <w:kern w:val="0"/>
      <w:szCs w:val="20"/>
    </w:rPr>
  </w:style>
  <w:style w:type="paragraph" w:customStyle="1" w:styleId="88">
    <w:name w:val="附录一级条标题"/>
    <w:basedOn w:val="1"/>
    <w:next w:val="1"/>
    <w:qFormat/>
    <w:uiPriority w:val="0"/>
    <w:pPr>
      <w:widowControl/>
      <w:numPr>
        <w:ilvl w:val="2"/>
        <w:numId w:val="2"/>
      </w:numPr>
      <w:wordWrap w:val="0"/>
      <w:overflowPunct w:val="0"/>
      <w:autoSpaceDE w:val="0"/>
      <w:autoSpaceDN w:val="0"/>
      <w:textAlignment w:val="baseline"/>
      <w:outlineLvl w:val="2"/>
    </w:pPr>
    <w:rPr>
      <w:rFonts w:ascii="黑体" w:eastAsia="黑体"/>
      <w:kern w:val="21"/>
      <w:szCs w:val="20"/>
    </w:rPr>
  </w:style>
  <w:style w:type="paragraph" w:customStyle="1" w:styleId="89">
    <w:name w:val="附录二级条标题"/>
    <w:basedOn w:val="88"/>
    <w:next w:val="1"/>
    <w:qFormat/>
    <w:uiPriority w:val="0"/>
    <w:pPr>
      <w:numPr>
        <w:ilvl w:val="3"/>
        <w:numId w:val="0"/>
      </w:numPr>
      <w:outlineLvl w:val="3"/>
    </w:pPr>
  </w:style>
  <w:style w:type="paragraph" w:customStyle="1" w:styleId="90">
    <w:name w:val="附录三级条标题"/>
    <w:basedOn w:val="89"/>
    <w:next w:val="1"/>
    <w:qFormat/>
    <w:uiPriority w:val="0"/>
    <w:pPr>
      <w:numPr>
        <w:ilvl w:val="4"/>
      </w:numPr>
      <w:outlineLvl w:val="4"/>
    </w:pPr>
  </w:style>
  <w:style w:type="paragraph" w:customStyle="1" w:styleId="91">
    <w:name w:val="附录四级条标题"/>
    <w:basedOn w:val="90"/>
    <w:next w:val="1"/>
    <w:qFormat/>
    <w:uiPriority w:val="0"/>
    <w:pPr>
      <w:numPr>
        <w:ilvl w:val="5"/>
      </w:numPr>
      <w:outlineLvl w:val="5"/>
    </w:pPr>
  </w:style>
  <w:style w:type="paragraph" w:customStyle="1" w:styleId="92">
    <w:name w:val="附录五级条标题"/>
    <w:basedOn w:val="91"/>
    <w:next w:val="1"/>
    <w:qFormat/>
    <w:uiPriority w:val="0"/>
    <w:pPr>
      <w:numPr>
        <w:ilvl w:val="6"/>
      </w:numPr>
      <w:outlineLvl w:val="6"/>
    </w:pPr>
  </w:style>
  <w:style w:type="paragraph" w:customStyle="1" w:styleId="93">
    <w:name w:val="三级条标题"/>
    <w:basedOn w:val="86"/>
    <w:next w:val="1"/>
    <w:qFormat/>
    <w:uiPriority w:val="0"/>
    <w:pPr>
      <w:spacing w:before="50" w:beforeLines="50" w:after="50" w:afterLines="50"/>
      <w:outlineLvl w:val="4"/>
    </w:pPr>
    <w:rPr>
      <w:rFonts w:ascii="黑体"/>
      <w:szCs w:val="21"/>
    </w:rPr>
  </w:style>
  <w:style w:type="paragraph" w:customStyle="1" w:styleId="94">
    <w:name w:val="四级条标题"/>
    <w:basedOn w:val="93"/>
    <w:next w:val="1"/>
    <w:qFormat/>
    <w:uiPriority w:val="0"/>
    <w:pPr>
      <w:outlineLvl w:val="5"/>
    </w:pPr>
  </w:style>
  <w:style w:type="paragraph" w:customStyle="1" w:styleId="95">
    <w:name w:val="五级条标题"/>
    <w:basedOn w:val="94"/>
    <w:next w:val="1"/>
    <w:qFormat/>
    <w:uiPriority w:val="0"/>
    <w:pPr>
      <w:outlineLvl w:val="6"/>
    </w:pPr>
  </w:style>
  <w:style w:type="paragraph" w:customStyle="1" w:styleId="96">
    <w:name w:val="一级无"/>
    <w:basedOn w:val="85"/>
    <w:qFormat/>
    <w:uiPriority w:val="0"/>
    <w:pPr>
      <w:numPr>
        <w:ilvl w:val="1"/>
        <w:numId w:val="3"/>
      </w:numPr>
    </w:pPr>
    <w:rPr>
      <w:rFonts w:ascii="宋体" w:eastAsia="宋体"/>
      <w:szCs w:val="21"/>
    </w:rPr>
  </w:style>
  <w:style w:type="character" w:customStyle="1" w:styleId="97">
    <w:name w:val="apple-converted-space"/>
    <w:basedOn w:val="27"/>
    <w:qFormat/>
    <w:uiPriority w:val="0"/>
  </w:style>
  <w:style w:type="character" w:customStyle="1" w:styleId="98">
    <w:name w:val="doc_title"/>
    <w:basedOn w:val="27"/>
    <w:qFormat/>
    <w:uiPriority w:val="0"/>
  </w:style>
  <w:style w:type="paragraph" w:customStyle="1" w:styleId="99">
    <w:name w:val="Default"/>
    <w:basedOn w:val="1"/>
    <w:qFormat/>
    <w:uiPriority w:val="99"/>
    <w:pPr>
      <w:autoSpaceDE w:val="0"/>
      <w:autoSpaceDN w:val="0"/>
      <w:jc w:val="left"/>
    </w:pPr>
    <w:rPr>
      <w:rFonts w:ascii="宋体" w:hAnsi="Calibri" w:cs="宋体"/>
      <w:color w:val="000000"/>
      <w:kern w:val="0"/>
      <w:sz w:val="24"/>
    </w:rPr>
  </w:style>
  <w:style w:type="paragraph" w:customStyle="1" w:styleId="100">
    <w:name w:val="引用1"/>
    <w:basedOn w:val="1"/>
    <w:next w:val="1"/>
    <w:link w:val="101"/>
    <w:qFormat/>
    <w:uiPriority w:val="29"/>
    <w:pPr>
      <w:widowControl/>
      <w:spacing w:before="200" w:after="160" w:line="264" w:lineRule="auto"/>
      <w:ind w:left="864" w:right="864"/>
      <w:jc w:val="center"/>
    </w:pPr>
    <w:rPr>
      <w:rFonts w:ascii="Calibri Light" w:hAnsi="Calibri Light" w:cs="宋体"/>
      <w:i/>
      <w:iCs/>
      <w:kern w:val="0"/>
      <w:sz w:val="24"/>
    </w:rPr>
  </w:style>
  <w:style w:type="character" w:customStyle="1" w:styleId="101">
    <w:name w:val="引用 Char"/>
    <w:basedOn w:val="27"/>
    <w:link w:val="100"/>
    <w:qFormat/>
    <w:uiPriority w:val="29"/>
    <w:rPr>
      <w:rFonts w:ascii="Calibri Light" w:hAnsi="Calibri Light" w:eastAsia="宋体" w:cs="宋体"/>
      <w:i/>
      <w:iCs/>
      <w:kern w:val="0"/>
      <w:sz w:val="24"/>
      <w:szCs w:val="24"/>
    </w:rPr>
  </w:style>
  <w:style w:type="paragraph" w:customStyle="1" w:styleId="102">
    <w:name w:val="正文表标题"/>
    <w:next w:val="49"/>
    <w:qFormat/>
    <w:uiPriority w:val="0"/>
    <w:pPr>
      <w:numPr>
        <w:ilvl w:val="0"/>
        <w:numId w:val="4"/>
      </w:numPr>
      <w:tabs>
        <w:tab w:val="left" w:pos="360"/>
      </w:tabs>
      <w:spacing w:before="156" w:beforeLines="50" w:after="156" w:afterLines="50"/>
      <w:jc w:val="center"/>
    </w:pPr>
    <w:rPr>
      <w:rFonts w:ascii="黑体" w:hAnsi="Times New Roman" w:eastAsia="黑体" w:cs="Times New Roman"/>
      <w:sz w:val="21"/>
      <w:lang w:val="en-US" w:eastAsia="zh-CN" w:bidi="ar-SA"/>
    </w:rPr>
  </w:style>
  <w:style w:type="character" w:customStyle="1" w:styleId="103">
    <w:name w:val="批注主题 字符"/>
    <w:basedOn w:val="44"/>
    <w:link w:val="24"/>
    <w:qFormat/>
    <w:uiPriority w:val="99"/>
    <w:rPr>
      <w:rFonts w:ascii="Times New Roman" w:hAnsi="Times New Roman" w:eastAsia="宋体" w:cs="Times New Roman"/>
      <w:b/>
      <w:bCs/>
      <w:szCs w:val="21"/>
    </w:rPr>
  </w:style>
  <w:style w:type="character" w:customStyle="1" w:styleId="104">
    <w:name w:val="正文文本 字符"/>
    <w:basedOn w:val="27"/>
    <w:link w:val="14"/>
    <w:qFormat/>
    <w:uiPriority w:val="0"/>
    <w:rPr>
      <w:rFonts w:ascii="Times New Roman" w:hAnsi="Times New Roman" w:eastAsia="宋体" w:cs="Times New Roman"/>
      <w:szCs w:val="24"/>
    </w:rPr>
  </w:style>
  <w:style w:type="paragraph" w:customStyle="1" w:styleId="10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7">
    <w:name w:val="xl64"/>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0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9">
    <w:name w:val="xl6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1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11">
    <w:name w:val="xl68"/>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12">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1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14">
    <w:name w:val="xl7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15">
    <w:name w:val="封面标准英文名称"/>
    <w:qFormat/>
    <w:uiPriority w:val="99"/>
    <w:pPr>
      <w:widowControl w:val="0"/>
      <w:spacing w:before="370" w:line="400" w:lineRule="exact"/>
      <w:jc w:val="center"/>
    </w:pPr>
    <w:rPr>
      <w:rFonts w:ascii="Times New Roman" w:hAnsi="Times New Roman" w:eastAsia="宋体" w:cs="Times New Roman"/>
      <w:sz w:val="28"/>
      <w:lang w:val="en-US" w:eastAsia="zh-CN" w:bidi="ar-SA"/>
    </w:rPr>
  </w:style>
  <w:style w:type="table" w:customStyle="1" w:styleId="116">
    <w:name w:val="网格型1"/>
    <w:basedOn w:val="25"/>
    <w:autoRedefine/>
    <w:qFormat/>
    <w:uiPriority w:val="3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7">
    <w:name w:val="副标题 字符"/>
    <w:link w:val="22"/>
    <w:qFormat/>
    <w:uiPriority w:val="0"/>
    <w:rPr>
      <w:rFonts w:ascii="Cambria" w:hAnsi="Cambria" w:cs="Times New Roman"/>
      <w:b/>
      <w:bCs/>
      <w:kern w:val="28"/>
      <w:sz w:val="32"/>
      <w:szCs w:val="32"/>
    </w:rPr>
  </w:style>
  <w:style w:type="character" w:customStyle="1" w:styleId="118">
    <w:name w:val="副标题 Char1"/>
    <w:basedOn w:val="27"/>
    <w:qFormat/>
    <w:uiPriority w:val="11"/>
    <w:rPr>
      <w:rFonts w:ascii="Calibri Light" w:hAnsi="Calibri Light" w:eastAsia="宋体" w:cs="宋体"/>
      <w:b/>
      <w:bCs/>
      <w:kern w:val="28"/>
      <w:sz w:val="32"/>
      <w:szCs w:val="32"/>
    </w:rPr>
  </w:style>
  <w:style w:type="paragraph" w:customStyle="1" w:styleId="119">
    <w:name w:val="科研正文"/>
    <w:basedOn w:val="1"/>
    <w:link w:val="120"/>
    <w:qFormat/>
    <w:uiPriority w:val="0"/>
    <w:pPr>
      <w:spacing w:line="312" w:lineRule="auto"/>
      <w:ind w:firstLine="200"/>
    </w:pPr>
    <w:rPr>
      <w:rFonts w:cstheme="minorBidi"/>
      <w:sz w:val="24"/>
      <w:szCs w:val="22"/>
      <w14:ligatures w14:val="standardContextual"/>
    </w:rPr>
  </w:style>
  <w:style w:type="character" w:customStyle="1" w:styleId="120">
    <w:name w:val="科研正文 字符"/>
    <w:basedOn w:val="27"/>
    <w:link w:val="119"/>
    <w:qFormat/>
    <w:uiPriority w:val="0"/>
    <w:rPr>
      <w:rFonts w:ascii="Times New Roman" w:hAnsi="Times New Roman" w:cstheme="minorBidi"/>
      <w:kern w:val="2"/>
      <w:sz w:val="24"/>
      <w:szCs w:val="22"/>
      <w14:ligatures w14:val="standardContextual"/>
    </w:rPr>
  </w:style>
  <w:style w:type="paragraph" w:customStyle="1" w:styleId="121">
    <w:name w:val="正文 A"/>
    <w:qFormat/>
    <w:uiPriority w:val="0"/>
    <w:pPr>
      <w:widowControl w:val="0"/>
      <w:jc w:val="both"/>
    </w:pPr>
    <w:rPr>
      <w:rFonts w:ascii="Calibri" w:hAnsi="Calibri" w:eastAsia="Calibri" w:cs="Calibri"/>
      <w:color w:val="000000"/>
      <w:kern w:val="2"/>
      <w:sz w:val="21"/>
      <w:szCs w:val="21"/>
      <w:lang w:val="en-US" w:eastAsia="zh-CN" w:bidi="ar-SA"/>
    </w:rPr>
  </w:style>
  <w:style w:type="table" w:customStyle="1" w:styleId="122">
    <w:name w:val="网格型2"/>
    <w:basedOn w:val="25"/>
    <w:qFormat/>
    <w:uiPriority w:val="0"/>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3">
    <w:name w:val="paragraph"/>
    <w:basedOn w:val="1"/>
    <w:semiHidden/>
    <w:qFormat/>
    <w:uiPriority w:val="0"/>
    <w:pPr>
      <w:widowControl/>
      <w:spacing w:before="100" w:beforeAutospacing="1" w:after="100" w:afterAutospacing="1" w:line="240" w:lineRule="auto"/>
      <w:ind w:firstLine="0" w:firstLineChars="0"/>
      <w:jc w:val="left"/>
    </w:pPr>
    <w:rPr>
      <w:rFonts w:ascii="等线" w:hAnsi="等线" w:eastAsia="等线"/>
      <w:kern w:val="0"/>
      <w:sz w:val="24"/>
    </w:rPr>
  </w:style>
  <w:style w:type="table" w:customStyle="1" w:styleId="124">
    <w:name w:val="网格型3"/>
    <w:basedOn w:val="25"/>
    <w:autoRedefine/>
    <w:qFormat/>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5">
    <w:name w:val="font11"/>
    <w:qFormat/>
    <w:uiPriority w:val="0"/>
    <w:rPr>
      <w:rFonts w:hint="eastAsia" w:ascii="宋体" w:hAnsi="宋体" w:eastAsia="宋体" w:cs="宋体"/>
      <w:color w:val="000000"/>
      <w:sz w:val="24"/>
      <w:szCs w:val="24"/>
      <w:u w:val="none"/>
      <w:vertAlign w:val="subscript"/>
    </w:rPr>
  </w:style>
  <w:style w:type="character" w:customStyle="1" w:styleId="126">
    <w:name w:val="font01"/>
    <w:qFormat/>
    <w:uiPriority w:val="0"/>
    <w:rPr>
      <w:rFonts w:hint="eastAsia" w:ascii="宋体" w:hAnsi="宋体" w:eastAsia="宋体" w:cs="宋体"/>
      <w:color w:val="000000"/>
      <w:sz w:val="24"/>
      <w:szCs w:val="24"/>
      <w:u w:val="none"/>
    </w:rPr>
  </w:style>
  <w:style w:type="paragraph" w:customStyle="1" w:styleId="127">
    <w:name w:val="WPSOffice手动目录 1"/>
    <w:qFormat/>
    <w:uiPriority w:val="0"/>
    <w:pPr>
      <w:ind w:leftChars="0"/>
    </w:pPr>
    <w:rPr>
      <w:rFonts w:ascii="Times New Roman" w:hAnsi="Times New Roman" w:eastAsia="宋体" w:cs="Times New Roman"/>
      <w:sz w:val="20"/>
      <w:szCs w:val="20"/>
    </w:rPr>
  </w:style>
  <w:style w:type="paragraph" w:customStyle="1" w:styleId="12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22</Pages>
  <Words>9937</Words>
  <Characters>14777</Characters>
  <Lines>117</Lines>
  <Paragraphs>33</Paragraphs>
  <TotalTime>1</TotalTime>
  <ScaleCrop>false</ScaleCrop>
  <LinksUpToDate>false</LinksUpToDate>
  <CharactersWithSpaces>15132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2024-05-20T02:40:00Z</dcterms:created>
  <dc:creator>朱赞芳</dc:creator>
  <cp:lastModifiedBy>英</cp:lastModifiedBy>
  <cp:lastPrinted>2021-09-16T02:35:00Z</cp:lastPrinted>
  <dcterms:modified xsi:type="dcterms:W3CDTF">2024-05-20T04:34:26Z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4396CF4098964C26AB697F66AC55D981_13</vt:lpwstr>
  </property>
</Properties>
</file>