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sz w:val="32"/>
          <w:szCs w:val="32"/>
        </w:rPr>
      </w:pPr>
    </w:p>
    <w:p>
      <w:pPr>
        <w:jc w:val="center"/>
        <w:rPr>
          <w:sz w:val="32"/>
          <w:szCs w:val="32"/>
        </w:rPr>
      </w:pPr>
    </w:p>
    <w:p>
      <w:pPr>
        <w:pStyle w:val="23"/>
        <w:framePr w:wrap="around" w:vAnchor="page" w:hAnchor="page" w:x="1078" w:y="2894"/>
      </w:pPr>
      <w:r>
        <w:rPr>
          <w:rFonts w:hint="eastAsia"/>
        </w:rPr>
        <w:t>《铜尾矿砂》</w:t>
      </w:r>
    </w:p>
    <w:p>
      <w:pPr>
        <w:pStyle w:val="23"/>
        <w:framePr w:wrap="around" w:vAnchor="page" w:hAnchor="page" w:x="1078" w:y="2894"/>
      </w:pPr>
      <w:r>
        <w:rPr>
          <w:rFonts w:hint="eastAsia"/>
        </w:rPr>
        <w:t>Copper tailings sand</w:t>
      </w:r>
    </w:p>
    <w:p>
      <w:pPr>
        <w:pStyle w:val="23"/>
        <w:framePr w:wrap="around" w:vAnchor="page" w:hAnchor="page" w:x="1078" w:y="2894"/>
      </w:pPr>
    </w:p>
    <w:p>
      <w:pPr>
        <w:pStyle w:val="23"/>
        <w:framePr w:wrap="around" w:vAnchor="page" w:hAnchor="page" w:x="1078" w:y="2894"/>
      </w:pPr>
    </w:p>
    <w:p>
      <w:pPr>
        <w:pStyle w:val="23"/>
        <w:framePr w:wrap="around" w:vAnchor="page" w:hAnchor="page" w:x="1078" w:y="2894"/>
      </w:pPr>
      <w:r>
        <w:rPr>
          <w:rFonts w:hint="eastAsia"/>
        </w:rPr>
        <w:t>T/CNIA  XXXX-20XX</w:t>
      </w:r>
    </w:p>
    <w:p>
      <w:pPr>
        <w:pStyle w:val="23"/>
        <w:framePr w:wrap="around" w:vAnchor="page" w:hAnchor="page" w:x="1078" w:y="2894"/>
      </w:pPr>
    </w:p>
    <w:p>
      <w:pPr>
        <w:pStyle w:val="23"/>
        <w:framePr w:wrap="around" w:vAnchor="page" w:hAnchor="page" w:x="1078" w:y="2894"/>
      </w:pPr>
    </w:p>
    <w:p>
      <w:pPr>
        <w:pStyle w:val="23"/>
        <w:framePr w:wrap="around" w:vAnchor="page" w:hAnchor="page" w:x="1078" w:y="2894"/>
      </w:pPr>
      <w:r>
        <w:rPr>
          <w:rFonts w:hint="eastAsia"/>
        </w:rPr>
        <w:t>编制说明</w:t>
      </w:r>
    </w:p>
    <w:p/>
    <w:p/>
    <w:p/>
    <w:p/>
    <w:p/>
    <w:p/>
    <w:p/>
    <w:p/>
    <w:p/>
    <w:p>
      <w:pPr>
        <w:pStyle w:val="23"/>
        <w:framePr w:w="0" w:hRule="auto" w:wrap="auto" w:vAnchor="margin" w:hAnchor="text" w:xAlign="left" w:yAlign="inline"/>
        <w:spacing w:line="360" w:lineRule="auto"/>
        <w:rPr>
          <w:rFonts w:ascii="Times New Roman"/>
          <w:sz w:val="32"/>
          <w:szCs w:val="32"/>
        </w:rPr>
      </w:pPr>
      <w:r>
        <w:rPr>
          <w:rFonts w:ascii="Times New Roman"/>
          <w:sz w:val="32"/>
          <w:szCs w:val="32"/>
        </w:rPr>
        <w:t>《</w:t>
      </w:r>
      <w:r>
        <w:rPr>
          <w:rFonts w:hint="eastAsia" w:ascii="Times New Roman"/>
          <w:sz w:val="32"/>
          <w:szCs w:val="32"/>
        </w:rPr>
        <w:t>铜尾矿砂</w:t>
      </w:r>
      <w:r>
        <w:rPr>
          <w:rFonts w:ascii="Times New Roman"/>
          <w:sz w:val="32"/>
          <w:szCs w:val="32"/>
        </w:rPr>
        <w:t>》标准编制组</w:t>
      </w:r>
    </w:p>
    <w:p>
      <w:pPr>
        <w:pStyle w:val="23"/>
        <w:framePr w:w="0" w:hRule="auto" w:wrap="auto" w:vAnchor="margin" w:hAnchor="text" w:xAlign="left" w:yAlign="inline"/>
        <w:spacing w:line="360" w:lineRule="auto"/>
        <w:rPr>
          <w:rFonts w:ascii="Times New Roman"/>
          <w:sz w:val="40"/>
          <w:szCs w:val="32"/>
        </w:rPr>
      </w:pPr>
      <w:r>
        <w:rPr>
          <w:rFonts w:ascii="Times New Roman"/>
          <w:sz w:val="32"/>
          <w:szCs w:val="32"/>
        </w:rPr>
        <w:t>202</w:t>
      </w:r>
      <w:r>
        <w:rPr>
          <w:rFonts w:hint="eastAsia" w:ascii="Times New Roman"/>
          <w:sz w:val="32"/>
          <w:szCs w:val="32"/>
        </w:rPr>
        <w:t>4</w:t>
      </w:r>
      <w:r>
        <w:rPr>
          <w:rFonts w:ascii="Times New Roman"/>
          <w:sz w:val="32"/>
          <w:szCs w:val="32"/>
        </w:rPr>
        <w:t>年</w:t>
      </w:r>
      <w:r>
        <w:rPr>
          <w:rFonts w:hint="eastAsia" w:ascii="Times New Roman"/>
          <w:sz w:val="32"/>
          <w:szCs w:val="32"/>
        </w:rPr>
        <w:t>5</w:t>
      </w:r>
      <w:r>
        <w:rPr>
          <w:rFonts w:ascii="Times New Roman"/>
          <w:sz w:val="32"/>
          <w:szCs w:val="32"/>
        </w:rPr>
        <w:t>月</w:t>
      </w:r>
    </w:p>
    <w:p/>
    <w:p/>
    <w:p>
      <w:pPr>
        <w:pStyle w:val="7"/>
        <w:ind w:firstLine="0"/>
        <w:rPr>
          <w:rFonts w:eastAsia="Times New Roman"/>
          <w:kern w:val="0"/>
        </w:rPr>
      </w:pPr>
      <w:bookmarkStart w:id="0" w:name="_Toc10688"/>
      <w:bookmarkStart w:id="1" w:name="_Toc13953"/>
      <w:bookmarkStart w:id="2" w:name="_Toc32528"/>
      <w:r>
        <w:rPr>
          <w:rStyle w:val="27"/>
          <w:rFonts w:hint="eastAsia"/>
          <w:b/>
          <w:bCs/>
          <w:caps/>
          <w:sz w:val="28"/>
          <w:szCs w:val="28"/>
        </w:rPr>
        <w:t>一、</w:t>
      </w:r>
      <w:r>
        <w:rPr>
          <w:rStyle w:val="27"/>
          <w:b/>
          <w:bCs/>
          <w:caps/>
          <w:sz w:val="28"/>
          <w:szCs w:val="28"/>
        </w:rPr>
        <w:t>工作简况</w:t>
      </w:r>
      <w:bookmarkEnd w:id="0"/>
    </w:p>
    <w:p>
      <w:pPr>
        <w:pStyle w:val="3"/>
        <w:rPr>
          <w:kern w:val="0"/>
        </w:rPr>
      </w:pPr>
      <w:bookmarkStart w:id="3" w:name="_Toc10645669"/>
      <w:bookmarkStart w:id="4" w:name="_Toc9641"/>
      <w:r>
        <w:rPr>
          <w:kern w:val="0"/>
        </w:rPr>
        <w:t>1</w:t>
      </w:r>
      <w:bookmarkEnd w:id="1"/>
      <w:bookmarkEnd w:id="2"/>
      <w:bookmarkEnd w:id="3"/>
      <w:bookmarkEnd w:id="4"/>
      <w:r>
        <w:rPr>
          <w:rFonts w:hint="eastAsia"/>
          <w:kern w:val="0"/>
        </w:rPr>
        <w:t>立项目的</w:t>
      </w:r>
    </w:p>
    <w:p>
      <w:pPr>
        <w:rPr>
          <w:rFonts w:asciiTheme="minorEastAsia" w:hAnsiTheme="minorEastAsia" w:cstheme="minorEastAsia"/>
        </w:rPr>
      </w:pPr>
      <w:bookmarkStart w:id="5" w:name="_Toc10645670"/>
      <w:r>
        <w:rPr>
          <w:rFonts w:hint="eastAsia" w:asciiTheme="minorEastAsia" w:hAnsiTheme="minorEastAsia" w:cstheme="minorEastAsia"/>
        </w:rPr>
        <w:t>铜尾矿是铜矿采选过程中排放的尾矿，含有大量的硅、钙、铝、铁等成分的氧化物, 其中SiO2、Al2O3、Fe2O3、CaO含量较高，多数属钙铝硅酸盐型尾矿，主要矿物成分为石英、长石、方解石、云母、黄铜矿、黄铁矿、磁黄铁矿等。在我国铜尾矿具有数量大、粒度细、类型繁多、成分复杂的特点。我国铜尾矿主要分布在江西、内蒙古、云南、安徽、湖北等地，其中铜矿主产区的江西、内蒙古、云南三省所排放的铜尾矿总和约占全国排放量的68%左右。</w:t>
      </w:r>
    </w:p>
    <w:p>
      <w:pPr>
        <w:rPr>
          <w:rFonts w:asciiTheme="minorEastAsia" w:hAnsiTheme="minorEastAsia" w:cstheme="minorEastAsia"/>
        </w:rPr>
      </w:pPr>
      <w:r>
        <w:rPr>
          <w:rFonts w:hint="eastAsia" w:asciiTheme="minorEastAsia" w:hAnsiTheme="minorEastAsia" w:cstheme="minorEastAsia"/>
        </w:rPr>
        <w:t>据我国国土资源经济研究院统计，在1949至2007年间，我国铜尾矿的排放总量达到24亿吨。近年来我国每年铜尾矿排放量仍呈迅速增加趋势，2012年至2018年，年均铜尾矿排放量超3亿吨，至今我国铜尾矿堆存量已超30亿吨，仅次于铁尾矿。铜尾矿处理方式一般是排入尾矿库中存放，随着铜尾矿排放量的不断增加，我国尾矿库数量也在不断增加。由于铜尾矿二次冶炼效率低、成本高，资源化利用率低，铜尾矿没有得到及时、妥善的处理，给社会环境带来了一些严重问题：一是铜尾矿的堆存或者填埋占用大量土地；二是铜尾矿中的有毒有害物质（如锰、铬、钡等重金属离子及硫化物等其他有害化学物质）给环境带来严重污染；三是铜尾矿库有发生塌陷、滑坡等灾害的危险，给人民群众生命安全造成极大隐患。因此，铜尾矿的治理和二次开发利用是目前面临的一个重大课题。</w:t>
      </w:r>
    </w:p>
    <w:p>
      <w:pPr>
        <w:rPr>
          <w:rFonts w:asciiTheme="minorEastAsia" w:hAnsiTheme="minorEastAsia" w:cstheme="minorEastAsia"/>
        </w:rPr>
      </w:pPr>
      <w:r>
        <w:rPr>
          <w:rFonts w:hint="eastAsia" w:asciiTheme="minorEastAsia" w:hAnsiTheme="minorEastAsia" w:cstheme="minorEastAsia"/>
        </w:rPr>
        <w:t>目前我国尾矿资源回收利用技术相对落后，智研咨询发布的《</w:t>
      </w:r>
      <w:r>
        <w:fldChar w:fldCharType="begin"/>
      </w:r>
      <w:r>
        <w:instrText xml:space="preserve"> HYPERLINK "https://www.chyxx.com/research/202012/917518.html" \t "_blank" </w:instrText>
      </w:r>
      <w:r>
        <w:fldChar w:fldCharType="separate"/>
      </w:r>
      <w:r>
        <w:rPr>
          <w:rFonts w:hint="eastAsia" w:asciiTheme="minorEastAsia" w:hAnsiTheme="minorEastAsia" w:cstheme="minorEastAsia"/>
        </w:rPr>
        <w:t>2021-2027年中国尾矿综合利用行业市场发展潜力及战略咨询研究报告</w:t>
      </w:r>
      <w:r>
        <w:rPr>
          <w:rFonts w:hint="eastAsia" w:asciiTheme="minorEastAsia" w:hAnsiTheme="minorEastAsia" w:cstheme="minorEastAsia"/>
        </w:rPr>
        <w:fldChar w:fldCharType="end"/>
      </w:r>
      <w:r>
        <w:rPr>
          <w:rFonts w:hint="eastAsia" w:asciiTheme="minorEastAsia" w:hAnsiTheme="minorEastAsia" w:cstheme="minorEastAsia"/>
        </w:rPr>
        <w:t>》数据显示，2020年我国尾矿综合利用量增长至4.05亿吨,尾矿产量为12.75亿吨,尾矿综合利用率为31.8%远低于国外先进国家的利用水平（60％以上）。而我国尾矿库的维护费用高达7.5亿元/年，同时尾矿库的基础建设投资以及管理需耗费4~8元/t。对铜尾矿进行资源利用不仅可以大量消纳铜尾矿，减少由于铜尾矿的堆积对周边环境的不利影响，而且还可以使其“变废为宝”，成为二次资源，因此全面推广铜尾矿的综合利用方式对我国铜尾矿资源利用具有重要意义。</w:t>
      </w:r>
    </w:p>
    <w:p>
      <w:pPr>
        <w:rPr>
          <w:rFonts w:asciiTheme="minorEastAsia" w:hAnsiTheme="minorEastAsia" w:cstheme="minorEastAsia"/>
        </w:rPr>
      </w:pPr>
      <w:r>
        <w:rPr>
          <w:rFonts w:hint="eastAsia" w:asciiTheme="minorEastAsia" w:hAnsiTheme="minorEastAsia" w:cstheme="minorEastAsia"/>
        </w:rPr>
        <w:t>水泥掺合料、砂浆和混凝土、蒸压加气混凝土制品和道路无机结合料是使用最为广泛的建筑、墙体、道路水稳等材料；随着建设规模的不断发展，用于制备水泥掺合料、砂浆和混凝土、墙体及道路水稳层的砂石等原材料短缺也日益严重，利用铜尾矿作为以上材料的原料符合国家产业政策，可以达到减排、利废的目的，既有利于环境保护，同时可创造一定的经济效益。</w:t>
      </w:r>
    </w:p>
    <w:p>
      <w:pPr>
        <w:rPr>
          <w:rFonts w:asciiTheme="minorEastAsia" w:hAnsiTheme="minorEastAsia" w:cstheme="minorEastAsia"/>
        </w:rPr>
      </w:pPr>
      <w:r>
        <w:rPr>
          <w:rFonts w:hint="eastAsia" w:asciiTheme="minorEastAsia" w:hAnsiTheme="minorEastAsia" w:cstheme="minorEastAsia"/>
        </w:rPr>
        <w:t>目前国内尚无涉及铜尾矿砂的相关国家标准及行业标准。各使用单位均参考国家标准《铁尾矿砂》、《建设用砂》、《硅酸盐建筑制品用砂》中的一些技术要求来控制铜尾矿砂的性能。由于铜尾矿砂颗粒级配等物理性质与天然砂和铁尾矿砂差异巨大，通常来说铜尾矿砂的细度模数小于1.0，属于特细砂，因此难以参考现行国家标准指导铜尾矿砂在以上产品中的应用及质量控制，限制了铜尾矿砂的应用，给推广应用带来了极大的困难。因此急需制定一个统一的标准以保证该产品在生产和应用过程中技术指标的可靠性，促进铜尾矿的综合利用，推动循环经济发展。</w:t>
      </w:r>
    </w:p>
    <w:p>
      <w:pPr>
        <w:rPr>
          <w:rFonts w:asciiTheme="minorEastAsia" w:hAnsiTheme="minorEastAsia" w:cstheme="minorEastAsia"/>
        </w:rPr>
      </w:pPr>
      <w:r>
        <w:rPr>
          <w:rFonts w:hint="eastAsia" w:asciiTheme="minorEastAsia" w:hAnsiTheme="minorEastAsia" w:cstheme="minorEastAsia"/>
        </w:rPr>
        <w:t>本标准创新利用铜尾矿替代砂石等原材料制备</w:t>
      </w:r>
      <w:r>
        <w:rPr>
          <w:rFonts w:hint="eastAsia" w:asciiTheme="minorEastAsia" w:hAnsiTheme="minorEastAsia" w:cstheme="minorEastAsia"/>
          <w:lang w:val="en-US" w:eastAsia="zh-CN"/>
        </w:rPr>
        <w:t>水泥</w:t>
      </w:r>
      <w:r>
        <w:rPr>
          <w:rFonts w:hint="eastAsia" w:asciiTheme="minorEastAsia" w:hAnsiTheme="minorEastAsia" w:cstheme="minorEastAsia"/>
        </w:rPr>
        <w:t>混凝土和砂浆、蒸压加气混凝土及道路无机结合料，既综合利用尾矿，又弥补了产品原材料的不足。本标准的制定是对现有矿物材料和产品标准体系的完善和补充。</w:t>
      </w:r>
    </w:p>
    <w:p>
      <w:pPr>
        <w:pStyle w:val="3"/>
      </w:pPr>
      <w:r>
        <w:rPr>
          <w:rFonts w:hint="eastAsia"/>
        </w:rPr>
        <w:t>2任务来源</w:t>
      </w:r>
    </w:p>
    <w:p>
      <w:r>
        <w:rPr>
          <w:rFonts w:hint="eastAsia" w:asciiTheme="minorEastAsia" w:hAnsiTheme="minorEastAsia" w:cstheme="minorEastAsia"/>
        </w:rPr>
        <w:t>2023年 8月 28 日，全国有色金属标准化技术委员会下达了 2023 年第四批协会标准制修订计划（中色协科字{2023}95号），由江西铜业股份有限公司负责组织完成《铜尾矿砂》（标准计划编号 2023-026-T/CNIA)的制定任务，完成时间为 2024年，由全国有色金属标准化技术委员会归口管理。</w:t>
      </w:r>
    </w:p>
    <w:p>
      <w:pPr>
        <w:pStyle w:val="3"/>
      </w:pPr>
      <w:r>
        <w:rPr>
          <w:rFonts w:hint="eastAsia"/>
        </w:rPr>
        <w:t>3 项目编制组单位</w:t>
      </w:r>
    </w:p>
    <w:p>
      <w:pPr>
        <w:pStyle w:val="3"/>
      </w:pPr>
      <w:r>
        <w:rPr>
          <w:rFonts w:hint="eastAsia"/>
        </w:rPr>
        <w:t>3.1项目编制组单位</w:t>
      </w:r>
    </w:p>
    <w:p>
      <w:pPr>
        <w:adjustRightInd w:val="0"/>
        <w:snapToGrid w:val="0"/>
        <w:spacing w:line="360" w:lineRule="auto"/>
        <w:ind w:firstLine="280"/>
        <w:rPr>
          <w:rFonts w:asciiTheme="minorEastAsia" w:hAnsiTheme="minorEastAsia" w:cstheme="minorEastAsia"/>
          <w:color w:val="000000"/>
          <w:shd w:val="clear" w:color="auto" w:fill="FFFFFF"/>
        </w:rPr>
      </w:pPr>
      <w:r>
        <w:rPr>
          <w:rFonts w:hint="eastAsia" w:asciiTheme="minorEastAsia" w:hAnsiTheme="minorEastAsia" w:cstheme="minorEastAsia"/>
          <w:color w:val="000000"/>
          <w:shd w:val="clear" w:color="auto" w:fill="FFFFFF"/>
        </w:rPr>
        <w:t>本标准的编制组单位为：</w:t>
      </w:r>
      <w:r>
        <w:rPr>
          <w:rFonts w:hint="eastAsia" w:asciiTheme="minorEastAsia" w:hAnsiTheme="minorEastAsia" w:cstheme="minorEastAsia"/>
        </w:rPr>
        <w:t>江西铜业股份有限公司、大冶有色金属有限责任公司、铜陵有色金属集团控股有限公司、紫金矿业集团股份有限公司、中条山有色金属集团有限公司。</w:t>
      </w:r>
      <w:r>
        <w:rPr>
          <w:rFonts w:hint="eastAsia" w:asciiTheme="minorEastAsia" w:hAnsiTheme="minorEastAsia" w:cstheme="minorEastAsia"/>
          <w:color w:val="000000"/>
          <w:shd w:val="clear" w:color="auto" w:fill="FFFFFF"/>
        </w:rPr>
        <w:t>上述单位均为铜尾矿砂综合利用单位，并表示积极参加编制组的活动和配合编制组进行各项工作。</w:t>
      </w:r>
    </w:p>
    <w:p>
      <w:pPr>
        <w:pStyle w:val="3"/>
      </w:pPr>
      <w:r>
        <w:rPr>
          <w:rFonts w:hint="eastAsia"/>
        </w:rPr>
        <w:t>3.2标准的主起草单位简介</w:t>
      </w:r>
    </w:p>
    <w:p>
      <w:pPr>
        <w:rPr>
          <w:rFonts w:asciiTheme="minorEastAsia" w:hAnsiTheme="minorEastAsia" w:cstheme="minorEastAsia"/>
        </w:rPr>
      </w:pPr>
      <w:r>
        <w:rPr>
          <w:rFonts w:hint="eastAsia" w:asciiTheme="minorEastAsia" w:hAnsiTheme="minorEastAsia" w:cstheme="minorEastAsia"/>
          <w:b/>
          <w:bCs/>
        </w:rPr>
        <w:t>江西铜业股份有限公司：</w:t>
      </w:r>
      <w:r>
        <w:rPr>
          <w:rFonts w:hint="eastAsia" w:asciiTheme="minorEastAsia" w:hAnsiTheme="minorEastAsia" w:cstheme="minorEastAsia"/>
        </w:rPr>
        <w:t>江西铜业股份有限公司于1997年01月24日成立，经营范围包括有色金属、稀贵金属采、选、冶炼、加工及相关技术服务，有色金属矿、稀贵金属、非金属矿、有色金属及相关副产品的冶炼、压延加工与深加工及其延伸产品、精细化工产品等。2022年世界财富500强排名第176位。2022年9月，江铜集团正式发布江西省首个企业“碳达峰碳中和战略规划”，郑重承诺公司到2025年万元产值综合能耗和碳排放比2020年分别下降18%和20%，力争于2029年碳排放整体达到峰值，2060年之前加快零碳能源替代行动。</w:t>
      </w:r>
    </w:p>
    <w:p>
      <w:pPr>
        <w:rPr>
          <w:rFonts w:asciiTheme="minorEastAsia" w:hAnsiTheme="minorEastAsia" w:cstheme="minorEastAsia"/>
        </w:rPr>
      </w:pPr>
      <w:r>
        <w:rPr>
          <w:rFonts w:hint="eastAsia" w:asciiTheme="minorEastAsia" w:hAnsiTheme="minorEastAsia" w:cstheme="minorEastAsia"/>
        </w:rPr>
        <w:t xml:space="preserve">江铜集团成立江铜环境资源科技有限公司，是江铜践行习近平生态文明思想、落实中央生态文明建设的一项重要举措，肩负着推动公司环保事业高质量发展的使命。该公司将依托江铜在矿山、冶炼、加工、研发等方面的优势，围绕环境保护、资源开发及技术输出三大目标，推动江铜固废处置利用产业做强做优做大。  </w:t>
      </w:r>
    </w:p>
    <w:p>
      <w:pPr>
        <w:rPr>
          <w:rFonts w:asciiTheme="minorEastAsia" w:hAnsiTheme="minorEastAsia" w:cstheme="minorEastAsia"/>
        </w:rPr>
      </w:pPr>
      <w:r>
        <w:rPr>
          <w:rFonts w:hint="eastAsia" w:asciiTheme="minorEastAsia" w:hAnsiTheme="minorEastAsia" w:cstheme="minorEastAsia"/>
        </w:rPr>
        <w:t>江西铜业股份有限公司现有五个铜矿山企业，每年产出铜精矿22万吨金属量、铜尾矿5300万吨，铜尾矿累计堆存13.6亿吨；江铜环境资源科技有限公司旗下江西万铜环保材料有限公司是</w:t>
      </w:r>
      <w:r>
        <w:rPr>
          <w:rFonts w:hint="eastAsia" w:asciiTheme="minorEastAsia" w:hAnsiTheme="minorEastAsia" w:cstheme="minorEastAsia"/>
          <w:b/>
          <w:bCs/>
        </w:rPr>
        <w:t>全国少有的在闭库尾矿库上建厂的企业</w:t>
      </w:r>
      <w:r>
        <w:rPr>
          <w:rFonts w:hint="eastAsia" w:asciiTheme="minorEastAsia" w:hAnsiTheme="minorEastAsia" w:cstheme="minorEastAsia"/>
          <w:b/>
          <w:bCs/>
          <w:lang w:eastAsia="zh-CN"/>
        </w:rPr>
        <w:t>、</w:t>
      </w:r>
      <w:r>
        <w:rPr>
          <w:rFonts w:hint="eastAsia" w:asciiTheme="minorEastAsia" w:hAnsiTheme="minorEastAsia" w:cstheme="minorEastAsia"/>
          <w:b/>
          <w:bCs/>
        </w:rPr>
        <w:t>全国少有的百万吨级铜尾砂资源综合利用企业</w:t>
      </w:r>
      <w:r>
        <w:rPr>
          <w:rFonts w:hint="eastAsia" w:asciiTheme="minorEastAsia" w:hAnsiTheme="minorEastAsia" w:cstheme="minorEastAsia"/>
        </w:rPr>
        <w:t>。</w:t>
      </w:r>
      <w:r>
        <w:rPr>
          <w:rFonts w:hint="eastAsia" w:asciiTheme="minorEastAsia" w:hAnsiTheme="minorEastAsia" w:cstheme="minorEastAsia"/>
          <w:lang w:val="en-US" w:eastAsia="zh-CN"/>
        </w:rPr>
        <w:t>主要</w:t>
      </w:r>
      <w:r>
        <w:rPr>
          <w:rFonts w:hint="eastAsia" w:asciiTheme="minorEastAsia" w:hAnsiTheme="minorEastAsia" w:cstheme="minorEastAsia"/>
        </w:rPr>
        <w:t>致力于城铜尾砂减量化、资源化和无害化，已建成250万吨级铜尾矿硅质原料生产线，现已具备7</w:t>
      </w:r>
      <w:r>
        <w:rPr>
          <w:rFonts w:hint="eastAsia" w:asciiTheme="minorEastAsia" w:hAnsiTheme="minorEastAsia" w:cstheme="minorEastAsia"/>
          <w:lang w:val="en-US" w:eastAsia="zh-CN"/>
        </w:rPr>
        <w:t>5</w:t>
      </w:r>
      <w:r>
        <w:rPr>
          <w:rFonts w:hint="eastAsia" w:asciiTheme="minorEastAsia" w:hAnsiTheme="minorEastAsia" w:cstheme="minorEastAsia"/>
        </w:rPr>
        <w:t>00吨/日以上的尾砂处置能力（2023年共处理尾砂262万吨），确保了城铜持续稳定生产，是全国少有的百万吨级铜尾砂资源综合利用企业，产出的硅质原料主要用于制备加气块、混凝土掺合料、仿古砖、水稳料等建材产品。2023年，公司获得了江西省科学技术进步奖二等奖、绿色矿山重大工程二等奖、九江市柴桑区2023年度领军企业等荣誉。</w:t>
      </w:r>
    </w:p>
    <w:p>
      <w:pPr>
        <w:rPr>
          <w:rFonts w:asciiTheme="minorEastAsia" w:hAnsiTheme="minorEastAsia" w:cstheme="minorEastAsia"/>
        </w:rPr>
      </w:pPr>
      <w:r>
        <w:rPr>
          <w:rFonts w:hint="eastAsia" w:asciiTheme="minorEastAsia" w:hAnsiTheme="minorEastAsia" w:cstheme="minorEastAsia"/>
        </w:rPr>
        <w:t>2019年获得《一种铜尾矿渣复合矿物掺合料及其制备方法》、《一种废弃铜尾矿渣高交效活化剂及其制备方法》等两项发明专利及2021年获得《一种掺铜尾矿UHPC井盖加工用成型装置》、《一种尾矿PC砖生产用堆叠装置》、《一种铜尾矿超细粉生产用研磨装置》、《一种管桩生产用混凝土布料装置》、《一种基于铜尾矿生产的建筑回填料加工用破碎装置》、《一种铜尾矿混凝土掺合料生产用进料装置》、《一种微晶玻璃生产用原料烘干装置》、《一种基于铜尾矿原料的加气混凝土生产设备》等八项实用新型专利授权，完成国家重点研发计划课题《铜尾矿大规模建材化利用关键技术与示范》结题。</w:t>
      </w:r>
    </w:p>
    <w:p>
      <w:pPr>
        <w:rPr>
          <w:rFonts w:asciiTheme="minorEastAsia" w:hAnsiTheme="minorEastAsia" w:cstheme="minorEastAsia"/>
        </w:rPr>
      </w:pPr>
      <w:r>
        <w:rPr>
          <w:rFonts w:hint="eastAsia" w:asciiTheme="minorEastAsia" w:hAnsiTheme="minorEastAsia" w:cstheme="minorEastAsia"/>
        </w:rPr>
        <w:t>当前，万铜公司正在引进战略合作和先进技术，打造万铜循环经济产业园，形成可复制的“万铜模式”，为铜尾砂资源综合利用及“无废（尾）矿山”建设贡献江铜方案。</w:t>
      </w:r>
    </w:p>
    <w:p>
      <w:pPr>
        <w:ind w:firstLine="0"/>
        <w:rPr>
          <w:rFonts w:asciiTheme="minorEastAsia" w:hAnsiTheme="minorEastAsia" w:cstheme="minorEastAsia"/>
          <w:b/>
          <w:bCs/>
        </w:rPr>
      </w:pPr>
      <w:r>
        <w:rPr>
          <w:rFonts w:hint="eastAsia" w:asciiTheme="minorEastAsia" w:hAnsiTheme="minorEastAsia" w:cstheme="minorEastAsia"/>
          <w:b/>
          <w:bCs/>
        </w:rPr>
        <w:t>其他参编单位尾矿综合利用情况：</w:t>
      </w:r>
    </w:p>
    <w:p>
      <w:pPr>
        <w:rPr>
          <w:rFonts w:asciiTheme="minorEastAsia" w:hAnsiTheme="minorEastAsia" w:cstheme="minorEastAsia"/>
        </w:rPr>
      </w:pPr>
      <w:r>
        <w:rPr>
          <w:rFonts w:hint="eastAsia" w:asciiTheme="minorEastAsia" w:hAnsiTheme="minorEastAsia" w:cstheme="minorEastAsia"/>
          <w:b/>
          <w:bCs/>
        </w:rPr>
        <w:t>大冶有色金属有限责任公司：</w:t>
      </w:r>
      <w:r>
        <w:rPr>
          <w:rFonts w:hint="eastAsia" w:asciiTheme="minorEastAsia" w:hAnsiTheme="minorEastAsia" w:cstheme="minorEastAsia"/>
        </w:rPr>
        <w:t>现有四个铜矿山企业，每年铜尾矿430万吨，累计堆存1.08亿吨，铜尾矿主要用于井下矿山的喷锚支护、采空区充填以及露天开采的填埋，部分用于建材原料使用，其所占铜尾矿产出的比例极少，大部分铜尾矿仍然是利用尾矿库和尾矿干堆工艺堆积；</w:t>
      </w:r>
    </w:p>
    <w:p>
      <w:pPr>
        <w:rPr>
          <w:rFonts w:asciiTheme="minorEastAsia" w:hAnsiTheme="minorEastAsia" w:cstheme="minorEastAsia"/>
        </w:rPr>
      </w:pPr>
      <w:r>
        <w:rPr>
          <w:rFonts w:hint="eastAsia" w:asciiTheme="minorEastAsia" w:hAnsiTheme="minorEastAsia" w:cstheme="minorEastAsia"/>
          <w:b/>
          <w:bCs/>
        </w:rPr>
        <w:t>铜陵有色金属集团控股有限公司：</w:t>
      </w:r>
      <w:r>
        <w:rPr>
          <w:rFonts w:hint="eastAsia" w:asciiTheme="minorEastAsia" w:hAnsiTheme="minorEastAsia" w:cstheme="minorEastAsia"/>
        </w:rPr>
        <w:t>现有四座铜矿山企业，每年铜尾矿约750万吨，累计堆存超亿吨；公司现已形成5500吨/日以上的尾矿处置能力，全年可消纳铜尾矿200万吨。生产的建材用硅质原料粗粒尾矿已在道路无机结合料中使用超2万方、中粒尾矿作为加气混凝土砌块、免烧砖、预拌混凝土等建筑材料原料，细粒尾矿作为胶凝材料、水泥和预拌混凝土活性掺合料原料。</w:t>
      </w:r>
    </w:p>
    <w:p>
      <w:pPr>
        <w:rPr>
          <w:rFonts w:asciiTheme="minorEastAsia" w:hAnsiTheme="minorEastAsia" w:cstheme="minorEastAsia"/>
        </w:rPr>
      </w:pPr>
      <w:r>
        <w:rPr>
          <w:rFonts w:hint="eastAsia" w:asciiTheme="minorEastAsia" w:hAnsiTheme="minorEastAsia" w:cstheme="minorEastAsia"/>
          <w:b/>
          <w:bCs/>
        </w:rPr>
        <w:t>紫金矿业集团股份有限公司：</w:t>
      </w:r>
      <w:r>
        <w:rPr>
          <w:rFonts w:hint="eastAsia" w:asciiTheme="minorEastAsia" w:hAnsiTheme="minorEastAsia" w:cstheme="minorEastAsia"/>
        </w:rPr>
        <w:t>现有四座国内铜矿山企业，每年铜尾矿约7720万吨，累计堆存3.12亿吨。铜尾矿砂经尾砂分级后粗砂用于井下充填，充填尾矿占总尾矿量5%-6%，尾矿脱硫后制微粉，用于水泥行业；铜矿石选铜、选硫后进一步用于浮选回收明矾石。</w:t>
      </w:r>
      <w:bookmarkStart w:id="6" w:name="_Toc99798292"/>
    </w:p>
    <w:p>
      <w:pPr>
        <w:rPr>
          <w:rFonts w:asciiTheme="minorEastAsia" w:hAnsiTheme="minorEastAsia" w:cstheme="minorEastAsia"/>
        </w:rPr>
      </w:pPr>
      <w:r>
        <w:rPr>
          <w:rFonts w:hint="eastAsia" w:asciiTheme="minorEastAsia" w:hAnsiTheme="minorEastAsia" w:cstheme="minorEastAsia"/>
          <w:b/>
          <w:bCs/>
        </w:rPr>
        <w:t>中条山有色金属集团有限公司：</w:t>
      </w:r>
      <w:r>
        <w:rPr>
          <w:rFonts w:hint="eastAsia" w:asciiTheme="minorEastAsia" w:hAnsiTheme="minorEastAsia" w:cstheme="minorEastAsia"/>
        </w:rPr>
        <w:t>现有三座矿山企业，每年产生铜尾矿约1000多万吨，累计堆存尾矿约为5亿吨。目前铜尾矿用于制备建筑用砂。产品有：特细砂、烘干砂、干混砂浆、烘干细粉等。特细砂主要用于建筑混凝土配料；烘干砂主要用于生产各类砂浆配料；干混砂浆已生产出砌筑、抹灰、粘结、抗裂等多种特种砂浆；烘干细粉在生产水泥（替代水泥混合材）、尾矿微粉、发泡水泥复合矿物掺合料等方面。</w:t>
      </w:r>
      <w:bookmarkEnd w:id="6"/>
    </w:p>
    <w:p>
      <w:pPr>
        <w:pStyle w:val="3"/>
        <w:rPr>
          <w:kern w:val="0"/>
        </w:rPr>
      </w:pPr>
      <w:bookmarkStart w:id="7" w:name="_Toc6492"/>
      <w:r>
        <w:rPr>
          <w:rFonts w:hint="eastAsia"/>
          <w:kern w:val="0"/>
        </w:rPr>
        <w:t>4</w:t>
      </w:r>
      <w:r>
        <w:rPr>
          <w:kern w:val="0"/>
        </w:rPr>
        <w:t>主要工作过程</w:t>
      </w:r>
      <w:bookmarkEnd w:id="5"/>
      <w:bookmarkEnd w:id="7"/>
    </w:p>
    <w:p>
      <w:pPr>
        <w:rPr>
          <w:b/>
          <w:bCs/>
        </w:rPr>
      </w:pPr>
      <w:r>
        <w:rPr>
          <w:rFonts w:hint="eastAsia"/>
          <w:b/>
          <w:bCs/>
        </w:rPr>
        <w:t>4.1立项阶段</w:t>
      </w:r>
    </w:p>
    <w:p>
      <w:r>
        <w:rPr>
          <w:rFonts w:hint="eastAsia"/>
        </w:rPr>
        <w:t>2023年2月至4月，</w:t>
      </w:r>
      <w:r>
        <w:t>按照《关于征集2023年有色金属国家标准、行业标准、协会标准项目计划的通知》（有色标委[2023]24号）的要求，对</w:t>
      </w:r>
      <w:r>
        <w:rPr>
          <w:rFonts w:hint="eastAsia"/>
        </w:rPr>
        <w:t>铜尾砂</w:t>
      </w:r>
      <w:r>
        <w:t>的行业状况和国内外相关标准文件进行了广泛调研分析，先后查阅了大量文献和相关标准，广泛征集</w:t>
      </w:r>
      <w:r>
        <w:rPr>
          <w:rFonts w:hint="eastAsia"/>
        </w:rPr>
        <w:t>调研了</w:t>
      </w:r>
      <w:r>
        <w:t>江西、安徽、</w:t>
      </w:r>
      <w:r>
        <w:rPr>
          <w:rFonts w:hint="eastAsia"/>
        </w:rPr>
        <w:t>山西、湖北、福建</w:t>
      </w:r>
      <w:r>
        <w:t>等地</w:t>
      </w:r>
      <w:r>
        <w:rPr>
          <w:rFonts w:hint="eastAsia"/>
        </w:rPr>
        <w:t>矿山铜尾矿砂</w:t>
      </w:r>
      <w:r>
        <w:t>基本性质及其</w:t>
      </w:r>
      <w:r>
        <w:rPr>
          <w:rFonts w:hint="eastAsia"/>
        </w:rPr>
        <w:t>综合利用</w:t>
      </w:r>
      <w:r>
        <w:t>的资料，</w:t>
      </w:r>
      <w:r>
        <w:rPr>
          <w:rFonts w:hint="eastAsia"/>
        </w:rPr>
        <w:t>提交了标准立项报告</w:t>
      </w:r>
      <w:r>
        <w:t>，</w:t>
      </w:r>
      <w:r>
        <w:rPr>
          <w:rFonts w:hint="eastAsia"/>
        </w:rPr>
        <w:t>标准建议书</w:t>
      </w:r>
      <w:r>
        <w:t>。</w:t>
      </w:r>
    </w:p>
    <w:p>
      <w:r>
        <w:t>202</w:t>
      </w:r>
      <w:r>
        <w:rPr>
          <w:rFonts w:hint="eastAsia"/>
        </w:rPr>
        <w:t>3</w:t>
      </w:r>
      <w:r>
        <w:t>年</w:t>
      </w:r>
      <w:r>
        <w:rPr>
          <w:rFonts w:hint="eastAsia"/>
        </w:rPr>
        <w:t>4</w:t>
      </w:r>
      <w:r>
        <w:t>月2</w:t>
      </w:r>
      <w:r>
        <w:rPr>
          <w:rFonts w:hint="eastAsia"/>
        </w:rPr>
        <w:t>4-27</w:t>
      </w:r>
      <w:r>
        <w:t>日</w:t>
      </w:r>
      <w:r>
        <w:rPr>
          <w:rFonts w:hint="eastAsia"/>
        </w:rPr>
        <w:t>，</w:t>
      </w:r>
      <w:r>
        <w:t>在湖北省武汉市召开有色金属标准项目论证会暨标准制修订工作会议，</w:t>
      </w:r>
      <w:r>
        <w:rPr>
          <w:rFonts w:hint="eastAsia"/>
        </w:rPr>
        <w:t>对《铜尾矿砂》</w:t>
      </w:r>
      <w:r>
        <w:t>协会标准计划项目</w:t>
      </w:r>
      <w:r>
        <w:rPr>
          <w:rFonts w:hint="eastAsia"/>
        </w:rPr>
        <w:t>进行了论证</w:t>
      </w:r>
      <w:r>
        <w:t>。标准第一主编单位</w:t>
      </w:r>
      <w:r>
        <w:rPr>
          <w:rFonts w:hint="eastAsia"/>
        </w:rPr>
        <w:t>江西铜业股份有限公司</w:t>
      </w:r>
      <w:r>
        <w:t>介绍了标准立项背景</w:t>
      </w:r>
      <w:r>
        <w:rPr>
          <w:rFonts w:hint="eastAsia"/>
        </w:rPr>
        <w:t>及综合利用</w:t>
      </w:r>
      <w:r>
        <w:t>应用的情况</w:t>
      </w:r>
      <w:r>
        <w:rPr>
          <w:rFonts w:hint="eastAsia"/>
        </w:rPr>
        <w:t>。</w:t>
      </w:r>
    </w:p>
    <w:p>
      <w:pPr>
        <w:rPr>
          <w:rFonts w:asciiTheme="minorEastAsia" w:hAnsiTheme="minorEastAsia" w:cstheme="minorEastAsia"/>
        </w:rPr>
      </w:pPr>
      <w:r>
        <w:rPr>
          <w:rFonts w:hint="eastAsia" w:asciiTheme="minorEastAsia" w:hAnsiTheme="minorEastAsia" w:cstheme="minorEastAsia"/>
        </w:rPr>
        <w:t>2023年 8月 28 日，全国有色金属标准标准化技术委员会下达了 2023 年第四批协会标准制修订计划（中色协科字{2023}95号），由江西铜业股份有限公司负责组织完成《铜尾矿砂》（标准计划编号 2023-026-T/CNIA)的制定任务，完成时间为 2024年，由全国有色金属标准化技术委员会归口管理。</w:t>
      </w:r>
    </w:p>
    <w:p>
      <w:pPr>
        <w:rPr>
          <w:rFonts w:asciiTheme="minorEastAsia" w:hAnsiTheme="minorEastAsia" w:cstheme="minorEastAsia"/>
          <w:b/>
          <w:bCs/>
        </w:rPr>
      </w:pPr>
      <w:r>
        <w:rPr>
          <w:rFonts w:hint="eastAsia" w:asciiTheme="minorEastAsia" w:hAnsiTheme="minorEastAsia" w:cstheme="minorEastAsia"/>
          <w:b/>
          <w:bCs/>
        </w:rPr>
        <w:t>4.2起草阶段</w:t>
      </w:r>
    </w:p>
    <w:p>
      <w:pPr>
        <w:rPr>
          <w:rFonts w:asciiTheme="minorEastAsia" w:hAnsiTheme="minorEastAsia" w:cstheme="minorEastAsia"/>
        </w:rPr>
      </w:pPr>
      <w:r>
        <w:rPr>
          <w:rFonts w:hint="eastAsia" w:asciiTheme="minorEastAsia" w:hAnsiTheme="minorEastAsia" w:cstheme="minorEastAsia"/>
        </w:rPr>
        <w:t>2023年9月，江西铜业股份有限公司按照（中色协科字{2023}95号）文件要求，提交标准制修订项目落实任务书。</w:t>
      </w:r>
    </w:p>
    <w:p>
      <w:pPr>
        <w:rPr>
          <w:rFonts w:asciiTheme="minorEastAsia" w:hAnsiTheme="minorEastAsia" w:cstheme="minorEastAsia"/>
        </w:rPr>
      </w:pPr>
      <w:r>
        <w:rPr>
          <w:rFonts w:hint="eastAsia" w:asciiTheme="minorEastAsia" w:hAnsiTheme="minorEastAsia" w:cstheme="minorEastAsia"/>
        </w:rPr>
        <w:t>2023年11月，江西铜业股份有限公司编制完成《铜尾矿砂》团体标准调查表及标准讨论稿。</w:t>
      </w:r>
    </w:p>
    <w:p>
      <w:pPr>
        <w:rPr>
          <w:rFonts w:asciiTheme="minorEastAsia" w:hAnsiTheme="minorEastAsia" w:cstheme="minorEastAsia"/>
          <w:b/>
        </w:rPr>
      </w:pPr>
      <w:r>
        <w:rPr>
          <w:rFonts w:hint="eastAsia" w:asciiTheme="minorEastAsia" w:hAnsiTheme="minorEastAsia" w:cstheme="minorEastAsia"/>
          <w:b/>
        </w:rPr>
        <w:t>4.3征求意见阶段</w:t>
      </w:r>
    </w:p>
    <w:p>
      <w:pPr>
        <w:rPr>
          <w:rFonts w:asciiTheme="minorEastAsia" w:hAnsiTheme="minorEastAsia" w:cstheme="minorEastAsia"/>
        </w:rPr>
      </w:pPr>
      <w:r>
        <w:rPr>
          <w:rFonts w:hint="eastAsia" w:asciiTheme="minorEastAsia" w:hAnsiTheme="minorEastAsia" w:cstheme="minorEastAsia"/>
        </w:rPr>
        <w:t>2023年12月，全国有色金属标准化技术委员会下发了有色标秘【2023】135号关于对团体标准计划2023-026-T/CNIA《铜尾矿砂》征求意见和数据调研的函，并网上征求意见。</w:t>
      </w:r>
    </w:p>
    <w:p>
      <w:pPr>
        <w:spacing w:line="360" w:lineRule="auto"/>
        <w:ind w:firstLineChars="200"/>
        <w:rPr>
          <w:rFonts w:asciiTheme="minorEastAsia" w:hAnsiTheme="minorEastAsia" w:cstheme="minorEastAsia"/>
        </w:rPr>
      </w:pPr>
      <w:r>
        <w:rPr>
          <w:rFonts w:hint="eastAsia" w:asciiTheme="minorEastAsia" w:hAnsiTheme="minorEastAsia" w:cstheme="minorEastAsia"/>
        </w:rPr>
        <w:t>2023年12月20-23日，全国有色金属标准技术委员会在江西省鹰潭市召开了有色重金属标准工作会议，会议对铜尾矿砂标准进行了讨论。</w:t>
      </w:r>
    </w:p>
    <w:p>
      <w:pPr>
        <w:spacing w:line="360" w:lineRule="auto"/>
        <w:ind w:firstLineChars="200"/>
        <w:rPr>
          <w:rFonts w:ascii="Times New Roman" w:hAnsi="Times New Roman" w:cs="Times New Roman"/>
          <w:color w:val="000000"/>
        </w:rPr>
      </w:pPr>
      <w:r>
        <w:rPr>
          <w:rFonts w:hint="eastAsia" w:asciiTheme="minorEastAsia" w:hAnsiTheme="minorEastAsia" w:cstheme="minorEastAsia"/>
        </w:rPr>
        <w:t>2023年12月至2024年5月份，</w:t>
      </w:r>
      <w:r>
        <w:rPr>
          <w:rFonts w:hint="eastAsia"/>
          <w:color w:val="000000"/>
        </w:rPr>
        <w:t>根据会上标委会专家及企业意见，结合</w:t>
      </w:r>
      <w:r>
        <w:rPr>
          <w:rFonts w:hint="eastAsia" w:ascii="Times New Roman" w:hAnsi="Times New Roman" w:cs="Times New Roman"/>
          <w:color w:val="000000"/>
        </w:rPr>
        <w:t>收到</w:t>
      </w:r>
      <w:r>
        <w:rPr>
          <w:rFonts w:hint="eastAsia" w:asciiTheme="minorEastAsia" w:hAnsiTheme="minorEastAsia" w:cstheme="minorEastAsia"/>
        </w:rPr>
        <w:t>中条山有色金属集团有限公司、铜陵有色金属集团控股有限公司、紫金矿业集团股份有限公司</w:t>
      </w:r>
      <w:r>
        <w:rPr>
          <w:rFonts w:hint="eastAsia" w:ascii="宋体" w:hAnsi="宋体"/>
        </w:rPr>
        <w:t>等单位的调研数据及</w:t>
      </w:r>
      <w:r>
        <w:rPr>
          <w:rFonts w:hint="eastAsia" w:ascii="Times New Roman" w:hAnsi="Times New Roman" w:cs="Times New Roman"/>
          <w:color w:val="000000"/>
        </w:rPr>
        <w:t>意见反馈。针对相关意见进行沟通，并对标准征求意见稿修改，形成标准和编制说明预审稿。</w:t>
      </w:r>
    </w:p>
    <w:p>
      <w:pPr>
        <w:rPr>
          <w:color w:val="000000"/>
          <w:szCs w:val="21"/>
        </w:rPr>
      </w:pPr>
      <w:r>
        <w:rPr>
          <w:rFonts w:hint="eastAsia"/>
          <w:color w:val="000000"/>
          <w:szCs w:val="21"/>
        </w:rPr>
        <w:t>4.4</w:t>
      </w:r>
      <w:r>
        <w:rPr>
          <w:color w:val="000000"/>
          <w:szCs w:val="21"/>
        </w:rPr>
        <w:t>本</w:t>
      </w:r>
      <w:r>
        <w:rPr>
          <w:rFonts w:hint="eastAsia"/>
          <w:color w:val="000000"/>
          <w:szCs w:val="21"/>
        </w:rPr>
        <w:t>标准</w:t>
      </w:r>
      <w:r>
        <w:rPr>
          <w:color w:val="000000"/>
          <w:szCs w:val="21"/>
        </w:rPr>
        <w:t>的主要参加单位及其所做工作如下表所示：</w:t>
      </w:r>
    </w:p>
    <w:p>
      <w:pPr>
        <w:pStyle w:val="16"/>
        <w:jc w:val="center"/>
      </w:pPr>
      <w:r>
        <w:t>表1  主要参加单位及其所做工作</w:t>
      </w:r>
    </w:p>
    <w:tbl>
      <w:tblPr>
        <w:tblStyle w:val="10"/>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2585"/>
        <w:gridCol w:w="6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pPr>
              <w:pStyle w:val="16"/>
            </w:pPr>
            <w:r>
              <w:t>序号</w:t>
            </w:r>
          </w:p>
        </w:tc>
        <w:tc>
          <w:tcPr>
            <w:tcW w:w="2585" w:type="dxa"/>
            <w:vAlign w:val="center"/>
          </w:tcPr>
          <w:p>
            <w:pPr>
              <w:ind w:firstLine="0"/>
              <w:jc w:val="center"/>
              <w:rPr>
                <w:kern w:val="0"/>
                <w:szCs w:val="21"/>
              </w:rPr>
            </w:pPr>
            <w:r>
              <w:rPr>
                <w:kern w:val="0"/>
                <w:szCs w:val="21"/>
              </w:rPr>
              <w:t>主要完成工作</w:t>
            </w:r>
          </w:p>
        </w:tc>
        <w:tc>
          <w:tcPr>
            <w:tcW w:w="6081" w:type="dxa"/>
            <w:vAlign w:val="center"/>
          </w:tcPr>
          <w:p>
            <w:pPr>
              <w:ind w:firstLine="0"/>
              <w:jc w:val="center"/>
              <w:rPr>
                <w:kern w:val="0"/>
                <w:szCs w:val="21"/>
              </w:rPr>
            </w:pPr>
            <w:r>
              <w:rPr>
                <w:kern w:val="0"/>
                <w:szCs w:val="21"/>
              </w:rPr>
              <w:t>主要完成单位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pPr>
              <w:pStyle w:val="16"/>
            </w:pPr>
            <w:r>
              <w:t>1</w:t>
            </w:r>
          </w:p>
        </w:tc>
        <w:tc>
          <w:tcPr>
            <w:tcW w:w="2585" w:type="dxa"/>
            <w:vAlign w:val="center"/>
          </w:tcPr>
          <w:p>
            <w:pPr>
              <w:pStyle w:val="16"/>
              <w:ind w:left="0" w:leftChars="0" w:firstLine="0" w:firstLineChars="0"/>
            </w:pPr>
            <w:r>
              <w:t>行业状况及产品应用的前期调研</w:t>
            </w:r>
          </w:p>
        </w:tc>
        <w:tc>
          <w:tcPr>
            <w:tcW w:w="6081" w:type="dxa"/>
            <w:vAlign w:val="center"/>
          </w:tcPr>
          <w:p>
            <w:pPr>
              <w:pStyle w:val="16"/>
              <w:rPr>
                <w:rFonts w:ascii="Times New Roman"/>
                <w:szCs w:val="21"/>
              </w:rPr>
            </w:pPr>
            <w:r>
              <w:rPr>
                <w:rFonts w:hint="eastAsia"/>
              </w:rPr>
              <w:t>江西铜业股份有限公司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pPr>
              <w:pStyle w:val="16"/>
            </w:pPr>
            <w:r>
              <w:t>2</w:t>
            </w:r>
          </w:p>
        </w:tc>
        <w:tc>
          <w:tcPr>
            <w:tcW w:w="2585" w:type="dxa"/>
            <w:vAlign w:val="center"/>
          </w:tcPr>
          <w:p>
            <w:pPr>
              <w:pStyle w:val="16"/>
              <w:ind w:left="0" w:leftChars="0" w:firstLine="0" w:firstLineChars="0"/>
            </w:pPr>
            <w:r>
              <w:t>国内外技术材料及相关标准的搜集和翻译</w:t>
            </w:r>
          </w:p>
        </w:tc>
        <w:tc>
          <w:tcPr>
            <w:tcW w:w="6081" w:type="dxa"/>
            <w:vAlign w:val="center"/>
          </w:tcPr>
          <w:p>
            <w:pPr>
              <w:pStyle w:val="16"/>
              <w:rPr>
                <w:rFonts w:ascii="Times New Roman"/>
                <w:szCs w:val="21"/>
              </w:rPr>
            </w:pPr>
            <w:r>
              <w:rPr>
                <w:rFonts w:hint="eastAsia"/>
              </w:rPr>
              <w:t>江西铜业股份有限公司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pPr>
              <w:pStyle w:val="16"/>
            </w:pPr>
            <w:r>
              <w:t>3</w:t>
            </w:r>
          </w:p>
        </w:tc>
        <w:tc>
          <w:tcPr>
            <w:tcW w:w="2585" w:type="dxa"/>
            <w:vAlign w:val="center"/>
          </w:tcPr>
          <w:p>
            <w:pPr>
              <w:pStyle w:val="16"/>
              <w:ind w:left="0" w:leftChars="0" w:firstLine="0" w:firstLineChars="0"/>
            </w:pPr>
            <w:r>
              <w:t>确定各项技术要求和检验规则</w:t>
            </w:r>
          </w:p>
        </w:tc>
        <w:tc>
          <w:tcPr>
            <w:tcW w:w="6081" w:type="dxa"/>
            <w:vAlign w:val="center"/>
          </w:tcPr>
          <w:p>
            <w:pPr>
              <w:pStyle w:val="16"/>
            </w:pPr>
            <w:r>
              <w:t>编制组全体单位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pPr>
              <w:pStyle w:val="16"/>
            </w:pPr>
            <w:r>
              <w:t>4</w:t>
            </w:r>
          </w:p>
        </w:tc>
        <w:tc>
          <w:tcPr>
            <w:tcW w:w="2585" w:type="dxa"/>
            <w:vAlign w:val="center"/>
          </w:tcPr>
          <w:p>
            <w:pPr>
              <w:pStyle w:val="16"/>
              <w:ind w:left="0" w:leftChars="0" w:firstLine="0" w:firstLineChars="0"/>
            </w:pPr>
            <w:r>
              <w:t>提供验证试验数据</w:t>
            </w:r>
          </w:p>
        </w:tc>
        <w:tc>
          <w:tcPr>
            <w:tcW w:w="6081" w:type="dxa"/>
            <w:vAlign w:val="center"/>
          </w:tcPr>
          <w:p>
            <w:pPr>
              <w:pStyle w:val="16"/>
              <w:rPr>
                <w:rFonts w:ascii="Times New Roman"/>
                <w:szCs w:val="21"/>
              </w:rPr>
            </w:pPr>
            <w:r>
              <w:rPr>
                <w:rFonts w:hint="eastAsia"/>
              </w:rPr>
              <w:t>江西铜业股份有限公司、大冶有色金属有限责任公司、铜陵有色金属集团控股有限公司、紫金矿业集团股份有限公司、中条山有色金属集团有限公司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pPr>
              <w:pStyle w:val="16"/>
            </w:pPr>
            <w:r>
              <w:t>5</w:t>
            </w:r>
          </w:p>
        </w:tc>
        <w:tc>
          <w:tcPr>
            <w:tcW w:w="2585" w:type="dxa"/>
            <w:vAlign w:val="center"/>
          </w:tcPr>
          <w:p>
            <w:pPr>
              <w:pStyle w:val="16"/>
              <w:ind w:left="0" w:leftChars="0" w:firstLine="0" w:firstLineChars="0"/>
            </w:pPr>
            <w:r>
              <w:t>科技查新及资料汇总整理</w:t>
            </w:r>
          </w:p>
        </w:tc>
        <w:tc>
          <w:tcPr>
            <w:tcW w:w="6081" w:type="dxa"/>
            <w:vAlign w:val="center"/>
          </w:tcPr>
          <w:p>
            <w:pPr>
              <w:pStyle w:val="16"/>
              <w:rPr>
                <w:rFonts w:ascii="Times New Roman"/>
                <w:szCs w:val="21"/>
              </w:rPr>
            </w:pPr>
            <w:r>
              <w:rPr>
                <w:rFonts w:hint="eastAsia"/>
              </w:rPr>
              <w:t>江西铜业股份有限公司、大冶有色金属有限责任公司、铜陵有色金属集团控股有限公司、紫金矿业集团股份有限公司、中条山有色金属集团有限公司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vAlign w:val="center"/>
          </w:tcPr>
          <w:p>
            <w:pPr>
              <w:pStyle w:val="16"/>
            </w:pPr>
            <w:r>
              <w:t>6</w:t>
            </w:r>
          </w:p>
        </w:tc>
        <w:tc>
          <w:tcPr>
            <w:tcW w:w="2585" w:type="dxa"/>
            <w:vAlign w:val="center"/>
          </w:tcPr>
          <w:p>
            <w:pPr>
              <w:pStyle w:val="16"/>
              <w:ind w:left="0" w:leftChars="0" w:firstLine="0" w:firstLineChars="0"/>
            </w:pPr>
            <w:r>
              <w:t>编写及完善编制说明等相关文件</w:t>
            </w:r>
          </w:p>
        </w:tc>
        <w:tc>
          <w:tcPr>
            <w:tcW w:w="6081" w:type="dxa"/>
            <w:vAlign w:val="center"/>
          </w:tcPr>
          <w:p>
            <w:pPr>
              <w:pStyle w:val="16"/>
            </w:pPr>
            <w:r>
              <w:t>编制组全体单位</w:t>
            </w:r>
          </w:p>
        </w:tc>
      </w:tr>
    </w:tbl>
    <w:p>
      <w:pPr>
        <w:rPr>
          <w:rFonts w:asciiTheme="minorEastAsia" w:hAnsiTheme="minorEastAsia" w:cstheme="minorEastAsia"/>
        </w:rPr>
      </w:pPr>
    </w:p>
    <w:p>
      <w:pPr>
        <w:pStyle w:val="17"/>
        <w:widowControl/>
        <w:numPr>
          <w:ilvl w:val="0"/>
          <w:numId w:val="2"/>
        </w:numPr>
        <w:adjustRightInd w:val="0"/>
        <w:snapToGrid w:val="0"/>
        <w:spacing w:line="360" w:lineRule="auto"/>
        <w:jc w:val="left"/>
        <w:outlineLvl w:val="0"/>
        <w:rPr>
          <w:b/>
          <w:bCs/>
        </w:rPr>
      </w:pPr>
      <w:r>
        <w:rPr>
          <w:rFonts w:hint="eastAsia" w:ascii="宋体" w:hAnsi="宋体" w:eastAsia="宋体" w:cs="Arial"/>
          <w:b/>
          <w:bCs/>
          <w:color w:val="000000"/>
          <w:sz w:val="28"/>
          <w:szCs w:val="28"/>
          <w:shd w:val="clear" w:color="auto" w:fill="FFFFFF"/>
        </w:rPr>
        <w:t>二、标准编制原则及确定标准的主要内容</w:t>
      </w:r>
    </w:p>
    <w:p>
      <w:pPr>
        <w:pStyle w:val="3"/>
        <w:widowControl/>
        <w:jc w:val="both"/>
        <w:rPr>
          <w:rFonts w:ascii="Calibri" w:hAnsi="Calibri" w:eastAsia="宋体" w:cs="Times New Roman"/>
          <w:kern w:val="0"/>
          <w:szCs w:val="24"/>
        </w:rPr>
      </w:pPr>
      <w:bookmarkStart w:id="8" w:name="_Toc23186"/>
      <w:bookmarkStart w:id="9" w:name="_Toc21223"/>
      <w:bookmarkStart w:id="10" w:name="_Toc31873"/>
      <w:bookmarkStart w:id="11" w:name="_Toc10645673"/>
      <w:r>
        <w:rPr>
          <w:rFonts w:ascii="Calibri" w:hAnsi="Calibri" w:eastAsia="宋体" w:cs="Times New Roman"/>
          <w:kern w:val="0"/>
          <w:szCs w:val="24"/>
        </w:rPr>
        <w:t>2.1 标准制定的原则</w:t>
      </w:r>
      <w:bookmarkEnd w:id="8"/>
      <w:bookmarkEnd w:id="9"/>
      <w:bookmarkEnd w:id="10"/>
      <w:bookmarkEnd w:id="11"/>
    </w:p>
    <w:p>
      <w:pPr>
        <w:rPr>
          <w:rFonts w:ascii="Calibri" w:hAnsi="Calibri" w:eastAsia="宋体" w:cs="Times New Roman"/>
        </w:rPr>
      </w:pPr>
      <w:r>
        <w:rPr>
          <w:rFonts w:ascii="Calibri" w:hAnsi="Calibri" w:eastAsia="宋体" w:cs="Times New Roman"/>
        </w:rPr>
        <w:t>标准具体编制内容根据GB/T 1.1《标准化工作导则 第</w:t>
      </w:r>
      <w:r>
        <w:rPr>
          <w:rFonts w:hint="eastAsia" w:ascii="Calibri" w:hAnsi="Calibri" w:eastAsia="宋体" w:cs="Times New Roman"/>
        </w:rPr>
        <w:t>1</w:t>
      </w:r>
      <w:r>
        <w:rPr>
          <w:rFonts w:ascii="Calibri" w:hAnsi="Calibri" w:eastAsia="宋体" w:cs="Times New Roman"/>
        </w:rPr>
        <w:t>部分：标准</w:t>
      </w:r>
      <w:r>
        <w:rPr>
          <w:rFonts w:hint="eastAsia" w:ascii="Calibri" w:hAnsi="Calibri" w:eastAsia="宋体" w:cs="Times New Roman"/>
        </w:rPr>
        <w:t>化文件</w:t>
      </w:r>
      <w:r>
        <w:rPr>
          <w:rFonts w:ascii="Calibri" w:hAnsi="Calibri" w:eastAsia="宋体" w:cs="Times New Roman"/>
        </w:rPr>
        <w:t>的结构和</w:t>
      </w:r>
      <w:r>
        <w:rPr>
          <w:rFonts w:hint="eastAsia" w:ascii="Calibri" w:hAnsi="Calibri" w:eastAsia="宋体" w:cs="Times New Roman"/>
        </w:rPr>
        <w:t>起草</w:t>
      </w:r>
      <w:r>
        <w:rPr>
          <w:rFonts w:ascii="Calibri" w:hAnsi="Calibri" w:eastAsia="宋体" w:cs="Times New Roman"/>
        </w:rPr>
        <w:t>规则》和国家有关规定要求进行编写。编写的基本原则：</w:t>
      </w:r>
    </w:p>
    <w:p>
      <w:pPr>
        <w:rPr>
          <w:rFonts w:ascii="Calibri" w:hAnsi="Calibri" w:eastAsia="宋体" w:cs="Times New Roman"/>
        </w:rPr>
      </w:pPr>
      <w:r>
        <w:rPr>
          <w:rFonts w:ascii="Calibri" w:hAnsi="Calibri" w:eastAsia="宋体" w:cs="Times New Roman"/>
        </w:rPr>
        <w:t>（1）统一性。注意与相关国家标准之中词条用语和技术要求的一致性。</w:t>
      </w:r>
    </w:p>
    <w:p>
      <w:pPr>
        <w:rPr>
          <w:rFonts w:ascii="Calibri" w:hAnsi="Calibri" w:eastAsia="宋体" w:cs="Times New Roman"/>
        </w:rPr>
      </w:pPr>
      <w:r>
        <w:rPr>
          <w:rFonts w:ascii="Calibri" w:hAnsi="Calibri" w:eastAsia="宋体" w:cs="Times New Roman"/>
        </w:rPr>
        <w:t>（2）适用性。本标准中</w:t>
      </w:r>
      <w:r>
        <w:rPr>
          <w:rFonts w:hint="eastAsia" w:ascii="Calibri" w:hAnsi="Calibri" w:eastAsia="宋体" w:cs="Times New Roman"/>
        </w:rPr>
        <w:t>铜尾矿砂</w:t>
      </w:r>
      <w:r>
        <w:rPr>
          <w:rFonts w:ascii="Calibri" w:hAnsi="Calibri" w:eastAsia="宋体" w:cs="Times New Roman"/>
        </w:rPr>
        <w:t>的技术要求标准文本中最重要内容，本标准编制过程中，广泛采集不同地区</w:t>
      </w:r>
      <w:r>
        <w:rPr>
          <w:rFonts w:hint="eastAsia" w:ascii="Calibri" w:hAnsi="Calibri" w:eastAsia="宋体" w:cs="Times New Roman"/>
        </w:rPr>
        <w:t>铜尾矿砂基本情况及综合利用相关数据</w:t>
      </w:r>
      <w:r>
        <w:rPr>
          <w:rFonts w:ascii="Calibri" w:hAnsi="Calibri" w:eastAsia="宋体" w:cs="Times New Roman"/>
        </w:rPr>
        <w:t>，确定了</w:t>
      </w:r>
      <w:r>
        <w:rPr>
          <w:rFonts w:hint="eastAsia" w:ascii="Calibri" w:hAnsi="Calibri" w:eastAsia="宋体" w:cs="Times New Roman"/>
        </w:rPr>
        <w:t>铜尾矿砂</w:t>
      </w:r>
      <w:r>
        <w:rPr>
          <w:rFonts w:ascii="Calibri" w:hAnsi="Calibri" w:eastAsia="宋体" w:cs="Times New Roman"/>
        </w:rPr>
        <w:t>的技术要求，技术要求的适用性强。</w:t>
      </w:r>
    </w:p>
    <w:p>
      <w:pPr>
        <w:rPr>
          <w:rFonts w:ascii="Calibri" w:hAnsi="Calibri" w:eastAsia="宋体" w:cs="Times New Roman"/>
        </w:rPr>
      </w:pPr>
      <w:r>
        <w:rPr>
          <w:rFonts w:ascii="Calibri" w:hAnsi="Calibri" w:eastAsia="宋体" w:cs="Times New Roman"/>
        </w:rPr>
        <w:t>（3）计划性。本标准安排有</w:t>
      </w:r>
      <w:r>
        <w:rPr>
          <w:rFonts w:hint="eastAsia" w:ascii="Calibri" w:hAnsi="Calibri" w:eastAsia="宋体" w:cs="Times New Roman"/>
        </w:rPr>
        <w:t>铜尾矿砂</w:t>
      </w:r>
      <w:r>
        <w:rPr>
          <w:rFonts w:ascii="Calibri" w:hAnsi="Calibri" w:eastAsia="宋体" w:cs="Times New Roman"/>
        </w:rPr>
        <w:t>分布情况调研、</w:t>
      </w:r>
      <w:r>
        <w:rPr>
          <w:rFonts w:hint="eastAsia" w:ascii="Calibri" w:hAnsi="Calibri" w:eastAsia="宋体" w:cs="Times New Roman"/>
        </w:rPr>
        <w:t>铜尾矿砂</w:t>
      </w:r>
      <w:r>
        <w:rPr>
          <w:rFonts w:ascii="Calibri" w:hAnsi="Calibri" w:eastAsia="宋体" w:cs="Times New Roman"/>
        </w:rPr>
        <w:t>性能测试验工作等大量内容，编制组制定工作计划，并严格执行，编制组成员积极响应各项工作任务，保证了制标工作的顺利进行和完成。</w:t>
      </w:r>
    </w:p>
    <w:p>
      <w:pPr>
        <w:rPr>
          <w:rFonts w:ascii="Calibri" w:hAnsi="Calibri" w:eastAsia="宋体" w:cs="Times New Roman"/>
        </w:rPr>
      </w:pPr>
      <w:r>
        <w:rPr>
          <w:rFonts w:ascii="Calibri" w:hAnsi="Calibri" w:eastAsia="宋体" w:cs="Times New Roman"/>
        </w:rPr>
        <w:t>本标准的制定是对现有产品标准体系的完善和补充。相关条款的制定符合先进可行、规范合理的原则，规程制定遵循突出产品特性，促进行业健康发展和产品推广的原则。标准中的试验方法尽量采用现行的国家标准和行业标准，以保证规程中技术指标测试的准确性、科学性与可行性，各项条款兼顾目前现状和发展需求。</w:t>
      </w:r>
    </w:p>
    <w:p>
      <w:pPr>
        <w:pStyle w:val="3"/>
        <w:widowControl/>
        <w:jc w:val="both"/>
        <w:rPr>
          <w:rFonts w:ascii="Calibri" w:hAnsi="Calibri" w:eastAsia="宋体" w:cs="Times New Roman"/>
          <w:kern w:val="0"/>
          <w:szCs w:val="24"/>
        </w:rPr>
      </w:pPr>
      <w:bookmarkStart w:id="12" w:name="_Toc443"/>
      <w:bookmarkStart w:id="13" w:name="_Toc11703"/>
      <w:bookmarkStart w:id="14" w:name="_Toc10645674"/>
      <w:bookmarkStart w:id="15" w:name="_Toc10407"/>
      <w:r>
        <w:rPr>
          <w:rFonts w:ascii="Calibri" w:hAnsi="Calibri" w:eastAsia="宋体" w:cs="Times New Roman"/>
          <w:kern w:val="0"/>
          <w:szCs w:val="24"/>
        </w:rPr>
        <w:t>2.2 标准的主要内容</w:t>
      </w:r>
      <w:bookmarkEnd w:id="12"/>
      <w:bookmarkEnd w:id="13"/>
      <w:bookmarkEnd w:id="14"/>
      <w:bookmarkEnd w:id="15"/>
      <w:r>
        <w:rPr>
          <w:rFonts w:ascii="Calibri" w:hAnsi="Calibri" w:eastAsia="宋体" w:cs="Times New Roman"/>
          <w:kern w:val="0"/>
          <w:szCs w:val="24"/>
        </w:rPr>
        <w:tab/>
      </w:r>
    </w:p>
    <w:p>
      <w:pPr>
        <w:widowControl/>
        <w:ind w:firstLine="0"/>
        <w:rPr>
          <w:rFonts w:ascii="Calibri" w:hAnsi="Calibri" w:eastAsia="宋体" w:cs="Times New Roman"/>
          <w:b/>
          <w:bCs/>
          <w:kern w:val="0"/>
        </w:rPr>
      </w:pPr>
      <w:bookmarkStart w:id="16" w:name="_Toc10645675"/>
      <w:bookmarkStart w:id="17" w:name="_Toc11036"/>
      <w:bookmarkStart w:id="18" w:name="_Toc5171"/>
      <w:bookmarkStart w:id="19" w:name="_Toc11877269"/>
      <w:r>
        <w:rPr>
          <w:rFonts w:ascii="Calibri" w:hAnsi="Calibri" w:eastAsia="宋体" w:cs="Times New Roman"/>
          <w:b/>
          <w:bCs/>
          <w:kern w:val="0"/>
        </w:rPr>
        <w:t xml:space="preserve">2.2.1 </w:t>
      </w:r>
      <w:bookmarkEnd w:id="16"/>
      <w:bookmarkEnd w:id="17"/>
      <w:bookmarkEnd w:id="18"/>
      <w:bookmarkEnd w:id="19"/>
      <w:r>
        <w:rPr>
          <w:rFonts w:ascii="Calibri" w:hAnsi="Calibri" w:eastAsia="宋体" w:cs="Times New Roman"/>
          <w:b/>
          <w:bCs/>
          <w:kern w:val="0"/>
        </w:rPr>
        <w:t>范围</w:t>
      </w:r>
    </w:p>
    <w:p>
      <w:pPr>
        <w:rPr>
          <w:rFonts w:ascii="Calibri" w:hAnsi="Calibri" w:eastAsia="宋体" w:cs="Times New Roman"/>
          <w:szCs w:val="21"/>
        </w:rPr>
      </w:pPr>
      <w:r>
        <w:rPr>
          <w:rFonts w:hint="eastAsia" w:ascii="Calibri" w:hAnsi="Calibri" w:eastAsia="宋体" w:cs="Times New Roman"/>
          <w:szCs w:val="21"/>
        </w:rPr>
        <w:t>本标准规定了铜尾矿砂的</w:t>
      </w:r>
      <w:r>
        <w:rPr>
          <w:rFonts w:hint="eastAsia" w:ascii="宋体" w:hAnsi="宋体" w:cs="宋体"/>
          <w:szCs w:val="21"/>
        </w:rPr>
        <w:t>术语和定义、分类、</w:t>
      </w:r>
      <w:r>
        <w:rPr>
          <w:rFonts w:hint="eastAsia" w:ascii="Calibri" w:hAnsi="Calibri" w:eastAsia="宋体" w:cs="Times New Roman"/>
          <w:szCs w:val="21"/>
        </w:rPr>
        <w:t>技术要求、试验方法、检验规则、贮存和运输。</w:t>
      </w:r>
    </w:p>
    <w:p>
      <w:pPr>
        <w:spacing w:before="24" w:line="301" w:lineRule="auto"/>
        <w:ind w:left="8" w:firstLine="418"/>
        <w:rPr>
          <w:rFonts w:ascii="宋体" w:hAnsi="宋体"/>
          <w:bCs/>
          <w:color w:val="000000"/>
        </w:rPr>
      </w:pPr>
      <w:r>
        <w:rPr>
          <w:rFonts w:hint="eastAsia" w:ascii="Calibri" w:hAnsi="Calibri" w:eastAsia="宋体" w:cs="Times New Roman"/>
        </w:rPr>
        <w:t>本标准适用于</w:t>
      </w:r>
      <w:r>
        <w:rPr>
          <w:rFonts w:hint="eastAsia" w:ascii="宋体" w:hAnsi="宋体" w:cs="宋体"/>
        </w:rPr>
        <w:t>铜矿石经选矿产生的尾矿，再经脱硫、脱水处理的铜尾矿砂，作为预拌</w:t>
      </w:r>
      <w:r>
        <w:rPr>
          <w:rFonts w:hint="eastAsia" w:ascii="Times New Roman" w:hAnsi="Times New Roman" w:eastAsia="宋体" w:cs="Times New Roman"/>
          <w:spacing w:val="9"/>
        </w:rPr>
        <w:t>砂浆和混凝土、蒸压加气混凝土制品、</w:t>
      </w:r>
      <w:r>
        <w:rPr>
          <w:rFonts w:hint="eastAsia" w:eastAsia="宋体" w:cs="Times New Roman"/>
          <w:spacing w:val="9"/>
        </w:rPr>
        <w:t>水泥掺合料、</w:t>
      </w:r>
      <w:r>
        <w:rPr>
          <w:rFonts w:hint="eastAsia" w:ascii="Times New Roman" w:hAnsi="Times New Roman" w:eastAsia="宋体" w:cs="Times New Roman"/>
          <w:spacing w:val="9"/>
        </w:rPr>
        <w:t>烧结砖、免蒸免烧砖、道路无机结合料等建筑</w:t>
      </w:r>
      <w:r>
        <w:rPr>
          <w:rFonts w:ascii="Times New Roman" w:hAnsi="Times New Roman" w:eastAsia="宋体" w:cs="Times New Roman"/>
          <w:spacing w:val="8"/>
        </w:rPr>
        <w:t>行业使用</w:t>
      </w:r>
      <w:r>
        <w:rPr>
          <w:rFonts w:hint="eastAsia" w:ascii="Times New Roman" w:hAnsi="Times New Roman" w:eastAsia="宋体" w:cs="Times New Roman"/>
          <w:spacing w:val="8"/>
        </w:rPr>
        <w:t>的</w:t>
      </w:r>
      <w:r>
        <w:rPr>
          <w:rFonts w:hint="eastAsia"/>
          <w:spacing w:val="9"/>
        </w:rPr>
        <w:t>原料</w:t>
      </w:r>
      <w:r>
        <w:rPr>
          <w:rFonts w:hint="eastAsia" w:ascii="宋体" w:hAnsi="宋体" w:cs="宋体"/>
        </w:rPr>
        <w:t>。</w:t>
      </w:r>
    </w:p>
    <w:p>
      <w:pPr>
        <w:rPr>
          <w:rFonts w:ascii="Calibri" w:hAnsi="Calibri" w:eastAsia="宋体" w:cs="Times New Roman"/>
          <w:szCs w:val="21"/>
        </w:rPr>
      </w:pPr>
    </w:p>
    <w:p>
      <w:pPr>
        <w:widowControl/>
        <w:ind w:firstLine="0"/>
        <w:rPr>
          <w:rFonts w:ascii="Calibri" w:hAnsi="Calibri" w:eastAsia="宋体" w:cs="Times New Roman"/>
          <w:b/>
          <w:bCs/>
          <w:kern w:val="0"/>
        </w:rPr>
      </w:pPr>
      <w:bookmarkStart w:id="20" w:name="_Toc11877270"/>
      <w:bookmarkStart w:id="21" w:name="_Toc10645676"/>
      <w:r>
        <w:rPr>
          <w:rFonts w:ascii="Calibri" w:hAnsi="Calibri" w:eastAsia="宋体" w:cs="Times New Roman"/>
          <w:b/>
          <w:bCs/>
          <w:kern w:val="0"/>
        </w:rPr>
        <w:t>2.2.2 引用文件</w:t>
      </w:r>
    </w:p>
    <w:p>
      <w:pPr>
        <w:rPr>
          <w:rFonts w:ascii="Calibri" w:hAnsi="Calibri" w:eastAsia="宋体" w:cs="Times New Roman"/>
          <w:szCs w:val="21"/>
        </w:rPr>
      </w:pPr>
      <w:r>
        <w:rPr>
          <w:rFonts w:ascii="Calibri" w:hAnsi="Calibri" w:eastAsia="宋体" w:cs="Times New Roman"/>
          <w:szCs w:val="21"/>
        </w:rPr>
        <w:t>本标准在制定过程中主要引用和参考了以下标准：</w:t>
      </w:r>
    </w:p>
    <w:p>
      <w:pPr>
        <w:rPr>
          <w:rFonts w:ascii="Calibri" w:hAnsi="Calibri" w:eastAsia="宋体" w:cs="Times New Roman"/>
          <w:szCs w:val="21"/>
        </w:rPr>
      </w:pPr>
      <w:r>
        <w:rPr>
          <w:rFonts w:ascii="Calibri" w:hAnsi="Calibri" w:eastAsia="宋体" w:cs="Times New Roman"/>
          <w:szCs w:val="21"/>
        </w:rPr>
        <w:t>（1）GB 6566  建筑材料放射性核素限量</w:t>
      </w:r>
    </w:p>
    <w:p>
      <w:pPr>
        <w:rPr>
          <w:rFonts w:ascii="Calibri" w:hAnsi="Calibri" w:eastAsia="宋体" w:cs="Times New Roman"/>
          <w:szCs w:val="21"/>
        </w:rPr>
      </w:pPr>
      <w:r>
        <w:rPr>
          <w:rFonts w:ascii="Calibri" w:hAnsi="Calibri" w:eastAsia="宋体" w:cs="Times New Roman"/>
          <w:szCs w:val="21"/>
        </w:rPr>
        <w:t>引用该标准作为</w:t>
      </w:r>
      <w:r>
        <w:rPr>
          <w:rFonts w:hint="eastAsia" w:ascii="Calibri" w:hAnsi="Calibri" w:eastAsia="宋体" w:cs="Times New Roman"/>
          <w:szCs w:val="21"/>
        </w:rPr>
        <w:t>铜尾矿砂</w:t>
      </w:r>
      <w:r>
        <w:rPr>
          <w:rFonts w:ascii="Calibri" w:hAnsi="Calibri" w:eastAsia="宋体" w:cs="Times New Roman"/>
          <w:szCs w:val="21"/>
        </w:rPr>
        <w:t>放射性指标及其测试方法的确定依据。</w:t>
      </w:r>
    </w:p>
    <w:p>
      <w:pPr>
        <w:rPr>
          <w:rFonts w:ascii="Calibri" w:hAnsi="Calibri" w:eastAsia="宋体" w:cs="Times New Roman"/>
          <w:szCs w:val="21"/>
        </w:rPr>
      </w:pPr>
      <w:r>
        <w:rPr>
          <w:rFonts w:ascii="Calibri" w:hAnsi="Calibri" w:eastAsia="宋体" w:cs="Times New Roman"/>
          <w:szCs w:val="21"/>
        </w:rPr>
        <w:t>（</w:t>
      </w:r>
      <w:r>
        <w:rPr>
          <w:rFonts w:hint="eastAsia" w:ascii="Calibri" w:hAnsi="Calibri" w:eastAsia="宋体" w:cs="Times New Roman"/>
          <w:szCs w:val="21"/>
        </w:rPr>
        <w:t>2</w:t>
      </w:r>
      <w:r>
        <w:rPr>
          <w:rFonts w:ascii="Calibri" w:hAnsi="Calibri" w:eastAsia="宋体" w:cs="Times New Roman"/>
          <w:szCs w:val="21"/>
        </w:rPr>
        <w:t>）GB/T 14684  建设用砂</w:t>
      </w:r>
    </w:p>
    <w:p>
      <w:pPr>
        <w:rPr>
          <w:rFonts w:ascii="Calibri" w:hAnsi="Calibri" w:eastAsia="宋体" w:cs="Times New Roman"/>
          <w:szCs w:val="21"/>
        </w:rPr>
      </w:pPr>
      <w:r>
        <w:rPr>
          <w:rFonts w:ascii="Calibri" w:hAnsi="Calibri" w:eastAsia="宋体" w:cs="Times New Roman"/>
          <w:szCs w:val="21"/>
        </w:rPr>
        <w:t>引用该标准作为</w:t>
      </w:r>
      <w:r>
        <w:rPr>
          <w:rFonts w:hint="eastAsia" w:ascii="Calibri" w:hAnsi="Calibri" w:eastAsia="宋体" w:cs="Times New Roman"/>
          <w:szCs w:val="21"/>
        </w:rPr>
        <w:t>铜尾矿砂</w:t>
      </w:r>
      <w:r>
        <w:rPr>
          <w:rFonts w:ascii="Calibri" w:hAnsi="Calibri" w:eastAsia="宋体" w:cs="Times New Roman"/>
          <w:szCs w:val="21"/>
        </w:rPr>
        <w:t>取样方法、试样处理、试验环境、试验用筛以及</w:t>
      </w:r>
      <w:r>
        <w:rPr>
          <w:rFonts w:hint="eastAsia" w:ascii="Calibri" w:hAnsi="Calibri" w:eastAsia="宋体" w:cs="Times New Roman"/>
          <w:szCs w:val="21"/>
          <w:lang w:val="en-US" w:eastAsia="zh-CN"/>
        </w:rPr>
        <w:t>颗粒级配、粉含量</w:t>
      </w:r>
      <w:r>
        <w:rPr>
          <w:rFonts w:ascii="Calibri" w:hAnsi="Calibri" w:eastAsia="宋体" w:cs="Times New Roman"/>
          <w:szCs w:val="21"/>
        </w:rPr>
        <w:t>、表观密度、有害物质和碱活性等技术指标的检测方法依据。</w:t>
      </w:r>
    </w:p>
    <w:p>
      <w:pPr>
        <w:rPr>
          <w:rFonts w:ascii="Calibri" w:hAnsi="Calibri" w:eastAsia="宋体" w:cs="Times New Roman"/>
          <w:szCs w:val="21"/>
        </w:rPr>
      </w:pPr>
      <w:r>
        <w:rPr>
          <w:rFonts w:ascii="Calibri" w:hAnsi="Calibri" w:eastAsia="宋体" w:cs="Times New Roman"/>
          <w:szCs w:val="21"/>
        </w:rPr>
        <w:t>（</w:t>
      </w:r>
      <w:r>
        <w:rPr>
          <w:rFonts w:hint="eastAsia" w:ascii="Calibri" w:hAnsi="Calibri" w:eastAsia="宋体" w:cs="Times New Roman"/>
          <w:szCs w:val="21"/>
          <w:lang w:val="en-US" w:eastAsia="zh-CN"/>
        </w:rPr>
        <w:t>3</w:t>
      </w:r>
      <w:r>
        <w:rPr>
          <w:rFonts w:ascii="Calibri" w:hAnsi="Calibri" w:eastAsia="宋体" w:cs="Times New Roman"/>
          <w:szCs w:val="21"/>
        </w:rPr>
        <w:t>）</w:t>
      </w:r>
      <w:r>
        <w:rPr>
          <w:rFonts w:hint="eastAsia" w:ascii="Calibri" w:hAnsi="Calibri" w:eastAsia="宋体" w:cs="Times New Roman"/>
          <w:szCs w:val="21"/>
        </w:rPr>
        <w:t>GB/T 30810 水泥胶砂中可浸出重金属的测定方法</w:t>
      </w:r>
    </w:p>
    <w:p>
      <w:pPr>
        <w:rPr>
          <w:rFonts w:ascii="Calibri" w:hAnsi="Calibri" w:eastAsia="宋体" w:cs="Times New Roman"/>
          <w:szCs w:val="21"/>
        </w:rPr>
      </w:pPr>
      <w:r>
        <w:rPr>
          <w:rFonts w:ascii="Calibri" w:hAnsi="Calibri" w:eastAsia="宋体" w:cs="Times New Roman"/>
          <w:szCs w:val="21"/>
        </w:rPr>
        <w:t>引用该标准作为</w:t>
      </w:r>
      <w:r>
        <w:rPr>
          <w:rFonts w:hint="eastAsia" w:ascii="Calibri" w:hAnsi="Calibri" w:eastAsia="宋体" w:cs="Times New Roman"/>
          <w:szCs w:val="21"/>
        </w:rPr>
        <w:t>铜尾矿砂可浸出重金属含量</w:t>
      </w:r>
      <w:r>
        <w:rPr>
          <w:rFonts w:ascii="Calibri" w:hAnsi="Calibri" w:eastAsia="宋体" w:cs="Times New Roman"/>
          <w:szCs w:val="21"/>
        </w:rPr>
        <w:t>的检测方法依据。</w:t>
      </w:r>
    </w:p>
    <w:p>
      <w:pPr>
        <w:rPr>
          <w:rFonts w:ascii="Calibri" w:hAnsi="Calibri" w:eastAsia="宋体" w:cs="Times New Roman"/>
          <w:szCs w:val="21"/>
        </w:rPr>
      </w:pPr>
      <w:r>
        <w:rPr>
          <w:rFonts w:hint="eastAsia" w:ascii="Calibri" w:hAnsi="Calibri" w:eastAsia="宋体" w:cs="Times New Roman"/>
          <w:szCs w:val="21"/>
        </w:rPr>
        <w:t>（</w:t>
      </w:r>
      <w:r>
        <w:rPr>
          <w:rFonts w:hint="eastAsia" w:ascii="Calibri" w:hAnsi="Calibri" w:eastAsia="宋体" w:cs="Times New Roman"/>
          <w:szCs w:val="21"/>
          <w:lang w:val="en-US" w:eastAsia="zh-CN"/>
        </w:rPr>
        <w:t>4</w:t>
      </w:r>
      <w:r>
        <w:rPr>
          <w:rFonts w:hint="eastAsia" w:ascii="Calibri" w:hAnsi="Calibri" w:eastAsia="宋体" w:cs="Times New Roman"/>
          <w:szCs w:val="21"/>
        </w:rPr>
        <w:t>）CJ/T 221 城市污水处理厂污泥检验方法</w:t>
      </w:r>
    </w:p>
    <w:p>
      <w:pPr>
        <w:rPr>
          <w:rFonts w:ascii="Calibri" w:hAnsi="Calibri" w:eastAsia="宋体" w:cs="Times New Roman"/>
          <w:szCs w:val="21"/>
        </w:rPr>
      </w:pPr>
      <w:r>
        <w:rPr>
          <w:rFonts w:ascii="Calibri" w:hAnsi="Calibri" w:eastAsia="宋体" w:cs="Times New Roman"/>
          <w:szCs w:val="21"/>
        </w:rPr>
        <w:t>引用该标准作为</w:t>
      </w:r>
      <w:r>
        <w:rPr>
          <w:rFonts w:hint="eastAsia" w:ascii="Calibri" w:hAnsi="Calibri" w:eastAsia="宋体" w:cs="Times New Roman"/>
          <w:szCs w:val="21"/>
        </w:rPr>
        <w:t>铜尾矿砂重金属含量</w:t>
      </w:r>
      <w:r>
        <w:rPr>
          <w:rFonts w:ascii="Calibri" w:hAnsi="Calibri" w:eastAsia="宋体" w:cs="Times New Roman"/>
          <w:szCs w:val="21"/>
        </w:rPr>
        <w:t>的检测方法依据。</w:t>
      </w:r>
    </w:p>
    <w:p>
      <w:pPr>
        <w:rPr>
          <w:rFonts w:ascii="Calibri" w:hAnsi="Calibri" w:eastAsia="宋体" w:cs="Times New Roman"/>
          <w:szCs w:val="21"/>
        </w:rPr>
      </w:pPr>
    </w:p>
    <w:p>
      <w:pPr>
        <w:widowControl/>
        <w:ind w:firstLine="0"/>
        <w:rPr>
          <w:rFonts w:ascii="Calibri" w:hAnsi="Calibri" w:eastAsia="宋体" w:cs="Times New Roman"/>
          <w:b/>
          <w:bCs/>
          <w:kern w:val="0"/>
        </w:rPr>
      </w:pPr>
      <w:r>
        <w:rPr>
          <w:rFonts w:ascii="Calibri" w:hAnsi="Calibri" w:eastAsia="宋体" w:cs="Times New Roman"/>
          <w:b/>
          <w:bCs/>
          <w:kern w:val="0"/>
        </w:rPr>
        <w:t>2.2.3 术语</w:t>
      </w:r>
      <w:bookmarkEnd w:id="20"/>
      <w:bookmarkEnd w:id="21"/>
      <w:r>
        <w:rPr>
          <w:rFonts w:hint="eastAsia" w:ascii="Calibri" w:hAnsi="Calibri" w:eastAsia="宋体" w:cs="Times New Roman"/>
          <w:b/>
          <w:bCs/>
          <w:kern w:val="0"/>
        </w:rPr>
        <w:t>和定义</w:t>
      </w:r>
    </w:p>
    <w:p>
      <w:pPr>
        <w:rPr>
          <w:color w:val="000000"/>
        </w:rPr>
      </w:pPr>
      <w:r>
        <w:rPr>
          <w:color w:val="000000"/>
          <w:szCs w:val="21"/>
        </w:rPr>
        <w:t>术语和定义包括：</w:t>
      </w:r>
      <w:r>
        <w:rPr>
          <w:rFonts w:hint="eastAsia"/>
          <w:color w:val="000000"/>
          <w:szCs w:val="21"/>
        </w:rPr>
        <w:t>铜尾矿砂</w:t>
      </w:r>
      <w:r>
        <w:rPr>
          <w:color w:val="000000"/>
          <w:szCs w:val="21"/>
        </w:rPr>
        <w:t>、</w:t>
      </w:r>
      <w:r>
        <w:rPr>
          <w:rFonts w:hint="eastAsia"/>
          <w:color w:val="000000"/>
          <w:szCs w:val="21"/>
          <w:lang w:val="en-US" w:eastAsia="zh-CN"/>
        </w:rPr>
        <w:t>颗粒级配、</w:t>
      </w:r>
      <w:r>
        <w:rPr>
          <w:color w:val="000000"/>
        </w:rPr>
        <w:t>粉含量</w:t>
      </w:r>
      <w:r>
        <w:rPr>
          <w:rFonts w:hint="eastAsia"/>
          <w:color w:val="000000"/>
        </w:rPr>
        <w:t>、</w:t>
      </w:r>
      <w:r>
        <w:rPr>
          <w:rFonts w:hint="eastAsia"/>
          <w:color w:val="000000"/>
          <w:szCs w:val="21"/>
        </w:rPr>
        <w:t>亚甲蓝值（MB值）。</w:t>
      </w:r>
    </w:p>
    <w:p>
      <w:pPr>
        <w:rPr>
          <w:color w:val="000000"/>
        </w:rPr>
      </w:pPr>
      <w:r>
        <w:rPr>
          <w:color w:val="000000"/>
        </w:rPr>
        <w:t>铜尾矿砂：铜矿石经破碎、磨细、选矿后产生的粒径小于</w:t>
      </w:r>
      <w:r>
        <w:rPr>
          <w:rFonts w:hint="eastAsia"/>
          <w:color w:val="000000"/>
        </w:rPr>
        <w:t>4.75mm</w:t>
      </w:r>
      <w:r>
        <w:rPr>
          <w:color w:val="000000"/>
        </w:rPr>
        <w:t>的颗粒。</w:t>
      </w:r>
    </w:p>
    <w:p>
      <w:pPr>
        <w:rPr>
          <w:rFonts w:hint="default"/>
          <w:color w:val="000000"/>
          <w:lang w:val="en-US" w:eastAsia="zh-CN"/>
        </w:rPr>
      </w:pPr>
      <w:r>
        <w:rPr>
          <w:rFonts w:hint="eastAsia"/>
          <w:color w:val="000000"/>
        </w:rPr>
        <w:t>根据现行国家标准和行业标准，砂颗粒均小于4.75mm。</w:t>
      </w:r>
      <w:r>
        <w:rPr>
          <w:rFonts w:hint="eastAsia"/>
          <w:color w:val="000000"/>
          <w:lang w:val="en-US" w:eastAsia="zh-CN"/>
        </w:rPr>
        <w:t>原铜尾矿砂讨论稿定义小于0.6mm修改为小于4.75mm。</w:t>
      </w:r>
    </w:p>
    <w:p>
      <w:pPr>
        <w:rPr>
          <w:color w:val="000000"/>
        </w:rPr>
      </w:pPr>
      <w:r>
        <w:rPr>
          <w:color w:val="000000"/>
        </w:rPr>
        <w:t>本标准定义铜尾矿砂的术语为</w:t>
      </w:r>
      <w:r>
        <w:rPr>
          <w:rFonts w:hint="eastAsia"/>
          <w:color w:val="000000"/>
        </w:rPr>
        <w:t>铜尾矿经</w:t>
      </w:r>
      <w:r>
        <w:rPr>
          <w:rFonts w:hint="eastAsia"/>
          <w:color w:val="000000"/>
          <w:lang w:val="en-US" w:eastAsia="zh-CN"/>
        </w:rPr>
        <w:t>破碎、磨细、选矿后产生的</w:t>
      </w:r>
      <w:r>
        <w:rPr>
          <w:rFonts w:hint="eastAsia"/>
          <w:color w:val="000000"/>
        </w:rPr>
        <w:t>粒径</w:t>
      </w:r>
      <w:r>
        <w:rPr>
          <w:color w:val="000000"/>
        </w:rPr>
        <w:t>小于</w:t>
      </w:r>
      <w:r>
        <w:rPr>
          <w:rFonts w:hint="eastAsia"/>
          <w:color w:val="000000"/>
        </w:rPr>
        <w:t>4.75</w:t>
      </w:r>
      <w:r>
        <w:rPr>
          <w:color w:val="000000"/>
        </w:rPr>
        <w:t xml:space="preserve"> mm的颗粒。</w:t>
      </w:r>
    </w:p>
    <w:p>
      <w:pPr>
        <w:pStyle w:val="18"/>
        <w:numPr>
          <w:ilvl w:val="0"/>
          <w:numId w:val="0"/>
        </w:numPr>
        <w:ind w:firstLine="480" w:firstLineChars="200"/>
        <w:jc w:val="left"/>
        <w:rPr>
          <w:rFonts w:hint="eastAsia" w:hAnsi="黑体" w:cs="黑体" w:eastAsiaTheme="minorEastAsia"/>
          <w:kern w:val="2"/>
          <w:szCs w:val="21"/>
          <w:lang w:eastAsia="zh-CN"/>
        </w:rPr>
      </w:pPr>
      <w:r>
        <w:rPr>
          <w:rFonts w:hint="eastAsia" w:hAnsi="黑体" w:cs="黑体"/>
          <w:kern w:val="2"/>
          <w:szCs w:val="21"/>
        </w:rPr>
        <w:t>颗粒级配</w:t>
      </w:r>
      <w:r>
        <w:rPr>
          <w:rFonts w:hint="eastAsia" w:hAnsi="黑体" w:cs="黑体"/>
          <w:bCs/>
          <w:sz w:val="20"/>
          <w:lang w:eastAsia="zh-CN"/>
        </w:rPr>
        <w:t>：</w:t>
      </w:r>
    </w:p>
    <w:p>
      <w:pPr>
        <w:pStyle w:val="16"/>
        <w:bidi w:val="0"/>
      </w:pPr>
      <w:r>
        <w:rPr>
          <w:rFonts w:hint="eastAsia"/>
          <w:lang w:val="en-US" w:eastAsia="zh-CN"/>
        </w:rPr>
        <w:t>铜尾矿砂</w:t>
      </w:r>
      <w:r>
        <w:rPr>
          <w:rFonts w:hint="eastAsia"/>
        </w:rPr>
        <w:t>各级粒径颗粒的分配情况，可通过筛析试验确定。</w:t>
      </w:r>
    </w:p>
    <w:p>
      <w:pPr>
        <w:rPr>
          <w:color w:val="000000"/>
        </w:rPr>
      </w:pPr>
      <w:r>
        <w:rPr>
          <w:color w:val="000000"/>
        </w:rPr>
        <w:t>粉含量：</w:t>
      </w:r>
      <w:r>
        <w:rPr>
          <w:rFonts w:hint="eastAsia"/>
          <w:color w:val="000000"/>
        </w:rPr>
        <w:t>铜尾矿砂</w:t>
      </w:r>
      <w:r>
        <w:rPr>
          <w:color w:val="000000"/>
        </w:rPr>
        <w:t>中粒径小于75μm的颗粒含量。</w:t>
      </w:r>
    </w:p>
    <w:p>
      <w:pPr>
        <w:rPr>
          <w:color w:val="000000"/>
        </w:rPr>
      </w:pPr>
      <w:r>
        <w:rPr>
          <w:color w:val="000000"/>
        </w:rPr>
        <w:t>现行国家标准和行业标准将机制砂中粒径小于75μm的颗粒含量定义为石粉含量，为与之区分，本标准将铜尾矿砂中粒径小于75μm的颗粒含量定义为粉含量。</w:t>
      </w:r>
    </w:p>
    <w:p>
      <w:pPr>
        <w:rPr>
          <w:color w:val="auto"/>
        </w:rPr>
      </w:pPr>
      <w:r>
        <w:rPr>
          <w:color w:val="auto"/>
        </w:rPr>
        <w:t>亚甲蓝值：</w:t>
      </w:r>
      <w:r>
        <w:rPr>
          <w:rFonts w:hint="eastAsia"/>
          <w:color w:val="auto"/>
        </w:rPr>
        <w:t>用于判定铜尾矿砂吸附性能的指标</w:t>
      </w:r>
      <w:r>
        <w:rPr>
          <w:color w:val="auto"/>
        </w:rPr>
        <w:t>。</w:t>
      </w:r>
    </w:p>
    <w:p>
      <w:pPr>
        <w:rPr>
          <w:color w:val="auto"/>
        </w:rPr>
      </w:pPr>
    </w:p>
    <w:p>
      <w:pPr>
        <w:widowControl/>
        <w:ind w:firstLine="0"/>
        <w:rPr>
          <w:b/>
          <w:bCs/>
          <w:kern w:val="0"/>
        </w:rPr>
      </w:pPr>
      <w:r>
        <w:rPr>
          <w:rFonts w:hint="eastAsia"/>
          <w:b/>
          <w:bCs/>
          <w:kern w:val="0"/>
        </w:rPr>
        <w:t>2.2.4</w:t>
      </w:r>
      <w:r>
        <w:rPr>
          <w:b/>
          <w:bCs/>
          <w:kern w:val="0"/>
        </w:rPr>
        <w:t>分类</w:t>
      </w:r>
    </w:p>
    <w:p>
      <w:pPr>
        <w:pStyle w:val="16"/>
        <w:rPr>
          <w:rFonts w:hint="eastAsia" w:ascii="宋体" w:hAnsi="宋体" w:eastAsia="宋体" w:cs="宋体"/>
        </w:rPr>
      </w:pPr>
      <w:r>
        <w:rPr>
          <w:rFonts w:hint="eastAsia" w:ascii="宋体" w:hAnsi="宋体" w:eastAsia="宋体" w:cs="宋体"/>
        </w:rPr>
        <w:t>铜尾矿砂按颗粒级配</w:t>
      </w:r>
      <w:r>
        <w:rPr>
          <w:rFonts w:hint="eastAsia" w:ascii="宋体" w:hAnsi="宋体" w:eastAsia="宋体" w:cs="宋体"/>
          <w:lang w:eastAsia="zh-CN"/>
        </w:rPr>
        <w:t>、</w:t>
      </w:r>
      <w:r>
        <w:rPr>
          <w:rFonts w:hint="eastAsia" w:ascii="宋体" w:hAnsi="宋体" w:eastAsia="宋体" w:cs="宋体"/>
          <w:lang w:val="en-US" w:eastAsia="zh-CN"/>
        </w:rPr>
        <w:t>粉含量及亚甲蓝值、</w:t>
      </w:r>
      <w:r>
        <w:rPr>
          <w:rFonts w:hint="eastAsia" w:ascii="宋体" w:hAnsi="宋体" w:eastAsia="宋体" w:cs="宋体"/>
        </w:rPr>
        <w:t>有害物质技术要求分为</w:t>
      </w:r>
      <w:r>
        <w:rPr>
          <w:rFonts w:hint="eastAsia" w:ascii="宋体" w:hAnsi="宋体" w:eastAsia="宋体" w:cs="宋体"/>
          <w:sz w:val="24"/>
          <w:szCs w:val="24"/>
        </w:rPr>
        <w:t>I类、II类、III三类。</w:t>
      </w:r>
    </w:p>
    <w:p>
      <w:pPr>
        <w:rPr>
          <w:szCs w:val="21"/>
        </w:rPr>
      </w:pPr>
      <w:r>
        <w:rPr>
          <w:szCs w:val="21"/>
        </w:rPr>
        <w:t>由于不同矿区铜尾矿砂性能差异极大，因此本标准将铜尾矿砂按其</w:t>
      </w:r>
      <w:r>
        <w:rPr>
          <w:rFonts w:hint="eastAsia"/>
          <w:szCs w:val="21"/>
        </w:rPr>
        <w:t>技术要求分为三类</w:t>
      </w:r>
      <w:r>
        <w:rPr>
          <w:szCs w:val="21"/>
        </w:rPr>
        <w:t>，以便于使用单位对不同规格的</w:t>
      </w:r>
      <w:r>
        <w:rPr>
          <w:rFonts w:hint="eastAsia"/>
          <w:szCs w:val="21"/>
        </w:rPr>
        <w:t>铜尾矿砂</w:t>
      </w:r>
      <w:r>
        <w:rPr>
          <w:szCs w:val="21"/>
        </w:rPr>
        <w:t>进行更高效的利用。</w:t>
      </w:r>
    </w:p>
    <w:p>
      <w:pPr>
        <w:widowControl/>
        <w:ind w:firstLine="0"/>
        <w:rPr>
          <w:b/>
          <w:bCs/>
          <w:kern w:val="0"/>
        </w:rPr>
      </w:pPr>
      <w:bookmarkStart w:id="22" w:name="_Toc11877271"/>
      <w:bookmarkStart w:id="23" w:name="_Toc10645677"/>
      <w:r>
        <w:rPr>
          <w:b/>
          <w:bCs/>
          <w:kern w:val="0"/>
        </w:rPr>
        <w:t xml:space="preserve">2.2.5 </w:t>
      </w:r>
      <w:bookmarkEnd w:id="22"/>
      <w:bookmarkEnd w:id="23"/>
      <w:r>
        <w:rPr>
          <w:b/>
          <w:bCs/>
          <w:kern w:val="0"/>
        </w:rPr>
        <w:t>技术要求及其检测方法</w:t>
      </w:r>
    </w:p>
    <w:p>
      <w:pPr>
        <w:rPr>
          <w:szCs w:val="21"/>
        </w:rPr>
      </w:pPr>
      <w:r>
        <w:rPr>
          <w:szCs w:val="21"/>
        </w:rPr>
        <w:t xml:space="preserve"> 标准制定过程中通过召开工作会议、实地调研、验证试验结果分析等多种形式，最终确定了本标准的各项技术指标要求。</w:t>
      </w:r>
    </w:p>
    <w:p>
      <w:pPr>
        <w:rPr>
          <w:b/>
          <w:bCs/>
          <w:color w:val="auto"/>
          <w:szCs w:val="21"/>
        </w:rPr>
      </w:pPr>
      <w:r>
        <w:rPr>
          <w:b/>
          <w:bCs/>
          <w:color w:val="auto"/>
          <w:szCs w:val="21"/>
        </w:rPr>
        <w:t>2.2.5.</w:t>
      </w:r>
      <w:r>
        <w:rPr>
          <w:rFonts w:hint="eastAsia"/>
          <w:b/>
          <w:bCs/>
          <w:color w:val="auto"/>
          <w:szCs w:val="21"/>
        </w:rPr>
        <w:t>1颗粒级配</w:t>
      </w:r>
    </w:p>
    <w:p>
      <w:pPr>
        <w:snapToGrid w:val="0"/>
        <w:spacing w:line="360" w:lineRule="auto"/>
        <w:ind w:firstLine="480" w:firstLineChars="200"/>
        <w:rPr>
          <w:rFonts w:ascii="Times New Roman" w:hAnsi="Times New Roman" w:cs="Times New Roman"/>
          <w:szCs w:val="21"/>
        </w:rPr>
      </w:pPr>
      <w:r>
        <w:rPr>
          <w:rFonts w:hint="eastAsia" w:ascii="Times New Roman" w:hAnsi="Times New Roman" w:cs="Times New Roman"/>
          <w:szCs w:val="21"/>
        </w:rPr>
        <w:t>铜尾矿砂的累计筛余应符合表1的规定。</w:t>
      </w:r>
    </w:p>
    <w:p>
      <w:pPr>
        <w:snapToGrid w:val="0"/>
        <w:spacing w:line="360" w:lineRule="auto"/>
        <w:ind w:firstLine="480" w:firstLineChars="200"/>
        <w:jc w:val="center"/>
        <w:rPr>
          <w:rFonts w:hint="eastAsia"/>
          <w:szCs w:val="21"/>
        </w:rPr>
      </w:pPr>
      <w:r>
        <w:rPr>
          <w:rFonts w:ascii="黑体" w:hAnsi="黑体" w:eastAsia="黑体" w:cs="Times New Roman"/>
          <w:szCs w:val="21"/>
        </w:rPr>
        <w:t xml:space="preserve">表1 </w:t>
      </w:r>
      <w:r>
        <w:rPr>
          <w:rFonts w:hint="eastAsia" w:ascii="黑体" w:hAnsi="黑体" w:eastAsia="黑体" w:cs="Times New Roman"/>
          <w:szCs w:val="21"/>
        </w:rPr>
        <w:t>累计筛余</w:t>
      </w:r>
    </w:p>
    <w:tbl>
      <w:tblPr>
        <w:tblStyle w:val="11"/>
        <w:tblpPr w:leftFromText="180" w:rightFromText="180" w:vertAnchor="text" w:horzAnchor="page" w:tblpX="2051" w:tblpY="3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7"/>
        <w:gridCol w:w="1637"/>
        <w:gridCol w:w="1637"/>
        <w:gridCol w:w="1614"/>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exact"/>
        </w:trPr>
        <w:tc>
          <w:tcPr>
            <w:tcW w:w="1877" w:type="dxa"/>
            <w:vMerge w:val="restart"/>
            <w:tcBorders>
              <w:left w:val="single" w:color="auto" w:sz="4" w:space="0"/>
            </w:tcBorders>
            <w:vAlign w:val="center"/>
          </w:tcPr>
          <w:p>
            <w:pPr>
              <w:snapToGrid w:val="0"/>
              <w:spacing w:before="312" w:beforeLines="100" w:after="312" w:afterLines="100"/>
              <w:jc w:val="center"/>
              <w:outlineLvl w:val="0"/>
              <w:rPr>
                <w:rFonts w:ascii="Times New Roman" w:hAnsi="Times New Roman" w:eastAsia="黑体" w:cs="Times New Roman"/>
                <w:szCs w:val="21"/>
              </w:rPr>
            </w:pPr>
            <w:r>
              <w:rPr>
                <w:rFonts w:ascii="Times New Roman" w:hAnsi="Times New Roman" w:eastAsia="黑体" w:cs="Times New Roman"/>
                <w:szCs w:val="21"/>
              </w:rPr>
              <w:t>区间粒级/mm</w:t>
            </w:r>
          </w:p>
        </w:tc>
        <w:tc>
          <w:tcPr>
            <w:tcW w:w="6100" w:type="dxa"/>
            <w:gridSpan w:val="4"/>
            <w:vAlign w:val="center"/>
          </w:tcPr>
          <w:p>
            <w:pPr>
              <w:snapToGrid w:val="0"/>
              <w:spacing w:before="312" w:beforeLines="100" w:after="312" w:afterLines="100"/>
              <w:jc w:val="center"/>
              <w:outlineLvl w:val="0"/>
              <w:rPr>
                <w:rFonts w:ascii="Times New Roman" w:hAnsi="Times New Roman" w:eastAsia="黑体" w:cs="Times New Roman"/>
                <w:szCs w:val="21"/>
              </w:rPr>
            </w:pPr>
            <w:r>
              <w:rPr>
                <w:rFonts w:ascii="Times New Roman" w:hAnsi="Times New Roman" w:eastAsia="黑体" w:cs="Times New Roman"/>
                <w:szCs w:val="21"/>
              </w:rPr>
              <w:t>累计筛余/%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exact"/>
        </w:trPr>
        <w:tc>
          <w:tcPr>
            <w:tcW w:w="1877" w:type="dxa"/>
            <w:vMerge w:val="continue"/>
            <w:tcBorders>
              <w:left w:val="single" w:color="auto" w:sz="4" w:space="0"/>
            </w:tcBorders>
            <w:vAlign w:val="center"/>
          </w:tcPr>
          <w:p>
            <w:pPr>
              <w:snapToGrid w:val="0"/>
              <w:spacing w:before="312" w:beforeLines="100" w:after="312" w:afterLines="100"/>
              <w:jc w:val="center"/>
              <w:outlineLvl w:val="0"/>
              <w:rPr>
                <w:rFonts w:ascii="Times New Roman" w:hAnsi="Times New Roman" w:eastAsia="黑体" w:cs="Times New Roman"/>
                <w:szCs w:val="21"/>
              </w:rPr>
            </w:pPr>
          </w:p>
        </w:tc>
        <w:tc>
          <w:tcPr>
            <w:tcW w:w="6100" w:type="dxa"/>
            <w:gridSpan w:val="4"/>
            <w:vAlign w:val="center"/>
          </w:tcPr>
          <w:p>
            <w:pPr>
              <w:snapToGrid w:val="0"/>
              <w:spacing w:before="312" w:beforeLines="100" w:after="312" w:afterLines="100"/>
              <w:jc w:val="center"/>
              <w:outlineLvl w:val="0"/>
              <w:rPr>
                <w:rFonts w:ascii="Times New Roman" w:hAnsi="Times New Roman" w:eastAsia="黑体" w:cs="Times New Roman"/>
                <w:szCs w:val="21"/>
              </w:rPr>
            </w:pPr>
            <w:r>
              <w:rPr>
                <w:rFonts w:ascii="Times New Roman" w:hAnsi="Times New Roman" w:eastAsia="黑体" w:cs="Times New Roman"/>
                <w:szCs w:val="21"/>
              </w:rPr>
              <w:t>方孔筛孔径/mm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77" w:type="dxa"/>
            <w:vMerge w:val="continue"/>
            <w:tcBorders>
              <w:left w:val="single" w:color="auto" w:sz="4" w:space="0"/>
            </w:tcBorders>
            <w:vAlign w:val="center"/>
          </w:tcPr>
          <w:p>
            <w:pPr>
              <w:snapToGrid w:val="0"/>
              <w:spacing w:before="312" w:beforeLines="100" w:after="312" w:afterLines="100"/>
              <w:jc w:val="center"/>
              <w:outlineLvl w:val="0"/>
              <w:rPr>
                <w:rFonts w:ascii="Times New Roman" w:hAnsi="Times New Roman" w:eastAsia="黑体" w:cs="Times New Roman"/>
                <w:szCs w:val="21"/>
              </w:rPr>
            </w:pPr>
          </w:p>
        </w:tc>
        <w:tc>
          <w:tcPr>
            <w:tcW w:w="1637" w:type="dxa"/>
            <w:vAlign w:val="center"/>
          </w:tcPr>
          <w:p>
            <w:pPr>
              <w:snapToGrid w:val="0"/>
              <w:spacing w:before="312" w:beforeLines="100" w:after="312" w:afterLines="100"/>
              <w:jc w:val="left"/>
              <w:outlineLvl w:val="0"/>
              <w:rPr>
                <w:rFonts w:hint="default" w:ascii="Times New Roman" w:hAnsi="Times New Roman" w:eastAsia="黑体" w:cs="Times New Roman"/>
                <w:szCs w:val="21"/>
                <w:lang w:val="en-US" w:eastAsia="zh-CN"/>
              </w:rPr>
            </w:pPr>
            <w:r>
              <w:rPr>
                <w:rFonts w:hint="eastAsia" w:ascii="Times New Roman" w:hAnsi="Times New Roman" w:eastAsia="黑体" w:cs="Times New Roman"/>
                <w:szCs w:val="21"/>
                <w:lang w:val="en-US" w:eastAsia="zh-CN"/>
              </w:rPr>
              <w:t>0.075</w:t>
            </w:r>
          </w:p>
        </w:tc>
        <w:tc>
          <w:tcPr>
            <w:tcW w:w="1637" w:type="dxa"/>
            <w:vAlign w:val="center"/>
          </w:tcPr>
          <w:p>
            <w:pPr>
              <w:snapToGrid w:val="0"/>
              <w:spacing w:before="312" w:beforeLines="100" w:after="312" w:afterLines="100"/>
              <w:jc w:val="left"/>
              <w:outlineLvl w:val="0"/>
              <w:rPr>
                <w:rFonts w:ascii="Times New Roman" w:hAnsi="Times New Roman" w:eastAsia="黑体" w:cs="Times New Roman"/>
                <w:szCs w:val="21"/>
              </w:rPr>
            </w:pPr>
            <w:r>
              <w:rPr>
                <w:rFonts w:ascii="Times New Roman" w:hAnsi="Times New Roman" w:eastAsia="黑体" w:cs="Times New Roman"/>
                <w:szCs w:val="21"/>
              </w:rPr>
              <w:t>0.15</w:t>
            </w:r>
          </w:p>
        </w:tc>
        <w:tc>
          <w:tcPr>
            <w:tcW w:w="1614" w:type="dxa"/>
            <w:vAlign w:val="center"/>
          </w:tcPr>
          <w:p>
            <w:pPr>
              <w:snapToGrid w:val="0"/>
              <w:spacing w:before="312" w:beforeLines="100" w:after="312" w:afterLines="100"/>
              <w:jc w:val="left"/>
              <w:outlineLvl w:val="0"/>
              <w:rPr>
                <w:rFonts w:ascii="Times New Roman" w:hAnsi="Times New Roman" w:eastAsia="黑体" w:cs="Times New Roman"/>
                <w:szCs w:val="21"/>
              </w:rPr>
            </w:pPr>
            <w:r>
              <w:rPr>
                <w:rFonts w:ascii="Times New Roman" w:hAnsi="Times New Roman" w:eastAsia="黑体" w:cs="Times New Roman"/>
                <w:szCs w:val="21"/>
              </w:rPr>
              <w:t>0.3</w:t>
            </w:r>
          </w:p>
        </w:tc>
        <w:tc>
          <w:tcPr>
            <w:tcW w:w="1212" w:type="dxa"/>
            <w:vAlign w:val="center"/>
          </w:tcPr>
          <w:p>
            <w:pPr>
              <w:snapToGrid w:val="0"/>
              <w:spacing w:before="312" w:beforeLines="100" w:after="312" w:afterLines="100"/>
              <w:jc w:val="left"/>
              <w:outlineLvl w:val="0"/>
              <w:rPr>
                <w:rFonts w:ascii="Times New Roman" w:hAnsi="Times New Roman" w:eastAsia="黑体" w:cs="Times New Roman"/>
                <w:szCs w:val="21"/>
              </w:rPr>
            </w:pPr>
            <w:r>
              <w:rPr>
                <w:rFonts w:ascii="Times New Roman" w:hAnsi="Times New Roman" w:eastAsia="黑体" w:cs="Times New Roman"/>
                <w:szCs w:val="21"/>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77" w:type="dxa"/>
            <w:tcBorders>
              <w:left w:val="single" w:color="auto" w:sz="4" w:space="0"/>
            </w:tcBorders>
            <w:vAlign w:val="center"/>
          </w:tcPr>
          <w:p>
            <w:pPr>
              <w:snapToGrid w:val="0"/>
              <w:spacing w:before="312" w:beforeLines="100" w:after="312" w:afterLines="100"/>
              <w:jc w:val="left"/>
              <w:outlineLvl w:val="0"/>
              <w:rPr>
                <w:rFonts w:hint="default" w:ascii="Times New Roman" w:hAnsi="Times New Roman" w:eastAsia="黑体" w:cs="Times New Roman"/>
                <w:szCs w:val="21"/>
                <w:lang w:val="en-US" w:eastAsia="zh-CN"/>
              </w:rPr>
            </w:pPr>
            <w:r>
              <w:rPr>
                <w:rFonts w:ascii="Times New Roman" w:hAnsi="Times New Roman" w:eastAsia="黑体" w:cs="Times New Roman"/>
                <w:szCs w:val="21"/>
              </w:rPr>
              <w:t>0~0.</w:t>
            </w:r>
            <w:r>
              <w:rPr>
                <w:rFonts w:hint="eastAsia" w:ascii="Times New Roman" w:hAnsi="Times New Roman" w:eastAsia="黑体" w:cs="Times New Roman"/>
                <w:szCs w:val="21"/>
                <w:lang w:val="en-US" w:eastAsia="zh-CN"/>
              </w:rPr>
              <w:t>15</w:t>
            </w:r>
          </w:p>
        </w:tc>
        <w:tc>
          <w:tcPr>
            <w:tcW w:w="1637" w:type="dxa"/>
            <w:vAlign w:val="center"/>
          </w:tcPr>
          <w:p>
            <w:pPr>
              <w:snapToGrid w:val="0"/>
              <w:spacing w:before="312" w:beforeLines="100" w:after="312" w:afterLines="100"/>
              <w:jc w:val="left"/>
              <w:outlineLvl w:val="0"/>
              <w:rPr>
                <w:rFonts w:ascii="Times New Roman" w:hAnsi="Times New Roman" w:eastAsia="黑体" w:cs="Times New Roman"/>
                <w:szCs w:val="21"/>
              </w:rPr>
            </w:pPr>
            <w:r>
              <w:rPr>
                <w:rFonts w:hint="eastAsia" w:ascii="Times New Roman" w:hAnsi="Times New Roman" w:eastAsia="黑体" w:cs="Times New Roman"/>
                <w:szCs w:val="21"/>
              </w:rPr>
              <w:t>10~90</w:t>
            </w:r>
          </w:p>
        </w:tc>
        <w:tc>
          <w:tcPr>
            <w:tcW w:w="1637" w:type="dxa"/>
            <w:vAlign w:val="center"/>
          </w:tcPr>
          <w:p>
            <w:pPr>
              <w:snapToGrid w:val="0"/>
              <w:spacing w:before="312" w:beforeLines="100" w:after="312" w:afterLines="100"/>
              <w:jc w:val="left"/>
              <w:outlineLvl w:val="0"/>
              <w:rPr>
                <w:rFonts w:ascii="Times New Roman" w:hAnsi="Times New Roman" w:eastAsia="黑体" w:cs="Times New Roman"/>
                <w:szCs w:val="21"/>
              </w:rPr>
            </w:pPr>
            <w:r>
              <w:rPr>
                <w:rFonts w:hint="eastAsia" w:ascii="Times New Roman" w:hAnsi="Times New Roman" w:eastAsia="黑体" w:cs="Times New Roman"/>
                <w:szCs w:val="21"/>
              </w:rPr>
              <w:t>0~5</w:t>
            </w:r>
          </w:p>
        </w:tc>
        <w:tc>
          <w:tcPr>
            <w:tcW w:w="1614" w:type="dxa"/>
            <w:vAlign w:val="center"/>
          </w:tcPr>
          <w:p>
            <w:pPr>
              <w:snapToGrid w:val="0"/>
              <w:spacing w:before="312" w:beforeLines="100" w:after="312" w:afterLines="100"/>
              <w:jc w:val="left"/>
              <w:outlineLvl w:val="0"/>
              <w:rPr>
                <w:rFonts w:hint="eastAsia" w:ascii="Times New Roman" w:hAnsi="Times New Roman" w:eastAsia="黑体" w:cs="Times New Roman"/>
                <w:szCs w:val="21"/>
                <w:lang w:val="en-US" w:eastAsia="zh-CN"/>
              </w:rPr>
            </w:pPr>
            <w:r>
              <w:rPr>
                <w:rFonts w:hint="eastAsia" w:ascii="Times New Roman" w:hAnsi="Times New Roman" w:eastAsia="黑体" w:cs="Times New Roman"/>
                <w:szCs w:val="21"/>
                <w:lang w:val="en-US" w:eastAsia="zh-CN"/>
              </w:rPr>
              <w:t>0</w:t>
            </w:r>
          </w:p>
        </w:tc>
        <w:tc>
          <w:tcPr>
            <w:tcW w:w="1212" w:type="dxa"/>
            <w:vAlign w:val="center"/>
          </w:tcPr>
          <w:p>
            <w:pPr>
              <w:snapToGrid w:val="0"/>
              <w:spacing w:before="312" w:beforeLines="100" w:after="312" w:afterLines="100"/>
              <w:jc w:val="left"/>
              <w:outlineLvl w:val="0"/>
              <w:rPr>
                <w:rFonts w:ascii="Times New Roman" w:hAnsi="Times New Roman" w:eastAsia="黑体" w:cs="Times New Roman"/>
                <w:szCs w:val="21"/>
              </w:rPr>
            </w:pPr>
            <w:r>
              <w:rPr>
                <w:rFonts w:hint="eastAsia" w:ascii="Times New Roman" w:hAnsi="Times New Roman" w:eastAsia="黑体"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77" w:type="dxa"/>
            <w:tcBorders>
              <w:left w:val="single" w:color="auto" w:sz="4" w:space="0"/>
            </w:tcBorders>
            <w:vAlign w:val="center"/>
          </w:tcPr>
          <w:p>
            <w:pPr>
              <w:snapToGrid w:val="0"/>
              <w:spacing w:before="312" w:beforeLines="100" w:after="312" w:afterLines="100"/>
              <w:jc w:val="left"/>
              <w:outlineLvl w:val="0"/>
              <w:rPr>
                <w:rFonts w:hint="eastAsia" w:ascii="Times New Roman" w:hAnsi="Times New Roman" w:eastAsia="黑体" w:cs="Times New Roman"/>
                <w:szCs w:val="21"/>
                <w:lang w:val="en-US" w:eastAsia="zh-CN"/>
              </w:rPr>
            </w:pPr>
            <w:r>
              <w:rPr>
                <w:rFonts w:ascii="Times New Roman" w:hAnsi="Times New Roman" w:eastAsia="黑体" w:cs="Times New Roman"/>
                <w:szCs w:val="21"/>
              </w:rPr>
              <w:t>0~0.</w:t>
            </w:r>
            <w:r>
              <w:rPr>
                <w:rFonts w:hint="eastAsia" w:ascii="Times New Roman" w:hAnsi="Times New Roman" w:eastAsia="黑体" w:cs="Times New Roman"/>
                <w:szCs w:val="21"/>
                <w:lang w:val="en-US" w:eastAsia="zh-CN"/>
              </w:rPr>
              <w:t>3</w:t>
            </w:r>
          </w:p>
        </w:tc>
        <w:tc>
          <w:tcPr>
            <w:tcW w:w="1637" w:type="dxa"/>
            <w:vAlign w:val="center"/>
          </w:tcPr>
          <w:p>
            <w:pPr>
              <w:snapToGrid w:val="0"/>
              <w:spacing w:before="312" w:beforeLines="100" w:after="312" w:afterLines="100"/>
              <w:jc w:val="left"/>
              <w:outlineLvl w:val="0"/>
              <w:rPr>
                <w:rFonts w:ascii="Times New Roman" w:hAnsi="Times New Roman" w:eastAsia="黑体" w:cs="Times New Roman"/>
                <w:szCs w:val="21"/>
              </w:rPr>
            </w:pPr>
            <w:r>
              <w:rPr>
                <w:rFonts w:hint="eastAsia" w:ascii="Times New Roman" w:hAnsi="Times New Roman" w:eastAsia="黑体" w:cs="Times New Roman"/>
                <w:szCs w:val="21"/>
              </w:rPr>
              <w:t>20~90</w:t>
            </w:r>
          </w:p>
        </w:tc>
        <w:tc>
          <w:tcPr>
            <w:tcW w:w="1637" w:type="dxa"/>
            <w:vAlign w:val="center"/>
          </w:tcPr>
          <w:p>
            <w:pPr>
              <w:snapToGrid w:val="0"/>
              <w:spacing w:before="312" w:beforeLines="100" w:after="312" w:afterLines="100"/>
              <w:jc w:val="left"/>
              <w:outlineLvl w:val="0"/>
              <w:rPr>
                <w:rFonts w:ascii="Times New Roman" w:hAnsi="Times New Roman" w:eastAsia="黑体" w:cs="Times New Roman"/>
                <w:szCs w:val="21"/>
              </w:rPr>
            </w:pPr>
            <w:r>
              <w:rPr>
                <w:rFonts w:hint="eastAsia" w:ascii="Times New Roman" w:hAnsi="Times New Roman" w:eastAsia="黑体" w:cs="Times New Roman"/>
                <w:szCs w:val="21"/>
              </w:rPr>
              <w:t>0~30</w:t>
            </w:r>
          </w:p>
        </w:tc>
        <w:tc>
          <w:tcPr>
            <w:tcW w:w="1614" w:type="dxa"/>
            <w:vAlign w:val="center"/>
          </w:tcPr>
          <w:p>
            <w:pPr>
              <w:snapToGrid w:val="0"/>
              <w:spacing w:before="312" w:beforeLines="100" w:after="312" w:afterLines="100"/>
              <w:jc w:val="left"/>
              <w:outlineLvl w:val="0"/>
              <w:rPr>
                <w:rFonts w:ascii="Times New Roman" w:hAnsi="Times New Roman" w:eastAsia="黑体" w:cs="Times New Roman"/>
                <w:szCs w:val="21"/>
              </w:rPr>
            </w:pPr>
            <w:r>
              <w:rPr>
                <w:rFonts w:hint="eastAsia" w:ascii="Times New Roman" w:hAnsi="Times New Roman" w:eastAsia="黑体" w:cs="Times New Roman"/>
                <w:szCs w:val="21"/>
              </w:rPr>
              <w:t>0~5</w:t>
            </w:r>
          </w:p>
        </w:tc>
        <w:tc>
          <w:tcPr>
            <w:tcW w:w="1212" w:type="dxa"/>
            <w:vAlign w:val="center"/>
          </w:tcPr>
          <w:p>
            <w:pPr>
              <w:snapToGrid w:val="0"/>
              <w:spacing w:before="312" w:beforeLines="100" w:after="312" w:afterLines="100"/>
              <w:jc w:val="left"/>
              <w:outlineLvl w:val="0"/>
              <w:rPr>
                <w:rFonts w:hint="eastAsia" w:ascii="Times New Roman" w:hAnsi="Times New Roman" w:eastAsia="黑体" w:cs="Times New Roman"/>
                <w:szCs w:val="21"/>
                <w:lang w:val="en-US" w:eastAsia="zh-CN"/>
              </w:rPr>
            </w:pPr>
            <w:r>
              <w:rPr>
                <w:rFonts w:hint="eastAsia" w:ascii="Times New Roman" w:hAnsi="Times New Roman" w:eastAsia="黑体"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77" w:type="dxa"/>
            <w:tcBorders>
              <w:left w:val="single" w:color="auto" w:sz="4" w:space="0"/>
            </w:tcBorders>
            <w:vAlign w:val="center"/>
          </w:tcPr>
          <w:p>
            <w:pPr>
              <w:snapToGrid w:val="0"/>
              <w:spacing w:before="312" w:beforeLines="100" w:after="312" w:afterLines="100"/>
              <w:jc w:val="left"/>
              <w:outlineLvl w:val="0"/>
              <w:rPr>
                <w:rFonts w:hint="default" w:ascii="Times New Roman" w:hAnsi="Times New Roman" w:eastAsia="黑体" w:cs="Times New Roman"/>
                <w:szCs w:val="21"/>
                <w:lang w:val="en-US" w:eastAsia="zh-CN"/>
              </w:rPr>
            </w:pPr>
            <w:r>
              <w:rPr>
                <w:rFonts w:ascii="Times New Roman" w:hAnsi="Times New Roman" w:eastAsia="黑体" w:cs="Times New Roman"/>
                <w:szCs w:val="21"/>
              </w:rPr>
              <w:t>0~</w:t>
            </w:r>
            <w:r>
              <w:rPr>
                <w:rFonts w:hint="eastAsia" w:ascii="Times New Roman" w:hAnsi="Times New Roman" w:eastAsia="黑体" w:cs="Times New Roman"/>
                <w:szCs w:val="21"/>
                <w:lang w:val="en-US" w:eastAsia="zh-CN"/>
              </w:rPr>
              <w:t>0.6</w:t>
            </w:r>
          </w:p>
        </w:tc>
        <w:tc>
          <w:tcPr>
            <w:tcW w:w="1637" w:type="dxa"/>
            <w:vAlign w:val="center"/>
          </w:tcPr>
          <w:p>
            <w:pPr>
              <w:snapToGrid w:val="0"/>
              <w:spacing w:before="312" w:beforeLines="100" w:after="312" w:afterLines="100"/>
              <w:jc w:val="left"/>
              <w:outlineLvl w:val="0"/>
              <w:rPr>
                <w:rFonts w:ascii="Times New Roman" w:hAnsi="Times New Roman" w:eastAsia="黑体" w:cs="Times New Roman"/>
                <w:szCs w:val="21"/>
              </w:rPr>
            </w:pPr>
            <w:r>
              <w:rPr>
                <w:rFonts w:ascii="Times New Roman" w:hAnsi="Times New Roman" w:eastAsia="黑体" w:cs="Times New Roman"/>
                <w:szCs w:val="21"/>
              </w:rPr>
              <w:t>5</w:t>
            </w:r>
            <w:r>
              <w:rPr>
                <w:rFonts w:hint="eastAsia" w:ascii="Times New Roman" w:hAnsi="Times New Roman" w:eastAsia="黑体" w:cs="Times New Roman"/>
                <w:szCs w:val="21"/>
              </w:rPr>
              <w:t>0~90</w:t>
            </w:r>
          </w:p>
        </w:tc>
        <w:tc>
          <w:tcPr>
            <w:tcW w:w="1637" w:type="dxa"/>
            <w:vAlign w:val="center"/>
          </w:tcPr>
          <w:p>
            <w:pPr>
              <w:snapToGrid w:val="0"/>
              <w:spacing w:before="312" w:beforeLines="100" w:after="312" w:afterLines="100"/>
              <w:jc w:val="left"/>
              <w:outlineLvl w:val="0"/>
              <w:rPr>
                <w:rFonts w:ascii="Times New Roman" w:hAnsi="Times New Roman" w:eastAsia="黑体" w:cs="Times New Roman"/>
                <w:szCs w:val="21"/>
              </w:rPr>
            </w:pPr>
            <w:r>
              <w:rPr>
                <w:rFonts w:hint="eastAsia" w:ascii="Times New Roman" w:hAnsi="Times New Roman" w:eastAsia="黑体" w:cs="Times New Roman"/>
                <w:szCs w:val="21"/>
              </w:rPr>
              <w:t>10~50</w:t>
            </w:r>
          </w:p>
        </w:tc>
        <w:tc>
          <w:tcPr>
            <w:tcW w:w="1614" w:type="dxa"/>
            <w:vAlign w:val="center"/>
          </w:tcPr>
          <w:p>
            <w:pPr>
              <w:snapToGrid w:val="0"/>
              <w:spacing w:before="312" w:beforeLines="100" w:after="312" w:afterLines="100"/>
              <w:jc w:val="left"/>
              <w:outlineLvl w:val="0"/>
              <w:rPr>
                <w:rFonts w:ascii="Times New Roman" w:hAnsi="Times New Roman" w:eastAsia="黑体" w:cs="Times New Roman"/>
                <w:szCs w:val="21"/>
              </w:rPr>
            </w:pPr>
            <w:r>
              <w:rPr>
                <w:rFonts w:hint="eastAsia" w:ascii="Times New Roman" w:hAnsi="Times New Roman" w:eastAsia="黑体" w:cs="Times New Roman"/>
                <w:szCs w:val="21"/>
              </w:rPr>
              <w:t>0~15</w:t>
            </w:r>
          </w:p>
        </w:tc>
        <w:tc>
          <w:tcPr>
            <w:tcW w:w="1212" w:type="dxa"/>
            <w:vAlign w:val="center"/>
          </w:tcPr>
          <w:p>
            <w:pPr>
              <w:snapToGrid w:val="0"/>
              <w:spacing w:before="312" w:beforeLines="100" w:after="312" w:afterLines="100"/>
              <w:jc w:val="left"/>
              <w:outlineLvl w:val="0"/>
              <w:rPr>
                <w:rFonts w:hint="default" w:ascii="Times New Roman" w:hAnsi="Times New Roman" w:eastAsia="黑体" w:cs="Times New Roman"/>
                <w:szCs w:val="21"/>
                <w:lang w:val="en-US" w:eastAsia="zh-CN"/>
              </w:rPr>
            </w:pPr>
            <w:r>
              <w:rPr>
                <w:rFonts w:hint="eastAsia" w:ascii="Times New Roman" w:hAnsi="Times New Roman" w:eastAsia="黑体" w:cs="Times New Roman"/>
                <w:szCs w:val="21"/>
                <w:lang w:val="en-US" w:eastAsia="zh-CN"/>
              </w:rPr>
              <w:t>0</w:t>
            </w:r>
            <w:r>
              <w:rPr>
                <w:rFonts w:hint="eastAsia" w:ascii="Times New Roman" w:hAnsi="Times New Roman" w:eastAsia="黑体" w:cs="Times New Roman"/>
                <w:szCs w:val="21"/>
              </w:rPr>
              <w:t>~</w:t>
            </w:r>
            <w:r>
              <w:rPr>
                <w:rFonts w:hint="eastAsia" w:ascii="Times New Roman" w:hAnsi="Times New Roman" w:eastAsia="黑体" w:cs="Times New Roman"/>
                <w:szCs w:val="21"/>
                <w:lang w:val="en-US" w:eastAsia="zh-CN"/>
              </w:rPr>
              <w:t>5</w:t>
            </w:r>
          </w:p>
        </w:tc>
      </w:tr>
    </w:tbl>
    <w:p>
      <w:pPr>
        <w:ind w:firstLineChars="200"/>
        <w:rPr>
          <w:rFonts w:eastAsia="宋体"/>
          <w:szCs w:val="21"/>
        </w:rPr>
      </w:pPr>
      <w:r>
        <w:rPr>
          <w:rFonts w:hint="eastAsia"/>
          <w:szCs w:val="21"/>
        </w:rPr>
        <w:t>由于不同矿区铜尾矿砂粒度组成、颗粒大小差异极大，根据颗粒大小程度，本标准将其分为</w:t>
      </w:r>
      <w:r>
        <w:rPr>
          <w:rFonts w:hint="eastAsia" w:ascii="宋体" w:hAnsi="宋体" w:eastAsia="宋体" w:cs="宋体"/>
          <w:sz w:val="24"/>
          <w:szCs w:val="24"/>
        </w:rPr>
        <w:t>I类、II类、III三类</w:t>
      </w:r>
      <w:r>
        <w:rPr>
          <w:rFonts w:hint="eastAsia"/>
          <w:szCs w:val="21"/>
          <w:lang w:eastAsia="zh-CN"/>
        </w:rPr>
        <w:t>。</w:t>
      </w:r>
      <w:r>
        <w:rPr>
          <w:rFonts w:hint="eastAsia"/>
          <w:szCs w:val="21"/>
        </w:rPr>
        <w:t>不同规格的铜尾矿砂应满足表1的要求。</w:t>
      </w:r>
    </w:p>
    <w:p>
      <w:pPr>
        <w:rPr>
          <w:b/>
          <w:bCs/>
          <w:szCs w:val="21"/>
        </w:rPr>
      </w:pPr>
      <w:r>
        <w:rPr>
          <w:b/>
          <w:bCs/>
          <w:szCs w:val="21"/>
        </w:rPr>
        <w:t>2.2.5.</w:t>
      </w:r>
      <w:r>
        <w:rPr>
          <w:rFonts w:hint="eastAsia"/>
          <w:b/>
          <w:bCs/>
          <w:szCs w:val="21"/>
        </w:rPr>
        <w:t>2</w:t>
      </w:r>
      <w:r>
        <w:rPr>
          <w:b/>
          <w:bCs/>
          <w:szCs w:val="21"/>
        </w:rPr>
        <w:t xml:space="preserve"> 粉含量</w:t>
      </w:r>
    </w:p>
    <w:p>
      <w:pPr>
        <w:ind w:firstLine="480"/>
        <w:rPr>
          <w:sz w:val="24"/>
          <w:szCs w:val="21"/>
        </w:rPr>
      </w:pPr>
      <w:r>
        <w:rPr>
          <w:rFonts w:hint="eastAsia"/>
          <w:sz w:val="24"/>
          <w:szCs w:val="21"/>
        </w:rPr>
        <w:t>铜尾矿砂中粉含量应不超过50%，各类砂的MB值应符合表</w:t>
      </w:r>
      <w:r>
        <w:rPr>
          <w:rFonts w:hint="eastAsia"/>
          <w:sz w:val="24"/>
          <w:szCs w:val="21"/>
          <w:lang w:val="en-US" w:eastAsia="zh-CN"/>
        </w:rPr>
        <w:t>2</w:t>
      </w:r>
      <w:r>
        <w:rPr>
          <w:rFonts w:hint="eastAsia"/>
          <w:sz w:val="24"/>
          <w:szCs w:val="21"/>
        </w:rPr>
        <w:t>的规定。</w:t>
      </w:r>
    </w:p>
    <w:p>
      <w:pPr>
        <w:pStyle w:val="44"/>
        <w:spacing w:beforeLines="0" w:afterLines="0"/>
        <w:ind w:left="0"/>
        <w:rPr>
          <w:rFonts w:hint="eastAsia" w:ascii="Times New Roman"/>
          <w:color w:val="auto"/>
          <w:lang w:val="en-US" w:eastAsia="zh-CN"/>
        </w:rPr>
      </w:pPr>
      <w:r>
        <w:rPr>
          <w:rFonts w:ascii="Times New Roman"/>
          <w:color w:val="auto"/>
        </w:rPr>
        <w:t>表</w:t>
      </w:r>
      <w:r>
        <w:rPr>
          <w:rFonts w:hint="eastAsia"/>
          <w:color w:val="auto"/>
          <w:lang w:val="en-US" w:eastAsia="zh-CN"/>
        </w:rPr>
        <w:t>2亚甲蓝</w:t>
      </w:r>
      <w:r>
        <w:rPr>
          <w:rFonts w:hint="eastAsia" w:ascii="Times New Roman"/>
          <w:color w:val="auto"/>
          <w:lang w:val="en-US" w:eastAsia="zh-CN"/>
        </w:rPr>
        <w:t>MB值</w:t>
      </w:r>
    </w:p>
    <w:tbl>
      <w:tblPr>
        <w:tblStyle w:val="11"/>
        <w:tblpPr w:leftFromText="180" w:rightFromText="180" w:vertAnchor="text" w:horzAnchor="page" w:tblpX="2174" w:tblpY="235"/>
        <w:tblOverlap w:val="never"/>
        <w:tblW w:w="45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1585"/>
        <w:gridCol w:w="1729"/>
        <w:gridCol w:w="1729"/>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72" w:type="pct"/>
            <w:gridSpan w:val="2"/>
            <w:vMerge w:val="restart"/>
            <w:noWrap w:val="0"/>
            <w:vAlign w:val="center"/>
          </w:tcPr>
          <w:p>
            <w:pPr>
              <w:snapToGrid w:val="0"/>
              <w:spacing w:line="360" w:lineRule="auto"/>
              <w:jc w:val="center"/>
              <w:rPr>
                <w:rFonts w:ascii="宋体" w:hAnsi="宋体" w:cs="Times New Roman"/>
                <w:sz w:val="18"/>
                <w:szCs w:val="18"/>
              </w:rPr>
            </w:pPr>
            <w:r>
              <w:rPr>
                <w:rFonts w:hint="eastAsia" w:ascii="宋体" w:hAnsi="宋体" w:cs="Times New Roman"/>
                <w:sz w:val="18"/>
                <w:szCs w:val="18"/>
              </w:rPr>
              <w:t>项目</w:t>
            </w:r>
          </w:p>
        </w:tc>
        <w:tc>
          <w:tcPr>
            <w:tcW w:w="3327" w:type="pct"/>
            <w:gridSpan w:val="3"/>
            <w:noWrap w:val="0"/>
            <w:vAlign w:val="center"/>
          </w:tcPr>
          <w:p>
            <w:pPr>
              <w:snapToGrid w:val="0"/>
              <w:spacing w:line="360" w:lineRule="auto"/>
              <w:jc w:val="center"/>
              <w:rPr>
                <w:rFonts w:hint="default" w:ascii="宋体" w:hAnsi="宋体" w:eastAsia="宋体" w:cs="Times New Roman"/>
                <w:sz w:val="18"/>
                <w:szCs w:val="18"/>
                <w:lang w:val="en-US" w:eastAsia="zh-CN"/>
              </w:rPr>
            </w:pPr>
            <w:r>
              <w:rPr>
                <w:rFonts w:hint="eastAsia" w:ascii="宋体" w:hAnsi="宋体" w:cs="Times New Roman"/>
                <w:sz w:val="18"/>
                <w:szCs w:val="18"/>
                <w:lang w:val="en-US" w:eastAsia="zh-CN"/>
              </w:rPr>
              <w:t>MB值（g/kg）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672" w:type="pct"/>
            <w:gridSpan w:val="2"/>
            <w:vMerge w:val="continue"/>
            <w:noWrap w:val="0"/>
            <w:vAlign w:val="center"/>
          </w:tcPr>
          <w:p>
            <w:pPr>
              <w:snapToGrid w:val="0"/>
              <w:spacing w:line="360" w:lineRule="auto"/>
              <w:jc w:val="center"/>
              <w:rPr>
                <w:rFonts w:ascii="宋体" w:hAnsi="宋体" w:cs="Times New Roman"/>
                <w:sz w:val="18"/>
                <w:szCs w:val="18"/>
              </w:rPr>
            </w:pPr>
          </w:p>
        </w:tc>
        <w:tc>
          <w:tcPr>
            <w:tcW w:w="1729" w:type="dxa"/>
            <w:noWrap w:val="0"/>
            <w:vAlign w:val="center"/>
          </w:tcPr>
          <w:p>
            <w:pPr>
              <w:snapToGrid w:val="0"/>
              <w:spacing w:line="360" w:lineRule="auto"/>
              <w:ind w:firstLine="480" w:firstLineChars="0"/>
              <w:jc w:val="center"/>
              <w:rPr>
                <w:rFonts w:ascii="宋体" w:hAnsi="宋体" w:cs="Times New Roman"/>
                <w:sz w:val="18"/>
                <w:szCs w:val="18"/>
              </w:rPr>
            </w:pPr>
            <w:r>
              <w:rPr>
                <w:rFonts w:hint="eastAsia" w:ascii="黑体" w:hAnsi="黑体" w:eastAsia="黑体" w:cs="黑体"/>
                <w:sz w:val="18"/>
                <w:szCs w:val="18"/>
              </w:rPr>
              <w:t>I类</w:t>
            </w:r>
          </w:p>
        </w:tc>
        <w:tc>
          <w:tcPr>
            <w:tcW w:w="1729" w:type="dxa"/>
            <w:noWrap w:val="0"/>
            <w:vAlign w:val="center"/>
          </w:tcPr>
          <w:p>
            <w:pPr>
              <w:snapToGrid w:val="0"/>
              <w:spacing w:line="360" w:lineRule="auto"/>
              <w:ind w:firstLine="480" w:firstLineChars="0"/>
              <w:jc w:val="center"/>
              <w:rPr>
                <w:rFonts w:ascii="宋体" w:hAnsi="宋体" w:cs="Times New Roman"/>
                <w:sz w:val="18"/>
                <w:szCs w:val="18"/>
              </w:rPr>
            </w:pPr>
            <w:r>
              <w:rPr>
                <w:rFonts w:hint="eastAsia" w:ascii="黑体" w:hAnsi="黑体" w:eastAsia="黑体" w:cs="黑体"/>
                <w:sz w:val="18"/>
                <w:szCs w:val="18"/>
              </w:rPr>
              <w:t>II类</w:t>
            </w:r>
          </w:p>
        </w:tc>
        <w:tc>
          <w:tcPr>
            <w:tcW w:w="1743" w:type="dxa"/>
            <w:noWrap w:val="0"/>
            <w:vAlign w:val="center"/>
          </w:tcPr>
          <w:p>
            <w:pPr>
              <w:snapToGrid w:val="0"/>
              <w:spacing w:line="360" w:lineRule="auto"/>
              <w:ind w:firstLine="480" w:firstLineChars="0"/>
              <w:jc w:val="center"/>
              <w:rPr>
                <w:rFonts w:ascii="宋体" w:hAnsi="宋体" w:cs="Times New Roman"/>
                <w:sz w:val="18"/>
                <w:szCs w:val="18"/>
              </w:rPr>
            </w:pPr>
            <w:r>
              <w:rPr>
                <w:rFonts w:hint="eastAsia" w:ascii="黑体" w:hAnsi="黑体" w:eastAsia="黑体" w:cs="黑体"/>
                <w:sz w:val="18"/>
                <w:szCs w:val="18"/>
              </w:rPr>
              <w:t>III类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658" w:type="pct"/>
            <w:noWrap w:val="0"/>
            <w:vAlign w:val="center"/>
          </w:tcPr>
          <w:p>
            <w:pPr>
              <w:snapToGrid w:val="0"/>
              <w:spacing w:line="360" w:lineRule="auto"/>
              <w:ind w:firstLine="0" w:firstLineChars="0"/>
              <w:jc w:val="center"/>
              <w:rPr>
                <w:rFonts w:ascii="宋体" w:hAnsi="宋体" w:cs="Times New Roman"/>
                <w:sz w:val="18"/>
                <w:szCs w:val="18"/>
              </w:rPr>
            </w:pPr>
            <w:r>
              <w:rPr>
                <w:rFonts w:hint="eastAsia" w:ascii="宋体" w:hAnsi="宋体" w:cs="Times New Roman"/>
                <w:sz w:val="18"/>
                <w:szCs w:val="18"/>
              </w:rPr>
              <w:t>粉含量</w:t>
            </w:r>
            <w:r>
              <w:rPr>
                <w:rFonts w:ascii="宋体" w:hAnsi="宋体" w:cs="Times New Roman"/>
                <w:sz w:val="18"/>
                <w:szCs w:val="18"/>
              </w:rPr>
              <w:t>/%</w:t>
            </w:r>
          </w:p>
        </w:tc>
        <w:tc>
          <w:tcPr>
            <w:tcW w:w="1013" w:type="pct"/>
            <w:noWrap w:val="0"/>
            <w:vAlign w:val="center"/>
          </w:tcPr>
          <w:p>
            <w:pPr>
              <w:snapToGrid w:val="0"/>
              <w:spacing w:line="360" w:lineRule="auto"/>
              <w:ind w:left="0" w:leftChars="0" w:firstLine="0" w:firstLineChars="0"/>
              <w:jc w:val="center"/>
              <w:rPr>
                <w:rFonts w:hint="default" w:ascii="宋体" w:hAnsi="宋体" w:eastAsia="宋体" w:cs="Times New Roman"/>
                <w:sz w:val="18"/>
                <w:szCs w:val="18"/>
                <w:lang w:val="en-US" w:eastAsia="zh-CN"/>
              </w:rPr>
            </w:pPr>
            <w:r>
              <w:rPr>
                <w:rFonts w:hint="eastAsia" w:ascii="宋体" w:hAnsi="宋体" w:cs="Times New Roman"/>
                <w:sz w:val="18"/>
                <w:szCs w:val="18"/>
              </w:rPr>
              <w:t>≤</w:t>
            </w:r>
            <w:r>
              <w:rPr>
                <w:rFonts w:hint="eastAsia" w:ascii="宋体" w:hAnsi="宋体" w:cs="Times New Roman"/>
                <w:sz w:val="18"/>
                <w:szCs w:val="18"/>
                <w:lang w:val="en-US" w:eastAsia="zh-CN"/>
              </w:rPr>
              <w:t>50%</w:t>
            </w:r>
          </w:p>
        </w:tc>
        <w:tc>
          <w:tcPr>
            <w:tcW w:w="1729" w:type="dxa"/>
            <w:noWrap w:val="0"/>
            <w:vAlign w:val="center"/>
          </w:tcPr>
          <w:p>
            <w:pPr>
              <w:snapToGrid w:val="0"/>
              <w:spacing w:line="360" w:lineRule="auto"/>
              <w:ind w:firstLine="480" w:firstLineChars="0"/>
              <w:jc w:val="center"/>
              <w:rPr>
                <w:rFonts w:hint="default" w:ascii="宋体" w:hAnsi="宋体" w:eastAsia="宋体" w:cs="Times New Roman"/>
                <w:sz w:val="18"/>
                <w:szCs w:val="18"/>
                <w:highlight w:val="none"/>
                <w:lang w:val="en-US" w:eastAsia="zh-CN"/>
              </w:rPr>
            </w:pPr>
            <w:r>
              <w:rPr>
                <w:rFonts w:cs="Times New Roman" w:asciiTheme="minorEastAsia" w:hAnsiTheme="minorEastAsia"/>
                <w:sz w:val="18"/>
                <w:szCs w:val="18"/>
              </w:rPr>
              <w:t>MB</w:t>
            </w:r>
            <w:r>
              <w:rPr>
                <w:rFonts w:hint="eastAsia" w:cs="Times New Roman" w:asciiTheme="minorEastAsia" w:hAnsiTheme="minorEastAsia"/>
                <w:sz w:val="18"/>
                <w:szCs w:val="18"/>
              </w:rPr>
              <w:t>值</w:t>
            </w:r>
            <w:r>
              <w:rPr>
                <w:rFonts w:hint="eastAsia" w:cs="Times New Roman" w:asciiTheme="minorEastAsia" w:hAnsiTheme="minorEastAsia"/>
                <w:sz w:val="18"/>
                <w:szCs w:val="18"/>
                <w:highlight w:val="none"/>
              </w:rPr>
              <w:t>≤</w:t>
            </w:r>
            <w:r>
              <w:rPr>
                <w:rFonts w:hint="eastAsia" w:cs="Times New Roman" w:asciiTheme="minorEastAsia" w:hAnsiTheme="minorEastAsia"/>
                <w:sz w:val="18"/>
                <w:szCs w:val="18"/>
                <w:highlight w:val="none"/>
                <w:lang w:val="en-US" w:eastAsia="zh-CN"/>
              </w:rPr>
              <w:t>0.5</w:t>
            </w:r>
          </w:p>
        </w:tc>
        <w:tc>
          <w:tcPr>
            <w:tcW w:w="1729" w:type="dxa"/>
            <w:noWrap w:val="0"/>
            <w:vAlign w:val="center"/>
          </w:tcPr>
          <w:p>
            <w:pPr>
              <w:snapToGrid w:val="0"/>
              <w:spacing w:line="360" w:lineRule="auto"/>
              <w:ind w:left="0" w:leftChars="0" w:firstLine="0" w:firstLineChars="0"/>
              <w:jc w:val="both"/>
              <w:rPr>
                <w:rFonts w:ascii="宋体" w:hAnsi="宋体" w:cs="Times New Roman"/>
                <w:sz w:val="18"/>
                <w:szCs w:val="18"/>
                <w:highlight w:val="none"/>
              </w:rPr>
            </w:pPr>
            <w:r>
              <w:rPr>
                <w:rFonts w:hint="eastAsia" w:cs="Times New Roman" w:asciiTheme="minorEastAsia" w:hAnsiTheme="minorEastAsia"/>
                <w:sz w:val="18"/>
                <w:szCs w:val="18"/>
              </w:rPr>
              <w:t>0.5＜</w:t>
            </w:r>
            <w:r>
              <w:rPr>
                <w:rFonts w:cs="Times New Roman" w:asciiTheme="minorEastAsia" w:hAnsiTheme="minorEastAsia"/>
                <w:sz w:val="18"/>
                <w:szCs w:val="18"/>
              </w:rPr>
              <w:t>MB</w:t>
            </w:r>
            <w:r>
              <w:rPr>
                <w:rFonts w:hint="eastAsia" w:cs="Times New Roman" w:asciiTheme="minorEastAsia" w:hAnsiTheme="minorEastAsia"/>
                <w:sz w:val="18"/>
                <w:szCs w:val="18"/>
              </w:rPr>
              <w:t>值≤1.0</w:t>
            </w:r>
          </w:p>
        </w:tc>
        <w:tc>
          <w:tcPr>
            <w:tcW w:w="1743" w:type="dxa"/>
            <w:noWrap w:val="0"/>
            <w:vAlign w:val="center"/>
          </w:tcPr>
          <w:p>
            <w:pPr>
              <w:snapToGrid w:val="0"/>
              <w:spacing w:line="360" w:lineRule="auto"/>
              <w:ind w:left="0" w:leftChars="0" w:firstLine="0" w:firstLineChars="0"/>
              <w:jc w:val="both"/>
              <w:rPr>
                <w:rFonts w:ascii="宋体" w:hAnsi="宋体" w:cs="Times New Roman"/>
                <w:sz w:val="18"/>
                <w:szCs w:val="18"/>
                <w:highlight w:val="none"/>
              </w:rPr>
            </w:pPr>
            <w:r>
              <w:rPr>
                <w:rFonts w:hint="eastAsia" w:cs="Times New Roman" w:asciiTheme="minorEastAsia" w:hAnsiTheme="minorEastAsia"/>
                <w:sz w:val="18"/>
                <w:szCs w:val="18"/>
              </w:rPr>
              <w:t>1.0＜</w:t>
            </w:r>
            <w:r>
              <w:rPr>
                <w:rFonts w:cs="Times New Roman" w:asciiTheme="minorEastAsia" w:hAnsiTheme="minorEastAsia"/>
                <w:sz w:val="18"/>
                <w:szCs w:val="18"/>
              </w:rPr>
              <w:t>MB</w:t>
            </w:r>
            <w:r>
              <w:rPr>
                <w:rFonts w:hint="eastAsia" w:cs="Times New Roman" w:asciiTheme="minorEastAsia" w:hAnsiTheme="minorEastAsia"/>
                <w:sz w:val="18"/>
                <w:szCs w:val="18"/>
              </w:rPr>
              <w:t>值≤1.4</w:t>
            </w:r>
          </w:p>
        </w:tc>
      </w:tr>
    </w:tbl>
    <w:p>
      <w:pPr>
        <w:ind w:firstLine="480"/>
        <w:rPr>
          <w:color w:val="000000"/>
        </w:rPr>
      </w:pPr>
      <w:r>
        <w:rPr>
          <w:rFonts w:hint="eastAsia"/>
          <w:color w:val="000000"/>
        </w:rPr>
        <w:t>由于大部分铜尾矿砂的颗粒都比较细小，铜尾矿砂</w:t>
      </w:r>
      <w:r>
        <w:rPr>
          <w:color w:val="000000"/>
        </w:rPr>
        <w:t>中的粉含量对混凝土和砂浆的性能有显著影响，当粉含量较高时，所配制的混凝土和砂浆需水量大，同时浆体含量有所提高，对混凝土和砂浆的体积稳定性有不利影响。</w:t>
      </w:r>
      <w:r>
        <w:rPr>
          <w:rFonts w:hint="eastAsia"/>
          <w:color w:val="000000"/>
          <w:lang w:val="en-US" w:eastAsia="zh-CN"/>
        </w:rPr>
        <w:t>且</w:t>
      </w:r>
      <w:r>
        <w:rPr>
          <w:color w:val="000000"/>
        </w:rPr>
        <w:t>粉含量</w:t>
      </w:r>
      <w:r>
        <w:rPr>
          <w:rFonts w:hint="eastAsia"/>
          <w:color w:val="000000"/>
        </w:rPr>
        <w:t>对砂浆混凝土混凝土性能的影响</w:t>
      </w:r>
      <w:r>
        <w:rPr>
          <w:color w:val="000000"/>
        </w:rPr>
        <w:t>与粉的矿物组成</w:t>
      </w:r>
      <w:r>
        <w:rPr>
          <w:rFonts w:hint="eastAsia"/>
          <w:color w:val="000000"/>
          <w:lang w:val="en-US" w:eastAsia="zh-CN"/>
        </w:rPr>
        <w:t>也</w:t>
      </w:r>
      <w:r>
        <w:rPr>
          <w:color w:val="000000"/>
        </w:rPr>
        <w:t>有关系，若粉中含有一定量的粘土类矿物，则其对外加剂产生强吸附，从而影响外加剂作用效率，同时这类矿物会严重影响混凝土的抗冻、抗渗等耐久性。</w:t>
      </w:r>
    </w:p>
    <w:p>
      <w:pPr>
        <w:ind w:firstLine="480"/>
        <w:rPr>
          <w:color w:val="000000"/>
        </w:rPr>
      </w:pPr>
      <w:r>
        <w:rPr>
          <w:color w:val="000000"/>
        </w:rPr>
        <w:t>因此，本标准</w:t>
      </w:r>
      <w:r>
        <w:rPr>
          <w:rFonts w:hint="eastAsia"/>
          <w:color w:val="000000"/>
        </w:rPr>
        <w:t>在限定粉含量不超过50%。</w:t>
      </w:r>
      <w:r>
        <w:rPr>
          <w:rFonts w:hint="eastAsia"/>
          <w:color w:val="000000"/>
          <w:sz w:val="24"/>
          <w:lang w:val="en-US" w:eastAsia="zh-CN"/>
        </w:rPr>
        <w:t>的同时</w:t>
      </w:r>
      <w:r>
        <w:rPr>
          <w:sz w:val="24"/>
          <w:szCs w:val="21"/>
        </w:rPr>
        <w:t>采用MB值评价</w:t>
      </w:r>
      <w:r>
        <w:rPr>
          <w:rFonts w:hint="eastAsia"/>
          <w:sz w:val="24"/>
          <w:szCs w:val="21"/>
          <w:lang w:eastAsia="zh-CN"/>
        </w:rPr>
        <w:t>铜尾矿砂</w:t>
      </w:r>
      <w:r>
        <w:rPr>
          <w:sz w:val="24"/>
          <w:szCs w:val="21"/>
        </w:rPr>
        <w:t>中</w:t>
      </w:r>
      <w:r>
        <w:rPr>
          <w:color w:val="000000"/>
          <w:sz w:val="24"/>
        </w:rPr>
        <w:t>小于75 μm颗粒吸附性能，</w:t>
      </w:r>
      <w:r>
        <w:rPr>
          <w:rFonts w:hint="eastAsia"/>
          <w:color w:val="000000"/>
          <w:sz w:val="24"/>
          <w:lang w:val="en-US" w:eastAsia="zh-CN"/>
        </w:rPr>
        <w:t>限定铜尾矿砂的MB值不得超过1.4，同时根据MB值的大小来划分</w:t>
      </w:r>
      <w:r>
        <w:rPr>
          <w:rFonts w:hint="eastAsia"/>
          <w:color w:val="000000"/>
          <w:sz w:val="24"/>
          <w:lang w:eastAsia="zh-CN"/>
        </w:rPr>
        <w:t>铜尾矿砂</w:t>
      </w:r>
      <w:r>
        <w:rPr>
          <w:rFonts w:hint="eastAsia"/>
          <w:color w:val="000000"/>
          <w:sz w:val="24"/>
          <w:lang w:val="en-US" w:eastAsia="zh-CN"/>
        </w:rPr>
        <w:t>的类别，当MB值≤0.5时划分为I类，0.5＜MB值≤1.0时划分为II类，1.0＜MB值≤1.4时划分为III类</w:t>
      </w:r>
      <w:r>
        <w:rPr>
          <w:color w:val="000000"/>
          <w:sz w:val="24"/>
        </w:rPr>
        <w:t>。</w:t>
      </w:r>
    </w:p>
    <w:p>
      <w:pPr>
        <w:rPr>
          <w:b/>
          <w:bCs/>
          <w:color w:val="000000"/>
        </w:rPr>
      </w:pPr>
      <w:r>
        <w:rPr>
          <w:b/>
          <w:bCs/>
          <w:color w:val="000000"/>
        </w:rPr>
        <w:t>2.2.5.</w:t>
      </w:r>
      <w:r>
        <w:rPr>
          <w:rFonts w:hint="eastAsia"/>
          <w:b/>
          <w:bCs/>
          <w:color w:val="000000"/>
          <w:lang w:val="en-US" w:eastAsia="zh-CN"/>
        </w:rPr>
        <w:t>3</w:t>
      </w:r>
      <w:r>
        <w:rPr>
          <w:b/>
          <w:bCs/>
          <w:color w:val="000000"/>
        </w:rPr>
        <w:t>表观密度</w:t>
      </w:r>
    </w:p>
    <w:p>
      <w:pPr>
        <w:rPr>
          <w:szCs w:val="21"/>
        </w:rPr>
      </w:pPr>
      <w:r>
        <w:rPr>
          <w:szCs w:val="21"/>
        </w:rPr>
        <w:t>本标准规定</w:t>
      </w:r>
      <w:r>
        <w:rPr>
          <w:rFonts w:hint="eastAsia"/>
          <w:szCs w:val="21"/>
        </w:rPr>
        <w:t>铜尾矿砂</w:t>
      </w:r>
      <w:r>
        <w:rPr>
          <w:szCs w:val="21"/>
        </w:rPr>
        <w:t>的表观密度应不小于25</w:t>
      </w:r>
      <w:r>
        <w:rPr>
          <w:rFonts w:hint="eastAsia"/>
          <w:szCs w:val="21"/>
        </w:rPr>
        <w:t>5</w:t>
      </w:r>
      <w:r>
        <w:rPr>
          <w:szCs w:val="21"/>
        </w:rPr>
        <w:t>0 kg/m</w:t>
      </w:r>
      <w:r>
        <w:rPr>
          <w:szCs w:val="21"/>
          <w:vertAlign w:val="superscript"/>
        </w:rPr>
        <w:t>3</w:t>
      </w:r>
      <w:r>
        <w:rPr>
          <w:szCs w:val="21"/>
        </w:rPr>
        <w:t>。</w:t>
      </w:r>
    </w:p>
    <w:p>
      <w:pPr>
        <w:rPr>
          <w:szCs w:val="21"/>
        </w:rPr>
      </w:pPr>
      <w:r>
        <w:rPr>
          <w:szCs w:val="21"/>
        </w:rPr>
        <w:t>砂的表观密度对其抵抗破坏的能力有直接影响，参考现行国家标准GB/T 14684对建设用砂的密度要求，</w:t>
      </w:r>
      <w:r>
        <w:rPr>
          <w:rFonts w:hint="eastAsia"/>
          <w:szCs w:val="21"/>
        </w:rPr>
        <w:t>由于铜尾矿砂的表观密度较常用的石灰石机制砂更大，因此</w:t>
      </w:r>
      <w:r>
        <w:rPr>
          <w:szCs w:val="21"/>
        </w:rPr>
        <w:t>本标准规定了</w:t>
      </w:r>
      <w:r>
        <w:rPr>
          <w:rFonts w:hint="eastAsia"/>
          <w:szCs w:val="21"/>
        </w:rPr>
        <w:t>铜尾矿砂</w:t>
      </w:r>
      <w:r>
        <w:rPr>
          <w:szCs w:val="21"/>
        </w:rPr>
        <w:t>的表观密度应不小于25</w:t>
      </w:r>
      <w:r>
        <w:rPr>
          <w:rFonts w:hint="eastAsia"/>
          <w:szCs w:val="21"/>
        </w:rPr>
        <w:t>5</w:t>
      </w:r>
      <w:r>
        <w:rPr>
          <w:szCs w:val="21"/>
        </w:rPr>
        <w:t>0 kg/m</w:t>
      </w:r>
      <w:r>
        <w:rPr>
          <w:szCs w:val="21"/>
          <w:vertAlign w:val="superscript"/>
        </w:rPr>
        <w:t>3</w:t>
      </w:r>
      <w:r>
        <w:rPr>
          <w:szCs w:val="21"/>
        </w:rPr>
        <w:t>。</w:t>
      </w:r>
    </w:p>
    <w:p>
      <w:pPr>
        <w:rPr>
          <w:b/>
          <w:bCs/>
          <w:szCs w:val="21"/>
        </w:rPr>
      </w:pPr>
      <w:r>
        <w:rPr>
          <w:b/>
          <w:bCs/>
          <w:szCs w:val="21"/>
        </w:rPr>
        <w:t>2.2.5.</w:t>
      </w:r>
      <w:r>
        <w:rPr>
          <w:rFonts w:hint="eastAsia"/>
          <w:b/>
          <w:bCs/>
          <w:szCs w:val="21"/>
          <w:lang w:val="en-US" w:eastAsia="zh-CN"/>
        </w:rPr>
        <w:t>4</w:t>
      </w:r>
      <w:r>
        <w:rPr>
          <w:b/>
          <w:bCs/>
          <w:szCs w:val="21"/>
        </w:rPr>
        <w:t xml:space="preserve"> 有害物质含量</w:t>
      </w:r>
    </w:p>
    <w:p>
      <w:pPr>
        <w:rPr>
          <w:color w:val="000000"/>
          <w:szCs w:val="21"/>
        </w:rPr>
      </w:pPr>
      <w:r>
        <w:rPr>
          <w:rFonts w:hint="eastAsia"/>
          <w:color w:val="000000"/>
          <w:szCs w:val="21"/>
        </w:rPr>
        <w:t>铜尾矿砂</w:t>
      </w:r>
      <w:r>
        <w:rPr>
          <w:color w:val="000000"/>
          <w:szCs w:val="21"/>
        </w:rPr>
        <w:t>中不应混有草根、树叶、树枝、塑料、煤块、矿渣等杂物。</w:t>
      </w:r>
      <w:r>
        <w:rPr>
          <w:rFonts w:hint="eastAsia"/>
          <w:color w:val="000000"/>
          <w:szCs w:val="21"/>
        </w:rPr>
        <w:t>铜尾矿砂</w:t>
      </w:r>
      <w:r>
        <w:rPr>
          <w:color w:val="000000"/>
          <w:szCs w:val="21"/>
        </w:rPr>
        <w:t>中如含有轻物质、有机物、硫化物及硫酸盐、氯盐等，其限量应符合表6的规定。</w:t>
      </w:r>
    </w:p>
    <w:p>
      <w:pPr>
        <w:pStyle w:val="44"/>
        <w:rPr>
          <w:color w:val="auto"/>
        </w:rPr>
      </w:pPr>
      <w:r>
        <w:rPr>
          <w:color w:val="auto"/>
        </w:rPr>
        <w:t>表</w:t>
      </w:r>
      <w:r>
        <w:rPr>
          <w:rFonts w:hint="eastAsia"/>
          <w:color w:val="auto"/>
          <w:lang w:val="en-US" w:eastAsia="zh-CN"/>
        </w:rPr>
        <w:t>3</w:t>
      </w:r>
      <w:r>
        <w:rPr>
          <w:color w:val="auto"/>
        </w:rPr>
        <w:t xml:space="preserve"> 有害物质限量</w:t>
      </w:r>
    </w:p>
    <w:tbl>
      <w:tblPr>
        <w:tblStyle w:val="10"/>
        <w:tblpPr w:leftFromText="180" w:rightFromText="180" w:vertAnchor="text" w:horzAnchor="page" w:tblpXSpec="center" w:tblpY="299"/>
        <w:tblOverlap w:val="never"/>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1713"/>
        <w:gridCol w:w="1831"/>
        <w:gridCol w:w="25"/>
        <w:gridCol w:w="1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085" w:type="dxa"/>
            <w:vMerge w:val="restart"/>
            <w:tcBorders>
              <w:top w:val="single" w:color="auto" w:sz="12" w:space="0"/>
              <w:left w:val="single" w:color="auto" w:sz="12" w:space="0"/>
              <w:bottom w:val="single" w:color="auto" w:sz="4" w:space="0"/>
              <w:right w:val="single" w:color="auto" w:sz="4" w:space="0"/>
            </w:tcBorders>
            <w:noWrap w:val="0"/>
            <w:vAlign w:val="center"/>
          </w:tcPr>
          <w:p>
            <w:pPr>
              <w:spacing w:line="320" w:lineRule="exact"/>
              <w:jc w:val="center"/>
              <w:rPr>
                <w:rFonts w:hint="eastAsia" w:ascii="宋体" w:hAnsi="宋体" w:cs="宋体"/>
                <w:color w:val="000000"/>
                <w:sz w:val="18"/>
                <w:szCs w:val="18"/>
              </w:rPr>
            </w:pPr>
            <w:r>
              <w:rPr>
                <w:rFonts w:hint="eastAsia" w:ascii="宋体" w:hAnsi="宋体" w:cs="宋体"/>
                <w:snapToGrid w:val="0"/>
                <w:color w:val="000000"/>
                <w:sz w:val="18"/>
                <w:szCs w:val="18"/>
                <w:lang w:bidi="ar"/>
              </w:rPr>
              <w:t>项目</w:t>
            </w:r>
          </w:p>
        </w:tc>
        <w:tc>
          <w:tcPr>
            <w:tcW w:w="5528" w:type="dxa"/>
            <w:gridSpan w:val="4"/>
            <w:tcBorders>
              <w:top w:val="single" w:color="auto" w:sz="12" w:space="0"/>
              <w:left w:val="single" w:color="auto" w:sz="4" w:space="0"/>
              <w:bottom w:val="single" w:color="auto" w:sz="4" w:space="0"/>
              <w:right w:val="single" w:color="auto" w:sz="12" w:space="0"/>
            </w:tcBorders>
            <w:noWrap w:val="0"/>
            <w:vAlign w:val="center"/>
          </w:tcPr>
          <w:p>
            <w:pPr>
              <w:spacing w:line="320" w:lineRule="exact"/>
              <w:jc w:val="center"/>
              <w:rPr>
                <w:rFonts w:hint="eastAsia" w:ascii="宋体" w:hAnsi="宋体" w:cs="宋体"/>
                <w:color w:val="000000"/>
                <w:sz w:val="18"/>
                <w:szCs w:val="18"/>
              </w:rPr>
            </w:pPr>
            <w:r>
              <w:rPr>
                <w:rFonts w:hint="eastAsia" w:ascii="宋体" w:hAnsi="宋体" w:cs="宋体"/>
                <w:snapToGrid w:val="0"/>
                <w:color w:val="000000"/>
                <w:sz w:val="18"/>
                <w:szCs w:val="18"/>
                <w:lang w:bidi="ar"/>
              </w:rPr>
              <w:t>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085" w:type="dxa"/>
            <w:vMerge w:val="continue"/>
            <w:tcBorders>
              <w:top w:val="single" w:color="auto" w:sz="12" w:space="0"/>
              <w:left w:val="single" w:color="auto" w:sz="12" w:space="0"/>
              <w:bottom w:val="single" w:color="auto" w:sz="4" w:space="0"/>
              <w:right w:val="single" w:color="auto" w:sz="4" w:space="0"/>
            </w:tcBorders>
            <w:noWrap w:val="0"/>
            <w:vAlign w:val="center"/>
          </w:tcPr>
          <w:p>
            <w:pPr>
              <w:widowControl/>
              <w:rPr>
                <w:sz w:val="18"/>
                <w:szCs w:val="18"/>
              </w:rPr>
            </w:pPr>
          </w:p>
        </w:tc>
        <w:tc>
          <w:tcPr>
            <w:tcW w:w="1713" w:type="dxa"/>
            <w:tcBorders>
              <w:top w:val="single" w:color="auto" w:sz="4" w:space="0"/>
              <w:left w:val="single" w:color="auto" w:sz="4" w:space="0"/>
              <w:bottom w:val="single" w:color="auto" w:sz="12" w:space="0"/>
              <w:right w:val="single" w:color="auto" w:sz="4" w:space="0"/>
            </w:tcBorders>
            <w:noWrap w:val="0"/>
            <w:vAlign w:val="center"/>
          </w:tcPr>
          <w:p>
            <w:pPr>
              <w:snapToGrid w:val="0"/>
              <w:spacing w:line="360" w:lineRule="auto"/>
              <w:ind w:firstLine="480" w:firstLineChars="0"/>
              <w:jc w:val="center"/>
              <w:rPr>
                <w:rFonts w:hint="eastAsia" w:ascii="宋体" w:hAnsi="宋体" w:cs="宋体"/>
                <w:sz w:val="18"/>
                <w:szCs w:val="18"/>
              </w:rPr>
            </w:pPr>
            <w:r>
              <w:rPr>
                <w:rFonts w:hint="eastAsia" w:ascii="黑体" w:hAnsi="黑体" w:eastAsia="黑体" w:cs="黑体"/>
                <w:sz w:val="18"/>
                <w:szCs w:val="18"/>
              </w:rPr>
              <w:t>I类</w:t>
            </w:r>
          </w:p>
        </w:tc>
        <w:tc>
          <w:tcPr>
            <w:tcW w:w="1856" w:type="dxa"/>
            <w:gridSpan w:val="2"/>
            <w:tcBorders>
              <w:top w:val="single" w:color="auto" w:sz="4" w:space="0"/>
              <w:left w:val="nil"/>
              <w:bottom w:val="single" w:color="auto" w:sz="12" w:space="0"/>
              <w:right w:val="single" w:color="auto" w:sz="4" w:space="0"/>
            </w:tcBorders>
            <w:noWrap w:val="0"/>
            <w:vAlign w:val="center"/>
          </w:tcPr>
          <w:p>
            <w:pPr>
              <w:snapToGrid w:val="0"/>
              <w:spacing w:line="360" w:lineRule="auto"/>
              <w:ind w:firstLine="480" w:firstLineChars="0"/>
              <w:jc w:val="center"/>
              <w:rPr>
                <w:rFonts w:hint="eastAsia" w:ascii="宋体" w:hAnsi="宋体" w:cs="宋体"/>
                <w:sz w:val="18"/>
                <w:szCs w:val="18"/>
              </w:rPr>
            </w:pPr>
            <w:r>
              <w:rPr>
                <w:rFonts w:hint="eastAsia" w:ascii="黑体" w:hAnsi="黑体" w:eastAsia="黑体" w:cs="黑体"/>
                <w:sz w:val="18"/>
                <w:szCs w:val="18"/>
              </w:rPr>
              <w:t>II类</w:t>
            </w:r>
          </w:p>
        </w:tc>
        <w:tc>
          <w:tcPr>
            <w:tcW w:w="1959" w:type="dxa"/>
            <w:tcBorders>
              <w:top w:val="single" w:color="auto" w:sz="4" w:space="0"/>
              <w:left w:val="nil"/>
              <w:bottom w:val="single" w:color="auto" w:sz="12" w:space="0"/>
              <w:right w:val="single" w:color="auto" w:sz="12" w:space="0"/>
            </w:tcBorders>
            <w:noWrap w:val="0"/>
            <w:vAlign w:val="center"/>
          </w:tcPr>
          <w:p>
            <w:pPr>
              <w:snapToGrid w:val="0"/>
              <w:spacing w:line="360" w:lineRule="auto"/>
              <w:ind w:firstLine="480" w:firstLineChars="0"/>
              <w:jc w:val="center"/>
              <w:rPr>
                <w:sz w:val="18"/>
                <w:szCs w:val="18"/>
              </w:rPr>
            </w:pPr>
            <w:r>
              <w:rPr>
                <w:rFonts w:hint="eastAsia" w:ascii="黑体" w:hAnsi="黑体" w:eastAsia="黑体" w:cs="黑体"/>
                <w:sz w:val="18"/>
                <w:szCs w:val="18"/>
              </w:rPr>
              <w:t>III类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3085" w:type="dxa"/>
            <w:tcBorders>
              <w:top w:val="single" w:color="auto" w:sz="12" w:space="0"/>
              <w:left w:val="single" w:color="auto" w:sz="12" w:space="0"/>
              <w:bottom w:val="single" w:color="auto" w:sz="12" w:space="0"/>
              <w:right w:val="single" w:color="auto" w:sz="4" w:space="0"/>
            </w:tcBorders>
            <w:noWrap w:val="0"/>
            <w:vAlign w:val="center"/>
          </w:tcPr>
          <w:p>
            <w:pPr>
              <w:widowControl/>
              <w:jc w:val="center"/>
              <w:rPr>
                <w:rFonts w:hint="eastAsia" w:ascii="宋体" w:hAnsi="宋体" w:cs="宋体"/>
                <w:color w:val="000000"/>
                <w:sz w:val="18"/>
                <w:szCs w:val="18"/>
              </w:rPr>
            </w:pPr>
            <w:r>
              <w:rPr>
                <w:rFonts w:hint="eastAsia" w:ascii="宋体" w:hAnsi="宋体"/>
                <w:sz w:val="18"/>
                <w:szCs w:val="18"/>
              </w:rPr>
              <w:t>轻物质</w:t>
            </w:r>
            <w:r>
              <w:rPr>
                <w:rFonts w:ascii="宋体" w:hAnsi="宋体"/>
                <w:sz w:val="18"/>
                <w:szCs w:val="18"/>
              </w:rPr>
              <w:t>/%</w:t>
            </w:r>
          </w:p>
        </w:tc>
        <w:tc>
          <w:tcPr>
            <w:tcW w:w="5528" w:type="dxa"/>
            <w:gridSpan w:val="4"/>
            <w:tcBorders>
              <w:top w:val="single" w:color="auto" w:sz="12" w:space="0"/>
              <w:left w:val="single" w:color="auto" w:sz="4" w:space="0"/>
              <w:bottom w:val="single" w:color="auto" w:sz="12" w:space="0"/>
              <w:right w:val="single" w:color="auto" w:sz="12" w:space="0"/>
            </w:tcBorders>
            <w:noWrap w:val="0"/>
            <w:vAlign w:val="center"/>
          </w:tcPr>
          <w:p>
            <w:pPr>
              <w:widowControl/>
              <w:jc w:val="center"/>
              <w:rPr>
                <w:color w:val="000000"/>
                <w:sz w:val="18"/>
                <w:szCs w:val="18"/>
              </w:rPr>
            </w:pPr>
            <w:r>
              <w:rPr>
                <w:rFonts w:hint="eastAsia" w:ascii="宋体" w:hAnsi="宋体"/>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3085" w:type="dxa"/>
            <w:tcBorders>
              <w:top w:val="single" w:color="auto" w:sz="12" w:space="0"/>
              <w:left w:val="single" w:color="auto" w:sz="12" w:space="0"/>
              <w:bottom w:val="single" w:color="auto" w:sz="12" w:space="0"/>
              <w:right w:val="single" w:color="auto" w:sz="4" w:space="0"/>
            </w:tcBorders>
            <w:noWrap w:val="0"/>
            <w:vAlign w:val="center"/>
          </w:tcPr>
          <w:p>
            <w:pPr>
              <w:widowControl/>
              <w:jc w:val="center"/>
              <w:rPr>
                <w:rFonts w:hint="eastAsia" w:ascii="宋体" w:hAnsi="宋体" w:cs="宋体"/>
                <w:sz w:val="18"/>
                <w:szCs w:val="18"/>
              </w:rPr>
            </w:pPr>
            <w:r>
              <w:rPr>
                <w:rFonts w:hint="eastAsia" w:ascii="宋体" w:hAnsi="宋体"/>
                <w:sz w:val="18"/>
                <w:szCs w:val="18"/>
              </w:rPr>
              <w:t>有机物</w:t>
            </w:r>
          </w:p>
        </w:tc>
        <w:tc>
          <w:tcPr>
            <w:tcW w:w="5528" w:type="dxa"/>
            <w:gridSpan w:val="4"/>
            <w:tcBorders>
              <w:top w:val="single" w:color="auto" w:sz="12" w:space="0"/>
              <w:left w:val="single" w:color="auto" w:sz="4" w:space="0"/>
              <w:bottom w:val="single" w:color="auto" w:sz="12" w:space="0"/>
              <w:right w:val="single" w:color="auto" w:sz="12" w:space="0"/>
            </w:tcBorders>
            <w:noWrap w:val="0"/>
            <w:vAlign w:val="bottom"/>
          </w:tcPr>
          <w:p>
            <w:pPr>
              <w:widowControl/>
              <w:jc w:val="center"/>
              <w:rPr>
                <w:sz w:val="18"/>
                <w:szCs w:val="18"/>
              </w:rPr>
            </w:pPr>
            <w:r>
              <w:rPr>
                <w:rFonts w:hint="eastAsia" w:ascii="宋体" w:hAnsi="宋体"/>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085" w:type="dxa"/>
            <w:tcBorders>
              <w:top w:val="single" w:color="auto" w:sz="12" w:space="0"/>
              <w:left w:val="single" w:color="auto" w:sz="12" w:space="0"/>
              <w:bottom w:val="single" w:color="auto" w:sz="12" w:space="0"/>
              <w:right w:val="single" w:color="auto" w:sz="4" w:space="0"/>
            </w:tcBorders>
            <w:noWrap w:val="0"/>
            <w:vAlign w:val="center"/>
          </w:tcPr>
          <w:p>
            <w:pPr>
              <w:jc w:val="center"/>
              <w:rPr>
                <w:rFonts w:hint="eastAsia" w:ascii="宋体" w:hAnsi="宋体" w:cs="宋体"/>
                <w:snapToGrid w:val="0"/>
                <w:color w:val="000000"/>
                <w:sz w:val="18"/>
                <w:szCs w:val="18"/>
              </w:rPr>
            </w:pPr>
            <w:r>
              <w:rPr>
                <w:rFonts w:hint="eastAsia" w:ascii="宋体" w:hAnsi="宋体" w:cs="宋体"/>
                <w:snapToGrid w:val="0"/>
                <w:color w:val="000000"/>
                <w:sz w:val="18"/>
                <w:szCs w:val="18"/>
                <w:lang w:bidi="ar"/>
              </w:rPr>
              <w:t>硫化物及硫酸盐（以SO</w:t>
            </w:r>
            <w:r>
              <w:rPr>
                <w:rFonts w:hint="eastAsia" w:ascii="宋体" w:hAnsi="宋体" w:cs="宋体"/>
                <w:snapToGrid w:val="0"/>
                <w:color w:val="000000"/>
                <w:sz w:val="18"/>
                <w:szCs w:val="18"/>
                <w:vertAlign w:val="subscript"/>
                <w:lang w:bidi="ar"/>
              </w:rPr>
              <w:t>3</w:t>
            </w:r>
            <w:r>
              <w:rPr>
                <w:rFonts w:hint="eastAsia" w:ascii="宋体" w:hAnsi="宋体" w:cs="宋体"/>
                <w:snapToGrid w:val="0"/>
                <w:color w:val="000000"/>
                <w:sz w:val="18"/>
                <w:szCs w:val="18"/>
                <w:lang w:bidi="ar"/>
              </w:rPr>
              <w:t>质量计）/%</w:t>
            </w:r>
          </w:p>
        </w:tc>
        <w:tc>
          <w:tcPr>
            <w:tcW w:w="3544" w:type="dxa"/>
            <w:gridSpan w:val="2"/>
            <w:tcBorders>
              <w:top w:val="single" w:color="auto" w:sz="12" w:space="0"/>
              <w:left w:val="single" w:color="auto" w:sz="4" w:space="0"/>
              <w:bottom w:val="single" w:color="auto" w:sz="12" w:space="0"/>
              <w:right w:val="single" w:color="auto" w:sz="12" w:space="0"/>
            </w:tcBorders>
            <w:noWrap w:val="0"/>
            <w:vAlign w:val="center"/>
          </w:tcPr>
          <w:p>
            <w:pPr>
              <w:spacing w:line="320" w:lineRule="exact"/>
              <w:jc w:val="center"/>
              <w:rPr>
                <w:rFonts w:hint="eastAsia" w:eastAsia="宋体"/>
                <w:snapToGrid w:val="0"/>
                <w:color w:val="000000"/>
                <w:sz w:val="18"/>
                <w:szCs w:val="18"/>
                <w:vertAlign w:val="superscript"/>
                <w:lang w:val="en-US" w:eastAsia="zh-CN"/>
              </w:rPr>
            </w:pPr>
            <w:r>
              <w:rPr>
                <w:snapToGrid w:val="0"/>
                <w:color w:val="000000"/>
                <w:sz w:val="18"/>
                <w:szCs w:val="18"/>
                <w:lang w:bidi="ar"/>
              </w:rPr>
              <w:t>≤</w:t>
            </w:r>
            <w:r>
              <w:rPr>
                <w:rFonts w:hint="eastAsia"/>
                <w:snapToGrid w:val="0"/>
                <w:color w:val="000000"/>
                <w:sz w:val="18"/>
                <w:szCs w:val="18"/>
                <w:lang w:bidi="ar"/>
              </w:rPr>
              <w:t>0.5</w:t>
            </w:r>
            <w:r>
              <w:rPr>
                <w:rFonts w:hint="eastAsia"/>
                <w:snapToGrid w:val="0"/>
                <w:color w:val="000000"/>
                <w:sz w:val="18"/>
                <w:szCs w:val="18"/>
                <w:vertAlign w:val="superscript"/>
                <w:lang w:val="en-US" w:eastAsia="zh-CN" w:bidi="ar"/>
              </w:rPr>
              <w:t>a</w:t>
            </w:r>
          </w:p>
        </w:tc>
        <w:tc>
          <w:tcPr>
            <w:tcW w:w="1984" w:type="dxa"/>
            <w:gridSpan w:val="2"/>
            <w:tcBorders>
              <w:top w:val="single" w:color="auto" w:sz="12" w:space="0"/>
              <w:left w:val="single" w:color="auto" w:sz="4" w:space="0"/>
              <w:bottom w:val="single" w:color="auto" w:sz="12" w:space="0"/>
              <w:right w:val="single" w:color="auto" w:sz="12" w:space="0"/>
            </w:tcBorders>
            <w:noWrap w:val="0"/>
            <w:vAlign w:val="center"/>
          </w:tcPr>
          <w:p>
            <w:pPr>
              <w:spacing w:line="320" w:lineRule="exact"/>
              <w:jc w:val="center"/>
              <w:rPr>
                <w:rFonts w:hint="default" w:eastAsia="宋体"/>
                <w:snapToGrid w:val="0"/>
                <w:color w:val="000000"/>
                <w:sz w:val="18"/>
                <w:szCs w:val="18"/>
                <w:lang w:val="en-US" w:eastAsia="zh-CN"/>
              </w:rPr>
            </w:pPr>
            <w:r>
              <w:rPr>
                <w:snapToGrid w:val="0"/>
                <w:color w:val="000000"/>
                <w:sz w:val="18"/>
                <w:szCs w:val="18"/>
                <w:lang w:bidi="ar"/>
              </w:rPr>
              <w:t>≤</w:t>
            </w:r>
            <w:r>
              <w:rPr>
                <w:rFonts w:hint="eastAsia"/>
                <w:snapToGrid w:val="0"/>
                <w:color w:val="000000"/>
                <w:sz w:val="18"/>
                <w:szCs w:val="18"/>
                <w:lang w:val="en-US" w:eastAsia="zh-CN" w:bidi="ar"/>
              </w:rPr>
              <w:t>3.5</w:t>
            </w:r>
            <w:r>
              <w:rPr>
                <w:rFonts w:hint="eastAsia"/>
                <w:snapToGrid w:val="0"/>
                <w:color w:val="000000"/>
                <w:sz w:val="18"/>
                <w:szCs w:val="18"/>
                <w:vertAlign w:val="superscript"/>
                <w:lang w:val="en-US" w:eastAsia="zh-CN"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3085" w:type="dxa"/>
            <w:tcBorders>
              <w:top w:val="single" w:color="auto" w:sz="12" w:space="0"/>
              <w:left w:val="single" w:color="auto" w:sz="12" w:space="0"/>
              <w:bottom w:val="single" w:color="auto" w:sz="12" w:space="0"/>
              <w:right w:val="single" w:color="auto" w:sz="4" w:space="0"/>
            </w:tcBorders>
            <w:noWrap w:val="0"/>
            <w:vAlign w:val="center"/>
          </w:tcPr>
          <w:p>
            <w:pPr>
              <w:jc w:val="center"/>
              <w:rPr>
                <w:rFonts w:hint="eastAsia" w:ascii="宋体" w:hAnsi="宋体" w:cs="宋体"/>
                <w:snapToGrid w:val="0"/>
                <w:color w:val="000000"/>
                <w:sz w:val="18"/>
                <w:szCs w:val="18"/>
              </w:rPr>
            </w:pPr>
            <w:r>
              <w:rPr>
                <w:rFonts w:hint="eastAsia" w:ascii="宋体" w:hAnsi="宋体" w:cs="宋体"/>
                <w:snapToGrid w:val="0"/>
                <w:color w:val="000000"/>
                <w:sz w:val="18"/>
                <w:szCs w:val="18"/>
                <w:lang w:bidi="ar"/>
              </w:rPr>
              <w:t>氯化物（以氯离子质量计）/%</w:t>
            </w:r>
          </w:p>
        </w:tc>
        <w:tc>
          <w:tcPr>
            <w:tcW w:w="1713" w:type="dxa"/>
            <w:tcBorders>
              <w:top w:val="single" w:color="auto" w:sz="12" w:space="0"/>
              <w:left w:val="single" w:color="auto" w:sz="4" w:space="0"/>
              <w:bottom w:val="single" w:color="auto" w:sz="12" w:space="0"/>
              <w:right w:val="single" w:color="auto" w:sz="4" w:space="0"/>
            </w:tcBorders>
            <w:noWrap w:val="0"/>
            <w:vAlign w:val="center"/>
          </w:tcPr>
          <w:p>
            <w:pPr>
              <w:jc w:val="center"/>
              <w:rPr>
                <w:snapToGrid w:val="0"/>
                <w:color w:val="000000"/>
                <w:sz w:val="18"/>
                <w:szCs w:val="18"/>
              </w:rPr>
            </w:pPr>
            <w:r>
              <w:rPr>
                <w:snapToGrid w:val="0"/>
                <w:color w:val="000000"/>
                <w:sz w:val="18"/>
                <w:szCs w:val="18"/>
                <w:lang w:bidi="ar"/>
              </w:rPr>
              <w:t>≤0.0</w:t>
            </w:r>
            <w:r>
              <w:rPr>
                <w:rFonts w:hint="eastAsia"/>
                <w:snapToGrid w:val="0"/>
                <w:color w:val="000000"/>
                <w:sz w:val="18"/>
                <w:szCs w:val="18"/>
                <w:lang w:bidi="ar"/>
              </w:rPr>
              <w:t>1</w:t>
            </w:r>
          </w:p>
        </w:tc>
        <w:tc>
          <w:tcPr>
            <w:tcW w:w="1856" w:type="dxa"/>
            <w:gridSpan w:val="2"/>
            <w:tcBorders>
              <w:top w:val="single" w:color="auto" w:sz="12" w:space="0"/>
              <w:left w:val="nil"/>
              <w:bottom w:val="single" w:color="auto" w:sz="12" w:space="0"/>
              <w:right w:val="single" w:color="auto" w:sz="4" w:space="0"/>
            </w:tcBorders>
            <w:noWrap w:val="0"/>
            <w:vAlign w:val="center"/>
          </w:tcPr>
          <w:p>
            <w:pPr>
              <w:spacing w:line="320" w:lineRule="exact"/>
              <w:jc w:val="center"/>
              <w:rPr>
                <w:snapToGrid w:val="0"/>
                <w:color w:val="000000"/>
                <w:sz w:val="18"/>
                <w:szCs w:val="18"/>
              </w:rPr>
            </w:pPr>
            <w:r>
              <w:rPr>
                <w:snapToGrid w:val="0"/>
                <w:color w:val="000000"/>
                <w:sz w:val="18"/>
                <w:szCs w:val="18"/>
                <w:lang w:bidi="ar"/>
              </w:rPr>
              <w:t>≤0.02</w:t>
            </w:r>
          </w:p>
        </w:tc>
        <w:tc>
          <w:tcPr>
            <w:tcW w:w="1959" w:type="dxa"/>
            <w:tcBorders>
              <w:top w:val="single" w:color="auto" w:sz="12" w:space="0"/>
              <w:left w:val="nil"/>
              <w:bottom w:val="single" w:color="auto" w:sz="12" w:space="0"/>
              <w:right w:val="single" w:color="auto" w:sz="12" w:space="0"/>
            </w:tcBorders>
            <w:noWrap w:val="0"/>
            <w:vAlign w:val="center"/>
          </w:tcPr>
          <w:p>
            <w:pPr>
              <w:spacing w:line="320" w:lineRule="exact"/>
              <w:jc w:val="center"/>
              <w:rPr>
                <w:snapToGrid w:val="0"/>
                <w:color w:val="000000"/>
                <w:sz w:val="18"/>
                <w:szCs w:val="18"/>
              </w:rPr>
            </w:pPr>
            <w:r>
              <w:rPr>
                <w:snapToGrid w:val="0"/>
                <w:color w:val="000000"/>
                <w:sz w:val="18"/>
                <w:szCs w:val="18"/>
                <w:lang w:bidi="ar"/>
              </w:rPr>
              <w:t>≤0.0</w:t>
            </w:r>
            <w:r>
              <w:rPr>
                <w:rFonts w:hint="eastAsia"/>
                <w:snapToGrid w:val="0"/>
                <w:color w:val="000000"/>
                <w:sz w:val="18"/>
                <w:szCs w:val="18"/>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613" w:type="dxa"/>
            <w:gridSpan w:val="5"/>
            <w:tcBorders>
              <w:top w:val="single" w:color="auto" w:sz="12" w:space="0"/>
              <w:left w:val="single" w:color="auto" w:sz="12" w:space="0"/>
              <w:right w:val="single" w:color="auto" w:sz="12" w:space="0"/>
            </w:tcBorders>
            <w:noWrap w:val="0"/>
            <w:vAlign w:val="center"/>
          </w:tcPr>
          <w:p>
            <w:pPr>
              <w:bidi w:val="0"/>
              <w:rPr>
                <w:rFonts w:hint="eastAsia"/>
                <w:sz w:val="18"/>
                <w:szCs w:val="18"/>
              </w:rPr>
            </w:pPr>
            <w:bookmarkStart w:id="50" w:name="_GoBack"/>
            <w:r>
              <w:rPr>
                <w:rFonts w:hint="eastAsia"/>
                <w:sz w:val="18"/>
                <w:szCs w:val="18"/>
              </w:rPr>
              <w:t>a 铜尾矿</w:t>
            </w:r>
            <w:r>
              <w:rPr>
                <w:rFonts w:hint="eastAsia" w:ascii="黑体" w:hAnsi="黑体" w:eastAsia="黑体" w:cs="黑体"/>
                <w:sz w:val="18"/>
                <w:szCs w:val="18"/>
              </w:rPr>
              <w:t>I类</w:t>
            </w:r>
            <w:r>
              <w:rPr>
                <w:rFonts w:hint="eastAsia" w:ascii="黑体" w:hAnsi="黑体" w:eastAsia="黑体" w:cs="黑体"/>
                <w:sz w:val="18"/>
                <w:szCs w:val="18"/>
                <w:lang w:eastAsia="zh-CN"/>
              </w:rPr>
              <w:t>、</w:t>
            </w:r>
            <w:r>
              <w:rPr>
                <w:rFonts w:hint="eastAsia" w:ascii="黑体" w:hAnsi="黑体" w:eastAsia="黑体" w:cs="黑体"/>
                <w:sz w:val="18"/>
                <w:szCs w:val="18"/>
              </w:rPr>
              <w:t>II类</w:t>
            </w:r>
            <w:r>
              <w:rPr>
                <w:rFonts w:hint="eastAsia"/>
                <w:sz w:val="18"/>
                <w:szCs w:val="18"/>
              </w:rPr>
              <w:t>砂中硫化物及硫酸盐含量（以</w:t>
            </w:r>
            <w:r>
              <w:rPr>
                <w:sz w:val="18"/>
                <w:szCs w:val="18"/>
              </w:rPr>
              <w:t>SO3</w:t>
            </w:r>
            <w:r>
              <w:rPr>
                <w:rFonts w:hint="eastAsia"/>
                <w:sz w:val="18"/>
                <w:szCs w:val="18"/>
              </w:rPr>
              <w:t>质量计）超出正常范围时，经过膨胀性试验验证合格后可放宽至不大于2.0%。</w:t>
            </w:r>
          </w:p>
          <w:p>
            <w:pPr>
              <w:bidi w:val="0"/>
              <w:rPr>
                <w:rFonts w:hint="default" w:ascii="宋体" w:hAnsi="宋体" w:eastAsia="宋体"/>
                <w:sz w:val="18"/>
                <w:szCs w:val="18"/>
                <w:lang w:val="en-US" w:eastAsia="zh-CN"/>
              </w:rPr>
            </w:pPr>
            <w:r>
              <w:rPr>
                <w:rFonts w:hint="eastAsia"/>
                <w:sz w:val="18"/>
                <w:szCs w:val="18"/>
                <w:lang w:val="en-US" w:eastAsia="zh-CN"/>
              </w:rPr>
              <w:t>b</w:t>
            </w:r>
            <w:r>
              <w:rPr>
                <w:rFonts w:hint="eastAsia"/>
                <w:sz w:val="18"/>
                <w:szCs w:val="18"/>
              </w:rPr>
              <w:t>铜尾矿</w:t>
            </w:r>
            <w:r>
              <w:rPr>
                <w:rFonts w:hint="eastAsia" w:ascii="黑体" w:hAnsi="黑体" w:eastAsia="黑体" w:cs="黑体"/>
                <w:sz w:val="18"/>
                <w:szCs w:val="18"/>
              </w:rPr>
              <w:t>III类</w:t>
            </w:r>
            <w:r>
              <w:rPr>
                <w:rFonts w:hint="eastAsia"/>
                <w:sz w:val="18"/>
                <w:szCs w:val="18"/>
              </w:rPr>
              <w:t>砂</w:t>
            </w:r>
            <w:r>
              <w:rPr>
                <w:rFonts w:hint="eastAsia"/>
                <w:sz w:val="18"/>
                <w:szCs w:val="18"/>
                <w:lang w:val="en-US" w:eastAsia="zh-CN"/>
              </w:rPr>
              <w:t>执行</w:t>
            </w:r>
            <w:r>
              <w:rPr>
                <w:rFonts w:hint="eastAsia"/>
                <w:sz w:val="18"/>
                <w:szCs w:val="18"/>
              </w:rPr>
              <w:t>《GB/T1596-2017用于水泥和混凝土中的粉煤灰》，其规定硫化物及硫酸盐（按SO3质量计）≤3.5%。</w:t>
            </w:r>
            <w:bookmarkEnd w:id="50"/>
          </w:p>
        </w:tc>
      </w:tr>
    </w:tbl>
    <w:p>
      <w:pPr>
        <w:rPr>
          <w:szCs w:val="21"/>
        </w:rPr>
      </w:pPr>
      <w:r>
        <w:rPr>
          <w:color w:val="000000"/>
          <w:szCs w:val="21"/>
        </w:rPr>
        <w:t>草根、树叶、树枝、塑料、煤块、矿渣等杂物对混凝土和砂浆</w:t>
      </w:r>
      <w:r>
        <w:rPr>
          <w:rFonts w:hint="eastAsia"/>
          <w:color w:val="000000"/>
          <w:szCs w:val="21"/>
          <w:lang w:val="en-US" w:eastAsia="zh-CN"/>
        </w:rPr>
        <w:t>等建筑材料</w:t>
      </w:r>
      <w:r>
        <w:rPr>
          <w:color w:val="000000"/>
          <w:szCs w:val="21"/>
        </w:rPr>
        <w:t>有十分不利的影响，因此本标准规定</w:t>
      </w:r>
      <w:r>
        <w:rPr>
          <w:rFonts w:hint="eastAsia"/>
          <w:color w:val="000000"/>
          <w:szCs w:val="21"/>
        </w:rPr>
        <w:t>铜尾矿砂</w:t>
      </w:r>
      <w:r>
        <w:rPr>
          <w:color w:val="000000"/>
          <w:szCs w:val="21"/>
        </w:rPr>
        <w:t>中不得混有这些杂物。</w:t>
      </w:r>
    </w:p>
    <w:p>
      <w:pPr>
        <w:rPr>
          <w:szCs w:val="21"/>
        </w:rPr>
      </w:pPr>
      <w:r>
        <w:rPr>
          <w:szCs w:val="21"/>
        </w:rPr>
        <w:t>轻物质会影响砂浆和混凝土的力学性能和耐久性能，有机物的存在对工作性能、力学性能和耐久性能均有不利影响。硫化物和硫酸盐超出一定范围，会使得砂浆和混凝土耐久性严重受损，而氯化物主要容易引起混凝土中的钢筋</w:t>
      </w:r>
      <w:r>
        <w:rPr>
          <w:rFonts w:hint="eastAsia"/>
          <w:szCs w:val="21"/>
        </w:rPr>
        <w:t>锈蚀</w:t>
      </w:r>
      <w:r>
        <w:rPr>
          <w:szCs w:val="21"/>
        </w:rPr>
        <w:t>。表6中轻物质含量、有机物、氯化物等指标的技术要求和试验方法都参考现行国家标准GB/T 14684和行业标准 JGJ 52进行确定，其测试方法也与现行国家标准GB/T 14684保持一致。</w:t>
      </w:r>
    </w:p>
    <w:p>
      <w:pPr>
        <w:rPr>
          <w:rFonts w:hint="eastAsia" w:ascii="宋体" w:hAnsi="宋体" w:eastAsia="宋体" w:cs="宋体"/>
          <w:sz w:val="24"/>
          <w:szCs w:val="24"/>
        </w:rPr>
      </w:pPr>
      <w:r>
        <w:rPr>
          <w:szCs w:val="21"/>
        </w:rPr>
        <w:t>在尾矿调研过程中，多家尾矿排放单位反馈</w:t>
      </w:r>
      <w:r>
        <w:rPr>
          <w:rFonts w:hint="eastAsia"/>
          <w:szCs w:val="21"/>
        </w:rPr>
        <w:t>铜尾矿砂</w:t>
      </w:r>
      <w:r>
        <w:rPr>
          <w:szCs w:val="21"/>
        </w:rPr>
        <w:t>中S含量较高，如安徽铜陵等地区</w:t>
      </w:r>
      <w:r>
        <w:rPr>
          <w:rFonts w:hint="eastAsia"/>
          <w:szCs w:val="21"/>
        </w:rPr>
        <w:t>铜尾矿砂</w:t>
      </w:r>
      <w:r>
        <w:rPr>
          <w:szCs w:val="21"/>
        </w:rPr>
        <w:t>中S含量甚至高达8%左右。经确认，其采用的测试方法是按照《铜精矿化学分析 第3部分：硫量的测定 重量法和燃烧-滴定法》GB/T 3884.3-2012进行的。标准编制单位对多个样品分别按照GB/T 3884.3-2012和GB/T 14684-2011进行S含量测试，发现两种方法结果差异极大，但按照GB/T 14684-2011进行测试仍有不少尾矿样品硫化物及硫酸盐（以SO</w:t>
      </w:r>
      <w:r>
        <w:rPr>
          <w:szCs w:val="21"/>
          <w:vertAlign w:val="subscript"/>
        </w:rPr>
        <w:t>3</w:t>
      </w:r>
      <w:r>
        <w:rPr>
          <w:szCs w:val="21"/>
        </w:rPr>
        <w:t>质量计）含量超过0.5%，为保证本标准的适用性，在保证</w:t>
      </w:r>
      <w:r>
        <w:rPr>
          <w:rFonts w:hint="eastAsia"/>
          <w:szCs w:val="21"/>
        </w:rPr>
        <w:t>铜尾矿砂</w:t>
      </w:r>
      <w:r>
        <w:rPr>
          <w:szCs w:val="21"/>
        </w:rPr>
        <w:t>质量的前提下提高适用范围，本标准规定硫化物及硫酸盐（以SO</w:t>
      </w:r>
      <w:r>
        <w:rPr>
          <w:szCs w:val="21"/>
          <w:vertAlign w:val="subscript"/>
        </w:rPr>
        <w:t>3</w:t>
      </w:r>
      <w:r>
        <w:rPr>
          <w:szCs w:val="21"/>
        </w:rPr>
        <w:t>质量计）含量按照现行国家标准GB/T 14684-2011进行测试</w:t>
      </w:r>
      <w:r>
        <w:rPr>
          <w:rFonts w:hint="eastAsia"/>
          <w:szCs w:val="21"/>
        </w:rPr>
        <w:t>，当铜尾矿</w:t>
      </w:r>
      <w:r>
        <w:rPr>
          <w:rFonts w:hint="eastAsia"/>
          <w:szCs w:val="21"/>
          <w:lang w:val="en-US" w:eastAsia="zh-CN"/>
        </w:rPr>
        <w:t>粗、中</w:t>
      </w:r>
      <w:r>
        <w:rPr>
          <w:rFonts w:hint="eastAsia"/>
          <w:szCs w:val="21"/>
        </w:rPr>
        <w:t>砂中硫化物及硫酸盐含量（以SO3质量计）超出正常范围时</w:t>
      </w:r>
      <w:r>
        <w:rPr>
          <w:rFonts w:hint="eastAsia"/>
          <w:color w:val="auto"/>
          <w:szCs w:val="21"/>
        </w:rPr>
        <w:t>，</w:t>
      </w:r>
      <w:r>
        <w:rPr>
          <w:rFonts w:hint="eastAsia"/>
          <w:b/>
          <w:bCs/>
          <w:color w:val="auto"/>
          <w:szCs w:val="21"/>
        </w:rPr>
        <w:t>经过膨胀性试验验证合格后可放宽至不大于2.0%</w:t>
      </w:r>
      <w:r>
        <w:rPr>
          <w:b/>
          <w:bCs/>
          <w:color w:val="auto"/>
          <w:szCs w:val="21"/>
        </w:rPr>
        <w:t>。</w:t>
      </w:r>
      <w:r>
        <w:rPr>
          <w:rFonts w:hint="eastAsia" w:ascii="宋体" w:hAnsi="宋体" w:eastAsia="宋体" w:cs="宋体"/>
          <w:sz w:val="24"/>
          <w:szCs w:val="24"/>
        </w:rPr>
        <w:t>铜尾矿</w:t>
      </w:r>
      <w:r>
        <w:rPr>
          <w:rFonts w:hint="eastAsia" w:ascii="宋体" w:hAnsi="宋体" w:eastAsia="宋体" w:cs="宋体"/>
          <w:sz w:val="24"/>
          <w:szCs w:val="24"/>
          <w:lang w:val="en-US" w:eastAsia="zh-CN"/>
        </w:rPr>
        <w:t>细</w:t>
      </w:r>
      <w:r>
        <w:rPr>
          <w:rFonts w:hint="eastAsia" w:ascii="宋体" w:hAnsi="宋体" w:eastAsia="宋体" w:cs="宋体"/>
          <w:sz w:val="24"/>
          <w:szCs w:val="24"/>
        </w:rPr>
        <w:t>砂</w:t>
      </w:r>
      <w:r>
        <w:rPr>
          <w:rFonts w:hint="eastAsia" w:ascii="宋体" w:hAnsi="宋体" w:eastAsia="宋体" w:cs="宋体"/>
          <w:sz w:val="24"/>
          <w:szCs w:val="24"/>
          <w:lang w:val="en-US" w:eastAsia="zh-CN"/>
        </w:rPr>
        <w:t>执行</w:t>
      </w:r>
      <w:r>
        <w:rPr>
          <w:rFonts w:hint="eastAsia" w:ascii="宋体" w:hAnsi="宋体" w:eastAsia="宋体" w:cs="宋体"/>
          <w:sz w:val="24"/>
          <w:szCs w:val="24"/>
        </w:rPr>
        <w:t>《GB/T1596-2017用于水泥和混凝土中的粉煤灰》，其规定硫化物及硫酸盐（按SO3质量计）≤3.5%。</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b/>
          <w:bCs/>
        </w:rPr>
      </w:pPr>
      <w:bookmarkStart w:id="24" w:name="_Toc10645678"/>
      <w:bookmarkStart w:id="25" w:name="_Toc11877278"/>
      <w:r>
        <w:rPr>
          <w:b/>
          <w:bCs/>
        </w:rPr>
        <w:t>2.2.5.</w:t>
      </w:r>
      <w:r>
        <w:rPr>
          <w:rFonts w:hint="eastAsia"/>
          <w:b/>
          <w:bCs/>
          <w:lang w:val="en-US" w:eastAsia="zh-CN"/>
        </w:rPr>
        <w:t>4</w:t>
      </w:r>
      <w:r>
        <w:rPr>
          <w:rFonts w:hint="eastAsia"/>
          <w:b/>
          <w:bCs/>
        </w:rPr>
        <w:t>坚固性</w:t>
      </w:r>
    </w:p>
    <w:p>
      <w:pPr>
        <w:rPr>
          <w:rFonts w:ascii="Times New Roman" w:hAnsi="Times New Roman" w:eastAsia="宋体" w:cs="Times New Roman"/>
        </w:rPr>
      </w:pPr>
      <w:r>
        <w:rPr>
          <w:rFonts w:ascii="Times New Roman" w:hAnsi="Times New Roman" w:eastAsia="宋体" w:cs="Times New Roman"/>
        </w:rPr>
        <w:t>采用硫酸钠溶液法进行试验时，</w:t>
      </w:r>
      <w:r>
        <w:rPr>
          <w:rFonts w:hint="eastAsia" w:ascii="Times New Roman" w:hAnsi="Times New Roman" w:eastAsia="宋体" w:cs="Times New Roman"/>
        </w:rPr>
        <w:t>铜尾矿砂</w:t>
      </w:r>
      <w:r>
        <w:rPr>
          <w:rFonts w:ascii="Times New Roman" w:hAnsi="Times New Roman" w:eastAsia="宋体" w:cs="Times New Roman"/>
        </w:rPr>
        <w:t>的质量损失应符合表</w:t>
      </w:r>
      <w:r>
        <w:rPr>
          <w:rFonts w:hint="eastAsia" w:ascii="Times New Roman" w:hAnsi="Times New Roman" w:eastAsia="宋体" w:cs="Times New Roman"/>
          <w:lang w:val="en-US" w:eastAsia="zh-CN"/>
        </w:rPr>
        <w:t>4</w:t>
      </w:r>
      <w:r>
        <w:rPr>
          <w:rFonts w:ascii="Times New Roman" w:hAnsi="Times New Roman" w:eastAsia="宋体" w:cs="Times New Roman"/>
        </w:rPr>
        <w:t>的规定。</w:t>
      </w:r>
    </w:p>
    <w:p>
      <w:pPr>
        <w:snapToGrid w:val="0"/>
        <w:ind w:firstLineChars="200"/>
        <w:jc w:val="center"/>
        <w:rPr>
          <w:rFonts w:ascii="黑体" w:hAnsi="黑体" w:eastAsia="黑体" w:cs="Times New Roman"/>
          <w:szCs w:val="21"/>
        </w:rPr>
      </w:pPr>
      <w:r>
        <w:rPr>
          <w:rFonts w:hint="eastAsia" w:ascii="黑体" w:hAnsi="黑体" w:eastAsia="黑体" w:cs="Times New Roman"/>
          <w:szCs w:val="21"/>
        </w:rPr>
        <w:t>表</w:t>
      </w:r>
      <w:r>
        <w:rPr>
          <w:rFonts w:hint="eastAsia" w:ascii="黑体" w:hAnsi="黑体" w:eastAsia="黑体" w:cs="Times New Roman"/>
          <w:szCs w:val="21"/>
          <w:lang w:val="en-US" w:eastAsia="zh-CN"/>
        </w:rPr>
        <w:t>4</w:t>
      </w:r>
      <w:r>
        <w:rPr>
          <w:rFonts w:hint="eastAsia" w:ascii="黑体" w:hAnsi="黑体" w:eastAsia="黑体" w:cs="Times New Roman"/>
          <w:szCs w:val="21"/>
        </w:rPr>
        <w:t>坚固性指标</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2124"/>
        <w:gridCol w:w="2125"/>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124" w:type="dxa"/>
            <w:noWrap/>
          </w:tcPr>
          <w:p>
            <w:pPr>
              <w:snapToGrid w:val="0"/>
              <w:jc w:val="center"/>
              <w:rPr>
                <w:rFonts w:ascii="宋体" w:hAnsi="宋体" w:eastAsia="宋体" w:cs="宋体"/>
                <w:szCs w:val="21"/>
              </w:rPr>
            </w:pPr>
            <w:r>
              <w:rPr>
                <w:rFonts w:hint="eastAsia" w:ascii="宋体" w:hAnsi="宋体" w:eastAsia="宋体" w:cs="宋体"/>
                <w:szCs w:val="21"/>
              </w:rPr>
              <w:t>类别</w:t>
            </w:r>
          </w:p>
        </w:tc>
        <w:tc>
          <w:tcPr>
            <w:tcW w:w="2124" w:type="dxa"/>
            <w:noWrap/>
            <w:vAlign w:val="center"/>
          </w:tcPr>
          <w:p>
            <w:pPr>
              <w:snapToGrid w:val="0"/>
              <w:spacing w:line="360" w:lineRule="auto"/>
              <w:ind w:firstLine="480" w:firstLineChars="0"/>
              <w:jc w:val="center"/>
              <w:rPr>
                <w:rFonts w:ascii="宋体" w:hAnsi="宋体" w:eastAsia="宋体" w:cs="宋体"/>
                <w:color w:val="FF0000"/>
                <w:szCs w:val="21"/>
              </w:rPr>
            </w:pPr>
            <w:r>
              <w:rPr>
                <w:rFonts w:hint="eastAsia" w:ascii="黑体" w:hAnsi="黑体" w:eastAsia="黑体" w:cs="黑体"/>
                <w:sz w:val="18"/>
                <w:szCs w:val="18"/>
              </w:rPr>
              <w:t>I类</w:t>
            </w:r>
          </w:p>
        </w:tc>
        <w:tc>
          <w:tcPr>
            <w:tcW w:w="2125" w:type="dxa"/>
            <w:noWrap/>
            <w:vAlign w:val="center"/>
          </w:tcPr>
          <w:p>
            <w:pPr>
              <w:snapToGrid w:val="0"/>
              <w:spacing w:line="360" w:lineRule="auto"/>
              <w:ind w:firstLine="480" w:firstLineChars="0"/>
              <w:jc w:val="center"/>
              <w:rPr>
                <w:rFonts w:ascii="宋体" w:hAnsi="宋体" w:eastAsia="宋体" w:cs="宋体"/>
                <w:color w:val="FF0000"/>
                <w:szCs w:val="21"/>
              </w:rPr>
            </w:pPr>
            <w:r>
              <w:rPr>
                <w:rFonts w:hint="eastAsia" w:ascii="黑体" w:hAnsi="黑体" w:eastAsia="黑体" w:cs="黑体"/>
                <w:sz w:val="18"/>
                <w:szCs w:val="18"/>
              </w:rPr>
              <w:t>II类</w:t>
            </w:r>
          </w:p>
        </w:tc>
        <w:tc>
          <w:tcPr>
            <w:tcW w:w="2125" w:type="dxa"/>
            <w:noWrap/>
            <w:vAlign w:val="center"/>
          </w:tcPr>
          <w:p>
            <w:pPr>
              <w:snapToGrid w:val="0"/>
              <w:spacing w:line="360" w:lineRule="auto"/>
              <w:ind w:firstLine="480" w:firstLineChars="0"/>
              <w:jc w:val="center"/>
              <w:rPr>
                <w:rFonts w:ascii="宋体" w:hAnsi="宋体" w:eastAsia="宋体" w:cs="宋体"/>
                <w:color w:val="FF0000"/>
                <w:szCs w:val="21"/>
              </w:rPr>
            </w:pPr>
            <w:r>
              <w:rPr>
                <w:rFonts w:hint="eastAsia" w:ascii="黑体" w:hAnsi="黑体" w:eastAsia="黑体" w:cs="黑体"/>
                <w:sz w:val="18"/>
                <w:szCs w:val="18"/>
              </w:rPr>
              <w:t>III类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124" w:type="dxa"/>
            <w:noWrap/>
          </w:tcPr>
          <w:p>
            <w:pPr>
              <w:snapToGrid w:val="0"/>
              <w:ind w:firstLine="0"/>
              <w:rPr>
                <w:rFonts w:ascii="宋体" w:hAnsi="宋体" w:eastAsia="宋体" w:cs="宋体"/>
                <w:szCs w:val="21"/>
              </w:rPr>
            </w:pPr>
            <w:r>
              <w:rPr>
                <w:rFonts w:hint="eastAsia" w:ascii="宋体" w:hAnsi="宋体" w:eastAsia="宋体" w:cs="宋体"/>
                <w:szCs w:val="21"/>
              </w:rPr>
              <w:t>质量损失率/%</w:t>
            </w:r>
          </w:p>
        </w:tc>
        <w:tc>
          <w:tcPr>
            <w:tcW w:w="4249" w:type="dxa"/>
            <w:gridSpan w:val="2"/>
            <w:noWrap/>
          </w:tcPr>
          <w:p>
            <w:pPr>
              <w:snapToGrid w:val="0"/>
              <w:jc w:val="center"/>
              <w:rPr>
                <w:rFonts w:ascii="宋体" w:hAnsi="宋体" w:eastAsia="宋体" w:cs="宋体"/>
                <w:szCs w:val="21"/>
              </w:rPr>
            </w:pPr>
            <w:r>
              <w:rPr>
                <w:rFonts w:hint="eastAsia" w:ascii="宋体" w:hAnsi="宋体" w:eastAsia="宋体" w:cs="宋体"/>
                <w:szCs w:val="21"/>
              </w:rPr>
              <w:t>≤8</w:t>
            </w:r>
          </w:p>
        </w:tc>
        <w:tc>
          <w:tcPr>
            <w:tcW w:w="2125" w:type="dxa"/>
            <w:noWrap/>
          </w:tcPr>
          <w:p>
            <w:pPr>
              <w:snapToGrid w:val="0"/>
              <w:jc w:val="center"/>
              <w:rPr>
                <w:rFonts w:ascii="宋体" w:hAnsi="宋体" w:eastAsia="宋体" w:cs="宋体"/>
                <w:szCs w:val="21"/>
              </w:rPr>
            </w:pPr>
            <w:r>
              <w:rPr>
                <w:rFonts w:hint="eastAsia" w:ascii="宋体" w:hAnsi="宋体" w:eastAsia="宋体" w:cs="宋体"/>
                <w:szCs w:val="21"/>
              </w:rPr>
              <w:t>≤10</w:t>
            </w:r>
          </w:p>
        </w:tc>
      </w:tr>
    </w:tbl>
    <w:p>
      <w:pPr>
        <w:rPr>
          <w:b/>
          <w:bCs/>
        </w:rPr>
      </w:pPr>
      <w:r>
        <w:rPr>
          <w:b/>
          <w:bCs/>
        </w:rPr>
        <w:t>2.2.5.</w:t>
      </w:r>
      <w:r>
        <w:rPr>
          <w:rFonts w:hint="eastAsia"/>
          <w:b/>
          <w:bCs/>
          <w:lang w:val="en-US" w:eastAsia="zh-CN"/>
        </w:rPr>
        <w:t>5</w:t>
      </w:r>
      <w:r>
        <w:rPr>
          <w:b/>
          <w:bCs/>
        </w:rPr>
        <w:t xml:space="preserve"> 放射性</w:t>
      </w:r>
      <w:r>
        <w:rPr>
          <w:rFonts w:hint="eastAsia"/>
          <w:b/>
          <w:bCs/>
        </w:rPr>
        <w:t>核素限量</w:t>
      </w:r>
    </w:p>
    <w:p>
      <w:r>
        <w:rPr>
          <w:rFonts w:hint="eastAsia"/>
        </w:rPr>
        <w:t>铜尾矿砂</w:t>
      </w:r>
      <w:r>
        <w:t>的放射性</w:t>
      </w:r>
      <w:r>
        <w:rPr>
          <w:rFonts w:hint="eastAsia"/>
        </w:rPr>
        <w:t>核素限量</w:t>
      </w:r>
      <w:r>
        <w:t>应符合GB 6566的规定，其试验方法也按照GB 6566的规定进行测试。放射性是影响人体健康的重要参数，因此应对其进行检验。</w:t>
      </w:r>
    </w:p>
    <w:p>
      <w:pPr>
        <w:rPr>
          <w:rFonts w:ascii="Times New Roman" w:hAnsi="Times New Roman" w:eastAsia="宋体" w:cs="Times New Roman"/>
          <w:b/>
          <w:bCs/>
        </w:rPr>
      </w:pPr>
      <w:r>
        <w:rPr>
          <w:b/>
          <w:bCs/>
        </w:rPr>
        <w:t>2.2.5.</w:t>
      </w:r>
      <w:r>
        <w:rPr>
          <w:rFonts w:hint="eastAsia"/>
          <w:b/>
          <w:bCs/>
          <w:lang w:val="en-US" w:eastAsia="zh-CN"/>
        </w:rPr>
        <w:t>6</w:t>
      </w:r>
      <w:r>
        <w:rPr>
          <w:rFonts w:ascii="Times New Roman" w:hAnsi="Times New Roman" w:eastAsia="宋体" w:cs="Times New Roman"/>
          <w:b/>
          <w:bCs/>
        </w:rPr>
        <w:t>重金属</w:t>
      </w:r>
    </w:p>
    <w:p>
      <w:pPr>
        <w:rPr>
          <w:rFonts w:ascii="Times New Roman" w:hAnsi="Times New Roman" w:eastAsia="宋体" w:cs="Times New Roman"/>
        </w:rPr>
      </w:pPr>
      <w:r>
        <w:rPr>
          <w:rFonts w:hint="eastAsia" w:ascii="Times New Roman" w:hAnsi="Times New Roman" w:eastAsia="宋体" w:cs="Times New Roman"/>
        </w:rPr>
        <w:t>铜尾矿砂</w:t>
      </w:r>
      <w:r>
        <w:rPr>
          <w:rFonts w:ascii="Times New Roman" w:hAnsi="Times New Roman" w:eastAsia="宋体" w:cs="Times New Roman"/>
        </w:rPr>
        <w:t>中重金属含量和可浸出重金属含量限值应符合表</w:t>
      </w:r>
      <w:r>
        <w:rPr>
          <w:rFonts w:hint="eastAsia" w:ascii="Times New Roman" w:hAnsi="Times New Roman" w:eastAsia="宋体" w:cs="Times New Roman"/>
          <w:lang w:val="en-US" w:eastAsia="zh-CN"/>
        </w:rPr>
        <w:t>5</w:t>
      </w:r>
      <w:r>
        <w:rPr>
          <w:rFonts w:ascii="Times New Roman" w:hAnsi="Times New Roman" w:eastAsia="宋体" w:cs="Times New Roman"/>
        </w:rPr>
        <w:t>的规定。</w:t>
      </w:r>
    </w:p>
    <w:p>
      <w:pPr>
        <w:snapToGrid w:val="0"/>
        <w:spacing w:beforeLines="50" w:afterLines="50"/>
        <w:jc w:val="center"/>
        <w:rPr>
          <w:rFonts w:ascii="黑体" w:hAnsi="黑体" w:eastAsia="黑体" w:cs="Times New Roman"/>
          <w:szCs w:val="21"/>
        </w:rPr>
      </w:pPr>
      <w:r>
        <w:rPr>
          <w:rFonts w:hint="eastAsia" w:ascii="黑体" w:hAnsi="黑体" w:eastAsia="黑体" w:cs="Times New Roman"/>
          <w:szCs w:val="21"/>
        </w:rPr>
        <w:t>表</w:t>
      </w:r>
      <w:r>
        <w:rPr>
          <w:rFonts w:hint="eastAsia" w:ascii="黑体" w:hAnsi="黑体" w:eastAsia="黑体" w:cs="Times New Roman"/>
          <w:szCs w:val="21"/>
          <w:lang w:val="en-US" w:eastAsia="zh-CN"/>
        </w:rPr>
        <w:t>5</w:t>
      </w:r>
      <w:r>
        <w:rPr>
          <w:rFonts w:ascii="黑体" w:hAnsi="黑体" w:eastAsia="黑体" w:cs="Times New Roman"/>
          <w:szCs w:val="21"/>
        </w:rPr>
        <w:t xml:space="preserve"> 砂中重金属含量和</w:t>
      </w:r>
      <w:r>
        <w:rPr>
          <w:rFonts w:hint="eastAsia" w:ascii="黑体" w:hAnsi="黑体" w:eastAsia="黑体" w:cs="Times New Roman"/>
          <w:szCs w:val="21"/>
        </w:rPr>
        <w:t>可浸出重金属含量限值</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8"/>
        <w:gridCol w:w="2078"/>
        <w:gridCol w:w="2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669" w:type="dxa"/>
            <w:vMerge w:val="restart"/>
            <w:noWrap/>
          </w:tcPr>
          <w:p>
            <w:pPr>
              <w:snapToGrid w:val="0"/>
              <w:spacing w:beforeLines="50" w:afterLines="50"/>
              <w:jc w:val="center"/>
              <w:rPr>
                <w:rFonts w:ascii="宋体" w:hAnsi="宋体" w:eastAsia="宋体" w:cs="宋体"/>
                <w:szCs w:val="21"/>
              </w:rPr>
            </w:pPr>
            <w:r>
              <w:rPr>
                <w:rFonts w:hint="eastAsia" w:ascii="宋体" w:hAnsi="宋体" w:eastAsia="宋体" w:cs="宋体"/>
                <w:szCs w:val="21"/>
              </w:rPr>
              <w:t>重金属</w:t>
            </w:r>
          </w:p>
        </w:tc>
        <w:tc>
          <w:tcPr>
            <w:tcW w:w="4675" w:type="dxa"/>
            <w:gridSpan w:val="2"/>
            <w:noWrap/>
          </w:tcPr>
          <w:p>
            <w:pPr>
              <w:snapToGrid w:val="0"/>
              <w:spacing w:beforeLines="50" w:afterLines="50"/>
              <w:jc w:val="center"/>
              <w:rPr>
                <w:rFonts w:ascii="宋体" w:hAnsi="宋体" w:eastAsia="宋体" w:cs="宋体"/>
                <w:szCs w:val="21"/>
              </w:rPr>
            </w:pPr>
            <w:r>
              <w:rPr>
                <w:rFonts w:hint="eastAsia" w:ascii="宋体" w:hAnsi="宋体" w:eastAsia="宋体" w:cs="宋体"/>
                <w:szCs w:val="21"/>
              </w:rPr>
              <w:t>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669" w:type="dxa"/>
            <w:vMerge w:val="continue"/>
            <w:noWrap/>
          </w:tcPr>
          <w:p>
            <w:pPr>
              <w:snapToGrid w:val="0"/>
              <w:spacing w:beforeLines="50" w:afterLines="50"/>
              <w:jc w:val="center"/>
              <w:rPr>
                <w:rFonts w:ascii="宋体" w:hAnsi="宋体" w:eastAsia="宋体" w:cs="宋体"/>
                <w:szCs w:val="21"/>
              </w:rPr>
            </w:pPr>
          </w:p>
        </w:tc>
        <w:tc>
          <w:tcPr>
            <w:tcW w:w="2272" w:type="dxa"/>
            <w:noWrap/>
          </w:tcPr>
          <w:p>
            <w:pPr>
              <w:snapToGrid w:val="0"/>
              <w:spacing w:beforeLines="50" w:afterLines="50"/>
              <w:jc w:val="center"/>
              <w:rPr>
                <w:rFonts w:ascii="宋体" w:hAnsi="宋体" w:eastAsia="宋体" w:cs="宋体"/>
                <w:szCs w:val="21"/>
              </w:rPr>
            </w:pPr>
            <w:r>
              <w:rPr>
                <w:rFonts w:hint="eastAsia" w:ascii="宋体" w:hAnsi="宋体" w:eastAsia="宋体" w:cs="宋体"/>
                <w:szCs w:val="21"/>
              </w:rPr>
              <w:t>重金属含量（mg/kg）</w:t>
            </w:r>
          </w:p>
        </w:tc>
        <w:tc>
          <w:tcPr>
            <w:tcW w:w="2403" w:type="dxa"/>
            <w:noWrap/>
          </w:tcPr>
          <w:p>
            <w:pPr>
              <w:snapToGrid w:val="0"/>
              <w:spacing w:beforeLines="50" w:afterLines="50"/>
              <w:jc w:val="center"/>
              <w:rPr>
                <w:rFonts w:ascii="宋体" w:hAnsi="宋体" w:eastAsia="宋体" w:cs="宋体"/>
                <w:szCs w:val="21"/>
              </w:rPr>
            </w:pPr>
            <w:r>
              <w:rPr>
                <w:rFonts w:hint="eastAsia" w:ascii="宋体" w:hAnsi="宋体" w:eastAsia="宋体" w:cs="宋体"/>
                <w:szCs w:val="21"/>
              </w:rPr>
              <w:t>可浸出重金属含量（mg/L）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9" w:type="dxa"/>
            <w:noWrap/>
          </w:tcPr>
          <w:p>
            <w:pPr>
              <w:snapToGrid w:val="0"/>
              <w:spacing w:beforeLines="50" w:afterLines="50"/>
              <w:jc w:val="center"/>
              <w:rPr>
                <w:rFonts w:ascii="宋体" w:hAnsi="宋体" w:eastAsia="宋体" w:cs="宋体"/>
                <w:szCs w:val="21"/>
              </w:rPr>
            </w:pPr>
            <w:r>
              <w:rPr>
                <w:rFonts w:hint="eastAsia" w:ascii="宋体" w:hAnsi="宋体" w:eastAsia="宋体" w:cs="宋体"/>
                <w:szCs w:val="21"/>
              </w:rPr>
              <w:t>砷(As)</w:t>
            </w:r>
          </w:p>
        </w:tc>
        <w:tc>
          <w:tcPr>
            <w:tcW w:w="2272" w:type="dxa"/>
            <w:noWrap/>
          </w:tcPr>
          <w:p>
            <w:pPr>
              <w:snapToGrid w:val="0"/>
              <w:spacing w:beforeLines="50" w:afterLines="50"/>
              <w:jc w:val="center"/>
              <w:rPr>
                <w:rFonts w:ascii="宋体" w:hAnsi="宋体" w:eastAsia="宋体" w:cs="宋体"/>
                <w:szCs w:val="21"/>
              </w:rPr>
            </w:pPr>
            <w:r>
              <w:rPr>
                <w:rFonts w:hint="eastAsia" w:ascii="宋体" w:hAnsi="宋体" w:eastAsia="宋体" w:cs="宋体"/>
                <w:szCs w:val="21"/>
              </w:rPr>
              <w:t>40</w:t>
            </w:r>
          </w:p>
        </w:tc>
        <w:tc>
          <w:tcPr>
            <w:tcW w:w="2403" w:type="dxa"/>
            <w:noWrap/>
          </w:tcPr>
          <w:p>
            <w:pPr>
              <w:snapToGrid w:val="0"/>
              <w:spacing w:beforeLines="50" w:afterLines="50"/>
              <w:jc w:val="center"/>
              <w:rPr>
                <w:rFonts w:ascii="宋体" w:hAnsi="宋体" w:eastAsia="宋体" w:cs="宋体"/>
                <w:szCs w:val="21"/>
              </w:rPr>
            </w:pPr>
            <w:r>
              <w:rPr>
                <w:rFonts w:hint="eastAsia" w:ascii="宋体" w:hAnsi="宋体" w:eastAsia="宋体" w:cs="宋体"/>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9" w:type="dxa"/>
            <w:noWrap/>
          </w:tcPr>
          <w:p>
            <w:pPr>
              <w:snapToGrid w:val="0"/>
              <w:spacing w:beforeLines="50" w:afterLines="50"/>
              <w:jc w:val="center"/>
              <w:rPr>
                <w:rFonts w:ascii="宋体" w:hAnsi="宋体" w:eastAsia="宋体" w:cs="宋体"/>
                <w:szCs w:val="21"/>
              </w:rPr>
            </w:pPr>
            <w:r>
              <w:rPr>
                <w:rFonts w:hint="eastAsia" w:ascii="宋体" w:hAnsi="宋体" w:eastAsia="宋体" w:cs="宋体"/>
                <w:szCs w:val="21"/>
              </w:rPr>
              <w:t>铅(Pb)</w:t>
            </w:r>
          </w:p>
        </w:tc>
        <w:tc>
          <w:tcPr>
            <w:tcW w:w="2272" w:type="dxa"/>
            <w:noWrap/>
          </w:tcPr>
          <w:p>
            <w:pPr>
              <w:snapToGrid w:val="0"/>
              <w:spacing w:beforeLines="50" w:afterLines="50"/>
              <w:jc w:val="center"/>
              <w:rPr>
                <w:rFonts w:ascii="宋体" w:hAnsi="宋体" w:eastAsia="宋体" w:cs="宋体"/>
                <w:szCs w:val="21"/>
              </w:rPr>
            </w:pPr>
            <w:r>
              <w:rPr>
                <w:rFonts w:hint="eastAsia" w:ascii="宋体" w:hAnsi="宋体" w:eastAsia="宋体" w:cs="宋体"/>
                <w:szCs w:val="21"/>
              </w:rPr>
              <w:t>70</w:t>
            </w:r>
          </w:p>
        </w:tc>
        <w:tc>
          <w:tcPr>
            <w:tcW w:w="2403" w:type="dxa"/>
            <w:noWrap/>
          </w:tcPr>
          <w:p>
            <w:pPr>
              <w:snapToGrid w:val="0"/>
              <w:spacing w:beforeLines="50" w:afterLines="50"/>
              <w:jc w:val="center"/>
              <w:rPr>
                <w:rFonts w:ascii="宋体" w:hAnsi="宋体" w:eastAsia="宋体" w:cs="宋体"/>
                <w:szCs w:val="21"/>
              </w:rPr>
            </w:pPr>
            <w:r>
              <w:rPr>
                <w:rFonts w:hint="eastAsia" w:ascii="宋体" w:hAnsi="宋体" w:eastAsia="宋体" w:cs="宋体"/>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9" w:type="dxa"/>
            <w:noWrap/>
          </w:tcPr>
          <w:p>
            <w:pPr>
              <w:snapToGrid w:val="0"/>
              <w:spacing w:beforeLines="50" w:afterLines="50"/>
              <w:jc w:val="center"/>
              <w:rPr>
                <w:rFonts w:ascii="宋体" w:hAnsi="宋体" w:eastAsia="宋体" w:cs="宋体"/>
                <w:szCs w:val="21"/>
              </w:rPr>
            </w:pPr>
            <w:r>
              <w:rPr>
                <w:rFonts w:hint="eastAsia" w:ascii="宋体" w:hAnsi="宋体" w:eastAsia="宋体" w:cs="宋体"/>
                <w:szCs w:val="21"/>
              </w:rPr>
              <w:t>镉(Cd)</w:t>
            </w:r>
          </w:p>
        </w:tc>
        <w:tc>
          <w:tcPr>
            <w:tcW w:w="2272" w:type="dxa"/>
            <w:noWrap/>
          </w:tcPr>
          <w:p>
            <w:pPr>
              <w:snapToGrid w:val="0"/>
              <w:spacing w:beforeLines="50" w:afterLines="50"/>
              <w:jc w:val="center"/>
              <w:rPr>
                <w:rFonts w:ascii="宋体" w:hAnsi="宋体" w:eastAsia="宋体" w:cs="宋体"/>
                <w:szCs w:val="21"/>
              </w:rPr>
            </w:pPr>
            <w:r>
              <w:rPr>
                <w:rFonts w:hint="eastAsia" w:ascii="宋体" w:hAnsi="宋体" w:eastAsia="宋体" w:cs="宋体"/>
                <w:szCs w:val="21"/>
              </w:rPr>
              <w:t>1</w:t>
            </w:r>
          </w:p>
        </w:tc>
        <w:tc>
          <w:tcPr>
            <w:tcW w:w="2403" w:type="dxa"/>
            <w:noWrap/>
          </w:tcPr>
          <w:p>
            <w:pPr>
              <w:snapToGrid w:val="0"/>
              <w:spacing w:beforeLines="50" w:afterLines="50"/>
              <w:jc w:val="center"/>
              <w:rPr>
                <w:rFonts w:ascii="宋体" w:hAnsi="宋体" w:eastAsia="宋体" w:cs="宋体"/>
                <w:szCs w:val="21"/>
              </w:rPr>
            </w:pPr>
            <w:r>
              <w:rPr>
                <w:rFonts w:hint="eastAsia" w:ascii="宋体" w:hAnsi="宋体" w:eastAsia="宋体" w:cs="宋体"/>
                <w:szCs w:val="21"/>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9" w:type="dxa"/>
            <w:noWrap/>
          </w:tcPr>
          <w:p>
            <w:pPr>
              <w:snapToGrid w:val="0"/>
              <w:spacing w:beforeLines="50" w:afterLines="50"/>
              <w:jc w:val="center"/>
              <w:rPr>
                <w:rFonts w:ascii="宋体" w:hAnsi="宋体" w:eastAsia="宋体" w:cs="宋体"/>
                <w:szCs w:val="21"/>
              </w:rPr>
            </w:pPr>
            <w:r>
              <w:rPr>
                <w:rFonts w:hint="eastAsia" w:ascii="宋体" w:hAnsi="宋体" w:eastAsia="宋体" w:cs="宋体"/>
                <w:szCs w:val="21"/>
              </w:rPr>
              <w:t>铬(Cr)</w:t>
            </w:r>
          </w:p>
        </w:tc>
        <w:tc>
          <w:tcPr>
            <w:tcW w:w="2272" w:type="dxa"/>
            <w:noWrap/>
          </w:tcPr>
          <w:p>
            <w:pPr>
              <w:snapToGrid w:val="0"/>
              <w:spacing w:beforeLines="50" w:afterLines="50"/>
              <w:jc w:val="center"/>
              <w:rPr>
                <w:rFonts w:ascii="宋体" w:hAnsi="宋体" w:eastAsia="宋体" w:cs="宋体"/>
                <w:szCs w:val="21"/>
              </w:rPr>
            </w:pPr>
            <w:r>
              <w:rPr>
                <w:rFonts w:hint="eastAsia" w:ascii="宋体" w:hAnsi="宋体" w:eastAsia="宋体" w:cs="宋体"/>
                <w:szCs w:val="21"/>
              </w:rPr>
              <w:t>60</w:t>
            </w:r>
          </w:p>
        </w:tc>
        <w:tc>
          <w:tcPr>
            <w:tcW w:w="2403" w:type="dxa"/>
            <w:noWrap/>
          </w:tcPr>
          <w:p>
            <w:pPr>
              <w:snapToGrid w:val="0"/>
              <w:spacing w:beforeLines="50" w:afterLines="50"/>
              <w:jc w:val="center"/>
              <w:rPr>
                <w:rFonts w:ascii="宋体" w:hAnsi="宋体" w:eastAsia="宋体" w:cs="宋体"/>
                <w:szCs w:val="21"/>
              </w:rPr>
            </w:pPr>
            <w:r>
              <w:rPr>
                <w:rFonts w:hint="eastAsia" w:ascii="宋体" w:hAnsi="宋体" w:eastAsia="宋体" w:cs="宋体"/>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9" w:type="dxa"/>
            <w:noWrap/>
          </w:tcPr>
          <w:p>
            <w:pPr>
              <w:snapToGrid w:val="0"/>
              <w:spacing w:beforeLines="50" w:afterLines="50"/>
              <w:jc w:val="center"/>
              <w:rPr>
                <w:rFonts w:ascii="宋体" w:hAnsi="宋体" w:eastAsia="宋体" w:cs="宋体"/>
                <w:szCs w:val="21"/>
              </w:rPr>
            </w:pPr>
            <w:r>
              <w:rPr>
                <w:rFonts w:hint="eastAsia" w:ascii="宋体" w:hAnsi="宋体" w:eastAsia="宋体" w:cs="宋体"/>
                <w:szCs w:val="21"/>
              </w:rPr>
              <w:t>铜(Cu)</w:t>
            </w:r>
          </w:p>
        </w:tc>
        <w:tc>
          <w:tcPr>
            <w:tcW w:w="2272" w:type="dxa"/>
            <w:noWrap/>
          </w:tcPr>
          <w:p>
            <w:pPr>
              <w:snapToGrid w:val="0"/>
              <w:spacing w:beforeLines="50" w:afterLines="50"/>
              <w:jc w:val="center"/>
              <w:rPr>
                <w:rFonts w:ascii="宋体" w:hAnsi="宋体" w:eastAsia="宋体" w:cs="宋体"/>
                <w:szCs w:val="21"/>
              </w:rPr>
            </w:pPr>
            <w:r>
              <w:rPr>
                <w:rFonts w:hint="eastAsia" w:ascii="宋体" w:hAnsi="宋体" w:eastAsia="宋体" w:cs="宋体"/>
                <w:szCs w:val="21"/>
              </w:rPr>
              <w:t>400</w:t>
            </w:r>
          </w:p>
        </w:tc>
        <w:tc>
          <w:tcPr>
            <w:tcW w:w="2403" w:type="dxa"/>
            <w:noWrap/>
          </w:tcPr>
          <w:p>
            <w:pPr>
              <w:snapToGrid w:val="0"/>
              <w:spacing w:beforeLines="50" w:afterLines="50"/>
              <w:jc w:val="center"/>
              <w:rPr>
                <w:rFonts w:ascii="宋体" w:hAnsi="宋体" w:eastAsia="宋体" w:cs="宋体"/>
                <w:szCs w:val="21"/>
              </w:rPr>
            </w:pPr>
            <w:r>
              <w:rPr>
                <w:rFonts w:hint="eastAsia" w:ascii="宋体" w:hAnsi="宋体" w:eastAsia="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9" w:type="dxa"/>
            <w:noWrap/>
          </w:tcPr>
          <w:p>
            <w:pPr>
              <w:snapToGrid w:val="0"/>
              <w:spacing w:beforeLines="50" w:afterLines="50"/>
              <w:jc w:val="center"/>
              <w:rPr>
                <w:rFonts w:ascii="宋体" w:hAnsi="宋体" w:eastAsia="宋体" w:cs="宋体"/>
                <w:szCs w:val="21"/>
              </w:rPr>
            </w:pPr>
            <w:r>
              <w:rPr>
                <w:rFonts w:hint="eastAsia" w:ascii="宋体" w:hAnsi="宋体" w:eastAsia="宋体" w:cs="宋体"/>
                <w:szCs w:val="21"/>
              </w:rPr>
              <w:t>镍(Ni)</w:t>
            </w:r>
          </w:p>
        </w:tc>
        <w:tc>
          <w:tcPr>
            <w:tcW w:w="2272" w:type="dxa"/>
            <w:noWrap/>
          </w:tcPr>
          <w:p>
            <w:pPr>
              <w:snapToGrid w:val="0"/>
              <w:spacing w:beforeLines="50" w:afterLines="50"/>
              <w:jc w:val="center"/>
              <w:rPr>
                <w:rFonts w:ascii="宋体" w:hAnsi="宋体" w:eastAsia="宋体" w:cs="宋体"/>
                <w:szCs w:val="21"/>
              </w:rPr>
            </w:pPr>
            <w:r>
              <w:rPr>
                <w:rFonts w:hint="eastAsia" w:ascii="宋体" w:hAnsi="宋体" w:eastAsia="宋体" w:cs="宋体"/>
                <w:szCs w:val="21"/>
              </w:rPr>
              <w:t>200</w:t>
            </w:r>
          </w:p>
        </w:tc>
        <w:tc>
          <w:tcPr>
            <w:tcW w:w="2403" w:type="dxa"/>
            <w:noWrap/>
          </w:tcPr>
          <w:p>
            <w:pPr>
              <w:snapToGrid w:val="0"/>
              <w:spacing w:beforeLines="50" w:afterLines="50"/>
              <w:jc w:val="center"/>
              <w:rPr>
                <w:rFonts w:ascii="宋体" w:hAnsi="宋体" w:eastAsia="宋体" w:cs="宋体"/>
                <w:szCs w:val="21"/>
              </w:rPr>
            </w:pPr>
            <w:r>
              <w:rPr>
                <w:rFonts w:hint="eastAsia" w:ascii="宋体" w:hAnsi="宋体" w:eastAsia="宋体" w:cs="宋体"/>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9" w:type="dxa"/>
            <w:noWrap/>
          </w:tcPr>
          <w:p>
            <w:pPr>
              <w:snapToGrid w:val="0"/>
              <w:spacing w:beforeLines="50" w:afterLines="50"/>
              <w:jc w:val="center"/>
              <w:rPr>
                <w:rFonts w:ascii="宋体" w:hAnsi="宋体" w:eastAsia="宋体" w:cs="宋体"/>
                <w:szCs w:val="21"/>
              </w:rPr>
            </w:pPr>
            <w:r>
              <w:rPr>
                <w:rFonts w:hint="eastAsia" w:ascii="宋体" w:hAnsi="宋体" w:eastAsia="宋体" w:cs="宋体"/>
                <w:szCs w:val="21"/>
              </w:rPr>
              <w:t>锌(Zn)</w:t>
            </w:r>
          </w:p>
        </w:tc>
        <w:tc>
          <w:tcPr>
            <w:tcW w:w="2272" w:type="dxa"/>
            <w:noWrap/>
          </w:tcPr>
          <w:p>
            <w:pPr>
              <w:snapToGrid w:val="0"/>
              <w:spacing w:beforeLines="50" w:afterLines="50"/>
              <w:jc w:val="center"/>
              <w:rPr>
                <w:rFonts w:ascii="宋体" w:hAnsi="宋体" w:eastAsia="宋体" w:cs="宋体"/>
                <w:szCs w:val="21"/>
              </w:rPr>
            </w:pPr>
            <w:r>
              <w:rPr>
                <w:rFonts w:hint="eastAsia" w:ascii="宋体" w:hAnsi="宋体" w:eastAsia="宋体" w:cs="宋体"/>
                <w:szCs w:val="21"/>
              </w:rPr>
              <w:t>500</w:t>
            </w:r>
          </w:p>
        </w:tc>
        <w:tc>
          <w:tcPr>
            <w:tcW w:w="2403" w:type="dxa"/>
            <w:noWrap/>
          </w:tcPr>
          <w:p>
            <w:pPr>
              <w:snapToGrid w:val="0"/>
              <w:spacing w:beforeLines="50" w:afterLines="50"/>
              <w:jc w:val="center"/>
              <w:rPr>
                <w:rFonts w:ascii="宋体" w:hAnsi="宋体" w:eastAsia="宋体" w:cs="宋体"/>
                <w:szCs w:val="21"/>
              </w:rPr>
            </w:pPr>
            <w:r>
              <w:rPr>
                <w:rFonts w:hint="eastAsia" w:ascii="宋体" w:hAnsi="宋体" w:eastAsia="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9" w:type="dxa"/>
            <w:noWrap/>
          </w:tcPr>
          <w:p>
            <w:pPr>
              <w:snapToGrid w:val="0"/>
              <w:spacing w:beforeLines="50" w:afterLines="50"/>
              <w:jc w:val="center"/>
              <w:rPr>
                <w:rFonts w:ascii="宋体" w:hAnsi="宋体" w:eastAsia="宋体" w:cs="宋体"/>
                <w:szCs w:val="21"/>
              </w:rPr>
            </w:pPr>
            <w:r>
              <w:rPr>
                <w:rFonts w:hint="eastAsia" w:ascii="宋体" w:hAnsi="宋体" w:eastAsia="宋体" w:cs="宋体"/>
                <w:szCs w:val="21"/>
              </w:rPr>
              <w:t>锰（Mn）</w:t>
            </w:r>
          </w:p>
        </w:tc>
        <w:tc>
          <w:tcPr>
            <w:tcW w:w="2272" w:type="dxa"/>
            <w:noWrap/>
          </w:tcPr>
          <w:p>
            <w:pPr>
              <w:snapToGrid w:val="0"/>
              <w:spacing w:beforeLines="50" w:afterLines="50"/>
              <w:jc w:val="center"/>
              <w:rPr>
                <w:rFonts w:ascii="宋体" w:hAnsi="宋体" w:eastAsia="宋体" w:cs="宋体"/>
                <w:szCs w:val="21"/>
              </w:rPr>
            </w:pPr>
            <w:r>
              <w:rPr>
                <w:rFonts w:hint="eastAsia" w:ascii="宋体" w:hAnsi="宋体" w:eastAsia="宋体" w:cs="宋体"/>
                <w:szCs w:val="21"/>
              </w:rPr>
              <w:t>600</w:t>
            </w:r>
          </w:p>
        </w:tc>
        <w:tc>
          <w:tcPr>
            <w:tcW w:w="2403" w:type="dxa"/>
            <w:noWrap/>
          </w:tcPr>
          <w:p>
            <w:pPr>
              <w:snapToGrid w:val="0"/>
              <w:spacing w:beforeLines="50" w:afterLines="50"/>
              <w:jc w:val="center"/>
              <w:rPr>
                <w:rFonts w:ascii="宋体" w:hAnsi="宋体" w:eastAsia="宋体" w:cs="宋体"/>
                <w:szCs w:val="21"/>
              </w:rPr>
            </w:pPr>
            <w:r>
              <w:rPr>
                <w:rFonts w:hint="eastAsia" w:ascii="宋体" w:hAnsi="宋体" w:eastAsia="宋体" w:cs="宋体"/>
                <w:szCs w:val="21"/>
              </w:rPr>
              <w:t>1.0</w:t>
            </w:r>
          </w:p>
        </w:tc>
      </w:tr>
    </w:tbl>
    <w:p>
      <w:pPr>
        <w:rPr>
          <w:rFonts w:eastAsia="宋体"/>
        </w:rPr>
      </w:pPr>
      <w:r>
        <w:rPr>
          <w:rFonts w:hint="eastAsia"/>
        </w:rPr>
        <w:t>由于金属铜可能与部分重金属富集，为保证铜尾矿砂使用的安全性，避免对人体健康和环境造成不利影响，因对其重金属含量和可浸出重金属含量做出限制。本标准</w:t>
      </w:r>
      <w:r>
        <w:rPr>
          <w:rFonts w:hint="eastAsia"/>
          <w:lang w:val="en-US" w:eastAsia="zh-CN"/>
        </w:rPr>
        <w:t>执行</w:t>
      </w:r>
      <w:r>
        <w:rPr>
          <w:rFonts w:hint="eastAsia"/>
        </w:rPr>
        <w:t xml:space="preserve">行业标准 《混凝土用河道清淤砂》JC/T 2502-2018，其中砷和锰未作要求，和可浸出重金属含量一样参考现行国标《水泥窑协同处置固体废物技术规范》GB/T 30760-2014的要求。 </w:t>
      </w:r>
    </w:p>
    <w:p>
      <w:pPr>
        <w:rPr>
          <w:b/>
          <w:bCs/>
        </w:rPr>
      </w:pPr>
      <w:r>
        <w:rPr>
          <w:b/>
          <w:bCs/>
        </w:rPr>
        <w:t>2.2.5.</w:t>
      </w:r>
      <w:r>
        <w:rPr>
          <w:rFonts w:hint="eastAsia"/>
          <w:b/>
          <w:bCs/>
          <w:lang w:val="en-US" w:eastAsia="zh-CN"/>
        </w:rPr>
        <w:t>7</w:t>
      </w:r>
      <w:r>
        <w:rPr>
          <w:b/>
          <w:bCs/>
        </w:rPr>
        <w:t xml:space="preserve"> 碱</w:t>
      </w:r>
      <w:r>
        <w:rPr>
          <w:rFonts w:hint="eastAsia"/>
          <w:b/>
          <w:bCs/>
        </w:rPr>
        <w:t>集料反应</w:t>
      </w:r>
    </w:p>
    <w:p>
      <w:r>
        <w:rPr>
          <w:rFonts w:hint="eastAsia"/>
        </w:rPr>
        <w:t>当需方提出要求时，应出示膨胀率实测值及活性评定结果</w:t>
      </w:r>
      <w:r>
        <w:t>。</w:t>
      </w:r>
    </w:p>
    <w:p>
      <w:r>
        <w:t>混凝土碱集料反应是混凝土中水泥、外加剂、掺合料和拌合水中的可溶性碱（钾、钠）溶于混凝土孔隙液中，与具有潜在活性的集</w:t>
      </w:r>
      <w:r>
        <w:rPr>
          <w:rFonts w:hint="eastAsia"/>
        </w:rPr>
        <w:t>料</w:t>
      </w:r>
      <w:r>
        <w:t>在混凝土硬化后逐渐发生的一种化学反应，反应生成物吸水膨胀，使混凝土产生内应力，导致混凝土开裂和强度降低，严重时会导致混凝土完全破坏。现行行业标准规定对于长期处于潮湿环境的重要结构混凝土用砂，应进行碱活性检验。本标准规定了</w:t>
      </w:r>
      <w:r>
        <w:rPr>
          <w:rFonts w:hint="eastAsia"/>
        </w:rPr>
        <w:t>铜尾矿砂</w:t>
      </w:r>
      <w:r>
        <w:t>的碱</w:t>
      </w:r>
      <w:r>
        <w:rPr>
          <w:rFonts w:hint="eastAsia"/>
        </w:rPr>
        <w:t>集料反应</w:t>
      </w:r>
      <w:r>
        <w:t>应符合要求，避免碱集料反应的发生。碱活性的试验方法参考现行国家标准GB/T 14684进行。</w:t>
      </w:r>
    </w:p>
    <w:p>
      <w:pPr>
        <w:rPr>
          <w:b/>
          <w:bCs/>
        </w:rPr>
      </w:pPr>
      <w:r>
        <w:rPr>
          <w:b/>
          <w:bCs/>
        </w:rPr>
        <w:t>2.2.5.</w:t>
      </w:r>
      <w:r>
        <w:rPr>
          <w:rFonts w:hint="eastAsia"/>
          <w:b/>
          <w:bCs/>
          <w:lang w:val="en-US" w:eastAsia="zh-CN"/>
        </w:rPr>
        <w:t>8</w:t>
      </w:r>
      <w:r>
        <w:rPr>
          <w:b/>
          <w:bCs/>
        </w:rPr>
        <w:t xml:space="preserve"> 含水率</w:t>
      </w:r>
    </w:p>
    <w:p>
      <w:r>
        <w:t>当用户要求时，应报告其实测值，试验方法参考现行国家标准GB/T 14684进行。</w:t>
      </w:r>
    </w:p>
    <w:p>
      <w:pPr>
        <w:rPr>
          <w:rFonts w:hint="eastAsia"/>
        </w:rPr>
      </w:pPr>
      <w:r>
        <w:t>含水率会影响</w:t>
      </w:r>
      <w:r>
        <w:rPr>
          <w:rFonts w:hint="eastAsia"/>
        </w:rPr>
        <w:t>铜尾矿砂</w:t>
      </w:r>
      <w:r>
        <w:t>配制砂浆和混凝土时应采用的实际用水量，因此若用户有要求时，供应方应按照现行国家标准GB/T 14684测定其含水率。</w:t>
      </w:r>
    </w:p>
    <w:p>
      <w:pPr>
        <w:rPr>
          <w:b/>
          <w:bCs/>
          <w:szCs w:val="21"/>
        </w:rPr>
      </w:pPr>
      <w:r>
        <w:rPr>
          <w:b/>
          <w:bCs/>
          <w:szCs w:val="21"/>
        </w:rPr>
        <w:t>2.2.5.</w:t>
      </w:r>
      <w:r>
        <w:rPr>
          <w:rFonts w:hint="eastAsia"/>
          <w:b/>
          <w:bCs/>
          <w:szCs w:val="21"/>
          <w:lang w:val="en-US" w:eastAsia="zh-CN"/>
        </w:rPr>
        <w:t>9</w:t>
      </w:r>
      <w:r>
        <w:rPr>
          <w:b/>
          <w:bCs/>
          <w:szCs w:val="21"/>
        </w:rPr>
        <w:t xml:space="preserve"> 取样方法</w:t>
      </w:r>
    </w:p>
    <w:p>
      <w:pPr>
        <w:rPr>
          <w:szCs w:val="21"/>
        </w:rPr>
      </w:pPr>
      <w:r>
        <w:rPr>
          <w:szCs w:val="21"/>
        </w:rPr>
        <w:t>本标准规定</w:t>
      </w:r>
      <w:r>
        <w:rPr>
          <w:rFonts w:hint="eastAsia"/>
          <w:szCs w:val="21"/>
        </w:rPr>
        <w:t>铜尾矿砂</w:t>
      </w:r>
      <w:r>
        <w:rPr>
          <w:szCs w:val="21"/>
        </w:rPr>
        <w:t>取样参考现行国家标准GB/T 14684进行取样。</w:t>
      </w:r>
      <w:r>
        <w:rPr>
          <w:rFonts w:hint="eastAsia"/>
          <w:szCs w:val="21"/>
        </w:rPr>
        <w:t>将抽取的样品充分混匀，分为三等份，保存在密封容器中，一份用于试验，另两份密封保存备用。</w:t>
      </w:r>
    </w:p>
    <w:p>
      <w:pPr>
        <w:rPr>
          <w:szCs w:val="21"/>
        </w:rPr>
      </w:pPr>
      <w:r>
        <w:rPr>
          <w:szCs w:val="21"/>
        </w:rPr>
        <w:t>取样方法是否规范直接影响所取得得</w:t>
      </w:r>
      <w:r>
        <w:rPr>
          <w:rFonts w:hint="eastAsia"/>
          <w:szCs w:val="21"/>
        </w:rPr>
        <w:t>铜尾矿砂</w:t>
      </w:r>
      <w:r>
        <w:rPr>
          <w:szCs w:val="21"/>
        </w:rPr>
        <w:t>样品是否均匀、一致并具有代表性，从而决定了所获得实验数据的可靠性。因此，参考现行国家标准GB/T 14684规范了</w:t>
      </w:r>
      <w:r>
        <w:rPr>
          <w:rFonts w:hint="eastAsia"/>
          <w:szCs w:val="21"/>
        </w:rPr>
        <w:t>铜尾矿砂</w:t>
      </w:r>
      <w:r>
        <w:rPr>
          <w:szCs w:val="21"/>
        </w:rPr>
        <w:t>的取样方法。</w:t>
      </w:r>
    </w:p>
    <w:p>
      <w:pPr>
        <w:rPr>
          <w:b/>
          <w:bCs/>
          <w:szCs w:val="21"/>
        </w:rPr>
      </w:pPr>
      <w:r>
        <w:rPr>
          <w:b/>
          <w:bCs/>
          <w:szCs w:val="21"/>
        </w:rPr>
        <w:t>2.2.5.</w:t>
      </w:r>
      <w:r>
        <w:rPr>
          <w:rFonts w:hint="eastAsia"/>
          <w:b/>
          <w:bCs/>
          <w:szCs w:val="21"/>
          <w:lang w:val="en-US" w:eastAsia="zh-CN"/>
        </w:rPr>
        <w:t>10</w:t>
      </w:r>
      <w:r>
        <w:rPr>
          <w:b/>
          <w:bCs/>
          <w:szCs w:val="21"/>
        </w:rPr>
        <w:t xml:space="preserve"> 取样数量</w:t>
      </w:r>
    </w:p>
    <w:p>
      <w:pPr>
        <w:rPr>
          <w:szCs w:val="21"/>
        </w:rPr>
      </w:pPr>
      <w:r>
        <w:rPr>
          <w:szCs w:val="21"/>
        </w:rPr>
        <w:t>单项试验的最少取样数量应符合表</w:t>
      </w:r>
      <w:r>
        <w:rPr>
          <w:rFonts w:hint="eastAsia"/>
          <w:szCs w:val="21"/>
          <w:lang w:val="en-US" w:eastAsia="zh-CN"/>
        </w:rPr>
        <w:t>6</w:t>
      </w:r>
      <w:r>
        <w:rPr>
          <w:szCs w:val="21"/>
        </w:rPr>
        <w:t>的规定。若进行几项试验时，如能保证试样经一项试验后不致影响另一项试验的结果，可用同一试样进行几项不同的试验。</w:t>
      </w:r>
    </w:p>
    <w:p>
      <w:pPr>
        <w:pStyle w:val="16"/>
        <w:jc w:val="center"/>
        <w:rPr>
          <w:b/>
          <w:bCs/>
        </w:rPr>
      </w:pPr>
      <w:r>
        <w:rPr>
          <w:b/>
          <w:bCs/>
        </w:rPr>
        <w:t>表</w:t>
      </w:r>
      <w:r>
        <w:rPr>
          <w:rFonts w:hint="eastAsia"/>
          <w:b/>
          <w:bCs/>
          <w:lang w:val="en-US" w:eastAsia="zh-CN"/>
        </w:rPr>
        <w:t>6</w:t>
      </w:r>
      <w:r>
        <w:rPr>
          <w:b/>
          <w:bCs/>
        </w:rPr>
        <w:t xml:space="preserve"> 单项试验取样数量</w:t>
      </w:r>
    </w:p>
    <w:tbl>
      <w:tblPr>
        <w:tblStyle w:val="11"/>
        <w:tblW w:w="50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2038"/>
        <w:gridCol w:w="2804"/>
        <w:gridCol w:w="2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94" w:type="pct"/>
            <w:noWrap/>
            <w:vAlign w:val="center"/>
          </w:tcPr>
          <w:p>
            <w:pPr>
              <w:snapToGrid w:val="0"/>
              <w:spacing w:line="360" w:lineRule="auto"/>
              <w:jc w:val="center"/>
              <w:rPr>
                <w:rFonts w:ascii="宋体" w:hAnsi="宋体" w:eastAsia="宋体" w:cs="Times New Roman"/>
                <w:sz w:val="18"/>
                <w:szCs w:val="18"/>
              </w:rPr>
            </w:pPr>
            <w:r>
              <w:rPr>
                <w:rFonts w:hint="eastAsia" w:ascii="宋体" w:hAnsi="宋体" w:eastAsia="宋体" w:cs="Times New Roman"/>
                <w:sz w:val="18"/>
                <w:szCs w:val="18"/>
              </w:rPr>
              <w:t>序号</w:t>
            </w:r>
          </w:p>
        </w:tc>
        <w:tc>
          <w:tcPr>
            <w:tcW w:w="2815" w:type="pct"/>
            <w:gridSpan w:val="2"/>
            <w:noWrap/>
            <w:vAlign w:val="center"/>
          </w:tcPr>
          <w:p>
            <w:pPr>
              <w:snapToGrid w:val="0"/>
              <w:spacing w:line="360" w:lineRule="auto"/>
              <w:jc w:val="center"/>
              <w:rPr>
                <w:rFonts w:ascii="宋体" w:hAnsi="宋体" w:eastAsia="宋体" w:cs="Times New Roman"/>
                <w:sz w:val="18"/>
                <w:szCs w:val="18"/>
              </w:rPr>
            </w:pPr>
            <w:r>
              <w:rPr>
                <w:rFonts w:hint="eastAsia" w:ascii="宋体" w:hAnsi="宋体" w:eastAsia="宋体" w:cs="Times New Roman"/>
                <w:sz w:val="18"/>
                <w:szCs w:val="18"/>
              </w:rPr>
              <w:t>试验项目</w:t>
            </w:r>
          </w:p>
        </w:tc>
        <w:tc>
          <w:tcPr>
            <w:tcW w:w="1389" w:type="pct"/>
            <w:noWrap/>
            <w:vAlign w:val="center"/>
          </w:tcPr>
          <w:p>
            <w:pPr>
              <w:snapToGrid w:val="0"/>
              <w:spacing w:line="360" w:lineRule="auto"/>
              <w:jc w:val="center"/>
              <w:rPr>
                <w:rFonts w:ascii="宋体" w:hAnsi="宋体" w:eastAsia="宋体" w:cs="Times New Roman"/>
                <w:sz w:val="18"/>
                <w:szCs w:val="18"/>
              </w:rPr>
            </w:pPr>
            <w:r>
              <w:rPr>
                <w:rFonts w:hint="eastAsia" w:ascii="宋体" w:hAnsi="宋体" w:eastAsia="宋体" w:cs="Times New Roman"/>
                <w:sz w:val="18"/>
                <w:szCs w:val="18"/>
              </w:rPr>
              <w:t>最少取样质量</w:t>
            </w:r>
            <w:r>
              <w:rPr>
                <w:rFonts w:ascii="宋体" w:hAnsi="宋体" w:eastAsia="宋体" w:cs="Times New Roman"/>
                <w:sz w:val="18"/>
                <w:szCs w:val="18"/>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94" w:type="pct"/>
            <w:noWrap/>
            <w:vAlign w:val="center"/>
          </w:tcPr>
          <w:p>
            <w:pPr>
              <w:snapToGrid w:val="0"/>
              <w:spacing w:line="360" w:lineRule="auto"/>
              <w:jc w:val="center"/>
              <w:rPr>
                <w:rFonts w:ascii="宋体" w:hAnsi="宋体" w:eastAsia="宋体" w:cs="Times New Roman"/>
                <w:sz w:val="18"/>
                <w:szCs w:val="18"/>
              </w:rPr>
            </w:pPr>
            <w:r>
              <w:rPr>
                <w:rFonts w:ascii="宋体" w:hAnsi="宋体" w:eastAsia="宋体" w:cs="Times New Roman"/>
                <w:sz w:val="18"/>
                <w:szCs w:val="18"/>
              </w:rPr>
              <w:t>1</w:t>
            </w:r>
          </w:p>
        </w:tc>
        <w:tc>
          <w:tcPr>
            <w:tcW w:w="2815" w:type="pct"/>
            <w:gridSpan w:val="2"/>
            <w:noWrap/>
            <w:vAlign w:val="center"/>
          </w:tcPr>
          <w:p>
            <w:pPr>
              <w:snapToGrid w:val="0"/>
              <w:spacing w:line="360" w:lineRule="auto"/>
              <w:jc w:val="center"/>
              <w:rPr>
                <w:rFonts w:ascii="宋体" w:hAnsi="宋体" w:eastAsia="宋体" w:cs="Times New Roman"/>
                <w:sz w:val="18"/>
                <w:szCs w:val="18"/>
              </w:rPr>
            </w:pPr>
            <w:r>
              <w:rPr>
                <w:rFonts w:hint="eastAsia" w:ascii="宋体" w:hAnsi="宋体" w:eastAsia="宋体" w:cs="Times New Roman"/>
                <w:sz w:val="18"/>
                <w:szCs w:val="18"/>
              </w:rPr>
              <w:t>颗粒级配</w:t>
            </w:r>
          </w:p>
        </w:tc>
        <w:tc>
          <w:tcPr>
            <w:tcW w:w="1389" w:type="pct"/>
            <w:noWrap/>
            <w:vAlign w:val="center"/>
          </w:tcPr>
          <w:p>
            <w:pPr>
              <w:snapToGrid w:val="0"/>
              <w:spacing w:line="360" w:lineRule="auto"/>
              <w:jc w:val="center"/>
              <w:rPr>
                <w:rFonts w:ascii="宋体" w:hAnsi="宋体" w:eastAsia="宋体" w:cs="Times New Roman"/>
                <w:sz w:val="18"/>
                <w:szCs w:val="18"/>
              </w:rPr>
            </w:pPr>
            <w:r>
              <w:rPr>
                <w:rFonts w:hint="eastAsia" w:ascii="宋体" w:hAnsi="宋体" w:eastAsia="宋体" w:cs="Times New Roman"/>
                <w:sz w:val="18"/>
                <w:szCs w:val="18"/>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94" w:type="pct"/>
            <w:noWrap/>
            <w:vAlign w:val="center"/>
          </w:tcPr>
          <w:p>
            <w:pPr>
              <w:snapToGrid w:val="0"/>
              <w:spacing w:line="360" w:lineRule="auto"/>
              <w:jc w:val="center"/>
              <w:rPr>
                <w:rFonts w:ascii="宋体" w:hAnsi="宋体" w:eastAsia="宋体" w:cs="Times New Roman"/>
                <w:sz w:val="18"/>
                <w:szCs w:val="18"/>
              </w:rPr>
            </w:pPr>
            <w:r>
              <w:rPr>
                <w:rFonts w:ascii="宋体" w:hAnsi="宋体" w:eastAsia="宋体" w:cs="Times New Roman"/>
                <w:sz w:val="18"/>
                <w:szCs w:val="18"/>
              </w:rPr>
              <w:t>2</w:t>
            </w:r>
          </w:p>
        </w:tc>
        <w:tc>
          <w:tcPr>
            <w:tcW w:w="2815" w:type="pct"/>
            <w:gridSpan w:val="2"/>
            <w:noWrap/>
            <w:vAlign w:val="center"/>
          </w:tcPr>
          <w:p>
            <w:pPr>
              <w:snapToGrid w:val="0"/>
              <w:spacing w:line="360" w:lineRule="auto"/>
              <w:jc w:val="center"/>
              <w:rPr>
                <w:rFonts w:ascii="宋体" w:hAnsi="宋体" w:eastAsia="宋体" w:cs="Times New Roman"/>
                <w:sz w:val="18"/>
                <w:szCs w:val="18"/>
              </w:rPr>
            </w:pPr>
            <w:r>
              <w:rPr>
                <w:rFonts w:hint="eastAsia" w:ascii="宋体" w:hAnsi="宋体" w:eastAsia="宋体" w:cs="Times New Roman"/>
                <w:sz w:val="18"/>
                <w:szCs w:val="18"/>
              </w:rPr>
              <w:t>流动度比</w:t>
            </w:r>
          </w:p>
        </w:tc>
        <w:tc>
          <w:tcPr>
            <w:tcW w:w="1389" w:type="pct"/>
            <w:noWrap/>
            <w:vAlign w:val="center"/>
          </w:tcPr>
          <w:p>
            <w:pPr>
              <w:snapToGrid w:val="0"/>
              <w:spacing w:line="360" w:lineRule="auto"/>
              <w:jc w:val="center"/>
              <w:rPr>
                <w:rFonts w:ascii="宋体" w:hAnsi="宋体" w:eastAsia="宋体" w:cs="Times New Roman"/>
                <w:sz w:val="18"/>
                <w:szCs w:val="18"/>
              </w:rPr>
            </w:pPr>
            <w:r>
              <w:rPr>
                <w:rFonts w:ascii="宋体" w:hAnsi="宋体" w:eastAsia="宋体" w:cs="Times New Roman"/>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94" w:type="pct"/>
            <w:noWrap/>
            <w:vAlign w:val="center"/>
          </w:tcPr>
          <w:p>
            <w:pPr>
              <w:snapToGrid w:val="0"/>
              <w:spacing w:line="360" w:lineRule="auto"/>
              <w:jc w:val="center"/>
              <w:rPr>
                <w:rFonts w:ascii="宋体" w:hAnsi="宋体" w:eastAsia="宋体" w:cs="Times New Roman"/>
                <w:sz w:val="18"/>
                <w:szCs w:val="18"/>
              </w:rPr>
            </w:pPr>
            <w:r>
              <w:rPr>
                <w:rFonts w:ascii="宋体" w:hAnsi="宋体" w:eastAsia="宋体" w:cs="Times New Roman"/>
                <w:sz w:val="18"/>
                <w:szCs w:val="18"/>
              </w:rPr>
              <w:t>3</w:t>
            </w:r>
          </w:p>
        </w:tc>
        <w:tc>
          <w:tcPr>
            <w:tcW w:w="2815" w:type="pct"/>
            <w:gridSpan w:val="2"/>
            <w:noWrap/>
            <w:vAlign w:val="center"/>
          </w:tcPr>
          <w:p>
            <w:pPr>
              <w:snapToGrid w:val="0"/>
              <w:spacing w:line="360" w:lineRule="auto"/>
              <w:jc w:val="center"/>
              <w:rPr>
                <w:rFonts w:ascii="宋体" w:hAnsi="宋体" w:eastAsia="宋体" w:cs="Times New Roman"/>
                <w:sz w:val="18"/>
                <w:szCs w:val="18"/>
              </w:rPr>
            </w:pPr>
            <w:r>
              <w:rPr>
                <w:rFonts w:hint="eastAsia" w:ascii="宋体" w:hAnsi="宋体" w:eastAsia="宋体" w:cs="Times New Roman"/>
                <w:sz w:val="18"/>
                <w:szCs w:val="18"/>
              </w:rPr>
              <w:t>粉含量及亚甲蓝值</w:t>
            </w:r>
          </w:p>
        </w:tc>
        <w:tc>
          <w:tcPr>
            <w:tcW w:w="1389" w:type="pct"/>
            <w:noWrap/>
            <w:vAlign w:val="center"/>
          </w:tcPr>
          <w:p>
            <w:pPr>
              <w:snapToGrid w:val="0"/>
              <w:spacing w:line="360" w:lineRule="auto"/>
              <w:jc w:val="center"/>
              <w:rPr>
                <w:rFonts w:ascii="宋体" w:hAnsi="宋体" w:eastAsia="宋体" w:cs="Times New Roman"/>
                <w:sz w:val="18"/>
                <w:szCs w:val="18"/>
              </w:rPr>
            </w:pPr>
            <w:r>
              <w:rPr>
                <w:rFonts w:ascii="宋体" w:hAnsi="宋体" w:eastAsia="宋体" w:cs="Times New Roman"/>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94" w:type="pct"/>
            <w:vMerge w:val="restart"/>
            <w:noWrap/>
            <w:vAlign w:val="center"/>
          </w:tcPr>
          <w:p>
            <w:pPr>
              <w:snapToGrid w:val="0"/>
              <w:spacing w:line="360" w:lineRule="auto"/>
              <w:jc w:val="center"/>
              <w:rPr>
                <w:rFonts w:ascii="宋体" w:hAnsi="宋体" w:eastAsia="宋体" w:cs="Times New Roman"/>
                <w:sz w:val="18"/>
                <w:szCs w:val="18"/>
              </w:rPr>
            </w:pPr>
            <w:r>
              <w:rPr>
                <w:rFonts w:ascii="宋体" w:hAnsi="宋体" w:eastAsia="宋体" w:cs="Times New Roman"/>
                <w:sz w:val="18"/>
                <w:szCs w:val="18"/>
              </w:rPr>
              <w:t>4</w:t>
            </w:r>
          </w:p>
        </w:tc>
        <w:tc>
          <w:tcPr>
            <w:tcW w:w="1185" w:type="pct"/>
            <w:vMerge w:val="restart"/>
            <w:noWrap/>
            <w:vAlign w:val="center"/>
          </w:tcPr>
          <w:p>
            <w:pPr>
              <w:snapToGrid w:val="0"/>
              <w:spacing w:line="360" w:lineRule="auto"/>
              <w:jc w:val="center"/>
              <w:rPr>
                <w:rFonts w:ascii="宋体" w:hAnsi="宋体" w:eastAsia="宋体" w:cs="Times New Roman"/>
                <w:sz w:val="18"/>
                <w:szCs w:val="18"/>
              </w:rPr>
            </w:pPr>
            <w:r>
              <w:rPr>
                <w:rFonts w:hint="eastAsia" w:ascii="宋体" w:hAnsi="宋体" w:eastAsia="宋体" w:cs="Times New Roman"/>
                <w:sz w:val="18"/>
                <w:szCs w:val="18"/>
              </w:rPr>
              <w:t>有害物质</w:t>
            </w:r>
          </w:p>
        </w:tc>
        <w:tc>
          <w:tcPr>
            <w:tcW w:w="1630" w:type="pct"/>
            <w:noWrap/>
            <w:vAlign w:val="center"/>
          </w:tcPr>
          <w:p>
            <w:pPr>
              <w:snapToGrid w:val="0"/>
              <w:spacing w:line="360" w:lineRule="auto"/>
              <w:jc w:val="center"/>
              <w:rPr>
                <w:rFonts w:ascii="宋体" w:hAnsi="宋体" w:eastAsia="宋体" w:cs="Times New Roman"/>
                <w:sz w:val="18"/>
                <w:szCs w:val="18"/>
              </w:rPr>
            </w:pPr>
            <w:r>
              <w:rPr>
                <w:rFonts w:hint="eastAsia" w:ascii="宋体" w:hAnsi="宋体" w:eastAsia="宋体" w:cs="Times New Roman"/>
                <w:sz w:val="18"/>
                <w:szCs w:val="18"/>
              </w:rPr>
              <w:t>轻物质含量</w:t>
            </w:r>
          </w:p>
        </w:tc>
        <w:tc>
          <w:tcPr>
            <w:tcW w:w="1389" w:type="pct"/>
            <w:noWrap/>
            <w:vAlign w:val="center"/>
          </w:tcPr>
          <w:p>
            <w:pPr>
              <w:snapToGrid w:val="0"/>
              <w:spacing w:line="360" w:lineRule="auto"/>
              <w:jc w:val="center"/>
              <w:rPr>
                <w:rFonts w:ascii="宋体" w:hAnsi="宋体" w:eastAsia="宋体" w:cs="Times New Roman"/>
                <w:sz w:val="18"/>
                <w:szCs w:val="18"/>
              </w:rPr>
            </w:pPr>
            <w:r>
              <w:rPr>
                <w:rFonts w:ascii="宋体" w:hAnsi="宋体" w:eastAsia="宋体" w:cs="Times New Roman"/>
                <w:sz w:val="18"/>
                <w:szCs w:val="1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94" w:type="pct"/>
            <w:vMerge w:val="continue"/>
            <w:noWrap/>
            <w:vAlign w:val="center"/>
          </w:tcPr>
          <w:p>
            <w:pPr>
              <w:snapToGrid w:val="0"/>
              <w:spacing w:line="360" w:lineRule="auto"/>
              <w:jc w:val="center"/>
              <w:rPr>
                <w:rFonts w:ascii="宋体" w:hAnsi="宋体" w:eastAsia="宋体" w:cs="Times New Roman"/>
                <w:sz w:val="18"/>
                <w:szCs w:val="18"/>
              </w:rPr>
            </w:pPr>
          </w:p>
        </w:tc>
        <w:tc>
          <w:tcPr>
            <w:tcW w:w="1185" w:type="pct"/>
            <w:vMerge w:val="continue"/>
            <w:noWrap/>
            <w:vAlign w:val="center"/>
          </w:tcPr>
          <w:p>
            <w:pPr>
              <w:snapToGrid w:val="0"/>
              <w:spacing w:line="360" w:lineRule="auto"/>
              <w:jc w:val="center"/>
              <w:rPr>
                <w:rFonts w:ascii="宋体" w:hAnsi="宋体" w:eastAsia="宋体" w:cs="Times New Roman"/>
                <w:sz w:val="18"/>
                <w:szCs w:val="18"/>
              </w:rPr>
            </w:pPr>
          </w:p>
        </w:tc>
        <w:tc>
          <w:tcPr>
            <w:tcW w:w="1630" w:type="pct"/>
            <w:noWrap/>
            <w:vAlign w:val="center"/>
          </w:tcPr>
          <w:p>
            <w:pPr>
              <w:snapToGrid w:val="0"/>
              <w:spacing w:line="360" w:lineRule="auto"/>
              <w:jc w:val="center"/>
              <w:rPr>
                <w:rFonts w:ascii="宋体" w:hAnsi="宋体" w:eastAsia="宋体" w:cs="Times New Roman"/>
                <w:sz w:val="18"/>
                <w:szCs w:val="18"/>
              </w:rPr>
            </w:pPr>
            <w:r>
              <w:rPr>
                <w:rFonts w:hint="eastAsia" w:ascii="宋体" w:hAnsi="宋体" w:eastAsia="宋体" w:cs="Times New Roman"/>
                <w:sz w:val="18"/>
                <w:szCs w:val="18"/>
              </w:rPr>
              <w:t>有机物含量</w:t>
            </w:r>
          </w:p>
        </w:tc>
        <w:tc>
          <w:tcPr>
            <w:tcW w:w="1389" w:type="pct"/>
            <w:noWrap/>
            <w:vAlign w:val="center"/>
          </w:tcPr>
          <w:p>
            <w:pPr>
              <w:snapToGrid w:val="0"/>
              <w:spacing w:line="360" w:lineRule="auto"/>
              <w:jc w:val="center"/>
              <w:rPr>
                <w:rFonts w:ascii="宋体" w:hAnsi="宋体" w:eastAsia="宋体" w:cs="Times New Roman"/>
                <w:sz w:val="18"/>
                <w:szCs w:val="18"/>
              </w:rPr>
            </w:pPr>
            <w:r>
              <w:rPr>
                <w:rFonts w:ascii="宋体" w:hAnsi="宋体" w:eastAsia="宋体" w:cs="Times New Roman"/>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94" w:type="pct"/>
            <w:vMerge w:val="continue"/>
            <w:noWrap/>
            <w:vAlign w:val="center"/>
          </w:tcPr>
          <w:p>
            <w:pPr>
              <w:snapToGrid w:val="0"/>
              <w:spacing w:line="360" w:lineRule="auto"/>
              <w:jc w:val="center"/>
              <w:rPr>
                <w:rFonts w:ascii="宋体" w:hAnsi="宋体" w:eastAsia="宋体" w:cs="Times New Roman"/>
                <w:sz w:val="18"/>
                <w:szCs w:val="18"/>
              </w:rPr>
            </w:pPr>
          </w:p>
        </w:tc>
        <w:tc>
          <w:tcPr>
            <w:tcW w:w="1185" w:type="pct"/>
            <w:vMerge w:val="continue"/>
            <w:noWrap/>
            <w:vAlign w:val="center"/>
          </w:tcPr>
          <w:p>
            <w:pPr>
              <w:snapToGrid w:val="0"/>
              <w:spacing w:line="360" w:lineRule="auto"/>
              <w:jc w:val="center"/>
              <w:rPr>
                <w:rFonts w:ascii="宋体" w:hAnsi="宋体" w:eastAsia="宋体" w:cs="Times New Roman"/>
                <w:sz w:val="18"/>
                <w:szCs w:val="18"/>
              </w:rPr>
            </w:pPr>
          </w:p>
        </w:tc>
        <w:tc>
          <w:tcPr>
            <w:tcW w:w="1630" w:type="pct"/>
            <w:noWrap/>
            <w:vAlign w:val="center"/>
          </w:tcPr>
          <w:p>
            <w:pPr>
              <w:snapToGrid w:val="0"/>
              <w:spacing w:line="360" w:lineRule="auto"/>
              <w:jc w:val="center"/>
              <w:rPr>
                <w:rFonts w:ascii="宋体" w:hAnsi="宋体" w:eastAsia="宋体" w:cs="Times New Roman"/>
                <w:sz w:val="18"/>
                <w:szCs w:val="18"/>
              </w:rPr>
            </w:pPr>
            <w:r>
              <w:rPr>
                <w:rFonts w:hint="eastAsia" w:ascii="宋体" w:hAnsi="宋体" w:eastAsia="宋体" w:cs="Times New Roman"/>
                <w:sz w:val="18"/>
                <w:szCs w:val="18"/>
              </w:rPr>
              <w:t>硫化物与硫酸盐含量</w:t>
            </w:r>
          </w:p>
        </w:tc>
        <w:tc>
          <w:tcPr>
            <w:tcW w:w="1389" w:type="pct"/>
            <w:noWrap/>
            <w:vAlign w:val="center"/>
          </w:tcPr>
          <w:p>
            <w:pPr>
              <w:snapToGrid w:val="0"/>
              <w:spacing w:line="360" w:lineRule="auto"/>
              <w:jc w:val="center"/>
              <w:rPr>
                <w:rFonts w:ascii="宋体" w:hAnsi="宋体" w:eastAsia="宋体" w:cs="Times New Roman"/>
                <w:sz w:val="18"/>
                <w:szCs w:val="18"/>
              </w:rPr>
            </w:pPr>
            <w:r>
              <w:rPr>
                <w:rFonts w:ascii="宋体" w:hAnsi="宋体" w:eastAsia="宋体" w:cs="Times New Roman"/>
                <w:sz w:val="18"/>
                <w:szCs w:val="18"/>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94" w:type="pct"/>
            <w:vMerge w:val="continue"/>
            <w:noWrap/>
            <w:vAlign w:val="center"/>
          </w:tcPr>
          <w:p>
            <w:pPr>
              <w:snapToGrid w:val="0"/>
              <w:spacing w:line="360" w:lineRule="auto"/>
              <w:jc w:val="center"/>
              <w:rPr>
                <w:rFonts w:ascii="宋体" w:hAnsi="宋体" w:eastAsia="宋体" w:cs="Times New Roman"/>
                <w:sz w:val="18"/>
                <w:szCs w:val="18"/>
              </w:rPr>
            </w:pPr>
          </w:p>
        </w:tc>
        <w:tc>
          <w:tcPr>
            <w:tcW w:w="1185" w:type="pct"/>
            <w:vMerge w:val="continue"/>
            <w:noWrap/>
            <w:vAlign w:val="center"/>
          </w:tcPr>
          <w:p>
            <w:pPr>
              <w:snapToGrid w:val="0"/>
              <w:spacing w:line="360" w:lineRule="auto"/>
              <w:jc w:val="center"/>
              <w:rPr>
                <w:rFonts w:ascii="宋体" w:hAnsi="宋体" w:eastAsia="宋体" w:cs="Times New Roman"/>
                <w:sz w:val="18"/>
                <w:szCs w:val="18"/>
              </w:rPr>
            </w:pPr>
          </w:p>
        </w:tc>
        <w:tc>
          <w:tcPr>
            <w:tcW w:w="1630" w:type="pct"/>
            <w:noWrap/>
            <w:vAlign w:val="center"/>
          </w:tcPr>
          <w:p>
            <w:pPr>
              <w:snapToGrid w:val="0"/>
              <w:spacing w:line="360" w:lineRule="auto"/>
              <w:jc w:val="center"/>
              <w:rPr>
                <w:rFonts w:ascii="宋体" w:hAnsi="宋体" w:eastAsia="宋体" w:cs="Times New Roman"/>
                <w:sz w:val="18"/>
                <w:szCs w:val="18"/>
              </w:rPr>
            </w:pPr>
            <w:r>
              <w:rPr>
                <w:rFonts w:hint="eastAsia" w:ascii="宋体" w:hAnsi="宋体" w:eastAsia="宋体" w:cs="Times New Roman"/>
                <w:sz w:val="18"/>
                <w:szCs w:val="18"/>
              </w:rPr>
              <w:t>氯化物含量</w:t>
            </w:r>
          </w:p>
        </w:tc>
        <w:tc>
          <w:tcPr>
            <w:tcW w:w="1389" w:type="pct"/>
            <w:noWrap/>
            <w:vAlign w:val="center"/>
          </w:tcPr>
          <w:p>
            <w:pPr>
              <w:snapToGrid w:val="0"/>
              <w:spacing w:line="360" w:lineRule="auto"/>
              <w:jc w:val="center"/>
              <w:rPr>
                <w:rFonts w:ascii="宋体" w:hAnsi="宋体" w:eastAsia="宋体" w:cs="Times New Roman"/>
                <w:sz w:val="18"/>
                <w:szCs w:val="18"/>
              </w:rPr>
            </w:pPr>
            <w:r>
              <w:rPr>
                <w:rFonts w:ascii="宋体" w:hAnsi="宋体" w:eastAsia="宋体" w:cs="Times New Roman"/>
                <w:sz w:val="18"/>
                <w:szCs w:val="18"/>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94" w:type="pct"/>
            <w:noWrap/>
            <w:vAlign w:val="center"/>
          </w:tcPr>
          <w:p>
            <w:pPr>
              <w:snapToGrid w:val="0"/>
              <w:spacing w:line="360" w:lineRule="auto"/>
              <w:jc w:val="center"/>
              <w:rPr>
                <w:rFonts w:ascii="宋体" w:hAnsi="宋体" w:eastAsia="宋体" w:cs="Times New Roman"/>
                <w:sz w:val="18"/>
                <w:szCs w:val="18"/>
              </w:rPr>
            </w:pPr>
            <w:r>
              <w:rPr>
                <w:rFonts w:hint="eastAsia" w:ascii="宋体" w:hAnsi="宋体" w:eastAsia="宋体" w:cs="Times New Roman"/>
                <w:sz w:val="18"/>
                <w:szCs w:val="18"/>
              </w:rPr>
              <w:t>5</w:t>
            </w:r>
          </w:p>
        </w:tc>
        <w:tc>
          <w:tcPr>
            <w:tcW w:w="2815" w:type="pct"/>
            <w:gridSpan w:val="2"/>
            <w:noWrap/>
            <w:vAlign w:val="center"/>
          </w:tcPr>
          <w:p>
            <w:pPr>
              <w:snapToGrid w:val="0"/>
              <w:spacing w:line="360" w:lineRule="auto"/>
              <w:jc w:val="center"/>
              <w:rPr>
                <w:rFonts w:ascii="宋体" w:hAnsi="宋体" w:eastAsia="宋体" w:cs="Times New Roman"/>
                <w:sz w:val="18"/>
                <w:szCs w:val="18"/>
              </w:rPr>
            </w:pPr>
            <w:r>
              <w:rPr>
                <w:rFonts w:hint="eastAsia" w:ascii="宋体" w:hAnsi="宋体" w:eastAsia="宋体" w:cs="Times New Roman"/>
                <w:sz w:val="18"/>
                <w:szCs w:val="18"/>
              </w:rPr>
              <w:t>表观密度</w:t>
            </w:r>
          </w:p>
        </w:tc>
        <w:tc>
          <w:tcPr>
            <w:tcW w:w="1389" w:type="pct"/>
            <w:noWrap/>
            <w:vAlign w:val="center"/>
          </w:tcPr>
          <w:p>
            <w:pPr>
              <w:snapToGrid w:val="0"/>
              <w:spacing w:line="360" w:lineRule="auto"/>
              <w:jc w:val="center"/>
              <w:rPr>
                <w:rFonts w:ascii="宋体" w:hAnsi="宋体" w:eastAsia="宋体" w:cs="Times New Roman"/>
                <w:sz w:val="18"/>
                <w:szCs w:val="18"/>
              </w:rPr>
            </w:pPr>
            <w:r>
              <w:rPr>
                <w:rFonts w:ascii="宋体" w:hAnsi="宋体" w:eastAsia="宋体" w:cs="Times New Roman"/>
                <w:sz w:val="18"/>
                <w:szCs w:val="18"/>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94" w:type="pct"/>
            <w:noWrap/>
            <w:vAlign w:val="center"/>
          </w:tcPr>
          <w:p>
            <w:pPr>
              <w:snapToGrid w:val="0"/>
              <w:spacing w:line="360" w:lineRule="auto"/>
              <w:jc w:val="center"/>
              <w:rPr>
                <w:rFonts w:ascii="宋体" w:hAnsi="宋体" w:eastAsia="宋体" w:cs="Times New Roman"/>
                <w:sz w:val="18"/>
                <w:szCs w:val="18"/>
              </w:rPr>
            </w:pPr>
            <w:r>
              <w:rPr>
                <w:rFonts w:hint="eastAsia" w:ascii="宋体" w:hAnsi="宋体" w:eastAsia="宋体" w:cs="Times New Roman"/>
                <w:sz w:val="18"/>
                <w:szCs w:val="18"/>
              </w:rPr>
              <w:t>6</w:t>
            </w:r>
          </w:p>
        </w:tc>
        <w:tc>
          <w:tcPr>
            <w:tcW w:w="2815" w:type="pct"/>
            <w:gridSpan w:val="2"/>
            <w:noWrap/>
            <w:vAlign w:val="center"/>
          </w:tcPr>
          <w:p>
            <w:pPr>
              <w:snapToGrid w:val="0"/>
              <w:spacing w:line="360" w:lineRule="auto"/>
              <w:jc w:val="center"/>
              <w:rPr>
                <w:rFonts w:ascii="宋体" w:hAnsi="宋体" w:eastAsia="宋体" w:cs="Times New Roman"/>
                <w:sz w:val="18"/>
                <w:szCs w:val="18"/>
              </w:rPr>
            </w:pPr>
            <w:r>
              <w:rPr>
                <w:rFonts w:hint="eastAsia" w:ascii="宋体" w:hAnsi="宋体" w:eastAsia="宋体" w:cs="Times New Roman"/>
                <w:sz w:val="18"/>
                <w:szCs w:val="18"/>
              </w:rPr>
              <w:t>坚固性</w:t>
            </w:r>
          </w:p>
        </w:tc>
        <w:tc>
          <w:tcPr>
            <w:tcW w:w="1389" w:type="pct"/>
            <w:noWrap/>
            <w:vAlign w:val="center"/>
          </w:tcPr>
          <w:p>
            <w:pPr>
              <w:snapToGrid w:val="0"/>
              <w:spacing w:line="360" w:lineRule="auto"/>
              <w:jc w:val="center"/>
              <w:rPr>
                <w:rFonts w:ascii="宋体" w:hAnsi="宋体" w:eastAsia="宋体" w:cs="Times New Roman"/>
                <w:sz w:val="18"/>
                <w:szCs w:val="18"/>
              </w:rPr>
            </w:pPr>
            <w:r>
              <w:rPr>
                <w:rFonts w:ascii="宋体" w:hAnsi="宋体" w:eastAsia="宋体" w:cs="Times New Roman"/>
                <w:sz w:val="18"/>
                <w:szCs w:val="18"/>
              </w:rPr>
              <w:t>20</w:t>
            </w:r>
            <w:r>
              <w:rPr>
                <w:rFonts w:hint="eastAsia" w:ascii="宋体" w:hAnsi="宋体" w:eastAsia="宋体" w:cs="Times New Roman"/>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94" w:type="pct"/>
            <w:noWrap/>
            <w:vAlign w:val="center"/>
          </w:tcPr>
          <w:p>
            <w:pPr>
              <w:snapToGrid w:val="0"/>
              <w:spacing w:line="360" w:lineRule="auto"/>
              <w:jc w:val="center"/>
              <w:rPr>
                <w:rFonts w:ascii="宋体" w:hAnsi="宋体" w:eastAsia="宋体" w:cs="Times New Roman"/>
                <w:sz w:val="18"/>
                <w:szCs w:val="18"/>
              </w:rPr>
            </w:pPr>
            <w:r>
              <w:rPr>
                <w:rFonts w:hint="eastAsia" w:ascii="宋体" w:hAnsi="宋体" w:eastAsia="宋体" w:cs="Times New Roman"/>
                <w:sz w:val="18"/>
                <w:szCs w:val="18"/>
              </w:rPr>
              <w:t>7</w:t>
            </w:r>
          </w:p>
        </w:tc>
        <w:tc>
          <w:tcPr>
            <w:tcW w:w="2815" w:type="pct"/>
            <w:gridSpan w:val="2"/>
            <w:noWrap/>
            <w:vAlign w:val="center"/>
          </w:tcPr>
          <w:p>
            <w:pPr>
              <w:snapToGrid w:val="0"/>
              <w:spacing w:line="360" w:lineRule="auto"/>
              <w:jc w:val="center"/>
              <w:rPr>
                <w:rFonts w:ascii="宋体" w:hAnsi="宋体" w:eastAsia="宋体" w:cs="Times New Roman"/>
                <w:sz w:val="18"/>
                <w:szCs w:val="18"/>
              </w:rPr>
            </w:pPr>
            <w:r>
              <w:rPr>
                <w:rFonts w:hint="eastAsia" w:ascii="宋体" w:hAnsi="宋体" w:eastAsia="宋体" w:cs="Times New Roman"/>
                <w:sz w:val="18"/>
                <w:szCs w:val="18"/>
              </w:rPr>
              <w:t>放射性</w:t>
            </w:r>
          </w:p>
        </w:tc>
        <w:tc>
          <w:tcPr>
            <w:tcW w:w="1389" w:type="pct"/>
            <w:noWrap/>
            <w:vAlign w:val="center"/>
          </w:tcPr>
          <w:p>
            <w:pPr>
              <w:snapToGrid w:val="0"/>
              <w:spacing w:line="360" w:lineRule="auto"/>
              <w:jc w:val="center"/>
              <w:rPr>
                <w:rFonts w:ascii="宋体" w:hAnsi="宋体" w:eastAsia="宋体" w:cs="Times New Roman"/>
                <w:sz w:val="18"/>
                <w:szCs w:val="18"/>
              </w:rPr>
            </w:pPr>
            <w:r>
              <w:rPr>
                <w:rFonts w:ascii="宋体" w:hAnsi="宋体" w:eastAsia="宋体" w:cs="Times New Roman"/>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94" w:type="pct"/>
            <w:noWrap/>
            <w:vAlign w:val="center"/>
          </w:tcPr>
          <w:p>
            <w:pPr>
              <w:snapToGrid w:val="0"/>
              <w:spacing w:line="360" w:lineRule="auto"/>
              <w:jc w:val="center"/>
              <w:rPr>
                <w:rFonts w:ascii="宋体" w:hAnsi="宋体" w:eastAsia="宋体" w:cs="Times New Roman"/>
                <w:sz w:val="18"/>
                <w:szCs w:val="18"/>
              </w:rPr>
            </w:pPr>
            <w:r>
              <w:rPr>
                <w:rFonts w:hint="eastAsia" w:ascii="宋体" w:hAnsi="宋体" w:eastAsia="宋体" w:cs="Times New Roman"/>
                <w:sz w:val="18"/>
                <w:szCs w:val="18"/>
              </w:rPr>
              <w:t>8</w:t>
            </w:r>
          </w:p>
        </w:tc>
        <w:tc>
          <w:tcPr>
            <w:tcW w:w="2815" w:type="pct"/>
            <w:gridSpan w:val="2"/>
            <w:noWrap/>
            <w:vAlign w:val="center"/>
          </w:tcPr>
          <w:p>
            <w:pPr>
              <w:snapToGrid w:val="0"/>
              <w:spacing w:line="360" w:lineRule="auto"/>
              <w:jc w:val="center"/>
              <w:rPr>
                <w:rFonts w:ascii="宋体" w:hAnsi="宋体" w:eastAsia="宋体" w:cs="Times New Roman"/>
                <w:sz w:val="18"/>
                <w:szCs w:val="18"/>
              </w:rPr>
            </w:pPr>
            <w:r>
              <w:rPr>
                <w:rFonts w:hint="eastAsia" w:ascii="宋体" w:hAnsi="宋体" w:eastAsia="宋体" w:cs="Times New Roman"/>
                <w:sz w:val="18"/>
                <w:szCs w:val="18"/>
              </w:rPr>
              <w:t>重金属含量及可浸出重金属含量</w:t>
            </w:r>
          </w:p>
        </w:tc>
        <w:tc>
          <w:tcPr>
            <w:tcW w:w="1389" w:type="pct"/>
            <w:noWrap/>
            <w:vAlign w:val="center"/>
          </w:tcPr>
          <w:p>
            <w:pPr>
              <w:snapToGrid w:val="0"/>
              <w:spacing w:line="360" w:lineRule="auto"/>
              <w:jc w:val="center"/>
              <w:rPr>
                <w:rFonts w:ascii="宋体" w:hAnsi="宋体" w:eastAsia="宋体" w:cs="Times New Roman"/>
                <w:sz w:val="18"/>
                <w:szCs w:val="18"/>
              </w:rPr>
            </w:pPr>
            <w:r>
              <w:rPr>
                <w:rFonts w:hint="eastAsia" w:ascii="宋体" w:hAnsi="宋体" w:eastAsia="宋体" w:cs="Times New Roman"/>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94" w:type="pct"/>
            <w:noWrap/>
            <w:vAlign w:val="center"/>
          </w:tcPr>
          <w:p>
            <w:pPr>
              <w:snapToGrid w:val="0"/>
              <w:spacing w:line="360" w:lineRule="auto"/>
              <w:jc w:val="center"/>
              <w:rPr>
                <w:rFonts w:ascii="宋体" w:hAnsi="宋体" w:eastAsia="宋体" w:cs="Times New Roman"/>
                <w:sz w:val="18"/>
                <w:szCs w:val="18"/>
              </w:rPr>
            </w:pPr>
            <w:r>
              <w:rPr>
                <w:rFonts w:hint="eastAsia" w:ascii="宋体" w:hAnsi="宋体" w:eastAsia="宋体" w:cs="Times New Roman"/>
                <w:sz w:val="18"/>
                <w:szCs w:val="18"/>
              </w:rPr>
              <w:t>9</w:t>
            </w:r>
          </w:p>
        </w:tc>
        <w:tc>
          <w:tcPr>
            <w:tcW w:w="2815" w:type="pct"/>
            <w:gridSpan w:val="2"/>
            <w:noWrap/>
            <w:vAlign w:val="center"/>
          </w:tcPr>
          <w:p>
            <w:pPr>
              <w:snapToGrid w:val="0"/>
              <w:spacing w:line="360" w:lineRule="auto"/>
              <w:jc w:val="center"/>
              <w:rPr>
                <w:rFonts w:ascii="宋体" w:hAnsi="宋体" w:eastAsia="宋体" w:cs="Times New Roman"/>
                <w:sz w:val="18"/>
                <w:szCs w:val="18"/>
              </w:rPr>
            </w:pPr>
            <w:r>
              <w:rPr>
                <w:rFonts w:hint="eastAsia" w:ascii="宋体" w:hAnsi="宋体" w:eastAsia="宋体" w:cs="Times New Roman"/>
                <w:sz w:val="18"/>
                <w:szCs w:val="18"/>
              </w:rPr>
              <w:t>碱集料反应</w:t>
            </w:r>
          </w:p>
        </w:tc>
        <w:tc>
          <w:tcPr>
            <w:tcW w:w="1389" w:type="pct"/>
            <w:noWrap/>
            <w:vAlign w:val="center"/>
          </w:tcPr>
          <w:p>
            <w:pPr>
              <w:snapToGrid w:val="0"/>
              <w:spacing w:line="360" w:lineRule="auto"/>
              <w:jc w:val="center"/>
              <w:rPr>
                <w:rFonts w:ascii="宋体" w:hAnsi="宋体" w:eastAsia="宋体" w:cs="Times New Roman"/>
                <w:sz w:val="18"/>
                <w:szCs w:val="18"/>
              </w:rPr>
            </w:pPr>
            <w:r>
              <w:rPr>
                <w:rFonts w:ascii="宋体" w:hAnsi="宋体" w:eastAsia="宋体" w:cs="Times New Roman"/>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94" w:type="pct"/>
            <w:noWrap/>
            <w:vAlign w:val="center"/>
          </w:tcPr>
          <w:p>
            <w:pPr>
              <w:snapToGrid w:val="0"/>
              <w:spacing w:line="360" w:lineRule="auto"/>
              <w:jc w:val="center"/>
              <w:rPr>
                <w:rFonts w:ascii="宋体" w:hAnsi="宋体" w:eastAsia="宋体" w:cs="Times New Roman"/>
                <w:sz w:val="18"/>
                <w:szCs w:val="18"/>
              </w:rPr>
            </w:pPr>
            <w:r>
              <w:rPr>
                <w:rFonts w:hint="eastAsia" w:ascii="宋体" w:hAnsi="宋体" w:eastAsia="宋体" w:cs="Times New Roman"/>
                <w:sz w:val="18"/>
                <w:szCs w:val="18"/>
              </w:rPr>
              <w:t>10</w:t>
            </w:r>
          </w:p>
        </w:tc>
        <w:tc>
          <w:tcPr>
            <w:tcW w:w="2815" w:type="pct"/>
            <w:gridSpan w:val="2"/>
            <w:noWrap/>
            <w:vAlign w:val="center"/>
          </w:tcPr>
          <w:p>
            <w:pPr>
              <w:snapToGrid w:val="0"/>
              <w:spacing w:line="360" w:lineRule="auto"/>
              <w:jc w:val="center"/>
              <w:rPr>
                <w:rFonts w:ascii="宋体" w:hAnsi="宋体" w:eastAsia="宋体" w:cs="Times New Roman"/>
                <w:sz w:val="18"/>
                <w:szCs w:val="18"/>
              </w:rPr>
            </w:pPr>
            <w:r>
              <w:rPr>
                <w:rFonts w:hint="eastAsia" w:ascii="宋体" w:hAnsi="宋体" w:eastAsia="宋体" w:cs="Times New Roman"/>
                <w:sz w:val="18"/>
                <w:szCs w:val="18"/>
              </w:rPr>
              <w:t>含水率</w:t>
            </w:r>
          </w:p>
        </w:tc>
        <w:tc>
          <w:tcPr>
            <w:tcW w:w="1389" w:type="pct"/>
            <w:noWrap/>
            <w:vAlign w:val="center"/>
          </w:tcPr>
          <w:p>
            <w:pPr>
              <w:snapToGrid w:val="0"/>
              <w:spacing w:line="360" w:lineRule="auto"/>
              <w:jc w:val="center"/>
              <w:rPr>
                <w:rFonts w:ascii="宋体" w:hAnsi="宋体" w:eastAsia="宋体" w:cs="Times New Roman"/>
                <w:sz w:val="18"/>
                <w:szCs w:val="18"/>
              </w:rPr>
            </w:pPr>
            <w:r>
              <w:rPr>
                <w:rFonts w:ascii="宋体" w:hAnsi="宋体" w:eastAsia="宋体" w:cs="Times New Roman"/>
                <w:sz w:val="18"/>
                <w:szCs w:val="18"/>
              </w:rPr>
              <w:t>4.4</w:t>
            </w:r>
          </w:p>
        </w:tc>
      </w:tr>
    </w:tbl>
    <w:p>
      <w:pPr>
        <w:rPr>
          <w:szCs w:val="21"/>
        </w:rPr>
      </w:pPr>
      <w:r>
        <w:rPr>
          <w:szCs w:val="21"/>
        </w:rPr>
        <w:t>不同试验取样数量主要根据各检验项目的试验需要来进行确定，确保测试结果具有代表性。</w:t>
      </w:r>
    </w:p>
    <w:p>
      <w:pPr>
        <w:rPr>
          <w:szCs w:val="21"/>
        </w:rPr>
      </w:pPr>
      <w:r>
        <w:rPr>
          <w:szCs w:val="21"/>
        </w:rPr>
        <w:t>2.2.5.</w:t>
      </w:r>
      <w:r>
        <w:rPr>
          <w:rFonts w:hint="eastAsia"/>
          <w:szCs w:val="21"/>
          <w:lang w:val="en-US" w:eastAsia="zh-CN"/>
        </w:rPr>
        <w:t>11</w:t>
      </w:r>
      <w:r>
        <w:rPr>
          <w:szCs w:val="21"/>
        </w:rPr>
        <w:t xml:space="preserve"> 试验环境和试验用筛</w:t>
      </w:r>
    </w:p>
    <w:p>
      <w:pPr>
        <w:rPr>
          <w:rFonts w:hint="eastAsia"/>
        </w:rPr>
      </w:pPr>
      <w:r>
        <w:rPr>
          <w:szCs w:val="21"/>
        </w:rPr>
        <w:t>本标准规定</w:t>
      </w:r>
      <w:r>
        <w:rPr>
          <w:rFonts w:hint="eastAsia"/>
          <w:szCs w:val="21"/>
        </w:rPr>
        <w:t>铜尾矿砂</w:t>
      </w:r>
      <w:r>
        <w:rPr>
          <w:szCs w:val="21"/>
        </w:rPr>
        <w:t>相关性能试验的试验环境和所需用的试验筛均应符合现行国家标准GB/T 14684的规定，这主要是由于</w:t>
      </w:r>
      <w:r>
        <w:rPr>
          <w:rFonts w:hint="eastAsia"/>
          <w:szCs w:val="21"/>
        </w:rPr>
        <w:t>铜尾矿砂</w:t>
      </w:r>
      <w:r>
        <w:rPr>
          <w:szCs w:val="21"/>
        </w:rPr>
        <w:t>与天然砂、机制砂所需的环境和设备并无特殊之处。</w:t>
      </w:r>
    </w:p>
    <w:p>
      <w:pPr>
        <w:rPr>
          <w:color w:val="4874CB" w:themeColor="accent1"/>
        </w:rPr>
      </w:pPr>
      <w:r>
        <w:t>以上主要试验方法与现行国家标准《建设用砂》GB/T 14684-2011一致，保证标准中技术指标测试的准确性、科学性与可行性。</w:t>
      </w:r>
    </w:p>
    <w:p>
      <w:pPr>
        <w:pStyle w:val="18"/>
        <w:numPr>
          <w:ilvl w:val="0"/>
          <w:numId w:val="0"/>
        </w:numP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auto"/>
          <w:kern w:val="0"/>
          <w:sz w:val="24"/>
          <w:szCs w:val="24"/>
        </w:rPr>
        <w:t xml:space="preserve">2.2.6 </w:t>
      </w:r>
      <w:bookmarkEnd w:id="24"/>
      <w:bookmarkEnd w:id="25"/>
      <w:bookmarkStart w:id="26" w:name="_Toc10645684"/>
      <w:r>
        <w:rPr>
          <w:rFonts w:hint="eastAsia" w:asciiTheme="minorEastAsia" w:hAnsiTheme="minorEastAsia" w:eastAsiaTheme="minorEastAsia" w:cstheme="minorEastAsia"/>
          <w:b/>
          <w:bCs/>
          <w:color w:val="000000"/>
          <w:sz w:val="24"/>
          <w:szCs w:val="24"/>
        </w:rPr>
        <w:t xml:space="preserve"> 检验规则</w:t>
      </w:r>
    </w:p>
    <w:p>
      <w:pPr>
        <w:pStyle w:val="15"/>
        <w:numPr>
          <w:ilvl w:val="0"/>
          <w:numId w:val="0"/>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2.2.6.1</w:t>
      </w:r>
      <w:r>
        <w:rPr>
          <w:rFonts w:hint="eastAsia" w:asciiTheme="minorEastAsia" w:hAnsiTheme="minorEastAsia" w:eastAsiaTheme="minorEastAsia" w:cstheme="minorEastAsia"/>
          <w:sz w:val="24"/>
          <w:szCs w:val="24"/>
        </w:rPr>
        <w:t>组批规则</w:t>
      </w:r>
    </w:p>
    <w:p>
      <w:pPr>
        <w:pStyle w:val="16"/>
        <w:ind w:firstLine="42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产品应成批提交验收,每批应为同一批规格原料、相同工艺生产。</w:t>
      </w:r>
      <w:r>
        <w:rPr>
          <w:rFonts w:hint="eastAsia" w:asciiTheme="minorEastAsia" w:hAnsiTheme="minorEastAsia" w:eastAsiaTheme="minorEastAsia" w:cstheme="minorEastAsia"/>
          <w:kern w:val="2"/>
          <w:sz w:val="24"/>
          <w:szCs w:val="24"/>
        </w:rPr>
        <w:t>按同规格产品每1000t为一个检验批次，不足1000t的按一个批次记。</w:t>
      </w:r>
    </w:p>
    <w:p>
      <w:pPr>
        <w:pStyle w:val="15"/>
        <w:numPr>
          <w:ilvl w:val="0"/>
          <w:numId w:val="0"/>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2.2.6.2</w:t>
      </w:r>
      <w:r>
        <w:rPr>
          <w:rFonts w:hint="eastAsia" w:asciiTheme="minorEastAsia" w:hAnsiTheme="minorEastAsia" w:eastAsiaTheme="minorEastAsia" w:cstheme="minorEastAsia"/>
          <w:sz w:val="24"/>
          <w:szCs w:val="24"/>
        </w:rPr>
        <w:t>出厂检验</w:t>
      </w:r>
    </w:p>
    <w:p>
      <w:pPr>
        <w:ind w:firstLine="4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产品应按本文件规定进行铜尾矿砂生产过程取样进行检验，出厂检验项目为颗粒级配、</w:t>
      </w:r>
      <w:r>
        <w:rPr>
          <w:rFonts w:hint="eastAsia" w:asciiTheme="minorEastAsia" w:hAnsiTheme="minorEastAsia" w:eastAsiaTheme="minorEastAsia" w:cstheme="minorEastAsia"/>
          <w:color w:val="000000"/>
          <w:kern w:val="0"/>
          <w:sz w:val="24"/>
          <w:szCs w:val="24"/>
        </w:rPr>
        <w:t>SiO</w:t>
      </w:r>
      <w:r>
        <w:rPr>
          <w:rFonts w:hint="eastAsia" w:asciiTheme="minorEastAsia" w:hAnsiTheme="minorEastAsia" w:eastAsiaTheme="minorEastAsia" w:cstheme="minorEastAsia"/>
          <w:color w:val="000000"/>
          <w:kern w:val="0"/>
          <w:sz w:val="24"/>
          <w:szCs w:val="24"/>
          <w:vertAlign w:val="subscript"/>
        </w:rPr>
        <w:t>2</w:t>
      </w:r>
      <w:r>
        <w:rPr>
          <w:rFonts w:hint="eastAsia" w:asciiTheme="minorEastAsia" w:hAnsiTheme="minorEastAsia" w:eastAsiaTheme="minorEastAsia" w:cstheme="minorEastAsia"/>
          <w:snapToGrid w:val="0"/>
          <w:color w:val="000000"/>
          <w:sz w:val="24"/>
          <w:szCs w:val="24"/>
          <w:lang w:bidi="ar"/>
        </w:rPr>
        <w:t>质量分数、</w:t>
      </w:r>
      <w:r>
        <w:rPr>
          <w:rFonts w:hint="eastAsia" w:asciiTheme="minorEastAsia" w:hAnsiTheme="minorEastAsia" w:eastAsiaTheme="minorEastAsia" w:cstheme="minorEastAsia"/>
          <w:sz w:val="24"/>
          <w:szCs w:val="24"/>
        </w:rPr>
        <w:t>亚甲蓝值、硫化物及硫酸盐含量。</w:t>
      </w:r>
    </w:p>
    <w:p>
      <w:pPr>
        <w:pStyle w:val="15"/>
        <w:numPr>
          <w:ilvl w:val="0"/>
          <w:numId w:val="0"/>
        </w:numPr>
        <w:jc w:val="both"/>
        <w:rPr>
          <w:rFonts w:hint="eastAsia" w:asciiTheme="minorEastAsia" w:hAnsiTheme="minorEastAsia" w:eastAsiaTheme="minorEastAsia" w:cstheme="minorEastAsia"/>
          <w:b/>
          <w:color w:val="000000"/>
          <w:sz w:val="24"/>
          <w:szCs w:val="24"/>
        </w:rPr>
      </w:pPr>
      <w:r>
        <w:rPr>
          <w:rStyle w:val="31"/>
          <w:rFonts w:hint="eastAsia" w:asciiTheme="minorEastAsia" w:hAnsiTheme="minorEastAsia" w:eastAsiaTheme="minorEastAsia" w:cstheme="minorEastAsia"/>
          <w:sz w:val="24"/>
          <w:szCs w:val="24"/>
          <w:lang w:val="en-US" w:eastAsia="zh-CN"/>
        </w:rPr>
        <w:t>2.2.6.3</w:t>
      </w:r>
      <w:r>
        <w:rPr>
          <w:rStyle w:val="31"/>
          <w:rFonts w:hint="eastAsia" w:asciiTheme="minorEastAsia" w:hAnsiTheme="minorEastAsia" w:eastAsiaTheme="minorEastAsia" w:cstheme="minorEastAsia"/>
          <w:sz w:val="24"/>
          <w:szCs w:val="24"/>
        </w:rPr>
        <w:t>检验结果判定</w:t>
      </w:r>
      <w:r>
        <w:rPr>
          <w:rFonts w:hint="eastAsia" w:asciiTheme="minorEastAsia" w:hAnsiTheme="minorEastAsia" w:eastAsiaTheme="minorEastAsia" w:cstheme="minorEastAsia"/>
          <w:bCs/>
          <w:color w:val="000000"/>
          <w:sz w:val="24"/>
          <w:szCs w:val="24"/>
        </w:rPr>
        <w:t xml:space="preserve"> </w:t>
      </w:r>
      <w:r>
        <w:rPr>
          <w:rFonts w:hint="eastAsia" w:asciiTheme="minorEastAsia" w:hAnsiTheme="minorEastAsia" w:eastAsiaTheme="minorEastAsia" w:cstheme="minorEastAsia"/>
          <w:b/>
          <w:color w:val="000000"/>
          <w:sz w:val="24"/>
          <w:szCs w:val="24"/>
        </w:rPr>
        <w:t xml:space="preserve">   </w:t>
      </w:r>
    </w:p>
    <w:p>
      <w:pPr>
        <w:pStyle w:val="16"/>
        <w:tabs>
          <w:tab w:val="center" w:pos="4201"/>
          <w:tab w:val="right" w:leader="dot" w:pos="9298"/>
        </w:tabs>
        <w:ind w:firstLine="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2.2.6.3.1</w:t>
      </w:r>
      <w:r>
        <w:rPr>
          <w:rFonts w:hint="eastAsia" w:asciiTheme="minorEastAsia" w:hAnsiTheme="minorEastAsia" w:eastAsiaTheme="minorEastAsia" w:cstheme="minorEastAsia"/>
          <w:color w:val="000000"/>
          <w:sz w:val="24"/>
          <w:szCs w:val="24"/>
        </w:rPr>
        <w:t>检</w:t>
      </w:r>
      <w:r>
        <w:rPr>
          <w:rFonts w:hint="eastAsia" w:asciiTheme="minorEastAsia" w:hAnsiTheme="minorEastAsia" w:eastAsiaTheme="minorEastAsia" w:cstheme="minorEastAsia"/>
          <w:kern w:val="2"/>
          <w:sz w:val="24"/>
          <w:szCs w:val="24"/>
        </w:rPr>
        <w:t>验结果的数值修约和判定按GB/T 8170规定。</w:t>
      </w:r>
    </w:p>
    <w:p>
      <w:pPr>
        <w:tabs>
          <w:tab w:val="left" w:pos="600"/>
        </w:tabs>
        <w:adjustRightInd w:val="0"/>
        <w:spacing w:line="320" w:lineRule="exact"/>
        <w:ind w:left="0" w:leftChars="0" w:firstLine="0" w:firstLineChars="0"/>
        <w:rPr>
          <w:rFonts w:hint="eastAsia" w:asciiTheme="minorEastAsia" w:hAnsiTheme="minorEastAsia" w:eastAsiaTheme="minorEastAsia" w:cstheme="minorEastAsia"/>
          <w:color w:val="000000"/>
          <w:sz w:val="24"/>
          <w:szCs w:val="24"/>
        </w:rPr>
      </w:pPr>
      <w:r>
        <w:rPr>
          <w:rStyle w:val="31"/>
          <w:rFonts w:hint="eastAsia" w:asciiTheme="minorEastAsia" w:hAnsiTheme="minorEastAsia" w:cstheme="minorEastAsia"/>
          <w:sz w:val="24"/>
          <w:szCs w:val="24"/>
          <w:lang w:val="en-US" w:eastAsia="zh-CN"/>
        </w:rPr>
        <w:t>2.2.6.3.2</w:t>
      </w:r>
      <w:r>
        <w:rPr>
          <w:rFonts w:hint="eastAsia" w:asciiTheme="minorEastAsia" w:hAnsiTheme="minorEastAsia" w:eastAsiaTheme="minorEastAsia" w:cstheme="minorEastAsia"/>
          <w:color w:val="000000"/>
          <w:sz w:val="24"/>
          <w:szCs w:val="24"/>
        </w:rPr>
        <w:t xml:space="preserve"> 检验结果如与本标准规定不符时，应重新取双倍样品量进行检验。复检结果仍有一项不符时，则判定该批为不合格品。</w:t>
      </w:r>
    </w:p>
    <w:p>
      <w:pPr>
        <w:spacing w:line="320" w:lineRule="exact"/>
        <w:ind w:left="0" w:leftChars="0" w:firstLine="0" w:firstLineChars="0"/>
        <w:rPr>
          <w:rFonts w:hint="eastAsia" w:asciiTheme="minorEastAsia" w:hAnsiTheme="minorEastAsia" w:eastAsiaTheme="minorEastAsia" w:cstheme="minorEastAsia"/>
          <w:b/>
          <w:bCs/>
          <w:color w:val="000000"/>
          <w:sz w:val="24"/>
          <w:szCs w:val="24"/>
        </w:rPr>
      </w:pPr>
      <w:r>
        <w:rPr>
          <w:rStyle w:val="48"/>
          <w:rFonts w:hint="eastAsia" w:asciiTheme="minorEastAsia" w:hAnsiTheme="minorEastAsia" w:cstheme="minorEastAsia"/>
          <w:sz w:val="24"/>
          <w:szCs w:val="24"/>
          <w:lang w:val="en-US" w:eastAsia="zh-CN"/>
        </w:rPr>
        <w:t>2.2.6.3.3</w:t>
      </w:r>
      <w:r>
        <w:rPr>
          <w:rFonts w:hint="eastAsia" w:asciiTheme="minorEastAsia" w:hAnsiTheme="minorEastAsia" w:eastAsiaTheme="minorEastAsia" w:cstheme="minorEastAsia"/>
          <w:color w:val="000000"/>
          <w:sz w:val="24"/>
          <w:szCs w:val="24"/>
        </w:rPr>
        <w:t>需方可对收到的产品进行质量检验，如检验结果与本文件规定不符时，可在收到产品之日起10个工作日内向供方提出，由供需双方协商解决。若需仲裁，则仲裁取样方法和仲裁机构由双方共同确认。</w:t>
      </w:r>
    </w:p>
    <w:p>
      <w:pPr>
        <w:pStyle w:val="15"/>
        <w:numPr>
          <w:ilvl w:val="0"/>
          <w:numId w:val="0"/>
        </w:num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2.2.7</w:t>
      </w:r>
      <w:r>
        <w:rPr>
          <w:rFonts w:hint="eastAsia" w:asciiTheme="minorEastAsia" w:hAnsiTheme="minorEastAsia" w:eastAsiaTheme="minorEastAsia" w:cstheme="minorEastAsia"/>
          <w:b/>
          <w:bCs/>
          <w:sz w:val="24"/>
          <w:szCs w:val="24"/>
        </w:rPr>
        <w:t>检查与验收</w:t>
      </w:r>
    </w:p>
    <w:p>
      <w:pPr>
        <w:pStyle w:val="16"/>
        <w:tabs>
          <w:tab w:val="center" w:pos="4201"/>
          <w:tab w:val="right" w:leader="dot" w:pos="9298"/>
        </w:tabs>
        <w:spacing w:line="320" w:lineRule="exact"/>
        <w:ind w:firstLine="0" w:firstLineChars="0"/>
        <w:rPr>
          <w:rStyle w:val="31"/>
          <w:rFonts w:hint="eastAsia" w:asciiTheme="minorEastAsia" w:hAnsiTheme="minorEastAsia" w:eastAsiaTheme="minorEastAsia" w:cstheme="minorEastAsia"/>
          <w:sz w:val="24"/>
          <w:szCs w:val="24"/>
        </w:rPr>
      </w:pPr>
      <w:r>
        <w:rPr>
          <w:rStyle w:val="31"/>
          <w:rFonts w:hint="eastAsia" w:asciiTheme="minorEastAsia" w:hAnsiTheme="minorEastAsia" w:eastAsiaTheme="minorEastAsia" w:cstheme="minorEastAsia"/>
          <w:sz w:val="24"/>
          <w:szCs w:val="24"/>
          <w:lang w:val="en-US" w:eastAsia="zh-CN"/>
        </w:rPr>
        <w:t>2.2.7.1</w:t>
      </w:r>
      <w:r>
        <w:rPr>
          <w:rStyle w:val="31"/>
          <w:rFonts w:hint="eastAsia" w:asciiTheme="minorEastAsia" w:hAnsiTheme="minorEastAsia" w:eastAsiaTheme="minorEastAsia" w:cstheme="minorEastAsia"/>
          <w:sz w:val="24"/>
          <w:szCs w:val="24"/>
        </w:rPr>
        <w:t>随行文件</w:t>
      </w:r>
    </w:p>
    <w:p>
      <w:pPr>
        <w:pStyle w:val="16"/>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产品出厂时，生产厂应提供产品检验合格证，其内容包括：</w:t>
      </w:r>
    </w:p>
    <w:p>
      <w:pPr>
        <w:numPr>
          <w:ilvl w:val="0"/>
          <w:numId w:val="4"/>
        </w:num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产品的规格和生产厂信息；</w:t>
      </w:r>
    </w:p>
    <w:p>
      <w:pPr>
        <w:numPr>
          <w:ilvl w:val="0"/>
          <w:numId w:val="4"/>
        </w:num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批量编号及供货数量；</w:t>
      </w:r>
    </w:p>
    <w:p>
      <w:pPr>
        <w:numPr>
          <w:ilvl w:val="0"/>
          <w:numId w:val="4"/>
        </w:num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出厂检验结果、日期及执行标准编号；</w:t>
      </w:r>
    </w:p>
    <w:p>
      <w:pPr>
        <w:numPr>
          <w:ilvl w:val="0"/>
          <w:numId w:val="4"/>
        </w:num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合格证编号及发放日期；</w:t>
      </w:r>
    </w:p>
    <w:p>
      <w:pPr>
        <w:numPr>
          <w:ilvl w:val="0"/>
          <w:numId w:val="4"/>
        </w:num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检验部门及检验人员签章。</w:t>
      </w:r>
    </w:p>
    <w:p>
      <w:pPr>
        <w:pStyle w:val="16"/>
        <w:tabs>
          <w:tab w:val="center" w:pos="4201"/>
          <w:tab w:val="right" w:leader="dot" w:pos="9298"/>
        </w:tabs>
        <w:spacing w:line="320" w:lineRule="exact"/>
        <w:ind w:firstLine="0" w:firstLineChars="0"/>
        <w:rPr>
          <w:rStyle w:val="31"/>
          <w:rFonts w:hint="eastAsia" w:asciiTheme="minorEastAsia" w:hAnsiTheme="minorEastAsia" w:eastAsiaTheme="minorEastAsia" w:cstheme="minorEastAsia"/>
          <w:sz w:val="24"/>
          <w:szCs w:val="24"/>
        </w:rPr>
      </w:pPr>
      <w:r>
        <w:rPr>
          <w:rStyle w:val="31"/>
          <w:rFonts w:hint="eastAsia" w:asciiTheme="minorEastAsia" w:hAnsiTheme="minorEastAsia" w:eastAsiaTheme="minorEastAsia" w:cstheme="minorEastAsia"/>
          <w:sz w:val="24"/>
          <w:szCs w:val="24"/>
          <w:lang w:val="en-US" w:eastAsia="zh-CN"/>
        </w:rPr>
        <w:t>2.2.7.2</w:t>
      </w:r>
      <w:r>
        <w:rPr>
          <w:rStyle w:val="31"/>
          <w:rFonts w:hint="eastAsia" w:asciiTheme="minorEastAsia" w:hAnsiTheme="minorEastAsia" w:eastAsiaTheme="minorEastAsia" w:cstheme="minorEastAsia"/>
          <w:sz w:val="24"/>
          <w:szCs w:val="24"/>
        </w:rPr>
        <w:t>运输和贮存</w:t>
      </w:r>
    </w:p>
    <w:p>
      <w:pPr>
        <w:pStyle w:val="16"/>
        <w:ind w:firstLine="420"/>
        <w:rPr>
          <w:color w:val="000000"/>
        </w:rPr>
      </w:pPr>
      <w:r>
        <w:rPr>
          <w:rFonts w:hint="eastAsia" w:asciiTheme="minorEastAsia" w:hAnsiTheme="minorEastAsia" w:eastAsiaTheme="minorEastAsia" w:cstheme="minorEastAsia"/>
          <w:sz w:val="24"/>
          <w:szCs w:val="24"/>
        </w:rPr>
        <w:t>铜尾矿砂应按规格类别单独堆放和运输，防止人为碾压、混合及污染产品。运输时，应有防洒落和粉尘飞扬措施，严禁污染环境。</w:t>
      </w:r>
      <w:bookmarkEnd w:id="26"/>
    </w:p>
    <w:p>
      <w:pPr>
        <w:pStyle w:val="2"/>
        <w:keepNext/>
        <w:keepLines/>
        <w:spacing w:before="0" w:beforeAutospacing="0" w:after="0" w:afterAutospacing="0"/>
        <w:ind w:firstLine="0" w:firstLineChars="0"/>
        <w:jc w:val="both"/>
        <w:rPr>
          <w:rFonts w:ascii="Times New Roman" w:hAnsi="Times New Roman"/>
          <w:bCs w:val="0"/>
          <w:kern w:val="0"/>
          <w:sz w:val="28"/>
          <w:szCs w:val="28"/>
        </w:rPr>
      </w:pPr>
      <w:bookmarkStart w:id="27" w:name="_Toc10182"/>
      <w:bookmarkStart w:id="28" w:name="_Toc10645686"/>
      <w:r>
        <w:rPr>
          <w:rFonts w:hint="eastAsia" w:ascii="Times New Roman" w:hAnsi="Times New Roman"/>
          <w:bCs w:val="0"/>
          <w:kern w:val="0"/>
          <w:sz w:val="28"/>
          <w:szCs w:val="28"/>
          <w:lang w:val="en-US" w:eastAsia="zh-CN"/>
        </w:rPr>
        <w:t>三、</w:t>
      </w:r>
      <w:r>
        <w:rPr>
          <w:rFonts w:ascii="Times New Roman" w:hAnsi="Times New Roman"/>
          <w:bCs w:val="0"/>
          <w:kern w:val="0"/>
          <w:sz w:val="28"/>
          <w:szCs w:val="28"/>
        </w:rPr>
        <w:t>主要试验验证情况分析与指标确定</w:t>
      </w:r>
      <w:bookmarkEnd w:id="27"/>
      <w:bookmarkEnd w:id="28"/>
    </w:p>
    <w:p>
      <w:pPr>
        <w:ind w:firstLine="480"/>
        <w:rPr>
          <w:sz w:val="24"/>
        </w:rPr>
      </w:pPr>
      <w:bookmarkStart w:id="29" w:name="_Toc11877302"/>
      <w:r>
        <w:rPr>
          <w:sz w:val="24"/>
        </w:rPr>
        <w:t>为保证规程项目要求的合理性，编制工作组对铜尾矿进行了广泛的样品收集，并进行了大量的验证试验。试验数据如下文所示。</w:t>
      </w:r>
    </w:p>
    <w:p>
      <w:pPr>
        <w:pStyle w:val="3"/>
        <w:widowControl/>
        <w:jc w:val="both"/>
        <w:rPr>
          <w:rFonts w:hint="default"/>
          <w:kern w:val="0"/>
          <w:szCs w:val="24"/>
          <w:lang w:val="en-US"/>
        </w:rPr>
      </w:pPr>
      <w:bookmarkStart w:id="30" w:name="_Toc13578486"/>
      <w:bookmarkStart w:id="31" w:name="_Toc17474"/>
      <w:bookmarkStart w:id="32" w:name="_Toc536456778"/>
      <w:bookmarkStart w:id="33" w:name="_Toc536456631"/>
      <w:r>
        <w:rPr>
          <w:kern w:val="0"/>
          <w:szCs w:val="24"/>
        </w:rPr>
        <w:t xml:space="preserve">3.1 </w:t>
      </w:r>
      <w:r>
        <w:rPr>
          <w:rFonts w:hint="eastAsia"/>
          <w:kern w:val="0"/>
          <w:szCs w:val="24"/>
          <w:lang w:eastAsia="zh-CN"/>
        </w:rPr>
        <w:t>铜尾矿</w:t>
      </w:r>
      <w:r>
        <w:rPr>
          <w:rFonts w:hint="eastAsia"/>
          <w:kern w:val="0"/>
          <w:szCs w:val="24"/>
          <w:lang w:val="en-US" w:eastAsia="zh-CN"/>
        </w:rPr>
        <w:t>砂颗粒级配和粉含量</w:t>
      </w:r>
    </w:p>
    <w:p>
      <w:pPr>
        <w:ind w:firstLine="480"/>
        <w:rPr>
          <w:rFonts w:hint="eastAsia" w:ascii="Times New Roman" w:hAnsi="Times New Roman" w:eastAsia="宋体" w:cs="Times New Roman"/>
          <w:sz w:val="24"/>
          <w:szCs w:val="24"/>
          <w:lang w:val="en-US" w:eastAsia="zh-CN"/>
        </w:rPr>
      </w:pPr>
      <w:r>
        <w:rPr>
          <w:rFonts w:ascii="Times New Roman" w:hAnsi="Times New Roman" w:eastAsia="宋体" w:cs="Times New Roman"/>
          <w:sz w:val="24"/>
          <w:szCs w:val="24"/>
        </w:rPr>
        <w:t>标准编制组</w:t>
      </w:r>
      <w:r>
        <w:rPr>
          <w:rFonts w:hint="eastAsia" w:ascii="Times New Roman" w:hAnsi="Times New Roman" w:eastAsia="宋体" w:cs="Times New Roman"/>
          <w:sz w:val="24"/>
          <w:szCs w:val="24"/>
          <w:lang w:val="en-US" w:eastAsia="zh-CN"/>
        </w:rPr>
        <w:t>通过</w:t>
      </w:r>
      <w:r>
        <w:rPr>
          <w:rFonts w:ascii="Times New Roman" w:hAnsi="Times New Roman" w:eastAsia="宋体" w:cs="Times New Roman"/>
          <w:sz w:val="24"/>
          <w:szCs w:val="24"/>
        </w:rPr>
        <w:t>广泛</w:t>
      </w:r>
      <w:r>
        <w:rPr>
          <w:rFonts w:hint="eastAsia" w:ascii="Times New Roman" w:hAnsi="Times New Roman" w:eastAsia="宋体" w:cs="Times New Roman"/>
          <w:sz w:val="24"/>
          <w:szCs w:val="24"/>
          <w:lang w:val="en-US" w:eastAsia="zh-CN"/>
        </w:rPr>
        <w:t>收集</w:t>
      </w:r>
      <w:r>
        <w:rPr>
          <w:rFonts w:ascii="Times New Roman" w:hAnsi="Times New Roman" w:eastAsia="宋体" w:cs="Times New Roman"/>
          <w:sz w:val="24"/>
          <w:szCs w:val="24"/>
        </w:rPr>
        <w:t>样</w:t>
      </w:r>
      <w:r>
        <w:rPr>
          <w:rFonts w:hint="eastAsia" w:ascii="Times New Roman" w:hAnsi="Times New Roman" w:eastAsia="宋体" w:cs="Times New Roman"/>
          <w:sz w:val="24"/>
          <w:szCs w:val="24"/>
          <w:lang w:val="en-US" w:eastAsia="zh-CN"/>
        </w:rPr>
        <w:t>品及数据，得到的结果如表7所示。</w:t>
      </w:r>
    </w:p>
    <w:p>
      <w:pPr>
        <w:ind w:firstLine="480"/>
        <w:rPr>
          <w:rFonts w:hint="eastAsia" w:ascii="Times New Roman" w:hAnsi="Times New Roman" w:eastAsia="宋体" w:cs="Times New Roman"/>
          <w:sz w:val="24"/>
          <w:szCs w:val="24"/>
          <w:lang w:val="en-US" w:eastAsia="zh-CN"/>
        </w:rPr>
      </w:pPr>
    </w:p>
    <w:p>
      <w:pPr>
        <w:ind w:firstLine="480"/>
        <w:rPr>
          <w:rFonts w:hint="eastAsia" w:ascii="Times New Roman" w:hAnsi="Times New Roman" w:eastAsia="宋体" w:cs="Times New Roman"/>
          <w:sz w:val="24"/>
          <w:szCs w:val="24"/>
          <w:lang w:val="en-US" w:eastAsia="zh-CN"/>
        </w:rPr>
      </w:pPr>
    </w:p>
    <w:p>
      <w:pPr>
        <w:ind w:firstLine="480"/>
        <w:jc w:val="center"/>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表7铜尾矿砂累计筛余结果</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5"/>
        <w:gridCol w:w="1100"/>
        <w:gridCol w:w="1192"/>
        <w:gridCol w:w="1372"/>
        <w:gridCol w:w="1130"/>
        <w:gridCol w:w="2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trPr>
        <w:tc>
          <w:tcPr>
            <w:tcW w:w="643" w:type="pct"/>
            <w:vMerge w:val="restar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样品</w:t>
            </w:r>
          </w:p>
        </w:tc>
        <w:tc>
          <w:tcPr>
            <w:tcW w:w="4356" w:type="pct"/>
            <w:gridSpan w:val="5"/>
            <w:noWrap w:val="0"/>
            <w:vAlign w:val="center"/>
          </w:tcPr>
          <w:p>
            <w:pPr>
              <w:pStyle w:val="16"/>
              <w:tabs>
                <w:tab w:val="center" w:pos="4201"/>
                <w:tab w:val="right" w:leader="dot" w:pos="9298"/>
              </w:tabs>
              <w:ind w:firstLine="0" w:firstLineChars="0"/>
              <w:jc w:val="center"/>
              <w:rPr>
                <w:rFonts w:hint="default" w:ascii="Times New Roman" w:eastAsia="宋体"/>
                <w:szCs w:val="21"/>
                <w:lang w:val="en-US" w:eastAsia="zh-CN"/>
              </w:rPr>
            </w:pPr>
            <w:r>
              <w:rPr>
                <w:rFonts w:hint="eastAsia" w:ascii="Times New Roman"/>
                <w:szCs w:val="21"/>
                <w:lang w:val="en-US" w:eastAsia="zh-CN"/>
              </w:rPr>
              <w:t>累计筛余（%）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trPr>
        <w:tc>
          <w:tcPr>
            <w:tcW w:w="643" w:type="pct"/>
            <w:vMerge w:val="continue"/>
            <w:noWrap w:val="0"/>
            <w:vAlign w:val="center"/>
          </w:tcPr>
          <w:p>
            <w:pPr>
              <w:pStyle w:val="16"/>
              <w:tabs>
                <w:tab w:val="center" w:pos="4201"/>
                <w:tab w:val="right" w:leader="dot" w:pos="9298"/>
              </w:tabs>
              <w:ind w:firstLine="0" w:firstLineChars="0"/>
              <w:jc w:val="center"/>
              <w:rPr>
                <w:rFonts w:ascii="Times New Roman"/>
                <w:szCs w:val="21"/>
              </w:rPr>
            </w:pPr>
          </w:p>
        </w:tc>
        <w:tc>
          <w:tcPr>
            <w:tcW w:w="646" w:type="pct"/>
            <w:noWrap w:val="0"/>
            <w:vAlign w:val="center"/>
          </w:tcPr>
          <w:p>
            <w:pPr>
              <w:pStyle w:val="16"/>
              <w:tabs>
                <w:tab w:val="center" w:pos="4201"/>
                <w:tab w:val="right" w:leader="dot" w:pos="9298"/>
              </w:tabs>
              <w:ind w:firstLine="0" w:firstLineChars="0"/>
              <w:jc w:val="center"/>
              <w:rPr>
                <w:rFonts w:hint="default" w:ascii="Times New Roman" w:eastAsia="宋体"/>
                <w:szCs w:val="21"/>
                <w:lang w:val="en-US" w:eastAsia="zh-CN"/>
              </w:rPr>
            </w:pPr>
            <w:r>
              <w:rPr>
                <w:rFonts w:hint="eastAsia" w:ascii="Times New Roman"/>
                <w:szCs w:val="21"/>
                <w:lang w:val="en-US" w:eastAsia="zh-CN"/>
              </w:rPr>
              <w:t>0.6mm</w:t>
            </w:r>
          </w:p>
        </w:tc>
        <w:tc>
          <w:tcPr>
            <w:tcW w:w="700" w:type="pct"/>
            <w:noWrap w:val="0"/>
            <w:vAlign w:val="center"/>
          </w:tcPr>
          <w:p>
            <w:pPr>
              <w:pStyle w:val="16"/>
              <w:tabs>
                <w:tab w:val="center" w:pos="4201"/>
                <w:tab w:val="right" w:leader="dot" w:pos="9298"/>
              </w:tabs>
              <w:ind w:firstLine="0" w:firstLineChars="0"/>
              <w:jc w:val="center"/>
              <w:rPr>
                <w:rFonts w:hint="default" w:ascii="Times New Roman" w:eastAsia="宋体"/>
                <w:szCs w:val="21"/>
                <w:lang w:val="en-US" w:eastAsia="zh-CN"/>
              </w:rPr>
            </w:pPr>
            <w:r>
              <w:rPr>
                <w:rFonts w:hint="eastAsia" w:ascii="Times New Roman"/>
                <w:szCs w:val="21"/>
                <w:lang w:val="en-US" w:eastAsia="zh-CN"/>
              </w:rPr>
              <w:t>0.3mm</w:t>
            </w:r>
          </w:p>
        </w:tc>
        <w:tc>
          <w:tcPr>
            <w:tcW w:w="805" w:type="pct"/>
            <w:noWrap w:val="0"/>
            <w:vAlign w:val="center"/>
          </w:tcPr>
          <w:p>
            <w:pPr>
              <w:pStyle w:val="16"/>
              <w:tabs>
                <w:tab w:val="center" w:pos="4201"/>
                <w:tab w:val="right" w:leader="dot" w:pos="9298"/>
              </w:tabs>
              <w:ind w:firstLine="0" w:firstLineChars="0"/>
              <w:jc w:val="center"/>
              <w:rPr>
                <w:rFonts w:hint="default" w:ascii="Times New Roman" w:eastAsia="宋体"/>
                <w:szCs w:val="21"/>
                <w:lang w:val="en-US" w:eastAsia="zh-CN"/>
              </w:rPr>
            </w:pPr>
            <w:r>
              <w:rPr>
                <w:rFonts w:hint="eastAsia" w:ascii="Times New Roman"/>
                <w:szCs w:val="21"/>
                <w:lang w:val="en-US" w:eastAsia="zh-CN"/>
              </w:rPr>
              <w:t>0.15mm</w:t>
            </w:r>
          </w:p>
        </w:tc>
        <w:tc>
          <w:tcPr>
            <w:tcW w:w="662" w:type="pct"/>
            <w:noWrap w:val="0"/>
            <w:vAlign w:val="center"/>
          </w:tcPr>
          <w:p>
            <w:pPr>
              <w:pStyle w:val="16"/>
              <w:tabs>
                <w:tab w:val="center" w:pos="4201"/>
                <w:tab w:val="right" w:leader="dot" w:pos="9298"/>
              </w:tabs>
              <w:ind w:firstLine="0" w:firstLineChars="0"/>
              <w:jc w:val="center"/>
              <w:rPr>
                <w:rFonts w:hint="default" w:ascii="Times New Roman" w:eastAsia="宋体"/>
                <w:szCs w:val="21"/>
                <w:lang w:val="en-US" w:eastAsia="zh-CN"/>
              </w:rPr>
            </w:pPr>
            <w:r>
              <w:rPr>
                <w:rFonts w:hint="eastAsia" w:ascii="Times New Roman"/>
                <w:szCs w:val="21"/>
                <w:lang w:val="en-US" w:eastAsia="zh-CN"/>
              </w:rPr>
              <w:t>0.075mm</w:t>
            </w:r>
          </w:p>
        </w:tc>
        <w:tc>
          <w:tcPr>
            <w:tcW w:w="1542" w:type="pct"/>
            <w:noWrap w:val="0"/>
            <w:vAlign w:val="center"/>
          </w:tcPr>
          <w:p>
            <w:pPr>
              <w:pStyle w:val="16"/>
              <w:tabs>
                <w:tab w:val="center" w:pos="4201"/>
                <w:tab w:val="right" w:leader="dot" w:pos="9298"/>
              </w:tabs>
              <w:ind w:firstLine="0" w:firstLineChars="0"/>
              <w:jc w:val="center"/>
              <w:rPr>
                <w:rFonts w:hint="default" w:ascii="Times New Roman" w:eastAsia="宋体"/>
                <w:szCs w:val="21"/>
                <w:lang w:val="en-US" w:eastAsia="zh-CN"/>
              </w:rPr>
            </w:pPr>
            <w:r>
              <w:rPr>
                <w:rFonts w:hint="eastAsia" w:ascii="Times New Roman"/>
                <w:szCs w:val="21"/>
                <w:lang w:val="en-US" w:eastAsia="zh-CN"/>
              </w:rPr>
              <w:t>细度模数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trPr>
        <w:tc>
          <w:tcPr>
            <w:tcW w:w="643"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1</w:t>
            </w:r>
          </w:p>
        </w:tc>
        <w:tc>
          <w:tcPr>
            <w:tcW w:w="646" w:type="pct"/>
            <w:noWrap w:val="0"/>
            <w:vAlign w:val="center"/>
          </w:tcPr>
          <w:p>
            <w:pPr>
              <w:pStyle w:val="16"/>
              <w:tabs>
                <w:tab w:val="center" w:pos="4201"/>
                <w:tab w:val="right" w:leader="dot" w:pos="9298"/>
              </w:tabs>
              <w:ind w:firstLine="0" w:firstLineChars="0"/>
              <w:jc w:val="center"/>
              <w:rPr>
                <w:rFonts w:hint="eastAsia" w:ascii="Times New Roman" w:eastAsia="宋体"/>
                <w:szCs w:val="21"/>
                <w:lang w:val="en-US" w:eastAsia="zh-CN"/>
              </w:rPr>
            </w:pPr>
            <w:r>
              <w:rPr>
                <w:rFonts w:hint="eastAsia" w:ascii="Times New Roman"/>
                <w:szCs w:val="21"/>
                <w:lang w:val="en-US" w:eastAsia="zh-CN"/>
              </w:rPr>
              <w:t>0</w:t>
            </w:r>
          </w:p>
        </w:tc>
        <w:tc>
          <w:tcPr>
            <w:tcW w:w="700" w:type="pct"/>
            <w:noWrap w:val="0"/>
            <w:vAlign w:val="center"/>
          </w:tcPr>
          <w:p>
            <w:pPr>
              <w:pStyle w:val="16"/>
              <w:tabs>
                <w:tab w:val="center" w:pos="4201"/>
                <w:tab w:val="right" w:leader="dot" w:pos="9298"/>
              </w:tabs>
              <w:ind w:firstLine="0" w:firstLineChars="0"/>
              <w:jc w:val="center"/>
              <w:rPr>
                <w:rFonts w:hint="eastAsia" w:ascii="Times New Roman" w:eastAsia="宋体"/>
                <w:szCs w:val="21"/>
                <w:lang w:val="en-US" w:eastAsia="zh-CN"/>
              </w:rPr>
            </w:pPr>
            <w:r>
              <w:rPr>
                <w:rFonts w:hint="eastAsia" w:ascii="Times New Roman"/>
                <w:szCs w:val="21"/>
                <w:lang w:val="en-US" w:eastAsia="zh-CN"/>
              </w:rPr>
              <w:t>2</w:t>
            </w:r>
          </w:p>
        </w:tc>
        <w:tc>
          <w:tcPr>
            <w:tcW w:w="805" w:type="pct"/>
            <w:noWrap w:val="0"/>
            <w:vAlign w:val="center"/>
          </w:tcPr>
          <w:p>
            <w:pPr>
              <w:pStyle w:val="16"/>
              <w:tabs>
                <w:tab w:val="center" w:pos="4201"/>
                <w:tab w:val="right" w:leader="dot" w:pos="9298"/>
              </w:tabs>
              <w:ind w:firstLine="0" w:firstLineChars="0"/>
              <w:jc w:val="center"/>
              <w:rPr>
                <w:rFonts w:hint="eastAsia" w:ascii="Times New Roman" w:eastAsia="宋体"/>
                <w:szCs w:val="21"/>
                <w:lang w:val="en-US" w:eastAsia="zh-CN"/>
              </w:rPr>
            </w:pPr>
            <w:r>
              <w:rPr>
                <w:rFonts w:hint="eastAsia" w:ascii="Times New Roman"/>
                <w:szCs w:val="21"/>
                <w:lang w:val="en-US" w:eastAsia="zh-CN"/>
              </w:rPr>
              <w:t>5</w:t>
            </w:r>
          </w:p>
        </w:tc>
        <w:tc>
          <w:tcPr>
            <w:tcW w:w="662" w:type="pct"/>
            <w:noWrap w:val="0"/>
            <w:vAlign w:val="center"/>
          </w:tcPr>
          <w:p>
            <w:pPr>
              <w:pStyle w:val="16"/>
              <w:tabs>
                <w:tab w:val="center" w:pos="4201"/>
                <w:tab w:val="right" w:leader="dot" w:pos="9298"/>
              </w:tabs>
              <w:ind w:firstLine="0" w:firstLineChars="0"/>
              <w:jc w:val="center"/>
              <w:rPr>
                <w:rFonts w:hint="default" w:ascii="Times New Roman" w:eastAsia="宋体"/>
                <w:szCs w:val="21"/>
                <w:lang w:val="en-US" w:eastAsia="zh-CN"/>
              </w:rPr>
            </w:pPr>
            <w:r>
              <w:rPr>
                <w:rFonts w:hint="eastAsia" w:ascii="Times New Roman"/>
                <w:szCs w:val="21"/>
                <w:lang w:val="en-US" w:eastAsia="zh-CN"/>
              </w:rPr>
              <w:t>35</w:t>
            </w:r>
          </w:p>
        </w:tc>
        <w:tc>
          <w:tcPr>
            <w:tcW w:w="1542" w:type="pct"/>
            <w:noWrap w:val="0"/>
            <w:vAlign w:val="center"/>
          </w:tcPr>
          <w:p>
            <w:pPr>
              <w:pStyle w:val="16"/>
              <w:tabs>
                <w:tab w:val="center" w:pos="4201"/>
                <w:tab w:val="right" w:leader="dot" w:pos="9298"/>
              </w:tabs>
              <w:ind w:firstLine="0" w:firstLineChars="0"/>
              <w:jc w:val="center"/>
              <w:rPr>
                <w:rFonts w:hint="default" w:ascii="Times New Roman" w:eastAsia="宋体"/>
                <w:szCs w:val="21"/>
                <w:lang w:val="en-US" w:eastAsia="zh-CN"/>
              </w:rPr>
            </w:pPr>
            <w:r>
              <w:rPr>
                <w:rFonts w:hint="eastAsia" w:ascii="Times New Roman"/>
                <w:szCs w:val="21"/>
                <w:lang w:val="en-US" w:eastAsia="zh-CN"/>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trPr>
        <w:tc>
          <w:tcPr>
            <w:tcW w:w="643"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2</w:t>
            </w:r>
          </w:p>
        </w:tc>
        <w:tc>
          <w:tcPr>
            <w:tcW w:w="646" w:type="pct"/>
            <w:noWrap w:val="0"/>
            <w:vAlign w:val="center"/>
          </w:tcPr>
          <w:p>
            <w:pPr>
              <w:pStyle w:val="16"/>
              <w:tabs>
                <w:tab w:val="center" w:pos="4201"/>
                <w:tab w:val="right" w:leader="dot" w:pos="9298"/>
              </w:tabs>
              <w:ind w:firstLine="0" w:firstLineChars="0"/>
              <w:jc w:val="center"/>
              <w:rPr>
                <w:rFonts w:hint="eastAsia" w:ascii="Times New Roman" w:eastAsia="宋体"/>
                <w:sz w:val="21"/>
                <w:szCs w:val="21"/>
                <w:lang w:val="en-US" w:eastAsia="zh-CN" w:bidi="ar-SA"/>
              </w:rPr>
            </w:pPr>
            <w:r>
              <w:rPr>
                <w:rFonts w:hint="eastAsia" w:ascii="Times New Roman"/>
                <w:szCs w:val="21"/>
                <w:lang w:val="en-US" w:eastAsia="zh-CN"/>
              </w:rPr>
              <w:t>0</w:t>
            </w:r>
          </w:p>
        </w:tc>
        <w:tc>
          <w:tcPr>
            <w:tcW w:w="700" w:type="pct"/>
            <w:noWrap w:val="0"/>
            <w:vAlign w:val="center"/>
          </w:tcPr>
          <w:p>
            <w:pPr>
              <w:pStyle w:val="16"/>
              <w:tabs>
                <w:tab w:val="center" w:pos="4201"/>
                <w:tab w:val="right" w:leader="dot" w:pos="9298"/>
              </w:tabs>
              <w:ind w:firstLine="0" w:firstLineChars="0"/>
              <w:jc w:val="center"/>
              <w:rPr>
                <w:rFonts w:hint="eastAsia" w:ascii="Times New Roman" w:eastAsia="宋体"/>
                <w:sz w:val="21"/>
                <w:szCs w:val="21"/>
                <w:lang w:val="en-US" w:eastAsia="zh-CN" w:bidi="ar-SA"/>
              </w:rPr>
            </w:pPr>
            <w:r>
              <w:rPr>
                <w:rFonts w:hint="eastAsia" w:ascii="Times New Roman"/>
                <w:szCs w:val="21"/>
                <w:lang w:val="en-US" w:eastAsia="zh-CN"/>
              </w:rPr>
              <w:t>3</w:t>
            </w:r>
          </w:p>
        </w:tc>
        <w:tc>
          <w:tcPr>
            <w:tcW w:w="805" w:type="pct"/>
            <w:noWrap w:val="0"/>
            <w:vAlign w:val="center"/>
          </w:tcPr>
          <w:p>
            <w:pPr>
              <w:pStyle w:val="16"/>
              <w:tabs>
                <w:tab w:val="center" w:pos="4201"/>
                <w:tab w:val="right" w:leader="dot" w:pos="9298"/>
              </w:tabs>
              <w:ind w:firstLine="0" w:firstLineChars="0"/>
              <w:jc w:val="center"/>
              <w:rPr>
                <w:rFonts w:hint="default" w:ascii="Times New Roman" w:eastAsia="宋体"/>
                <w:sz w:val="21"/>
                <w:szCs w:val="21"/>
                <w:lang w:val="en-US" w:eastAsia="zh-CN" w:bidi="ar-SA"/>
              </w:rPr>
            </w:pPr>
            <w:r>
              <w:rPr>
                <w:rFonts w:hint="eastAsia" w:ascii="Times New Roman"/>
                <w:szCs w:val="21"/>
                <w:lang w:val="en-US" w:eastAsia="zh-CN"/>
              </w:rPr>
              <w:t>17</w:t>
            </w:r>
          </w:p>
        </w:tc>
        <w:tc>
          <w:tcPr>
            <w:tcW w:w="662" w:type="pct"/>
            <w:noWrap w:val="0"/>
            <w:vAlign w:val="center"/>
          </w:tcPr>
          <w:p>
            <w:pPr>
              <w:pStyle w:val="16"/>
              <w:tabs>
                <w:tab w:val="center" w:pos="4201"/>
                <w:tab w:val="right" w:leader="dot" w:pos="9298"/>
              </w:tabs>
              <w:ind w:firstLine="0" w:firstLineChars="0"/>
              <w:jc w:val="center"/>
              <w:rPr>
                <w:rFonts w:hint="default" w:ascii="Times New Roman" w:eastAsia="宋体"/>
                <w:sz w:val="21"/>
                <w:szCs w:val="21"/>
                <w:lang w:val="en-US" w:eastAsia="zh-CN" w:bidi="ar-SA"/>
              </w:rPr>
            </w:pPr>
            <w:r>
              <w:rPr>
                <w:rFonts w:hint="eastAsia" w:ascii="Times New Roman"/>
                <w:szCs w:val="21"/>
                <w:lang w:val="en-US" w:eastAsia="zh-CN"/>
              </w:rPr>
              <w:t>63</w:t>
            </w:r>
          </w:p>
        </w:tc>
        <w:tc>
          <w:tcPr>
            <w:tcW w:w="1542" w:type="pct"/>
            <w:noWrap w:val="0"/>
            <w:vAlign w:val="center"/>
          </w:tcPr>
          <w:p>
            <w:pPr>
              <w:pStyle w:val="16"/>
              <w:tabs>
                <w:tab w:val="center" w:pos="4201"/>
                <w:tab w:val="right" w:leader="dot" w:pos="9298"/>
              </w:tabs>
              <w:ind w:firstLine="0" w:firstLineChars="0"/>
              <w:jc w:val="center"/>
              <w:rPr>
                <w:rFonts w:hint="default" w:ascii="Times New Roman" w:eastAsia="宋体"/>
                <w:sz w:val="21"/>
                <w:szCs w:val="21"/>
                <w:lang w:val="en-US" w:eastAsia="zh-CN" w:bidi="ar-SA"/>
              </w:rPr>
            </w:pPr>
            <w:r>
              <w:rPr>
                <w:rFonts w:hint="eastAsia" w:ascii="Times New Roman"/>
                <w:szCs w:val="21"/>
                <w:lang w:val="en-US" w:eastAsia="zh-CN"/>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trPr>
        <w:tc>
          <w:tcPr>
            <w:tcW w:w="643"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3</w:t>
            </w:r>
          </w:p>
        </w:tc>
        <w:tc>
          <w:tcPr>
            <w:tcW w:w="646" w:type="pct"/>
            <w:noWrap w:val="0"/>
            <w:vAlign w:val="center"/>
          </w:tcPr>
          <w:p>
            <w:pPr>
              <w:pStyle w:val="16"/>
              <w:tabs>
                <w:tab w:val="center" w:pos="4201"/>
                <w:tab w:val="right" w:leader="dot" w:pos="9298"/>
              </w:tabs>
              <w:ind w:firstLine="0" w:firstLineChars="0"/>
              <w:jc w:val="center"/>
              <w:rPr>
                <w:rFonts w:hint="eastAsia" w:ascii="Times New Roman" w:eastAsia="宋体"/>
                <w:sz w:val="21"/>
                <w:szCs w:val="21"/>
                <w:lang w:val="en-US" w:eastAsia="zh-CN" w:bidi="ar-SA"/>
              </w:rPr>
            </w:pPr>
            <w:r>
              <w:rPr>
                <w:rFonts w:hint="eastAsia" w:ascii="Times New Roman"/>
                <w:szCs w:val="21"/>
                <w:lang w:val="en-US" w:eastAsia="zh-CN"/>
              </w:rPr>
              <w:t>0</w:t>
            </w:r>
          </w:p>
        </w:tc>
        <w:tc>
          <w:tcPr>
            <w:tcW w:w="700" w:type="pct"/>
            <w:noWrap w:val="0"/>
            <w:vAlign w:val="center"/>
          </w:tcPr>
          <w:p>
            <w:pPr>
              <w:pStyle w:val="16"/>
              <w:tabs>
                <w:tab w:val="center" w:pos="4201"/>
                <w:tab w:val="right" w:leader="dot" w:pos="9298"/>
              </w:tabs>
              <w:ind w:firstLine="0" w:firstLineChars="0"/>
              <w:jc w:val="center"/>
              <w:rPr>
                <w:rFonts w:hint="eastAsia" w:ascii="Times New Roman" w:eastAsia="宋体"/>
                <w:sz w:val="21"/>
                <w:szCs w:val="21"/>
                <w:lang w:val="en-US" w:eastAsia="zh-CN" w:bidi="ar-SA"/>
              </w:rPr>
            </w:pPr>
            <w:r>
              <w:rPr>
                <w:rFonts w:hint="eastAsia" w:ascii="Times New Roman"/>
                <w:szCs w:val="21"/>
                <w:lang w:val="en-US" w:eastAsia="zh-CN"/>
              </w:rPr>
              <w:t>1</w:t>
            </w:r>
          </w:p>
        </w:tc>
        <w:tc>
          <w:tcPr>
            <w:tcW w:w="805" w:type="pct"/>
            <w:noWrap w:val="0"/>
            <w:vAlign w:val="center"/>
          </w:tcPr>
          <w:p>
            <w:pPr>
              <w:pStyle w:val="16"/>
              <w:tabs>
                <w:tab w:val="center" w:pos="4201"/>
                <w:tab w:val="right" w:leader="dot" w:pos="9298"/>
              </w:tabs>
              <w:ind w:firstLine="0" w:firstLineChars="0"/>
              <w:jc w:val="center"/>
              <w:rPr>
                <w:rFonts w:hint="default" w:ascii="Times New Roman" w:eastAsia="宋体"/>
                <w:sz w:val="21"/>
                <w:szCs w:val="21"/>
                <w:lang w:val="en-US" w:eastAsia="zh-CN" w:bidi="ar-SA"/>
              </w:rPr>
            </w:pPr>
            <w:r>
              <w:rPr>
                <w:rFonts w:hint="eastAsia" w:ascii="Times New Roman"/>
                <w:szCs w:val="21"/>
                <w:lang w:val="en-US" w:eastAsia="zh-CN"/>
              </w:rPr>
              <w:t>10</w:t>
            </w:r>
          </w:p>
        </w:tc>
        <w:tc>
          <w:tcPr>
            <w:tcW w:w="662" w:type="pct"/>
            <w:noWrap w:val="0"/>
            <w:vAlign w:val="center"/>
          </w:tcPr>
          <w:p>
            <w:pPr>
              <w:pStyle w:val="16"/>
              <w:tabs>
                <w:tab w:val="center" w:pos="4201"/>
                <w:tab w:val="right" w:leader="dot" w:pos="9298"/>
              </w:tabs>
              <w:ind w:firstLine="0" w:firstLineChars="0"/>
              <w:jc w:val="center"/>
              <w:rPr>
                <w:rFonts w:hint="default" w:ascii="Times New Roman" w:eastAsia="宋体"/>
                <w:sz w:val="21"/>
                <w:szCs w:val="21"/>
                <w:lang w:val="en-US" w:eastAsia="zh-CN" w:bidi="ar-SA"/>
              </w:rPr>
            </w:pPr>
            <w:r>
              <w:rPr>
                <w:rFonts w:hint="eastAsia" w:ascii="Times New Roman"/>
                <w:szCs w:val="21"/>
                <w:lang w:val="en-US" w:eastAsia="zh-CN"/>
              </w:rPr>
              <w:t>38</w:t>
            </w:r>
          </w:p>
        </w:tc>
        <w:tc>
          <w:tcPr>
            <w:tcW w:w="1542" w:type="pct"/>
            <w:noWrap w:val="0"/>
            <w:vAlign w:val="center"/>
          </w:tcPr>
          <w:p>
            <w:pPr>
              <w:pStyle w:val="16"/>
              <w:tabs>
                <w:tab w:val="center" w:pos="4201"/>
                <w:tab w:val="right" w:leader="dot" w:pos="9298"/>
              </w:tabs>
              <w:ind w:firstLine="0" w:firstLineChars="0"/>
              <w:jc w:val="center"/>
              <w:rPr>
                <w:rFonts w:hint="default" w:ascii="Times New Roman" w:eastAsia="宋体"/>
                <w:sz w:val="21"/>
                <w:szCs w:val="21"/>
                <w:lang w:val="en-US" w:eastAsia="zh-CN" w:bidi="ar-SA"/>
              </w:rPr>
            </w:pPr>
            <w:r>
              <w:rPr>
                <w:rFonts w:hint="eastAsia" w:ascii="Times New Roman"/>
                <w:szCs w:val="21"/>
                <w:lang w:val="en-US" w:eastAsia="zh-CN"/>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trPr>
        <w:tc>
          <w:tcPr>
            <w:tcW w:w="643"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4</w:t>
            </w:r>
          </w:p>
        </w:tc>
        <w:tc>
          <w:tcPr>
            <w:tcW w:w="646" w:type="pct"/>
            <w:noWrap w:val="0"/>
            <w:vAlign w:val="center"/>
          </w:tcPr>
          <w:p>
            <w:pPr>
              <w:pStyle w:val="16"/>
              <w:tabs>
                <w:tab w:val="center" w:pos="4201"/>
                <w:tab w:val="right" w:leader="dot" w:pos="9298"/>
              </w:tabs>
              <w:ind w:firstLine="0" w:firstLineChars="0"/>
              <w:jc w:val="center"/>
              <w:rPr>
                <w:rFonts w:hint="default" w:ascii="Times New Roman" w:eastAsia="宋体"/>
                <w:sz w:val="21"/>
                <w:szCs w:val="21"/>
                <w:lang w:val="en-US" w:eastAsia="zh-CN" w:bidi="ar-SA"/>
              </w:rPr>
            </w:pPr>
            <w:r>
              <w:rPr>
                <w:rFonts w:hint="eastAsia" w:ascii="Times New Roman" w:eastAsia="宋体"/>
                <w:sz w:val="21"/>
                <w:szCs w:val="21"/>
                <w:lang w:val="en-US" w:eastAsia="zh-CN" w:bidi="ar-SA"/>
              </w:rPr>
              <w:t>0</w:t>
            </w:r>
          </w:p>
        </w:tc>
        <w:tc>
          <w:tcPr>
            <w:tcW w:w="700" w:type="pct"/>
            <w:noWrap w:val="0"/>
            <w:vAlign w:val="center"/>
          </w:tcPr>
          <w:p>
            <w:pPr>
              <w:pStyle w:val="16"/>
              <w:tabs>
                <w:tab w:val="center" w:pos="4201"/>
                <w:tab w:val="right" w:leader="dot" w:pos="9298"/>
              </w:tabs>
              <w:ind w:firstLine="0" w:firstLineChars="0"/>
              <w:jc w:val="center"/>
              <w:rPr>
                <w:rFonts w:hint="default" w:ascii="Times New Roman" w:eastAsia="宋体"/>
                <w:sz w:val="21"/>
                <w:szCs w:val="21"/>
                <w:lang w:val="en-US" w:eastAsia="zh-CN" w:bidi="ar-SA"/>
              </w:rPr>
            </w:pPr>
            <w:r>
              <w:rPr>
                <w:rFonts w:hint="eastAsia" w:ascii="Times New Roman" w:eastAsia="宋体"/>
                <w:sz w:val="21"/>
                <w:szCs w:val="21"/>
                <w:lang w:val="en-US" w:eastAsia="zh-CN" w:bidi="ar-SA"/>
              </w:rPr>
              <w:t>16</w:t>
            </w:r>
          </w:p>
        </w:tc>
        <w:tc>
          <w:tcPr>
            <w:tcW w:w="805" w:type="pct"/>
            <w:noWrap w:val="0"/>
            <w:vAlign w:val="center"/>
          </w:tcPr>
          <w:p>
            <w:pPr>
              <w:pStyle w:val="16"/>
              <w:tabs>
                <w:tab w:val="center" w:pos="4201"/>
                <w:tab w:val="right" w:leader="dot" w:pos="9298"/>
              </w:tabs>
              <w:ind w:firstLine="0" w:firstLineChars="0"/>
              <w:jc w:val="center"/>
              <w:rPr>
                <w:rFonts w:hint="default" w:ascii="Times New Roman" w:eastAsia="宋体"/>
                <w:sz w:val="21"/>
                <w:szCs w:val="21"/>
                <w:lang w:val="en-US" w:eastAsia="zh-CN" w:bidi="ar-SA"/>
              </w:rPr>
            </w:pPr>
            <w:r>
              <w:rPr>
                <w:rFonts w:hint="eastAsia" w:ascii="Times New Roman" w:eastAsia="宋体"/>
                <w:sz w:val="21"/>
                <w:szCs w:val="21"/>
                <w:lang w:val="en-US" w:eastAsia="zh-CN" w:bidi="ar-SA"/>
              </w:rPr>
              <w:t>50</w:t>
            </w:r>
          </w:p>
        </w:tc>
        <w:tc>
          <w:tcPr>
            <w:tcW w:w="662" w:type="pct"/>
            <w:noWrap w:val="0"/>
            <w:vAlign w:val="center"/>
          </w:tcPr>
          <w:p>
            <w:pPr>
              <w:pStyle w:val="16"/>
              <w:tabs>
                <w:tab w:val="center" w:pos="4201"/>
                <w:tab w:val="right" w:leader="dot" w:pos="9298"/>
              </w:tabs>
              <w:ind w:firstLine="0" w:firstLineChars="0"/>
              <w:jc w:val="center"/>
              <w:rPr>
                <w:rFonts w:hint="default" w:ascii="Times New Roman" w:eastAsia="宋体"/>
                <w:sz w:val="21"/>
                <w:szCs w:val="21"/>
                <w:lang w:val="en-US" w:eastAsia="zh-CN" w:bidi="ar-SA"/>
              </w:rPr>
            </w:pPr>
            <w:r>
              <w:rPr>
                <w:rFonts w:hint="eastAsia" w:ascii="Times New Roman" w:eastAsia="宋体"/>
                <w:sz w:val="21"/>
                <w:szCs w:val="21"/>
                <w:lang w:val="en-US" w:eastAsia="zh-CN" w:bidi="ar-SA"/>
              </w:rPr>
              <w:t>88</w:t>
            </w:r>
          </w:p>
        </w:tc>
        <w:tc>
          <w:tcPr>
            <w:tcW w:w="1542" w:type="pct"/>
            <w:noWrap w:val="0"/>
            <w:vAlign w:val="center"/>
          </w:tcPr>
          <w:p>
            <w:pPr>
              <w:pStyle w:val="16"/>
              <w:tabs>
                <w:tab w:val="center" w:pos="4201"/>
                <w:tab w:val="right" w:leader="dot" w:pos="9298"/>
              </w:tabs>
              <w:ind w:firstLine="0" w:firstLineChars="0"/>
              <w:jc w:val="center"/>
              <w:rPr>
                <w:rFonts w:hint="default" w:ascii="Times New Roman" w:eastAsia="宋体"/>
                <w:sz w:val="21"/>
                <w:szCs w:val="21"/>
                <w:lang w:val="en-US" w:eastAsia="zh-CN" w:bidi="ar-SA"/>
              </w:rPr>
            </w:pPr>
            <w:r>
              <w:rPr>
                <w:rFonts w:hint="eastAsia" w:ascii="Times New Roman" w:eastAsia="宋体"/>
                <w:sz w:val="21"/>
                <w:szCs w:val="21"/>
                <w:lang w:val="en-US" w:eastAsia="zh-CN" w:bidi="ar-SA"/>
              </w:rPr>
              <w:t>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trPr>
        <w:tc>
          <w:tcPr>
            <w:tcW w:w="643"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5</w:t>
            </w:r>
          </w:p>
        </w:tc>
        <w:tc>
          <w:tcPr>
            <w:tcW w:w="646" w:type="pct"/>
            <w:noWrap w:val="0"/>
            <w:vAlign w:val="center"/>
          </w:tcPr>
          <w:p>
            <w:pPr>
              <w:pStyle w:val="16"/>
              <w:tabs>
                <w:tab w:val="center" w:pos="4201"/>
                <w:tab w:val="right" w:leader="dot" w:pos="9298"/>
              </w:tabs>
              <w:ind w:firstLine="0" w:firstLineChars="0"/>
              <w:jc w:val="center"/>
              <w:rPr>
                <w:rFonts w:hint="eastAsia" w:ascii="Times New Roman" w:eastAsia="宋体"/>
                <w:szCs w:val="21"/>
                <w:lang w:val="en-US" w:eastAsia="zh-CN"/>
              </w:rPr>
            </w:pPr>
            <w:r>
              <w:rPr>
                <w:rFonts w:hint="eastAsia" w:ascii="Times New Roman"/>
                <w:szCs w:val="21"/>
                <w:lang w:val="en-US" w:eastAsia="zh-CN"/>
              </w:rPr>
              <w:t>0</w:t>
            </w:r>
          </w:p>
        </w:tc>
        <w:tc>
          <w:tcPr>
            <w:tcW w:w="700" w:type="pct"/>
            <w:noWrap w:val="0"/>
            <w:vAlign w:val="center"/>
          </w:tcPr>
          <w:p>
            <w:pPr>
              <w:pStyle w:val="16"/>
              <w:tabs>
                <w:tab w:val="center" w:pos="4201"/>
                <w:tab w:val="right" w:leader="dot" w:pos="9298"/>
              </w:tabs>
              <w:ind w:firstLine="0" w:firstLineChars="0"/>
              <w:jc w:val="center"/>
              <w:rPr>
                <w:rFonts w:hint="default" w:ascii="Times New Roman" w:eastAsia="宋体"/>
                <w:szCs w:val="21"/>
                <w:lang w:val="en-US" w:eastAsia="zh-CN"/>
              </w:rPr>
            </w:pPr>
            <w:r>
              <w:rPr>
                <w:rFonts w:hint="eastAsia" w:ascii="Times New Roman"/>
                <w:szCs w:val="21"/>
                <w:lang w:val="en-US" w:eastAsia="zh-CN"/>
              </w:rPr>
              <w:t>9</w:t>
            </w:r>
          </w:p>
        </w:tc>
        <w:tc>
          <w:tcPr>
            <w:tcW w:w="805" w:type="pct"/>
            <w:noWrap w:val="0"/>
            <w:vAlign w:val="center"/>
          </w:tcPr>
          <w:p>
            <w:pPr>
              <w:pStyle w:val="16"/>
              <w:tabs>
                <w:tab w:val="center" w:pos="4201"/>
                <w:tab w:val="right" w:leader="dot" w:pos="9298"/>
              </w:tabs>
              <w:ind w:firstLine="0" w:firstLineChars="0"/>
              <w:jc w:val="center"/>
              <w:rPr>
                <w:rFonts w:hint="default" w:ascii="Times New Roman" w:eastAsia="宋体"/>
                <w:szCs w:val="21"/>
                <w:lang w:val="en-US" w:eastAsia="zh-CN"/>
              </w:rPr>
            </w:pPr>
            <w:r>
              <w:rPr>
                <w:rFonts w:hint="eastAsia" w:ascii="Times New Roman"/>
                <w:szCs w:val="21"/>
                <w:lang w:val="en-US" w:eastAsia="zh-CN"/>
              </w:rPr>
              <w:t>48</w:t>
            </w:r>
          </w:p>
        </w:tc>
        <w:tc>
          <w:tcPr>
            <w:tcW w:w="662" w:type="pct"/>
            <w:noWrap w:val="0"/>
            <w:vAlign w:val="center"/>
          </w:tcPr>
          <w:p>
            <w:pPr>
              <w:pStyle w:val="16"/>
              <w:tabs>
                <w:tab w:val="center" w:pos="4201"/>
                <w:tab w:val="right" w:leader="dot" w:pos="9298"/>
              </w:tabs>
              <w:ind w:firstLine="0" w:firstLineChars="0"/>
              <w:jc w:val="center"/>
              <w:rPr>
                <w:rFonts w:hint="default" w:ascii="Times New Roman" w:eastAsia="宋体"/>
                <w:szCs w:val="21"/>
                <w:lang w:val="en-US" w:eastAsia="zh-CN"/>
              </w:rPr>
            </w:pPr>
            <w:r>
              <w:rPr>
                <w:rFonts w:hint="eastAsia" w:ascii="Times New Roman"/>
                <w:szCs w:val="21"/>
                <w:lang w:val="en-US" w:eastAsia="zh-CN"/>
              </w:rPr>
              <w:t>75</w:t>
            </w:r>
          </w:p>
        </w:tc>
        <w:tc>
          <w:tcPr>
            <w:tcW w:w="1542" w:type="pct"/>
            <w:noWrap w:val="0"/>
            <w:vAlign w:val="center"/>
          </w:tcPr>
          <w:p>
            <w:pPr>
              <w:pStyle w:val="16"/>
              <w:tabs>
                <w:tab w:val="center" w:pos="4201"/>
                <w:tab w:val="right" w:leader="dot" w:pos="9298"/>
              </w:tabs>
              <w:ind w:firstLine="0" w:firstLineChars="0"/>
              <w:jc w:val="center"/>
              <w:rPr>
                <w:rFonts w:hint="default" w:ascii="Times New Roman" w:eastAsia="宋体"/>
                <w:szCs w:val="21"/>
                <w:lang w:val="en-US" w:eastAsia="zh-CN"/>
              </w:rPr>
            </w:pPr>
            <w:r>
              <w:rPr>
                <w:rFonts w:hint="eastAsia" w:ascii="Times New Roman"/>
                <w:szCs w:val="21"/>
                <w:lang w:val="en-US" w:eastAsia="zh-CN"/>
              </w:rPr>
              <w:t>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trPr>
        <w:tc>
          <w:tcPr>
            <w:tcW w:w="643"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6</w:t>
            </w:r>
          </w:p>
        </w:tc>
        <w:tc>
          <w:tcPr>
            <w:tcW w:w="646" w:type="pct"/>
            <w:noWrap w:val="0"/>
            <w:vAlign w:val="center"/>
          </w:tcPr>
          <w:p>
            <w:pPr>
              <w:pStyle w:val="16"/>
              <w:tabs>
                <w:tab w:val="center" w:pos="4201"/>
                <w:tab w:val="right" w:leader="dot" w:pos="9298"/>
              </w:tabs>
              <w:ind w:firstLine="0" w:firstLineChars="0"/>
              <w:jc w:val="center"/>
              <w:rPr>
                <w:rFonts w:hint="eastAsia" w:ascii="Times New Roman" w:eastAsia="宋体"/>
                <w:szCs w:val="21"/>
                <w:lang w:val="en-US" w:eastAsia="zh-CN"/>
              </w:rPr>
            </w:pPr>
            <w:r>
              <w:rPr>
                <w:rFonts w:hint="eastAsia" w:ascii="Times New Roman"/>
                <w:szCs w:val="21"/>
                <w:lang w:val="en-US" w:eastAsia="zh-CN"/>
              </w:rPr>
              <w:t>0</w:t>
            </w:r>
          </w:p>
        </w:tc>
        <w:tc>
          <w:tcPr>
            <w:tcW w:w="700" w:type="pct"/>
            <w:noWrap w:val="0"/>
            <w:vAlign w:val="center"/>
          </w:tcPr>
          <w:p>
            <w:pPr>
              <w:pStyle w:val="16"/>
              <w:tabs>
                <w:tab w:val="center" w:pos="4201"/>
                <w:tab w:val="right" w:leader="dot" w:pos="9298"/>
              </w:tabs>
              <w:ind w:firstLine="0" w:firstLineChars="0"/>
              <w:jc w:val="center"/>
              <w:rPr>
                <w:rFonts w:hint="default" w:ascii="Times New Roman" w:eastAsia="宋体"/>
                <w:szCs w:val="21"/>
                <w:lang w:val="en-US" w:eastAsia="zh-CN"/>
              </w:rPr>
            </w:pPr>
            <w:r>
              <w:rPr>
                <w:rFonts w:hint="eastAsia" w:ascii="Times New Roman"/>
                <w:szCs w:val="21"/>
                <w:lang w:val="en-US" w:eastAsia="zh-CN"/>
              </w:rPr>
              <w:t>18</w:t>
            </w:r>
          </w:p>
        </w:tc>
        <w:tc>
          <w:tcPr>
            <w:tcW w:w="805" w:type="pct"/>
            <w:noWrap w:val="0"/>
            <w:vAlign w:val="center"/>
          </w:tcPr>
          <w:p>
            <w:pPr>
              <w:pStyle w:val="16"/>
              <w:tabs>
                <w:tab w:val="center" w:pos="4201"/>
                <w:tab w:val="right" w:leader="dot" w:pos="9298"/>
              </w:tabs>
              <w:ind w:firstLine="0" w:firstLineChars="0"/>
              <w:jc w:val="center"/>
              <w:rPr>
                <w:rFonts w:hint="default" w:ascii="Times New Roman" w:eastAsia="宋体"/>
                <w:szCs w:val="21"/>
                <w:lang w:val="en-US" w:eastAsia="zh-CN"/>
              </w:rPr>
            </w:pPr>
            <w:r>
              <w:rPr>
                <w:rFonts w:hint="eastAsia" w:ascii="Times New Roman"/>
                <w:szCs w:val="21"/>
                <w:lang w:val="en-US" w:eastAsia="zh-CN"/>
              </w:rPr>
              <w:t>52</w:t>
            </w:r>
          </w:p>
        </w:tc>
        <w:tc>
          <w:tcPr>
            <w:tcW w:w="662" w:type="pct"/>
            <w:noWrap w:val="0"/>
            <w:vAlign w:val="center"/>
          </w:tcPr>
          <w:p>
            <w:pPr>
              <w:pStyle w:val="16"/>
              <w:tabs>
                <w:tab w:val="center" w:pos="4201"/>
                <w:tab w:val="right" w:leader="dot" w:pos="9298"/>
              </w:tabs>
              <w:ind w:firstLine="0" w:firstLineChars="0"/>
              <w:jc w:val="center"/>
              <w:rPr>
                <w:rFonts w:hint="default" w:ascii="Times New Roman" w:eastAsia="宋体"/>
                <w:szCs w:val="21"/>
                <w:lang w:val="en-US" w:eastAsia="zh-CN"/>
              </w:rPr>
            </w:pPr>
            <w:r>
              <w:rPr>
                <w:rFonts w:hint="eastAsia" w:ascii="Times New Roman"/>
                <w:szCs w:val="21"/>
                <w:lang w:val="en-US" w:eastAsia="zh-CN"/>
              </w:rPr>
              <w:t>85</w:t>
            </w:r>
          </w:p>
        </w:tc>
        <w:tc>
          <w:tcPr>
            <w:tcW w:w="1542" w:type="pct"/>
            <w:noWrap w:val="0"/>
            <w:vAlign w:val="center"/>
          </w:tcPr>
          <w:p>
            <w:pPr>
              <w:pStyle w:val="16"/>
              <w:tabs>
                <w:tab w:val="center" w:pos="4201"/>
                <w:tab w:val="right" w:leader="dot" w:pos="9298"/>
              </w:tabs>
              <w:ind w:firstLine="0" w:firstLineChars="0"/>
              <w:jc w:val="center"/>
              <w:rPr>
                <w:rFonts w:hint="default" w:ascii="Times New Roman" w:eastAsia="宋体"/>
                <w:szCs w:val="21"/>
                <w:lang w:val="en-US" w:eastAsia="zh-CN"/>
              </w:rPr>
            </w:pPr>
            <w:r>
              <w:rPr>
                <w:rFonts w:hint="eastAsia" w:ascii="Times New Roman"/>
                <w:szCs w:val="21"/>
                <w:lang w:val="en-US" w:eastAsia="zh-CN"/>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trPr>
        <w:tc>
          <w:tcPr>
            <w:tcW w:w="643"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7</w:t>
            </w:r>
          </w:p>
        </w:tc>
        <w:tc>
          <w:tcPr>
            <w:tcW w:w="646" w:type="pct"/>
            <w:noWrap w:val="0"/>
            <w:vAlign w:val="center"/>
          </w:tcPr>
          <w:p>
            <w:pPr>
              <w:pStyle w:val="16"/>
              <w:tabs>
                <w:tab w:val="center" w:pos="4201"/>
                <w:tab w:val="right" w:leader="dot" w:pos="9298"/>
              </w:tabs>
              <w:ind w:firstLine="0" w:firstLineChars="0"/>
              <w:jc w:val="center"/>
              <w:rPr>
                <w:rFonts w:hint="eastAsia" w:ascii="Times New Roman" w:eastAsia="宋体"/>
                <w:szCs w:val="21"/>
                <w:lang w:val="en-US" w:eastAsia="zh-CN"/>
              </w:rPr>
            </w:pPr>
            <w:r>
              <w:rPr>
                <w:rFonts w:hint="eastAsia" w:ascii="Times New Roman"/>
                <w:szCs w:val="21"/>
                <w:lang w:val="en-US" w:eastAsia="zh-CN"/>
              </w:rPr>
              <w:t>0</w:t>
            </w:r>
          </w:p>
        </w:tc>
        <w:tc>
          <w:tcPr>
            <w:tcW w:w="700" w:type="pct"/>
            <w:noWrap w:val="0"/>
            <w:vAlign w:val="center"/>
          </w:tcPr>
          <w:p>
            <w:pPr>
              <w:pStyle w:val="16"/>
              <w:tabs>
                <w:tab w:val="center" w:pos="4201"/>
                <w:tab w:val="right" w:leader="dot" w:pos="9298"/>
              </w:tabs>
              <w:ind w:firstLine="0" w:firstLineChars="0"/>
              <w:jc w:val="center"/>
              <w:rPr>
                <w:rFonts w:hint="eastAsia" w:ascii="Times New Roman" w:eastAsia="宋体"/>
                <w:szCs w:val="21"/>
                <w:lang w:val="en-US" w:eastAsia="zh-CN"/>
              </w:rPr>
            </w:pPr>
            <w:r>
              <w:rPr>
                <w:rFonts w:hint="eastAsia" w:ascii="Times New Roman"/>
                <w:szCs w:val="21"/>
                <w:lang w:val="en-US" w:eastAsia="zh-CN"/>
              </w:rPr>
              <w:t>3</w:t>
            </w:r>
          </w:p>
        </w:tc>
        <w:tc>
          <w:tcPr>
            <w:tcW w:w="805" w:type="pct"/>
            <w:noWrap w:val="0"/>
            <w:vAlign w:val="center"/>
          </w:tcPr>
          <w:p>
            <w:pPr>
              <w:pStyle w:val="16"/>
              <w:tabs>
                <w:tab w:val="center" w:pos="4201"/>
                <w:tab w:val="right" w:leader="dot" w:pos="9298"/>
              </w:tabs>
              <w:ind w:firstLine="0" w:firstLineChars="0"/>
              <w:jc w:val="center"/>
              <w:rPr>
                <w:rFonts w:hint="default" w:ascii="Times New Roman" w:eastAsia="宋体"/>
                <w:szCs w:val="21"/>
                <w:lang w:val="en-US" w:eastAsia="zh-CN"/>
              </w:rPr>
            </w:pPr>
            <w:r>
              <w:rPr>
                <w:rFonts w:hint="eastAsia" w:ascii="Times New Roman"/>
                <w:szCs w:val="21"/>
                <w:lang w:val="en-US" w:eastAsia="zh-CN"/>
              </w:rPr>
              <w:t>22</w:t>
            </w:r>
          </w:p>
        </w:tc>
        <w:tc>
          <w:tcPr>
            <w:tcW w:w="662" w:type="pct"/>
            <w:noWrap w:val="0"/>
            <w:vAlign w:val="center"/>
          </w:tcPr>
          <w:p>
            <w:pPr>
              <w:pStyle w:val="16"/>
              <w:tabs>
                <w:tab w:val="center" w:pos="4201"/>
                <w:tab w:val="right" w:leader="dot" w:pos="9298"/>
              </w:tabs>
              <w:ind w:firstLine="0" w:firstLineChars="0"/>
              <w:jc w:val="center"/>
              <w:rPr>
                <w:rFonts w:hint="default" w:ascii="Times New Roman" w:eastAsia="宋体"/>
                <w:szCs w:val="21"/>
                <w:lang w:val="en-US" w:eastAsia="zh-CN"/>
              </w:rPr>
            </w:pPr>
            <w:r>
              <w:rPr>
                <w:rFonts w:hint="eastAsia" w:ascii="Times New Roman"/>
                <w:szCs w:val="21"/>
                <w:lang w:val="en-US" w:eastAsia="zh-CN"/>
              </w:rPr>
              <w:t>57</w:t>
            </w:r>
          </w:p>
        </w:tc>
        <w:tc>
          <w:tcPr>
            <w:tcW w:w="1542" w:type="pct"/>
            <w:noWrap w:val="0"/>
            <w:vAlign w:val="center"/>
          </w:tcPr>
          <w:p>
            <w:pPr>
              <w:pStyle w:val="16"/>
              <w:tabs>
                <w:tab w:val="center" w:pos="4201"/>
                <w:tab w:val="right" w:leader="dot" w:pos="9298"/>
              </w:tabs>
              <w:ind w:firstLine="0" w:firstLineChars="0"/>
              <w:jc w:val="center"/>
              <w:rPr>
                <w:rFonts w:hint="default" w:ascii="Times New Roman" w:eastAsia="宋体"/>
                <w:szCs w:val="21"/>
                <w:lang w:val="en-US" w:eastAsia="zh-CN"/>
              </w:rPr>
            </w:pPr>
            <w:r>
              <w:rPr>
                <w:rFonts w:hint="eastAsia" w:ascii="Times New Roman"/>
                <w:szCs w:val="21"/>
                <w:lang w:val="en-US" w:eastAsia="zh-C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trPr>
        <w:tc>
          <w:tcPr>
            <w:tcW w:w="643"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8</w:t>
            </w:r>
          </w:p>
        </w:tc>
        <w:tc>
          <w:tcPr>
            <w:tcW w:w="646" w:type="pct"/>
            <w:noWrap w:val="0"/>
            <w:vAlign w:val="center"/>
          </w:tcPr>
          <w:p>
            <w:pPr>
              <w:pStyle w:val="16"/>
              <w:tabs>
                <w:tab w:val="center" w:pos="4201"/>
                <w:tab w:val="right" w:leader="dot" w:pos="9298"/>
              </w:tabs>
              <w:ind w:firstLine="0" w:firstLineChars="0"/>
              <w:jc w:val="center"/>
              <w:rPr>
                <w:rFonts w:hint="eastAsia" w:ascii="Times New Roman" w:eastAsia="宋体"/>
                <w:szCs w:val="21"/>
                <w:lang w:val="en-US" w:eastAsia="zh-CN"/>
              </w:rPr>
            </w:pPr>
            <w:r>
              <w:rPr>
                <w:rFonts w:hint="eastAsia" w:ascii="Times New Roman"/>
                <w:szCs w:val="21"/>
                <w:lang w:val="en-US" w:eastAsia="zh-CN"/>
              </w:rPr>
              <w:t>0</w:t>
            </w:r>
          </w:p>
        </w:tc>
        <w:tc>
          <w:tcPr>
            <w:tcW w:w="700" w:type="pct"/>
            <w:noWrap w:val="0"/>
            <w:vAlign w:val="center"/>
          </w:tcPr>
          <w:p>
            <w:pPr>
              <w:pStyle w:val="16"/>
              <w:tabs>
                <w:tab w:val="center" w:pos="4201"/>
                <w:tab w:val="right" w:leader="dot" w:pos="9298"/>
              </w:tabs>
              <w:ind w:firstLine="0" w:firstLineChars="0"/>
              <w:jc w:val="center"/>
              <w:rPr>
                <w:rFonts w:hint="eastAsia" w:ascii="Times New Roman" w:eastAsia="宋体"/>
                <w:szCs w:val="21"/>
                <w:lang w:val="en-US" w:eastAsia="zh-CN"/>
              </w:rPr>
            </w:pPr>
            <w:r>
              <w:rPr>
                <w:rFonts w:hint="eastAsia" w:ascii="Times New Roman"/>
                <w:szCs w:val="21"/>
                <w:lang w:val="en-US" w:eastAsia="zh-CN"/>
              </w:rPr>
              <w:t>7</w:t>
            </w:r>
          </w:p>
        </w:tc>
        <w:tc>
          <w:tcPr>
            <w:tcW w:w="805" w:type="pct"/>
            <w:noWrap w:val="0"/>
            <w:vAlign w:val="center"/>
          </w:tcPr>
          <w:p>
            <w:pPr>
              <w:pStyle w:val="16"/>
              <w:tabs>
                <w:tab w:val="center" w:pos="4201"/>
                <w:tab w:val="right" w:leader="dot" w:pos="9298"/>
              </w:tabs>
              <w:ind w:firstLine="0" w:firstLineChars="0"/>
              <w:jc w:val="center"/>
              <w:rPr>
                <w:rFonts w:hint="default" w:ascii="Times New Roman" w:eastAsia="宋体"/>
                <w:szCs w:val="21"/>
                <w:lang w:val="en-US" w:eastAsia="zh-CN"/>
              </w:rPr>
            </w:pPr>
            <w:r>
              <w:rPr>
                <w:rFonts w:hint="eastAsia" w:ascii="Times New Roman"/>
                <w:szCs w:val="21"/>
                <w:lang w:val="en-US" w:eastAsia="zh-CN"/>
              </w:rPr>
              <w:t>23</w:t>
            </w:r>
          </w:p>
        </w:tc>
        <w:tc>
          <w:tcPr>
            <w:tcW w:w="662" w:type="pct"/>
            <w:noWrap w:val="0"/>
            <w:vAlign w:val="center"/>
          </w:tcPr>
          <w:p>
            <w:pPr>
              <w:pStyle w:val="16"/>
              <w:tabs>
                <w:tab w:val="center" w:pos="4201"/>
                <w:tab w:val="right" w:leader="dot" w:pos="9298"/>
              </w:tabs>
              <w:ind w:firstLine="0" w:firstLineChars="0"/>
              <w:jc w:val="center"/>
              <w:rPr>
                <w:rFonts w:hint="default" w:ascii="Times New Roman" w:eastAsia="宋体"/>
                <w:szCs w:val="21"/>
                <w:lang w:val="en-US" w:eastAsia="zh-CN"/>
              </w:rPr>
            </w:pPr>
            <w:r>
              <w:rPr>
                <w:rFonts w:hint="eastAsia" w:ascii="Times New Roman"/>
                <w:szCs w:val="21"/>
                <w:lang w:val="en-US" w:eastAsia="zh-CN"/>
              </w:rPr>
              <w:t>62</w:t>
            </w:r>
          </w:p>
        </w:tc>
        <w:tc>
          <w:tcPr>
            <w:tcW w:w="1542" w:type="pct"/>
            <w:noWrap w:val="0"/>
            <w:vAlign w:val="center"/>
          </w:tcPr>
          <w:p>
            <w:pPr>
              <w:pStyle w:val="16"/>
              <w:tabs>
                <w:tab w:val="center" w:pos="4201"/>
                <w:tab w:val="right" w:leader="dot" w:pos="9298"/>
              </w:tabs>
              <w:ind w:firstLine="0" w:firstLineChars="0"/>
              <w:jc w:val="center"/>
              <w:rPr>
                <w:rFonts w:hint="default" w:ascii="Times New Roman" w:eastAsia="宋体"/>
                <w:szCs w:val="21"/>
                <w:lang w:val="en-US" w:eastAsia="zh-CN"/>
              </w:rPr>
            </w:pPr>
            <w:r>
              <w:rPr>
                <w:rFonts w:hint="eastAsia" w:ascii="Times New Roman"/>
                <w:szCs w:val="21"/>
                <w:lang w:val="en-US" w:eastAsia="zh-CN"/>
              </w:rPr>
              <w:t>0.30</w:t>
            </w:r>
          </w:p>
        </w:tc>
      </w:tr>
      <w:bookmarkEnd w:id="30"/>
      <w:bookmarkEnd w:id="31"/>
      <w:bookmarkEnd w:id="32"/>
      <w:bookmarkEnd w:id="33"/>
    </w:tbl>
    <w:p>
      <w:pPr>
        <w:widowControl/>
        <w:ind w:firstLine="480"/>
        <w:rPr>
          <w:sz w:val="24"/>
          <w:szCs w:val="21"/>
        </w:rPr>
      </w:pPr>
      <w:r>
        <w:rPr>
          <w:sz w:val="24"/>
          <w:szCs w:val="21"/>
        </w:rPr>
        <w:t>标准编制组选取几种代表性样品委托4家参编单位</w:t>
      </w:r>
      <w:r>
        <w:rPr>
          <w:rFonts w:hint="eastAsia"/>
          <w:sz w:val="24"/>
          <w:szCs w:val="21"/>
          <w:lang w:val="en-US" w:eastAsia="zh-CN"/>
        </w:rPr>
        <w:t>对MB值</w:t>
      </w:r>
      <w:r>
        <w:rPr>
          <w:sz w:val="24"/>
          <w:szCs w:val="21"/>
        </w:rPr>
        <w:t>进行了平行测试，结果如表</w:t>
      </w:r>
      <w:r>
        <w:rPr>
          <w:rFonts w:hint="eastAsia"/>
          <w:sz w:val="24"/>
          <w:szCs w:val="21"/>
          <w:lang w:val="en-US" w:eastAsia="zh-CN"/>
        </w:rPr>
        <w:t>8</w:t>
      </w:r>
      <w:r>
        <w:rPr>
          <w:sz w:val="24"/>
          <w:szCs w:val="21"/>
        </w:rPr>
        <w:t>所示。</w:t>
      </w:r>
    </w:p>
    <w:p>
      <w:pPr>
        <w:pStyle w:val="16"/>
        <w:tabs>
          <w:tab w:val="center" w:pos="4201"/>
          <w:tab w:val="right" w:leader="dot" w:pos="9298"/>
        </w:tabs>
        <w:spacing w:before="156" w:beforeLines="50" w:after="156" w:afterLines="50" w:line="276" w:lineRule="auto"/>
        <w:ind w:firstLine="420" w:firstLineChars="0"/>
        <w:jc w:val="center"/>
        <w:rPr>
          <w:rFonts w:ascii="Times New Roman" w:eastAsia="黑体"/>
          <w:szCs w:val="21"/>
        </w:rPr>
      </w:pPr>
      <w:r>
        <w:rPr>
          <w:rFonts w:ascii="Times New Roman" w:eastAsia="黑体"/>
          <w:szCs w:val="21"/>
        </w:rPr>
        <w:t>表</w:t>
      </w:r>
      <w:r>
        <w:rPr>
          <w:rFonts w:hint="eastAsia" w:ascii="Times New Roman" w:eastAsia="黑体"/>
          <w:szCs w:val="21"/>
          <w:lang w:val="en-US" w:eastAsia="zh-CN"/>
        </w:rPr>
        <w:t>8</w:t>
      </w:r>
      <w:r>
        <w:rPr>
          <w:rFonts w:ascii="Times New Roman" w:eastAsia="黑体"/>
          <w:szCs w:val="21"/>
        </w:rPr>
        <w:t xml:space="preserve"> 代表性</w:t>
      </w:r>
      <w:r>
        <w:rPr>
          <w:rFonts w:hint="eastAsia" w:ascii="Times New Roman" w:eastAsia="黑体"/>
          <w:szCs w:val="21"/>
          <w:lang w:eastAsia="zh-CN"/>
        </w:rPr>
        <w:t>铜尾矿砂</w:t>
      </w:r>
      <w:r>
        <w:rPr>
          <w:rFonts w:hint="eastAsia" w:ascii="Times New Roman" w:eastAsia="黑体"/>
          <w:szCs w:val="21"/>
          <w:lang w:val="en-US" w:eastAsia="zh-CN"/>
        </w:rPr>
        <w:t>MB值</w:t>
      </w:r>
      <w:r>
        <w:rPr>
          <w:rFonts w:ascii="Times New Roman" w:eastAsia="黑体"/>
          <w:szCs w:val="21"/>
        </w:rPr>
        <w:t>测试结果</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946"/>
        <w:gridCol w:w="946"/>
        <w:gridCol w:w="948"/>
        <w:gridCol w:w="948"/>
        <w:gridCol w:w="948"/>
        <w:gridCol w:w="948"/>
        <w:gridCol w:w="948"/>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4" w:type="pct"/>
            <w:vMerge w:val="restar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样品</w:t>
            </w:r>
          </w:p>
        </w:tc>
        <w:tc>
          <w:tcPr>
            <w:tcW w:w="1666" w:type="pct"/>
            <w:gridSpan w:val="3"/>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单位1</w:t>
            </w:r>
          </w:p>
        </w:tc>
        <w:tc>
          <w:tcPr>
            <w:tcW w:w="1668" w:type="pct"/>
            <w:gridSpan w:val="3"/>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单位2</w:t>
            </w:r>
          </w:p>
        </w:tc>
        <w:tc>
          <w:tcPr>
            <w:tcW w:w="1111" w:type="pct"/>
            <w:gridSpan w:val="2"/>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单位3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4" w:type="pct"/>
            <w:vMerge w:val="continue"/>
            <w:noWrap w:val="0"/>
            <w:vAlign w:val="center"/>
          </w:tcPr>
          <w:p>
            <w:pPr>
              <w:pStyle w:val="16"/>
              <w:tabs>
                <w:tab w:val="center" w:pos="4201"/>
                <w:tab w:val="right" w:leader="dot" w:pos="9298"/>
              </w:tabs>
              <w:ind w:firstLine="0" w:firstLineChars="0"/>
              <w:jc w:val="center"/>
              <w:rPr>
                <w:rFonts w:ascii="Times New Roman"/>
                <w:szCs w:val="21"/>
              </w:rPr>
            </w:pPr>
          </w:p>
        </w:tc>
        <w:tc>
          <w:tcPr>
            <w:tcW w:w="555"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方法1</w:t>
            </w:r>
          </w:p>
        </w:tc>
        <w:tc>
          <w:tcPr>
            <w:tcW w:w="555"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方法2</w:t>
            </w:r>
          </w:p>
        </w:tc>
        <w:tc>
          <w:tcPr>
            <w:tcW w:w="556"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方法3</w:t>
            </w:r>
          </w:p>
        </w:tc>
        <w:tc>
          <w:tcPr>
            <w:tcW w:w="556"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方法1</w:t>
            </w:r>
          </w:p>
        </w:tc>
        <w:tc>
          <w:tcPr>
            <w:tcW w:w="556"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方法2</w:t>
            </w:r>
          </w:p>
        </w:tc>
        <w:tc>
          <w:tcPr>
            <w:tcW w:w="556"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方法3</w:t>
            </w:r>
          </w:p>
        </w:tc>
        <w:tc>
          <w:tcPr>
            <w:tcW w:w="556"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溶液1</w:t>
            </w:r>
          </w:p>
        </w:tc>
        <w:tc>
          <w:tcPr>
            <w:tcW w:w="555"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溶液2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4"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1</w:t>
            </w:r>
          </w:p>
        </w:tc>
        <w:tc>
          <w:tcPr>
            <w:tcW w:w="555"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1.3</w:t>
            </w:r>
          </w:p>
        </w:tc>
        <w:tc>
          <w:tcPr>
            <w:tcW w:w="555"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0.8</w:t>
            </w:r>
          </w:p>
        </w:tc>
        <w:tc>
          <w:tcPr>
            <w:tcW w:w="556"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1.1</w:t>
            </w:r>
          </w:p>
        </w:tc>
        <w:tc>
          <w:tcPr>
            <w:tcW w:w="556"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1.0</w:t>
            </w:r>
          </w:p>
        </w:tc>
        <w:tc>
          <w:tcPr>
            <w:tcW w:w="556"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0.5</w:t>
            </w:r>
          </w:p>
        </w:tc>
        <w:tc>
          <w:tcPr>
            <w:tcW w:w="556"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0.5</w:t>
            </w:r>
          </w:p>
        </w:tc>
        <w:tc>
          <w:tcPr>
            <w:tcW w:w="556"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0.4</w:t>
            </w:r>
          </w:p>
        </w:tc>
        <w:tc>
          <w:tcPr>
            <w:tcW w:w="555"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4"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2</w:t>
            </w:r>
          </w:p>
        </w:tc>
        <w:tc>
          <w:tcPr>
            <w:tcW w:w="555"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0.7</w:t>
            </w:r>
          </w:p>
        </w:tc>
        <w:tc>
          <w:tcPr>
            <w:tcW w:w="555"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0.4</w:t>
            </w:r>
          </w:p>
        </w:tc>
        <w:tc>
          <w:tcPr>
            <w:tcW w:w="556"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0.6</w:t>
            </w:r>
          </w:p>
        </w:tc>
        <w:tc>
          <w:tcPr>
            <w:tcW w:w="556"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0.7</w:t>
            </w:r>
          </w:p>
        </w:tc>
        <w:tc>
          <w:tcPr>
            <w:tcW w:w="556"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0.4</w:t>
            </w:r>
          </w:p>
        </w:tc>
        <w:tc>
          <w:tcPr>
            <w:tcW w:w="556"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0.5</w:t>
            </w:r>
          </w:p>
        </w:tc>
        <w:tc>
          <w:tcPr>
            <w:tcW w:w="556"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0.4</w:t>
            </w:r>
          </w:p>
        </w:tc>
        <w:tc>
          <w:tcPr>
            <w:tcW w:w="555"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4"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3</w:t>
            </w:r>
          </w:p>
        </w:tc>
        <w:tc>
          <w:tcPr>
            <w:tcW w:w="555"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1.0</w:t>
            </w:r>
          </w:p>
        </w:tc>
        <w:tc>
          <w:tcPr>
            <w:tcW w:w="555"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0.5</w:t>
            </w:r>
          </w:p>
        </w:tc>
        <w:tc>
          <w:tcPr>
            <w:tcW w:w="556"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0.8</w:t>
            </w:r>
          </w:p>
        </w:tc>
        <w:tc>
          <w:tcPr>
            <w:tcW w:w="556"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0.8</w:t>
            </w:r>
          </w:p>
        </w:tc>
        <w:tc>
          <w:tcPr>
            <w:tcW w:w="556"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0.5</w:t>
            </w:r>
          </w:p>
        </w:tc>
        <w:tc>
          <w:tcPr>
            <w:tcW w:w="556"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0.5</w:t>
            </w:r>
          </w:p>
        </w:tc>
        <w:tc>
          <w:tcPr>
            <w:tcW w:w="556"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0.2</w:t>
            </w:r>
          </w:p>
        </w:tc>
        <w:tc>
          <w:tcPr>
            <w:tcW w:w="555"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4"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4</w:t>
            </w:r>
          </w:p>
        </w:tc>
        <w:tc>
          <w:tcPr>
            <w:tcW w:w="555"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0.3</w:t>
            </w:r>
          </w:p>
        </w:tc>
        <w:tc>
          <w:tcPr>
            <w:tcW w:w="555"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0.2</w:t>
            </w:r>
          </w:p>
        </w:tc>
        <w:tc>
          <w:tcPr>
            <w:tcW w:w="556"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0.2</w:t>
            </w:r>
          </w:p>
        </w:tc>
        <w:tc>
          <w:tcPr>
            <w:tcW w:w="556"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0.3</w:t>
            </w:r>
          </w:p>
        </w:tc>
        <w:tc>
          <w:tcPr>
            <w:tcW w:w="556"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0.3</w:t>
            </w:r>
          </w:p>
        </w:tc>
        <w:tc>
          <w:tcPr>
            <w:tcW w:w="556"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0.3</w:t>
            </w:r>
          </w:p>
        </w:tc>
        <w:tc>
          <w:tcPr>
            <w:tcW w:w="556"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0.5</w:t>
            </w:r>
          </w:p>
        </w:tc>
        <w:tc>
          <w:tcPr>
            <w:tcW w:w="555"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4"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5</w:t>
            </w:r>
          </w:p>
        </w:tc>
        <w:tc>
          <w:tcPr>
            <w:tcW w:w="555"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1.2</w:t>
            </w:r>
          </w:p>
        </w:tc>
        <w:tc>
          <w:tcPr>
            <w:tcW w:w="555"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w:t>
            </w:r>
          </w:p>
        </w:tc>
        <w:tc>
          <w:tcPr>
            <w:tcW w:w="556"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w:t>
            </w:r>
          </w:p>
        </w:tc>
        <w:tc>
          <w:tcPr>
            <w:tcW w:w="556"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w:t>
            </w:r>
          </w:p>
        </w:tc>
        <w:tc>
          <w:tcPr>
            <w:tcW w:w="556"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w:t>
            </w:r>
          </w:p>
        </w:tc>
        <w:tc>
          <w:tcPr>
            <w:tcW w:w="556"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w:t>
            </w:r>
          </w:p>
        </w:tc>
        <w:tc>
          <w:tcPr>
            <w:tcW w:w="556"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w:t>
            </w:r>
          </w:p>
        </w:tc>
        <w:tc>
          <w:tcPr>
            <w:tcW w:w="555"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4"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6</w:t>
            </w:r>
          </w:p>
        </w:tc>
        <w:tc>
          <w:tcPr>
            <w:tcW w:w="555"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0.9</w:t>
            </w:r>
          </w:p>
        </w:tc>
        <w:tc>
          <w:tcPr>
            <w:tcW w:w="555"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w:t>
            </w:r>
          </w:p>
        </w:tc>
        <w:tc>
          <w:tcPr>
            <w:tcW w:w="556"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w:t>
            </w:r>
          </w:p>
        </w:tc>
        <w:tc>
          <w:tcPr>
            <w:tcW w:w="556"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w:t>
            </w:r>
          </w:p>
        </w:tc>
        <w:tc>
          <w:tcPr>
            <w:tcW w:w="556"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w:t>
            </w:r>
          </w:p>
        </w:tc>
        <w:tc>
          <w:tcPr>
            <w:tcW w:w="556"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w:t>
            </w:r>
          </w:p>
        </w:tc>
        <w:tc>
          <w:tcPr>
            <w:tcW w:w="556"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w:t>
            </w:r>
          </w:p>
        </w:tc>
        <w:tc>
          <w:tcPr>
            <w:tcW w:w="555"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4"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7</w:t>
            </w:r>
          </w:p>
        </w:tc>
        <w:tc>
          <w:tcPr>
            <w:tcW w:w="555"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1.1</w:t>
            </w:r>
          </w:p>
        </w:tc>
        <w:tc>
          <w:tcPr>
            <w:tcW w:w="555"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w:t>
            </w:r>
          </w:p>
        </w:tc>
        <w:tc>
          <w:tcPr>
            <w:tcW w:w="556"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w:t>
            </w:r>
          </w:p>
        </w:tc>
        <w:tc>
          <w:tcPr>
            <w:tcW w:w="556"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w:t>
            </w:r>
          </w:p>
        </w:tc>
        <w:tc>
          <w:tcPr>
            <w:tcW w:w="556"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w:t>
            </w:r>
          </w:p>
        </w:tc>
        <w:tc>
          <w:tcPr>
            <w:tcW w:w="556"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w:t>
            </w:r>
          </w:p>
        </w:tc>
        <w:tc>
          <w:tcPr>
            <w:tcW w:w="556"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w:t>
            </w:r>
          </w:p>
        </w:tc>
        <w:tc>
          <w:tcPr>
            <w:tcW w:w="555"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4"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8</w:t>
            </w:r>
          </w:p>
        </w:tc>
        <w:tc>
          <w:tcPr>
            <w:tcW w:w="555"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1.0</w:t>
            </w:r>
          </w:p>
        </w:tc>
        <w:tc>
          <w:tcPr>
            <w:tcW w:w="555"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w:t>
            </w:r>
          </w:p>
        </w:tc>
        <w:tc>
          <w:tcPr>
            <w:tcW w:w="556"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w:t>
            </w:r>
          </w:p>
        </w:tc>
        <w:tc>
          <w:tcPr>
            <w:tcW w:w="556"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w:t>
            </w:r>
          </w:p>
        </w:tc>
        <w:tc>
          <w:tcPr>
            <w:tcW w:w="556"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w:t>
            </w:r>
          </w:p>
        </w:tc>
        <w:tc>
          <w:tcPr>
            <w:tcW w:w="556"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w:t>
            </w:r>
          </w:p>
        </w:tc>
        <w:tc>
          <w:tcPr>
            <w:tcW w:w="556"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w:t>
            </w:r>
          </w:p>
        </w:tc>
        <w:tc>
          <w:tcPr>
            <w:tcW w:w="555"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w:t>
            </w:r>
          </w:p>
        </w:tc>
      </w:tr>
    </w:tbl>
    <w:p>
      <w:pPr>
        <w:widowControl/>
        <w:ind w:left="0" w:leftChars="0" w:firstLine="0" w:firstLineChars="0"/>
        <w:rPr>
          <w:szCs w:val="21"/>
        </w:rPr>
      </w:pPr>
      <w:r>
        <w:rPr>
          <w:szCs w:val="21"/>
        </w:rPr>
        <w:t>注：1. 单位1和单位2均采用溶液1进行试验；单位3按照JGJ/T 318方法进行。</w:t>
      </w:r>
    </w:p>
    <w:p>
      <w:pPr>
        <w:widowControl/>
        <w:rPr>
          <w:szCs w:val="21"/>
        </w:rPr>
      </w:pPr>
      <w:r>
        <w:rPr>
          <w:szCs w:val="21"/>
        </w:rPr>
        <w:t xml:space="preserve"> 2. 方法1按照国家标准GB/T 14684进行，方法2按照JG/T 568进行，方法3按照JGJ/T 318进行。</w:t>
      </w:r>
    </w:p>
    <w:p>
      <w:pPr>
        <w:widowControl/>
        <w:ind w:firstLine="480"/>
        <w:rPr>
          <w:sz w:val="24"/>
          <w:szCs w:val="21"/>
        </w:rPr>
      </w:pPr>
      <w:r>
        <w:rPr>
          <w:sz w:val="24"/>
          <w:szCs w:val="21"/>
        </w:rPr>
        <w:t>由表</w:t>
      </w:r>
      <w:r>
        <w:rPr>
          <w:rFonts w:hint="eastAsia"/>
          <w:sz w:val="24"/>
          <w:szCs w:val="21"/>
          <w:lang w:val="en-US" w:eastAsia="zh-CN"/>
        </w:rPr>
        <w:t>7</w:t>
      </w:r>
      <w:r>
        <w:rPr>
          <w:sz w:val="24"/>
          <w:szCs w:val="21"/>
        </w:rPr>
        <w:t>试验结果可以看出，</w:t>
      </w:r>
      <w:r>
        <w:rPr>
          <w:rFonts w:hint="eastAsia"/>
          <w:sz w:val="24"/>
          <w:szCs w:val="21"/>
          <w:lang w:eastAsia="zh-CN"/>
        </w:rPr>
        <w:t>铜尾矿砂</w:t>
      </w:r>
      <w:r>
        <w:rPr>
          <w:rFonts w:hint="eastAsia"/>
          <w:sz w:val="24"/>
          <w:szCs w:val="21"/>
          <w:lang w:val="en-US" w:eastAsia="zh-CN"/>
        </w:rPr>
        <w:t>颗粒级配和</w:t>
      </w:r>
      <w:r>
        <w:rPr>
          <w:sz w:val="24"/>
          <w:szCs w:val="21"/>
        </w:rPr>
        <w:t>细度模数差异极大，其粉含量也从12%~6</w:t>
      </w:r>
      <w:r>
        <w:rPr>
          <w:rFonts w:hint="eastAsia"/>
          <w:sz w:val="24"/>
          <w:szCs w:val="21"/>
          <w:lang w:val="en-US" w:eastAsia="zh-CN"/>
        </w:rPr>
        <w:t>5</w:t>
      </w:r>
      <w:r>
        <w:rPr>
          <w:sz w:val="24"/>
          <w:szCs w:val="21"/>
        </w:rPr>
        <w:t>%不等。由于其颗粒细小，采用现行国标或行标中砂的分区对其颗粒级配进行限值不具有实用价值，因此本标准</w:t>
      </w:r>
      <w:r>
        <w:rPr>
          <w:rFonts w:hint="eastAsia"/>
          <w:sz w:val="24"/>
          <w:szCs w:val="21"/>
          <w:lang w:val="en-US" w:eastAsia="zh-CN"/>
        </w:rPr>
        <w:t>根据</w:t>
      </w:r>
      <w:r>
        <w:rPr>
          <w:rFonts w:hint="eastAsia"/>
          <w:sz w:val="24"/>
          <w:szCs w:val="21"/>
          <w:lang w:eastAsia="zh-CN"/>
        </w:rPr>
        <w:t>铜尾矿砂</w:t>
      </w:r>
      <w:r>
        <w:rPr>
          <w:rFonts w:hint="eastAsia"/>
          <w:sz w:val="24"/>
          <w:szCs w:val="21"/>
          <w:lang w:val="en-US" w:eastAsia="zh-CN"/>
        </w:rPr>
        <w:t>颗粒大小将其分为0~0.15、0~0.3和0~0.6mm三种规格，对其</w:t>
      </w:r>
      <w:r>
        <w:rPr>
          <w:sz w:val="24"/>
          <w:szCs w:val="21"/>
        </w:rPr>
        <w:t>颗粒级配做出要求。</w:t>
      </w:r>
    </w:p>
    <w:p>
      <w:pPr>
        <w:widowControl/>
        <w:ind w:firstLine="480"/>
        <w:rPr>
          <w:sz w:val="24"/>
          <w:szCs w:val="21"/>
        </w:rPr>
      </w:pPr>
      <w:r>
        <w:rPr>
          <w:sz w:val="24"/>
          <w:szCs w:val="21"/>
        </w:rPr>
        <w:t>由表</w:t>
      </w:r>
      <w:r>
        <w:rPr>
          <w:rFonts w:hint="eastAsia"/>
          <w:sz w:val="24"/>
          <w:szCs w:val="21"/>
          <w:lang w:val="en-US" w:eastAsia="zh-CN"/>
        </w:rPr>
        <w:t>8</w:t>
      </w:r>
      <w:r>
        <w:rPr>
          <w:sz w:val="24"/>
          <w:szCs w:val="21"/>
        </w:rPr>
        <w:t>可以看出，</w:t>
      </w:r>
      <w:r>
        <w:rPr>
          <w:rFonts w:hint="eastAsia"/>
          <w:sz w:val="24"/>
          <w:szCs w:val="21"/>
        </w:rPr>
        <w:t>采用溶液1进行试验时，</w:t>
      </w:r>
      <w:r>
        <w:rPr>
          <w:sz w:val="24"/>
          <w:szCs w:val="21"/>
        </w:rPr>
        <w:t>几种</w:t>
      </w:r>
      <w:r>
        <w:rPr>
          <w:rFonts w:hint="eastAsia"/>
          <w:sz w:val="24"/>
          <w:szCs w:val="21"/>
          <w:lang w:eastAsia="zh-CN"/>
        </w:rPr>
        <w:t>铜尾矿砂</w:t>
      </w:r>
      <w:r>
        <w:rPr>
          <w:sz w:val="24"/>
          <w:szCs w:val="21"/>
        </w:rPr>
        <w:t>的MB值均小于现行国标和行标中要求的1.4。</w:t>
      </w:r>
      <w:r>
        <w:rPr>
          <w:rFonts w:hint="eastAsia"/>
          <w:sz w:val="24"/>
          <w:szCs w:val="21"/>
          <w:lang w:val="en-US" w:eastAsia="zh-CN"/>
        </w:rPr>
        <w:t>结合表7和表8的结果，本标准规定铜尾矿砂的粉含量放宽至50%，而通过</w:t>
      </w:r>
      <w:r>
        <w:rPr>
          <w:sz w:val="24"/>
          <w:szCs w:val="21"/>
        </w:rPr>
        <w:t>MB值</w:t>
      </w:r>
      <w:r>
        <w:rPr>
          <w:rFonts w:hint="eastAsia"/>
          <w:sz w:val="24"/>
          <w:szCs w:val="21"/>
          <w:lang w:val="en-US" w:eastAsia="zh-CN"/>
        </w:rPr>
        <w:t>划分其类别，严格限制铜尾矿砂的MB值不得超过1.4</w:t>
      </w:r>
      <w:r>
        <w:rPr>
          <w:sz w:val="24"/>
          <w:szCs w:val="21"/>
        </w:rPr>
        <w:t>。</w:t>
      </w:r>
    </w:p>
    <w:p>
      <w:pPr>
        <w:widowControl/>
        <w:ind w:firstLine="480"/>
        <w:rPr>
          <w:rFonts w:hint="eastAsia"/>
          <w:sz w:val="24"/>
          <w:szCs w:val="21"/>
        </w:rPr>
      </w:pPr>
      <w:r>
        <w:rPr>
          <w:rFonts w:hint="eastAsia"/>
          <w:sz w:val="24"/>
          <w:szCs w:val="21"/>
          <w:lang w:val="en-US" w:eastAsia="zh-CN"/>
        </w:rPr>
        <w:t>由测试结果可以看出，8个代表性样品中，符合本标准粉含量要求的样品为6个，不满足标准要求的样品2个。6个符合本标准要求的样品中，MB值符合I类要求的样品有1个，符合II类要求的样品有3个，符合III类要求的样品有2个。</w:t>
      </w:r>
    </w:p>
    <w:p>
      <w:pPr>
        <w:widowControl/>
        <w:ind w:firstLine="480"/>
        <w:rPr>
          <w:rFonts w:hint="eastAsia"/>
          <w:sz w:val="24"/>
          <w:szCs w:val="21"/>
        </w:rPr>
      </w:pPr>
      <w:r>
        <w:rPr>
          <w:rFonts w:hint="eastAsia"/>
          <w:sz w:val="24"/>
          <w:szCs w:val="21"/>
          <w:lang w:val="en-US" w:eastAsia="zh-CN"/>
        </w:rPr>
        <w:t>由测试结果可以看出，8个代表性样品中，符合本标准粉含量要求的样品为6个，不满足标准要求的样品2个。6个符合本标准要求的样品中，MB值符合I类要求的样品有1个，符合II类要求的样品有3个，符合III类要求的样品有2个。</w:t>
      </w:r>
    </w:p>
    <w:p>
      <w:pPr>
        <w:pStyle w:val="3"/>
        <w:widowControl/>
        <w:jc w:val="both"/>
        <w:rPr>
          <w:kern w:val="0"/>
          <w:szCs w:val="24"/>
        </w:rPr>
      </w:pPr>
      <w:bookmarkStart w:id="34" w:name="_Toc24425"/>
      <w:r>
        <w:rPr>
          <w:kern w:val="0"/>
          <w:szCs w:val="24"/>
        </w:rPr>
        <w:t xml:space="preserve">3.2 </w:t>
      </w:r>
      <w:r>
        <w:rPr>
          <w:rFonts w:hint="eastAsia"/>
          <w:kern w:val="0"/>
          <w:szCs w:val="24"/>
          <w:lang w:eastAsia="zh-CN"/>
        </w:rPr>
        <w:t>铜尾矿砂</w:t>
      </w:r>
      <w:r>
        <w:rPr>
          <w:kern w:val="0"/>
          <w:szCs w:val="24"/>
        </w:rPr>
        <w:t>表观密度</w:t>
      </w:r>
      <w:bookmarkEnd w:id="34"/>
    </w:p>
    <w:p>
      <w:pPr>
        <w:widowControl/>
        <w:ind w:firstLine="480"/>
        <w:rPr>
          <w:sz w:val="24"/>
          <w:szCs w:val="21"/>
        </w:rPr>
      </w:pPr>
      <w:r>
        <w:rPr>
          <w:sz w:val="24"/>
          <w:szCs w:val="21"/>
        </w:rPr>
        <w:t>代表性尾矿表观密度测试结果如表</w:t>
      </w:r>
      <w:r>
        <w:rPr>
          <w:rFonts w:hint="eastAsia"/>
          <w:sz w:val="24"/>
          <w:szCs w:val="21"/>
          <w:lang w:val="en-US" w:eastAsia="zh-CN"/>
        </w:rPr>
        <w:t>9</w:t>
      </w:r>
      <w:r>
        <w:rPr>
          <w:sz w:val="24"/>
          <w:szCs w:val="21"/>
        </w:rPr>
        <w:t>所示</w:t>
      </w:r>
      <w:r>
        <w:rPr>
          <w:rFonts w:hint="eastAsia"/>
          <w:sz w:val="24"/>
          <w:szCs w:val="21"/>
        </w:rPr>
        <w:t>，所有样品密度均</w:t>
      </w:r>
      <w:r>
        <w:rPr>
          <w:sz w:val="24"/>
          <w:szCs w:val="21"/>
        </w:rPr>
        <w:t>不小于25</w:t>
      </w:r>
      <w:r>
        <w:rPr>
          <w:rFonts w:hint="eastAsia"/>
          <w:sz w:val="24"/>
          <w:szCs w:val="21"/>
          <w:lang w:val="en-US" w:eastAsia="zh-CN"/>
        </w:rPr>
        <w:t>5</w:t>
      </w:r>
      <w:r>
        <w:rPr>
          <w:sz w:val="24"/>
          <w:szCs w:val="21"/>
        </w:rPr>
        <w:t>0 kg/m</w:t>
      </w:r>
      <w:r>
        <w:rPr>
          <w:sz w:val="24"/>
          <w:szCs w:val="21"/>
          <w:vertAlign w:val="superscript"/>
        </w:rPr>
        <w:t>3</w:t>
      </w:r>
      <w:r>
        <w:rPr>
          <w:rFonts w:hint="eastAsia"/>
          <w:sz w:val="24"/>
          <w:szCs w:val="21"/>
        </w:rPr>
        <w:t>，因此合格率100%。</w:t>
      </w:r>
    </w:p>
    <w:p>
      <w:pPr>
        <w:pStyle w:val="16"/>
        <w:tabs>
          <w:tab w:val="center" w:pos="4201"/>
          <w:tab w:val="right" w:leader="dot" w:pos="9298"/>
        </w:tabs>
        <w:spacing w:before="156" w:beforeLines="50" w:after="156" w:afterLines="50" w:line="276" w:lineRule="auto"/>
        <w:ind w:firstLine="420" w:firstLineChars="0"/>
        <w:jc w:val="center"/>
        <w:rPr>
          <w:rFonts w:ascii="Times New Roman" w:eastAsia="黑体"/>
          <w:szCs w:val="21"/>
        </w:rPr>
      </w:pPr>
      <w:r>
        <w:rPr>
          <w:rFonts w:ascii="Times New Roman" w:eastAsia="黑体"/>
          <w:szCs w:val="21"/>
        </w:rPr>
        <w:t>表</w:t>
      </w:r>
      <w:r>
        <w:rPr>
          <w:rFonts w:hint="eastAsia" w:ascii="Times New Roman" w:eastAsia="黑体"/>
          <w:szCs w:val="21"/>
          <w:lang w:val="en-US" w:eastAsia="zh-CN"/>
        </w:rPr>
        <w:t xml:space="preserve"> 9 </w:t>
      </w:r>
      <w:r>
        <w:rPr>
          <w:rFonts w:hint="eastAsia" w:ascii="Times New Roman" w:eastAsia="黑体"/>
          <w:szCs w:val="21"/>
          <w:lang w:eastAsia="zh-CN"/>
        </w:rPr>
        <w:t>铜尾矿砂</w:t>
      </w:r>
      <w:r>
        <w:rPr>
          <w:rFonts w:ascii="Times New Roman" w:eastAsia="黑体"/>
          <w:szCs w:val="21"/>
        </w:rPr>
        <w:t>表观密度测试结果</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0"/>
        <w:gridCol w:w="904"/>
        <w:gridCol w:w="904"/>
        <w:gridCol w:w="904"/>
        <w:gridCol w:w="904"/>
        <w:gridCol w:w="904"/>
        <w:gridCol w:w="904"/>
        <w:gridCol w:w="904"/>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noWrap w:val="0"/>
            <w:vAlign w:val="top"/>
          </w:tcPr>
          <w:p>
            <w:pPr>
              <w:widowControl/>
              <w:ind w:firstLine="0" w:firstLineChars="0"/>
              <w:jc w:val="center"/>
              <w:rPr>
                <w:szCs w:val="21"/>
              </w:rPr>
            </w:pPr>
            <w:r>
              <w:rPr>
                <w:szCs w:val="21"/>
              </w:rPr>
              <w:t>样品</w:t>
            </w:r>
          </w:p>
        </w:tc>
        <w:tc>
          <w:tcPr>
            <w:tcW w:w="1076" w:type="dxa"/>
            <w:noWrap w:val="0"/>
            <w:vAlign w:val="top"/>
          </w:tcPr>
          <w:p>
            <w:pPr>
              <w:widowControl/>
              <w:ind w:firstLine="0" w:firstLineChars="0"/>
              <w:jc w:val="center"/>
              <w:rPr>
                <w:szCs w:val="21"/>
              </w:rPr>
            </w:pPr>
            <w:r>
              <w:rPr>
                <w:szCs w:val="21"/>
              </w:rPr>
              <w:t>1</w:t>
            </w:r>
          </w:p>
        </w:tc>
        <w:tc>
          <w:tcPr>
            <w:tcW w:w="1076" w:type="dxa"/>
            <w:noWrap w:val="0"/>
            <w:vAlign w:val="top"/>
          </w:tcPr>
          <w:p>
            <w:pPr>
              <w:widowControl/>
              <w:ind w:firstLine="0" w:firstLineChars="0"/>
              <w:jc w:val="center"/>
              <w:rPr>
                <w:szCs w:val="21"/>
              </w:rPr>
            </w:pPr>
            <w:r>
              <w:rPr>
                <w:szCs w:val="21"/>
              </w:rPr>
              <w:t>2</w:t>
            </w:r>
          </w:p>
        </w:tc>
        <w:tc>
          <w:tcPr>
            <w:tcW w:w="1076" w:type="dxa"/>
            <w:noWrap w:val="0"/>
            <w:vAlign w:val="top"/>
          </w:tcPr>
          <w:p>
            <w:pPr>
              <w:widowControl/>
              <w:ind w:firstLine="0" w:firstLineChars="0"/>
              <w:jc w:val="center"/>
              <w:rPr>
                <w:szCs w:val="21"/>
              </w:rPr>
            </w:pPr>
            <w:r>
              <w:rPr>
                <w:szCs w:val="21"/>
              </w:rPr>
              <w:t>3</w:t>
            </w:r>
          </w:p>
        </w:tc>
        <w:tc>
          <w:tcPr>
            <w:tcW w:w="1076" w:type="dxa"/>
            <w:noWrap w:val="0"/>
            <w:vAlign w:val="top"/>
          </w:tcPr>
          <w:p>
            <w:pPr>
              <w:widowControl/>
              <w:ind w:firstLine="0" w:firstLineChars="0"/>
              <w:jc w:val="center"/>
              <w:rPr>
                <w:szCs w:val="21"/>
              </w:rPr>
            </w:pPr>
            <w:r>
              <w:rPr>
                <w:szCs w:val="21"/>
              </w:rPr>
              <w:t>4</w:t>
            </w:r>
          </w:p>
        </w:tc>
        <w:tc>
          <w:tcPr>
            <w:tcW w:w="1076" w:type="dxa"/>
            <w:noWrap w:val="0"/>
            <w:vAlign w:val="top"/>
          </w:tcPr>
          <w:p>
            <w:pPr>
              <w:widowControl/>
              <w:ind w:firstLine="0" w:firstLineChars="0"/>
              <w:jc w:val="center"/>
              <w:rPr>
                <w:szCs w:val="21"/>
              </w:rPr>
            </w:pPr>
            <w:r>
              <w:rPr>
                <w:szCs w:val="21"/>
              </w:rPr>
              <w:t>5</w:t>
            </w:r>
          </w:p>
        </w:tc>
        <w:tc>
          <w:tcPr>
            <w:tcW w:w="1076" w:type="dxa"/>
            <w:noWrap w:val="0"/>
            <w:vAlign w:val="top"/>
          </w:tcPr>
          <w:p>
            <w:pPr>
              <w:widowControl/>
              <w:ind w:firstLine="0" w:firstLineChars="0"/>
              <w:jc w:val="center"/>
              <w:rPr>
                <w:szCs w:val="21"/>
              </w:rPr>
            </w:pPr>
            <w:r>
              <w:rPr>
                <w:szCs w:val="21"/>
              </w:rPr>
              <w:t>6</w:t>
            </w:r>
          </w:p>
        </w:tc>
        <w:tc>
          <w:tcPr>
            <w:tcW w:w="1076" w:type="dxa"/>
            <w:noWrap w:val="0"/>
            <w:vAlign w:val="top"/>
          </w:tcPr>
          <w:p>
            <w:pPr>
              <w:widowControl/>
              <w:ind w:firstLine="0" w:firstLineChars="0"/>
              <w:jc w:val="center"/>
              <w:rPr>
                <w:szCs w:val="21"/>
              </w:rPr>
            </w:pPr>
            <w:r>
              <w:rPr>
                <w:szCs w:val="21"/>
              </w:rPr>
              <w:t>7</w:t>
            </w:r>
          </w:p>
        </w:tc>
        <w:tc>
          <w:tcPr>
            <w:tcW w:w="1076" w:type="dxa"/>
            <w:noWrap w:val="0"/>
            <w:vAlign w:val="top"/>
          </w:tcPr>
          <w:p>
            <w:pPr>
              <w:widowControl/>
              <w:ind w:firstLine="0" w:firstLineChars="0"/>
              <w:jc w:val="center"/>
              <w:rPr>
                <w:szCs w:val="21"/>
              </w:rPr>
            </w:pPr>
            <w:r>
              <w:rPr>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noWrap w:val="0"/>
            <w:vAlign w:val="top"/>
          </w:tcPr>
          <w:p>
            <w:pPr>
              <w:widowControl/>
              <w:ind w:firstLine="0" w:firstLineChars="0"/>
              <w:jc w:val="center"/>
              <w:rPr>
                <w:szCs w:val="21"/>
              </w:rPr>
            </w:pPr>
            <w:r>
              <w:rPr>
                <w:szCs w:val="21"/>
              </w:rPr>
              <w:t>结果（kg/m</w:t>
            </w:r>
            <w:r>
              <w:rPr>
                <w:szCs w:val="21"/>
                <w:vertAlign w:val="superscript"/>
              </w:rPr>
              <w:t>3</w:t>
            </w:r>
            <w:r>
              <w:rPr>
                <w:szCs w:val="21"/>
              </w:rPr>
              <w:t>）</w:t>
            </w:r>
          </w:p>
        </w:tc>
        <w:tc>
          <w:tcPr>
            <w:tcW w:w="1076" w:type="dxa"/>
            <w:noWrap w:val="0"/>
            <w:vAlign w:val="center"/>
          </w:tcPr>
          <w:p>
            <w:pPr>
              <w:widowControl/>
              <w:ind w:firstLine="0" w:firstLineChars="0"/>
              <w:jc w:val="center"/>
              <w:rPr>
                <w:szCs w:val="21"/>
              </w:rPr>
            </w:pPr>
            <w:r>
              <w:rPr>
                <w:szCs w:val="21"/>
              </w:rPr>
              <w:t>2630</w:t>
            </w:r>
          </w:p>
        </w:tc>
        <w:tc>
          <w:tcPr>
            <w:tcW w:w="1076" w:type="dxa"/>
            <w:noWrap w:val="0"/>
            <w:vAlign w:val="center"/>
          </w:tcPr>
          <w:p>
            <w:pPr>
              <w:widowControl/>
              <w:ind w:firstLine="0" w:firstLineChars="0"/>
              <w:jc w:val="center"/>
              <w:rPr>
                <w:szCs w:val="21"/>
              </w:rPr>
            </w:pPr>
            <w:r>
              <w:rPr>
                <w:szCs w:val="21"/>
              </w:rPr>
              <w:t>2650</w:t>
            </w:r>
          </w:p>
        </w:tc>
        <w:tc>
          <w:tcPr>
            <w:tcW w:w="1076" w:type="dxa"/>
            <w:noWrap w:val="0"/>
            <w:vAlign w:val="center"/>
          </w:tcPr>
          <w:p>
            <w:pPr>
              <w:widowControl/>
              <w:ind w:firstLine="0" w:firstLineChars="0"/>
              <w:jc w:val="center"/>
              <w:rPr>
                <w:szCs w:val="21"/>
              </w:rPr>
            </w:pPr>
            <w:r>
              <w:rPr>
                <w:szCs w:val="21"/>
              </w:rPr>
              <w:t>2665</w:t>
            </w:r>
          </w:p>
        </w:tc>
        <w:tc>
          <w:tcPr>
            <w:tcW w:w="1076" w:type="dxa"/>
            <w:noWrap w:val="0"/>
            <w:vAlign w:val="center"/>
          </w:tcPr>
          <w:p>
            <w:pPr>
              <w:widowControl/>
              <w:ind w:firstLine="0" w:firstLineChars="0"/>
              <w:jc w:val="center"/>
              <w:rPr>
                <w:szCs w:val="21"/>
              </w:rPr>
            </w:pPr>
            <w:r>
              <w:rPr>
                <w:szCs w:val="21"/>
              </w:rPr>
              <w:t>2635</w:t>
            </w:r>
          </w:p>
        </w:tc>
        <w:tc>
          <w:tcPr>
            <w:tcW w:w="1076" w:type="dxa"/>
            <w:noWrap w:val="0"/>
            <w:vAlign w:val="center"/>
          </w:tcPr>
          <w:p>
            <w:pPr>
              <w:widowControl/>
              <w:ind w:firstLine="0" w:firstLineChars="0"/>
              <w:jc w:val="center"/>
              <w:rPr>
                <w:szCs w:val="21"/>
              </w:rPr>
            </w:pPr>
            <w:r>
              <w:rPr>
                <w:szCs w:val="21"/>
              </w:rPr>
              <w:t>2650</w:t>
            </w:r>
          </w:p>
        </w:tc>
        <w:tc>
          <w:tcPr>
            <w:tcW w:w="1076" w:type="dxa"/>
            <w:noWrap w:val="0"/>
            <w:vAlign w:val="center"/>
          </w:tcPr>
          <w:p>
            <w:pPr>
              <w:widowControl/>
              <w:ind w:firstLine="0" w:firstLineChars="0"/>
              <w:jc w:val="center"/>
              <w:rPr>
                <w:szCs w:val="21"/>
              </w:rPr>
            </w:pPr>
            <w:r>
              <w:rPr>
                <w:szCs w:val="21"/>
              </w:rPr>
              <w:t>2640</w:t>
            </w:r>
          </w:p>
        </w:tc>
        <w:tc>
          <w:tcPr>
            <w:tcW w:w="1076" w:type="dxa"/>
            <w:noWrap w:val="0"/>
            <w:vAlign w:val="center"/>
          </w:tcPr>
          <w:p>
            <w:pPr>
              <w:widowControl/>
              <w:ind w:firstLine="0" w:firstLineChars="0"/>
              <w:jc w:val="center"/>
              <w:rPr>
                <w:szCs w:val="21"/>
              </w:rPr>
            </w:pPr>
            <w:r>
              <w:rPr>
                <w:szCs w:val="21"/>
              </w:rPr>
              <w:t>2660</w:t>
            </w:r>
          </w:p>
        </w:tc>
        <w:tc>
          <w:tcPr>
            <w:tcW w:w="1076" w:type="dxa"/>
            <w:noWrap w:val="0"/>
            <w:vAlign w:val="center"/>
          </w:tcPr>
          <w:p>
            <w:pPr>
              <w:widowControl/>
              <w:ind w:firstLine="0" w:firstLineChars="0"/>
              <w:jc w:val="center"/>
              <w:rPr>
                <w:szCs w:val="21"/>
              </w:rPr>
            </w:pPr>
            <w:r>
              <w:rPr>
                <w:szCs w:val="21"/>
              </w:rPr>
              <w:t>2650</w:t>
            </w:r>
          </w:p>
        </w:tc>
      </w:tr>
    </w:tbl>
    <w:p>
      <w:pPr>
        <w:pStyle w:val="3"/>
        <w:widowControl/>
        <w:jc w:val="both"/>
        <w:rPr>
          <w:kern w:val="0"/>
          <w:szCs w:val="24"/>
        </w:rPr>
      </w:pPr>
      <w:bookmarkStart w:id="35" w:name="_Toc1516"/>
      <w:r>
        <w:rPr>
          <w:kern w:val="0"/>
          <w:szCs w:val="24"/>
        </w:rPr>
        <w:t>3.</w:t>
      </w:r>
      <w:r>
        <w:rPr>
          <w:rFonts w:hint="eastAsia"/>
          <w:kern w:val="0"/>
          <w:szCs w:val="24"/>
          <w:lang w:val="en-US" w:eastAsia="zh-CN"/>
        </w:rPr>
        <w:t>3</w:t>
      </w:r>
      <w:r>
        <w:rPr>
          <w:kern w:val="0"/>
          <w:szCs w:val="24"/>
        </w:rPr>
        <w:t xml:space="preserve"> </w:t>
      </w:r>
      <w:r>
        <w:rPr>
          <w:rFonts w:hint="eastAsia"/>
          <w:kern w:val="0"/>
          <w:szCs w:val="24"/>
          <w:lang w:eastAsia="zh-CN"/>
        </w:rPr>
        <w:t>铜尾矿砂</w:t>
      </w:r>
      <w:r>
        <w:rPr>
          <w:kern w:val="0"/>
          <w:szCs w:val="24"/>
        </w:rPr>
        <w:t>有害物质含量</w:t>
      </w:r>
      <w:bookmarkEnd w:id="35"/>
    </w:p>
    <w:p>
      <w:pPr>
        <w:widowControl/>
        <w:ind w:firstLine="480"/>
        <w:rPr>
          <w:rFonts w:hint="eastAsia"/>
          <w:sz w:val="24"/>
          <w:szCs w:val="21"/>
        </w:rPr>
      </w:pPr>
      <w:r>
        <w:rPr>
          <w:sz w:val="24"/>
          <w:szCs w:val="21"/>
        </w:rPr>
        <w:t>代表性尾矿</w:t>
      </w:r>
      <w:r>
        <w:rPr>
          <w:rFonts w:hint="eastAsia"/>
          <w:sz w:val="24"/>
          <w:szCs w:val="21"/>
        </w:rPr>
        <w:t>有害物质含量</w:t>
      </w:r>
      <w:r>
        <w:rPr>
          <w:sz w:val="24"/>
          <w:szCs w:val="21"/>
        </w:rPr>
        <w:t>测试结果如表</w:t>
      </w:r>
      <w:r>
        <w:rPr>
          <w:rFonts w:hint="eastAsia"/>
          <w:sz w:val="24"/>
          <w:szCs w:val="21"/>
          <w:lang w:val="en-US" w:eastAsia="zh-CN"/>
        </w:rPr>
        <w:t>10</w:t>
      </w:r>
      <w:r>
        <w:rPr>
          <w:sz w:val="24"/>
          <w:szCs w:val="21"/>
        </w:rPr>
        <w:t>所示</w:t>
      </w:r>
      <w:r>
        <w:rPr>
          <w:rFonts w:hint="eastAsia"/>
          <w:sz w:val="24"/>
          <w:szCs w:val="21"/>
        </w:rPr>
        <w:t>，其轻物质、有机物、氯化物的含量均满足性能指标要求</w:t>
      </w:r>
      <w:r>
        <w:rPr>
          <w:sz w:val="24"/>
          <w:szCs w:val="21"/>
        </w:rPr>
        <w:t>。</w:t>
      </w:r>
    </w:p>
    <w:p>
      <w:pPr>
        <w:pStyle w:val="16"/>
        <w:tabs>
          <w:tab w:val="center" w:pos="4201"/>
          <w:tab w:val="right" w:leader="dot" w:pos="9298"/>
        </w:tabs>
        <w:spacing w:before="156" w:beforeLines="50" w:after="156" w:afterLines="50" w:line="276" w:lineRule="auto"/>
        <w:ind w:firstLine="420" w:firstLineChars="0"/>
        <w:jc w:val="center"/>
        <w:rPr>
          <w:rFonts w:ascii="Times New Roman" w:eastAsia="黑体"/>
          <w:szCs w:val="21"/>
        </w:rPr>
      </w:pPr>
      <w:r>
        <w:rPr>
          <w:rFonts w:ascii="Times New Roman" w:eastAsia="黑体"/>
          <w:szCs w:val="21"/>
        </w:rPr>
        <w:t>表</w:t>
      </w:r>
      <w:r>
        <w:rPr>
          <w:rFonts w:hint="eastAsia" w:ascii="Times New Roman" w:eastAsia="黑体"/>
          <w:szCs w:val="21"/>
          <w:lang w:val="en-US" w:eastAsia="zh-CN"/>
        </w:rPr>
        <w:t>10</w:t>
      </w:r>
      <w:r>
        <w:rPr>
          <w:rFonts w:ascii="Times New Roman" w:eastAsia="黑体"/>
          <w:szCs w:val="21"/>
        </w:rPr>
        <w:t xml:space="preserve"> </w:t>
      </w:r>
      <w:r>
        <w:rPr>
          <w:rFonts w:hint="eastAsia" w:ascii="Times New Roman" w:eastAsia="黑体"/>
          <w:szCs w:val="21"/>
          <w:lang w:eastAsia="zh-CN"/>
        </w:rPr>
        <w:t>铜尾矿砂</w:t>
      </w:r>
      <w:r>
        <w:rPr>
          <w:rFonts w:hint="eastAsia" w:ascii="Times New Roman" w:eastAsia="黑体"/>
          <w:szCs w:val="21"/>
        </w:rPr>
        <w:t>有害物质含量</w:t>
      </w:r>
      <w:r>
        <w:rPr>
          <w:rFonts w:ascii="Times New Roman" w:eastAsia="黑体"/>
          <w:szCs w:val="21"/>
        </w:rPr>
        <w:t>测试结果</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910"/>
        <w:gridCol w:w="910"/>
        <w:gridCol w:w="910"/>
        <w:gridCol w:w="910"/>
        <w:gridCol w:w="910"/>
        <w:gridCol w:w="910"/>
        <w:gridCol w:w="910"/>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noWrap w:val="0"/>
            <w:vAlign w:val="top"/>
          </w:tcPr>
          <w:p>
            <w:pPr>
              <w:widowControl/>
              <w:ind w:firstLine="0" w:firstLineChars="0"/>
              <w:jc w:val="center"/>
              <w:rPr>
                <w:szCs w:val="21"/>
              </w:rPr>
            </w:pPr>
            <w:r>
              <w:rPr>
                <w:szCs w:val="21"/>
              </w:rPr>
              <w:t>样品</w:t>
            </w:r>
          </w:p>
        </w:tc>
        <w:tc>
          <w:tcPr>
            <w:tcW w:w="1020" w:type="dxa"/>
            <w:noWrap w:val="0"/>
            <w:vAlign w:val="top"/>
          </w:tcPr>
          <w:p>
            <w:pPr>
              <w:widowControl/>
              <w:ind w:firstLine="0" w:firstLineChars="0"/>
              <w:jc w:val="center"/>
              <w:rPr>
                <w:szCs w:val="21"/>
              </w:rPr>
            </w:pPr>
            <w:r>
              <w:rPr>
                <w:szCs w:val="21"/>
              </w:rPr>
              <w:t>1</w:t>
            </w:r>
          </w:p>
        </w:tc>
        <w:tc>
          <w:tcPr>
            <w:tcW w:w="1020" w:type="dxa"/>
            <w:noWrap w:val="0"/>
            <w:vAlign w:val="top"/>
          </w:tcPr>
          <w:p>
            <w:pPr>
              <w:widowControl/>
              <w:ind w:firstLine="0" w:firstLineChars="0"/>
              <w:jc w:val="center"/>
              <w:rPr>
                <w:szCs w:val="21"/>
              </w:rPr>
            </w:pPr>
            <w:r>
              <w:rPr>
                <w:szCs w:val="21"/>
              </w:rPr>
              <w:t>2</w:t>
            </w:r>
          </w:p>
        </w:tc>
        <w:tc>
          <w:tcPr>
            <w:tcW w:w="1020" w:type="dxa"/>
            <w:noWrap w:val="0"/>
            <w:vAlign w:val="top"/>
          </w:tcPr>
          <w:p>
            <w:pPr>
              <w:widowControl/>
              <w:ind w:firstLine="0" w:firstLineChars="0"/>
              <w:jc w:val="center"/>
              <w:rPr>
                <w:szCs w:val="21"/>
              </w:rPr>
            </w:pPr>
            <w:r>
              <w:rPr>
                <w:szCs w:val="21"/>
              </w:rPr>
              <w:t>3</w:t>
            </w:r>
          </w:p>
        </w:tc>
        <w:tc>
          <w:tcPr>
            <w:tcW w:w="1020" w:type="dxa"/>
            <w:noWrap w:val="0"/>
            <w:vAlign w:val="top"/>
          </w:tcPr>
          <w:p>
            <w:pPr>
              <w:widowControl/>
              <w:ind w:firstLine="0" w:firstLineChars="0"/>
              <w:jc w:val="center"/>
              <w:rPr>
                <w:szCs w:val="21"/>
              </w:rPr>
            </w:pPr>
            <w:r>
              <w:rPr>
                <w:szCs w:val="21"/>
              </w:rPr>
              <w:t>4</w:t>
            </w:r>
          </w:p>
        </w:tc>
        <w:tc>
          <w:tcPr>
            <w:tcW w:w="1020" w:type="dxa"/>
            <w:noWrap w:val="0"/>
            <w:vAlign w:val="top"/>
          </w:tcPr>
          <w:p>
            <w:pPr>
              <w:widowControl/>
              <w:ind w:firstLine="0" w:firstLineChars="0"/>
              <w:jc w:val="center"/>
              <w:rPr>
                <w:szCs w:val="21"/>
              </w:rPr>
            </w:pPr>
            <w:r>
              <w:rPr>
                <w:szCs w:val="21"/>
              </w:rPr>
              <w:t>5</w:t>
            </w:r>
          </w:p>
        </w:tc>
        <w:tc>
          <w:tcPr>
            <w:tcW w:w="1020" w:type="dxa"/>
            <w:noWrap w:val="0"/>
            <w:vAlign w:val="top"/>
          </w:tcPr>
          <w:p>
            <w:pPr>
              <w:widowControl/>
              <w:ind w:firstLine="0" w:firstLineChars="0"/>
              <w:jc w:val="center"/>
              <w:rPr>
                <w:szCs w:val="21"/>
              </w:rPr>
            </w:pPr>
            <w:r>
              <w:rPr>
                <w:szCs w:val="21"/>
              </w:rPr>
              <w:t>6</w:t>
            </w:r>
          </w:p>
        </w:tc>
        <w:tc>
          <w:tcPr>
            <w:tcW w:w="1020" w:type="dxa"/>
            <w:noWrap w:val="0"/>
            <w:vAlign w:val="top"/>
          </w:tcPr>
          <w:p>
            <w:pPr>
              <w:widowControl/>
              <w:ind w:firstLine="0" w:firstLineChars="0"/>
              <w:jc w:val="center"/>
              <w:rPr>
                <w:szCs w:val="21"/>
              </w:rPr>
            </w:pPr>
            <w:r>
              <w:rPr>
                <w:szCs w:val="21"/>
              </w:rPr>
              <w:t>7</w:t>
            </w:r>
          </w:p>
        </w:tc>
        <w:tc>
          <w:tcPr>
            <w:tcW w:w="1021" w:type="dxa"/>
            <w:noWrap w:val="0"/>
            <w:vAlign w:val="top"/>
          </w:tcPr>
          <w:p>
            <w:pPr>
              <w:widowControl/>
              <w:ind w:firstLine="0" w:firstLineChars="0"/>
              <w:jc w:val="center"/>
              <w:rPr>
                <w:szCs w:val="21"/>
              </w:rPr>
            </w:pPr>
            <w:r>
              <w:rPr>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noWrap w:val="0"/>
            <w:vAlign w:val="top"/>
          </w:tcPr>
          <w:p>
            <w:pPr>
              <w:widowControl/>
              <w:ind w:firstLine="0" w:firstLineChars="0"/>
              <w:jc w:val="center"/>
              <w:rPr>
                <w:szCs w:val="21"/>
              </w:rPr>
            </w:pPr>
            <w:r>
              <w:rPr>
                <w:szCs w:val="21"/>
              </w:rPr>
              <w:t>轻物质（%）</w:t>
            </w:r>
          </w:p>
        </w:tc>
        <w:tc>
          <w:tcPr>
            <w:tcW w:w="1020" w:type="dxa"/>
            <w:noWrap w:val="0"/>
            <w:vAlign w:val="top"/>
          </w:tcPr>
          <w:p>
            <w:pPr>
              <w:widowControl/>
              <w:ind w:firstLine="0" w:firstLineChars="0"/>
              <w:jc w:val="center"/>
              <w:rPr>
                <w:szCs w:val="21"/>
              </w:rPr>
            </w:pPr>
            <w:r>
              <w:rPr>
                <w:szCs w:val="21"/>
              </w:rPr>
              <w:t>0.2</w:t>
            </w:r>
          </w:p>
        </w:tc>
        <w:tc>
          <w:tcPr>
            <w:tcW w:w="1020" w:type="dxa"/>
            <w:noWrap w:val="0"/>
            <w:vAlign w:val="top"/>
          </w:tcPr>
          <w:p>
            <w:pPr>
              <w:widowControl/>
              <w:ind w:firstLine="0" w:firstLineChars="0"/>
              <w:jc w:val="center"/>
              <w:rPr>
                <w:szCs w:val="21"/>
              </w:rPr>
            </w:pPr>
            <w:r>
              <w:rPr>
                <w:szCs w:val="21"/>
              </w:rPr>
              <w:t>0.1</w:t>
            </w:r>
          </w:p>
        </w:tc>
        <w:tc>
          <w:tcPr>
            <w:tcW w:w="1020" w:type="dxa"/>
            <w:noWrap w:val="0"/>
            <w:vAlign w:val="top"/>
          </w:tcPr>
          <w:p>
            <w:pPr>
              <w:widowControl/>
              <w:ind w:firstLine="0" w:firstLineChars="0"/>
              <w:jc w:val="center"/>
              <w:rPr>
                <w:szCs w:val="21"/>
              </w:rPr>
            </w:pPr>
            <w:r>
              <w:rPr>
                <w:szCs w:val="21"/>
              </w:rPr>
              <w:t>0.2</w:t>
            </w:r>
          </w:p>
        </w:tc>
        <w:tc>
          <w:tcPr>
            <w:tcW w:w="1020" w:type="dxa"/>
            <w:noWrap w:val="0"/>
            <w:vAlign w:val="top"/>
          </w:tcPr>
          <w:p>
            <w:pPr>
              <w:widowControl/>
              <w:ind w:firstLine="0" w:firstLineChars="0"/>
              <w:jc w:val="center"/>
              <w:rPr>
                <w:szCs w:val="21"/>
              </w:rPr>
            </w:pPr>
            <w:r>
              <w:rPr>
                <w:szCs w:val="21"/>
              </w:rPr>
              <w:t>0.1</w:t>
            </w:r>
          </w:p>
        </w:tc>
        <w:tc>
          <w:tcPr>
            <w:tcW w:w="1020" w:type="dxa"/>
            <w:noWrap w:val="0"/>
            <w:vAlign w:val="top"/>
          </w:tcPr>
          <w:p>
            <w:pPr>
              <w:widowControl/>
              <w:ind w:firstLine="0" w:firstLineChars="0"/>
              <w:jc w:val="center"/>
              <w:rPr>
                <w:szCs w:val="21"/>
              </w:rPr>
            </w:pPr>
            <w:r>
              <w:rPr>
                <w:szCs w:val="21"/>
              </w:rPr>
              <w:t>0.2</w:t>
            </w:r>
          </w:p>
        </w:tc>
        <w:tc>
          <w:tcPr>
            <w:tcW w:w="1020" w:type="dxa"/>
            <w:noWrap w:val="0"/>
            <w:vAlign w:val="top"/>
          </w:tcPr>
          <w:p>
            <w:pPr>
              <w:widowControl/>
              <w:ind w:firstLine="0" w:firstLineChars="0"/>
              <w:jc w:val="center"/>
              <w:rPr>
                <w:szCs w:val="21"/>
              </w:rPr>
            </w:pPr>
            <w:r>
              <w:rPr>
                <w:szCs w:val="21"/>
              </w:rPr>
              <w:t>0.1</w:t>
            </w:r>
          </w:p>
        </w:tc>
        <w:tc>
          <w:tcPr>
            <w:tcW w:w="1020" w:type="dxa"/>
            <w:noWrap w:val="0"/>
            <w:vAlign w:val="top"/>
          </w:tcPr>
          <w:p>
            <w:pPr>
              <w:widowControl/>
              <w:ind w:firstLine="0" w:firstLineChars="0"/>
              <w:jc w:val="center"/>
              <w:rPr>
                <w:szCs w:val="21"/>
              </w:rPr>
            </w:pPr>
            <w:r>
              <w:rPr>
                <w:szCs w:val="21"/>
              </w:rPr>
              <w:t>0.1</w:t>
            </w:r>
          </w:p>
        </w:tc>
        <w:tc>
          <w:tcPr>
            <w:tcW w:w="1021" w:type="dxa"/>
            <w:noWrap w:val="0"/>
            <w:vAlign w:val="top"/>
          </w:tcPr>
          <w:p>
            <w:pPr>
              <w:widowControl/>
              <w:ind w:firstLine="0" w:firstLineChars="0"/>
              <w:jc w:val="center"/>
              <w:rPr>
                <w:szCs w:val="21"/>
              </w:rPr>
            </w:pPr>
            <w:r>
              <w:rPr>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noWrap w:val="0"/>
            <w:vAlign w:val="top"/>
          </w:tcPr>
          <w:p>
            <w:pPr>
              <w:widowControl/>
              <w:ind w:firstLine="0" w:firstLineChars="0"/>
              <w:jc w:val="center"/>
              <w:rPr>
                <w:szCs w:val="21"/>
              </w:rPr>
            </w:pPr>
            <w:r>
              <w:rPr>
                <w:szCs w:val="21"/>
              </w:rPr>
              <w:t>有机物</w:t>
            </w:r>
          </w:p>
        </w:tc>
        <w:tc>
          <w:tcPr>
            <w:tcW w:w="1020" w:type="dxa"/>
            <w:noWrap w:val="0"/>
            <w:vAlign w:val="top"/>
          </w:tcPr>
          <w:p>
            <w:pPr>
              <w:widowControl/>
              <w:ind w:firstLine="0" w:firstLineChars="0"/>
              <w:jc w:val="center"/>
              <w:rPr>
                <w:szCs w:val="21"/>
              </w:rPr>
            </w:pPr>
            <w:r>
              <w:rPr>
                <w:szCs w:val="21"/>
              </w:rPr>
              <w:t>浅于标准色</w:t>
            </w:r>
          </w:p>
        </w:tc>
        <w:tc>
          <w:tcPr>
            <w:tcW w:w="1020" w:type="dxa"/>
            <w:noWrap w:val="0"/>
            <w:vAlign w:val="top"/>
          </w:tcPr>
          <w:p>
            <w:pPr>
              <w:widowControl/>
              <w:ind w:firstLine="0" w:firstLineChars="0"/>
              <w:jc w:val="center"/>
              <w:rPr>
                <w:szCs w:val="21"/>
              </w:rPr>
            </w:pPr>
            <w:r>
              <w:rPr>
                <w:szCs w:val="21"/>
              </w:rPr>
              <w:t>浅于标准色</w:t>
            </w:r>
          </w:p>
        </w:tc>
        <w:tc>
          <w:tcPr>
            <w:tcW w:w="1020" w:type="dxa"/>
            <w:noWrap w:val="0"/>
            <w:vAlign w:val="top"/>
          </w:tcPr>
          <w:p>
            <w:pPr>
              <w:widowControl/>
              <w:ind w:firstLine="0" w:firstLineChars="0"/>
              <w:jc w:val="center"/>
              <w:rPr>
                <w:szCs w:val="21"/>
              </w:rPr>
            </w:pPr>
            <w:r>
              <w:rPr>
                <w:szCs w:val="21"/>
              </w:rPr>
              <w:t>浅于标准色</w:t>
            </w:r>
          </w:p>
        </w:tc>
        <w:tc>
          <w:tcPr>
            <w:tcW w:w="1020" w:type="dxa"/>
            <w:noWrap w:val="0"/>
            <w:vAlign w:val="top"/>
          </w:tcPr>
          <w:p>
            <w:pPr>
              <w:widowControl/>
              <w:ind w:firstLine="0" w:firstLineChars="0"/>
              <w:jc w:val="center"/>
              <w:rPr>
                <w:szCs w:val="21"/>
              </w:rPr>
            </w:pPr>
            <w:r>
              <w:rPr>
                <w:szCs w:val="21"/>
              </w:rPr>
              <w:t>浅于标准色</w:t>
            </w:r>
          </w:p>
        </w:tc>
        <w:tc>
          <w:tcPr>
            <w:tcW w:w="1020" w:type="dxa"/>
            <w:noWrap w:val="0"/>
            <w:vAlign w:val="top"/>
          </w:tcPr>
          <w:p>
            <w:pPr>
              <w:widowControl/>
              <w:ind w:firstLine="0" w:firstLineChars="0"/>
              <w:jc w:val="center"/>
              <w:rPr>
                <w:szCs w:val="21"/>
              </w:rPr>
            </w:pPr>
            <w:r>
              <w:rPr>
                <w:szCs w:val="21"/>
              </w:rPr>
              <w:t>浅于标准色</w:t>
            </w:r>
          </w:p>
        </w:tc>
        <w:tc>
          <w:tcPr>
            <w:tcW w:w="1020" w:type="dxa"/>
            <w:noWrap w:val="0"/>
            <w:vAlign w:val="top"/>
          </w:tcPr>
          <w:p>
            <w:pPr>
              <w:widowControl/>
              <w:ind w:firstLine="0" w:firstLineChars="0"/>
              <w:jc w:val="center"/>
              <w:rPr>
                <w:szCs w:val="21"/>
              </w:rPr>
            </w:pPr>
            <w:r>
              <w:rPr>
                <w:szCs w:val="21"/>
              </w:rPr>
              <w:t>浅于标准色</w:t>
            </w:r>
          </w:p>
        </w:tc>
        <w:tc>
          <w:tcPr>
            <w:tcW w:w="1020" w:type="dxa"/>
            <w:noWrap w:val="0"/>
            <w:vAlign w:val="top"/>
          </w:tcPr>
          <w:p>
            <w:pPr>
              <w:widowControl/>
              <w:ind w:firstLine="0" w:firstLineChars="0"/>
              <w:jc w:val="center"/>
              <w:rPr>
                <w:szCs w:val="21"/>
              </w:rPr>
            </w:pPr>
            <w:r>
              <w:rPr>
                <w:szCs w:val="21"/>
              </w:rPr>
              <w:t>浅于标准色</w:t>
            </w:r>
          </w:p>
        </w:tc>
        <w:tc>
          <w:tcPr>
            <w:tcW w:w="1021" w:type="dxa"/>
            <w:noWrap w:val="0"/>
            <w:vAlign w:val="top"/>
          </w:tcPr>
          <w:p>
            <w:pPr>
              <w:widowControl/>
              <w:ind w:firstLine="0" w:firstLineChars="0"/>
              <w:jc w:val="center"/>
              <w:rPr>
                <w:szCs w:val="21"/>
              </w:rPr>
            </w:pPr>
            <w:r>
              <w:rPr>
                <w:szCs w:val="21"/>
              </w:rPr>
              <w:t>浅于标准色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noWrap w:val="0"/>
            <w:vAlign w:val="top"/>
          </w:tcPr>
          <w:p>
            <w:pPr>
              <w:widowControl/>
              <w:ind w:firstLine="0" w:firstLineChars="0"/>
              <w:jc w:val="center"/>
              <w:rPr>
                <w:szCs w:val="21"/>
              </w:rPr>
            </w:pPr>
            <w:r>
              <w:rPr>
                <w:szCs w:val="21"/>
              </w:rPr>
              <w:t>氯化物（%）</w:t>
            </w:r>
          </w:p>
        </w:tc>
        <w:tc>
          <w:tcPr>
            <w:tcW w:w="1020" w:type="dxa"/>
            <w:noWrap w:val="0"/>
            <w:vAlign w:val="top"/>
          </w:tcPr>
          <w:p>
            <w:pPr>
              <w:widowControl/>
              <w:ind w:firstLine="0" w:firstLineChars="0"/>
              <w:jc w:val="center"/>
              <w:rPr>
                <w:szCs w:val="21"/>
              </w:rPr>
            </w:pPr>
            <w:r>
              <w:rPr>
                <w:szCs w:val="21"/>
              </w:rPr>
              <w:t>0.003</w:t>
            </w:r>
          </w:p>
        </w:tc>
        <w:tc>
          <w:tcPr>
            <w:tcW w:w="1020" w:type="dxa"/>
            <w:noWrap w:val="0"/>
            <w:vAlign w:val="top"/>
          </w:tcPr>
          <w:p>
            <w:pPr>
              <w:widowControl/>
              <w:ind w:firstLine="0" w:firstLineChars="0"/>
              <w:jc w:val="center"/>
              <w:rPr>
                <w:szCs w:val="21"/>
              </w:rPr>
            </w:pPr>
            <w:r>
              <w:rPr>
                <w:szCs w:val="21"/>
              </w:rPr>
              <w:t>0.002</w:t>
            </w:r>
          </w:p>
        </w:tc>
        <w:tc>
          <w:tcPr>
            <w:tcW w:w="1020" w:type="dxa"/>
            <w:noWrap w:val="0"/>
            <w:vAlign w:val="top"/>
          </w:tcPr>
          <w:p>
            <w:pPr>
              <w:widowControl/>
              <w:ind w:firstLine="0" w:firstLineChars="0"/>
              <w:jc w:val="center"/>
              <w:rPr>
                <w:szCs w:val="21"/>
              </w:rPr>
            </w:pPr>
            <w:r>
              <w:rPr>
                <w:szCs w:val="21"/>
              </w:rPr>
              <w:t>0.003</w:t>
            </w:r>
          </w:p>
        </w:tc>
        <w:tc>
          <w:tcPr>
            <w:tcW w:w="1020" w:type="dxa"/>
            <w:noWrap w:val="0"/>
            <w:vAlign w:val="top"/>
          </w:tcPr>
          <w:p>
            <w:pPr>
              <w:widowControl/>
              <w:ind w:firstLine="0" w:firstLineChars="0"/>
              <w:jc w:val="center"/>
              <w:rPr>
                <w:szCs w:val="21"/>
              </w:rPr>
            </w:pPr>
            <w:r>
              <w:rPr>
                <w:szCs w:val="21"/>
              </w:rPr>
              <w:t>0.003</w:t>
            </w:r>
          </w:p>
        </w:tc>
        <w:tc>
          <w:tcPr>
            <w:tcW w:w="1020" w:type="dxa"/>
            <w:noWrap w:val="0"/>
            <w:vAlign w:val="top"/>
          </w:tcPr>
          <w:p>
            <w:pPr>
              <w:widowControl/>
              <w:ind w:firstLine="0" w:firstLineChars="0"/>
              <w:jc w:val="center"/>
              <w:rPr>
                <w:szCs w:val="21"/>
              </w:rPr>
            </w:pPr>
            <w:r>
              <w:rPr>
                <w:szCs w:val="21"/>
              </w:rPr>
              <w:t>0.003</w:t>
            </w:r>
          </w:p>
        </w:tc>
        <w:tc>
          <w:tcPr>
            <w:tcW w:w="1020" w:type="dxa"/>
            <w:noWrap w:val="0"/>
            <w:vAlign w:val="top"/>
          </w:tcPr>
          <w:p>
            <w:pPr>
              <w:widowControl/>
              <w:ind w:firstLine="0" w:firstLineChars="0"/>
              <w:jc w:val="center"/>
              <w:rPr>
                <w:szCs w:val="21"/>
              </w:rPr>
            </w:pPr>
            <w:r>
              <w:rPr>
                <w:szCs w:val="21"/>
              </w:rPr>
              <w:t>0.002</w:t>
            </w:r>
          </w:p>
        </w:tc>
        <w:tc>
          <w:tcPr>
            <w:tcW w:w="1020" w:type="dxa"/>
            <w:noWrap w:val="0"/>
            <w:vAlign w:val="top"/>
          </w:tcPr>
          <w:p>
            <w:pPr>
              <w:widowControl/>
              <w:ind w:firstLine="0" w:firstLineChars="0"/>
              <w:jc w:val="center"/>
              <w:rPr>
                <w:szCs w:val="21"/>
              </w:rPr>
            </w:pPr>
            <w:r>
              <w:rPr>
                <w:szCs w:val="21"/>
              </w:rPr>
              <w:t>0.003</w:t>
            </w:r>
          </w:p>
        </w:tc>
        <w:tc>
          <w:tcPr>
            <w:tcW w:w="1021" w:type="dxa"/>
            <w:noWrap w:val="0"/>
            <w:vAlign w:val="top"/>
          </w:tcPr>
          <w:p>
            <w:pPr>
              <w:widowControl/>
              <w:ind w:firstLine="0" w:firstLineChars="0"/>
              <w:jc w:val="center"/>
              <w:rPr>
                <w:szCs w:val="21"/>
              </w:rPr>
            </w:pPr>
            <w:r>
              <w:rPr>
                <w:szCs w:val="21"/>
              </w:rPr>
              <w:t>0.002</w:t>
            </w:r>
          </w:p>
        </w:tc>
      </w:tr>
    </w:tbl>
    <w:p>
      <w:pPr>
        <w:widowControl/>
        <w:ind w:firstLine="480"/>
        <w:rPr>
          <w:sz w:val="24"/>
          <w:szCs w:val="21"/>
        </w:rPr>
      </w:pPr>
      <w:r>
        <w:rPr>
          <w:sz w:val="24"/>
          <w:szCs w:val="21"/>
        </w:rPr>
        <w:t>分别采用《建设用砂》GB/T 14684-2011和《铜精矿化学分析 第3部分：硫量的测定 重量法和燃烧-滴定法》GB/T 3884.3-2012对铜尾矿中的硫含量进行测定，需要注意的是GB/T 3884.3-2012测试结果以S计，而GB/T 14684-2011的测试结果以SO</w:t>
      </w:r>
      <w:r>
        <w:rPr>
          <w:sz w:val="24"/>
          <w:szCs w:val="21"/>
          <w:vertAlign w:val="subscript"/>
        </w:rPr>
        <w:t>3</w:t>
      </w:r>
      <w:r>
        <w:rPr>
          <w:sz w:val="24"/>
          <w:szCs w:val="21"/>
        </w:rPr>
        <w:t>计，测试结果如表1</w:t>
      </w:r>
      <w:r>
        <w:rPr>
          <w:rFonts w:hint="eastAsia"/>
          <w:sz w:val="24"/>
          <w:szCs w:val="21"/>
          <w:lang w:val="en-US" w:eastAsia="zh-CN"/>
        </w:rPr>
        <w:t>1</w:t>
      </w:r>
      <w:r>
        <w:rPr>
          <w:sz w:val="24"/>
          <w:szCs w:val="21"/>
        </w:rPr>
        <w:t>所示。</w:t>
      </w:r>
    </w:p>
    <w:p>
      <w:pPr>
        <w:pStyle w:val="16"/>
        <w:tabs>
          <w:tab w:val="center" w:pos="4201"/>
          <w:tab w:val="right" w:leader="dot" w:pos="9298"/>
        </w:tabs>
        <w:spacing w:before="156" w:beforeLines="50" w:after="156" w:afterLines="50" w:line="276" w:lineRule="auto"/>
        <w:ind w:firstLine="420" w:firstLineChars="0"/>
        <w:jc w:val="center"/>
        <w:rPr>
          <w:rFonts w:ascii="Times New Roman"/>
          <w:sz w:val="24"/>
          <w:szCs w:val="21"/>
        </w:rPr>
      </w:pPr>
      <w:r>
        <w:rPr>
          <w:rFonts w:ascii="Times New Roman" w:eastAsia="黑体"/>
          <w:szCs w:val="21"/>
        </w:rPr>
        <w:t>表</w:t>
      </w:r>
      <w:r>
        <w:rPr>
          <w:rFonts w:hint="eastAsia" w:ascii="Times New Roman" w:eastAsia="黑体"/>
          <w:szCs w:val="21"/>
          <w:lang w:val="en-US" w:eastAsia="zh-CN"/>
        </w:rPr>
        <w:t>11</w:t>
      </w:r>
      <w:r>
        <w:rPr>
          <w:rFonts w:ascii="Times New Roman" w:eastAsia="黑体"/>
          <w:szCs w:val="21"/>
        </w:rPr>
        <w:t xml:space="preserve"> 代表性</w:t>
      </w:r>
      <w:r>
        <w:rPr>
          <w:rFonts w:hint="eastAsia" w:ascii="Times New Roman" w:eastAsia="黑体"/>
          <w:szCs w:val="21"/>
          <w:lang w:eastAsia="zh-CN"/>
        </w:rPr>
        <w:t>铜尾矿砂</w:t>
      </w:r>
      <w:r>
        <w:rPr>
          <w:rFonts w:ascii="Times New Roman" w:eastAsia="黑体"/>
          <w:szCs w:val="21"/>
        </w:rPr>
        <w:t>硫含量测试结果</w:t>
      </w:r>
    </w:p>
    <w:tbl>
      <w:tblPr>
        <w:tblStyle w:val="10"/>
        <w:tblW w:w="5000" w:type="pct"/>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1"/>
        <w:gridCol w:w="2841"/>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7"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样品</w:t>
            </w:r>
          </w:p>
        </w:tc>
        <w:tc>
          <w:tcPr>
            <w:tcW w:w="1667"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GB/T 3884.3-2012</w:t>
            </w:r>
          </w:p>
          <w:p>
            <w:pPr>
              <w:pStyle w:val="16"/>
              <w:tabs>
                <w:tab w:val="center" w:pos="4201"/>
                <w:tab w:val="right" w:leader="dot" w:pos="9298"/>
              </w:tabs>
              <w:ind w:firstLine="0" w:firstLineChars="0"/>
              <w:jc w:val="center"/>
              <w:rPr>
                <w:rFonts w:ascii="Times New Roman"/>
                <w:szCs w:val="21"/>
              </w:rPr>
            </w:pPr>
            <w:r>
              <w:rPr>
                <w:rFonts w:ascii="Times New Roman"/>
                <w:szCs w:val="21"/>
              </w:rPr>
              <w:t>（S%）</w:t>
            </w:r>
          </w:p>
        </w:tc>
        <w:tc>
          <w:tcPr>
            <w:tcW w:w="1666" w:type="pct"/>
            <w:noWrap w:val="0"/>
            <w:vAlign w:val="center"/>
          </w:tcPr>
          <w:p>
            <w:pPr>
              <w:pStyle w:val="16"/>
              <w:tabs>
                <w:tab w:val="center" w:pos="4201"/>
                <w:tab w:val="right" w:leader="dot" w:pos="9298"/>
              </w:tabs>
              <w:ind w:firstLine="0" w:firstLineChars="0"/>
              <w:jc w:val="center"/>
              <w:rPr>
                <w:rFonts w:hint="eastAsia" w:ascii="Times New Roman"/>
                <w:szCs w:val="21"/>
              </w:rPr>
            </w:pPr>
            <w:r>
              <w:rPr>
                <w:rFonts w:hint="eastAsia" w:ascii="Times New Roman"/>
                <w:szCs w:val="21"/>
              </w:rPr>
              <w:t>GB/T 14684-2011</w:t>
            </w:r>
          </w:p>
          <w:p>
            <w:pPr>
              <w:pStyle w:val="16"/>
              <w:tabs>
                <w:tab w:val="center" w:pos="4201"/>
                <w:tab w:val="right" w:leader="dot" w:pos="9298"/>
              </w:tabs>
              <w:ind w:firstLine="0" w:firstLineChars="0"/>
              <w:jc w:val="center"/>
              <w:rPr>
                <w:rFonts w:ascii="Times New Roman"/>
                <w:szCs w:val="21"/>
              </w:rPr>
            </w:pPr>
            <w:r>
              <w:rPr>
                <w:rFonts w:ascii="Times New Roman"/>
                <w:szCs w:val="21"/>
              </w:rPr>
              <w:t>（SO</w:t>
            </w:r>
            <w:r>
              <w:rPr>
                <w:rFonts w:ascii="Times New Roman"/>
                <w:szCs w:val="21"/>
                <w:vertAlign w:val="subscript"/>
              </w:rPr>
              <w:t>3</w:t>
            </w:r>
            <w:r>
              <w:rPr>
                <w:rFonts w:asci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7"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1</w:t>
            </w:r>
          </w:p>
        </w:tc>
        <w:tc>
          <w:tcPr>
            <w:tcW w:w="1667"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3.96</w:t>
            </w:r>
          </w:p>
        </w:tc>
        <w:tc>
          <w:tcPr>
            <w:tcW w:w="1666"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7"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2</w:t>
            </w:r>
          </w:p>
        </w:tc>
        <w:tc>
          <w:tcPr>
            <w:tcW w:w="1667"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5.43</w:t>
            </w:r>
          </w:p>
        </w:tc>
        <w:tc>
          <w:tcPr>
            <w:tcW w:w="1666"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7"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3</w:t>
            </w:r>
          </w:p>
        </w:tc>
        <w:tc>
          <w:tcPr>
            <w:tcW w:w="1667"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0.06</w:t>
            </w:r>
          </w:p>
        </w:tc>
        <w:tc>
          <w:tcPr>
            <w:tcW w:w="1666"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7"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4</w:t>
            </w:r>
          </w:p>
        </w:tc>
        <w:tc>
          <w:tcPr>
            <w:tcW w:w="1667"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0.07</w:t>
            </w:r>
          </w:p>
        </w:tc>
        <w:tc>
          <w:tcPr>
            <w:tcW w:w="1666"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7"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5</w:t>
            </w:r>
          </w:p>
        </w:tc>
        <w:tc>
          <w:tcPr>
            <w:tcW w:w="1667"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2.36</w:t>
            </w:r>
          </w:p>
        </w:tc>
        <w:tc>
          <w:tcPr>
            <w:tcW w:w="1666"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7"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6</w:t>
            </w:r>
          </w:p>
        </w:tc>
        <w:tc>
          <w:tcPr>
            <w:tcW w:w="1667"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1.76</w:t>
            </w:r>
          </w:p>
        </w:tc>
        <w:tc>
          <w:tcPr>
            <w:tcW w:w="1666"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7"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7</w:t>
            </w:r>
          </w:p>
        </w:tc>
        <w:tc>
          <w:tcPr>
            <w:tcW w:w="1667"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8.53</w:t>
            </w:r>
          </w:p>
        </w:tc>
        <w:tc>
          <w:tcPr>
            <w:tcW w:w="1666"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7"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8</w:t>
            </w:r>
          </w:p>
        </w:tc>
        <w:tc>
          <w:tcPr>
            <w:tcW w:w="1667"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1.12</w:t>
            </w:r>
          </w:p>
        </w:tc>
        <w:tc>
          <w:tcPr>
            <w:tcW w:w="1666" w:type="pct"/>
            <w:noWrap w:val="0"/>
            <w:vAlign w:val="center"/>
          </w:tcPr>
          <w:p>
            <w:pPr>
              <w:pStyle w:val="16"/>
              <w:tabs>
                <w:tab w:val="center" w:pos="4201"/>
                <w:tab w:val="right" w:leader="dot" w:pos="9298"/>
              </w:tabs>
              <w:ind w:firstLine="0" w:firstLineChars="0"/>
              <w:jc w:val="center"/>
              <w:rPr>
                <w:rFonts w:ascii="Times New Roman"/>
                <w:szCs w:val="21"/>
              </w:rPr>
            </w:pPr>
            <w:r>
              <w:rPr>
                <w:rFonts w:ascii="Times New Roman"/>
                <w:szCs w:val="21"/>
              </w:rPr>
              <w:t>2.44</w:t>
            </w:r>
          </w:p>
        </w:tc>
      </w:tr>
    </w:tbl>
    <w:p>
      <w:pPr>
        <w:widowControl/>
        <w:ind w:firstLine="480"/>
        <w:rPr>
          <w:rFonts w:hint="default"/>
          <w:color w:val="auto"/>
          <w:sz w:val="24"/>
          <w:szCs w:val="21"/>
          <w:lang w:val="en-US"/>
        </w:rPr>
      </w:pPr>
      <w:r>
        <w:rPr>
          <w:color w:val="auto"/>
          <w:sz w:val="24"/>
          <w:szCs w:val="21"/>
        </w:rPr>
        <w:t>由以上结果可以看出，两种方法测试结果差异极大，本标准确定参考GB/T 14684-2011方法进行硫化物及硫酸盐含量，其含量限值确定</w:t>
      </w:r>
      <w:r>
        <w:rPr>
          <w:rFonts w:hint="eastAsia"/>
          <w:color w:val="auto"/>
          <w:sz w:val="24"/>
          <w:szCs w:val="21"/>
          <w:lang w:val="en-US" w:eastAsia="zh-CN"/>
        </w:rPr>
        <w:t>0.5</w:t>
      </w:r>
      <w:r>
        <w:rPr>
          <w:color w:val="auto"/>
          <w:sz w:val="24"/>
          <w:szCs w:val="21"/>
        </w:rPr>
        <w:t>%</w:t>
      </w:r>
      <w:r>
        <w:rPr>
          <w:rFonts w:hint="eastAsia"/>
          <w:color w:val="auto"/>
          <w:sz w:val="24"/>
          <w:szCs w:val="21"/>
        </w:rPr>
        <w:t>，</w:t>
      </w:r>
      <w:r>
        <w:rPr>
          <w:rFonts w:hint="eastAsia"/>
          <w:color w:val="auto"/>
          <w:sz w:val="24"/>
          <w:szCs w:val="21"/>
          <w:lang w:val="en-US" w:eastAsia="zh-CN"/>
        </w:rPr>
        <w:t>8个样品中符合要求的样品数量仅为3个</w:t>
      </w:r>
      <w:r>
        <w:rPr>
          <w:color w:val="auto"/>
          <w:sz w:val="24"/>
          <w:szCs w:val="21"/>
        </w:rPr>
        <w:t>。</w:t>
      </w:r>
      <w:r>
        <w:rPr>
          <w:rFonts w:hint="eastAsia"/>
          <w:color w:val="auto"/>
          <w:sz w:val="24"/>
          <w:szCs w:val="21"/>
          <w:lang w:val="en-US" w:eastAsia="zh-CN"/>
        </w:rPr>
        <w:t>但编制组在成型混凝土进行长期性能试验后，发现经过120次干湿循环试验后，掺有铜尾矿砂的混凝土性能与普通机制砂混凝土性能相当。因此，本标准规定，铜尾矿砂中硫化物及硫酸盐含量（以SO</w:t>
      </w:r>
      <w:r>
        <w:rPr>
          <w:rFonts w:hint="eastAsia"/>
          <w:color w:val="auto"/>
          <w:sz w:val="24"/>
          <w:szCs w:val="21"/>
          <w:vertAlign w:val="subscript"/>
          <w:lang w:val="en-US" w:eastAsia="zh-CN"/>
        </w:rPr>
        <w:t>3</w:t>
      </w:r>
      <w:r>
        <w:rPr>
          <w:rFonts w:hint="eastAsia"/>
          <w:color w:val="auto"/>
          <w:sz w:val="24"/>
          <w:szCs w:val="21"/>
          <w:lang w:val="en-US" w:eastAsia="zh-CN"/>
        </w:rPr>
        <w:t>质量计）超出正常范围时，经过膨胀性试验验证合格后可放宽至不大于2.0%，符合此要求的样品占比为75%。</w:t>
      </w:r>
    </w:p>
    <w:p>
      <w:pPr>
        <w:pStyle w:val="3"/>
        <w:widowControl/>
        <w:jc w:val="both"/>
        <w:rPr>
          <w:rFonts w:hint="eastAsia" w:eastAsia="宋体"/>
          <w:kern w:val="0"/>
          <w:szCs w:val="24"/>
          <w:lang w:eastAsia="zh-CN"/>
        </w:rPr>
      </w:pPr>
      <w:bookmarkStart w:id="36" w:name="_Toc2260"/>
      <w:r>
        <w:rPr>
          <w:kern w:val="0"/>
          <w:szCs w:val="24"/>
        </w:rPr>
        <w:t>3.</w:t>
      </w:r>
      <w:r>
        <w:rPr>
          <w:rFonts w:hint="eastAsia"/>
          <w:kern w:val="0"/>
          <w:szCs w:val="24"/>
          <w:lang w:val="en-US" w:eastAsia="zh-CN"/>
        </w:rPr>
        <w:t>4</w:t>
      </w:r>
      <w:r>
        <w:rPr>
          <w:kern w:val="0"/>
          <w:szCs w:val="24"/>
        </w:rPr>
        <w:t xml:space="preserve"> </w:t>
      </w:r>
      <w:r>
        <w:rPr>
          <w:rFonts w:hint="eastAsia"/>
          <w:kern w:val="0"/>
          <w:szCs w:val="24"/>
          <w:lang w:val="en-US" w:eastAsia="zh-CN"/>
        </w:rPr>
        <w:t>坚固性</w:t>
      </w:r>
    </w:p>
    <w:p>
      <w:pPr>
        <w:ind w:firstLine="480"/>
        <w:rPr>
          <w:rFonts w:ascii="Times New Roman" w:hAnsi="Times New Roman" w:eastAsia="宋体" w:cs="Times New Roman"/>
          <w:sz w:val="24"/>
          <w:szCs w:val="21"/>
        </w:rPr>
      </w:pPr>
      <w:r>
        <w:rPr>
          <w:rFonts w:hint="eastAsia" w:ascii="Times New Roman" w:hAnsi="Times New Roman" w:eastAsia="宋体" w:cs="Times New Roman"/>
          <w:sz w:val="24"/>
          <w:szCs w:val="21"/>
          <w:lang w:val="en-US" w:eastAsia="zh-CN"/>
        </w:rPr>
        <w:t>编制组按</w:t>
      </w:r>
      <w:r>
        <w:rPr>
          <w:rFonts w:hint="default" w:ascii="Times New Roman" w:hAnsi="Times New Roman" w:eastAsia="宋体" w:cs="Times New Roman"/>
          <w:sz w:val="24"/>
          <w:szCs w:val="21"/>
          <w:lang w:val="en-US" w:eastAsia="zh-CN"/>
        </w:rPr>
        <w:t>照</w:t>
      </w:r>
      <w:r>
        <w:rPr>
          <w:rFonts w:hint="eastAsia" w:ascii="Times New Roman" w:hAnsi="Times New Roman" w:eastAsia="宋体" w:cs="Times New Roman"/>
          <w:sz w:val="24"/>
          <w:szCs w:val="21"/>
        </w:rPr>
        <w:t>按JGJ 52中特细砂的规定</w:t>
      </w:r>
      <w:r>
        <w:rPr>
          <w:rFonts w:hint="default" w:ascii="Times New Roman" w:hAnsi="Times New Roman" w:eastAsia="宋体" w:cs="Times New Roman"/>
          <w:sz w:val="24"/>
          <w:szCs w:val="21"/>
          <w:lang w:val="en-US" w:eastAsia="zh-CN"/>
        </w:rPr>
        <w:t>对</w:t>
      </w:r>
      <w:r>
        <w:rPr>
          <w:rFonts w:ascii="Times New Roman" w:hAnsi="Times New Roman" w:eastAsia="宋体" w:cs="Times New Roman"/>
          <w:sz w:val="24"/>
          <w:szCs w:val="21"/>
        </w:rPr>
        <w:t>代表性尾矿</w:t>
      </w:r>
      <w:r>
        <w:rPr>
          <w:rFonts w:hint="eastAsia" w:ascii="Times New Roman" w:hAnsi="Times New Roman" w:eastAsia="宋体" w:cs="Times New Roman"/>
          <w:sz w:val="24"/>
          <w:szCs w:val="21"/>
          <w:lang w:val="en-US" w:eastAsia="zh-CN"/>
        </w:rPr>
        <w:t>进行了坚固性</w:t>
      </w:r>
      <w:r>
        <w:rPr>
          <w:rFonts w:ascii="Times New Roman" w:hAnsi="Times New Roman" w:eastAsia="宋体" w:cs="Times New Roman"/>
          <w:sz w:val="24"/>
          <w:szCs w:val="21"/>
        </w:rPr>
        <w:t>测试</w:t>
      </w:r>
      <w:r>
        <w:rPr>
          <w:rFonts w:hint="eastAsia" w:ascii="Times New Roman" w:hAnsi="Times New Roman" w:eastAsia="宋体" w:cs="Times New Roman"/>
          <w:sz w:val="24"/>
          <w:szCs w:val="21"/>
          <w:lang w:eastAsia="zh-CN"/>
        </w:rPr>
        <w:t>，</w:t>
      </w:r>
      <w:r>
        <w:rPr>
          <w:rFonts w:ascii="Times New Roman" w:hAnsi="Times New Roman" w:eastAsia="宋体" w:cs="Times New Roman"/>
          <w:sz w:val="24"/>
          <w:szCs w:val="21"/>
        </w:rPr>
        <w:t>结果如表1</w:t>
      </w:r>
      <w:r>
        <w:rPr>
          <w:rFonts w:hint="eastAsia" w:ascii="Times New Roman" w:hAnsi="Times New Roman" w:eastAsia="宋体" w:cs="Times New Roman"/>
          <w:sz w:val="24"/>
          <w:szCs w:val="21"/>
          <w:lang w:val="en-US" w:eastAsia="zh-CN"/>
        </w:rPr>
        <w:t>2</w:t>
      </w:r>
      <w:r>
        <w:rPr>
          <w:rFonts w:ascii="Times New Roman" w:hAnsi="Times New Roman" w:eastAsia="宋体" w:cs="Times New Roman"/>
          <w:sz w:val="24"/>
          <w:szCs w:val="21"/>
        </w:rPr>
        <w:t>所示</w:t>
      </w:r>
      <w:r>
        <w:rPr>
          <w:rFonts w:hint="default" w:ascii="Times New Roman" w:hAnsi="Times New Roman" w:eastAsia="宋体" w:cs="Times New Roman"/>
          <w:sz w:val="24"/>
          <w:szCs w:val="21"/>
        </w:rPr>
        <w:t>，</w:t>
      </w:r>
      <w:r>
        <w:rPr>
          <w:rFonts w:hint="eastAsia" w:ascii="Times New Roman" w:hAnsi="Times New Roman" w:eastAsia="宋体" w:cs="Times New Roman"/>
          <w:sz w:val="24"/>
          <w:szCs w:val="21"/>
          <w:lang w:val="en-US" w:eastAsia="zh-CN"/>
        </w:rPr>
        <w:t>所有样品的坚固性</w:t>
      </w:r>
      <w:r>
        <w:rPr>
          <w:rFonts w:hint="default" w:ascii="Times New Roman" w:hAnsi="Times New Roman" w:eastAsia="宋体" w:cs="Times New Roman"/>
          <w:sz w:val="24"/>
          <w:szCs w:val="21"/>
        </w:rPr>
        <w:t>均满足性能指标要求</w:t>
      </w:r>
      <w:r>
        <w:rPr>
          <w:rFonts w:ascii="Times New Roman" w:hAnsi="Times New Roman" w:eastAsia="宋体" w:cs="Times New Roman"/>
          <w:sz w:val="24"/>
          <w:szCs w:val="21"/>
        </w:rPr>
        <w:t>。</w:t>
      </w:r>
    </w:p>
    <w:p>
      <w:pPr>
        <w:pStyle w:val="16"/>
        <w:tabs>
          <w:tab w:val="center" w:pos="4201"/>
          <w:tab w:val="right" w:leader="dot" w:pos="9298"/>
        </w:tabs>
        <w:spacing w:before="156" w:beforeLines="50" w:after="156" w:afterLines="50" w:line="276" w:lineRule="auto"/>
        <w:ind w:firstLine="420" w:firstLineChars="0"/>
        <w:jc w:val="center"/>
        <w:rPr>
          <w:rFonts w:ascii="Times New Roman" w:eastAsia="黑体"/>
          <w:szCs w:val="21"/>
        </w:rPr>
      </w:pPr>
      <w:r>
        <w:rPr>
          <w:rFonts w:ascii="Times New Roman" w:eastAsia="黑体"/>
          <w:szCs w:val="21"/>
        </w:rPr>
        <w:t>表1</w:t>
      </w:r>
      <w:r>
        <w:rPr>
          <w:rFonts w:hint="eastAsia" w:ascii="Times New Roman" w:eastAsia="黑体"/>
          <w:szCs w:val="21"/>
          <w:lang w:val="en-US" w:eastAsia="zh-CN"/>
        </w:rPr>
        <w:t>2</w:t>
      </w:r>
      <w:r>
        <w:rPr>
          <w:rFonts w:ascii="Times New Roman" w:eastAsia="黑体"/>
          <w:szCs w:val="21"/>
        </w:rPr>
        <w:t xml:space="preserve"> </w:t>
      </w:r>
      <w:r>
        <w:rPr>
          <w:rFonts w:hint="eastAsia" w:ascii="Times New Roman" w:eastAsia="黑体"/>
          <w:szCs w:val="21"/>
          <w:lang w:eastAsia="zh-CN"/>
        </w:rPr>
        <w:t>铜尾矿砂</w:t>
      </w:r>
      <w:r>
        <w:rPr>
          <w:rFonts w:hint="eastAsia" w:ascii="Times New Roman" w:eastAsia="黑体"/>
          <w:szCs w:val="21"/>
          <w:lang w:val="en-US" w:eastAsia="zh-CN"/>
        </w:rPr>
        <w:t>坚固性</w:t>
      </w:r>
      <w:r>
        <w:rPr>
          <w:rFonts w:ascii="Times New Roman" w:eastAsia="黑体"/>
          <w:szCs w:val="21"/>
        </w:rPr>
        <w:t>测试结果</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900"/>
        <w:gridCol w:w="901"/>
        <w:gridCol w:w="901"/>
        <w:gridCol w:w="901"/>
        <w:gridCol w:w="901"/>
        <w:gridCol w:w="901"/>
        <w:gridCol w:w="901"/>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3" w:type="dxa"/>
            <w:noWrap w:val="0"/>
            <w:vAlign w:val="center"/>
          </w:tcPr>
          <w:p>
            <w:pPr>
              <w:widowControl/>
              <w:ind w:firstLine="0" w:firstLineChars="0"/>
              <w:jc w:val="center"/>
              <w:rPr>
                <w:szCs w:val="21"/>
              </w:rPr>
            </w:pPr>
            <w:r>
              <w:rPr>
                <w:szCs w:val="21"/>
              </w:rPr>
              <w:t>样品</w:t>
            </w:r>
          </w:p>
        </w:tc>
        <w:tc>
          <w:tcPr>
            <w:tcW w:w="1020" w:type="dxa"/>
            <w:noWrap w:val="0"/>
            <w:vAlign w:val="center"/>
          </w:tcPr>
          <w:p>
            <w:pPr>
              <w:widowControl/>
              <w:ind w:firstLine="0" w:firstLineChars="0"/>
              <w:jc w:val="center"/>
              <w:rPr>
                <w:szCs w:val="21"/>
              </w:rPr>
            </w:pPr>
            <w:r>
              <w:rPr>
                <w:szCs w:val="21"/>
              </w:rPr>
              <w:t>1</w:t>
            </w:r>
          </w:p>
        </w:tc>
        <w:tc>
          <w:tcPr>
            <w:tcW w:w="1020" w:type="dxa"/>
            <w:noWrap w:val="0"/>
            <w:vAlign w:val="center"/>
          </w:tcPr>
          <w:p>
            <w:pPr>
              <w:widowControl/>
              <w:ind w:firstLine="0" w:firstLineChars="0"/>
              <w:jc w:val="center"/>
              <w:rPr>
                <w:szCs w:val="21"/>
              </w:rPr>
            </w:pPr>
            <w:r>
              <w:rPr>
                <w:szCs w:val="21"/>
              </w:rPr>
              <w:t>2</w:t>
            </w:r>
          </w:p>
        </w:tc>
        <w:tc>
          <w:tcPr>
            <w:tcW w:w="1020" w:type="dxa"/>
            <w:noWrap w:val="0"/>
            <w:vAlign w:val="center"/>
          </w:tcPr>
          <w:p>
            <w:pPr>
              <w:widowControl/>
              <w:ind w:firstLine="0" w:firstLineChars="0"/>
              <w:jc w:val="center"/>
              <w:rPr>
                <w:szCs w:val="21"/>
              </w:rPr>
            </w:pPr>
            <w:r>
              <w:rPr>
                <w:szCs w:val="21"/>
              </w:rPr>
              <w:t>3</w:t>
            </w:r>
          </w:p>
        </w:tc>
        <w:tc>
          <w:tcPr>
            <w:tcW w:w="1020" w:type="dxa"/>
            <w:noWrap w:val="0"/>
            <w:vAlign w:val="center"/>
          </w:tcPr>
          <w:p>
            <w:pPr>
              <w:widowControl/>
              <w:ind w:firstLine="0" w:firstLineChars="0"/>
              <w:jc w:val="center"/>
              <w:rPr>
                <w:szCs w:val="21"/>
              </w:rPr>
            </w:pPr>
            <w:r>
              <w:rPr>
                <w:szCs w:val="21"/>
              </w:rPr>
              <w:t>4</w:t>
            </w:r>
          </w:p>
        </w:tc>
        <w:tc>
          <w:tcPr>
            <w:tcW w:w="1020" w:type="dxa"/>
            <w:noWrap w:val="0"/>
            <w:vAlign w:val="center"/>
          </w:tcPr>
          <w:p>
            <w:pPr>
              <w:widowControl/>
              <w:ind w:firstLine="0" w:firstLineChars="0"/>
              <w:jc w:val="center"/>
              <w:rPr>
                <w:szCs w:val="21"/>
              </w:rPr>
            </w:pPr>
            <w:r>
              <w:rPr>
                <w:szCs w:val="21"/>
              </w:rPr>
              <w:t>5</w:t>
            </w:r>
          </w:p>
        </w:tc>
        <w:tc>
          <w:tcPr>
            <w:tcW w:w="1020" w:type="dxa"/>
            <w:noWrap w:val="0"/>
            <w:vAlign w:val="center"/>
          </w:tcPr>
          <w:p>
            <w:pPr>
              <w:widowControl/>
              <w:ind w:firstLine="0" w:firstLineChars="0"/>
              <w:jc w:val="center"/>
              <w:rPr>
                <w:szCs w:val="21"/>
              </w:rPr>
            </w:pPr>
            <w:r>
              <w:rPr>
                <w:szCs w:val="21"/>
              </w:rPr>
              <w:t>6</w:t>
            </w:r>
          </w:p>
        </w:tc>
        <w:tc>
          <w:tcPr>
            <w:tcW w:w="1020" w:type="dxa"/>
            <w:noWrap w:val="0"/>
            <w:vAlign w:val="center"/>
          </w:tcPr>
          <w:p>
            <w:pPr>
              <w:widowControl/>
              <w:ind w:firstLine="0" w:firstLineChars="0"/>
              <w:jc w:val="center"/>
              <w:rPr>
                <w:szCs w:val="21"/>
              </w:rPr>
            </w:pPr>
            <w:r>
              <w:rPr>
                <w:szCs w:val="21"/>
              </w:rPr>
              <w:t>7</w:t>
            </w:r>
          </w:p>
        </w:tc>
        <w:tc>
          <w:tcPr>
            <w:tcW w:w="1021" w:type="dxa"/>
            <w:noWrap w:val="0"/>
            <w:vAlign w:val="center"/>
          </w:tcPr>
          <w:p>
            <w:pPr>
              <w:widowControl/>
              <w:ind w:firstLine="0" w:firstLineChars="0"/>
              <w:jc w:val="center"/>
              <w:rPr>
                <w:szCs w:val="21"/>
              </w:rPr>
            </w:pPr>
            <w:r>
              <w:rPr>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noWrap w:val="0"/>
            <w:vAlign w:val="center"/>
          </w:tcPr>
          <w:p>
            <w:pPr>
              <w:widowControl/>
              <w:ind w:firstLine="0" w:firstLineChars="0"/>
              <w:jc w:val="center"/>
              <w:rPr>
                <w:szCs w:val="21"/>
              </w:rPr>
            </w:pPr>
            <w:r>
              <w:rPr>
                <w:rFonts w:hint="eastAsia"/>
                <w:szCs w:val="21"/>
                <w:lang w:val="en-US" w:eastAsia="zh-CN"/>
              </w:rPr>
              <w:t>质量损失</w:t>
            </w:r>
            <w:r>
              <w:rPr>
                <w:szCs w:val="21"/>
              </w:rPr>
              <w:t>（%）</w:t>
            </w:r>
          </w:p>
        </w:tc>
        <w:tc>
          <w:tcPr>
            <w:tcW w:w="1020" w:type="dxa"/>
            <w:noWrap w:val="0"/>
            <w:vAlign w:val="center"/>
          </w:tcPr>
          <w:p>
            <w:pPr>
              <w:widowControl/>
              <w:ind w:firstLine="0" w:firstLineChars="0"/>
              <w:jc w:val="center"/>
              <w:rPr>
                <w:rFonts w:hint="default" w:eastAsia="宋体"/>
                <w:szCs w:val="21"/>
                <w:lang w:val="en-US" w:eastAsia="zh-CN"/>
              </w:rPr>
            </w:pPr>
            <w:r>
              <w:rPr>
                <w:rFonts w:hint="eastAsia"/>
                <w:szCs w:val="21"/>
                <w:lang w:val="en-US" w:eastAsia="zh-CN"/>
              </w:rPr>
              <w:t>7.52</w:t>
            </w:r>
          </w:p>
        </w:tc>
        <w:tc>
          <w:tcPr>
            <w:tcW w:w="1020" w:type="dxa"/>
            <w:noWrap w:val="0"/>
            <w:vAlign w:val="center"/>
          </w:tcPr>
          <w:p>
            <w:pPr>
              <w:widowControl/>
              <w:ind w:firstLine="0" w:firstLineChars="0"/>
              <w:jc w:val="center"/>
              <w:rPr>
                <w:rFonts w:hint="default" w:eastAsia="宋体"/>
                <w:szCs w:val="21"/>
                <w:lang w:val="en-US" w:eastAsia="zh-CN"/>
              </w:rPr>
            </w:pPr>
            <w:r>
              <w:rPr>
                <w:rFonts w:hint="eastAsia"/>
                <w:szCs w:val="21"/>
                <w:lang w:val="en-US" w:eastAsia="zh-CN"/>
              </w:rPr>
              <w:t>6.55</w:t>
            </w:r>
          </w:p>
        </w:tc>
        <w:tc>
          <w:tcPr>
            <w:tcW w:w="1020" w:type="dxa"/>
            <w:noWrap w:val="0"/>
            <w:vAlign w:val="center"/>
          </w:tcPr>
          <w:p>
            <w:pPr>
              <w:widowControl/>
              <w:ind w:firstLine="0" w:firstLineChars="0"/>
              <w:jc w:val="center"/>
              <w:rPr>
                <w:rFonts w:hint="default" w:eastAsia="宋体"/>
                <w:szCs w:val="21"/>
                <w:lang w:val="en-US" w:eastAsia="zh-CN"/>
              </w:rPr>
            </w:pPr>
            <w:r>
              <w:rPr>
                <w:rFonts w:hint="eastAsia"/>
                <w:szCs w:val="21"/>
                <w:lang w:val="en-US" w:eastAsia="zh-CN"/>
              </w:rPr>
              <w:t>7.14</w:t>
            </w:r>
          </w:p>
        </w:tc>
        <w:tc>
          <w:tcPr>
            <w:tcW w:w="1020" w:type="dxa"/>
            <w:noWrap w:val="0"/>
            <w:vAlign w:val="center"/>
          </w:tcPr>
          <w:p>
            <w:pPr>
              <w:widowControl/>
              <w:ind w:firstLine="0" w:firstLineChars="0"/>
              <w:jc w:val="center"/>
              <w:rPr>
                <w:rFonts w:hint="default" w:eastAsia="宋体"/>
                <w:szCs w:val="21"/>
                <w:lang w:val="en-US" w:eastAsia="zh-CN"/>
              </w:rPr>
            </w:pPr>
            <w:r>
              <w:rPr>
                <w:rFonts w:hint="eastAsia"/>
                <w:szCs w:val="21"/>
                <w:lang w:val="en-US" w:eastAsia="zh-CN"/>
              </w:rPr>
              <w:t>6.27</w:t>
            </w:r>
          </w:p>
        </w:tc>
        <w:tc>
          <w:tcPr>
            <w:tcW w:w="1020" w:type="dxa"/>
            <w:noWrap w:val="0"/>
            <w:vAlign w:val="center"/>
          </w:tcPr>
          <w:p>
            <w:pPr>
              <w:widowControl/>
              <w:ind w:firstLine="0" w:firstLineChars="0"/>
              <w:jc w:val="center"/>
              <w:rPr>
                <w:rFonts w:hint="default" w:eastAsia="宋体"/>
                <w:szCs w:val="21"/>
                <w:lang w:val="en-US" w:eastAsia="zh-CN"/>
              </w:rPr>
            </w:pPr>
            <w:r>
              <w:rPr>
                <w:rFonts w:hint="eastAsia"/>
                <w:szCs w:val="21"/>
                <w:lang w:val="en-US" w:eastAsia="zh-CN"/>
              </w:rPr>
              <w:t>5.89</w:t>
            </w:r>
          </w:p>
        </w:tc>
        <w:tc>
          <w:tcPr>
            <w:tcW w:w="1020" w:type="dxa"/>
            <w:noWrap w:val="0"/>
            <w:vAlign w:val="center"/>
          </w:tcPr>
          <w:p>
            <w:pPr>
              <w:widowControl/>
              <w:ind w:firstLine="0" w:firstLineChars="0"/>
              <w:jc w:val="center"/>
              <w:rPr>
                <w:rFonts w:hint="default" w:eastAsia="宋体"/>
                <w:szCs w:val="21"/>
                <w:lang w:val="en-US" w:eastAsia="zh-CN"/>
              </w:rPr>
            </w:pPr>
            <w:r>
              <w:rPr>
                <w:rFonts w:hint="eastAsia"/>
                <w:szCs w:val="21"/>
                <w:lang w:val="en-US" w:eastAsia="zh-CN"/>
              </w:rPr>
              <w:t>6.07</w:t>
            </w:r>
          </w:p>
        </w:tc>
        <w:tc>
          <w:tcPr>
            <w:tcW w:w="1020" w:type="dxa"/>
            <w:noWrap w:val="0"/>
            <w:vAlign w:val="center"/>
          </w:tcPr>
          <w:p>
            <w:pPr>
              <w:widowControl/>
              <w:ind w:firstLine="0" w:firstLineChars="0"/>
              <w:jc w:val="center"/>
              <w:rPr>
                <w:rFonts w:hint="default" w:eastAsia="宋体"/>
                <w:szCs w:val="21"/>
                <w:lang w:val="en-US" w:eastAsia="zh-CN"/>
              </w:rPr>
            </w:pPr>
            <w:r>
              <w:rPr>
                <w:rFonts w:hint="eastAsia"/>
                <w:szCs w:val="21"/>
                <w:lang w:val="en-US" w:eastAsia="zh-CN"/>
              </w:rPr>
              <w:t>6.19</w:t>
            </w:r>
          </w:p>
        </w:tc>
        <w:tc>
          <w:tcPr>
            <w:tcW w:w="1021" w:type="dxa"/>
            <w:noWrap w:val="0"/>
            <w:vAlign w:val="center"/>
          </w:tcPr>
          <w:p>
            <w:pPr>
              <w:widowControl/>
              <w:ind w:firstLine="0" w:firstLineChars="0"/>
              <w:jc w:val="center"/>
              <w:rPr>
                <w:rFonts w:hint="default" w:eastAsia="宋体"/>
                <w:szCs w:val="21"/>
                <w:lang w:val="en-US" w:eastAsia="zh-CN"/>
              </w:rPr>
            </w:pPr>
            <w:r>
              <w:rPr>
                <w:rFonts w:hint="eastAsia"/>
                <w:szCs w:val="21"/>
                <w:lang w:val="en-US" w:eastAsia="zh-CN"/>
              </w:rPr>
              <w:t>7.02</w:t>
            </w:r>
          </w:p>
        </w:tc>
      </w:tr>
    </w:tbl>
    <w:p>
      <w:pPr>
        <w:pStyle w:val="3"/>
        <w:widowControl/>
        <w:jc w:val="both"/>
        <w:rPr>
          <w:kern w:val="0"/>
          <w:szCs w:val="24"/>
        </w:rPr>
      </w:pPr>
      <w:r>
        <w:rPr>
          <w:kern w:val="0"/>
          <w:szCs w:val="24"/>
        </w:rPr>
        <w:t>3.</w:t>
      </w:r>
      <w:r>
        <w:rPr>
          <w:rFonts w:hint="eastAsia"/>
          <w:kern w:val="0"/>
          <w:szCs w:val="24"/>
          <w:lang w:val="en-US" w:eastAsia="zh-CN"/>
        </w:rPr>
        <w:t>5</w:t>
      </w:r>
      <w:r>
        <w:rPr>
          <w:kern w:val="0"/>
          <w:szCs w:val="24"/>
        </w:rPr>
        <w:t xml:space="preserve"> 放射性</w:t>
      </w:r>
      <w:r>
        <w:rPr>
          <w:rFonts w:hint="eastAsia"/>
          <w:kern w:val="0"/>
          <w:szCs w:val="24"/>
        </w:rPr>
        <w:t>核素限量</w:t>
      </w:r>
      <w:bookmarkEnd w:id="36"/>
    </w:p>
    <w:p>
      <w:pPr>
        <w:widowControl/>
        <w:ind w:firstLine="480"/>
        <w:rPr>
          <w:sz w:val="24"/>
          <w:szCs w:val="21"/>
        </w:rPr>
      </w:pPr>
      <w:r>
        <w:rPr>
          <w:sz w:val="24"/>
          <w:szCs w:val="21"/>
        </w:rPr>
        <w:t>代表性尾矿放射性</w:t>
      </w:r>
      <w:bookmarkStart w:id="37" w:name="_Hlk100221673"/>
      <w:r>
        <w:rPr>
          <w:rFonts w:hint="eastAsia"/>
          <w:sz w:val="24"/>
          <w:szCs w:val="21"/>
        </w:rPr>
        <w:t>核素限量</w:t>
      </w:r>
      <w:bookmarkEnd w:id="37"/>
      <w:r>
        <w:rPr>
          <w:sz w:val="24"/>
          <w:szCs w:val="21"/>
        </w:rPr>
        <w:t>测试结果如表1</w:t>
      </w:r>
      <w:r>
        <w:rPr>
          <w:rFonts w:hint="eastAsia"/>
          <w:sz w:val="24"/>
          <w:szCs w:val="21"/>
          <w:lang w:val="en-US" w:eastAsia="zh-CN"/>
        </w:rPr>
        <w:t>3</w:t>
      </w:r>
      <w:r>
        <w:rPr>
          <w:sz w:val="24"/>
          <w:szCs w:val="21"/>
        </w:rPr>
        <w:t>所示</w:t>
      </w:r>
      <w:r>
        <w:rPr>
          <w:rFonts w:hint="eastAsia"/>
          <w:sz w:val="24"/>
          <w:szCs w:val="21"/>
        </w:rPr>
        <w:t>，其放射性核素限量试验结果均合格</w:t>
      </w:r>
      <w:r>
        <w:rPr>
          <w:sz w:val="24"/>
          <w:szCs w:val="21"/>
        </w:rPr>
        <w:t>。</w:t>
      </w:r>
    </w:p>
    <w:p>
      <w:pPr>
        <w:pStyle w:val="16"/>
        <w:tabs>
          <w:tab w:val="center" w:pos="4201"/>
          <w:tab w:val="right" w:leader="dot" w:pos="9298"/>
        </w:tabs>
        <w:spacing w:before="156" w:beforeLines="50" w:after="156" w:afterLines="50" w:line="276" w:lineRule="auto"/>
        <w:ind w:firstLine="420" w:firstLineChars="0"/>
        <w:jc w:val="center"/>
        <w:rPr>
          <w:rFonts w:ascii="Times New Roman" w:eastAsia="黑体"/>
          <w:szCs w:val="21"/>
        </w:rPr>
      </w:pPr>
      <w:r>
        <w:rPr>
          <w:rFonts w:ascii="Times New Roman" w:eastAsia="黑体"/>
          <w:szCs w:val="21"/>
        </w:rPr>
        <w:t>表1</w:t>
      </w:r>
      <w:r>
        <w:rPr>
          <w:rFonts w:hint="eastAsia" w:ascii="Times New Roman" w:eastAsia="黑体"/>
          <w:szCs w:val="21"/>
          <w:lang w:val="en-US" w:eastAsia="zh-CN"/>
        </w:rPr>
        <w:t>3</w:t>
      </w:r>
      <w:r>
        <w:rPr>
          <w:rFonts w:ascii="Times New Roman" w:eastAsia="黑体"/>
          <w:szCs w:val="21"/>
        </w:rPr>
        <w:t xml:space="preserve"> </w:t>
      </w:r>
      <w:r>
        <w:rPr>
          <w:rFonts w:hint="eastAsia" w:ascii="Times New Roman" w:eastAsia="黑体"/>
          <w:szCs w:val="21"/>
          <w:lang w:eastAsia="zh-CN"/>
        </w:rPr>
        <w:t>铜尾矿砂</w:t>
      </w:r>
      <w:r>
        <w:rPr>
          <w:rFonts w:ascii="Times New Roman" w:eastAsia="黑体"/>
          <w:szCs w:val="21"/>
        </w:rPr>
        <w:t>放射性</w:t>
      </w:r>
      <w:r>
        <w:rPr>
          <w:rFonts w:hint="eastAsia" w:ascii="Times New Roman" w:eastAsia="黑体"/>
          <w:szCs w:val="21"/>
        </w:rPr>
        <w:t>核素限量</w:t>
      </w:r>
      <w:r>
        <w:rPr>
          <w:rFonts w:ascii="Times New Roman" w:eastAsia="黑体"/>
          <w:szCs w:val="21"/>
        </w:rPr>
        <w:t>测试结果</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910"/>
        <w:gridCol w:w="910"/>
        <w:gridCol w:w="910"/>
        <w:gridCol w:w="910"/>
        <w:gridCol w:w="910"/>
        <w:gridCol w:w="910"/>
        <w:gridCol w:w="910"/>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noWrap w:val="0"/>
            <w:vAlign w:val="top"/>
          </w:tcPr>
          <w:p>
            <w:pPr>
              <w:widowControl/>
              <w:ind w:firstLine="0" w:firstLineChars="0"/>
              <w:jc w:val="center"/>
              <w:rPr>
                <w:szCs w:val="21"/>
              </w:rPr>
            </w:pPr>
            <w:r>
              <w:rPr>
                <w:szCs w:val="21"/>
              </w:rPr>
              <w:t>样品</w:t>
            </w:r>
          </w:p>
        </w:tc>
        <w:tc>
          <w:tcPr>
            <w:tcW w:w="1020" w:type="dxa"/>
            <w:noWrap w:val="0"/>
            <w:vAlign w:val="top"/>
          </w:tcPr>
          <w:p>
            <w:pPr>
              <w:widowControl/>
              <w:ind w:firstLine="0" w:firstLineChars="0"/>
              <w:jc w:val="center"/>
              <w:rPr>
                <w:szCs w:val="21"/>
              </w:rPr>
            </w:pPr>
            <w:r>
              <w:rPr>
                <w:szCs w:val="21"/>
              </w:rPr>
              <w:t>1</w:t>
            </w:r>
          </w:p>
        </w:tc>
        <w:tc>
          <w:tcPr>
            <w:tcW w:w="1020" w:type="dxa"/>
            <w:noWrap w:val="0"/>
            <w:vAlign w:val="top"/>
          </w:tcPr>
          <w:p>
            <w:pPr>
              <w:widowControl/>
              <w:ind w:firstLine="0" w:firstLineChars="0"/>
              <w:jc w:val="center"/>
              <w:rPr>
                <w:szCs w:val="21"/>
              </w:rPr>
            </w:pPr>
            <w:r>
              <w:rPr>
                <w:szCs w:val="21"/>
              </w:rPr>
              <w:t>2</w:t>
            </w:r>
          </w:p>
        </w:tc>
        <w:tc>
          <w:tcPr>
            <w:tcW w:w="1020" w:type="dxa"/>
            <w:noWrap w:val="0"/>
            <w:vAlign w:val="top"/>
          </w:tcPr>
          <w:p>
            <w:pPr>
              <w:widowControl/>
              <w:ind w:firstLine="0" w:firstLineChars="0"/>
              <w:jc w:val="center"/>
              <w:rPr>
                <w:szCs w:val="21"/>
              </w:rPr>
            </w:pPr>
            <w:r>
              <w:rPr>
                <w:szCs w:val="21"/>
              </w:rPr>
              <w:t>3</w:t>
            </w:r>
          </w:p>
        </w:tc>
        <w:tc>
          <w:tcPr>
            <w:tcW w:w="1020" w:type="dxa"/>
            <w:noWrap w:val="0"/>
            <w:vAlign w:val="top"/>
          </w:tcPr>
          <w:p>
            <w:pPr>
              <w:widowControl/>
              <w:ind w:firstLine="0" w:firstLineChars="0"/>
              <w:jc w:val="center"/>
              <w:rPr>
                <w:szCs w:val="21"/>
              </w:rPr>
            </w:pPr>
            <w:r>
              <w:rPr>
                <w:szCs w:val="21"/>
              </w:rPr>
              <w:t>4</w:t>
            </w:r>
          </w:p>
        </w:tc>
        <w:tc>
          <w:tcPr>
            <w:tcW w:w="1020" w:type="dxa"/>
            <w:noWrap w:val="0"/>
            <w:vAlign w:val="top"/>
          </w:tcPr>
          <w:p>
            <w:pPr>
              <w:widowControl/>
              <w:ind w:firstLine="0" w:firstLineChars="0"/>
              <w:jc w:val="center"/>
              <w:rPr>
                <w:szCs w:val="21"/>
              </w:rPr>
            </w:pPr>
            <w:r>
              <w:rPr>
                <w:szCs w:val="21"/>
              </w:rPr>
              <w:t>5</w:t>
            </w:r>
          </w:p>
        </w:tc>
        <w:tc>
          <w:tcPr>
            <w:tcW w:w="1020" w:type="dxa"/>
            <w:noWrap w:val="0"/>
            <w:vAlign w:val="top"/>
          </w:tcPr>
          <w:p>
            <w:pPr>
              <w:widowControl/>
              <w:ind w:firstLine="0" w:firstLineChars="0"/>
              <w:jc w:val="center"/>
              <w:rPr>
                <w:szCs w:val="21"/>
              </w:rPr>
            </w:pPr>
            <w:r>
              <w:rPr>
                <w:szCs w:val="21"/>
              </w:rPr>
              <w:t>6</w:t>
            </w:r>
          </w:p>
        </w:tc>
        <w:tc>
          <w:tcPr>
            <w:tcW w:w="1020" w:type="dxa"/>
            <w:noWrap w:val="0"/>
            <w:vAlign w:val="top"/>
          </w:tcPr>
          <w:p>
            <w:pPr>
              <w:widowControl/>
              <w:ind w:firstLine="0" w:firstLineChars="0"/>
              <w:jc w:val="center"/>
              <w:rPr>
                <w:szCs w:val="21"/>
              </w:rPr>
            </w:pPr>
            <w:r>
              <w:rPr>
                <w:szCs w:val="21"/>
              </w:rPr>
              <w:t>7</w:t>
            </w:r>
          </w:p>
        </w:tc>
        <w:tc>
          <w:tcPr>
            <w:tcW w:w="1021" w:type="dxa"/>
            <w:noWrap w:val="0"/>
            <w:vAlign w:val="top"/>
          </w:tcPr>
          <w:p>
            <w:pPr>
              <w:widowControl/>
              <w:ind w:firstLine="0" w:firstLineChars="0"/>
              <w:jc w:val="center"/>
              <w:rPr>
                <w:szCs w:val="21"/>
              </w:rPr>
            </w:pPr>
            <w:r>
              <w:rPr>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noWrap w:val="0"/>
            <w:vAlign w:val="top"/>
          </w:tcPr>
          <w:p>
            <w:pPr>
              <w:widowControl/>
              <w:ind w:firstLine="0" w:firstLineChars="0"/>
              <w:jc w:val="center"/>
              <w:rPr>
                <w:szCs w:val="21"/>
              </w:rPr>
            </w:pPr>
            <w:r>
              <w:rPr>
                <w:szCs w:val="21"/>
              </w:rPr>
              <w:t>I</w:t>
            </w:r>
            <w:r>
              <w:rPr>
                <w:szCs w:val="21"/>
                <w:vertAlign w:val="subscript"/>
              </w:rPr>
              <w:t>Ra</w:t>
            </w:r>
            <w:r>
              <w:rPr>
                <w:szCs w:val="21"/>
              </w:rPr>
              <w:t>（%）</w:t>
            </w:r>
          </w:p>
        </w:tc>
        <w:tc>
          <w:tcPr>
            <w:tcW w:w="1020" w:type="dxa"/>
            <w:noWrap w:val="0"/>
            <w:vAlign w:val="top"/>
          </w:tcPr>
          <w:p>
            <w:pPr>
              <w:widowControl/>
              <w:ind w:firstLine="0" w:firstLineChars="0"/>
              <w:jc w:val="center"/>
              <w:rPr>
                <w:szCs w:val="21"/>
              </w:rPr>
            </w:pPr>
            <w:r>
              <w:rPr>
                <w:szCs w:val="21"/>
              </w:rPr>
              <w:t>0.173</w:t>
            </w:r>
          </w:p>
        </w:tc>
        <w:tc>
          <w:tcPr>
            <w:tcW w:w="1020" w:type="dxa"/>
            <w:noWrap w:val="0"/>
            <w:vAlign w:val="top"/>
          </w:tcPr>
          <w:p>
            <w:pPr>
              <w:widowControl/>
              <w:ind w:firstLine="0" w:firstLineChars="0"/>
              <w:jc w:val="center"/>
              <w:rPr>
                <w:szCs w:val="21"/>
              </w:rPr>
            </w:pPr>
            <w:r>
              <w:rPr>
                <w:szCs w:val="21"/>
              </w:rPr>
              <w:t>0.572</w:t>
            </w:r>
          </w:p>
        </w:tc>
        <w:tc>
          <w:tcPr>
            <w:tcW w:w="1020" w:type="dxa"/>
            <w:noWrap w:val="0"/>
            <w:vAlign w:val="top"/>
          </w:tcPr>
          <w:p>
            <w:pPr>
              <w:widowControl/>
              <w:ind w:firstLine="0" w:firstLineChars="0"/>
              <w:jc w:val="center"/>
              <w:rPr>
                <w:szCs w:val="21"/>
              </w:rPr>
            </w:pPr>
            <w:r>
              <w:rPr>
                <w:szCs w:val="21"/>
              </w:rPr>
              <w:t>0.771</w:t>
            </w:r>
          </w:p>
        </w:tc>
        <w:tc>
          <w:tcPr>
            <w:tcW w:w="1020" w:type="dxa"/>
            <w:noWrap w:val="0"/>
            <w:vAlign w:val="top"/>
          </w:tcPr>
          <w:p>
            <w:pPr>
              <w:widowControl/>
              <w:ind w:firstLine="0" w:firstLineChars="0"/>
              <w:jc w:val="center"/>
              <w:rPr>
                <w:szCs w:val="21"/>
              </w:rPr>
            </w:pPr>
            <w:r>
              <w:rPr>
                <w:szCs w:val="21"/>
              </w:rPr>
              <w:t>0.716</w:t>
            </w:r>
          </w:p>
        </w:tc>
        <w:tc>
          <w:tcPr>
            <w:tcW w:w="1020" w:type="dxa"/>
            <w:noWrap w:val="0"/>
            <w:vAlign w:val="top"/>
          </w:tcPr>
          <w:p>
            <w:pPr>
              <w:widowControl/>
              <w:ind w:firstLine="0" w:firstLineChars="0"/>
              <w:jc w:val="center"/>
              <w:rPr>
                <w:szCs w:val="21"/>
              </w:rPr>
            </w:pPr>
            <w:r>
              <w:rPr>
                <w:szCs w:val="21"/>
              </w:rPr>
              <w:t>0.149</w:t>
            </w:r>
          </w:p>
        </w:tc>
        <w:tc>
          <w:tcPr>
            <w:tcW w:w="1020" w:type="dxa"/>
            <w:noWrap w:val="0"/>
            <w:vAlign w:val="top"/>
          </w:tcPr>
          <w:p>
            <w:pPr>
              <w:widowControl/>
              <w:ind w:firstLine="0" w:firstLineChars="0"/>
              <w:jc w:val="center"/>
              <w:rPr>
                <w:szCs w:val="21"/>
              </w:rPr>
            </w:pPr>
            <w:r>
              <w:rPr>
                <w:szCs w:val="21"/>
              </w:rPr>
              <w:t>0.202</w:t>
            </w:r>
          </w:p>
        </w:tc>
        <w:tc>
          <w:tcPr>
            <w:tcW w:w="1020" w:type="dxa"/>
            <w:noWrap w:val="0"/>
            <w:vAlign w:val="top"/>
          </w:tcPr>
          <w:p>
            <w:pPr>
              <w:widowControl/>
              <w:ind w:firstLine="0" w:firstLineChars="0"/>
              <w:jc w:val="center"/>
              <w:rPr>
                <w:szCs w:val="21"/>
              </w:rPr>
            </w:pPr>
            <w:r>
              <w:rPr>
                <w:szCs w:val="21"/>
              </w:rPr>
              <w:t>0.147</w:t>
            </w:r>
          </w:p>
        </w:tc>
        <w:tc>
          <w:tcPr>
            <w:tcW w:w="1021" w:type="dxa"/>
            <w:noWrap w:val="0"/>
            <w:vAlign w:val="top"/>
          </w:tcPr>
          <w:p>
            <w:pPr>
              <w:widowControl/>
              <w:ind w:firstLine="0" w:firstLineChars="0"/>
              <w:jc w:val="center"/>
              <w:rPr>
                <w:szCs w:val="21"/>
              </w:rPr>
            </w:pPr>
            <w:r>
              <w:rPr>
                <w:szCs w:val="21"/>
              </w:rPr>
              <w:t>0.228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noWrap w:val="0"/>
            <w:vAlign w:val="top"/>
          </w:tcPr>
          <w:p>
            <w:pPr>
              <w:widowControl/>
              <w:ind w:firstLine="0" w:firstLineChars="0"/>
              <w:jc w:val="center"/>
              <w:rPr>
                <w:szCs w:val="21"/>
              </w:rPr>
            </w:pPr>
            <w:r>
              <w:rPr>
                <w:szCs w:val="21"/>
              </w:rPr>
              <w:t>I</w:t>
            </w:r>
            <w:r>
              <w:rPr>
                <w:szCs w:val="21"/>
                <w:vertAlign w:val="subscript"/>
              </w:rPr>
              <w:t>r</w:t>
            </w:r>
            <w:r>
              <w:rPr>
                <w:szCs w:val="21"/>
              </w:rPr>
              <w:t>（%）</w:t>
            </w:r>
          </w:p>
        </w:tc>
        <w:tc>
          <w:tcPr>
            <w:tcW w:w="1020" w:type="dxa"/>
            <w:noWrap w:val="0"/>
            <w:vAlign w:val="top"/>
          </w:tcPr>
          <w:p>
            <w:pPr>
              <w:widowControl/>
              <w:ind w:firstLine="0" w:firstLineChars="0"/>
              <w:jc w:val="center"/>
              <w:rPr>
                <w:szCs w:val="21"/>
              </w:rPr>
            </w:pPr>
            <w:r>
              <w:rPr>
                <w:szCs w:val="21"/>
              </w:rPr>
              <w:t>0.359</w:t>
            </w:r>
          </w:p>
        </w:tc>
        <w:tc>
          <w:tcPr>
            <w:tcW w:w="1020" w:type="dxa"/>
            <w:noWrap w:val="0"/>
            <w:vAlign w:val="top"/>
          </w:tcPr>
          <w:p>
            <w:pPr>
              <w:widowControl/>
              <w:ind w:firstLine="0" w:firstLineChars="0"/>
              <w:jc w:val="center"/>
              <w:rPr>
                <w:szCs w:val="21"/>
              </w:rPr>
            </w:pPr>
            <w:r>
              <w:rPr>
                <w:szCs w:val="21"/>
              </w:rPr>
              <w:t>0.241</w:t>
            </w:r>
          </w:p>
        </w:tc>
        <w:tc>
          <w:tcPr>
            <w:tcW w:w="1020" w:type="dxa"/>
            <w:noWrap w:val="0"/>
            <w:vAlign w:val="top"/>
          </w:tcPr>
          <w:p>
            <w:pPr>
              <w:widowControl/>
              <w:ind w:firstLine="0" w:firstLineChars="0"/>
              <w:jc w:val="center"/>
              <w:rPr>
                <w:szCs w:val="21"/>
              </w:rPr>
            </w:pPr>
            <w:r>
              <w:rPr>
                <w:szCs w:val="21"/>
              </w:rPr>
              <w:t>0.384</w:t>
            </w:r>
          </w:p>
        </w:tc>
        <w:tc>
          <w:tcPr>
            <w:tcW w:w="1020" w:type="dxa"/>
            <w:noWrap w:val="0"/>
            <w:vAlign w:val="top"/>
          </w:tcPr>
          <w:p>
            <w:pPr>
              <w:widowControl/>
              <w:ind w:firstLine="0" w:firstLineChars="0"/>
              <w:jc w:val="center"/>
              <w:rPr>
                <w:szCs w:val="21"/>
              </w:rPr>
            </w:pPr>
            <w:r>
              <w:rPr>
                <w:szCs w:val="21"/>
              </w:rPr>
              <w:t>0.387</w:t>
            </w:r>
          </w:p>
        </w:tc>
        <w:tc>
          <w:tcPr>
            <w:tcW w:w="1020" w:type="dxa"/>
            <w:noWrap w:val="0"/>
            <w:vAlign w:val="top"/>
          </w:tcPr>
          <w:p>
            <w:pPr>
              <w:widowControl/>
              <w:ind w:firstLine="0" w:firstLineChars="0"/>
              <w:jc w:val="center"/>
              <w:rPr>
                <w:szCs w:val="21"/>
              </w:rPr>
            </w:pPr>
            <w:r>
              <w:rPr>
                <w:szCs w:val="21"/>
              </w:rPr>
              <w:t>0.294</w:t>
            </w:r>
          </w:p>
        </w:tc>
        <w:tc>
          <w:tcPr>
            <w:tcW w:w="1020" w:type="dxa"/>
            <w:noWrap w:val="0"/>
            <w:vAlign w:val="top"/>
          </w:tcPr>
          <w:p>
            <w:pPr>
              <w:widowControl/>
              <w:ind w:firstLine="0" w:firstLineChars="0"/>
              <w:jc w:val="center"/>
              <w:rPr>
                <w:szCs w:val="21"/>
              </w:rPr>
            </w:pPr>
            <w:r>
              <w:rPr>
                <w:szCs w:val="21"/>
              </w:rPr>
              <w:t>0.679</w:t>
            </w:r>
          </w:p>
        </w:tc>
        <w:tc>
          <w:tcPr>
            <w:tcW w:w="1020" w:type="dxa"/>
            <w:noWrap w:val="0"/>
            <w:vAlign w:val="top"/>
          </w:tcPr>
          <w:p>
            <w:pPr>
              <w:widowControl/>
              <w:ind w:firstLine="0" w:firstLineChars="0"/>
              <w:jc w:val="center"/>
              <w:rPr>
                <w:szCs w:val="21"/>
              </w:rPr>
            </w:pPr>
            <w:r>
              <w:rPr>
                <w:szCs w:val="21"/>
              </w:rPr>
              <w:t>0.494</w:t>
            </w:r>
          </w:p>
        </w:tc>
        <w:tc>
          <w:tcPr>
            <w:tcW w:w="1021" w:type="dxa"/>
            <w:noWrap w:val="0"/>
            <w:vAlign w:val="top"/>
          </w:tcPr>
          <w:p>
            <w:pPr>
              <w:widowControl/>
              <w:ind w:firstLine="0" w:firstLineChars="0"/>
              <w:jc w:val="center"/>
              <w:rPr>
                <w:szCs w:val="21"/>
              </w:rPr>
            </w:pPr>
            <w:r>
              <w:rPr>
                <w:szCs w:val="21"/>
              </w:rPr>
              <w:t>0.392</w:t>
            </w:r>
          </w:p>
        </w:tc>
      </w:tr>
    </w:tbl>
    <w:p>
      <w:pPr>
        <w:pStyle w:val="3"/>
        <w:widowControl/>
        <w:jc w:val="both"/>
        <w:rPr>
          <w:rFonts w:hint="eastAsia"/>
          <w:kern w:val="0"/>
          <w:szCs w:val="24"/>
        </w:rPr>
      </w:pPr>
      <w:bookmarkStart w:id="38" w:name="_Toc7906"/>
      <w:r>
        <w:rPr>
          <w:rFonts w:hint="eastAsia"/>
          <w:kern w:val="0"/>
          <w:szCs w:val="24"/>
          <w:lang w:val="en-US" w:eastAsia="zh-CN"/>
        </w:rPr>
        <w:t xml:space="preserve">3.6 </w:t>
      </w:r>
      <w:r>
        <w:rPr>
          <w:rFonts w:hint="eastAsia"/>
          <w:kern w:val="0"/>
          <w:szCs w:val="24"/>
        </w:rPr>
        <w:t>重金属含量及可浸出重金属含量</w:t>
      </w:r>
    </w:p>
    <w:p>
      <w:pPr>
        <w:rPr>
          <w:rFonts w:hint="eastAsia"/>
          <w:lang w:val="en-US" w:eastAsia="zh-CN"/>
        </w:rPr>
      </w:pPr>
      <w:r>
        <w:rPr>
          <w:rFonts w:hint="eastAsia"/>
          <w:lang w:val="en-US" w:eastAsia="zh-CN"/>
        </w:rPr>
        <w:t>编制组对7种代表性尾矿的重金属含量进行了测试，浸出液的配制方法参考现行国家标准</w:t>
      </w:r>
      <w:r>
        <w:rPr>
          <w:rFonts w:hint="eastAsia"/>
        </w:rPr>
        <w:t xml:space="preserve">《水泥胶砂中可浸出重金属的测定方法》GB/T 30810-2014 </w:t>
      </w:r>
      <w:r>
        <w:rPr>
          <w:rFonts w:hint="eastAsia"/>
          <w:lang w:val="en-US" w:eastAsia="zh-CN"/>
        </w:rPr>
        <w:t>进行，同时，为了测试尾矿在不同浸出液中的重金属浸出浓度，还分别采用去离子水和饱和亲氧化钙作为浸出液进行浸出，浸出液中重金属浓度测试结果如表14所示。</w:t>
      </w:r>
    </w:p>
    <w:p>
      <w:pPr>
        <w:pStyle w:val="16"/>
        <w:tabs>
          <w:tab w:val="center" w:pos="4201"/>
          <w:tab w:val="right" w:leader="dot" w:pos="9298"/>
        </w:tabs>
        <w:spacing w:before="156" w:beforeLines="50" w:after="156" w:afterLines="50" w:line="276" w:lineRule="auto"/>
        <w:ind w:firstLine="420" w:firstLineChars="0"/>
        <w:jc w:val="center"/>
        <w:rPr>
          <w:rFonts w:ascii="Times New Roman" w:eastAsia="黑体"/>
          <w:szCs w:val="21"/>
        </w:rPr>
      </w:pPr>
      <w:r>
        <w:rPr>
          <w:rFonts w:ascii="Times New Roman" w:eastAsia="黑体"/>
          <w:szCs w:val="21"/>
        </w:rPr>
        <w:t>表1</w:t>
      </w:r>
      <w:r>
        <w:rPr>
          <w:rFonts w:hint="eastAsia" w:ascii="Times New Roman" w:eastAsia="黑体"/>
          <w:szCs w:val="21"/>
          <w:lang w:val="en-US" w:eastAsia="zh-CN"/>
        </w:rPr>
        <w:t>4</w:t>
      </w:r>
      <w:r>
        <w:rPr>
          <w:rFonts w:ascii="Times New Roman" w:eastAsia="黑体"/>
          <w:szCs w:val="21"/>
        </w:rPr>
        <w:t xml:space="preserve"> </w:t>
      </w:r>
      <w:r>
        <w:rPr>
          <w:rFonts w:hint="eastAsia" w:ascii="Times New Roman" w:eastAsia="黑体"/>
          <w:szCs w:val="21"/>
          <w:lang w:eastAsia="zh-CN"/>
        </w:rPr>
        <w:t>铜尾矿砂</w:t>
      </w:r>
      <w:r>
        <w:rPr>
          <w:rFonts w:hint="eastAsia" w:ascii="Times New Roman" w:eastAsia="黑体"/>
          <w:szCs w:val="21"/>
          <w:lang w:val="en-US" w:eastAsia="zh-CN"/>
        </w:rPr>
        <w:t>浸出液重金属浓度</w:t>
      </w:r>
      <w:r>
        <w:rPr>
          <w:rFonts w:ascii="Times New Roman" w:eastAsia="黑体"/>
          <w:szCs w:val="21"/>
        </w:rPr>
        <w:t>测试结果</w:t>
      </w:r>
    </w:p>
    <w:tbl>
      <w:tblPr>
        <w:tblStyle w:val="10"/>
        <w:tblW w:w="85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9"/>
        <w:gridCol w:w="1188"/>
        <w:gridCol w:w="977"/>
        <w:gridCol w:w="1127"/>
        <w:gridCol w:w="997"/>
        <w:gridCol w:w="811"/>
        <w:gridCol w:w="924"/>
        <w:gridCol w:w="1048"/>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7009" w:type="dxa"/>
          <w:trHeight w:val="418" w:hRule="atLeast"/>
          <w:jc w:val="center"/>
        </w:trPr>
        <w:tc>
          <w:tcPr>
            <w:tcW w:w="1527"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样品编号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1527"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ind w:firstLine="0" w:firstLineChars="0"/>
              <w:jc w:val="center"/>
              <w:rPr>
                <w:rFonts w:hint="eastAsia" w:ascii="宋体" w:hAnsi="宋体" w:eastAsia="宋体" w:cs="宋体"/>
                <w:i w:val="0"/>
                <w:iCs w:val="0"/>
                <w:color w:val="000000"/>
                <w:sz w:val="21"/>
                <w:szCs w:val="21"/>
                <w:u w:val="none"/>
              </w:rPr>
            </w:pPr>
          </w:p>
        </w:tc>
        <w:tc>
          <w:tcPr>
            <w:tcW w:w="9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Pb</w:t>
            </w:r>
          </w:p>
        </w:tc>
        <w:tc>
          <w:tcPr>
            <w:tcW w:w="11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Zn</w:t>
            </w:r>
          </w:p>
        </w:tc>
        <w:tc>
          <w:tcPr>
            <w:tcW w:w="9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As</w:t>
            </w:r>
          </w:p>
        </w:tc>
        <w:tc>
          <w:tcPr>
            <w:tcW w:w="8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Cr</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Cd</w:t>
            </w:r>
          </w:p>
        </w:tc>
        <w:tc>
          <w:tcPr>
            <w:tcW w:w="10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Ni</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339" w:type="dxa"/>
            <w:vMerge w:val="restart"/>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纯水</w:t>
            </w:r>
          </w:p>
        </w:tc>
        <w:tc>
          <w:tcPr>
            <w:tcW w:w="9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&lt;0.1</w:t>
            </w:r>
          </w:p>
        </w:tc>
        <w:tc>
          <w:tcPr>
            <w:tcW w:w="11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&lt;0.1</w:t>
            </w:r>
          </w:p>
        </w:tc>
        <w:tc>
          <w:tcPr>
            <w:tcW w:w="9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2.6779 </w:t>
            </w:r>
          </w:p>
        </w:tc>
        <w:tc>
          <w:tcPr>
            <w:tcW w:w="8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&lt;0.1</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0.2375 </w:t>
            </w:r>
          </w:p>
        </w:tc>
        <w:tc>
          <w:tcPr>
            <w:tcW w:w="10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0.9551 </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1.4197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339" w:type="dxa"/>
            <w:vMerge w:val="continue"/>
            <w:tcBorders>
              <w:top w:val="single" w:color="000000" w:sz="4" w:space="0"/>
              <w:left w:val="single" w:color="000000" w:sz="4" w:space="0"/>
              <w:bottom w:val="single" w:color="000000" w:sz="4" w:space="0"/>
              <w:right w:val="nil"/>
            </w:tcBorders>
            <w:noWrap/>
            <w:vAlign w:val="center"/>
          </w:tcPr>
          <w:p>
            <w:pPr>
              <w:ind w:firstLine="0" w:firstLineChars="0"/>
              <w:jc w:val="center"/>
              <w:rPr>
                <w:rFonts w:hint="eastAsia" w:ascii="宋体" w:hAnsi="宋体" w:eastAsia="宋体" w:cs="宋体"/>
                <w:i w:val="0"/>
                <w:iCs w:val="0"/>
                <w:color w:val="000000"/>
                <w:sz w:val="21"/>
                <w:szCs w:val="21"/>
                <w:u w:val="none"/>
              </w:rPr>
            </w:pPr>
          </w:p>
        </w:tc>
        <w:tc>
          <w:tcPr>
            <w:tcW w:w="11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Ca(OH)2</w:t>
            </w:r>
          </w:p>
        </w:tc>
        <w:tc>
          <w:tcPr>
            <w:tcW w:w="9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2.1991 </w:t>
            </w:r>
          </w:p>
        </w:tc>
        <w:tc>
          <w:tcPr>
            <w:tcW w:w="11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1.8932 </w:t>
            </w:r>
          </w:p>
        </w:tc>
        <w:tc>
          <w:tcPr>
            <w:tcW w:w="9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0.4397 </w:t>
            </w:r>
          </w:p>
        </w:tc>
        <w:tc>
          <w:tcPr>
            <w:tcW w:w="8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0.6422 </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0.2868 </w:t>
            </w:r>
          </w:p>
        </w:tc>
        <w:tc>
          <w:tcPr>
            <w:tcW w:w="10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1.4286 </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35.7859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339" w:type="dxa"/>
            <w:vMerge w:val="continue"/>
            <w:tcBorders>
              <w:top w:val="single" w:color="000000" w:sz="4" w:space="0"/>
              <w:left w:val="single" w:color="000000" w:sz="4" w:space="0"/>
              <w:bottom w:val="single" w:color="000000" w:sz="4" w:space="0"/>
              <w:right w:val="nil"/>
            </w:tcBorders>
            <w:noWrap/>
            <w:vAlign w:val="center"/>
          </w:tcPr>
          <w:p>
            <w:pPr>
              <w:ind w:firstLine="0" w:firstLineChars="0"/>
              <w:jc w:val="center"/>
              <w:rPr>
                <w:rFonts w:hint="eastAsia" w:ascii="宋体" w:hAnsi="宋体" w:eastAsia="宋体" w:cs="宋体"/>
                <w:i w:val="0"/>
                <w:iCs w:val="0"/>
                <w:color w:val="000000"/>
                <w:sz w:val="21"/>
                <w:szCs w:val="21"/>
                <w:u w:val="none"/>
              </w:rPr>
            </w:pPr>
          </w:p>
        </w:tc>
        <w:tc>
          <w:tcPr>
            <w:tcW w:w="11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硫酸-硝酸</w:t>
            </w:r>
          </w:p>
        </w:tc>
        <w:tc>
          <w:tcPr>
            <w:tcW w:w="9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&lt;0.1</w:t>
            </w:r>
          </w:p>
        </w:tc>
        <w:tc>
          <w:tcPr>
            <w:tcW w:w="11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0.7155 </w:t>
            </w:r>
          </w:p>
        </w:tc>
        <w:tc>
          <w:tcPr>
            <w:tcW w:w="9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1.0658 </w:t>
            </w:r>
          </w:p>
        </w:tc>
        <w:tc>
          <w:tcPr>
            <w:tcW w:w="8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&lt;0.1</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0.5337 </w:t>
            </w:r>
          </w:p>
        </w:tc>
        <w:tc>
          <w:tcPr>
            <w:tcW w:w="10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&lt;0.1</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1.6188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339" w:type="dxa"/>
            <w:vMerge w:val="restart"/>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纯水</w:t>
            </w:r>
          </w:p>
        </w:tc>
        <w:tc>
          <w:tcPr>
            <w:tcW w:w="9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0.1894 </w:t>
            </w:r>
          </w:p>
        </w:tc>
        <w:tc>
          <w:tcPr>
            <w:tcW w:w="11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3873.6909 </w:t>
            </w:r>
          </w:p>
        </w:tc>
        <w:tc>
          <w:tcPr>
            <w:tcW w:w="9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1.6920 </w:t>
            </w:r>
          </w:p>
        </w:tc>
        <w:tc>
          <w:tcPr>
            <w:tcW w:w="8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&lt;0.1</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9.5343 </w:t>
            </w:r>
          </w:p>
        </w:tc>
        <w:tc>
          <w:tcPr>
            <w:tcW w:w="10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123.9269 </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36.3313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339" w:type="dxa"/>
            <w:vMerge w:val="continue"/>
            <w:tcBorders>
              <w:top w:val="single" w:color="000000" w:sz="4" w:space="0"/>
              <w:left w:val="single" w:color="000000" w:sz="4" w:space="0"/>
              <w:bottom w:val="single" w:color="000000" w:sz="4" w:space="0"/>
              <w:right w:val="nil"/>
            </w:tcBorders>
            <w:noWrap/>
            <w:vAlign w:val="center"/>
          </w:tcPr>
          <w:p>
            <w:pPr>
              <w:ind w:firstLine="0" w:firstLineChars="0"/>
              <w:jc w:val="center"/>
              <w:rPr>
                <w:rFonts w:hint="eastAsia" w:ascii="宋体" w:hAnsi="宋体" w:eastAsia="宋体" w:cs="宋体"/>
                <w:i w:val="0"/>
                <w:iCs w:val="0"/>
                <w:color w:val="000000"/>
                <w:sz w:val="21"/>
                <w:szCs w:val="21"/>
                <w:u w:val="none"/>
              </w:rPr>
            </w:pPr>
          </w:p>
        </w:tc>
        <w:tc>
          <w:tcPr>
            <w:tcW w:w="11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Ca(OH)2</w:t>
            </w:r>
          </w:p>
        </w:tc>
        <w:tc>
          <w:tcPr>
            <w:tcW w:w="9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27.0235 </w:t>
            </w:r>
          </w:p>
        </w:tc>
        <w:tc>
          <w:tcPr>
            <w:tcW w:w="11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60.9020 </w:t>
            </w:r>
          </w:p>
        </w:tc>
        <w:tc>
          <w:tcPr>
            <w:tcW w:w="9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16.4407 </w:t>
            </w:r>
          </w:p>
        </w:tc>
        <w:tc>
          <w:tcPr>
            <w:tcW w:w="8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1.9936 </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&lt;0.1</w:t>
            </w:r>
          </w:p>
        </w:tc>
        <w:tc>
          <w:tcPr>
            <w:tcW w:w="10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1.1718 </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11.6308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339" w:type="dxa"/>
            <w:vMerge w:val="continue"/>
            <w:tcBorders>
              <w:top w:val="single" w:color="000000" w:sz="4" w:space="0"/>
              <w:left w:val="single" w:color="000000" w:sz="4" w:space="0"/>
              <w:bottom w:val="single" w:color="000000" w:sz="4" w:space="0"/>
              <w:right w:val="nil"/>
            </w:tcBorders>
            <w:noWrap/>
            <w:vAlign w:val="center"/>
          </w:tcPr>
          <w:p>
            <w:pPr>
              <w:ind w:firstLine="0" w:firstLineChars="0"/>
              <w:jc w:val="center"/>
              <w:rPr>
                <w:rFonts w:hint="eastAsia" w:ascii="宋体" w:hAnsi="宋体" w:eastAsia="宋体" w:cs="宋体"/>
                <w:i w:val="0"/>
                <w:iCs w:val="0"/>
                <w:color w:val="000000"/>
                <w:sz w:val="21"/>
                <w:szCs w:val="21"/>
                <w:u w:val="none"/>
              </w:rPr>
            </w:pPr>
          </w:p>
        </w:tc>
        <w:tc>
          <w:tcPr>
            <w:tcW w:w="11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硫酸-硝酸</w:t>
            </w:r>
          </w:p>
        </w:tc>
        <w:tc>
          <w:tcPr>
            <w:tcW w:w="9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0.2045 </w:t>
            </w:r>
          </w:p>
        </w:tc>
        <w:tc>
          <w:tcPr>
            <w:tcW w:w="11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6259.49 </w:t>
            </w:r>
          </w:p>
        </w:tc>
        <w:tc>
          <w:tcPr>
            <w:tcW w:w="9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1.4922 </w:t>
            </w:r>
          </w:p>
        </w:tc>
        <w:tc>
          <w:tcPr>
            <w:tcW w:w="8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&lt;0.1</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10.9499 </w:t>
            </w:r>
          </w:p>
        </w:tc>
        <w:tc>
          <w:tcPr>
            <w:tcW w:w="10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139.6976 </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209.4521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339" w:type="dxa"/>
            <w:vMerge w:val="restart"/>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纯水</w:t>
            </w:r>
          </w:p>
        </w:tc>
        <w:tc>
          <w:tcPr>
            <w:tcW w:w="9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0.8621 </w:t>
            </w:r>
          </w:p>
        </w:tc>
        <w:tc>
          <w:tcPr>
            <w:tcW w:w="11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101.2855 </w:t>
            </w:r>
          </w:p>
        </w:tc>
        <w:tc>
          <w:tcPr>
            <w:tcW w:w="9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3.2641 </w:t>
            </w:r>
          </w:p>
        </w:tc>
        <w:tc>
          <w:tcPr>
            <w:tcW w:w="8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0.2952 </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0.2281 </w:t>
            </w:r>
          </w:p>
        </w:tc>
        <w:tc>
          <w:tcPr>
            <w:tcW w:w="10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3.3267 </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3.6496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339" w:type="dxa"/>
            <w:vMerge w:val="continue"/>
            <w:tcBorders>
              <w:top w:val="single" w:color="000000" w:sz="4" w:space="0"/>
              <w:left w:val="single" w:color="000000" w:sz="4" w:space="0"/>
              <w:bottom w:val="single" w:color="000000" w:sz="4" w:space="0"/>
              <w:right w:val="nil"/>
            </w:tcBorders>
            <w:noWrap/>
            <w:vAlign w:val="center"/>
          </w:tcPr>
          <w:p>
            <w:pPr>
              <w:ind w:firstLine="0" w:firstLineChars="0"/>
              <w:jc w:val="center"/>
              <w:rPr>
                <w:rFonts w:hint="eastAsia" w:ascii="宋体" w:hAnsi="宋体" w:eastAsia="宋体" w:cs="宋体"/>
                <w:i w:val="0"/>
                <w:iCs w:val="0"/>
                <w:color w:val="000000"/>
                <w:sz w:val="21"/>
                <w:szCs w:val="21"/>
                <w:u w:val="none"/>
              </w:rPr>
            </w:pPr>
          </w:p>
        </w:tc>
        <w:tc>
          <w:tcPr>
            <w:tcW w:w="11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Ca(OH)2</w:t>
            </w:r>
          </w:p>
        </w:tc>
        <w:tc>
          <w:tcPr>
            <w:tcW w:w="9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15.5796 </w:t>
            </w:r>
          </w:p>
        </w:tc>
        <w:tc>
          <w:tcPr>
            <w:tcW w:w="11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1.5309 </w:t>
            </w:r>
          </w:p>
        </w:tc>
        <w:tc>
          <w:tcPr>
            <w:tcW w:w="9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0.5329 </w:t>
            </w:r>
          </w:p>
        </w:tc>
        <w:tc>
          <w:tcPr>
            <w:tcW w:w="8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0.8837 </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&lt;0.1</w:t>
            </w:r>
          </w:p>
        </w:tc>
        <w:tc>
          <w:tcPr>
            <w:tcW w:w="10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1.0955 </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250.6786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339" w:type="dxa"/>
            <w:vMerge w:val="continue"/>
            <w:tcBorders>
              <w:top w:val="single" w:color="000000" w:sz="4" w:space="0"/>
              <w:left w:val="single" w:color="000000" w:sz="4" w:space="0"/>
              <w:bottom w:val="single" w:color="000000" w:sz="4" w:space="0"/>
              <w:right w:val="nil"/>
            </w:tcBorders>
            <w:noWrap/>
            <w:vAlign w:val="center"/>
          </w:tcPr>
          <w:p>
            <w:pPr>
              <w:ind w:firstLine="0" w:firstLineChars="0"/>
              <w:jc w:val="center"/>
              <w:rPr>
                <w:rFonts w:hint="eastAsia" w:ascii="宋体" w:hAnsi="宋体" w:eastAsia="宋体" w:cs="宋体"/>
                <w:i w:val="0"/>
                <w:iCs w:val="0"/>
                <w:color w:val="000000"/>
                <w:sz w:val="21"/>
                <w:szCs w:val="21"/>
                <w:u w:val="none"/>
              </w:rPr>
            </w:pPr>
          </w:p>
        </w:tc>
        <w:tc>
          <w:tcPr>
            <w:tcW w:w="11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硫酸-硝酸</w:t>
            </w:r>
          </w:p>
        </w:tc>
        <w:tc>
          <w:tcPr>
            <w:tcW w:w="9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&lt;0.1</w:t>
            </w:r>
          </w:p>
        </w:tc>
        <w:tc>
          <w:tcPr>
            <w:tcW w:w="11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52.8839 </w:t>
            </w:r>
          </w:p>
        </w:tc>
        <w:tc>
          <w:tcPr>
            <w:tcW w:w="9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0.8260 </w:t>
            </w:r>
          </w:p>
        </w:tc>
        <w:tc>
          <w:tcPr>
            <w:tcW w:w="8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&lt;0.1</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0.1223 </w:t>
            </w:r>
          </w:p>
        </w:tc>
        <w:tc>
          <w:tcPr>
            <w:tcW w:w="10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1.5931 </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5.9919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339" w:type="dxa"/>
            <w:vMerge w:val="restart"/>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纯水</w:t>
            </w:r>
          </w:p>
        </w:tc>
        <w:tc>
          <w:tcPr>
            <w:tcW w:w="9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0.0972 </w:t>
            </w:r>
          </w:p>
        </w:tc>
        <w:tc>
          <w:tcPr>
            <w:tcW w:w="11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10.4912 </w:t>
            </w:r>
          </w:p>
        </w:tc>
        <w:tc>
          <w:tcPr>
            <w:tcW w:w="9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0.1332 </w:t>
            </w:r>
          </w:p>
        </w:tc>
        <w:tc>
          <w:tcPr>
            <w:tcW w:w="8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&lt;0.1</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&lt;0.1</w:t>
            </w:r>
          </w:p>
        </w:tc>
        <w:tc>
          <w:tcPr>
            <w:tcW w:w="10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2.3235 </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1.7252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339" w:type="dxa"/>
            <w:vMerge w:val="continue"/>
            <w:tcBorders>
              <w:top w:val="single" w:color="000000" w:sz="4" w:space="0"/>
              <w:left w:val="single" w:color="000000" w:sz="4" w:space="0"/>
              <w:bottom w:val="single" w:color="000000" w:sz="4" w:space="0"/>
              <w:right w:val="nil"/>
            </w:tcBorders>
            <w:noWrap/>
            <w:vAlign w:val="center"/>
          </w:tcPr>
          <w:p>
            <w:pPr>
              <w:ind w:firstLine="0" w:firstLineChars="0"/>
              <w:jc w:val="center"/>
              <w:rPr>
                <w:rFonts w:hint="eastAsia" w:ascii="宋体" w:hAnsi="宋体" w:eastAsia="宋体" w:cs="宋体"/>
                <w:i w:val="0"/>
                <w:iCs w:val="0"/>
                <w:color w:val="000000"/>
                <w:sz w:val="21"/>
                <w:szCs w:val="21"/>
                <w:u w:val="none"/>
              </w:rPr>
            </w:pPr>
          </w:p>
        </w:tc>
        <w:tc>
          <w:tcPr>
            <w:tcW w:w="11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Ca(OH)2</w:t>
            </w:r>
          </w:p>
        </w:tc>
        <w:tc>
          <w:tcPr>
            <w:tcW w:w="9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39.9173 </w:t>
            </w:r>
          </w:p>
        </w:tc>
        <w:tc>
          <w:tcPr>
            <w:tcW w:w="11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0.5651 </w:t>
            </w:r>
          </w:p>
        </w:tc>
        <w:tc>
          <w:tcPr>
            <w:tcW w:w="9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0.5862 </w:t>
            </w:r>
          </w:p>
        </w:tc>
        <w:tc>
          <w:tcPr>
            <w:tcW w:w="8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1.1559 </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&lt;0.1</w:t>
            </w:r>
          </w:p>
        </w:tc>
        <w:tc>
          <w:tcPr>
            <w:tcW w:w="10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1.1477 </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6.3244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339" w:type="dxa"/>
            <w:vMerge w:val="continue"/>
            <w:tcBorders>
              <w:top w:val="single" w:color="000000" w:sz="4" w:space="0"/>
              <w:left w:val="single" w:color="000000" w:sz="4" w:space="0"/>
              <w:bottom w:val="single" w:color="000000" w:sz="4" w:space="0"/>
              <w:right w:val="nil"/>
            </w:tcBorders>
            <w:noWrap/>
            <w:vAlign w:val="center"/>
          </w:tcPr>
          <w:p>
            <w:pPr>
              <w:ind w:firstLine="0" w:firstLineChars="0"/>
              <w:jc w:val="center"/>
              <w:rPr>
                <w:rFonts w:hint="eastAsia" w:ascii="宋体" w:hAnsi="宋体" w:eastAsia="宋体" w:cs="宋体"/>
                <w:i w:val="0"/>
                <w:iCs w:val="0"/>
                <w:color w:val="000000"/>
                <w:sz w:val="21"/>
                <w:szCs w:val="21"/>
                <w:u w:val="none"/>
              </w:rPr>
            </w:pPr>
          </w:p>
        </w:tc>
        <w:tc>
          <w:tcPr>
            <w:tcW w:w="11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硫酸-硝酸</w:t>
            </w:r>
          </w:p>
        </w:tc>
        <w:tc>
          <w:tcPr>
            <w:tcW w:w="9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&lt;0.1</w:t>
            </w:r>
          </w:p>
        </w:tc>
        <w:tc>
          <w:tcPr>
            <w:tcW w:w="11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21.5637 </w:t>
            </w:r>
          </w:p>
        </w:tc>
        <w:tc>
          <w:tcPr>
            <w:tcW w:w="9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&lt;0.1</w:t>
            </w:r>
          </w:p>
        </w:tc>
        <w:tc>
          <w:tcPr>
            <w:tcW w:w="8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&lt;0.1</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0.1364 </w:t>
            </w:r>
          </w:p>
        </w:tc>
        <w:tc>
          <w:tcPr>
            <w:tcW w:w="10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2.1429 </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3.4624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339" w:type="dxa"/>
            <w:vMerge w:val="restart"/>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纯水</w:t>
            </w:r>
          </w:p>
        </w:tc>
        <w:tc>
          <w:tcPr>
            <w:tcW w:w="9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0.1192 </w:t>
            </w:r>
          </w:p>
        </w:tc>
        <w:tc>
          <w:tcPr>
            <w:tcW w:w="11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12.0564 </w:t>
            </w:r>
          </w:p>
        </w:tc>
        <w:tc>
          <w:tcPr>
            <w:tcW w:w="9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0.2531 </w:t>
            </w:r>
          </w:p>
        </w:tc>
        <w:tc>
          <w:tcPr>
            <w:tcW w:w="8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0.1457 </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&lt;0.1</w:t>
            </w:r>
          </w:p>
        </w:tc>
        <w:tc>
          <w:tcPr>
            <w:tcW w:w="10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1.7135 </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2.0531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339" w:type="dxa"/>
            <w:vMerge w:val="continue"/>
            <w:tcBorders>
              <w:top w:val="single" w:color="000000" w:sz="4" w:space="0"/>
              <w:left w:val="single" w:color="000000" w:sz="4" w:space="0"/>
              <w:bottom w:val="single" w:color="000000" w:sz="4" w:space="0"/>
              <w:right w:val="nil"/>
            </w:tcBorders>
            <w:noWrap/>
            <w:vAlign w:val="center"/>
          </w:tcPr>
          <w:p>
            <w:pPr>
              <w:ind w:firstLine="0" w:firstLineChars="0"/>
              <w:jc w:val="center"/>
              <w:rPr>
                <w:rFonts w:hint="eastAsia" w:ascii="宋体" w:hAnsi="宋体" w:eastAsia="宋体" w:cs="宋体"/>
                <w:i w:val="0"/>
                <w:iCs w:val="0"/>
                <w:color w:val="000000"/>
                <w:sz w:val="21"/>
                <w:szCs w:val="21"/>
                <w:u w:val="none"/>
              </w:rPr>
            </w:pPr>
          </w:p>
        </w:tc>
        <w:tc>
          <w:tcPr>
            <w:tcW w:w="11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Ca(OH)2</w:t>
            </w:r>
          </w:p>
        </w:tc>
        <w:tc>
          <w:tcPr>
            <w:tcW w:w="9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3.7558 </w:t>
            </w:r>
          </w:p>
        </w:tc>
        <w:tc>
          <w:tcPr>
            <w:tcW w:w="11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0.6950 </w:t>
            </w:r>
          </w:p>
        </w:tc>
        <w:tc>
          <w:tcPr>
            <w:tcW w:w="9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0.1666 </w:t>
            </w:r>
          </w:p>
        </w:tc>
        <w:tc>
          <w:tcPr>
            <w:tcW w:w="8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1.0620 </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&lt;0.1</w:t>
            </w:r>
          </w:p>
        </w:tc>
        <w:tc>
          <w:tcPr>
            <w:tcW w:w="10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1.1958 </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10.2020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339" w:type="dxa"/>
            <w:vMerge w:val="continue"/>
            <w:tcBorders>
              <w:top w:val="single" w:color="000000" w:sz="4" w:space="0"/>
              <w:left w:val="single" w:color="000000" w:sz="4" w:space="0"/>
              <w:bottom w:val="single" w:color="000000" w:sz="4" w:space="0"/>
              <w:right w:val="nil"/>
            </w:tcBorders>
            <w:noWrap/>
            <w:vAlign w:val="center"/>
          </w:tcPr>
          <w:p>
            <w:pPr>
              <w:ind w:firstLine="0" w:firstLineChars="0"/>
              <w:jc w:val="center"/>
              <w:rPr>
                <w:rFonts w:hint="eastAsia" w:ascii="宋体" w:hAnsi="宋体" w:eastAsia="宋体" w:cs="宋体"/>
                <w:i w:val="0"/>
                <w:iCs w:val="0"/>
                <w:color w:val="000000"/>
                <w:sz w:val="21"/>
                <w:szCs w:val="21"/>
                <w:u w:val="none"/>
              </w:rPr>
            </w:pPr>
          </w:p>
        </w:tc>
        <w:tc>
          <w:tcPr>
            <w:tcW w:w="11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硫酸-硝酸</w:t>
            </w:r>
          </w:p>
        </w:tc>
        <w:tc>
          <w:tcPr>
            <w:tcW w:w="9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&lt;0.1</w:t>
            </w:r>
          </w:p>
        </w:tc>
        <w:tc>
          <w:tcPr>
            <w:tcW w:w="11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3.4925 </w:t>
            </w:r>
          </w:p>
        </w:tc>
        <w:tc>
          <w:tcPr>
            <w:tcW w:w="9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&lt;0.1</w:t>
            </w:r>
          </w:p>
        </w:tc>
        <w:tc>
          <w:tcPr>
            <w:tcW w:w="8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&lt;0.1</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&lt;0.1</w:t>
            </w:r>
          </w:p>
        </w:tc>
        <w:tc>
          <w:tcPr>
            <w:tcW w:w="10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0.7424 </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4.1408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339" w:type="dxa"/>
            <w:vMerge w:val="restart"/>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纯水</w:t>
            </w:r>
          </w:p>
        </w:tc>
        <w:tc>
          <w:tcPr>
            <w:tcW w:w="9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&lt;0.1</w:t>
            </w:r>
          </w:p>
        </w:tc>
        <w:tc>
          <w:tcPr>
            <w:tcW w:w="11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4.6202 </w:t>
            </w:r>
          </w:p>
        </w:tc>
        <w:tc>
          <w:tcPr>
            <w:tcW w:w="9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0.5329 </w:t>
            </w:r>
          </w:p>
        </w:tc>
        <w:tc>
          <w:tcPr>
            <w:tcW w:w="8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0.1380 </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&lt;0.1</w:t>
            </w:r>
          </w:p>
        </w:tc>
        <w:tc>
          <w:tcPr>
            <w:tcW w:w="10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0.8066 </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1.1980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339" w:type="dxa"/>
            <w:vMerge w:val="continue"/>
            <w:tcBorders>
              <w:top w:val="single" w:color="000000" w:sz="4" w:space="0"/>
              <w:left w:val="single" w:color="000000" w:sz="4" w:space="0"/>
              <w:bottom w:val="single" w:color="000000" w:sz="4" w:space="0"/>
              <w:right w:val="nil"/>
            </w:tcBorders>
            <w:noWrap/>
            <w:vAlign w:val="center"/>
          </w:tcPr>
          <w:p>
            <w:pPr>
              <w:ind w:firstLine="0" w:firstLineChars="0"/>
              <w:jc w:val="center"/>
              <w:rPr>
                <w:rFonts w:hint="eastAsia" w:ascii="宋体" w:hAnsi="宋体" w:eastAsia="宋体" w:cs="宋体"/>
                <w:i w:val="0"/>
                <w:iCs w:val="0"/>
                <w:color w:val="000000"/>
                <w:sz w:val="21"/>
                <w:szCs w:val="21"/>
                <w:u w:val="none"/>
              </w:rPr>
            </w:pPr>
          </w:p>
        </w:tc>
        <w:tc>
          <w:tcPr>
            <w:tcW w:w="11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Ca(OH)2</w:t>
            </w:r>
          </w:p>
        </w:tc>
        <w:tc>
          <w:tcPr>
            <w:tcW w:w="9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1.5162 </w:t>
            </w:r>
          </w:p>
        </w:tc>
        <w:tc>
          <w:tcPr>
            <w:tcW w:w="11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0.2896 </w:t>
            </w:r>
          </w:p>
        </w:tc>
        <w:tc>
          <w:tcPr>
            <w:tcW w:w="9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0.2798 </w:t>
            </w:r>
          </w:p>
        </w:tc>
        <w:tc>
          <w:tcPr>
            <w:tcW w:w="8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1.2307 </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&lt;0.1</w:t>
            </w:r>
          </w:p>
        </w:tc>
        <w:tc>
          <w:tcPr>
            <w:tcW w:w="10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0.9832 </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7.2589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339" w:type="dxa"/>
            <w:vMerge w:val="continue"/>
            <w:tcBorders>
              <w:top w:val="single" w:color="000000" w:sz="4" w:space="0"/>
              <w:left w:val="single" w:color="000000" w:sz="4" w:space="0"/>
              <w:bottom w:val="single" w:color="000000" w:sz="4" w:space="0"/>
              <w:right w:val="nil"/>
            </w:tcBorders>
            <w:noWrap/>
            <w:vAlign w:val="center"/>
          </w:tcPr>
          <w:p>
            <w:pPr>
              <w:ind w:firstLine="0" w:firstLineChars="0"/>
              <w:jc w:val="center"/>
              <w:rPr>
                <w:rFonts w:hint="eastAsia" w:ascii="宋体" w:hAnsi="宋体" w:eastAsia="宋体" w:cs="宋体"/>
                <w:i w:val="0"/>
                <w:iCs w:val="0"/>
                <w:color w:val="000000"/>
                <w:sz w:val="21"/>
                <w:szCs w:val="21"/>
                <w:u w:val="none"/>
              </w:rPr>
            </w:pPr>
          </w:p>
        </w:tc>
        <w:tc>
          <w:tcPr>
            <w:tcW w:w="11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硫酸-硝酸</w:t>
            </w:r>
          </w:p>
        </w:tc>
        <w:tc>
          <w:tcPr>
            <w:tcW w:w="9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&lt;0.1</w:t>
            </w:r>
          </w:p>
        </w:tc>
        <w:tc>
          <w:tcPr>
            <w:tcW w:w="11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0.2734 </w:t>
            </w:r>
          </w:p>
        </w:tc>
        <w:tc>
          <w:tcPr>
            <w:tcW w:w="9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&lt;0.1</w:t>
            </w:r>
          </w:p>
        </w:tc>
        <w:tc>
          <w:tcPr>
            <w:tcW w:w="8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&lt;0.1</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&lt;0.1</w:t>
            </w:r>
          </w:p>
        </w:tc>
        <w:tc>
          <w:tcPr>
            <w:tcW w:w="10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3.2826 </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2.5863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339" w:type="dxa"/>
            <w:vMerge w:val="restart"/>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纯水</w:t>
            </w:r>
          </w:p>
        </w:tc>
        <w:tc>
          <w:tcPr>
            <w:tcW w:w="9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0.1049 </w:t>
            </w:r>
          </w:p>
        </w:tc>
        <w:tc>
          <w:tcPr>
            <w:tcW w:w="11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14.6673 </w:t>
            </w:r>
          </w:p>
        </w:tc>
        <w:tc>
          <w:tcPr>
            <w:tcW w:w="9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0.4530 </w:t>
            </w:r>
          </w:p>
        </w:tc>
        <w:tc>
          <w:tcPr>
            <w:tcW w:w="8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0.1208 </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&lt;0.1</w:t>
            </w:r>
          </w:p>
        </w:tc>
        <w:tc>
          <w:tcPr>
            <w:tcW w:w="10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1.4246 </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2.0277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339" w:type="dxa"/>
            <w:vMerge w:val="continue"/>
            <w:tcBorders>
              <w:top w:val="single" w:color="000000" w:sz="4" w:space="0"/>
              <w:left w:val="single" w:color="000000" w:sz="4" w:space="0"/>
              <w:bottom w:val="single" w:color="000000" w:sz="4" w:space="0"/>
              <w:right w:val="nil"/>
            </w:tcBorders>
            <w:noWrap/>
            <w:vAlign w:val="center"/>
          </w:tcPr>
          <w:p>
            <w:pPr>
              <w:ind w:firstLine="0" w:firstLineChars="0"/>
              <w:jc w:val="center"/>
              <w:rPr>
                <w:rFonts w:hint="eastAsia" w:ascii="宋体" w:hAnsi="宋体" w:eastAsia="宋体" w:cs="宋体"/>
                <w:i w:val="0"/>
                <w:iCs w:val="0"/>
                <w:color w:val="000000"/>
                <w:sz w:val="21"/>
                <w:szCs w:val="21"/>
                <w:u w:val="none"/>
              </w:rPr>
            </w:pPr>
          </w:p>
        </w:tc>
        <w:tc>
          <w:tcPr>
            <w:tcW w:w="11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Ca(OH)2</w:t>
            </w:r>
          </w:p>
        </w:tc>
        <w:tc>
          <w:tcPr>
            <w:tcW w:w="9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2.1397 </w:t>
            </w:r>
          </w:p>
        </w:tc>
        <w:tc>
          <w:tcPr>
            <w:tcW w:w="11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0.7791 </w:t>
            </w:r>
          </w:p>
        </w:tc>
        <w:tc>
          <w:tcPr>
            <w:tcW w:w="9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0.2665 </w:t>
            </w:r>
          </w:p>
        </w:tc>
        <w:tc>
          <w:tcPr>
            <w:tcW w:w="8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0.5885 </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&lt;0.1</w:t>
            </w:r>
          </w:p>
        </w:tc>
        <w:tc>
          <w:tcPr>
            <w:tcW w:w="10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1.3323 </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22.6736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339" w:type="dxa"/>
            <w:vMerge w:val="continue"/>
            <w:tcBorders>
              <w:top w:val="single" w:color="000000" w:sz="4" w:space="0"/>
              <w:left w:val="single" w:color="000000" w:sz="4" w:space="0"/>
              <w:bottom w:val="single" w:color="000000" w:sz="4" w:space="0"/>
              <w:right w:val="nil"/>
            </w:tcBorders>
            <w:noWrap/>
            <w:vAlign w:val="center"/>
          </w:tcPr>
          <w:p>
            <w:pPr>
              <w:ind w:firstLine="0" w:firstLineChars="0"/>
              <w:jc w:val="center"/>
              <w:rPr>
                <w:rFonts w:hint="eastAsia" w:ascii="宋体" w:hAnsi="宋体" w:eastAsia="宋体" w:cs="宋体"/>
                <w:i w:val="0"/>
                <w:iCs w:val="0"/>
                <w:color w:val="000000"/>
                <w:sz w:val="21"/>
                <w:szCs w:val="21"/>
                <w:u w:val="none"/>
              </w:rPr>
            </w:pPr>
          </w:p>
        </w:tc>
        <w:tc>
          <w:tcPr>
            <w:tcW w:w="11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硫酸-硝酸</w:t>
            </w:r>
          </w:p>
        </w:tc>
        <w:tc>
          <w:tcPr>
            <w:tcW w:w="9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&lt;0.1</w:t>
            </w:r>
          </w:p>
        </w:tc>
        <w:tc>
          <w:tcPr>
            <w:tcW w:w="11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0.3942 </w:t>
            </w:r>
          </w:p>
        </w:tc>
        <w:tc>
          <w:tcPr>
            <w:tcW w:w="9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&lt;0.1</w:t>
            </w:r>
          </w:p>
        </w:tc>
        <w:tc>
          <w:tcPr>
            <w:tcW w:w="8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&lt;0.1</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&lt;0.1</w:t>
            </w:r>
          </w:p>
        </w:tc>
        <w:tc>
          <w:tcPr>
            <w:tcW w:w="10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0.5177 </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1.2609 </w:t>
            </w:r>
          </w:p>
        </w:tc>
      </w:tr>
    </w:tbl>
    <w:p>
      <w:pPr>
        <w:ind w:firstLine="480" w:firstLineChars="200"/>
        <w:rPr>
          <w:rFonts w:hint="eastAsia" w:ascii="Times New Roman" w:hAnsi="Times New Roman" w:eastAsia="宋体" w:cs="Times New Roman"/>
        </w:rPr>
      </w:pPr>
      <w:r>
        <w:rPr>
          <w:rFonts w:hint="eastAsia" w:ascii="Times New Roman" w:hAnsi="Times New Roman" w:eastAsia="宋体" w:cs="Times New Roman"/>
          <w:lang w:val="en-US" w:eastAsia="zh-CN"/>
        </w:rPr>
        <w:t>此外，编制组还对7种代表性尾矿参考现行行业标准《</w:t>
      </w:r>
      <w:r>
        <w:rPr>
          <w:rFonts w:hint="eastAsia" w:ascii="Times New Roman" w:hAnsi="Times New Roman" w:eastAsia="宋体" w:cs="Times New Roman"/>
        </w:rPr>
        <w:t>城市污水处理厂污泥检验方法</w:t>
      </w:r>
      <w:r>
        <w:rPr>
          <w:rFonts w:hint="eastAsia" w:ascii="Times New Roman" w:hAnsi="Times New Roman" w:eastAsia="宋体" w:cs="Times New Roman"/>
          <w:lang w:eastAsia="zh-CN"/>
        </w:rPr>
        <w:t>》</w:t>
      </w:r>
      <w:r>
        <w:rPr>
          <w:rFonts w:hint="eastAsia" w:ascii="Times New Roman" w:hAnsi="Times New Roman" w:eastAsia="宋体" w:cs="Times New Roman"/>
        </w:rPr>
        <w:t>CJ/T 221</w:t>
      </w:r>
      <w:r>
        <w:rPr>
          <w:rFonts w:hint="eastAsia" w:ascii="Times New Roman" w:hAnsi="Times New Roman" w:eastAsia="宋体" w:cs="Times New Roman"/>
          <w:lang w:val="en-US" w:eastAsia="zh-CN"/>
        </w:rPr>
        <w:t>-2005对尾矿进行消解，然后测试了重金属含量，测试结果如表15所示。</w:t>
      </w:r>
      <w:r>
        <w:rPr>
          <w:rFonts w:hint="eastAsia" w:ascii="Times New Roman" w:hAnsi="Times New Roman" w:eastAsia="宋体" w:cs="Times New Roman"/>
        </w:rPr>
        <w:t xml:space="preserve"> </w:t>
      </w:r>
    </w:p>
    <w:p>
      <w:pPr>
        <w:pStyle w:val="16"/>
        <w:tabs>
          <w:tab w:val="center" w:pos="4201"/>
          <w:tab w:val="right" w:leader="dot" w:pos="9298"/>
        </w:tabs>
        <w:spacing w:before="156" w:beforeLines="50" w:after="156" w:afterLines="50" w:line="276" w:lineRule="auto"/>
        <w:ind w:firstLine="420" w:firstLineChars="0"/>
        <w:jc w:val="center"/>
        <w:rPr>
          <w:rFonts w:ascii="Times New Roman" w:eastAsia="黑体"/>
          <w:szCs w:val="21"/>
        </w:rPr>
      </w:pPr>
      <w:r>
        <w:rPr>
          <w:rFonts w:ascii="Times New Roman" w:eastAsia="黑体"/>
          <w:szCs w:val="21"/>
        </w:rPr>
        <w:t>表1</w:t>
      </w:r>
      <w:r>
        <w:rPr>
          <w:rFonts w:hint="eastAsia" w:ascii="Times New Roman" w:eastAsia="黑体"/>
          <w:szCs w:val="21"/>
          <w:lang w:val="en-US" w:eastAsia="zh-CN"/>
        </w:rPr>
        <w:t>5</w:t>
      </w:r>
      <w:r>
        <w:rPr>
          <w:rFonts w:ascii="Times New Roman" w:eastAsia="黑体"/>
          <w:szCs w:val="21"/>
        </w:rPr>
        <w:t xml:space="preserve"> </w:t>
      </w:r>
      <w:r>
        <w:rPr>
          <w:rFonts w:hint="eastAsia" w:ascii="Times New Roman" w:eastAsia="黑体"/>
          <w:szCs w:val="21"/>
          <w:lang w:eastAsia="zh-CN"/>
        </w:rPr>
        <w:t>铜尾矿砂</w:t>
      </w:r>
      <w:r>
        <w:rPr>
          <w:rFonts w:hint="eastAsia" w:ascii="Times New Roman" w:eastAsia="黑体"/>
          <w:szCs w:val="21"/>
          <w:lang w:val="en-US" w:eastAsia="zh-CN"/>
        </w:rPr>
        <w:t>重金属含量</w:t>
      </w:r>
      <w:r>
        <w:rPr>
          <w:rFonts w:ascii="Times New Roman" w:eastAsia="黑体"/>
          <w:szCs w:val="21"/>
        </w:rPr>
        <w:t>测试结果</w:t>
      </w:r>
    </w:p>
    <w:tbl>
      <w:tblPr>
        <w:tblStyle w:val="10"/>
        <w:tblW w:w="94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18"/>
        <w:gridCol w:w="1250"/>
        <w:gridCol w:w="1112"/>
        <w:gridCol w:w="983"/>
        <w:gridCol w:w="800"/>
        <w:gridCol w:w="912"/>
        <w:gridCol w:w="1034"/>
        <w:gridCol w:w="1110"/>
        <w:gridCol w:w="10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1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样品编号</w:t>
            </w:r>
          </w:p>
        </w:tc>
        <w:tc>
          <w:tcPr>
            <w:tcW w:w="8275" w:type="dxa"/>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所测元素含量（</w:t>
            </w:r>
            <w:r>
              <w:rPr>
                <w:rFonts w:hint="eastAsia" w:ascii="Times New Roman" w:hAnsi="Times New Roman" w:eastAsia="宋体" w:cs="Times New Roman"/>
                <w:i w:val="0"/>
                <w:iCs w:val="0"/>
                <w:color w:val="000000"/>
                <w:kern w:val="0"/>
                <w:sz w:val="21"/>
                <w:szCs w:val="21"/>
                <w:u w:val="none"/>
                <w:lang w:val="en-US" w:eastAsia="zh-CN" w:bidi="ar"/>
              </w:rPr>
              <w:t>m</w:t>
            </w:r>
            <w:r>
              <w:rPr>
                <w:rFonts w:hint="default" w:ascii="Times New Roman" w:hAnsi="Times New Roman" w:eastAsia="宋体" w:cs="Times New Roman"/>
                <w:i w:val="0"/>
                <w:iCs w:val="0"/>
                <w:color w:val="000000"/>
                <w:kern w:val="0"/>
                <w:sz w:val="21"/>
                <w:szCs w:val="21"/>
                <w:u w:val="none"/>
                <w:lang w:val="en-US" w:eastAsia="zh-CN" w:bidi="ar"/>
              </w:rPr>
              <w:t>g/</w:t>
            </w:r>
            <w:r>
              <w:rPr>
                <w:rFonts w:hint="eastAsia" w:ascii="Times New Roman" w:hAnsi="Times New Roman" w:eastAsia="宋体" w:cs="Times New Roman"/>
                <w:i w:val="0"/>
                <w:iCs w:val="0"/>
                <w:color w:val="000000"/>
                <w:kern w:val="0"/>
                <w:sz w:val="21"/>
                <w:szCs w:val="21"/>
                <w:u w:val="none"/>
                <w:lang w:val="en-US" w:eastAsia="zh-CN" w:bidi="ar"/>
              </w:rPr>
              <w:t>kg</w:t>
            </w: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0" w:firstLineChars="0"/>
              <w:jc w:val="center"/>
              <w:rPr>
                <w:rFonts w:hint="eastAsia" w:ascii="宋体" w:hAnsi="宋体" w:eastAsia="宋体" w:cs="宋体"/>
                <w:i w:val="0"/>
                <w:iCs w:val="0"/>
                <w:color w:val="000000"/>
                <w:sz w:val="21"/>
                <w:szCs w:val="21"/>
                <w:u w:val="none"/>
              </w:rPr>
            </w:pPr>
          </w:p>
        </w:tc>
        <w:tc>
          <w:tcPr>
            <w:tcW w:w="12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Pb</w:t>
            </w:r>
          </w:p>
        </w:tc>
        <w:tc>
          <w:tcPr>
            <w:tcW w:w="11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Zn</w:t>
            </w:r>
          </w:p>
        </w:tc>
        <w:tc>
          <w:tcPr>
            <w:tcW w:w="9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As</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Cr</w:t>
            </w:r>
          </w:p>
        </w:tc>
        <w:tc>
          <w:tcPr>
            <w:tcW w:w="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Cd</w:t>
            </w: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Ni</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Cu</w:t>
            </w:r>
          </w:p>
        </w:tc>
        <w:tc>
          <w:tcPr>
            <w:tcW w:w="10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Mn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218" w:type="dxa"/>
            <w:tcBorders>
              <w:top w:val="single" w:color="000000" w:sz="4" w:space="0"/>
              <w:left w:val="single" w:color="000000" w:sz="4" w:space="0"/>
              <w:bottom w:val="single" w:color="000000" w:sz="4" w:space="0"/>
              <w:right w:val="single" w:color="000000" w:sz="4" w:space="0"/>
            </w:tcBorders>
            <w:noWrap/>
            <w:vAlign w:val="center"/>
          </w:tcPr>
          <w:p>
            <w:pPr>
              <w:ind w:firstLine="0" w:firstLineChar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1</w:t>
            </w:r>
          </w:p>
        </w:tc>
        <w:tc>
          <w:tcPr>
            <w:tcW w:w="12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27.65</w:t>
            </w:r>
          </w:p>
        </w:tc>
        <w:tc>
          <w:tcPr>
            <w:tcW w:w="11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13.12</w:t>
            </w:r>
          </w:p>
        </w:tc>
        <w:tc>
          <w:tcPr>
            <w:tcW w:w="9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5.10</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9.18</w:t>
            </w:r>
          </w:p>
        </w:tc>
        <w:tc>
          <w:tcPr>
            <w:tcW w:w="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0.03</w:t>
            </w: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1.68</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62.53</w:t>
            </w:r>
          </w:p>
        </w:tc>
        <w:tc>
          <w:tcPr>
            <w:tcW w:w="10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200.85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218" w:type="dxa"/>
            <w:tcBorders>
              <w:top w:val="single" w:color="000000" w:sz="4" w:space="0"/>
              <w:left w:val="single" w:color="000000" w:sz="4" w:space="0"/>
              <w:bottom w:val="single" w:color="000000" w:sz="4" w:space="0"/>
              <w:right w:val="single" w:color="000000" w:sz="4" w:space="0"/>
            </w:tcBorders>
            <w:noWrap/>
            <w:vAlign w:val="center"/>
          </w:tcPr>
          <w:p>
            <w:pPr>
              <w:ind w:firstLine="0" w:firstLineChar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c>
          <w:tcPr>
            <w:tcW w:w="12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53.44</w:t>
            </w:r>
          </w:p>
        </w:tc>
        <w:tc>
          <w:tcPr>
            <w:tcW w:w="11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7.26</w:t>
            </w:r>
          </w:p>
        </w:tc>
        <w:tc>
          <w:tcPr>
            <w:tcW w:w="9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3.41</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10.31</w:t>
            </w:r>
          </w:p>
        </w:tc>
        <w:tc>
          <w:tcPr>
            <w:tcW w:w="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0.02</w:t>
            </w: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23.22</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241.12</w:t>
            </w:r>
          </w:p>
        </w:tc>
        <w:tc>
          <w:tcPr>
            <w:tcW w:w="10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185.36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218" w:type="dxa"/>
            <w:tcBorders>
              <w:top w:val="single" w:color="000000" w:sz="4" w:space="0"/>
              <w:left w:val="single" w:color="000000" w:sz="4" w:space="0"/>
              <w:bottom w:val="single" w:color="000000" w:sz="4" w:space="0"/>
              <w:right w:val="single" w:color="000000" w:sz="4" w:space="0"/>
            </w:tcBorders>
            <w:noWrap/>
            <w:vAlign w:val="center"/>
          </w:tcPr>
          <w:p>
            <w:pPr>
              <w:ind w:firstLine="0" w:firstLineChar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p>
        </w:tc>
        <w:tc>
          <w:tcPr>
            <w:tcW w:w="12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14.38</w:t>
            </w:r>
          </w:p>
        </w:tc>
        <w:tc>
          <w:tcPr>
            <w:tcW w:w="11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174.24</w:t>
            </w:r>
          </w:p>
        </w:tc>
        <w:tc>
          <w:tcPr>
            <w:tcW w:w="9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5.14</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8.65</w:t>
            </w:r>
          </w:p>
        </w:tc>
        <w:tc>
          <w:tcPr>
            <w:tcW w:w="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0.03</w:t>
            </w: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36.51</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73.54</w:t>
            </w:r>
          </w:p>
        </w:tc>
        <w:tc>
          <w:tcPr>
            <w:tcW w:w="10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221.74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218" w:type="dxa"/>
            <w:tcBorders>
              <w:top w:val="single" w:color="000000" w:sz="4" w:space="0"/>
              <w:left w:val="single" w:color="000000" w:sz="4" w:space="0"/>
              <w:bottom w:val="single" w:color="000000" w:sz="4" w:space="0"/>
              <w:right w:val="single" w:color="000000" w:sz="4" w:space="0"/>
            </w:tcBorders>
            <w:noWrap/>
            <w:vAlign w:val="center"/>
          </w:tcPr>
          <w:p>
            <w:pPr>
              <w:ind w:firstLine="0" w:firstLineChar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4</w:t>
            </w:r>
          </w:p>
        </w:tc>
        <w:tc>
          <w:tcPr>
            <w:tcW w:w="12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35.28</w:t>
            </w:r>
          </w:p>
        </w:tc>
        <w:tc>
          <w:tcPr>
            <w:tcW w:w="11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15.78</w:t>
            </w:r>
          </w:p>
        </w:tc>
        <w:tc>
          <w:tcPr>
            <w:tcW w:w="9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4.77</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8.63</w:t>
            </w:r>
          </w:p>
        </w:tc>
        <w:tc>
          <w:tcPr>
            <w:tcW w:w="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0.04</w:t>
            </w: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1.65</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59.18</w:t>
            </w:r>
          </w:p>
        </w:tc>
        <w:tc>
          <w:tcPr>
            <w:tcW w:w="10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198.69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218" w:type="dxa"/>
            <w:tcBorders>
              <w:top w:val="single" w:color="000000" w:sz="4" w:space="0"/>
              <w:left w:val="single" w:color="000000" w:sz="4" w:space="0"/>
              <w:bottom w:val="single" w:color="000000" w:sz="4" w:space="0"/>
              <w:right w:val="single" w:color="000000" w:sz="4" w:space="0"/>
            </w:tcBorders>
            <w:noWrap/>
            <w:vAlign w:val="center"/>
          </w:tcPr>
          <w:p>
            <w:pPr>
              <w:ind w:firstLine="0" w:firstLineChar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w:t>
            </w:r>
          </w:p>
        </w:tc>
        <w:tc>
          <w:tcPr>
            <w:tcW w:w="12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23.14</w:t>
            </w:r>
          </w:p>
        </w:tc>
        <w:tc>
          <w:tcPr>
            <w:tcW w:w="11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59.45</w:t>
            </w:r>
          </w:p>
        </w:tc>
        <w:tc>
          <w:tcPr>
            <w:tcW w:w="9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10.55</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18.46</w:t>
            </w:r>
          </w:p>
        </w:tc>
        <w:tc>
          <w:tcPr>
            <w:tcW w:w="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0.08</w:t>
            </w: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8.97</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102.11</w:t>
            </w:r>
          </w:p>
        </w:tc>
        <w:tc>
          <w:tcPr>
            <w:tcW w:w="10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256.23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218" w:type="dxa"/>
            <w:tcBorders>
              <w:top w:val="single" w:color="000000" w:sz="4" w:space="0"/>
              <w:left w:val="single" w:color="000000" w:sz="4" w:space="0"/>
              <w:bottom w:val="single" w:color="000000" w:sz="4" w:space="0"/>
              <w:right w:val="single" w:color="000000" w:sz="4" w:space="0"/>
            </w:tcBorders>
            <w:noWrap/>
            <w:vAlign w:val="center"/>
          </w:tcPr>
          <w:p>
            <w:pPr>
              <w:ind w:firstLine="0" w:firstLineChar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w:t>
            </w:r>
          </w:p>
        </w:tc>
        <w:tc>
          <w:tcPr>
            <w:tcW w:w="12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37.12</w:t>
            </w:r>
          </w:p>
        </w:tc>
        <w:tc>
          <w:tcPr>
            <w:tcW w:w="11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83.54</w:t>
            </w:r>
          </w:p>
        </w:tc>
        <w:tc>
          <w:tcPr>
            <w:tcW w:w="9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27.50</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7.32</w:t>
            </w:r>
          </w:p>
        </w:tc>
        <w:tc>
          <w:tcPr>
            <w:tcW w:w="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0.03</w:t>
            </w: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9.24</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66.31</w:t>
            </w:r>
          </w:p>
        </w:tc>
        <w:tc>
          <w:tcPr>
            <w:tcW w:w="10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274.12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218" w:type="dxa"/>
            <w:tcBorders>
              <w:top w:val="single" w:color="000000" w:sz="4" w:space="0"/>
              <w:left w:val="single" w:color="000000" w:sz="4" w:space="0"/>
              <w:bottom w:val="single" w:color="000000" w:sz="4" w:space="0"/>
              <w:right w:val="single" w:color="000000" w:sz="4" w:space="0"/>
            </w:tcBorders>
            <w:noWrap/>
            <w:vAlign w:val="center"/>
          </w:tcPr>
          <w:p>
            <w:pPr>
              <w:ind w:firstLine="0" w:firstLineChars="0"/>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w:t>
            </w:r>
          </w:p>
        </w:tc>
        <w:tc>
          <w:tcPr>
            <w:tcW w:w="12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45.26</w:t>
            </w:r>
          </w:p>
        </w:tc>
        <w:tc>
          <w:tcPr>
            <w:tcW w:w="11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24.88</w:t>
            </w:r>
          </w:p>
        </w:tc>
        <w:tc>
          <w:tcPr>
            <w:tcW w:w="9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5.11</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9.10</w:t>
            </w:r>
          </w:p>
        </w:tc>
        <w:tc>
          <w:tcPr>
            <w:tcW w:w="9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0.10</w:t>
            </w:r>
          </w:p>
        </w:tc>
        <w:tc>
          <w:tcPr>
            <w:tcW w:w="1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16.84</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84.61</w:t>
            </w:r>
          </w:p>
        </w:tc>
        <w:tc>
          <w:tcPr>
            <w:tcW w:w="10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203.85</w:t>
            </w:r>
          </w:p>
        </w:tc>
      </w:tr>
    </w:tbl>
    <w:p>
      <w:pPr>
        <w:ind w:firstLine="480" w:firstLineChars="20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由表14和表15可以看出，所有重金属含量和浸出液中重金属离子浓度均满足标准要求。</w:t>
      </w:r>
    </w:p>
    <w:p>
      <w:pPr>
        <w:pStyle w:val="3"/>
        <w:widowControl/>
        <w:jc w:val="both"/>
        <w:rPr>
          <w:kern w:val="0"/>
          <w:szCs w:val="24"/>
        </w:rPr>
      </w:pPr>
      <w:r>
        <w:rPr>
          <w:kern w:val="0"/>
          <w:szCs w:val="24"/>
        </w:rPr>
        <w:t>3.6 碱</w:t>
      </w:r>
      <w:r>
        <w:rPr>
          <w:rFonts w:hint="eastAsia"/>
          <w:kern w:val="0"/>
          <w:szCs w:val="24"/>
        </w:rPr>
        <w:t>集料反应</w:t>
      </w:r>
      <w:bookmarkEnd w:id="38"/>
    </w:p>
    <w:p>
      <w:pPr>
        <w:widowControl/>
        <w:ind w:firstLine="480"/>
        <w:rPr>
          <w:sz w:val="24"/>
          <w:szCs w:val="21"/>
        </w:rPr>
      </w:pPr>
      <w:r>
        <w:rPr>
          <w:sz w:val="24"/>
          <w:szCs w:val="21"/>
        </w:rPr>
        <w:t>代表性尾矿碱</w:t>
      </w:r>
      <w:r>
        <w:rPr>
          <w:rFonts w:hint="eastAsia"/>
          <w:sz w:val="24"/>
          <w:szCs w:val="21"/>
        </w:rPr>
        <w:t>集料反应</w:t>
      </w:r>
      <w:r>
        <w:rPr>
          <w:sz w:val="24"/>
          <w:szCs w:val="21"/>
        </w:rPr>
        <w:t>测试结果如表1</w:t>
      </w:r>
      <w:r>
        <w:rPr>
          <w:rFonts w:hint="eastAsia"/>
          <w:sz w:val="24"/>
          <w:szCs w:val="21"/>
          <w:lang w:val="en-US" w:eastAsia="zh-CN"/>
        </w:rPr>
        <w:t>6</w:t>
      </w:r>
      <w:r>
        <w:rPr>
          <w:sz w:val="24"/>
          <w:szCs w:val="21"/>
        </w:rPr>
        <w:t>所示</w:t>
      </w:r>
      <w:r>
        <w:rPr>
          <w:rFonts w:hint="eastAsia"/>
          <w:sz w:val="24"/>
          <w:szCs w:val="21"/>
        </w:rPr>
        <w:t>，其碱集料反应试验结果均合格</w:t>
      </w:r>
      <w:r>
        <w:rPr>
          <w:sz w:val="24"/>
          <w:szCs w:val="21"/>
        </w:rPr>
        <w:t>。</w:t>
      </w:r>
    </w:p>
    <w:p>
      <w:pPr>
        <w:pStyle w:val="16"/>
        <w:tabs>
          <w:tab w:val="center" w:pos="4201"/>
          <w:tab w:val="right" w:leader="dot" w:pos="9298"/>
        </w:tabs>
        <w:spacing w:before="156" w:beforeLines="50" w:after="156" w:afterLines="50" w:line="276" w:lineRule="auto"/>
        <w:ind w:firstLine="420" w:firstLineChars="0"/>
        <w:jc w:val="center"/>
        <w:rPr>
          <w:rFonts w:ascii="Times New Roman" w:eastAsia="黑体"/>
          <w:szCs w:val="21"/>
        </w:rPr>
      </w:pPr>
      <w:r>
        <w:rPr>
          <w:rFonts w:ascii="Times New Roman" w:eastAsia="黑体"/>
          <w:szCs w:val="21"/>
        </w:rPr>
        <w:t>表1</w:t>
      </w:r>
      <w:r>
        <w:rPr>
          <w:rFonts w:hint="eastAsia" w:ascii="Times New Roman" w:eastAsia="黑体"/>
          <w:szCs w:val="21"/>
          <w:lang w:val="en-US" w:eastAsia="zh-CN"/>
        </w:rPr>
        <w:t>6</w:t>
      </w:r>
      <w:r>
        <w:rPr>
          <w:rFonts w:ascii="Times New Roman" w:eastAsia="黑体"/>
          <w:szCs w:val="21"/>
        </w:rPr>
        <w:t xml:space="preserve"> </w:t>
      </w:r>
      <w:r>
        <w:rPr>
          <w:rFonts w:hint="eastAsia" w:ascii="Times New Roman" w:eastAsia="黑体"/>
          <w:szCs w:val="21"/>
          <w:lang w:eastAsia="zh-CN"/>
        </w:rPr>
        <w:t>铜尾矿砂</w:t>
      </w:r>
      <w:r>
        <w:rPr>
          <w:rFonts w:ascii="Times New Roman" w:eastAsia="黑体"/>
          <w:szCs w:val="21"/>
        </w:rPr>
        <w:t>碱</w:t>
      </w:r>
      <w:r>
        <w:rPr>
          <w:rFonts w:hint="eastAsia" w:ascii="Times New Roman" w:eastAsia="黑体"/>
          <w:szCs w:val="21"/>
        </w:rPr>
        <w:t>集料反应</w:t>
      </w:r>
      <w:r>
        <w:rPr>
          <w:rFonts w:ascii="Times New Roman" w:eastAsia="黑体"/>
          <w:szCs w:val="21"/>
        </w:rPr>
        <w:t>测试结果</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noWrap w:val="0"/>
            <w:vAlign w:val="top"/>
          </w:tcPr>
          <w:p>
            <w:pPr>
              <w:widowControl/>
              <w:ind w:firstLine="0" w:firstLineChars="0"/>
              <w:jc w:val="center"/>
              <w:rPr>
                <w:szCs w:val="21"/>
              </w:rPr>
            </w:pPr>
            <w:r>
              <w:rPr>
                <w:szCs w:val="21"/>
              </w:rPr>
              <w:t>样品</w:t>
            </w:r>
          </w:p>
        </w:tc>
        <w:tc>
          <w:tcPr>
            <w:tcW w:w="1076" w:type="dxa"/>
            <w:noWrap w:val="0"/>
            <w:vAlign w:val="top"/>
          </w:tcPr>
          <w:p>
            <w:pPr>
              <w:widowControl/>
              <w:ind w:firstLine="0" w:firstLineChars="0"/>
              <w:jc w:val="center"/>
              <w:rPr>
                <w:szCs w:val="21"/>
              </w:rPr>
            </w:pPr>
            <w:r>
              <w:rPr>
                <w:szCs w:val="21"/>
              </w:rPr>
              <w:t>1</w:t>
            </w:r>
          </w:p>
        </w:tc>
        <w:tc>
          <w:tcPr>
            <w:tcW w:w="1076" w:type="dxa"/>
            <w:noWrap w:val="0"/>
            <w:vAlign w:val="top"/>
          </w:tcPr>
          <w:p>
            <w:pPr>
              <w:widowControl/>
              <w:ind w:firstLine="0" w:firstLineChars="0"/>
              <w:jc w:val="center"/>
              <w:rPr>
                <w:szCs w:val="21"/>
              </w:rPr>
            </w:pPr>
            <w:r>
              <w:rPr>
                <w:szCs w:val="21"/>
              </w:rPr>
              <w:t>2</w:t>
            </w:r>
          </w:p>
        </w:tc>
        <w:tc>
          <w:tcPr>
            <w:tcW w:w="1076" w:type="dxa"/>
            <w:noWrap w:val="0"/>
            <w:vAlign w:val="top"/>
          </w:tcPr>
          <w:p>
            <w:pPr>
              <w:widowControl/>
              <w:ind w:firstLine="0" w:firstLineChars="0"/>
              <w:jc w:val="center"/>
              <w:rPr>
                <w:szCs w:val="21"/>
              </w:rPr>
            </w:pPr>
            <w:r>
              <w:rPr>
                <w:szCs w:val="21"/>
              </w:rPr>
              <w:t>3</w:t>
            </w:r>
          </w:p>
        </w:tc>
        <w:tc>
          <w:tcPr>
            <w:tcW w:w="1076" w:type="dxa"/>
            <w:noWrap w:val="0"/>
            <w:vAlign w:val="top"/>
          </w:tcPr>
          <w:p>
            <w:pPr>
              <w:widowControl/>
              <w:ind w:firstLine="0" w:firstLineChars="0"/>
              <w:jc w:val="center"/>
              <w:rPr>
                <w:szCs w:val="21"/>
              </w:rPr>
            </w:pPr>
            <w:r>
              <w:rPr>
                <w:szCs w:val="21"/>
              </w:rPr>
              <w:t>4</w:t>
            </w:r>
          </w:p>
        </w:tc>
        <w:tc>
          <w:tcPr>
            <w:tcW w:w="1076" w:type="dxa"/>
            <w:noWrap w:val="0"/>
            <w:vAlign w:val="top"/>
          </w:tcPr>
          <w:p>
            <w:pPr>
              <w:widowControl/>
              <w:ind w:firstLine="0" w:firstLineChars="0"/>
              <w:jc w:val="center"/>
              <w:rPr>
                <w:szCs w:val="21"/>
              </w:rPr>
            </w:pPr>
            <w:r>
              <w:rPr>
                <w:szCs w:val="21"/>
              </w:rPr>
              <w:t>5</w:t>
            </w:r>
          </w:p>
        </w:tc>
        <w:tc>
          <w:tcPr>
            <w:tcW w:w="1076" w:type="dxa"/>
            <w:noWrap w:val="0"/>
            <w:vAlign w:val="top"/>
          </w:tcPr>
          <w:p>
            <w:pPr>
              <w:widowControl/>
              <w:ind w:firstLine="0" w:firstLineChars="0"/>
              <w:jc w:val="center"/>
              <w:rPr>
                <w:szCs w:val="21"/>
              </w:rPr>
            </w:pPr>
            <w:r>
              <w:rPr>
                <w:szCs w:val="21"/>
              </w:rPr>
              <w:t>6</w:t>
            </w:r>
          </w:p>
        </w:tc>
        <w:tc>
          <w:tcPr>
            <w:tcW w:w="1076" w:type="dxa"/>
            <w:noWrap w:val="0"/>
            <w:vAlign w:val="top"/>
          </w:tcPr>
          <w:p>
            <w:pPr>
              <w:widowControl/>
              <w:ind w:firstLine="0" w:firstLineChars="0"/>
              <w:jc w:val="center"/>
              <w:rPr>
                <w:szCs w:val="21"/>
              </w:rPr>
            </w:pPr>
            <w:r>
              <w:rPr>
                <w:szCs w:val="21"/>
              </w:rPr>
              <w:t>7</w:t>
            </w:r>
          </w:p>
        </w:tc>
        <w:tc>
          <w:tcPr>
            <w:tcW w:w="1076" w:type="dxa"/>
            <w:noWrap w:val="0"/>
            <w:vAlign w:val="top"/>
          </w:tcPr>
          <w:p>
            <w:pPr>
              <w:widowControl/>
              <w:ind w:firstLine="0" w:firstLineChars="0"/>
              <w:jc w:val="center"/>
              <w:rPr>
                <w:szCs w:val="21"/>
              </w:rPr>
            </w:pPr>
            <w:r>
              <w:rPr>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noWrap w:val="0"/>
            <w:vAlign w:val="top"/>
          </w:tcPr>
          <w:p>
            <w:pPr>
              <w:widowControl/>
              <w:ind w:firstLine="0" w:firstLineChars="0"/>
              <w:jc w:val="center"/>
              <w:rPr>
                <w:szCs w:val="21"/>
              </w:rPr>
            </w:pPr>
            <w:r>
              <w:rPr>
                <w:szCs w:val="21"/>
              </w:rPr>
              <w:t>结果</w:t>
            </w:r>
          </w:p>
        </w:tc>
        <w:tc>
          <w:tcPr>
            <w:tcW w:w="1076" w:type="dxa"/>
            <w:noWrap w:val="0"/>
            <w:vAlign w:val="top"/>
          </w:tcPr>
          <w:p>
            <w:pPr>
              <w:widowControl/>
              <w:ind w:firstLine="0" w:firstLineChars="0"/>
              <w:jc w:val="center"/>
              <w:rPr>
                <w:szCs w:val="21"/>
              </w:rPr>
            </w:pPr>
            <w:r>
              <w:rPr>
                <w:szCs w:val="21"/>
              </w:rPr>
              <w:t>无裂缝</w:t>
            </w:r>
          </w:p>
        </w:tc>
        <w:tc>
          <w:tcPr>
            <w:tcW w:w="1076" w:type="dxa"/>
            <w:noWrap w:val="0"/>
            <w:vAlign w:val="top"/>
          </w:tcPr>
          <w:p>
            <w:pPr>
              <w:widowControl/>
              <w:ind w:firstLine="0" w:firstLineChars="0"/>
              <w:jc w:val="center"/>
              <w:rPr>
                <w:szCs w:val="21"/>
              </w:rPr>
            </w:pPr>
            <w:r>
              <w:rPr>
                <w:szCs w:val="21"/>
              </w:rPr>
              <w:t>无裂缝</w:t>
            </w:r>
          </w:p>
        </w:tc>
        <w:tc>
          <w:tcPr>
            <w:tcW w:w="1076" w:type="dxa"/>
            <w:noWrap w:val="0"/>
            <w:vAlign w:val="top"/>
          </w:tcPr>
          <w:p>
            <w:pPr>
              <w:widowControl/>
              <w:ind w:firstLine="0" w:firstLineChars="0"/>
              <w:jc w:val="center"/>
              <w:rPr>
                <w:szCs w:val="21"/>
              </w:rPr>
            </w:pPr>
            <w:r>
              <w:rPr>
                <w:szCs w:val="21"/>
              </w:rPr>
              <w:t>无裂缝</w:t>
            </w:r>
          </w:p>
        </w:tc>
        <w:tc>
          <w:tcPr>
            <w:tcW w:w="1076" w:type="dxa"/>
            <w:noWrap w:val="0"/>
            <w:vAlign w:val="top"/>
          </w:tcPr>
          <w:p>
            <w:pPr>
              <w:widowControl/>
              <w:ind w:firstLine="0" w:firstLineChars="0"/>
              <w:jc w:val="center"/>
              <w:rPr>
                <w:szCs w:val="21"/>
              </w:rPr>
            </w:pPr>
            <w:r>
              <w:rPr>
                <w:szCs w:val="21"/>
              </w:rPr>
              <w:t>无裂缝</w:t>
            </w:r>
          </w:p>
        </w:tc>
        <w:tc>
          <w:tcPr>
            <w:tcW w:w="1076" w:type="dxa"/>
            <w:noWrap w:val="0"/>
            <w:vAlign w:val="top"/>
          </w:tcPr>
          <w:p>
            <w:pPr>
              <w:widowControl/>
              <w:ind w:firstLine="0" w:firstLineChars="0"/>
              <w:jc w:val="center"/>
              <w:rPr>
                <w:szCs w:val="21"/>
              </w:rPr>
            </w:pPr>
            <w:r>
              <w:rPr>
                <w:szCs w:val="21"/>
              </w:rPr>
              <w:t>无裂缝</w:t>
            </w:r>
          </w:p>
        </w:tc>
        <w:tc>
          <w:tcPr>
            <w:tcW w:w="1076" w:type="dxa"/>
            <w:noWrap w:val="0"/>
            <w:vAlign w:val="top"/>
          </w:tcPr>
          <w:p>
            <w:pPr>
              <w:widowControl/>
              <w:ind w:firstLine="0" w:firstLineChars="0"/>
              <w:jc w:val="center"/>
              <w:rPr>
                <w:szCs w:val="21"/>
              </w:rPr>
            </w:pPr>
            <w:r>
              <w:rPr>
                <w:szCs w:val="21"/>
              </w:rPr>
              <w:t>无裂缝</w:t>
            </w:r>
          </w:p>
        </w:tc>
        <w:tc>
          <w:tcPr>
            <w:tcW w:w="1076" w:type="dxa"/>
            <w:noWrap w:val="0"/>
            <w:vAlign w:val="top"/>
          </w:tcPr>
          <w:p>
            <w:pPr>
              <w:widowControl/>
              <w:ind w:firstLine="0" w:firstLineChars="0"/>
              <w:jc w:val="center"/>
              <w:rPr>
                <w:szCs w:val="21"/>
              </w:rPr>
            </w:pPr>
            <w:r>
              <w:rPr>
                <w:szCs w:val="21"/>
              </w:rPr>
              <w:t>无裂缝</w:t>
            </w:r>
          </w:p>
        </w:tc>
        <w:tc>
          <w:tcPr>
            <w:tcW w:w="1076" w:type="dxa"/>
            <w:noWrap w:val="0"/>
            <w:vAlign w:val="top"/>
          </w:tcPr>
          <w:p>
            <w:pPr>
              <w:widowControl/>
              <w:ind w:firstLine="0" w:firstLineChars="0"/>
              <w:jc w:val="center"/>
              <w:rPr>
                <w:szCs w:val="21"/>
              </w:rPr>
            </w:pPr>
            <w:r>
              <w:rPr>
                <w:szCs w:val="21"/>
              </w:rPr>
              <w:t>无裂缝</w:t>
            </w:r>
          </w:p>
        </w:tc>
      </w:tr>
      <w:bookmarkEnd w:id="29"/>
    </w:tbl>
    <w:p>
      <w:pPr>
        <w:pStyle w:val="2"/>
        <w:keepNext/>
        <w:keepLines/>
        <w:spacing w:before="0" w:beforeAutospacing="0" w:after="0" w:afterAutospacing="0"/>
        <w:ind w:firstLine="0" w:firstLineChars="0"/>
        <w:jc w:val="both"/>
        <w:rPr>
          <w:rFonts w:ascii="Times New Roman" w:hAnsi="Times New Roman"/>
          <w:bCs w:val="0"/>
          <w:kern w:val="0"/>
          <w:sz w:val="28"/>
          <w:szCs w:val="28"/>
        </w:rPr>
      </w:pPr>
      <w:bookmarkStart w:id="39" w:name="_Toc28336"/>
      <w:bookmarkStart w:id="40" w:name="_Toc10645688"/>
      <w:r>
        <w:rPr>
          <w:rFonts w:hint="eastAsia" w:ascii="Times New Roman" w:hAnsi="Times New Roman"/>
          <w:bCs w:val="0"/>
          <w:kern w:val="0"/>
          <w:sz w:val="28"/>
          <w:szCs w:val="28"/>
          <w:lang w:val="en-US" w:eastAsia="zh-CN"/>
        </w:rPr>
        <w:t>四、</w:t>
      </w:r>
      <w:r>
        <w:rPr>
          <w:rFonts w:ascii="Times New Roman" w:hAnsi="Times New Roman"/>
          <w:bCs w:val="0"/>
          <w:kern w:val="0"/>
          <w:sz w:val="28"/>
          <w:szCs w:val="28"/>
        </w:rPr>
        <w:t xml:space="preserve"> 标准中涉及专利情况说明</w:t>
      </w:r>
      <w:bookmarkEnd w:id="39"/>
      <w:bookmarkEnd w:id="40"/>
    </w:p>
    <w:p>
      <w:pPr>
        <w:ind w:firstLine="480"/>
        <w:rPr>
          <w:sz w:val="24"/>
          <w:szCs w:val="21"/>
        </w:rPr>
      </w:pPr>
      <w:r>
        <w:rPr>
          <w:sz w:val="24"/>
          <w:szCs w:val="21"/>
        </w:rPr>
        <w:t>经检索，本</w:t>
      </w:r>
      <w:r>
        <w:rPr>
          <w:rFonts w:hint="eastAsia"/>
          <w:sz w:val="24"/>
          <w:szCs w:val="21"/>
          <w:lang w:val="en-US" w:eastAsia="zh-CN"/>
        </w:rPr>
        <w:t>标准</w:t>
      </w:r>
      <w:r>
        <w:rPr>
          <w:sz w:val="24"/>
          <w:szCs w:val="21"/>
        </w:rPr>
        <w:t>所列技术内容没有涉及专利和知识产权的情况。</w:t>
      </w:r>
    </w:p>
    <w:p>
      <w:pPr>
        <w:pStyle w:val="2"/>
        <w:keepNext/>
        <w:keepLines/>
        <w:numPr>
          <w:ilvl w:val="0"/>
          <w:numId w:val="5"/>
        </w:numPr>
        <w:spacing w:before="0" w:beforeAutospacing="0" w:after="0" w:afterAutospacing="0"/>
        <w:ind w:firstLine="0" w:firstLineChars="0"/>
        <w:jc w:val="both"/>
        <w:rPr>
          <w:rFonts w:ascii="Times New Roman" w:hAnsi="Times New Roman"/>
          <w:bCs w:val="0"/>
          <w:kern w:val="0"/>
          <w:sz w:val="28"/>
          <w:szCs w:val="28"/>
        </w:rPr>
      </w:pPr>
      <w:bookmarkStart w:id="41" w:name="_Toc4679"/>
      <w:bookmarkStart w:id="42" w:name="_Toc10645689"/>
      <w:r>
        <w:rPr>
          <w:rFonts w:ascii="Times New Roman" w:hAnsi="Times New Roman"/>
          <w:bCs w:val="0"/>
          <w:kern w:val="0"/>
          <w:sz w:val="28"/>
          <w:szCs w:val="28"/>
        </w:rPr>
        <w:t xml:space="preserve"> 产业化情况</w:t>
      </w:r>
      <w:bookmarkEnd w:id="41"/>
      <w:bookmarkEnd w:id="42"/>
    </w:p>
    <w:p>
      <w:pPr>
        <w:ind w:firstLine="480"/>
        <w:rPr>
          <w:rFonts w:hint="eastAsia" w:ascii="Times New Roman" w:hAnsi="Times New Roman" w:eastAsia="宋体" w:cs="Times New Roman"/>
          <w:sz w:val="24"/>
          <w:szCs w:val="21"/>
        </w:rPr>
      </w:pPr>
      <w:r>
        <w:rPr>
          <w:rFonts w:hint="eastAsia" w:ascii="Times New Roman" w:hAnsi="Times New Roman" w:eastAsia="宋体" w:cs="Times New Roman"/>
          <w:sz w:val="24"/>
          <w:szCs w:val="21"/>
        </w:rPr>
        <w:t>（一）经济效益、社会效益、产业规模、推广应用、工程应用情况、预期达到的经济、社会效益；</w:t>
      </w:r>
    </w:p>
    <w:p>
      <w:p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铜尾矿掺合料技术指标测试及铜尾矿掺合料替代粉煤灰进行C30-C50混凝土试验，已在九江广德、昊晟、华基等、南昌中建商砼、兰叶、中路等20余家搅拌站进行实验，铜尾矿掺合料在混凝土中的应用效果与Ⅱ级粉煤灰完全一致甚至性能超过部分搅拌站生产用粉煤灰，混凝土工作性、力学性能、耐久性均满足相关标准要求，解决现有搅拌站用粉煤灰质量参差不齐，掺假、劣质粉煤灰引起混凝土质量事故的顽疾。</w:t>
      </w:r>
    </w:p>
    <w:p>
      <w:p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同时，铜尾矿砂作为混凝土细骨料，通过外加剂调整，完全替代原有地材河砂、湖砂等中的细砂部分，尾矿砂用量控制在100-200kg/m</w:t>
      </w:r>
      <w:r>
        <w:rPr>
          <w:rFonts w:hint="eastAsia" w:ascii="宋体" w:hAnsi="宋体" w:eastAsia="宋体" w:cs="宋体"/>
          <w:color w:val="auto"/>
          <w:sz w:val="24"/>
          <w:szCs w:val="24"/>
          <w:vertAlign w:val="superscript"/>
        </w:rPr>
        <w:t>3</w:t>
      </w:r>
      <w:r>
        <w:rPr>
          <w:rFonts w:hint="eastAsia" w:ascii="宋体" w:hAnsi="宋体" w:eastAsia="宋体" w:cs="宋体"/>
          <w:color w:val="auto"/>
          <w:sz w:val="24"/>
          <w:szCs w:val="24"/>
        </w:rPr>
        <w:t>，混凝土工作性和强度优于基准混凝土，避免风花砂、海砂等劣质砂，以及细骨料来源不明、质量波动大、供应不稳定等造成的混凝土生产和质量问题。通过与混凝土相关企业进行产品应用技术沟通，均表示强烈要求长期采购铜尾矿砂和铜尾矿掺合料来生产预拌混凝土。</w:t>
      </w:r>
    </w:p>
    <w:p>
      <w:pPr>
        <w:spacing w:line="360" w:lineRule="auto"/>
        <w:ind w:firstLine="480"/>
        <w:jc w:val="left"/>
        <w:rPr>
          <w:rFonts w:hint="eastAsia"/>
          <w:sz w:val="24"/>
          <w:szCs w:val="21"/>
          <w:lang w:val="en-US" w:eastAsia="zh-CN"/>
        </w:rPr>
      </w:pPr>
      <w:r>
        <w:rPr>
          <w:rFonts w:hint="eastAsia"/>
          <w:sz w:val="24"/>
          <w:szCs w:val="21"/>
        </w:rPr>
        <w:t>前期研究表明，</w:t>
      </w:r>
      <w:r>
        <w:rPr>
          <w:rFonts w:hint="eastAsia"/>
          <w:sz w:val="24"/>
          <w:szCs w:val="21"/>
          <w:lang w:eastAsia="zh-CN"/>
        </w:rPr>
        <w:t>铜尾矿砂</w:t>
      </w:r>
      <w:r>
        <w:rPr>
          <w:rFonts w:hint="eastAsia"/>
          <w:sz w:val="24"/>
          <w:szCs w:val="21"/>
        </w:rPr>
        <w:t>在混凝土中可取代不超过30%，在砂浆中可取代的不超过50%的天然砂或机制砂。以铜尾矿堆存地区每年混凝土用量为3亿立方米、每立方米混凝土细骨料用量为700kg、</w:t>
      </w:r>
      <w:r>
        <w:rPr>
          <w:rFonts w:hint="eastAsia"/>
          <w:sz w:val="24"/>
          <w:szCs w:val="21"/>
          <w:lang w:eastAsia="zh-CN"/>
        </w:rPr>
        <w:t>铜尾矿砂</w:t>
      </w:r>
      <w:r>
        <w:rPr>
          <w:rFonts w:hint="eastAsia"/>
          <w:sz w:val="24"/>
          <w:szCs w:val="21"/>
        </w:rPr>
        <w:t>用量为20%，砂浆用量1亿立方米、每立方米砂浆中细骨料用量为1400kg、</w:t>
      </w:r>
      <w:r>
        <w:rPr>
          <w:rFonts w:hint="eastAsia"/>
          <w:sz w:val="24"/>
          <w:szCs w:val="21"/>
          <w:lang w:eastAsia="zh-CN"/>
        </w:rPr>
        <w:t>铜尾矿砂</w:t>
      </w:r>
      <w:r>
        <w:rPr>
          <w:rFonts w:hint="eastAsia"/>
          <w:sz w:val="24"/>
          <w:szCs w:val="21"/>
        </w:rPr>
        <w:t>用量为35%计算，在铜尾矿堆存地区每年可消耗近1亿吨铜尾矿，可大大减小铜尾矿堆存带来的环境负荷和对周围居民产生的安全隐患。</w:t>
      </w:r>
      <w:r>
        <w:rPr>
          <w:rFonts w:hint="eastAsia"/>
          <w:sz w:val="24"/>
          <w:szCs w:val="21"/>
          <w:lang w:val="en-US" w:eastAsia="zh-CN"/>
        </w:rPr>
        <w:t>此外，以每吨铜尾矿单价80元计算，每年可新增产值约80亿元。</w:t>
      </w:r>
    </w:p>
    <w:p>
      <w:pPr>
        <w:widowControl w:val="0"/>
        <w:numPr>
          <w:ilvl w:val="0"/>
          <w:numId w:val="0"/>
        </w:numPr>
        <w:bidi w:val="0"/>
        <w:ind w:firstLine="480" w:firstLineChars="200"/>
        <w:jc w:val="both"/>
        <w:rPr>
          <w:rFonts w:hint="default" w:ascii="宋体" w:hAnsi="宋体" w:eastAsia="宋体" w:cs="宋体"/>
          <w:b w:val="0"/>
          <w:bCs w:val="0"/>
          <w:sz w:val="24"/>
          <w:szCs w:val="24"/>
          <w:lang w:val="en-US" w:eastAsia="zh-CN"/>
        </w:rPr>
      </w:pPr>
      <w:r>
        <w:rPr>
          <w:rFonts w:hint="eastAsia" w:ascii="宋体" w:hAnsi="宋体" w:eastAsia="宋体" w:cs="宋体"/>
          <w:sz w:val="24"/>
          <w:szCs w:val="21"/>
          <w:lang w:val="en-US" w:eastAsia="zh-CN"/>
        </w:rPr>
        <w:t>除此以外，江铜集团江西万铜环保材料有限公司，</w:t>
      </w:r>
      <w:r>
        <w:rPr>
          <w:rFonts w:hint="eastAsia" w:ascii="宋体" w:hAnsi="宋体" w:eastAsia="宋体" w:cs="宋体"/>
          <w:b w:val="0"/>
          <w:bCs w:val="0"/>
          <w:sz w:val="24"/>
          <w:szCs w:val="24"/>
          <w:lang w:val="en-US" w:eastAsia="zh-CN"/>
        </w:rPr>
        <w:t>现已形成 7500 吨/日以上的尾矿处置能力，全年可消纳铜尾矿 250 万吨/年。铜尾矿砂经过旋流器分级，脱水工艺，生产的建材用硅质原料（粗、中砂、细砂）已在市场销售，辐射江西南昌、九江，江苏、湖北、安徽、四川等地区；粗/中粒铜尾矿可作为加气混凝土砌块、预拌混凝土和砂浆等建筑材料原料，细粒尾矿可作为烧结砖、免烧砖、水泥、水稳等建筑材料原料。</w:t>
      </w:r>
      <w:r>
        <w:rPr>
          <w:rFonts w:hint="eastAsia" w:ascii="宋体" w:hAnsi="宋体" w:eastAsia="宋体" w:cs="宋体"/>
          <w:b w:val="0"/>
          <w:bCs w:val="0"/>
          <w:kern w:val="2"/>
          <w:sz w:val="24"/>
          <w:szCs w:val="24"/>
          <w:lang w:val="en-US" w:eastAsia="zh-CN" w:bidi="ar-SA"/>
        </w:rPr>
        <w:t>实现了江铜从“尾砂”向“硅质原料”的转变，产出的硅质原料全部走向市场，用于制备蒸压加气混凝土制品  、混凝土掺和料、仿古砖、水稳料等建材产品。2023年处理消纳铜尾矿262万吨较2022年同比增长24%，</w:t>
      </w:r>
      <w:r>
        <w:rPr>
          <w:rFonts w:hint="eastAsia" w:ascii="宋体" w:hAnsi="宋体" w:eastAsia="宋体" w:cs="宋体"/>
          <w:b w:val="0"/>
          <w:bCs w:val="0"/>
          <w:sz w:val="24"/>
          <w:szCs w:val="24"/>
          <w:lang w:val="en-US" w:eastAsia="zh-CN"/>
        </w:rPr>
        <w:t>实现营业收入8442万元，利税1000余万元；实现产销平衡，并保证了江铜集团城门山铜矿可持续生产。</w:t>
      </w:r>
    </w:p>
    <w:p>
      <w:pPr>
        <w:bidi w:val="0"/>
        <w:rPr>
          <w:rFonts w:hint="eastAsia" w:ascii="宋体" w:hAnsi="宋体" w:eastAsia="宋体" w:cs="宋体"/>
          <w:lang w:val="en-US" w:eastAsia="zh-CN"/>
        </w:rPr>
      </w:pPr>
      <w:r>
        <w:rPr>
          <w:rFonts w:hint="eastAsia" w:ascii="宋体" w:hAnsi="宋体" w:eastAsia="宋体" w:cs="宋体"/>
          <w:lang w:val="en-US" w:eastAsia="zh-CN"/>
        </w:rPr>
        <w:t>目前，公司正在推进绿色建材项目、新型建材项目、硅基新材料项目落地。（1）国内首家全细尾矿转化建材企业，总投资8600万，计划建设1条砖线和5条空心墙板线，年可消纳细尾砂50万吨以上，一期已投产。</w:t>
      </w:r>
    </w:p>
    <w:p>
      <w:pPr>
        <w:numPr>
          <w:ilvl w:val="0"/>
          <w:numId w:val="6"/>
        </w:numPr>
        <w:bidi w:val="0"/>
        <w:ind w:left="0" w:leftChars="0"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项目计划投资1500余万元，以细尾砂为主材（70%-80%）制备水稳层、仿古砖等绿色建材产品。该项目具有成熟的工艺技术、稳定的周边市场和低成本优势，预计每年可消纳细尾砂15万吨左右，产值约3000余万元。</w:t>
      </w:r>
    </w:p>
    <w:p>
      <w:pPr>
        <w:numPr>
          <w:ilvl w:val="0"/>
          <w:numId w:val="6"/>
        </w:numPr>
        <w:bidi w:val="0"/>
        <w:ind w:left="0" w:leftChars="0" w:firstLine="0" w:firstLineChars="0"/>
        <w:rPr>
          <w:rFonts w:hint="eastAsia"/>
          <w:sz w:val="24"/>
          <w:szCs w:val="21"/>
          <w:lang w:val="en-US" w:eastAsia="zh-CN"/>
        </w:rPr>
      </w:pPr>
      <w:r>
        <w:rPr>
          <w:rFonts w:hint="eastAsia" w:ascii="宋体" w:hAnsi="宋体" w:eastAsia="宋体" w:cs="宋体"/>
          <w:lang w:val="en-US" w:eastAsia="zh-CN"/>
        </w:rPr>
        <w:t>利用铜尾矿砂生产硅微粉、长石、磁性材料等产品。现已投资2300万，进行中试生产。达产后，每年可消纳尾砂（细尾砂占50%）20万吨以上，产值4000多万元。</w:t>
      </w:r>
    </w:p>
    <w:p>
      <w:pPr>
        <w:pStyle w:val="2"/>
        <w:numPr>
          <w:ilvl w:val="0"/>
          <w:numId w:val="0"/>
        </w:numPr>
        <w:rPr>
          <w:color w:val="000000"/>
          <w:sz w:val="30"/>
          <w:szCs w:val="30"/>
        </w:rPr>
      </w:pPr>
      <w:r>
        <w:rPr>
          <w:rFonts w:hint="eastAsia"/>
          <w:color w:val="000000"/>
          <w:sz w:val="30"/>
          <w:szCs w:val="30"/>
          <w:lang w:val="en-US" w:eastAsia="zh-CN"/>
        </w:rPr>
        <w:t>六、</w:t>
      </w:r>
      <w:r>
        <w:rPr>
          <w:color w:val="000000"/>
          <w:sz w:val="30"/>
          <w:szCs w:val="30"/>
        </w:rPr>
        <w:t>采用国际标准和国外先进标准的情况</w:t>
      </w:r>
    </w:p>
    <w:p>
      <w:pPr>
        <w:spacing w:line="360" w:lineRule="auto"/>
        <w:outlineLvl w:val="1"/>
        <w:rPr>
          <w:rFonts w:ascii="Times New Roman" w:hAnsi="Times New Roman" w:cs="Times New Roman"/>
          <w:b/>
          <w:bCs/>
          <w:color w:val="000000"/>
          <w:sz w:val="28"/>
          <w:szCs w:val="28"/>
        </w:rPr>
      </w:pPr>
      <w:r>
        <w:rPr>
          <w:rFonts w:ascii="Times New Roman" w:hAnsi="Times New Roman" w:cs="Times New Roman"/>
          <w:b/>
          <w:bCs/>
          <w:color w:val="000000"/>
          <w:sz w:val="28"/>
          <w:szCs w:val="28"/>
        </w:rPr>
        <w:t>6.1 采用国际标准及国外先进标准的程度</w:t>
      </w:r>
    </w:p>
    <w:p>
      <w:pPr>
        <w:pStyle w:val="9"/>
        <w:shd w:val="clear" w:color="auto" w:fill="FFFFFF"/>
        <w:spacing w:before="0" w:beforeAutospacing="0" w:after="0" w:afterAutospacing="0" w:line="360" w:lineRule="auto"/>
        <w:ind w:left="480" w:leftChars="200" w:firstLine="480" w:firstLineChars="200"/>
        <w:rPr>
          <w:rFonts w:ascii="Times New Roman" w:hAnsi="Times New Roman" w:cs="Times New Roman"/>
          <w:b/>
          <w:bCs/>
          <w:color w:val="000000"/>
          <w:sz w:val="28"/>
          <w:szCs w:val="28"/>
        </w:rPr>
      </w:pPr>
      <w:r>
        <w:rPr>
          <w:rFonts w:ascii="Times New Roman" w:hAnsi="Times New Roman" w:cs="Times New Roman"/>
          <w:color w:val="000000"/>
        </w:rPr>
        <w:t>无。</w:t>
      </w:r>
    </w:p>
    <w:p>
      <w:pPr>
        <w:spacing w:line="360" w:lineRule="auto"/>
        <w:outlineLvl w:val="1"/>
        <w:rPr>
          <w:rFonts w:ascii="Times New Roman" w:hAnsi="Times New Roman" w:cs="Times New Roman"/>
          <w:b/>
          <w:bCs/>
          <w:color w:val="000000"/>
          <w:sz w:val="28"/>
          <w:szCs w:val="28"/>
        </w:rPr>
      </w:pPr>
      <w:r>
        <w:rPr>
          <w:rFonts w:ascii="Times New Roman" w:hAnsi="Times New Roman" w:cs="Times New Roman"/>
          <w:b/>
          <w:bCs/>
          <w:color w:val="000000"/>
          <w:sz w:val="28"/>
          <w:szCs w:val="28"/>
        </w:rPr>
        <w:t>6.2 与现有标准及修订中的标准协调配套情况</w:t>
      </w:r>
    </w:p>
    <w:p>
      <w:pPr>
        <w:pStyle w:val="9"/>
        <w:shd w:val="clear" w:color="auto" w:fill="FFFFFF"/>
        <w:spacing w:before="0" w:beforeAutospacing="0" w:after="0" w:afterAutospacing="0" w:line="360" w:lineRule="auto"/>
        <w:ind w:left="480" w:leftChars="200" w:firstLine="480" w:firstLineChars="200"/>
        <w:rPr>
          <w:rFonts w:ascii="Times New Roman" w:hAnsi="Times New Roman" w:cs="Times New Roman"/>
          <w:color w:val="000000"/>
        </w:rPr>
      </w:pPr>
      <w:r>
        <w:rPr>
          <w:rFonts w:ascii="Times New Roman" w:hAnsi="Times New Roman" w:cs="Times New Roman"/>
          <w:color w:val="000000"/>
        </w:rPr>
        <w:t>本文件与现有标准及修订中的标准无交叉重复。</w:t>
      </w:r>
    </w:p>
    <w:p>
      <w:pPr>
        <w:spacing w:line="360" w:lineRule="auto"/>
        <w:outlineLvl w:val="1"/>
        <w:rPr>
          <w:rFonts w:ascii="Times New Roman" w:hAnsi="Times New Roman" w:cs="Times New Roman"/>
          <w:b/>
          <w:bCs/>
          <w:color w:val="000000"/>
          <w:sz w:val="28"/>
          <w:szCs w:val="28"/>
        </w:rPr>
      </w:pPr>
      <w:r>
        <w:rPr>
          <w:rFonts w:ascii="Times New Roman" w:hAnsi="Times New Roman" w:cs="Times New Roman"/>
          <w:b/>
          <w:bCs/>
          <w:color w:val="000000"/>
          <w:sz w:val="28"/>
          <w:szCs w:val="28"/>
        </w:rPr>
        <w:t>6.3标准水平</w:t>
      </w:r>
    </w:p>
    <w:p>
      <w:pPr>
        <w:pStyle w:val="9"/>
        <w:shd w:val="clear" w:color="auto" w:fill="FFFFFF"/>
        <w:spacing w:before="0" w:beforeAutospacing="0" w:after="0" w:afterAutospacing="0" w:line="360" w:lineRule="auto"/>
        <w:ind w:left="480" w:leftChars="200" w:firstLine="480" w:firstLineChars="200"/>
        <w:rPr>
          <w:rFonts w:ascii="Times New Roman" w:hAnsi="Times New Roman" w:cs="Times New Roman"/>
        </w:rPr>
      </w:pPr>
      <w:r>
        <w:rPr>
          <w:rFonts w:ascii="Times New Roman" w:hAnsi="Times New Roman" w:cs="Times New Roman"/>
          <w:color w:val="000000"/>
        </w:rPr>
        <w:t>本文件是依据目前我国</w:t>
      </w:r>
      <w:r>
        <w:rPr>
          <w:rFonts w:hint="eastAsia" w:ascii="Times New Roman" w:hAnsi="Times New Roman" w:cs="Times New Roman"/>
          <w:color w:val="000000"/>
          <w:lang w:val="en-US" w:eastAsia="zh-CN"/>
        </w:rPr>
        <w:t>铜尾矿砂</w:t>
      </w:r>
      <w:r>
        <w:rPr>
          <w:rFonts w:ascii="Times New Roman" w:hAnsi="Times New Roman" w:cs="Times New Roman"/>
          <w:color w:val="000000"/>
        </w:rPr>
        <w:t>实际生产和使用情况制定的，本文件产品技术基本与国外先进水平保持一致，因此本标准达到国内外先进水平。</w:t>
      </w:r>
    </w:p>
    <w:p>
      <w:pPr>
        <w:pStyle w:val="2"/>
        <w:keepNext/>
        <w:keepLines/>
        <w:spacing w:before="0" w:beforeAutospacing="0" w:after="0" w:afterAutospacing="0"/>
        <w:ind w:firstLine="0" w:firstLineChars="0"/>
        <w:jc w:val="both"/>
        <w:rPr>
          <w:rFonts w:ascii="Times New Roman" w:hAnsi="Times New Roman"/>
          <w:bCs w:val="0"/>
          <w:kern w:val="0"/>
          <w:sz w:val="28"/>
          <w:szCs w:val="28"/>
        </w:rPr>
      </w:pPr>
      <w:r>
        <w:rPr>
          <w:color w:val="000000"/>
          <w:sz w:val="30"/>
          <w:szCs w:val="30"/>
        </w:rPr>
        <w:t>七、</w:t>
      </w:r>
      <w:r>
        <w:rPr>
          <w:rFonts w:ascii="Times New Roman" w:hAnsi="Times New Roman"/>
          <w:bCs w:val="0"/>
          <w:kern w:val="0"/>
          <w:sz w:val="28"/>
          <w:szCs w:val="28"/>
        </w:rPr>
        <w:t>与现行相关法律、法规、规章及相关标准的协调</w:t>
      </w:r>
    </w:p>
    <w:p>
      <w:pPr>
        <w:ind w:firstLine="480"/>
        <w:rPr>
          <w:sz w:val="24"/>
          <w:szCs w:val="21"/>
        </w:rPr>
      </w:pPr>
      <w:r>
        <w:rPr>
          <w:sz w:val="24"/>
          <w:szCs w:val="21"/>
        </w:rPr>
        <w:t>本</w:t>
      </w:r>
      <w:r>
        <w:rPr>
          <w:rFonts w:hint="eastAsia"/>
          <w:sz w:val="24"/>
          <w:szCs w:val="21"/>
          <w:lang w:val="en-US" w:eastAsia="zh-CN"/>
        </w:rPr>
        <w:t>文件</w:t>
      </w:r>
      <w:r>
        <w:rPr>
          <w:sz w:val="24"/>
          <w:szCs w:val="21"/>
        </w:rPr>
        <w:t>中内容均依照国内现行各类相关法律、法规、规章、标准予以要求。与现行相关法律、法规、规章及相关标准协调一致。</w:t>
      </w:r>
    </w:p>
    <w:p>
      <w:pPr>
        <w:ind w:firstLine="480"/>
        <w:rPr>
          <w:color w:val="000000"/>
          <w:szCs w:val="24"/>
        </w:rPr>
      </w:pPr>
      <w:r>
        <w:rPr>
          <w:sz w:val="24"/>
          <w:szCs w:val="21"/>
        </w:rPr>
        <w:t>目前国内并没有关于</w:t>
      </w:r>
      <w:r>
        <w:rPr>
          <w:rFonts w:hint="eastAsia"/>
          <w:sz w:val="24"/>
          <w:szCs w:val="21"/>
          <w:lang w:eastAsia="zh-CN"/>
        </w:rPr>
        <w:t>铜尾矿砂</w:t>
      </w:r>
      <w:r>
        <w:rPr>
          <w:sz w:val="24"/>
          <w:szCs w:val="21"/>
        </w:rPr>
        <w:t>的产品标准及技术标准，本标准的制定是对现有尾矿材料和产品标准体系的完善和补充。本标准的取样方法、取样数量、试验方法和判定方法与现行国家标准《建设用砂》GB/T 14684-2022保持一致。</w:t>
      </w:r>
    </w:p>
    <w:p>
      <w:pPr>
        <w:pStyle w:val="2"/>
        <w:ind w:left="0" w:leftChars="0" w:firstLine="0" w:firstLineChars="0"/>
      </w:pPr>
      <w:r>
        <w:rPr>
          <w:color w:val="000000"/>
          <w:sz w:val="30"/>
          <w:szCs w:val="30"/>
        </w:rPr>
        <w:t>八、重大分歧意见的处理经过和依据</w:t>
      </w:r>
    </w:p>
    <w:p>
      <w:pPr>
        <w:ind w:firstLine="480"/>
        <w:rPr>
          <w:sz w:val="24"/>
          <w:szCs w:val="21"/>
        </w:rPr>
      </w:pPr>
      <w:r>
        <w:rPr>
          <w:sz w:val="24"/>
          <w:szCs w:val="21"/>
        </w:rPr>
        <w:t>在</w:t>
      </w:r>
      <w:r>
        <w:rPr>
          <w:rFonts w:hint="eastAsia"/>
          <w:sz w:val="24"/>
          <w:szCs w:val="21"/>
          <w:lang w:val="en-US" w:eastAsia="zh-CN"/>
        </w:rPr>
        <w:t>标准</w:t>
      </w:r>
      <w:r>
        <w:rPr>
          <w:sz w:val="24"/>
          <w:szCs w:val="21"/>
        </w:rPr>
        <w:t>的编制过程中，广泛征求了行业相关单位和业内专家的意见和建议，主要针对</w:t>
      </w:r>
      <w:r>
        <w:rPr>
          <w:rFonts w:hint="eastAsia"/>
          <w:sz w:val="24"/>
          <w:szCs w:val="21"/>
          <w:lang w:val="en-US" w:eastAsia="zh-CN"/>
        </w:rPr>
        <w:t>标准</w:t>
      </w:r>
      <w:r>
        <w:rPr>
          <w:sz w:val="24"/>
          <w:szCs w:val="21"/>
        </w:rPr>
        <w:t>中各项技术指标的要求范围做了深入研讨，各家单位和行业专家结合自身的工作经验和实验验证提出了作为数据支撑的有力依据，最终对</w:t>
      </w:r>
      <w:r>
        <w:rPr>
          <w:rFonts w:hint="eastAsia"/>
          <w:sz w:val="24"/>
          <w:szCs w:val="21"/>
          <w:lang w:val="en-US" w:eastAsia="zh-CN"/>
        </w:rPr>
        <w:t>标准</w:t>
      </w:r>
      <w:r>
        <w:rPr>
          <w:sz w:val="24"/>
          <w:szCs w:val="21"/>
        </w:rPr>
        <w:t>要求达成一致。编制过程中对规程的主要内容并未产生重大意见分歧。</w:t>
      </w:r>
    </w:p>
    <w:p>
      <w:pPr>
        <w:pStyle w:val="2"/>
        <w:numPr>
          <w:ilvl w:val="0"/>
          <w:numId w:val="0"/>
        </w:numPr>
        <w:rPr>
          <w:sz w:val="24"/>
          <w:szCs w:val="21"/>
        </w:rPr>
      </w:pPr>
      <w:r>
        <w:rPr>
          <w:rFonts w:hint="eastAsia"/>
          <w:color w:val="000000"/>
          <w:sz w:val="30"/>
          <w:szCs w:val="30"/>
          <w:lang w:val="en-US" w:eastAsia="zh-CN"/>
        </w:rPr>
        <w:t>九、</w:t>
      </w:r>
      <w:r>
        <w:rPr>
          <w:color w:val="000000"/>
          <w:sz w:val="30"/>
          <w:szCs w:val="30"/>
        </w:rPr>
        <w:t>标准性质的建议说明</w:t>
      </w:r>
      <w:bookmarkStart w:id="43" w:name="_Toc10645692"/>
    </w:p>
    <w:bookmarkEnd w:id="43"/>
    <w:p>
      <w:pPr>
        <w:ind w:firstLine="480"/>
        <w:rPr>
          <w:sz w:val="24"/>
          <w:szCs w:val="21"/>
        </w:rPr>
      </w:pPr>
      <w:r>
        <w:rPr>
          <w:sz w:val="24"/>
          <w:szCs w:val="21"/>
        </w:rPr>
        <w:t>建议《</w:t>
      </w:r>
      <w:r>
        <w:rPr>
          <w:rFonts w:hint="eastAsia"/>
          <w:sz w:val="24"/>
          <w:szCs w:val="21"/>
          <w:lang w:eastAsia="zh-CN"/>
        </w:rPr>
        <w:t>铜尾矿砂</w:t>
      </w:r>
      <w:r>
        <w:rPr>
          <w:sz w:val="24"/>
          <w:szCs w:val="21"/>
        </w:rPr>
        <w:t>》作为推荐性标准发布实施。</w:t>
      </w:r>
    </w:p>
    <w:p>
      <w:pPr>
        <w:pStyle w:val="2"/>
        <w:keepNext/>
        <w:keepLines/>
        <w:spacing w:before="0" w:beforeAutospacing="0" w:after="0" w:afterAutospacing="0"/>
        <w:ind w:firstLine="0" w:firstLineChars="0"/>
        <w:jc w:val="both"/>
        <w:rPr>
          <w:rFonts w:ascii="Times New Roman" w:hAnsi="Times New Roman"/>
          <w:bCs w:val="0"/>
          <w:kern w:val="0"/>
          <w:sz w:val="28"/>
          <w:szCs w:val="28"/>
        </w:rPr>
      </w:pPr>
      <w:bookmarkStart w:id="44" w:name="_Toc10645694"/>
      <w:bookmarkStart w:id="45" w:name="_Toc27030"/>
      <w:r>
        <w:rPr>
          <w:rFonts w:hint="eastAsia" w:ascii="Times New Roman" w:hAnsi="Times New Roman"/>
          <w:bCs w:val="0"/>
          <w:kern w:val="0"/>
          <w:sz w:val="28"/>
          <w:szCs w:val="28"/>
          <w:lang w:val="en-US" w:eastAsia="zh-CN"/>
        </w:rPr>
        <w:t>十、</w:t>
      </w:r>
      <w:r>
        <w:rPr>
          <w:rFonts w:ascii="Times New Roman" w:hAnsi="Times New Roman"/>
          <w:bCs w:val="0"/>
          <w:kern w:val="0"/>
          <w:sz w:val="28"/>
          <w:szCs w:val="28"/>
        </w:rPr>
        <w:t>贯彻标准的措施建议</w:t>
      </w:r>
      <w:bookmarkEnd w:id="44"/>
      <w:bookmarkEnd w:id="45"/>
    </w:p>
    <w:p>
      <w:pPr>
        <w:ind w:firstLine="480"/>
        <w:rPr>
          <w:sz w:val="24"/>
          <w:szCs w:val="21"/>
        </w:rPr>
      </w:pPr>
      <w:r>
        <w:rPr>
          <w:sz w:val="24"/>
          <w:szCs w:val="21"/>
        </w:rPr>
        <w:t>建议在本标准正式出台后，各单位能够依据本标准中的相关规定对</w:t>
      </w:r>
      <w:r>
        <w:rPr>
          <w:rFonts w:hint="eastAsia"/>
          <w:sz w:val="24"/>
          <w:szCs w:val="21"/>
          <w:lang w:eastAsia="zh-CN"/>
        </w:rPr>
        <w:t>铜尾矿砂</w:t>
      </w:r>
      <w:r>
        <w:rPr>
          <w:sz w:val="24"/>
          <w:szCs w:val="21"/>
        </w:rPr>
        <w:t>进行质量控制。具体实施措施建议如下：</w:t>
      </w:r>
    </w:p>
    <w:p>
      <w:pPr>
        <w:ind w:firstLine="480"/>
        <w:rPr>
          <w:sz w:val="24"/>
          <w:szCs w:val="21"/>
        </w:rPr>
      </w:pPr>
      <w:r>
        <w:rPr>
          <w:sz w:val="24"/>
          <w:szCs w:val="21"/>
        </w:rPr>
        <w:t>（1）加大本标准宣传力度，提高认知度，建立信息公共平台，将有参考价值的案例、好的做法和经验等在行业内部公开发布，引起有关部门领导和相关企业单位的重视，使相关单位能够积极主动的购买本规程和资料、参加培训、结合本单位实际情况学习研究本标准并准备贯彻实施本规程。</w:t>
      </w:r>
    </w:p>
    <w:p>
      <w:pPr>
        <w:ind w:firstLine="480"/>
        <w:rPr>
          <w:sz w:val="24"/>
          <w:szCs w:val="21"/>
        </w:rPr>
      </w:pPr>
      <w:r>
        <w:rPr>
          <w:sz w:val="24"/>
          <w:szCs w:val="21"/>
        </w:rPr>
        <w:t>（2）本标准归口单位进行贯标指导，组织规程宣贯培训班，由本标准制定人员主讲。设立专门的答疑或咨询部门或网站，为贯标企业排忧解难，组织有关人员积极参加行业协会组织的各项活动，培训班等。及时了解本标准制、修订信息。</w:t>
      </w:r>
    </w:p>
    <w:p>
      <w:pPr>
        <w:ind w:firstLine="480"/>
        <w:rPr>
          <w:sz w:val="24"/>
          <w:szCs w:val="21"/>
        </w:rPr>
      </w:pPr>
      <w:r>
        <w:rPr>
          <w:sz w:val="24"/>
          <w:szCs w:val="21"/>
        </w:rPr>
        <w:t>（3）鼓励行业相关企业成立标准贯彻实施小组，进行明确的分工合作，适时组织本标准宣贯会，使有关人员拥有标准、了解标准、熟悉标准，执行标准。</w:t>
      </w:r>
    </w:p>
    <w:p>
      <w:pPr>
        <w:ind w:firstLine="480"/>
        <w:rPr>
          <w:sz w:val="24"/>
          <w:szCs w:val="21"/>
        </w:rPr>
      </w:pPr>
      <w:r>
        <w:rPr>
          <w:sz w:val="24"/>
          <w:szCs w:val="21"/>
        </w:rPr>
        <w:t>（4）标准化技术人员全面负责贯标实施工作，跟踪服务对贯标中出现的技术问题进行协调处理作好贯标记录，并进行长期监督检查工作。</w:t>
      </w:r>
    </w:p>
    <w:p>
      <w:pPr>
        <w:pStyle w:val="2"/>
        <w:keepNext/>
        <w:keepLines/>
        <w:spacing w:before="0" w:beforeAutospacing="0" w:after="0" w:afterAutospacing="0"/>
        <w:ind w:firstLine="0" w:firstLineChars="0"/>
        <w:jc w:val="both"/>
        <w:rPr>
          <w:rFonts w:ascii="Times New Roman" w:hAnsi="Times New Roman"/>
          <w:bCs w:val="0"/>
          <w:kern w:val="0"/>
          <w:sz w:val="28"/>
          <w:szCs w:val="28"/>
        </w:rPr>
      </w:pPr>
      <w:bookmarkStart w:id="46" w:name="_Toc15006"/>
      <w:bookmarkStart w:id="47" w:name="_Toc10645695"/>
      <w:r>
        <w:rPr>
          <w:rFonts w:hint="eastAsia" w:ascii="Times New Roman" w:hAnsi="Times New Roman"/>
          <w:bCs w:val="0"/>
          <w:kern w:val="0"/>
          <w:sz w:val="28"/>
          <w:szCs w:val="28"/>
          <w:lang w:val="en-US" w:eastAsia="zh-CN"/>
        </w:rPr>
        <w:t>十一、</w:t>
      </w:r>
      <w:r>
        <w:rPr>
          <w:rFonts w:ascii="Times New Roman" w:hAnsi="Times New Roman"/>
          <w:bCs w:val="0"/>
          <w:kern w:val="0"/>
          <w:sz w:val="28"/>
          <w:szCs w:val="28"/>
        </w:rPr>
        <w:t xml:space="preserve"> 废止现行有关标准的建议</w:t>
      </w:r>
      <w:bookmarkEnd w:id="46"/>
      <w:bookmarkEnd w:id="47"/>
    </w:p>
    <w:p>
      <w:pPr>
        <w:ind w:firstLine="480"/>
        <w:rPr>
          <w:sz w:val="24"/>
          <w:szCs w:val="21"/>
        </w:rPr>
      </w:pPr>
      <w:r>
        <w:rPr>
          <w:sz w:val="24"/>
          <w:szCs w:val="21"/>
        </w:rPr>
        <w:t>无。</w:t>
      </w:r>
    </w:p>
    <w:p>
      <w:pPr>
        <w:pStyle w:val="2"/>
        <w:keepNext/>
        <w:keepLines/>
        <w:spacing w:before="0" w:beforeAutospacing="0" w:after="0" w:afterAutospacing="0"/>
        <w:ind w:firstLine="0" w:firstLineChars="0"/>
        <w:jc w:val="both"/>
        <w:rPr>
          <w:rFonts w:ascii="Times New Roman" w:hAnsi="Times New Roman"/>
          <w:bCs w:val="0"/>
          <w:kern w:val="0"/>
          <w:sz w:val="28"/>
          <w:szCs w:val="28"/>
        </w:rPr>
      </w:pPr>
      <w:bookmarkStart w:id="48" w:name="_Toc24957"/>
      <w:bookmarkStart w:id="49" w:name="_Toc10645696"/>
      <w:r>
        <w:rPr>
          <w:rFonts w:hint="eastAsia" w:ascii="Times New Roman" w:hAnsi="Times New Roman"/>
          <w:bCs w:val="0"/>
          <w:kern w:val="0"/>
          <w:sz w:val="28"/>
          <w:szCs w:val="28"/>
          <w:lang w:val="en-US" w:eastAsia="zh-CN"/>
        </w:rPr>
        <w:t>十二、</w:t>
      </w:r>
      <w:r>
        <w:rPr>
          <w:rFonts w:ascii="Times New Roman" w:hAnsi="Times New Roman"/>
          <w:bCs w:val="0"/>
          <w:kern w:val="0"/>
          <w:sz w:val="28"/>
          <w:szCs w:val="28"/>
        </w:rPr>
        <w:t>其他应说明的事项</w:t>
      </w:r>
      <w:bookmarkEnd w:id="48"/>
      <w:bookmarkEnd w:id="49"/>
    </w:p>
    <w:p>
      <w:pPr>
        <w:ind w:firstLine="480"/>
        <w:rPr>
          <w:rFonts w:hint="eastAsia" w:eastAsia="宋体"/>
          <w:color w:val="000000"/>
          <w:sz w:val="24"/>
          <w:lang w:val="en-US" w:eastAsia="zh-CN"/>
        </w:rPr>
      </w:pPr>
      <w:r>
        <w:rPr>
          <w:rFonts w:hint="eastAsia"/>
          <w:color w:val="000000"/>
          <w:sz w:val="24"/>
          <w:lang w:val="en-US" w:eastAsia="zh-CN"/>
        </w:rPr>
        <w:t>无</w:t>
      </w:r>
    </w:p>
    <w:p>
      <w:pPr>
        <w:ind w:left="0" w:leftChars="0" w:firstLine="0" w:firstLineChars="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41841"/>
    <w:multiLevelType w:val="multilevel"/>
    <w:tmpl w:val="82841841"/>
    <w:lvl w:ilvl="0" w:tentative="0">
      <w:start w:val="1"/>
      <w:numFmt w:val="none"/>
      <w:pStyle w:val="17"/>
      <w:suff w:val="nothing"/>
      <w:lvlText w:val="%1"/>
      <w:lvlJc w:val="left"/>
      <w:pPr>
        <w:ind w:left="0" w:firstLine="0"/>
      </w:pPr>
      <w:rPr>
        <w:rFonts w:hint="default" w:ascii="Times New Roman" w:hAnsi="Times New Roman"/>
        <w:b/>
        <w:i w:val="0"/>
        <w:sz w:val="21"/>
      </w:rPr>
    </w:lvl>
    <w:lvl w:ilvl="1" w:tentative="0">
      <w:start w:val="1"/>
      <w:numFmt w:val="decimal"/>
      <w:pStyle w:val="18"/>
      <w:suff w:val="nothing"/>
      <w:lvlText w:val="%1%2　"/>
      <w:lvlJc w:val="left"/>
      <w:pPr>
        <w:ind w:left="0" w:firstLine="0"/>
      </w:pPr>
      <w:rPr>
        <w:rFonts w:hint="eastAsia" w:ascii="黑体" w:hAnsi="Times New Roman" w:eastAsia="黑体"/>
        <w:b w:val="0"/>
        <w:i w:val="0"/>
        <w:sz w:val="21"/>
      </w:rPr>
    </w:lvl>
    <w:lvl w:ilvl="2" w:tentative="0">
      <w:start w:val="1"/>
      <w:numFmt w:val="decimal"/>
      <w:pStyle w:val="15"/>
      <w:suff w:val="nothing"/>
      <w:lvlText w:val="%1%2.%3　"/>
      <w:lvlJc w:val="left"/>
      <w:pPr>
        <w:ind w:left="0" w:firstLine="0"/>
      </w:pPr>
      <w:rPr>
        <w:rFonts w:hint="eastAsia" w:ascii="黑体" w:hAnsi="Times New Roman" w:eastAsia="黑体"/>
        <w:b w:val="0"/>
        <w:i w:val="0"/>
        <w:sz w:val="21"/>
      </w:rPr>
    </w:lvl>
    <w:lvl w:ilvl="3" w:tentative="0">
      <w:start w:val="1"/>
      <w:numFmt w:val="decimal"/>
      <w:pStyle w:val="19"/>
      <w:suff w:val="nothing"/>
      <w:lvlText w:val="%1%2.%3.%4　"/>
      <w:lvlJc w:val="left"/>
      <w:pPr>
        <w:ind w:left="0" w:firstLine="0"/>
      </w:pPr>
      <w:rPr>
        <w:rFonts w:hint="eastAsia" w:ascii="黑体" w:hAnsi="Times New Roman" w:eastAsia="黑体"/>
        <w:b w:val="0"/>
        <w:i w:val="0"/>
        <w:sz w:val="21"/>
      </w:rPr>
    </w:lvl>
    <w:lvl w:ilvl="4" w:tentative="0">
      <w:start w:val="1"/>
      <w:numFmt w:val="decimal"/>
      <w:pStyle w:val="20"/>
      <w:suff w:val="nothing"/>
      <w:lvlText w:val="%1%2.%3.%4.%5　"/>
      <w:lvlJc w:val="left"/>
      <w:pPr>
        <w:ind w:left="0" w:firstLine="0"/>
      </w:pPr>
      <w:rPr>
        <w:rFonts w:hint="eastAsia" w:ascii="黑体" w:hAnsi="Times New Roman" w:eastAsia="黑体"/>
        <w:b w:val="0"/>
        <w:i w:val="0"/>
        <w:sz w:val="21"/>
      </w:rPr>
    </w:lvl>
    <w:lvl w:ilvl="5" w:tentative="0">
      <w:start w:val="1"/>
      <w:numFmt w:val="decimal"/>
      <w:pStyle w:val="21"/>
      <w:suff w:val="nothing"/>
      <w:lvlText w:val="%1%2.%3.%4.%5.%6　"/>
      <w:lvlJc w:val="left"/>
      <w:pPr>
        <w:ind w:left="0" w:firstLine="0"/>
      </w:pPr>
      <w:rPr>
        <w:rFonts w:hint="eastAsia" w:ascii="黑体" w:hAnsi="Times New Roman" w:eastAsia="黑体"/>
        <w:b w:val="0"/>
        <w:i w:val="0"/>
        <w:sz w:val="21"/>
      </w:rPr>
    </w:lvl>
    <w:lvl w:ilvl="6" w:tentative="0">
      <w:start w:val="1"/>
      <w:numFmt w:val="decimal"/>
      <w:pStyle w:val="2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F5B2CCF3"/>
    <w:multiLevelType w:val="singleLevel"/>
    <w:tmpl w:val="F5B2CCF3"/>
    <w:lvl w:ilvl="0" w:tentative="0">
      <w:start w:val="2"/>
      <w:numFmt w:val="decimal"/>
      <w:suff w:val="nothing"/>
      <w:lvlText w:val="（%1）"/>
      <w:lvlJc w:val="left"/>
    </w:lvl>
  </w:abstractNum>
  <w:abstractNum w:abstractNumId="2">
    <w:nsid w:val="0000000C"/>
    <w:multiLevelType w:val="multilevel"/>
    <w:tmpl w:val="0000000C"/>
    <w:lvl w:ilvl="0" w:tentative="0">
      <w:start w:val="1"/>
      <w:numFmt w:val="none"/>
      <w:pStyle w:val="41"/>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F28751B"/>
    <w:multiLevelType w:val="singleLevel"/>
    <w:tmpl w:val="2F28751B"/>
    <w:lvl w:ilvl="0" w:tentative="0">
      <w:start w:val="5"/>
      <w:numFmt w:val="chineseCounting"/>
      <w:suff w:val="space"/>
      <w:lvlText w:val="%1、"/>
      <w:lvlJc w:val="left"/>
      <w:rPr>
        <w:rFonts w:hint="eastAsia"/>
      </w:rPr>
    </w:lvl>
  </w:abstractNum>
  <w:abstractNum w:abstractNumId="4">
    <w:nsid w:val="47C5CABC"/>
    <w:multiLevelType w:val="singleLevel"/>
    <w:tmpl w:val="47C5CABC"/>
    <w:lvl w:ilvl="0" w:tentative="0">
      <w:start w:val="1"/>
      <w:numFmt w:val="lowerLetter"/>
      <w:suff w:val="space"/>
      <w:lvlText w:val="%1)"/>
      <w:lvlJc w:val="left"/>
    </w:lvl>
  </w:abstractNum>
  <w:abstractNum w:abstractNumId="5">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32"/>
      <w:suff w:val="nothing"/>
      <w:lvlText w:val="%1%2.%3　"/>
      <w:lvlJc w:val="left"/>
      <w:pPr>
        <w:ind w:left="0" w:firstLine="0"/>
      </w:pPr>
      <w:rPr>
        <w:rFonts w:hint="eastAsia" w:ascii="黑体" w:hAnsi="Times New Roman" w:eastAsia="黑体"/>
        <w:b w:val="0"/>
        <w:i w:val="0"/>
        <w:sz w:val="21"/>
      </w:rPr>
    </w:lvl>
    <w:lvl w:ilvl="3" w:tentative="0">
      <w:start w:val="1"/>
      <w:numFmt w:val="decimal"/>
      <w:pStyle w:val="33"/>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pStyle w:val="39"/>
      <w:suff w:val="nothing"/>
      <w:lvlText w:val="%1%2.%3.%4.%5.%6　"/>
      <w:lvlJc w:val="left"/>
      <w:pPr>
        <w:ind w:left="0" w:firstLine="0"/>
      </w:pPr>
      <w:rPr>
        <w:rFonts w:hint="eastAsia" w:ascii="黑体" w:hAnsi="Times New Roman" w:eastAsia="黑体"/>
        <w:b w:val="0"/>
        <w:i w:val="0"/>
        <w:sz w:val="21"/>
      </w:rPr>
    </w:lvl>
    <w:lvl w:ilvl="6" w:tentative="0">
      <w:start w:val="1"/>
      <w:numFmt w:val="decimal"/>
      <w:pStyle w:val="4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hlMmE4YjEwMjllMjFmZTcxNGUwMzc1NjBkZTc2OTMifQ=="/>
  </w:docVars>
  <w:rsids>
    <w:rsidRoot w:val="255E7EEB"/>
    <w:rsid w:val="000C44AA"/>
    <w:rsid w:val="000D6A02"/>
    <w:rsid w:val="00102B04"/>
    <w:rsid w:val="001265E8"/>
    <w:rsid w:val="004E62E5"/>
    <w:rsid w:val="004F1B7F"/>
    <w:rsid w:val="005C60E8"/>
    <w:rsid w:val="006F2C30"/>
    <w:rsid w:val="00743D94"/>
    <w:rsid w:val="00760A5F"/>
    <w:rsid w:val="00764340"/>
    <w:rsid w:val="007D46BD"/>
    <w:rsid w:val="00B53591"/>
    <w:rsid w:val="00BA0EC4"/>
    <w:rsid w:val="00C10ADF"/>
    <w:rsid w:val="00DE1A08"/>
    <w:rsid w:val="00E856EF"/>
    <w:rsid w:val="00EB2159"/>
    <w:rsid w:val="00F0366B"/>
    <w:rsid w:val="00FF275A"/>
    <w:rsid w:val="087A1335"/>
    <w:rsid w:val="16924AAD"/>
    <w:rsid w:val="1F897658"/>
    <w:rsid w:val="20454863"/>
    <w:rsid w:val="22226418"/>
    <w:rsid w:val="227C01DB"/>
    <w:rsid w:val="22D622C7"/>
    <w:rsid w:val="255E7EEB"/>
    <w:rsid w:val="3062795D"/>
    <w:rsid w:val="311A5DA3"/>
    <w:rsid w:val="37F94635"/>
    <w:rsid w:val="3AE01ADD"/>
    <w:rsid w:val="3C6F3E6A"/>
    <w:rsid w:val="40AF5E62"/>
    <w:rsid w:val="4CCE2E6D"/>
    <w:rsid w:val="51FF6274"/>
    <w:rsid w:val="52D7511B"/>
    <w:rsid w:val="55AD1779"/>
    <w:rsid w:val="58B50F36"/>
    <w:rsid w:val="5D433711"/>
    <w:rsid w:val="62FA3A20"/>
    <w:rsid w:val="6BD10A98"/>
    <w:rsid w:val="6E7A5AE1"/>
    <w:rsid w:val="70BE48D9"/>
    <w:rsid w:val="738F5872"/>
    <w:rsid w:val="769F278F"/>
    <w:rsid w:val="79181E66"/>
    <w:rsid w:val="7AA57A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8"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48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26"/>
    <w:qFormat/>
    <w:uiPriority w:val="0"/>
    <w:pPr>
      <w:keepNext/>
      <w:keepLines/>
      <w:spacing w:line="576" w:lineRule="auto"/>
      <w:outlineLvl w:val="0"/>
    </w:pPr>
    <w:rPr>
      <w:b/>
      <w:kern w:val="44"/>
      <w:sz w:val="44"/>
    </w:rPr>
  </w:style>
  <w:style w:type="paragraph" w:styleId="3">
    <w:name w:val="heading 2"/>
    <w:basedOn w:val="1"/>
    <w:next w:val="1"/>
    <w:autoRedefine/>
    <w:qFormat/>
    <w:uiPriority w:val="9"/>
    <w:pPr>
      <w:keepNext/>
      <w:keepLines/>
      <w:spacing w:line="360" w:lineRule="auto"/>
      <w:ind w:firstLine="0"/>
      <w:jc w:val="left"/>
      <w:outlineLvl w:val="1"/>
    </w:pPr>
    <w:rPr>
      <w:b/>
      <w:szCs w:val="32"/>
    </w:rPr>
  </w:style>
  <w:style w:type="paragraph" w:styleId="4">
    <w:name w:val="heading 4"/>
    <w:basedOn w:val="1"/>
    <w:next w:val="1"/>
    <w:autoRedefine/>
    <w:unhideWhenUsed/>
    <w:qFormat/>
    <w:uiPriority w:val="0"/>
    <w:pPr>
      <w:keepNext/>
      <w:keepLines/>
      <w:spacing w:line="372" w:lineRule="auto"/>
      <w:outlineLvl w:val="3"/>
    </w:pPr>
    <w:rPr>
      <w:rFonts w:ascii="Arial" w:hAnsi="Arial" w:eastAsia="黑体"/>
      <w:b/>
      <w:sz w:val="28"/>
    </w:rPr>
  </w:style>
  <w:style w:type="character" w:default="1" w:styleId="12">
    <w:name w:val="Default Paragraph Font"/>
    <w:autoRedefine/>
    <w:semiHidden/>
    <w:unhideWhenUsed/>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5">
    <w:name w:val="footer"/>
    <w:basedOn w:val="1"/>
    <w:link w:val="25"/>
    <w:autoRedefine/>
    <w:qFormat/>
    <w:uiPriority w:val="0"/>
    <w:pPr>
      <w:tabs>
        <w:tab w:val="center" w:pos="4153"/>
        <w:tab w:val="right" w:pos="8306"/>
      </w:tabs>
      <w:snapToGrid w:val="0"/>
      <w:jc w:val="left"/>
    </w:pPr>
    <w:rPr>
      <w:sz w:val="18"/>
      <w:szCs w:val="18"/>
    </w:rPr>
  </w:style>
  <w:style w:type="paragraph" w:styleId="6">
    <w:name w:val="header"/>
    <w:basedOn w:val="1"/>
    <w:link w:val="24"/>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link w:val="27"/>
    <w:autoRedefine/>
    <w:unhideWhenUsed/>
    <w:qFormat/>
    <w:uiPriority w:val="0"/>
    <w:pPr>
      <w:spacing w:before="120" w:after="120"/>
      <w:jc w:val="left"/>
    </w:pPr>
    <w:rPr>
      <w:rFonts w:ascii="等线" w:eastAsia="等线"/>
      <w:b/>
      <w:bCs/>
      <w:caps/>
      <w:sz w:val="20"/>
      <w:szCs w:val="20"/>
    </w:rPr>
  </w:style>
  <w:style w:type="paragraph" w:styleId="8">
    <w:name w:val="toc 2"/>
    <w:basedOn w:val="1"/>
    <w:next w:val="1"/>
    <w:autoRedefine/>
    <w:unhideWhenUsed/>
    <w:qFormat/>
    <w:uiPriority w:val="39"/>
    <w:pPr>
      <w:ind w:left="210"/>
      <w:jc w:val="left"/>
    </w:pPr>
    <w:rPr>
      <w:rFonts w:ascii="等线" w:eastAsia="等线"/>
      <w:smallCaps/>
      <w:sz w:val="20"/>
      <w:szCs w:val="20"/>
    </w:rPr>
  </w:style>
  <w:style w:type="paragraph" w:styleId="9">
    <w:name w:val="Normal (Web)"/>
    <w:basedOn w:val="1"/>
    <w:autoRedefine/>
    <w:unhideWhenUsed/>
    <w:qFormat/>
    <w:uiPriority w:val="99"/>
    <w:pPr>
      <w:widowControl/>
      <w:spacing w:before="100" w:beforeAutospacing="1" w:after="100" w:afterAutospacing="1"/>
      <w:ind w:firstLine="0"/>
      <w:jc w:val="left"/>
    </w:pPr>
    <w:rPr>
      <w:rFonts w:ascii="宋体" w:hAnsi="宋体" w:cs="宋体"/>
      <w:kern w:val="0"/>
    </w:rPr>
  </w:style>
  <w:style w:type="table" w:styleId="11">
    <w:name w:val="Table Grid"/>
    <w:basedOn w:val="10"/>
    <w:autoRedefine/>
    <w:qFormat/>
    <w:uiPriority w:val="3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autoRedefine/>
    <w:qFormat/>
    <w:uiPriority w:val="22"/>
    <w:rPr>
      <w:b/>
      <w:bCs/>
    </w:rPr>
  </w:style>
  <w:style w:type="character" w:styleId="14">
    <w:name w:val="HTML Definition"/>
    <w:autoRedefine/>
    <w:qFormat/>
    <w:uiPriority w:val="0"/>
    <w:rPr>
      <w:i/>
      <w:iCs/>
    </w:rPr>
  </w:style>
  <w:style w:type="paragraph" w:customStyle="1" w:styleId="15">
    <w:name w:val="一级条标题"/>
    <w:next w:val="16"/>
    <w:link w:val="31"/>
    <w:autoRedefine/>
    <w:qFormat/>
    <w:uiPriority w:val="0"/>
    <w:pPr>
      <w:numPr>
        <w:ilvl w:val="2"/>
        <w:numId w:val="1"/>
      </w:numPr>
      <w:outlineLvl w:val="2"/>
    </w:pPr>
    <w:rPr>
      <w:rFonts w:ascii="Times New Roman" w:hAnsi="Times New Roman" w:eastAsia="黑体" w:cstheme="minorBidi"/>
      <w:sz w:val="21"/>
      <w:lang w:val="en-US" w:eastAsia="zh-CN" w:bidi="ar-SA"/>
    </w:rPr>
  </w:style>
  <w:style w:type="paragraph" w:customStyle="1" w:styleId="16">
    <w:name w:val="段"/>
    <w:link w:val="45"/>
    <w:autoRedefine/>
    <w:qFormat/>
    <w:uiPriority w:val="0"/>
    <w:pPr>
      <w:autoSpaceDE w:val="0"/>
      <w:autoSpaceDN w:val="0"/>
      <w:ind w:firstLine="480" w:firstLineChars="200"/>
      <w:jc w:val="both"/>
    </w:pPr>
    <w:rPr>
      <w:rFonts w:ascii="宋体" w:hAnsi="Times New Roman" w:eastAsia="宋体" w:cs="Times New Roman"/>
      <w:sz w:val="24"/>
      <w:szCs w:val="24"/>
      <w:lang w:val="en-US" w:eastAsia="zh-CN" w:bidi="ar-SA"/>
    </w:rPr>
  </w:style>
  <w:style w:type="paragraph" w:customStyle="1" w:styleId="17">
    <w:name w:val="前言、引言标题"/>
    <w:basedOn w:val="1"/>
    <w:autoRedefine/>
    <w:qFormat/>
    <w:uiPriority w:val="0"/>
    <w:pPr>
      <w:numPr>
        <w:ilvl w:val="0"/>
        <w:numId w:val="1"/>
      </w:numPr>
    </w:pPr>
  </w:style>
  <w:style w:type="paragraph" w:customStyle="1" w:styleId="18">
    <w:name w:val="章标题"/>
    <w:basedOn w:val="1"/>
    <w:next w:val="16"/>
    <w:autoRedefine/>
    <w:qFormat/>
    <w:uiPriority w:val="0"/>
    <w:pPr>
      <w:numPr>
        <w:ilvl w:val="1"/>
        <w:numId w:val="1"/>
      </w:numPr>
    </w:pPr>
  </w:style>
  <w:style w:type="paragraph" w:customStyle="1" w:styleId="19">
    <w:name w:val="二级条标题"/>
    <w:basedOn w:val="1"/>
    <w:next w:val="16"/>
    <w:link w:val="48"/>
    <w:autoRedefine/>
    <w:qFormat/>
    <w:uiPriority w:val="0"/>
    <w:pPr>
      <w:numPr>
        <w:ilvl w:val="3"/>
        <w:numId w:val="1"/>
      </w:numPr>
    </w:pPr>
  </w:style>
  <w:style w:type="paragraph" w:customStyle="1" w:styleId="20">
    <w:name w:val="三级条标题"/>
    <w:basedOn w:val="1"/>
    <w:autoRedefine/>
    <w:qFormat/>
    <w:uiPriority w:val="0"/>
    <w:pPr>
      <w:numPr>
        <w:ilvl w:val="4"/>
        <w:numId w:val="1"/>
      </w:numPr>
    </w:pPr>
  </w:style>
  <w:style w:type="paragraph" w:customStyle="1" w:styleId="21">
    <w:name w:val="四级条标题"/>
    <w:basedOn w:val="1"/>
    <w:autoRedefine/>
    <w:qFormat/>
    <w:uiPriority w:val="0"/>
    <w:pPr>
      <w:numPr>
        <w:ilvl w:val="5"/>
        <w:numId w:val="1"/>
      </w:numPr>
    </w:pPr>
  </w:style>
  <w:style w:type="paragraph" w:customStyle="1" w:styleId="22">
    <w:name w:val="五级条标题"/>
    <w:basedOn w:val="1"/>
    <w:autoRedefine/>
    <w:qFormat/>
    <w:uiPriority w:val="0"/>
    <w:pPr>
      <w:numPr>
        <w:ilvl w:val="6"/>
        <w:numId w:val="1"/>
      </w:numPr>
    </w:pPr>
  </w:style>
  <w:style w:type="paragraph" w:customStyle="1" w:styleId="23">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character" w:customStyle="1" w:styleId="24">
    <w:name w:val="页眉 Char"/>
    <w:basedOn w:val="12"/>
    <w:link w:val="6"/>
    <w:autoRedefine/>
    <w:qFormat/>
    <w:uiPriority w:val="0"/>
    <w:rPr>
      <w:kern w:val="2"/>
      <w:sz w:val="18"/>
      <w:szCs w:val="18"/>
    </w:rPr>
  </w:style>
  <w:style w:type="character" w:customStyle="1" w:styleId="25">
    <w:name w:val="页脚 Char"/>
    <w:basedOn w:val="12"/>
    <w:link w:val="5"/>
    <w:autoRedefine/>
    <w:qFormat/>
    <w:uiPriority w:val="0"/>
    <w:rPr>
      <w:kern w:val="2"/>
      <w:sz w:val="18"/>
      <w:szCs w:val="18"/>
    </w:rPr>
  </w:style>
  <w:style w:type="character" w:customStyle="1" w:styleId="26">
    <w:name w:val="标题 1 Char"/>
    <w:link w:val="2"/>
    <w:autoRedefine/>
    <w:qFormat/>
    <w:uiPriority w:val="0"/>
    <w:rPr>
      <w:b/>
      <w:kern w:val="44"/>
      <w:sz w:val="44"/>
    </w:rPr>
  </w:style>
  <w:style w:type="character" w:customStyle="1" w:styleId="27">
    <w:name w:val="目录 1 Char"/>
    <w:link w:val="7"/>
    <w:autoRedefine/>
    <w:qFormat/>
    <w:uiPriority w:val="39"/>
    <w:rPr>
      <w:rFonts w:ascii="等线" w:eastAsia="等线"/>
      <w:b/>
      <w:bCs/>
      <w:caps/>
      <w:sz w:val="20"/>
      <w:szCs w:val="20"/>
    </w:rPr>
  </w:style>
  <w:style w:type="paragraph" w:customStyle="1" w:styleId="28">
    <w:name w:val="Normal Indent1"/>
    <w:basedOn w:val="1"/>
    <w:autoRedefine/>
    <w:qFormat/>
    <w:uiPriority w:val="0"/>
    <w:pPr>
      <w:spacing w:line="360" w:lineRule="auto"/>
      <w:ind w:firstLine="420"/>
    </w:pPr>
    <w:rPr>
      <w:rFonts w:ascii="宋体"/>
      <w:sz w:val="20"/>
      <w:szCs w:val="20"/>
    </w:rPr>
  </w:style>
  <w:style w:type="paragraph" w:styleId="29">
    <w:name w:val="List Paragraph"/>
    <w:basedOn w:val="1"/>
    <w:autoRedefine/>
    <w:qFormat/>
    <w:uiPriority w:val="34"/>
    <w:pPr>
      <w:ind w:firstLine="420" w:firstLineChars="200"/>
    </w:pPr>
  </w:style>
  <w:style w:type="paragraph" w:customStyle="1" w:styleId="30">
    <w:name w:val="TOC1"/>
    <w:basedOn w:val="1"/>
    <w:next w:val="1"/>
    <w:autoRedefine/>
    <w:qFormat/>
    <w:uiPriority w:val="99"/>
    <w:pPr>
      <w:jc w:val="center"/>
    </w:pPr>
  </w:style>
  <w:style w:type="character" w:customStyle="1" w:styleId="31">
    <w:name w:val="一级条标题 Char"/>
    <w:link w:val="15"/>
    <w:autoRedefine/>
    <w:qFormat/>
    <w:uiPriority w:val="0"/>
    <w:rPr>
      <w:rFonts w:ascii="Times New Roman" w:hAnsi="Times New Roman" w:eastAsia="黑体"/>
      <w:sz w:val="21"/>
    </w:rPr>
  </w:style>
  <w:style w:type="paragraph" w:customStyle="1" w:styleId="32">
    <w:name w:val="封面标准文稿类别"/>
    <w:autoRedefine/>
    <w:qFormat/>
    <w:uiPriority w:val="0"/>
    <w:pPr>
      <w:numPr>
        <w:ilvl w:val="2"/>
        <w:numId w:val="2"/>
      </w:numPr>
      <w:spacing w:before="440" w:line="400" w:lineRule="exact"/>
      <w:jc w:val="center"/>
    </w:pPr>
    <w:rPr>
      <w:rFonts w:ascii="宋体" w:hAnsi="Times New Roman" w:eastAsia="宋体" w:cs="Times New Roman"/>
      <w:sz w:val="24"/>
      <w:lang w:val="en-US" w:eastAsia="zh-CN" w:bidi="ar-SA"/>
    </w:rPr>
  </w:style>
  <w:style w:type="paragraph" w:customStyle="1" w:styleId="33">
    <w:name w:val="封面标准号2"/>
    <w:basedOn w:val="34"/>
    <w:autoRedefine/>
    <w:qFormat/>
    <w:uiPriority w:val="0"/>
    <w:pPr>
      <w:numPr>
        <w:ilvl w:val="3"/>
        <w:numId w:val="2"/>
      </w:numPr>
      <w:adjustRightInd w:val="0"/>
      <w:spacing w:before="357" w:line="280" w:lineRule="exact"/>
    </w:pPr>
  </w:style>
  <w:style w:type="paragraph" w:customStyle="1" w:styleId="34">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35">
    <w:name w:val="实施日期"/>
    <w:basedOn w:val="36"/>
    <w:autoRedefine/>
    <w:qFormat/>
    <w:uiPriority w:val="0"/>
    <w:pPr>
      <w:jc w:val="right"/>
    </w:pPr>
  </w:style>
  <w:style w:type="paragraph" w:customStyle="1" w:styleId="36">
    <w:name w:val="发布日期"/>
    <w:autoRedefine/>
    <w:qFormat/>
    <w:uiPriority w:val="0"/>
    <w:rPr>
      <w:rFonts w:ascii="Times New Roman" w:hAnsi="Times New Roman" w:eastAsia="黑体" w:cs="Times New Roman"/>
      <w:sz w:val="28"/>
      <w:lang w:val="en-US" w:eastAsia="zh-CN" w:bidi="ar-SA"/>
    </w:rPr>
  </w:style>
  <w:style w:type="paragraph" w:customStyle="1" w:styleId="37">
    <w:name w:val="标准标志"/>
    <w:next w:val="1"/>
    <w:autoRedefine/>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character" w:customStyle="1" w:styleId="38">
    <w:name w:val="注： Char"/>
    <w:autoRedefine/>
    <w:qFormat/>
    <w:uiPriority w:val="0"/>
    <w:rPr>
      <w:rFonts w:ascii="宋体"/>
      <w:sz w:val="18"/>
      <w:lang w:val="en-US" w:eastAsia="zh-CN" w:bidi="ar-SA"/>
    </w:rPr>
  </w:style>
  <w:style w:type="paragraph" w:customStyle="1" w:styleId="39">
    <w:name w:val="附录表标题"/>
    <w:next w:val="16"/>
    <w:autoRedefine/>
    <w:qFormat/>
    <w:uiPriority w:val="0"/>
    <w:pPr>
      <w:numPr>
        <w:ilvl w:val="5"/>
        <w:numId w:val="2"/>
      </w:numPr>
      <w:jc w:val="center"/>
      <w:textAlignment w:val="baseline"/>
    </w:pPr>
    <w:rPr>
      <w:rFonts w:ascii="黑体" w:hAnsi="Times New Roman" w:eastAsia="黑体" w:cs="Times New Roman"/>
      <w:kern w:val="21"/>
      <w:sz w:val="21"/>
      <w:lang w:val="en-US" w:eastAsia="zh-CN" w:bidi="ar-SA"/>
    </w:rPr>
  </w:style>
  <w:style w:type="paragraph" w:customStyle="1" w:styleId="40">
    <w:name w:val="文献分类号"/>
    <w:autoRedefine/>
    <w:qFormat/>
    <w:uiPriority w:val="0"/>
    <w:pPr>
      <w:widowControl w:val="0"/>
      <w:numPr>
        <w:ilvl w:val="6"/>
        <w:numId w:val="2"/>
      </w:numPr>
      <w:textAlignment w:val="center"/>
    </w:pPr>
    <w:rPr>
      <w:rFonts w:ascii="Times New Roman" w:hAnsi="Times New Roman" w:eastAsia="黑体" w:cs="Times New Roman"/>
      <w:sz w:val="21"/>
      <w:lang w:val="en-US" w:eastAsia="zh-CN" w:bidi="ar-SA"/>
    </w:rPr>
  </w:style>
  <w:style w:type="paragraph" w:customStyle="1" w:styleId="41">
    <w:name w:val="其他标准称谓"/>
    <w:autoRedefine/>
    <w:qFormat/>
    <w:uiPriority w:val="0"/>
    <w:pPr>
      <w:numPr>
        <w:ilvl w:val="0"/>
        <w:numId w:val="3"/>
      </w:numPr>
      <w:tabs>
        <w:tab w:val="clear" w:pos="1120"/>
      </w:tabs>
      <w:spacing w:line="0" w:lineRule="atLeast"/>
      <w:ind w:firstLine="0"/>
      <w:jc w:val="distribute"/>
    </w:pPr>
    <w:rPr>
      <w:rFonts w:ascii="黑体" w:hAnsi="宋体" w:eastAsia="黑体" w:cs="Times New Roman"/>
      <w:sz w:val="52"/>
      <w:lang w:val="en-US" w:eastAsia="zh-CN" w:bidi="ar-SA"/>
    </w:rPr>
  </w:style>
  <w:style w:type="paragraph" w:customStyle="1" w:styleId="42">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43">
    <w:name w:val="示例"/>
    <w:next w:val="16"/>
    <w:autoRedefine/>
    <w:qFormat/>
    <w:uiPriority w:val="0"/>
    <w:pPr>
      <w:tabs>
        <w:tab w:val="left" w:pos="816"/>
      </w:tabs>
      <w:ind w:firstLine="419" w:firstLineChars="233"/>
      <w:jc w:val="both"/>
    </w:pPr>
    <w:rPr>
      <w:rFonts w:ascii="宋体" w:hAnsi="Times New Roman" w:eastAsia="宋体" w:cs="Times New Roman"/>
      <w:sz w:val="18"/>
      <w:lang w:val="en-US" w:eastAsia="zh-CN" w:bidi="ar-SA"/>
    </w:rPr>
  </w:style>
  <w:style w:type="paragraph" w:customStyle="1" w:styleId="44">
    <w:name w:val="正文表标题"/>
    <w:next w:val="16"/>
    <w:autoRedefine/>
    <w:qFormat/>
    <w:uiPriority w:val="0"/>
    <w:pPr>
      <w:tabs>
        <w:tab w:val="left" w:pos="360"/>
      </w:tabs>
      <w:spacing w:beforeLines="50" w:afterLines="50"/>
      <w:ind w:left="420"/>
      <w:jc w:val="center"/>
    </w:pPr>
    <w:rPr>
      <w:rFonts w:ascii="Times New Roman" w:hAnsi="Times New Roman" w:eastAsia="黑体" w:cs="Times New Roman"/>
      <w:color w:val="FF0000"/>
      <w:sz w:val="21"/>
      <w:lang w:val="en-US" w:eastAsia="zh-CN" w:bidi="ar-SA"/>
    </w:rPr>
  </w:style>
  <w:style w:type="character" w:customStyle="1" w:styleId="45">
    <w:name w:val="段 Char"/>
    <w:link w:val="16"/>
    <w:autoRedefine/>
    <w:qFormat/>
    <w:uiPriority w:val="0"/>
    <w:rPr>
      <w:rFonts w:ascii="宋体" w:hAnsi="Times New Roman" w:eastAsia="宋体" w:cs="Times New Roman"/>
      <w:sz w:val="24"/>
      <w:szCs w:val="24"/>
    </w:rPr>
  </w:style>
  <w:style w:type="paragraph" w:styleId="46">
    <w:name w:val="No Spacing"/>
    <w:autoRedefine/>
    <w:qFormat/>
    <w:uiPriority w:val="1"/>
    <w:pPr>
      <w:widowControl w:val="0"/>
      <w:ind w:firstLine="200" w:firstLineChars="200"/>
    </w:pPr>
    <w:rPr>
      <w:rFonts w:ascii="Times New Roman" w:hAnsi="Times New Roman" w:eastAsia="宋体" w:cs="Times New Roman"/>
      <w:kern w:val="2"/>
      <w:sz w:val="24"/>
      <w:szCs w:val="22"/>
      <w:lang w:val="en-US" w:eastAsia="zh-CN" w:bidi="ar-SA"/>
    </w:rPr>
  </w:style>
  <w:style w:type="paragraph" w:customStyle="1" w:styleId="47">
    <w:name w:val="图"/>
    <w:basedOn w:val="46"/>
    <w:qFormat/>
    <w:uiPriority w:val="0"/>
    <w:pPr>
      <w:ind w:firstLine="0" w:firstLineChars="0"/>
      <w:jc w:val="center"/>
      <w:textAlignment w:val="center"/>
    </w:pPr>
    <w:rPr>
      <w:sz w:val="21"/>
    </w:rPr>
  </w:style>
  <w:style w:type="character" w:customStyle="1" w:styleId="48">
    <w:name w:val="二级条标题 Char"/>
    <w:link w:val="19"/>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9071</Words>
  <Characters>3037</Characters>
  <Lines>25</Lines>
  <Paragraphs>24</Paragraphs>
  <TotalTime>1</TotalTime>
  <ScaleCrop>false</ScaleCrop>
  <LinksUpToDate>false</LinksUpToDate>
  <CharactersWithSpaces>12084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2024-05-08T01:02:00Z</dcterms:created>
  <dc:creator>陈先生</dc:creator>
  <cp:lastModifiedBy>陈先生</cp:lastModifiedBy>
  <dcterms:modified xsi:type="dcterms:W3CDTF">2024-05-15T07:43:19Z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CDFBDB84B94743FBA22F52140723B88B_11</vt:lpwstr>
  </property>
</Properties>
</file>