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rPr>
          <w:sz w:val="24"/>
          <w:szCs w:val="24"/>
        </w:rPr>
      </w:pPr>
      <w:bookmarkStart w:id="0" w:name="SectionMark0"/>
      <w:bookmarkStart w:id="1" w:name="SectionMark4"/>
      <w:r>
        <w:rPr>
          <w:sz w:val="24"/>
          <w:szCs w:val="24"/>
        </w:rPr>
        <mc:AlternateContent>
          <mc:Choice Requires="wps">
            <w:drawing>
              <wp:anchor distT="0" distB="0" distL="114300" distR="114300" simplePos="0" relativeHeight="251660288" behindDoc="0" locked="1" layoutInCell="1" allowOverlap="1">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pPr>
                              <w:jc w:val="center"/>
                              <w:rPr>
                                <w:rFonts w:ascii="宋体" w:hAnsi="宋体" w:cs="宋体"/>
                                <w:spacing w:val="58"/>
                                <w:w w:val="120"/>
                                <w:sz w:val="28"/>
                                <w:szCs w:val="28"/>
                              </w:rPr>
                            </w:pPr>
                            <w:r>
                              <w:rPr>
                                <w:rFonts w:hint="eastAsia" w:ascii="宋体" w:hAnsi="宋体" w:cs="宋体"/>
                                <w:spacing w:val="58"/>
                                <w:w w:val="120"/>
                                <w:sz w:val="28"/>
                                <w:szCs w:val="28"/>
                                <w:lang w:val="en-US" w:eastAsia="zh-CN"/>
                              </w:rPr>
                              <w:t>超声标准试块校准规范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3"/>
                              <w:rPr>
                                <w:rFonts w:ascii="宋体" w:hAnsi="宋体" w:eastAsia="宋体" w:cs="宋体"/>
                                <w:sz w:val="28"/>
                                <w:szCs w:val="28"/>
                              </w:rPr>
                            </w:pPr>
                            <w:r>
                              <w:rPr>
                                <w:rFonts w:hint="eastAsia" w:ascii="宋体" w:hAnsi="宋体" w:eastAsia="宋体" w:cs="宋体"/>
                                <w:sz w:val="28"/>
                                <w:szCs w:val="28"/>
                              </w:rPr>
                              <w:t>主编单位：国标（北京）检验认证有限公司</w:t>
                            </w:r>
                          </w:p>
                        </w:txbxContent>
                      </wps:txbx>
                      <wps:bodyPr lIns="0" tIns="0" rIns="0" bIns="0" upright="1"/>
                    </wps:wsp>
                  </a:graphicData>
                </a:graphic>
              </wp:anchor>
            </w:drawing>
          </mc:Choice>
          <mc:Fallback>
            <w:pict>
              <v:rect id="fmFrame7" o:spid="_x0000_s1026" o:spt="1" style="position:absolute;left:0pt;margin-left:-0.65pt;margin-top:565.15pt;height:121.6pt;width:481.9pt;mso-position-horizontal-relative:margin;mso-position-vertical-relative:margin;z-index:251660288;mso-width-relative:page;mso-height-relative:page;" fillcolor="#FFFFFF" filled="t" stroked="f" coordsize="21600,21600" o:gfxdata="UEsDBAoAAAAAAIdO4kAAAAAAAAAAAAAAAAAEAAAAZHJzL1BLAwQUAAAACACHTuJAg0mt+tgAAAAM&#10;AQAADwAAAGRycy9kb3ducmV2LnhtbE2PS0/DMBCE70j8B2uRuLW2G7XQEKcHHuqZAOLqxts44EcU&#10;O23g17Oc4LY7M5r9ttrN3rETjqmPQYFcCmAY2mj60Cl4fXla3AJLWQejXQyo4AsT7OrLi0qXJp7D&#10;M56a3DEqCanUCmzOQ8l5ai16nZZxwEDeMY5eZ1rHjptRn6ncO74SYsO97gNdsHrAe4vtZzN5BXv5&#10;8Dh88O9G713G6c3OrXuflbq+kuIOWMY5/4XhF5/QoSamQ5yCScwpWMiCkqTLQtBEie1mtQZ2IKm4&#10;KdbA64r/f6L+AV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NJrfr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pPr>
                        <w:jc w:val="center"/>
                        <w:rPr>
                          <w:rFonts w:ascii="宋体" w:hAnsi="宋体" w:cs="宋体"/>
                          <w:spacing w:val="58"/>
                          <w:w w:val="120"/>
                          <w:sz w:val="28"/>
                          <w:szCs w:val="28"/>
                        </w:rPr>
                      </w:pPr>
                      <w:r>
                        <w:rPr>
                          <w:rFonts w:hint="eastAsia" w:ascii="宋体" w:hAnsi="宋体" w:cs="宋体"/>
                          <w:spacing w:val="58"/>
                          <w:w w:val="120"/>
                          <w:sz w:val="28"/>
                          <w:szCs w:val="28"/>
                          <w:lang w:val="en-US" w:eastAsia="zh-CN"/>
                        </w:rPr>
                        <w:t>超声标准试块校准规范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3"/>
                        <w:rPr>
                          <w:rFonts w:ascii="宋体" w:hAnsi="宋体" w:eastAsia="宋体" w:cs="宋体"/>
                          <w:sz w:val="28"/>
                          <w:szCs w:val="28"/>
                        </w:rPr>
                      </w:pPr>
                      <w:r>
                        <w:rPr>
                          <w:rFonts w:hint="eastAsia" w:ascii="宋体" w:hAnsi="宋体" w:eastAsia="宋体" w:cs="宋体"/>
                          <w:sz w:val="28"/>
                          <w:szCs w:val="28"/>
                        </w:rPr>
                        <w:t>主编单位：国标（北京）检验认证有限公司</w:t>
                      </w:r>
                    </w:p>
                  </w:txbxContent>
                </v:textbox>
                <w10:anchorlock/>
              </v:rect>
            </w:pict>
          </mc:Fallback>
        </mc:AlternateContent>
      </w:r>
      <w:bookmarkStart w:id="98" w:name="_GoBack"/>
      <w:bookmarkEnd w:id="98"/>
      <w:r>
        <w:rPr>
          <w:sz w:val="24"/>
          <w:szCs w:val="24"/>
        </w:rPr>
        <mc:AlternateContent>
          <mc:Choice Requires="wps">
            <w:drawing>
              <wp:anchor distT="0" distB="0" distL="114300" distR="114300" simplePos="0" relativeHeight="251661312" behindDoc="0" locked="1" layoutInCell="1" allowOverlap="1">
                <wp:simplePos x="0" y="0"/>
                <wp:positionH relativeFrom="margin">
                  <wp:posOffset>1270</wp:posOffset>
                </wp:positionH>
                <wp:positionV relativeFrom="margin">
                  <wp:posOffset>4467225</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pPr>
                              <w:pStyle w:val="66"/>
                              <w:spacing w:before="600"/>
                              <w:rPr>
                                <w:rFonts w:ascii="黑体" w:hAnsi="黑体" w:eastAsia="黑体"/>
                                <w:sz w:val="36"/>
                                <w:szCs w:val="36"/>
                              </w:rPr>
                            </w:pPr>
                            <w:r>
                              <w:rPr>
                                <w:rFonts w:hint="eastAsia" w:ascii="黑体" w:hAnsi="黑体" w:eastAsia="黑体"/>
                                <w:sz w:val="36"/>
                                <w:szCs w:val="36"/>
                                <w:lang w:val="en-US" w:eastAsia="zh-CN"/>
                              </w:rPr>
                              <w:t>征求意见稿</w:t>
                            </w:r>
                          </w:p>
                          <w:p>
                            <w:pPr>
                              <w:pStyle w:val="66"/>
                              <w:spacing w:before="600"/>
                              <w:rPr>
                                <w:rFonts w:hint="default" w:ascii="黑体" w:hAnsi="黑体" w:eastAsia="黑体"/>
                                <w:sz w:val="36"/>
                                <w:szCs w:val="36"/>
                                <w:lang w:val="en-US" w:eastAsia="zh-CN"/>
                              </w:rPr>
                            </w:pPr>
                            <w:r>
                              <w:rPr>
                                <w:rFonts w:hint="eastAsia" w:ascii="黑体" w:hAnsi="黑体" w:eastAsia="黑体"/>
                                <w:sz w:val="36"/>
                                <w:szCs w:val="36"/>
                              </w:rPr>
                              <w:t>20</w:t>
                            </w:r>
                            <w:r>
                              <w:rPr>
                                <w:rFonts w:hint="eastAsia" w:ascii="黑体" w:hAnsi="黑体" w:eastAsia="黑体"/>
                                <w:sz w:val="36"/>
                                <w:szCs w:val="36"/>
                                <w:lang w:val="en-US" w:eastAsia="zh-CN"/>
                              </w:rPr>
                              <w:t>24-5</w:t>
                            </w:r>
                          </w:p>
                        </w:txbxContent>
                      </wps:txbx>
                      <wps:bodyPr lIns="0" tIns="0" rIns="0" bIns="0" upright="1"/>
                    </wps:wsp>
                  </a:graphicData>
                </a:graphic>
              </wp:anchor>
            </w:drawing>
          </mc:Choice>
          <mc:Fallback>
            <w:pict>
              <v:rect id="文本框 5" o:spid="_x0000_s1026" o:spt="1" style="position:absolute;left:0pt;margin-left:0.1pt;margin-top:351.75pt;height:140.1pt;width:470pt;mso-position-horizontal-relative:margin;mso-position-vertical-relative:margin;z-index:251661312;mso-width-relative:page;mso-height-relative:page;" fillcolor="#FFFFFF" filled="t" stroked="f" coordsize="21600,21600" o:gfxdata="UEsDBAoAAAAAAIdO4kAAAAAAAAAAAAAAAAAEAAAAZHJzL1BLAwQUAAAACACHTuJAqqzjsNUAAAAI&#10;AQAADwAAAGRycy9kb3ducmV2LnhtbE2PzU7DMBCE70i8g7VI3KidFmgJcXrgRz0TQFzdeIkD9jqK&#10;nTbw9CwnuO3ujGa/qbZz8OKAY+ojaSgWCgRSG21PnYaX58eLDYiUDVnjI6GGL0ywrU9PKlPaeKQn&#10;PDS5ExxCqTQaXM5DKWVqHQaTFnFAYu09jsFkXsdO2tEcOTx4uVTqWgbTE39wZsA7h+1nMwUNu+L+&#10;YfiQ343Z+YzTq5tb/zZrfX5WqFsQGef8Z4ZffEaHmpn2cSKbhNewZJ+GtVpdgWD55lLxZc/DZrUG&#10;WVfyf4H6B1BLAwQUAAAACACHTuJAMTvMIMsBAACSAwAADgAAAGRycy9lMm9Eb2MueG1srVNLbtsw&#10;EN0XyB0I7mvJBhLXguUsajgoULQB0hyAoiiJAH8Y0pZ8gfYGXXXTfc/lc3RIyc6nmyyqBTXDGb6Z&#10;94Zc3w5akYMAL60p6XyWUyIMt7U0bUkfv+3ef6DEB2ZqpqwRJT0KT283V+/WvSvEwnZW1QIIghhf&#10;9K6kXQiuyDLPO6GZn1knDAYbC5oFdKHNamA9omuVLfL8Just1A4sF97j7nYM0gkR3gJom0ZysbV8&#10;r4UJIyoIxQJS8p10nm5St00jePjaNF4EokqKTENasQjaVVyzzZoVLTDXST61wN7SwitOmkmDRS9Q&#10;WxYY2YP8B0pLDtbbJsy41dlIJCmCLOb5K20eOuZE4oJSe3cR3f8/WP7lcA9E1iVdUGKYxoGffv44&#10;/fpz+v2dXEd5eucLzHpw9zB5Hs3IdWhAxz+yIEOS9HiRVAyBcNy8Xt2s8hzV5hibL5erxTKJnj0d&#10;d+DDnbCaRKOkgDNLUrLDZx+wJKaeU2I1b5Wsd1Kp5EBbfVRADgznu0tf7BmPvEhTJiYbG4+N4biT&#10;RWojmWiFoRomhpWtjyiL+mRQ6nhtzgacjeps7B3ItsO+56lwBMJRpRamaxXvwnM/FX56Sp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qzjsNUAAAAIAQAADwAAAAAAAAABACAAAAAiAAAAZHJzL2Rv&#10;d25yZXYueG1sUEsBAhQAFAAAAAgAh07iQDE7zCDLAQAAkgMAAA4AAAAAAAAAAQAgAAAAJAEAAGRy&#10;cy9lMm9Eb2MueG1sUEsFBgAAAAAGAAYAWQEAAGEFAAAAAA==&#10;">
                <v:fill on="t" focussize="0,0"/>
                <v:stroke on="f"/>
                <v:imagedata o:title=""/>
                <o:lock v:ext="edit" aspectratio="f"/>
                <v:textbox inset="0mm,0mm,0mm,0mm">
                  <w:txbxContent>
                    <w:p>
                      <w:pPr>
                        <w:pStyle w:val="66"/>
                        <w:spacing w:before="600"/>
                        <w:rPr>
                          <w:rFonts w:ascii="黑体" w:hAnsi="黑体" w:eastAsia="黑体"/>
                          <w:sz w:val="36"/>
                          <w:szCs w:val="36"/>
                        </w:rPr>
                      </w:pPr>
                      <w:r>
                        <w:rPr>
                          <w:rFonts w:hint="eastAsia" w:ascii="黑体" w:hAnsi="黑体" w:eastAsia="黑体"/>
                          <w:sz w:val="36"/>
                          <w:szCs w:val="36"/>
                          <w:lang w:val="en-US" w:eastAsia="zh-CN"/>
                        </w:rPr>
                        <w:t>征求意见稿</w:t>
                      </w:r>
                    </w:p>
                    <w:p>
                      <w:pPr>
                        <w:pStyle w:val="66"/>
                        <w:spacing w:before="600"/>
                        <w:rPr>
                          <w:rFonts w:hint="default" w:ascii="黑体" w:hAnsi="黑体" w:eastAsia="黑体"/>
                          <w:sz w:val="36"/>
                          <w:szCs w:val="36"/>
                          <w:lang w:val="en-US" w:eastAsia="zh-CN"/>
                        </w:rPr>
                      </w:pPr>
                      <w:r>
                        <w:rPr>
                          <w:rFonts w:hint="eastAsia" w:ascii="黑体" w:hAnsi="黑体" w:eastAsia="黑体"/>
                          <w:sz w:val="36"/>
                          <w:szCs w:val="36"/>
                        </w:rPr>
                        <w:t>20</w:t>
                      </w:r>
                      <w:r>
                        <w:rPr>
                          <w:rFonts w:hint="eastAsia" w:ascii="黑体" w:hAnsi="黑体" w:eastAsia="黑体"/>
                          <w:sz w:val="36"/>
                          <w:szCs w:val="36"/>
                          <w:lang w:val="en-US" w:eastAsia="zh-CN"/>
                        </w:rPr>
                        <w:t>24-5</w:t>
                      </w:r>
                    </w:p>
                  </w:txbxContent>
                </v:textbox>
                <w10:anchorlock/>
              </v:rect>
            </w:pict>
          </mc:Fallback>
        </mc:AlternateContent>
      </w:r>
      <w:r>
        <w:rPr>
          <w:sz w:val="24"/>
          <w:szCs w:val="24"/>
        </w:rPr>
        <mc:AlternateContent>
          <mc:Choice Requires="wps">
            <w:drawing>
              <wp:anchor distT="0" distB="0" distL="114300" distR="114300" simplePos="0" relativeHeight="251662336" behindDoc="0" locked="1" layoutInCell="1" allowOverlap="1">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pPr>
                              <w:pStyle w:val="74"/>
                              <w:rPr>
                                <w:rFonts w:hint="default" w:hAnsi="黑体" w:eastAsia="黑体" w:cs="黑体"/>
                                <w:sz w:val="44"/>
                                <w:szCs w:val="44"/>
                                <w:lang w:val="en-US" w:eastAsia="zh-CN"/>
                              </w:rPr>
                            </w:pPr>
                            <w:bookmarkStart w:id="97" w:name="_Hlk23687263"/>
                            <w:r>
                              <w:rPr>
                                <w:rFonts w:hint="eastAsia" w:hAnsi="黑体" w:cs="黑体"/>
                                <w:sz w:val="44"/>
                                <w:szCs w:val="44"/>
                              </w:rPr>
                              <w:t xml:space="preserve"> JJF（有色金属）</w:t>
                            </w:r>
                            <w:r>
                              <w:rPr>
                                <w:rFonts w:hint="eastAsia" w:hAnsi="黑体" w:cs="黑体"/>
                                <w:sz w:val="44"/>
                                <w:szCs w:val="44"/>
                                <w:lang w:val="en-US" w:eastAsia="zh-CN"/>
                              </w:rPr>
                              <w:t>XXX</w:t>
                            </w:r>
                            <w:r>
                              <w:rPr>
                                <w:rFonts w:hint="eastAsia" w:hAnsi="黑体" w:cs="黑体"/>
                                <w:sz w:val="44"/>
                                <w:szCs w:val="44"/>
                              </w:rPr>
                              <w:t>—</w:t>
                            </w:r>
                            <w:r>
                              <w:rPr>
                                <w:rFonts w:hint="eastAsia" w:hAnsi="黑体" w:cs="黑体"/>
                                <w:sz w:val="44"/>
                                <w:szCs w:val="44"/>
                                <w:lang w:val="en-US" w:eastAsia="zh-CN"/>
                              </w:rPr>
                              <w:t>XXXX</w:t>
                            </w:r>
                          </w:p>
                          <w:bookmarkEnd w:id="97"/>
                          <w:p>
                            <w:pPr>
                              <w:jc w:val="center"/>
                              <w:rPr>
                                <w:rFonts w:ascii="黑体" w:hAnsi="黑体" w:eastAsia="黑体" w:cs="黑体"/>
                                <w:sz w:val="44"/>
                                <w:szCs w:val="44"/>
                              </w:rPr>
                            </w:pPr>
                            <w:r>
                              <w:rPr>
                                <w:rFonts w:hint="eastAsia" w:ascii="黑体" w:hAnsi="黑体" w:eastAsia="黑体" w:cs="黑体"/>
                                <w:sz w:val="44"/>
                                <w:szCs w:val="44"/>
                                <w:lang w:val="en-US" w:eastAsia="zh-CN"/>
                              </w:rPr>
                              <w:t>超声标准试块校准规范</w:t>
                            </w: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12pt;margin-top:91.6pt;height:187.7pt;width:481.9pt;mso-position-horizontal-relative:margin;mso-position-vertical-relative:margin;z-index:251662336;mso-width-relative:page;mso-height-relative:page;" fillcolor="#FFFFFF" filled="t" stroked="f" coordsize="21600,21600" o:gfxdata="UEsDBAoAAAAAAIdO4kAAAAAAAAAAAAAAAAAEAAAAZHJzL1BLAwQUAAAACACHTuJA2ZGKN9cAAAAK&#10;AQAADwAAAGRycy9kb3ducmV2LnhtbE2Py07EMAxF90j8Q2QkdkzawgylNJ0FD82aAmLraUxTyKNq&#10;0pnC12NWsLR9dX1OvV2cFQea4hC8gnyVgSDfBT34XsHL8+NFCSIm9Bpt8KTgiyJsm9OTGisdjv6J&#10;Dm3qBZf4WKECk9JYSRk7Qw7jKozk+fYeJoeJx6mXesIjlzsriyzbSIeD5w8GR7oz1H22s1Owy+8f&#10;xg/53eLOJppfzdLZt0Wp87M8uwWRaEl/YfjFZ3RomGkfZq+jsAqKK1ZJvC8vCxAcuCmv2WWvYL0u&#10;NyCbWv5XaH4AUEsDBBQAAAAIAIdO4kBj/lsoywEAAJIDAAAOAAAAZHJzL2Uyb0RvYy54bWytU0tu&#10;2zAQ3RfoHQjua/lTpKlgOYsaLgoUbYCkB6AoUiLAH4a0JV+gvUFX3XTfc/kcHVKy0yabLKIFNcMZ&#10;vpn3hlzfDEaTg4CgnK3oYjanRFjuGmXbin673725piREZhumnRUVPYpAbzavX617X4ql65xuBBAE&#10;saHsfUW7GH1ZFIF3wrAwc15YDEoHhkV0oS0aYD2iG10s5/OronfQeHBchIC72zFIJ0R4DqCTUnGx&#10;dXxvhI0jKgjNIlIKnfKBbnK3Ugoev0oZRCS6osg05hWLoF2ntdisWdkC853iUwvsOS084mSYslj0&#10;ArVlkZE9qCdQRnFwwck4484UI5GsCLJYzB9pc9cxLzIXlDr4i+jh5WD5l8MtENVUdEWJZQYHfvr5&#10;4/Trz+n3d/I2ydP7UGLWnb+FyQtoJq6DBJP+yIIMWdLjRVIxRMJx82qBvFaoNsfYcnW9evc+i148&#10;HPcQ4kfhDElGRQFnlqVkh88hYklMPaekasFp1eyU1tmBtv6ggRwYzneXv9QzHvkvTduUbF06NobT&#10;TpGojWSSFYd6mBjWrjmiLPqTRanTtTkbcDbqs7H3oNoO+17kwgkIR5VbmK5Vugv/+rnww1P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kYo31wAAAAoBAAAPAAAAAAAAAAEAIAAAACIAAABkcnMv&#10;ZG93bnJldi54bWxQSwECFAAUAAAACACHTuJAY/5bKMsBAACSAwAADgAAAAAAAAABACAAAAAmAQAA&#10;ZHJzL2Uyb0RvYy54bWxQSwUGAAAAAAYABgBZAQAAYwUAAAAA&#10;">
                <v:fill on="t" focussize="0,0"/>
                <v:stroke on="f"/>
                <v:imagedata o:title=""/>
                <o:lock v:ext="edit" aspectratio="f"/>
                <v:textbox inset="0mm,0mm,0mm,0mm">
                  <w:txbxContent>
                    <w:p>
                      <w:pPr>
                        <w:pStyle w:val="74"/>
                        <w:rPr>
                          <w:rFonts w:hint="default" w:hAnsi="黑体" w:eastAsia="黑体" w:cs="黑体"/>
                          <w:sz w:val="44"/>
                          <w:szCs w:val="44"/>
                          <w:lang w:val="en-US" w:eastAsia="zh-CN"/>
                        </w:rPr>
                      </w:pPr>
                      <w:bookmarkStart w:id="97" w:name="_Hlk23687263"/>
                      <w:r>
                        <w:rPr>
                          <w:rFonts w:hint="eastAsia" w:hAnsi="黑体" w:cs="黑体"/>
                          <w:sz w:val="44"/>
                          <w:szCs w:val="44"/>
                        </w:rPr>
                        <w:t xml:space="preserve"> JJF（有色金属）</w:t>
                      </w:r>
                      <w:r>
                        <w:rPr>
                          <w:rFonts w:hint="eastAsia" w:hAnsi="黑体" w:cs="黑体"/>
                          <w:sz w:val="44"/>
                          <w:szCs w:val="44"/>
                          <w:lang w:val="en-US" w:eastAsia="zh-CN"/>
                        </w:rPr>
                        <w:t>XXX</w:t>
                      </w:r>
                      <w:r>
                        <w:rPr>
                          <w:rFonts w:hint="eastAsia" w:hAnsi="黑体" w:cs="黑体"/>
                          <w:sz w:val="44"/>
                          <w:szCs w:val="44"/>
                        </w:rPr>
                        <w:t>—</w:t>
                      </w:r>
                      <w:r>
                        <w:rPr>
                          <w:rFonts w:hint="eastAsia" w:hAnsi="黑体" w:cs="黑体"/>
                          <w:sz w:val="44"/>
                          <w:szCs w:val="44"/>
                          <w:lang w:val="en-US" w:eastAsia="zh-CN"/>
                        </w:rPr>
                        <w:t>XXXX</w:t>
                      </w:r>
                    </w:p>
                    <w:bookmarkEnd w:id="97"/>
                    <w:p>
                      <w:pPr>
                        <w:jc w:val="center"/>
                        <w:rPr>
                          <w:rFonts w:ascii="黑体" w:hAnsi="黑体" w:eastAsia="黑体" w:cs="黑体"/>
                          <w:sz w:val="44"/>
                          <w:szCs w:val="44"/>
                        </w:rPr>
                      </w:pPr>
                      <w:r>
                        <w:rPr>
                          <w:rFonts w:hint="eastAsia" w:ascii="黑体" w:hAnsi="黑体" w:eastAsia="黑体" w:cs="黑体"/>
                          <w:sz w:val="44"/>
                          <w:szCs w:val="44"/>
                          <w:lang w:val="en-US" w:eastAsia="zh-CN"/>
                        </w:rPr>
                        <w:t>超声标准试块校准规范</w:t>
                      </w:r>
                      <w:r>
                        <w:rPr>
                          <w:rFonts w:hint="eastAsia" w:ascii="黑体" w:hAnsi="黑体" w:eastAsia="黑体" w:cs="黑体"/>
                          <w:sz w:val="44"/>
                          <w:szCs w:val="44"/>
                        </w:rPr>
                        <w:t>(编制说明)</w:t>
                      </w:r>
                    </w:p>
                  </w:txbxContent>
                </v:textbox>
                <w10:anchorlock/>
              </v:rect>
            </w:pict>
          </mc:Fallback>
        </mc:AlternateContent>
      </w:r>
      <w:bookmarkEnd w:id="0"/>
    </w:p>
    <w:p>
      <w:pPr>
        <w:pStyle w:val="71"/>
        <w:numPr>
          <w:ilvl w:val="0"/>
          <w:numId w:val="0"/>
        </w:numPr>
        <w:ind w:left="840" w:hanging="420"/>
        <w:jc w:val="center"/>
        <w:rPr>
          <w:b/>
          <w:sz w:val="24"/>
          <w:szCs w:val="24"/>
        </w:rPr>
      </w:pPr>
    </w:p>
    <w:p>
      <w:pPr>
        <w:pStyle w:val="57"/>
        <w:ind w:firstLine="420"/>
        <w:rPr>
          <w:sz w:val="24"/>
          <w:szCs w:val="24"/>
        </w:rPr>
        <w:sectPr>
          <w:headerReference r:id="rId3" w:type="default"/>
          <w:footerReference r:id="rId5" w:type="default"/>
          <w:headerReference r:id="rId4" w:type="even"/>
          <w:footerReference r:id="rId6" w:type="even"/>
          <w:pgSz w:w="11907" w:h="16839"/>
          <w:pgMar w:top="1418" w:right="1134" w:bottom="1134" w:left="1418" w:header="1418" w:footer="851" w:gutter="0"/>
          <w:pgNumType w:fmt="upperRoman" w:start="1"/>
          <w:cols w:space="720" w:num="1"/>
          <w:docGrid w:type="linesAndChars" w:linePitch="312" w:charSpace="0"/>
        </w:sectPr>
      </w:pPr>
    </w:p>
    <w:p>
      <w:pPr>
        <w:rPr>
          <w:rFonts w:hint="eastAsia"/>
          <w:sz w:val="24"/>
          <w:szCs w:val="24"/>
        </w:rPr>
        <w:sectPr>
          <w:footerReference r:id="rId9" w:type="first"/>
          <w:headerReference r:id="rId7" w:type="default"/>
          <w:footerReference r:id="rId8" w:type="default"/>
          <w:pgSz w:w="11907" w:h="16839"/>
          <w:pgMar w:top="1418" w:right="1134" w:bottom="1134" w:left="1418" w:header="1418" w:footer="851" w:gutter="0"/>
          <w:pgNumType w:start="1"/>
          <w:cols w:space="720" w:num="1"/>
          <w:titlePg/>
          <w:docGrid w:type="lines" w:linePitch="312" w:charSpace="0"/>
        </w:sectPr>
      </w:pPr>
      <w:bookmarkStart w:id="2" w:name="_Toc464728891"/>
      <w:r>
        <w:rPr>
          <w:rFonts w:hint="eastAsia"/>
          <w:sz w:val="24"/>
          <w:szCs w:val="24"/>
        </w:rPr>
        <w:br w:type="page"/>
      </w:r>
    </w:p>
    <w:p>
      <w:pPr>
        <w:pStyle w:val="73"/>
        <w:numPr>
          <w:ilvl w:val="0"/>
          <w:numId w:val="11"/>
        </w:numPr>
        <w:tabs>
          <w:tab w:val="left" w:pos="426"/>
        </w:tabs>
        <w:spacing w:before="312" w:beforeLines="100" w:after="312" w:afterLines="100"/>
        <w:ind w:hangingChars="200"/>
        <w:jc w:val="left"/>
        <w:rPr>
          <w:sz w:val="24"/>
          <w:szCs w:val="24"/>
        </w:rPr>
      </w:pPr>
      <w:r>
        <w:rPr>
          <w:rFonts w:hint="eastAsia"/>
          <w:sz w:val="24"/>
          <w:szCs w:val="24"/>
        </w:rPr>
        <w:t>工作简况</w:t>
      </w:r>
      <w:bookmarkEnd w:id="2"/>
    </w:p>
    <w:p>
      <w:pPr>
        <w:pStyle w:val="60"/>
        <w:spacing w:before="156" w:after="156" w:line="300" w:lineRule="auto"/>
        <w:ind w:left="0"/>
        <w:contextualSpacing/>
        <w:rPr>
          <w:sz w:val="24"/>
          <w:szCs w:val="24"/>
        </w:rPr>
      </w:pPr>
      <w:bookmarkStart w:id="3" w:name="_Toc456592524"/>
      <w:bookmarkStart w:id="4" w:name="_Toc464728892"/>
      <w:r>
        <w:rPr>
          <w:rFonts w:hint="eastAsia"/>
          <w:sz w:val="24"/>
          <w:szCs w:val="24"/>
        </w:rPr>
        <w:t>立项目的</w:t>
      </w:r>
      <w:bookmarkEnd w:id="3"/>
      <w:bookmarkEnd w:id="4"/>
    </w:p>
    <w:p>
      <w:pPr>
        <w:spacing w:line="360" w:lineRule="auto"/>
        <w:ind w:firstLine="480" w:firstLineChars="200"/>
        <w:rPr>
          <w:rFonts w:hint="eastAsia"/>
          <w:sz w:val="24"/>
          <w:szCs w:val="24"/>
          <w:lang w:val="en-US" w:eastAsia="zh-CN"/>
        </w:rPr>
      </w:pPr>
      <w:bookmarkStart w:id="5" w:name="_Toc23785536"/>
      <w:bookmarkStart w:id="6" w:name="_Toc23784544"/>
      <w:bookmarkStart w:id="7" w:name="_Toc28098"/>
      <w:bookmarkStart w:id="8" w:name="_Toc23785216"/>
      <w:bookmarkStart w:id="9" w:name="_Toc23784642"/>
      <w:r>
        <w:rPr>
          <w:rFonts w:hint="eastAsia"/>
          <w:sz w:val="24"/>
          <w:szCs w:val="24"/>
          <w:lang w:val="en-US" w:eastAsia="zh-CN"/>
        </w:rPr>
        <w:t>无损检测作为国内制造业产品过程的质量把控手段，可实现产品在“零件原材料-零件成品-装配体-服役过程”的全过程检测及质量控制，实现有缺陷早检出，实现降本增效，同时提高产品服役过程中使用寿命。</w:t>
      </w:r>
    </w:p>
    <w:p>
      <w:pPr>
        <w:spacing w:line="360" w:lineRule="auto"/>
        <w:ind w:firstLine="480" w:firstLineChars="200"/>
        <w:rPr>
          <w:rFonts w:hint="eastAsia"/>
          <w:sz w:val="24"/>
          <w:szCs w:val="24"/>
          <w:lang w:val="en-US" w:eastAsia="zh-CN"/>
        </w:rPr>
      </w:pPr>
      <w:r>
        <w:rPr>
          <w:rFonts w:hint="eastAsia"/>
          <w:sz w:val="24"/>
          <w:szCs w:val="24"/>
          <w:lang w:val="en-US" w:eastAsia="zh-CN"/>
        </w:rPr>
        <w:t>超声检测作为无损检测的手段之一，其适用于检验多种类型缺陷，如分层、裂纹、气孔、夹杂、未熔合、未焊透等。可用于板材、棒材、管材、锻件、焊接件及铸件的缺陷检验，具有检测厚度大、灵敏度高、速度快等特点。</w:t>
      </w:r>
    </w:p>
    <w:p>
      <w:pPr>
        <w:spacing w:line="360" w:lineRule="auto"/>
        <w:ind w:firstLine="480" w:firstLineChars="200"/>
        <w:rPr>
          <w:rFonts w:hint="eastAsia"/>
          <w:sz w:val="24"/>
          <w:szCs w:val="24"/>
          <w:lang w:val="en-US" w:eastAsia="zh-CN"/>
        </w:rPr>
      </w:pPr>
      <w:r>
        <w:rPr>
          <w:rFonts w:hint="eastAsia"/>
          <w:sz w:val="24"/>
          <w:szCs w:val="24"/>
          <w:lang w:val="en-US" w:eastAsia="zh-CN"/>
        </w:rPr>
        <w:t>在超声检测过程中，为实现仪器设备的性能测试、缺陷的有效检出及定量等，需采用不同类型的超声试块。其中，1号标准试块可实现超声检测仪的水平线性、垂直线性和动态范围的校验，时基线比例和范围的调节，直探头和超声探伤仪组合的远场分辨力、盲区、最大穿透能力的测定，斜探头入射点、折射角、声速偏斜角的测定等功能，在超声检测过程中发挥巨大作用。因此市场对1号标准试块的校准需求日益增加，以期实现超声探伤仪、超声探头等的准确测定，对超声检测结果的准确性起到规范作用。但目前行业乃至于国家，涉及1号标准试块校准规范这一领域尚处于空白阶段。</w:t>
      </w:r>
    </w:p>
    <w:p>
      <w:pPr>
        <w:spacing w:line="360" w:lineRule="auto"/>
        <w:ind w:firstLine="480" w:firstLineChars="200"/>
        <w:rPr>
          <w:rFonts w:hint="eastAsia"/>
          <w:sz w:val="24"/>
          <w:szCs w:val="24"/>
        </w:rPr>
      </w:pPr>
      <w:r>
        <w:rPr>
          <w:rFonts w:hint="eastAsia"/>
          <w:sz w:val="24"/>
          <w:szCs w:val="24"/>
          <w:lang w:val="en-US" w:eastAsia="zh-CN"/>
        </w:rPr>
        <w:t>本校准规范的制定，能够规范行业内1号标准试块的校准方法，促进1号标准试块在超声探伤领域中实现准确的应用，确保超声探伤仪、超声探头检测结果的可靠性。促进工业产品的安全性、可靠性得到保证，进一步保障人民生产生活的安全，为我国经济发展保驾护航。</w:t>
      </w:r>
      <w:bookmarkEnd w:id="5"/>
      <w:bookmarkEnd w:id="6"/>
      <w:bookmarkEnd w:id="7"/>
      <w:bookmarkEnd w:id="8"/>
      <w:bookmarkEnd w:id="9"/>
    </w:p>
    <w:p>
      <w:pPr>
        <w:pStyle w:val="60"/>
        <w:spacing w:before="156" w:after="156" w:line="300" w:lineRule="auto"/>
        <w:ind w:left="0"/>
        <w:contextualSpacing/>
        <w:rPr>
          <w:sz w:val="24"/>
          <w:szCs w:val="24"/>
        </w:rPr>
      </w:pPr>
      <w:bookmarkStart w:id="10" w:name="_Toc464728896"/>
      <w:r>
        <w:rPr>
          <w:rFonts w:hint="eastAsia"/>
          <w:sz w:val="24"/>
          <w:szCs w:val="24"/>
        </w:rPr>
        <w:t>任务来源</w:t>
      </w:r>
      <w:bookmarkEnd w:id="10"/>
    </w:p>
    <w:p>
      <w:pPr>
        <w:spacing w:line="300" w:lineRule="auto"/>
        <w:ind w:firstLine="480" w:firstLineChars="200"/>
        <w:contextualSpacing/>
        <w:jc w:val="left"/>
        <w:rPr>
          <w:sz w:val="24"/>
          <w:szCs w:val="24"/>
        </w:rPr>
      </w:pPr>
      <w:r>
        <w:rPr>
          <w:rFonts w:hint="eastAsia"/>
          <w:sz w:val="24"/>
          <w:szCs w:val="24"/>
        </w:rPr>
        <w:t>为保证和提升我国</w:t>
      </w:r>
      <w:r>
        <w:rPr>
          <w:rFonts w:hint="eastAsia"/>
          <w:sz w:val="24"/>
          <w:szCs w:val="24"/>
          <w:lang w:val="en-US" w:eastAsia="zh-CN"/>
        </w:rPr>
        <w:t>超声标准试块应用与检测</w:t>
      </w:r>
      <w:r>
        <w:rPr>
          <w:rFonts w:hint="eastAsia"/>
          <w:sz w:val="24"/>
          <w:szCs w:val="24"/>
        </w:rPr>
        <w:t>的准确性</w:t>
      </w:r>
      <w:r>
        <w:rPr>
          <w:rFonts w:hint="eastAsia"/>
          <w:sz w:val="24"/>
          <w:szCs w:val="24"/>
          <w:lang w:eastAsia="zh-CN"/>
        </w:rPr>
        <w:t>及可靠性</w:t>
      </w:r>
      <w:r>
        <w:rPr>
          <w:rFonts w:hint="eastAsia"/>
          <w:sz w:val="24"/>
          <w:szCs w:val="24"/>
        </w:rPr>
        <w:t>，适应我国</w:t>
      </w:r>
      <w:r>
        <w:rPr>
          <w:rFonts w:hint="eastAsia"/>
          <w:sz w:val="24"/>
          <w:szCs w:val="24"/>
          <w:lang w:eastAsia="zh-CN"/>
        </w:rPr>
        <w:t>无损检测</w:t>
      </w:r>
      <w:r>
        <w:rPr>
          <w:rFonts w:hint="eastAsia"/>
          <w:sz w:val="24"/>
          <w:szCs w:val="24"/>
        </w:rPr>
        <w:t>行业的快速发展和满足国内外市场的需要，工业和信息化部以工厅科[20</w:t>
      </w:r>
      <w:r>
        <w:rPr>
          <w:rFonts w:hint="eastAsia"/>
          <w:sz w:val="24"/>
          <w:szCs w:val="24"/>
          <w:lang w:val="en-US" w:eastAsia="zh-CN"/>
        </w:rPr>
        <w:t>23</w:t>
      </w:r>
      <w:r>
        <w:rPr>
          <w:rFonts w:hint="eastAsia"/>
          <w:sz w:val="24"/>
          <w:szCs w:val="24"/>
        </w:rPr>
        <w:t>]</w:t>
      </w:r>
      <w:r>
        <w:rPr>
          <w:rFonts w:hint="eastAsia"/>
          <w:sz w:val="24"/>
          <w:szCs w:val="24"/>
          <w:lang w:val="en-US" w:eastAsia="zh-CN"/>
        </w:rPr>
        <w:t>476</w:t>
      </w:r>
      <w:r>
        <w:rPr>
          <w:rFonts w:hint="eastAsia"/>
          <w:sz w:val="24"/>
          <w:szCs w:val="24"/>
        </w:rPr>
        <w:t>号文下达了《工业和信息化部办公厅关于印发202</w:t>
      </w:r>
      <w:r>
        <w:rPr>
          <w:rFonts w:hint="eastAsia"/>
          <w:sz w:val="24"/>
          <w:szCs w:val="24"/>
          <w:lang w:val="en-US" w:eastAsia="zh-CN"/>
        </w:rPr>
        <w:t>3年行业</w:t>
      </w:r>
      <w:r>
        <w:rPr>
          <w:rFonts w:hint="eastAsia"/>
          <w:sz w:val="24"/>
          <w:szCs w:val="24"/>
        </w:rPr>
        <w:t>计量</w:t>
      </w:r>
      <w:r>
        <w:rPr>
          <w:rFonts w:hint="eastAsia"/>
          <w:sz w:val="24"/>
          <w:szCs w:val="24"/>
          <w:lang w:eastAsia="zh-CN"/>
        </w:rPr>
        <w:t>技术</w:t>
      </w:r>
      <w:r>
        <w:rPr>
          <w:rFonts w:hint="eastAsia"/>
          <w:sz w:val="24"/>
          <w:szCs w:val="24"/>
        </w:rPr>
        <w:t>规范制修订计划的通知》，其</w:t>
      </w:r>
      <w:r>
        <w:rPr>
          <w:rFonts w:hint="eastAsia"/>
          <w:sz w:val="24"/>
          <w:szCs w:val="24"/>
          <w:lang w:val="en-US" w:eastAsia="zh-CN"/>
        </w:rPr>
        <w:t>计划号</w:t>
      </w:r>
      <w:r>
        <w:rPr>
          <w:rFonts w:hint="eastAsia"/>
          <w:sz w:val="24"/>
          <w:szCs w:val="24"/>
        </w:rPr>
        <w:t>为：</w:t>
      </w:r>
      <w:r>
        <w:rPr>
          <w:rFonts w:hint="eastAsia"/>
          <w:sz w:val="24"/>
          <w:szCs w:val="24"/>
          <w:lang w:val="en-US" w:eastAsia="zh-CN"/>
        </w:rPr>
        <w:t>JJFZ（有色金属）026-2023</w:t>
      </w:r>
      <w:r>
        <w:rPr>
          <w:rFonts w:hint="eastAsia"/>
          <w:sz w:val="24"/>
          <w:szCs w:val="24"/>
        </w:rPr>
        <w:t>，计划完成年限为202</w:t>
      </w:r>
      <w:r>
        <w:rPr>
          <w:rFonts w:hint="eastAsia"/>
          <w:sz w:val="24"/>
          <w:szCs w:val="24"/>
          <w:lang w:val="en-US" w:eastAsia="zh-CN"/>
        </w:rPr>
        <w:t>5</w:t>
      </w:r>
      <w:r>
        <w:rPr>
          <w:rFonts w:hint="eastAsia"/>
          <w:sz w:val="24"/>
          <w:szCs w:val="24"/>
        </w:rPr>
        <w:t>年。</w:t>
      </w:r>
    </w:p>
    <w:p>
      <w:pPr>
        <w:pStyle w:val="60"/>
        <w:spacing w:before="156" w:after="156" w:line="300" w:lineRule="auto"/>
        <w:ind w:left="0"/>
        <w:contextualSpacing/>
        <w:rPr>
          <w:sz w:val="24"/>
          <w:szCs w:val="24"/>
        </w:rPr>
      </w:pPr>
      <w:bookmarkStart w:id="11" w:name="_Toc462884342"/>
      <w:bookmarkStart w:id="12" w:name="_Toc464728898"/>
      <w:r>
        <w:rPr>
          <w:rFonts w:hint="eastAsia"/>
          <w:sz w:val="24"/>
          <w:szCs w:val="24"/>
        </w:rPr>
        <w:t>项目编制组单位简况</w:t>
      </w:r>
      <w:bookmarkEnd w:id="11"/>
      <w:bookmarkEnd w:id="12"/>
    </w:p>
    <w:p>
      <w:pPr>
        <w:pStyle w:val="59"/>
        <w:spacing w:before="156" w:beforeLines="50" w:after="156" w:afterLines="50" w:line="240" w:lineRule="auto"/>
        <w:ind w:left="0"/>
        <w:rPr>
          <w:color w:val="auto"/>
          <w:sz w:val="24"/>
          <w:szCs w:val="24"/>
        </w:rPr>
      </w:pPr>
      <w:bookmarkStart w:id="13" w:name="_Toc464728899"/>
      <w:bookmarkStart w:id="14" w:name="_Toc462884343"/>
      <w:r>
        <w:rPr>
          <w:rFonts w:hint="eastAsia"/>
          <w:color w:val="auto"/>
          <w:sz w:val="24"/>
          <w:szCs w:val="24"/>
        </w:rPr>
        <w:t>编制组成员单位</w:t>
      </w:r>
      <w:bookmarkEnd w:id="13"/>
      <w:bookmarkEnd w:id="14"/>
    </w:p>
    <w:p>
      <w:pPr>
        <w:spacing w:line="300" w:lineRule="auto"/>
        <w:ind w:firstLine="480" w:firstLineChars="200"/>
        <w:contextualSpacing/>
        <w:jc w:val="left"/>
        <w:rPr>
          <w:sz w:val="24"/>
          <w:szCs w:val="24"/>
        </w:rPr>
      </w:pPr>
      <w:bookmarkStart w:id="15" w:name="_Toc462884344"/>
      <w:bookmarkStart w:id="16" w:name="_Toc464728900"/>
      <w:r>
        <w:rPr>
          <w:rFonts w:hint="eastAsia"/>
          <w:sz w:val="24"/>
          <w:szCs w:val="24"/>
        </w:rPr>
        <w:t>本标准的编制组单位为：国标（北京）检验认证有限公司、</w:t>
      </w:r>
      <w:r>
        <w:rPr>
          <w:rFonts w:hint="eastAsia"/>
          <w:sz w:val="24"/>
          <w:szCs w:val="24"/>
          <w:lang w:eastAsia="zh-CN"/>
        </w:rPr>
        <w:t>山东瑞祥模具有限公司</w:t>
      </w:r>
      <w:r>
        <w:rPr>
          <w:rFonts w:hint="eastAsia"/>
          <w:sz w:val="24"/>
          <w:szCs w:val="24"/>
        </w:rPr>
        <w:t>、</w:t>
      </w:r>
      <w:r>
        <w:rPr>
          <w:rFonts w:hint="eastAsia"/>
          <w:sz w:val="24"/>
          <w:szCs w:val="24"/>
          <w:lang w:eastAsia="zh-CN"/>
        </w:rPr>
        <w:t>中国特种设备检测研究院、</w:t>
      </w:r>
      <w:r>
        <w:rPr>
          <w:rFonts w:hint="eastAsia"/>
          <w:sz w:val="24"/>
          <w:szCs w:val="24"/>
          <w:lang w:val="en-US" w:eastAsia="zh-CN"/>
        </w:rPr>
        <w:t>北京工业大学、国合通用测试评价认证股份公司</w:t>
      </w:r>
      <w:r>
        <w:rPr>
          <w:rFonts w:hint="eastAsia"/>
          <w:sz w:val="24"/>
          <w:szCs w:val="24"/>
        </w:rPr>
        <w:t>。编制组成员单位均是我国有色金属行业的主要计量</w:t>
      </w:r>
      <w:r>
        <w:rPr>
          <w:rFonts w:hint="eastAsia"/>
          <w:sz w:val="24"/>
          <w:szCs w:val="24"/>
          <w:lang w:eastAsia="zh-CN"/>
        </w:rPr>
        <w:t>、检测</w:t>
      </w:r>
      <w:r>
        <w:rPr>
          <w:rFonts w:hint="eastAsia"/>
          <w:sz w:val="24"/>
          <w:szCs w:val="24"/>
        </w:rPr>
        <w:t>及科研研制单位。</w:t>
      </w:r>
    </w:p>
    <w:bookmarkEnd w:id="15"/>
    <w:bookmarkEnd w:id="16"/>
    <w:p>
      <w:pPr>
        <w:pStyle w:val="59"/>
        <w:spacing w:before="156" w:beforeLines="50" w:after="156" w:afterLines="50"/>
        <w:ind w:left="0"/>
        <w:contextualSpacing/>
        <w:rPr>
          <w:rFonts w:hAnsi="黑体"/>
          <w:color w:val="auto"/>
          <w:sz w:val="24"/>
          <w:szCs w:val="24"/>
        </w:rPr>
      </w:pPr>
      <w:r>
        <w:rPr>
          <w:rFonts w:hint="eastAsia" w:hAnsi="黑体"/>
          <w:color w:val="auto"/>
          <w:sz w:val="24"/>
          <w:szCs w:val="24"/>
        </w:rPr>
        <w:t>主编单位简介</w:t>
      </w:r>
    </w:p>
    <w:p>
      <w:pPr>
        <w:pStyle w:val="58"/>
        <w:spacing w:before="156" w:beforeLines="50" w:after="156" w:afterLines="50"/>
        <w:ind w:left="0" w:leftChars="0" w:firstLineChars="0"/>
        <w:contextualSpacing/>
        <w:rPr>
          <w:color w:val="auto"/>
          <w:sz w:val="24"/>
          <w:szCs w:val="24"/>
        </w:rPr>
      </w:pPr>
      <w:r>
        <w:rPr>
          <w:rFonts w:hint="eastAsia"/>
          <w:color w:val="auto"/>
          <w:sz w:val="24"/>
          <w:szCs w:val="24"/>
        </w:rPr>
        <w:t>国标（北京）检验认证有限公司</w:t>
      </w:r>
    </w:p>
    <w:p>
      <w:pPr>
        <w:spacing w:line="300" w:lineRule="auto"/>
        <w:ind w:firstLine="480" w:firstLineChars="200"/>
        <w:contextualSpacing/>
        <w:jc w:val="left"/>
        <w:rPr>
          <w:rFonts w:hint="eastAsia"/>
          <w:sz w:val="24"/>
          <w:szCs w:val="24"/>
        </w:rPr>
      </w:pPr>
      <w:r>
        <w:rPr>
          <w:rFonts w:hint="eastAsia"/>
          <w:sz w:val="24"/>
          <w:szCs w:val="24"/>
        </w:rPr>
        <w:t>国标（北京）检验认证有限公司（简称国标公司），是中国权威的第三方检验认证服务机构，致力于为客户提供一站式质量保障服务。公司前身为北京有色金属研究总院分析测试技术研究所，同时运行管理着“国家有色金属质量监督检验中心”和“国家有色金属及电子材料分析测试中心”，分别由原国家质量技术监督局于1985年批准建立和原国家科委于1983年批准建立。</w:t>
      </w:r>
    </w:p>
    <w:p>
      <w:pPr>
        <w:spacing w:line="300" w:lineRule="auto"/>
        <w:ind w:firstLine="480" w:firstLineChars="200"/>
        <w:contextualSpacing/>
        <w:jc w:val="left"/>
        <w:rPr>
          <w:rFonts w:hint="eastAsia"/>
          <w:sz w:val="24"/>
          <w:szCs w:val="24"/>
        </w:rPr>
      </w:pPr>
      <w:r>
        <w:rPr>
          <w:rFonts w:hint="eastAsia"/>
          <w:sz w:val="24"/>
          <w:szCs w:val="24"/>
        </w:rPr>
        <w:t>国标公司通过ISO 17025实验室国家认可(CNAS)、中国计量认证(CMA)、实验室审查认可（CAL）、培训机构资质认证（NTC）等，是国家工业与信息化部挂牌“有色金属标准样品定点研制单位（YSRK 07-2014）”、 “多晶硅行业准入检测测评实验室”、“工业(有色金属及半导体材料)产品质量控制及评价实验室”；中国有色金属工业协会认定的“有色金属失效分析行业重点实验室”；中关村高新技术企业园区挂牌的开放实验室；“航天器材料质量保证机构”；中国船级社检测和试验机构；同时是中国有色金属学会理化检验学术委员会、中国稀土学会理化检验专业委员会的主任委员单位。</w:t>
      </w:r>
    </w:p>
    <w:p>
      <w:pPr>
        <w:spacing w:line="300" w:lineRule="auto"/>
        <w:ind w:firstLine="480" w:firstLineChars="200"/>
        <w:contextualSpacing/>
        <w:jc w:val="left"/>
        <w:rPr>
          <w:rFonts w:hint="eastAsia"/>
          <w:sz w:val="24"/>
          <w:szCs w:val="24"/>
        </w:rPr>
      </w:pPr>
      <w:r>
        <w:rPr>
          <w:rFonts w:hint="eastAsia"/>
          <w:sz w:val="24"/>
          <w:szCs w:val="24"/>
        </w:rPr>
        <w:t>国标公司拥有一支基础理论扎实、实践经验丰富的研究和服务队伍，先后承担了国家科技支撑计划、国家863计划、国家自然科学基金、军工配套等计划项目的研究。曾获国家科技进步奖6项，国家发明奖3项，省部级科技进步一等奖6项，二、三等奖107项；近5年获得国家发明专利20余项；负责和参加起草制订国家标准、行业标准300余项；国家标准物质/标准样品120个，在国内外科技期刊上发表论文800余篇，撰写论著22部。</w:t>
      </w:r>
    </w:p>
    <w:p>
      <w:pPr>
        <w:spacing w:line="300" w:lineRule="auto"/>
        <w:ind w:firstLine="480" w:firstLineChars="200"/>
        <w:contextualSpacing/>
        <w:jc w:val="left"/>
        <w:rPr>
          <w:rFonts w:hint="eastAsia"/>
          <w:sz w:val="24"/>
          <w:szCs w:val="24"/>
        </w:rPr>
      </w:pPr>
      <w:r>
        <w:rPr>
          <w:rFonts w:hint="eastAsia"/>
          <w:sz w:val="24"/>
          <w:szCs w:val="24"/>
        </w:rPr>
        <w:t>其下属无损</w:t>
      </w:r>
      <w:r>
        <w:rPr>
          <w:rFonts w:hint="eastAsia"/>
          <w:sz w:val="24"/>
          <w:szCs w:val="24"/>
          <w:lang w:eastAsia="zh-CN"/>
        </w:rPr>
        <w:t>检测部</w:t>
      </w:r>
      <w:r>
        <w:rPr>
          <w:rFonts w:hint="eastAsia"/>
          <w:sz w:val="24"/>
          <w:szCs w:val="24"/>
        </w:rPr>
        <w:t>是国内最早从事无损检测技术研究与产品研制的科研机构之一，在国内具有广泛的知名度，能力涵盖</w:t>
      </w:r>
      <w:r>
        <w:rPr>
          <w:rFonts w:hint="eastAsia"/>
          <w:sz w:val="24"/>
          <w:szCs w:val="24"/>
          <w:lang w:eastAsia="zh-CN"/>
        </w:rPr>
        <w:t>超声计量、</w:t>
      </w:r>
      <w:r>
        <w:rPr>
          <w:rFonts w:hint="eastAsia"/>
          <w:sz w:val="24"/>
          <w:szCs w:val="24"/>
        </w:rPr>
        <w:t>超声检测、射线检测、涡流检测、渗透检测、磁粉及磁记忆检测等。过去的40多年间，为各重要研究单位及全国数百家冶金及金属制造厂商提供了优质的检测服务</w:t>
      </w:r>
      <w:r>
        <w:rPr>
          <w:rFonts w:hint="eastAsia"/>
          <w:sz w:val="24"/>
          <w:szCs w:val="24"/>
          <w:lang w:eastAsia="zh-CN"/>
        </w:rPr>
        <w:t>、</w:t>
      </w:r>
      <w:r>
        <w:rPr>
          <w:rFonts w:hint="eastAsia"/>
          <w:sz w:val="24"/>
          <w:szCs w:val="24"/>
        </w:rPr>
        <w:t>性能出众的检测设备</w:t>
      </w:r>
      <w:r>
        <w:rPr>
          <w:rFonts w:hint="eastAsia"/>
          <w:sz w:val="24"/>
          <w:szCs w:val="24"/>
          <w:lang w:eastAsia="zh-CN"/>
        </w:rPr>
        <w:t>及超声探伤方面的计量服务</w:t>
      </w:r>
      <w:r>
        <w:rPr>
          <w:rFonts w:hint="eastAsia"/>
          <w:sz w:val="24"/>
          <w:szCs w:val="24"/>
        </w:rPr>
        <w:t>。同时也收集了大量无损检测</w:t>
      </w:r>
      <w:r>
        <w:rPr>
          <w:rFonts w:hint="eastAsia"/>
          <w:sz w:val="24"/>
          <w:szCs w:val="24"/>
          <w:lang w:eastAsia="zh-CN"/>
        </w:rPr>
        <w:t>及计量</w:t>
      </w:r>
      <w:r>
        <w:rPr>
          <w:rFonts w:hint="eastAsia"/>
          <w:sz w:val="24"/>
          <w:szCs w:val="24"/>
        </w:rPr>
        <w:t>技术信息，积累了丰富的技术与经验，具备坚实的无损检测</w:t>
      </w:r>
      <w:r>
        <w:rPr>
          <w:rFonts w:hint="eastAsia"/>
          <w:sz w:val="24"/>
          <w:szCs w:val="24"/>
          <w:lang w:eastAsia="zh-CN"/>
        </w:rPr>
        <w:t>及计量</w:t>
      </w:r>
      <w:r>
        <w:rPr>
          <w:rFonts w:hint="eastAsia"/>
          <w:sz w:val="24"/>
          <w:szCs w:val="24"/>
        </w:rPr>
        <w:t>能力。</w:t>
      </w:r>
    </w:p>
    <w:p>
      <w:pPr>
        <w:spacing w:line="300" w:lineRule="auto"/>
        <w:ind w:firstLine="480" w:firstLineChars="200"/>
        <w:contextualSpacing/>
        <w:jc w:val="left"/>
        <w:rPr>
          <w:sz w:val="24"/>
          <w:szCs w:val="24"/>
          <w:highlight w:val="none"/>
        </w:rPr>
      </w:pPr>
      <w:r>
        <w:rPr>
          <w:rFonts w:hint="eastAsia"/>
          <w:sz w:val="24"/>
          <w:szCs w:val="24"/>
        </w:rPr>
        <w:t>国标（北京）检验认证有限公司技术能力雄厚、人员水平全面，在有色金属行业有着良好的口碑和影响力，积极组织开展</w:t>
      </w:r>
      <w:r>
        <w:rPr>
          <w:rFonts w:hint="eastAsia"/>
          <w:sz w:val="24"/>
          <w:szCs w:val="24"/>
          <w:lang w:eastAsia="zh-CN"/>
        </w:rPr>
        <w:t>本标准编制及</w:t>
      </w:r>
      <w:r>
        <w:rPr>
          <w:rFonts w:hint="eastAsia"/>
          <w:sz w:val="24"/>
          <w:szCs w:val="24"/>
        </w:rPr>
        <w:t>相关的校准</w:t>
      </w:r>
      <w:r>
        <w:rPr>
          <w:rFonts w:hint="eastAsia"/>
          <w:sz w:val="24"/>
          <w:szCs w:val="24"/>
          <w:lang w:eastAsia="zh-CN"/>
        </w:rPr>
        <w:t>工作，</w:t>
      </w:r>
      <w:r>
        <w:rPr>
          <w:rFonts w:hint="eastAsia"/>
          <w:sz w:val="24"/>
          <w:szCs w:val="24"/>
        </w:rPr>
        <w:t>完全具备起草本标准的资格、基础和条件。</w:t>
      </w:r>
    </w:p>
    <w:p>
      <w:pPr>
        <w:pStyle w:val="59"/>
        <w:spacing w:before="156" w:beforeLines="50" w:after="156" w:afterLines="50" w:line="240" w:lineRule="auto"/>
        <w:ind w:left="0"/>
        <w:rPr>
          <w:color w:val="auto"/>
          <w:sz w:val="24"/>
          <w:szCs w:val="24"/>
          <w:highlight w:val="none"/>
        </w:rPr>
      </w:pPr>
      <w:bookmarkStart w:id="17" w:name="_Toc464728901"/>
      <w:bookmarkStart w:id="18" w:name="_Toc462884345"/>
      <w:r>
        <w:rPr>
          <w:rFonts w:hint="eastAsia"/>
          <w:color w:val="auto"/>
          <w:sz w:val="24"/>
          <w:szCs w:val="24"/>
          <w:highlight w:val="none"/>
        </w:rPr>
        <w:t>成员单位简介</w:t>
      </w:r>
      <w:bookmarkEnd w:id="17"/>
      <w:bookmarkEnd w:id="18"/>
    </w:p>
    <w:p>
      <w:pPr>
        <w:pStyle w:val="58"/>
        <w:spacing w:before="156" w:beforeLines="50" w:after="156" w:afterLines="50"/>
        <w:ind w:left="2"/>
        <w:contextualSpacing/>
        <w:rPr>
          <w:color w:val="auto"/>
          <w:sz w:val="24"/>
          <w:szCs w:val="24"/>
          <w:highlight w:val="none"/>
        </w:rPr>
      </w:pPr>
      <w:r>
        <w:rPr>
          <w:rFonts w:hint="eastAsia"/>
          <w:sz w:val="24"/>
          <w:szCs w:val="24"/>
          <w:highlight w:val="none"/>
          <w:lang w:eastAsia="zh-CN"/>
        </w:rPr>
        <w:t>山东瑞祥模具有限公司</w:t>
      </w:r>
    </w:p>
    <w:p>
      <w:pPr>
        <w:spacing w:line="300" w:lineRule="auto"/>
        <w:ind w:firstLine="480" w:firstLineChars="200"/>
        <w:contextualSpacing/>
        <w:jc w:val="left"/>
        <w:rPr>
          <w:rFonts w:hint="eastAsia"/>
          <w:sz w:val="24"/>
          <w:szCs w:val="24"/>
          <w:highlight w:val="none"/>
          <w:lang w:val="en-US" w:eastAsia="zh-CN"/>
        </w:rPr>
      </w:pPr>
      <w:r>
        <w:rPr>
          <w:rFonts w:hint="eastAsia"/>
          <w:sz w:val="24"/>
          <w:szCs w:val="24"/>
          <w:highlight w:val="none"/>
          <w:lang w:val="en-US" w:eastAsia="zh-CN"/>
        </w:rPr>
        <w:t>山东瑞祥模具有限公司是国家级高新技术企业，是CNAS材料检测分析中心认证企业，是测量管理体系认证企业，ISO9001:2015国际质量管理体系认证企业。是中国无损检测学会委员会委员单位，全国无损检测标准化技术委员会委员单位，全国无损检测仪器分标委会委员单位，无损检测用试块的专业生产企业。是辽宁省无损检测学会理事单位，广东省机械工程学会无损检测分会授予的“特邀理事单位”，深圳市机械工程学会无损检测分会“特邀理事单位”。</w:t>
      </w:r>
    </w:p>
    <w:p>
      <w:pPr>
        <w:spacing w:line="300" w:lineRule="auto"/>
        <w:ind w:firstLine="480" w:firstLineChars="200"/>
        <w:contextualSpacing/>
        <w:jc w:val="left"/>
        <w:rPr>
          <w:rFonts w:hint="eastAsia"/>
          <w:sz w:val="24"/>
          <w:szCs w:val="24"/>
          <w:highlight w:val="none"/>
          <w:lang w:val="en-US" w:eastAsia="zh-CN"/>
        </w:rPr>
      </w:pPr>
      <w:r>
        <w:rPr>
          <w:rFonts w:hint="eastAsia"/>
          <w:sz w:val="24"/>
          <w:szCs w:val="24"/>
          <w:highlight w:val="none"/>
          <w:lang w:val="en-US" w:eastAsia="zh-CN"/>
        </w:rPr>
        <w:t>该公司重视科技研发及科技成果转化， “全自动相控阵超声波探伤试块项目”获科技部、财政部技术创新基金立项，“在线自动检测无损探伤涡流、超声成套设备项目”获济宁市科技重大专项扶持，“无损检测试验研究”等项目先后获得山东省中小企业科技进步三等奖、济宁市中小企业科技进步奖，获得济宁市政府设立为“市级企业技术中心”、山东省“一企一技术研发中心”，国家工信部“高速载运重点试验室” 研发基地。</w:t>
      </w:r>
    </w:p>
    <w:p>
      <w:pPr>
        <w:spacing w:line="300" w:lineRule="auto"/>
        <w:ind w:firstLine="480" w:firstLineChars="200"/>
        <w:contextualSpacing/>
        <w:jc w:val="left"/>
        <w:rPr>
          <w:sz w:val="24"/>
          <w:szCs w:val="24"/>
          <w:highlight w:val="none"/>
        </w:rPr>
      </w:pPr>
      <w:r>
        <w:rPr>
          <w:rFonts w:hint="eastAsia"/>
          <w:sz w:val="24"/>
          <w:szCs w:val="24"/>
          <w:highlight w:val="none"/>
          <w:lang w:val="en-US" w:eastAsia="zh-CN"/>
        </w:rPr>
        <w:t>该公司为保护自己的科研成果和知识产权，近几年来，先后拥有专利50项，组织制定了国家（或行业）标准《无损检测 超声检测 1号校准试块》（GB/T19799.1）、《无损检测 超声检测 2号校准试块》（GB/T19799.2）、《无损检测 超声波检测用试块》（GB/T23905）、《汽轮发电机合金轴瓦超声波检测》（DL/T297）、《无损检测 超声检测用钢对比试块的制作与检验方法》（GB/T11259）、《焊缝无损检测超声检测技术、检测等级和评定》（GB/T11345-2013）、《承压设备无损检测》（NB/T47013替代JB/T4730）等25项。被评为“中国专利山东明星企业”、济宁市十佳专利明星企业、“知识产权试点企业”，并被聘为济宁市发明协会“常务理事单位”。</w:t>
      </w:r>
    </w:p>
    <w:p>
      <w:pPr>
        <w:pStyle w:val="58"/>
        <w:spacing w:before="156" w:beforeLines="50" w:after="156" w:afterLines="50"/>
        <w:ind w:left="2"/>
        <w:contextualSpacing/>
        <w:rPr>
          <w:color w:val="auto"/>
          <w:sz w:val="24"/>
          <w:szCs w:val="24"/>
          <w:highlight w:val="none"/>
        </w:rPr>
      </w:pPr>
      <w:r>
        <w:rPr>
          <w:rFonts w:hint="eastAsia"/>
          <w:sz w:val="24"/>
          <w:szCs w:val="24"/>
          <w:highlight w:val="none"/>
          <w:lang w:eastAsia="zh-CN"/>
        </w:rPr>
        <w:t>中国特种设备检测研究院</w:t>
      </w:r>
    </w:p>
    <w:p>
      <w:pPr>
        <w:spacing w:line="300" w:lineRule="auto"/>
        <w:ind w:firstLine="480" w:firstLineChars="200"/>
        <w:contextualSpacing/>
        <w:jc w:val="both"/>
        <w:rPr>
          <w:rFonts w:hint="eastAsia"/>
          <w:sz w:val="24"/>
          <w:szCs w:val="24"/>
          <w:highlight w:val="none"/>
        </w:rPr>
      </w:pPr>
      <w:r>
        <w:rPr>
          <w:rFonts w:hint="eastAsia"/>
          <w:sz w:val="24"/>
          <w:szCs w:val="24"/>
          <w:highlight w:val="none"/>
        </w:rPr>
        <w:t>中国特种设备检测研究院（简称中国特检院，英文缩写CSEI），于1979年10月经国务院批准成立，隶属于原国家劳动总局，1998年划转至原国家质量技术监督局，2001年划转至原国家质量监督检验检疫总局，现隶属国家市场监督管理总局，是公益二类事业单位。全院现有职工1353人，其中博士83人，硕士400人，在站博士后3人。具有正高级专业技术职称人员58人，副高级专业技术职称人员241人，中级专业技术职称人员417人。国家高层次人才特殊支持计划科技领军人才1人、青年拔尖人才1人，百千万人才工程国家级人选1人，享受国务院政府特殊津贴在职人员5人。我院持证人员共计560余人，具有各类检验检测资格2100余人项。 建有完善的管理体系，具有国家市场监督管理总局核准的特种设备综合检验机构、型式试验机构和授权的锅炉定型产品能效测试机构、在用工业锅炉能效测试机构，特种设备行政许可鉴定评审机构、设计文件鉴定机构，特种设备检测机构（无损检测）。国家认证认可监督管理委员会认定的检验检测机构和授权的国家锅炉压力容器质量检验检测中心、国家锅炉水处理与有机热载体质量检验检测中心，CNAS认可的实验室和检验机构，质量管理体系认证、职业健康安全管理体系认证和环境管理体系认证等资质或证书。</w:t>
      </w:r>
    </w:p>
    <w:p>
      <w:pPr>
        <w:pStyle w:val="58"/>
        <w:bidi w:val="0"/>
        <w:spacing w:line="360" w:lineRule="auto"/>
        <w:rPr>
          <w:rFonts w:hint="eastAsia"/>
          <w:sz w:val="24"/>
          <w:szCs w:val="24"/>
          <w:highlight w:val="none"/>
          <w:lang w:val="en-US" w:eastAsia="zh-CN"/>
        </w:rPr>
      </w:pPr>
      <w:r>
        <w:rPr>
          <w:rFonts w:hint="eastAsia"/>
          <w:sz w:val="24"/>
          <w:szCs w:val="24"/>
          <w:highlight w:val="none"/>
          <w:lang w:val="en-US" w:eastAsia="zh-CN"/>
        </w:rPr>
        <w:t>山东瑞祥检测有限公司</w:t>
      </w:r>
    </w:p>
    <w:p>
      <w:pPr>
        <w:spacing w:line="300" w:lineRule="auto"/>
        <w:ind w:firstLine="480" w:firstLineChars="200"/>
        <w:contextualSpacing/>
        <w:jc w:val="both"/>
        <w:rPr>
          <w:rFonts w:hint="eastAsia"/>
          <w:sz w:val="24"/>
          <w:szCs w:val="24"/>
          <w:highlight w:val="none"/>
          <w:lang w:val="en-US" w:eastAsia="zh-CN"/>
        </w:rPr>
      </w:pPr>
      <w:r>
        <w:rPr>
          <w:rFonts w:hint="eastAsia"/>
          <w:sz w:val="24"/>
          <w:szCs w:val="24"/>
          <w:highlight w:val="none"/>
          <w:lang w:val="en-US" w:eastAsia="zh-CN"/>
        </w:rPr>
        <w:t>山东瑞祥检测有限公司是一家具有独立法人资格的检测机构，注册资本一千万元，成立于2020年6月。公司位于山东省著名的海滨城市——龙口，地址为山东省烟台市龙口市徐福街道碧海路与林海路交叉口东100米路北。其核心业务是面向社会提供锅炉、压力容器、压力管道、特种设备、钢结构等的无损检测、理化检测服务以及安全阀校验和维修，其主要检测方法有射线检测、超声波检测、磁粉检测、渗透检测、硬度、超声波测厚、光谱分析、金相分析、安全阀校验及维修等。</w:t>
      </w:r>
    </w:p>
    <w:p>
      <w:pPr>
        <w:spacing w:line="300" w:lineRule="auto"/>
        <w:ind w:firstLine="480" w:firstLineChars="200"/>
        <w:contextualSpacing/>
        <w:jc w:val="both"/>
        <w:rPr>
          <w:rFonts w:hint="eastAsia"/>
          <w:sz w:val="24"/>
          <w:szCs w:val="24"/>
          <w:highlight w:val="none"/>
          <w:lang w:val="en-US" w:eastAsia="zh-CN"/>
        </w:rPr>
      </w:pPr>
      <w:r>
        <w:rPr>
          <w:rFonts w:hint="eastAsia"/>
          <w:sz w:val="24"/>
          <w:szCs w:val="24"/>
          <w:highlight w:val="none"/>
          <w:lang w:val="en-US" w:eastAsia="zh-CN"/>
        </w:rPr>
        <w:t>公司现有员工40余人，其中已注册专业无损检测人员约30人，持有特种设备无损检测Ⅲ级证书的有5人；持有特种设备无损检测Ⅱ级证书的有20余人；持有安全阀校验证书10余人。公司购置了大量先进的仪器设备，其中工业X射线探伤机8台，超声波探伤仪5台，超声测厚仪2台，磁粉探伤机5台、辐射巡检仪1台、辐射报警仪11台、自动洗片机1台、大量超声试块及练习试板、安全阀校验及维修设备等。</w:t>
      </w:r>
    </w:p>
    <w:p>
      <w:pPr>
        <w:spacing w:line="300" w:lineRule="auto"/>
        <w:ind w:firstLine="480" w:firstLineChars="200"/>
        <w:contextualSpacing/>
        <w:jc w:val="both"/>
        <w:rPr>
          <w:rFonts w:hint="default"/>
          <w:sz w:val="24"/>
          <w:szCs w:val="24"/>
          <w:highlight w:val="none"/>
          <w:lang w:val="en-US" w:eastAsia="zh-CN"/>
        </w:rPr>
      </w:pPr>
      <w:r>
        <w:rPr>
          <w:rFonts w:hint="eastAsia"/>
          <w:sz w:val="24"/>
          <w:szCs w:val="24"/>
          <w:highlight w:val="none"/>
          <w:lang w:val="en-US" w:eastAsia="zh-CN"/>
        </w:rPr>
        <w:t>公司在“诚信公正 准确高效 安全环保 持续改进”的质量方针指导下，本着公开、公正原则，公司将通过持续改进质量管理体系，以满足顾客的需求并力争超过顾客期望。在这一管理理念的引领下，山东瑞祥检测有限公司将积极迎接经济全球化给我国带来的机遇与挑战，满怀豪情，与时俱进，与社会各界朋友共铸美好明天！</w:t>
      </w:r>
    </w:p>
    <w:p>
      <w:pPr>
        <w:pStyle w:val="58"/>
        <w:bidi w:val="0"/>
        <w:spacing w:line="360" w:lineRule="auto"/>
        <w:rPr>
          <w:highlight w:val="none"/>
        </w:rPr>
      </w:pPr>
      <w:r>
        <w:rPr>
          <w:rFonts w:hint="eastAsia"/>
          <w:sz w:val="24"/>
          <w:szCs w:val="24"/>
          <w:highlight w:val="none"/>
          <w:lang w:val="en-US" w:eastAsia="zh-CN"/>
        </w:rPr>
        <w:t>北京工业大学</w:t>
      </w:r>
    </w:p>
    <w:p>
      <w:pPr>
        <w:spacing w:line="300" w:lineRule="auto"/>
        <w:ind w:firstLine="420"/>
        <w:contextualSpacing/>
        <w:rPr>
          <w:sz w:val="24"/>
          <w:highlight w:val="none"/>
        </w:rPr>
      </w:pPr>
      <w:r>
        <w:rPr>
          <w:rFonts w:hint="eastAsia"/>
          <w:sz w:val="24"/>
          <w:highlight w:val="none"/>
        </w:rPr>
        <w:t>北京工业大学（Beijing University Of Technology）创建于1960年，是一所以工为主，工、理、经、管、文、法、艺术、教育相结合的多科性市属重点大学。1981年成为国家教育部批准的第一批硕士学位授予单位，1985年成为博士学位授予单位，1996年通过国家“211工程”预审，正式跨入国家二十一世纪重点建设的百所大学的行列。2017年9月，学校正式进入国家一流学科建设高校行列，8个学科跻身2020年QS世界大学排行榜前500，位列QS2020年世界大学排名中国内地第32，工程学、材料科学、化学、环境科学与生态学、计算机科学、生物学与生物化学6个学科进入ESI前1％。</w:t>
      </w:r>
    </w:p>
    <w:p>
      <w:pPr>
        <w:spacing w:line="300" w:lineRule="auto"/>
        <w:ind w:firstLine="420"/>
        <w:contextualSpacing/>
        <w:rPr>
          <w:rFonts w:hint="eastAsia"/>
          <w:sz w:val="24"/>
          <w:szCs w:val="24"/>
          <w:highlight w:val="yellow"/>
          <w:lang w:val="en-US" w:eastAsia="zh-CN"/>
        </w:rPr>
      </w:pPr>
      <w:r>
        <w:rPr>
          <w:rFonts w:hint="eastAsia"/>
          <w:sz w:val="24"/>
          <w:highlight w:val="none"/>
        </w:rPr>
        <w:t>无损检测与评价研究所成立于1998年，现有专任教师16名（其中教授7名，副教授2名，讲师7名）。团队成员中获得国家优青1名，北京市拔尖创新人才2名，北京市科技新星4名。先后承担科技部（国家重点研发计划、863计划）专项项目与课题，国家自然科学基金（青年、面上、国家重大科研仪器、重点、仪器专项等）项目及企业委托开发专项80余项，科研经费累计达7000余万元。其中，利用超声技术对新材料的力学性能、电池模组的运行状态等进行无损表征，已发展成为声测实验力学领域的重要发展方向。团队长期深耕声测实验力学领域，重点围绕关键基础材料的“力学性能/典型缺陷/运行状态”的无损检测问题，发展声测理论模型和检测新方法，突破先进传感关键技术，研发适用于高端装备及核心器件的无损检测及健康监测新仪器，并在国内率先开发出具有完全自主知识产权的高频超声显微测量仪器，核心技术指标达到国际先进水平。同时，基于超声无损检测技术的原理和方法，团队开展了多种面向工程应用的专用设备研制工作，多项成果得到了企业或行业的认可。</w:t>
      </w:r>
    </w:p>
    <w:p>
      <w:pPr>
        <w:pStyle w:val="58"/>
        <w:bidi w:val="0"/>
        <w:spacing w:line="360" w:lineRule="auto"/>
        <w:rPr>
          <w:rFonts w:hint="eastAsia" w:ascii="黑体" w:hAnsi="黑体" w:eastAsia="黑体" w:cs="Times New Roman"/>
          <w:color w:val="000000" w:themeColor="text1"/>
          <w:spacing w:val="-6"/>
          <w:kern w:val="0"/>
          <w:sz w:val="24"/>
          <w:szCs w:val="24"/>
          <w:lang w:val="en-US" w:eastAsia="zh-CN" w:bidi="ar-SA"/>
          <w14:textFill>
            <w14:solidFill>
              <w14:schemeClr w14:val="tx1"/>
            </w14:solidFill>
          </w14:textFill>
        </w:rPr>
      </w:pPr>
      <w:r>
        <w:rPr>
          <w:rFonts w:hint="eastAsia" w:ascii="黑体" w:hAnsi="黑体" w:eastAsia="黑体" w:cs="Times New Roman"/>
          <w:color w:val="000000" w:themeColor="text1"/>
          <w:spacing w:val="-6"/>
          <w:kern w:val="0"/>
          <w:sz w:val="24"/>
          <w:szCs w:val="24"/>
          <w:lang w:val="en-US" w:eastAsia="zh-CN" w:bidi="ar-SA"/>
          <w14:textFill>
            <w14:solidFill>
              <w14:schemeClr w14:val="tx1"/>
            </w14:solidFill>
          </w14:textFill>
        </w:rPr>
        <w:t>国合通用测试评价认证股份公司</w:t>
      </w:r>
    </w:p>
    <w:p>
      <w:pPr>
        <w:spacing w:line="300" w:lineRule="auto"/>
        <w:ind w:firstLine="420" w:firstLineChars="0"/>
        <w:contextualSpacing/>
        <w:jc w:val="left"/>
        <w:rPr>
          <w:rFonts w:hint="eastAsia"/>
          <w:sz w:val="24"/>
          <w:szCs w:val="24"/>
          <w:lang w:val="en-US" w:eastAsia="zh-CN"/>
        </w:rPr>
      </w:pPr>
      <w:r>
        <w:rPr>
          <w:rFonts w:hint="eastAsia"/>
          <w:sz w:val="24"/>
          <w:szCs w:val="24"/>
          <w:lang w:val="en-US" w:eastAsia="zh-CN"/>
        </w:rPr>
        <w:t>国合通用测试评价认证股份公司（以下简称国合通测）是中央企业中国有研科技集团有限公司的二级公司，主要从事新材料分析测试、质量评估、验证评价等科技服务，管理并运行着国家新材料测试评价平台主中心、国家有色金属质量检验检测中心等7个国家级中心/实验室，在国内金属新材料检测及认证领域处于行业领先地位。公司拥有一支基础理论扎实、实践经验丰富的高水平专业服务团队，员工总数640名，享受国务院特殊津贴专家3名，高级职称及以上人员101名，专业技术人员267人（42%），博士学历专业技术人员30余名。在北京、上海、青岛、深圳、重庆、西安、德阳七省市建立专业实验室逾50000平方米，装备高端仪器设备4200余台套，具备国际先进水平的金属材料综合测试评价能力，累计为12000余家金属材料研究、生产和应用单位提供“一站式”服务。</w:t>
      </w:r>
    </w:p>
    <w:p>
      <w:pPr>
        <w:pStyle w:val="60"/>
        <w:spacing w:before="156" w:after="156" w:line="300" w:lineRule="auto"/>
        <w:ind w:left="0"/>
        <w:contextualSpacing/>
        <w:rPr>
          <w:rFonts w:hint="default"/>
          <w:sz w:val="24"/>
          <w:szCs w:val="24"/>
          <w:lang w:val="en-US"/>
        </w:rPr>
      </w:pPr>
      <w:bookmarkStart w:id="19" w:name="_Toc464728913"/>
      <w:bookmarkStart w:id="20" w:name="_Toc462884357"/>
      <w:r>
        <w:rPr>
          <w:rFonts w:hint="eastAsia"/>
          <w:sz w:val="24"/>
          <w:szCs w:val="24"/>
        </w:rPr>
        <w:t>主要工作过程</w:t>
      </w:r>
      <w:bookmarkEnd w:id="19"/>
      <w:bookmarkEnd w:id="20"/>
    </w:p>
    <w:p>
      <w:pPr>
        <w:pStyle w:val="57"/>
        <w:spacing w:line="360" w:lineRule="auto"/>
        <w:ind w:left="0" w:leftChars="0" w:firstLine="0" w:firstLineChars="0"/>
        <w:rPr>
          <w:rFonts w:hint="default" w:ascii="黑体" w:hAnsi="Times New Roman" w:eastAsia="黑体" w:cs="Times New Roman"/>
          <w:color w:val="auto"/>
          <w:spacing w:val="-4"/>
          <w:sz w:val="24"/>
          <w:szCs w:val="24"/>
          <w:lang w:val="en-US" w:eastAsia="zh-CN" w:bidi="ar-SA"/>
        </w:rPr>
      </w:pPr>
      <w:r>
        <w:rPr>
          <w:rFonts w:hint="default" w:ascii="黑体" w:hAnsi="Times New Roman" w:eastAsia="黑体" w:cs="Times New Roman"/>
          <w:color w:val="auto"/>
          <w:spacing w:val="-4"/>
          <w:sz w:val="24"/>
          <w:szCs w:val="24"/>
          <w:lang w:val="en-US" w:eastAsia="zh-CN" w:bidi="ar-SA"/>
        </w:rPr>
        <w:t xml:space="preserve">4.1 </w:t>
      </w:r>
      <w:r>
        <w:rPr>
          <w:rFonts w:hint="eastAsia" w:ascii="黑体" w:hAnsi="Times New Roman" w:eastAsia="黑体" w:cs="Times New Roman"/>
          <w:color w:val="auto"/>
          <w:spacing w:val="-4"/>
          <w:sz w:val="24"/>
          <w:szCs w:val="24"/>
          <w:lang w:val="en-US" w:eastAsia="zh-CN" w:bidi="ar-SA"/>
        </w:rPr>
        <w:t>预研阶段</w:t>
      </w:r>
    </w:p>
    <w:p>
      <w:pPr>
        <w:pStyle w:val="57"/>
        <w:spacing w:line="324" w:lineRule="auto"/>
        <w:ind w:firstLine="420"/>
        <w:rPr>
          <w:rFonts w:hint="default"/>
          <w:sz w:val="24"/>
          <w:szCs w:val="24"/>
          <w:lang w:val="en-US" w:eastAsia="zh-CN"/>
        </w:rPr>
      </w:pPr>
      <w:r>
        <w:rPr>
          <w:rFonts w:hint="default"/>
          <w:sz w:val="24"/>
          <w:szCs w:val="24"/>
          <w:lang w:val="en-US" w:eastAsia="zh-CN"/>
        </w:rPr>
        <w:t>编制组内部经实地调研，就规范包含的内容、主要技术指标等问题进行了讨论，确定规范起草的主导思想和起草原则，对起草组人员的工作进行了分配，并对制定规范的技术指标及拟使用的方法进行现场验证。了解使用单位需求情况并进行测试试验,选取有代表性的</w:t>
      </w:r>
      <w:r>
        <w:rPr>
          <w:rFonts w:hint="eastAsia"/>
          <w:sz w:val="24"/>
          <w:szCs w:val="24"/>
          <w:lang w:val="en-US" w:eastAsia="zh-CN"/>
        </w:rPr>
        <w:t>超声标准试块</w:t>
      </w:r>
      <w:r>
        <w:rPr>
          <w:rFonts w:hint="default"/>
          <w:sz w:val="24"/>
          <w:szCs w:val="24"/>
          <w:lang w:val="en-US" w:eastAsia="zh-CN"/>
        </w:rPr>
        <w:t>，收集相关技术材料。</w:t>
      </w:r>
    </w:p>
    <w:p>
      <w:pPr>
        <w:pStyle w:val="57"/>
        <w:spacing w:line="360" w:lineRule="auto"/>
        <w:ind w:left="0" w:leftChars="0" w:firstLine="0" w:firstLineChars="0"/>
        <w:rPr>
          <w:rFonts w:hint="default"/>
          <w:lang w:val="en-US" w:eastAsia="zh-CN"/>
        </w:rPr>
      </w:pPr>
      <w:r>
        <w:rPr>
          <w:rFonts w:hint="default" w:ascii="黑体" w:hAnsi="Times New Roman" w:eastAsia="黑体" w:cs="Times New Roman"/>
          <w:color w:val="auto"/>
          <w:spacing w:val="-4"/>
          <w:sz w:val="24"/>
          <w:szCs w:val="24"/>
          <w:lang w:val="en-US" w:eastAsia="zh-CN" w:bidi="ar-SA"/>
        </w:rPr>
        <w:t>4.2 立项阶段</w:t>
      </w:r>
    </w:p>
    <w:p>
      <w:pPr>
        <w:pStyle w:val="57"/>
        <w:spacing w:line="324" w:lineRule="auto"/>
        <w:ind w:firstLine="420"/>
        <w:rPr>
          <w:rFonts w:hint="default"/>
          <w:sz w:val="24"/>
          <w:szCs w:val="24"/>
          <w:lang w:val="en-US" w:eastAsia="zh-CN"/>
        </w:rPr>
      </w:pPr>
      <w:r>
        <w:rPr>
          <w:rFonts w:hint="default"/>
          <w:sz w:val="24"/>
          <w:szCs w:val="24"/>
          <w:lang w:val="en-US" w:eastAsia="zh-CN"/>
        </w:rPr>
        <w:t>预研工作完成后，由国标（北京）检验认证有限公司提交项目</w:t>
      </w:r>
      <w:r>
        <w:rPr>
          <w:rFonts w:hint="eastAsia"/>
          <w:sz w:val="24"/>
          <w:szCs w:val="24"/>
          <w:lang w:val="en-US" w:eastAsia="zh-CN"/>
        </w:rPr>
        <w:t>建议</w:t>
      </w:r>
      <w:r>
        <w:rPr>
          <w:rFonts w:hint="default"/>
          <w:sz w:val="24"/>
          <w:szCs w:val="24"/>
          <w:lang w:val="en-US" w:eastAsia="zh-CN"/>
        </w:rPr>
        <w:t>书等材料，于202</w:t>
      </w:r>
      <w:r>
        <w:rPr>
          <w:rFonts w:hint="eastAsia"/>
          <w:sz w:val="24"/>
          <w:szCs w:val="24"/>
          <w:lang w:val="en-US" w:eastAsia="zh-CN"/>
        </w:rPr>
        <w:t>3</w:t>
      </w:r>
      <w:r>
        <w:rPr>
          <w:rFonts w:hint="default"/>
          <w:sz w:val="24"/>
          <w:szCs w:val="24"/>
          <w:lang w:val="en-US" w:eastAsia="zh-CN"/>
        </w:rPr>
        <w:t>年6月，工业和信息化部以工信厅科函</w:t>
      </w:r>
      <w:r>
        <w:rPr>
          <w:rFonts w:hint="eastAsia"/>
          <w:sz w:val="24"/>
          <w:szCs w:val="24"/>
        </w:rPr>
        <w:t>[20</w:t>
      </w:r>
      <w:r>
        <w:rPr>
          <w:rFonts w:hint="eastAsia"/>
          <w:sz w:val="24"/>
          <w:szCs w:val="24"/>
          <w:lang w:val="en-US" w:eastAsia="zh-CN"/>
        </w:rPr>
        <w:t>23</w:t>
      </w:r>
      <w:r>
        <w:rPr>
          <w:rFonts w:hint="eastAsia"/>
          <w:sz w:val="24"/>
          <w:szCs w:val="24"/>
        </w:rPr>
        <w:t>]</w:t>
      </w:r>
      <w:r>
        <w:rPr>
          <w:rFonts w:hint="eastAsia"/>
          <w:sz w:val="24"/>
          <w:szCs w:val="24"/>
          <w:lang w:val="en-US" w:eastAsia="zh-CN"/>
        </w:rPr>
        <w:t>476</w:t>
      </w:r>
      <w:r>
        <w:rPr>
          <w:rFonts w:hint="default"/>
          <w:sz w:val="24"/>
          <w:szCs w:val="24"/>
          <w:lang w:val="en-US" w:eastAsia="zh-CN"/>
        </w:rPr>
        <w:t>号文下达了</w:t>
      </w:r>
      <w:r>
        <w:rPr>
          <w:rFonts w:hint="eastAsia"/>
          <w:sz w:val="24"/>
          <w:szCs w:val="24"/>
        </w:rPr>
        <w:t>《工业和信息化部办公厅关于印发202</w:t>
      </w:r>
      <w:r>
        <w:rPr>
          <w:rFonts w:hint="eastAsia"/>
          <w:sz w:val="24"/>
          <w:szCs w:val="24"/>
          <w:lang w:val="en-US" w:eastAsia="zh-CN"/>
        </w:rPr>
        <w:t>3年行业</w:t>
      </w:r>
      <w:r>
        <w:rPr>
          <w:rFonts w:hint="eastAsia"/>
          <w:sz w:val="24"/>
          <w:szCs w:val="24"/>
        </w:rPr>
        <w:t>计量</w:t>
      </w:r>
      <w:r>
        <w:rPr>
          <w:rFonts w:hint="eastAsia"/>
          <w:sz w:val="24"/>
          <w:szCs w:val="24"/>
          <w:lang w:eastAsia="zh-CN"/>
        </w:rPr>
        <w:t>技术</w:t>
      </w:r>
      <w:r>
        <w:rPr>
          <w:rFonts w:hint="eastAsia"/>
          <w:sz w:val="24"/>
          <w:szCs w:val="24"/>
        </w:rPr>
        <w:t>规范制修订计划的通知》</w:t>
      </w:r>
      <w:r>
        <w:rPr>
          <w:rFonts w:hint="default"/>
          <w:sz w:val="24"/>
          <w:szCs w:val="24"/>
          <w:lang w:val="en-US" w:eastAsia="zh-CN"/>
        </w:rPr>
        <w:t>，</w:t>
      </w:r>
      <w:r>
        <w:rPr>
          <w:rFonts w:hint="eastAsia"/>
          <w:sz w:val="24"/>
          <w:szCs w:val="24"/>
        </w:rPr>
        <w:t>其</w:t>
      </w:r>
      <w:r>
        <w:rPr>
          <w:rFonts w:hint="eastAsia"/>
          <w:sz w:val="24"/>
          <w:szCs w:val="24"/>
          <w:lang w:val="en-US" w:eastAsia="zh-CN"/>
        </w:rPr>
        <w:t>计划号</w:t>
      </w:r>
      <w:r>
        <w:rPr>
          <w:rFonts w:hint="eastAsia"/>
          <w:sz w:val="24"/>
          <w:szCs w:val="24"/>
        </w:rPr>
        <w:t>为：</w:t>
      </w:r>
      <w:r>
        <w:rPr>
          <w:rFonts w:hint="eastAsia"/>
          <w:sz w:val="24"/>
          <w:szCs w:val="24"/>
          <w:lang w:val="en-US" w:eastAsia="zh-CN"/>
        </w:rPr>
        <w:t>JJFZ（有色金属）026-2023</w:t>
      </w:r>
      <w:r>
        <w:rPr>
          <w:rFonts w:hint="eastAsia"/>
          <w:sz w:val="24"/>
          <w:szCs w:val="24"/>
        </w:rPr>
        <w:t>，计划完成年限为202</w:t>
      </w:r>
      <w:r>
        <w:rPr>
          <w:rFonts w:hint="eastAsia"/>
          <w:sz w:val="24"/>
          <w:szCs w:val="24"/>
          <w:lang w:val="en-US" w:eastAsia="zh-CN"/>
        </w:rPr>
        <w:t>5</w:t>
      </w:r>
      <w:r>
        <w:rPr>
          <w:rFonts w:hint="eastAsia"/>
          <w:sz w:val="24"/>
          <w:szCs w:val="24"/>
        </w:rPr>
        <w:t>年。</w:t>
      </w:r>
    </w:p>
    <w:p>
      <w:pPr>
        <w:pStyle w:val="57"/>
        <w:spacing w:line="360" w:lineRule="auto"/>
        <w:ind w:left="0" w:leftChars="0" w:firstLine="0" w:firstLineChars="0"/>
        <w:rPr>
          <w:rFonts w:hint="eastAsia" w:ascii="黑体" w:hAnsi="Times New Roman" w:eastAsia="黑体" w:cs="Times New Roman"/>
          <w:color w:val="auto"/>
          <w:spacing w:val="-4"/>
          <w:sz w:val="24"/>
          <w:szCs w:val="24"/>
          <w:lang w:val="en-US" w:eastAsia="zh-CN" w:bidi="ar-SA"/>
        </w:rPr>
      </w:pPr>
      <w:r>
        <w:rPr>
          <w:rFonts w:hint="default" w:ascii="黑体" w:hAnsi="Times New Roman" w:eastAsia="黑体" w:cs="Times New Roman"/>
          <w:color w:val="auto"/>
          <w:spacing w:val="-4"/>
          <w:sz w:val="24"/>
          <w:szCs w:val="24"/>
          <w:lang w:val="en-US" w:eastAsia="zh-CN" w:bidi="ar-SA"/>
        </w:rPr>
        <w:t xml:space="preserve">4.3 </w:t>
      </w:r>
      <w:r>
        <w:rPr>
          <w:rFonts w:hint="eastAsia" w:ascii="黑体" w:hAnsi="Times New Roman" w:eastAsia="黑体" w:cs="Times New Roman"/>
          <w:color w:val="auto"/>
          <w:spacing w:val="-4"/>
          <w:sz w:val="24"/>
          <w:szCs w:val="24"/>
          <w:lang w:val="en-US" w:eastAsia="zh-CN" w:bidi="ar-SA"/>
        </w:rPr>
        <w:t>起草阶段</w:t>
      </w:r>
    </w:p>
    <w:p>
      <w:pPr>
        <w:pStyle w:val="57"/>
        <w:spacing w:line="324" w:lineRule="auto"/>
        <w:ind w:left="0" w:leftChars="0" w:firstLine="0" w:firstLineChars="0"/>
        <w:rPr>
          <w:rFonts w:hint="eastAsia"/>
          <w:color w:val="auto"/>
          <w:sz w:val="24"/>
          <w:szCs w:val="24"/>
        </w:rPr>
      </w:pPr>
      <w:r>
        <w:rPr>
          <w:rFonts w:hint="eastAsia" w:ascii="黑体" w:hAnsi="Times New Roman" w:eastAsia="黑体" w:cs="Times New Roman"/>
          <w:color w:val="auto"/>
          <w:spacing w:val="-4"/>
          <w:sz w:val="24"/>
          <w:szCs w:val="24"/>
          <w:lang w:val="en-US" w:eastAsia="zh-CN" w:bidi="ar-SA"/>
        </w:rPr>
        <w:t>4.3.1 任务讨论会</w:t>
      </w:r>
    </w:p>
    <w:p>
      <w:pPr>
        <w:pStyle w:val="57"/>
        <w:spacing w:line="324" w:lineRule="auto"/>
        <w:ind w:firstLine="420"/>
        <w:rPr>
          <w:rFonts w:hint="default" w:eastAsia="宋体"/>
          <w:sz w:val="24"/>
          <w:szCs w:val="24"/>
          <w:lang w:val="en-US" w:eastAsia="zh-CN"/>
        </w:rPr>
      </w:pPr>
      <w:r>
        <w:rPr>
          <w:rFonts w:hint="eastAsia"/>
          <w:sz w:val="24"/>
          <w:szCs w:val="24"/>
          <w:lang w:val="en-US" w:eastAsia="zh-CN"/>
        </w:rPr>
        <w:t>2023年9月，</w:t>
      </w:r>
      <w:r>
        <w:rPr>
          <w:rFonts w:hint="default"/>
          <w:sz w:val="24"/>
          <w:szCs w:val="24"/>
          <w:lang w:val="en-US" w:eastAsia="zh-CN"/>
        </w:rPr>
        <w:t>由国标（北京）检验认证有限公司提交</w:t>
      </w:r>
      <w:r>
        <w:rPr>
          <w:rFonts w:hint="eastAsia"/>
          <w:sz w:val="24"/>
          <w:szCs w:val="24"/>
          <w:lang w:val="en-US" w:eastAsia="zh-CN"/>
        </w:rPr>
        <w:t>项目落实任务书材料。</w:t>
      </w:r>
    </w:p>
    <w:p>
      <w:pPr>
        <w:pStyle w:val="57"/>
        <w:spacing w:line="324" w:lineRule="auto"/>
        <w:ind w:firstLine="420"/>
        <w:rPr>
          <w:rFonts w:hint="eastAsia" w:ascii="Times New Roman" w:hAnsi="Times New Roman" w:cs="Times New Roman"/>
          <w:sz w:val="24"/>
          <w:szCs w:val="24"/>
          <w:lang w:val="en-US" w:eastAsia="zh-CN"/>
        </w:rPr>
      </w:pPr>
      <w:r>
        <w:rPr>
          <w:rFonts w:hint="default"/>
          <w:sz w:val="24"/>
          <w:szCs w:val="24"/>
          <w:lang w:val="en-US" w:eastAsia="zh-CN"/>
        </w:rPr>
        <w:t>202</w:t>
      </w:r>
      <w:r>
        <w:rPr>
          <w:rFonts w:hint="eastAsia"/>
          <w:sz w:val="24"/>
          <w:szCs w:val="24"/>
          <w:lang w:val="en-US" w:eastAsia="zh-CN"/>
        </w:rPr>
        <w:t>3</w:t>
      </w:r>
      <w:r>
        <w:rPr>
          <w:rFonts w:hint="default"/>
          <w:sz w:val="24"/>
          <w:szCs w:val="24"/>
          <w:lang w:val="en-US" w:eastAsia="zh-CN"/>
        </w:rPr>
        <w:t>年</w:t>
      </w:r>
      <w:r>
        <w:rPr>
          <w:rFonts w:hint="eastAsia"/>
          <w:sz w:val="24"/>
          <w:szCs w:val="24"/>
          <w:lang w:val="en-US" w:eastAsia="zh-CN"/>
        </w:rPr>
        <w:t>12</w:t>
      </w:r>
      <w:r>
        <w:rPr>
          <w:rFonts w:hint="default"/>
          <w:sz w:val="24"/>
          <w:szCs w:val="24"/>
          <w:lang w:val="en-US" w:eastAsia="zh-CN"/>
        </w:rPr>
        <w:t>月</w:t>
      </w:r>
      <w:r>
        <w:rPr>
          <w:rFonts w:hint="eastAsia" w:ascii="Times New Roman" w:hAnsi="Times New Roman" w:cs="Times New Roman"/>
          <w:sz w:val="24"/>
          <w:szCs w:val="24"/>
          <w:lang w:val="en-US" w:eastAsia="zh-CN"/>
        </w:rPr>
        <w:t>，由国标公司编制组对规范进行起草。经过多次的讨论，现场试验和数据采集后，完成了规范的讨论稿。</w:t>
      </w:r>
    </w:p>
    <w:p>
      <w:pPr>
        <w:pStyle w:val="57"/>
        <w:spacing w:line="324" w:lineRule="auto"/>
        <w:ind w:firstLine="420"/>
        <w:rPr>
          <w:rFonts w:hint="eastAsia"/>
          <w:sz w:val="24"/>
          <w:szCs w:val="24"/>
          <w:lang w:val="en-US" w:eastAsia="zh-CN"/>
        </w:rPr>
      </w:pPr>
      <w:r>
        <w:rPr>
          <w:rFonts w:hint="eastAsia" w:ascii="Times New Roman" w:hAnsi="Times New Roman" w:cs="Times New Roman"/>
          <w:sz w:val="24"/>
          <w:szCs w:val="24"/>
          <w:highlight w:val="none"/>
          <w:lang w:val="en-US" w:eastAsia="zh-CN"/>
        </w:rPr>
        <w:t>2024年1月11日，在哈</w:t>
      </w:r>
      <w:r>
        <w:rPr>
          <w:rFonts w:hint="eastAsia" w:ascii="Times New Roman" w:hAnsi="Times New Roman" w:eastAsia="宋体" w:cs="Times New Roman"/>
          <w:sz w:val="24"/>
          <w:szCs w:val="24"/>
          <w:highlight w:val="none"/>
          <w:lang w:val="en-US" w:eastAsia="zh-CN"/>
        </w:rPr>
        <w:t>尔滨召开规范研讨会，参会单</w:t>
      </w:r>
      <w:r>
        <w:rPr>
          <w:rFonts w:hint="eastAsia" w:ascii="Times New Roman" w:hAnsi="Times New Roman" w:cs="Times New Roman"/>
          <w:sz w:val="24"/>
          <w:szCs w:val="24"/>
          <w:highlight w:val="none"/>
          <w:lang w:val="en-US" w:eastAsia="zh-CN"/>
        </w:rPr>
        <w:t>位有山东瑞祥模具有限公司、中国特种设备检测研究院、山东瑞祥检测有限公司、北京工业大学、国合通用测试评价认证股份公司及标委会24家单位专家。会上对标准讨论稿</w:t>
      </w:r>
      <w:r>
        <w:rPr>
          <w:rFonts w:hint="eastAsia"/>
          <w:sz w:val="24"/>
          <w:szCs w:val="24"/>
          <w:highlight w:val="none"/>
          <w:lang w:val="en-US" w:eastAsia="zh-CN"/>
        </w:rPr>
        <w:t>进行了热烈的讨论，并对规范讨论稿提出了修改意见，对关键技术指标、校准方法等进一步讨论和明确，具体</w:t>
      </w:r>
      <w:r>
        <w:rPr>
          <w:rFonts w:hint="eastAsia"/>
          <w:sz w:val="24"/>
          <w:szCs w:val="24"/>
          <w:lang w:val="en-US" w:eastAsia="zh-CN"/>
        </w:rPr>
        <w:t>意见见表1。</w:t>
      </w:r>
    </w:p>
    <w:p>
      <w:pPr>
        <w:jc w:val="center"/>
        <w:rPr>
          <w:rFonts w:hint="default" w:ascii="Times New Roman" w:hAnsi="Times New Roman" w:eastAsia="宋体" w:cs="Times New Roman"/>
          <w:kern w:val="0"/>
          <w:sz w:val="21"/>
          <w:szCs w:val="21"/>
          <w:highlight w:val="none"/>
          <w:lang w:val="en-US" w:eastAsia="zh-CN" w:bidi="ar-SA"/>
        </w:rPr>
      </w:pPr>
      <w:r>
        <w:rPr>
          <w:rFonts w:hint="eastAsia" w:ascii="黑体" w:hAnsi="黑体" w:eastAsia="黑体" w:cs="黑体"/>
          <w:kern w:val="0"/>
          <w:sz w:val="21"/>
          <w:szCs w:val="21"/>
          <w:highlight w:val="none"/>
          <w:lang w:val="en-US" w:eastAsia="zh-CN" w:bidi="ar-SA"/>
        </w:rPr>
        <w:t>表1 有色金属计量技术规范研讨会会议纪要-哈尔滨</w:t>
      </w:r>
    </w:p>
    <w:tbl>
      <w:tblPr>
        <w:tblStyle w:val="40"/>
        <w:tblW w:w="5003" w:type="pct"/>
        <w:tblInd w:w="-5" w:type="dxa"/>
        <w:tblLayout w:type="fixed"/>
        <w:tblCellMar>
          <w:top w:w="0" w:type="dxa"/>
          <w:left w:w="108" w:type="dxa"/>
          <w:bottom w:w="0" w:type="dxa"/>
          <w:right w:w="108" w:type="dxa"/>
        </w:tblCellMar>
      </w:tblPr>
      <w:tblGrid>
        <w:gridCol w:w="839"/>
        <w:gridCol w:w="1025"/>
        <w:gridCol w:w="4427"/>
        <w:gridCol w:w="1410"/>
        <w:gridCol w:w="1419"/>
        <w:gridCol w:w="457"/>
        <w:gridCol w:w="1"/>
      </w:tblGrid>
      <w:tr>
        <w:tblPrEx>
          <w:tblCellMar>
            <w:top w:w="0" w:type="dxa"/>
            <w:left w:w="108" w:type="dxa"/>
            <w:bottom w:w="0" w:type="dxa"/>
            <w:right w:w="108" w:type="dxa"/>
          </w:tblCellMar>
        </w:tblPrEx>
        <w:trPr>
          <w:gridAfter w:val="1"/>
          <w:wAfter w:w="1" w:type="dxa"/>
          <w:cantSplit/>
          <w:trHeight w:val="567" w:hRule="atLeast"/>
        </w:trPr>
        <w:tc>
          <w:tcPr>
            <w:tcW w:w="9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参会单位及人员</w:t>
            </w:r>
          </w:p>
        </w:tc>
        <w:tc>
          <w:tcPr>
            <w:tcW w:w="4026"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color w:val="000000"/>
                <w:kern w:val="0"/>
                <w:sz w:val="21"/>
                <w:szCs w:val="21"/>
              </w:rPr>
              <w:t>具体见签到表扫描件/复印件</w:t>
            </w:r>
          </w:p>
        </w:tc>
      </w:tr>
      <w:tr>
        <w:tblPrEx>
          <w:tblCellMar>
            <w:top w:w="0" w:type="dxa"/>
            <w:left w:w="108" w:type="dxa"/>
            <w:bottom w:w="0" w:type="dxa"/>
            <w:right w:w="108" w:type="dxa"/>
          </w:tblCellMar>
        </w:tblPrEx>
        <w:trPr>
          <w:gridAfter w:val="1"/>
          <w:wAfter w:w="1" w:type="dxa"/>
          <w:cantSplit/>
          <w:trHeight w:val="567" w:hRule="atLeast"/>
        </w:trPr>
        <w:tc>
          <w:tcPr>
            <w:tcW w:w="9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拟参与编制单位</w:t>
            </w:r>
          </w:p>
        </w:tc>
        <w:tc>
          <w:tcPr>
            <w:tcW w:w="4026"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val="0"/>
                <w:bCs w:val="0"/>
                <w:color w:val="000000"/>
                <w:kern w:val="0"/>
                <w:sz w:val="21"/>
                <w:szCs w:val="21"/>
              </w:rPr>
              <w:t>山东瑞祥模具有限公司、中国特种设备检测研究院、山东瑞祥检测有限公司、北京工业大学、国合通用测试评价认证股份公司</w:t>
            </w:r>
          </w:p>
        </w:tc>
      </w:tr>
      <w:tr>
        <w:tblPrEx>
          <w:tblCellMar>
            <w:top w:w="0" w:type="dxa"/>
            <w:left w:w="108" w:type="dxa"/>
            <w:bottom w:w="0" w:type="dxa"/>
            <w:right w:w="108" w:type="dxa"/>
          </w:tblCellMar>
        </w:tblPrEx>
        <w:trPr>
          <w:trHeight w:val="567" w:hRule="atLeast"/>
        </w:trPr>
        <w:tc>
          <w:tcPr>
            <w:tcW w:w="43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序号</w:t>
            </w:r>
          </w:p>
        </w:tc>
        <w:tc>
          <w:tcPr>
            <w:tcW w:w="53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标准章条</w:t>
            </w:r>
          </w:p>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编号</w:t>
            </w:r>
          </w:p>
        </w:tc>
        <w:tc>
          <w:tcPr>
            <w:tcW w:w="231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意见内容</w:t>
            </w:r>
          </w:p>
        </w:tc>
        <w:tc>
          <w:tcPr>
            <w:tcW w:w="73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提出单位及提出人</w:t>
            </w:r>
          </w:p>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（可简写）</w:t>
            </w:r>
          </w:p>
        </w:tc>
        <w:tc>
          <w:tcPr>
            <w:tcW w:w="74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处理意见</w:t>
            </w:r>
          </w:p>
        </w:tc>
        <w:tc>
          <w:tcPr>
            <w:tcW w:w="239"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备注</w:t>
            </w:r>
          </w:p>
        </w:tc>
      </w:tr>
      <w:tr>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eastAsia="zh-CN"/>
              </w:rPr>
            </w:pPr>
            <w:r>
              <w:rPr>
                <w:rFonts w:hint="eastAsia" w:ascii="Times New Roman" w:hAnsi="Times New Roman" w:eastAsia="宋体" w:cs="Times New Roman"/>
                <w:color w:val="000000"/>
                <w:kern w:val="0"/>
                <w:sz w:val="21"/>
                <w:szCs w:val="21"/>
                <w:lang w:val="en-US" w:eastAsia="zh-CN"/>
              </w:rPr>
              <w:t>2</w:t>
            </w:r>
            <w:r>
              <w:rPr>
                <w:rFonts w:hint="default" w:ascii="Times New Roman" w:hAnsi="Times New Roman" w:eastAsia="宋体" w:cs="Times New Roman"/>
                <w:color w:val="000000"/>
                <w:kern w:val="0"/>
                <w:sz w:val="21"/>
                <w:szCs w:val="21"/>
                <w:lang w:eastAsia="zh-CN"/>
              </w:rPr>
              <w:t>引用文件</w:t>
            </w:r>
          </w:p>
        </w:tc>
        <w:tc>
          <w:tcPr>
            <w:tcW w:w="231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建议引用文件不注日期</w:t>
            </w: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lang w:val="en-US" w:eastAsia="zh-CN"/>
              </w:rPr>
              <w:t>闫雁楠</w:t>
            </w: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3概述</w:t>
            </w:r>
          </w:p>
        </w:tc>
        <w:tc>
          <w:tcPr>
            <w:tcW w:w="231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只涉及超声标准试块</w:t>
            </w:r>
            <w:r>
              <w:rPr>
                <w:rFonts w:hint="eastAsia" w:ascii="Times New Roman" w:hAnsi="Times New Roman" w:eastAsia="宋体" w:cs="Times New Roman"/>
                <w:color w:val="000000"/>
                <w:kern w:val="0"/>
                <w:sz w:val="21"/>
                <w:szCs w:val="21"/>
                <w:lang w:val="en-US" w:eastAsia="zh-CN"/>
              </w:rPr>
              <w:t>即可</w:t>
            </w: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lang w:val="en-US" w:eastAsia="zh-CN"/>
              </w:rPr>
              <w:t>闫雁楠</w:t>
            </w: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eastAsia" w:cs="Times New Roman"/>
                <w:color w:val="000000"/>
                <w:kern w:val="0"/>
                <w:sz w:val="21"/>
                <w:szCs w:val="21"/>
                <w:lang w:val="en-US" w:eastAsia="zh-CN"/>
              </w:rPr>
              <w:t>采纳</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4计量特性</w:t>
            </w:r>
          </w:p>
        </w:tc>
        <w:tc>
          <w:tcPr>
            <w:tcW w:w="231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建议删除材质的元素含量，无法在计量特性处定量</w:t>
            </w: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lang w:val="en-US" w:eastAsia="zh-CN"/>
              </w:rPr>
              <w:t>闫雁楠</w:t>
            </w: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eastAsia" w:cs="Times New Roman"/>
                <w:color w:val="000000"/>
                <w:kern w:val="0"/>
                <w:sz w:val="21"/>
                <w:szCs w:val="21"/>
                <w:lang w:val="en-US" w:eastAsia="zh-CN"/>
              </w:rPr>
              <w:t>采纳</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102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rPr>
              <w:t>4计量特性</w:t>
            </w:r>
          </w:p>
        </w:tc>
        <w:tc>
          <w:tcPr>
            <w:tcW w:w="231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采用不同名词作为区分，4.1.2均匀性和4.1.2.3均匀性含义不同</w:t>
            </w: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lang w:val="en-US" w:eastAsia="zh-CN"/>
              </w:rPr>
              <w:t>闫雁楠</w:t>
            </w: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eastAsia" w:cs="Times New Roman"/>
                <w:color w:val="000000"/>
                <w:kern w:val="0"/>
                <w:sz w:val="21"/>
                <w:szCs w:val="21"/>
                <w:lang w:val="en-US" w:eastAsia="zh-CN"/>
              </w:rPr>
              <w:t>采纳</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102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rPr>
              <w:t>4计量特性</w:t>
            </w:r>
          </w:p>
        </w:tc>
        <w:tc>
          <w:tcPr>
            <w:tcW w:w="231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计量特性最大允差应写全称：最大允许误差</w:t>
            </w: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lang w:val="en-US" w:eastAsia="zh-CN"/>
              </w:rPr>
              <w:t>闫雁楠</w:t>
            </w: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eastAsia" w:cs="Times New Roman"/>
                <w:color w:val="000000"/>
                <w:kern w:val="0"/>
                <w:sz w:val="21"/>
                <w:szCs w:val="21"/>
                <w:lang w:val="en-US" w:eastAsia="zh-CN"/>
              </w:rPr>
              <w:t>采纳</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5校准条件</w:t>
            </w:r>
          </w:p>
        </w:tc>
        <w:tc>
          <w:tcPr>
            <w:tcW w:w="231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修改5.1.2相对湿度说法，大不于”改为符号“≤”</w:t>
            </w: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rPr>
            </w:pPr>
            <w:r>
              <w:rPr>
                <w:rFonts w:hint="default"/>
                <w:lang w:val="en-US" w:eastAsia="zh-CN"/>
              </w:rPr>
              <w:t>闫雁楠</w:t>
            </w: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eastAsia" w:cs="Times New Roman"/>
                <w:color w:val="000000"/>
                <w:kern w:val="0"/>
                <w:sz w:val="21"/>
                <w:szCs w:val="21"/>
                <w:lang w:val="en-US" w:eastAsia="zh-CN"/>
              </w:rPr>
              <w:t>采纳</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5校准条件</w:t>
            </w:r>
          </w:p>
        </w:tc>
        <w:tc>
          <w:tcPr>
            <w:tcW w:w="231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修改5.2“校准设备”为“测量标准及其他设备”</w:t>
            </w: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lang w:val="en-US" w:eastAsia="zh-CN"/>
              </w:rPr>
              <w:t>闫雁楠</w:t>
            </w: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eastAsia" w:cs="Times New Roman"/>
                <w:color w:val="000000"/>
                <w:kern w:val="0"/>
                <w:sz w:val="21"/>
                <w:szCs w:val="21"/>
                <w:lang w:val="en-US" w:eastAsia="zh-CN"/>
              </w:rPr>
              <w:t>采纳</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5校准条件</w:t>
            </w:r>
          </w:p>
        </w:tc>
        <w:tc>
          <w:tcPr>
            <w:tcW w:w="231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校准设备增加对应技术要求</w:t>
            </w: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lang w:val="en-US" w:eastAsia="zh-CN"/>
              </w:rPr>
              <w:t>闫雁楠</w:t>
            </w: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eastAsia"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5校准条件</w:t>
            </w:r>
          </w:p>
        </w:tc>
        <w:tc>
          <w:tcPr>
            <w:tcW w:w="231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表1 校准设备中，将“（尺寸间隔为0.01mm）”、“（0.02~1.00）mm”放入技术要求</w:t>
            </w: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lang w:val="en-US" w:eastAsia="zh-CN"/>
              </w:rPr>
              <w:t>闫雁楠</w:t>
            </w: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eastAsia"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6校准项目和校准方法</w:t>
            </w:r>
          </w:p>
        </w:tc>
        <w:tc>
          <w:tcPr>
            <w:tcW w:w="231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删除校准项目表</w:t>
            </w: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lang w:val="en-US" w:eastAsia="zh-CN"/>
              </w:rPr>
              <w:t>闫雁楠</w:t>
            </w: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eastAsia"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6校准项目和校准方法</w:t>
            </w:r>
          </w:p>
        </w:tc>
        <w:tc>
          <w:tcPr>
            <w:tcW w:w="231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与JJF 1487相同的内容直接引用，无需叙述，突出标准特色</w:t>
            </w: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lang w:val="en-US" w:eastAsia="zh-CN"/>
              </w:rPr>
              <w:t>闫雁楠</w:t>
            </w: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eastAsia"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708" w:hRule="atLeast"/>
        </w:trPr>
        <w:tc>
          <w:tcPr>
            <w:tcW w:w="5000" w:type="pct"/>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color w:val="auto"/>
                <w:kern w:val="0"/>
                <w:sz w:val="21"/>
                <w:szCs w:val="21"/>
              </w:rPr>
              <w:t>下一步要求（讨论会）</w:t>
            </w:r>
            <w:r>
              <w:rPr>
                <w:rFonts w:hint="default" w:ascii="Times New Roman" w:hAnsi="Times New Roman" w:eastAsia="宋体" w:cs="Times New Roman"/>
                <w:color w:val="auto"/>
                <w:kern w:val="0"/>
                <w:sz w:val="21"/>
                <w:szCs w:val="21"/>
              </w:rPr>
              <w:t>：</w:t>
            </w:r>
            <w:r>
              <w:rPr>
                <w:rFonts w:hint="default" w:ascii="Times New Roman" w:hAnsi="Times New Roman" w:eastAsia="宋体" w:cs="Times New Roman"/>
                <w:color w:val="auto"/>
                <w:kern w:val="0"/>
                <w:sz w:val="21"/>
                <w:szCs w:val="21"/>
                <w:lang w:val="en-US" w:eastAsia="zh-CN"/>
              </w:rPr>
              <w:t>202</w:t>
            </w:r>
            <w:r>
              <w:rPr>
                <w:rFonts w:hint="eastAsia" w:cs="Times New Roman"/>
                <w:color w:val="auto"/>
                <w:kern w:val="0"/>
                <w:sz w:val="21"/>
                <w:szCs w:val="21"/>
                <w:lang w:val="en-US" w:eastAsia="zh-CN"/>
              </w:rPr>
              <w:t>4</w:t>
            </w:r>
            <w:r>
              <w:rPr>
                <w:rFonts w:hint="default" w:ascii="Times New Roman" w:hAnsi="Times New Roman" w:eastAsia="宋体" w:cs="Times New Roman"/>
                <w:color w:val="auto"/>
                <w:kern w:val="0"/>
                <w:sz w:val="21"/>
                <w:szCs w:val="21"/>
                <w:lang w:val="en-US" w:eastAsia="zh-CN"/>
              </w:rPr>
              <w:t>年</w:t>
            </w:r>
            <w:r>
              <w:rPr>
                <w:rFonts w:hint="eastAsia" w:cs="Times New Roman"/>
                <w:color w:val="auto"/>
                <w:kern w:val="0"/>
                <w:sz w:val="21"/>
                <w:szCs w:val="21"/>
                <w:lang w:val="en-US" w:eastAsia="zh-CN"/>
              </w:rPr>
              <w:t>4</w:t>
            </w:r>
            <w:r>
              <w:rPr>
                <w:rFonts w:hint="default" w:ascii="Times New Roman" w:hAnsi="Times New Roman" w:eastAsia="宋体" w:cs="Times New Roman"/>
                <w:color w:val="auto"/>
                <w:kern w:val="0"/>
                <w:sz w:val="21"/>
                <w:szCs w:val="21"/>
                <w:lang w:val="en-US" w:eastAsia="zh-CN"/>
              </w:rPr>
              <w:t>月</w:t>
            </w:r>
            <w:r>
              <w:rPr>
                <w:rFonts w:hint="default" w:ascii="Times New Roman" w:hAnsi="Times New Roman" w:eastAsia="宋体" w:cs="Times New Roman"/>
                <w:color w:val="auto"/>
                <w:kern w:val="0"/>
                <w:sz w:val="21"/>
                <w:szCs w:val="21"/>
              </w:rPr>
              <w:t>之前应修改完成预审稿及编制说明。</w:t>
            </w:r>
          </w:p>
        </w:tc>
      </w:tr>
    </w:tbl>
    <w:p>
      <w:pPr>
        <w:pStyle w:val="57"/>
        <w:spacing w:line="324" w:lineRule="auto"/>
        <w:ind w:left="0" w:leftChars="0" w:firstLine="480" w:firstLineChars="200"/>
        <w:rPr>
          <w:sz w:val="24"/>
          <w:szCs w:val="24"/>
        </w:rPr>
      </w:pPr>
      <w:bookmarkStart w:id="21" w:name="_Toc464728924"/>
    </w:p>
    <w:p>
      <w:pPr>
        <w:pStyle w:val="57"/>
        <w:spacing w:line="324" w:lineRule="auto"/>
        <w:ind w:left="0" w:leftChars="0" w:firstLine="0" w:firstLineChars="0"/>
        <w:rPr>
          <w:rFonts w:hint="default"/>
          <w:color w:val="auto"/>
          <w:sz w:val="24"/>
          <w:szCs w:val="24"/>
          <w:lang w:val="en-US"/>
        </w:rPr>
      </w:pPr>
      <w:r>
        <w:rPr>
          <w:rFonts w:hint="eastAsia" w:ascii="黑体" w:hAnsi="Times New Roman" w:eastAsia="黑体" w:cs="Times New Roman"/>
          <w:color w:val="auto"/>
          <w:spacing w:val="-4"/>
          <w:sz w:val="24"/>
          <w:szCs w:val="24"/>
          <w:lang w:val="en-US" w:eastAsia="zh-CN" w:bidi="ar-SA"/>
        </w:rPr>
        <w:t>4.3.2 预审阶段</w:t>
      </w:r>
    </w:p>
    <w:p>
      <w:pPr>
        <w:pStyle w:val="57"/>
        <w:spacing w:line="324" w:lineRule="auto"/>
        <w:ind w:left="0" w:leftChars="0" w:firstLine="480" w:firstLineChars="200"/>
        <w:rPr>
          <w:rFonts w:hint="eastAsia"/>
          <w:sz w:val="24"/>
          <w:szCs w:val="24"/>
          <w:lang w:val="en-US" w:eastAsia="zh-CN"/>
        </w:rPr>
      </w:pPr>
      <w:r>
        <w:rPr>
          <w:rFonts w:hint="eastAsia"/>
          <w:sz w:val="24"/>
          <w:szCs w:val="24"/>
          <w:lang w:val="en-US" w:eastAsia="zh-CN"/>
        </w:rPr>
        <w:t>2024年4月24日，</w:t>
      </w:r>
      <w:r>
        <w:rPr>
          <w:rFonts w:hint="eastAsia" w:ascii="Times New Roman" w:hAnsi="Times New Roman" w:cs="Times New Roman"/>
          <w:sz w:val="24"/>
          <w:szCs w:val="24"/>
          <w:highlight w:val="none"/>
          <w:lang w:val="en-US" w:eastAsia="zh-CN"/>
        </w:rPr>
        <w:t>在长沙</w:t>
      </w:r>
      <w:r>
        <w:rPr>
          <w:rFonts w:hint="eastAsia" w:ascii="Times New Roman" w:hAnsi="Times New Roman" w:eastAsia="宋体" w:cs="Times New Roman"/>
          <w:sz w:val="24"/>
          <w:szCs w:val="24"/>
          <w:highlight w:val="none"/>
          <w:lang w:val="en-US" w:eastAsia="zh-CN"/>
        </w:rPr>
        <w:t>召开规范</w:t>
      </w:r>
      <w:r>
        <w:rPr>
          <w:rFonts w:hint="eastAsia" w:ascii="Times New Roman" w:hAnsi="Times New Roman" w:cs="Times New Roman"/>
          <w:sz w:val="24"/>
          <w:szCs w:val="24"/>
          <w:highlight w:val="none"/>
          <w:lang w:val="en-US" w:eastAsia="zh-CN"/>
        </w:rPr>
        <w:t>预审</w:t>
      </w:r>
      <w:r>
        <w:rPr>
          <w:rFonts w:hint="eastAsia" w:ascii="Times New Roman" w:hAnsi="Times New Roman" w:eastAsia="宋体" w:cs="Times New Roman"/>
          <w:sz w:val="24"/>
          <w:szCs w:val="24"/>
          <w:highlight w:val="none"/>
          <w:lang w:val="en-US" w:eastAsia="zh-CN"/>
        </w:rPr>
        <w:t>会，参会单</w:t>
      </w:r>
      <w:r>
        <w:rPr>
          <w:rFonts w:hint="eastAsia" w:ascii="Times New Roman" w:hAnsi="Times New Roman" w:cs="Times New Roman"/>
          <w:sz w:val="24"/>
          <w:szCs w:val="24"/>
          <w:highlight w:val="none"/>
          <w:lang w:val="en-US" w:eastAsia="zh-CN"/>
        </w:rPr>
        <w:t>位有山东瑞祥模具有限公司、中国特种设备检测研究院、山东瑞祥检测有限公司、北京工业大学、国合通用测试评价认证股份公司及标委会24家单位专家。会上对标准预审稿</w:t>
      </w:r>
      <w:r>
        <w:rPr>
          <w:rFonts w:hint="eastAsia"/>
          <w:sz w:val="24"/>
          <w:szCs w:val="24"/>
          <w:highlight w:val="none"/>
          <w:lang w:val="en-US" w:eastAsia="zh-CN"/>
        </w:rPr>
        <w:t>进行了热烈的讨论，并对规范预审稿提出了修改意见，具体</w:t>
      </w:r>
      <w:r>
        <w:rPr>
          <w:rFonts w:hint="eastAsia"/>
          <w:sz w:val="24"/>
          <w:szCs w:val="24"/>
          <w:lang w:val="en-US" w:eastAsia="zh-CN"/>
        </w:rPr>
        <w:t>意见见表2。</w:t>
      </w:r>
    </w:p>
    <w:p>
      <w:pPr>
        <w:jc w:val="center"/>
        <w:rPr>
          <w:rFonts w:hint="default" w:ascii="Times New Roman" w:hAnsi="Times New Roman" w:eastAsia="宋体" w:cs="Times New Roman"/>
          <w:kern w:val="0"/>
          <w:sz w:val="21"/>
          <w:szCs w:val="21"/>
          <w:highlight w:val="none"/>
          <w:lang w:val="en-US" w:eastAsia="zh-CN" w:bidi="ar-SA"/>
        </w:rPr>
      </w:pPr>
      <w:r>
        <w:rPr>
          <w:rFonts w:hint="eastAsia" w:ascii="黑体" w:hAnsi="黑体" w:eastAsia="黑体" w:cs="黑体"/>
          <w:kern w:val="0"/>
          <w:sz w:val="21"/>
          <w:szCs w:val="21"/>
          <w:highlight w:val="none"/>
          <w:lang w:val="en-US" w:eastAsia="zh-CN" w:bidi="ar-SA"/>
        </w:rPr>
        <w:t>表1 有色金属计量技术规范预审会会议纪要-长沙</w:t>
      </w:r>
    </w:p>
    <w:tbl>
      <w:tblPr>
        <w:tblStyle w:val="40"/>
        <w:tblW w:w="5003" w:type="pct"/>
        <w:tblInd w:w="-5" w:type="dxa"/>
        <w:tblLayout w:type="fixed"/>
        <w:tblCellMar>
          <w:top w:w="0" w:type="dxa"/>
          <w:left w:w="108" w:type="dxa"/>
          <w:bottom w:w="0" w:type="dxa"/>
          <w:right w:w="108" w:type="dxa"/>
        </w:tblCellMar>
      </w:tblPr>
      <w:tblGrid>
        <w:gridCol w:w="839"/>
        <w:gridCol w:w="1025"/>
        <w:gridCol w:w="4427"/>
        <w:gridCol w:w="1410"/>
        <w:gridCol w:w="1419"/>
        <w:gridCol w:w="457"/>
        <w:gridCol w:w="1"/>
      </w:tblGrid>
      <w:tr>
        <w:tblPrEx>
          <w:tblCellMar>
            <w:top w:w="0" w:type="dxa"/>
            <w:left w:w="108" w:type="dxa"/>
            <w:bottom w:w="0" w:type="dxa"/>
            <w:right w:w="108" w:type="dxa"/>
          </w:tblCellMar>
        </w:tblPrEx>
        <w:trPr>
          <w:gridAfter w:val="1"/>
          <w:wAfter w:w="1" w:type="dxa"/>
          <w:cantSplit/>
          <w:trHeight w:val="567" w:hRule="atLeast"/>
        </w:trPr>
        <w:tc>
          <w:tcPr>
            <w:tcW w:w="9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参会单位及人员</w:t>
            </w:r>
          </w:p>
        </w:tc>
        <w:tc>
          <w:tcPr>
            <w:tcW w:w="4026"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color w:val="000000"/>
                <w:kern w:val="0"/>
                <w:sz w:val="21"/>
                <w:szCs w:val="21"/>
              </w:rPr>
              <w:t>具体见签到表扫描件/复印件</w:t>
            </w:r>
          </w:p>
        </w:tc>
      </w:tr>
      <w:tr>
        <w:tblPrEx>
          <w:tblCellMar>
            <w:top w:w="0" w:type="dxa"/>
            <w:left w:w="108" w:type="dxa"/>
            <w:bottom w:w="0" w:type="dxa"/>
            <w:right w:w="108" w:type="dxa"/>
          </w:tblCellMar>
        </w:tblPrEx>
        <w:trPr>
          <w:gridAfter w:val="1"/>
          <w:wAfter w:w="1" w:type="dxa"/>
          <w:cantSplit/>
          <w:trHeight w:val="567" w:hRule="atLeast"/>
        </w:trPr>
        <w:tc>
          <w:tcPr>
            <w:tcW w:w="9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拟参与编制单位</w:t>
            </w:r>
          </w:p>
        </w:tc>
        <w:tc>
          <w:tcPr>
            <w:tcW w:w="4026"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val="0"/>
                <w:bCs w:val="0"/>
                <w:color w:val="000000"/>
                <w:kern w:val="0"/>
                <w:sz w:val="21"/>
                <w:szCs w:val="21"/>
              </w:rPr>
              <w:t>山东瑞祥模具有限公司、中国特种设备检测研究院、山东瑞祥检测有限公司、北京工业大学、国合通用测试评价认证股份公司</w:t>
            </w:r>
          </w:p>
        </w:tc>
      </w:tr>
      <w:tr>
        <w:tblPrEx>
          <w:tblCellMar>
            <w:top w:w="0" w:type="dxa"/>
            <w:left w:w="108" w:type="dxa"/>
            <w:bottom w:w="0" w:type="dxa"/>
            <w:right w:w="108" w:type="dxa"/>
          </w:tblCellMar>
        </w:tblPrEx>
        <w:trPr>
          <w:trHeight w:val="567" w:hRule="atLeast"/>
        </w:trPr>
        <w:tc>
          <w:tcPr>
            <w:tcW w:w="43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序号</w:t>
            </w:r>
          </w:p>
        </w:tc>
        <w:tc>
          <w:tcPr>
            <w:tcW w:w="53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标准章条</w:t>
            </w:r>
          </w:p>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编号</w:t>
            </w:r>
          </w:p>
        </w:tc>
        <w:tc>
          <w:tcPr>
            <w:tcW w:w="231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意见内容</w:t>
            </w:r>
          </w:p>
        </w:tc>
        <w:tc>
          <w:tcPr>
            <w:tcW w:w="73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提出单位及提出人</w:t>
            </w:r>
          </w:p>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（可简写）</w:t>
            </w:r>
          </w:p>
        </w:tc>
        <w:tc>
          <w:tcPr>
            <w:tcW w:w="74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处理意见</w:t>
            </w:r>
          </w:p>
        </w:tc>
        <w:tc>
          <w:tcPr>
            <w:tcW w:w="239"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备注</w:t>
            </w:r>
          </w:p>
        </w:tc>
      </w:tr>
      <w:tr>
        <w:tblPrEx>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rPr>
            </w:pPr>
            <w:r>
              <w:rPr>
                <w:rFonts w:hint="eastAsia" w:ascii="等线" w:hAnsi="等线" w:eastAsia="等线" w:cs="等线"/>
                <w:i w:val="0"/>
                <w:iCs w:val="0"/>
                <w:color w:val="000000"/>
                <w:kern w:val="0"/>
                <w:sz w:val="22"/>
                <w:szCs w:val="22"/>
                <w:u w:val="none"/>
                <w:lang w:val="en-US" w:eastAsia="zh-CN" w:bidi="ar"/>
              </w:rPr>
              <w:t>1</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eastAsia="zh-CN"/>
              </w:rPr>
            </w:pPr>
            <w:r>
              <w:rPr>
                <w:rFonts w:hint="eastAsia" w:ascii="等线" w:hAnsi="等线" w:eastAsia="等线" w:cs="等线"/>
                <w:i w:val="0"/>
                <w:iCs w:val="0"/>
                <w:color w:val="000000"/>
                <w:kern w:val="0"/>
                <w:sz w:val="22"/>
                <w:szCs w:val="22"/>
                <w:u w:val="none"/>
                <w:lang w:val="en-US" w:eastAsia="zh-CN" w:bidi="ar"/>
              </w:rPr>
              <w:t>1 范围</w:t>
            </w:r>
          </w:p>
        </w:tc>
        <w:tc>
          <w:tcPr>
            <w:tcW w:w="44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将“其他无损检测试块也可参照使用”改为“其他超声检测试块也可参照使用”。</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color w:val="000000"/>
                <w:kern w:val="0"/>
                <w:sz w:val="21"/>
                <w:szCs w:val="21"/>
                <w:lang w:val="en-US" w:eastAsia="zh-CN"/>
              </w:rPr>
            </w:pP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rPr>
            </w:pPr>
            <w:r>
              <w:rPr>
                <w:rFonts w:hint="eastAsia" w:ascii="等线" w:hAnsi="等线" w:eastAsia="等线" w:cs="等线"/>
                <w:i w:val="0"/>
                <w:iCs w:val="0"/>
                <w:color w:val="000000"/>
                <w:kern w:val="0"/>
                <w:sz w:val="22"/>
                <w:szCs w:val="22"/>
                <w:u w:val="none"/>
                <w:lang w:val="en-US" w:eastAsia="zh-CN" w:bidi="ar"/>
              </w:rPr>
              <w:t>2</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eastAsia="zh-CN"/>
              </w:rPr>
            </w:pPr>
            <w:r>
              <w:rPr>
                <w:rFonts w:hint="eastAsia" w:ascii="等线" w:hAnsi="等线" w:eastAsia="等线" w:cs="等线"/>
                <w:i w:val="0"/>
                <w:iCs w:val="0"/>
                <w:color w:val="000000"/>
                <w:kern w:val="0"/>
                <w:sz w:val="22"/>
                <w:szCs w:val="22"/>
                <w:u w:val="none"/>
                <w:lang w:val="en-US" w:eastAsia="zh-CN" w:bidi="ar"/>
              </w:rPr>
              <w:t>2 引用文件</w:t>
            </w:r>
          </w:p>
        </w:tc>
        <w:tc>
          <w:tcPr>
            <w:tcW w:w="44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附录中出现的标准应放入本部分</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color w:val="000000"/>
                <w:kern w:val="0"/>
                <w:sz w:val="21"/>
                <w:szCs w:val="21"/>
                <w:lang w:val="en-US" w:eastAsia="zh-CN"/>
              </w:rPr>
            </w:pP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rPr>
            </w:pPr>
            <w:r>
              <w:rPr>
                <w:rFonts w:hint="eastAsia" w:ascii="等线" w:hAnsi="等线" w:eastAsia="等线" w:cs="等线"/>
                <w:i w:val="0"/>
                <w:iCs w:val="0"/>
                <w:color w:val="000000"/>
                <w:kern w:val="0"/>
                <w:sz w:val="22"/>
                <w:szCs w:val="22"/>
                <w:u w:val="none"/>
                <w:lang w:val="en-US" w:eastAsia="zh-CN" w:bidi="ar"/>
              </w:rPr>
              <w:t>3</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eastAsia="zh-CN"/>
              </w:rPr>
            </w:pPr>
            <w:r>
              <w:rPr>
                <w:rFonts w:hint="eastAsia" w:ascii="等线" w:hAnsi="等线" w:eastAsia="等线" w:cs="等线"/>
                <w:i w:val="0"/>
                <w:iCs w:val="0"/>
                <w:color w:val="000000"/>
                <w:kern w:val="0"/>
                <w:sz w:val="22"/>
                <w:szCs w:val="22"/>
                <w:u w:val="none"/>
                <w:lang w:val="en-US" w:eastAsia="zh-CN" w:bidi="ar"/>
              </w:rPr>
              <w:t>3 概述</w:t>
            </w:r>
          </w:p>
        </w:tc>
        <w:tc>
          <w:tcPr>
            <w:tcW w:w="44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增加”常见超声标准试块对应的标准见附录D"</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樊志罡</w:t>
            </w: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rPr>
            </w:pPr>
            <w:r>
              <w:rPr>
                <w:rFonts w:hint="eastAsia" w:ascii="等线" w:hAnsi="等线" w:eastAsia="等线" w:cs="等线"/>
                <w:i w:val="0"/>
                <w:iCs w:val="0"/>
                <w:color w:val="000000"/>
                <w:kern w:val="0"/>
                <w:sz w:val="22"/>
                <w:szCs w:val="22"/>
                <w:u w:val="none"/>
                <w:lang w:val="en-US" w:eastAsia="zh-CN" w:bidi="ar"/>
              </w:rPr>
              <w:t>4</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eastAsia="zh-CN"/>
              </w:rPr>
            </w:pPr>
            <w:r>
              <w:rPr>
                <w:rFonts w:hint="eastAsia" w:ascii="等线" w:hAnsi="等线" w:eastAsia="等线" w:cs="等线"/>
                <w:i w:val="0"/>
                <w:iCs w:val="0"/>
                <w:color w:val="000000"/>
                <w:kern w:val="0"/>
                <w:sz w:val="22"/>
                <w:szCs w:val="22"/>
                <w:u w:val="none"/>
                <w:lang w:val="en-US" w:eastAsia="zh-CN" w:bidi="ar"/>
              </w:rPr>
              <w:t>5.1.1 温度条件</w:t>
            </w:r>
          </w:p>
        </w:tc>
        <w:tc>
          <w:tcPr>
            <w:tcW w:w="44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写明声速测试时环境温度范围是17-23℃，删除6.2.5处温度条件</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樊志罡</w:t>
            </w: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rPr>
            </w:pPr>
            <w:r>
              <w:rPr>
                <w:rFonts w:hint="eastAsia" w:ascii="等线" w:hAnsi="等线" w:eastAsia="等线" w:cs="等线"/>
                <w:i w:val="0"/>
                <w:iCs w:val="0"/>
                <w:color w:val="000000"/>
                <w:kern w:val="0"/>
                <w:sz w:val="22"/>
                <w:szCs w:val="22"/>
                <w:u w:val="none"/>
                <w:lang w:val="en-US" w:eastAsia="zh-CN" w:bidi="ar"/>
              </w:rPr>
              <w:t>5</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eastAsia="zh-CN"/>
              </w:rPr>
            </w:pPr>
            <w:r>
              <w:rPr>
                <w:rFonts w:hint="eastAsia" w:ascii="等线" w:hAnsi="等线" w:eastAsia="等线" w:cs="等线"/>
                <w:i w:val="0"/>
                <w:iCs w:val="0"/>
                <w:color w:val="000000"/>
                <w:kern w:val="0"/>
                <w:sz w:val="22"/>
                <w:szCs w:val="22"/>
                <w:u w:val="none"/>
                <w:lang w:val="en-US" w:eastAsia="zh-CN" w:bidi="ar"/>
              </w:rPr>
              <w:t>5.2</w:t>
            </w:r>
          </w:p>
        </w:tc>
        <w:tc>
          <w:tcPr>
            <w:tcW w:w="44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表1 表题改为”测量标准“</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闫雁楠</w:t>
            </w: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rPr>
            </w:pPr>
            <w:r>
              <w:rPr>
                <w:rFonts w:hint="eastAsia" w:ascii="等线" w:hAnsi="等线" w:eastAsia="等线" w:cs="等线"/>
                <w:i w:val="0"/>
                <w:iCs w:val="0"/>
                <w:color w:val="000000"/>
                <w:kern w:val="0"/>
                <w:sz w:val="22"/>
                <w:szCs w:val="22"/>
                <w:u w:val="none"/>
                <w:lang w:val="en-US" w:eastAsia="zh-CN" w:bidi="ar"/>
              </w:rPr>
              <w:t>6</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eastAsia="zh-CN"/>
              </w:rPr>
            </w:pPr>
            <w:r>
              <w:rPr>
                <w:rFonts w:hint="eastAsia" w:ascii="等线" w:hAnsi="等线" w:eastAsia="等线" w:cs="等线"/>
                <w:i w:val="0"/>
                <w:iCs w:val="0"/>
                <w:color w:val="000000"/>
                <w:kern w:val="0"/>
                <w:sz w:val="22"/>
                <w:szCs w:val="22"/>
                <w:u w:val="none"/>
                <w:lang w:val="en-US" w:eastAsia="zh-CN" w:bidi="ar"/>
              </w:rPr>
              <w:t>5.2</w:t>
            </w:r>
          </w:p>
        </w:tc>
        <w:tc>
          <w:tcPr>
            <w:tcW w:w="44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表1 增加校准项目列</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color w:val="000000"/>
                <w:kern w:val="0"/>
                <w:sz w:val="21"/>
                <w:szCs w:val="21"/>
                <w:lang w:val="en-US" w:eastAsia="zh-CN"/>
              </w:rPr>
            </w:pP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rPr>
            </w:pPr>
            <w:r>
              <w:rPr>
                <w:rFonts w:hint="eastAsia" w:ascii="等线" w:hAnsi="等线" w:eastAsia="等线" w:cs="等线"/>
                <w:i w:val="0"/>
                <w:iCs w:val="0"/>
                <w:color w:val="000000"/>
                <w:kern w:val="0"/>
                <w:sz w:val="22"/>
                <w:szCs w:val="22"/>
                <w:u w:val="none"/>
                <w:lang w:val="en-US" w:eastAsia="zh-CN" w:bidi="ar"/>
              </w:rPr>
              <w:t>7</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eastAsia="zh-CN"/>
              </w:rPr>
            </w:pPr>
            <w:r>
              <w:rPr>
                <w:rFonts w:hint="eastAsia" w:ascii="等线" w:hAnsi="等线" w:eastAsia="等线" w:cs="等线"/>
                <w:i w:val="0"/>
                <w:iCs w:val="0"/>
                <w:color w:val="000000"/>
                <w:kern w:val="0"/>
                <w:sz w:val="22"/>
                <w:szCs w:val="22"/>
                <w:u w:val="none"/>
                <w:lang w:val="en-US" w:eastAsia="zh-CN" w:bidi="ar"/>
              </w:rPr>
              <w:t>5.2</w:t>
            </w:r>
          </w:p>
        </w:tc>
        <w:tc>
          <w:tcPr>
            <w:tcW w:w="44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表1 7坐标测量机，增加单位</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color w:val="000000"/>
                <w:kern w:val="0"/>
                <w:sz w:val="21"/>
                <w:szCs w:val="21"/>
                <w:lang w:val="en-US" w:eastAsia="zh-CN"/>
              </w:rPr>
            </w:pP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rPr>
            </w:pPr>
            <w:r>
              <w:rPr>
                <w:rFonts w:hint="eastAsia" w:ascii="等线" w:hAnsi="等线" w:eastAsia="等线" w:cs="等线"/>
                <w:i w:val="0"/>
                <w:iCs w:val="0"/>
                <w:color w:val="000000"/>
                <w:kern w:val="0"/>
                <w:sz w:val="22"/>
                <w:szCs w:val="22"/>
                <w:u w:val="none"/>
                <w:lang w:val="en-US" w:eastAsia="zh-CN" w:bidi="ar"/>
              </w:rPr>
              <w:t>8</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eastAsia="zh-CN"/>
              </w:rPr>
            </w:pPr>
            <w:r>
              <w:rPr>
                <w:rFonts w:hint="eastAsia" w:ascii="等线" w:hAnsi="等线" w:eastAsia="等线" w:cs="等线"/>
                <w:i w:val="0"/>
                <w:iCs w:val="0"/>
                <w:color w:val="000000"/>
                <w:kern w:val="0"/>
                <w:sz w:val="22"/>
                <w:szCs w:val="22"/>
                <w:u w:val="none"/>
                <w:lang w:val="en-US" w:eastAsia="zh-CN" w:bidi="ar"/>
              </w:rPr>
              <w:t>6.2.2噪声水平</w:t>
            </w:r>
          </w:p>
        </w:tc>
        <w:tc>
          <w:tcPr>
            <w:tcW w:w="44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细化描述具体比较方法</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樊志罡</w:t>
            </w: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rPr>
            </w:pPr>
            <w:r>
              <w:rPr>
                <w:rFonts w:hint="eastAsia" w:ascii="等线" w:hAnsi="等线" w:eastAsia="等线" w:cs="等线"/>
                <w:i w:val="0"/>
                <w:iCs w:val="0"/>
                <w:color w:val="000000"/>
                <w:kern w:val="0"/>
                <w:sz w:val="22"/>
                <w:szCs w:val="22"/>
                <w:u w:val="none"/>
                <w:lang w:val="en-US" w:eastAsia="zh-CN" w:bidi="ar"/>
              </w:rPr>
              <w:t>9</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eastAsia="zh-CN"/>
              </w:rPr>
            </w:pPr>
            <w:r>
              <w:rPr>
                <w:rFonts w:hint="eastAsia" w:ascii="等线" w:hAnsi="等线" w:eastAsia="等线" w:cs="等线"/>
                <w:i w:val="0"/>
                <w:iCs w:val="0"/>
                <w:color w:val="000000"/>
                <w:kern w:val="0"/>
                <w:sz w:val="22"/>
                <w:szCs w:val="22"/>
                <w:u w:val="none"/>
                <w:lang w:val="en-US" w:eastAsia="zh-CN" w:bidi="ar"/>
              </w:rPr>
              <w:t>6.2.4 声衰减</w:t>
            </w:r>
          </w:p>
        </w:tc>
        <w:tc>
          <w:tcPr>
            <w:tcW w:w="44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公式中声衰减的代表字母</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苟杰</w:t>
            </w: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rPr>
            </w:pPr>
            <w:r>
              <w:rPr>
                <w:rFonts w:hint="eastAsia" w:ascii="等线" w:hAnsi="等线" w:eastAsia="等线" w:cs="等线"/>
                <w:i w:val="0"/>
                <w:iCs w:val="0"/>
                <w:color w:val="000000"/>
                <w:kern w:val="0"/>
                <w:sz w:val="22"/>
                <w:szCs w:val="22"/>
                <w:u w:val="none"/>
                <w:lang w:val="en-US" w:eastAsia="zh-CN" w:bidi="ar"/>
              </w:rPr>
              <w:t>10</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eastAsia="zh-CN"/>
              </w:rPr>
            </w:pPr>
            <w:r>
              <w:rPr>
                <w:rFonts w:hint="eastAsia" w:ascii="等线" w:hAnsi="等线" w:eastAsia="等线" w:cs="等线"/>
                <w:i w:val="0"/>
                <w:iCs w:val="0"/>
                <w:color w:val="000000"/>
                <w:kern w:val="0"/>
                <w:sz w:val="22"/>
                <w:szCs w:val="22"/>
                <w:u w:val="none"/>
                <w:lang w:val="en-US" w:eastAsia="zh-CN" w:bidi="ar"/>
              </w:rPr>
              <w:t>6.2.4 声衰减</w:t>
            </w:r>
          </w:p>
        </w:tc>
        <w:tc>
          <w:tcPr>
            <w:tcW w:w="44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公式中常数需解释得到方法</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color w:val="000000"/>
                <w:kern w:val="0"/>
                <w:sz w:val="21"/>
                <w:szCs w:val="21"/>
                <w:lang w:val="en-US" w:eastAsia="zh-CN"/>
              </w:rPr>
            </w:pP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rPr>
            </w:pPr>
            <w:r>
              <w:rPr>
                <w:rFonts w:hint="eastAsia" w:ascii="等线" w:hAnsi="等线" w:eastAsia="等线" w:cs="等线"/>
                <w:i w:val="0"/>
                <w:iCs w:val="0"/>
                <w:color w:val="000000"/>
                <w:kern w:val="0"/>
                <w:sz w:val="22"/>
                <w:szCs w:val="22"/>
                <w:u w:val="none"/>
                <w:lang w:val="en-US" w:eastAsia="zh-CN" w:bidi="ar"/>
              </w:rPr>
              <w:t>11</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eastAsia="zh-CN"/>
              </w:rPr>
            </w:pPr>
            <w:r>
              <w:rPr>
                <w:rFonts w:hint="eastAsia" w:ascii="等线" w:hAnsi="等线" w:eastAsia="等线" w:cs="等线"/>
                <w:i w:val="0"/>
                <w:iCs w:val="0"/>
                <w:color w:val="000000"/>
                <w:kern w:val="0"/>
                <w:sz w:val="22"/>
                <w:szCs w:val="22"/>
                <w:u w:val="none"/>
                <w:lang w:val="en-US" w:eastAsia="zh-CN" w:bidi="ar"/>
              </w:rPr>
              <w:t>6.2.5 声速</w:t>
            </w:r>
          </w:p>
        </w:tc>
        <w:tc>
          <w:tcPr>
            <w:tcW w:w="44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需写明纵波声速基准见附录C</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color w:val="000000"/>
                <w:kern w:val="0"/>
                <w:sz w:val="21"/>
                <w:szCs w:val="21"/>
                <w:lang w:val="en-US" w:eastAsia="zh-CN"/>
              </w:rPr>
            </w:pP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rPr>
            </w:pPr>
            <w:r>
              <w:rPr>
                <w:rFonts w:hint="eastAsia" w:ascii="等线" w:hAnsi="等线" w:eastAsia="等线" w:cs="等线"/>
                <w:i w:val="0"/>
                <w:iCs w:val="0"/>
                <w:color w:val="000000"/>
                <w:kern w:val="0"/>
                <w:sz w:val="22"/>
                <w:szCs w:val="22"/>
                <w:u w:val="none"/>
                <w:lang w:val="en-US" w:eastAsia="zh-CN" w:bidi="ar"/>
              </w:rPr>
              <w:t>12</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eastAsia="zh-CN"/>
              </w:rPr>
            </w:pPr>
            <w:r>
              <w:rPr>
                <w:rFonts w:hint="eastAsia" w:ascii="等线" w:hAnsi="等线" w:eastAsia="等线" w:cs="等线"/>
                <w:i w:val="0"/>
                <w:iCs w:val="0"/>
                <w:color w:val="000000"/>
                <w:kern w:val="0"/>
                <w:sz w:val="22"/>
                <w:szCs w:val="22"/>
                <w:u w:val="none"/>
                <w:lang w:val="en-US" w:eastAsia="zh-CN" w:bidi="ar"/>
              </w:rPr>
              <w:t>6.2.5 声速</w:t>
            </w:r>
          </w:p>
        </w:tc>
        <w:tc>
          <w:tcPr>
            <w:tcW w:w="44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公式需和附录的不确定度公式统一</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樊志罡</w:t>
            </w: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rPr>
            </w:pPr>
            <w:r>
              <w:rPr>
                <w:rFonts w:hint="eastAsia" w:ascii="等线" w:hAnsi="等线" w:eastAsia="等线" w:cs="等线"/>
                <w:i w:val="0"/>
                <w:iCs w:val="0"/>
                <w:color w:val="000000"/>
                <w:kern w:val="0"/>
                <w:sz w:val="22"/>
                <w:szCs w:val="22"/>
                <w:u w:val="none"/>
                <w:lang w:val="en-US" w:eastAsia="zh-CN" w:bidi="ar"/>
              </w:rPr>
              <w:t>13</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eastAsia="zh-CN"/>
              </w:rPr>
            </w:pPr>
            <w:r>
              <w:rPr>
                <w:rFonts w:hint="eastAsia" w:ascii="等线" w:hAnsi="等线" w:eastAsia="等线" w:cs="等线"/>
                <w:i w:val="0"/>
                <w:iCs w:val="0"/>
                <w:color w:val="000000"/>
                <w:kern w:val="0"/>
                <w:sz w:val="22"/>
                <w:szCs w:val="22"/>
                <w:u w:val="none"/>
                <w:lang w:val="en-US" w:eastAsia="zh-CN" w:bidi="ar"/>
              </w:rPr>
              <w:t>6.2.5 声速</w:t>
            </w:r>
          </w:p>
        </w:tc>
        <w:tc>
          <w:tcPr>
            <w:tcW w:w="44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公式符号解释需增加单位</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汕超</w:t>
            </w: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rPr>
            </w:pPr>
            <w:r>
              <w:rPr>
                <w:rFonts w:hint="eastAsia" w:ascii="等线" w:hAnsi="等线" w:eastAsia="等线" w:cs="等线"/>
                <w:i w:val="0"/>
                <w:iCs w:val="0"/>
                <w:color w:val="000000"/>
                <w:kern w:val="0"/>
                <w:sz w:val="22"/>
                <w:szCs w:val="22"/>
                <w:u w:val="none"/>
                <w:lang w:val="en-US" w:eastAsia="zh-CN" w:bidi="ar"/>
              </w:rPr>
              <w:t>14</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eastAsia="zh-CN"/>
              </w:rPr>
            </w:pPr>
            <w:r>
              <w:rPr>
                <w:rFonts w:hint="eastAsia" w:ascii="等线" w:hAnsi="等线" w:eastAsia="等线" w:cs="等线"/>
                <w:i w:val="0"/>
                <w:iCs w:val="0"/>
                <w:color w:val="000000"/>
                <w:kern w:val="0"/>
                <w:sz w:val="22"/>
                <w:szCs w:val="22"/>
                <w:u w:val="none"/>
                <w:lang w:val="en-US" w:eastAsia="zh-CN" w:bidi="ar"/>
              </w:rPr>
              <w:t>6.3 表面粗糙度</w:t>
            </w:r>
          </w:p>
        </w:tc>
        <w:tc>
          <w:tcPr>
            <w:tcW w:w="44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"参照JJF1487"改为"参照JJF1487执行"</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樊志罡</w:t>
            </w: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rPr>
            </w:pPr>
            <w:r>
              <w:rPr>
                <w:rFonts w:hint="eastAsia" w:ascii="等线" w:hAnsi="等线" w:eastAsia="等线" w:cs="等线"/>
                <w:i w:val="0"/>
                <w:iCs w:val="0"/>
                <w:color w:val="000000"/>
                <w:kern w:val="0"/>
                <w:sz w:val="22"/>
                <w:szCs w:val="22"/>
                <w:u w:val="none"/>
                <w:lang w:val="en-US" w:eastAsia="zh-CN" w:bidi="ar"/>
              </w:rPr>
              <w:t>15</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6.4</w:t>
            </w:r>
          </w:p>
        </w:tc>
        <w:tc>
          <w:tcPr>
            <w:tcW w:w="44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6.4.2.1、6.4.2.2、6.4.2.3  题目不应是测量标准器</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闫雁楠</w:t>
            </w: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rPr>
            </w:pPr>
            <w:r>
              <w:rPr>
                <w:rFonts w:hint="eastAsia" w:ascii="等线" w:hAnsi="等线" w:eastAsia="等线" w:cs="等线"/>
                <w:i w:val="0"/>
                <w:iCs w:val="0"/>
                <w:color w:val="000000"/>
                <w:kern w:val="0"/>
                <w:sz w:val="22"/>
                <w:szCs w:val="22"/>
                <w:u w:val="none"/>
                <w:lang w:val="en-US" w:eastAsia="zh-CN" w:bidi="ar"/>
              </w:rPr>
              <w:t>16</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eastAsia="zh-CN"/>
              </w:rPr>
            </w:pPr>
            <w:r>
              <w:rPr>
                <w:rFonts w:hint="eastAsia" w:cs="Times New Roman"/>
                <w:color w:val="000000"/>
                <w:kern w:val="0"/>
                <w:sz w:val="21"/>
                <w:szCs w:val="21"/>
                <w:lang w:val="en-US" w:eastAsia="zh-CN"/>
              </w:rPr>
              <w:t>6.4</w:t>
            </w:r>
          </w:p>
        </w:tc>
        <w:tc>
          <w:tcPr>
            <w:tcW w:w="44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6.4.2.1 “万能角度尺”改为“角度尺”</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樊志罡</w:t>
            </w: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rPr>
            </w:pPr>
            <w:r>
              <w:rPr>
                <w:rFonts w:hint="eastAsia" w:ascii="等线" w:hAnsi="等线" w:eastAsia="等线" w:cs="等线"/>
                <w:i w:val="0"/>
                <w:iCs w:val="0"/>
                <w:color w:val="000000"/>
                <w:kern w:val="0"/>
                <w:sz w:val="22"/>
                <w:szCs w:val="22"/>
                <w:u w:val="none"/>
                <w:lang w:val="en-US" w:eastAsia="zh-CN" w:bidi="ar"/>
              </w:rPr>
              <w:t>17</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eastAsia="zh-CN"/>
              </w:rPr>
            </w:pPr>
            <w:r>
              <w:rPr>
                <w:rFonts w:hint="eastAsia" w:cs="Times New Roman"/>
                <w:color w:val="000000"/>
                <w:kern w:val="0"/>
                <w:sz w:val="21"/>
                <w:szCs w:val="21"/>
                <w:lang w:val="en-US" w:eastAsia="zh-CN"/>
              </w:rPr>
              <w:t>6.4</w:t>
            </w:r>
          </w:p>
        </w:tc>
        <w:tc>
          <w:tcPr>
            <w:tcW w:w="44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6.4.2.1 “将万能角度尺放在被测角度的两边”改为“将角度尺或万能角度尺放在被测角度的两边”</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樊志罡</w:t>
            </w: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rPr>
            </w:pPr>
            <w:r>
              <w:rPr>
                <w:rFonts w:hint="eastAsia" w:ascii="等线" w:hAnsi="等线" w:eastAsia="等线" w:cs="等线"/>
                <w:i w:val="0"/>
                <w:iCs w:val="0"/>
                <w:color w:val="000000"/>
                <w:kern w:val="0"/>
                <w:sz w:val="22"/>
                <w:szCs w:val="22"/>
                <w:u w:val="none"/>
                <w:lang w:val="en-US" w:eastAsia="zh-CN" w:bidi="ar"/>
              </w:rPr>
              <w:t>18</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eastAsia="zh-CN"/>
              </w:rPr>
            </w:pPr>
            <w:r>
              <w:rPr>
                <w:rFonts w:hint="eastAsia" w:ascii="等线" w:hAnsi="等线" w:eastAsia="等线" w:cs="等线"/>
                <w:i w:val="0"/>
                <w:iCs w:val="0"/>
                <w:color w:val="000000"/>
                <w:kern w:val="0"/>
                <w:sz w:val="22"/>
                <w:szCs w:val="22"/>
                <w:u w:val="none"/>
                <w:lang w:val="en-US" w:eastAsia="zh-CN" w:bidi="ar"/>
              </w:rPr>
              <w:t>7 校准结果表达</w:t>
            </w:r>
          </w:p>
        </w:tc>
        <w:tc>
          <w:tcPr>
            <w:tcW w:w="44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增加“附超声标准试块校准位置示意图”</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樊志罡</w:t>
            </w: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rPr>
            </w:pPr>
            <w:r>
              <w:rPr>
                <w:rFonts w:hint="eastAsia" w:ascii="等线" w:hAnsi="等线" w:eastAsia="等线" w:cs="等线"/>
                <w:i w:val="0"/>
                <w:iCs w:val="0"/>
                <w:color w:val="000000"/>
                <w:kern w:val="0"/>
                <w:sz w:val="22"/>
                <w:szCs w:val="22"/>
                <w:u w:val="none"/>
                <w:lang w:val="en-US" w:eastAsia="zh-CN" w:bidi="ar"/>
              </w:rPr>
              <w:t>19</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eastAsia="zh-CN"/>
              </w:rPr>
            </w:pPr>
            <w:r>
              <w:rPr>
                <w:rFonts w:hint="eastAsia" w:ascii="等线" w:hAnsi="等线" w:eastAsia="等线" w:cs="等线"/>
                <w:i w:val="0"/>
                <w:iCs w:val="0"/>
                <w:color w:val="000000"/>
                <w:kern w:val="0"/>
                <w:sz w:val="22"/>
                <w:szCs w:val="22"/>
                <w:u w:val="none"/>
                <w:lang w:val="en-US" w:eastAsia="zh-CN" w:bidi="ar"/>
              </w:rPr>
              <w:t>附录A</w:t>
            </w:r>
          </w:p>
        </w:tc>
        <w:tc>
          <w:tcPr>
            <w:tcW w:w="44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表A.2和表A.3的名称应加以区分</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樊志罡</w:t>
            </w: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rPr>
            </w:pPr>
            <w:r>
              <w:rPr>
                <w:rFonts w:hint="eastAsia" w:ascii="等线" w:hAnsi="等线" w:eastAsia="等线" w:cs="等线"/>
                <w:i w:val="0"/>
                <w:iCs w:val="0"/>
                <w:color w:val="000000"/>
                <w:kern w:val="0"/>
                <w:sz w:val="22"/>
                <w:szCs w:val="22"/>
                <w:u w:val="none"/>
                <w:lang w:val="en-US" w:eastAsia="zh-CN" w:bidi="ar"/>
              </w:rPr>
              <w:t>20</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eastAsia="zh-CN"/>
              </w:rPr>
            </w:pPr>
            <w:r>
              <w:rPr>
                <w:rFonts w:hint="eastAsia" w:ascii="等线" w:hAnsi="等线" w:eastAsia="等线" w:cs="等线"/>
                <w:i w:val="0"/>
                <w:iCs w:val="0"/>
                <w:color w:val="000000"/>
                <w:kern w:val="0"/>
                <w:sz w:val="22"/>
                <w:szCs w:val="22"/>
                <w:u w:val="none"/>
                <w:lang w:val="en-US" w:eastAsia="zh-CN" w:bidi="ar"/>
              </w:rPr>
              <w:t>附录A</w:t>
            </w:r>
          </w:p>
        </w:tc>
        <w:tc>
          <w:tcPr>
            <w:tcW w:w="44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A.6.2计算得到的数值应加单位</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闫雁楠</w:t>
            </w: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rPr>
            </w:pPr>
            <w:r>
              <w:rPr>
                <w:rFonts w:hint="eastAsia" w:ascii="等线" w:hAnsi="等线" w:eastAsia="等线" w:cs="等线"/>
                <w:i w:val="0"/>
                <w:iCs w:val="0"/>
                <w:color w:val="000000"/>
                <w:kern w:val="0"/>
                <w:sz w:val="22"/>
                <w:szCs w:val="22"/>
                <w:u w:val="none"/>
                <w:lang w:val="en-US" w:eastAsia="zh-CN" w:bidi="ar"/>
              </w:rPr>
              <w:t>21</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eastAsia="zh-CN"/>
              </w:rPr>
            </w:pPr>
            <w:r>
              <w:rPr>
                <w:rFonts w:hint="eastAsia" w:ascii="等线" w:hAnsi="等线" w:eastAsia="等线" w:cs="等线"/>
                <w:i w:val="0"/>
                <w:iCs w:val="0"/>
                <w:color w:val="000000"/>
                <w:kern w:val="0"/>
                <w:sz w:val="22"/>
                <w:szCs w:val="22"/>
                <w:u w:val="none"/>
                <w:lang w:val="en-US" w:eastAsia="zh-CN" w:bidi="ar"/>
              </w:rPr>
              <w:t>附录B</w:t>
            </w:r>
          </w:p>
        </w:tc>
        <w:tc>
          <w:tcPr>
            <w:tcW w:w="44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用工具显微镜测量超声波探伤试块槽宽尺寸的测量不确定度评定 B2.3去掉“——”</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樊志罡</w:t>
            </w: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rPr>
            </w:pPr>
            <w:r>
              <w:rPr>
                <w:rFonts w:hint="eastAsia" w:ascii="等线" w:hAnsi="等线" w:eastAsia="等线" w:cs="等线"/>
                <w:i w:val="0"/>
                <w:iCs w:val="0"/>
                <w:color w:val="000000"/>
                <w:kern w:val="0"/>
                <w:sz w:val="22"/>
                <w:szCs w:val="22"/>
                <w:u w:val="none"/>
                <w:lang w:val="en-US" w:eastAsia="zh-CN" w:bidi="ar"/>
              </w:rPr>
              <w:t>22</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eastAsia="zh-CN"/>
              </w:rPr>
            </w:pPr>
            <w:r>
              <w:rPr>
                <w:rFonts w:hint="eastAsia" w:ascii="等线" w:hAnsi="等线" w:eastAsia="等线" w:cs="等线"/>
                <w:i w:val="0"/>
                <w:iCs w:val="0"/>
                <w:color w:val="000000"/>
                <w:kern w:val="0"/>
                <w:sz w:val="22"/>
                <w:szCs w:val="22"/>
                <w:u w:val="none"/>
                <w:lang w:val="en-US" w:eastAsia="zh-CN" w:bidi="ar"/>
              </w:rPr>
              <w:t>附录B</w:t>
            </w:r>
          </w:p>
        </w:tc>
        <w:tc>
          <w:tcPr>
            <w:tcW w:w="44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用工具显微镜测量超声波探伤试块槽宽尺寸的测量不确定度评定 物理意义、量纲等细化</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苟杰</w:t>
            </w: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rPr>
            </w:pPr>
            <w:r>
              <w:rPr>
                <w:rFonts w:hint="eastAsia" w:ascii="等线" w:hAnsi="等线" w:eastAsia="等线" w:cs="等线"/>
                <w:i w:val="0"/>
                <w:iCs w:val="0"/>
                <w:color w:val="000000"/>
                <w:kern w:val="0"/>
                <w:sz w:val="22"/>
                <w:szCs w:val="22"/>
                <w:u w:val="none"/>
                <w:lang w:val="en-US" w:eastAsia="zh-CN" w:bidi="ar"/>
              </w:rPr>
              <w:t>23</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eastAsia="zh-CN"/>
              </w:rPr>
            </w:pPr>
            <w:r>
              <w:rPr>
                <w:rFonts w:hint="eastAsia" w:ascii="等线" w:hAnsi="等线" w:eastAsia="等线" w:cs="等线"/>
                <w:i w:val="0"/>
                <w:iCs w:val="0"/>
                <w:color w:val="000000"/>
                <w:kern w:val="0"/>
                <w:sz w:val="22"/>
                <w:szCs w:val="22"/>
                <w:u w:val="none"/>
                <w:lang w:val="en-US" w:eastAsia="zh-CN" w:bidi="ar"/>
              </w:rPr>
              <w:t>附录E</w:t>
            </w:r>
          </w:p>
        </w:tc>
        <w:tc>
          <w:tcPr>
            <w:tcW w:w="44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超声标准试块原始记录参考格式 环境条件“%RH”改为“相对湿度     %”</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曹艳伟</w:t>
            </w: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rPr>
            </w:pPr>
            <w:r>
              <w:rPr>
                <w:rFonts w:hint="eastAsia" w:ascii="等线" w:hAnsi="等线" w:eastAsia="等线" w:cs="等线"/>
                <w:i w:val="0"/>
                <w:iCs w:val="0"/>
                <w:color w:val="000000"/>
                <w:kern w:val="0"/>
                <w:sz w:val="22"/>
                <w:szCs w:val="22"/>
                <w:u w:val="none"/>
                <w:lang w:val="en-US" w:eastAsia="zh-CN" w:bidi="ar"/>
              </w:rPr>
              <w:t>24</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eastAsia="zh-CN"/>
              </w:rPr>
            </w:pPr>
            <w:r>
              <w:rPr>
                <w:rFonts w:hint="eastAsia" w:ascii="等线" w:hAnsi="等线" w:eastAsia="等线" w:cs="等线"/>
                <w:i w:val="0"/>
                <w:iCs w:val="0"/>
                <w:color w:val="000000"/>
                <w:kern w:val="0"/>
                <w:sz w:val="22"/>
                <w:szCs w:val="22"/>
                <w:u w:val="none"/>
                <w:lang w:val="en-US" w:eastAsia="zh-CN" w:bidi="ar"/>
              </w:rPr>
              <w:t>附录</w:t>
            </w:r>
          </w:p>
        </w:tc>
        <w:tc>
          <w:tcPr>
            <w:tcW w:w="44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附录顺序调整，附录A为原始记录格式，附录B为校准证书内页格式，不确定度评定在最后</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闫雁楠</w:t>
            </w: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p>
        </w:tc>
      </w:tr>
    </w:tbl>
    <w:p>
      <w:pPr>
        <w:pStyle w:val="73"/>
        <w:numPr>
          <w:ilvl w:val="0"/>
          <w:numId w:val="11"/>
        </w:numPr>
        <w:tabs>
          <w:tab w:val="left" w:pos="426"/>
        </w:tabs>
        <w:spacing w:before="312" w:beforeLines="100" w:after="312" w:afterLines="100"/>
        <w:ind w:hangingChars="200"/>
        <w:jc w:val="left"/>
        <w:rPr>
          <w:sz w:val="24"/>
          <w:szCs w:val="24"/>
        </w:rPr>
      </w:pPr>
      <w:r>
        <w:rPr>
          <w:rFonts w:hint="eastAsia"/>
          <w:sz w:val="24"/>
          <w:szCs w:val="24"/>
          <w:lang w:eastAsia="zh-CN"/>
        </w:rPr>
        <w:t>规范</w:t>
      </w:r>
      <w:r>
        <w:rPr>
          <w:rFonts w:hint="eastAsia"/>
          <w:sz w:val="24"/>
          <w:szCs w:val="24"/>
        </w:rPr>
        <w:t>编制原则和确定主要内容</w:t>
      </w:r>
      <w:bookmarkEnd w:id="21"/>
    </w:p>
    <w:p>
      <w:pPr>
        <w:pStyle w:val="78"/>
        <w:wordWrap/>
        <w:spacing w:beforeLines="0" w:after="156" w:line="360" w:lineRule="auto"/>
        <w:rPr>
          <w:sz w:val="24"/>
          <w:szCs w:val="24"/>
        </w:rPr>
      </w:pPr>
      <w:bookmarkStart w:id="22" w:name="_Toc464728925"/>
      <w:r>
        <w:rPr>
          <w:rFonts w:hint="eastAsia"/>
          <w:sz w:val="24"/>
          <w:szCs w:val="24"/>
        </w:rPr>
        <w:t>编制原则</w:t>
      </w:r>
      <w:bookmarkEnd w:id="22"/>
    </w:p>
    <w:p>
      <w:pPr>
        <w:pStyle w:val="57"/>
        <w:numPr>
          <w:ilvl w:val="0"/>
          <w:numId w:val="13"/>
        </w:numPr>
        <w:spacing w:line="324" w:lineRule="auto"/>
        <w:ind w:firstLine="420"/>
        <w:rPr>
          <w:sz w:val="24"/>
          <w:szCs w:val="24"/>
        </w:rPr>
      </w:pPr>
      <w:bookmarkStart w:id="23" w:name="_Toc464728926"/>
      <w:r>
        <w:rPr>
          <w:rFonts w:hint="eastAsia"/>
          <w:sz w:val="24"/>
          <w:szCs w:val="24"/>
        </w:rPr>
        <w:t>保证有色行业的特殊性和适用性</w:t>
      </w:r>
      <w:r>
        <w:rPr>
          <w:rFonts w:hint="eastAsia"/>
          <w:sz w:val="24"/>
          <w:szCs w:val="24"/>
          <w:lang w:eastAsia="zh-CN"/>
        </w:rPr>
        <w:t>。</w:t>
      </w:r>
    </w:p>
    <w:p>
      <w:pPr>
        <w:pStyle w:val="57"/>
        <w:numPr>
          <w:ilvl w:val="0"/>
          <w:numId w:val="13"/>
        </w:numPr>
        <w:spacing w:line="324" w:lineRule="auto"/>
        <w:ind w:firstLine="420"/>
        <w:rPr>
          <w:sz w:val="24"/>
          <w:szCs w:val="24"/>
        </w:rPr>
      </w:pPr>
      <w:r>
        <w:rPr>
          <w:rFonts w:hint="eastAsia"/>
          <w:sz w:val="24"/>
          <w:szCs w:val="24"/>
        </w:rPr>
        <w:t>保证</w:t>
      </w:r>
      <w:r>
        <w:rPr>
          <w:rFonts w:hint="eastAsia"/>
          <w:sz w:val="24"/>
          <w:szCs w:val="24"/>
          <w:lang w:val="en-US" w:eastAsia="zh-CN"/>
        </w:rPr>
        <w:t>校准规范</w:t>
      </w:r>
      <w:r>
        <w:rPr>
          <w:rFonts w:hint="eastAsia"/>
          <w:sz w:val="24"/>
          <w:szCs w:val="24"/>
        </w:rPr>
        <w:t>的规范性</w:t>
      </w:r>
      <w:r>
        <w:rPr>
          <w:rFonts w:hint="eastAsia"/>
          <w:sz w:val="24"/>
          <w:szCs w:val="24"/>
          <w:lang w:eastAsia="zh-CN"/>
        </w:rPr>
        <w:t>。</w:t>
      </w:r>
    </w:p>
    <w:p>
      <w:pPr>
        <w:pStyle w:val="57"/>
        <w:numPr>
          <w:ilvl w:val="0"/>
          <w:numId w:val="13"/>
        </w:numPr>
        <w:spacing w:line="324" w:lineRule="auto"/>
        <w:ind w:firstLine="420"/>
        <w:rPr>
          <w:sz w:val="24"/>
          <w:szCs w:val="24"/>
        </w:rPr>
      </w:pPr>
      <w:r>
        <w:rPr>
          <w:rFonts w:hint="eastAsia"/>
          <w:sz w:val="24"/>
          <w:szCs w:val="24"/>
          <w:lang w:val="en-US" w:eastAsia="zh-CN"/>
        </w:rPr>
        <w:t>保证校准规范</w:t>
      </w:r>
      <w:r>
        <w:rPr>
          <w:rFonts w:hint="eastAsia"/>
          <w:sz w:val="24"/>
          <w:szCs w:val="24"/>
        </w:rPr>
        <w:t>的</w:t>
      </w:r>
      <w:r>
        <w:rPr>
          <w:rFonts w:hint="eastAsia"/>
          <w:sz w:val="24"/>
          <w:szCs w:val="24"/>
          <w:lang w:val="en-US" w:eastAsia="zh-CN"/>
        </w:rPr>
        <w:t>可操作</w:t>
      </w:r>
      <w:r>
        <w:rPr>
          <w:rFonts w:hint="eastAsia"/>
          <w:sz w:val="24"/>
          <w:szCs w:val="24"/>
        </w:rPr>
        <w:t>性</w:t>
      </w:r>
      <w:r>
        <w:rPr>
          <w:rFonts w:hint="eastAsia"/>
          <w:sz w:val="24"/>
          <w:szCs w:val="24"/>
          <w:lang w:eastAsia="zh-CN"/>
        </w:rPr>
        <w:t>。</w:t>
      </w:r>
    </w:p>
    <w:p>
      <w:pPr>
        <w:pStyle w:val="78"/>
        <w:spacing w:before="312" w:beforeLines="100" w:after="312" w:afterLines="100"/>
        <w:rPr>
          <w:rFonts w:ascii="宋体" w:hAnsi="宋体"/>
          <w:sz w:val="24"/>
          <w:szCs w:val="24"/>
        </w:rPr>
      </w:pPr>
      <w:r>
        <w:rPr>
          <w:rFonts w:hint="eastAsia"/>
          <w:sz w:val="24"/>
          <w:szCs w:val="24"/>
        </w:rPr>
        <w:t>确定主要内</w:t>
      </w:r>
      <w:bookmarkEnd w:id="23"/>
      <w:r>
        <w:rPr>
          <w:rFonts w:hint="eastAsia"/>
          <w:sz w:val="24"/>
          <w:szCs w:val="24"/>
        </w:rPr>
        <w:t>容</w:t>
      </w:r>
    </w:p>
    <w:p>
      <w:pPr>
        <w:pStyle w:val="60"/>
        <w:keepNext w:val="0"/>
        <w:keepLines w:val="0"/>
        <w:pageBreakBefore w:val="0"/>
        <w:widowControl/>
        <w:numPr>
          <w:ilvl w:val="1"/>
          <w:numId w:val="0"/>
        </w:numPr>
        <w:kinsoku/>
        <w:wordWrap/>
        <w:overflowPunct/>
        <w:topLinePunct w:val="0"/>
        <w:autoSpaceDE/>
        <w:autoSpaceDN/>
        <w:bidi w:val="0"/>
        <w:adjustRightInd/>
        <w:snapToGrid/>
        <w:spacing w:beforeLines="0" w:afterLines="0" w:line="360" w:lineRule="auto"/>
        <w:contextualSpacing/>
        <w:textAlignment w:val="auto"/>
        <w:rPr>
          <w:rFonts w:hAnsi="黑体"/>
          <w:sz w:val="24"/>
          <w:szCs w:val="24"/>
        </w:rPr>
      </w:pPr>
      <w:bookmarkStart w:id="24" w:name="_Toc464728964"/>
      <w:r>
        <w:rPr>
          <w:rFonts w:hint="eastAsia" w:hAnsi="黑体"/>
          <w:sz w:val="24"/>
          <w:szCs w:val="24"/>
          <w:lang w:val="en-US" w:eastAsia="zh-CN"/>
        </w:rPr>
        <w:t xml:space="preserve">1 </w:t>
      </w:r>
      <w:r>
        <w:rPr>
          <w:rFonts w:hint="eastAsia" w:hAnsi="黑体"/>
          <w:sz w:val="24"/>
          <w:szCs w:val="24"/>
        </w:rPr>
        <w:t>范围</w:t>
      </w:r>
    </w:p>
    <w:p>
      <w:pPr>
        <w:pStyle w:val="57"/>
        <w:spacing w:line="324" w:lineRule="auto"/>
        <w:ind w:left="0" w:leftChars="0" w:firstLine="480" w:firstLineChars="200"/>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本规范适用于超声标准试块的校准，其他无损检测试块也可参照使用。</w:t>
      </w:r>
    </w:p>
    <w:p>
      <w:pPr>
        <w:pStyle w:val="60"/>
        <w:keepNext w:val="0"/>
        <w:keepLines w:val="0"/>
        <w:pageBreakBefore w:val="0"/>
        <w:widowControl/>
        <w:numPr>
          <w:ilvl w:val="1"/>
          <w:numId w:val="0"/>
        </w:numPr>
        <w:kinsoku/>
        <w:wordWrap/>
        <w:overflowPunct/>
        <w:topLinePunct w:val="0"/>
        <w:autoSpaceDE/>
        <w:autoSpaceDN/>
        <w:bidi w:val="0"/>
        <w:adjustRightInd/>
        <w:snapToGrid/>
        <w:spacing w:beforeLines="0" w:afterLines="0" w:line="360" w:lineRule="auto"/>
        <w:contextualSpacing/>
        <w:textAlignment w:val="auto"/>
        <w:rPr>
          <w:rFonts w:hAnsi="黑体"/>
          <w:sz w:val="24"/>
          <w:szCs w:val="24"/>
        </w:rPr>
      </w:pPr>
      <w:r>
        <w:rPr>
          <w:rFonts w:hint="eastAsia" w:hAnsi="黑体"/>
          <w:sz w:val="24"/>
          <w:szCs w:val="24"/>
          <w:lang w:val="en-US" w:eastAsia="zh-CN"/>
        </w:rPr>
        <w:t xml:space="preserve">2 </w:t>
      </w:r>
      <w:r>
        <w:rPr>
          <w:rFonts w:hint="eastAsia" w:hAnsi="黑体"/>
          <w:sz w:val="24"/>
          <w:szCs w:val="24"/>
        </w:rPr>
        <w:t>规范性引用文件</w:t>
      </w:r>
    </w:p>
    <w:p>
      <w:pPr>
        <w:pStyle w:val="57"/>
        <w:keepNext w:val="0"/>
        <w:keepLines w:val="0"/>
        <w:pageBreakBefore w:val="0"/>
        <w:kinsoku/>
        <w:wordWrap/>
        <w:overflowPunct/>
        <w:topLinePunct w:val="0"/>
        <w:bidi w:val="0"/>
        <w:adjustRightInd w:val="0"/>
        <w:snapToGrid w:val="0"/>
        <w:spacing w:line="324" w:lineRule="auto"/>
        <w:ind w:left="0" w:leftChars="0" w:firstLine="480" w:firstLineChars="200"/>
        <w:textAlignment w:val="auto"/>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本规范引用下列文件：</w:t>
      </w:r>
    </w:p>
    <w:p>
      <w:pPr>
        <w:pStyle w:val="57"/>
        <w:keepNext w:val="0"/>
        <w:keepLines w:val="0"/>
        <w:pageBreakBefore w:val="0"/>
        <w:kinsoku/>
        <w:wordWrap/>
        <w:overflowPunct/>
        <w:topLinePunct w:val="0"/>
        <w:bidi w:val="0"/>
        <w:adjustRightInd w:val="0"/>
        <w:snapToGrid w:val="0"/>
        <w:spacing w:line="324" w:lineRule="auto"/>
        <w:ind w:left="0" w:leftChars="0"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GB/T 12604.1 无损检测 术语 超声检测</w:t>
      </w:r>
    </w:p>
    <w:p>
      <w:pPr>
        <w:pStyle w:val="57"/>
        <w:keepNext w:val="0"/>
        <w:keepLines w:val="0"/>
        <w:pageBreakBefore w:val="0"/>
        <w:kinsoku/>
        <w:wordWrap/>
        <w:overflowPunct/>
        <w:topLinePunct w:val="0"/>
        <w:bidi w:val="0"/>
        <w:adjustRightInd w:val="0"/>
        <w:snapToGrid w:val="0"/>
        <w:spacing w:line="324" w:lineRule="auto"/>
        <w:ind w:left="0" w:leftChars="0"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JJF 1487 超声波探伤试块校准规范</w:t>
      </w:r>
    </w:p>
    <w:p>
      <w:pPr>
        <w:pStyle w:val="57"/>
        <w:keepNext w:val="0"/>
        <w:keepLines w:val="0"/>
        <w:pageBreakBefore w:val="0"/>
        <w:kinsoku/>
        <w:wordWrap/>
        <w:overflowPunct/>
        <w:topLinePunct w:val="0"/>
        <w:bidi w:val="0"/>
        <w:adjustRightInd w:val="0"/>
        <w:snapToGrid w:val="0"/>
        <w:spacing w:line="324" w:lineRule="auto"/>
        <w:ind w:left="0" w:leftChars="0"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GB/T 23905-2009 无损检测 超声检测用试块</w:t>
      </w:r>
    </w:p>
    <w:p>
      <w:pPr>
        <w:pStyle w:val="57"/>
        <w:keepNext w:val="0"/>
        <w:keepLines w:val="0"/>
        <w:pageBreakBefore w:val="0"/>
        <w:kinsoku/>
        <w:wordWrap/>
        <w:overflowPunct/>
        <w:topLinePunct w:val="0"/>
        <w:bidi w:val="0"/>
        <w:adjustRightInd w:val="0"/>
        <w:snapToGrid w:val="0"/>
        <w:spacing w:line="324" w:lineRule="auto"/>
        <w:ind w:left="0" w:leftChars="0"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GB/T 11259-2015 无损检测 超声检测用钢参考试块的制作与检验方法</w:t>
      </w:r>
    </w:p>
    <w:p>
      <w:pPr>
        <w:pStyle w:val="57"/>
        <w:keepNext w:val="0"/>
        <w:keepLines w:val="0"/>
        <w:pageBreakBefore w:val="0"/>
        <w:kinsoku/>
        <w:wordWrap/>
        <w:overflowPunct/>
        <w:topLinePunct w:val="0"/>
        <w:bidi w:val="0"/>
        <w:adjustRightInd w:val="0"/>
        <w:snapToGrid w:val="0"/>
        <w:spacing w:line="324" w:lineRule="auto"/>
        <w:ind w:left="0" w:leftChars="0"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GB/T 18852-2020 无损检测 超声检验 测量接触探头声速特性的参考试块和方法</w:t>
      </w:r>
    </w:p>
    <w:p>
      <w:pPr>
        <w:pStyle w:val="57"/>
        <w:keepNext w:val="0"/>
        <w:keepLines w:val="0"/>
        <w:pageBreakBefore w:val="0"/>
        <w:kinsoku/>
        <w:wordWrap/>
        <w:overflowPunct/>
        <w:topLinePunct w:val="0"/>
        <w:bidi w:val="0"/>
        <w:adjustRightInd w:val="0"/>
        <w:snapToGrid w:val="0"/>
        <w:spacing w:line="324" w:lineRule="auto"/>
        <w:ind w:left="0" w:leftChars="0"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GB/T 19799.1-2015 无损检测 超声检测 1号校准试块</w:t>
      </w:r>
    </w:p>
    <w:p>
      <w:pPr>
        <w:pStyle w:val="57"/>
        <w:keepNext w:val="0"/>
        <w:keepLines w:val="0"/>
        <w:pageBreakBefore w:val="0"/>
        <w:kinsoku/>
        <w:wordWrap/>
        <w:overflowPunct/>
        <w:topLinePunct w:val="0"/>
        <w:bidi w:val="0"/>
        <w:adjustRightInd w:val="0"/>
        <w:snapToGrid w:val="0"/>
        <w:spacing w:line="324" w:lineRule="auto"/>
        <w:ind w:left="0" w:leftChars="0"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GB/T 19799.2-2012 无损检测 超声检测 2号校准试块</w:t>
      </w:r>
    </w:p>
    <w:p>
      <w:pPr>
        <w:pStyle w:val="57"/>
        <w:keepNext w:val="0"/>
        <w:keepLines w:val="0"/>
        <w:pageBreakBefore w:val="0"/>
        <w:kinsoku/>
        <w:wordWrap/>
        <w:overflowPunct/>
        <w:topLinePunct w:val="0"/>
        <w:bidi w:val="0"/>
        <w:adjustRightInd w:val="0"/>
        <w:snapToGrid w:val="0"/>
        <w:spacing w:line="324" w:lineRule="auto"/>
        <w:ind w:left="0" w:leftChars="0"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JJG 746-2004 超声探伤仪</w:t>
      </w:r>
    </w:p>
    <w:p>
      <w:pPr>
        <w:pStyle w:val="57"/>
        <w:keepNext w:val="0"/>
        <w:keepLines w:val="0"/>
        <w:pageBreakBefore w:val="0"/>
        <w:kinsoku/>
        <w:wordWrap/>
        <w:overflowPunct/>
        <w:topLinePunct w:val="0"/>
        <w:bidi w:val="0"/>
        <w:adjustRightInd w:val="0"/>
        <w:snapToGrid w:val="0"/>
        <w:spacing w:line="324" w:lineRule="auto"/>
        <w:ind w:left="0" w:leftChars="0"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NB/T 47013.3-2015 承压设备无损检测 第3部分：超声检测</w:t>
      </w:r>
    </w:p>
    <w:p>
      <w:pPr>
        <w:pStyle w:val="57"/>
        <w:keepNext w:val="0"/>
        <w:keepLines w:val="0"/>
        <w:pageBreakBefore w:val="0"/>
        <w:kinsoku/>
        <w:wordWrap/>
        <w:overflowPunct/>
        <w:topLinePunct w:val="0"/>
        <w:bidi w:val="0"/>
        <w:adjustRightInd w:val="0"/>
        <w:snapToGrid w:val="0"/>
        <w:spacing w:line="324" w:lineRule="auto"/>
        <w:ind w:left="0" w:leftChars="0"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JB/T 10062-1999 超声探伤用探头性能测试方法</w:t>
      </w:r>
    </w:p>
    <w:p>
      <w:pPr>
        <w:pStyle w:val="57"/>
        <w:keepNext w:val="0"/>
        <w:keepLines w:val="0"/>
        <w:pageBreakBefore w:val="0"/>
        <w:kinsoku/>
        <w:wordWrap/>
        <w:overflowPunct/>
        <w:topLinePunct w:val="0"/>
        <w:bidi w:val="0"/>
        <w:adjustRightInd w:val="0"/>
        <w:snapToGrid w:val="0"/>
        <w:spacing w:line="324" w:lineRule="auto"/>
        <w:ind w:left="0" w:leftChars="0"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JG/T 203-2007 钢结构超声波探伤及质量分级法</w:t>
      </w:r>
    </w:p>
    <w:p>
      <w:pPr>
        <w:pStyle w:val="57"/>
        <w:spacing w:line="324" w:lineRule="auto"/>
        <w:ind w:left="0" w:leftChars="0" w:firstLine="480" w:firstLineChars="200"/>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凡是注日期的引用文件，仅注日期的版本适用于本规范；凡是不注日期的引用文件，其最新按本（包括所有的修订单）适用于本规范。</w:t>
      </w:r>
    </w:p>
    <w:p>
      <w:pPr>
        <w:pStyle w:val="57"/>
        <w:spacing w:line="324" w:lineRule="auto"/>
        <w:ind w:left="0" w:leftChars="0" w:firstLine="480" w:firstLineChars="200"/>
        <w:rPr>
          <w:rFonts w:hint="default" w:ascii="Times New Roman" w:hAnsi="Times New Roman" w:cs="Times New Roman"/>
          <w:kern w:val="0"/>
          <w:sz w:val="24"/>
          <w:szCs w:val="24"/>
          <w:lang w:val="en-US" w:eastAsia="zh-CN"/>
        </w:rPr>
      </w:pPr>
    </w:p>
    <w:p>
      <w:pPr>
        <w:pStyle w:val="57"/>
        <w:spacing w:line="324" w:lineRule="auto"/>
        <w:ind w:left="0" w:leftChars="0" w:firstLine="480" w:firstLineChars="200"/>
        <w:rPr>
          <w:rFonts w:hint="default" w:ascii="Times New Roman" w:hAnsi="Times New Roman" w:cs="Times New Roman"/>
          <w:kern w:val="0"/>
          <w:sz w:val="24"/>
          <w:szCs w:val="24"/>
          <w:lang w:val="en-US" w:eastAsia="zh-CN"/>
        </w:rPr>
      </w:pPr>
    </w:p>
    <w:p>
      <w:pPr>
        <w:pStyle w:val="57"/>
        <w:spacing w:line="324" w:lineRule="auto"/>
        <w:ind w:left="0" w:leftChars="0" w:firstLine="0" w:firstLineChars="0"/>
        <w:rPr>
          <w:rFonts w:hint="eastAsia" w:ascii="黑体" w:hAnsi="黑体" w:eastAsia="黑体" w:cs="Times New Roman"/>
          <w:sz w:val="24"/>
          <w:szCs w:val="24"/>
          <w:lang w:val="en-US" w:eastAsia="zh-CN" w:bidi="ar-SA"/>
        </w:rPr>
      </w:pPr>
      <w:r>
        <w:rPr>
          <w:rFonts w:hint="eastAsia" w:ascii="黑体" w:hAnsi="黑体" w:eastAsia="黑体" w:cs="Times New Roman"/>
          <w:sz w:val="24"/>
          <w:szCs w:val="24"/>
          <w:lang w:val="en-US" w:eastAsia="zh-CN" w:bidi="ar-SA"/>
        </w:rPr>
        <w:t>3 概述</w:t>
      </w:r>
    </w:p>
    <w:p>
      <w:pPr>
        <w:pStyle w:val="57"/>
        <w:spacing w:line="324" w:lineRule="auto"/>
        <w:ind w:left="0" w:leftChars="0" w:firstLine="480" w:firstLineChars="200"/>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超声标准试块是指按一定用途设计制作的具有规定的声学特性、表面粗糙度、几何尺寸、形状和位置误差的块状几何体，其几何形状和参考反射体尺寸（孔、槽或圆弧等）用于评定和校准超声检测设备、验证设备性能、确保检测准确性。常见超声标准试块对应的标准见附录D。</w:t>
      </w:r>
    </w:p>
    <w:p>
      <w:pPr>
        <w:pStyle w:val="57"/>
        <w:spacing w:line="360" w:lineRule="auto"/>
        <w:ind w:left="0" w:leftChars="0" w:firstLine="0" w:firstLineChars="0"/>
        <w:rPr>
          <w:rFonts w:hint="default" w:ascii="黑体" w:hAnsi="黑体" w:eastAsia="黑体" w:cs="Times New Roman"/>
          <w:sz w:val="24"/>
          <w:szCs w:val="24"/>
          <w:lang w:val="en-US" w:eastAsia="zh-CN" w:bidi="ar-SA"/>
        </w:rPr>
      </w:pPr>
      <w:r>
        <w:rPr>
          <w:rFonts w:hint="eastAsia" w:ascii="黑体" w:hAnsi="黑体" w:eastAsia="黑体" w:cs="Times New Roman"/>
          <w:sz w:val="24"/>
          <w:szCs w:val="24"/>
          <w:lang w:val="en-US" w:eastAsia="zh-CN" w:bidi="ar-SA"/>
        </w:rPr>
        <w:t>4</w:t>
      </w:r>
      <w:r>
        <w:rPr>
          <w:rFonts w:hint="default" w:ascii="黑体" w:hAnsi="黑体" w:eastAsia="黑体" w:cs="Times New Roman"/>
          <w:sz w:val="24"/>
          <w:szCs w:val="24"/>
          <w:lang w:val="en-US" w:eastAsia="zh-CN" w:bidi="ar-SA"/>
        </w:rPr>
        <w:t xml:space="preserve"> 计量特性</w:t>
      </w:r>
    </w:p>
    <w:p>
      <w:pPr>
        <w:pStyle w:val="3"/>
        <w:keepNext/>
        <w:keepLines/>
        <w:pageBreakBefore w:val="0"/>
        <w:widowControl w:val="0"/>
        <w:kinsoku/>
        <w:wordWrap/>
        <w:overflowPunct/>
        <w:topLinePunct w:val="0"/>
        <w:autoSpaceDE/>
        <w:autoSpaceDN/>
        <w:bidi w:val="0"/>
        <w:adjustRightInd/>
        <w:snapToGrid/>
        <w:spacing w:before="156" w:after="156" w:line="360" w:lineRule="auto"/>
        <w:textAlignment w:val="auto"/>
        <w:rPr>
          <w:rFonts w:hint="default" w:ascii="Times New Roman" w:hAnsi="Times New Roman" w:eastAsia="宋体" w:cs="Times New Roman"/>
          <w:b w:val="0"/>
          <w:bCs w:val="0"/>
          <w:szCs w:val="21"/>
          <w:highlight w:val="none"/>
          <w:lang w:val="en-US" w:eastAsia="zh-CN"/>
        </w:rPr>
      </w:pPr>
      <w:bookmarkStart w:id="25" w:name="_Toc28348_WPSOffice_Level2"/>
      <w:bookmarkStart w:id="26" w:name="_Toc23785540"/>
      <w:bookmarkStart w:id="27" w:name="_Toc23784548"/>
      <w:bookmarkStart w:id="28" w:name="_Toc21860"/>
      <w:bookmarkStart w:id="29" w:name="_Toc12427"/>
      <w:bookmarkStart w:id="30" w:name="_Toc23784646"/>
      <w:bookmarkStart w:id="31" w:name="_Toc32205"/>
      <w:bookmarkStart w:id="32" w:name="_Toc990"/>
      <w:bookmarkStart w:id="33" w:name="_Toc22790"/>
      <w:bookmarkStart w:id="34" w:name="_Toc15747"/>
      <w:r>
        <w:rPr>
          <w:rFonts w:hint="default" w:ascii="Times New Roman" w:hAnsi="Times New Roman" w:eastAsia="宋体" w:cs="Times New Roman"/>
          <w:b w:val="0"/>
          <w:bCs w:val="0"/>
          <w:sz w:val="24"/>
          <w:szCs w:val="24"/>
          <w:highlight w:val="none"/>
          <w:lang w:val="en-US" w:eastAsia="zh-CN"/>
        </w:rPr>
        <w:t>4</w:t>
      </w:r>
      <w:r>
        <w:rPr>
          <w:rFonts w:hint="default" w:ascii="Times New Roman" w:hAnsi="Times New Roman" w:eastAsia="宋体" w:cs="Times New Roman"/>
          <w:b w:val="0"/>
          <w:bCs w:val="0"/>
          <w:sz w:val="24"/>
          <w:szCs w:val="24"/>
          <w:highlight w:val="none"/>
        </w:rPr>
        <w:t xml:space="preserve">.1 </w:t>
      </w:r>
      <w:bookmarkEnd w:id="25"/>
      <w:bookmarkEnd w:id="26"/>
      <w:bookmarkEnd w:id="27"/>
      <w:bookmarkEnd w:id="28"/>
      <w:bookmarkEnd w:id="29"/>
      <w:bookmarkEnd w:id="30"/>
      <w:bookmarkEnd w:id="31"/>
      <w:bookmarkEnd w:id="32"/>
      <w:bookmarkEnd w:id="33"/>
      <w:r>
        <w:rPr>
          <w:rFonts w:hint="eastAsia" w:ascii="Times New Roman" w:hAnsi="Times New Roman" w:eastAsia="宋体" w:cs="Times New Roman"/>
          <w:b w:val="0"/>
          <w:bCs w:val="0"/>
          <w:sz w:val="24"/>
          <w:szCs w:val="24"/>
          <w:highlight w:val="none"/>
          <w:lang w:val="en-US" w:eastAsia="zh-CN"/>
        </w:rPr>
        <w:t>声学特性</w:t>
      </w:r>
      <w:bookmarkEnd w:id="34"/>
    </w:p>
    <w:p>
      <w:pPr>
        <w:pStyle w:val="57"/>
        <w:keepNext w:val="0"/>
        <w:keepLines w:val="0"/>
        <w:pageBreakBefore w:val="0"/>
        <w:widowControl/>
        <w:kinsoku/>
        <w:wordWrap/>
        <w:overflowPunct/>
        <w:topLinePunct w:val="0"/>
        <w:autoSpaceDE w:val="0"/>
        <w:autoSpaceDN w:val="0"/>
        <w:bidi w:val="0"/>
        <w:adjustRightInd/>
        <w:snapToGrid/>
        <w:spacing w:line="360" w:lineRule="auto"/>
        <w:ind w:left="210" w:leftChars="100" w:firstLine="0" w:firstLineChars="0"/>
        <w:textAlignment w:val="auto"/>
        <w:outlineLvl w:val="9"/>
        <w:rPr>
          <w:rFonts w:hint="default" w:ascii="Times New Roman" w:hAnsi="Times New Roman" w:eastAsia="宋体" w:cs="Times New Roman"/>
          <w:sz w:val="24"/>
          <w:highlight w:val="none"/>
          <w:lang w:val="en-US" w:eastAsia="zh-CN"/>
        </w:rPr>
      </w:pPr>
      <w:bookmarkStart w:id="35" w:name="_Toc29487"/>
      <w:bookmarkStart w:id="36" w:name="_Toc18722"/>
      <w:bookmarkStart w:id="37" w:name="_Toc8093"/>
      <w:r>
        <w:rPr>
          <w:rFonts w:hint="default" w:ascii="Times New Roman" w:hAnsi="Times New Roman" w:eastAsia="宋体" w:cs="Times New Roman"/>
          <w:sz w:val="24"/>
          <w:highlight w:val="none"/>
          <w:lang w:val="en-US" w:eastAsia="zh-CN"/>
        </w:rPr>
        <w:t xml:space="preserve">4.1.1 </w:t>
      </w:r>
      <w:bookmarkEnd w:id="35"/>
      <w:bookmarkEnd w:id="36"/>
      <w:bookmarkEnd w:id="37"/>
      <w:r>
        <w:rPr>
          <w:rFonts w:hint="eastAsia" w:ascii="Times New Roman" w:hAnsi="Times New Roman" w:eastAsia="宋体" w:cs="Times New Roman"/>
          <w:sz w:val="24"/>
          <w:highlight w:val="none"/>
          <w:lang w:val="en-US" w:eastAsia="zh-CN"/>
        </w:rPr>
        <w:t>底波监测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底波最高反射回波幅度和最低反射回波幅度之间的差值不应超过±2dB。</w:t>
      </w:r>
    </w:p>
    <w:p>
      <w:pPr>
        <w:pStyle w:val="57"/>
        <w:keepNext w:val="0"/>
        <w:keepLines w:val="0"/>
        <w:pageBreakBefore w:val="0"/>
        <w:widowControl/>
        <w:kinsoku/>
        <w:wordWrap/>
        <w:overflowPunct/>
        <w:topLinePunct w:val="0"/>
        <w:autoSpaceDE w:val="0"/>
        <w:autoSpaceDN w:val="0"/>
        <w:bidi w:val="0"/>
        <w:adjustRightInd/>
        <w:snapToGrid/>
        <w:spacing w:line="360" w:lineRule="auto"/>
        <w:ind w:left="210" w:leftChars="100" w:firstLine="0" w:firstLineChars="0"/>
        <w:textAlignment w:val="auto"/>
        <w:outlineLvl w:val="9"/>
        <w:rPr>
          <w:rFonts w:hint="eastAsia" w:ascii="Times New Roman" w:hAnsi="Times New Roman" w:eastAsia="宋体" w:cs="Times New Roman"/>
          <w:sz w:val="24"/>
          <w:highlight w:val="none"/>
          <w:lang w:val="en-US" w:eastAsia="zh-CN"/>
        </w:rPr>
      </w:pPr>
      <w:r>
        <w:rPr>
          <w:rFonts w:hint="default" w:ascii="Times New Roman" w:hAnsi="Times New Roman" w:eastAsia="宋体" w:cs="Times New Roman"/>
          <w:sz w:val="24"/>
          <w:highlight w:val="none"/>
          <w:lang w:val="en-US" w:eastAsia="zh-CN"/>
        </w:rPr>
        <w:t>4.1.</w:t>
      </w:r>
      <w:r>
        <w:rPr>
          <w:rFonts w:hint="eastAsia" w:ascii="Times New Roman" w:cs="Times New Roman"/>
          <w:sz w:val="24"/>
          <w:highlight w:val="none"/>
          <w:lang w:val="en-US" w:eastAsia="zh-CN"/>
        </w:rPr>
        <w:t>2</w:t>
      </w:r>
      <w:r>
        <w:rPr>
          <w:rFonts w:hint="default" w:ascii="Times New Roman" w:hAnsi="Times New Roman" w:eastAsia="宋体" w:cs="Times New Roman"/>
          <w:sz w:val="24"/>
          <w:highlight w:val="none"/>
          <w:lang w:val="en-US" w:eastAsia="zh-CN"/>
        </w:rPr>
        <w:t xml:space="preserve"> </w:t>
      </w:r>
      <w:r>
        <w:rPr>
          <w:rFonts w:hint="eastAsia" w:ascii="Times New Roman" w:hAnsi="Times New Roman" w:eastAsia="宋体" w:cs="Times New Roman"/>
          <w:sz w:val="24"/>
          <w:highlight w:val="none"/>
          <w:lang w:val="en-US" w:eastAsia="zh-CN"/>
        </w:rPr>
        <w:t>噪声水平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highlight w:val="none"/>
          <w:lang w:val="en-US" w:eastAsia="zh-CN"/>
        </w:rPr>
      </w:pPr>
      <w:r>
        <w:rPr>
          <w:rFonts w:hint="eastAsia" w:cs="Times New Roman"/>
          <w:sz w:val="24"/>
          <w:highlight w:val="none"/>
          <w:lang w:val="en-US" w:eastAsia="zh-CN"/>
        </w:rPr>
        <w:t>杂波信号的最高</w:t>
      </w:r>
      <w:r>
        <w:rPr>
          <w:rFonts w:hint="eastAsia" w:ascii="Times New Roman" w:hAnsi="Times New Roman" w:eastAsia="宋体" w:cs="Times New Roman"/>
          <w:sz w:val="24"/>
          <w:highlight w:val="none"/>
          <w:lang w:val="en-US" w:eastAsia="zh-CN"/>
        </w:rPr>
        <w:t>回波幅度不大于</w:t>
      </w:r>
      <w:r>
        <w:rPr>
          <w:rFonts w:hint="eastAsia" w:cs="Times New Roman"/>
          <w:sz w:val="24"/>
          <w:highlight w:val="none"/>
          <w:lang w:val="en-US" w:eastAsia="zh-CN"/>
        </w:rPr>
        <w:t>相同材料φ0.8mm</w:t>
      </w:r>
      <w:r>
        <w:rPr>
          <w:rFonts w:hint="eastAsia" w:ascii="Times New Roman" w:hAnsi="Times New Roman" w:eastAsia="宋体" w:cs="Times New Roman"/>
          <w:sz w:val="24"/>
          <w:highlight w:val="none"/>
          <w:lang w:val="en-US" w:eastAsia="zh-CN"/>
        </w:rPr>
        <w:t>平底孔</w:t>
      </w:r>
      <w:r>
        <w:rPr>
          <w:rFonts w:hint="eastAsia" w:cs="Times New Roman"/>
          <w:sz w:val="24"/>
          <w:highlight w:val="none"/>
          <w:lang w:val="en-US" w:eastAsia="zh-CN"/>
        </w:rPr>
        <w:t>的</w:t>
      </w:r>
      <w:r>
        <w:rPr>
          <w:rFonts w:hint="eastAsia" w:ascii="Times New Roman" w:hAnsi="Times New Roman" w:eastAsia="宋体" w:cs="Times New Roman"/>
          <w:sz w:val="24"/>
          <w:highlight w:val="none"/>
          <w:lang w:val="en-US" w:eastAsia="zh-CN"/>
        </w:rPr>
        <w:t>1/</w:t>
      </w:r>
      <w:r>
        <w:rPr>
          <w:rFonts w:hint="eastAsia" w:cs="Times New Roman"/>
          <w:sz w:val="24"/>
          <w:highlight w:val="none"/>
          <w:lang w:val="en-US" w:eastAsia="zh-CN"/>
        </w:rPr>
        <w:t>10</w:t>
      </w:r>
      <w:r>
        <w:rPr>
          <w:rFonts w:hint="eastAsia" w:ascii="Times New Roman" w:hAnsi="Times New Roman" w:eastAsia="宋体" w:cs="Times New Roman"/>
          <w:sz w:val="24"/>
          <w:highlight w:val="none"/>
          <w:lang w:val="en-US" w:eastAsia="zh-CN"/>
        </w:rPr>
        <w:t>。</w:t>
      </w:r>
    </w:p>
    <w:p>
      <w:pPr>
        <w:pStyle w:val="57"/>
        <w:keepNext w:val="0"/>
        <w:keepLines w:val="0"/>
        <w:pageBreakBefore w:val="0"/>
        <w:widowControl/>
        <w:kinsoku/>
        <w:wordWrap/>
        <w:overflowPunct/>
        <w:topLinePunct w:val="0"/>
        <w:autoSpaceDE w:val="0"/>
        <w:autoSpaceDN w:val="0"/>
        <w:bidi w:val="0"/>
        <w:adjustRightInd/>
        <w:snapToGrid/>
        <w:spacing w:line="360" w:lineRule="auto"/>
        <w:ind w:left="210" w:leftChars="100" w:firstLine="0" w:firstLineChars="0"/>
        <w:textAlignment w:val="auto"/>
        <w:outlineLvl w:val="9"/>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4.1.</w:t>
      </w:r>
      <w:r>
        <w:rPr>
          <w:rFonts w:hint="default" w:ascii="Times New Roman" w:hAnsi="Times New Roman" w:eastAsia="宋体" w:cs="Times New Roman"/>
          <w:sz w:val="24"/>
          <w:highlight w:val="none"/>
          <w:lang w:val="en-US" w:eastAsia="zh-CN"/>
        </w:rPr>
        <w:t>3</w:t>
      </w:r>
      <w:r>
        <w:rPr>
          <w:rFonts w:hint="eastAsia" w:ascii="Times New Roman" w:cs="Times New Roman"/>
          <w:sz w:val="24"/>
          <w:highlight w:val="none"/>
          <w:lang w:val="en-US" w:eastAsia="zh-CN"/>
        </w:rPr>
        <w:t xml:space="preserve"> </w:t>
      </w:r>
      <w:r>
        <w:rPr>
          <w:rFonts w:hint="eastAsia" w:ascii="Times New Roman" w:hAnsi="Times New Roman" w:eastAsia="宋体" w:cs="Times New Roman"/>
          <w:sz w:val="24"/>
          <w:highlight w:val="none"/>
          <w:lang w:val="en-US" w:eastAsia="zh-CN"/>
        </w:rPr>
        <w:t>均匀性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由材料组织引起的显示信号幅值差值不应超过±</w:t>
      </w:r>
      <w:r>
        <w:rPr>
          <w:rFonts w:hint="eastAsia" w:cs="Times New Roman"/>
          <w:sz w:val="24"/>
          <w:highlight w:val="none"/>
          <w:lang w:val="en-US" w:eastAsia="zh-CN"/>
        </w:rPr>
        <w:t>2</w:t>
      </w:r>
      <w:r>
        <w:rPr>
          <w:rFonts w:hint="eastAsia" w:ascii="Times New Roman" w:hAnsi="Times New Roman" w:eastAsia="宋体" w:cs="Times New Roman"/>
          <w:sz w:val="24"/>
          <w:highlight w:val="none"/>
          <w:lang w:val="en-US" w:eastAsia="zh-CN"/>
        </w:rPr>
        <w:t>dB。</w:t>
      </w:r>
    </w:p>
    <w:p>
      <w:pPr>
        <w:pStyle w:val="57"/>
        <w:keepNext w:val="0"/>
        <w:keepLines w:val="0"/>
        <w:pageBreakBefore w:val="0"/>
        <w:widowControl/>
        <w:kinsoku/>
        <w:wordWrap/>
        <w:overflowPunct/>
        <w:topLinePunct w:val="0"/>
        <w:autoSpaceDE w:val="0"/>
        <w:autoSpaceDN w:val="0"/>
        <w:bidi w:val="0"/>
        <w:adjustRightInd/>
        <w:snapToGrid/>
        <w:spacing w:line="360" w:lineRule="auto"/>
        <w:ind w:left="210" w:leftChars="100" w:firstLine="0" w:firstLineChars="0"/>
        <w:textAlignment w:val="auto"/>
        <w:outlineLvl w:val="9"/>
        <w:rPr>
          <w:rFonts w:hint="eastAsia" w:cs="Times New Roman"/>
          <w:sz w:val="24"/>
          <w:highlight w:val="none"/>
          <w:lang w:val="en-US" w:eastAsia="zh-CN"/>
        </w:rPr>
      </w:pPr>
      <w:r>
        <w:rPr>
          <w:rFonts w:hint="eastAsia" w:ascii="Times New Roman" w:hAnsi="Times New Roman" w:eastAsia="宋体" w:cs="Times New Roman"/>
          <w:sz w:val="24"/>
          <w:highlight w:val="none"/>
          <w:lang w:val="en-US" w:eastAsia="zh-CN"/>
        </w:rPr>
        <w:t>4.1.</w:t>
      </w:r>
      <w:r>
        <w:rPr>
          <w:rFonts w:hint="eastAsia" w:cs="Times New Roman"/>
          <w:sz w:val="24"/>
          <w:highlight w:val="none"/>
          <w:lang w:val="en-US" w:eastAsia="zh-CN"/>
        </w:rPr>
        <w:t>4 声</w:t>
      </w:r>
      <w:r>
        <w:rPr>
          <w:rFonts w:hint="eastAsia" w:ascii="Times New Roman" w:hAnsi="Times New Roman" w:eastAsia="宋体" w:cs="Times New Roman"/>
          <w:sz w:val="24"/>
          <w:highlight w:val="none"/>
          <w:lang w:val="en-US" w:eastAsia="zh-CN"/>
        </w:rPr>
        <w:t>衰减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sz w:val="24"/>
          <w:highlight w:val="none"/>
          <w:lang w:val="en-US" w:eastAsia="zh-CN"/>
        </w:rPr>
      </w:pPr>
      <w:r>
        <w:rPr>
          <w:rFonts w:hint="eastAsia" w:cs="Times New Roman"/>
          <w:sz w:val="24"/>
          <w:highlight w:val="none"/>
          <w:lang w:val="en-US" w:eastAsia="zh-CN"/>
        </w:rPr>
        <w:t>对于钢制标准试块的声衰减，采用5MHz时，室温下超声纵波在试块材料中的声衰减系数不应大于5dB/m；其他超声标准试块声衰减系数可参照执行。</w:t>
      </w:r>
    </w:p>
    <w:p>
      <w:pPr>
        <w:pStyle w:val="57"/>
        <w:keepNext w:val="0"/>
        <w:keepLines w:val="0"/>
        <w:pageBreakBefore w:val="0"/>
        <w:widowControl/>
        <w:kinsoku/>
        <w:wordWrap/>
        <w:overflowPunct/>
        <w:topLinePunct w:val="0"/>
        <w:autoSpaceDE w:val="0"/>
        <w:autoSpaceDN w:val="0"/>
        <w:bidi w:val="0"/>
        <w:adjustRightInd/>
        <w:snapToGrid/>
        <w:spacing w:line="360" w:lineRule="auto"/>
        <w:ind w:left="210" w:leftChars="100" w:firstLine="0" w:firstLineChars="0"/>
        <w:textAlignment w:val="auto"/>
        <w:outlineLvl w:val="9"/>
        <w:rPr>
          <w:rFonts w:hint="eastAsia" w:ascii="Times New Roman" w:hAnsi="Times New Roman" w:eastAsia="宋体" w:cs="Times New Roman"/>
          <w:b w:val="0"/>
          <w:bCs w:val="0"/>
          <w:sz w:val="24"/>
          <w:szCs w:val="24"/>
          <w:highlight w:val="none"/>
          <w:lang w:val="en-US" w:eastAsia="zh-CN"/>
        </w:rPr>
      </w:pPr>
      <w:bookmarkStart w:id="38" w:name="_Toc22192"/>
      <w:bookmarkStart w:id="39" w:name="_Toc25030"/>
      <w:r>
        <w:rPr>
          <w:rFonts w:hint="eastAsia" w:ascii="Times New Roman" w:hAnsi="Times New Roman" w:eastAsia="宋体" w:cs="Times New Roman"/>
          <w:b w:val="0"/>
          <w:bCs w:val="0"/>
          <w:sz w:val="24"/>
          <w:szCs w:val="24"/>
          <w:highlight w:val="none"/>
          <w:lang w:val="en-US" w:eastAsia="zh-CN"/>
        </w:rPr>
        <w:t>4.</w:t>
      </w:r>
      <w:r>
        <w:rPr>
          <w:rFonts w:hint="eastAsia" w:ascii="Times New Roman" w:cs="Times New Roman"/>
          <w:b w:val="0"/>
          <w:bCs w:val="0"/>
          <w:sz w:val="24"/>
          <w:szCs w:val="24"/>
          <w:highlight w:val="none"/>
          <w:lang w:val="en-US" w:eastAsia="zh-CN"/>
        </w:rPr>
        <w:t>1.</w:t>
      </w:r>
      <w:r>
        <w:rPr>
          <w:rFonts w:hint="eastAsia" w:ascii="Times New Roman" w:hAnsi="Times New Roman" w:eastAsia="宋体" w:cs="Times New Roman"/>
          <w:b w:val="0"/>
          <w:bCs w:val="0"/>
          <w:sz w:val="24"/>
          <w:szCs w:val="24"/>
          <w:highlight w:val="none"/>
          <w:lang w:val="en-US" w:eastAsia="zh-CN"/>
        </w:rPr>
        <w:t>5 声速</w:t>
      </w:r>
      <w:bookmarkEnd w:id="38"/>
      <w:bookmarkEnd w:id="3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sz w:val="24"/>
          <w:highlight w:val="none"/>
          <w:lang w:val="en-US" w:eastAsia="zh-CN"/>
        </w:rPr>
      </w:pPr>
      <w:r>
        <w:rPr>
          <w:rFonts w:hint="eastAsia" w:ascii="Times New Roman" w:hAnsi="Times New Roman" w:eastAsia="宋体" w:cs="Times New Roman"/>
          <w:sz w:val="24"/>
          <w:highlight w:val="none"/>
          <w:lang w:val="en-US" w:eastAsia="zh-CN"/>
        </w:rPr>
        <w:t>声速最大允许误差±</w:t>
      </w:r>
      <w:r>
        <w:rPr>
          <w:rFonts w:hint="eastAsia" w:cs="Times New Roman"/>
          <w:sz w:val="24"/>
          <w:highlight w:val="none"/>
          <w:lang w:val="en-US" w:eastAsia="zh-CN"/>
        </w:rPr>
        <w:t>2</w:t>
      </w:r>
      <w:r>
        <w:rPr>
          <w:rFonts w:hint="eastAsia" w:ascii="Times New Roman" w:hAnsi="Times New Roman" w:eastAsia="宋体" w:cs="Times New Roman"/>
          <w:sz w:val="24"/>
          <w:highlight w:val="none"/>
          <w:lang w:val="en-US" w:eastAsia="zh-CN"/>
        </w:rPr>
        <w:t>%</w:t>
      </w:r>
      <w:r>
        <w:rPr>
          <w:rFonts w:hint="eastAsia" w:cs="Times New Roman"/>
          <w:sz w:val="24"/>
          <w:highlight w:val="none"/>
          <w:lang w:val="en-US" w:eastAsia="zh-CN"/>
        </w:rPr>
        <w:t>。</w:t>
      </w:r>
    </w:p>
    <w:p>
      <w:pPr>
        <w:pStyle w:val="3"/>
        <w:keepNext/>
        <w:keepLines/>
        <w:pageBreakBefore w:val="0"/>
        <w:widowControl w:val="0"/>
        <w:kinsoku/>
        <w:wordWrap/>
        <w:overflowPunct/>
        <w:topLinePunct w:val="0"/>
        <w:autoSpaceDE/>
        <w:autoSpaceDN/>
        <w:bidi w:val="0"/>
        <w:adjustRightInd/>
        <w:snapToGrid/>
        <w:spacing w:before="156" w:after="156" w:line="360" w:lineRule="auto"/>
        <w:textAlignment w:val="auto"/>
        <w:rPr>
          <w:rFonts w:hint="eastAsia" w:ascii="Times New Roman" w:hAnsi="Times New Roman" w:eastAsia="宋体" w:cs="Times New Roman"/>
          <w:b w:val="0"/>
          <w:bCs w:val="0"/>
          <w:sz w:val="24"/>
          <w:szCs w:val="24"/>
          <w:highlight w:val="none"/>
          <w:lang w:val="en-US" w:eastAsia="zh-CN"/>
        </w:rPr>
      </w:pPr>
      <w:bookmarkStart w:id="40" w:name="_Toc32280"/>
      <w:bookmarkStart w:id="41" w:name="_Toc13485"/>
      <w:r>
        <w:rPr>
          <w:rFonts w:hint="eastAsia" w:ascii="Times New Roman" w:hAnsi="Times New Roman" w:eastAsia="宋体" w:cs="Times New Roman"/>
          <w:b w:val="0"/>
          <w:bCs w:val="0"/>
          <w:sz w:val="24"/>
          <w:szCs w:val="24"/>
          <w:highlight w:val="none"/>
          <w:lang w:val="en-US" w:eastAsia="zh-CN"/>
        </w:rPr>
        <w:t>4.2 表面粗糙度</w:t>
      </w:r>
      <w:bookmarkEnd w:id="40"/>
      <w:bookmarkEnd w:id="4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表面粗糙度</w:t>
      </w:r>
      <w:r>
        <w:rPr>
          <w:rFonts w:hint="eastAsia" w:cs="Times New Roman"/>
          <w:sz w:val="24"/>
          <w:highlight w:val="none"/>
          <w:lang w:val="en-US" w:eastAsia="zh-CN"/>
        </w:rPr>
        <w:t>不应大于</w:t>
      </w:r>
      <m:oMath>
        <m:r>
          <m:rPr>
            <m:sty m:val="p"/>
          </m:rPr>
          <w:rPr>
            <w:rFonts w:hint="default" w:ascii="Cambria Math" w:hAnsi="Cambria Math" w:cs="Times New Roman"/>
            <w:kern w:val="2"/>
            <w:sz w:val="24"/>
            <w:szCs w:val="24"/>
            <w:highlight w:val="none"/>
            <w:lang w:val="en-US" w:eastAsia="zh-CN" w:bidi="ar-SA"/>
          </w:rPr>
          <m:t>1.6</m:t>
        </m:r>
        <m:r>
          <m:rPr>
            <m:sty m:val="p"/>
          </m:rPr>
          <w:rPr>
            <w:rFonts w:ascii="Cambria Math" w:hAnsi="Cambria Math" w:cs="Times New Roman"/>
            <w:kern w:val="2"/>
            <w:sz w:val="24"/>
            <w:szCs w:val="24"/>
            <w:highlight w:val="none"/>
            <w:lang w:val="en-US" w:bidi="ar-SA"/>
          </w:rPr>
          <m:t>μ</m:t>
        </m:r>
        <m:r>
          <m:rPr>
            <m:sty m:val="p"/>
          </m:rPr>
          <w:rPr>
            <w:rFonts w:hint="eastAsia" w:ascii="Cambria Math" w:hAnsi="Cambria Math" w:eastAsia="宋体" w:cs="Times New Roman"/>
            <w:kern w:val="2"/>
            <w:sz w:val="24"/>
            <w:szCs w:val="24"/>
            <w:highlight w:val="none"/>
            <w:lang w:val="en-US" w:eastAsia="zh-CN" w:bidi="ar-SA"/>
          </w:rPr>
          <m:t>m</m:t>
        </m:r>
      </m:oMath>
      <w:r>
        <w:rPr>
          <w:rFonts w:hint="eastAsia" w:ascii="Times New Roman" w:hAnsi="Times New Roman" w:eastAsia="宋体" w:cs="Times New Roman"/>
          <w:sz w:val="24"/>
          <w:highlight w:val="none"/>
          <w:lang w:val="en-US" w:eastAsia="zh-CN"/>
        </w:rPr>
        <w:t>，</w:t>
      </w:r>
      <w:r>
        <w:rPr>
          <w:rFonts w:hint="eastAsia" w:cs="Times New Roman"/>
          <w:sz w:val="24"/>
          <w:highlight w:val="none"/>
          <w:lang w:val="en-US" w:eastAsia="zh-CN"/>
        </w:rPr>
        <w:t>非检测面的</w:t>
      </w:r>
      <w:r>
        <w:rPr>
          <w:rFonts w:hint="eastAsia" w:ascii="Times New Roman" w:hAnsi="Times New Roman" w:eastAsia="宋体" w:cs="Times New Roman"/>
          <w:sz w:val="24"/>
          <w:highlight w:val="none"/>
          <w:lang w:val="en-US" w:eastAsia="zh-CN"/>
        </w:rPr>
        <w:t>表面粗糙度Ra</w:t>
      </w:r>
      <w:r>
        <w:rPr>
          <w:rFonts w:hint="eastAsia" w:cs="Times New Roman"/>
          <w:sz w:val="24"/>
          <w:highlight w:val="none"/>
          <w:lang w:val="en-US" w:eastAsia="zh-CN"/>
        </w:rPr>
        <w:t>不应大于</w:t>
      </w:r>
      <m:oMath>
        <m:r>
          <m:rPr>
            <m:sty m:val="p"/>
          </m:rPr>
          <w:rPr>
            <w:rFonts w:hint="default" w:ascii="Cambria Math" w:hAnsi="Cambria Math" w:cs="Times New Roman"/>
            <w:kern w:val="2"/>
            <w:sz w:val="24"/>
            <w:szCs w:val="24"/>
            <w:highlight w:val="none"/>
            <w:lang w:val="en-US" w:eastAsia="zh-CN" w:bidi="ar-SA"/>
          </w:rPr>
          <m:t>3.2</m:t>
        </m:r>
        <m:r>
          <m:rPr>
            <m:sty m:val="p"/>
          </m:rPr>
          <w:rPr>
            <w:rFonts w:ascii="Cambria Math" w:hAnsi="Cambria Math" w:cs="Times New Roman"/>
            <w:kern w:val="2"/>
            <w:sz w:val="24"/>
            <w:szCs w:val="24"/>
            <w:highlight w:val="none"/>
            <w:lang w:val="en-US" w:bidi="ar-SA"/>
          </w:rPr>
          <m:t>μ</m:t>
        </m:r>
        <m:r>
          <m:rPr>
            <m:sty m:val="p"/>
          </m:rPr>
          <w:rPr>
            <w:rFonts w:hint="eastAsia" w:ascii="Cambria Math" w:hAnsi="Cambria Math" w:eastAsia="宋体" w:cs="Times New Roman"/>
            <w:kern w:val="2"/>
            <w:sz w:val="24"/>
            <w:szCs w:val="24"/>
            <w:highlight w:val="none"/>
            <w:lang w:val="en-US" w:eastAsia="zh-CN" w:bidi="ar-SA"/>
          </w:rPr>
          <m:t>m</m:t>
        </m:r>
      </m:oMath>
      <w:r>
        <w:rPr>
          <w:rFonts w:hint="eastAsia" w:ascii="Times New Roman" w:hAnsi="Times New Roman" w:eastAsia="宋体" w:cs="Times New Roman"/>
          <w:sz w:val="24"/>
          <w:highlight w:val="none"/>
          <w:lang w:val="en-US" w:eastAsia="zh-CN"/>
        </w:rPr>
        <w:t>。</w:t>
      </w:r>
    </w:p>
    <w:p>
      <w:pPr>
        <w:pStyle w:val="3"/>
        <w:keepNext/>
        <w:keepLines/>
        <w:pageBreakBefore w:val="0"/>
        <w:widowControl w:val="0"/>
        <w:kinsoku/>
        <w:wordWrap/>
        <w:overflowPunct/>
        <w:topLinePunct w:val="0"/>
        <w:autoSpaceDE/>
        <w:autoSpaceDN/>
        <w:bidi w:val="0"/>
        <w:adjustRightInd/>
        <w:snapToGrid/>
        <w:spacing w:before="156" w:after="156" w:line="360" w:lineRule="auto"/>
        <w:textAlignment w:val="auto"/>
        <w:rPr>
          <w:rFonts w:hint="eastAsia" w:ascii="Times New Roman" w:hAnsi="Times New Roman" w:eastAsia="宋体" w:cs="Times New Roman"/>
          <w:b w:val="0"/>
          <w:bCs w:val="0"/>
          <w:sz w:val="24"/>
          <w:szCs w:val="24"/>
          <w:highlight w:val="none"/>
          <w:lang w:val="en-US" w:eastAsia="zh-CN"/>
        </w:rPr>
      </w:pPr>
      <w:bookmarkStart w:id="42" w:name="_Toc4171"/>
      <w:bookmarkStart w:id="43" w:name="_Toc116"/>
      <w:r>
        <w:rPr>
          <w:rFonts w:hint="eastAsia" w:ascii="Times New Roman" w:hAnsi="Times New Roman" w:eastAsia="宋体" w:cs="Times New Roman"/>
          <w:b w:val="0"/>
          <w:bCs w:val="0"/>
          <w:sz w:val="24"/>
          <w:szCs w:val="24"/>
          <w:highlight w:val="none"/>
          <w:lang w:val="en-US" w:eastAsia="zh-CN"/>
        </w:rPr>
        <w:t>4.3 几何尺寸</w:t>
      </w:r>
      <w:bookmarkEnd w:id="42"/>
      <w:bookmarkEnd w:id="4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几何尺寸</w:t>
      </w:r>
      <w:r>
        <w:rPr>
          <w:rFonts w:hint="eastAsia" w:cs="Times New Roman"/>
          <w:sz w:val="24"/>
          <w:highlight w:val="none"/>
          <w:lang w:val="en-US" w:eastAsia="zh-CN"/>
        </w:rPr>
        <w:t>最大允许误差不超过</w:t>
      </w:r>
      <w:r>
        <w:rPr>
          <w:rFonts w:hint="eastAsia" w:ascii="Times New Roman" w:hAnsi="Times New Roman" w:eastAsia="宋体" w:cs="Times New Roman"/>
          <w:sz w:val="24"/>
          <w:highlight w:val="none"/>
          <w:lang w:val="en-US" w:eastAsia="zh-CN"/>
        </w:rPr>
        <w:t>±0.</w:t>
      </w:r>
      <w:r>
        <w:rPr>
          <w:rFonts w:hint="eastAsia" w:cs="Times New Roman"/>
          <w:sz w:val="24"/>
          <w:highlight w:val="none"/>
          <w:lang w:val="en-US" w:eastAsia="zh-CN"/>
        </w:rPr>
        <w:t>1</w:t>
      </w:r>
      <w:r>
        <w:rPr>
          <w:rFonts w:hint="eastAsia" w:ascii="Times New Roman" w:hAnsi="Times New Roman" w:eastAsia="宋体" w:cs="Times New Roman"/>
          <w:sz w:val="24"/>
          <w:highlight w:val="none"/>
          <w:lang w:val="en-US" w:eastAsia="zh-CN"/>
        </w:rPr>
        <w:t>mm</w:t>
      </w:r>
      <w:r>
        <w:rPr>
          <w:rFonts w:hint="eastAsia" w:cs="Times New Roman"/>
          <w:sz w:val="24"/>
          <w:highlight w:val="none"/>
          <w:lang w:val="en-US" w:eastAsia="zh-CN"/>
        </w:rPr>
        <w:t>；试块夹角角度</w:t>
      </w:r>
      <w:r>
        <w:rPr>
          <w:rFonts w:hint="eastAsia"/>
          <w:sz w:val="24"/>
          <w:highlight w:val="none"/>
          <w:lang w:val="en-US" w:eastAsia="zh-CN"/>
        </w:rPr>
        <w:t>最大</w:t>
      </w:r>
      <w:r>
        <w:rPr>
          <w:rFonts w:hint="eastAsia" w:cs="Times New Roman"/>
          <w:sz w:val="24"/>
          <w:highlight w:val="none"/>
          <w:lang w:val="en-US" w:eastAsia="zh-CN"/>
        </w:rPr>
        <w:t>允许误差不超过</w:t>
      </w:r>
      <w:r>
        <w:rPr>
          <w:rFonts w:hint="eastAsia" w:ascii="Times New Roman" w:hAnsi="Times New Roman" w:eastAsia="宋体" w:cs="Times New Roman"/>
          <w:sz w:val="24"/>
          <w:highlight w:val="none"/>
          <w:lang w:val="en-US" w:eastAsia="zh-CN"/>
        </w:rPr>
        <w:t>±</w:t>
      </w:r>
      <w:r>
        <w:rPr>
          <w:rFonts w:hint="eastAsia" w:cs="Times New Roman"/>
          <w:sz w:val="24"/>
          <w:highlight w:val="none"/>
          <w:lang w:val="en-US" w:eastAsia="zh-CN"/>
        </w:rPr>
        <w:t>1°。</w:t>
      </w:r>
    </w:p>
    <w:p>
      <w:pPr>
        <w:pStyle w:val="3"/>
        <w:keepNext/>
        <w:keepLines/>
        <w:pageBreakBefore w:val="0"/>
        <w:widowControl w:val="0"/>
        <w:kinsoku/>
        <w:wordWrap/>
        <w:overflowPunct/>
        <w:topLinePunct w:val="0"/>
        <w:autoSpaceDE/>
        <w:autoSpaceDN/>
        <w:bidi w:val="0"/>
        <w:adjustRightInd/>
        <w:snapToGrid/>
        <w:spacing w:before="156" w:after="156" w:line="360" w:lineRule="auto"/>
        <w:textAlignment w:val="auto"/>
        <w:rPr>
          <w:rFonts w:hint="eastAsia" w:ascii="Times New Roman" w:hAnsi="Times New Roman" w:eastAsia="宋体" w:cs="Times New Roman"/>
          <w:b w:val="0"/>
          <w:bCs w:val="0"/>
          <w:sz w:val="24"/>
          <w:szCs w:val="24"/>
          <w:highlight w:val="none"/>
          <w:lang w:val="en-US" w:eastAsia="zh-CN"/>
        </w:rPr>
      </w:pPr>
      <w:bookmarkStart w:id="44" w:name="_Toc19023"/>
      <w:bookmarkStart w:id="45" w:name="_Toc16075"/>
      <w:r>
        <w:rPr>
          <w:rFonts w:hint="eastAsia" w:ascii="Times New Roman" w:hAnsi="Times New Roman" w:eastAsia="宋体" w:cs="Times New Roman"/>
          <w:b w:val="0"/>
          <w:bCs w:val="0"/>
          <w:sz w:val="24"/>
          <w:szCs w:val="24"/>
          <w:highlight w:val="none"/>
          <w:lang w:val="en-US" w:eastAsia="zh-CN"/>
        </w:rPr>
        <w:t>4.4 形状和位置误差</w:t>
      </w:r>
      <w:bookmarkEnd w:id="44"/>
      <w:bookmarkEnd w:id="4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highlight w:val="none"/>
          <w:lang w:val="en-US" w:eastAsia="zh-CN"/>
        </w:rPr>
      </w:pPr>
      <w:r>
        <w:rPr>
          <w:rFonts w:hint="eastAsia" w:cs="Times New Roman"/>
          <w:sz w:val="24"/>
          <w:highlight w:val="none"/>
          <w:lang w:val="en-US" w:eastAsia="zh-CN"/>
        </w:rPr>
        <w:t>平面度最大允许误差一般不超过</w:t>
      </w:r>
      <w:r>
        <w:rPr>
          <w:rFonts w:hint="eastAsia" w:ascii="Times New Roman" w:hAnsi="Times New Roman" w:eastAsia="宋体" w:cs="Times New Roman"/>
          <w:sz w:val="24"/>
          <w:highlight w:val="none"/>
          <w:lang w:val="en-US" w:eastAsia="zh-CN"/>
        </w:rPr>
        <w:t>0.</w:t>
      </w:r>
      <w:r>
        <w:rPr>
          <w:rFonts w:hint="eastAsia" w:cs="Times New Roman"/>
          <w:sz w:val="24"/>
          <w:highlight w:val="none"/>
          <w:lang w:val="en-US" w:eastAsia="zh-CN"/>
        </w:rPr>
        <w:t>03mm；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平行度和垂直度</w:t>
      </w:r>
      <w:r>
        <w:rPr>
          <w:rFonts w:hint="eastAsia" w:cs="Times New Roman"/>
          <w:sz w:val="24"/>
          <w:highlight w:val="none"/>
          <w:lang w:val="en-US" w:eastAsia="zh-CN"/>
        </w:rPr>
        <w:t>最大允许误差</w:t>
      </w:r>
      <w:r>
        <w:rPr>
          <w:rFonts w:hint="eastAsia" w:ascii="Times New Roman" w:hAnsi="Times New Roman" w:eastAsia="宋体" w:cs="Times New Roman"/>
          <w:sz w:val="24"/>
          <w:highlight w:val="none"/>
          <w:lang w:val="en-US" w:eastAsia="zh-CN"/>
        </w:rPr>
        <w:t>一般不超过0.</w:t>
      </w:r>
      <w:r>
        <w:rPr>
          <w:rFonts w:hint="eastAsia" w:cs="Times New Roman"/>
          <w:sz w:val="24"/>
          <w:highlight w:val="none"/>
          <w:lang w:val="en-US" w:eastAsia="zh-CN"/>
        </w:rPr>
        <w:t>2</w:t>
      </w:r>
      <w:r>
        <w:rPr>
          <w:rFonts w:hint="eastAsia" w:ascii="Times New Roman" w:hAnsi="Times New Roman" w:eastAsia="宋体" w:cs="Times New Roman"/>
          <w:sz w:val="24"/>
          <w:highlight w:val="none"/>
          <w:lang w:val="en-US" w:eastAsia="zh-CN"/>
        </w:rPr>
        <w:t>mm。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cs="Times New Roman"/>
          <w:sz w:val="24"/>
          <w:highlight w:val="none"/>
          <w:lang w:val="en-US" w:eastAsia="zh-CN"/>
        </w:rPr>
      </w:pPr>
      <w:r>
        <w:rPr>
          <w:rFonts w:hint="default" w:eastAsia="仿宋" w:cs="Times New Roman"/>
          <w:bCs/>
          <w:color w:val="000000"/>
          <w:sz w:val="21"/>
          <w:szCs w:val="18"/>
          <w:highlight w:val="none"/>
          <w:lang w:val="en-US" w:eastAsia="zh-CN"/>
        </w:rPr>
        <w:t>注：以上计量特性在标准试块要求中有明确规定时，按规定执行。</w:t>
      </w:r>
    </w:p>
    <w:p>
      <w:pPr>
        <w:pStyle w:val="57"/>
        <w:spacing w:line="360" w:lineRule="auto"/>
        <w:ind w:left="0" w:leftChars="0" w:firstLine="0" w:firstLineChars="0"/>
        <w:rPr>
          <w:rFonts w:hint="eastAsia" w:ascii="黑体" w:hAnsi="黑体" w:eastAsia="黑体" w:cs="Times New Roman"/>
          <w:sz w:val="24"/>
          <w:szCs w:val="24"/>
          <w:lang w:val="en-US" w:eastAsia="zh-CN" w:bidi="ar-SA"/>
        </w:rPr>
      </w:pPr>
      <w:r>
        <w:rPr>
          <w:rFonts w:hint="eastAsia" w:ascii="黑体" w:hAnsi="黑体" w:eastAsia="黑体" w:cs="Times New Roman"/>
          <w:sz w:val="24"/>
          <w:szCs w:val="24"/>
          <w:lang w:val="en-US" w:eastAsia="zh-CN" w:bidi="ar-SA"/>
        </w:rPr>
        <w:t>5 校准条件</w:t>
      </w:r>
    </w:p>
    <w:p>
      <w:pPr>
        <w:pStyle w:val="3"/>
        <w:keepNext/>
        <w:keepLines/>
        <w:pageBreakBefore w:val="0"/>
        <w:widowControl w:val="0"/>
        <w:kinsoku/>
        <w:wordWrap/>
        <w:overflowPunct/>
        <w:topLinePunct w:val="0"/>
        <w:autoSpaceDE/>
        <w:autoSpaceDN/>
        <w:bidi w:val="0"/>
        <w:adjustRightInd/>
        <w:snapToGrid/>
        <w:spacing w:before="156" w:after="156" w:line="360" w:lineRule="auto"/>
        <w:textAlignment w:val="auto"/>
        <w:rPr>
          <w:rFonts w:hint="eastAsia" w:ascii="Times New Roman" w:hAnsi="Times New Roman" w:eastAsia="宋体" w:cs="Times New Roman"/>
          <w:b w:val="0"/>
          <w:bCs w:val="0"/>
          <w:sz w:val="24"/>
          <w:szCs w:val="24"/>
          <w:highlight w:val="none"/>
          <w:lang w:val="en-US" w:eastAsia="zh-CN"/>
        </w:rPr>
      </w:pPr>
      <w:bookmarkStart w:id="46" w:name="_Toc16432"/>
      <w:bookmarkStart w:id="47" w:name="_Toc10802"/>
      <w:r>
        <w:rPr>
          <w:rFonts w:hint="eastAsia" w:ascii="Times New Roman" w:hAnsi="Times New Roman" w:eastAsia="宋体" w:cs="Times New Roman"/>
          <w:b w:val="0"/>
          <w:bCs w:val="0"/>
          <w:sz w:val="24"/>
          <w:szCs w:val="24"/>
          <w:highlight w:val="none"/>
          <w:lang w:val="en-US" w:eastAsia="zh-CN"/>
        </w:rPr>
        <w:t>5.1 环境条件</w:t>
      </w:r>
      <w:bookmarkEnd w:id="46"/>
      <w:bookmarkEnd w:id="47"/>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5.1.1 温度条件：</w:t>
      </w:r>
      <w:r>
        <w:rPr>
          <w:rFonts w:hint="eastAsia" w:cs="Times New Roman"/>
          <w:sz w:val="24"/>
          <w:highlight w:val="none"/>
          <w:lang w:val="en-US" w:eastAsia="zh-CN"/>
        </w:rPr>
        <w:t>声速测试时环境温度范围17-23度</w:t>
      </w:r>
      <w:r>
        <w:rPr>
          <w:rFonts w:hint="eastAsia" w:ascii="Times New Roman" w:hAnsi="Times New Roman" w:eastAsia="宋体" w:cs="Times New Roman"/>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5.1.2 相对湿度：≤65%。</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5.1.3 实验室内应无灰尘、振动和磁场等影响测量的因素。</w:t>
      </w:r>
    </w:p>
    <w:p>
      <w:pPr>
        <w:pStyle w:val="3"/>
        <w:keepNext/>
        <w:keepLines/>
        <w:pageBreakBefore w:val="0"/>
        <w:widowControl w:val="0"/>
        <w:kinsoku/>
        <w:wordWrap/>
        <w:overflowPunct/>
        <w:topLinePunct w:val="0"/>
        <w:autoSpaceDE/>
        <w:autoSpaceDN/>
        <w:bidi w:val="0"/>
        <w:adjustRightInd/>
        <w:snapToGrid/>
        <w:spacing w:before="156" w:after="156" w:line="360" w:lineRule="auto"/>
        <w:textAlignment w:val="auto"/>
        <w:rPr>
          <w:rFonts w:hint="eastAsia" w:ascii="Times New Roman" w:hAnsi="Times New Roman" w:eastAsia="宋体" w:cs="Times New Roman"/>
          <w:b w:val="0"/>
          <w:bCs w:val="0"/>
          <w:sz w:val="24"/>
          <w:szCs w:val="24"/>
          <w:highlight w:val="none"/>
          <w:lang w:val="en-US" w:eastAsia="zh-CN"/>
        </w:rPr>
      </w:pPr>
      <w:bookmarkStart w:id="48" w:name="_Toc19121"/>
      <w:bookmarkStart w:id="49" w:name="_Toc6546"/>
      <w:r>
        <w:rPr>
          <w:rFonts w:hint="eastAsia" w:ascii="Times New Roman" w:hAnsi="Times New Roman" w:eastAsia="宋体" w:cs="Times New Roman"/>
          <w:b w:val="0"/>
          <w:bCs w:val="0"/>
          <w:sz w:val="24"/>
          <w:szCs w:val="24"/>
          <w:highlight w:val="none"/>
          <w:lang w:val="en-US" w:eastAsia="zh-CN"/>
        </w:rPr>
        <w:t>5.2 测量标准及其他设备</w:t>
      </w:r>
      <w:bookmarkEnd w:id="48"/>
      <w:bookmarkEnd w:id="4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b w:val="0"/>
          <w:bCs w:val="0"/>
          <w:sz w:val="24"/>
          <w:szCs w:val="24"/>
          <w:highlight w:val="none"/>
          <w:lang w:val="en-US" w:eastAsia="zh-CN"/>
        </w:rPr>
        <w:t>测量标准及其他设备</w:t>
      </w:r>
      <w:r>
        <w:rPr>
          <w:rFonts w:hint="eastAsia" w:ascii="Times New Roman" w:hAnsi="Times New Roman" w:eastAsia="宋体" w:cs="Times New Roman"/>
          <w:sz w:val="24"/>
          <w:highlight w:val="none"/>
          <w:lang w:val="en-US" w:eastAsia="zh-CN"/>
        </w:rPr>
        <w:t>见表1。</w:t>
      </w:r>
    </w:p>
    <w:p>
      <w:pPr>
        <w:pStyle w:val="57"/>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hint="default" w:ascii="Times New Roman" w:hAnsi="Times New Roman" w:eastAsia="黑体" w:cs="Times New Roman"/>
          <w:b w:val="0"/>
          <w:bCs w:val="0"/>
          <w:sz w:val="21"/>
          <w:szCs w:val="21"/>
          <w:highlight w:val="none"/>
          <w:lang w:val="en-US" w:eastAsia="zh-CN"/>
        </w:rPr>
      </w:pPr>
      <w:r>
        <w:rPr>
          <w:rFonts w:hint="eastAsia" w:ascii="Times New Roman" w:hAnsi="Times New Roman" w:eastAsia="黑体" w:cs="Times New Roman"/>
          <w:b w:val="0"/>
          <w:bCs w:val="0"/>
          <w:sz w:val="21"/>
          <w:szCs w:val="21"/>
          <w:highlight w:val="none"/>
          <w:lang w:val="en-US" w:eastAsia="zh-CN"/>
        </w:rPr>
        <w:t xml:space="preserve">表1 </w:t>
      </w:r>
      <w:r>
        <w:rPr>
          <w:rFonts w:hint="eastAsia" w:ascii="Times New Roman" w:eastAsia="黑体" w:cs="Times New Roman"/>
          <w:b w:val="0"/>
          <w:bCs w:val="0"/>
          <w:sz w:val="21"/>
          <w:szCs w:val="21"/>
          <w:highlight w:val="none"/>
          <w:lang w:val="en-US" w:eastAsia="zh-CN"/>
        </w:rPr>
        <w:t>测量标准</w:t>
      </w:r>
    </w:p>
    <w:tbl>
      <w:tblPr>
        <w:tblStyle w:val="4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
        <w:gridCol w:w="1541"/>
        <w:gridCol w:w="5265"/>
        <w:gridCol w:w="2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blHeader/>
        </w:trPr>
        <w:tc>
          <w:tcPr>
            <w:tcW w:w="225" w:type="pct"/>
            <w:noWrap w:val="0"/>
            <w:vAlign w:val="center"/>
          </w:tcPr>
          <w:p>
            <w:pPr>
              <w:pStyle w:val="57"/>
              <w:widowControl w:val="0"/>
              <w:ind w:firstLine="0" w:firstLineChars="0"/>
              <w:jc w:val="center"/>
              <w:rPr>
                <w:rFonts w:hint="eastAsia" w:ascii="Times New Roman" w:cs="Times New Roman"/>
                <w:b w:val="0"/>
                <w:bCs w:val="0"/>
                <w:sz w:val="21"/>
                <w:szCs w:val="21"/>
                <w:highlight w:val="none"/>
                <w:lang w:val="en-US" w:eastAsia="zh-CN"/>
              </w:rPr>
            </w:pPr>
            <w:r>
              <w:rPr>
                <w:rFonts w:hint="eastAsia" w:ascii="Times New Roman" w:cs="Times New Roman"/>
                <w:b w:val="0"/>
                <w:bCs w:val="0"/>
                <w:sz w:val="21"/>
                <w:szCs w:val="21"/>
                <w:highlight w:val="none"/>
                <w:lang w:val="en-US" w:eastAsia="zh-CN"/>
              </w:rPr>
              <w:t>序号</w:t>
            </w:r>
          </w:p>
        </w:tc>
        <w:tc>
          <w:tcPr>
            <w:tcW w:w="805" w:type="pct"/>
            <w:noWrap w:val="0"/>
            <w:vAlign w:val="center"/>
          </w:tcPr>
          <w:p>
            <w:pPr>
              <w:pStyle w:val="57"/>
              <w:widowControl w:val="0"/>
              <w:ind w:firstLine="0" w:firstLineChars="0"/>
              <w:jc w:val="center"/>
              <w:rPr>
                <w:rFonts w:hint="eastAsia" w:ascii="Times New Roman" w:hAnsi="Times New Roman" w:eastAsia="宋体" w:cs="Times New Roman"/>
                <w:b w:val="0"/>
                <w:bCs w:val="0"/>
                <w:sz w:val="21"/>
                <w:szCs w:val="21"/>
                <w:highlight w:val="none"/>
                <w:lang w:val="en-US" w:eastAsia="zh-CN"/>
              </w:rPr>
            </w:pPr>
            <w:r>
              <w:rPr>
                <w:rFonts w:hint="eastAsia" w:ascii="Times New Roman" w:cs="Times New Roman"/>
                <w:b w:val="0"/>
                <w:bCs w:val="0"/>
                <w:sz w:val="21"/>
                <w:szCs w:val="21"/>
                <w:highlight w:val="none"/>
                <w:lang w:val="en-US" w:eastAsia="zh-CN"/>
              </w:rPr>
              <w:t>仪器</w:t>
            </w:r>
            <w:r>
              <w:rPr>
                <w:rFonts w:hint="eastAsia" w:ascii="Times New Roman" w:hAnsi="Times New Roman" w:eastAsia="宋体" w:cs="Times New Roman"/>
                <w:b w:val="0"/>
                <w:bCs w:val="0"/>
                <w:sz w:val="21"/>
                <w:szCs w:val="21"/>
                <w:highlight w:val="none"/>
                <w:lang w:val="en-US" w:eastAsia="zh-CN"/>
              </w:rPr>
              <w:t>设备名称</w:t>
            </w:r>
          </w:p>
        </w:tc>
        <w:tc>
          <w:tcPr>
            <w:tcW w:w="2751" w:type="pct"/>
            <w:noWrap w:val="0"/>
            <w:vAlign w:val="center"/>
          </w:tcPr>
          <w:p>
            <w:pPr>
              <w:pStyle w:val="57"/>
              <w:widowControl w:val="0"/>
              <w:ind w:firstLine="0" w:firstLineChars="0"/>
              <w:jc w:val="center"/>
              <w:rPr>
                <w:rFonts w:hint="eastAsia" w:ascii="Times New Roman" w:hAnsi="Times New Roman" w:eastAsia="宋体" w:cs="Times New Roman"/>
                <w:b w:val="0"/>
                <w:bCs w:val="0"/>
                <w:sz w:val="21"/>
                <w:szCs w:val="21"/>
                <w:highlight w:val="none"/>
                <w:lang w:val="en-US" w:eastAsia="zh-CN"/>
              </w:rPr>
            </w:pPr>
            <w:r>
              <w:rPr>
                <w:rFonts w:hint="eastAsia" w:ascii="Times New Roman" w:cs="Times New Roman"/>
                <w:b w:val="0"/>
                <w:bCs w:val="0"/>
                <w:sz w:val="21"/>
                <w:szCs w:val="21"/>
                <w:highlight w:val="none"/>
                <w:lang w:val="en-US" w:eastAsia="zh-CN"/>
              </w:rPr>
              <w:t>技术要求</w:t>
            </w:r>
          </w:p>
        </w:tc>
        <w:tc>
          <w:tcPr>
            <w:tcW w:w="1217" w:type="pct"/>
            <w:noWrap w:val="0"/>
            <w:vAlign w:val="center"/>
          </w:tcPr>
          <w:p>
            <w:pPr>
              <w:pStyle w:val="57"/>
              <w:widowControl w:val="0"/>
              <w:ind w:firstLine="0" w:firstLineChars="0"/>
              <w:jc w:val="center"/>
              <w:rPr>
                <w:rFonts w:hint="default" w:ascii="Times New Roman" w:cs="Times New Roman"/>
                <w:b w:val="0"/>
                <w:bCs w:val="0"/>
                <w:sz w:val="21"/>
                <w:szCs w:val="21"/>
                <w:highlight w:val="none"/>
                <w:lang w:val="en-US" w:eastAsia="zh-CN"/>
              </w:rPr>
            </w:pPr>
            <w:r>
              <w:rPr>
                <w:rFonts w:hint="eastAsia" w:ascii="Times New Roman" w:cs="Times New Roman"/>
                <w:b w:val="0"/>
                <w:bCs w:val="0"/>
                <w:sz w:val="21"/>
                <w:szCs w:val="21"/>
                <w:highlight w:val="none"/>
                <w:lang w:val="en-US" w:eastAsia="zh-CN"/>
              </w:rPr>
              <w:t>校准项目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25" w:type="pct"/>
            <w:noWrap w:val="0"/>
            <w:vAlign w:val="center"/>
          </w:tcPr>
          <w:p>
            <w:pPr>
              <w:pStyle w:val="57"/>
              <w:widowControl w:val="0"/>
              <w:ind w:firstLine="0" w:firstLineChars="0"/>
              <w:jc w:val="center"/>
              <w:rPr>
                <w:rFonts w:hint="default" w:ascii="Times New Roman" w:hAnsi="Times New Roman" w:eastAsia="宋体" w:cs="Times New Roman"/>
                <w:b w:val="0"/>
                <w:bCs w:val="0"/>
                <w:sz w:val="21"/>
                <w:szCs w:val="21"/>
                <w:highlight w:val="none"/>
                <w:lang w:val="en-US" w:eastAsia="zh-CN"/>
              </w:rPr>
            </w:pPr>
            <w:r>
              <w:rPr>
                <w:rFonts w:hint="eastAsia" w:ascii="Times New Roman" w:cs="Times New Roman"/>
                <w:b w:val="0"/>
                <w:bCs w:val="0"/>
                <w:sz w:val="21"/>
                <w:szCs w:val="21"/>
                <w:highlight w:val="none"/>
                <w:lang w:val="en-US" w:eastAsia="zh-CN"/>
              </w:rPr>
              <w:t>1</w:t>
            </w:r>
          </w:p>
        </w:tc>
        <w:tc>
          <w:tcPr>
            <w:tcW w:w="805" w:type="pct"/>
            <w:noWrap w:val="0"/>
            <w:vAlign w:val="center"/>
          </w:tcPr>
          <w:p>
            <w:pPr>
              <w:pStyle w:val="57"/>
              <w:widowControl w:val="0"/>
              <w:ind w:firstLine="0" w:firstLineChars="0"/>
              <w:jc w:val="center"/>
              <w:rPr>
                <w:rFonts w:hint="default" w:ascii="Times New Roman" w:hAnsi="Times New Roman" w:eastAsia="宋体" w:cs="Times New Roman"/>
                <w:b w:val="0"/>
                <w:bCs w:val="0"/>
                <w:sz w:val="21"/>
                <w:szCs w:val="21"/>
                <w:highlight w:val="none"/>
                <w:lang w:val="en-US" w:eastAsia="zh-CN"/>
              </w:rPr>
            </w:pPr>
            <w:r>
              <w:rPr>
                <w:rFonts w:hint="eastAsia" w:ascii="Times New Roman" w:cs="Times New Roman"/>
                <w:b w:val="0"/>
                <w:bCs w:val="0"/>
                <w:sz w:val="21"/>
                <w:szCs w:val="21"/>
                <w:highlight w:val="none"/>
                <w:lang w:val="en-US" w:eastAsia="zh-CN"/>
              </w:rPr>
              <w:t>示波器</w:t>
            </w:r>
          </w:p>
        </w:tc>
        <w:tc>
          <w:tcPr>
            <w:tcW w:w="2751" w:type="pct"/>
            <w:noWrap w:val="0"/>
            <w:vAlign w:val="center"/>
          </w:tcPr>
          <w:p>
            <w:pPr>
              <w:pStyle w:val="57"/>
              <w:widowControl w:val="0"/>
              <w:ind w:firstLine="0" w:firstLineChars="0"/>
              <w:jc w:val="center"/>
              <w:rPr>
                <w:rFonts w:hint="default" w:ascii="Times New Roman" w:hAnsi="Times New Roman" w:eastAsia="宋体" w:cs="Times New Roman"/>
                <w:b w:val="0"/>
                <w:bCs w:val="0"/>
                <w:sz w:val="21"/>
                <w:szCs w:val="21"/>
                <w:highlight w:val="none"/>
                <w:lang w:val="en-US" w:eastAsia="zh-CN"/>
              </w:rPr>
            </w:pPr>
            <w:r>
              <w:rPr>
                <w:rFonts w:hint="default" w:ascii="Times New Roman" w:cs="Times New Roman"/>
                <w:b w:val="0"/>
                <w:bCs w:val="0"/>
                <w:sz w:val="21"/>
                <w:szCs w:val="21"/>
                <w:highlight w:val="none"/>
                <w:lang w:val="en-US" w:eastAsia="zh-CN"/>
              </w:rPr>
              <w:t>幅度</w:t>
            </w:r>
            <w:r>
              <w:rPr>
                <w:rFonts w:hint="eastAsia" w:ascii="Times New Roman" w:hAnsi="Times New Roman" w:eastAsia="宋体" w:cs="Times New Roman"/>
                <w:b w:val="0"/>
                <w:bCs w:val="0"/>
                <w:sz w:val="21"/>
                <w:szCs w:val="21"/>
                <w:highlight w:val="none"/>
                <w:lang w:val="en-US" w:eastAsia="zh-CN"/>
              </w:rPr>
              <w:t>MPE：</w:t>
            </w:r>
            <w:r>
              <w:rPr>
                <w:rFonts w:hint="eastAsia" w:ascii="Times New Roman" w:cs="Times New Roman"/>
                <w:b w:val="0"/>
                <w:bCs w:val="0"/>
                <w:sz w:val="21"/>
                <w:szCs w:val="21"/>
                <w:highlight w:val="none"/>
                <w:lang w:val="en-US" w:eastAsia="zh-CN"/>
              </w:rPr>
              <w:t>1%（1mV/div~10V/div）；时间</w:t>
            </w:r>
            <w:r>
              <w:rPr>
                <w:rFonts w:hint="eastAsia" w:ascii="Times New Roman" w:hAnsi="Times New Roman" w:eastAsia="宋体" w:cs="Times New Roman"/>
                <w:b w:val="0"/>
                <w:bCs w:val="0"/>
                <w:sz w:val="21"/>
                <w:szCs w:val="21"/>
                <w:highlight w:val="none"/>
                <w:lang w:val="en-US" w:eastAsia="zh-CN"/>
              </w:rPr>
              <w:t>MPE：</w:t>
            </w:r>
            <w:r>
              <w:rPr>
                <w:rFonts w:hint="eastAsia" w:ascii="Times New Roman" w:cs="Times New Roman"/>
                <w:b w:val="0"/>
                <w:bCs w:val="0"/>
                <w:sz w:val="21"/>
                <w:szCs w:val="21"/>
                <w:highlight w:val="none"/>
                <w:lang w:val="en-US" w:eastAsia="zh-CN"/>
              </w:rPr>
              <w:t>0.2%（0.5ns/div~5s/div）</w:t>
            </w:r>
          </w:p>
        </w:tc>
        <w:tc>
          <w:tcPr>
            <w:tcW w:w="1217" w:type="pct"/>
            <w:noWrap w:val="0"/>
            <w:vAlign w:val="center"/>
          </w:tcPr>
          <w:p>
            <w:pPr>
              <w:pStyle w:val="57"/>
              <w:widowControl w:val="0"/>
              <w:ind w:firstLine="0" w:firstLineChars="0"/>
              <w:jc w:val="center"/>
              <w:rPr>
                <w:rFonts w:hint="default" w:ascii="Times New Roman" w:cs="Times New Roman"/>
                <w:b w:val="0"/>
                <w:bCs w:val="0"/>
                <w:sz w:val="21"/>
                <w:szCs w:val="21"/>
                <w:highlight w:val="none"/>
                <w:lang w:val="en-US" w:eastAsia="zh-CN"/>
              </w:rPr>
            </w:pPr>
            <w:r>
              <w:rPr>
                <w:rFonts w:hint="eastAsia" w:ascii="Times New Roman" w:cs="Times New Roman"/>
                <w:b w:val="0"/>
                <w:bCs w:val="0"/>
                <w:sz w:val="21"/>
                <w:szCs w:val="21"/>
                <w:highlight w:val="none"/>
                <w:lang w:val="en-US" w:eastAsia="zh-CN"/>
              </w:rPr>
              <w:t>声衰减，声速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25" w:type="pct"/>
            <w:noWrap w:val="0"/>
            <w:vAlign w:val="center"/>
          </w:tcPr>
          <w:p>
            <w:pPr>
              <w:pStyle w:val="57"/>
              <w:widowControl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cs="Times New Roman"/>
                <w:b w:val="0"/>
                <w:bCs w:val="0"/>
                <w:sz w:val="21"/>
                <w:szCs w:val="21"/>
                <w:highlight w:val="none"/>
                <w:lang w:val="en-US" w:eastAsia="zh-CN"/>
              </w:rPr>
              <w:t>2</w:t>
            </w:r>
          </w:p>
        </w:tc>
        <w:tc>
          <w:tcPr>
            <w:tcW w:w="805" w:type="pct"/>
            <w:noWrap w:val="0"/>
            <w:vAlign w:val="center"/>
          </w:tcPr>
          <w:p>
            <w:pPr>
              <w:pStyle w:val="57"/>
              <w:widowControl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cs="Times New Roman"/>
                <w:b w:val="0"/>
                <w:bCs w:val="0"/>
                <w:sz w:val="21"/>
                <w:szCs w:val="21"/>
                <w:highlight w:val="none"/>
                <w:lang w:val="en-US" w:eastAsia="zh-CN"/>
              </w:rPr>
              <w:t>标准衰减器</w:t>
            </w:r>
          </w:p>
        </w:tc>
        <w:tc>
          <w:tcPr>
            <w:tcW w:w="2751" w:type="pct"/>
            <w:noWrap w:val="0"/>
            <w:vAlign w:val="center"/>
          </w:tcPr>
          <w:p>
            <w:pPr>
              <w:pStyle w:val="57"/>
              <w:widowControl w:val="0"/>
              <w:ind w:firstLine="0" w:firstLineChars="0"/>
              <w:jc w:val="center"/>
              <w:rPr>
                <w:rFonts w:hint="default" w:ascii="Times New Roman" w:hAnsi="Times New Roman" w:eastAsia="宋体" w:cs="Times New Roman"/>
                <w:b w:val="0"/>
                <w:bCs w:val="0"/>
                <w:sz w:val="21"/>
                <w:szCs w:val="21"/>
                <w:highlight w:val="none"/>
                <w:lang w:val="en-US" w:eastAsia="zh-CN" w:bidi="ar-SA"/>
              </w:rPr>
            </w:pPr>
            <w:r>
              <w:rPr>
                <w:rFonts w:hint="eastAsia" w:ascii="Times New Roman" w:cs="Times New Roman"/>
                <w:b w:val="0"/>
                <w:bCs w:val="0"/>
                <w:sz w:val="21"/>
                <w:szCs w:val="21"/>
                <w:highlight w:val="none"/>
                <w:lang w:val="en-US" w:eastAsia="zh-CN"/>
              </w:rPr>
              <w:t>衰减范围（0-80）dB；频率范围（0-15）MHz；衰减误差(0.5%A士0.02)dB，式中A为衰减量。</w:t>
            </w:r>
          </w:p>
        </w:tc>
        <w:tc>
          <w:tcPr>
            <w:tcW w:w="1217" w:type="pct"/>
            <w:noWrap w:val="0"/>
            <w:vAlign w:val="center"/>
          </w:tcPr>
          <w:p>
            <w:pPr>
              <w:pStyle w:val="57"/>
              <w:widowControl w:val="0"/>
              <w:ind w:firstLine="0" w:firstLineChars="0"/>
              <w:jc w:val="center"/>
              <w:rPr>
                <w:rFonts w:hint="default" w:ascii="Times New Roman" w:cs="Times New Roman"/>
                <w:b w:val="0"/>
                <w:bCs w:val="0"/>
                <w:sz w:val="21"/>
                <w:szCs w:val="21"/>
                <w:highlight w:val="none"/>
                <w:lang w:val="en-US" w:eastAsia="zh-CN"/>
              </w:rPr>
            </w:pPr>
            <w:r>
              <w:rPr>
                <w:rFonts w:hint="eastAsia" w:ascii="Times New Roman" w:cs="Times New Roman"/>
                <w:b w:val="0"/>
                <w:bCs w:val="0"/>
                <w:sz w:val="21"/>
                <w:szCs w:val="21"/>
                <w:highlight w:val="none"/>
                <w:lang w:val="en-US" w:eastAsia="zh-CN"/>
              </w:rPr>
              <w:t>声衰减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25" w:type="pct"/>
            <w:noWrap w:val="0"/>
            <w:vAlign w:val="center"/>
          </w:tcPr>
          <w:p>
            <w:pPr>
              <w:pStyle w:val="57"/>
              <w:widowControl w:val="0"/>
              <w:ind w:firstLine="0" w:firstLineChars="0"/>
              <w:jc w:val="center"/>
              <w:rPr>
                <w:rFonts w:hint="default" w:ascii="Times New Roman" w:hAnsi="Times New Roman" w:eastAsia="宋体" w:cs="Times New Roman"/>
                <w:b w:val="0"/>
                <w:bCs w:val="0"/>
                <w:sz w:val="21"/>
                <w:szCs w:val="21"/>
                <w:highlight w:val="none"/>
                <w:lang w:val="en-US" w:eastAsia="zh-CN" w:bidi="ar-SA"/>
              </w:rPr>
            </w:pPr>
            <w:r>
              <w:rPr>
                <w:rFonts w:hint="eastAsia" w:ascii="Times New Roman" w:cs="Times New Roman"/>
                <w:b w:val="0"/>
                <w:bCs w:val="0"/>
                <w:sz w:val="21"/>
                <w:szCs w:val="21"/>
                <w:highlight w:val="none"/>
                <w:lang w:val="en-US" w:eastAsia="zh-CN"/>
              </w:rPr>
              <w:t>3</w:t>
            </w:r>
          </w:p>
        </w:tc>
        <w:tc>
          <w:tcPr>
            <w:tcW w:w="805" w:type="pct"/>
            <w:noWrap w:val="0"/>
            <w:vAlign w:val="center"/>
          </w:tcPr>
          <w:p>
            <w:pPr>
              <w:pStyle w:val="57"/>
              <w:widowControl w:val="0"/>
              <w:ind w:firstLine="0" w:firstLineChars="0"/>
              <w:jc w:val="center"/>
              <w:rPr>
                <w:rFonts w:hint="eastAsia" w:ascii="Times New Roman" w:hAnsi="Times New Roman" w:eastAsia="宋体" w:cs="Times New Roman"/>
                <w:b w:val="0"/>
                <w:bCs w:val="0"/>
                <w:sz w:val="21"/>
                <w:szCs w:val="21"/>
                <w:highlight w:val="none"/>
                <w:lang w:val="en-US" w:eastAsia="zh-CN"/>
              </w:rPr>
            </w:pPr>
            <w:r>
              <w:rPr>
                <w:rFonts w:hint="eastAsia" w:ascii="Times New Roman" w:cs="Times New Roman"/>
                <w:b w:val="0"/>
                <w:bCs w:val="0"/>
                <w:sz w:val="21"/>
                <w:szCs w:val="21"/>
                <w:highlight w:val="none"/>
                <w:lang w:val="en-US" w:eastAsia="zh-CN"/>
              </w:rPr>
              <w:t>超声探伤仪</w:t>
            </w:r>
          </w:p>
        </w:tc>
        <w:tc>
          <w:tcPr>
            <w:tcW w:w="2751" w:type="pct"/>
            <w:noWrap w:val="0"/>
            <w:vAlign w:val="center"/>
          </w:tcPr>
          <w:p>
            <w:pPr>
              <w:pStyle w:val="57"/>
              <w:widowControl w:val="0"/>
              <w:ind w:firstLine="0" w:firstLineChars="0"/>
              <w:jc w:val="center"/>
              <w:rPr>
                <w:rFonts w:hint="default" w:ascii="Times New Roman" w:hAnsi="Times New Roman" w:eastAsia="宋体" w:cs="Times New Roman"/>
                <w:b w:val="0"/>
                <w:bCs w:val="0"/>
                <w:sz w:val="21"/>
                <w:szCs w:val="21"/>
                <w:highlight w:val="none"/>
                <w:lang w:val="en-US" w:eastAsia="zh-CN"/>
              </w:rPr>
            </w:pPr>
            <w:r>
              <w:rPr>
                <w:rFonts w:hint="eastAsia" w:ascii="Times New Roman" w:cs="Times New Roman"/>
                <w:b w:val="0"/>
                <w:bCs w:val="0"/>
                <w:sz w:val="21"/>
                <w:szCs w:val="21"/>
                <w:highlight w:val="none"/>
                <w:lang w:val="en-US" w:eastAsia="zh-CN"/>
              </w:rPr>
              <w:t>垂直线性</w:t>
            </w:r>
            <w:r>
              <w:rPr>
                <w:rFonts w:hint="eastAsia" w:ascii="Times New Roman" w:hAnsi="Times New Roman" w:eastAsia="宋体" w:cs="Times New Roman"/>
                <w:b w:val="0"/>
                <w:bCs w:val="0"/>
                <w:sz w:val="21"/>
                <w:szCs w:val="21"/>
                <w:highlight w:val="none"/>
                <w:lang w:val="en-US" w:eastAsia="zh-CN"/>
              </w:rPr>
              <w:t>MPE：±</w:t>
            </w:r>
            <w:r>
              <w:rPr>
                <w:rFonts w:hint="eastAsia" w:ascii="Times New Roman" w:cs="Times New Roman"/>
                <w:b w:val="0"/>
                <w:bCs w:val="0"/>
                <w:sz w:val="21"/>
                <w:szCs w:val="21"/>
                <w:highlight w:val="none"/>
                <w:lang w:val="en-US" w:eastAsia="zh-CN"/>
              </w:rPr>
              <w:t>6%</w:t>
            </w:r>
          </w:p>
        </w:tc>
        <w:tc>
          <w:tcPr>
            <w:tcW w:w="1217" w:type="pct"/>
            <w:noWrap w:val="0"/>
            <w:vAlign w:val="center"/>
          </w:tcPr>
          <w:p>
            <w:pPr>
              <w:pStyle w:val="57"/>
              <w:widowControl w:val="0"/>
              <w:ind w:firstLine="0" w:firstLineChars="0"/>
              <w:jc w:val="center"/>
              <w:rPr>
                <w:rFonts w:hint="default" w:ascii="Times New Roman" w:cs="Times New Roman"/>
                <w:b w:val="0"/>
                <w:bCs w:val="0"/>
                <w:sz w:val="21"/>
                <w:szCs w:val="21"/>
                <w:highlight w:val="none"/>
                <w:lang w:val="en-US" w:eastAsia="zh-CN"/>
              </w:rPr>
            </w:pPr>
            <w:r>
              <w:rPr>
                <w:rFonts w:hint="eastAsia" w:ascii="Times New Roman" w:cs="Times New Roman"/>
                <w:b w:val="0"/>
                <w:bCs w:val="0"/>
                <w:sz w:val="21"/>
                <w:szCs w:val="21"/>
                <w:highlight w:val="none"/>
                <w:lang w:val="en-US" w:eastAsia="zh-CN"/>
              </w:rPr>
              <w:t>底波监测，噪声水平，均匀性，声衰减，声速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25" w:type="pct"/>
            <w:noWrap w:val="0"/>
            <w:vAlign w:val="center"/>
          </w:tcPr>
          <w:p>
            <w:pPr>
              <w:pStyle w:val="57"/>
              <w:widowControl w:val="0"/>
              <w:ind w:firstLine="0" w:firstLineChars="0"/>
              <w:jc w:val="center"/>
              <w:rPr>
                <w:rFonts w:hint="default" w:ascii="Times New Roman" w:hAnsi="Times New Roman" w:eastAsia="宋体" w:cs="Times New Roman"/>
                <w:b w:val="0"/>
                <w:bCs w:val="0"/>
                <w:sz w:val="21"/>
                <w:szCs w:val="21"/>
                <w:highlight w:val="none"/>
                <w:lang w:val="en-US" w:eastAsia="zh-CN" w:bidi="ar-SA"/>
              </w:rPr>
            </w:pPr>
            <w:r>
              <w:rPr>
                <w:rFonts w:hint="eastAsia" w:ascii="Times New Roman" w:cs="Times New Roman"/>
                <w:b w:val="0"/>
                <w:bCs w:val="0"/>
                <w:sz w:val="21"/>
                <w:szCs w:val="21"/>
                <w:highlight w:val="none"/>
                <w:lang w:val="en-US" w:eastAsia="zh-CN"/>
              </w:rPr>
              <w:t>4</w:t>
            </w:r>
          </w:p>
        </w:tc>
        <w:tc>
          <w:tcPr>
            <w:tcW w:w="805" w:type="pct"/>
            <w:noWrap w:val="0"/>
            <w:vAlign w:val="center"/>
          </w:tcPr>
          <w:p>
            <w:pPr>
              <w:pStyle w:val="57"/>
              <w:widowControl w:val="0"/>
              <w:ind w:firstLine="0" w:firstLineChars="0"/>
              <w:jc w:val="center"/>
              <w:rPr>
                <w:rFonts w:hint="eastAsia"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纵波直探头</w:t>
            </w:r>
          </w:p>
        </w:tc>
        <w:tc>
          <w:tcPr>
            <w:tcW w:w="2751" w:type="pct"/>
            <w:noWrap w:val="0"/>
            <w:vAlign w:val="center"/>
          </w:tcPr>
          <w:p>
            <w:pPr>
              <w:pStyle w:val="57"/>
              <w:widowControl w:val="0"/>
              <w:ind w:firstLine="0" w:firstLineChars="0"/>
              <w:jc w:val="center"/>
              <w:rPr>
                <w:rFonts w:hint="default" w:ascii="Times New Roman" w:hAnsi="Times New Roman" w:eastAsia="宋体" w:cs="Times New Roman"/>
                <w:b w:val="0"/>
                <w:bCs w:val="0"/>
                <w:sz w:val="21"/>
                <w:szCs w:val="21"/>
                <w:highlight w:val="none"/>
                <w:lang w:val="en-US" w:eastAsia="zh-CN"/>
              </w:rPr>
            </w:pPr>
            <w:r>
              <w:rPr>
                <w:rFonts w:hint="eastAsia" w:ascii="Times New Roman" w:cs="Times New Roman"/>
                <w:b w:val="0"/>
                <w:bCs w:val="0"/>
                <w:sz w:val="21"/>
                <w:szCs w:val="21"/>
                <w:highlight w:val="none"/>
                <w:lang w:val="en-US" w:eastAsia="zh-CN"/>
              </w:rPr>
              <w:t>推荐使用标称</w:t>
            </w:r>
            <w:r>
              <w:rPr>
                <w:rFonts w:hint="default" w:ascii="Times New Roman" w:hAnsi="Times New Roman" w:eastAsia="宋体" w:cs="Times New Roman"/>
                <w:b w:val="0"/>
                <w:bCs w:val="0"/>
                <w:sz w:val="21"/>
                <w:szCs w:val="21"/>
                <w:highlight w:val="none"/>
                <w:lang w:val="en-US" w:eastAsia="zh-CN"/>
              </w:rPr>
              <w:t>频率</w:t>
            </w:r>
            <w:r>
              <w:rPr>
                <w:rFonts w:hint="eastAsia" w:ascii="Times New Roman" w:cs="Times New Roman"/>
                <w:b w:val="0"/>
                <w:bCs w:val="0"/>
                <w:sz w:val="21"/>
                <w:szCs w:val="21"/>
                <w:highlight w:val="none"/>
                <w:lang w:val="en-US" w:eastAsia="zh-CN"/>
              </w:rPr>
              <w:t>2.</w:t>
            </w:r>
            <w:r>
              <w:rPr>
                <w:rFonts w:hint="default" w:ascii="Times New Roman" w:hAnsi="Times New Roman" w:eastAsia="宋体" w:cs="Times New Roman"/>
                <w:b w:val="0"/>
                <w:bCs w:val="0"/>
                <w:sz w:val="21"/>
                <w:szCs w:val="21"/>
                <w:highlight w:val="none"/>
                <w:lang w:val="en-US" w:eastAsia="zh-CN"/>
              </w:rPr>
              <w:t>5MHz</w:t>
            </w:r>
            <w:r>
              <w:rPr>
                <w:rFonts w:hint="eastAsia" w:ascii="Times New Roman" w:cs="Times New Roman"/>
                <w:b w:val="0"/>
                <w:bCs w:val="0"/>
                <w:sz w:val="21"/>
                <w:szCs w:val="21"/>
                <w:highlight w:val="none"/>
                <w:lang w:val="en-US" w:eastAsia="zh-CN"/>
              </w:rPr>
              <w:t>-10</w:t>
            </w:r>
            <w:r>
              <w:rPr>
                <w:rFonts w:hint="default" w:ascii="Times New Roman" w:hAnsi="Times New Roman" w:eastAsia="宋体" w:cs="Times New Roman"/>
                <w:b w:val="0"/>
                <w:bCs w:val="0"/>
                <w:sz w:val="21"/>
                <w:szCs w:val="21"/>
                <w:highlight w:val="none"/>
                <w:lang w:val="en-US" w:eastAsia="zh-CN"/>
              </w:rPr>
              <w:t>MHz，晶片直径：10mm~</w:t>
            </w:r>
            <w:r>
              <w:rPr>
                <w:rFonts w:hint="eastAsia" w:ascii="Times New Roman" w:cs="Times New Roman"/>
                <w:b w:val="0"/>
                <w:bCs w:val="0"/>
                <w:sz w:val="21"/>
                <w:szCs w:val="21"/>
                <w:highlight w:val="none"/>
                <w:lang w:val="en-US" w:eastAsia="zh-CN"/>
              </w:rPr>
              <w:t>20</w:t>
            </w:r>
            <w:r>
              <w:rPr>
                <w:rFonts w:hint="default" w:ascii="Times New Roman" w:hAnsi="Times New Roman" w:eastAsia="宋体" w:cs="Times New Roman"/>
                <w:b w:val="0"/>
                <w:bCs w:val="0"/>
                <w:sz w:val="21"/>
                <w:szCs w:val="21"/>
                <w:highlight w:val="none"/>
                <w:lang w:val="en-US" w:eastAsia="zh-CN"/>
              </w:rPr>
              <w:t>mm</w:t>
            </w:r>
          </w:p>
        </w:tc>
        <w:tc>
          <w:tcPr>
            <w:tcW w:w="1217" w:type="pct"/>
            <w:noWrap w:val="0"/>
            <w:vAlign w:val="center"/>
          </w:tcPr>
          <w:p>
            <w:pPr>
              <w:pStyle w:val="57"/>
              <w:widowControl w:val="0"/>
              <w:ind w:firstLine="0" w:firstLineChars="0"/>
              <w:jc w:val="center"/>
              <w:rPr>
                <w:rFonts w:hint="eastAsia" w:ascii="Times New Roman" w:cs="Times New Roman"/>
                <w:b w:val="0"/>
                <w:bCs w:val="0"/>
                <w:sz w:val="21"/>
                <w:szCs w:val="21"/>
                <w:highlight w:val="none"/>
                <w:lang w:val="en-US" w:eastAsia="zh-CN"/>
              </w:rPr>
            </w:pPr>
            <w:r>
              <w:rPr>
                <w:rFonts w:hint="eastAsia" w:ascii="Times New Roman" w:cs="Times New Roman"/>
                <w:b w:val="0"/>
                <w:bCs w:val="0"/>
                <w:sz w:val="21"/>
                <w:szCs w:val="21"/>
                <w:highlight w:val="none"/>
                <w:lang w:val="en-US" w:eastAsia="zh-CN"/>
              </w:rPr>
              <w:t>底波监测，噪声水平，均匀性，声衰减，声速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25" w:type="pct"/>
            <w:noWrap w:val="0"/>
            <w:vAlign w:val="center"/>
          </w:tcPr>
          <w:p>
            <w:pPr>
              <w:pStyle w:val="57"/>
              <w:widowControl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cs="Times New Roman"/>
                <w:b w:val="0"/>
                <w:bCs w:val="0"/>
                <w:sz w:val="21"/>
                <w:szCs w:val="21"/>
                <w:highlight w:val="none"/>
                <w:lang w:val="en-US" w:eastAsia="zh-CN"/>
              </w:rPr>
              <w:t>5</w:t>
            </w:r>
          </w:p>
        </w:tc>
        <w:tc>
          <w:tcPr>
            <w:tcW w:w="805" w:type="pct"/>
            <w:noWrap w:val="0"/>
            <w:vAlign w:val="center"/>
          </w:tcPr>
          <w:p>
            <w:pPr>
              <w:pStyle w:val="57"/>
              <w:widowControl w:val="0"/>
              <w:ind w:firstLine="0" w:firstLineChars="0"/>
              <w:jc w:val="center"/>
              <w:rPr>
                <w:rFonts w:hint="default"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rPr>
              <w:t>表面粗糙度比较样块</w:t>
            </w:r>
          </w:p>
        </w:tc>
        <w:tc>
          <w:tcPr>
            <w:tcW w:w="2751" w:type="pct"/>
            <w:noWrap w:val="0"/>
            <w:vAlign w:val="center"/>
          </w:tcPr>
          <w:p>
            <w:pPr>
              <w:pStyle w:val="57"/>
              <w:widowControl w:val="0"/>
              <w:ind w:firstLine="0" w:firstLineChars="0"/>
              <w:jc w:val="center"/>
              <w:rPr>
                <w:rFonts w:hint="default"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rPr>
              <w:t>MPE：+12%~-17%</w:t>
            </w:r>
          </w:p>
        </w:tc>
        <w:tc>
          <w:tcPr>
            <w:tcW w:w="1217" w:type="pct"/>
            <w:noWrap w:val="0"/>
            <w:vAlign w:val="center"/>
          </w:tcPr>
          <w:p>
            <w:pPr>
              <w:pStyle w:val="57"/>
              <w:widowControl w:val="0"/>
              <w:ind w:firstLine="0" w:firstLineChars="0"/>
              <w:jc w:val="center"/>
              <w:rPr>
                <w:rFonts w:hint="default" w:ascii="Times New Roman" w:hAnsi="Times New Roman" w:eastAsia="宋体" w:cs="Times New Roman"/>
                <w:b w:val="0"/>
                <w:bCs w:val="0"/>
                <w:sz w:val="21"/>
                <w:szCs w:val="21"/>
                <w:highlight w:val="none"/>
                <w:lang w:val="en-US" w:eastAsia="zh-CN"/>
              </w:rPr>
            </w:pPr>
            <w:r>
              <w:rPr>
                <w:rFonts w:hint="eastAsia" w:ascii="Times New Roman" w:cs="Times New Roman"/>
                <w:b w:val="0"/>
                <w:bCs w:val="0"/>
                <w:sz w:val="21"/>
                <w:szCs w:val="21"/>
                <w:highlight w:val="none"/>
                <w:lang w:val="en-US" w:eastAsia="zh-CN"/>
              </w:rPr>
              <w:t>表面粗糙度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25" w:type="pct"/>
            <w:noWrap w:val="0"/>
            <w:vAlign w:val="center"/>
          </w:tcPr>
          <w:p>
            <w:pPr>
              <w:pStyle w:val="57"/>
              <w:widowControl w:val="0"/>
              <w:ind w:firstLine="0" w:firstLineChars="0"/>
              <w:jc w:val="center"/>
              <w:rPr>
                <w:rFonts w:hint="default" w:ascii="Times New Roman" w:hAnsi="Times New Roman" w:eastAsia="宋体" w:cs="Times New Roman"/>
                <w:b w:val="0"/>
                <w:bCs w:val="0"/>
                <w:sz w:val="21"/>
                <w:szCs w:val="21"/>
                <w:highlight w:val="none"/>
                <w:lang w:val="en-US" w:eastAsia="zh-CN" w:bidi="ar-SA"/>
              </w:rPr>
            </w:pPr>
            <w:r>
              <w:rPr>
                <w:rFonts w:hint="eastAsia" w:ascii="Times New Roman" w:cs="Times New Roman"/>
                <w:b w:val="0"/>
                <w:bCs w:val="0"/>
                <w:sz w:val="21"/>
                <w:szCs w:val="21"/>
                <w:highlight w:val="none"/>
                <w:lang w:val="en-US" w:eastAsia="zh-CN"/>
              </w:rPr>
              <w:t>6</w:t>
            </w:r>
          </w:p>
        </w:tc>
        <w:tc>
          <w:tcPr>
            <w:tcW w:w="805" w:type="pct"/>
            <w:noWrap w:val="0"/>
            <w:vAlign w:val="center"/>
          </w:tcPr>
          <w:p>
            <w:pPr>
              <w:pStyle w:val="57"/>
              <w:widowControl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rPr>
              <w:t>粗糙度测量仪</w:t>
            </w:r>
          </w:p>
        </w:tc>
        <w:tc>
          <w:tcPr>
            <w:tcW w:w="2751" w:type="pct"/>
            <w:noWrap w:val="0"/>
            <w:vAlign w:val="center"/>
          </w:tcPr>
          <w:p>
            <w:pPr>
              <w:pStyle w:val="57"/>
              <w:widowControl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rPr>
              <w:t>MPE：±7%</w:t>
            </w:r>
          </w:p>
        </w:tc>
        <w:tc>
          <w:tcPr>
            <w:tcW w:w="1217" w:type="pct"/>
            <w:noWrap w:val="0"/>
            <w:vAlign w:val="center"/>
          </w:tcPr>
          <w:p>
            <w:pPr>
              <w:pStyle w:val="57"/>
              <w:widowControl w:val="0"/>
              <w:ind w:firstLine="0" w:firstLineChars="0"/>
              <w:jc w:val="center"/>
              <w:rPr>
                <w:rFonts w:hint="eastAsia" w:ascii="Times New Roman" w:hAnsi="Times New Roman" w:eastAsia="宋体" w:cs="Times New Roman"/>
                <w:b w:val="0"/>
                <w:bCs w:val="0"/>
                <w:sz w:val="21"/>
                <w:szCs w:val="21"/>
                <w:highlight w:val="none"/>
                <w:lang w:val="en-US" w:eastAsia="zh-CN"/>
              </w:rPr>
            </w:pPr>
            <w:r>
              <w:rPr>
                <w:rFonts w:hint="eastAsia" w:ascii="Times New Roman" w:cs="Times New Roman"/>
                <w:b w:val="0"/>
                <w:bCs w:val="0"/>
                <w:sz w:val="21"/>
                <w:szCs w:val="21"/>
                <w:highlight w:val="none"/>
                <w:lang w:val="en-US" w:eastAsia="zh-CN"/>
              </w:rPr>
              <w:t>表面粗糙度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25" w:type="pct"/>
            <w:noWrap w:val="0"/>
            <w:vAlign w:val="center"/>
          </w:tcPr>
          <w:p>
            <w:pPr>
              <w:pStyle w:val="57"/>
              <w:widowControl w:val="0"/>
              <w:ind w:firstLine="0" w:firstLineChars="0"/>
              <w:jc w:val="center"/>
              <w:rPr>
                <w:rFonts w:hint="default" w:ascii="Times New Roman" w:hAnsi="Times New Roman" w:eastAsia="宋体" w:cs="Times New Roman"/>
                <w:b w:val="0"/>
                <w:bCs w:val="0"/>
                <w:sz w:val="21"/>
                <w:szCs w:val="21"/>
                <w:highlight w:val="none"/>
                <w:lang w:val="en-US" w:eastAsia="zh-CN" w:bidi="ar-SA"/>
              </w:rPr>
            </w:pPr>
            <w:r>
              <w:rPr>
                <w:rFonts w:hint="eastAsia" w:ascii="Times New Roman" w:cs="Times New Roman"/>
                <w:b w:val="0"/>
                <w:bCs w:val="0"/>
                <w:sz w:val="21"/>
                <w:szCs w:val="21"/>
                <w:highlight w:val="none"/>
                <w:lang w:val="en-US" w:eastAsia="zh-CN"/>
              </w:rPr>
              <w:t>7</w:t>
            </w:r>
          </w:p>
        </w:tc>
        <w:tc>
          <w:tcPr>
            <w:tcW w:w="805" w:type="pct"/>
            <w:noWrap w:val="0"/>
            <w:vAlign w:val="center"/>
          </w:tcPr>
          <w:p>
            <w:pPr>
              <w:pStyle w:val="57"/>
              <w:widowControl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rPr>
              <w:t>坐标测量机</w:t>
            </w:r>
          </w:p>
        </w:tc>
        <w:tc>
          <w:tcPr>
            <w:tcW w:w="2751" w:type="pct"/>
            <w:noWrap w:val="0"/>
            <w:vAlign w:val="center"/>
          </w:tcPr>
          <w:p>
            <w:pPr>
              <w:pStyle w:val="57"/>
              <w:widowControl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rPr>
              <w:t>MPE：±（2+3×10</w:t>
            </w:r>
            <w:r>
              <w:rPr>
                <w:rFonts w:hint="eastAsia" w:ascii="Times New Roman" w:hAnsi="Times New Roman" w:eastAsia="宋体" w:cs="Times New Roman"/>
                <w:b w:val="0"/>
                <w:bCs w:val="0"/>
                <w:sz w:val="21"/>
                <w:szCs w:val="21"/>
                <w:highlight w:val="none"/>
                <w:vertAlign w:val="superscript"/>
                <w:lang w:val="en-US" w:eastAsia="zh-CN"/>
              </w:rPr>
              <w:t>-6</w:t>
            </w:r>
            <w:r>
              <w:rPr>
                <w:rFonts w:hint="eastAsia" w:ascii="Times New Roman" w:hAnsi="Times New Roman" w:eastAsia="宋体" w:cs="Times New Roman"/>
                <w:b w:val="0"/>
                <w:bCs w:val="0"/>
                <w:i/>
                <w:iCs/>
                <w:sz w:val="21"/>
                <w:szCs w:val="21"/>
                <w:highlight w:val="none"/>
                <w:lang w:val="en-US" w:eastAsia="zh-CN"/>
              </w:rPr>
              <w:t>L</w:t>
            </w:r>
            <w:r>
              <w:rPr>
                <w:rFonts w:hint="eastAsia" w:ascii="Times New Roman" w:hAnsi="Times New Roman" w:eastAsia="宋体" w:cs="Times New Roman"/>
                <w:b w:val="0"/>
                <w:bCs w:val="0"/>
                <w:sz w:val="21"/>
                <w:szCs w:val="21"/>
                <w:highlight w:val="none"/>
                <w:lang w:val="en-US" w:eastAsia="zh-CN"/>
              </w:rPr>
              <w:t>）</w:t>
            </w:r>
            <w:r>
              <w:rPr>
                <w:rFonts w:hint="default" w:ascii="Times New Roman" w:hAnsi="Times New Roman" w:eastAsia="宋体" w:cs="Times New Roman"/>
                <w:b w:val="0"/>
                <w:bCs w:val="0"/>
                <w:sz w:val="21"/>
                <w:szCs w:val="21"/>
                <w:highlight w:val="none"/>
                <w:lang w:val="en-US" w:eastAsia="zh-CN"/>
              </w:rPr>
              <w:t>μm</w:t>
            </w:r>
          </w:p>
        </w:tc>
        <w:tc>
          <w:tcPr>
            <w:tcW w:w="1217" w:type="pct"/>
            <w:noWrap w:val="0"/>
            <w:vAlign w:val="center"/>
          </w:tcPr>
          <w:p>
            <w:pPr>
              <w:pStyle w:val="57"/>
              <w:widowControl w:val="0"/>
              <w:ind w:firstLine="0" w:firstLineChars="0"/>
              <w:jc w:val="center"/>
              <w:rPr>
                <w:rFonts w:hint="default" w:ascii="Times New Roman" w:hAnsi="Times New Roman" w:eastAsia="宋体" w:cs="Times New Roman"/>
                <w:b w:val="0"/>
                <w:bCs w:val="0"/>
                <w:sz w:val="21"/>
                <w:szCs w:val="21"/>
                <w:highlight w:val="none"/>
                <w:lang w:val="en-US" w:eastAsia="zh-CN"/>
              </w:rPr>
            </w:pPr>
            <w:r>
              <w:rPr>
                <w:rFonts w:hint="eastAsia" w:ascii="Times New Roman" w:cs="Times New Roman"/>
                <w:b w:val="0"/>
                <w:bCs w:val="0"/>
                <w:sz w:val="21"/>
                <w:szCs w:val="21"/>
                <w:highlight w:val="none"/>
                <w:lang w:val="en-US" w:eastAsia="zh-CN"/>
              </w:rPr>
              <w:t>几何尺寸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25" w:type="pct"/>
            <w:noWrap w:val="0"/>
            <w:vAlign w:val="center"/>
          </w:tcPr>
          <w:p>
            <w:pPr>
              <w:pStyle w:val="57"/>
              <w:widowControl w:val="0"/>
              <w:ind w:firstLine="0" w:firstLineChars="0"/>
              <w:jc w:val="center"/>
              <w:rPr>
                <w:rFonts w:hint="default" w:ascii="Times New Roman" w:hAnsi="Times New Roman" w:eastAsia="宋体" w:cs="Times New Roman"/>
                <w:b w:val="0"/>
                <w:bCs w:val="0"/>
                <w:sz w:val="21"/>
                <w:szCs w:val="21"/>
                <w:highlight w:val="none"/>
                <w:lang w:val="en-US" w:eastAsia="zh-CN" w:bidi="ar-SA"/>
              </w:rPr>
            </w:pPr>
            <w:r>
              <w:rPr>
                <w:rFonts w:hint="eastAsia" w:ascii="Times New Roman" w:cs="Times New Roman"/>
                <w:b w:val="0"/>
                <w:bCs w:val="0"/>
                <w:sz w:val="21"/>
                <w:szCs w:val="21"/>
                <w:highlight w:val="none"/>
                <w:lang w:val="en-US" w:eastAsia="zh-CN"/>
              </w:rPr>
              <w:t>8</w:t>
            </w:r>
          </w:p>
        </w:tc>
        <w:tc>
          <w:tcPr>
            <w:tcW w:w="805" w:type="pct"/>
            <w:noWrap w:val="0"/>
            <w:vAlign w:val="center"/>
          </w:tcPr>
          <w:p>
            <w:pPr>
              <w:pStyle w:val="57"/>
              <w:widowControl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rPr>
              <w:t>影像测量仪</w:t>
            </w:r>
          </w:p>
        </w:tc>
        <w:tc>
          <w:tcPr>
            <w:tcW w:w="2751" w:type="pct"/>
            <w:noWrap w:val="0"/>
            <w:vAlign w:val="center"/>
          </w:tcPr>
          <w:p>
            <w:pPr>
              <w:pStyle w:val="57"/>
              <w:widowControl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rPr>
              <w:t>MPE：±（3+5×10</w:t>
            </w:r>
            <w:r>
              <w:rPr>
                <w:rFonts w:hint="eastAsia" w:ascii="Times New Roman" w:hAnsi="Times New Roman" w:eastAsia="宋体" w:cs="Times New Roman"/>
                <w:b w:val="0"/>
                <w:bCs w:val="0"/>
                <w:sz w:val="21"/>
                <w:szCs w:val="21"/>
                <w:highlight w:val="none"/>
                <w:vertAlign w:val="superscript"/>
                <w:lang w:val="en-US" w:eastAsia="zh-CN"/>
              </w:rPr>
              <w:t>-6</w:t>
            </w:r>
            <w:r>
              <w:rPr>
                <w:rFonts w:hint="eastAsia" w:ascii="Times New Roman" w:hAnsi="Times New Roman" w:eastAsia="宋体" w:cs="Times New Roman"/>
                <w:b w:val="0"/>
                <w:bCs w:val="0"/>
                <w:sz w:val="21"/>
                <w:szCs w:val="21"/>
                <w:highlight w:val="none"/>
                <w:lang w:val="en-US" w:eastAsia="zh-CN"/>
              </w:rPr>
              <w:t>L）</w:t>
            </w:r>
            <w:r>
              <w:rPr>
                <w:rFonts w:hint="default" w:ascii="Times New Roman" w:hAnsi="Times New Roman" w:eastAsia="宋体" w:cs="Times New Roman"/>
                <w:b w:val="0"/>
                <w:bCs w:val="0"/>
                <w:sz w:val="21"/>
                <w:szCs w:val="21"/>
                <w:highlight w:val="none"/>
                <w:lang w:val="en-US" w:eastAsia="zh-CN"/>
              </w:rPr>
              <w:t>μm</w:t>
            </w:r>
          </w:p>
        </w:tc>
        <w:tc>
          <w:tcPr>
            <w:tcW w:w="1217" w:type="pct"/>
            <w:noWrap w:val="0"/>
            <w:vAlign w:val="center"/>
          </w:tcPr>
          <w:p>
            <w:pPr>
              <w:widowControl w:val="0"/>
              <w:ind w:firstLine="0" w:firstLineChars="0"/>
              <w:jc w:val="center"/>
              <w:rPr>
                <w:rFonts w:hint="eastAsia" w:ascii="Times New Roman" w:hAnsi="Times New Roman" w:eastAsia="宋体" w:cs="Times New Roman"/>
                <w:b w:val="0"/>
                <w:bCs w:val="0"/>
                <w:sz w:val="21"/>
                <w:szCs w:val="21"/>
                <w:highlight w:val="none"/>
                <w:lang w:val="en-US" w:eastAsia="zh-CN"/>
              </w:rPr>
            </w:pPr>
            <w:r>
              <w:rPr>
                <w:rFonts w:hint="eastAsia" w:ascii="Times New Roman" w:cs="Times New Roman"/>
                <w:b w:val="0"/>
                <w:bCs w:val="0"/>
                <w:sz w:val="21"/>
                <w:szCs w:val="21"/>
                <w:highlight w:val="none"/>
                <w:lang w:val="en-US" w:eastAsia="zh-CN"/>
              </w:rPr>
              <w:t>几何尺寸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25" w:type="pct"/>
            <w:noWrap w:val="0"/>
            <w:vAlign w:val="center"/>
          </w:tcPr>
          <w:p>
            <w:pPr>
              <w:pStyle w:val="57"/>
              <w:widowControl w:val="0"/>
              <w:ind w:firstLine="0" w:firstLineChars="0"/>
              <w:jc w:val="center"/>
              <w:rPr>
                <w:rFonts w:hint="default" w:ascii="Times New Roman" w:hAnsi="Times New Roman" w:eastAsia="宋体" w:cs="Times New Roman"/>
                <w:b w:val="0"/>
                <w:bCs w:val="0"/>
                <w:sz w:val="21"/>
                <w:szCs w:val="21"/>
                <w:highlight w:val="none"/>
                <w:lang w:val="en-US" w:eastAsia="zh-CN" w:bidi="ar-SA"/>
              </w:rPr>
            </w:pPr>
            <w:r>
              <w:rPr>
                <w:rFonts w:hint="eastAsia" w:ascii="Times New Roman" w:cs="Times New Roman"/>
                <w:b w:val="0"/>
                <w:bCs w:val="0"/>
                <w:sz w:val="21"/>
                <w:szCs w:val="21"/>
                <w:highlight w:val="none"/>
                <w:lang w:val="en-US" w:eastAsia="zh-CN"/>
              </w:rPr>
              <w:t>9</w:t>
            </w:r>
          </w:p>
        </w:tc>
        <w:tc>
          <w:tcPr>
            <w:tcW w:w="805" w:type="pct"/>
            <w:noWrap w:val="0"/>
            <w:vAlign w:val="center"/>
          </w:tcPr>
          <w:p>
            <w:pPr>
              <w:pStyle w:val="57"/>
              <w:widowControl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rPr>
              <w:t>万能工具显微镜</w:t>
            </w:r>
          </w:p>
        </w:tc>
        <w:tc>
          <w:tcPr>
            <w:tcW w:w="2751" w:type="pct"/>
            <w:noWrap w:val="0"/>
            <w:vAlign w:val="center"/>
          </w:tcPr>
          <w:p>
            <w:pPr>
              <w:pStyle w:val="57"/>
              <w:widowControl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rPr>
              <w:t>MPE：±（1+10</w:t>
            </w:r>
            <w:r>
              <w:rPr>
                <w:rFonts w:hint="eastAsia" w:ascii="Times New Roman" w:hAnsi="Times New Roman" w:eastAsia="宋体" w:cs="Times New Roman"/>
                <w:b w:val="0"/>
                <w:bCs w:val="0"/>
                <w:sz w:val="21"/>
                <w:szCs w:val="21"/>
                <w:highlight w:val="none"/>
                <w:vertAlign w:val="superscript"/>
                <w:lang w:val="en-US" w:eastAsia="zh-CN"/>
              </w:rPr>
              <w:t>-</w:t>
            </w:r>
            <w:r>
              <w:rPr>
                <w:rFonts w:hint="eastAsia" w:ascii="Times New Roman" w:cs="Times New Roman"/>
                <w:b w:val="0"/>
                <w:bCs w:val="0"/>
                <w:sz w:val="21"/>
                <w:szCs w:val="21"/>
                <w:highlight w:val="none"/>
                <w:vertAlign w:val="superscript"/>
                <w:lang w:val="en-US" w:eastAsia="zh-CN"/>
              </w:rPr>
              <w:t>5</w:t>
            </w:r>
            <w:r>
              <w:rPr>
                <w:rFonts w:hint="eastAsia" w:ascii="Times New Roman" w:hAnsi="Times New Roman" w:eastAsia="宋体" w:cs="Times New Roman"/>
                <w:b w:val="0"/>
                <w:bCs w:val="0"/>
                <w:sz w:val="21"/>
                <w:szCs w:val="21"/>
                <w:highlight w:val="none"/>
                <w:lang w:val="en-US" w:eastAsia="zh-CN"/>
              </w:rPr>
              <w:t>L）</w:t>
            </w:r>
            <w:r>
              <w:rPr>
                <w:rFonts w:hint="default" w:ascii="Times New Roman" w:hAnsi="Times New Roman" w:eastAsia="宋体" w:cs="Times New Roman"/>
                <w:b w:val="0"/>
                <w:bCs w:val="0"/>
                <w:sz w:val="21"/>
                <w:szCs w:val="21"/>
                <w:highlight w:val="none"/>
                <w:lang w:val="en-US" w:eastAsia="zh-CN"/>
              </w:rPr>
              <w:t>μm</w:t>
            </w:r>
          </w:p>
        </w:tc>
        <w:tc>
          <w:tcPr>
            <w:tcW w:w="1217" w:type="pct"/>
            <w:noWrap w:val="0"/>
            <w:vAlign w:val="center"/>
          </w:tcPr>
          <w:p>
            <w:pPr>
              <w:widowControl w:val="0"/>
              <w:ind w:firstLine="0" w:firstLineChars="0"/>
              <w:jc w:val="center"/>
              <w:rPr>
                <w:rFonts w:hint="eastAsia" w:ascii="Times New Roman" w:hAnsi="Times New Roman" w:eastAsia="宋体" w:cs="Times New Roman"/>
                <w:b w:val="0"/>
                <w:bCs w:val="0"/>
                <w:sz w:val="21"/>
                <w:szCs w:val="21"/>
                <w:highlight w:val="none"/>
                <w:lang w:val="en-US" w:eastAsia="zh-CN"/>
              </w:rPr>
            </w:pPr>
            <w:r>
              <w:rPr>
                <w:rFonts w:hint="eastAsia" w:ascii="Times New Roman" w:cs="Times New Roman"/>
                <w:b w:val="0"/>
                <w:bCs w:val="0"/>
                <w:sz w:val="21"/>
                <w:szCs w:val="21"/>
                <w:highlight w:val="none"/>
                <w:lang w:val="en-US" w:eastAsia="zh-CN"/>
              </w:rPr>
              <w:t>几何尺寸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25" w:type="pct"/>
            <w:noWrap w:val="0"/>
            <w:vAlign w:val="center"/>
          </w:tcPr>
          <w:p>
            <w:pPr>
              <w:pStyle w:val="57"/>
              <w:widowControl w:val="0"/>
              <w:ind w:firstLine="0" w:firstLineChars="0"/>
              <w:jc w:val="center"/>
              <w:rPr>
                <w:rFonts w:hint="default" w:ascii="Times New Roman" w:hAnsi="Times New Roman" w:eastAsia="宋体" w:cs="Times New Roman"/>
                <w:b w:val="0"/>
                <w:bCs w:val="0"/>
                <w:sz w:val="21"/>
                <w:szCs w:val="21"/>
                <w:highlight w:val="none"/>
                <w:lang w:val="en-US" w:eastAsia="zh-CN" w:bidi="ar-SA"/>
              </w:rPr>
            </w:pPr>
            <w:r>
              <w:rPr>
                <w:rFonts w:hint="eastAsia" w:ascii="Times New Roman" w:cs="Times New Roman"/>
                <w:b w:val="0"/>
                <w:bCs w:val="0"/>
                <w:sz w:val="21"/>
                <w:szCs w:val="21"/>
                <w:highlight w:val="none"/>
                <w:lang w:val="en-US" w:eastAsia="zh-CN"/>
              </w:rPr>
              <w:t>10</w:t>
            </w:r>
          </w:p>
        </w:tc>
        <w:tc>
          <w:tcPr>
            <w:tcW w:w="805" w:type="pct"/>
            <w:noWrap w:val="0"/>
            <w:vAlign w:val="center"/>
          </w:tcPr>
          <w:p>
            <w:pPr>
              <w:pStyle w:val="57"/>
              <w:widowControl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rPr>
              <w:t>游标卡尺</w:t>
            </w:r>
          </w:p>
        </w:tc>
        <w:tc>
          <w:tcPr>
            <w:tcW w:w="2751" w:type="pct"/>
            <w:noWrap w:val="0"/>
            <w:vAlign w:val="center"/>
          </w:tcPr>
          <w:p>
            <w:pPr>
              <w:pStyle w:val="57"/>
              <w:widowControl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rPr>
              <w:t>MPE：±（0.02~0.05）mm</w:t>
            </w:r>
          </w:p>
        </w:tc>
        <w:tc>
          <w:tcPr>
            <w:tcW w:w="1217" w:type="pct"/>
            <w:noWrap w:val="0"/>
            <w:vAlign w:val="center"/>
          </w:tcPr>
          <w:p>
            <w:pPr>
              <w:widowControl w:val="0"/>
              <w:ind w:firstLine="0" w:firstLineChars="0"/>
              <w:jc w:val="center"/>
              <w:rPr>
                <w:rFonts w:hint="eastAsia" w:ascii="Times New Roman" w:hAnsi="Times New Roman" w:eastAsia="宋体" w:cs="Times New Roman"/>
                <w:b w:val="0"/>
                <w:bCs w:val="0"/>
                <w:sz w:val="21"/>
                <w:szCs w:val="21"/>
                <w:highlight w:val="none"/>
                <w:lang w:val="en-US" w:eastAsia="zh-CN"/>
              </w:rPr>
            </w:pPr>
            <w:r>
              <w:rPr>
                <w:rFonts w:hint="eastAsia" w:ascii="Times New Roman" w:cs="Times New Roman"/>
                <w:b w:val="0"/>
                <w:bCs w:val="0"/>
                <w:sz w:val="21"/>
                <w:szCs w:val="21"/>
                <w:highlight w:val="none"/>
                <w:lang w:val="en-US" w:eastAsia="zh-CN"/>
              </w:rPr>
              <w:t>几何尺寸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25" w:type="pct"/>
            <w:noWrap w:val="0"/>
            <w:vAlign w:val="center"/>
          </w:tcPr>
          <w:p>
            <w:pPr>
              <w:pStyle w:val="57"/>
              <w:widowControl w:val="0"/>
              <w:ind w:firstLine="0" w:firstLineChars="0"/>
              <w:jc w:val="center"/>
              <w:rPr>
                <w:rFonts w:hint="default" w:ascii="Times New Roman" w:hAnsi="Times New Roman" w:eastAsia="宋体" w:cs="Times New Roman"/>
                <w:b w:val="0"/>
                <w:bCs w:val="0"/>
                <w:sz w:val="21"/>
                <w:szCs w:val="21"/>
                <w:highlight w:val="none"/>
                <w:lang w:val="en-US" w:eastAsia="zh-CN" w:bidi="ar-SA"/>
              </w:rPr>
            </w:pPr>
            <w:r>
              <w:rPr>
                <w:rFonts w:hint="eastAsia" w:ascii="Times New Roman" w:cs="Times New Roman"/>
                <w:b w:val="0"/>
                <w:bCs w:val="0"/>
                <w:sz w:val="21"/>
                <w:szCs w:val="21"/>
                <w:highlight w:val="none"/>
                <w:lang w:val="en-US" w:eastAsia="zh-CN"/>
              </w:rPr>
              <w:t>11</w:t>
            </w:r>
          </w:p>
        </w:tc>
        <w:tc>
          <w:tcPr>
            <w:tcW w:w="805" w:type="pct"/>
            <w:noWrap w:val="0"/>
            <w:vAlign w:val="center"/>
          </w:tcPr>
          <w:p>
            <w:pPr>
              <w:pStyle w:val="57"/>
              <w:widowControl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rPr>
              <w:t>千分尺</w:t>
            </w:r>
          </w:p>
        </w:tc>
        <w:tc>
          <w:tcPr>
            <w:tcW w:w="2751" w:type="pct"/>
            <w:noWrap w:val="0"/>
            <w:vAlign w:val="center"/>
          </w:tcPr>
          <w:p>
            <w:pPr>
              <w:pStyle w:val="57"/>
              <w:widowControl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rPr>
              <w:t>MPE：±4μm</w:t>
            </w:r>
          </w:p>
        </w:tc>
        <w:tc>
          <w:tcPr>
            <w:tcW w:w="1217" w:type="pct"/>
            <w:noWrap w:val="0"/>
            <w:vAlign w:val="center"/>
          </w:tcPr>
          <w:p>
            <w:pPr>
              <w:widowControl w:val="0"/>
              <w:ind w:firstLine="0" w:firstLineChars="0"/>
              <w:jc w:val="center"/>
              <w:rPr>
                <w:rFonts w:hint="eastAsia" w:ascii="Times New Roman" w:hAnsi="Times New Roman" w:eastAsia="宋体" w:cs="Times New Roman"/>
                <w:b w:val="0"/>
                <w:bCs w:val="0"/>
                <w:sz w:val="21"/>
                <w:szCs w:val="21"/>
                <w:highlight w:val="none"/>
                <w:lang w:val="en-US" w:eastAsia="zh-CN"/>
              </w:rPr>
            </w:pPr>
            <w:r>
              <w:rPr>
                <w:rFonts w:hint="eastAsia" w:ascii="Times New Roman" w:cs="Times New Roman"/>
                <w:b w:val="0"/>
                <w:bCs w:val="0"/>
                <w:sz w:val="21"/>
                <w:szCs w:val="21"/>
                <w:highlight w:val="none"/>
                <w:lang w:val="en-US" w:eastAsia="zh-CN"/>
              </w:rPr>
              <w:t>几何尺寸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25" w:type="pct"/>
            <w:noWrap w:val="0"/>
            <w:vAlign w:val="center"/>
          </w:tcPr>
          <w:p>
            <w:pPr>
              <w:pStyle w:val="57"/>
              <w:widowControl w:val="0"/>
              <w:ind w:firstLine="0" w:firstLineChars="0"/>
              <w:jc w:val="center"/>
              <w:rPr>
                <w:rFonts w:hint="default" w:ascii="Times New Roman" w:hAnsi="Times New Roman" w:eastAsia="宋体" w:cs="Times New Roman"/>
                <w:b w:val="0"/>
                <w:bCs w:val="0"/>
                <w:sz w:val="21"/>
                <w:szCs w:val="21"/>
                <w:highlight w:val="none"/>
                <w:lang w:val="en-US" w:eastAsia="zh-CN" w:bidi="ar-SA"/>
              </w:rPr>
            </w:pPr>
            <w:r>
              <w:rPr>
                <w:rFonts w:hint="eastAsia" w:ascii="Times New Roman" w:cs="Times New Roman"/>
                <w:b w:val="0"/>
                <w:bCs w:val="0"/>
                <w:sz w:val="21"/>
                <w:szCs w:val="21"/>
                <w:highlight w:val="none"/>
                <w:lang w:val="en-US" w:eastAsia="zh-CN"/>
              </w:rPr>
              <w:t>12</w:t>
            </w:r>
          </w:p>
        </w:tc>
        <w:tc>
          <w:tcPr>
            <w:tcW w:w="805" w:type="pct"/>
            <w:noWrap w:val="0"/>
            <w:vAlign w:val="center"/>
          </w:tcPr>
          <w:p>
            <w:pPr>
              <w:pStyle w:val="57"/>
              <w:widowControl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rPr>
              <w:t>深度指示表</w:t>
            </w:r>
          </w:p>
        </w:tc>
        <w:tc>
          <w:tcPr>
            <w:tcW w:w="2751" w:type="pct"/>
            <w:noWrap w:val="0"/>
            <w:vAlign w:val="center"/>
          </w:tcPr>
          <w:p>
            <w:pPr>
              <w:pStyle w:val="57"/>
              <w:widowControl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rPr>
              <w:t>MPE：±（4~50）μm</w:t>
            </w:r>
          </w:p>
        </w:tc>
        <w:tc>
          <w:tcPr>
            <w:tcW w:w="1217" w:type="pct"/>
            <w:noWrap w:val="0"/>
            <w:vAlign w:val="center"/>
          </w:tcPr>
          <w:p>
            <w:pPr>
              <w:pStyle w:val="57"/>
              <w:widowControl w:val="0"/>
              <w:ind w:firstLine="0" w:firstLineChars="0"/>
              <w:jc w:val="center"/>
              <w:rPr>
                <w:rFonts w:hint="eastAsia" w:ascii="Times New Roman" w:hAnsi="Times New Roman" w:eastAsia="宋体" w:cs="Times New Roman"/>
                <w:b w:val="0"/>
                <w:bCs w:val="0"/>
                <w:sz w:val="21"/>
                <w:szCs w:val="21"/>
                <w:highlight w:val="none"/>
                <w:lang w:val="en-US" w:eastAsia="zh-CN"/>
              </w:rPr>
            </w:pPr>
            <w:r>
              <w:rPr>
                <w:rFonts w:hint="eastAsia" w:ascii="Times New Roman" w:cs="Times New Roman"/>
                <w:b w:val="0"/>
                <w:bCs w:val="0"/>
                <w:sz w:val="21"/>
                <w:szCs w:val="21"/>
                <w:highlight w:val="none"/>
                <w:lang w:val="en-US" w:eastAsia="zh-CN"/>
              </w:rPr>
              <w:t>几何尺寸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25" w:type="pct"/>
            <w:noWrap w:val="0"/>
            <w:vAlign w:val="center"/>
          </w:tcPr>
          <w:p>
            <w:pPr>
              <w:pStyle w:val="57"/>
              <w:widowControl w:val="0"/>
              <w:ind w:firstLine="0" w:firstLineChars="0"/>
              <w:jc w:val="center"/>
              <w:rPr>
                <w:rFonts w:hint="default" w:ascii="Times New Roman" w:hAnsi="Times New Roman" w:eastAsia="宋体" w:cs="Times New Roman"/>
                <w:b w:val="0"/>
                <w:bCs w:val="0"/>
                <w:sz w:val="21"/>
                <w:szCs w:val="21"/>
                <w:highlight w:val="none"/>
                <w:lang w:val="en-US" w:eastAsia="zh-CN" w:bidi="ar-SA"/>
              </w:rPr>
            </w:pPr>
            <w:r>
              <w:rPr>
                <w:rFonts w:hint="eastAsia" w:ascii="Times New Roman" w:cs="Times New Roman"/>
                <w:b w:val="0"/>
                <w:bCs w:val="0"/>
                <w:sz w:val="21"/>
                <w:szCs w:val="21"/>
                <w:highlight w:val="none"/>
                <w:lang w:val="en-US" w:eastAsia="zh-CN"/>
              </w:rPr>
              <w:t>13</w:t>
            </w:r>
          </w:p>
        </w:tc>
        <w:tc>
          <w:tcPr>
            <w:tcW w:w="805" w:type="pct"/>
            <w:noWrap w:val="0"/>
            <w:vAlign w:val="center"/>
          </w:tcPr>
          <w:p>
            <w:pPr>
              <w:pStyle w:val="57"/>
              <w:widowControl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rPr>
              <w:t>针规</w:t>
            </w:r>
          </w:p>
        </w:tc>
        <w:tc>
          <w:tcPr>
            <w:tcW w:w="2751" w:type="pct"/>
            <w:noWrap w:val="0"/>
            <w:vAlign w:val="center"/>
          </w:tcPr>
          <w:p>
            <w:pPr>
              <w:pStyle w:val="57"/>
              <w:widowControl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rPr>
              <w:t>（尺寸间隔为0.01mm）MPE：±2μm</w:t>
            </w:r>
          </w:p>
        </w:tc>
        <w:tc>
          <w:tcPr>
            <w:tcW w:w="1217" w:type="pct"/>
            <w:noWrap w:val="0"/>
            <w:vAlign w:val="center"/>
          </w:tcPr>
          <w:p>
            <w:pPr>
              <w:pStyle w:val="57"/>
              <w:widowControl w:val="0"/>
              <w:ind w:firstLine="0" w:firstLineChars="0"/>
              <w:jc w:val="center"/>
              <w:rPr>
                <w:rFonts w:hint="eastAsia" w:ascii="Times New Roman" w:hAnsi="Times New Roman" w:eastAsia="宋体" w:cs="Times New Roman"/>
                <w:b w:val="0"/>
                <w:bCs w:val="0"/>
                <w:sz w:val="21"/>
                <w:szCs w:val="21"/>
                <w:highlight w:val="none"/>
                <w:lang w:val="en-US" w:eastAsia="zh-CN"/>
              </w:rPr>
            </w:pPr>
            <w:r>
              <w:rPr>
                <w:rFonts w:hint="eastAsia" w:ascii="Times New Roman" w:cs="Times New Roman"/>
                <w:b w:val="0"/>
                <w:bCs w:val="0"/>
                <w:sz w:val="21"/>
                <w:szCs w:val="21"/>
                <w:highlight w:val="none"/>
                <w:lang w:val="en-US" w:eastAsia="zh-CN"/>
              </w:rPr>
              <w:t>形状和位置误差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25" w:type="pct"/>
            <w:noWrap w:val="0"/>
            <w:vAlign w:val="center"/>
          </w:tcPr>
          <w:p>
            <w:pPr>
              <w:pStyle w:val="57"/>
              <w:widowControl w:val="0"/>
              <w:ind w:firstLine="0" w:firstLineChars="0"/>
              <w:jc w:val="center"/>
              <w:rPr>
                <w:rFonts w:hint="default" w:ascii="Times New Roman" w:hAnsi="Times New Roman" w:eastAsia="宋体" w:cs="Times New Roman"/>
                <w:b w:val="0"/>
                <w:bCs w:val="0"/>
                <w:sz w:val="21"/>
                <w:szCs w:val="21"/>
                <w:highlight w:val="none"/>
                <w:lang w:val="en-US" w:eastAsia="zh-CN" w:bidi="ar-SA"/>
              </w:rPr>
            </w:pPr>
            <w:r>
              <w:rPr>
                <w:rFonts w:hint="eastAsia" w:ascii="Times New Roman" w:cs="Times New Roman"/>
                <w:b w:val="0"/>
                <w:bCs w:val="0"/>
                <w:sz w:val="21"/>
                <w:szCs w:val="21"/>
                <w:highlight w:val="none"/>
                <w:lang w:val="en-US" w:eastAsia="zh-CN"/>
              </w:rPr>
              <w:t>14</w:t>
            </w:r>
          </w:p>
        </w:tc>
        <w:tc>
          <w:tcPr>
            <w:tcW w:w="805" w:type="pct"/>
            <w:noWrap w:val="0"/>
            <w:vAlign w:val="center"/>
          </w:tcPr>
          <w:p>
            <w:pPr>
              <w:pStyle w:val="57"/>
              <w:widowControl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rPr>
              <w:t>塞尺</w:t>
            </w:r>
          </w:p>
        </w:tc>
        <w:tc>
          <w:tcPr>
            <w:tcW w:w="2751" w:type="pct"/>
            <w:noWrap w:val="0"/>
            <w:vAlign w:val="center"/>
          </w:tcPr>
          <w:p>
            <w:pPr>
              <w:pStyle w:val="57"/>
              <w:widowControl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rPr>
              <w:t>（0.02~1.00）mmMPE：±（5~16）μm</w:t>
            </w:r>
          </w:p>
        </w:tc>
        <w:tc>
          <w:tcPr>
            <w:tcW w:w="1217" w:type="pct"/>
            <w:noWrap w:val="0"/>
            <w:vAlign w:val="center"/>
          </w:tcPr>
          <w:p>
            <w:pPr>
              <w:pStyle w:val="57"/>
              <w:widowControl w:val="0"/>
              <w:ind w:firstLine="0" w:firstLineChars="0"/>
              <w:jc w:val="center"/>
              <w:rPr>
                <w:rFonts w:hint="default" w:ascii="Times New Roman" w:hAnsi="Times New Roman" w:eastAsia="宋体" w:cs="Times New Roman"/>
                <w:b w:val="0"/>
                <w:bCs w:val="0"/>
                <w:sz w:val="21"/>
                <w:szCs w:val="21"/>
                <w:highlight w:val="none"/>
                <w:lang w:val="en-US" w:eastAsia="zh-CN"/>
              </w:rPr>
            </w:pPr>
            <w:r>
              <w:rPr>
                <w:rFonts w:hint="eastAsia" w:ascii="Times New Roman" w:cs="Times New Roman"/>
                <w:b w:val="0"/>
                <w:bCs w:val="0"/>
                <w:sz w:val="21"/>
                <w:szCs w:val="21"/>
                <w:highlight w:val="none"/>
                <w:lang w:val="en-US" w:eastAsia="zh-CN"/>
              </w:rPr>
              <w:t>形状和位置误差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25" w:type="pct"/>
            <w:noWrap w:val="0"/>
            <w:vAlign w:val="center"/>
          </w:tcPr>
          <w:p>
            <w:pPr>
              <w:pStyle w:val="57"/>
              <w:widowControl w:val="0"/>
              <w:ind w:firstLine="0" w:firstLineChars="0"/>
              <w:jc w:val="center"/>
              <w:rPr>
                <w:rFonts w:hint="default" w:ascii="Times New Roman" w:hAnsi="Times New Roman" w:eastAsia="宋体" w:cs="Times New Roman"/>
                <w:b w:val="0"/>
                <w:bCs w:val="0"/>
                <w:sz w:val="21"/>
                <w:szCs w:val="21"/>
                <w:highlight w:val="none"/>
                <w:lang w:val="en-US" w:eastAsia="zh-CN" w:bidi="ar-SA"/>
              </w:rPr>
            </w:pPr>
            <w:r>
              <w:rPr>
                <w:rFonts w:hint="eastAsia" w:ascii="Times New Roman" w:cs="Times New Roman"/>
                <w:b w:val="0"/>
                <w:bCs w:val="0"/>
                <w:sz w:val="21"/>
                <w:szCs w:val="21"/>
                <w:highlight w:val="none"/>
                <w:lang w:val="en-US" w:eastAsia="zh-CN"/>
              </w:rPr>
              <w:t>15</w:t>
            </w:r>
          </w:p>
        </w:tc>
        <w:tc>
          <w:tcPr>
            <w:tcW w:w="805" w:type="pct"/>
            <w:noWrap w:val="0"/>
            <w:vAlign w:val="center"/>
          </w:tcPr>
          <w:p>
            <w:pPr>
              <w:pStyle w:val="57"/>
              <w:widowControl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rPr>
              <w:t>内径表</w:t>
            </w:r>
          </w:p>
        </w:tc>
        <w:tc>
          <w:tcPr>
            <w:tcW w:w="2751" w:type="pct"/>
            <w:noWrap w:val="0"/>
            <w:vAlign w:val="center"/>
          </w:tcPr>
          <w:p>
            <w:pPr>
              <w:pStyle w:val="57"/>
              <w:widowControl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rPr>
              <w:t>MPEV：（7~20）μm</w:t>
            </w:r>
          </w:p>
        </w:tc>
        <w:tc>
          <w:tcPr>
            <w:tcW w:w="1217" w:type="pct"/>
            <w:noWrap w:val="0"/>
            <w:vAlign w:val="center"/>
          </w:tcPr>
          <w:p>
            <w:pPr>
              <w:pStyle w:val="57"/>
              <w:widowControl w:val="0"/>
              <w:ind w:firstLine="0" w:firstLineChars="0"/>
              <w:jc w:val="center"/>
              <w:rPr>
                <w:rFonts w:hint="eastAsia" w:ascii="Times New Roman" w:hAnsi="Times New Roman" w:eastAsia="宋体" w:cs="Times New Roman"/>
                <w:b w:val="0"/>
                <w:bCs w:val="0"/>
                <w:sz w:val="21"/>
                <w:szCs w:val="21"/>
                <w:highlight w:val="none"/>
                <w:lang w:val="en-US" w:eastAsia="zh-CN"/>
              </w:rPr>
            </w:pPr>
            <w:r>
              <w:rPr>
                <w:rFonts w:hint="eastAsia" w:ascii="Times New Roman" w:cs="Times New Roman"/>
                <w:b w:val="0"/>
                <w:bCs w:val="0"/>
                <w:sz w:val="21"/>
                <w:szCs w:val="21"/>
                <w:highlight w:val="none"/>
                <w:lang w:val="en-US" w:eastAsia="zh-CN"/>
              </w:rPr>
              <w:t>几何尺寸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25" w:type="pct"/>
            <w:noWrap w:val="0"/>
            <w:vAlign w:val="center"/>
          </w:tcPr>
          <w:p>
            <w:pPr>
              <w:pStyle w:val="57"/>
              <w:widowControl w:val="0"/>
              <w:ind w:firstLine="0" w:firstLineChars="0"/>
              <w:jc w:val="center"/>
              <w:rPr>
                <w:rFonts w:hint="default" w:ascii="Times New Roman" w:hAnsi="Times New Roman" w:eastAsia="宋体" w:cs="Times New Roman"/>
                <w:b w:val="0"/>
                <w:bCs w:val="0"/>
                <w:sz w:val="21"/>
                <w:szCs w:val="21"/>
                <w:highlight w:val="none"/>
                <w:lang w:val="en-US" w:eastAsia="zh-CN" w:bidi="ar-SA"/>
              </w:rPr>
            </w:pPr>
            <w:r>
              <w:rPr>
                <w:rFonts w:hint="eastAsia" w:ascii="Times New Roman" w:cs="Times New Roman"/>
                <w:b w:val="0"/>
                <w:bCs w:val="0"/>
                <w:sz w:val="21"/>
                <w:szCs w:val="21"/>
                <w:highlight w:val="none"/>
                <w:lang w:val="en-US" w:eastAsia="zh-CN"/>
              </w:rPr>
              <w:t>16</w:t>
            </w:r>
          </w:p>
        </w:tc>
        <w:tc>
          <w:tcPr>
            <w:tcW w:w="805" w:type="pct"/>
            <w:noWrap w:val="0"/>
            <w:vAlign w:val="center"/>
          </w:tcPr>
          <w:p>
            <w:pPr>
              <w:pStyle w:val="57"/>
              <w:widowControl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rPr>
              <w:t>刀口形直尺</w:t>
            </w:r>
          </w:p>
        </w:tc>
        <w:tc>
          <w:tcPr>
            <w:tcW w:w="2751" w:type="pct"/>
            <w:noWrap w:val="0"/>
            <w:vAlign w:val="center"/>
          </w:tcPr>
          <w:p>
            <w:pPr>
              <w:pStyle w:val="57"/>
              <w:widowControl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rPr>
              <w:t>MPEV：2μm</w:t>
            </w:r>
          </w:p>
        </w:tc>
        <w:tc>
          <w:tcPr>
            <w:tcW w:w="1217" w:type="pct"/>
            <w:noWrap w:val="0"/>
            <w:vAlign w:val="center"/>
          </w:tcPr>
          <w:p>
            <w:pPr>
              <w:pStyle w:val="57"/>
              <w:widowControl w:val="0"/>
              <w:ind w:firstLine="0" w:firstLineChars="0"/>
              <w:jc w:val="center"/>
              <w:rPr>
                <w:rFonts w:hint="eastAsia" w:ascii="Times New Roman" w:hAnsi="Times New Roman" w:eastAsia="宋体" w:cs="Times New Roman"/>
                <w:b w:val="0"/>
                <w:bCs w:val="0"/>
                <w:sz w:val="21"/>
                <w:szCs w:val="21"/>
                <w:highlight w:val="none"/>
                <w:lang w:val="en-US" w:eastAsia="zh-CN"/>
              </w:rPr>
            </w:pPr>
            <w:r>
              <w:rPr>
                <w:rFonts w:hint="eastAsia" w:ascii="Times New Roman" w:cs="Times New Roman"/>
                <w:b w:val="0"/>
                <w:bCs w:val="0"/>
                <w:sz w:val="21"/>
                <w:szCs w:val="21"/>
                <w:highlight w:val="none"/>
                <w:lang w:val="en-US" w:eastAsia="zh-CN"/>
              </w:rPr>
              <w:t>形状和位置误差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25" w:type="pct"/>
            <w:noWrap w:val="0"/>
            <w:vAlign w:val="center"/>
          </w:tcPr>
          <w:p>
            <w:pPr>
              <w:pStyle w:val="57"/>
              <w:widowControl w:val="0"/>
              <w:ind w:firstLine="0" w:firstLineChars="0"/>
              <w:jc w:val="center"/>
              <w:rPr>
                <w:rFonts w:hint="default" w:ascii="Times New Roman" w:hAnsi="Times New Roman" w:eastAsia="宋体" w:cs="Times New Roman"/>
                <w:b w:val="0"/>
                <w:bCs w:val="0"/>
                <w:sz w:val="21"/>
                <w:szCs w:val="21"/>
                <w:highlight w:val="none"/>
                <w:lang w:val="en-US" w:eastAsia="zh-CN" w:bidi="ar-SA"/>
              </w:rPr>
            </w:pPr>
            <w:r>
              <w:rPr>
                <w:rFonts w:hint="eastAsia" w:ascii="Times New Roman" w:cs="Times New Roman"/>
                <w:b w:val="0"/>
                <w:bCs w:val="0"/>
                <w:sz w:val="21"/>
                <w:szCs w:val="21"/>
                <w:highlight w:val="none"/>
                <w:lang w:val="en-US" w:eastAsia="zh-CN"/>
              </w:rPr>
              <w:t>17</w:t>
            </w:r>
          </w:p>
        </w:tc>
        <w:tc>
          <w:tcPr>
            <w:tcW w:w="805" w:type="pct"/>
            <w:noWrap w:val="0"/>
            <w:vAlign w:val="center"/>
          </w:tcPr>
          <w:p>
            <w:pPr>
              <w:pStyle w:val="57"/>
              <w:widowControl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rPr>
              <w:t>直角尺</w:t>
            </w:r>
          </w:p>
        </w:tc>
        <w:tc>
          <w:tcPr>
            <w:tcW w:w="2751" w:type="pct"/>
            <w:noWrap w:val="0"/>
            <w:vAlign w:val="center"/>
          </w:tcPr>
          <w:p>
            <w:pPr>
              <w:pStyle w:val="57"/>
              <w:widowControl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rPr>
              <w:t>1级</w:t>
            </w:r>
          </w:p>
        </w:tc>
        <w:tc>
          <w:tcPr>
            <w:tcW w:w="1217" w:type="pct"/>
            <w:noWrap w:val="0"/>
            <w:vAlign w:val="center"/>
          </w:tcPr>
          <w:p>
            <w:pPr>
              <w:pStyle w:val="57"/>
              <w:widowControl w:val="0"/>
              <w:ind w:firstLine="0" w:firstLineChars="0"/>
              <w:jc w:val="center"/>
              <w:rPr>
                <w:rFonts w:hint="eastAsia" w:ascii="Times New Roman" w:hAnsi="Times New Roman" w:eastAsia="宋体" w:cs="Times New Roman"/>
                <w:b w:val="0"/>
                <w:bCs w:val="0"/>
                <w:sz w:val="21"/>
                <w:szCs w:val="21"/>
                <w:highlight w:val="none"/>
                <w:lang w:val="en-US" w:eastAsia="zh-CN"/>
              </w:rPr>
            </w:pPr>
            <w:r>
              <w:rPr>
                <w:rFonts w:hint="eastAsia" w:ascii="Times New Roman" w:cs="Times New Roman"/>
                <w:b w:val="0"/>
                <w:bCs w:val="0"/>
                <w:sz w:val="21"/>
                <w:szCs w:val="21"/>
                <w:highlight w:val="none"/>
                <w:lang w:val="en-US" w:eastAsia="zh-CN"/>
              </w:rPr>
              <w:t>形状和位置误差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25" w:type="pct"/>
            <w:noWrap w:val="0"/>
            <w:vAlign w:val="center"/>
          </w:tcPr>
          <w:p>
            <w:pPr>
              <w:pStyle w:val="57"/>
              <w:widowControl w:val="0"/>
              <w:ind w:firstLine="0" w:firstLineChars="0"/>
              <w:jc w:val="center"/>
              <w:rPr>
                <w:rFonts w:hint="default" w:ascii="Times New Roman" w:hAnsi="Times New Roman" w:eastAsia="宋体" w:cs="Times New Roman"/>
                <w:b w:val="0"/>
                <w:bCs w:val="0"/>
                <w:sz w:val="21"/>
                <w:szCs w:val="21"/>
                <w:highlight w:val="none"/>
                <w:lang w:val="en-US" w:eastAsia="zh-CN" w:bidi="ar-SA"/>
              </w:rPr>
            </w:pPr>
            <w:r>
              <w:rPr>
                <w:rFonts w:hint="eastAsia" w:ascii="Times New Roman" w:cs="Times New Roman"/>
                <w:b w:val="0"/>
                <w:bCs w:val="0"/>
                <w:sz w:val="21"/>
                <w:szCs w:val="21"/>
                <w:highlight w:val="none"/>
                <w:lang w:val="en-US" w:eastAsia="zh-CN"/>
              </w:rPr>
              <w:t>18</w:t>
            </w:r>
          </w:p>
        </w:tc>
        <w:tc>
          <w:tcPr>
            <w:tcW w:w="805" w:type="pct"/>
            <w:noWrap w:val="0"/>
            <w:vAlign w:val="center"/>
          </w:tcPr>
          <w:p>
            <w:pPr>
              <w:pStyle w:val="57"/>
              <w:widowControl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rPr>
              <w:t>平板</w:t>
            </w:r>
          </w:p>
        </w:tc>
        <w:tc>
          <w:tcPr>
            <w:tcW w:w="2751" w:type="pct"/>
            <w:noWrap w:val="0"/>
            <w:vAlign w:val="center"/>
          </w:tcPr>
          <w:p>
            <w:pPr>
              <w:pStyle w:val="57"/>
              <w:widowControl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rPr>
              <w:t>1级</w:t>
            </w:r>
          </w:p>
        </w:tc>
        <w:tc>
          <w:tcPr>
            <w:tcW w:w="1217" w:type="pct"/>
            <w:noWrap w:val="0"/>
            <w:vAlign w:val="center"/>
          </w:tcPr>
          <w:p>
            <w:pPr>
              <w:pStyle w:val="57"/>
              <w:widowControl w:val="0"/>
              <w:ind w:firstLine="0" w:firstLineChars="0"/>
              <w:jc w:val="center"/>
              <w:rPr>
                <w:rFonts w:hint="eastAsia" w:ascii="Times New Roman" w:hAnsi="Times New Roman" w:eastAsia="宋体" w:cs="Times New Roman"/>
                <w:b w:val="0"/>
                <w:bCs w:val="0"/>
                <w:sz w:val="21"/>
                <w:szCs w:val="21"/>
                <w:highlight w:val="none"/>
                <w:lang w:val="en-US" w:eastAsia="zh-CN"/>
              </w:rPr>
            </w:pPr>
            <w:r>
              <w:rPr>
                <w:rFonts w:hint="eastAsia" w:ascii="Times New Roman" w:cs="Times New Roman"/>
                <w:b w:val="0"/>
                <w:bCs w:val="0"/>
                <w:sz w:val="21"/>
                <w:szCs w:val="21"/>
                <w:highlight w:val="none"/>
                <w:lang w:val="en-US" w:eastAsia="zh-CN"/>
              </w:rPr>
              <w:t>形状和位置误差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25" w:type="pct"/>
            <w:noWrap w:val="0"/>
            <w:vAlign w:val="center"/>
          </w:tcPr>
          <w:p>
            <w:pPr>
              <w:pStyle w:val="57"/>
              <w:widowControl w:val="0"/>
              <w:ind w:firstLine="0" w:firstLineChars="0"/>
              <w:jc w:val="center"/>
              <w:rPr>
                <w:rFonts w:hint="default" w:ascii="Times New Roman" w:hAnsi="Times New Roman" w:eastAsia="宋体" w:cs="Times New Roman"/>
                <w:b w:val="0"/>
                <w:bCs w:val="0"/>
                <w:sz w:val="21"/>
                <w:szCs w:val="21"/>
                <w:highlight w:val="none"/>
                <w:lang w:val="en-US" w:eastAsia="zh-CN" w:bidi="ar-SA"/>
              </w:rPr>
            </w:pPr>
            <w:r>
              <w:rPr>
                <w:rFonts w:hint="eastAsia" w:ascii="Times New Roman" w:cs="Times New Roman"/>
                <w:b w:val="0"/>
                <w:bCs w:val="0"/>
                <w:sz w:val="21"/>
                <w:szCs w:val="21"/>
                <w:highlight w:val="none"/>
                <w:lang w:val="en-US" w:eastAsia="zh-CN"/>
              </w:rPr>
              <w:t>19</w:t>
            </w:r>
          </w:p>
        </w:tc>
        <w:tc>
          <w:tcPr>
            <w:tcW w:w="805" w:type="pct"/>
            <w:noWrap w:val="0"/>
            <w:vAlign w:val="center"/>
          </w:tcPr>
          <w:p>
            <w:pPr>
              <w:pStyle w:val="57"/>
              <w:widowControl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cs="Times New Roman"/>
                <w:b w:val="0"/>
                <w:bCs w:val="0"/>
                <w:sz w:val="21"/>
                <w:szCs w:val="21"/>
                <w:highlight w:val="none"/>
                <w:lang w:val="en-US" w:eastAsia="zh-CN"/>
              </w:rPr>
              <w:t>万能角度尺</w:t>
            </w:r>
          </w:p>
        </w:tc>
        <w:tc>
          <w:tcPr>
            <w:tcW w:w="2751" w:type="pct"/>
            <w:noWrap w:val="0"/>
            <w:vAlign w:val="center"/>
          </w:tcPr>
          <w:p>
            <w:pPr>
              <w:pStyle w:val="57"/>
              <w:widowControl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rPr>
              <w:t>MPE：±</w:t>
            </w:r>
            <w:r>
              <w:rPr>
                <w:rFonts w:hint="eastAsia" w:ascii="Times New Roman" w:cs="Times New Roman"/>
                <w:b w:val="0"/>
                <w:bCs w:val="0"/>
                <w:sz w:val="21"/>
                <w:szCs w:val="21"/>
                <w:highlight w:val="none"/>
                <w:lang w:val="en-US" w:eastAsia="zh-CN"/>
              </w:rPr>
              <w:t>5</w:t>
            </w:r>
            <w:r>
              <w:rPr>
                <w:rFonts w:hint="default" w:ascii="Times New Roman" w:cs="Times New Roman"/>
                <w:b w:val="0"/>
                <w:bCs w:val="0"/>
                <w:sz w:val="21"/>
                <w:szCs w:val="21"/>
                <w:highlight w:val="none"/>
                <w:lang w:val="en-US" w:eastAsia="zh-CN"/>
              </w:rPr>
              <w:t>’</w:t>
            </w:r>
          </w:p>
        </w:tc>
        <w:tc>
          <w:tcPr>
            <w:tcW w:w="1217" w:type="pct"/>
            <w:noWrap w:val="0"/>
            <w:vAlign w:val="center"/>
          </w:tcPr>
          <w:p>
            <w:pPr>
              <w:pStyle w:val="57"/>
              <w:widowControl w:val="0"/>
              <w:ind w:firstLine="0" w:firstLineChars="0"/>
              <w:jc w:val="center"/>
              <w:rPr>
                <w:rFonts w:hint="eastAsia" w:ascii="Times New Roman" w:hAnsi="Times New Roman" w:eastAsia="宋体" w:cs="Times New Roman"/>
                <w:b w:val="0"/>
                <w:bCs w:val="0"/>
                <w:sz w:val="21"/>
                <w:szCs w:val="21"/>
                <w:highlight w:val="none"/>
                <w:lang w:val="en-US" w:eastAsia="zh-CN"/>
              </w:rPr>
            </w:pPr>
            <w:r>
              <w:rPr>
                <w:rFonts w:hint="eastAsia" w:ascii="Times New Roman" w:cs="Times New Roman"/>
                <w:b w:val="0"/>
                <w:bCs w:val="0"/>
                <w:sz w:val="21"/>
                <w:szCs w:val="21"/>
                <w:highlight w:val="none"/>
                <w:lang w:val="en-US" w:eastAsia="zh-CN"/>
              </w:rPr>
              <w:t>几何尺寸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25" w:type="pct"/>
            <w:noWrap w:val="0"/>
            <w:vAlign w:val="center"/>
          </w:tcPr>
          <w:p>
            <w:pPr>
              <w:pStyle w:val="57"/>
              <w:widowControl w:val="0"/>
              <w:ind w:firstLine="0" w:firstLineChars="0"/>
              <w:jc w:val="center"/>
              <w:rPr>
                <w:rFonts w:hint="default" w:ascii="Times New Roman" w:hAnsi="Times New Roman" w:eastAsia="宋体" w:cs="Times New Roman"/>
                <w:b w:val="0"/>
                <w:bCs w:val="0"/>
                <w:sz w:val="21"/>
                <w:szCs w:val="21"/>
                <w:highlight w:val="none"/>
                <w:lang w:val="en-US" w:eastAsia="zh-CN" w:bidi="ar-SA"/>
              </w:rPr>
            </w:pPr>
            <w:r>
              <w:rPr>
                <w:rFonts w:hint="eastAsia" w:ascii="Times New Roman" w:cs="Times New Roman"/>
                <w:b w:val="0"/>
                <w:bCs w:val="0"/>
                <w:sz w:val="21"/>
                <w:szCs w:val="21"/>
                <w:highlight w:val="none"/>
                <w:lang w:val="en-US" w:eastAsia="zh-CN"/>
              </w:rPr>
              <w:t>20</w:t>
            </w:r>
          </w:p>
        </w:tc>
        <w:tc>
          <w:tcPr>
            <w:tcW w:w="805" w:type="pct"/>
            <w:noWrap w:val="0"/>
            <w:vAlign w:val="center"/>
          </w:tcPr>
          <w:p>
            <w:pPr>
              <w:pStyle w:val="57"/>
              <w:widowControl w:val="0"/>
              <w:ind w:firstLine="0" w:firstLineChars="0"/>
              <w:jc w:val="center"/>
              <w:rPr>
                <w:rFonts w:hint="default" w:ascii="Times New Roman" w:hAnsi="Times New Roman" w:eastAsia="宋体" w:cs="Times New Roman"/>
                <w:b w:val="0"/>
                <w:bCs w:val="0"/>
                <w:sz w:val="21"/>
                <w:szCs w:val="21"/>
                <w:highlight w:val="none"/>
                <w:lang w:val="en-US" w:eastAsia="zh-CN" w:bidi="ar-SA"/>
              </w:rPr>
            </w:pPr>
            <w:r>
              <w:rPr>
                <w:rFonts w:hint="eastAsia" w:ascii="Times New Roman" w:cs="Times New Roman"/>
                <w:b w:val="0"/>
                <w:bCs w:val="0"/>
                <w:sz w:val="21"/>
                <w:szCs w:val="21"/>
                <w:highlight w:val="none"/>
                <w:lang w:val="en-US" w:eastAsia="zh-CN"/>
              </w:rPr>
              <w:t>角度测量仪</w:t>
            </w:r>
          </w:p>
        </w:tc>
        <w:tc>
          <w:tcPr>
            <w:tcW w:w="2751" w:type="pct"/>
            <w:noWrap w:val="0"/>
            <w:vAlign w:val="center"/>
          </w:tcPr>
          <w:p>
            <w:pPr>
              <w:pStyle w:val="57"/>
              <w:widowControl w:val="0"/>
              <w:ind w:firstLine="0" w:firstLineChars="0"/>
              <w:jc w:val="center"/>
              <w:rPr>
                <w:rFonts w:hint="default"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rPr>
              <w:t>MPE：±</w:t>
            </w:r>
            <w:r>
              <w:rPr>
                <w:rFonts w:hint="eastAsia" w:ascii="Times New Roman" w:cs="Times New Roman"/>
                <w:b w:val="0"/>
                <w:bCs w:val="0"/>
                <w:sz w:val="21"/>
                <w:szCs w:val="21"/>
                <w:highlight w:val="none"/>
                <w:lang w:val="en-US" w:eastAsia="zh-CN"/>
              </w:rPr>
              <w:t>1°</w:t>
            </w:r>
          </w:p>
        </w:tc>
        <w:tc>
          <w:tcPr>
            <w:tcW w:w="1217" w:type="pct"/>
            <w:noWrap w:val="0"/>
            <w:vAlign w:val="center"/>
          </w:tcPr>
          <w:p>
            <w:pPr>
              <w:widowControl w:val="0"/>
              <w:ind w:firstLine="0" w:firstLineChars="0"/>
              <w:jc w:val="center"/>
              <w:rPr>
                <w:rFonts w:hint="eastAsia" w:ascii="Times New Roman" w:hAnsi="Times New Roman" w:eastAsia="宋体" w:cs="Times New Roman"/>
                <w:b w:val="0"/>
                <w:bCs w:val="0"/>
                <w:sz w:val="21"/>
                <w:szCs w:val="21"/>
                <w:highlight w:val="none"/>
                <w:lang w:val="en-US" w:eastAsia="zh-CN"/>
              </w:rPr>
            </w:pPr>
            <w:r>
              <w:rPr>
                <w:rFonts w:hint="eastAsia" w:ascii="Times New Roman" w:cs="Times New Roman"/>
                <w:b w:val="0"/>
                <w:bCs w:val="0"/>
                <w:sz w:val="21"/>
                <w:szCs w:val="21"/>
                <w:highlight w:val="none"/>
                <w:lang w:val="en-US" w:eastAsia="zh-CN"/>
              </w:rPr>
              <w:t>几何尺寸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25" w:type="pct"/>
            <w:noWrap w:val="0"/>
            <w:vAlign w:val="center"/>
          </w:tcPr>
          <w:p>
            <w:pPr>
              <w:pStyle w:val="57"/>
              <w:widowControl w:val="0"/>
              <w:ind w:firstLine="0" w:firstLineChars="0"/>
              <w:jc w:val="center"/>
              <w:rPr>
                <w:rFonts w:hint="default" w:ascii="Times New Roman" w:hAnsi="Times New Roman" w:eastAsia="宋体" w:cs="Times New Roman"/>
                <w:b w:val="0"/>
                <w:bCs w:val="0"/>
                <w:sz w:val="21"/>
                <w:szCs w:val="21"/>
                <w:highlight w:val="none"/>
                <w:lang w:val="en-US" w:eastAsia="zh-CN" w:bidi="ar-SA"/>
              </w:rPr>
            </w:pPr>
            <w:r>
              <w:rPr>
                <w:rFonts w:hint="eastAsia" w:ascii="Times New Roman" w:cs="Times New Roman"/>
                <w:b w:val="0"/>
                <w:bCs w:val="0"/>
                <w:sz w:val="21"/>
                <w:szCs w:val="21"/>
                <w:highlight w:val="none"/>
                <w:lang w:val="en-US" w:eastAsia="zh-CN"/>
              </w:rPr>
              <w:t>21</w:t>
            </w:r>
          </w:p>
        </w:tc>
        <w:tc>
          <w:tcPr>
            <w:tcW w:w="805" w:type="pct"/>
            <w:noWrap w:val="0"/>
            <w:vAlign w:val="center"/>
          </w:tcPr>
          <w:p>
            <w:pPr>
              <w:pStyle w:val="57"/>
              <w:widowControl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cs="Times New Roman"/>
                <w:b w:val="0"/>
                <w:bCs w:val="0"/>
                <w:sz w:val="21"/>
                <w:szCs w:val="21"/>
                <w:highlight w:val="none"/>
                <w:lang w:val="en-US" w:eastAsia="zh-CN"/>
              </w:rPr>
              <w:t>角度块</w:t>
            </w:r>
          </w:p>
        </w:tc>
        <w:tc>
          <w:tcPr>
            <w:tcW w:w="2751" w:type="pct"/>
            <w:noWrap w:val="0"/>
            <w:vAlign w:val="center"/>
          </w:tcPr>
          <w:p>
            <w:pPr>
              <w:pStyle w:val="57"/>
              <w:widowControl w:val="0"/>
              <w:ind w:firstLine="0" w:firstLineChars="0"/>
              <w:jc w:val="center"/>
              <w:rPr>
                <w:rFonts w:hint="default" w:ascii="Times New Roman" w:hAnsi="Times New Roman" w:eastAsia="宋体" w:cs="Times New Roman"/>
                <w:b w:val="0"/>
                <w:bCs w:val="0"/>
                <w:sz w:val="21"/>
                <w:szCs w:val="21"/>
                <w:highlight w:val="none"/>
                <w:lang w:val="en-US" w:eastAsia="zh-CN" w:bidi="ar-SA"/>
              </w:rPr>
            </w:pPr>
            <w:r>
              <w:rPr>
                <w:rFonts w:hint="eastAsia" w:ascii="Times New Roman" w:cs="Times New Roman"/>
                <w:b w:val="0"/>
                <w:bCs w:val="0"/>
                <w:sz w:val="21"/>
                <w:szCs w:val="21"/>
                <w:highlight w:val="none"/>
                <w:lang w:val="en-US" w:eastAsia="zh-CN"/>
              </w:rPr>
              <w:t>2级</w:t>
            </w:r>
          </w:p>
        </w:tc>
        <w:tc>
          <w:tcPr>
            <w:tcW w:w="1217" w:type="pct"/>
            <w:noWrap w:val="0"/>
            <w:vAlign w:val="center"/>
          </w:tcPr>
          <w:p>
            <w:pPr>
              <w:widowControl w:val="0"/>
              <w:ind w:firstLine="0" w:firstLineChars="0"/>
              <w:jc w:val="center"/>
              <w:rPr>
                <w:rFonts w:hint="eastAsia" w:ascii="Times New Roman" w:cs="Times New Roman"/>
                <w:b w:val="0"/>
                <w:bCs w:val="0"/>
                <w:sz w:val="21"/>
                <w:szCs w:val="21"/>
                <w:highlight w:val="none"/>
                <w:lang w:val="en-US" w:eastAsia="zh-CN"/>
              </w:rPr>
            </w:pPr>
            <w:r>
              <w:rPr>
                <w:rFonts w:hint="eastAsia" w:ascii="Times New Roman" w:cs="Times New Roman"/>
                <w:b w:val="0"/>
                <w:bCs w:val="0"/>
                <w:sz w:val="21"/>
                <w:szCs w:val="21"/>
                <w:highlight w:val="none"/>
                <w:lang w:val="en-US" w:eastAsia="zh-CN"/>
              </w:rPr>
              <w:t>几何尺寸</w:t>
            </w:r>
          </w:p>
        </w:tc>
      </w:tr>
    </w:tbl>
    <w:p>
      <w:pPr>
        <w:pStyle w:val="57"/>
        <w:keepNext w:val="0"/>
        <w:keepLines w:val="0"/>
        <w:pageBreakBefore w:val="0"/>
        <w:widowControl/>
        <w:numPr>
          <w:ilvl w:val="0"/>
          <w:numId w:val="0"/>
        </w:numPr>
        <w:kinsoku/>
        <w:wordWrap/>
        <w:overflowPunct/>
        <w:topLinePunct w:val="0"/>
        <w:autoSpaceDE w:val="0"/>
        <w:autoSpaceDN w:val="0"/>
        <w:bidi w:val="0"/>
        <w:adjustRightInd w:val="0"/>
        <w:snapToGrid w:val="0"/>
        <w:spacing w:before="313" w:beforeLines="100" w:line="360" w:lineRule="auto"/>
        <w:textAlignment w:val="auto"/>
        <w:rPr>
          <w:rFonts w:hint="eastAsia" w:ascii="黑体" w:hAnsi="黑体" w:eastAsia="黑体" w:cs="Times New Roman"/>
          <w:sz w:val="24"/>
          <w:szCs w:val="24"/>
          <w:lang w:val="en-US" w:eastAsia="zh-CN" w:bidi="ar-SA"/>
        </w:rPr>
      </w:pPr>
      <w:r>
        <w:rPr>
          <w:rFonts w:hint="eastAsia" w:ascii="黑体" w:hAnsi="黑体" w:eastAsia="黑体" w:cs="Times New Roman"/>
          <w:sz w:val="24"/>
          <w:szCs w:val="24"/>
          <w:lang w:val="en-US" w:eastAsia="zh-CN" w:bidi="ar-SA"/>
        </w:rPr>
        <w:t xml:space="preserve">6 </w:t>
      </w:r>
      <w:bookmarkStart w:id="50" w:name="_Toc193860185"/>
      <w:bookmarkStart w:id="51" w:name="_Toc193619100"/>
      <w:bookmarkStart w:id="52" w:name="_Toc193860035"/>
      <w:bookmarkStart w:id="53" w:name="_Toc25298"/>
      <w:bookmarkStart w:id="54" w:name="_Toc31671"/>
      <w:bookmarkStart w:id="55" w:name="_Toc29120"/>
      <w:bookmarkStart w:id="56" w:name="_Toc23784569"/>
      <w:bookmarkStart w:id="57" w:name="_Toc27992_WPSOffice_Level1"/>
      <w:bookmarkStart w:id="58" w:name="_Toc193618955"/>
      <w:bookmarkStart w:id="59" w:name="_Toc193860216"/>
      <w:bookmarkStart w:id="60" w:name="_Toc193619058"/>
      <w:bookmarkStart w:id="61" w:name="_Toc5198"/>
      <w:bookmarkStart w:id="62" w:name="_Toc23785566"/>
      <w:bookmarkStart w:id="63" w:name="_Toc23784668"/>
      <w:r>
        <w:rPr>
          <w:rFonts w:hint="eastAsia" w:ascii="黑体" w:hAnsi="黑体" w:eastAsia="黑体" w:cs="Times New Roman"/>
          <w:sz w:val="24"/>
          <w:szCs w:val="24"/>
          <w:lang w:val="en-US" w:eastAsia="zh-CN" w:bidi="ar-SA"/>
        </w:rPr>
        <w:t>校准方法</w:t>
      </w:r>
      <w:bookmarkEnd w:id="50"/>
      <w:bookmarkEnd w:id="51"/>
      <w:bookmarkEnd w:id="52"/>
      <w:bookmarkEnd w:id="53"/>
      <w:bookmarkEnd w:id="54"/>
      <w:bookmarkEnd w:id="55"/>
      <w:bookmarkEnd w:id="56"/>
      <w:bookmarkEnd w:id="57"/>
      <w:bookmarkEnd w:id="58"/>
      <w:bookmarkEnd w:id="59"/>
      <w:bookmarkEnd w:id="60"/>
      <w:bookmarkEnd w:id="61"/>
      <w:bookmarkEnd w:id="62"/>
      <w:bookmarkEnd w:id="6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highlight w:val="none"/>
          <w:lang w:val="en-US" w:eastAsia="zh-CN"/>
        </w:rPr>
      </w:pPr>
      <w:bookmarkStart w:id="64" w:name="_Toc15086"/>
      <w:bookmarkStart w:id="65" w:name="_Toc3186"/>
      <w:bookmarkStart w:id="66" w:name="_Toc13167"/>
      <w:r>
        <w:rPr>
          <w:rFonts w:hint="eastAsia" w:ascii="Times New Roman" w:hAnsi="Times New Roman" w:eastAsia="宋体" w:cs="Times New Roman"/>
          <w:sz w:val="24"/>
          <w:highlight w:val="none"/>
          <w:lang w:val="en-US" w:eastAsia="zh-CN"/>
        </w:rPr>
        <w:t>6.2.</w:t>
      </w:r>
      <w:r>
        <w:rPr>
          <w:rFonts w:hint="eastAsia" w:cs="Times New Roman"/>
          <w:sz w:val="24"/>
          <w:highlight w:val="none"/>
          <w:lang w:val="en-US" w:eastAsia="zh-CN"/>
        </w:rPr>
        <w:t>1</w:t>
      </w:r>
      <w:bookmarkEnd w:id="64"/>
      <w:bookmarkEnd w:id="65"/>
      <w:bookmarkEnd w:id="66"/>
      <w:r>
        <w:rPr>
          <w:rFonts w:hint="eastAsia" w:ascii="Times New Roman" w:hAnsi="Times New Roman" w:eastAsia="宋体" w:cs="Times New Roman"/>
          <w:sz w:val="24"/>
          <w:highlight w:val="none"/>
          <w:lang w:val="en-US" w:eastAsia="zh-CN"/>
        </w:rPr>
        <w:t>底波监测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采用</w:t>
      </w:r>
      <w:r>
        <w:rPr>
          <w:rFonts w:hint="eastAsia" w:cs="Times New Roman"/>
          <w:color w:val="000000" w:themeColor="text1"/>
          <w:sz w:val="24"/>
          <w:highlight w:val="none"/>
          <w:lang w:val="en-US" w:eastAsia="zh-CN"/>
          <w14:textFill>
            <w14:solidFill>
              <w14:schemeClr w14:val="tx1"/>
            </w14:solidFill>
          </w14:textFill>
        </w:rPr>
        <w:t>超声探头</w:t>
      </w:r>
      <w:r>
        <w:rPr>
          <w:rFonts w:hint="eastAsia" w:cs="Times New Roman"/>
          <w:sz w:val="24"/>
          <w:highlight w:val="none"/>
          <w:lang w:val="en-US" w:eastAsia="zh-CN"/>
        </w:rPr>
        <w:t>与超声探伤仪配合，</w:t>
      </w:r>
      <w:r>
        <w:rPr>
          <w:rFonts w:hint="eastAsia" w:ascii="Times New Roman" w:hAnsi="Times New Roman" w:eastAsia="宋体" w:cs="Times New Roman"/>
          <w:sz w:val="24"/>
          <w:highlight w:val="none"/>
          <w:lang w:val="en-US" w:eastAsia="zh-CN"/>
        </w:rPr>
        <w:t>对</w:t>
      </w:r>
      <w:r>
        <w:rPr>
          <w:rFonts w:hint="eastAsia" w:cs="Times New Roman"/>
          <w:sz w:val="24"/>
          <w:highlight w:val="none"/>
          <w:lang w:val="en-US" w:eastAsia="zh-CN"/>
        </w:rPr>
        <w:t>超声标准试块</w:t>
      </w:r>
      <w:r>
        <w:rPr>
          <w:rFonts w:hint="eastAsia" w:ascii="Times New Roman" w:hAnsi="Times New Roman" w:eastAsia="宋体" w:cs="Times New Roman"/>
          <w:sz w:val="24"/>
          <w:highlight w:val="none"/>
          <w:lang w:val="en-US" w:eastAsia="zh-CN"/>
        </w:rPr>
        <w:t>进行底波监测</w:t>
      </w:r>
      <w:r>
        <w:rPr>
          <w:rFonts w:hint="eastAsia" w:cs="Times New Roman"/>
          <w:sz w:val="24"/>
          <w:highlight w:val="none"/>
          <w:lang w:val="en-US" w:eastAsia="zh-CN"/>
        </w:rPr>
        <w:t>。声波垂直入射，</w:t>
      </w:r>
      <w:r>
        <w:rPr>
          <w:rFonts w:hint="eastAsia" w:ascii="Times New Roman" w:hAnsi="Times New Roman" w:eastAsia="宋体" w:cs="Times New Roman"/>
          <w:sz w:val="24"/>
          <w:highlight w:val="none"/>
          <w:lang w:val="en-US" w:eastAsia="zh-CN"/>
        </w:rPr>
        <w:t>观测底面反射回波幅值，记录最高反射回波幅度和最低反射回波幅度之间的差值</w:t>
      </w:r>
      <w:r>
        <w:rPr>
          <w:rFonts w:hint="eastAsia" w:cs="Times New Roman"/>
          <w:sz w:val="24"/>
          <w:highlight w:val="none"/>
          <w:lang w:val="en-US" w:eastAsia="zh-CN"/>
        </w:rPr>
        <w:t>，随机选取至少5个位置进行测量</w:t>
      </w:r>
      <w:r>
        <w:rPr>
          <w:rFonts w:hint="eastAsia" w:ascii="Times New Roman" w:hAnsi="Times New Roman" w:eastAsia="宋体" w:cs="Times New Roman"/>
          <w:sz w:val="24"/>
          <w:highlight w:val="none"/>
          <w:lang w:val="en-US" w:eastAsia="zh-CN"/>
        </w:rPr>
        <w:t>。推荐采用液浸法和使用固定支架来实施，基准波高在满屏幕80%。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3"/>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6.2.</w:t>
      </w:r>
      <w:r>
        <w:rPr>
          <w:rFonts w:hint="default" w:ascii="Times New Roman" w:hAnsi="Times New Roman" w:eastAsia="宋体" w:cs="Times New Roman"/>
          <w:sz w:val="24"/>
          <w:highlight w:val="none"/>
          <w:lang w:val="en-US" w:eastAsia="zh-CN"/>
        </w:rPr>
        <w:t>2</w:t>
      </w:r>
      <w:r>
        <w:rPr>
          <w:rFonts w:hint="eastAsia" w:ascii="Times New Roman" w:hAnsi="Times New Roman" w:eastAsia="宋体" w:cs="Times New Roman"/>
          <w:sz w:val="24"/>
          <w:highlight w:val="none"/>
          <w:lang w:val="en-US" w:eastAsia="zh-CN"/>
        </w:rPr>
        <w:t>噪声水平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采用经校准的</w:t>
      </w:r>
      <w:r>
        <w:rPr>
          <w:rFonts w:hint="eastAsia" w:cs="Times New Roman"/>
          <w:sz w:val="24"/>
          <w:highlight w:val="none"/>
          <w:lang w:val="en-US" w:eastAsia="zh-CN"/>
        </w:rPr>
        <w:t>超声探伤仪</w:t>
      </w:r>
      <w:r>
        <w:rPr>
          <w:rFonts w:hint="eastAsia" w:ascii="Times New Roman" w:hAnsi="Times New Roman" w:eastAsia="宋体" w:cs="Times New Roman"/>
          <w:sz w:val="24"/>
          <w:highlight w:val="none"/>
          <w:lang w:val="en-US" w:eastAsia="zh-CN"/>
        </w:rPr>
        <w:t>，利用相同材料的φ0.8mm平底孔设置测试参数和测试灵敏度，随机选取至少5个位置进行测试，并记录由材料内部组织引起的信号幅值</w:t>
      </w:r>
      <w:r>
        <w:rPr>
          <w:rFonts w:hint="eastAsia" w:cs="Times New Roman"/>
          <w:sz w:val="24"/>
          <w:highlight w:val="none"/>
          <w:lang w:val="en-US" w:eastAsia="zh-CN"/>
        </w:rPr>
        <w:t>，用5个位置测试值的平均值</w:t>
      </w:r>
      <w:r>
        <w:rPr>
          <w:rFonts w:hint="eastAsia" w:ascii="Times New Roman" w:hAnsi="Times New Roman" w:eastAsia="宋体" w:cs="Times New Roman"/>
          <w:sz w:val="24"/>
          <w:highlight w:val="none"/>
          <w:lang w:val="en-US" w:eastAsia="zh-CN"/>
        </w:rPr>
        <w:t>与</w:t>
      </w:r>
      <w:r>
        <w:rPr>
          <w:rFonts w:hint="eastAsia"/>
          <w:sz w:val="24"/>
          <w:highlight w:val="none"/>
        </w:rPr>
        <w:t>φ0.8mm</w:t>
      </w:r>
      <w:r>
        <w:rPr>
          <w:rFonts w:hint="eastAsia" w:ascii="Times New Roman" w:hAnsi="Times New Roman" w:eastAsia="宋体" w:cs="Times New Roman"/>
          <w:sz w:val="24"/>
          <w:highlight w:val="none"/>
          <w:lang w:val="en-US" w:eastAsia="zh-CN"/>
        </w:rPr>
        <w:t>平底孔</w:t>
      </w:r>
      <w:r>
        <w:rPr>
          <w:rFonts w:hint="eastAsia" w:cs="Times New Roman"/>
          <w:sz w:val="24"/>
          <w:highlight w:val="none"/>
          <w:lang w:val="en-US" w:eastAsia="zh-CN"/>
        </w:rPr>
        <w:t>最高</w:t>
      </w:r>
      <w:r>
        <w:rPr>
          <w:rFonts w:hint="eastAsia" w:ascii="Times New Roman" w:hAnsi="Times New Roman" w:eastAsia="宋体" w:cs="Times New Roman"/>
          <w:sz w:val="24"/>
          <w:highlight w:val="none"/>
          <w:lang w:val="en-US" w:eastAsia="zh-CN"/>
        </w:rPr>
        <w:t>回波幅度的1/</w:t>
      </w:r>
      <w:r>
        <w:rPr>
          <w:rFonts w:hint="eastAsia" w:cs="Times New Roman"/>
          <w:sz w:val="24"/>
          <w:highlight w:val="none"/>
          <w:lang w:val="en-US" w:eastAsia="zh-CN"/>
        </w:rPr>
        <w:t>10作差，确定噪声水平。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3"/>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6.2.</w:t>
      </w:r>
      <w:r>
        <w:rPr>
          <w:rFonts w:hint="eastAsia" w:cs="Times New Roman"/>
          <w:sz w:val="24"/>
          <w:highlight w:val="none"/>
          <w:lang w:val="en-US" w:eastAsia="zh-CN"/>
        </w:rPr>
        <w:t>3</w:t>
      </w:r>
      <w:r>
        <w:rPr>
          <w:rFonts w:hint="eastAsia" w:ascii="Times New Roman" w:hAnsi="Times New Roman" w:eastAsia="宋体" w:cs="Times New Roman"/>
          <w:sz w:val="24"/>
          <w:highlight w:val="none"/>
          <w:lang w:val="en-US" w:eastAsia="zh-CN"/>
        </w:rPr>
        <w:t>均匀性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采用经校准的</w:t>
      </w:r>
      <w:r>
        <w:rPr>
          <w:rFonts w:hint="eastAsia" w:cs="Times New Roman"/>
          <w:sz w:val="24"/>
          <w:highlight w:val="none"/>
          <w:lang w:val="en-US" w:eastAsia="zh-CN"/>
        </w:rPr>
        <w:t>超声探伤仪</w:t>
      </w:r>
      <w:r>
        <w:rPr>
          <w:rFonts w:hint="eastAsia" w:ascii="Times New Roman" w:hAnsi="Times New Roman" w:eastAsia="宋体" w:cs="Times New Roman"/>
          <w:sz w:val="24"/>
          <w:highlight w:val="none"/>
          <w:lang w:val="en-US" w:eastAsia="zh-CN"/>
        </w:rPr>
        <w:t>，利用</w:t>
      </w:r>
      <w:r>
        <w:rPr>
          <w:rFonts w:hint="eastAsia" w:cs="Times New Roman"/>
          <w:sz w:val="24"/>
          <w:highlight w:val="none"/>
          <w:lang w:val="en-US" w:eastAsia="zh-CN"/>
        </w:rPr>
        <w:t>相同材料的φ0.8mm</w:t>
      </w:r>
      <w:r>
        <w:rPr>
          <w:rFonts w:hint="eastAsia" w:ascii="Times New Roman" w:hAnsi="Times New Roman" w:eastAsia="宋体" w:cs="Times New Roman"/>
          <w:sz w:val="24"/>
          <w:highlight w:val="none"/>
          <w:lang w:val="en-US" w:eastAsia="zh-CN"/>
        </w:rPr>
        <w:t>平底孔设置</w:t>
      </w:r>
      <w:r>
        <w:rPr>
          <w:rFonts w:hint="eastAsia" w:cs="Times New Roman"/>
          <w:sz w:val="24"/>
          <w:highlight w:val="none"/>
          <w:lang w:val="en-US" w:eastAsia="zh-CN"/>
        </w:rPr>
        <w:t>测试</w:t>
      </w:r>
      <w:r>
        <w:rPr>
          <w:rFonts w:hint="eastAsia" w:ascii="Times New Roman" w:hAnsi="Times New Roman" w:eastAsia="宋体" w:cs="Times New Roman"/>
          <w:sz w:val="24"/>
          <w:highlight w:val="none"/>
          <w:lang w:val="en-US" w:eastAsia="zh-CN"/>
        </w:rPr>
        <w:t>参数和</w:t>
      </w:r>
      <w:r>
        <w:rPr>
          <w:rFonts w:hint="eastAsia" w:cs="Times New Roman"/>
          <w:sz w:val="24"/>
          <w:highlight w:val="none"/>
          <w:lang w:val="en-US" w:eastAsia="zh-CN"/>
        </w:rPr>
        <w:t>测试</w:t>
      </w:r>
      <w:r>
        <w:rPr>
          <w:rFonts w:hint="eastAsia" w:ascii="Times New Roman" w:hAnsi="Times New Roman" w:eastAsia="宋体" w:cs="Times New Roman"/>
          <w:sz w:val="24"/>
          <w:highlight w:val="none"/>
          <w:lang w:val="en-US" w:eastAsia="zh-CN"/>
        </w:rPr>
        <w:t>灵敏度，</w:t>
      </w:r>
      <w:r>
        <w:rPr>
          <w:rFonts w:hint="eastAsia"/>
          <w:sz w:val="24"/>
          <w:highlight w:val="none"/>
        </w:rPr>
        <w:t>随机选取试块上</w:t>
      </w:r>
      <w:r>
        <w:rPr>
          <w:rFonts w:hint="eastAsia"/>
          <w:sz w:val="24"/>
          <w:highlight w:val="none"/>
          <w:lang w:val="en-US" w:eastAsia="zh-CN"/>
        </w:rPr>
        <w:t>无平底孔处</w:t>
      </w:r>
      <w:r>
        <w:rPr>
          <w:rFonts w:hint="eastAsia"/>
          <w:sz w:val="24"/>
          <w:highlight w:val="none"/>
        </w:rPr>
        <w:t>的5点进行测试，记录声程范围内由材料内部组织引起的信号幅值，</w:t>
      </w:r>
      <w:r>
        <w:rPr>
          <w:rFonts w:hint="eastAsia"/>
          <w:sz w:val="24"/>
          <w:highlight w:val="none"/>
          <w:lang w:val="en-US" w:eastAsia="zh-CN"/>
        </w:rPr>
        <w:t>计算同深度位置</w:t>
      </w:r>
      <w:r>
        <w:rPr>
          <w:rFonts w:hint="eastAsia" w:ascii="Times New Roman" w:hAnsi="Times New Roman" w:eastAsia="宋体" w:cs="Times New Roman"/>
          <w:sz w:val="24"/>
          <w:highlight w:val="none"/>
          <w:lang w:val="en-US" w:eastAsia="zh-CN"/>
        </w:rPr>
        <w:t>材料内部组织引起的信号幅值</w:t>
      </w:r>
      <w:r>
        <w:rPr>
          <w:rFonts w:hint="eastAsia"/>
          <w:sz w:val="24"/>
          <w:highlight w:val="none"/>
        </w:rPr>
        <w:t>与同深度φ0.8mm平底孔的幅值差值</w:t>
      </w:r>
      <w:r>
        <w:rPr>
          <w:rFonts w:hint="eastAsia" w:cs="Times New Roman"/>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6.2.</w:t>
      </w:r>
      <w:r>
        <w:rPr>
          <w:rFonts w:hint="eastAsia" w:cs="Times New Roman"/>
          <w:sz w:val="24"/>
          <w:highlight w:val="none"/>
          <w:lang w:val="en-US" w:eastAsia="zh-CN"/>
        </w:rPr>
        <w:t>4声衰减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sz w:val="24"/>
          <w:highlight w:val="none"/>
          <w:lang w:val="en-US" w:eastAsia="zh-CN"/>
        </w:rPr>
      </w:pPr>
      <w:r>
        <w:rPr>
          <w:rFonts w:hint="eastAsia" w:ascii="Times New Roman" w:hAnsi="Times New Roman" w:eastAsia="宋体" w:cs="Times New Roman"/>
          <w:sz w:val="24"/>
          <w:highlight w:val="none"/>
          <w:lang w:val="en-US" w:eastAsia="zh-CN"/>
        </w:rPr>
        <w:t>利用游标卡尺（或者</w:t>
      </w:r>
      <w:r>
        <w:rPr>
          <w:rFonts w:hint="eastAsia" w:cs="Times New Roman"/>
          <w:sz w:val="24"/>
          <w:highlight w:val="none"/>
          <w:lang w:val="en-US" w:eastAsia="zh-CN"/>
        </w:rPr>
        <w:t>其他尺寸测量标准器</w:t>
      </w:r>
      <w:r>
        <w:rPr>
          <w:rFonts w:hint="eastAsia" w:ascii="Times New Roman" w:hAnsi="Times New Roman" w:eastAsia="宋体" w:cs="Times New Roman"/>
          <w:sz w:val="24"/>
          <w:highlight w:val="none"/>
          <w:lang w:val="en-US" w:eastAsia="zh-CN"/>
        </w:rPr>
        <w:t>）测量试块平行面之间的厚度</w:t>
      </w:r>
      <w:r>
        <w:rPr>
          <w:rFonts w:hint="eastAsia" w:hAnsi="Cambria Math" w:cs="Times New Roman"/>
          <w:b w:val="0"/>
          <w:i/>
          <w:iCs/>
          <w:kern w:val="2"/>
          <w:sz w:val="24"/>
          <w:szCs w:val="24"/>
          <w:highlight w:val="none"/>
          <w:lang w:val="en-US" w:eastAsia="zh-CN" w:bidi="ar-SA"/>
        </w:rPr>
        <w:t>H</w:t>
      </w:r>
      <w:r>
        <w:rPr>
          <w:rFonts w:hint="eastAsia" w:hAnsi="Cambria Math" w:cs="Times New Roman"/>
          <w:b w:val="0"/>
          <w:i w:val="0"/>
          <w:iCs w:val="0"/>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Ansi="Cambria Math" w:cs="Times New Roman"/>
          <w:i w:val="0"/>
          <w:sz w:val="24"/>
          <w:highlight w:val="none"/>
          <w:lang w:val="en-US" w:eastAsia="zh-CN"/>
        </w:rPr>
      </w:pPr>
      <w:r>
        <w:rPr>
          <w:rFonts w:hint="eastAsia" w:cs="Times New Roman"/>
          <w:sz w:val="24"/>
          <w:highlight w:val="none"/>
          <w:lang w:val="en-US" w:eastAsia="zh-CN"/>
        </w:rPr>
        <w:t>将超声探头置于适当厚度的试块平面上，保持耦合良好。通过超声探伤仪激励产生超声波，调整示波器信号显示范围，并采集</w:t>
      </w:r>
      <w:r>
        <w:rPr>
          <w:rFonts w:hint="eastAsia"/>
          <w:sz w:val="24"/>
          <w:highlight w:val="none"/>
        </w:rPr>
        <w:t>底面反射波</w:t>
      </w:r>
      <m:oMath>
        <m:sSub>
          <m:sSubPr>
            <m:ctrlPr>
              <w:rPr>
                <w:rFonts w:ascii="Cambria Math" w:hAnsi="Cambria Math"/>
                <w:i/>
                <w:sz w:val="24"/>
                <w:highlight w:val="none"/>
              </w:rPr>
            </m:ctrlPr>
          </m:sSubPr>
          <m:e>
            <m:r>
              <m:rPr/>
              <w:rPr>
                <w:rFonts w:ascii="Cambria Math" w:hAnsi="Cambria Math"/>
                <w:sz w:val="24"/>
                <w:highlight w:val="none"/>
              </w:rPr>
              <m:t>B</m:t>
            </m:r>
            <m:ctrlPr>
              <w:rPr>
                <w:rFonts w:ascii="Cambria Math" w:hAnsi="Cambria Math"/>
                <w:i/>
                <w:sz w:val="24"/>
                <w:highlight w:val="none"/>
              </w:rPr>
            </m:ctrlPr>
          </m:e>
          <m:sub>
            <m:r>
              <m:rPr/>
              <w:rPr>
                <w:rFonts w:ascii="Cambria Math" w:hAnsi="Cambria Math"/>
                <w:sz w:val="24"/>
                <w:highlight w:val="none"/>
              </w:rPr>
              <m:t>1</m:t>
            </m:r>
            <m:ctrlPr>
              <w:rPr>
                <w:rFonts w:ascii="Cambria Math" w:hAnsi="Cambria Math"/>
                <w:i/>
                <w:sz w:val="24"/>
                <w:highlight w:val="none"/>
              </w:rPr>
            </m:ctrlPr>
          </m:sub>
        </m:sSub>
      </m:oMath>
      <w:r>
        <w:rPr>
          <w:rFonts w:hint="eastAsia" w:hAnsi="Cambria Math"/>
          <w:sz w:val="24"/>
          <w:highlight w:val="none"/>
        </w:rPr>
        <w:t>、</w:t>
      </w:r>
      <m:oMath>
        <m:sSub>
          <m:sSubPr>
            <m:ctrlPr>
              <w:rPr>
                <w:rFonts w:ascii="Cambria Math" w:hAnsi="Cambria Math"/>
                <w:i/>
                <w:sz w:val="24"/>
                <w:highlight w:val="none"/>
              </w:rPr>
            </m:ctrlPr>
          </m:sSubPr>
          <m:e>
            <m:r>
              <m:rPr/>
              <w:rPr>
                <w:rFonts w:ascii="Cambria Math" w:hAnsi="Cambria Math"/>
                <w:sz w:val="24"/>
                <w:highlight w:val="none"/>
              </w:rPr>
              <m:t>B</m:t>
            </m:r>
            <m:ctrlPr>
              <w:rPr>
                <w:rFonts w:ascii="Cambria Math" w:hAnsi="Cambria Math"/>
                <w:i/>
                <w:sz w:val="24"/>
                <w:highlight w:val="none"/>
              </w:rPr>
            </m:ctrlPr>
          </m:e>
          <m:sub>
            <m:r>
              <m:rPr/>
              <w:rPr>
                <w:rFonts w:ascii="Cambria Math" w:hAnsi="Cambria Math"/>
                <w:sz w:val="24"/>
                <w:highlight w:val="none"/>
              </w:rPr>
              <m:t>2</m:t>
            </m:r>
            <m:ctrlPr>
              <w:rPr>
                <w:rFonts w:ascii="Cambria Math" w:hAnsi="Cambria Math"/>
                <w:i/>
                <w:sz w:val="24"/>
                <w:highlight w:val="none"/>
              </w:rPr>
            </m:ctrlPr>
          </m:sub>
        </m:sSub>
      </m:oMath>
      <w:r>
        <w:rPr>
          <w:rFonts w:hint="eastAsia" w:hAnsi="Cambria Math"/>
          <w:sz w:val="24"/>
          <w:highlight w:val="none"/>
        </w:rPr>
        <w:t>的信号</w:t>
      </w:r>
      <w:r>
        <w:rPr>
          <w:rFonts w:hint="eastAsia" w:cs="Times New Roman"/>
          <w:sz w:val="24"/>
          <w:highlight w:val="none"/>
          <w:lang w:val="en-US" w:eastAsia="zh-CN"/>
        </w:rPr>
        <w:t>。</w:t>
      </w:r>
      <w:r>
        <w:rPr>
          <w:rFonts w:hint="eastAsia" w:hAnsi="Cambria Math" w:cs="Times New Roman"/>
          <w:i w:val="0"/>
          <w:sz w:val="24"/>
          <w:highlight w:val="none"/>
          <w:lang w:val="en-US" w:eastAsia="zh-CN"/>
        </w:rPr>
        <w:t>调解衰减器旋钮，使</w:t>
      </w:r>
      <m:oMath>
        <m:sSub>
          <m:sSubPr>
            <m:ctrlPr>
              <w:rPr>
                <w:rFonts w:ascii="Cambria Math" w:hAnsi="Cambria Math" w:cs="Times New Roman"/>
                <w:i/>
                <w:sz w:val="24"/>
                <w:highlight w:val="none"/>
                <w:lang w:val="en-US"/>
              </w:rPr>
            </m:ctrlPr>
          </m:sSubPr>
          <m:e>
            <m:r>
              <m:rPr/>
              <w:rPr>
                <w:rFonts w:hint="default" w:ascii="Cambria Math" w:hAnsi="Cambria Math" w:cs="Times New Roman"/>
                <w:sz w:val="24"/>
                <w:highlight w:val="none"/>
                <w:lang w:val="en-US" w:eastAsia="zh-CN"/>
              </w:rPr>
              <m:t>B</m:t>
            </m:r>
            <m:ctrlPr>
              <w:rPr>
                <w:rFonts w:ascii="Cambria Math" w:hAnsi="Cambria Math" w:cs="Times New Roman"/>
                <w:i/>
                <w:sz w:val="24"/>
                <w:highlight w:val="none"/>
                <w:lang w:val="en-US"/>
              </w:rPr>
            </m:ctrlPr>
          </m:e>
          <m:sub>
            <m:r>
              <m:rPr/>
              <w:rPr>
                <w:rFonts w:hint="default" w:ascii="Cambria Math" w:hAnsi="Cambria Math" w:cs="Times New Roman"/>
                <w:sz w:val="24"/>
                <w:highlight w:val="none"/>
                <w:lang w:val="en-US" w:eastAsia="zh-CN"/>
              </w:rPr>
              <m:t>1</m:t>
            </m:r>
            <m:ctrlPr>
              <w:rPr>
                <w:rFonts w:ascii="Cambria Math" w:hAnsi="Cambria Math" w:cs="Times New Roman"/>
                <w:i/>
                <w:sz w:val="24"/>
                <w:highlight w:val="none"/>
                <w:lang w:val="en-US"/>
              </w:rPr>
            </m:ctrlPr>
          </m:sub>
        </m:sSub>
      </m:oMath>
      <w:r>
        <w:rPr>
          <w:rFonts w:hint="eastAsia" w:hAnsi="Cambria Math" w:cs="Times New Roman"/>
          <w:i w:val="0"/>
          <w:sz w:val="24"/>
          <w:highlight w:val="none"/>
          <w:lang w:val="en-US" w:eastAsia="zh-CN"/>
        </w:rPr>
        <w:t>达到基准高度（如80%），记下此时衰减器的读数</w:t>
      </w:r>
      <m:oMath>
        <m:sSub>
          <m:sSubPr>
            <m:ctrlPr>
              <w:rPr>
                <w:rFonts w:ascii="Cambria Math" w:hAnsi="Cambria Math" w:cs="Times New Roman"/>
                <w:i/>
                <w:sz w:val="24"/>
                <w:highlight w:val="none"/>
                <w:lang w:val="en-US"/>
              </w:rPr>
            </m:ctrlPr>
          </m:sSubPr>
          <m:e>
            <m:r>
              <m:rPr/>
              <w:rPr>
                <w:rFonts w:hint="default" w:ascii="Cambria Math" w:hAnsi="Cambria Math" w:cs="Times New Roman"/>
                <w:sz w:val="24"/>
                <w:highlight w:val="none"/>
                <w:lang w:val="en-US" w:eastAsia="zh-CN"/>
              </w:rPr>
              <m:t>V</m:t>
            </m:r>
            <m:ctrlPr>
              <w:rPr>
                <w:rFonts w:ascii="Cambria Math" w:hAnsi="Cambria Math" w:cs="Times New Roman"/>
                <w:i/>
                <w:sz w:val="24"/>
                <w:highlight w:val="none"/>
                <w:lang w:val="en-US"/>
              </w:rPr>
            </m:ctrlPr>
          </m:e>
          <m:sub>
            <m:r>
              <m:rPr/>
              <w:rPr>
                <w:rFonts w:hint="default" w:ascii="Cambria Math" w:hAnsi="Cambria Math" w:cs="Times New Roman"/>
                <w:sz w:val="24"/>
                <w:highlight w:val="none"/>
                <w:lang w:val="en-US" w:eastAsia="zh-CN"/>
              </w:rPr>
              <m:t>1</m:t>
            </m:r>
            <m:ctrlPr>
              <w:rPr>
                <w:rFonts w:ascii="Cambria Math" w:hAnsi="Cambria Math" w:cs="Times New Roman"/>
                <w:i/>
                <w:sz w:val="24"/>
                <w:highlight w:val="none"/>
                <w:lang w:val="en-US"/>
              </w:rPr>
            </m:ctrlPr>
          </m:sub>
        </m:sSub>
      </m:oMath>
      <w:r>
        <w:rPr>
          <w:rFonts w:hint="eastAsia" w:hAnsi="Cambria Math" w:cs="Times New Roman"/>
          <w:i w:val="0"/>
          <w:sz w:val="24"/>
          <w:highlight w:val="none"/>
          <w:lang w:val="en-US" w:eastAsia="zh-CN"/>
        </w:rPr>
        <w:t>；调解衰减器，使</w:t>
      </w:r>
      <m:oMath>
        <m:sSub>
          <m:sSubPr>
            <m:ctrlPr>
              <w:rPr>
                <w:rFonts w:ascii="Cambria Math" w:hAnsi="Cambria Math" w:cs="Times New Roman"/>
                <w:i/>
                <w:sz w:val="24"/>
                <w:highlight w:val="none"/>
                <w:lang w:val="en-US"/>
              </w:rPr>
            </m:ctrlPr>
          </m:sSubPr>
          <m:e>
            <m:r>
              <m:rPr/>
              <w:rPr>
                <w:rFonts w:hint="default" w:ascii="Cambria Math" w:hAnsi="Cambria Math" w:cs="Times New Roman"/>
                <w:sz w:val="24"/>
                <w:highlight w:val="none"/>
                <w:lang w:val="en-US" w:eastAsia="zh-CN"/>
              </w:rPr>
              <m:t>B</m:t>
            </m:r>
            <m:ctrlPr>
              <w:rPr>
                <w:rFonts w:ascii="Cambria Math" w:hAnsi="Cambria Math" w:cs="Times New Roman"/>
                <w:i/>
                <w:sz w:val="24"/>
                <w:highlight w:val="none"/>
                <w:lang w:val="en-US"/>
              </w:rPr>
            </m:ctrlPr>
          </m:e>
          <m:sub>
            <m:r>
              <m:rPr/>
              <w:rPr>
                <w:rFonts w:hint="default" w:ascii="Cambria Math" w:hAnsi="Cambria Math" w:cs="Times New Roman"/>
                <w:sz w:val="24"/>
                <w:highlight w:val="none"/>
                <w:lang w:val="en-US" w:eastAsia="zh-CN"/>
              </w:rPr>
              <m:t>2</m:t>
            </m:r>
            <m:ctrlPr>
              <w:rPr>
                <w:rFonts w:ascii="Cambria Math" w:hAnsi="Cambria Math" w:cs="Times New Roman"/>
                <w:i/>
                <w:sz w:val="24"/>
                <w:highlight w:val="none"/>
                <w:lang w:val="en-US"/>
              </w:rPr>
            </m:ctrlPr>
          </m:sub>
        </m:sSub>
      </m:oMath>
      <w:r>
        <w:rPr>
          <w:rFonts w:hint="eastAsia" w:hAnsi="Cambria Math" w:cs="Times New Roman"/>
          <w:i w:val="0"/>
          <w:sz w:val="24"/>
          <w:highlight w:val="none"/>
          <w:lang w:val="en-US" w:eastAsia="zh-CN"/>
        </w:rPr>
        <w:t>达到基准高度（80%），记下此时衰减器的读数</w:t>
      </w:r>
      <m:oMath>
        <m:sSub>
          <m:sSubPr>
            <m:ctrlPr>
              <w:rPr>
                <w:rFonts w:ascii="Cambria Math" w:hAnsi="Cambria Math" w:cs="Times New Roman"/>
                <w:i/>
                <w:sz w:val="24"/>
                <w:highlight w:val="none"/>
                <w:lang w:val="en-US"/>
              </w:rPr>
            </m:ctrlPr>
          </m:sSubPr>
          <m:e>
            <m:r>
              <m:rPr/>
              <w:rPr>
                <w:rFonts w:hint="default" w:ascii="Cambria Math" w:hAnsi="Cambria Math" w:cs="Times New Roman"/>
                <w:sz w:val="24"/>
                <w:highlight w:val="none"/>
                <w:lang w:val="en-US" w:eastAsia="zh-CN"/>
              </w:rPr>
              <m:t>V</m:t>
            </m:r>
            <m:ctrlPr>
              <w:rPr>
                <w:rFonts w:ascii="Cambria Math" w:hAnsi="Cambria Math" w:cs="Times New Roman"/>
                <w:i/>
                <w:sz w:val="24"/>
                <w:highlight w:val="none"/>
                <w:lang w:val="en-US"/>
              </w:rPr>
            </m:ctrlPr>
          </m:e>
          <m:sub>
            <m:r>
              <m:rPr/>
              <w:rPr>
                <w:rFonts w:hint="default" w:ascii="Cambria Math" w:hAnsi="Cambria Math" w:cs="Times New Roman"/>
                <w:sz w:val="24"/>
                <w:highlight w:val="none"/>
                <w:lang w:val="en-US" w:eastAsia="zh-CN"/>
              </w:rPr>
              <m:t>2</m:t>
            </m:r>
            <m:ctrlPr>
              <w:rPr>
                <w:rFonts w:ascii="Cambria Math" w:hAnsi="Cambria Math" w:cs="Times New Roman"/>
                <w:i/>
                <w:sz w:val="24"/>
                <w:highlight w:val="none"/>
                <w:lang w:val="en-US"/>
              </w:rPr>
            </m:ctrlPr>
          </m:sub>
        </m:sSub>
      </m:oMath>
      <w:r>
        <w:rPr>
          <w:rFonts w:hint="eastAsia" w:hAnsi="Cambria Math" w:cs="Times New Roman"/>
          <w:i w:val="0"/>
          <w:sz w:val="24"/>
          <w:highlight w:val="none"/>
          <w:lang w:val="en-US" w:eastAsia="zh-CN"/>
        </w:rPr>
        <w:t>；则声衰减为：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outlineLvl w:val="9"/>
        <w:rPr>
          <w:rFonts w:hint="default" w:hAnsi="Cambria Math" w:cs="Times New Roman"/>
          <w:i w:val="0"/>
          <w:sz w:val="24"/>
          <w:highlight w:val="none"/>
          <w:lang w:val="en-US" w:eastAsia="zh-CN"/>
        </w:rPr>
      </w:pPr>
      <m:oMath>
        <m:r>
          <m:rPr>
            <m:sty m:val="p"/>
          </m:rPr>
          <w:rPr>
            <w:rFonts w:ascii="Cambria Math" w:hAnsi="Cambria Math" w:cs="Times New Roman"/>
            <w:sz w:val="24"/>
            <w:highlight w:val="none"/>
            <w:lang w:val="en-US"/>
          </w:rPr>
          <m:t>α</m:t>
        </m:r>
        <m:r>
          <m:rPr>
            <m:sty m:val="p"/>
          </m:rPr>
          <w:rPr>
            <w:rFonts w:hint="default" w:ascii="Cambria Math" w:hAnsi="Cambria Math" w:cs="Times New Roman"/>
            <w:sz w:val="24"/>
            <w:highlight w:val="none"/>
            <w:lang w:val="en-US" w:eastAsia="zh-CN"/>
          </w:rPr>
          <m:t>=</m:t>
        </m:r>
        <m:f>
          <m:fPr>
            <m:ctrlPr>
              <w:rPr>
                <w:rFonts w:hint="default" w:ascii="Cambria Math" w:hAnsi="Cambria Math" w:cs="Times New Roman"/>
                <w:b w:val="0"/>
                <w:i w:val="0"/>
                <w:sz w:val="24"/>
                <w:highlight w:val="none"/>
                <w:lang w:val="en-US" w:eastAsia="zh-CN"/>
              </w:rPr>
            </m:ctrlPr>
          </m:fPr>
          <m:num>
            <m:sSub>
              <m:sSubPr>
                <m:ctrlPr>
                  <w:rPr>
                    <w:rFonts w:hint="default" w:ascii="Cambria Math" w:hAnsi="Cambria Math" w:cs="Times New Roman"/>
                    <w:sz w:val="24"/>
                    <w:highlight w:val="none"/>
                    <w:lang w:val="en-US" w:eastAsia="zh-CN"/>
                  </w:rPr>
                </m:ctrlPr>
              </m:sSubPr>
              <m:e>
                <m:r>
                  <m:rPr>
                    <m:sty m:val="p"/>
                  </m:rPr>
                  <w:rPr>
                    <w:rFonts w:hint="default" w:ascii="Cambria Math" w:hAnsi="Cambria Math" w:cs="Times New Roman"/>
                    <w:sz w:val="24"/>
                    <w:highlight w:val="none"/>
                    <w:lang w:val="en-US" w:eastAsia="zh-CN"/>
                  </w:rPr>
                  <m:t>(</m:t>
                </m:r>
                <m:r>
                  <m:rPr/>
                  <w:rPr>
                    <w:rFonts w:hint="default" w:ascii="Cambria Math" w:hAnsi="Cambria Math" w:cs="Times New Roman"/>
                    <w:sz w:val="24"/>
                    <w:highlight w:val="none"/>
                    <w:lang w:val="en-US" w:eastAsia="zh-CN"/>
                  </w:rPr>
                  <m:t>V</m:t>
                </m:r>
                <m:ctrlPr>
                  <w:rPr>
                    <w:rFonts w:hint="default" w:ascii="Cambria Math" w:hAnsi="Cambria Math" w:cs="Times New Roman"/>
                    <w:sz w:val="24"/>
                    <w:highlight w:val="none"/>
                    <w:lang w:val="en-US" w:eastAsia="zh-CN"/>
                  </w:rPr>
                </m:ctrlPr>
              </m:e>
              <m:sub>
                <m:r>
                  <m:rPr>
                    <m:sty m:val="p"/>
                  </m:rPr>
                  <w:rPr>
                    <w:rFonts w:hint="default" w:ascii="Cambria Math" w:hAnsi="Cambria Math" w:cs="Times New Roman"/>
                    <w:sz w:val="24"/>
                    <w:highlight w:val="none"/>
                    <w:lang w:val="en-US" w:eastAsia="zh-CN"/>
                  </w:rPr>
                  <m:t>1</m:t>
                </m:r>
                <m:ctrlPr>
                  <w:rPr>
                    <w:rFonts w:hint="default" w:ascii="Cambria Math" w:hAnsi="Cambria Math" w:cs="Times New Roman"/>
                    <w:sz w:val="24"/>
                    <w:highlight w:val="none"/>
                    <w:lang w:val="en-US" w:eastAsia="zh-CN"/>
                  </w:rPr>
                </m:ctrlPr>
              </m:sub>
            </m:sSub>
            <m:r>
              <m:rPr>
                <m:sty m:val="p"/>
              </m:rPr>
              <w:rPr>
                <w:rFonts w:hint="default" w:ascii="Cambria Math" w:hAnsi="Cambria Math" w:cs="Times New Roman"/>
                <w:sz w:val="24"/>
                <w:highlight w:val="none"/>
                <w:lang w:val="en-US" w:eastAsia="zh-CN"/>
              </w:rPr>
              <m:t>−</m:t>
            </m:r>
            <m:sSub>
              <m:sSubPr>
                <m:ctrlPr>
                  <w:rPr>
                    <w:rFonts w:hint="default" w:ascii="Cambria Math" w:hAnsi="Cambria Math" w:cs="Times New Roman"/>
                    <w:sz w:val="24"/>
                    <w:highlight w:val="none"/>
                    <w:lang w:val="en-US" w:eastAsia="zh-CN"/>
                  </w:rPr>
                </m:ctrlPr>
              </m:sSubPr>
              <m:e>
                <m:r>
                  <m:rPr/>
                  <w:rPr>
                    <w:rFonts w:hint="default" w:ascii="Cambria Math" w:hAnsi="Cambria Math" w:cs="Times New Roman"/>
                    <w:sz w:val="24"/>
                    <w:highlight w:val="none"/>
                    <w:lang w:val="en-US" w:eastAsia="zh-CN"/>
                  </w:rPr>
                  <m:t>V</m:t>
                </m:r>
                <m:ctrlPr>
                  <w:rPr>
                    <w:rFonts w:hint="default" w:ascii="Cambria Math" w:hAnsi="Cambria Math" w:cs="Times New Roman"/>
                    <w:sz w:val="24"/>
                    <w:highlight w:val="none"/>
                    <w:lang w:val="en-US" w:eastAsia="zh-CN"/>
                  </w:rPr>
                </m:ctrlPr>
              </m:e>
              <m:sub>
                <m:r>
                  <m:rPr>
                    <m:sty m:val="p"/>
                  </m:rPr>
                  <w:rPr>
                    <w:rFonts w:hint="default" w:ascii="Cambria Math" w:hAnsi="Cambria Math" w:cs="Times New Roman"/>
                    <w:sz w:val="24"/>
                    <w:highlight w:val="none"/>
                    <w:lang w:val="en-US" w:eastAsia="zh-CN"/>
                  </w:rPr>
                  <m:t>2</m:t>
                </m:r>
                <m:ctrlPr>
                  <w:rPr>
                    <w:rFonts w:hint="default" w:ascii="Cambria Math" w:hAnsi="Cambria Math" w:cs="Times New Roman"/>
                    <w:sz w:val="24"/>
                    <w:highlight w:val="none"/>
                    <w:lang w:val="en-US" w:eastAsia="zh-CN"/>
                  </w:rPr>
                </m:ctrlPr>
              </m:sub>
            </m:sSub>
            <m:r>
              <m:rPr>
                <m:sty m:val="p"/>
              </m:rPr>
              <w:rPr>
                <w:rFonts w:hint="default" w:ascii="Cambria Math" w:hAnsi="Cambria Math" w:cs="Times New Roman"/>
                <w:sz w:val="24"/>
                <w:highlight w:val="none"/>
                <w:lang w:val="en-US" w:eastAsia="zh-CN"/>
              </w:rPr>
              <m:t>−6)</m:t>
            </m:r>
            <m:ctrlPr>
              <w:rPr>
                <w:rFonts w:hint="default" w:ascii="Cambria Math" w:hAnsi="Cambria Math" w:cs="Times New Roman"/>
                <w:b w:val="0"/>
                <w:i w:val="0"/>
                <w:sz w:val="24"/>
                <w:highlight w:val="none"/>
                <w:lang w:val="en-US" w:eastAsia="zh-CN"/>
              </w:rPr>
            </m:ctrlPr>
          </m:num>
          <m:den>
            <m:r>
              <m:rPr>
                <m:sty m:val="p"/>
              </m:rPr>
              <w:rPr>
                <w:rFonts w:hint="default" w:ascii="Cambria Math" w:hAnsi="Cambria Math" w:cs="Times New Roman"/>
                <w:sz w:val="24"/>
                <w:highlight w:val="none"/>
                <w:lang w:val="en-US" w:eastAsia="zh-CN"/>
              </w:rPr>
              <m:t>2</m:t>
            </m:r>
            <m:r>
              <m:rPr/>
              <w:rPr>
                <w:rFonts w:hint="default" w:ascii="Cambria Math" w:hAnsi="Cambria Math" w:cs="Times New Roman"/>
                <w:sz w:val="24"/>
                <w:highlight w:val="none"/>
                <w:lang w:val="en-US" w:eastAsia="zh-CN"/>
              </w:rPr>
              <m:t>H</m:t>
            </m:r>
            <m:ctrlPr>
              <w:rPr>
                <w:rFonts w:hint="default" w:ascii="Cambria Math" w:hAnsi="Cambria Math" w:cs="Times New Roman"/>
                <w:b w:val="0"/>
                <w:i w:val="0"/>
                <w:sz w:val="24"/>
                <w:highlight w:val="none"/>
                <w:lang w:val="en-US" w:eastAsia="zh-CN"/>
              </w:rPr>
            </m:ctrlPr>
          </m:den>
        </m:f>
      </m:oMath>
      <w:r>
        <w:rPr>
          <w:rFonts w:hint="eastAsia" w:hAnsi="Cambria Math" w:cs="Times New Roman"/>
          <w:i w:val="0"/>
          <w:sz w:val="24"/>
          <w:highlight w:val="none"/>
          <w:lang w:val="en-US" w:eastAsia="zh-CN"/>
        </w:rPr>
        <w:t>dB/m</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bCs/>
          <w:sz w:val="24"/>
          <w:highlight w:val="none"/>
          <w:lang w:val="en-US" w:eastAsia="zh-CN"/>
        </w:rPr>
      </w:pPr>
      <w:r>
        <w:rPr>
          <w:rFonts w:hint="eastAsia"/>
          <w:bCs/>
          <w:sz w:val="24"/>
          <w:highlight w:val="none"/>
          <w:lang w:val="en-US" w:eastAsia="zh-CN"/>
        </w:rPr>
        <w:t>式中，</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hAnsi="Times New Roman" w:cs="Times New Roman"/>
          <w:bCs/>
          <w:i w:val="0"/>
          <w:sz w:val="24"/>
          <w:highlight w:val="none"/>
          <w:lang w:val="en-US" w:eastAsia="zh-CN"/>
        </w:rPr>
      </w:pPr>
      <m:oMath>
        <m:r>
          <m:rPr>
            <m:sty m:val="p"/>
          </m:rPr>
          <w:rPr>
            <w:rFonts w:ascii="Cambria Math" w:hAnsi="Cambria Math" w:cs="Times New Roman"/>
            <w:sz w:val="24"/>
            <w:highlight w:val="none"/>
            <w:lang w:val="en-US"/>
          </w:rPr>
          <m:t>α</m:t>
        </m:r>
      </m:oMath>
      <w:r>
        <w:rPr>
          <w:rFonts w:hint="eastAsia" w:hAnsi="Times New Roman" w:cs="Times New Roman"/>
          <w:b w:val="0"/>
          <w:bCs/>
          <w:i w:val="0"/>
          <w:sz w:val="24"/>
          <w:highlight w:val="none"/>
          <w:lang w:val="en-US" w:eastAsia="zh-CN"/>
        </w:rPr>
        <w:t>——</w:t>
      </w:r>
      <w:r>
        <w:rPr>
          <w:rFonts w:hint="eastAsia" w:hAnsi="Times New Roman" w:cs="Times New Roman"/>
          <w:bCs/>
          <w:i w:val="0"/>
          <w:sz w:val="24"/>
          <w:highlight w:val="none"/>
          <w:lang w:val="en-US" w:eastAsia="zh-CN"/>
        </w:rPr>
        <w:t>声衰减</w:t>
      </w:r>
      <w:r>
        <w:rPr>
          <w:rFonts w:hint="eastAsia" w:cs="Times New Roman"/>
          <w:bCs/>
          <w:i w:val="0"/>
          <w:sz w:val="24"/>
          <w:highlight w:val="none"/>
          <w:lang w:val="en-US" w:eastAsia="zh-CN"/>
        </w:rPr>
        <w:t>，单位dB/m</w:t>
      </w:r>
      <w:r>
        <w:rPr>
          <w:rFonts w:hint="eastAsia" w:hAnsi="Times New Roman" w:cs="Times New Roman"/>
          <w:bCs/>
          <w:i w:val="0"/>
          <w:sz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hAnsi="Times New Roman" w:cs="Times New Roman"/>
          <w:bCs/>
          <w:i w:val="0"/>
          <w:sz w:val="24"/>
          <w:highlight w:val="none"/>
          <w:lang w:val="en-US" w:eastAsia="zh-CN"/>
        </w:rPr>
      </w:pPr>
      <m:oMath>
        <m:sSub>
          <m:sSubPr>
            <m:ctrlPr>
              <w:rPr>
                <w:rFonts w:hint="eastAsia" w:ascii="Cambria Math" w:hAnsi="Cambria Math" w:cs="Times New Roman"/>
                <w:bCs/>
                <w:i w:val="0"/>
                <w:sz w:val="24"/>
                <w:highlight w:val="none"/>
                <w:lang w:val="en-US"/>
              </w:rPr>
            </m:ctrlPr>
          </m:sSubPr>
          <m:e>
            <m:r>
              <m:rPr>
                <m:sty m:val="p"/>
              </m:rPr>
              <w:rPr>
                <w:rFonts w:hint="eastAsia" w:ascii="Cambria Math" w:hAnsi="Cambria Math" w:cs="Times New Roman"/>
                <w:sz w:val="24"/>
                <w:highlight w:val="none"/>
                <w:lang w:val="en-US" w:eastAsia="zh-CN"/>
              </w:rPr>
              <m:t>V</m:t>
            </m:r>
            <m:ctrlPr>
              <w:rPr>
                <w:rFonts w:hint="eastAsia" w:ascii="Cambria Math" w:hAnsi="Cambria Math" w:cs="Times New Roman"/>
                <w:bCs/>
                <w:i w:val="0"/>
                <w:sz w:val="24"/>
                <w:highlight w:val="none"/>
                <w:lang w:val="en-US"/>
              </w:rPr>
            </m:ctrlPr>
          </m:e>
          <m:sub>
            <m:r>
              <m:rPr>
                <m:sty m:val="p"/>
              </m:rPr>
              <w:rPr>
                <w:rFonts w:hint="eastAsia" w:ascii="Cambria Math" w:hAnsi="Cambria Math" w:cs="Times New Roman"/>
                <w:sz w:val="24"/>
                <w:highlight w:val="none"/>
                <w:lang w:val="en-US" w:eastAsia="zh-CN"/>
              </w:rPr>
              <m:t>1</m:t>
            </m:r>
            <m:ctrlPr>
              <w:rPr>
                <w:rFonts w:hint="eastAsia" w:ascii="Cambria Math" w:hAnsi="Cambria Math" w:cs="Times New Roman"/>
                <w:bCs/>
                <w:i w:val="0"/>
                <w:sz w:val="24"/>
                <w:highlight w:val="none"/>
                <w:lang w:val="en-US"/>
              </w:rPr>
            </m:ctrlPr>
          </m:sub>
        </m:sSub>
      </m:oMath>
      <w:r>
        <w:rPr>
          <w:rFonts w:hint="eastAsia" w:hAnsi="Times New Roman" w:cs="Times New Roman"/>
          <w:bCs/>
          <w:i w:val="0"/>
          <w:sz w:val="24"/>
          <w:highlight w:val="none"/>
          <w:lang w:val="en-US" w:eastAsia="zh-CN"/>
        </w:rPr>
        <w:t>——</w:t>
      </w:r>
      <m:oMath>
        <m:sSub>
          <m:sSubPr>
            <m:ctrlPr>
              <w:rPr>
                <w:rFonts w:hint="eastAsia" w:ascii="Cambria Math" w:hAnsi="Cambria Math" w:cs="Times New Roman"/>
                <w:bCs/>
                <w:i w:val="0"/>
                <w:sz w:val="24"/>
                <w:highlight w:val="none"/>
                <w:lang w:val="en-US"/>
              </w:rPr>
            </m:ctrlPr>
          </m:sSubPr>
          <m:e>
            <m:r>
              <m:rPr>
                <m:sty m:val="p"/>
              </m:rPr>
              <w:rPr>
                <w:rFonts w:hint="eastAsia" w:ascii="Cambria Math" w:hAnsi="Cambria Math" w:cs="Times New Roman"/>
                <w:sz w:val="24"/>
                <w:highlight w:val="none"/>
                <w:lang w:val="en-US" w:eastAsia="zh-CN"/>
              </w:rPr>
              <m:t>B</m:t>
            </m:r>
            <m:ctrlPr>
              <w:rPr>
                <w:rFonts w:hint="eastAsia" w:ascii="Cambria Math" w:hAnsi="Cambria Math" w:cs="Times New Roman"/>
                <w:bCs/>
                <w:i w:val="0"/>
                <w:sz w:val="24"/>
                <w:highlight w:val="none"/>
                <w:lang w:val="en-US"/>
              </w:rPr>
            </m:ctrlPr>
          </m:e>
          <m:sub>
            <m:r>
              <m:rPr>
                <m:sty m:val="p"/>
              </m:rPr>
              <w:rPr>
                <w:rFonts w:hint="eastAsia" w:ascii="Cambria Math" w:hAnsi="Cambria Math" w:cs="Times New Roman"/>
                <w:sz w:val="24"/>
                <w:highlight w:val="none"/>
                <w:lang w:val="en-US" w:eastAsia="zh-CN"/>
              </w:rPr>
              <m:t>1</m:t>
            </m:r>
            <m:ctrlPr>
              <w:rPr>
                <w:rFonts w:hint="eastAsia" w:ascii="Cambria Math" w:hAnsi="Cambria Math" w:cs="Times New Roman"/>
                <w:bCs/>
                <w:i w:val="0"/>
                <w:sz w:val="24"/>
                <w:highlight w:val="none"/>
                <w:lang w:val="en-US"/>
              </w:rPr>
            </m:ctrlPr>
          </m:sub>
        </m:sSub>
      </m:oMath>
      <w:r>
        <w:rPr>
          <w:rFonts w:hint="eastAsia" w:hAnsi="Times New Roman" w:cs="Times New Roman"/>
          <w:bCs/>
          <w:i w:val="0"/>
          <w:sz w:val="24"/>
          <w:highlight w:val="none"/>
          <w:lang w:val="en-US" w:eastAsia="zh-CN"/>
        </w:rPr>
        <w:t>达到基准高度时的衰减器的读数</w:t>
      </w:r>
      <w:r>
        <w:rPr>
          <w:rFonts w:hint="eastAsia" w:cs="Times New Roman"/>
          <w:bCs/>
          <w:i w:val="0"/>
          <w:sz w:val="24"/>
          <w:highlight w:val="none"/>
          <w:lang w:val="en-US" w:eastAsia="zh-CN"/>
        </w:rPr>
        <w:t>，单位dB</w:t>
      </w:r>
      <w:r>
        <w:rPr>
          <w:rFonts w:hint="eastAsia" w:hAnsi="Times New Roman" w:cs="Times New Roman"/>
          <w:bCs/>
          <w:i w:val="0"/>
          <w:sz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cs="Times New Roman"/>
          <w:bCs/>
          <w:i w:val="0"/>
          <w:sz w:val="24"/>
          <w:highlight w:val="none"/>
          <w:lang w:val="en-US" w:eastAsia="zh-CN"/>
        </w:rPr>
      </w:pPr>
      <m:oMath>
        <m:sSub>
          <m:sSubPr>
            <m:ctrlPr>
              <w:rPr>
                <w:rFonts w:hint="eastAsia" w:ascii="Cambria Math" w:hAnsi="Cambria Math" w:cs="Times New Roman"/>
                <w:bCs/>
                <w:i w:val="0"/>
                <w:sz w:val="24"/>
                <w:highlight w:val="none"/>
                <w:lang w:val="en-US"/>
              </w:rPr>
            </m:ctrlPr>
          </m:sSubPr>
          <m:e>
            <m:r>
              <m:rPr>
                <m:sty m:val="p"/>
              </m:rPr>
              <w:rPr>
                <w:rFonts w:hint="eastAsia" w:ascii="Cambria Math" w:hAnsi="Cambria Math" w:cs="Times New Roman"/>
                <w:sz w:val="24"/>
                <w:highlight w:val="none"/>
                <w:lang w:val="en-US" w:eastAsia="zh-CN"/>
              </w:rPr>
              <m:t>V</m:t>
            </m:r>
            <m:ctrlPr>
              <w:rPr>
                <w:rFonts w:hint="eastAsia" w:ascii="Cambria Math" w:hAnsi="Cambria Math" w:cs="Times New Roman"/>
                <w:bCs/>
                <w:i w:val="0"/>
                <w:sz w:val="24"/>
                <w:highlight w:val="none"/>
                <w:lang w:val="en-US"/>
              </w:rPr>
            </m:ctrlPr>
          </m:e>
          <m:sub>
            <m:r>
              <m:rPr>
                <m:sty m:val="p"/>
              </m:rPr>
              <w:rPr>
                <w:rFonts w:hint="eastAsia" w:ascii="Cambria Math" w:hAnsi="Cambria Math" w:cs="Times New Roman"/>
                <w:sz w:val="24"/>
                <w:highlight w:val="none"/>
                <w:lang w:val="en-US" w:eastAsia="zh-CN"/>
              </w:rPr>
              <m:t>2</m:t>
            </m:r>
            <m:ctrlPr>
              <w:rPr>
                <w:rFonts w:hint="eastAsia" w:ascii="Cambria Math" w:hAnsi="Cambria Math" w:cs="Times New Roman"/>
                <w:bCs/>
                <w:i w:val="0"/>
                <w:sz w:val="24"/>
                <w:highlight w:val="none"/>
                <w:lang w:val="en-US"/>
              </w:rPr>
            </m:ctrlPr>
          </m:sub>
        </m:sSub>
      </m:oMath>
      <w:r>
        <w:rPr>
          <w:rFonts w:hint="eastAsia" w:hAnsi="Times New Roman" w:cs="Times New Roman"/>
          <w:bCs/>
          <w:i w:val="0"/>
          <w:sz w:val="24"/>
          <w:highlight w:val="none"/>
          <w:lang w:val="en-US" w:eastAsia="zh-CN"/>
        </w:rPr>
        <w:t>——</w:t>
      </w:r>
      <m:oMath>
        <m:sSub>
          <m:sSubPr>
            <m:ctrlPr>
              <w:rPr>
                <w:rFonts w:hint="eastAsia" w:ascii="Cambria Math" w:hAnsi="Cambria Math" w:cs="Times New Roman"/>
                <w:bCs/>
                <w:i w:val="0"/>
                <w:sz w:val="24"/>
                <w:highlight w:val="none"/>
                <w:lang w:val="en-US"/>
              </w:rPr>
            </m:ctrlPr>
          </m:sSubPr>
          <m:e>
            <m:r>
              <m:rPr>
                <m:sty m:val="p"/>
              </m:rPr>
              <w:rPr>
                <w:rFonts w:hint="eastAsia" w:ascii="Cambria Math" w:hAnsi="Cambria Math" w:cs="Times New Roman"/>
                <w:sz w:val="24"/>
                <w:highlight w:val="none"/>
                <w:lang w:val="en-US" w:eastAsia="zh-CN"/>
              </w:rPr>
              <m:t>B</m:t>
            </m:r>
            <m:ctrlPr>
              <w:rPr>
                <w:rFonts w:hint="eastAsia" w:ascii="Cambria Math" w:hAnsi="Cambria Math" w:cs="Times New Roman"/>
                <w:bCs/>
                <w:i w:val="0"/>
                <w:sz w:val="24"/>
                <w:highlight w:val="none"/>
                <w:lang w:val="en-US"/>
              </w:rPr>
            </m:ctrlPr>
          </m:e>
          <m:sub>
            <m:r>
              <m:rPr>
                <m:sty m:val="p"/>
              </m:rPr>
              <w:rPr>
                <w:rFonts w:hint="eastAsia" w:ascii="Cambria Math" w:hAnsi="Cambria Math" w:cs="Times New Roman"/>
                <w:sz w:val="24"/>
                <w:highlight w:val="none"/>
                <w:lang w:val="en-US" w:eastAsia="zh-CN"/>
              </w:rPr>
              <m:t>2</m:t>
            </m:r>
            <m:ctrlPr>
              <w:rPr>
                <w:rFonts w:hint="eastAsia" w:ascii="Cambria Math" w:hAnsi="Cambria Math" w:cs="Times New Roman"/>
                <w:bCs/>
                <w:i w:val="0"/>
                <w:sz w:val="24"/>
                <w:highlight w:val="none"/>
                <w:lang w:val="en-US"/>
              </w:rPr>
            </m:ctrlPr>
          </m:sub>
        </m:sSub>
      </m:oMath>
      <w:r>
        <w:rPr>
          <w:rFonts w:hint="eastAsia" w:hAnsi="Times New Roman" w:cs="Times New Roman"/>
          <w:bCs/>
          <w:i w:val="0"/>
          <w:sz w:val="24"/>
          <w:highlight w:val="none"/>
          <w:lang w:val="en-US" w:eastAsia="zh-CN"/>
        </w:rPr>
        <w:t>达到基准高度时的衰减器的读数</w:t>
      </w:r>
      <w:r>
        <w:rPr>
          <w:rFonts w:hint="eastAsia" w:cs="Times New Roman"/>
          <w:bCs/>
          <w:i w:val="0"/>
          <w:sz w:val="24"/>
          <w:highlight w:val="none"/>
          <w:lang w:val="en-US" w:eastAsia="zh-CN"/>
        </w:rPr>
        <w:t>，单位dB；</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default" w:cs="Times New Roman"/>
          <w:bCs/>
          <w:i w:val="0"/>
          <w:sz w:val="24"/>
          <w:highlight w:val="none"/>
          <w:lang w:val="en-US" w:eastAsia="zh-CN"/>
        </w:rPr>
      </w:pPr>
      <w:r>
        <w:rPr>
          <w:rFonts w:hint="eastAsia" w:cs="Times New Roman"/>
          <w:bCs/>
          <w:i/>
          <w:iCs/>
          <w:sz w:val="24"/>
          <w:highlight w:val="none"/>
          <w:lang w:val="en-US" w:eastAsia="zh-CN"/>
        </w:rPr>
        <w:t>H</w:t>
      </w:r>
      <w:r>
        <w:rPr>
          <w:rFonts w:hint="eastAsia" w:cs="Times New Roman"/>
          <w:bCs/>
          <w:i w:val="0"/>
          <w:sz w:val="24"/>
          <w:highlight w:val="none"/>
          <w:lang w:val="en-US" w:eastAsia="zh-CN"/>
        </w:rPr>
        <w:t>——</w:t>
      </w:r>
      <w:r>
        <w:rPr>
          <w:rFonts w:hint="eastAsia" w:cs="Times New Roman"/>
          <w:b w:val="0"/>
          <w:bCs w:val="0"/>
          <w:sz w:val="24"/>
          <w:highlight w:val="none"/>
          <w:lang w:val="en-US" w:eastAsia="zh-CN"/>
        </w:rPr>
        <w:t>被测试块厚度，单位m</w:t>
      </w:r>
      <w:r>
        <w:rPr>
          <w:rFonts w:hint="eastAsia" w:cs="Times New Roman"/>
          <w:bCs/>
          <w:i w:val="0"/>
          <w:sz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default" w:hAnsi="Times New Roman" w:eastAsia="宋体" w:cs="Times New Roman"/>
          <w:bCs/>
          <w:i w:val="0"/>
          <w:sz w:val="24"/>
          <w:highlight w:val="none"/>
          <w:lang w:val="en-US" w:eastAsia="zh-CN"/>
        </w:rPr>
      </w:pPr>
      <w:r>
        <w:rPr>
          <w:rFonts w:hint="eastAsia" w:cs="Times New Roman"/>
          <w:bCs/>
          <w:i w:val="0"/>
          <w:sz w:val="24"/>
          <w:highlight w:val="none"/>
          <w:lang w:val="en-US" w:eastAsia="zh-CN"/>
        </w:rPr>
        <w:t>常数6dB代表</w:t>
      </w:r>
      <m:oMath>
        <m:sSub>
          <m:sSubPr>
            <m:ctrlPr>
              <w:rPr>
                <w:rFonts w:ascii="Cambria Math" w:hAnsi="Cambria Math" w:cs="Times New Roman"/>
                <w:i/>
                <w:sz w:val="24"/>
                <w:highlight w:val="none"/>
                <w:lang w:val="en-US"/>
              </w:rPr>
            </m:ctrlPr>
          </m:sSubPr>
          <m:e>
            <m:r>
              <m:rPr/>
              <w:rPr>
                <w:rFonts w:hint="default" w:ascii="Cambria Math" w:hAnsi="Cambria Math" w:cs="Times New Roman"/>
                <w:sz w:val="24"/>
                <w:highlight w:val="none"/>
                <w:lang w:val="en-US" w:eastAsia="zh-CN"/>
              </w:rPr>
              <m:t>B</m:t>
            </m:r>
            <m:ctrlPr>
              <w:rPr>
                <w:rFonts w:ascii="Cambria Math" w:hAnsi="Cambria Math" w:cs="Times New Roman"/>
                <w:i/>
                <w:sz w:val="24"/>
                <w:highlight w:val="none"/>
                <w:lang w:val="en-US"/>
              </w:rPr>
            </m:ctrlPr>
          </m:e>
          <m:sub>
            <m:r>
              <m:rPr/>
              <w:rPr>
                <w:rFonts w:hint="default" w:ascii="Cambria Math" w:hAnsi="Cambria Math" w:cs="Times New Roman"/>
                <w:sz w:val="24"/>
                <w:highlight w:val="none"/>
                <w:lang w:val="en-US" w:eastAsia="zh-CN"/>
              </w:rPr>
              <m:t>1</m:t>
            </m:r>
            <m:ctrlPr>
              <w:rPr>
                <w:rFonts w:ascii="Cambria Math" w:hAnsi="Cambria Math" w:cs="Times New Roman"/>
                <w:i/>
                <w:sz w:val="24"/>
                <w:highlight w:val="none"/>
                <w:lang w:val="en-US"/>
              </w:rPr>
            </m:ctrlPr>
          </m:sub>
        </m:sSub>
      </m:oMath>
      <w:r>
        <w:rPr>
          <w:rFonts w:hint="eastAsia" w:hAnsi="Cambria Math" w:cs="Times New Roman"/>
          <w:i w:val="0"/>
          <w:sz w:val="24"/>
          <w:highlight w:val="none"/>
          <w:lang w:val="en-US" w:eastAsia="zh-CN"/>
        </w:rPr>
        <w:t>与</w:t>
      </w:r>
      <m:oMath>
        <m:sSub>
          <m:sSubPr>
            <m:ctrlPr>
              <w:rPr>
                <w:rFonts w:ascii="Cambria Math" w:hAnsi="Cambria Math"/>
                <w:i/>
                <w:sz w:val="24"/>
                <w:highlight w:val="none"/>
              </w:rPr>
            </m:ctrlPr>
          </m:sSubPr>
          <m:e>
            <m:r>
              <m:rPr/>
              <w:rPr>
                <w:rFonts w:ascii="Cambria Math" w:hAnsi="Cambria Math"/>
                <w:sz w:val="24"/>
                <w:highlight w:val="none"/>
              </w:rPr>
              <m:t>B</m:t>
            </m:r>
            <m:ctrlPr>
              <w:rPr>
                <w:rFonts w:ascii="Cambria Math" w:hAnsi="Cambria Math"/>
                <w:i/>
                <w:sz w:val="24"/>
                <w:highlight w:val="none"/>
              </w:rPr>
            </m:ctrlPr>
          </m:e>
          <m:sub>
            <m:r>
              <m:rPr/>
              <w:rPr>
                <w:rFonts w:ascii="Cambria Math" w:hAnsi="Cambria Math"/>
                <w:sz w:val="24"/>
                <w:highlight w:val="none"/>
              </w:rPr>
              <m:t>2</m:t>
            </m:r>
            <m:ctrlPr>
              <w:rPr>
                <w:rFonts w:ascii="Cambria Math" w:hAnsi="Cambria Math"/>
                <w:i/>
                <w:sz w:val="24"/>
                <w:highlight w:val="none"/>
              </w:rPr>
            </m:ctrlPr>
          </m:sub>
        </m:sSub>
      </m:oMath>
      <w:r>
        <w:rPr>
          <w:rFonts w:hint="eastAsia" w:hAnsi="Cambria Math"/>
          <w:i w:val="0"/>
          <w:sz w:val="24"/>
          <w:highlight w:val="none"/>
          <w:lang w:val="en-US" w:eastAsia="zh-CN"/>
        </w:rPr>
        <w:t>信号波幅相差50%时的衰减值。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cs="Times New Roman"/>
          <w:sz w:val="24"/>
          <w:highlight w:val="none"/>
          <w:lang w:val="en-US" w:eastAsia="zh-CN"/>
        </w:rPr>
      </w:pPr>
      <w:r>
        <w:rPr>
          <w:rFonts w:hint="default" w:eastAsia="仿宋" w:cs="Times New Roman"/>
          <w:bCs/>
          <w:color w:val="000000"/>
          <w:sz w:val="21"/>
          <w:szCs w:val="18"/>
          <w:highlight w:val="none"/>
          <w:lang w:val="en-US" w:eastAsia="zh-CN"/>
        </w:rPr>
        <w:t>注：</w:t>
      </w:r>
      <w:r>
        <w:rPr>
          <w:rFonts w:hint="eastAsia" w:eastAsia="仿宋" w:cs="Times New Roman"/>
          <w:bCs/>
          <w:color w:val="000000"/>
          <w:sz w:val="21"/>
          <w:szCs w:val="18"/>
          <w:highlight w:val="none"/>
          <w:lang w:val="en-US" w:eastAsia="zh-CN"/>
        </w:rPr>
        <w:t>超声探伤仪</w:t>
      </w:r>
      <w:r>
        <w:rPr>
          <w:rFonts w:hint="default" w:eastAsia="仿宋" w:cs="Times New Roman"/>
          <w:bCs/>
          <w:color w:val="000000"/>
          <w:sz w:val="21"/>
          <w:szCs w:val="18"/>
          <w:highlight w:val="none"/>
          <w:lang w:val="en-US" w:eastAsia="zh-CN"/>
        </w:rPr>
        <w:t>仅作为激励输出，该功能不涉及</w:t>
      </w:r>
      <w:r>
        <w:rPr>
          <w:rFonts w:hint="eastAsia" w:eastAsia="仿宋" w:cs="Times New Roman"/>
          <w:bCs/>
          <w:color w:val="000000"/>
          <w:sz w:val="21"/>
          <w:szCs w:val="18"/>
          <w:highlight w:val="none"/>
          <w:lang w:val="en-US" w:eastAsia="zh-CN"/>
        </w:rPr>
        <w:t>超声探伤仪</w:t>
      </w:r>
      <w:r>
        <w:rPr>
          <w:rFonts w:hint="default" w:eastAsia="仿宋" w:cs="Times New Roman"/>
          <w:bCs/>
          <w:color w:val="000000"/>
          <w:sz w:val="21"/>
          <w:szCs w:val="18"/>
          <w:highlight w:val="none"/>
          <w:lang w:val="en-US" w:eastAsia="zh-CN"/>
        </w:rPr>
        <w:t>的性能要求。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sz w:val="24"/>
          <w:highlight w:val="none"/>
          <w:lang w:val="en-US" w:eastAsia="zh-CN"/>
        </w:rPr>
      </w:pPr>
      <w:bookmarkStart w:id="67" w:name="_Toc18638"/>
      <w:bookmarkStart w:id="68" w:name="_Toc23728"/>
      <w:r>
        <w:rPr>
          <w:rFonts w:hint="eastAsia" w:ascii="Times New Roman" w:hAnsi="Times New Roman" w:eastAsia="宋体" w:cs="Times New Roman"/>
          <w:b w:val="0"/>
          <w:bCs w:val="0"/>
          <w:sz w:val="24"/>
          <w:szCs w:val="24"/>
          <w:highlight w:val="none"/>
          <w:lang w:val="en-US" w:eastAsia="zh-CN"/>
        </w:rPr>
        <w:t>6.</w:t>
      </w:r>
      <w:r>
        <w:rPr>
          <w:rFonts w:hint="eastAsia" w:cs="Times New Roman"/>
          <w:b w:val="0"/>
          <w:bCs w:val="0"/>
          <w:sz w:val="24"/>
          <w:szCs w:val="24"/>
          <w:highlight w:val="none"/>
          <w:lang w:val="en-US" w:eastAsia="zh-CN"/>
        </w:rPr>
        <w:t>2.5</w:t>
      </w:r>
      <w:r>
        <w:rPr>
          <w:rFonts w:hint="eastAsia" w:ascii="Times New Roman" w:hAnsi="Times New Roman" w:eastAsia="宋体" w:cs="Times New Roman"/>
          <w:b w:val="0"/>
          <w:bCs w:val="0"/>
          <w:sz w:val="24"/>
          <w:szCs w:val="24"/>
          <w:highlight w:val="none"/>
          <w:lang w:val="en-US" w:eastAsia="zh-CN"/>
        </w:rPr>
        <w:t xml:space="preserve"> </w:t>
      </w:r>
      <w:r>
        <w:rPr>
          <w:rFonts w:hint="eastAsia" w:cs="Times New Roman"/>
          <w:sz w:val="24"/>
          <w:highlight w:val="none"/>
          <w:lang w:val="en-US" w:eastAsia="zh-CN"/>
        </w:rPr>
        <w:t>声速</w:t>
      </w:r>
      <w:bookmarkEnd w:id="67"/>
      <w:bookmarkEnd w:id="6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sz w:val="24"/>
          <w:highlight w:val="none"/>
          <w:lang w:val="en-US" w:eastAsia="zh-CN"/>
        </w:rPr>
      </w:pPr>
      <w:r>
        <w:rPr>
          <w:rFonts w:hint="eastAsia" w:ascii="Times New Roman" w:hAnsi="Times New Roman" w:eastAsia="宋体" w:cs="Times New Roman"/>
          <w:sz w:val="24"/>
          <w:highlight w:val="none"/>
          <w:lang w:val="en-US" w:eastAsia="zh-CN"/>
        </w:rPr>
        <w:t>声速</w:t>
      </w:r>
      <w:r>
        <w:rPr>
          <w:rFonts w:hint="eastAsia" w:cs="Times New Roman"/>
          <w:sz w:val="24"/>
          <w:highlight w:val="none"/>
          <w:lang w:val="en-US" w:eastAsia="zh-CN"/>
        </w:rPr>
        <w:t>测试前，保证被测面平行度在0.2mm以内。依次连接超声探头、超声探伤仪或其他超声激励装置、示波器。首先</w:t>
      </w:r>
      <w:r>
        <w:rPr>
          <w:rFonts w:hint="eastAsia" w:ascii="Times New Roman" w:hAnsi="Times New Roman" w:eastAsia="宋体" w:cs="Times New Roman"/>
          <w:sz w:val="24"/>
          <w:highlight w:val="none"/>
          <w:lang w:val="en-US" w:eastAsia="zh-CN"/>
        </w:rPr>
        <w:t>利用游标卡尺（或者</w:t>
      </w:r>
      <w:r>
        <w:rPr>
          <w:rFonts w:hint="eastAsia" w:cs="Times New Roman"/>
          <w:sz w:val="24"/>
          <w:highlight w:val="none"/>
          <w:lang w:val="en-US" w:eastAsia="zh-CN"/>
        </w:rPr>
        <w:t>其他尺寸测量标准器</w:t>
      </w:r>
      <w:r>
        <w:rPr>
          <w:rFonts w:hint="eastAsia" w:ascii="Times New Roman" w:hAnsi="Times New Roman" w:eastAsia="宋体" w:cs="Times New Roman"/>
          <w:sz w:val="24"/>
          <w:highlight w:val="none"/>
          <w:lang w:val="en-US" w:eastAsia="zh-CN"/>
        </w:rPr>
        <w:t>）测量试块平行面之间的厚度</w:t>
      </w:r>
      <w:r>
        <w:rPr>
          <w:rFonts w:hint="eastAsia" w:hAnsi="Cambria Math" w:cs="Times New Roman"/>
          <w:b w:val="0"/>
          <w:i/>
          <w:iCs/>
          <w:kern w:val="2"/>
          <w:sz w:val="24"/>
          <w:szCs w:val="24"/>
          <w:highlight w:val="none"/>
          <w:lang w:val="en-US" w:eastAsia="zh-CN" w:bidi="ar-SA"/>
        </w:rPr>
        <w:t>H</w:t>
      </w:r>
      <w:r>
        <w:rPr>
          <w:rFonts w:hint="eastAsia" w:cs="Times New Roman"/>
          <w:sz w:val="24"/>
          <w:highlight w:val="none"/>
          <w:lang w:val="en-US" w:eastAsia="zh-CN"/>
        </w:rPr>
        <w:t>；保持超声探头与试块表面耦合良好，通过超声探伤仪或其他超声激励装置激励产生超声波，调整示波器显示</w:t>
      </w:r>
      <w:r>
        <w:rPr>
          <w:rFonts w:hint="eastAsia" w:ascii="Times New Roman" w:hAnsi="Times New Roman" w:eastAsia="宋体" w:cs="Times New Roman"/>
          <w:sz w:val="24"/>
          <w:highlight w:val="none"/>
          <w:lang w:val="en-US" w:eastAsia="zh-CN"/>
        </w:rPr>
        <w:t>平行底面的一次回波信号和二次回波信号</w:t>
      </w:r>
      <w:r>
        <w:rPr>
          <w:rFonts w:hint="eastAsia" w:cs="Times New Roman"/>
          <w:sz w:val="24"/>
          <w:highlight w:val="none"/>
          <w:lang w:val="en-US" w:eastAsia="zh-CN"/>
        </w:rPr>
        <w:t>，通过光标标记得到两次回波信号最高幅值间的声波传播时间。通过厚度</w:t>
      </w:r>
      <w:r>
        <w:rPr>
          <w:rFonts w:hint="eastAsia" w:hAnsi="Cambria Math" w:cs="Times New Roman"/>
          <w:b w:val="0"/>
          <w:i/>
          <w:iCs/>
          <w:kern w:val="2"/>
          <w:sz w:val="24"/>
          <w:szCs w:val="24"/>
          <w:highlight w:val="none"/>
          <w:lang w:val="en-US" w:eastAsia="zh-CN" w:bidi="ar-SA"/>
        </w:rPr>
        <w:t>H</w:t>
      </w:r>
      <w:r>
        <w:rPr>
          <w:rFonts w:hint="eastAsia" w:cs="Times New Roman"/>
          <w:sz w:val="24"/>
          <w:highlight w:val="none"/>
          <w:lang w:val="en-US" w:eastAsia="zh-CN"/>
        </w:rPr>
        <w:t>除以声波传播时间的一半</w:t>
      </w:r>
      <w:r>
        <w:rPr>
          <w:rFonts w:hint="eastAsia" w:cs="Times New Roman"/>
          <w:i/>
          <w:iCs/>
          <w:sz w:val="24"/>
          <w:highlight w:val="none"/>
          <w:lang w:val="en-US" w:eastAsia="zh-CN"/>
        </w:rPr>
        <w:t>t</w:t>
      </w:r>
      <w:r>
        <w:rPr>
          <w:rFonts w:hint="eastAsia" w:cs="Times New Roman"/>
          <w:sz w:val="24"/>
          <w:highlight w:val="none"/>
          <w:lang w:val="en-US" w:eastAsia="zh-CN"/>
        </w:rPr>
        <w:t>，计算得到声速，即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hAnsi="Cambria Math" w:cs="Times New Roman"/>
          <w:i w:val="0"/>
          <w:kern w:val="2"/>
          <w:sz w:val="24"/>
          <w:szCs w:val="24"/>
          <w:highlight w:val="none"/>
          <w:lang w:val="en-US" w:eastAsia="zh-CN" w:bidi="ar-SA"/>
        </w:rPr>
      </w:pPr>
      <m:oMathPara>
        <m:oMath>
          <m:r>
            <m:rPr/>
            <w:rPr>
              <w:rFonts w:hint="default" w:ascii="Cambria Math" w:hAnsi="Cambria Math" w:cs="Times New Roman"/>
              <w:kern w:val="2"/>
              <w:sz w:val="24"/>
              <w:szCs w:val="24"/>
              <w:highlight w:val="none"/>
              <w:lang w:val="en-US" w:eastAsia="zh-CN" w:bidi="ar-SA"/>
            </w:rPr>
            <m:t>v</m:t>
          </m:r>
          <m:r>
            <m:rPr>
              <m:sty m:val="p"/>
            </m:rPr>
            <w:rPr>
              <w:rFonts w:hint="eastAsia" w:cs="Times New Roman"/>
              <w:sz w:val="24"/>
              <w:highlight w:val="none"/>
              <w:lang w:val="en-US" w:eastAsia="zh-CN"/>
            </w:rPr>
            <m:t>=</m:t>
          </m:r>
          <m:r>
            <m:rPr/>
            <w:rPr>
              <w:rFonts w:hint="default" w:ascii="Cambria Math" w:hAnsi="Cambria Math" w:cs="Times New Roman"/>
              <w:kern w:val="2"/>
              <w:sz w:val="24"/>
              <w:szCs w:val="24"/>
              <w:highlight w:val="none"/>
              <w:lang w:val="en-US" w:eastAsia="zh-CN" w:bidi="ar-SA"/>
            </w:rPr>
            <m:t>H</m:t>
          </m:r>
          <m:r>
            <m:rPr>
              <m:sty m:val="p"/>
            </m:rPr>
            <w:rPr>
              <w:rFonts w:hint="eastAsia" w:cs="Times New Roman"/>
              <w:sz w:val="24"/>
              <w:highlight w:val="none"/>
              <w:lang w:val="en-US" w:eastAsia="zh-CN"/>
            </w:rPr>
            <m:t>/</m:t>
          </m:r>
          <m:r>
            <m:rPr/>
            <w:rPr>
              <w:rFonts w:hint="default" w:ascii="Cambria Math" w:hAnsi="Cambria Math" w:cs="Times New Roman"/>
              <w:kern w:val="2"/>
              <w:sz w:val="24"/>
              <w:szCs w:val="24"/>
              <w:highlight w:val="none"/>
              <w:lang w:val="en-US" w:eastAsia="zh-CN" w:bidi="ar-SA"/>
            </w:rPr>
            <m:t>t</m:t>
          </m:r>
        </m:oMath>
      </m:oMathPara>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Ansi="Times New Roman" w:cs="Times New Roman"/>
          <w:b w:val="0"/>
          <w:i w:val="0"/>
          <w:kern w:val="2"/>
          <w:sz w:val="24"/>
          <w:szCs w:val="24"/>
          <w:highlight w:val="none"/>
          <w:lang w:val="en-US" w:eastAsia="zh-CN" w:bidi="ar-SA"/>
        </w:rPr>
      </w:pPr>
      <w:r>
        <w:rPr>
          <w:rFonts w:hint="eastAsia" w:hAnsi="Times New Roman" w:cs="Times New Roman"/>
          <w:b w:val="0"/>
          <w:i w:val="0"/>
          <w:kern w:val="2"/>
          <w:sz w:val="24"/>
          <w:szCs w:val="24"/>
          <w:highlight w:val="none"/>
          <w:lang w:val="en-US" w:eastAsia="zh-CN" w:bidi="ar-SA"/>
        </w:rPr>
        <w:t>式中，</w:t>
      </w:r>
    </w:p>
    <w:p>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Times New Roman" w:hAnsi="Times New Roman" w:eastAsia="宋体" w:cs="Times New Roman"/>
          <w:b w:val="0"/>
          <w:bCs w:val="0"/>
          <w:sz w:val="24"/>
          <w:highlight w:val="none"/>
          <w:lang w:val="en-US" w:eastAsia="zh-CN"/>
        </w:rPr>
      </w:pPr>
      <m:oMath>
        <m:r>
          <m:rPr>
            <m:sty m:val="p"/>
          </m:rPr>
          <w:rPr>
            <w:rFonts w:hint="eastAsia" w:ascii="Cambria Math" w:hAnsi="Cambria Math" w:cs="Times New Roman"/>
            <w:kern w:val="2"/>
            <w:sz w:val="24"/>
            <w:szCs w:val="24"/>
            <w:highlight w:val="none"/>
            <w:lang w:val="en-US" w:eastAsia="zh-CN" w:bidi="ar-SA"/>
          </w:rPr>
          <m:t>v</m:t>
        </m:r>
      </m:oMath>
      <w:r>
        <w:rPr>
          <w:rFonts w:hint="eastAsia" w:ascii="Times New Roman" w:hAnsi="Times New Roman" w:eastAsia="宋体" w:cs="Times New Roman"/>
          <w:b w:val="0"/>
          <w:bCs w:val="0"/>
          <w:sz w:val="24"/>
          <w:highlight w:val="none"/>
          <w:lang w:val="en-US" w:eastAsia="zh-CN"/>
        </w:rPr>
        <w:t>——</w:t>
      </w:r>
      <w:r>
        <w:rPr>
          <w:rFonts w:hint="eastAsia" w:cs="Times New Roman"/>
          <w:b w:val="0"/>
          <w:bCs w:val="0"/>
          <w:sz w:val="24"/>
          <w:highlight w:val="none"/>
          <w:lang w:val="en-US" w:eastAsia="zh-CN"/>
        </w:rPr>
        <w:t>超声标准</w:t>
      </w:r>
      <w:r>
        <w:rPr>
          <w:rFonts w:hint="eastAsia" w:ascii="Times New Roman" w:hAnsi="Times New Roman" w:eastAsia="宋体" w:cs="Times New Roman"/>
          <w:b w:val="0"/>
          <w:bCs w:val="0"/>
          <w:sz w:val="24"/>
          <w:highlight w:val="none"/>
          <w:lang w:val="en-US" w:eastAsia="zh-CN"/>
        </w:rPr>
        <w:t>试块</w:t>
      </w:r>
      <w:r>
        <w:rPr>
          <w:rFonts w:hint="eastAsia" w:cs="Times New Roman"/>
          <w:b w:val="0"/>
          <w:bCs w:val="0"/>
          <w:sz w:val="24"/>
          <w:highlight w:val="none"/>
          <w:lang w:val="en-US" w:eastAsia="zh-CN"/>
        </w:rPr>
        <w:t>声速，单位m/s</w:t>
      </w:r>
      <w:r>
        <w:rPr>
          <w:rFonts w:hint="eastAsia" w:ascii="Times New Roman" w:hAnsi="Times New Roman" w:eastAsia="宋体" w:cs="Times New Roman"/>
          <w:b w:val="0"/>
          <w:bCs w:val="0"/>
          <w:sz w:val="24"/>
          <w:highlight w:val="none"/>
          <w:lang w:val="en-US" w:eastAsia="zh-CN"/>
        </w:rPr>
        <w:t>；</w:t>
      </w:r>
    </w:p>
    <w:p>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Times New Roman" w:hAnsi="Times New Roman" w:eastAsia="宋体" w:cs="Times New Roman"/>
          <w:b w:val="0"/>
          <w:bCs w:val="0"/>
          <w:sz w:val="24"/>
          <w:highlight w:val="none"/>
          <w:lang w:val="en-US" w:eastAsia="zh-CN"/>
        </w:rPr>
      </w:pPr>
      <m:oMath>
        <m:r>
          <m:rPr>
            <m:sty m:val="p"/>
          </m:rPr>
          <w:rPr>
            <w:rFonts w:hint="eastAsia" w:ascii="Cambria Math" w:hAnsi="Cambria Math" w:cs="Times New Roman"/>
            <w:kern w:val="2"/>
            <w:sz w:val="24"/>
            <w:szCs w:val="24"/>
            <w:highlight w:val="none"/>
            <w:lang w:val="en-US" w:eastAsia="zh-CN" w:bidi="ar-SA"/>
          </w:rPr>
          <m:t>H</m:t>
        </m:r>
      </m:oMath>
      <w:r>
        <w:rPr>
          <w:rFonts w:hint="eastAsia" w:ascii="Times New Roman" w:hAnsi="Times New Roman" w:eastAsia="宋体" w:cs="Times New Roman"/>
          <w:b w:val="0"/>
          <w:bCs w:val="0"/>
          <w:sz w:val="24"/>
          <w:highlight w:val="none"/>
          <w:lang w:val="en-US" w:eastAsia="zh-CN"/>
        </w:rPr>
        <w:t>——</w:t>
      </w:r>
      <w:r>
        <w:rPr>
          <w:rFonts w:hint="eastAsia" w:cs="Times New Roman"/>
          <w:b w:val="0"/>
          <w:bCs w:val="0"/>
          <w:sz w:val="24"/>
          <w:highlight w:val="none"/>
          <w:lang w:val="en-US" w:eastAsia="zh-CN"/>
        </w:rPr>
        <w:t>被测试块厚度，单位m</w:t>
      </w:r>
      <w:r>
        <w:rPr>
          <w:rFonts w:hint="eastAsia" w:ascii="Times New Roman" w:hAnsi="Times New Roman" w:eastAsia="宋体" w:cs="Times New Roman"/>
          <w:b w:val="0"/>
          <w:bCs w:val="0"/>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b w:val="0"/>
          <w:bCs w:val="0"/>
          <w:sz w:val="24"/>
          <w:highlight w:val="none"/>
          <w:lang w:val="en-US" w:eastAsia="zh-CN"/>
        </w:rPr>
      </w:pPr>
      <m:oMath>
        <m:r>
          <m:rPr>
            <m:sty m:val="p"/>
          </m:rPr>
          <w:rPr>
            <w:rFonts w:hint="eastAsia" w:ascii="Cambria Math" w:hAnsi="Cambria Math" w:cs="Times New Roman"/>
            <w:kern w:val="2"/>
            <w:sz w:val="24"/>
            <w:szCs w:val="24"/>
            <w:highlight w:val="none"/>
            <w:lang w:val="en-US" w:eastAsia="zh-CN" w:bidi="ar-SA"/>
          </w:rPr>
          <m:t>t</m:t>
        </m:r>
      </m:oMath>
      <w:r>
        <w:rPr>
          <w:rFonts w:hint="eastAsia" w:ascii="Times New Roman" w:hAnsi="Times New Roman" w:eastAsia="宋体" w:cs="Times New Roman"/>
          <w:b w:val="0"/>
          <w:bCs w:val="0"/>
          <w:sz w:val="24"/>
          <w:highlight w:val="none"/>
          <w:lang w:val="en-US" w:eastAsia="zh-CN"/>
        </w:rPr>
        <w:t>——</w:t>
      </w:r>
      <w:r>
        <w:rPr>
          <w:rFonts w:hint="eastAsia" w:cs="Times New Roman"/>
          <w:b w:val="0"/>
          <w:bCs w:val="0"/>
          <w:sz w:val="24"/>
          <w:highlight w:val="none"/>
          <w:lang w:val="en-US" w:eastAsia="zh-CN"/>
        </w:rPr>
        <w:t>声波在试块中传播时间的一半，单位s</w:t>
      </w:r>
      <w:r>
        <w:rPr>
          <w:rFonts w:hint="eastAsia" w:ascii="Times New Roman" w:hAnsi="Times New Roman" w:eastAsia="宋体" w:cs="Times New Roman"/>
          <w:b w:val="0"/>
          <w:bCs w:val="0"/>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sz w:val="24"/>
          <w:highlight w:val="none"/>
          <w:lang w:val="en-US" w:eastAsia="zh-CN"/>
        </w:rPr>
      </w:pPr>
      <w:r>
        <w:rPr>
          <w:rFonts w:hint="eastAsia" w:cs="Times New Roman"/>
          <w:b w:val="0"/>
          <w:bCs w:val="0"/>
          <w:sz w:val="24"/>
          <w:highlight w:val="none"/>
          <w:lang w:val="en-US" w:eastAsia="zh-CN"/>
        </w:rPr>
        <w:t>计算得到的声速</w:t>
      </w:r>
      <m:oMath>
        <m:r>
          <m:rPr/>
          <w:rPr>
            <w:rFonts w:hint="default" w:ascii="Cambria Math" w:hAnsi="Cambria Math" w:cs="Times New Roman"/>
            <w:kern w:val="2"/>
            <w:sz w:val="24"/>
            <w:szCs w:val="24"/>
            <w:highlight w:val="none"/>
            <w:lang w:val="en-US" w:eastAsia="zh-CN" w:bidi="ar-SA"/>
          </w:rPr>
          <m:t>v</m:t>
        </m:r>
      </m:oMath>
      <w:r>
        <w:rPr>
          <w:rFonts w:hint="eastAsia" w:hAnsi="Cambria Math" w:cs="Times New Roman"/>
          <w:b w:val="0"/>
          <w:i w:val="0"/>
          <w:iCs/>
          <w:kern w:val="2"/>
          <w:sz w:val="24"/>
          <w:szCs w:val="24"/>
          <w:highlight w:val="none"/>
          <w:lang w:val="en-US" w:eastAsia="zh-CN" w:bidi="ar-SA"/>
        </w:rPr>
        <w:t>应在声速基准值的</w:t>
      </w:r>
      <w:r>
        <w:rPr>
          <w:rFonts w:hint="eastAsia" w:ascii="Times New Roman" w:hAnsi="Times New Roman" w:eastAsia="宋体" w:cs="Times New Roman"/>
          <w:sz w:val="24"/>
          <w:highlight w:val="none"/>
          <w:lang w:val="en-US" w:eastAsia="zh-CN"/>
        </w:rPr>
        <w:t>±</w:t>
      </w:r>
      <w:r>
        <w:rPr>
          <w:rFonts w:hint="eastAsia" w:cs="Times New Roman"/>
          <w:sz w:val="24"/>
          <w:highlight w:val="none"/>
          <w:lang w:val="en-US" w:eastAsia="zh-CN"/>
        </w:rPr>
        <w:t>2</w:t>
      </w:r>
      <w:r>
        <w:rPr>
          <w:rFonts w:hint="eastAsia" w:ascii="Times New Roman" w:hAnsi="Times New Roman" w:eastAsia="宋体" w:cs="Times New Roman"/>
          <w:sz w:val="24"/>
          <w:highlight w:val="none"/>
          <w:lang w:val="en-US" w:eastAsia="zh-CN"/>
        </w:rPr>
        <w:t>%</w:t>
      </w:r>
      <w:r>
        <w:rPr>
          <w:rFonts w:hint="eastAsia" w:cs="Times New Roman"/>
          <w:sz w:val="24"/>
          <w:highlight w:val="none"/>
          <w:lang w:val="en-US" w:eastAsia="zh-CN"/>
        </w:rPr>
        <w:t>以内，常见试块材料对应的纵波声速基准值见附录C。</w:t>
      </w:r>
    </w:p>
    <w:p>
      <w:pPr>
        <w:pStyle w:val="3"/>
        <w:keepNext/>
        <w:keepLines/>
        <w:pageBreakBefore w:val="0"/>
        <w:widowControl w:val="0"/>
        <w:kinsoku/>
        <w:wordWrap/>
        <w:overflowPunct/>
        <w:topLinePunct w:val="0"/>
        <w:autoSpaceDE/>
        <w:autoSpaceDN/>
        <w:bidi w:val="0"/>
        <w:adjustRightInd/>
        <w:snapToGrid/>
        <w:spacing w:before="156" w:after="156" w:line="360" w:lineRule="auto"/>
        <w:textAlignment w:val="auto"/>
        <w:rPr>
          <w:rFonts w:hint="eastAsia" w:ascii="Times New Roman" w:hAnsi="Times New Roman" w:eastAsia="宋体" w:cs="Times New Roman"/>
          <w:b w:val="0"/>
          <w:bCs w:val="0"/>
          <w:sz w:val="24"/>
          <w:szCs w:val="24"/>
          <w:highlight w:val="none"/>
          <w:lang w:val="en-US" w:eastAsia="zh-CN"/>
        </w:rPr>
      </w:pPr>
      <w:bookmarkStart w:id="69" w:name="_Toc4919"/>
      <w:bookmarkStart w:id="70" w:name="_Toc27932"/>
      <w:r>
        <w:rPr>
          <w:rFonts w:hint="eastAsia" w:ascii="Times New Roman" w:hAnsi="Times New Roman" w:eastAsia="宋体" w:cs="Times New Roman"/>
          <w:b w:val="0"/>
          <w:bCs w:val="0"/>
          <w:sz w:val="24"/>
          <w:szCs w:val="24"/>
          <w:highlight w:val="none"/>
          <w:lang w:val="en-US" w:eastAsia="zh-CN"/>
        </w:rPr>
        <w:t>6.3 表面粗糙度</w:t>
      </w:r>
      <w:bookmarkEnd w:id="69"/>
      <w:bookmarkEnd w:id="70"/>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default" w:ascii="Times New Roman" w:cs="Times New Roman"/>
          <w:sz w:val="24"/>
          <w:highlight w:val="none"/>
          <w:lang w:val="en-US" w:eastAsia="zh-CN"/>
        </w:rPr>
      </w:pPr>
      <w:bookmarkStart w:id="71" w:name="_Toc30230"/>
      <w:r>
        <w:rPr>
          <w:rFonts w:hint="eastAsia" w:ascii="Times New Roman" w:cs="Times New Roman"/>
          <w:sz w:val="24"/>
          <w:highlight w:val="none"/>
          <w:lang w:val="en-US" w:eastAsia="zh-CN"/>
        </w:rPr>
        <w:t>参照JJF 1487</w:t>
      </w:r>
      <w:r>
        <w:rPr>
          <w:rFonts w:hint="eastAsia" w:cs="Times New Roman"/>
          <w:sz w:val="24"/>
          <w:highlight w:val="none"/>
          <w:lang w:val="en-US" w:eastAsia="zh-CN"/>
        </w:rPr>
        <w:t>执行</w:t>
      </w:r>
      <w:r>
        <w:rPr>
          <w:rFonts w:hint="eastAsia" w:ascii="Times New Roman" w:cs="Times New Roman"/>
          <w:sz w:val="24"/>
          <w:highlight w:val="none"/>
          <w:lang w:val="en-US" w:eastAsia="zh-CN"/>
        </w:rPr>
        <w:t>。</w:t>
      </w:r>
    </w:p>
    <w:p>
      <w:pPr>
        <w:pStyle w:val="3"/>
        <w:keepNext/>
        <w:keepLines/>
        <w:pageBreakBefore w:val="0"/>
        <w:widowControl w:val="0"/>
        <w:kinsoku/>
        <w:wordWrap/>
        <w:overflowPunct/>
        <w:topLinePunct w:val="0"/>
        <w:autoSpaceDE/>
        <w:autoSpaceDN/>
        <w:bidi w:val="0"/>
        <w:adjustRightInd/>
        <w:snapToGrid/>
        <w:spacing w:before="156" w:after="156" w:line="360" w:lineRule="auto"/>
        <w:textAlignment w:val="auto"/>
        <w:rPr>
          <w:rFonts w:hint="eastAsia" w:ascii="Times New Roman" w:hAnsi="Times New Roman" w:eastAsia="宋体" w:cs="Times New Roman"/>
          <w:b w:val="0"/>
          <w:bCs w:val="0"/>
          <w:sz w:val="24"/>
          <w:szCs w:val="24"/>
          <w:highlight w:val="none"/>
          <w:lang w:val="en-US" w:eastAsia="zh-CN"/>
        </w:rPr>
      </w:pPr>
      <w:bookmarkStart w:id="72" w:name="_Toc147"/>
      <w:r>
        <w:rPr>
          <w:rFonts w:hint="eastAsia" w:ascii="Times New Roman" w:hAnsi="Times New Roman" w:eastAsia="宋体" w:cs="Times New Roman"/>
          <w:b w:val="0"/>
          <w:bCs w:val="0"/>
          <w:sz w:val="24"/>
          <w:szCs w:val="24"/>
          <w:highlight w:val="none"/>
          <w:lang w:val="en-US" w:eastAsia="zh-CN"/>
        </w:rPr>
        <w:t>6.4 几何尺寸</w:t>
      </w:r>
      <w:bookmarkEnd w:id="71"/>
      <w:bookmarkEnd w:id="7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sz w:val="24"/>
          <w:highlight w:val="none"/>
          <w:lang w:val="en-US" w:eastAsia="zh-CN"/>
        </w:rPr>
      </w:pPr>
      <w:bookmarkStart w:id="73" w:name="_Toc20690"/>
      <w:bookmarkStart w:id="74" w:name="_Toc23990"/>
      <w:bookmarkStart w:id="75" w:name="_Toc6314"/>
      <w:r>
        <w:rPr>
          <w:rFonts w:hint="eastAsia" w:cs="Times New Roman"/>
          <w:sz w:val="24"/>
          <w:highlight w:val="none"/>
          <w:lang w:val="en-US" w:eastAsia="zh-CN"/>
        </w:rPr>
        <w:t>6.4.1</w:t>
      </w:r>
      <w:r>
        <w:rPr>
          <w:rFonts w:hint="eastAsia" w:ascii="Times New Roman" w:hAnsi="Times New Roman" w:eastAsia="宋体" w:cs="Times New Roman"/>
          <w:sz w:val="24"/>
          <w:highlight w:val="none"/>
          <w:lang w:val="en-US" w:eastAsia="zh-CN"/>
        </w:rPr>
        <w:t>外形尺寸</w:t>
      </w:r>
      <w:r>
        <w:rPr>
          <w:rFonts w:hint="eastAsia" w:cs="Times New Roman"/>
          <w:sz w:val="24"/>
          <w:highlight w:val="none"/>
          <w:lang w:val="en-US" w:eastAsia="zh-CN"/>
        </w:rPr>
        <w:t>、</w:t>
      </w:r>
      <w:r>
        <w:rPr>
          <w:rFonts w:hint="eastAsia" w:ascii="Times New Roman" w:hAnsi="Times New Roman" w:eastAsia="宋体" w:cs="Times New Roman"/>
          <w:sz w:val="24"/>
          <w:highlight w:val="none"/>
          <w:lang w:val="en-US" w:eastAsia="zh-CN"/>
        </w:rPr>
        <w:t>孔</w:t>
      </w:r>
      <w:r>
        <w:rPr>
          <w:rFonts w:hint="eastAsia" w:cs="Times New Roman"/>
          <w:sz w:val="24"/>
          <w:highlight w:val="none"/>
          <w:lang w:val="en-US" w:eastAsia="zh-CN"/>
        </w:rPr>
        <w:t>和</w:t>
      </w:r>
      <w:r>
        <w:rPr>
          <w:rFonts w:hint="eastAsia" w:ascii="Times New Roman" w:hAnsi="Times New Roman" w:eastAsia="宋体" w:cs="Times New Roman"/>
          <w:sz w:val="24"/>
          <w:highlight w:val="none"/>
          <w:lang w:val="en-US" w:eastAsia="zh-CN"/>
        </w:rPr>
        <w:t>槽尺寸</w:t>
      </w:r>
      <w:r>
        <w:rPr>
          <w:rFonts w:hint="eastAsia" w:cs="Times New Roman"/>
          <w:sz w:val="24"/>
          <w:highlight w:val="none"/>
          <w:lang w:val="en-US" w:eastAsia="zh-CN"/>
        </w:rPr>
        <w:t>、</w:t>
      </w:r>
      <w:r>
        <w:rPr>
          <w:rFonts w:hint="eastAsia" w:ascii="Times New Roman" w:hAnsi="Times New Roman" w:eastAsia="宋体" w:cs="Times New Roman"/>
          <w:sz w:val="24"/>
          <w:highlight w:val="none"/>
          <w:lang w:val="en-US" w:eastAsia="zh-CN"/>
        </w:rPr>
        <w:t>刻线尺寸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sz w:val="24"/>
          <w:highlight w:val="none"/>
          <w:lang w:val="en-US" w:eastAsia="zh-CN"/>
        </w:rPr>
      </w:pPr>
      <w:r>
        <w:rPr>
          <w:rFonts w:hint="eastAsia" w:ascii="Times New Roman" w:hAnsi="Times New Roman" w:eastAsia="宋体" w:cs="Times New Roman"/>
          <w:sz w:val="24"/>
          <w:highlight w:val="none"/>
          <w:lang w:val="en-US" w:eastAsia="zh-CN"/>
        </w:rPr>
        <w:t>外形尺寸</w:t>
      </w:r>
      <w:bookmarkEnd w:id="73"/>
      <w:bookmarkEnd w:id="74"/>
      <w:r>
        <w:rPr>
          <w:rFonts w:hint="eastAsia" w:cs="Times New Roman"/>
          <w:sz w:val="24"/>
          <w:highlight w:val="none"/>
          <w:lang w:val="en-US" w:eastAsia="zh-CN"/>
        </w:rPr>
        <w:t>、</w:t>
      </w:r>
      <w:bookmarkStart w:id="76" w:name="_Toc22392"/>
      <w:bookmarkStart w:id="77" w:name="_Toc22675"/>
      <w:r>
        <w:rPr>
          <w:rFonts w:hint="eastAsia" w:ascii="Times New Roman" w:hAnsi="Times New Roman" w:eastAsia="宋体" w:cs="Times New Roman"/>
          <w:sz w:val="24"/>
          <w:highlight w:val="none"/>
          <w:lang w:val="en-US" w:eastAsia="zh-CN"/>
        </w:rPr>
        <w:t>孔</w:t>
      </w:r>
      <w:r>
        <w:rPr>
          <w:rFonts w:hint="eastAsia" w:cs="Times New Roman"/>
          <w:sz w:val="24"/>
          <w:highlight w:val="none"/>
          <w:lang w:val="en-US" w:eastAsia="zh-CN"/>
        </w:rPr>
        <w:t>和</w:t>
      </w:r>
      <w:r>
        <w:rPr>
          <w:rFonts w:hint="eastAsia" w:ascii="Times New Roman" w:hAnsi="Times New Roman" w:eastAsia="宋体" w:cs="Times New Roman"/>
          <w:sz w:val="24"/>
          <w:highlight w:val="none"/>
          <w:lang w:val="en-US" w:eastAsia="zh-CN"/>
        </w:rPr>
        <w:t>槽尺寸</w:t>
      </w:r>
      <w:bookmarkEnd w:id="76"/>
      <w:bookmarkEnd w:id="77"/>
      <w:bookmarkStart w:id="78" w:name="_Toc16548"/>
      <w:bookmarkStart w:id="79" w:name="_Toc20133"/>
      <w:r>
        <w:rPr>
          <w:rFonts w:hint="eastAsia" w:cs="Times New Roman"/>
          <w:sz w:val="24"/>
          <w:highlight w:val="none"/>
          <w:lang w:val="en-US" w:eastAsia="zh-CN"/>
        </w:rPr>
        <w:t>、</w:t>
      </w:r>
      <w:r>
        <w:rPr>
          <w:rFonts w:hint="eastAsia" w:ascii="Times New Roman" w:hAnsi="Times New Roman" w:eastAsia="宋体" w:cs="Times New Roman"/>
          <w:sz w:val="24"/>
          <w:highlight w:val="none"/>
          <w:lang w:val="en-US" w:eastAsia="zh-CN"/>
        </w:rPr>
        <w:t>刻线尺寸</w:t>
      </w:r>
      <w:bookmarkEnd w:id="78"/>
      <w:bookmarkEnd w:id="79"/>
      <w:r>
        <w:rPr>
          <w:rFonts w:hint="eastAsia" w:cs="Times New Roman"/>
          <w:sz w:val="24"/>
          <w:highlight w:val="none"/>
          <w:lang w:val="en-US" w:eastAsia="zh-CN"/>
        </w:rPr>
        <w:t>的测量参照JJF 1487执行。</w:t>
      </w:r>
      <w:bookmarkEnd w:id="7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highlight w:val="none"/>
          <w:lang w:val="en-US" w:eastAsia="zh-CN"/>
        </w:rPr>
      </w:pPr>
      <w:r>
        <w:rPr>
          <w:rFonts w:hint="eastAsia" w:cs="Times New Roman"/>
          <w:sz w:val="24"/>
          <w:highlight w:val="none"/>
          <w:lang w:val="en-US" w:eastAsia="zh-CN"/>
        </w:rPr>
        <w:t>6.4.2试块夹角角度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cs="Times New Roman"/>
          <w:sz w:val="24"/>
          <w:highlight w:val="none"/>
          <w:lang w:val="en-US" w:eastAsia="zh-CN"/>
        </w:rPr>
      </w:pPr>
      <w:bookmarkStart w:id="80" w:name="_Toc17345"/>
      <w:r>
        <w:rPr>
          <w:rFonts w:hint="eastAsia" w:cs="Times New Roman"/>
          <w:sz w:val="24"/>
          <w:highlight w:val="none"/>
          <w:lang w:val="en-US" w:eastAsia="zh-CN"/>
        </w:rPr>
        <w:t>采用通用角度尺、万能角度尺、角度测量仪、角度块等角度测量装置对试块夹角角度进行测量，重复测量3次取平均值。</w:t>
      </w:r>
      <w:bookmarkEnd w:id="8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cs="Times New Roman"/>
          <w:sz w:val="24"/>
          <w:highlight w:val="none"/>
          <w:lang w:val="en-US" w:eastAsia="zh-CN"/>
        </w:rPr>
      </w:pPr>
      <w:bookmarkStart w:id="81" w:name="_Toc1400"/>
      <w:r>
        <w:rPr>
          <w:rFonts w:hint="eastAsia" w:cs="Times New Roman"/>
          <w:sz w:val="24"/>
          <w:highlight w:val="none"/>
          <w:lang w:val="en-US" w:eastAsia="zh-CN"/>
        </w:rPr>
        <w:t>6.4.2.1角度尺</w:t>
      </w:r>
      <w:bookmarkEnd w:id="81"/>
      <w:r>
        <w:rPr>
          <w:rFonts w:hint="eastAsia" w:cs="Times New Roman"/>
          <w:sz w:val="24"/>
          <w:highlight w:val="none"/>
          <w:lang w:val="en-US" w:eastAsia="zh-CN"/>
        </w:rPr>
        <w:t>测量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sz w:val="24"/>
          <w:highlight w:val="none"/>
          <w:lang w:val="en-US" w:eastAsia="zh-CN"/>
        </w:rPr>
      </w:pPr>
      <w:bookmarkStart w:id="82" w:name="_Toc13774"/>
      <w:r>
        <w:rPr>
          <w:rFonts w:hint="eastAsia" w:cs="Times New Roman"/>
          <w:sz w:val="24"/>
          <w:highlight w:val="none"/>
          <w:lang w:val="en-US" w:eastAsia="zh-CN"/>
        </w:rPr>
        <w:t>清洁试块将角度尺或万能角度尺放在被测角度的两边，固定好后读取角度，可使用万能刻度尺等辅助工具进行读数。</w:t>
      </w:r>
      <w:bookmarkEnd w:id="8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sz w:val="24"/>
          <w:highlight w:val="none"/>
          <w:lang w:val="en-US" w:eastAsia="zh-CN"/>
        </w:rPr>
      </w:pPr>
      <w:bookmarkStart w:id="83" w:name="_Toc18703"/>
      <w:r>
        <w:rPr>
          <w:rFonts w:hint="eastAsia" w:cs="Times New Roman"/>
          <w:sz w:val="24"/>
          <w:highlight w:val="none"/>
          <w:lang w:val="en-US" w:eastAsia="zh-CN"/>
        </w:rPr>
        <w:t>6.4.2.2角度测量仪</w:t>
      </w:r>
      <w:bookmarkEnd w:id="8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sz w:val="24"/>
          <w:highlight w:val="none"/>
          <w:lang w:val="en-US" w:eastAsia="zh-CN"/>
        </w:rPr>
      </w:pPr>
      <w:bookmarkStart w:id="84" w:name="_Toc21618"/>
      <w:r>
        <w:rPr>
          <w:rFonts w:hint="eastAsia" w:cs="Times New Roman"/>
          <w:sz w:val="24"/>
          <w:highlight w:val="none"/>
          <w:lang w:val="en-US" w:eastAsia="zh-CN"/>
        </w:rPr>
        <w:t>将试块表面清洁干净，去除油污、灰尘等杂质，以保证测量准确。将试块置于平面上，使其平稳固定。调整水平仪，保证被测试块水平放置。通过传感器与被测面接触，或通过机械零件旋转测量的方式，得到测量结果并进行读数。</w:t>
      </w:r>
      <w:bookmarkEnd w:id="8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sz w:val="24"/>
          <w:highlight w:val="none"/>
          <w:lang w:val="en-US" w:eastAsia="zh-CN"/>
        </w:rPr>
      </w:pPr>
      <w:bookmarkStart w:id="85" w:name="_Toc3338"/>
      <w:r>
        <w:rPr>
          <w:rFonts w:hint="eastAsia" w:cs="Times New Roman"/>
          <w:sz w:val="24"/>
          <w:highlight w:val="none"/>
          <w:lang w:val="en-US" w:eastAsia="zh-CN"/>
        </w:rPr>
        <w:t>6.4.2.3角度块</w:t>
      </w:r>
      <w:bookmarkEnd w:id="8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cs="Times New Roman"/>
          <w:sz w:val="24"/>
          <w:highlight w:val="none"/>
          <w:lang w:val="en-US" w:eastAsia="zh-CN"/>
        </w:rPr>
      </w:pPr>
      <w:bookmarkStart w:id="86" w:name="_Toc5229"/>
      <w:r>
        <w:rPr>
          <w:rFonts w:hint="eastAsia" w:cs="Times New Roman"/>
          <w:sz w:val="24"/>
          <w:highlight w:val="none"/>
          <w:lang w:val="en-US" w:eastAsia="zh-CN"/>
        </w:rPr>
        <w:t>选用合适的角度块规格和材质，将被测试块置于平面上，使其平稳固定。将角度块插入其中，并调整位置，确保得到精确测量的角度。</w:t>
      </w:r>
      <w:bookmarkEnd w:id="86"/>
    </w:p>
    <w:p>
      <w:pPr>
        <w:pStyle w:val="3"/>
        <w:keepNext/>
        <w:keepLines/>
        <w:pageBreakBefore w:val="0"/>
        <w:widowControl w:val="0"/>
        <w:kinsoku/>
        <w:wordWrap/>
        <w:overflowPunct/>
        <w:topLinePunct w:val="0"/>
        <w:autoSpaceDE/>
        <w:autoSpaceDN/>
        <w:bidi w:val="0"/>
        <w:adjustRightInd/>
        <w:snapToGrid/>
        <w:spacing w:before="156" w:after="156" w:line="360" w:lineRule="auto"/>
        <w:textAlignment w:val="auto"/>
        <w:rPr>
          <w:rFonts w:hint="eastAsia" w:ascii="Times New Roman" w:hAnsi="Times New Roman" w:eastAsia="宋体" w:cs="Times New Roman"/>
          <w:b w:val="0"/>
          <w:bCs w:val="0"/>
          <w:sz w:val="24"/>
          <w:szCs w:val="24"/>
          <w:highlight w:val="none"/>
          <w:lang w:val="en-US" w:eastAsia="zh-CN"/>
        </w:rPr>
      </w:pPr>
      <w:bookmarkStart w:id="87" w:name="_Toc19381"/>
      <w:bookmarkStart w:id="88" w:name="_Toc1248"/>
      <w:r>
        <w:rPr>
          <w:rFonts w:hint="eastAsia" w:ascii="Times New Roman" w:hAnsi="Times New Roman" w:eastAsia="宋体" w:cs="Times New Roman"/>
          <w:b w:val="0"/>
          <w:bCs w:val="0"/>
          <w:sz w:val="24"/>
          <w:szCs w:val="24"/>
          <w:highlight w:val="none"/>
          <w:lang w:val="en-US" w:eastAsia="zh-CN"/>
        </w:rPr>
        <w:t>6.5 形状和位置误差</w:t>
      </w:r>
      <w:bookmarkEnd w:id="87"/>
      <w:bookmarkEnd w:id="8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Times New Roman" w:hAnsi="Times New Roman" w:eastAsia="宋体" w:cs="Times New Roman"/>
          <w:sz w:val="24"/>
          <w:highlight w:val="none"/>
          <w:lang w:val="en-US" w:eastAsia="zh-CN"/>
        </w:rPr>
      </w:pPr>
      <w:bookmarkStart w:id="89" w:name="_Toc1222"/>
      <w:r>
        <w:rPr>
          <w:rFonts w:hint="eastAsia" w:cs="Times New Roman"/>
          <w:sz w:val="24"/>
          <w:highlight w:val="none"/>
          <w:lang w:val="en-US" w:eastAsia="zh-CN"/>
        </w:rPr>
        <w:t>参照</w:t>
      </w:r>
      <w:r>
        <w:rPr>
          <w:rFonts w:hint="eastAsia" w:ascii="Times New Roman" w:hAnsi="Times New Roman" w:eastAsia="宋体" w:cs="Times New Roman"/>
          <w:sz w:val="24"/>
          <w:highlight w:val="none"/>
          <w:lang w:val="en-US" w:eastAsia="zh-CN"/>
        </w:rPr>
        <w:t>JJF</w:t>
      </w:r>
      <w:r>
        <w:rPr>
          <w:rFonts w:hint="eastAsia" w:cs="Times New Roman"/>
          <w:sz w:val="24"/>
          <w:highlight w:val="none"/>
          <w:lang w:val="en-US" w:eastAsia="zh-CN"/>
        </w:rPr>
        <w:t xml:space="preserve"> </w:t>
      </w:r>
      <w:r>
        <w:rPr>
          <w:rFonts w:hint="eastAsia" w:ascii="Times New Roman" w:hAnsi="Times New Roman" w:eastAsia="宋体" w:cs="Times New Roman"/>
          <w:sz w:val="24"/>
          <w:highlight w:val="none"/>
          <w:lang w:val="en-US" w:eastAsia="zh-CN"/>
        </w:rPr>
        <w:t>1487</w:t>
      </w:r>
      <w:r>
        <w:rPr>
          <w:rFonts w:hint="eastAsia" w:cs="Times New Roman"/>
          <w:sz w:val="24"/>
          <w:highlight w:val="none"/>
          <w:lang w:val="en-US" w:eastAsia="zh-CN"/>
        </w:rPr>
        <w:t>执行。</w:t>
      </w:r>
      <w:bookmarkEnd w:id="89"/>
    </w:p>
    <w:p>
      <w:pPr>
        <w:pStyle w:val="57"/>
        <w:keepNext w:val="0"/>
        <w:keepLines w:val="0"/>
        <w:pageBreakBefore w:val="0"/>
        <w:widowControl/>
        <w:numPr>
          <w:ilvl w:val="0"/>
          <w:numId w:val="0"/>
        </w:numPr>
        <w:kinsoku/>
        <w:wordWrap/>
        <w:overflowPunct/>
        <w:topLinePunct w:val="0"/>
        <w:autoSpaceDE w:val="0"/>
        <w:autoSpaceDN w:val="0"/>
        <w:bidi w:val="0"/>
        <w:adjustRightInd w:val="0"/>
        <w:snapToGrid w:val="0"/>
        <w:spacing w:before="313" w:beforeLines="100" w:line="360" w:lineRule="auto"/>
        <w:textAlignment w:val="auto"/>
        <w:rPr>
          <w:rFonts w:hint="eastAsia" w:ascii="黑体" w:hAnsi="黑体" w:eastAsia="黑体" w:cs="Times New Roman"/>
          <w:sz w:val="24"/>
          <w:szCs w:val="24"/>
          <w:lang w:val="en-US" w:eastAsia="zh-CN" w:bidi="ar-SA"/>
        </w:rPr>
      </w:pPr>
      <w:r>
        <w:rPr>
          <w:rFonts w:hint="eastAsia" w:ascii="黑体" w:hAnsi="黑体" w:eastAsia="黑体" w:cs="Times New Roman"/>
          <w:sz w:val="24"/>
          <w:szCs w:val="24"/>
          <w:lang w:val="en-US" w:eastAsia="zh-CN" w:bidi="ar-SA"/>
        </w:rPr>
        <w:t>7 校准结果表达</w:t>
      </w:r>
    </w:p>
    <w:p>
      <w:pPr>
        <w:pStyle w:val="57"/>
        <w:spacing w:line="324" w:lineRule="auto"/>
        <w:ind w:left="0" w:leftChars="0" w:firstLine="480" w:firstLineChars="200"/>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经过校准的超声波探伤试块出具校准证书。</w:t>
      </w:r>
    </w:p>
    <w:p>
      <w:pPr>
        <w:pStyle w:val="57"/>
        <w:keepNext w:val="0"/>
        <w:keepLines w:val="0"/>
        <w:pageBreakBefore w:val="0"/>
        <w:widowControl/>
        <w:numPr>
          <w:ilvl w:val="0"/>
          <w:numId w:val="0"/>
        </w:numPr>
        <w:kinsoku/>
        <w:wordWrap/>
        <w:overflowPunct/>
        <w:topLinePunct w:val="0"/>
        <w:autoSpaceDE w:val="0"/>
        <w:autoSpaceDN w:val="0"/>
        <w:bidi w:val="0"/>
        <w:adjustRightInd w:val="0"/>
        <w:snapToGrid w:val="0"/>
        <w:spacing w:before="313" w:beforeLines="100" w:line="360" w:lineRule="auto"/>
        <w:textAlignment w:val="auto"/>
        <w:rPr>
          <w:rFonts w:hint="eastAsia" w:ascii="黑体" w:hAnsi="黑体" w:eastAsia="黑体" w:cs="Times New Roman"/>
          <w:sz w:val="24"/>
          <w:szCs w:val="24"/>
          <w:lang w:val="en-US" w:eastAsia="zh-CN" w:bidi="ar-SA"/>
        </w:rPr>
      </w:pPr>
      <w:r>
        <w:rPr>
          <w:rFonts w:hint="eastAsia" w:ascii="黑体" w:hAnsi="黑体" w:eastAsia="黑体" w:cs="Times New Roman"/>
          <w:sz w:val="24"/>
          <w:szCs w:val="24"/>
          <w:lang w:val="en-US" w:eastAsia="zh-CN" w:bidi="ar-SA"/>
        </w:rPr>
        <w:t>8 复校时间间隔</w:t>
      </w:r>
    </w:p>
    <w:p>
      <w:pPr>
        <w:pStyle w:val="57"/>
        <w:spacing w:line="324" w:lineRule="auto"/>
        <w:ind w:left="0" w:leftChars="0" w:firstLine="480" w:firstLineChars="200"/>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由于复校时间间隔的长短是由试块的使用保养情况、使用者、试块本身质量等因素所决定，送校单位可根据实际使用情况自主决定复校时间间隔，建议不超过4年。</w:t>
      </w:r>
    </w:p>
    <w:p>
      <w:pPr>
        <w:pStyle w:val="73"/>
        <w:numPr>
          <w:ilvl w:val="0"/>
          <w:numId w:val="11"/>
        </w:numPr>
        <w:tabs>
          <w:tab w:val="left" w:pos="426"/>
        </w:tabs>
        <w:spacing w:before="312" w:beforeLines="100" w:after="312" w:afterLines="100"/>
        <w:ind w:hangingChars="200"/>
        <w:jc w:val="left"/>
        <w:rPr>
          <w:sz w:val="24"/>
          <w:szCs w:val="24"/>
          <w:highlight w:val="none"/>
        </w:rPr>
      </w:pPr>
      <w:r>
        <w:rPr>
          <w:rFonts w:hint="eastAsia"/>
          <w:sz w:val="24"/>
          <w:szCs w:val="24"/>
          <w:highlight w:val="none"/>
        </w:rPr>
        <w:t>实践检测情况</w:t>
      </w:r>
      <w:bookmarkEnd w:id="24"/>
    </w:p>
    <w:bookmarkEnd w:id="1"/>
    <w:p>
      <w:pPr>
        <w:pStyle w:val="57"/>
        <w:spacing w:line="300" w:lineRule="auto"/>
        <w:ind w:firstLine="420"/>
        <w:contextualSpacing/>
        <w:rPr>
          <w:sz w:val="24"/>
          <w:szCs w:val="24"/>
          <w:highlight w:val="none"/>
        </w:rPr>
      </w:pPr>
      <w:bookmarkStart w:id="90" w:name="_Toc464728965"/>
      <w:r>
        <w:rPr>
          <w:rFonts w:hint="eastAsia"/>
          <w:sz w:val="24"/>
          <w:szCs w:val="24"/>
          <w:highlight w:val="none"/>
        </w:rPr>
        <w:t>（无）。</w:t>
      </w:r>
    </w:p>
    <w:p>
      <w:pPr>
        <w:pStyle w:val="73"/>
        <w:numPr>
          <w:ilvl w:val="0"/>
          <w:numId w:val="11"/>
        </w:numPr>
        <w:tabs>
          <w:tab w:val="left" w:pos="426"/>
        </w:tabs>
        <w:spacing w:before="312" w:beforeLines="100" w:after="312" w:afterLines="100"/>
        <w:ind w:hangingChars="200"/>
        <w:jc w:val="left"/>
        <w:rPr>
          <w:sz w:val="24"/>
          <w:szCs w:val="24"/>
          <w:highlight w:val="none"/>
        </w:rPr>
      </w:pPr>
      <w:r>
        <w:rPr>
          <w:rFonts w:hint="eastAsia"/>
          <w:sz w:val="24"/>
          <w:szCs w:val="24"/>
          <w:highlight w:val="none"/>
        </w:rPr>
        <w:t>标准水平分析</w:t>
      </w:r>
      <w:bookmarkEnd w:id="90"/>
    </w:p>
    <w:p>
      <w:pPr>
        <w:pStyle w:val="57"/>
        <w:spacing w:line="300" w:lineRule="auto"/>
        <w:ind w:firstLine="420"/>
        <w:contextualSpacing/>
        <w:rPr>
          <w:sz w:val="24"/>
          <w:szCs w:val="24"/>
          <w:highlight w:val="none"/>
        </w:rPr>
      </w:pPr>
      <w:r>
        <w:rPr>
          <w:rFonts w:hint="default"/>
          <w:sz w:val="24"/>
          <w:szCs w:val="24"/>
          <w:highlight w:val="none"/>
        </w:rPr>
        <w:t>据查，目前国内外没有针对</w:t>
      </w:r>
      <w:r>
        <w:rPr>
          <w:rFonts w:hint="eastAsia"/>
          <w:sz w:val="24"/>
          <w:szCs w:val="24"/>
          <w:highlight w:val="none"/>
          <w:lang w:val="en-US" w:eastAsia="zh-CN"/>
        </w:rPr>
        <w:t>超声标准</w:t>
      </w:r>
      <w:r>
        <w:rPr>
          <w:rFonts w:hint="default"/>
          <w:sz w:val="24"/>
          <w:szCs w:val="24"/>
          <w:highlight w:val="none"/>
          <w:lang w:val="en-US" w:eastAsia="zh-CN"/>
        </w:rPr>
        <w:t>试块</w:t>
      </w:r>
      <w:r>
        <w:rPr>
          <w:rFonts w:hint="default"/>
          <w:sz w:val="24"/>
          <w:szCs w:val="24"/>
          <w:highlight w:val="none"/>
        </w:rPr>
        <w:t>的校准规范，计量检测机构</w:t>
      </w:r>
      <w:r>
        <w:rPr>
          <w:rFonts w:hint="default"/>
          <w:sz w:val="24"/>
          <w:szCs w:val="24"/>
          <w:highlight w:val="none"/>
          <w:lang w:val="en-US" w:eastAsia="zh-CN"/>
        </w:rPr>
        <w:t>开展</w:t>
      </w:r>
      <w:r>
        <w:rPr>
          <w:rFonts w:hint="eastAsia"/>
          <w:sz w:val="24"/>
          <w:szCs w:val="24"/>
          <w:highlight w:val="none"/>
          <w:lang w:val="en-US" w:eastAsia="zh-CN"/>
        </w:rPr>
        <w:t>超声标准</w:t>
      </w:r>
      <w:r>
        <w:rPr>
          <w:rFonts w:hint="default"/>
          <w:sz w:val="24"/>
          <w:szCs w:val="24"/>
          <w:highlight w:val="none"/>
          <w:lang w:val="en-US" w:eastAsia="zh-CN"/>
        </w:rPr>
        <w:t>试块的校准大多参照超声波探伤试块校准规范</w:t>
      </w:r>
      <w:r>
        <w:rPr>
          <w:rFonts w:hint="eastAsia"/>
          <w:sz w:val="24"/>
          <w:szCs w:val="24"/>
          <w:highlight w:val="none"/>
          <w:lang w:val="en-US" w:eastAsia="zh-CN"/>
        </w:rPr>
        <w:t>。</w:t>
      </w:r>
      <w:r>
        <w:rPr>
          <w:rFonts w:hint="eastAsia"/>
          <w:sz w:val="24"/>
          <w:szCs w:val="24"/>
          <w:highlight w:val="none"/>
        </w:rPr>
        <w:t>本</w:t>
      </w:r>
      <w:r>
        <w:rPr>
          <w:rFonts w:hint="eastAsia"/>
          <w:sz w:val="24"/>
          <w:szCs w:val="24"/>
          <w:highlight w:val="none"/>
          <w:lang w:eastAsia="zh-CN"/>
        </w:rPr>
        <w:t>规范</w:t>
      </w:r>
      <w:r>
        <w:rPr>
          <w:rFonts w:hint="eastAsia"/>
          <w:sz w:val="24"/>
          <w:szCs w:val="24"/>
          <w:highlight w:val="none"/>
        </w:rPr>
        <w:t>的制定填补了</w:t>
      </w:r>
      <w:r>
        <w:rPr>
          <w:rFonts w:hint="eastAsia"/>
          <w:sz w:val="24"/>
          <w:szCs w:val="24"/>
          <w:highlight w:val="none"/>
          <w:lang w:eastAsia="zh-CN"/>
        </w:rPr>
        <w:t>超声标准试块</w:t>
      </w:r>
      <w:r>
        <w:rPr>
          <w:rFonts w:hint="eastAsia"/>
          <w:sz w:val="24"/>
          <w:szCs w:val="24"/>
          <w:highlight w:val="none"/>
        </w:rPr>
        <w:t>的</w:t>
      </w:r>
      <w:r>
        <w:rPr>
          <w:rFonts w:hint="eastAsia"/>
          <w:sz w:val="24"/>
          <w:szCs w:val="24"/>
          <w:highlight w:val="none"/>
          <w:lang w:eastAsia="zh-CN"/>
        </w:rPr>
        <w:t>全项校准</w:t>
      </w:r>
      <w:r>
        <w:rPr>
          <w:rFonts w:hint="eastAsia"/>
          <w:sz w:val="24"/>
          <w:szCs w:val="24"/>
          <w:highlight w:val="none"/>
        </w:rPr>
        <w:t>空白，</w:t>
      </w:r>
      <w:r>
        <w:rPr>
          <w:rFonts w:hint="eastAsia"/>
          <w:sz w:val="24"/>
          <w:szCs w:val="24"/>
          <w:highlight w:val="none"/>
          <w:lang w:eastAsia="zh-CN"/>
        </w:rPr>
        <w:t>本规范</w:t>
      </w:r>
      <w:r>
        <w:rPr>
          <w:rFonts w:hint="eastAsia"/>
          <w:sz w:val="24"/>
          <w:szCs w:val="24"/>
          <w:highlight w:val="none"/>
        </w:rPr>
        <w:t>水平达到国内</w:t>
      </w:r>
      <w:r>
        <w:rPr>
          <w:rFonts w:hint="eastAsia"/>
          <w:sz w:val="24"/>
          <w:szCs w:val="24"/>
          <w:highlight w:val="none"/>
          <w:lang w:eastAsia="zh-CN"/>
        </w:rPr>
        <w:t>先进水平</w:t>
      </w:r>
      <w:r>
        <w:rPr>
          <w:rFonts w:hint="eastAsia"/>
          <w:sz w:val="24"/>
          <w:szCs w:val="24"/>
          <w:highlight w:val="none"/>
        </w:rPr>
        <w:t>。</w:t>
      </w:r>
    </w:p>
    <w:p>
      <w:pPr>
        <w:pStyle w:val="73"/>
        <w:numPr>
          <w:ilvl w:val="0"/>
          <w:numId w:val="11"/>
        </w:numPr>
        <w:tabs>
          <w:tab w:val="left" w:pos="426"/>
        </w:tabs>
        <w:spacing w:before="312" w:beforeLines="100" w:after="312" w:afterLines="100"/>
        <w:ind w:hangingChars="200"/>
        <w:jc w:val="left"/>
        <w:rPr>
          <w:sz w:val="24"/>
          <w:szCs w:val="24"/>
          <w:highlight w:val="none"/>
        </w:rPr>
      </w:pPr>
      <w:bookmarkStart w:id="91" w:name="_Toc464728972"/>
      <w:r>
        <w:rPr>
          <w:rFonts w:hint="eastAsia"/>
          <w:sz w:val="24"/>
          <w:szCs w:val="24"/>
          <w:highlight w:val="none"/>
        </w:rPr>
        <w:t>与现行相关法律、法规、规章及相关规范，特别是</w:t>
      </w:r>
      <w:r>
        <w:rPr>
          <w:rFonts w:hint="eastAsia"/>
          <w:sz w:val="24"/>
          <w:szCs w:val="24"/>
          <w:highlight w:val="none"/>
          <w:lang w:eastAsia="zh-CN"/>
        </w:rPr>
        <w:t>规范</w:t>
      </w:r>
      <w:r>
        <w:rPr>
          <w:rFonts w:hint="eastAsia"/>
          <w:sz w:val="24"/>
          <w:szCs w:val="24"/>
          <w:highlight w:val="none"/>
        </w:rPr>
        <w:t>的协调性</w:t>
      </w:r>
      <w:bookmarkEnd w:id="91"/>
    </w:p>
    <w:p>
      <w:pPr>
        <w:pStyle w:val="57"/>
        <w:spacing w:line="300" w:lineRule="auto"/>
        <w:rPr>
          <w:sz w:val="24"/>
          <w:szCs w:val="24"/>
          <w:highlight w:val="none"/>
        </w:rPr>
      </w:pPr>
      <w:r>
        <w:rPr>
          <w:rFonts w:hint="eastAsia"/>
          <w:sz w:val="24"/>
          <w:szCs w:val="24"/>
          <w:highlight w:val="none"/>
        </w:rPr>
        <w:t>本规范所引用的</w:t>
      </w:r>
      <w:r>
        <w:rPr>
          <w:rFonts w:hint="eastAsia"/>
          <w:sz w:val="24"/>
          <w:szCs w:val="24"/>
          <w:highlight w:val="none"/>
          <w:lang w:eastAsia="zh-CN"/>
        </w:rPr>
        <w:t>规范</w:t>
      </w:r>
      <w:r>
        <w:rPr>
          <w:rFonts w:hint="eastAsia"/>
          <w:sz w:val="24"/>
          <w:szCs w:val="24"/>
          <w:highlight w:val="none"/>
        </w:rPr>
        <w:t>及规范均为我国现行有效的计量</w:t>
      </w:r>
      <w:r>
        <w:rPr>
          <w:rFonts w:hint="eastAsia"/>
          <w:sz w:val="24"/>
          <w:szCs w:val="24"/>
          <w:highlight w:val="none"/>
          <w:lang w:eastAsia="zh-CN"/>
        </w:rPr>
        <w:t>规范</w:t>
      </w:r>
      <w:r>
        <w:rPr>
          <w:rFonts w:hint="eastAsia"/>
          <w:sz w:val="24"/>
          <w:szCs w:val="24"/>
          <w:highlight w:val="none"/>
        </w:rPr>
        <w:t>及规范，是本标准的一部分，引用这些</w:t>
      </w:r>
      <w:r>
        <w:rPr>
          <w:rFonts w:hint="eastAsia"/>
          <w:sz w:val="24"/>
          <w:szCs w:val="24"/>
          <w:highlight w:val="none"/>
          <w:lang w:eastAsia="zh-CN"/>
        </w:rPr>
        <w:t>规范</w:t>
      </w:r>
      <w:r>
        <w:rPr>
          <w:rFonts w:hint="eastAsia"/>
          <w:sz w:val="24"/>
          <w:szCs w:val="24"/>
          <w:highlight w:val="none"/>
        </w:rPr>
        <w:t>及规范后，使本规范的要求与现行的相关法律、法规、规章及相关</w:t>
      </w:r>
      <w:r>
        <w:rPr>
          <w:rFonts w:hint="eastAsia"/>
          <w:sz w:val="24"/>
          <w:szCs w:val="24"/>
          <w:highlight w:val="none"/>
          <w:lang w:eastAsia="zh-CN"/>
        </w:rPr>
        <w:t>规范</w:t>
      </w:r>
      <w:r>
        <w:rPr>
          <w:rFonts w:hint="eastAsia"/>
          <w:sz w:val="24"/>
          <w:szCs w:val="24"/>
          <w:highlight w:val="none"/>
        </w:rPr>
        <w:t>规范的关系不矛盾、不冲突，其相互关系非常协调。</w:t>
      </w:r>
    </w:p>
    <w:p>
      <w:pPr>
        <w:pStyle w:val="73"/>
        <w:numPr>
          <w:ilvl w:val="0"/>
          <w:numId w:val="11"/>
        </w:numPr>
        <w:tabs>
          <w:tab w:val="left" w:pos="426"/>
        </w:tabs>
        <w:spacing w:before="312" w:beforeLines="100" w:after="312" w:afterLines="100"/>
        <w:ind w:hangingChars="200"/>
        <w:jc w:val="left"/>
        <w:rPr>
          <w:sz w:val="24"/>
          <w:szCs w:val="24"/>
          <w:highlight w:val="none"/>
        </w:rPr>
      </w:pPr>
      <w:bookmarkStart w:id="92" w:name="_Toc464728973"/>
      <w:r>
        <w:rPr>
          <w:rFonts w:hint="eastAsia"/>
          <w:sz w:val="24"/>
          <w:szCs w:val="24"/>
          <w:highlight w:val="none"/>
        </w:rPr>
        <w:t>标准中涉及的专利或知识产权说明</w:t>
      </w:r>
      <w:bookmarkEnd w:id="92"/>
    </w:p>
    <w:p>
      <w:pPr>
        <w:pStyle w:val="57"/>
        <w:spacing w:line="300" w:lineRule="auto"/>
        <w:ind w:firstLine="420"/>
        <w:contextualSpacing/>
        <w:rPr>
          <w:sz w:val="24"/>
          <w:szCs w:val="24"/>
          <w:highlight w:val="none"/>
        </w:rPr>
      </w:pPr>
      <w:r>
        <w:rPr>
          <w:rFonts w:hint="eastAsia"/>
          <w:sz w:val="24"/>
          <w:szCs w:val="24"/>
          <w:highlight w:val="none"/>
        </w:rPr>
        <w:t>本标准不涉及任何专利或知识产权。</w:t>
      </w:r>
    </w:p>
    <w:p>
      <w:pPr>
        <w:pStyle w:val="73"/>
        <w:numPr>
          <w:ilvl w:val="0"/>
          <w:numId w:val="11"/>
        </w:numPr>
        <w:tabs>
          <w:tab w:val="left" w:pos="426"/>
        </w:tabs>
        <w:spacing w:before="312" w:beforeLines="100" w:after="312" w:afterLines="100"/>
        <w:ind w:hangingChars="200"/>
        <w:jc w:val="left"/>
        <w:rPr>
          <w:sz w:val="24"/>
          <w:szCs w:val="24"/>
          <w:highlight w:val="none"/>
        </w:rPr>
      </w:pPr>
      <w:bookmarkStart w:id="93" w:name="_Toc464728974"/>
      <w:r>
        <w:rPr>
          <w:rFonts w:hint="eastAsia"/>
          <w:sz w:val="24"/>
          <w:szCs w:val="24"/>
          <w:highlight w:val="none"/>
        </w:rPr>
        <w:t>重大分歧意见的处理经过和依据</w:t>
      </w:r>
      <w:bookmarkEnd w:id="93"/>
    </w:p>
    <w:p>
      <w:pPr>
        <w:pStyle w:val="57"/>
        <w:spacing w:line="300" w:lineRule="auto"/>
        <w:ind w:firstLine="420"/>
        <w:contextualSpacing/>
        <w:rPr>
          <w:sz w:val="24"/>
          <w:szCs w:val="24"/>
          <w:highlight w:val="none"/>
        </w:rPr>
      </w:pPr>
      <w:bookmarkStart w:id="94" w:name="_Toc464728976"/>
      <w:r>
        <w:rPr>
          <w:rFonts w:hint="eastAsia"/>
          <w:sz w:val="24"/>
          <w:szCs w:val="24"/>
          <w:highlight w:val="none"/>
        </w:rPr>
        <w:t>（无）。</w:t>
      </w:r>
    </w:p>
    <w:p>
      <w:pPr>
        <w:pStyle w:val="73"/>
        <w:numPr>
          <w:ilvl w:val="0"/>
          <w:numId w:val="11"/>
        </w:numPr>
        <w:tabs>
          <w:tab w:val="left" w:pos="426"/>
        </w:tabs>
        <w:spacing w:before="312" w:beforeLines="100" w:after="312" w:afterLines="100"/>
        <w:ind w:hangingChars="200"/>
        <w:jc w:val="left"/>
        <w:rPr>
          <w:sz w:val="24"/>
          <w:szCs w:val="24"/>
          <w:highlight w:val="none"/>
        </w:rPr>
      </w:pPr>
      <w:r>
        <w:rPr>
          <w:rFonts w:hint="eastAsia"/>
          <w:sz w:val="24"/>
          <w:szCs w:val="24"/>
          <w:highlight w:val="none"/>
        </w:rPr>
        <w:t>贯彻规范的要求和措施建议</w:t>
      </w:r>
      <w:bookmarkEnd w:id="94"/>
    </w:p>
    <w:p>
      <w:pPr>
        <w:pStyle w:val="57"/>
        <w:spacing w:line="300" w:lineRule="auto"/>
        <w:ind w:firstLine="420"/>
        <w:contextualSpacing/>
        <w:rPr>
          <w:rFonts w:hint="eastAsia"/>
          <w:sz w:val="24"/>
          <w:szCs w:val="24"/>
          <w:highlight w:val="none"/>
        </w:rPr>
      </w:pPr>
      <w:r>
        <w:rPr>
          <w:rFonts w:hint="eastAsia"/>
          <w:sz w:val="24"/>
          <w:szCs w:val="24"/>
          <w:highlight w:val="none"/>
        </w:rPr>
        <w:t>本规范发布后，中国有色金属行业协会和有色金属行业计量技术委员会应加强本规范的宣传力度，促进各实验室以及计量技术机构对本规范的使用，以确保超声探伤仪、超声探头检测结果的可靠性。促进工业产品的安全性、可靠性得到保证，进一步保障人民生产生活的安全，为我国经济发展保驾护航。</w:t>
      </w:r>
    </w:p>
    <w:p>
      <w:pPr>
        <w:pStyle w:val="73"/>
        <w:numPr>
          <w:ilvl w:val="0"/>
          <w:numId w:val="11"/>
        </w:numPr>
        <w:tabs>
          <w:tab w:val="left" w:pos="426"/>
        </w:tabs>
        <w:spacing w:before="312" w:beforeLines="100" w:after="312" w:afterLines="100"/>
        <w:ind w:hangingChars="200"/>
        <w:jc w:val="left"/>
        <w:rPr>
          <w:sz w:val="24"/>
          <w:szCs w:val="24"/>
          <w:highlight w:val="none"/>
        </w:rPr>
      </w:pPr>
      <w:bookmarkStart w:id="95" w:name="_Toc464728977"/>
      <w:r>
        <w:rPr>
          <w:rFonts w:hint="eastAsia"/>
          <w:sz w:val="24"/>
          <w:szCs w:val="24"/>
          <w:highlight w:val="none"/>
        </w:rPr>
        <w:t>废止现行有关</w:t>
      </w:r>
      <w:r>
        <w:rPr>
          <w:rFonts w:hint="eastAsia"/>
          <w:sz w:val="24"/>
          <w:szCs w:val="24"/>
          <w:highlight w:val="none"/>
          <w:lang w:eastAsia="zh-CN"/>
        </w:rPr>
        <w:t>规范</w:t>
      </w:r>
      <w:r>
        <w:rPr>
          <w:rFonts w:hint="eastAsia"/>
          <w:sz w:val="24"/>
          <w:szCs w:val="24"/>
          <w:highlight w:val="none"/>
        </w:rPr>
        <w:t>的建议</w:t>
      </w:r>
      <w:bookmarkEnd w:id="95"/>
    </w:p>
    <w:p>
      <w:pPr>
        <w:pStyle w:val="57"/>
        <w:spacing w:line="300" w:lineRule="auto"/>
        <w:ind w:firstLine="420"/>
        <w:contextualSpacing/>
        <w:rPr>
          <w:sz w:val="24"/>
          <w:szCs w:val="24"/>
          <w:highlight w:val="none"/>
        </w:rPr>
      </w:pPr>
      <w:r>
        <w:rPr>
          <w:rFonts w:hint="eastAsia"/>
          <w:sz w:val="24"/>
          <w:szCs w:val="24"/>
          <w:highlight w:val="none"/>
        </w:rPr>
        <w:t>（无）。</w:t>
      </w:r>
    </w:p>
    <w:p>
      <w:pPr>
        <w:pStyle w:val="73"/>
        <w:numPr>
          <w:ilvl w:val="0"/>
          <w:numId w:val="11"/>
        </w:numPr>
        <w:tabs>
          <w:tab w:val="left" w:pos="426"/>
        </w:tabs>
        <w:spacing w:before="312" w:beforeLines="100" w:after="312" w:afterLines="100"/>
        <w:ind w:hangingChars="200"/>
        <w:jc w:val="left"/>
        <w:rPr>
          <w:sz w:val="24"/>
          <w:szCs w:val="24"/>
          <w:highlight w:val="none"/>
        </w:rPr>
      </w:pPr>
      <w:bookmarkStart w:id="96" w:name="_Toc464728978"/>
      <w:r>
        <w:rPr>
          <w:rFonts w:hint="eastAsia"/>
          <w:sz w:val="24"/>
          <w:szCs w:val="24"/>
          <w:highlight w:val="none"/>
        </w:rPr>
        <w:t>产业化情况、推广应用论证和预期达到的经济效果</w:t>
      </w:r>
      <w:bookmarkEnd w:id="96"/>
    </w:p>
    <w:p>
      <w:pPr>
        <w:spacing w:line="300" w:lineRule="auto"/>
        <w:ind w:firstLine="480" w:firstLineChars="200"/>
        <w:contextualSpacing/>
        <w:jc w:val="left"/>
        <w:rPr>
          <w:rFonts w:hint="eastAsia" w:ascii="宋体" w:hAnsi="宋体"/>
          <w:kern w:val="0"/>
          <w:sz w:val="24"/>
          <w:szCs w:val="24"/>
          <w:highlight w:val="yellow"/>
          <w:lang w:eastAsia="zh-CN"/>
        </w:rPr>
      </w:pPr>
      <w:r>
        <w:rPr>
          <w:rFonts w:hint="eastAsia" w:ascii="宋体" w:hAnsi="宋体"/>
          <w:kern w:val="0"/>
          <w:sz w:val="24"/>
          <w:szCs w:val="24"/>
          <w:highlight w:val="none"/>
        </w:rPr>
        <w:t>超声标准试块</w:t>
      </w:r>
      <w:r>
        <w:rPr>
          <w:rFonts w:hint="eastAsia" w:ascii="宋体" w:hAnsi="宋体"/>
          <w:kern w:val="0"/>
          <w:sz w:val="24"/>
          <w:szCs w:val="24"/>
          <w:highlight w:val="none"/>
          <w:lang w:eastAsia="zh-CN"/>
        </w:rPr>
        <w:t>校准规范</w:t>
      </w:r>
      <w:r>
        <w:rPr>
          <w:rFonts w:hint="eastAsia" w:ascii="宋体" w:hAnsi="宋体"/>
          <w:kern w:val="0"/>
          <w:sz w:val="24"/>
          <w:szCs w:val="24"/>
          <w:highlight w:val="none"/>
        </w:rPr>
        <w:t>的制定，具有极大的经济效益和社会效益，填补了有色金属行业领域校准空白，能够很好的满足有色金属领域无损检测实验室对于超声标准试块的校准需求，</w:t>
      </w:r>
      <w:r>
        <w:rPr>
          <w:rFonts w:hint="eastAsia" w:ascii="宋体" w:hAnsi="宋体"/>
          <w:kern w:val="0"/>
          <w:sz w:val="24"/>
          <w:szCs w:val="24"/>
          <w:highlight w:val="none"/>
          <w:lang w:eastAsia="zh-CN"/>
        </w:rPr>
        <w:t>确保检测</w:t>
      </w:r>
      <w:r>
        <w:rPr>
          <w:rFonts w:hint="eastAsia" w:ascii="宋体" w:hAnsi="宋体"/>
          <w:kern w:val="0"/>
          <w:sz w:val="24"/>
          <w:szCs w:val="24"/>
          <w:highlight w:val="none"/>
        </w:rPr>
        <w:t>结果的</w:t>
      </w:r>
      <w:r>
        <w:rPr>
          <w:rFonts w:hint="eastAsia" w:ascii="宋体" w:hAnsi="宋体"/>
          <w:kern w:val="0"/>
          <w:sz w:val="24"/>
          <w:szCs w:val="24"/>
          <w:highlight w:val="none"/>
          <w:lang w:eastAsia="zh-CN"/>
        </w:rPr>
        <w:t>真实可靠</w:t>
      </w:r>
      <w:r>
        <w:rPr>
          <w:rFonts w:hint="eastAsia" w:ascii="宋体" w:hAnsi="宋体"/>
          <w:kern w:val="0"/>
          <w:sz w:val="24"/>
          <w:szCs w:val="24"/>
          <w:highlight w:val="none"/>
        </w:rPr>
        <w:t>，</w:t>
      </w:r>
      <w:r>
        <w:rPr>
          <w:rFonts w:hint="eastAsia" w:ascii="宋体" w:hAnsi="宋体"/>
          <w:kern w:val="0"/>
          <w:sz w:val="24"/>
          <w:szCs w:val="24"/>
          <w:highlight w:val="none"/>
          <w:lang w:eastAsia="zh-CN"/>
        </w:rPr>
        <w:t>进而保证</w:t>
      </w:r>
      <w:r>
        <w:rPr>
          <w:rFonts w:hint="eastAsia" w:ascii="宋体" w:hAnsi="宋体"/>
          <w:kern w:val="0"/>
          <w:sz w:val="24"/>
          <w:szCs w:val="24"/>
          <w:highlight w:val="none"/>
        </w:rPr>
        <w:t>产品的安全</w:t>
      </w:r>
      <w:r>
        <w:rPr>
          <w:rFonts w:hint="eastAsia" w:ascii="宋体" w:hAnsi="宋体"/>
          <w:kern w:val="0"/>
          <w:sz w:val="24"/>
          <w:szCs w:val="24"/>
          <w:highlight w:val="none"/>
          <w:lang w:eastAsia="zh-CN"/>
        </w:rPr>
        <w:t>可靠</w:t>
      </w:r>
      <w:r>
        <w:rPr>
          <w:rFonts w:hint="eastAsia" w:ascii="宋体" w:hAnsi="宋体"/>
          <w:kern w:val="0"/>
          <w:sz w:val="24"/>
          <w:szCs w:val="24"/>
          <w:highlight w:val="none"/>
        </w:rPr>
        <w:t>。</w:t>
      </w:r>
    </w:p>
    <w:sectPr>
      <w:footerReference r:id="rId11" w:type="first"/>
      <w:footerReference r:id="rId10" w:type="default"/>
      <w:pgSz w:w="11907" w:h="16839"/>
      <w:pgMar w:top="1418" w:right="1134" w:bottom="1134" w:left="1418" w:header="1418" w:footer="851"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Style w:val="44"/>
      </w:rPr>
    </w:pPr>
    <w:r>
      <w:rPr>
        <w:rStyle w:val="44"/>
      </w:rPr>
      <w:fldChar w:fldCharType="begin"/>
    </w:r>
    <w:r>
      <w:rPr>
        <w:rStyle w:val="44"/>
      </w:rPr>
      <w:instrText xml:space="preserve">PAGE  </w:instrText>
    </w:r>
    <w:r>
      <w:rPr>
        <w:rStyle w:val="44"/>
      </w:rPr>
      <w:fldChar w:fldCharType="separate"/>
    </w:r>
    <w:r>
      <w:rPr>
        <w:rStyle w:val="44"/>
      </w:rPr>
      <w:t>I</w:t>
    </w:r>
    <w:r>
      <w:rPr>
        <w:rStyle w:val="4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rPr>
        <w:rStyle w:val="44"/>
      </w:rPr>
    </w:pPr>
    <w:r>
      <w:rPr>
        <w:rStyle w:val="44"/>
      </w:rPr>
      <w:fldChar w:fldCharType="begin"/>
    </w:r>
    <w:r>
      <w:rPr>
        <w:rStyle w:val="44"/>
      </w:rPr>
      <w:instrText xml:space="preserve">PAGE  </w:instrText>
    </w:r>
    <w:r>
      <w:rPr>
        <w:rStyle w:val="44"/>
      </w:rPr>
      <w:fldChar w:fldCharType="separate"/>
    </w:r>
    <w:r>
      <w:rPr>
        <w:rStyle w:val="44"/>
      </w:rPr>
      <w:t>II</w:t>
    </w:r>
    <w:r>
      <w:rPr>
        <w:rStyle w:val="4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jc w:val="center"/>
      <w:rPr>
        <w:rStyle w:val="44"/>
      </w:rPr>
    </w:pPr>
    <w:r>
      <w:fldChar w:fldCharType="begin"/>
    </w:r>
    <w:r>
      <w:rPr>
        <w:rStyle w:val="44"/>
      </w:rPr>
      <w:instrText xml:space="preserve">PAGE  </w:instrText>
    </w:r>
    <w:r>
      <w:fldChar w:fldCharType="separate"/>
    </w:r>
    <w:r>
      <w:rPr>
        <w:rStyle w:val="44"/>
      </w:rPr>
      <w:t>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p>
    <w:pPr>
      <w:pStyle w:val="29"/>
      <w:jc w:val="center"/>
      <w:rPr>
        <w:rFonts w:ascii="宋体" w:hAnsi="宋体"/>
        <w:sz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jc w:val="center"/>
      <w:rPr>
        <w:rStyle w:val="4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2"/>
                            <w:jc w:val="center"/>
                          </w:pPr>
                          <w:r>
                            <w:fldChar w:fldCharType="begin"/>
                          </w:r>
                          <w:r>
                            <w:rPr>
                              <w:rStyle w:val="44"/>
                            </w:rPr>
                            <w:instrText xml:space="preserve">PAGE  </w:instrText>
                          </w:r>
                          <w:r>
                            <w:fldChar w:fldCharType="separate"/>
                          </w:r>
                          <w:r>
                            <w:rPr>
                              <w:rStyle w:val="44"/>
                            </w:rP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2"/>
                      <w:jc w:val="center"/>
                    </w:pPr>
                    <w:r>
                      <w:fldChar w:fldCharType="begin"/>
                    </w:r>
                    <w:r>
                      <w:rPr>
                        <w:rStyle w:val="44"/>
                      </w:rPr>
                      <w:instrText xml:space="preserve">PAGE  </w:instrText>
                    </w:r>
                    <w:r>
                      <w:fldChar w:fldCharType="separate"/>
                    </w:r>
                    <w:r>
                      <w:rPr>
                        <w:rStyle w:val="44"/>
                      </w:rPr>
                      <w:t>14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rPr>
        <w:rFonts w:ascii="宋体" w:hAnsi="宋体"/>
        <w:sz w:val="21"/>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wordWr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t>GB/TXXX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67AA00"/>
    <w:multiLevelType w:val="singleLevel"/>
    <w:tmpl w:val="9967AA00"/>
    <w:lvl w:ilvl="0" w:tentative="0">
      <w:start w:val="1"/>
      <w:numFmt w:val="chineseCounting"/>
      <w:suff w:val="nothing"/>
      <w:lvlText w:val="第%1、"/>
      <w:lvlJc w:val="left"/>
      <w:rPr>
        <w:rFonts w:hint="eastAsia"/>
      </w:rPr>
    </w:lvl>
  </w:abstractNum>
  <w:abstractNum w:abstractNumId="1">
    <w:nsid w:val="00000007"/>
    <w:multiLevelType w:val="multilevel"/>
    <w:tmpl w:val="00000007"/>
    <w:lvl w:ilvl="0" w:tentative="0">
      <w:start w:val="1"/>
      <w:numFmt w:val="none"/>
      <w:pStyle w:val="79"/>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none"/>
      <w:pStyle w:val="107"/>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0"/>
    <w:multiLevelType w:val="multilevel"/>
    <w:tmpl w:val="00000010"/>
    <w:lvl w:ilvl="0" w:tentative="0">
      <w:start w:val="1"/>
      <w:numFmt w:val="none"/>
      <w:pStyle w:val="90"/>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7"/>
      <w:suff w:val="nothing"/>
      <w:lvlText w:val="%1%2.%3　"/>
      <w:lvlJc w:val="left"/>
      <w:pPr>
        <w:ind w:left="0" w:firstLine="0"/>
      </w:pPr>
      <w:rPr>
        <w:rFonts w:hint="eastAsia" w:ascii="黑体" w:hAnsi="Times New Roman" w:eastAsia="黑体"/>
        <w:b w:val="0"/>
        <w:i w:val="0"/>
        <w:sz w:val="21"/>
      </w:rPr>
    </w:lvl>
    <w:lvl w:ilvl="3" w:tentative="0">
      <w:start w:val="1"/>
      <w:numFmt w:val="decimal"/>
      <w:pStyle w:val="93"/>
      <w:suff w:val="nothing"/>
      <w:lvlText w:val="%1%2.%3.%4　"/>
      <w:lvlJc w:val="left"/>
      <w:pPr>
        <w:ind w:left="0" w:firstLine="0"/>
      </w:pPr>
      <w:rPr>
        <w:rFonts w:hint="eastAsia" w:ascii="黑体" w:hAnsi="Times New Roman" w:eastAsia="黑体"/>
        <w:b w:val="0"/>
        <w:i w:val="0"/>
        <w:sz w:val="21"/>
      </w:rPr>
    </w:lvl>
    <w:lvl w:ilvl="4" w:tentative="0">
      <w:start w:val="1"/>
      <w:numFmt w:val="decimal"/>
      <w:pStyle w:val="115"/>
      <w:suff w:val="nothing"/>
      <w:lvlText w:val="%1%2.%3.%4.%5　"/>
      <w:lvlJc w:val="left"/>
      <w:pPr>
        <w:ind w:left="0" w:firstLine="0"/>
      </w:pPr>
      <w:rPr>
        <w:rFonts w:hint="eastAsia" w:ascii="黑体" w:hAnsi="Times New Roman" w:eastAsia="黑体"/>
        <w:b w:val="0"/>
        <w:i w:val="0"/>
        <w:sz w:val="21"/>
      </w:rPr>
    </w:lvl>
    <w:lvl w:ilvl="5" w:tentative="0">
      <w:start w:val="1"/>
      <w:numFmt w:val="decimal"/>
      <w:pStyle w:val="109"/>
      <w:suff w:val="nothing"/>
      <w:lvlText w:val="%1%2.%3.%4.%5.%6　"/>
      <w:lvlJc w:val="left"/>
      <w:pPr>
        <w:ind w:left="0" w:firstLine="0"/>
      </w:pPr>
      <w:rPr>
        <w:rFonts w:hint="eastAsia" w:ascii="黑体" w:hAnsi="Times New Roman" w:eastAsia="黑体"/>
        <w:b w:val="0"/>
        <w:i w:val="0"/>
        <w:sz w:val="21"/>
      </w:rPr>
    </w:lvl>
    <w:lvl w:ilvl="6" w:tentative="0">
      <w:start w:val="1"/>
      <w:numFmt w:val="decimal"/>
      <w:pStyle w:val="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14"/>
    <w:multiLevelType w:val="multilevel"/>
    <w:tmpl w:val="00000014"/>
    <w:lvl w:ilvl="0" w:tentative="0">
      <w:start w:val="1"/>
      <w:numFmt w:val="none"/>
      <w:pStyle w:val="114"/>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15"/>
    <w:multiLevelType w:val="multilevel"/>
    <w:tmpl w:val="00000015"/>
    <w:lvl w:ilvl="0" w:tentative="0">
      <w:start w:val="1"/>
      <w:numFmt w:val="upperLetter"/>
      <w:pStyle w:val="64"/>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8"/>
      <w:lvlText w:val="（%2）"/>
      <w:lvlJc w:val="left"/>
      <w:pPr>
        <w:ind w:left="0" w:firstLine="0"/>
      </w:pPr>
      <w:rPr>
        <w:rFonts w:hint="default"/>
        <w:b w:val="0"/>
        <w:i w:val="0"/>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101"/>
      <w:suff w:val="nothing"/>
      <w:lvlText w:val="%1.%2.%3.%4　"/>
      <w:lvlJc w:val="left"/>
      <w:pPr>
        <w:ind w:left="0" w:firstLine="0"/>
      </w:pPr>
      <w:rPr>
        <w:rFonts w:hint="eastAsia" w:ascii="黑体" w:hAnsi="Times New Roman" w:eastAsia="黑体"/>
        <w:b w:val="0"/>
        <w:i w:val="0"/>
        <w:sz w:val="21"/>
      </w:rPr>
    </w:lvl>
    <w:lvl w:ilvl="4" w:tentative="0">
      <w:start w:val="1"/>
      <w:numFmt w:val="decimal"/>
      <w:pStyle w:val="100"/>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9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9"/>
    <w:multiLevelType w:val="multilevel"/>
    <w:tmpl w:val="00000019"/>
    <w:lvl w:ilvl="0" w:tentative="0">
      <w:start w:val="1"/>
      <w:numFmt w:val="decimal"/>
      <w:pStyle w:val="106"/>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8">
    <w:nsid w:val="00000022"/>
    <w:multiLevelType w:val="multilevel"/>
    <w:tmpl w:val="00000022"/>
    <w:lvl w:ilvl="0" w:tentative="0">
      <w:start w:val="1"/>
      <w:numFmt w:val="decimal"/>
      <w:pStyle w:val="89"/>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5"/>
    <w:multiLevelType w:val="multilevel"/>
    <w:tmpl w:val="00000025"/>
    <w:lvl w:ilvl="0" w:tentative="0">
      <w:start w:val="1"/>
      <w:numFmt w:val="none"/>
      <w:pStyle w:val="65"/>
      <w:suff w:val="nothing"/>
      <w:lvlText w:val="%1"/>
      <w:lvlJc w:val="left"/>
      <w:pPr>
        <w:ind w:left="0" w:firstLine="0"/>
      </w:pPr>
      <w:rPr>
        <w:rFonts w:hint="default" w:ascii="Times New Roman" w:hAnsi="Times New Roman"/>
        <w:b/>
        <w:i w:val="0"/>
        <w:sz w:val="21"/>
      </w:rPr>
    </w:lvl>
    <w:lvl w:ilvl="1" w:tentative="0">
      <w:start w:val="1"/>
      <w:numFmt w:val="decimal"/>
      <w:pStyle w:val="60"/>
      <w:suff w:val="nothing"/>
      <w:lvlText w:val="%1%2　"/>
      <w:lvlJc w:val="left"/>
      <w:pPr>
        <w:ind w:left="142" w:firstLine="0"/>
      </w:pPr>
      <w:rPr>
        <w:rFonts w:hint="eastAsia" w:ascii="黑体" w:hAnsi="Times New Roman" w:eastAsia="黑体"/>
        <w:b w:val="0"/>
        <w:i w:val="0"/>
        <w:sz w:val="21"/>
      </w:rPr>
    </w:lvl>
    <w:lvl w:ilvl="2" w:tentative="0">
      <w:start w:val="1"/>
      <w:numFmt w:val="decimal"/>
      <w:pStyle w:val="59"/>
      <w:suff w:val="nothing"/>
      <w:lvlText w:val="%1%2.%3　"/>
      <w:lvlJc w:val="left"/>
      <w:pPr>
        <w:ind w:left="284" w:firstLine="0"/>
      </w:pPr>
      <w:rPr>
        <w:rFonts w:hint="eastAsia" w:ascii="黑体" w:hAnsi="Times New Roman" w:eastAsia="黑体"/>
        <w:b w:val="0"/>
        <w:i w:val="0"/>
        <w:sz w:val="21"/>
      </w:rPr>
    </w:lvl>
    <w:lvl w:ilvl="3" w:tentative="0">
      <w:start w:val="1"/>
      <w:numFmt w:val="decimal"/>
      <w:pStyle w:val="58"/>
      <w:suff w:val="nothing"/>
      <w:lvlText w:val="%1%2.%3.%4　"/>
      <w:lvlJc w:val="left"/>
      <w:pPr>
        <w:ind w:left="282" w:firstLine="0"/>
      </w:pPr>
      <w:rPr>
        <w:rFonts w:hint="eastAsia" w:ascii="黑体" w:hAnsi="Times New Roman" w:eastAsia="黑体"/>
        <w:b w:val="0"/>
        <w:i w:val="0"/>
        <w:sz w:val="21"/>
      </w:rPr>
    </w:lvl>
    <w:lvl w:ilvl="4" w:tentative="0">
      <w:start w:val="1"/>
      <w:numFmt w:val="decimal"/>
      <w:pStyle w:val="70"/>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pStyle w:val="8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00000027"/>
    <w:multiLevelType w:val="multilevel"/>
    <w:tmpl w:val="00000027"/>
    <w:lvl w:ilvl="0" w:tentative="0">
      <w:start w:val="1"/>
      <w:numFmt w:val="none"/>
      <w:pStyle w:val="71"/>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97947F5"/>
    <w:multiLevelType w:val="multilevel"/>
    <w:tmpl w:val="297947F5"/>
    <w:lvl w:ilvl="0" w:tentative="0">
      <w:start w:val="1"/>
      <w:numFmt w:val="japaneseCounting"/>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9D2325A"/>
    <w:multiLevelType w:val="multilevel"/>
    <w:tmpl w:val="49D2325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6"/>
  </w:num>
  <w:num w:numId="3">
    <w:abstractNumId w:val="10"/>
  </w:num>
  <w:num w:numId="4">
    <w:abstractNumId w:val="1"/>
  </w:num>
  <w:num w:numId="5">
    <w:abstractNumId w:val="4"/>
  </w:num>
  <w:num w:numId="6">
    <w:abstractNumId w:val="8"/>
  </w:num>
  <w:num w:numId="7">
    <w:abstractNumId w:val="3"/>
  </w:num>
  <w:num w:numId="8">
    <w:abstractNumId w:val="7"/>
  </w:num>
  <w:num w:numId="9">
    <w:abstractNumId w:val="2"/>
  </w:num>
  <w:num w:numId="10">
    <w:abstractNumId w:val="5"/>
  </w:num>
  <w:num w:numId="11">
    <w:abstractNumId w:val="11"/>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isplayBackgroundShape w:val="1"/>
  <w:bordersDoNotSurroundHeader w:val="0"/>
  <w:bordersDoNotSurroundFooter w:val="0"/>
  <w:hideSpellingErrors/>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kM2VjZTFlZGVlYmM1YmQ3MWE0MDI1M2E0NGE0N2IifQ=="/>
  </w:docVars>
  <w:rsids>
    <w:rsidRoot w:val="00693668"/>
    <w:rsid w:val="000971D5"/>
    <w:rsid w:val="00122AD8"/>
    <w:rsid w:val="00122DCA"/>
    <w:rsid w:val="0019431C"/>
    <w:rsid w:val="002849BB"/>
    <w:rsid w:val="00291548"/>
    <w:rsid w:val="004A27E5"/>
    <w:rsid w:val="004F58ED"/>
    <w:rsid w:val="00536C60"/>
    <w:rsid w:val="00567271"/>
    <w:rsid w:val="0059121E"/>
    <w:rsid w:val="005F42DD"/>
    <w:rsid w:val="00601ADF"/>
    <w:rsid w:val="00623451"/>
    <w:rsid w:val="00625140"/>
    <w:rsid w:val="00644C6D"/>
    <w:rsid w:val="0069107A"/>
    <w:rsid w:val="00693668"/>
    <w:rsid w:val="006E11F0"/>
    <w:rsid w:val="00724E03"/>
    <w:rsid w:val="00764D0A"/>
    <w:rsid w:val="00765621"/>
    <w:rsid w:val="007902D1"/>
    <w:rsid w:val="0086056F"/>
    <w:rsid w:val="00876D87"/>
    <w:rsid w:val="008E415E"/>
    <w:rsid w:val="008F5DCA"/>
    <w:rsid w:val="009111C1"/>
    <w:rsid w:val="00946B7D"/>
    <w:rsid w:val="009A61F5"/>
    <w:rsid w:val="00A1497C"/>
    <w:rsid w:val="00A15577"/>
    <w:rsid w:val="00A8270F"/>
    <w:rsid w:val="00AB17A5"/>
    <w:rsid w:val="00AC0924"/>
    <w:rsid w:val="00B706F7"/>
    <w:rsid w:val="00BC6B82"/>
    <w:rsid w:val="00C058B2"/>
    <w:rsid w:val="00C27739"/>
    <w:rsid w:val="00C7537E"/>
    <w:rsid w:val="00CD2D13"/>
    <w:rsid w:val="00CD7C00"/>
    <w:rsid w:val="00DB362A"/>
    <w:rsid w:val="00DB4F65"/>
    <w:rsid w:val="00E019C6"/>
    <w:rsid w:val="00E22714"/>
    <w:rsid w:val="00E82471"/>
    <w:rsid w:val="00E911BC"/>
    <w:rsid w:val="00F10C9E"/>
    <w:rsid w:val="00F3447A"/>
    <w:rsid w:val="00F507FB"/>
    <w:rsid w:val="00FE1932"/>
    <w:rsid w:val="00FE3C04"/>
    <w:rsid w:val="011B0B5F"/>
    <w:rsid w:val="01286562"/>
    <w:rsid w:val="017F0419"/>
    <w:rsid w:val="01A00C4B"/>
    <w:rsid w:val="02F703B0"/>
    <w:rsid w:val="033159F7"/>
    <w:rsid w:val="039E087E"/>
    <w:rsid w:val="03E811F5"/>
    <w:rsid w:val="04425C74"/>
    <w:rsid w:val="047363D2"/>
    <w:rsid w:val="0488627D"/>
    <w:rsid w:val="04954297"/>
    <w:rsid w:val="04B9644E"/>
    <w:rsid w:val="04C0137C"/>
    <w:rsid w:val="04FE3CBD"/>
    <w:rsid w:val="050D64D6"/>
    <w:rsid w:val="059B00D8"/>
    <w:rsid w:val="05C37B35"/>
    <w:rsid w:val="07071B14"/>
    <w:rsid w:val="075903B7"/>
    <w:rsid w:val="079061F5"/>
    <w:rsid w:val="07DC0ED5"/>
    <w:rsid w:val="07FE1A6D"/>
    <w:rsid w:val="08037A1A"/>
    <w:rsid w:val="081B3BDB"/>
    <w:rsid w:val="082B31E5"/>
    <w:rsid w:val="08871E43"/>
    <w:rsid w:val="09037750"/>
    <w:rsid w:val="0904785D"/>
    <w:rsid w:val="091C4E4B"/>
    <w:rsid w:val="09573966"/>
    <w:rsid w:val="0A603E15"/>
    <w:rsid w:val="0A781AE7"/>
    <w:rsid w:val="0A8A38A6"/>
    <w:rsid w:val="0AB70FA0"/>
    <w:rsid w:val="0ACB34C4"/>
    <w:rsid w:val="0AFA0A3D"/>
    <w:rsid w:val="0B02141F"/>
    <w:rsid w:val="0BA81267"/>
    <w:rsid w:val="0BBD0911"/>
    <w:rsid w:val="0C0E00F1"/>
    <w:rsid w:val="0C433FAA"/>
    <w:rsid w:val="0C8E5209"/>
    <w:rsid w:val="0CCA0314"/>
    <w:rsid w:val="0D0859C1"/>
    <w:rsid w:val="0D1A078A"/>
    <w:rsid w:val="0E76345F"/>
    <w:rsid w:val="0FA66BBA"/>
    <w:rsid w:val="0FEB2FFC"/>
    <w:rsid w:val="10657382"/>
    <w:rsid w:val="109F4BD4"/>
    <w:rsid w:val="10B26DF2"/>
    <w:rsid w:val="11913964"/>
    <w:rsid w:val="12027521"/>
    <w:rsid w:val="12037092"/>
    <w:rsid w:val="12B32FBA"/>
    <w:rsid w:val="135D59D1"/>
    <w:rsid w:val="13AE1C2C"/>
    <w:rsid w:val="13B563E8"/>
    <w:rsid w:val="13E323A5"/>
    <w:rsid w:val="13E96481"/>
    <w:rsid w:val="14095D3A"/>
    <w:rsid w:val="14317D7D"/>
    <w:rsid w:val="145C5320"/>
    <w:rsid w:val="14FE0CE9"/>
    <w:rsid w:val="154F308C"/>
    <w:rsid w:val="156730BF"/>
    <w:rsid w:val="158E7867"/>
    <w:rsid w:val="15CE57D6"/>
    <w:rsid w:val="162561E4"/>
    <w:rsid w:val="16FF5B47"/>
    <w:rsid w:val="174C2AB4"/>
    <w:rsid w:val="17776A9C"/>
    <w:rsid w:val="17986BF6"/>
    <w:rsid w:val="17C77B0F"/>
    <w:rsid w:val="189218F4"/>
    <w:rsid w:val="1A294CEC"/>
    <w:rsid w:val="1A727457"/>
    <w:rsid w:val="1AA0380D"/>
    <w:rsid w:val="1AD334D8"/>
    <w:rsid w:val="1AEA2BE5"/>
    <w:rsid w:val="1B181180"/>
    <w:rsid w:val="1B445528"/>
    <w:rsid w:val="1BBD770F"/>
    <w:rsid w:val="1BC05D1A"/>
    <w:rsid w:val="1C5046FF"/>
    <w:rsid w:val="1C6B51B6"/>
    <w:rsid w:val="1C8570AB"/>
    <w:rsid w:val="1C973FAB"/>
    <w:rsid w:val="1D2552A1"/>
    <w:rsid w:val="1D6E70D6"/>
    <w:rsid w:val="1D7243CD"/>
    <w:rsid w:val="1D741D7F"/>
    <w:rsid w:val="1DD522FD"/>
    <w:rsid w:val="1DE8432D"/>
    <w:rsid w:val="1E512DA3"/>
    <w:rsid w:val="1EB02F65"/>
    <w:rsid w:val="1EB606F1"/>
    <w:rsid w:val="1F5A1A25"/>
    <w:rsid w:val="1F714057"/>
    <w:rsid w:val="1FCC023A"/>
    <w:rsid w:val="1FF22678"/>
    <w:rsid w:val="2014266B"/>
    <w:rsid w:val="203E1472"/>
    <w:rsid w:val="208805ED"/>
    <w:rsid w:val="208E75B3"/>
    <w:rsid w:val="20A26F98"/>
    <w:rsid w:val="20FF3AAE"/>
    <w:rsid w:val="2141361E"/>
    <w:rsid w:val="218A16C9"/>
    <w:rsid w:val="219C032E"/>
    <w:rsid w:val="21BE3478"/>
    <w:rsid w:val="21D04080"/>
    <w:rsid w:val="220B3A67"/>
    <w:rsid w:val="222E41A0"/>
    <w:rsid w:val="22423DCF"/>
    <w:rsid w:val="229F6E90"/>
    <w:rsid w:val="22BB1A64"/>
    <w:rsid w:val="22EA745E"/>
    <w:rsid w:val="23A74BBD"/>
    <w:rsid w:val="23D43A72"/>
    <w:rsid w:val="247B506A"/>
    <w:rsid w:val="24832476"/>
    <w:rsid w:val="25013F85"/>
    <w:rsid w:val="25357D1C"/>
    <w:rsid w:val="25454627"/>
    <w:rsid w:val="25B609E1"/>
    <w:rsid w:val="25EE16C9"/>
    <w:rsid w:val="260C0C79"/>
    <w:rsid w:val="267728FE"/>
    <w:rsid w:val="26C92330"/>
    <w:rsid w:val="27046C92"/>
    <w:rsid w:val="272E2055"/>
    <w:rsid w:val="277B027F"/>
    <w:rsid w:val="27BB7BD3"/>
    <w:rsid w:val="27E11B7C"/>
    <w:rsid w:val="27E34FFB"/>
    <w:rsid w:val="2843570A"/>
    <w:rsid w:val="28653841"/>
    <w:rsid w:val="286F788B"/>
    <w:rsid w:val="28757DED"/>
    <w:rsid w:val="28902179"/>
    <w:rsid w:val="28AC67A0"/>
    <w:rsid w:val="290A5E25"/>
    <w:rsid w:val="29744579"/>
    <w:rsid w:val="29846CB3"/>
    <w:rsid w:val="29E46257"/>
    <w:rsid w:val="2A16531B"/>
    <w:rsid w:val="2A4110A1"/>
    <w:rsid w:val="2A621B97"/>
    <w:rsid w:val="2A8000EB"/>
    <w:rsid w:val="2A881DD7"/>
    <w:rsid w:val="2A9867EE"/>
    <w:rsid w:val="2AB85E2C"/>
    <w:rsid w:val="2B917A42"/>
    <w:rsid w:val="2BC67F75"/>
    <w:rsid w:val="2BD23073"/>
    <w:rsid w:val="2C281A12"/>
    <w:rsid w:val="2C354526"/>
    <w:rsid w:val="2CB24D78"/>
    <w:rsid w:val="2CB46DC5"/>
    <w:rsid w:val="2DBD1919"/>
    <w:rsid w:val="2F284DDC"/>
    <w:rsid w:val="2F992E9E"/>
    <w:rsid w:val="2FBE527A"/>
    <w:rsid w:val="30683C8B"/>
    <w:rsid w:val="307C0198"/>
    <w:rsid w:val="307D5C1A"/>
    <w:rsid w:val="3099554A"/>
    <w:rsid w:val="30F80DE7"/>
    <w:rsid w:val="31B57A58"/>
    <w:rsid w:val="32086A25"/>
    <w:rsid w:val="321E5346"/>
    <w:rsid w:val="3284056D"/>
    <w:rsid w:val="32944056"/>
    <w:rsid w:val="32A372A9"/>
    <w:rsid w:val="32C83002"/>
    <w:rsid w:val="336513A0"/>
    <w:rsid w:val="34206F6B"/>
    <w:rsid w:val="34521F2B"/>
    <w:rsid w:val="34745E77"/>
    <w:rsid w:val="34961252"/>
    <w:rsid w:val="352B4FC9"/>
    <w:rsid w:val="357353BD"/>
    <w:rsid w:val="35CF4FE9"/>
    <w:rsid w:val="35E05D71"/>
    <w:rsid w:val="36445C3B"/>
    <w:rsid w:val="36515A5F"/>
    <w:rsid w:val="36AE69D8"/>
    <w:rsid w:val="36E75321"/>
    <w:rsid w:val="381F2E29"/>
    <w:rsid w:val="38924770"/>
    <w:rsid w:val="38B6063A"/>
    <w:rsid w:val="392E5D86"/>
    <w:rsid w:val="399947F1"/>
    <w:rsid w:val="39B905C0"/>
    <w:rsid w:val="39E63C45"/>
    <w:rsid w:val="39F32D23"/>
    <w:rsid w:val="3A910669"/>
    <w:rsid w:val="3AA85CCA"/>
    <w:rsid w:val="3AF947CF"/>
    <w:rsid w:val="3B77509E"/>
    <w:rsid w:val="3B807F2C"/>
    <w:rsid w:val="3BA532D3"/>
    <w:rsid w:val="3BC02F13"/>
    <w:rsid w:val="3BE6220F"/>
    <w:rsid w:val="3BFA1058"/>
    <w:rsid w:val="3D616AB8"/>
    <w:rsid w:val="3DB727AD"/>
    <w:rsid w:val="3DE47758"/>
    <w:rsid w:val="3EBA5BC3"/>
    <w:rsid w:val="3EE56220"/>
    <w:rsid w:val="3FB322E1"/>
    <w:rsid w:val="3FD87116"/>
    <w:rsid w:val="400D1324"/>
    <w:rsid w:val="400D3523"/>
    <w:rsid w:val="404C551E"/>
    <w:rsid w:val="40644F25"/>
    <w:rsid w:val="40655236"/>
    <w:rsid w:val="40D73C03"/>
    <w:rsid w:val="41A23E7C"/>
    <w:rsid w:val="41F40E7F"/>
    <w:rsid w:val="420E5348"/>
    <w:rsid w:val="42100F45"/>
    <w:rsid w:val="422D0F9E"/>
    <w:rsid w:val="42501169"/>
    <w:rsid w:val="43530D81"/>
    <w:rsid w:val="44100726"/>
    <w:rsid w:val="44420F7F"/>
    <w:rsid w:val="446908C9"/>
    <w:rsid w:val="4497641F"/>
    <w:rsid w:val="4555504E"/>
    <w:rsid w:val="456D3D97"/>
    <w:rsid w:val="458C7727"/>
    <w:rsid w:val="45E87405"/>
    <w:rsid w:val="463B1C84"/>
    <w:rsid w:val="463E4FCC"/>
    <w:rsid w:val="46474D73"/>
    <w:rsid w:val="46845400"/>
    <w:rsid w:val="4696565B"/>
    <w:rsid w:val="47D7186A"/>
    <w:rsid w:val="48AE19A3"/>
    <w:rsid w:val="48BA224A"/>
    <w:rsid w:val="48BE5C4B"/>
    <w:rsid w:val="48BF3D66"/>
    <w:rsid w:val="49214E6F"/>
    <w:rsid w:val="49780F96"/>
    <w:rsid w:val="4989333F"/>
    <w:rsid w:val="4AEA33F6"/>
    <w:rsid w:val="4B5375A2"/>
    <w:rsid w:val="4D27640F"/>
    <w:rsid w:val="4D9258D3"/>
    <w:rsid w:val="4DD90ED7"/>
    <w:rsid w:val="4E3430C7"/>
    <w:rsid w:val="4F005AAA"/>
    <w:rsid w:val="4F812679"/>
    <w:rsid w:val="4F9A2425"/>
    <w:rsid w:val="4FCC41A1"/>
    <w:rsid w:val="50190775"/>
    <w:rsid w:val="50294293"/>
    <w:rsid w:val="51142E0B"/>
    <w:rsid w:val="51395AAB"/>
    <w:rsid w:val="518F4E5F"/>
    <w:rsid w:val="52634051"/>
    <w:rsid w:val="527F652B"/>
    <w:rsid w:val="52A97DDB"/>
    <w:rsid w:val="534315F8"/>
    <w:rsid w:val="539C30D0"/>
    <w:rsid w:val="53FC1520"/>
    <w:rsid w:val="54411E49"/>
    <w:rsid w:val="54973F96"/>
    <w:rsid w:val="54FB7079"/>
    <w:rsid w:val="55646069"/>
    <w:rsid w:val="56154CA2"/>
    <w:rsid w:val="562846B0"/>
    <w:rsid w:val="567D06AC"/>
    <w:rsid w:val="56E83021"/>
    <w:rsid w:val="56EE4F2B"/>
    <w:rsid w:val="57E60D46"/>
    <w:rsid w:val="580764A3"/>
    <w:rsid w:val="58235328"/>
    <w:rsid w:val="58865E17"/>
    <w:rsid w:val="58B118DD"/>
    <w:rsid w:val="58F567E9"/>
    <w:rsid w:val="58FE583A"/>
    <w:rsid w:val="59390F2E"/>
    <w:rsid w:val="5A1631D9"/>
    <w:rsid w:val="5A5C3C44"/>
    <w:rsid w:val="5A931503"/>
    <w:rsid w:val="5A971C98"/>
    <w:rsid w:val="5AD8477D"/>
    <w:rsid w:val="5AFA5C95"/>
    <w:rsid w:val="5B1D3429"/>
    <w:rsid w:val="5B2B0B23"/>
    <w:rsid w:val="5B821531"/>
    <w:rsid w:val="5C522B03"/>
    <w:rsid w:val="5C9D443B"/>
    <w:rsid w:val="5CDE078E"/>
    <w:rsid w:val="5D07132D"/>
    <w:rsid w:val="5D1A034E"/>
    <w:rsid w:val="5DC655CC"/>
    <w:rsid w:val="5E113BD7"/>
    <w:rsid w:val="5E16659C"/>
    <w:rsid w:val="5E5879D5"/>
    <w:rsid w:val="5EFB2A62"/>
    <w:rsid w:val="5F776EED"/>
    <w:rsid w:val="5F8416C1"/>
    <w:rsid w:val="5F91425A"/>
    <w:rsid w:val="5FB71914"/>
    <w:rsid w:val="5FDA7ED2"/>
    <w:rsid w:val="5FDD0E56"/>
    <w:rsid w:val="5FE96E67"/>
    <w:rsid w:val="5FF366D4"/>
    <w:rsid w:val="605176D9"/>
    <w:rsid w:val="60A11E99"/>
    <w:rsid w:val="60D22668"/>
    <w:rsid w:val="60D300EA"/>
    <w:rsid w:val="60DA3D1D"/>
    <w:rsid w:val="61997E92"/>
    <w:rsid w:val="62651792"/>
    <w:rsid w:val="62862FC9"/>
    <w:rsid w:val="62950339"/>
    <w:rsid w:val="629668F8"/>
    <w:rsid w:val="633C7C85"/>
    <w:rsid w:val="635F68CB"/>
    <w:rsid w:val="636D1FAC"/>
    <w:rsid w:val="637628BB"/>
    <w:rsid w:val="63847970"/>
    <w:rsid w:val="639473D2"/>
    <w:rsid w:val="63F828E6"/>
    <w:rsid w:val="64B24842"/>
    <w:rsid w:val="64C228DE"/>
    <w:rsid w:val="64E007BE"/>
    <w:rsid w:val="65FF609A"/>
    <w:rsid w:val="665E5B82"/>
    <w:rsid w:val="670E24A3"/>
    <w:rsid w:val="673A4FC2"/>
    <w:rsid w:val="676D378E"/>
    <w:rsid w:val="67791B52"/>
    <w:rsid w:val="677961F6"/>
    <w:rsid w:val="67B01CAC"/>
    <w:rsid w:val="6844471E"/>
    <w:rsid w:val="68E47C07"/>
    <w:rsid w:val="69134DF8"/>
    <w:rsid w:val="697E527C"/>
    <w:rsid w:val="6A804048"/>
    <w:rsid w:val="6AB57C02"/>
    <w:rsid w:val="6AD91B43"/>
    <w:rsid w:val="6AD959DC"/>
    <w:rsid w:val="6B27051F"/>
    <w:rsid w:val="6B7357E7"/>
    <w:rsid w:val="6B753BDA"/>
    <w:rsid w:val="6B770841"/>
    <w:rsid w:val="6BF670AD"/>
    <w:rsid w:val="6C0C37CF"/>
    <w:rsid w:val="6C3D7821"/>
    <w:rsid w:val="6D3468A4"/>
    <w:rsid w:val="6D7B4CAA"/>
    <w:rsid w:val="6DC12A1C"/>
    <w:rsid w:val="6E06488E"/>
    <w:rsid w:val="6E607C9C"/>
    <w:rsid w:val="6E8A0C2B"/>
    <w:rsid w:val="6E8B6326"/>
    <w:rsid w:val="6EEE46E2"/>
    <w:rsid w:val="6EF60757"/>
    <w:rsid w:val="6F97154A"/>
    <w:rsid w:val="6FD85E0E"/>
    <w:rsid w:val="6FE733CE"/>
    <w:rsid w:val="6FFF3E67"/>
    <w:rsid w:val="70D42D8D"/>
    <w:rsid w:val="70FA146A"/>
    <w:rsid w:val="710228B1"/>
    <w:rsid w:val="713E2980"/>
    <w:rsid w:val="718225C7"/>
    <w:rsid w:val="71DE745D"/>
    <w:rsid w:val="7243144C"/>
    <w:rsid w:val="725D1030"/>
    <w:rsid w:val="728976E7"/>
    <w:rsid w:val="73A7009A"/>
    <w:rsid w:val="73B95B2E"/>
    <w:rsid w:val="74130018"/>
    <w:rsid w:val="74862858"/>
    <w:rsid w:val="74B16962"/>
    <w:rsid w:val="74CE1CB0"/>
    <w:rsid w:val="75042208"/>
    <w:rsid w:val="75252CAE"/>
    <w:rsid w:val="75681F2D"/>
    <w:rsid w:val="757D4451"/>
    <w:rsid w:val="75D50F54"/>
    <w:rsid w:val="75D62561"/>
    <w:rsid w:val="7613428E"/>
    <w:rsid w:val="767A14AF"/>
    <w:rsid w:val="76D53983"/>
    <w:rsid w:val="771D7F39"/>
    <w:rsid w:val="77457761"/>
    <w:rsid w:val="7771513C"/>
    <w:rsid w:val="77784F0D"/>
    <w:rsid w:val="77CE2BEC"/>
    <w:rsid w:val="77D126E4"/>
    <w:rsid w:val="77FD18DE"/>
    <w:rsid w:val="780F282B"/>
    <w:rsid w:val="7892370F"/>
    <w:rsid w:val="78947487"/>
    <w:rsid w:val="78CF5AC2"/>
    <w:rsid w:val="791F52E2"/>
    <w:rsid w:val="7A407603"/>
    <w:rsid w:val="7AC757F1"/>
    <w:rsid w:val="7AD043FC"/>
    <w:rsid w:val="7B3C2B20"/>
    <w:rsid w:val="7BC214E2"/>
    <w:rsid w:val="7C7C66A8"/>
    <w:rsid w:val="7C964B73"/>
    <w:rsid w:val="7CB00FA0"/>
    <w:rsid w:val="7D700DB4"/>
    <w:rsid w:val="7D815A75"/>
    <w:rsid w:val="7D941212"/>
    <w:rsid w:val="7D994E54"/>
    <w:rsid w:val="7DD74C89"/>
    <w:rsid w:val="7E004525"/>
    <w:rsid w:val="7F221F8B"/>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2">
    <w:name w:val="Default Paragraph Font"/>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qFormat/>
    <w:uiPriority w:val="39"/>
  </w:style>
  <w:style w:type="paragraph" w:styleId="12">
    <w:name w:val="toc 6"/>
    <w:basedOn w:val="1"/>
    <w:next w:val="1"/>
    <w:link w:val="310"/>
    <w:qFormat/>
    <w:uiPriority w:val="39"/>
  </w:style>
  <w:style w:type="paragraph" w:styleId="13">
    <w:name w:val="Normal Indent"/>
    <w:basedOn w:val="1"/>
    <w:qFormat/>
    <w:uiPriority w:val="0"/>
    <w:pPr>
      <w:ind w:firstLine="420"/>
    </w:pPr>
    <w:rPr>
      <w:szCs w:val="20"/>
    </w:rPr>
  </w:style>
  <w:style w:type="paragraph" w:styleId="14">
    <w:name w:val="caption"/>
    <w:basedOn w:val="1"/>
    <w:next w:val="1"/>
    <w:qFormat/>
    <w:uiPriority w:val="0"/>
    <w:pPr>
      <w:spacing w:before="152" w:after="160"/>
    </w:pPr>
    <w:rPr>
      <w:rFonts w:ascii="Arial" w:hAnsi="Arial" w:eastAsia="黑体"/>
      <w:szCs w:val="20"/>
    </w:rPr>
  </w:style>
  <w:style w:type="paragraph" w:styleId="15">
    <w:name w:val="annotation text"/>
    <w:basedOn w:val="1"/>
    <w:link w:val="287"/>
    <w:qFormat/>
    <w:uiPriority w:val="0"/>
    <w:pPr>
      <w:jc w:val="left"/>
    </w:pPr>
  </w:style>
  <w:style w:type="paragraph" w:styleId="16">
    <w:name w:val="Body Text"/>
    <w:basedOn w:val="1"/>
    <w:link w:val="282"/>
    <w:qFormat/>
    <w:uiPriority w:val="0"/>
    <w:pPr>
      <w:spacing w:after="120"/>
    </w:pPr>
  </w:style>
  <w:style w:type="paragraph" w:styleId="17">
    <w:name w:val="Body Text Indent"/>
    <w:basedOn w:val="1"/>
    <w:link w:val="285"/>
    <w:qFormat/>
    <w:uiPriority w:val="0"/>
    <w:pPr>
      <w:spacing w:line="360" w:lineRule="exact"/>
      <w:ind w:left="420" w:firstLine="480"/>
    </w:pPr>
    <w:rPr>
      <w:sz w:val="24"/>
      <w:szCs w:val="20"/>
    </w:rPr>
  </w:style>
  <w:style w:type="paragraph" w:styleId="18">
    <w:name w:val="HTML Address"/>
    <w:basedOn w:val="1"/>
    <w:qFormat/>
    <w:uiPriority w:val="0"/>
    <w:rPr>
      <w:i/>
      <w:iCs/>
    </w:rPr>
  </w:style>
  <w:style w:type="paragraph" w:styleId="19">
    <w:name w:val="toc 5"/>
    <w:basedOn w:val="1"/>
    <w:next w:val="1"/>
    <w:qFormat/>
    <w:uiPriority w:val="39"/>
  </w:style>
  <w:style w:type="paragraph" w:styleId="20">
    <w:name w:val="toc 3"/>
    <w:basedOn w:val="21"/>
    <w:next w:val="1"/>
    <w:qFormat/>
    <w:uiPriority w:val="39"/>
  </w:style>
  <w:style w:type="paragraph" w:styleId="21">
    <w:name w:val="toc 2"/>
    <w:basedOn w:val="22"/>
    <w:next w:val="1"/>
    <w:qFormat/>
    <w:uiPriority w:val="39"/>
  </w:style>
  <w:style w:type="paragraph" w:styleId="22">
    <w:name w:val="toc 1"/>
    <w:next w:val="1"/>
    <w:qFormat/>
    <w:uiPriority w:val="39"/>
    <w:pPr>
      <w:jc w:val="both"/>
    </w:pPr>
    <w:rPr>
      <w:rFonts w:ascii="宋体" w:hAnsi="Times New Roman" w:eastAsia="宋体" w:cs="Times New Roman"/>
      <w:sz w:val="21"/>
      <w:lang w:val="en-US" w:eastAsia="zh-CN" w:bidi="ar-SA"/>
    </w:rPr>
  </w:style>
  <w:style w:type="paragraph" w:styleId="23">
    <w:name w:val="Plain Text"/>
    <w:basedOn w:val="1"/>
    <w:link w:val="279"/>
    <w:qFormat/>
    <w:uiPriority w:val="0"/>
    <w:rPr>
      <w:rFonts w:ascii="宋体" w:hAnsi="Courier New"/>
      <w:szCs w:val="21"/>
    </w:rPr>
  </w:style>
  <w:style w:type="paragraph" w:styleId="24">
    <w:name w:val="toc 8"/>
    <w:basedOn w:val="11"/>
    <w:next w:val="1"/>
    <w:qFormat/>
    <w:uiPriority w:val="39"/>
  </w:style>
  <w:style w:type="paragraph" w:styleId="25">
    <w:name w:val="Date"/>
    <w:basedOn w:val="1"/>
    <w:next w:val="1"/>
    <w:link w:val="291"/>
    <w:qFormat/>
    <w:uiPriority w:val="99"/>
    <w:pPr>
      <w:ind w:left="100" w:leftChars="2500"/>
    </w:pPr>
    <w:rPr>
      <w:sz w:val="24"/>
      <w:szCs w:val="20"/>
    </w:rPr>
  </w:style>
  <w:style w:type="paragraph" w:styleId="26">
    <w:name w:val="Body Text Indent 2"/>
    <w:basedOn w:val="1"/>
    <w:link w:val="290"/>
    <w:qFormat/>
    <w:uiPriority w:val="0"/>
    <w:pPr>
      <w:spacing w:after="120" w:line="480" w:lineRule="auto"/>
      <w:ind w:left="420" w:leftChars="200"/>
    </w:pPr>
  </w:style>
  <w:style w:type="paragraph" w:styleId="27">
    <w:name w:val="endnote text"/>
    <w:basedOn w:val="1"/>
    <w:qFormat/>
    <w:uiPriority w:val="0"/>
    <w:pPr>
      <w:snapToGrid w:val="0"/>
    </w:pPr>
  </w:style>
  <w:style w:type="paragraph" w:styleId="28">
    <w:name w:val="Balloon Text"/>
    <w:basedOn w:val="1"/>
    <w:link w:val="281"/>
    <w:qFormat/>
    <w:uiPriority w:val="99"/>
    <w:rPr>
      <w:sz w:val="18"/>
      <w:szCs w:val="18"/>
    </w:rPr>
  </w:style>
  <w:style w:type="paragraph" w:styleId="29">
    <w:name w:val="footer"/>
    <w:basedOn w:val="1"/>
    <w:link w:val="284"/>
    <w:qFormat/>
    <w:uiPriority w:val="99"/>
    <w:pPr>
      <w:tabs>
        <w:tab w:val="center" w:pos="4153"/>
        <w:tab w:val="right" w:pos="8306"/>
      </w:tabs>
      <w:snapToGrid w:val="0"/>
      <w:ind w:right="210" w:rightChars="100"/>
      <w:jc w:val="right"/>
    </w:pPr>
    <w:rPr>
      <w:sz w:val="18"/>
      <w:szCs w:val="18"/>
    </w:rPr>
  </w:style>
  <w:style w:type="paragraph" w:styleId="30">
    <w:name w:val="header"/>
    <w:basedOn w:val="1"/>
    <w:link w:val="289"/>
    <w:qFormat/>
    <w:uiPriority w:val="99"/>
    <w:pPr>
      <w:pBdr>
        <w:bottom w:val="single" w:color="auto" w:sz="6" w:space="1"/>
      </w:pBdr>
      <w:tabs>
        <w:tab w:val="center" w:pos="4153"/>
        <w:tab w:val="right" w:pos="8306"/>
      </w:tabs>
      <w:snapToGrid w:val="0"/>
      <w:jc w:val="center"/>
    </w:pPr>
    <w:rPr>
      <w:sz w:val="18"/>
      <w:szCs w:val="18"/>
    </w:rPr>
  </w:style>
  <w:style w:type="paragraph" w:styleId="31">
    <w:name w:val="toc 4"/>
    <w:basedOn w:val="20"/>
    <w:next w:val="1"/>
    <w:qFormat/>
    <w:uiPriority w:val="39"/>
  </w:style>
  <w:style w:type="paragraph" w:styleId="32">
    <w:name w:val="footnote text"/>
    <w:basedOn w:val="1"/>
    <w:qFormat/>
    <w:uiPriority w:val="0"/>
    <w:pPr>
      <w:snapToGrid w:val="0"/>
      <w:jc w:val="left"/>
    </w:pPr>
    <w:rPr>
      <w:sz w:val="18"/>
      <w:szCs w:val="18"/>
    </w:rPr>
  </w:style>
  <w:style w:type="paragraph" w:styleId="33">
    <w:name w:val="Body Text Indent 3"/>
    <w:basedOn w:val="1"/>
    <w:qFormat/>
    <w:uiPriority w:val="0"/>
    <w:pPr>
      <w:widowControl/>
      <w:spacing w:line="360" w:lineRule="auto"/>
      <w:ind w:firstLine="420"/>
    </w:pPr>
    <w:rPr>
      <w:rFonts w:hAnsi="宋体"/>
      <w:sz w:val="18"/>
    </w:rPr>
  </w:style>
  <w:style w:type="paragraph" w:styleId="34">
    <w:name w:val="toc 9"/>
    <w:basedOn w:val="24"/>
    <w:next w:val="1"/>
    <w:qFormat/>
    <w:uiPriority w:val="39"/>
  </w:style>
  <w:style w:type="paragraph" w:styleId="35">
    <w:name w:val="HTML Preformatted"/>
    <w:basedOn w:val="1"/>
    <w:qFormat/>
    <w:uiPriority w:val="0"/>
    <w:rPr>
      <w:rFonts w:ascii="Courier New" w:hAnsi="Courier New" w:cs="Courier New"/>
      <w:sz w:val="20"/>
      <w:szCs w:val="20"/>
    </w:rPr>
  </w:style>
  <w:style w:type="paragraph" w:styleId="3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7">
    <w:name w:val="Title"/>
    <w:basedOn w:val="1"/>
    <w:qFormat/>
    <w:uiPriority w:val="0"/>
    <w:pPr>
      <w:spacing w:before="240" w:after="60"/>
      <w:jc w:val="center"/>
      <w:outlineLvl w:val="0"/>
    </w:pPr>
    <w:rPr>
      <w:rFonts w:ascii="Arial" w:hAnsi="Arial" w:cs="Arial"/>
      <w:b/>
      <w:bCs/>
      <w:sz w:val="32"/>
      <w:szCs w:val="32"/>
    </w:rPr>
  </w:style>
  <w:style w:type="paragraph" w:styleId="38">
    <w:name w:val="annotation subject"/>
    <w:basedOn w:val="15"/>
    <w:next w:val="15"/>
    <w:link w:val="288"/>
    <w:qFormat/>
    <w:uiPriority w:val="0"/>
    <w:rPr>
      <w:b/>
      <w:bCs/>
    </w:rPr>
  </w:style>
  <w:style w:type="paragraph" w:styleId="39">
    <w:name w:val="Body Text First Indent"/>
    <w:basedOn w:val="16"/>
    <w:qFormat/>
    <w:uiPriority w:val="0"/>
    <w:pPr>
      <w:ind w:firstLine="420"/>
    </w:pPr>
    <w:rPr>
      <w:szCs w:val="20"/>
    </w:rPr>
  </w:style>
  <w:style w:type="table" w:styleId="41">
    <w:name w:val="Table Grid"/>
    <w:basedOn w:val="4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3">
    <w:name w:val="Strong"/>
    <w:qFormat/>
    <w:uiPriority w:val="22"/>
    <w:rPr>
      <w:b/>
      <w:bCs/>
    </w:rPr>
  </w:style>
  <w:style w:type="character" w:styleId="44">
    <w:name w:val="page number"/>
    <w:qFormat/>
    <w:uiPriority w:val="0"/>
    <w:rPr>
      <w:rFonts w:ascii="Times New Roman" w:hAnsi="Times New Roman" w:eastAsia="宋体"/>
      <w:sz w:val="18"/>
    </w:rPr>
  </w:style>
  <w:style w:type="character" w:styleId="45">
    <w:name w:val="FollowedHyperlink"/>
    <w:unhideWhenUsed/>
    <w:qFormat/>
    <w:uiPriority w:val="0"/>
    <w:rPr>
      <w:color w:val="800080"/>
      <w:u w:val="single"/>
    </w:rPr>
  </w:style>
  <w:style w:type="character" w:styleId="46">
    <w:name w:val="HTML Definition"/>
    <w:qFormat/>
    <w:uiPriority w:val="0"/>
    <w:rPr>
      <w:i/>
      <w:iCs/>
    </w:rPr>
  </w:style>
  <w:style w:type="character" w:styleId="47">
    <w:name w:val="HTML Typewriter"/>
    <w:qFormat/>
    <w:uiPriority w:val="0"/>
    <w:rPr>
      <w:rFonts w:ascii="Courier New" w:hAnsi="Courier New"/>
      <w:sz w:val="20"/>
      <w:szCs w:val="20"/>
    </w:rPr>
  </w:style>
  <w:style w:type="character" w:styleId="48">
    <w:name w:val="HTML Acronym"/>
    <w:basedOn w:val="42"/>
    <w:qFormat/>
    <w:uiPriority w:val="0"/>
  </w:style>
  <w:style w:type="character" w:styleId="49">
    <w:name w:val="HTML Variable"/>
    <w:qFormat/>
    <w:uiPriority w:val="0"/>
    <w:rPr>
      <w:i/>
      <w:iCs/>
    </w:rPr>
  </w:style>
  <w:style w:type="character" w:styleId="50">
    <w:name w:val="Hyperlink"/>
    <w:basedOn w:val="42"/>
    <w:qFormat/>
    <w:uiPriority w:val="99"/>
    <w:rPr>
      <w:rFonts w:ascii="Times New Roman" w:hAnsi="Times New Roman" w:eastAsia="宋体"/>
      <w:color w:val="auto"/>
      <w:spacing w:val="0"/>
      <w:w w:val="100"/>
      <w:position w:val="0"/>
      <w:sz w:val="21"/>
      <w:u w:val="none"/>
    </w:rPr>
  </w:style>
  <w:style w:type="character" w:styleId="51">
    <w:name w:val="HTML Code"/>
    <w:qFormat/>
    <w:uiPriority w:val="0"/>
    <w:rPr>
      <w:rFonts w:ascii="Courier New" w:hAnsi="Courier New"/>
      <w:sz w:val="20"/>
      <w:szCs w:val="20"/>
    </w:rPr>
  </w:style>
  <w:style w:type="character" w:styleId="52">
    <w:name w:val="annotation reference"/>
    <w:basedOn w:val="42"/>
    <w:qFormat/>
    <w:uiPriority w:val="0"/>
    <w:rPr>
      <w:sz w:val="21"/>
      <w:szCs w:val="21"/>
    </w:rPr>
  </w:style>
  <w:style w:type="character" w:styleId="53">
    <w:name w:val="HTML Cite"/>
    <w:qFormat/>
    <w:uiPriority w:val="0"/>
    <w:rPr>
      <w:i/>
      <w:iCs/>
    </w:rPr>
  </w:style>
  <w:style w:type="character" w:styleId="54">
    <w:name w:val="footnote reference"/>
    <w:qFormat/>
    <w:uiPriority w:val="0"/>
    <w:rPr>
      <w:vertAlign w:val="superscript"/>
    </w:rPr>
  </w:style>
  <w:style w:type="character" w:styleId="55">
    <w:name w:val="HTML Keyboard"/>
    <w:qFormat/>
    <w:uiPriority w:val="0"/>
    <w:rPr>
      <w:rFonts w:ascii="Courier New" w:hAnsi="Courier New"/>
      <w:sz w:val="20"/>
      <w:szCs w:val="20"/>
    </w:rPr>
  </w:style>
  <w:style w:type="character" w:styleId="56">
    <w:name w:val="HTML Sample"/>
    <w:qFormat/>
    <w:uiPriority w:val="0"/>
    <w:rPr>
      <w:rFonts w:ascii="Courier New" w:hAnsi="Courier New"/>
    </w:rPr>
  </w:style>
  <w:style w:type="paragraph" w:customStyle="1" w:styleId="57">
    <w:name w:val="段"/>
    <w:link w:val="274"/>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8">
    <w:name w:val="二级条标题"/>
    <w:basedOn w:val="59"/>
    <w:next w:val="57"/>
    <w:link w:val="276"/>
    <w:qFormat/>
    <w:uiPriority w:val="0"/>
    <w:pPr>
      <w:numPr>
        <w:ilvl w:val="3"/>
      </w:numPr>
      <w:ind w:left="0"/>
      <w:outlineLvl w:val="3"/>
    </w:pPr>
    <w:rPr>
      <w:rFonts w:hAnsi="黑体"/>
      <w:color w:val="000000" w:themeColor="text1"/>
      <w:spacing w:val="-6"/>
      <w14:textFill>
        <w14:solidFill>
          <w14:schemeClr w14:val="tx1"/>
        </w14:solidFill>
      </w14:textFill>
    </w:rPr>
  </w:style>
  <w:style w:type="paragraph" w:customStyle="1" w:styleId="59">
    <w:name w:val="一级条标题"/>
    <w:basedOn w:val="60"/>
    <w:next w:val="57"/>
    <w:link w:val="278"/>
    <w:qFormat/>
    <w:uiPriority w:val="0"/>
    <w:pPr>
      <w:numPr>
        <w:ilvl w:val="2"/>
      </w:numPr>
      <w:spacing w:beforeLines="0" w:afterLines="0" w:line="300" w:lineRule="auto"/>
      <w:outlineLvl w:val="2"/>
    </w:pPr>
    <w:rPr>
      <w:color w:val="FF0000"/>
      <w:spacing w:val="-4"/>
      <w:szCs w:val="24"/>
    </w:rPr>
  </w:style>
  <w:style w:type="paragraph" w:customStyle="1" w:styleId="60">
    <w:name w:val="章标题"/>
    <w:next w:val="57"/>
    <w:link w:val="277"/>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2">
    <w:name w:val="封面标准号2"/>
    <w:basedOn w:val="63"/>
    <w:qFormat/>
    <w:uiPriority w:val="0"/>
    <w:pPr>
      <w:adjustRightInd w:val="0"/>
      <w:spacing w:before="357" w:line="280" w:lineRule="exact"/>
    </w:pPr>
  </w:style>
  <w:style w:type="paragraph" w:customStyle="1" w:styleId="6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4">
    <w:name w:val="附录标识"/>
    <w:basedOn w:val="65"/>
    <w:link w:val="299"/>
    <w:qFormat/>
    <w:uiPriority w:val="0"/>
    <w:pPr>
      <w:numPr>
        <w:ilvl w:val="0"/>
        <w:numId w:val="2"/>
      </w:numPr>
      <w:tabs>
        <w:tab w:val="left" w:pos="6405"/>
      </w:tabs>
      <w:spacing w:after="200"/>
    </w:pPr>
    <w:rPr>
      <w:sz w:val="21"/>
    </w:rPr>
  </w:style>
  <w:style w:type="paragraph" w:customStyle="1" w:styleId="65">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7">
    <w:name w:val="发布部门"/>
    <w:next w:val="57"/>
    <w:qFormat/>
    <w:uiPriority w:val="0"/>
    <w:pPr>
      <w:jc w:val="center"/>
    </w:pPr>
    <w:rPr>
      <w:rFonts w:ascii="宋体" w:hAnsi="Times New Roman" w:eastAsia="宋体" w:cs="Times New Roman"/>
      <w:b/>
      <w:spacing w:val="20"/>
      <w:w w:val="135"/>
      <w:sz w:val="36"/>
      <w:lang w:val="en-US" w:eastAsia="zh-CN" w:bidi="ar-SA"/>
    </w:rPr>
  </w:style>
  <w:style w:type="paragraph" w:customStyle="1" w:styleId="6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9">
    <w:name w:val="四级条标题"/>
    <w:basedOn w:val="70"/>
    <w:next w:val="57"/>
    <w:qFormat/>
    <w:uiPriority w:val="0"/>
    <w:pPr>
      <w:numPr>
        <w:ilvl w:val="5"/>
      </w:numPr>
      <w:outlineLvl w:val="5"/>
    </w:pPr>
  </w:style>
  <w:style w:type="paragraph" w:customStyle="1" w:styleId="70">
    <w:name w:val="三级条标题"/>
    <w:basedOn w:val="58"/>
    <w:next w:val="57"/>
    <w:link w:val="280"/>
    <w:qFormat/>
    <w:uiPriority w:val="0"/>
    <w:pPr>
      <w:numPr>
        <w:ilvl w:val="4"/>
      </w:numPr>
      <w:outlineLvl w:val="4"/>
    </w:pPr>
  </w:style>
  <w:style w:type="paragraph" w:customStyle="1" w:styleId="71">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3">
    <w:name w:val="参考文献、索引标题"/>
    <w:basedOn w:val="65"/>
    <w:next w:val="1"/>
    <w:qFormat/>
    <w:uiPriority w:val="0"/>
    <w:pPr>
      <w:numPr>
        <w:numId w:val="0"/>
      </w:numPr>
      <w:spacing w:after="200"/>
    </w:pPr>
    <w:rPr>
      <w:sz w:val="21"/>
    </w:rPr>
  </w:style>
  <w:style w:type="paragraph" w:customStyle="1" w:styleId="7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实施日期"/>
    <w:basedOn w:val="76"/>
    <w:qFormat/>
    <w:uiPriority w:val="0"/>
    <w:pPr>
      <w:jc w:val="right"/>
    </w:pPr>
  </w:style>
  <w:style w:type="paragraph" w:customStyle="1" w:styleId="76">
    <w:name w:val="发布日期"/>
    <w:qFormat/>
    <w:uiPriority w:val="0"/>
    <w:rPr>
      <w:rFonts w:ascii="Times New Roman" w:hAnsi="Times New Roman" w:eastAsia="黑体" w:cs="Times New Roman"/>
      <w:sz w:val="28"/>
      <w:lang w:val="en-US" w:eastAsia="zh-CN" w:bidi="ar-SA"/>
    </w:rPr>
  </w:style>
  <w:style w:type="paragraph" w:customStyle="1" w:styleId="77">
    <w:name w:val="条文脚注"/>
    <w:basedOn w:val="32"/>
    <w:qFormat/>
    <w:uiPriority w:val="0"/>
    <w:pPr>
      <w:ind w:left="780" w:leftChars="200" w:hanging="360" w:hangingChars="200"/>
      <w:jc w:val="both"/>
    </w:pPr>
    <w:rPr>
      <w:rFonts w:ascii="宋体"/>
    </w:rPr>
  </w:style>
  <w:style w:type="paragraph" w:customStyle="1" w:styleId="78">
    <w:name w:val="附录章标题"/>
    <w:next w:val="57"/>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9">
    <w:name w:val="注×："/>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1">
    <w:name w:val="图表脚注"/>
    <w:next w:val="5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2">
    <w:name w:val="五级无标题条"/>
    <w:basedOn w:val="1"/>
    <w:qFormat/>
    <w:uiPriority w:val="0"/>
    <w:pPr>
      <w:numPr>
        <w:ilvl w:val="6"/>
        <w:numId w:val="5"/>
      </w:numPr>
    </w:pPr>
  </w:style>
  <w:style w:type="paragraph" w:customStyle="1" w:styleId="83">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4">
    <w:name w:val="Char"/>
    <w:basedOn w:val="1"/>
    <w:qFormat/>
    <w:uiPriority w:val="0"/>
    <w:pPr>
      <w:widowControl/>
      <w:spacing w:after="160" w:line="240" w:lineRule="exact"/>
      <w:jc w:val="left"/>
    </w:pPr>
  </w:style>
  <w:style w:type="paragraph" w:customStyle="1" w:styleId="85">
    <w:name w:val="无标题条"/>
    <w:next w:val="57"/>
    <w:qFormat/>
    <w:uiPriority w:val="0"/>
    <w:pPr>
      <w:jc w:val="both"/>
    </w:pPr>
    <w:rPr>
      <w:rFonts w:ascii="Times New Roman" w:hAnsi="Times New Roman" w:eastAsia="宋体" w:cs="Times New Roman"/>
      <w:sz w:val="21"/>
      <w:lang w:val="en-US" w:eastAsia="zh-CN" w:bidi="ar-SA"/>
    </w:rPr>
  </w:style>
  <w:style w:type="paragraph" w:customStyle="1" w:styleId="86">
    <w:name w:val="五级条标题"/>
    <w:basedOn w:val="69"/>
    <w:next w:val="57"/>
    <w:qFormat/>
    <w:uiPriority w:val="0"/>
    <w:pPr>
      <w:numPr>
        <w:ilvl w:val="6"/>
      </w:numPr>
      <w:outlineLvl w:val="6"/>
    </w:pPr>
  </w:style>
  <w:style w:type="paragraph" w:customStyle="1" w:styleId="87">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9">
    <w:name w:val="正文图标题"/>
    <w:next w:val="57"/>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0">
    <w:name w:val="注："/>
    <w:next w:val="57"/>
    <w:link w:val="283"/>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2">
    <w:name w:val="标准书眉_偶数页"/>
    <w:basedOn w:val="88"/>
    <w:next w:val="1"/>
    <w:qFormat/>
    <w:uiPriority w:val="0"/>
    <w:pPr>
      <w:jc w:val="left"/>
    </w:pPr>
  </w:style>
  <w:style w:type="paragraph" w:customStyle="1" w:styleId="93">
    <w:name w:val="二级无标题条"/>
    <w:basedOn w:val="1"/>
    <w:qFormat/>
    <w:uiPriority w:val="0"/>
    <w:pPr>
      <w:numPr>
        <w:ilvl w:val="3"/>
        <w:numId w:val="5"/>
      </w:numPr>
    </w:pPr>
  </w:style>
  <w:style w:type="paragraph" w:customStyle="1" w:styleId="94">
    <w:name w:val="附录表标题"/>
    <w:next w:val="57"/>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5">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7">
    <w:name w:val="封面正文"/>
    <w:qFormat/>
    <w:uiPriority w:val="0"/>
    <w:pPr>
      <w:jc w:val="both"/>
    </w:pPr>
    <w:rPr>
      <w:rFonts w:ascii="Times New Roman" w:hAnsi="Times New Roman" w:eastAsia="宋体" w:cs="Times New Roman"/>
      <w:lang w:val="en-US" w:eastAsia="zh-CN" w:bidi="ar-SA"/>
    </w:rPr>
  </w:style>
  <w:style w:type="paragraph" w:customStyle="1" w:styleId="98">
    <w:name w:val="附录五级条标题"/>
    <w:basedOn w:val="99"/>
    <w:next w:val="57"/>
    <w:qFormat/>
    <w:uiPriority w:val="0"/>
    <w:pPr>
      <w:numPr>
        <w:ilvl w:val="6"/>
      </w:numPr>
      <w:outlineLvl w:val="6"/>
    </w:pPr>
  </w:style>
  <w:style w:type="paragraph" w:customStyle="1" w:styleId="99">
    <w:name w:val="附录四级条标题"/>
    <w:basedOn w:val="100"/>
    <w:next w:val="57"/>
    <w:qFormat/>
    <w:uiPriority w:val="0"/>
    <w:pPr>
      <w:numPr>
        <w:ilvl w:val="5"/>
      </w:numPr>
      <w:outlineLvl w:val="5"/>
    </w:pPr>
  </w:style>
  <w:style w:type="paragraph" w:customStyle="1" w:styleId="100">
    <w:name w:val="附录三级条标题"/>
    <w:basedOn w:val="101"/>
    <w:next w:val="57"/>
    <w:qFormat/>
    <w:uiPriority w:val="0"/>
    <w:pPr>
      <w:numPr>
        <w:ilvl w:val="4"/>
      </w:numPr>
      <w:outlineLvl w:val="4"/>
    </w:pPr>
  </w:style>
  <w:style w:type="paragraph" w:customStyle="1" w:styleId="101">
    <w:name w:val="附录二级条标题"/>
    <w:basedOn w:val="102"/>
    <w:next w:val="57"/>
    <w:qFormat/>
    <w:uiPriority w:val="0"/>
    <w:pPr>
      <w:numPr>
        <w:ilvl w:val="3"/>
      </w:numPr>
      <w:outlineLvl w:val="3"/>
    </w:pPr>
  </w:style>
  <w:style w:type="paragraph" w:customStyle="1" w:styleId="102">
    <w:name w:val="附录一级条标题"/>
    <w:basedOn w:val="78"/>
    <w:next w:val="57"/>
    <w:qFormat/>
    <w:uiPriority w:val="0"/>
    <w:pPr>
      <w:numPr>
        <w:ilvl w:val="2"/>
      </w:numPr>
      <w:autoSpaceDN w:val="0"/>
      <w:spacing w:beforeLines="0" w:afterLines="0"/>
      <w:outlineLvl w:val="2"/>
    </w:pPr>
  </w:style>
  <w:style w:type="paragraph" w:customStyle="1" w:styleId="103">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4">
    <w:name w:val="附录图标题"/>
    <w:next w:val="57"/>
    <w:qFormat/>
    <w:uiPriority w:val="0"/>
    <w:pPr>
      <w:jc w:val="center"/>
    </w:pPr>
    <w:rPr>
      <w:rFonts w:ascii="黑体" w:hAnsi="Times New Roman" w:eastAsia="黑体" w:cs="Times New Roman"/>
      <w:sz w:val="21"/>
      <w:lang w:val="en-US" w:eastAsia="zh-CN" w:bidi="ar-SA"/>
    </w:rPr>
  </w:style>
  <w:style w:type="paragraph" w:customStyle="1" w:styleId="10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6">
    <w:name w:val="正文表标题"/>
    <w:next w:val="57"/>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7">
    <w:name w:val="示例"/>
    <w:next w:val="57"/>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8">
    <w:name w:val="篇"/>
    <w:basedOn w:val="1"/>
    <w:next w:val="1"/>
    <w:qFormat/>
    <w:uiPriority w:val="0"/>
    <w:pPr>
      <w:adjustRightInd w:val="0"/>
      <w:spacing w:line="360" w:lineRule="atLeast"/>
      <w:jc w:val="center"/>
      <w:textAlignment w:val="baseline"/>
    </w:pPr>
    <w:rPr>
      <w:rFonts w:eastAsia="黑体"/>
      <w:kern w:val="0"/>
      <w:sz w:val="24"/>
      <w:szCs w:val="20"/>
    </w:rPr>
  </w:style>
  <w:style w:type="paragraph" w:customStyle="1" w:styleId="109">
    <w:name w:val="四级无标题条"/>
    <w:basedOn w:val="1"/>
    <w:qFormat/>
    <w:uiPriority w:val="0"/>
    <w:pPr>
      <w:numPr>
        <w:ilvl w:val="5"/>
        <w:numId w:val="5"/>
      </w:numPr>
    </w:pPr>
  </w:style>
  <w:style w:type="paragraph" w:customStyle="1" w:styleId="110">
    <w:name w:val="目次、标准名称标题"/>
    <w:basedOn w:val="65"/>
    <w:next w:val="57"/>
    <w:qFormat/>
    <w:uiPriority w:val="0"/>
    <w:pPr>
      <w:numPr>
        <w:numId w:val="0"/>
      </w:numPr>
      <w:spacing w:line="460" w:lineRule="exact"/>
    </w:pPr>
  </w:style>
  <w:style w:type="paragraph" w:customStyle="1" w:styleId="111">
    <w:name w:val="标准书眉一"/>
    <w:link w:val="303"/>
    <w:qFormat/>
    <w:uiPriority w:val="0"/>
    <w:pPr>
      <w:jc w:val="both"/>
    </w:pPr>
    <w:rPr>
      <w:rFonts w:ascii="Times New Roman" w:hAnsi="Times New Roman" w:eastAsia="宋体" w:cs="Times New Roman"/>
      <w:lang w:val="en-US" w:eastAsia="zh-CN" w:bidi="ar-SA"/>
    </w:rPr>
  </w:style>
  <w:style w:type="paragraph" w:customStyle="1" w:styleId="11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3">
    <w:name w:val="其他发布部门"/>
    <w:basedOn w:val="67"/>
    <w:qFormat/>
    <w:uiPriority w:val="0"/>
    <w:pPr>
      <w:spacing w:line="0" w:lineRule="atLeast"/>
    </w:pPr>
    <w:rPr>
      <w:rFonts w:ascii="黑体" w:eastAsia="黑体"/>
      <w:b w:val="0"/>
    </w:rPr>
  </w:style>
  <w:style w:type="paragraph" w:customStyle="1" w:styleId="114">
    <w:name w:val="列项·"/>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5">
    <w:name w:val="三级无标题条"/>
    <w:basedOn w:val="1"/>
    <w:qFormat/>
    <w:uiPriority w:val="0"/>
    <w:pPr>
      <w:numPr>
        <w:ilvl w:val="4"/>
        <w:numId w:val="5"/>
      </w:numPr>
    </w:pPr>
  </w:style>
  <w:style w:type="paragraph" w:customStyle="1" w:styleId="11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7">
    <w:name w:val="一级无标题条"/>
    <w:basedOn w:val="1"/>
    <w:qFormat/>
    <w:uiPriority w:val="0"/>
    <w:pPr>
      <w:numPr>
        <w:ilvl w:val="2"/>
        <w:numId w:val="5"/>
      </w:numPr>
    </w:pPr>
  </w:style>
  <w:style w:type="paragraph" w:customStyle="1" w:styleId="118">
    <w:name w:val="封面标准代替信息"/>
    <w:basedOn w:val="62"/>
    <w:qFormat/>
    <w:uiPriority w:val="0"/>
    <w:pPr>
      <w:spacing w:before="57"/>
    </w:pPr>
    <w:rPr>
      <w:rFonts w:ascii="宋体"/>
      <w:sz w:val="21"/>
    </w:rPr>
  </w:style>
  <w:style w:type="paragraph" w:customStyle="1" w:styleId="119">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20">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2">
    <w:name w:val="font6"/>
    <w:basedOn w:val="1"/>
    <w:qFormat/>
    <w:uiPriority w:val="0"/>
    <w:pPr>
      <w:widowControl/>
      <w:spacing w:before="100" w:beforeAutospacing="1" w:after="100" w:afterAutospacing="1"/>
      <w:jc w:val="left"/>
    </w:pPr>
    <w:rPr>
      <w:b/>
      <w:bCs/>
      <w:kern w:val="0"/>
      <w:sz w:val="20"/>
      <w:szCs w:val="20"/>
    </w:rPr>
  </w:style>
  <w:style w:type="paragraph" w:customStyle="1" w:styleId="123">
    <w:name w:val="font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4">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8">
    <w:name w:val="xl78"/>
    <w:basedOn w:val="1"/>
    <w:qFormat/>
    <w:uiPriority w:val="0"/>
    <w:pPr>
      <w:widowControl/>
      <w:spacing w:before="100" w:beforeAutospacing="1" w:after="100" w:afterAutospacing="1"/>
      <w:jc w:val="center"/>
      <w:textAlignment w:val="center"/>
    </w:pPr>
    <w:rPr>
      <w:b/>
      <w:bCs/>
      <w:kern w:val="0"/>
      <w:sz w:val="24"/>
    </w:rPr>
  </w:style>
  <w:style w:type="paragraph" w:customStyle="1" w:styleId="129">
    <w:name w:val="xl79"/>
    <w:basedOn w:val="1"/>
    <w:qFormat/>
    <w:uiPriority w:val="0"/>
    <w:pPr>
      <w:widowControl/>
      <w:spacing w:before="100" w:beforeAutospacing="1" w:after="100" w:afterAutospacing="1"/>
      <w:jc w:val="center"/>
      <w:textAlignment w:val="center"/>
    </w:pPr>
    <w:rPr>
      <w:b/>
      <w:bCs/>
      <w:kern w:val="0"/>
      <w:sz w:val="24"/>
    </w:rPr>
  </w:style>
  <w:style w:type="paragraph" w:customStyle="1" w:styleId="130">
    <w:name w:val="xl80"/>
    <w:basedOn w:val="1"/>
    <w:qFormat/>
    <w:uiPriority w:val="0"/>
    <w:pPr>
      <w:widowControl/>
      <w:spacing w:before="100" w:beforeAutospacing="1" w:after="100" w:afterAutospacing="1"/>
      <w:jc w:val="center"/>
      <w:textAlignment w:val="center"/>
    </w:pPr>
    <w:rPr>
      <w:b/>
      <w:bCs/>
      <w:kern w:val="0"/>
      <w:sz w:val="24"/>
    </w:rPr>
  </w:style>
  <w:style w:type="paragraph" w:customStyle="1" w:styleId="13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4">
    <w:name w:val="xl94"/>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c封面标准名称"/>
    <w:basedOn w:val="1"/>
    <w:qFormat/>
    <w:uiPriority w:val="0"/>
    <w:pPr>
      <w:adjustRightInd w:val="0"/>
      <w:jc w:val="center"/>
    </w:pPr>
    <w:rPr>
      <w:rFonts w:eastAsia="黑体"/>
      <w:kern w:val="0"/>
      <w:sz w:val="52"/>
      <w:szCs w:val="20"/>
    </w:rPr>
  </w:style>
  <w:style w:type="paragraph" w:customStyle="1" w:styleId="146">
    <w:name w:val="样式2"/>
    <w:basedOn w:val="70"/>
    <w:qFormat/>
    <w:uiPriority w:val="0"/>
    <w:pPr>
      <w:numPr>
        <w:numId w:val="0"/>
      </w:numPr>
      <w:spacing w:line="240" w:lineRule="auto"/>
      <w:ind w:left="454"/>
    </w:pPr>
    <w:rPr>
      <w:color w:val="auto"/>
      <w:spacing w:val="0"/>
      <w:szCs w:val="20"/>
    </w:rPr>
  </w:style>
  <w:style w:type="paragraph" w:customStyle="1" w:styleId="147">
    <w:name w:val="列出段落1"/>
    <w:basedOn w:val="1"/>
    <w:qFormat/>
    <w:uiPriority w:val="34"/>
    <w:pPr>
      <w:ind w:firstLine="420" w:firstLineChars="200"/>
    </w:pPr>
    <w:rPr>
      <w:rFonts w:ascii="Calibri" w:hAnsi="Calibri"/>
      <w:szCs w:val="22"/>
    </w:rPr>
  </w:style>
  <w:style w:type="paragraph" w:customStyle="1" w:styleId="148">
    <w:name w:val="图表脚注说明"/>
    <w:basedOn w:val="1"/>
    <w:qFormat/>
    <w:uiPriority w:val="0"/>
    <w:rPr>
      <w:rFonts w:ascii="宋体"/>
      <w:sz w:val="18"/>
      <w:szCs w:val="18"/>
    </w:rPr>
  </w:style>
  <w:style w:type="paragraph" w:customStyle="1" w:styleId="149">
    <w:name w:val="Char11"/>
    <w:basedOn w:val="1"/>
    <w:qFormat/>
    <w:uiPriority w:val="0"/>
    <w:pPr>
      <w:widowControl/>
      <w:spacing w:after="160" w:line="240" w:lineRule="exact"/>
      <w:jc w:val="left"/>
    </w:pPr>
  </w:style>
  <w:style w:type="paragraph" w:customStyle="1" w:styleId="150">
    <w:name w:val="ordinary-output"/>
    <w:basedOn w:val="1"/>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1">
    <w:name w:val="列出段落11"/>
    <w:basedOn w:val="1"/>
    <w:qFormat/>
    <w:uiPriority w:val="34"/>
    <w:pPr>
      <w:ind w:firstLine="420" w:firstLineChars="200"/>
    </w:pPr>
    <w:rPr>
      <w:sz w:val="24"/>
    </w:rPr>
  </w:style>
  <w:style w:type="paragraph" w:customStyle="1" w:styleId="152">
    <w:name w:val="Char1 Char Char Char"/>
    <w:basedOn w:val="1"/>
    <w:qFormat/>
    <w:uiPriority w:val="0"/>
    <w:rPr>
      <w:szCs w:val="20"/>
    </w:rPr>
  </w:style>
  <w:style w:type="paragraph" w:customStyle="1" w:styleId="153">
    <w:name w:val="Char1"/>
    <w:basedOn w:val="1"/>
    <w:qFormat/>
    <w:uiPriority w:val="0"/>
    <w:pPr>
      <w:widowControl/>
      <w:spacing w:after="160" w:line="240" w:lineRule="exact"/>
      <w:jc w:val="left"/>
    </w:pPr>
  </w:style>
  <w:style w:type="paragraph" w:customStyle="1" w:styleId="154">
    <w:name w:val="Decimal Aligned"/>
    <w:basedOn w:val="1"/>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5">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6">
    <w:name w:val="xl6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121"/>
    <w:basedOn w:val="1"/>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59">
    <w:name w:val="xl165"/>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0">
    <w:name w:val="xl120"/>
    <w:basedOn w:val="1"/>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1">
    <w:name w:val="xl106"/>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2">
    <w:name w:val="xl11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02"/>
    <w:basedOn w:val="1"/>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97"/>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6">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7">
    <w:name w:val="xl73"/>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8">
    <w:name w:val="xl183"/>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9">
    <w:name w:val="xl184"/>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0">
    <w:name w:val="xl122"/>
    <w:basedOn w:val="1"/>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1">
    <w:name w:val="xl75"/>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2">
    <w:name w:val="xl18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3">
    <w:name w:val="xl130"/>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4">
    <w:name w:val="xl71"/>
    <w:basedOn w:val="1"/>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5">
    <w:name w:val="xl1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6">
    <w:name w:val="xl135"/>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8">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79">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0">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xl178"/>
    <w:basedOn w:val="1"/>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3">
    <w:name w:val="xl170"/>
    <w:basedOn w:val="1"/>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4">
    <w:name w:val="xl17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5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6">
    <w:name w:val="xl176"/>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7">
    <w:name w:val="xl16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8">
    <w:name w:val="xl152"/>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89">
    <w:name w:val="xl74"/>
    <w:basedOn w:val="1"/>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0">
    <w:name w:val="xl174"/>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1">
    <w:name w:val="xl15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2">
    <w:name w:val="xl129"/>
    <w:basedOn w:val="1"/>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3">
    <w:name w:val="xl7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4">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6">
    <w:name w:val="xl72"/>
    <w:basedOn w:val="1"/>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7">
    <w:name w:val="xl11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8">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0">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1">
    <w:name w:val="xl103"/>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2">
    <w:name w:val="xl98"/>
    <w:basedOn w:val="1"/>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3">
    <w:name w:val="xl162"/>
    <w:basedOn w:val="1"/>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4">
    <w:name w:val="xl1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5">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6">
    <w:name w:val="xl159"/>
    <w:basedOn w:val="1"/>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7">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8">
    <w:name w:val="xl160"/>
    <w:basedOn w:val="1"/>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9">
    <w:name w:val="xl95"/>
    <w:basedOn w:val="1"/>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0">
    <w:name w:val="xl10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1">
    <w:name w:val="xl157"/>
    <w:basedOn w:val="1"/>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2">
    <w:name w:val="xl118"/>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3">
    <w:name w:val="xl104"/>
    <w:basedOn w:val="1"/>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4">
    <w:name w:val="xl163"/>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5">
    <w:name w:val="xl15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6">
    <w:name w:val="xl99"/>
    <w:basedOn w:val="1"/>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7">
    <w:name w:val="xl140"/>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19">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0">
    <w:name w:val="xl138"/>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1">
    <w:name w:val="xl119"/>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2">
    <w:name w:val="xl105"/>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3">
    <w:name w:val="xl143"/>
    <w:basedOn w:val="1"/>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4">
    <w:name w:val="xl11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6">
    <w:name w:val="xl144"/>
    <w:basedOn w:val="1"/>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7">
    <w:name w:val="xl10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8">
    <w:name w:val="xl141"/>
    <w:basedOn w:val="1"/>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9">
    <w:name w:val="xl96"/>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0">
    <w:name w:val="xl171"/>
    <w:basedOn w:val="1"/>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1">
    <w:name w:val="xl12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2">
    <w:name w:val="xl1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3">
    <w:name w:val="xl179"/>
    <w:basedOn w:val="1"/>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4">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26"/>
    <w:basedOn w:val="1"/>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6">
    <w:name w:val="xl127"/>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7">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8">
    <w:name w:val="xl131"/>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9">
    <w:name w:val="xl132"/>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0">
    <w:name w:val="xl177"/>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1">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2">
    <w:name w:val="xl133"/>
    <w:basedOn w:val="1"/>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3">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4">
    <w:name w:val="xl134"/>
    <w:basedOn w:val="1"/>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5">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6">
    <w:name w:val="xl137"/>
    <w:basedOn w:val="1"/>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7">
    <w:name w:val="xl14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8">
    <w:name w:val="xl139"/>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49">
    <w:name w:val="xl142"/>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0">
    <w:name w:val="xl172"/>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1">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2">
    <w:name w:val="xl17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3">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4">
    <w:name w:val="xl161"/>
    <w:basedOn w:val="1"/>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5">
    <w:name w:val="xl153"/>
    <w:basedOn w:val="1"/>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64"/>
    <w:basedOn w:val="1"/>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56"/>
    <w:basedOn w:val="1"/>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8">
    <w:name w:val="xl158"/>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9">
    <w:name w:val="xl166"/>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0">
    <w:name w:val="xl167"/>
    <w:basedOn w:val="1"/>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8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2">
    <w:name w:val="xl180"/>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3">
    <w:name w:val="xl1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Char2"/>
    <w:basedOn w:val="1"/>
    <w:qFormat/>
    <w:uiPriority w:val="0"/>
    <w:pPr>
      <w:widowControl/>
      <w:spacing w:after="160" w:line="240" w:lineRule="exact"/>
      <w:jc w:val="left"/>
    </w:pPr>
  </w:style>
  <w:style w:type="paragraph" w:customStyle="1" w:styleId="265">
    <w:name w:val="正文1"/>
    <w:qFormat/>
    <w:uiPriority w:val="0"/>
    <w:pPr>
      <w:jc w:val="both"/>
    </w:pPr>
    <w:rPr>
      <w:rFonts w:ascii="Calibri" w:hAnsi="Calibri" w:eastAsia="宋体" w:cs="Calibri"/>
      <w:kern w:val="2"/>
      <w:sz w:val="21"/>
      <w:szCs w:val="21"/>
      <w:lang w:val="en-US" w:eastAsia="zh-CN" w:bidi="ar-SA"/>
    </w:rPr>
  </w:style>
  <w:style w:type="paragraph" w:customStyle="1" w:styleId="266">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67">
    <w:name w:val="p0"/>
    <w:basedOn w:val="1"/>
    <w:qFormat/>
    <w:uiPriority w:val="0"/>
    <w:pPr>
      <w:widowControl/>
      <w:jc w:val="left"/>
    </w:pPr>
    <w:rPr>
      <w:kern w:val="0"/>
      <w:szCs w:val="21"/>
    </w:rPr>
  </w:style>
  <w:style w:type="paragraph" w:customStyle="1" w:styleId="26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69">
    <w:name w:val="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70">
    <w:name w:val="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271">
    <w:name w:val="Char6"/>
    <w:basedOn w:val="1"/>
    <w:qFormat/>
    <w:uiPriority w:val="0"/>
    <w:pPr>
      <w:widowControl/>
      <w:spacing w:after="160" w:line="240" w:lineRule="exact"/>
      <w:jc w:val="left"/>
    </w:pPr>
    <w:rPr>
      <w:rFonts w:ascii="Verdana" w:hAnsi="Verdana"/>
      <w:kern w:val="0"/>
      <w:sz w:val="20"/>
      <w:szCs w:val="20"/>
      <w:lang w:eastAsia="en-US"/>
    </w:rPr>
  </w:style>
  <w:style w:type="character" w:customStyle="1" w:styleId="272">
    <w:name w:val="发布"/>
    <w:qFormat/>
    <w:uiPriority w:val="0"/>
    <w:rPr>
      <w:rFonts w:ascii="黑体" w:eastAsia="黑体"/>
      <w:spacing w:val="22"/>
      <w:w w:val="100"/>
      <w:position w:val="3"/>
      <w:sz w:val="28"/>
    </w:rPr>
  </w:style>
  <w:style w:type="character" w:customStyle="1" w:styleId="273">
    <w:name w:val="个人答复风格"/>
    <w:qFormat/>
    <w:uiPriority w:val="0"/>
    <w:rPr>
      <w:rFonts w:ascii="Arial" w:hAnsi="Arial" w:eastAsia="宋体" w:cs="Arial"/>
      <w:color w:val="auto"/>
      <w:sz w:val="20"/>
    </w:rPr>
  </w:style>
  <w:style w:type="character" w:customStyle="1" w:styleId="274">
    <w:name w:val="段 Char"/>
    <w:link w:val="57"/>
    <w:qFormat/>
    <w:uiPriority w:val="0"/>
    <w:rPr>
      <w:rFonts w:ascii="宋体" w:hAnsi="宋体" w:eastAsia="宋体"/>
      <w:sz w:val="21"/>
      <w:lang w:val="en-US" w:eastAsia="zh-CN" w:bidi="ar-SA"/>
    </w:rPr>
  </w:style>
  <w:style w:type="character" w:customStyle="1" w:styleId="275">
    <w:name w:val="个人撰写风格"/>
    <w:qFormat/>
    <w:uiPriority w:val="0"/>
    <w:rPr>
      <w:rFonts w:ascii="Arial" w:hAnsi="Arial" w:eastAsia="宋体" w:cs="Arial"/>
      <w:color w:val="auto"/>
      <w:sz w:val="20"/>
    </w:rPr>
  </w:style>
  <w:style w:type="character" w:customStyle="1" w:styleId="276">
    <w:name w:val="二级条标题 Char"/>
    <w:link w:val="58"/>
    <w:qFormat/>
    <w:uiPriority w:val="0"/>
    <w:rPr>
      <w:rFonts w:ascii="黑体" w:hAnsi="黑体" w:eastAsia="黑体"/>
      <w:color w:val="000000" w:themeColor="text1"/>
      <w:spacing w:val="-6"/>
      <w:sz w:val="21"/>
      <w:szCs w:val="24"/>
      <w14:textFill>
        <w14:solidFill>
          <w14:schemeClr w14:val="tx1"/>
        </w14:solidFill>
      </w14:textFill>
    </w:rPr>
  </w:style>
  <w:style w:type="character" w:customStyle="1" w:styleId="277">
    <w:name w:val="章标题 Char"/>
    <w:link w:val="60"/>
    <w:qFormat/>
    <w:uiPriority w:val="0"/>
    <w:rPr>
      <w:rFonts w:ascii="黑体" w:eastAsia="黑体"/>
      <w:sz w:val="21"/>
    </w:rPr>
  </w:style>
  <w:style w:type="character" w:customStyle="1" w:styleId="278">
    <w:name w:val="一级条标题 Char"/>
    <w:link w:val="59"/>
    <w:qFormat/>
    <w:uiPriority w:val="0"/>
    <w:rPr>
      <w:rFonts w:ascii="黑体" w:eastAsia="黑体"/>
      <w:color w:val="FF0000"/>
      <w:spacing w:val="-4"/>
      <w:sz w:val="21"/>
      <w:szCs w:val="24"/>
    </w:rPr>
  </w:style>
  <w:style w:type="character" w:customStyle="1" w:styleId="279">
    <w:name w:val="纯文本 字符"/>
    <w:link w:val="23"/>
    <w:qFormat/>
    <w:uiPriority w:val="0"/>
    <w:rPr>
      <w:rFonts w:ascii="宋体" w:hAnsi="Courier New" w:cs="Courier New"/>
      <w:kern w:val="2"/>
      <w:sz w:val="21"/>
      <w:szCs w:val="21"/>
    </w:rPr>
  </w:style>
  <w:style w:type="character" w:customStyle="1" w:styleId="280">
    <w:name w:val="三级条标题 Char"/>
    <w:link w:val="70"/>
    <w:qFormat/>
    <w:uiPriority w:val="0"/>
    <w:rPr>
      <w:rFonts w:ascii="黑体" w:eastAsia="黑体"/>
      <w:color w:val="FF0000"/>
      <w:spacing w:val="-4"/>
      <w:sz w:val="21"/>
      <w:szCs w:val="24"/>
    </w:rPr>
  </w:style>
  <w:style w:type="character" w:customStyle="1" w:styleId="281">
    <w:name w:val="批注框文本 字符"/>
    <w:link w:val="28"/>
    <w:qFormat/>
    <w:uiPriority w:val="99"/>
    <w:rPr>
      <w:kern w:val="2"/>
      <w:sz w:val="18"/>
      <w:szCs w:val="18"/>
    </w:rPr>
  </w:style>
  <w:style w:type="character" w:customStyle="1" w:styleId="282">
    <w:name w:val="正文文本 字符"/>
    <w:link w:val="16"/>
    <w:qFormat/>
    <w:uiPriority w:val="0"/>
    <w:rPr>
      <w:kern w:val="2"/>
      <w:sz w:val="21"/>
      <w:szCs w:val="24"/>
    </w:rPr>
  </w:style>
  <w:style w:type="character" w:customStyle="1" w:styleId="283">
    <w:name w:val="注： Char"/>
    <w:link w:val="90"/>
    <w:qFormat/>
    <w:uiPriority w:val="0"/>
    <w:rPr>
      <w:rFonts w:ascii="宋体"/>
      <w:sz w:val="18"/>
    </w:rPr>
  </w:style>
  <w:style w:type="character" w:customStyle="1" w:styleId="284">
    <w:name w:val="页脚 字符"/>
    <w:link w:val="29"/>
    <w:qFormat/>
    <w:uiPriority w:val="99"/>
    <w:rPr>
      <w:kern w:val="2"/>
      <w:sz w:val="18"/>
      <w:szCs w:val="18"/>
    </w:rPr>
  </w:style>
  <w:style w:type="character" w:customStyle="1" w:styleId="285">
    <w:name w:val="正文文本缩进 字符"/>
    <w:link w:val="17"/>
    <w:qFormat/>
    <w:uiPriority w:val="0"/>
    <w:rPr>
      <w:kern w:val="2"/>
      <w:sz w:val="24"/>
    </w:rPr>
  </w:style>
  <w:style w:type="character" w:customStyle="1" w:styleId="286">
    <w:name w:val="表中文字"/>
    <w:qFormat/>
    <w:uiPriority w:val="0"/>
    <w:rPr>
      <w:rFonts w:ascii="宋体" w:eastAsia="宋体"/>
      <w:sz w:val="18"/>
    </w:rPr>
  </w:style>
  <w:style w:type="character" w:customStyle="1" w:styleId="287">
    <w:name w:val="批注文字 字符"/>
    <w:link w:val="15"/>
    <w:qFormat/>
    <w:uiPriority w:val="0"/>
    <w:rPr>
      <w:kern w:val="2"/>
      <w:sz w:val="21"/>
      <w:szCs w:val="24"/>
    </w:rPr>
  </w:style>
  <w:style w:type="character" w:customStyle="1" w:styleId="288">
    <w:name w:val="批注主题 字符"/>
    <w:link w:val="38"/>
    <w:qFormat/>
    <w:uiPriority w:val="0"/>
    <w:rPr>
      <w:b/>
      <w:bCs/>
      <w:kern w:val="2"/>
      <w:sz w:val="21"/>
      <w:szCs w:val="24"/>
    </w:rPr>
  </w:style>
  <w:style w:type="character" w:customStyle="1" w:styleId="289">
    <w:name w:val="页眉 字符"/>
    <w:link w:val="30"/>
    <w:qFormat/>
    <w:uiPriority w:val="99"/>
    <w:rPr>
      <w:kern w:val="2"/>
      <w:sz w:val="18"/>
      <w:szCs w:val="18"/>
    </w:rPr>
  </w:style>
  <w:style w:type="character" w:customStyle="1" w:styleId="290">
    <w:name w:val="正文文本缩进 2 字符"/>
    <w:link w:val="26"/>
    <w:qFormat/>
    <w:uiPriority w:val="0"/>
    <w:rPr>
      <w:kern w:val="2"/>
      <w:sz w:val="21"/>
      <w:szCs w:val="24"/>
    </w:rPr>
  </w:style>
  <w:style w:type="character" w:customStyle="1" w:styleId="291">
    <w:name w:val="日期 字符"/>
    <w:link w:val="25"/>
    <w:qFormat/>
    <w:uiPriority w:val="99"/>
    <w:rPr>
      <w:kern w:val="2"/>
      <w:sz w:val="24"/>
    </w:rPr>
  </w:style>
  <w:style w:type="character" w:customStyle="1" w:styleId="292">
    <w:name w:val="访问过的超链接1"/>
    <w:qFormat/>
    <w:uiPriority w:val="99"/>
    <w:rPr>
      <w:color w:val="800080"/>
      <w:u w:val="single"/>
    </w:rPr>
  </w:style>
  <w:style w:type="character" w:customStyle="1" w:styleId="293">
    <w:name w:val="段 Char Char Char Char"/>
    <w:qFormat/>
    <w:uiPriority w:val="0"/>
    <w:rPr>
      <w:rFonts w:ascii="宋体"/>
      <w:sz w:val="21"/>
      <w:lang w:val="en-US" w:eastAsia="zh-CN" w:bidi="ar-SA"/>
    </w:rPr>
  </w:style>
  <w:style w:type="character" w:customStyle="1" w:styleId="294">
    <w:name w:val="章标题 Char Char"/>
    <w:qFormat/>
    <w:uiPriority w:val="0"/>
    <w:rPr>
      <w:rFonts w:ascii="黑体" w:eastAsia="黑体"/>
      <w:sz w:val="21"/>
      <w:lang w:val="en-US" w:eastAsia="zh-CN" w:bidi="ar-SA"/>
    </w:rPr>
  </w:style>
  <w:style w:type="character" w:customStyle="1" w:styleId="295">
    <w:name w:val="正文文本缩进 Char1"/>
    <w:qFormat/>
    <w:uiPriority w:val="0"/>
    <w:rPr>
      <w:kern w:val="2"/>
      <w:sz w:val="21"/>
      <w:szCs w:val="24"/>
    </w:rPr>
  </w:style>
  <w:style w:type="character" w:customStyle="1" w:styleId="296">
    <w:name w:val="font21"/>
    <w:qFormat/>
    <w:uiPriority w:val="0"/>
    <w:rPr>
      <w:rFonts w:hint="eastAsia" w:ascii="宋体" w:hAnsi="宋体" w:eastAsia="宋体" w:cs="宋体"/>
      <w:b/>
      <w:color w:val="FF0000"/>
      <w:sz w:val="21"/>
      <w:szCs w:val="21"/>
      <w:u w:val="none"/>
    </w:rPr>
  </w:style>
  <w:style w:type="character" w:customStyle="1" w:styleId="297">
    <w:name w:val="font41"/>
    <w:qFormat/>
    <w:uiPriority w:val="0"/>
    <w:rPr>
      <w:rFonts w:hint="eastAsia" w:ascii="宋体" w:hAnsi="宋体" w:eastAsia="宋体" w:cs="宋体"/>
      <w:b/>
      <w:color w:val="FF0000"/>
      <w:sz w:val="21"/>
      <w:szCs w:val="21"/>
      <w:u w:val="none"/>
    </w:rPr>
  </w:style>
  <w:style w:type="character" w:customStyle="1" w:styleId="298">
    <w:name w:val="font01"/>
    <w:qFormat/>
    <w:uiPriority w:val="0"/>
    <w:rPr>
      <w:rFonts w:hint="eastAsia" w:ascii="宋体" w:hAnsi="宋体" w:eastAsia="宋体"/>
      <w:color w:val="000000"/>
      <w:sz w:val="24"/>
      <w:szCs w:val="24"/>
      <w:u w:val="none"/>
    </w:rPr>
  </w:style>
  <w:style w:type="character" w:customStyle="1" w:styleId="299">
    <w:name w:val="附录标识 Char"/>
    <w:link w:val="64"/>
    <w:qFormat/>
    <w:uiPriority w:val="0"/>
    <w:rPr>
      <w:sz w:val="21"/>
    </w:rPr>
  </w:style>
  <w:style w:type="character" w:customStyle="1" w:styleId="300">
    <w:name w:val="font31"/>
    <w:qFormat/>
    <w:uiPriority w:val="0"/>
    <w:rPr>
      <w:rFonts w:hint="eastAsia" w:ascii="宋体" w:hAnsi="宋体" w:eastAsia="宋体" w:cs="宋体"/>
      <w:color w:val="000000"/>
      <w:sz w:val="22"/>
      <w:szCs w:val="22"/>
      <w:u w:val="none"/>
    </w:rPr>
  </w:style>
  <w:style w:type="paragraph" w:styleId="301">
    <w:name w:val="List Paragraph"/>
    <w:basedOn w:val="1"/>
    <w:qFormat/>
    <w:uiPriority w:val="34"/>
    <w:pPr>
      <w:ind w:firstLine="420" w:firstLineChars="200"/>
    </w:pPr>
  </w:style>
  <w:style w:type="paragraph" w:customStyle="1" w:styleId="302">
    <w:name w:val="Other|1"/>
    <w:basedOn w:val="1"/>
    <w:qFormat/>
    <w:uiPriority w:val="0"/>
    <w:pPr>
      <w:widowControl w:val="0"/>
      <w:shd w:val="clear" w:color="auto" w:fill="auto"/>
      <w:spacing w:after="80" w:line="377" w:lineRule="auto"/>
    </w:pPr>
    <w:rPr>
      <w:rFonts w:ascii="宋体" w:hAnsi="宋体" w:eastAsia="宋体" w:cs="宋体"/>
      <w:sz w:val="20"/>
      <w:szCs w:val="20"/>
      <w:u w:val="none"/>
      <w:shd w:val="clear" w:color="auto" w:fill="auto"/>
      <w:lang w:val="zh-TW" w:eastAsia="zh-TW" w:bidi="zh-TW"/>
    </w:rPr>
  </w:style>
  <w:style w:type="character" w:customStyle="1" w:styleId="303">
    <w:name w:val="标准书眉一 Char"/>
    <w:link w:val="111"/>
    <w:qFormat/>
    <w:uiPriority w:val="0"/>
    <w:rPr>
      <w:rFonts w:ascii="Times New Roman" w:hAnsi="Times New Roman" w:eastAsia="宋体" w:cs="Times New Roman"/>
      <w:lang w:val="en-US" w:eastAsia="zh-CN" w:bidi="ar-SA"/>
    </w:rPr>
  </w:style>
  <w:style w:type="character" w:customStyle="1" w:styleId="304">
    <w:name w:val="bds_more"/>
    <w:basedOn w:val="42"/>
    <w:qFormat/>
    <w:uiPriority w:val="0"/>
    <w:rPr>
      <w:rFonts w:hint="eastAsia" w:ascii="宋体" w:hAnsi="宋体" w:eastAsia="宋体" w:cs="宋体"/>
    </w:rPr>
  </w:style>
  <w:style w:type="character" w:customStyle="1" w:styleId="305">
    <w:name w:val="bds_more1"/>
    <w:basedOn w:val="42"/>
    <w:qFormat/>
    <w:uiPriority w:val="0"/>
  </w:style>
  <w:style w:type="character" w:customStyle="1" w:styleId="306">
    <w:name w:val="bds_more2"/>
    <w:basedOn w:val="42"/>
    <w:qFormat/>
    <w:uiPriority w:val="0"/>
  </w:style>
  <w:style w:type="character" w:customStyle="1" w:styleId="307">
    <w:name w:val="bds_nopic"/>
    <w:basedOn w:val="42"/>
    <w:qFormat/>
    <w:uiPriority w:val="0"/>
  </w:style>
  <w:style w:type="character" w:customStyle="1" w:styleId="308">
    <w:name w:val="bds_nopic1"/>
    <w:basedOn w:val="42"/>
    <w:qFormat/>
    <w:uiPriority w:val="0"/>
  </w:style>
  <w:style w:type="character" w:customStyle="1" w:styleId="309">
    <w:name w:val="bds_nopic2"/>
    <w:basedOn w:val="42"/>
    <w:qFormat/>
    <w:uiPriority w:val="0"/>
  </w:style>
  <w:style w:type="character" w:customStyle="1" w:styleId="310">
    <w:name w:val="TOC 6 字符"/>
    <w:link w:val="12"/>
    <w:qFormat/>
    <w:uiPriority w:val="0"/>
  </w:style>
  <w:style w:type="character" w:customStyle="1" w:styleId="311">
    <w:name w:val="font141"/>
    <w:qFormat/>
    <w:uiPriority w:val="0"/>
    <w:rPr>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CC06E0-E10B-46FD-AB59-2F17ED22A987}">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13</Pages>
  <Words>7956</Words>
  <Characters>8791</Characters>
  <Lines>32</Lines>
  <Paragraphs>9</Paragraphs>
  <TotalTime>0</TotalTime>
  <ScaleCrop>false</ScaleCrop>
  <LinksUpToDate>false</LinksUpToDate>
  <CharactersWithSpaces>8869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2019-11-11T12:12:00Z</dcterms:created>
  <dc:creator>标准李瑞山9585</dc:creator>
  <cp:lastModifiedBy>11857</cp:lastModifiedBy>
  <cp:lastPrinted>2023-09-15T05:49:00Z</cp:lastPrinted>
  <dcterms:modified xsi:type="dcterms:W3CDTF">2024-05-15T09:00:50Z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BC44CEB89E694EDD83B254D183F46C9C_12</vt:lpwstr>
  </property>
</Properties>
</file>