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/>
        <w:ind w:left="5250" w:leftChars="2500" w:right="1039" w:rightChars="495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bookmarkStart w:id="0" w:name="SectionMark0"/>
      <w:r>
        <w:rPr>
          <w:rFonts w:ascii="Times New Roman" w:hAnsi="Times New Roman"/>
        </w:rPr>
        <w:drawing>
          <wp:inline distT="0" distB="0" distL="0" distR="0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before="312" w:beforeLines="100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  <w:pict>
          <v:shape id="_x0000_i1025" o:spt="136" type="#_x0000_t136" style="height:25.5pt;width:439.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中华人民共和国工业和信息化部" style="font-family:方正小标宋_GBK;font-size:36pt;v-text-align:center;"/>
            <w10:wrap type="none"/>
            <w10:anchorlock/>
          </v:shape>
        </w:pict>
      </w:r>
    </w:p>
    <w:p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8"/>
          <w:szCs w:val="48"/>
        </w:rPr>
        <w:pict>
          <v:shape id="_x0000_i1026" o:spt="136" type="#_x0000_t136" style="height:25.5pt;width:284.2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有色金属计量技术规范" style="font-family:方正小标宋_GBK;font-size:32pt;v-text-align:center;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before="468" w:beforeLines="150" w:after="468" w:afterLines="150"/>
        <w:ind w:right="1417"/>
        <w:jc w:val="righ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BatangChe"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60.7pt;height:0.05pt;width:459.85pt;z-index:251667456;mso-width-relative:page;mso-height-relative:page;" filled="f" stroked="t" coordsize="21600,21600" o:gfxdata="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/Ml&#10;YNkAAAAKAQAADwAAAAAAAAABACAAAAAiAAAAZHJzL2Rvd25yZXYueG1sUEsBAhQAFAAAAAgAh07i&#10;QBlOj8zoAQAArwMAAA4AAAAAAAAAAQAgAAAAK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BatangChe"/>
          <w:bCs/>
          <w:kern w:val="0"/>
          <w:sz w:val="28"/>
          <w:szCs w:val="28"/>
        </w:rPr>
        <w:t xml:space="preserve"> JJF</w:t>
      </w:r>
      <w:r>
        <w:rPr>
          <w:rFonts w:ascii="黑体" w:hAnsi="黑体" w:eastAsia="黑体" w:cs="黑体"/>
          <w:kern w:val="0"/>
          <w:sz w:val="28"/>
          <w:szCs w:val="28"/>
        </w:rPr>
        <w:t>(</w:t>
      </w:r>
      <w:r>
        <w:rPr>
          <w:rFonts w:hint="eastAsia" w:ascii="黑体" w:hAnsi="黑体" w:eastAsia="黑体" w:cs="黑体"/>
          <w:kern w:val="0"/>
          <w:sz w:val="28"/>
          <w:szCs w:val="28"/>
        </w:rPr>
        <w:t>有色金属</w:t>
      </w:r>
      <w:r>
        <w:rPr>
          <w:rFonts w:ascii="黑体" w:hAnsi="黑体" w:eastAsia="黑体" w:cs="黑体"/>
          <w:kern w:val="0"/>
          <w:sz w:val="28"/>
          <w:szCs w:val="28"/>
        </w:rPr>
        <w:t>)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XXXX</w:t>
      </w:r>
      <w:r>
        <w:rPr>
          <w:rFonts w:ascii="黑体" w:hAnsi="黑体" w:eastAsia="黑体" w:cs="黑体"/>
          <w:kern w:val="0"/>
          <w:sz w:val="28"/>
          <w:szCs w:val="28"/>
        </w:rPr>
        <w:t>─</w:t>
      </w: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>××</w:t>
      </w: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4"/>
          <w:szCs w:val="14"/>
        </w:rPr>
      </w:pPr>
      <w:r>
        <mc:AlternateContent>
          <mc:Choice Requires="wpc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5pt;margin-top:0.5pt;height:8.55pt;width:479.05pt;z-index:251666432;mso-width-relative:page;mso-height-relative:page;" coordsize="6083935,108585" editas="canvas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Mjel+nYAAAACAEAAA8AAAAAAAAAAQAgAAAAIgAAAGRycy9kb3ducmV2LnhtbFBLAQIUABQAAAAI&#10;AIdO4kD2YJ80ewEAAA8DAAAOAAAAAAAAAAEAIAAAACcBAABkcnMvZTJvRG9jLnhtbFBLBQYAAAAA&#10;BgAGAFkBAAAUBQAAAAA=&#10;">
                <o:lock v:ext="edit" aspectratio="f"/>
                <v:shape id="_x0000_s1026" o:spid="_x0000_s1026" style="position:absolute;left:0;top:0;height:108585;width:6083935;" filled="f" stroked="f" coordsize="21600,21600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">
                  <v:fill on="f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 xml:space="preserve">××-××-××发布                            </w:t>
      </w:r>
      <w:r>
        <w:rPr>
          <w:rFonts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黑体" w:eastAsia="黑体" w:cs="黑体"/>
          <w:kern w:val="0"/>
          <w:sz w:val="28"/>
          <w:szCs w:val="28"/>
        </w:rPr>
        <w:t>××-××-××实施</w:t>
      </w:r>
    </w:p>
    <w:p>
      <w:pPr>
        <w:rPr>
          <w:rFonts w:ascii="宋体" w:hAnsi="宋体"/>
          <w:sz w:val="24"/>
        </w:rPr>
      </w:pPr>
      <w:r>
        <w:rPr>
          <w:rFonts w:ascii="方正小标宋_GBK" w:hAnsi="宋体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3" o:spid="_x0000_s1026" o:spt="202" type="#_x0000_t202" style="position:absolute;left:0pt;margin-left:372.3pt;margin-top:8.8pt;height:25.35pt;width:49.7pt;z-index:251668480;mso-width-relative:page;mso-height-relative:margin;mso-height-percent:200;" fillcolor="#FFFFFF" filled="t" stroked="f" coordsize="21600,21600" o:gfxdata="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I5mlHXAAAACQEAAA8AAAAAAAAAAQAgAAAAIgAAAGRy&#10;cy9kb3ducmV2LnhtbFBLAQIUABQAAAAIAIdO4kCBROsHzQEAAJI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5" o:spid="_x0000_s1026" o:spt="202" type="#_x0000_t202" style="position:absolute;left:0pt;margin-left:50.8pt;margin-top:0.5pt;height:41.3pt;width:324.1pt;z-index:251669504;mso-width-relative:page;mso-height-relative:margin;mso-height-percent:200;" fillcolor="#FFFFFF" filled="t" stroked="f" coordsize="21600,21600" o:gfxdata="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yBXHb1gAAAAgBAAAPAAAAAAAAAAEAIAAAACIAAABk&#10;cnMvZG93bnJldi54bWxQSwECFAAUAAAACACHTuJAxXZSS88BAACT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黑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.5pt;margin-top:0.6pt;height:0.05pt;width:459.85pt;z-index:251670528;mso-width-relative:page;mso-height-relative:page;" filled="f" stroked="t" coordsize="21600,21600" o:gfxdata="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wqHOdYAAAAGAQAA&#10;DwAAAAAAAAABACAAAAAiAAAAZHJzL2Rvd25yZXYueG1sUEsBAhQAFAAAAAgAh07iQMdwBmfiAQAA&#10;1AMAAA4AAAAAAAAAAQAgAAAAJ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0"/>
        <w:rPr>
          <w:color w:val="00000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NumType w:start="1"/>
          <w:cols w:space="720" w:num="1"/>
          <w:titlePg/>
          <w:docGrid w:type="lines" w:linePitch="312" w:charSpace="0"/>
        </w:sect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694.85pt;height:0pt;width:482pt;z-index:251661312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nZ8HYAAAADAEA&#10;AA8AAAAAAAAAAQAgAAAAIgAAAGRycy9kb3ducmV2LnhtbFBLAQIUABQAAAAIAIdO4kBRBa8h4QEA&#10;AKsDAAAOAAAAAAAAAAEAIAAAACc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4"/>
                              <w:rPr>
                                <w:rFonts w:hAnsi="黑体" w:cs="黑体"/>
                                <w:szCs w:val="52"/>
                              </w:rPr>
                            </w:pPr>
                            <w:r>
                              <w:rPr>
                                <w:rFonts w:hint="eastAsia" w:hAnsi="黑体" w:cs="黑体"/>
                                <w:szCs w:val="52"/>
                              </w:rPr>
                              <w:t>直流电弧-原子</w:t>
                            </w:r>
                            <w:r>
                              <w:rPr>
                                <w:rFonts w:hAnsi="黑体" w:cs="黑体"/>
                                <w:szCs w:val="52"/>
                              </w:rPr>
                              <w:t>发射光谱仪</w:t>
                            </w:r>
                            <w:r>
                              <w:rPr>
                                <w:rFonts w:hint="eastAsia" w:hAnsi="黑体" w:cs="黑体"/>
                                <w:szCs w:val="52"/>
                              </w:rPr>
                              <w:t>校准规范</w:t>
                            </w:r>
                          </w:p>
                          <w:p>
                            <w:pPr>
                              <w:pStyle w:val="69"/>
                              <w:spacing w:before="156" w:beforeLines="50" w:line="360" w:lineRule="auto"/>
                              <w:jc w:val="center"/>
                              <w:rPr>
                                <w:rFonts w:ascii="Times New Roman" w:hAnsi="Times New Roman" w:eastAsia="黑体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 Direct Current Arc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>Atomic Emission Spectrometry</w:t>
                            </w:r>
                          </w:p>
                          <w:p>
                            <w:pPr>
                              <w:pStyle w:val="56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（征求意见稿）</w:t>
                            </w:r>
                          </w:p>
                          <w:p>
                            <w:pPr>
                              <w:pStyle w:val="69"/>
                              <w:spacing w:before="156" w:beforeLines="50" w:line="360" w:lineRule="auto"/>
                              <w:jc w:val="center"/>
                              <w:rPr>
                                <w:rFonts w:ascii="Times New Roman" w:hAnsi="Times New Roman" w:eastAsia="黑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06.1pt;height:262.5pt;width:47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Txy6PX&#10;AAAACQEAAA8AAAAAAAAAAQAgAAAAIgAAAGRycy9kb3ducmV2LnhtbFBLAQIUABQAAAAIAIdO4kCH&#10;WVv0IQIAAC8EAAAOAAAAAAAAAAEAIAAAACY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4"/>
                        <w:rPr>
                          <w:rFonts w:hAnsi="黑体" w:cs="黑体"/>
                          <w:szCs w:val="52"/>
                        </w:rPr>
                      </w:pPr>
                      <w:r>
                        <w:rPr>
                          <w:rFonts w:hint="eastAsia" w:hAnsi="黑体" w:cs="黑体"/>
                          <w:szCs w:val="52"/>
                        </w:rPr>
                        <w:t>直流电弧-原子</w:t>
                      </w:r>
                      <w:r>
                        <w:rPr>
                          <w:rFonts w:hAnsi="黑体" w:cs="黑体"/>
                          <w:szCs w:val="52"/>
                        </w:rPr>
                        <w:t>发射光谱仪</w:t>
                      </w:r>
                      <w:r>
                        <w:rPr>
                          <w:rFonts w:hint="eastAsia" w:hAnsi="黑体" w:cs="黑体"/>
                          <w:szCs w:val="52"/>
                        </w:rPr>
                        <w:t>校准规范</w:t>
                      </w:r>
                    </w:p>
                    <w:p>
                      <w:pPr>
                        <w:pStyle w:val="69"/>
                        <w:spacing w:before="156" w:beforeLines="50" w:line="360" w:lineRule="auto"/>
                        <w:jc w:val="center"/>
                        <w:rPr>
                          <w:rFonts w:ascii="Times New Roman" w:hAnsi="Times New Roman" w:eastAsia="黑体"/>
                          <w:szCs w:val="28"/>
                        </w:rPr>
                      </w:pP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Times New Roman" w:hAnsi="Times New Roman" w:eastAsia="黑体"/>
                          <w:szCs w:val="28"/>
                        </w:rPr>
                        <w:t>of</w:t>
                      </w: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 Direct Current Arc</w:t>
                      </w:r>
                      <w:r>
                        <w:rPr>
                          <w:rFonts w:hint="eastAsia" w:ascii="Times New Roman" w:hAnsi="Times New Roman" w:eastAsia="黑体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>Atomic Emission Spectrometry</w:t>
                      </w:r>
                    </w:p>
                    <w:p>
                      <w:pPr>
                        <w:pStyle w:val="56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</w:rPr>
                        <w:t>（征求意见稿）</w:t>
                      </w:r>
                    </w:p>
                    <w:p>
                      <w:pPr>
                        <w:pStyle w:val="69"/>
                        <w:spacing w:before="156" w:beforeLines="50" w:line="360" w:lineRule="auto"/>
                        <w:jc w:val="center"/>
                        <w:rPr>
                          <w:rFonts w:ascii="Times New Roman" w:hAnsi="Times New Roman" w:eastAsia="黑体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rPr>
          <w:color w:val="000000"/>
        </w:rPr>
      </w:pPr>
      <w:bookmarkStart w:id="1" w:name="_Toc193860176"/>
      <w:bookmarkStart w:id="2" w:name="_Toc193603073"/>
      <w:bookmarkStart w:id="3" w:name="_Toc193601894"/>
      <w:bookmarkStart w:id="4" w:name="_Toc193618946"/>
      <w:bookmarkStart w:id="5" w:name="_Toc193860026"/>
      <w:bookmarkStart w:id="6" w:name="_Toc193860207"/>
      <w:bookmarkStart w:id="7" w:name="_Toc193601673"/>
      <w:bookmarkStart w:id="8" w:name="_Toc193861442"/>
      <w:bookmarkStart w:id="9" w:name="_Toc193619049"/>
      <w:bookmarkStart w:id="10" w:name="_Toc193555883"/>
      <w:bookmarkStart w:id="11" w:name="_Toc193619091"/>
      <w:bookmarkStart w:id="12" w:name="_Toc193552963"/>
      <w:bookmarkStart w:id="13" w:name="_Toc193551753"/>
      <w:bookmarkStart w:id="14" w:name="_Toc193547508"/>
      <w:r>
        <w:rPr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103505</wp:posOffset>
                </wp:positionV>
                <wp:extent cx="3784600" cy="2067560"/>
                <wp:effectExtent l="0" t="0" r="25400" b="279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821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4"/>
                              <w:spacing w:line="200" w:lineRule="atLeast"/>
                              <w:rPr>
                                <w:rFonts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直流</w:t>
                            </w:r>
                            <w:r>
                              <w:rPr>
                                <w:rFonts w:hAnsi="宋体"/>
                                <w:sz w:val="44"/>
                                <w:szCs w:val="44"/>
                              </w:rPr>
                              <w:t>电弧</w:t>
                            </w: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-</w:t>
                            </w:r>
                            <w:r>
                              <w:rPr>
                                <w:rFonts w:hAnsi="宋体"/>
                                <w:sz w:val="44"/>
                                <w:szCs w:val="44"/>
                              </w:rPr>
                              <w:t>原子发射光谱仪</w:t>
                            </w: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>
                            <w:pPr>
                              <w:pStyle w:val="69"/>
                              <w:spacing w:before="0" w:line="400" w:lineRule="exact"/>
                              <w:jc w:val="center"/>
                              <w:rPr>
                                <w:rFonts w:ascii="Franklin Gothic Medium" w:hAnsi="Franklin Gothic Medium" w:eastAsia="黑体"/>
                                <w:color w:val="000000"/>
                                <w:kern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 Direct Current Arc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>Atomic Emission Spectrometry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55pt;margin-top:8.15pt;height:162.8pt;width:298pt;z-index:251662336;mso-width-relative:page;mso-height-relative:page;" fillcolor="#FFFFFF" filled="t" stroked="t" coordsize="21600,21600" o:gfxdata="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0pqO9sAAAAKAQAADwAAAAAAAAABACAAAAAiAAAAZHJzL2Rvd25yZXYueG1sUEsBAhQA&#10;FAAAAAgAh07iQBAkxahhAgAAxQQAAA4AAAAAAAAAAQAgAAAAKgEAAGRycy9lMm9Eb2MueG1sUEsF&#10;BgAAAAAGAAYAWQEAAP0FAAAAAA==&#10;">
                <v:fill on="t" focussize="0,0"/>
                <v:stroke weight="0.25pt" color="#FFFFFF" miterlimit="8" joinstyle="miter" dashstyle="1 1" endcap="round"/>
                <v:imagedata o:title=""/>
                <o:lock v:ext="edit" aspectratio="f"/>
                <v:textbox inset="2.54mm,2.3mm,2.54mm,2.3mm">
                  <w:txbxContent>
                    <w:p>
                      <w:pPr>
                        <w:pStyle w:val="44"/>
                        <w:spacing w:line="200" w:lineRule="atLeast"/>
                        <w:rPr>
                          <w:rFonts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直流</w:t>
                      </w:r>
                      <w:r>
                        <w:rPr>
                          <w:rFonts w:hAnsi="宋体"/>
                          <w:sz w:val="44"/>
                          <w:szCs w:val="44"/>
                        </w:rPr>
                        <w:t>电弧</w:t>
                      </w: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-</w:t>
                      </w:r>
                      <w:r>
                        <w:rPr>
                          <w:rFonts w:hAnsi="宋体"/>
                          <w:sz w:val="44"/>
                          <w:szCs w:val="44"/>
                        </w:rPr>
                        <w:t>原子发射光谱仪</w:t>
                      </w: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校准规范</w:t>
                      </w:r>
                    </w:p>
                    <w:p>
                      <w:pPr>
                        <w:pStyle w:val="69"/>
                        <w:spacing w:before="0" w:line="400" w:lineRule="exact"/>
                        <w:jc w:val="center"/>
                        <w:rPr>
                          <w:rFonts w:ascii="Franklin Gothic Medium" w:hAnsi="Franklin Gothic Medium" w:eastAsia="黑体"/>
                          <w:color w:val="000000"/>
                          <w:kern w:val="36"/>
                          <w:szCs w:val="28"/>
                        </w:rPr>
                      </w:pP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Times New Roman" w:hAnsi="Times New Roman" w:eastAsia="黑体"/>
                          <w:szCs w:val="28"/>
                        </w:rPr>
                        <w:t>of</w:t>
                      </w: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 Direct Current Arc</w:t>
                      </w:r>
                      <w:r>
                        <w:rPr>
                          <w:rFonts w:hint="eastAsia" w:ascii="Times New Roman" w:hAnsi="Times New Roman" w:eastAsia="黑体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>Atomic Emission Spectrometry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78"/>
        <w:spacing w:before="100" w:beforeAutospacing="1"/>
        <w:ind w:firstLine="640" w:firstLineChars="200"/>
        <w:jc w:val="both"/>
        <w:rPr>
          <w:color w:val="000000"/>
          <w:sz w:val="84"/>
          <w:szCs w:val="84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538480</wp:posOffset>
                </wp:positionV>
                <wp:extent cx="1846580" cy="558165"/>
                <wp:effectExtent l="14605" t="12700" r="15240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64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（有色金属）XXXX—</w:t>
                            </w:r>
                            <w:r>
                              <w:rPr>
                                <w:rFonts w:ascii="Times New Roman" w:hAnsi="Times New Roman" w:eastAsia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25pt;margin-top:42.4pt;height:43.95pt;width:145.4pt;z-index:251664384;mso-width-relative:page;mso-height-relative:page;" fillcolor="#FFFFFF" filled="t" stroked="t" coordsize="21600,21600" o:gfxdata="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Ex6f2AAAAAoBAAAPAAAAAAAAAAEAIAAAACIAAABkcnMv&#10;ZG93bnJldi54bWxQSwECFAAUAAAACACHTuJAlKr4+TwCAACIBAAADgAAAAAAAAABACAAAAAnAQAA&#10;ZHJzL2Uyb0RvYy54bWxQSwUGAAAAAAYABgBZAQAA1QUAAAAA&#10;">
                <v:fill on="t" focussize="0,0"/>
                <v:stroke weight="1pt" color="#FFFFFF" miterlimit="8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pStyle w:val="64"/>
                        <w:jc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rFonts w:ascii="黑体" w:hAnsi="黑体" w:eastAsia="黑体"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 w:ascii="黑体" w:hAnsi="黑体" w:eastAsia="黑体"/>
                          <w:bCs/>
                        </w:rPr>
                        <w:t>（有色金属）XXXX—</w:t>
                      </w:r>
                      <w:r>
                        <w:rPr>
                          <w:rFonts w:ascii="Times New Roman" w:hAnsi="Times New Roman" w:eastAsia="黑体"/>
                          <w:bCs/>
                        </w:rPr>
                        <w:t>20</w:t>
                      </w:r>
                      <w:r>
                        <w:rPr>
                          <w:rFonts w:hint="eastAsia" w:ascii="黑体" w:hAnsi="黑体" w:eastAsia="黑体"/>
                          <w:bCs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342265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 xml:space="preserve">                                   </w:t>
      </w:r>
    </w:p>
    <w:p>
      <w:pPr>
        <w:pStyle w:val="49"/>
        <w:ind w:firstLine="420"/>
        <w:rPr>
          <w:color w:val="000000"/>
        </w:rPr>
      </w:pPr>
    </w:p>
    <w:bookmarkEnd w:id="12"/>
    <w:bookmarkEnd w:id="13"/>
    <w:bookmarkEnd w:id="14"/>
    <w:p>
      <w:pPr>
        <w:pStyle w:val="60"/>
        <w:rPr>
          <w:color w:val="000000"/>
        </w:rPr>
      </w:pPr>
      <w:bookmarkStart w:id="15" w:name="_Toc193601896"/>
      <w:bookmarkStart w:id="16" w:name="_Toc193555885"/>
      <w:bookmarkStart w:id="17" w:name="_Toc193601675"/>
      <w:bookmarkStart w:id="18" w:name="_Toc193603075"/>
    </w:p>
    <w:p>
      <w:pPr>
        <w:pStyle w:val="60"/>
        <w:rPr>
          <w:color w:val="000000"/>
        </w:rPr>
      </w:pPr>
    </w:p>
    <w:p>
      <w:pPr>
        <w:pStyle w:val="56"/>
        <w:ind w:firstLine="560"/>
        <w:jc w:val="right"/>
        <w:rPr>
          <w:rFonts w:ascii="Times New Roman"/>
          <w:color w:val="000000"/>
          <w:sz w:val="28"/>
          <w:szCs w:val="28"/>
        </w:rPr>
      </w:pPr>
      <w:bookmarkStart w:id="19" w:name="_Toc193601895"/>
      <w:bookmarkStart w:id="20" w:name="_Toc193555884"/>
      <w:bookmarkStart w:id="21" w:name="_Toc193603074"/>
      <w:bookmarkStart w:id="22" w:name="_Toc193601674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40640</wp:posOffset>
                </wp:positionV>
                <wp:extent cx="59436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.2pt;height:0pt;width:468pt;z-index:251663360;mso-width-relative:page;mso-height-relative:page;" filled="f" stroked="t" coordsize="21600,21600" o:gfxdata="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zabi0wAA&#10;AAYBAAAPAAAAAAAAAAEAIAAAACIAAABkcnMvZG93bnJldi54bWxQSwECFAAUAAAACACHTuJAiVLP&#10;Ku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19"/>
    <w:bookmarkEnd w:id="20"/>
    <w:bookmarkEnd w:id="21"/>
    <w:bookmarkEnd w:id="22"/>
    <w:p>
      <w:pPr>
        <w:pStyle w:val="56"/>
        <w:ind w:firstLine="560"/>
        <w:jc w:val="both"/>
        <w:rPr>
          <w:rFonts w:ascii="Times New Roman"/>
          <w:color w:val="000000"/>
          <w:sz w:val="28"/>
          <w:szCs w:val="28"/>
        </w:rPr>
      </w:pPr>
    </w:p>
    <w:bookmarkEnd w:id="15"/>
    <w:bookmarkEnd w:id="16"/>
    <w:bookmarkEnd w:id="17"/>
    <w:bookmarkEnd w:id="18"/>
    <w:p>
      <w:pPr>
        <w:pStyle w:val="56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>
      <w:pPr>
        <w:pStyle w:val="56"/>
        <w:spacing w:line="420" w:lineRule="exact"/>
        <w:jc w:val="both"/>
        <w:rPr>
          <w:rFonts w:ascii="Times New Roman"/>
          <w:color w:val="000000"/>
          <w:sz w:val="28"/>
          <w:szCs w:val="28"/>
        </w:rPr>
      </w:pPr>
    </w:p>
    <w:p>
      <w:pPr>
        <w:pStyle w:val="49"/>
        <w:ind w:firstLine="0" w:firstLineChars="0"/>
        <w:rPr>
          <w:rFonts w:ascii="Times New Roman"/>
          <w:color w:val="000000"/>
          <w:sz w:val="24"/>
          <w:szCs w:val="24"/>
        </w:rPr>
      </w:pPr>
      <w:r>
        <w:rPr>
          <w:rFonts w:hint="eastAsia" w:ascii="Times New Roman"/>
          <w:color w:val="000000"/>
          <w:sz w:val="24"/>
          <w:szCs w:val="24"/>
        </w:rPr>
        <w:t xml:space="preserve"> </w:t>
      </w:r>
    </w:p>
    <w:p>
      <w:pPr>
        <w:pStyle w:val="44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000000"/>
          <w:spacing w:val="11"/>
          <w:sz w:val="28"/>
          <w:szCs w:val="28"/>
        </w:rPr>
      </w:pPr>
      <w:r>
        <w:rPr>
          <w:rFonts w:hint="eastAsia" w:ascii="Times New Roman"/>
          <w:color w:val="000000"/>
          <w:spacing w:val="11"/>
          <w:sz w:val="28"/>
          <w:szCs w:val="28"/>
        </w:rPr>
        <w:t xml:space="preserve">归 口 单 </w:t>
      </w:r>
      <w:r>
        <w:rPr>
          <w:rFonts w:hint="eastAsia" w:ascii="Times New Roman"/>
          <w:color w:val="000000"/>
          <w:spacing w:val="4"/>
          <w:sz w:val="28"/>
          <w:szCs w:val="28"/>
        </w:rPr>
        <w:t>位</w:t>
      </w:r>
      <w:r>
        <w:rPr>
          <w:rFonts w:hint="eastAsia" w:ascii="Times New Roman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>中国有色金属工业协会</w:t>
      </w:r>
    </w:p>
    <w:p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Times New Roman" w:eastAsia="黑体"/>
          <w:color w:val="000000"/>
          <w:kern w:val="0"/>
          <w:sz w:val="28"/>
          <w:szCs w:val="28"/>
        </w:rPr>
        <w:t>主要起草单位：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西安汉唐分析检测有限公司</w:t>
      </w:r>
    </w:p>
    <w:p>
      <w:pPr>
        <w:framePr w:w="8080" w:h="6806" w:hRule="exact" w:wrap="around" w:vAnchor="page" w:hAnchor="page" w:x="2115" w:y="7035" w:anchorLock="1"/>
        <w:widowControl/>
        <w:autoSpaceDE w:val="0"/>
        <w:autoSpaceDN w:val="0"/>
        <w:spacing w:line="360" w:lineRule="auto"/>
        <w:ind w:firstLine="1960" w:firstLineChars="700"/>
        <w:rPr>
          <w:rFonts w:ascii="Times New Roman" w:eastAsia="黑体"/>
          <w:color w:val="000000"/>
          <w:kern w:val="0"/>
          <w:sz w:val="28"/>
          <w:szCs w:val="28"/>
        </w:rPr>
      </w:pPr>
    </w:p>
    <w:p>
      <w:pPr>
        <w:pStyle w:val="44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宋体" w:hAnsi="宋体" w:eastAsia="宋体"/>
          <w:color w:val="FF0000"/>
          <w:sz w:val="28"/>
          <w:szCs w:val="28"/>
        </w:rPr>
      </w:pPr>
    </w:p>
    <w:p>
      <w:pPr>
        <w:pStyle w:val="49"/>
        <w:ind w:left="420" w:hanging="420" w:firstLineChars="0"/>
        <w:jc w:val="center"/>
        <w:rPr>
          <w:rFonts w:ascii="Times New Roman"/>
          <w:color w:val="000000"/>
          <w:sz w:val="28"/>
          <w:szCs w:val="28"/>
        </w:rPr>
      </w:pPr>
    </w:p>
    <w:p>
      <w:pPr>
        <w:pStyle w:val="49"/>
        <w:ind w:left="420" w:hanging="420" w:firstLineChars="0"/>
        <w:jc w:val="center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本规范委托有色金属行业计量技术委员会负责解释</w:t>
      </w:r>
    </w:p>
    <w:p>
      <w:pPr>
        <w:pStyle w:val="49"/>
        <w:framePr w:w="9366" w:h="7978" w:hRule="exact" w:wrap="around" w:vAnchor="page" w:hAnchor="page" w:x="1419" w:y="2667" w:anchorLock="1"/>
        <w:spacing w:line="400" w:lineRule="exact"/>
        <w:ind w:firstLine="560"/>
        <w:rPr>
          <w:rFonts w:ascii="黑体" w:eastAsia="黑体"/>
          <w:sz w:val="28"/>
          <w:szCs w:val="28"/>
        </w:rPr>
      </w:pPr>
      <w:bookmarkStart w:id="23" w:name="_Toc193601897"/>
      <w:bookmarkStart w:id="24" w:name="_Toc193601676"/>
      <w:bookmarkStart w:id="25" w:name="_Toc193555886"/>
      <w:bookmarkStart w:id="26" w:name="_Toc193547510"/>
      <w:bookmarkStart w:id="27" w:name="_Toc193551755"/>
      <w:bookmarkStart w:id="28" w:name="_Toc193603076"/>
      <w:bookmarkStart w:id="29" w:name="_Toc193552965"/>
      <w:r>
        <w:rPr>
          <w:rFonts w:hint="eastAsia" w:ascii="黑体" w:eastAsia="黑体"/>
          <w:sz w:val="28"/>
          <w:szCs w:val="28"/>
        </w:rPr>
        <w:t>本规范主要起草人：</w:t>
      </w:r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Style w:val="49"/>
        <w:framePr w:w="9366" w:h="7978" w:hRule="exact" w:wrap="around" w:vAnchor="page" w:hAnchor="page" w:x="1419" w:y="2667" w:anchorLock="1"/>
        <w:spacing w:line="400" w:lineRule="exact"/>
        <w:ind w:firstLine="600"/>
        <w:rPr>
          <w:rFonts w:ascii="Times New Roman"/>
          <w:sz w:val="30"/>
        </w:rPr>
      </w:pPr>
    </w:p>
    <w:p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  <w:r>
        <w:rPr>
          <w:rFonts w:hint="eastAsia" w:ascii="Times New Roman" w:hAnsi="Times New Roman"/>
          <w:kern w:val="0"/>
          <w:sz w:val="28"/>
          <w:szCs w:val="20"/>
        </w:rPr>
        <w:t>X</w:t>
      </w:r>
      <w:r>
        <w:rPr>
          <w:rFonts w:ascii="Times New Roman" w:hAnsi="Times New Roman"/>
          <w:kern w:val="0"/>
          <w:sz w:val="28"/>
          <w:szCs w:val="20"/>
        </w:rPr>
        <w:t>XX</w:t>
      </w:r>
      <w:r>
        <w:rPr>
          <w:rFonts w:hint="eastAsia" w:ascii="Times New Roman" w:hAnsi="Times New Roman"/>
          <w:kern w:val="0"/>
          <w:sz w:val="28"/>
          <w:szCs w:val="20"/>
        </w:rPr>
        <w:t>（</w:t>
      </w:r>
      <w:r>
        <w:rPr>
          <w:rFonts w:hint="eastAsia" w:hAnsi="宋体"/>
          <w:sz w:val="28"/>
          <w:szCs w:val="28"/>
        </w:rPr>
        <w:t>西安汉唐分析检测有限公司</w:t>
      </w:r>
      <w:r>
        <w:rPr>
          <w:rFonts w:hint="eastAsia" w:ascii="Times New Roman" w:hAnsi="Times New Roman"/>
          <w:kern w:val="0"/>
          <w:sz w:val="28"/>
          <w:szCs w:val="20"/>
        </w:rPr>
        <w:t>）</w:t>
      </w:r>
    </w:p>
    <w:p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</w:p>
    <w:p>
      <w:pPr>
        <w:framePr w:w="9366" w:h="7978" w:hRule="exact" w:wrap="around" w:vAnchor="page" w:hAnchor="page" w:x="1419" w:y="2667" w:anchorLock="1"/>
        <w:widowControl/>
        <w:numPr>
          <w:ilvl w:val="0"/>
          <w:numId w:val="1"/>
        </w:numPr>
        <w:autoSpaceDE w:val="0"/>
        <w:autoSpaceDN w:val="0"/>
        <w:spacing w:line="360" w:lineRule="auto"/>
        <w:ind w:firstLine="1960" w:firstLineChars="700"/>
        <w:rPr>
          <w:rFonts w:ascii="Times New Roman"/>
          <w:kern w:val="0"/>
          <w:sz w:val="28"/>
          <w:szCs w:val="20"/>
        </w:rPr>
      </w:pPr>
    </w:p>
    <w:p>
      <w:pPr>
        <w:framePr w:w="9366" w:h="7978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="1960" w:firstLineChars="700"/>
        <w:rPr>
          <w:rFonts w:ascii="Times New Roman" w:hAnsi="Times New Roman"/>
          <w:kern w:val="0"/>
          <w:sz w:val="28"/>
          <w:szCs w:val="20"/>
        </w:rPr>
      </w:pPr>
    </w:p>
    <w:p>
      <w:pPr>
        <w:pStyle w:val="78"/>
        <w:jc w:val="both"/>
        <w:rPr>
          <w:rFonts w:ascii="Times New Roman"/>
          <w:color w:val="000000"/>
        </w:rPr>
      </w:pPr>
    </w:p>
    <w:p>
      <w:p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目   录</w:t>
      </w:r>
      <w:r>
        <w:rPr>
          <w:rFonts w:ascii="黑体" w:hAnsi="黑体" w:eastAsia="黑体"/>
          <w:color w:val="000000"/>
          <w:sz w:val="44"/>
          <w:szCs w:val="44"/>
        </w:rPr>
        <w:fldChar w:fldCharType="begin"/>
      </w:r>
      <w:r>
        <w:rPr>
          <w:rStyle w:val="29"/>
          <w:rFonts w:ascii="黑体" w:hAnsi="黑体" w:eastAsia="黑体"/>
          <w:color w:val="000000"/>
          <w:sz w:val="44"/>
          <w:szCs w:val="44"/>
        </w:rPr>
        <w:instrText xml:space="preserve"> TOC \o "1-3" \h \z </w:instrText>
      </w:r>
      <w:r>
        <w:rPr>
          <w:rFonts w:ascii="黑体" w:hAnsi="黑体" w:eastAsia="黑体"/>
          <w:color w:val="000000"/>
          <w:sz w:val="44"/>
          <w:szCs w:val="44"/>
        </w:rPr>
        <w:fldChar w:fldCharType="end"/>
      </w:r>
    </w:p>
    <w:p>
      <w:bookmarkStart w:id="30" w:name="_Toc32159_WPSOffice_Type2"/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"_Toc9228_WPSOffice_Level1"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引   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Ⅱ)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"_Toc23837_WPSOffice_Level1"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1 范围</w:t>
      </w:r>
      <w:r>
        <w:rPr>
          <w:rFonts w:ascii="Times New Roman" w:hAnsi="Times New Roman"/>
          <w:sz w:val="24"/>
          <w:szCs w:val="24"/>
        </w:rPr>
        <w:tab/>
      </w:r>
      <w:bookmarkStart w:id="31" w:name="_Toc23837_WPSOffice_Level1Page"/>
      <w:r>
        <w:rPr>
          <w:rFonts w:ascii="Times New Roman" w:hAnsi="Times New Roman"/>
          <w:sz w:val="24"/>
          <w:szCs w:val="24"/>
        </w:rPr>
        <w:t>(1</w:t>
      </w:r>
      <w:bookmarkEnd w:id="31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"_Toc7848_WPSOffice_Level1"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2 引用文件</w:t>
      </w:r>
      <w:r>
        <w:rPr>
          <w:rFonts w:ascii="Times New Roman" w:hAnsi="Times New Roman"/>
          <w:sz w:val="24"/>
          <w:szCs w:val="24"/>
        </w:rPr>
        <w:tab/>
      </w:r>
      <w:bookmarkStart w:id="32" w:name="_Toc7848_WPSOffice_Level1Page"/>
      <w:r>
        <w:rPr>
          <w:rFonts w:ascii="Times New Roman" w:hAnsi="Times New Roman"/>
          <w:sz w:val="24"/>
          <w:szCs w:val="24"/>
        </w:rPr>
        <w:t>(1</w:t>
      </w:r>
      <w:bookmarkEnd w:id="32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3 概述</w:t>
      </w:r>
      <w:r>
        <w:rPr>
          <w:rFonts w:ascii="Times New Roman" w:hAnsi="Times New Roman"/>
          <w:sz w:val="24"/>
          <w:szCs w:val="24"/>
        </w:rPr>
        <w:tab/>
      </w:r>
      <w:bookmarkStart w:id="33" w:name="_Toc13054_WPSOffice_Level1Page"/>
      <w:r>
        <w:rPr>
          <w:rFonts w:ascii="Times New Roman" w:hAnsi="Times New Roman"/>
          <w:sz w:val="24"/>
          <w:szCs w:val="24"/>
        </w:rPr>
        <w:t>(</w:t>
      </w:r>
      <w:bookmarkEnd w:id="33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3.1 </w:t>
      </w:r>
      <w:r>
        <w:rPr>
          <w:rFonts w:hint="eastAsia" w:ascii="Times New Roman" w:hAnsi="Times New Roman"/>
          <w:sz w:val="24"/>
          <w:szCs w:val="24"/>
        </w:rPr>
        <w:t>仪器原理和用途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"_Toc13054_WPSOffice_Level1"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3.2 </w:t>
      </w:r>
      <w:r>
        <w:rPr>
          <w:rFonts w:hint="eastAsia" w:ascii="Times New Roman" w:hAnsi="Times New Roman"/>
          <w:sz w:val="24"/>
          <w:szCs w:val="24"/>
        </w:rPr>
        <w:t>仪器结构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"_Toc19851_WPSOffice_Level1"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4 计量特性</w:t>
      </w:r>
      <w:r>
        <w:rPr>
          <w:rFonts w:ascii="Times New Roman" w:hAnsi="Times New Roman"/>
          <w:sz w:val="24"/>
          <w:szCs w:val="24"/>
        </w:rPr>
        <w:tab/>
      </w:r>
      <w:bookmarkStart w:id="34" w:name="_Toc19851_WPSOffice_Level1Page"/>
      <w:r>
        <w:rPr>
          <w:rFonts w:ascii="Times New Roman" w:hAnsi="Times New Roman"/>
          <w:sz w:val="24"/>
          <w:szCs w:val="24"/>
        </w:rPr>
        <w:t>(1</w:t>
      </w:r>
      <w:bookmarkEnd w:id="34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"_Toc25829_WPSOffice_Level1"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5 校准条件</w:t>
      </w:r>
      <w:r>
        <w:rPr>
          <w:rFonts w:ascii="Times New Roman" w:hAnsi="Times New Roman"/>
          <w:sz w:val="24"/>
          <w:szCs w:val="24"/>
        </w:rPr>
        <w:tab/>
      </w:r>
      <w:bookmarkStart w:id="35" w:name="_Toc25829_WPSOffice_Level1Page"/>
      <w:r>
        <w:rPr>
          <w:rFonts w:ascii="Times New Roman" w:hAnsi="Times New Roman"/>
          <w:sz w:val="24"/>
          <w:szCs w:val="24"/>
        </w:rPr>
        <w:t>(</w:t>
      </w:r>
      <w:bookmarkEnd w:id="35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1)</w:t>
      </w:r>
    </w:p>
    <w:p>
      <w:pPr>
        <w:pStyle w:val="68"/>
        <w:tabs>
          <w:tab w:val="right" w:leader="dot" w:pos="9355"/>
        </w:tabs>
        <w:ind w:left="0" w:leftChars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"_Toc5126_WPSOffice_Level2"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5.1 环境条件</w:t>
      </w:r>
      <w:r>
        <w:rPr>
          <w:rFonts w:ascii="Times New Roman" w:hAnsi="Times New Roman"/>
          <w:sz w:val="24"/>
          <w:szCs w:val="24"/>
        </w:rPr>
        <w:tab/>
      </w:r>
      <w:bookmarkStart w:id="36" w:name="_Toc5126_WPSOffice_Level2Page"/>
      <w:r>
        <w:rPr>
          <w:rFonts w:ascii="Times New Roman" w:hAnsi="Times New Roman"/>
          <w:sz w:val="24"/>
          <w:szCs w:val="24"/>
        </w:rPr>
        <w:t>(2</w:t>
      </w:r>
      <w:bookmarkEnd w:id="36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68"/>
        <w:tabs>
          <w:tab w:val="right" w:leader="dot" w:pos="9355"/>
        </w:tabs>
        <w:ind w:left="0" w:leftChars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"_Toc9866_WPSOffice_Level2"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5.2 测量标准</w:t>
      </w:r>
      <w:r>
        <w:rPr>
          <w:rFonts w:ascii="Times New Roman" w:hAnsi="Times New Roman"/>
          <w:sz w:val="24"/>
          <w:szCs w:val="24"/>
        </w:rPr>
        <w:tab/>
      </w:r>
      <w:bookmarkStart w:id="37" w:name="_Toc9866_WPSOffice_Level2Page"/>
      <w:r>
        <w:rPr>
          <w:rFonts w:ascii="Times New Roman" w:hAnsi="Times New Roman"/>
          <w:sz w:val="24"/>
          <w:szCs w:val="24"/>
        </w:rPr>
        <w:t>(2</w:t>
      </w:r>
      <w:bookmarkEnd w:id="37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"_Toc2741_WPSOffice_Level1"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6 校准项目和校准方法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68"/>
        <w:tabs>
          <w:tab w:val="right" w:leader="dot" w:pos="9355"/>
        </w:tabs>
        <w:ind w:left="0" w:leftChars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"_Toc22718_WPSOffice_Level2"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6.1 校准项目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68"/>
        <w:tabs>
          <w:tab w:val="right" w:leader="dot" w:pos="9355"/>
        </w:tabs>
        <w:ind w:left="0" w:leftChars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"_Toc22008_WPSOffice_Level2"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6.2 校准方法</w:t>
      </w:r>
      <w:r>
        <w:rPr>
          <w:rFonts w:ascii="Times New Roman" w:hAnsi="Times New Roman"/>
          <w:sz w:val="24"/>
          <w:szCs w:val="24"/>
        </w:rPr>
        <w:tab/>
      </w:r>
      <w:bookmarkStart w:id="38" w:name="_Toc22008_WPSOffice_Level2Page"/>
      <w:r>
        <w:rPr>
          <w:rFonts w:ascii="Times New Roman" w:hAnsi="Times New Roman"/>
          <w:sz w:val="24"/>
          <w:szCs w:val="24"/>
        </w:rPr>
        <w:t>(</w:t>
      </w:r>
      <w:bookmarkEnd w:id="38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2)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"_Toc25466_WPSOffice_Level1"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7 校准结果表达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4)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"_Toc14803_WPSOffice_Level1"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8 复校时间间隔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(4)</w:t>
      </w:r>
    </w:p>
    <w:p>
      <w:pPr>
        <w:pStyle w:val="57"/>
        <w:tabs>
          <w:tab w:val="right" w:leader="dot" w:pos="9355"/>
        </w:tabs>
        <w:jc w:val="both"/>
      </w:pPr>
      <w:r>
        <w:rPr>
          <w:rFonts w:hint="eastAsia" w:ascii="Times New Roman" w:hAnsi="Times New Roman"/>
          <w:sz w:val="24"/>
          <w:szCs w:val="24"/>
        </w:rPr>
        <w:t>附录A</w:t>
      </w:r>
      <w:r>
        <w:rPr>
          <w:rFonts w:ascii="Times New Roman" w:hAnsi="Times New Roman"/>
          <w:sz w:val="24"/>
          <w:szCs w:val="24"/>
        </w:rPr>
        <w:t>校准原始记录参考格式</w:t>
      </w:r>
      <w:r>
        <w:rPr>
          <w:rFonts w:ascii="Times New Roman" w:hAnsi="Times New Roman"/>
          <w:sz w:val="24"/>
          <w:szCs w:val="24"/>
        </w:rPr>
        <w:tab/>
      </w:r>
      <w:r>
        <w:rPr>
          <w:rStyle w:val="29"/>
          <w:rFonts w:hint="eastAsia"/>
          <w:sz w:val="24"/>
        </w:rPr>
        <w:t>(</w:t>
      </w:r>
      <w:r>
        <w:rPr>
          <w:rStyle w:val="29"/>
          <w:sz w:val="24"/>
        </w:rPr>
        <w:t>6</w:t>
      </w:r>
      <w:r>
        <w:rPr>
          <w:rStyle w:val="29"/>
          <w:rFonts w:hint="eastAsia"/>
          <w:sz w:val="24"/>
        </w:rPr>
        <w:t>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"_Toc20191_WPSOffice_Level1"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附录</w:t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校准证书内页参考格式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(8)</w:t>
      </w:r>
    </w:p>
    <w:p>
      <w:pPr>
        <w:pStyle w:val="57"/>
        <w:tabs>
          <w:tab w:val="right" w:leader="dot" w:pos="9355"/>
        </w:tabs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\l "_Toc5266_WPSOffice_Level1" </w:instrText>
      </w:r>
      <w:r>
        <w:fldChar w:fldCharType="separate"/>
      </w:r>
      <w:r>
        <w:rPr>
          <w:rStyle w:val="29"/>
          <w:sz w:val="24"/>
          <w:szCs w:val="24"/>
        </w:rPr>
        <w:t>附录</w:t>
      </w:r>
      <w:r>
        <w:rPr>
          <w:rFonts w:hint="eastAsia" w:ascii="Times New Roman" w:hAnsi="Times New Roman"/>
          <w:sz w:val="24"/>
          <w:szCs w:val="24"/>
        </w:rPr>
        <w:t>C直流电弧-原子发射光谱仪示值误差不确定度评定示例</w:t>
      </w:r>
      <w:r>
        <w:rPr>
          <w:rStyle w:val="29"/>
          <w:sz w:val="24"/>
          <w:szCs w:val="24"/>
        </w:rPr>
        <w:tab/>
      </w:r>
      <w:r>
        <w:rPr>
          <w:rStyle w:val="29"/>
          <w:sz w:val="24"/>
          <w:szCs w:val="24"/>
        </w:rPr>
        <w:fldChar w:fldCharType="end"/>
      </w:r>
      <w:bookmarkEnd w:id="30"/>
      <w:r>
        <w:rPr>
          <w:rStyle w:val="29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9)</w:t>
      </w:r>
    </w:p>
    <w:p>
      <w:pPr>
        <w:rPr>
          <w:rFonts w:cs="宋体" w:asciiTheme="minorEastAsia" w:hAnsiTheme="minorEastAsia" w:eastAsiaTheme="minorEastAsia"/>
          <w:color w:val="000000"/>
          <w:sz w:val="24"/>
        </w:rPr>
      </w:pPr>
    </w:p>
    <w:p/>
    <w:p/>
    <w:p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>
      <w:pPr>
        <w:jc w:val="center"/>
        <w:rPr>
          <w:rStyle w:val="29"/>
          <w:rFonts w:ascii="Adobe 黑体 Std R" w:hAnsi="Adobe 黑体 Std R" w:eastAsia="Adobe 黑体 Std R"/>
          <w:color w:val="000000"/>
          <w:sz w:val="44"/>
          <w:szCs w:val="44"/>
        </w:rPr>
      </w:pPr>
    </w:p>
    <w:p>
      <w:pPr>
        <w:widowControl/>
        <w:jc w:val="left"/>
        <w:rPr>
          <w:rStyle w:val="29"/>
          <w:rFonts w:ascii="黑体" w:hAnsi="黑体" w:eastAsia="黑体"/>
          <w:color w:val="000000"/>
          <w:sz w:val="44"/>
          <w:szCs w:val="44"/>
        </w:rPr>
      </w:pPr>
      <w:bookmarkStart w:id="39" w:name="_Toc9228_WPSOffice_Level1"/>
      <w:r>
        <w:rPr>
          <w:rStyle w:val="29"/>
          <w:rFonts w:ascii="黑体" w:hAnsi="黑体" w:eastAsia="黑体"/>
          <w:color w:val="000000"/>
          <w:sz w:val="44"/>
          <w:szCs w:val="44"/>
        </w:rPr>
        <w:br w:type="page"/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Style w:val="29"/>
          <w:rFonts w:hint="eastAsia" w:ascii="黑体" w:hAnsi="黑体" w:eastAsia="黑体"/>
          <w:color w:val="000000"/>
          <w:sz w:val="44"/>
          <w:szCs w:val="44"/>
        </w:rPr>
        <w:t>引   言</w:t>
      </w:r>
      <w:bookmarkEnd w:id="39"/>
    </w:p>
    <w:p/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本规范是以</w:t>
      </w:r>
      <w:r>
        <w:rPr>
          <w:rFonts w:ascii="Times New Roman" w:hAnsi="Times New Roman"/>
          <w:sz w:val="24"/>
        </w:rPr>
        <w:t>JJF 1071-2010</w:t>
      </w:r>
      <w:r>
        <w:rPr>
          <w:rFonts w:hint="eastAsia" w:ascii="宋体" w:hAnsi="宋体"/>
          <w:sz w:val="24"/>
        </w:rPr>
        <w:t>《国家计量校准规范编写规则》、</w:t>
      </w:r>
      <w:r>
        <w:rPr>
          <w:rFonts w:hint="eastAsia" w:ascii="Times New Roman" w:hAnsi="Times New Roman"/>
          <w:sz w:val="24"/>
        </w:rPr>
        <w:t>JJF 1001-2011《</w:t>
      </w:r>
      <w:r>
        <w:rPr>
          <w:rFonts w:hint="eastAsia" w:ascii="宋体" w:hAnsi="宋体"/>
          <w:sz w:val="24"/>
        </w:rPr>
        <w:t>通用计量术语及定义》和</w:t>
      </w:r>
      <w:r>
        <w:rPr>
          <w:rFonts w:hint="eastAsia" w:ascii="Times New Roman" w:hAnsi="Times New Roman"/>
          <w:sz w:val="24"/>
        </w:rPr>
        <w:t>JJF 1059.1-2012</w:t>
      </w:r>
      <w:r>
        <w:rPr>
          <w:rFonts w:hint="eastAsia" w:ascii="宋体" w:hAnsi="宋体"/>
          <w:sz w:val="24"/>
        </w:rPr>
        <w:t>《测量不确定度评定与表示》为基础性系列规范进行编写。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宋体" w:hAnsi="宋体"/>
          <w:sz w:val="24"/>
        </w:rPr>
        <w:t>本规范主要参考了</w:t>
      </w:r>
      <w:r>
        <w:rPr>
          <w:rFonts w:ascii="Times New Roman" w:hAnsi="Times New Roman"/>
          <w:sz w:val="24"/>
        </w:rPr>
        <w:t>JJG 768《</w:t>
      </w:r>
      <w:r>
        <w:rPr>
          <w:rFonts w:hint="eastAsia" w:ascii="Times New Roman" w:hAnsi="Times New Roman"/>
          <w:sz w:val="24"/>
        </w:rPr>
        <w:t>发射光谱仪</w:t>
      </w:r>
      <w:r>
        <w:rPr>
          <w:rFonts w:ascii="Times New Roman" w:hAnsi="Times New Roman"/>
          <w:sz w:val="24"/>
        </w:rPr>
        <w:t>》、</w:t>
      </w:r>
      <w:r>
        <w:rPr>
          <w:rFonts w:hint="eastAsia" w:ascii="Times New Roman" w:hAnsi="Times New Roman"/>
          <w:sz w:val="24"/>
        </w:rPr>
        <w:t xml:space="preserve">JJF </w:t>
      </w:r>
      <w:r>
        <w:rPr>
          <w:rFonts w:ascii="Times New Roman" w:hAnsi="Times New Roman"/>
          <w:sz w:val="24"/>
        </w:rPr>
        <w:t>2024《</w:t>
      </w:r>
      <w:r>
        <w:rPr>
          <w:rFonts w:ascii="宋体" w:hAnsi="宋体"/>
          <w:sz w:val="24"/>
        </w:rPr>
        <w:t>能量色散 X射线荧光光谱仪校准规范》、</w:t>
      </w:r>
      <w:r>
        <w:rPr>
          <w:rFonts w:ascii="Times New Roman" w:hAnsi="Times New Roman"/>
          <w:sz w:val="24"/>
        </w:rPr>
        <w:t>GB/T 4698.21《</w:t>
      </w:r>
      <w:r>
        <w:rPr>
          <w:rFonts w:hint="eastAsia" w:ascii="Times New Roman" w:hAnsi="Times New Roman"/>
          <w:sz w:val="24"/>
        </w:rPr>
        <w:t>海绵钛、钛及钛合金化学分析方法 第21部分：锰、铬、镍、铝、钼、锡、钒、钇、铜、锆量的测定 原子发射光谱法</w:t>
      </w:r>
      <w:r>
        <w:rPr>
          <w:rFonts w:ascii="Times New Roman" w:hAnsi="Times New Roman"/>
          <w:sz w:val="24"/>
        </w:rPr>
        <w:t>》、ASTM E2371《</w:t>
      </w:r>
      <w:r>
        <w:rPr>
          <w:rFonts w:hint="eastAsia" w:ascii="Times New Roman" w:hAnsi="Times New Roman"/>
          <w:sz w:val="24"/>
        </w:rPr>
        <w:t>Standard Test Method for Analysis of Titanium and Titanium Alloys by Direct Current Plasma and Inductively Coupled Plasma Atomic Emission Spectrometry (Performance-Based Test Methodology</w:t>
      </w:r>
      <w:r>
        <w:rPr>
          <w:rFonts w:ascii="Times New Roman" w:hAnsi="Times New Roman"/>
          <w:sz w:val="24"/>
        </w:rPr>
        <w:t>》、</w:t>
      </w:r>
      <w:r>
        <w:rPr>
          <w:rFonts w:hint="eastAsia" w:ascii="Times New Roman" w:hAnsi="Times New Roman"/>
          <w:sz w:val="24"/>
        </w:rPr>
        <w:t xml:space="preserve">GB/T </w:t>
      </w:r>
      <w:r>
        <w:rPr>
          <w:rFonts w:ascii="Times New Roman" w:hAnsi="Times New Roman"/>
          <w:sz w:val="24"/>
        </w:rPr>
        <w:t>15076.10《钽铌化学分析方法 第10部分:铌中铁、镍、铬、钛、锆、铝和锰量的测定 直流电弧原子发射光谱法》、</w:t>
      </w:r>
      <w:r>
        <w:rPr>
          <w:rFonts w:hint="eastAsia" w:ascii="Times New Roman" w:hAnsi="Times New Roman"/>
          <w:sz w:val="24"/>
        </w:rPr>
        <w:t xml:space="preserve">GB/T </w:t>
      </w:r>
      <w:r>
        <w:rPr>
          <w:rFonts w:ascii="Times New Roman" w:hAnsi="Times New Roman"/>
          <w:sz w:val="24"/>
        </w:rPr>
        <w:t>15076.11《钽铌化学分析方法 第11部分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铌中砷、锑、铅、锡和铋量的测定 直流电弧原子发射光谱法》、YS/T 281.16-2011《</w:t>
      </w:r>
      <w:r>
        <w:rPr>
          <w:rFonts w:ascii="宋体" w:hAnsi="宋体"/>
          <w:sz w:val="24"/>
        </w:rPr>
        <w:t>钴化学分析方法 第16部分：砷、镉、铜、锌、铅、铋、锡、锑、硅、锰、铁、镍、铝、镁量的测定 直流电弧原子发射光谱法</w:t>
      </w:r>
      <w:r>
        <w:rPr>
          <w:rFonts w:ascii="Times New Roman" w:hAnsi="Times New Roman"/>
          <w:sz w:val="24"/>
        </w:rPr>
        <w:t>》。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本规范为首次发布。</w:t>
      </w:r>
    </w:p>
    <w:p>
      <w:pPr>
        <w:rPr>
          <w:color w:val="000000"/>
        </w:rPr>
      </w:pPr>
    </w:p>
    <w:p/>
    <w:p/>
    <w:p>
      <w:pPr>
        <w:sectPr>
          <w:headerReference r:id="rId12" w:type="default"/>
          <w:footerReference r:id="rId13" w:type="default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44"/>
        <w:framePr w:w="9406" w:h="736" w:hRule="exact" w:wrap="around" w:vAnchor="page" w:hAnchor="page" w:x="1396" w:y="1501"/>
        <w:spacing w:line="200" w:lineRule="atLeast"/>
        <w:rPr>
          <w:rFonts w:hAnsi="宋体"/>
          <w:sz w:val="44"/>
          <w:szCs w:val="44"/>
        </w:rPr>
      </w:pPr>
      <w:bookmarkStart w:id="40" w:name="_Toc193618947"/>
      <w:bookmarkStart w:id="41" w:name="_Toc193619092"/>
      <w:bookmarkStart w:id="42" w:name="_Toc193619050"/>
      <w:r>
        <w:rPr>
          <w:rFonts w:hint="eastAsia" w:hAnsi="宋体"/>
          <w:sz w:val="32"/>
          <w:szCs w:val="32"/>
        </w:rPr>
        <w:t>直流电弧-原子</w:t>
      </w:r>
      <w:r>
        <w:rPr>
          <w:rFonts w:hAnsi="宋体"/>
          <w:sz w:val="32"/>
          <w:szCs w:val="32"/>
        </w:rPr>
        <w:t>发射光谱仪</w:t>
      </w:r>
      <w:r>
        <w:rPr>
          <w:rFonts w:hint="eastAsia" w:hAnsi="宋体"/>
          <w:sz w:val="32"/>
          <w:szCs w:val="32"/>
        </w:rPr>
        <w:t>校准规范</w:t>
      </w:r>
    </w:p>
    <w:p>
      <w:pPr>
        <w:framePr w:w="9406" w:h="736" w:hRule="exact" w:wrap="around" w:vAnchor="page" w:hAnchor="page" w:x="1396" w:y="1501" w:anchorLock="1"/>
        <w:spacing w:line="360" w:lineRule="auto"/>
        <w:jc w:val="center"/>
        <w:outlineLvl w:val="0"/>
        <w:rPr>
          <w:rFonts w:ascii="黑体" w:eastAsia="黑体"/>
          <w:b/>
          <w:bCs/>
          <w:color w:val="000000"/>
          <w:sz w:val="32"/>
          <w:szCs w:val="32"/>
        </w:rPr>
      </w:pPr>
    </w:p>
    <w:bookmarkEnd w:id="40"/>
    <w:bookmarkEnd w:id="41"/>
    <w:bookmarkEnd w:id="42"/>
    <w:p>
      <w:pPr>
        <w:pStyle w:val="48"/>
        <w:spacing w:before="0" w:beforeLines="0" w:after="0" w:afterLines="0" w:line="360" w:lineRule="auto"/>
        <w:ind w:left="312" w:hanging="312" w:hangingChars="130"/>
        <w:outlineLvl w:val="0"/>
        <w:rPr>
          <w:color w:val="000000"/>
          <w:sz w:val="24"/>
        </w:rPr>
      </w:pPr>
      <w:bookmarkStart w:id="43" w:name="_Toc193860027"/>
      <w:bookmarkStart w:id="44" w:name="_Toc500258929"/>
      <w:bookmarkStart w:id="45" w:name="_Toc193860208"/>
      <w:bookmarkStart w:id="46" w:name="_Toc193860177"/>
      <w:bookmarkStart w:id="47" w:name="_Toc23837_WPSOffice_Level1"/>
      <w:r>
        <w:rPr>
          <w:rFonts w:ascii="Times New Roman" w:hAnsi="Times New Roman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 xml:space="preserve"> 范围</w:t>
      </w:r>
      <w:bookmarkEnd w:id="43"/>
      <w:bookmarkEnd w:id="44"/>
      <w:bookmarkEnd w:id="45"/>
      <w:bookmarkEnd w:id="46"/>
      <w:bookmarkEnd w:id="47"/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本规范适用于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直流电弧-原子</w:t>
      </w:r>
      <w:r>
        <w:rPr>
          <w:rFonts w:ascii="Times New Roman" w:hAnsi="Times New Roman" w:eastAsiaTheme="minorEastAsia"/>
          <w:kern w:val="0"/>
          <w:sz w:val="24"/>
          <w:szCs w:val="20"/>
        </w:rPr>
        <w:t>发射光谱仪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的校准。</w:t>
      </w:r>
    </w:p>
    <w:p>
      <w:pPr>
        <w:pStyle w:val="48"/>
        <w:spacing w:before="0" w:beforeLines="0" w:after="0" w:afterLines="0" w:line="360" w:lineRule="auto"/>
        <w:ind w:left="272" w:hanging="272"/>
        <w:rPr>
          <w:sz w:val="24"/>
        </w:rPr>
      </w:pPr>
      <w:bookmarkStart w:id="48" w:name="_Toc193860178"/>
      <w:bookmarkStart w:id="49" w:name="_Toc193860209"/>
      <w:bookmarkStart w:id="50" w:name="_Toc193860028"/>
      <w:bookmarkStart w:id="51" w:name="_Toc500258930"/>
      <w:bookmarkStart w:id="52" w:name="_Toc7848_WPSOffice_Level1"/>
      <w:r>
        <w:rPr>
          <w:rFonts w:ascii="Times New Roman" w:hAnsi="Times New Roman"/>
          <w:sz w:val="24"/>
        </w:rPr>
        <w:t>2</w:t>
      </w:r>
      <w:r>
        <w:rPr>
          <w:rFonts w:hint="eastAsia"/>
          <w:sz w:val="24"/>
        </w:rPr>
        <w:t xml:space="preserve"> 引用文</w:t>
      </w:r>
      <w:bookmarkEnd w:id="48"/>
      <w:bookmarkEnd w:id="49"/>
      <w:bookmarkEnd w:id="50"/>
      <w:r>
        <w:rPr>
          <w:rFonts w:hint="eastAsia"/>
          <w:sz w:val="24"/>
        </w:rPr>
        <w:t>件</w:t>
      </w:r>
      <w:bookmarkEnd w:id="51"/>
      <w:bookmarkEnd w:id="52"/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本规范引用了下列文件：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bookmarkStart w:id="53" w:name="_Hlk37535606"/>
      <w:r>
        <w:rPr>
          <w:rFonts w:hint="eastAsia" w:ascii="Times New Roman" w:hAnsi="Times New Roman" w:eastAsiaTheme="minorEastAsia"/>
          <w:kern w:val="0"/>
          <w:sz w:val="24"/>
          <w:szCs w:val="20"/>
        </w:rPr>
        <w:t>JJ</w:t>
      </w:r>
      <w:r>
        <w:rPr>
          <w:rFonts w:ascii="Times New Roman" w:hAnsi="Times New Roman" w:eastAsiaTheme="minorEastAsia"/>
          <w:kern w:val="0"/>
          <w:sz w:val="24"/>
          <w:szCs w:val="20"/>
        </w:rPr>
        <w:t>G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>768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 xml:space="preserve">    《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发射</w:t>
      </w:r>
      <w:r>
        <w:rPr>
          <w:rFonts w:ascii="Times New Roman" w:hAnsi="Times New Roman" w:eastAsiaTheme="minorEastAsia"/>
          <w:kern w:val="0"/>
          <w:sz w:val="24"/>
          <w:szCs w:val="20"/>
        </w:rPr>
        <w:t>光谱仪检定规程》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="Times New Roman" w:hAnsi="Times New Roman"/>
          <w:sz w:val="24"/>
        </w:rPr>
        <w:t xml:space="preserve">JJF </w:t>
      </w:r>
      <w:r>
        <w:rPr>
          <w:rFonts w:ascii="Times New Roman" w:hAnsi="Times New Roman"/>
          <w:sz w:val="24"/>
        </w:rPr>
        <w:t>2024    《</w:t>
      </w:r>
      <w:r>
        <w:rPr>
          <w:rFonts w:ascii="宋体" w:hAnsi="宋体"/>
          <w:sz w:val="24"/>
        </w:rPr>
        <w:t>能量色散 X射线荧光光谱仪校准规范》</w:t>
      </w:r>
    </w:p>
    <w:bookmarkEnd w:id="53"/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bookmarkStart w:id="54" w:name="_Toc193619097"/>
      <w:bookmarkStart w:id="55" w:name="_Toc193860030"/>
      <w:bookmarkStart w:id="56" w:name="_Toc193860211"/>
      <w:bookmarkStart w:id="57" w:name="_Toc500258937"/>
      <w:bookmarkStart w:id="58" w:name="_Toc193619055"/>
      <w:bookmarkStart w:id="59" w:name="_Toc193860180"/>
      <w:bookmarkStart w:id="60" w:name="_Toc193618952"/>
      <w:bookmarkStart w:id="61" w:name="_Toc13054_WPSOffice_Level1"/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48"/>
        <w:spacing w:before="0" w:beforeLines="0" w:after="0" w:afterLines="0" w:line="360" w:lineRule="auto"/>
        <w:ind w:left="272" w:hanging="272"/>
        <w:rPr>
          <w:rFonts w:hAnsi="Adobe 黑体 Std R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hint="eastAsia" w:hAnsi="Adobe 黑体 Std R"/>
          <w:sz w:val="24"/>
        </w:rPr>
        <w:t xml:space="preserve"> 概述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>
      <w:pPr>
        <w:autoSpaceDE w:val="0"/>
        <w:autoSpaceDN w:val="0"/>
        <w:adjustRightInd w:val="0"/>
        <w:spacing w:line="440" w:lineRule="exact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3</w:t>
      </w:r>
      <w:r>
        <w:rPr>
          <w:rFonts w:asciiTheme="minorEastAsia" w:hAnsiTheme="minorEastAsia" w:eastAsiaTheme="minorEastAsia"/>
          <w:kern w:val="0"/>
          <w:sz w:val="24"/>
          <w:szCs w:val="20"/>
        </w:rPr>
        <w:t xml:space="preserve">.1 仪器原理和用途 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36"/>
          <w:szCs w:val="20"/>
        </w:rPr>
      </w:pPr>
      <w:r>
        <w:rPr>
          <w:rFonts w:asciiTheme="minorEastAsia" w:hAnsiTheme="minorEastAsia" w:eastAsiaTheme="minorEastAsia"/>
          <w:kern w:val="0"/>
          <w:sz w:val="24"/>
          <w:szCs w:val="20"/>
        </w:rPr>
        <w:t>直流电弧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-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原子发射光谱仪（以下简称光谱仪）是将样品中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待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测元素的原子被激发而产生特征辐射,</w:t>
      </w:r>
      <w:bookmarkStart w:id="123" w:name="_GoBack"/>
      <w:bookmarkEnd w:id="123"/>
      <w:r>
        <w:rPr>
          <w:rFonts w:asciiTheme="minorEastAsia" w:hAnsiTheme="minorEastAsia" w:eastAsiaTheme="minorEastAsia"/>
          <w:kern w:val="0"/>
          <w:sz w:val="24"/>
          <w:szCs w:val="20"/>
        </w:rPr>
        <w:t>使用具有一定分辨力的探测器检测所有元素的特征辐射谱线，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根据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特征辐射谱线不同与强度大小,对各元素进行定性和定量分析。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光谱仪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主要用于有色冶金、地质、电子、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半导体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、化工等领域的样品微量与</w:t>
      </w: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痕量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元素分析。</w:t>
      </w:r>
    </w:p>
    <w:p>
      <w:pPr>
        <w:autoSpaceDE w:val="0"/>
        <w:autoSpaceDN w:val="0"/>
        <w:adjustRightInd w:val="0"/>
        <w:spacing w:line="440" w:lineRule="exact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3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.2 仪器结构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光谱仪</w:t>
      </w:r>
      <w:r>
        <w:rPr>
          <w:rFonts w:asciiTheme="minorEastAsia" w:hAnsiTheme="minorEastAsia" w:eastAsiaTheme="minorEastAsia"/>
          <w:kern w:val="0"/>
          <w:sz w:val="24"/>
          <w:szCs w:val="20"/>
        </w:rPr>
        <w:t>主要由进样装置、电弧</w:t>
      </w:r>
      <w:r>
        <w:rPr>
          <w:rFonts w:hint="eastAsia"/>
          <w:sz w:val="24"/>
        </w:rPr>
        <w:t>激发装置、检测装置、控制与信号装置四部分组成。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asciiTheme="minorEastAsia" w:hAnsiTheme="minorEastAsia" w:eastAsiaTheme="minorEastAsia"/>
          <w:kern w:val="0"/>
          <w:sz w:val="24"/>
          <w:szCs w:val="20"/>
        </w:rPr>
        <w:t xml:space="preserve"> </w:t>
      </w:r>
    </w:p>
    <w:p>
      <w:pPr>
        <w:autoSpaceDE w:val="0"/>
        <w:autoSpaceDN w:val="0"/>
        <w:adjustRightInd w:val="0"/>
        <w:spacing w:line="440" w:lineRule="exact"/>
        <w:rPr>
          <w:rFonts w:hint="eastAsia" w:asciiTheme="minorEastAsia" w:hAnsiTheme="minorEastAsia" w:eastAsiaTheme="minorEastAsia"/>
          <w:kern w:val="0"/>
          <w:sz w:val="24"/>
          <w:szCs w:val="20"/>
        </w:rPr>
      </w:pPr>
      <w:r>
        <w:rPr>
          <w:rFonts w:ascii="Times New Roman" w:hAnsi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-80010</wp:posOffset>
            </wp:positionV>
            <wp:extent cx="5144135" cy="304800"/>
            <wp:effectExtent l="0" t="0" r="0" b="0"/>
            <wp:wrapTopAndBottom/>
            <wp:docPr id="6213269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26956" name="图片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48"/>
        <w:spacing w:before="156" w:after="0" w:afterLines="0" w:line="360" w:lineRule="auto"/>
        <w:rPr>
          <w:sz w:val="24"/>
        </w:rPr>
      </w:pPr>
      <w:bookmarkStart w:id="62" w:name="_Toc193618953"/>
      <w:bookmarkStart w:id="63" w:name="_Toc500258938"/>
      <w:bookmarkStart w:id="64" w:name="_Toc193619098"/>
      <w:bookmarkStart w:id="65" w:name="_Toc193860031"/>
      <w:bookmarkStart w:id="66" w:name="_Toc193860212"/>
      <w:bookmarkStart w:id="67" w:name="_Toc193860181"/>
      <w:bookmarkStart w:id="68" w:name="_Toc19851_WPSOffice_Level1"/>
      <w:bookmarkStart w:id="69" w:name="_Toc193619056"/>
      <w:r>
        <w:rPr>
          <w:rFonts w:hint="eastAsia" w:ascii="Times New Roman" w:hAnsi="Times New Roman"/>
          <w:sz w:val="24"/>
        </w:rPr>
        <w:t>4</w:t>
      </w:r>
      <w:r>
        <w:rPr>
          <w:rFonts w:hint="eastAsia"/>
          <w:sz w:val="24"/>
        </w:rPr>
        <w:t>计量特性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tabs>
          <w:tab w:val="left" w:pos="5910"/>
        </w:tabs>
        <w:spacing w:line="440" w:lineRule="exact"/>
        <w:ind w:firstLine="480" w:firstLineChars="200"/>
        <w:rPr>
          <w:rFonts w:ascii="Times New Roman" w:hAnsi="Times New Roman" w:eastAsiaTheme="minorEastAsia"/>
          <w:sz w:val="24"/>
        </w:rPr>
      </w:pPr>
      <w:r>
        <w:rPr>
          <w:rFonts w:hint="eastAsia"/>
          <w:sz w:val="24"/>
        </w:rPr>
        <w:t>直流电弧原子发射光谱仪计量性能要求见表1。</w:t>
      </w:r>
      <w:r>
        <w:rPr>
          <w:sz w:val="24"/>
        </w:rPr>
        <w:tab/>
      </w:r>
    </w:p>
    <w:p>
      <w:pPr>
        <w:spacing w:line="440" w:lineRule="exact"/>
        <w:ind w:firstLine="420" w:firstLineChars="200"/>
        <w:jc w:val="center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ascii="Times New Roman" w:hAnsi="Times New Roman" w:eastAsiaTheme="minorEastAsia"/>
          <w:kern w:val="0"/>
          <w:szCs w:val="20"/>
        </w:rPr>
        <w:t>表</w:t>
      </w:r>
      <w:r>
        <w:rPr>
          <w:rFonts w:hint="eastAsia" w:ascii="Times New Roman" w:hAnsi="Times New Roman" w:eastAsiaTheme="minorEastAsia"/>
          <w:kern w:val="0"/>
          <w:szCs w:val="20"/>
        </w:rPr>
        <w:t>1</w:t>
      </w:r>
      <w:r>
        <w:rPr>
          <w:rFonts w:ascii="Times New Roman" w:hAnsi="Times New Roman" w:eastAsiaTheme="minorEastAsia"/>
          <w:kern w:val="0"/>
          <w:szCs w:val="20"/>
        </w:rPr>
        <w:t>光谱仪的主要检定项目及计量特性要求</w:t>
      </w:r>
    </w:p>
    <w:tbl>
      <w:tblPr>
        <w:tblStyle w:val="2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计量参数</w:t>
            </w:r>
          </w:p>
        </w:tc>
        <w:tc>
          <w:tcPr>
            <w:tcW w:w="40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计量技术要求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示值误差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ascii="Times New Roman" w:hAnsi="Times New Roman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4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稳定性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</w:tbl>
    <w:p>
      <w:pPr>
        <w:pStyle w:val="48"/>
        <w:spacing w:before="156" w:after="156"/>
        <w:rPr>
          <w:rFonts w:ascii="Times New Roman" w:hAnsi="Times New Roman"/>
          <w:sz w:val="24"/>
          <w:szCs w:val="24"/>
        </w:rPr>
      </w:pPr>
      <w:bookmarkStart w:id="70" w:name="_Toc25829_WPSOffice_Level1"/>
    </w:p>
    <w:p>
      <w:pPr>
        <w:pStyle w:val="48"/>
        <w:spacing w:before="156" w:after="1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校准条件</w:t>
      </w:r>
      <w:bookmarkEnd w:id="70"/>
      <w:bookmarkStart w:id="71" w:name="_Toc193860033"/>
      <w:bookmarkStart w:id="72" w:name="_Toc500258942"/>
      <w:bookmarkStart w:id="73" w:name="_Toc193860214"/>
      <w:bookmarkStart w:id="74" w:name="_Toc193860183"/>
    </w:p>
    <w:p>
      <w:pPr>
        <w:rPr>
          <w:rFonts w:asciiTheme="minorEastAsia" w:hAnsiTheme="minorEastAsia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</w:t>
      </w:r>
      <w:r>
        <w:rPr>
          <w:rFonts w:hint="eastAsia" w:asciiTheme="minorEastAsia" w:hAnsiTheme="minorEastAsia" w:eastAsiaTheme="minorEastAsia"/>
          <w:sz w:val="24"/>
        </w:rPr>
        <w:t xml:space="preserve"> 环境条件</w:t>
      </w:r>
    </w:p>
    <w:p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5.1.1环境温度（10～30）℃，相对湿度</w:t>
      </w:r>
      <w:r>
        <w:rPr>
          <w:rFonts w:asciiTheme="majorEastAsia" w:hAnsiTheme="majorEastAsia" w:eastAsiaTheme="majorEastAsia"/>
          <w:sz w:val="24"/>
        </w:rPr>
        <w:t>≤</w:t>
      </w:r>
      <w:r>
        <w:rPr>
          <w:rFonts w:ascii="Times New Roman" w:hAnsi="Times New Roman" w:eastAsiaTheme="minorEastAsia"/>
          <w:sz w:val="24"/>
        </w:rPr>
        <w:t>80%。如果设备规定了使用的环境温室度，校准活动应符合其</w:t>
      </w:r>
      <w:r>
        <w:rPr>
          <w:rFonts w:hint="eastAsia" w:ascii="Times New Roman" w:hAnsi="Times New Roman" w:eastAsiaTheme="minorEastAsia"/>
          <w:sz w:val="24"/>
        </w:rPr>
        <w:t>规定。</w:t>
      </w:r>
    </w:p>
    <w:p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5.1.2无影响光谱仪正常工作的强烈电磁干扰与机械振动，无强烈气流、无粉尘，无易燃、易爆和强腐蚀性气体或试剂。</w:t>
      </w:r>
    </w:p>
    <w:p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5.1.3 电源：电压AC (220±22)V，频率(50±1)Hz。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75" w:name="_Hlk99029139"/>
      <w:r>
        <w:rPr>
          <w:rFonts w:ascii="Times New Roman" w:hAnsi="Times New Roman" w:eastAsiaTheme="minorEastAsia"/>
          <w:sz w:val="24"/>
        </w:rPr>
        <w:t>5.2</w:t>
      </w:r>
      <w:r>
        <w:rPr>
          <w:rFonts w:hint="eastAsia" w:asciiTheme="minorEastAsia" w:hAnsiTheme="minorEastAsia" w:eastAsiaTheme="minorEastAsia"/>
          <w:sz w:val="24"/>
        </w:rPr>
        <w:t xml:space="preserve"> 测量标准</w:t>
      </w:r>
    </w:p>
    <w:bookmarkEnd w:id="71"/>
    <w:bookmarkEnd w:id="72"/>
    <w:bookmarkEnd w:id="73"/>
    <w:bookmarkEnd w:id="74"/>
    <w:p>
      <w:pPr>
        <w:spacing w:line="360" w:lineRule="auto"/>
        <w:rPr>
          <w:rFonts w:ascii="Times New Roman" w:hAnsi="Times New Roman" w:eastAsiaTheme="minorEastAsia"/>
          <w:sz w:val="24"/>
        </w:rPr>
      </w:pPr>
      <w:bookmarkStart w:id="76" w:name="_Toc193860216"/>
      <w:bookmarkStart w:id="77" w:name="_Toc2741_WPSOffice_Level1"/>
      <w:bookmarkStart w:id="78" w:name="_Toc500258944"/>
      <w:bookmarkStart w:id="79" w:name="_Toc193619058"/>
      <w:bookmarkStart w:id="80" w:name="_Toc193619100"/>
      <w:bookmarkStart w:id="81" w:name="_Toc193860035"/>
      <w:bookmarkStart w:id="82" w:name="_Toc193860185"/>
      <w:bookmarkStart w:id="83" w:name="_Toc193618955"/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>.2.1金属基体有证标准物质，相对扩展不确定度不大于10% (k=2)。</w:t>
      </w:r>
    </w:p>
    <w:p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>.2.2兆欧表：</w:t>
      </w:r>
      <w:r>
        <w:rPr>
          <w:rFonts w:hint="eastAsia" w:ascii="Times New Roman" w:hAnsi="Times New Roman" w:eastAsiaTheme="minorEastAsia"/>
          <w:sz w:val="24"/>
        </w:rPr>
        <w:t>1</w:t>
      </w:r>
      <w:r>
        <w:rPr>
          <w:rFonts w:ascii="Times New Roman" w:hAnsi="Times New Roman" w:eastAsiaTheme="minorEastAsia"/>
          <w:sz w:val="24"/>
        </w:rPr>
        <w:t>000V</w:t>
      </w:r>
    </w:p>
    <w:bookmarkEnd w:id="75"/>
    <w:p>
      <w:pPr>
        <w:pStyle w:val="48"/>
        <w:spacing w:before="156" w:after="15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校准项目和校准方法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>
      <w:pPr>
        <w:rPr>
          <w:rFonts w:asciiTheme="minorEastAsia" w:hAnsiTheme="minorEastAsia" w:eastAsiaTheme="minorEastAsia"/>
          <w:sz w:val="24"/>
        </w:rPr>
      </w:pPr>
      <w:bookmarkStart w:id="84" w:name="_Toc22718_WPSOffice_Level2"/>
      <w:bookmarkStart w:id="85" w:name="_Toc500258945"/>
      <w:r>
        <w:rPr>
          <w:rFonts w:hint="eastAsia" w:ascii="Times New Roman" w:hAnsi="Times New Roman"/>
          <w:kern w:val="0"/>
          <w:sz w:val="24"/>
          <w:szCs w:val="20"/>
        </w:rPr>
        <w:t>6.1</w:t>
      </w:r>
      <w:r>
        <w:rPr>
          <w:rFonts w:hint="eastAsia" w:asciiTheme="minorEastAsia" w:hAnsiTheme="minorEastAsia" w:eastAsiaTheme="minorEastAsia"/>
          <w:sz w:val="24"/>
        </w:rPr>
        <w:t xml:space="preserve"> 校准项目</w:t>
      </w:r>
      <w:bookmarkEnd w:id="84"/>
      <w:bookmarkEnd w:id="85"/>
    </w:p>
    <w:p>
      <w:pPr>
        <w:spacing w:line="360" w:lineRule="auto"/>
        <w:rPr>
          <w:rFonts w:ascii="宋体" w:hAnsi="宋体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6.1.1</w:t>
      </w:r>
      <w:r>
        <w:rPr>
          <w:rFonts w:hint="eastAsia" w:ascii="宋体" w:hAnsi="宋体"/>
          <w:kern w:val="0"/>
          <w:sz w:val="24"/>
          <w:szCs w:val="20"/>
        </w:rPr>
        <w:t xml:space="preserve"> 外观及通用要求</w:t>
      </w:r>
    </w:p>
    <w:p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.1.1.1仪器应有仪器名称、型号、制造</w:t>
      </w:r>
      <w:r>
        <w:rPr>
          <w:rFonts w:hint="eastAsia" w:ascii="Times New Roman" w:hAnsi="Times New Roman"/>
          <w:kern w:val="0"/>
          <w:sz w:val="24"/>
          <w:szCs w:val="20"/>
        </w:rPr>
        <w:t>公司</w:t>
      </w:r>
      <w:r>
        <w:rPr>
          <w:rFonts w:ascii="Times New Roman" w:hAnsi="Times New Roman"/>
          <w:kern w:val="0"/>
          <w:sz w:val="24"/>
          <w:szCs w:val="20"/>
        </w:rPr>
        <w:t>、出厂编号与出厂日期。</w:t>
      </w:r>
    </w:p>
    <w:p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.1.1.2仪器所有</w:t>
      </w:r>
      <w:r>
        <w:rPr>
          <w:rFonts w:hint="eastAsia" w:ascii="Times New Roman" w:hAnsi="Times New Roman"/>
          <w:kern w:val="0"/>
          <w:sz w:val="24"/>
          <w:szCs w:val="20"/>
        </w:rPr>
        <w:t>部件连接</w:t>
      </w:r>
      <w:r>
        <w:rPr>
          <w:rFonts w:ascii="Times New Roman" w:hAnsi="Times New Roman"/>
          <w:kern w:val="0"/>
          <w:sz w:val="24"/>
          <w:szCs w:val="20"/>
        </w:rPr>
        <w:t>良好</w:t>
      </w:r>
      <w:r>
        <w:rPr>
          <w:rFonts w:hint="eastAsia" w:ascii="Times New Roman" w:hAnsi="Times New Roman"/>
          <w:kern w:val="0"/>
          <w:sz w:val="24"/>
          <w:szCs w:val="20"/>
        </w:rPr>
        <w:t>；可活动</w:t>
      </w:r>
      <w:r>
        <w:rPr>
          <w:rFonts w:ascii="Times New Roman" w:hAnsi="Times New Roman"/>
          <w:kern w:val="0"/>
          <w:sz w:val="24"/>
          <w:szCs w:val="20"/>
        </w:rPr>
        <w:t>部位应灵活平稳</w:t>
      </w:r>
      <w:r>
        <w:rPr>
          <w:rFonts w:hint="eastAsia" w:ascii="Times New Roman" w:hAnsi="Times New Roman"/>
          <w:kern w:val="0"/>
          <w:sz w:val="24"/>
          <w:szCs w:val="20"/>
        </w:rPr>
        <w:t>；</w:t>
      </w:r>
      <w:r>
        <w:rPr>
          <w:rFonts w:ascii="Times New Roman" w:hAnsi="Times New Roman"/>
          <w:kern w:val="0"/>
          <w:sz w:val="24"/>
          <w:szCs w:val="20"/>
        </w:rPr>
        <w:t>气路系统应密封可靠</w:t>
      </w:r>
      <w:r>
        <w:rPr>
          <w:rFonts w:hint="eastAsia" w:ascii="Times New Roman" w:hAnsi="Times New Roman"/>
          <w:kern w:val="0"/>
          <w:sz w:val="24"/>
          <w:szCs w:val="20"/>
        </w:rPr>
        <w:t>，</w:t>
      </w:r>
      <w:r>
        <w:rPr>
          <w:rFonts w:ascii="Times New Roman" w:hAnsi="Times New Roman"/>
          <w:kern w:val="0"/>
          <w:sz w:val="24"/>
          <w:szCs w:val="20"/>
        </w:rPr>
        <w:t>不得泄漏。</w:t>
      </w:r>
    </w:p>
    <w:p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.1.1.3仪器所有功能键应能正常使用</w:t>
      </w:r>
      <w:r>
        <w:rPr>
          <w:rFonts w:hint="eastAsia" w:ascii="Times New Roman" w:hAnsi="Times New Roman"/>
          <w:kern w:val="0"/>
          <w:sz w:val="24"/>
          <w:szCs w:val="20"/>
        </w:rPr>
        <w:t>；</w:t>
      </w:r>
      <w:r>
        <w:rPr>
          <w:rFonts w:ascii="Times New Roman" w:hAnsi="Times New Roman"/>
          <w:kern w:val="0"/>
          <w:sz w:val="24"/>
          <w:szCs w:val="20"/>
        </w:rPr>
        <w:t>测试软件应</w:t>
      </w:r>
      <w:r>
        <w:rPr>
          <w:rFonts w:hint="eastAsia" w:ascii="Times New Roman" w:hAnsi="Times New Roman"/>
          <w:kern w:val="0"/>
          <w:sz w:val="24"/>
          <w:szCs w:val="20"/>
        </w:rPr>
        <w:t>能正常控制设备相关模块，保证测试过程</w:t>
      </w:r>
      <w:r>
        <w:rPr>
          <w:rFonts w:ascii="Times New Roman" w:hAnsi="Times New Roman"/>
          <w:kern w:val="0"/>
          <w:sz w:val="24"/>
          <w:szCs w:val="20"/>
        </w:rPr>
        <w:t>的</w:t>
      </w:r>
      <w:r>
        <w:rPr>
          <w:rFonts w:hint="eastAsia" w:ascii="Times New Roman" w:hAnsi="Times New Roman"/>
          <w:kern w:val="0"/>
          <w:sz w:val="24"/>
          <w:szCs w:val="20"/>
        </w:rPr>
        <w:t>正常实施。</w:t>
      </w:r>
    </w:p>
    <w:p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hint="eastAsia" w:ascii="Times New Roman" w:hAnsi="Times New Roman"/>
          <w:kern w:val="0"/>
          <w:sz w:val="24"/>
          <w:szCs w:val="20"/>
        </w:rPr>
        <w:t>6.1.2</w:t>
      </w:r>
      <w:r>
        <w:rPr>
          <w:rFonts w:ascii="Times New Roman" w:hAnsi="Times New Roman"/>
          <w:kern w:val="0"/>
          <w:sz w:val="24"/>
          <w:szCs w:val="20"/>
        </w:rPr>
        <w:t xml:space="preserve">安全性能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/>
          <w:kern w:val="0"/>
          <w:sz w:val="24"/>
          <w:szCs w:val="20"/>
        </w:rPr>
        <w:t>仪器接地良好，绝缘电阻应不小于20MΩ。</w:t>
      </w:r>
    </w:p>
    <w:p>
      <w:pPr>
        <w:pStyle w:val="49"/>
        <w:tabs>
          <w:tab w:val="left" w:pos="5725"/>
        </w:tabs>
        <w:spacing w:line="360" w:lineRule="auto"/>
        <w:ind w:firstLine="0" w:firstLineChars="0"/>
        <w:rPr>
          <w:rFonts w:hAnsi="宋体"/>
          <w:sz w:val="24"/>
        </w:rPr>
      </w:pPr>
      <w:r>
        <w:rPr>
          <w:rFonts w:hint="eastAsia"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>3</w:t>
      </w:r>
      <w:r>
        <w:rPr>
          <w:rFonts w:hint="eastAsia" w:hAnsi="宋体"/>
          <w:sz w:val="24"/>
        </w:rPr>
        <w:t xml:space="preserve"> 校准项目</w:t>
      </w:r>
      <w:r>
        <w:rPr>
          <w:rFonts w:hAnsi="宋体"/>
          <w:sz w:val="24"/>
        </w:rPr>
        <w:tab/>
      </w:r>
    </w:p>
    <w:p>
      <w:pPr>
        <w:widowControl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校准项目见表</w:t>
      </w:r>
      <w:r>
        <w:rPr>
          <w:rFonts w:hint="eastAsia" w:ascii="Times New Roman" w:hAnsi="Times New Roman" w:eastAsiaTheme="minorEastAsia"/>
          <w:sz w:val="24"/>
        </w:rPr>
        <w:t>2</w:t>
      </w:r>
      <w:r>
        <w:rPr>
          <w:rFonts w:hint="eastAsia" w:hAnsi="宋体"/>
          <w:sz w:val="24"/>
        </w:rPr>
        <w:t>。</w:t>
      </w:r>
    </w:p>
    <w:p>
      <w:pPr>
        <w:widowControl/>
        <w:jc w:val="center"/>
        <w:rPr>
          <w:rFonts w:eastAsia="黑体"/>
        </w:rPr>
      </w:pPr>
      <w:r>
        <w:rPr>
          <w:rFonts w:hint="eastAsia" w:eastAsia="黑体"/>
        </w:rPr>
        <w:t>表</w:t>
      </w:r>
      <w:r>
        <w:rPr>
          <w:rFonts w:hint="eastAsia" w:ascii="Times New Roman" w:hAnsi="Times New Roman" w:eastAsia="黑体"/>
        </w:rPr>
        <w:t>2</w:t>
      </w:r>
      <w:r>
        <w:rPr>
          <w:rFonts w:hint="eastAsia" w:eastAsia="黑体"/>
        </w:rPr>
        <w:t xml:space="preserve"> 校准项目表</w:t>
      </w:r>
    </w:p>
    <w:tbl>
      <w:tblPr>
        <w:tblStyle w:val="25"/>
        <w:tblW w:w="37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5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3" w:type="pc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序号</w:t>
            </w:r>
          </w:p>
        </w:tc>
        <w:tc>
          <w:tcPr>
            <w:tcW w:w="3697" w:type="pc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cs="宋体" w:asciiTheme="minorEastAsia" w:hAnsiTheme="minorEastAsia" w:eastAsiaTheme="minorEastAsia"/>
                <w:szCs w:val="22"/>
                <w:lang w:bidi="en-US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校准项目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03" w:type="pc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1</w:t>
            </w:r>
          </w:p>
        </w:tc>
        <w:tc>
          <w:tcPr>
            <w:tcW w:w="36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示值误差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2</w:t>
            </w:r>
          </w:p>
        </w:tc>
        <w:tc>
          <w:tcPr>
            <w:tcW w:w="36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3</w:t>
            </w:r>
          </w:p>
        </w:tc>
        <w:tc>
          <w:tcPr>
            <w:tcW w:w="36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稳定性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86" w:name="_Toc22008_WPSOffice_Level2"/>
      <w:r>
        <w:rPr>
          <w:rFonts w:hint="eastAsia" w:ascii="Times New Roman" w:hAnsi="Times New Roman"/>
          <w:kern w:val="0"/>
          <w:sz w:val="24"/>
          <w:szCs w:val="20"/>
        </w:rPr>
        <w:t>6.2</w:t>
      </w:r>
      <w:r>
        <w:rPr>
          <w:rFonts w:hint="eastAsia" w:asciiTheme="minorEastAsia" w:hAnsiTheme="minorEastAsia" w:eastAsiaTheme="minorEastAsia"/>
          <w:sz w:val="24"/>
        </w:rPr>
        <w:t xml:space="preserve"> 校准方法</w:t>
      </w:r>
      <w:bookmarkEnd w:id="86"/>
    </w:p>
    <w:p>
      <w:pPr>
        <w:spacing w:line="360" w:lineRule="auto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/>
          <w:kern w:val="0"/>
          <w:sz w:val="24"/>
          <w:szCs w:val="20"/>
        </w:rPr>
        <w:t>6.2.1</w:t>
      </w:r>
      <w:r>
        <w:rPr>
          <w:rFonts w:hint="eastAsia" w:asciiTheme="minorEastAsia" w:hAnsiTheme="minorEastAsia" w:eastAsiaTheme="minorEastAsia"/>
          <w:sz w:val="24"/>
        </w:rPr>
        <w:t xml:space="preserve"> 外观及通用要求的检查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0"/>
        </w:rPr>
        <w:t>外观</w:t>
      </w:r>
      <w:r>
        <w:rPr>
          <w:rFonts w:hint="eastAsia" w:asciiTheme="minorEastAsia" w:hAnsiTheme="minorEastAsia" w:eastAsiaTheme="minorEastAsia"/>
          <w:sz w:val="24"/>
        </w:rPr>
        <w:t>及通用要求参考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JJ</w:t>
      </w:r>
      <w:r>
        <w:rPr>
          <w:rFonts w:ascii="Times New Roman" w:hAnsi="Times New Roman" w:eastAsiaTheme="minorEastAsia"/>
          <w:kern w:val="0"/>
          <w:sz w:val="24"/>
          <w:szCs w:val="20"/>
        </w:rPr>
        <w:t>G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>768，</w:t>
      </w:r>
      <w:r>
        <w:rPr>
          <w:rFonts w:asciiTheme="minorEastAsia" w:hAnsiTheme="minorEastAsia" w:eastAsiaTheme="minorEastAsia"/>
          <w:sz w:val="24"/>
        </w:rPr>
        <w:t>按</w:t>
      </w:r>
      <w:r>
        <w:rPr>
          <w:rFonts w:ascii="Times New Roman" w:hAnsi="Times New Roman" w:eastAsiaTheme="minorEastAsia"/>
          <w:sz w:val="24"/>
        </w:rPr>
        <w:t>6.1.1</w:t>
      </w:r>
      <w:r>
        <w:rPr>
          <w:rFonts w:asciiTheme="minorEastAsia" w:hAnsiTheme="minorEastAsia" w:eastAsiaTheme="minorEastAsia"/>
          <w:sz w:val="24"/>
        </w:rPr>
        <w:t>要求</w:t>
      </w:r>
      <w:r>
        <w:rPr>
          <w:rFonts w:hint="eastAsia" w:asciiTheme="minorEastAsia" w:hAnsiTheme="minorEastAsia" w:eastAsiaTheme="minorEastAsia"/>
          <w:sz w:val="24"/>
        </w:rPr>
        <w:t>采用目视观察法检查仪器外观和铭牌内容；接通电源检查设备（含附件）、测试软件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压力表、气路密闭性等运行是否正常，</w:t>
      </w:r>
      <w:r>
        <w:rPr>
          <w:rFonts w:asciiTheme="minorEastAsia" w:hAnsiTheme="minorEastAsia" w:eastAsiaTheme="minorEastAsia"/>
          <w:sz w:val="24"/>
        </w:rPr>
        <w:t>在确定无影响计量特性的因素后，再进行校准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6.2.2安全性能的</w:t>
      </w:r>
      <w:r>
        <w:rPr>
          <w:rFonts w:hint="eastAsia" w:ascii="Times New Roman" w:hAnsi="Times New Roman" w:eastAsiaTheme="minorEastAsia"/>
          <w:sz w:val="24"/>
        </w:rPr>
        <w:t>检查</w:t>
      </w:r>
      <w:r>
        <w:rPr>
          <w:rFonts w:ascii="Times New Roman" w:hAnsi="Times New Roman" w:eastAsiaTheme="minorEastAsia"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在未接通电源时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打开仪器开关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用兆欧表测量电源进线端（相线或中线）与机壳间的绝缘电阻。</w:t>
      </w:r>
    </w:p>
    <w:p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</w:t>
      </w:r>
      <w:r>
        <w:rPr>
          <w:rFonts w:hint="eastAsia" w:ascii="Times New Roman" w:hAnsi="Times New Roman"/>
          <w:kern w:val="0"/>
          <w:sz w:val="24"/>
          <w:szCs w:val="20"/>
        </w:rPr>
        <w:t>2.</w:t>
      </w:r>
      <w:r>
        <w:rPr>
          <w:rFonts w:ascii="Times New Roman" w:hAnsi="Times New Roman"/>
          <w:kern w:val="0"/>
          <w:sz w:val="24"/>
          <w:szCs w:val="20"/>
        </w:rPr>
        <w:t>3</w:t>
      </w:r>
      <w:r>
        <w:rPr>
          <w:rFonts w:ascii="Times New Roman" w:hAnsi="Times New Roman" w:eastAsiaTheme="minorEastAsia"/>
          <w:sz w:val="24"/>
        </w:rPr>
        <w:t>示值误差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示值误差参考</w:t>
      </w:r>
      <w:r>
        <w:rPr>
          <w:rFonts w:hint="eastAsia" w:ascii="Times New Roman" w:hAnsi="Times New Roman"/>
          <w:sz w:val="24"/>
        </w:rPr>
        <w:t xml:space="preserve">JJF </w:t>
      </w:r>
      <w:r>
        <w:rPr>
          <w:rFonts w:ascii="Times New Roman" w:hAnsi="Times New Roman"/>
          <w:sz w:val="24"/>
        </w:rPr>
        <w:t>2024，</w:t>
      </w:r>
      <w:r>
        <w:rPr>
          <w:rFonts w:ascii="Times New Roman" w:hAnsi="Times New Roman" w:eastAsiaTheme="minorEastAsia"/>
          <w:sz w:val="24"/>
        </w:rPr>
        <w:t xml:space="preserve">按照光谱仪常用使用范围，选用5.2.1中高、中、低含量的3种标准物质，对每种标准物质重复测定3次，求平均值，按式(1)分别计算各点示值误差，取 </w:t>
      </w:r>
      <w:r>
        <w:rPr>
          <w:rFonts w:ascii="Times New Roman" w:hAnsi="Times New Roman" w:eastAsiaTheme="minorEastAsia"/>
          <w:i/>
          <w:sz w:val="24"/>
        </w:rPr>
        <w:t>ΔX</w:t>
      </w:r>
      <w:r>
        <w:rPr>
          <w:rFonts w:ascii="Times New Roman" w:hAnsi="Times New Roman" w:eastAsiaTheme="minorEastAsia"/>
          <w:i/>
          <w:sz w:val="24"/>
          <w:vertAlign w:val="subscript"/>
        </w:rPr>
        <w:t>i</w:t>
      </w:r>
      <w:r>
        <w:rPr>
          <w:rFonts w:ascii="Times New Roman" w:hAnsi="Times New Roman" w:eastAsiaTheme="minorEastAsia"/>
          <w:sz w:val="24"/>
        </w:rPr>
        <w:t>绝对值最大者为光谱仪的示值误差。</w:t>
      </w:r>
    </w:p>
    <w:p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 w:eastAsiaTheme="minor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Theme="minorEastAsia"/>
          <w:color w:val="000000"/>
          <w:kern w:val="0"/>
          <w:sz w:val="24"/>
        </w:rPr>
        <w:t xml:space="preserve">                                </w:t>
      </w:r>
      <w:r>
        <w:rPr>
          <w:rFonts w:ascii="Times New Roman" w:hAnsi="Times New Roman" w:eastAsiaTheme="minorEastAsia"/>
          <w:i/>
          <w:sz w:val="24"/>
        </w:rPr>
        <w:t>Δ</w:t>
      </w:r>
      <m:oMath>
        <m:sSub>
          <m:sSub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i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ub>
        </m:sSub>
        <m:r>
          <m:rPr>
            <m:nor/>
          </m:rPr>
          <w:rPr>
            <w:rFonts w:ascii="Cambria Math" w:hAnsi="Cambria Math"/>
            <w:i/>
            <w:color w:val="000000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</m:acc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den>
        </m:f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 xml:space="preserve"> </m:t>
        </m:r>
      </m:oMath>
      <w:r>
        <w:rPr>
          <w:rFonts w:ascii="Times New Roman" w:hAnsi="Times New Roman"/>
          <w:color w:val="000000"/>
          <w:kern w:val="0"/>
          <w:sz w:val="24"/>
        </w:rPr>
        <w:t xml:space="preserve">                             </w:t>
      </w:r>
      <w:r>
        <w:rPr>
          <w:rFonts w:hint="eastAsia" w:ascii="Times New Roman" w:hAnsi="Times New Roman"/>
          <w:color w:val="000000"/>
          <w:kern w:val="0"/>
          <w:sz w:val="24"/>
        </w:rPr>
        <w:t>（1）</w:t>
      </w:r>
    </w:p>
    <w:p>
      <w:pPr>
        <w:widowControl/>
        <w:spacing w:line="360" w:lineRule="auto"/>
        <w:ind w:firstLine="720" w:firstLineChars="3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式中  </w:t>
      </w:r>
      <w:r>
        <w:rPr>
          <w:rFonts w:ascii="Times New Roman" w:hAnsi="Times New Roman" w:eastAsiaTheme="minorEastAsia"/>
          <w:i/>
          <w:sz w:val="24"/>
        </w:rPr>
        <w:t>Δ</w:t>
      </w:r>
      <m:oMath>
        <m:sSub>
          <m:sSub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i</m:t>
            </m: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sub>
        </m:sSub>
      </m:oMath>
      <w:r>
        <w:rPr>
          <w:rFonts w:ascii="Times New Roman" w:hAnsi="Times New Roman"/>
          <w:i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———各点示值误差；</w:t>
      </w:r>
    </w:p>
    <w:p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———各点实测平均值（质量分数），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>
      <w:pPr>
        <w:spacing w:line="360" w:lineRule="auto"/>
        <w:ind w:firstLine="1440" w:firstLineChars="6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———各点标准值（质量分数），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。</w:t>
      </w:r>
    </w:p>
    <w:p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2.4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="FZSSK--GBK1-0" w:hAnsi="FZSSK--GBK1-0"/>
          <w:color w:val="000000"/>
          <w:sz w:val="24"/>
        </w:rPr>
        <w:t>重复性</w:t>
      </w:r>
    </w:p>
    <w:p>
      <w:pPr>
        <w:spacing w:line="360" w:lineRule="auto"/>
        <w:ind w:firstLine="480" w:firstLineChars="200"/>
        <w:rPr>
          <w:rFonts w:hint="eastAsia"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E-BZ" w:hAnsi="E-BZ" w:cs="宋体"/>
          <w:color w:val="000000"/>
          <w:kern w:val="0"/>
          <w:sz w:val="24"/>
        </w:rPr>
        <w:t>，</w:t>
      </w:r>
      <w:r>
        <w:rPr>
          <w:rFonts w:ascii="FZSSK--GBK1-0" w:hAnsi="FZSSK--GBK1-0" w:cs="宋体"/>
          <w:color w:val="000000"/>
          <w:kern w:val="0"/>
          <w:sz w:val="24"/>
        </w:rPr>
        <w:t>连续激发</w:t>
      </w:r>
      <w:r>
        <w:rPr>
          <w:rFonts w:ascii="E-BZ" w:hAnsi="E-BZ" w:cs="宋体"/>
          <w:color w:val="000000"/>
          <w:kern w:val="0"/>
          <w:sz w:val="24"/>
        </w:rPr>
        <w:t>7</w:t>
      </w:r>
      <w:r>
        <w:rPr>
          <w:rFonts w:ascii="FZSSK--GBK1-0" w:hAnsi="FZSSK--GBK1-0" w:cs="宋体"/>
          <w:color w:val="000000"/>
          <w:kern w:val="0"/>
          <w:sz w:val="24"/>
        </w:rPr>
        <w:t>次测</w:t>
      </w:r>
      <w:r>
        <w:rPr>
          <w:rFonts w:ascii="FZSSK--GBK1-0" w:hAnsi="FZSSK--GBK1-0" w:cs="宋体"/>
          <w:kern w:val="0"/>
          <w:sz w:val="24"/>
        </w:rPr>
        <w:t>量</w:t>
      </w:r>
      <w:r>
        <w:rPr>
          <w:rFonts w:hint="eastAsia" w:ascii="FZSSK--GBK1-0" w:hAnsi="FZSSK--GBK1-0" w:cs="宋体"/>
          <w:kern w:val="0"/>
          <w:sz w:val="24"/>
        </w:rPr>
        <w:t>5</w:t>
      </w:r>
      <w:r>
        <w:rPr>
          <w:rFonts w:ascii="FZSSK--GBK1-0" w:hAnsi="FZSSK--GBK1-0" w:cs="宋体"/>
          <w:kern w:val="0"/>
          <w:sz w:val="24"/>
        </w:rPr>
        <w:t>.2.1中间含量的标准物质</w:t>
      </w:r>
      <w:r>
        <w:rPr>
          <w:rFonts w:hint="eastAsia" w:ascii="E-BZ" w:hAnsi="E-BZ" w:cs="宋体"/>
          <w:kern w:val="0"/>
          <w:sz w:val="24"/>
        </w:rPr>
        <w:t>，按公</w:t>
      </w:r>
      <w:r>
        <w:rPr>
          <w:rFonts w:ascii="FZSSK--GBK1-0" w:hAnsi="FZSSK--GBK1-0" w:cs="宋体"/>
          <w:kern w:val="0"/>
          <w:sz w:val="24"/>
        </w:rPr>
        <w:t xml:space="preserve">式 </w:t>
      </w:r>
      <w:r>
        <w:rPr>
          <w:rFonts w:ascii="E-BZ" w:hAnsi="E-BZ" w:cs="宋体"/>
          <w:kern w:val="0"/>
          <w:sz w:val="24"/>
        </w:rPr>
        <w:t>(2)</w:t>
      </w:r>
      <w:r>
        <w:rPr>
          <w:rFonts w:ascii="FZSSK--GBK1-0" w:hAnsi="FZSSK--GBK1-0" w:cs="宋体"/>
          <w:color w:val="000000"/>
          <w:kern w:val="0"/>
          <w:sz w:val="24"/>
        </w:rPr>
        <w:t>计算最大相对标准偏差，即为重复性</w:t>
      </w:r>
      <w:r>
        <w:rPr>
          <w:rFonts w:ascii="E-BZ" w:hAnsi="E-BZ" w:cs="宋体"/>
          <w:color w:val="000000"/>
          <w:kern w:val="0"/>
          <w:sz w:val="24"/>
        </w:rPr>
        <w:t>(</w:t>
      </w:r>
      <w:r>
        <w:rPr>
          <w:rFonts w:ascii="E-BZ" w:hAnsi="E-BZ" w:cs="宋体"/>
          <w:i/>
          <w:color w:val="000000"/>
          <w:kern w:val="0"/>
          <w:sz w:val="24"/>
        </w:rPr>
        <w:t>RSD</w:t>
      </w:r>
      <w:r>
        <w:rPr>
          <w:rFonts w:ascii="E-BZ" w:hAnsi="E-BZ" w:cs="宋体"/>
          <w:color w:val="000000"/>
          <w:kern w:val="0"/>
          <w:sz w:val="24"/>
        </w:rPr>
        <w:t>)。</w:t>
      </w:r>
    </w:p>
    <w:p>
      <w:pPr>
        <w:spacing w:line="360" w:lineRule="auto"/>
        <w:jc w:val="center"/>
        <w:rPr>
          <w:rFonts w:hint="eastAsia" w:ascii="FZSSK--GBK1-0" w:hAnsi="FZSSK--GBK1-0"/>
          <w:i/>
          <w:color w:val="000000"/>
          <w:sz w:val="24"/>
        </w:rPr>
      </w:pPr>
      <w:r>
        <w:rPr>
          <w:rFonts w:ascii="FZSSK--GBK1-0" w:hAnsi="FZSSK--GBK1-0"/>
          <w:color w:val="000000"/>
          <w:sz w:val="24"/>
        </w:rPr>
        <w:t xml:space="preserve">                     </w:t>
      </w:r>
      <m:oMath>
        <m:r>
          <m:rPr/>
          <w:rPr>
            <w:rFonts w:hint="eastAsia" w:ascii="Cambria Math" w:hAnsi="Cambria Math"/>
            <w:color w:val="000000"/>
            <w:sz w:val="24"/>
          </w:rPr>
          <m:t>RSD</m:t>
        </m:r>
        <m:r>
          <m:rPr/>
          <w:rPr>
            <w:rFonts w:ascii="Cambria Math" w:hAnsi="Cambria Math"/>
            <w:color w:val="00000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  <w:sz w:val="24"/>
              </w:rPr>
              <m:t>1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color w:val="00000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e>
            </m:acc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naryPr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</w:rPr>
                      <m:t>i=1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e>
                </m:nary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  <w:sz w:val="24"/>
                  </w:rPr>
                  <m:t>n−1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den>
            </m:f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e>
        </m:rad>
        <m:r>
          <m:rPr/>
          <w:rPr>
            <w:rFonts w:ascii="Cambria Math" w:hAnsi="Cambria Math"/>
            <w:color w:val="000000"/>
            <w:sz w:val="24"/>
          </w:rPr>
          <m:t xml:space="preserve"> ×100%</m:t>
        </m:r>
      </m:oMath>
      <w:r>
        <w:rPr>
          <w:rFonts w:hint="eastAsia" w:ascii="FZSSK--GBK1-0" w:hAnsi="FZSSK--GBK1-0"/>
          <w:i/>
          <w:color w:val="000000"/>
          <w:sz w:val="24"/>
        </w:rPr>
        <w:t xml:space="preserve"> </w:t>
      </w:r>
      <w:r>
        <w:rPr>
          <w:rFonts w:ascii="FZSSK--GBK1-0" w:hAnsi="FZSSK--GBK1-0"/>
          <w:i/>
          <w:color w:val="000000"/>
          <w:sz w:val="24"/>
        </w:rPr>
        <w:t xml:space="preserve">                     </w:t>
      </w:r>
      <w:r>
        <w:rPr>
          <w:rFonts w:ascii="E-BZ" w:hAnsi="E-BZ" w:cs="宋体"/>
          <w:color w:val="000000"/>
          <w:kern w:val="0"/>
          <w:sz w:val="24"/>
        </w:rPr>
        <w:t>(2)</w:t>
      </w:r>
    </w:p>
    <w:p>
      <w:pPr>
        <w:widowControl/>
        <w:spacing w:line="360" w:lineRule="auto"/>
        <w:ind w:firstLine="849" w:firstLineChars="354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式中：</w:t>
      </w:r>
      <w:r>
        <w:rPr>
          <w:rFonts w:ascii="Times New Roman" w:hAnsi="Times New Roman"/>
          <w:i/>
          <w:color w:val="000000"/>
          <w:kern w:val="0"/>
          <w:sz w:val="24"/>
        </w:rPr>
        <w:t>RSD</w:t>
      </w:r>
      <w:r>
        <w:rPr>
          <w:rFonts w:ascii="Times New Roman" w:hAnsi="Times New Roman"/>
          <w:color w:val="000000"/>
          <w:kern w:val="0"/>
          <w:sz w:val="24"/>
        </w:rPr>
        <w:t xml:space="preserve">———相对标准偏差，%； </w:t>
      </w:r>
    </w:p>
    <w:p>
      <w:pPr>
        <w:widowControl/>
        <w:spacing w:line="360" w:lineRule="auto"/>
        <w:ind w:firstLine="1569" w:firstLineChars="654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i</w:t>
      </w:r>
      <w:r>
        <w:rPr>
          <w:rFonts w:ascii="Times New Roman" w:hAnsi="Times New Roman"/>
          <w:color w:val="000000"/>
          <w:kern w:val="0"/>
          <w:sz w:val="24"/>
        </w:rPr>
        <w:t>———单次测量值，%；</w:t>
      </w:r>
    </w:p>
    <w:p>
      <w:pPr>
        <w:widowControl/>
        <w:spacing w:line="360" w:lineRule="auto"/>
        <w:ind w:firstLine="1560" w:firstLineChars="650"/>
        <w:jc w:val="left"/>
        <w:rPr>
          <w:rFonts w:ascii="Times New Roman" w:hAnsi="Times New Roman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 xml:space="preserve"> ———测量平均值，%； </w:t>
      </w:r>
    </w:p>
    <w:p>
      <w:pPr>
        <w:spacing w:line="360" w:lineRule="auto"/>
        <w:ind w:firstLine="1560" w:firstLineChars="65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n———测量次数，n=10。</w:t>
      </w:r>
    </w:p>
    <w:p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2.5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="FZSSK--GBK1-0" w:hAnsi="FZSSK--GBK1-0"/>
          <w:color w:val="000000"/>
          <w:sz w:val="24"/>
        </w:rPr>
        <w:t>稳定性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选用</w:t>
      </w: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2.4相同的标准物质</w:t>
      </w:r>
      <w:r>
        <w:rPr>
          <w:rFonts w:ascii="FZSSK--GBK1-0" w:hAnsi="FZSSK--GBK1-0"/>
          <w:color w:val="000000"/>
          <w:sz w:val="24"/>
        </w:rPr>
        <w:t>。在不少于2h内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间隔20min测量</w:t>
      </w:r>
      <w:r>
        <w:rPr>
          <w:rFonts w:hint="eastAsia" w:ascii="FZSSK--GBK1-0" w:hAnsi="FZSSK--GBK1-0"/>
          <w:color w:val="000000"/>
          <w:sz w:val="24"/>
        </w:rPr>
        <w:t>1</w:t>
      </w:r>
      <w:r>
        <w:rPr>
          <w:rFonts w:ascii="FZSSK--GBK1-0" w:hAnsi="FZSSK--GBK1-0"/>
          <w:color w:val="000000"/>
          <w:sz w:val="24"/>
        </w:rPr>
        <w:t>次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重复6次测量。按公式 (2)计算的最大相对标准偏差，即为光谱仪的稳定性。</w:t>
      </w:r>
    </w:p>
    <w:p>
      <w:pPr>
        <w:pStyle w:val="48"/>
        <w:spacing w:before="156" w:after="156"/>
        <w:rPr>
          <w:sz w:val="24"/>
          <w:szCs w:val="24"/>
        </w:rPr>
      </w:pPr>
      <w:bookmarkStart w:id="87" w:name="_Toc193860038"/>
      <w:bookmarkStart w:id="88" w:name="_Toc193618956"/>
      <w:bookmarkStart w:id="89" w:name="_Toc193860219"/>
      <w:bookmarkStart w:id="90" w:name="_Toc193860188"/>
      <w:bookmarkStart w:id="91" w:name="_Toc193619101"/>
      <w:bookmarkStart w:id="92" w:name="_Toc193619059"/>
      <w:bookmarkStart w:id="93" w:name="_Toc25466_WPSOffice_Level1"/>
      <w:bookmarkStart w:id="94" w:name="_Toc500258947"/>
      <w:r>
        <w:rPr>
          <w:rFonts w:ascii="Times New Roman" w:hAnsi="Times New Roman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 校准结果</w:t>
      </w:r>
      <w:bookmarkEnd w:id="87"/>
      <w:bookmarkEnd w:id="88"/>
      <w:bookmarkEnd w:id="89"/>
      <w:bookmarkEnd w:id="90"/>
      <w:bookmarkEnd w:id="91"/>
      <w:bookmarkEnd w:id="92"/>
      <w:r>
        <w:rPr>
          <w:rFonts w:hint="eastAsia"/>
          <w:sz w:val="24"/>
          <w:szCs w:val="24"/>
        </w:rPr>
        <w:t>表达</w:t>
      </w:r>
      <w:bookmarkEnd w:id="93"/>
      <w:bookmarkEnd w:id="94"/>
    </w:p>
    <w:p>
      <w:pPr>
        <w:pStyle w:val="49"/>
        <w:spacing w:line="360" w:lineRule="auto"/>
        <w:ind w:firstLine="480"/>
        <w:rPr>
          <w:rFonts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校准结果应在校准证书上反映。校准证书应至少包括以下信息：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a) 标题：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“</w:t>
      </w:r>
      <w:r>
        <w:rPr>
          <w:rFonts w:ascii="Times New Roman" w:hAnsi="Times New Roman" w:eastAsiaTheme="minorEastAsia"/>
          <w:kern w:val="2"/>
          <w:sz w:val="24"/>
          <w:szCs w:val="24"/>
        </w:rPr>
        <w:t>校准证书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”</w:t>
      </w:r>
      <w:r>
        <w:rPr>
          <w:rFonts w:ascii="Times New Roman" w:hAnsi="Times New Roman" w:eastAsiaTheme="minorEastAsia"/>
          <w:kern w:val="2"/>
          <w:sz w:val="24"/>
          <w:szCs w:val="24"/>
        </w:rPr>
        <w:t>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b) 实验室名称和地址；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c) 进行校准的地点（如与实验室的地址不同）；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d) 证书的唯一性标识</w:t>
      </w:r>
      <w:r>
        <w:rPr>
          <w:rFonts w:ascii="Times New Roman" w:hAnsi="Times New Roman"/>
          <w:spacing w:val="-2"/>
          <w:sz w:val="24"/>
        </w:rPr>
        <w:t>（如编号）</w:t>
      </w:r>
      <w:r>
        <w:rPr>
          <w:rFonts w:ascii="Times New Roman" w:hAnsi="Times New Roman" w:eastAsiaTheme="minorEastAsia"/>
          <w:kern w:val="2"/>
          <w:sz w:val="24"/>
          <w:szCs w:val="24"/>
        </w:rPr>
        <w:t>，每页及总页数的标识；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e) 客户的名称和地址；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f) 被校对象的描述和明确标识；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g) 进行校准的日期，如果与校准结果的有效性和应用有关时，应说明被校对象的接收日期；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h) 校准所依据的技术规范的标识，包括名称及代号；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i) 本次校准所用测量标准的溯源性及有效性说明；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j) 校准环境的描述；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k) 校准结果及测量不确定度的说明；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l) 对校准规范的偏离的说明；</w:t>
      </w:r>
    </w:p>
    <w:p>
      <w:pPr>
        <w:pStyle w:val="49"/>
        <w:spacing w:line="360" w:lineRule="auto"/>
        <w:ind w:firstLine="48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 w:eastAsiaTheme="minorEastAsia"/>
          <w:sz w:val="24"/>
        </w:rPr>
        <w:t xml:space="preserve">m) </w:t>
      </w:r>
      <w:r>
        <w:rPr>
          <w:rFonts w:ascii="Times New Roman" w:hAnsi="Times New Roman"/>
          <w:spacing w:val="-2"/>
          <w:sz w:val="24"/>
        </w:rPr>
        <w:t>校准证书签发人的签名、职务或等效标识以及签发日期；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n) 校准结果仅对被校对象有效的声明；</w:t>
      </w:r>
    </w:p>
    <w:p>
      <w:pPr>
        <w:pStyle w:val="49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o) 未经实验室书面批准，不得部分复制证书的声明。</w:t>
      </w:r>
    </w:p>
    <w:p>
      <w:pPr>
        <w:pStyle w:val="48"/>
        <w:spacing w:before="156" w:after="156"/>
        <w:rPr>
          <w:sz w:val="24"/>
          <w:szCs w:val="24"/>
        </w:rPr>
      </w:pPr>
      <w:bookmarkStart w:id="95" w:name="_Toc5529"/>
      <w:bookmarkStart w:id="96" w:name="_Toc193860220"/>
      <w:bookmarkStart w:id="97" w:name="_Toc193860189"/>
      <w:bookmarkStart w:id="98" w:name="_Toc193860040"/>
      <w:bookmarkStart w:id="99" w:name="_Toc14803_WPSOffice_Level1"/>
      <w:bookmarkStart w:id="100" w:name="_Toc193860041"/>
      <w:r>
        <w:rPr>
          <w:rFonts w:ascii="Times New Roman" w:hAnsi="Times New Roman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 复校</w:t>
      </w:r>
      <w:bookmarkEnd w:id="95"/>
      <w:bookmarkEnd w:id="96"/>
      <w:bookmarkEnd w:id="97"/>
      <w:bookmarkEnd w:id="98"/>
      <w:bookmarkEnd w:id="99"/>
      <w:r>
        <w:rPr>
          <w:rFonts w:hint="eastAsia"/>
          <w:sz w:val="24"/>
          <w:szCs w:val="24"/>
        </w:rPr>
        <w:t>时间间隔</w:t>
      </w:r>
    </w:p>
    <w:bookmarkEnd w:id="100"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建议复校时间间隔不超过</w:t>
      </w:r>
      <w:r>
        <w:rPr>
          <w:rFonts w:ascii="Times New Roman" w:hAnsi="Times New Roman"/>
          <w:sz w:val="24"/>
        </w:rPr>
        <w:t>24个月</w:t>
      </w:r>
      <w:r>
        <w:rPr>
          <w:rFonts w:hint="eastAsia"/>
          <w:sz w:val="24"/>
        </w:rPr>
        <w:t>。</w:t>
      </w:r>
      <w:r>
        <w:rPr>
          <w:sz w:val="24"/>
        </w:rPr>
        <w:t>如果对光谱仪的检测数据有怀疑或光谱仪更换主要部件及修理后，应对光谱仪重新校准</w:t>
      </w:r>
      <w:r>
        <w:rPr>
          <w:rFonts w:ascii="Times New Roman" w:hAnsi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由于复校时间间隔的长短是由仪器的使用情况、使用者、仪器本身质量等诸因素所决定的，因此送校单位可根据实际使用情况自主决定复校时间间隔。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</w:pPr>
      <w:r>
        <w:br w:type="page"/>
      </w:r>
      <w:bookmarkStart w:id="101" w:name="_Toc20191_WPSOffice_Level1"/>
      <w:bookmarkStart w:id="102" w:name="_Toc500258949"/>
    </w:p>
    <w:bookmarkEnd w:id="101"/>
    <w:bookmarkEnd w:id="102"/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附录</w:t>
      </w:r>
      <w:r>
        <w:rPr>
          <w:rFonts w:hint="eastAsia" w:ascii="Times New Roman" w:hAnsi="Times New Roman" w:eastAsia="黑体"/>
          <w:sz w:val="28"/>
          <w:szCs w:val="28"/>
        </w:rPr>
        <w:t>A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pStyle w:val="23"/>
        <w:spacing w:line="160" w:lineRule="exact"/>
        <w:rPr>
          <w:rFonts w:ascii="黑体" w:eastAsia="黑体"/>
          <w:b w:val="0"/>
          <w:sz w:val="28"/>
          <w:szCs w:val="28"/>
        </w:rPr>
      </w:pPr>
      <w:bookmarkStart w:id="103" w:name="_Toc15031_WPSOffice_Level2"/>
      <w:bookmarkStart w:id="104" w:name="_Toc18788_WPSOffice_Level2"/>
      <w:r>
        <w:rPr>
          <w:rFonts w:hint="eastAsia" w:ascii="黑体" w:eastAsia="黑体"/>
          <w:b w:val="0"/>
          <w:sz w:val="28"/>
          <w:szCs w:val="28"/>
        </w:rPr>
        <w:t>校准原始记录参考格式</w:t>
      </w:r>
      <w:bookmarkEnd w:id="103"/>
      <w:bookmarkEnd w:id="104"/>
    </w:p>
    <w:tbl>
      <w:tblPr>
        <w:tblStyle w:val="25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47"/>
        <w:gridCol w:w="1330"/>
        <w:gridCol w:w="1847"/>
        <w:gridCol w:w="208"/>
        <w:gridCol w:w="11"/>
        <w:gridCol w:w="136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原始记录编号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送校单位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校准依据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被校设备信息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器具名称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出厂编号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型号/规格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设备编号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外观及通用</w:t>
            </w:r>
          </w:p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要求检查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制造厂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校准地点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环境条件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 xml:space="preserve">       ℃           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测量标准信息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测量</w:t>
            </w:r>
            <w:r>
              <w:rPr>
                <w:rFonts w:ascii="Times New Roman" w:hAnsi="Times New Roman" w:eastAsiaTheme="minorEastAsia"/>
                <w:szCs w:val="21"/>
              </w:rPr>
              <w:t>标准名称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编号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不确定度/               准确度等级/</w:t>
            </w:r>
          </w:p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最大允许误差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校准结果</w:t>
      </w:r>
    </w:p>
    <w:p>
      <w:pPr>
        <w:spacing w:line="360" w:lineRule="auto"/>
        <w:outlineLvl w:val="0"/>
        <w:rPr>
          <w:rFonts w:ascii="黑体" w:eastAsia="黑体"/>
          <w:spacing w:val="40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外观及通用要求：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eastAsia="黑体"/>
          <w:spacing w:val="40"/>
          <w:szCs w:val="21"/>
          <w:u w:val="single"/>
        </w:rPr>
        <w:t xml:space="preserve">                                        </w:t>
      </w:r>
    </w:p>
    <w:p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绝缘电阻：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3示值误差：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55"/>
        <w:gridCol w:w="1255"/>
        <w:gridCol w:w="1256"/>
        <w:gridCol w:w="1256"/>
        <w:gridCol w:w="1259"/>
        <w:gridCol w:w="1256"/>
        <w:gridCol w:w="1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标准物质编号：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元素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波长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nm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标准值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%</w:t>
            </w:r>
          </w:p>
        </w:tc>
        <w:tc>
          <w:tcPr>
            <w:tcW w:w="37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实测值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平均值/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示值误差/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rFonts w:ascii="Times New Roman" w:hAnsi="Times New Roman"/>
          <w:sz w:val="24"/>
        </w:rPr>
      </w:pPr>
      <w:bookmarkStart w:id="105" w:name="_Toc5010_WPSOffice_Level2"/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4重复性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92"/>
        <w:gridCol w:w="830"/>
        <w:gridCol w:w="830"/>
        <w:gridCol w:w="830"/>
        <w:gridCol w:w="831"/>
        <w:gridCol w:w="830"/>
        <w:gridCol w:w="830"/>
        <w:gridCol w:w="831"/>
        <w:gridCol w:w="823"/>
        <w:gridCol w:w="824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581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测试结果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8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outlineLvl w:val="0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稳定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性</w:t>
      </w:r>
    </w:p>
    <w:tbl>
      <w:tblPr>
        <w:tblStyle w:val="26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92"/>
        <w:gridCol w:w="1039"/>
        <w:gridCol w:w="1040"/>
        <w:gridCol w:w="1039"/>
        <w:gridCol w:w="1040"/>
        <w:gridCol w:w="1039"/>
        <w:gridCol w:w="1040"/>
        <w:gridCol w:w="992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623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测试结果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测量均值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稳定性/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sz w:val="24"/>
        </w:rPr>
      </w:pPr>
    </w:p>
    <w:bookmarkEnd w:id="105"/>
    <w:p>
      <w:pPr>
        <w:spacing w:line="360" w:lineRule="auto"/>
        <w:outlineLvl w:val="0"/>
        <w:rPr>
          <w:sz w:val="32"/>
        </w:rPr>
      </w:pP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bookmarkStart w:id="106" w:name="_Toc15057"/>
      <w:bookmarkStart w:id="107" w:name="_Toc29371_WPSOffice_Level1"/>
      <w:bookmarkStart w:id="108" w:name="_Toc500258950"/>
      <w:r>
        <w:rPr>
          <w:rFonts w:ascii="黑体" w:hAnsi="黑体" w:eastAsia="黑体" w:cs="黑体"/>
          <w:sz w:val="28"/>
          <w:szCs w:val="28"/>
        </w:rPr>
        <w:br w:type="page"/>
      </w:r>
    </w:p>
    <w:p>
      <w:pPr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</w:t>
      </w:r>
      <w:bookmarkEnd w:id="106"/>
      <w:r>
        <w:rPr>
          <w:rFonts w:hint="eastAsia" w:ascii="Times New Roman" w:hAnsi="Times New Roman" w:eastAsia="黑体"/>
          <w:sz w:val="28"/>
          <w:szCs w:val="28"/>
        </w:rPr>
        <w:t>B</w:t>
      </w:r>
    </w:p>
    <w:p>
      <w:pPr>
        <w:pStyle w:val="23"/>
        <w:spacing w:line="160" w:lineRule="exact"/>
        <w:rPr>
          <w:rFonts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校准证书内页参考格式</w:t>
      </w:r>
    </w:p>
    <w:p>
      <w:pPr>
        <w:spacing w:line="360" w:lineRule="auto"/>
        <w:jc w:val="center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校准证书编号：</w:t>
      </w:r>
      <w:r>
        <w:rPr>
          <w:rFonts w:asciiTheme="minorEastAsia" w:hAnsiTheme="minorEastAsia" w:eastAsiaTheme="minorEastAsia"/>
          <w:sz w:val="24"/>
        </w:rPr>
        <w:t>××××</w:t>
      </w:r>
    </w:p>
    <w:tbl>
      <w:tblPr>
        <w:tblStyle w:val="2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857"/>
        <w:gridCol w:w="1390"/>
        <w:gridCol w:w="3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zCs w:val="21"/>
              </w:rPr>
              <w:t>校准数据/结果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Cs w:val="21"/>
              </w:rPr>
              <w:t>校准依据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校准</w:t>
            </w:r>
            <w:r>
              <w:rPr>
                <w:rFonts w:ascii="Times New Roman" w:hAnsi="Times New Roman"/>
                <w:szCs w:val="21"/>
              </w:rPr>
              <w:t>条件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5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校准项目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外观及通用要求</w:t>
            </w:r>
          </w:p>
        </w:tc>
        <w:tc>
          <w:tcPr>
            <w:tcW w:w="24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24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示值误差</w:t>
            </w:r>
          </w:p>
        </w:tc>
        <w:tc>
          <w:tcPr>
            <w:tcW w:w="24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重复性</w:t>
            </w:r>
          </w:p>
        </w:tc>
        <w:tc>
          <w:tcPr>
            <w:tcW w:w="726" w:type="pct"/>
            <w:vAlign w:val="center"/>
          </w:tcPr>
          <w:p>
            <w:pPr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69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稳定性</w:t>
            </w:r>
          </w:p>
        </w:tc>
        <w:tc>
          <w:tcPr>
            <w:tcW w:w="726" w:type="pct"/>
            <w:vAlign w:val="center"/>
          </w:tcPr>
          <w:p>
            <w:pPr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69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不确定度</w:t>
            </w:r>
          </w:p>
        </w:tc>
        <w:tc>
          <w:tcPr>
            <w:tcW w:w="72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=   %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bCs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</w:tr>
      <w:bookmarkEnd w:id="107"/>
      <w:bookmarkEnd w:id="108"/>
    </w:tbl>
    <w:p>
      <w:pPr>
        <w:spacing w:line="360" w:lineRule="auto"/>
        <w:ind w:left="630" w:leftChars="300"/>
        <w:jc w:val="center"/>
        <w:rPr>
          <w:rFonts w:ascii="Times New Roman" w:hAnsi="Times New Roman"/>
          <w:color w:val="000000"/>
          <w:sz w:val="24"/>
        </w:rPr>
      </w:pPr>
    </w:p>
    <w:p>
      <w:pPr>
        <w:widowControl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>
      <w:pPr>
        <w:widowControl/>
        <w:outlineLvl w:val="1"/>
        <w:rPr>
          <w:rFonts w:ascii="黑体" w:eastAsia="黑体"/>
          <w:kern w:val="0"/>
          <w:sz w:val="28"/>
          <w:szCs w:val="28"/>
        </w:rPr>
      </w:pPr>
      <w:bookmarkStart w:id="109" w:name="_Toc5266_WPSOffice_Level1"/>
      <w:r>
        <w:rPr>
          <w:rFonts w:hint="eastAsia" w:ascii="黑体" w:eastAsia="黑体"/>
          <w:kern w:val="0"/>
          <w:sz w:val="28"/>
          <w:szCs w:val="28"/>
        </w:rPr>
        <w:t>附录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C</w:t>
      </w:r>
      <w:r>
        <w:rPr>
          <w:rFonts w:hint="eastAsia" w:ascii="黑体" w:eastAsia="黑体"/>
          <w:kern w:val="0"/>
          <w:sz w:val="28"/>
          <w:szCs w:val="28"/>
        </w:rPr>
        <w:t xml:space="preserve"> </w:t>
      </w:r>
      <w:bookmarkEnd w:id="109"/>
    </w:p>
    <w:p>
      <w:pPr>
        <w:spacing w:before="240" w:after="60"/>
        <w:jc w:val="center"/>
        <w:outlineLvl w:val="0"/>
        <w:rPr>
          <w:rFonts w:ascii="黑体" w:hAnsi="Adobe 黑体 Std R" w:eastAsia="黑体"/>
          <w:bCs/>
          <w:sz w:val="28"/>
          <w:szCs w:val="28"/>
        </w:rPr>
      </w:pPr>
      <w:bookmarkStart w:id="110" w:name="_Toc23687_WPSOffice_Level1"/>
      <w:bookmarkStart w:id="111" w:name="_Toc20189_WPSOffice_Level1"/>
      <w:r>
        <w:rPr>
          <w:rFonts w:hint="eastAsia" w:ascii="黑体" w:hAnsi="Adobe 黑体 Std R" w:eastAsia="黑体"/>
          <w:bCs/>
          <w:sz w:val="28"/>
          <w:szCs w:val="28"/>
        </w:rPr>
        <w:t>直流电弧-原子发射光谱仪示值误差不确定度评定</w:t>
      </w:r>
      <w:bookmarkEnd w:id="110"/>
      <w:bookmarkEnd w:id="111"/>
      <w:r>
        <w:rPr>
          <w:rFonts w:hint="eastAsia" w:ascii="黑体" w:hAnsi="Adobe 黑体 Std R" w:eastAsia="黑体"/>
          <w:bCs/>
          <w:sz w:val="28"/>
          <w:szCs w:val="28"/>
        </w:rPr>
        <w:t>示例</w:t>
      </w:r>
    </w:p>
    <w:p>
      <w:pPr>
        <w:widowControl/>
        <w:spacing w:before="156" w:beforeLines="50" w:after="156" w:afterLines="50"/>
        <w:ind w:left="270" w:hanging="270"/>
        <w:outlineLvl w:val="1"/>
        <w:rPr>
          <w:rFonts w:ascii="黑体" w:eastAsia="黑体"/>
          <w:kern w:val="0"/>
          <w:sz w:val="24"/>
        </w:rPr>
      </w:pPr>
      <w:bookmarkStart w:id="112" w:name="_Toc27885_WPSOffice_Level1"/>
      <w:bookmarkStart w:id="113" w:name="_Toc828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</w:t>
      </w:r>
      <w:r>
        <w:rPr>
          <w:rFonts w:hint="eastAsia" w:ascii="黑体" w:eastAsia="黑体"/>
          <w:kern w:val="0"/>
          <w:sz w:val="24"/>
        </w:rPr>
        <w:t xml:space="preserve"> 概述</w:t>
      </w:r>
      <w:bookmarkEnd w:id="112"/>
      <w:bookmarkEnd w:id="113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本附录以</w:t>
      </w:r>
      <w:r>
        <w:rPr>
          <w:rFonts w:hint="eastAsia"/>
          <w:sz w:val="24"/>
        </w:rPr>
        <w:t>直流电弧-原子发射光谱仪示值误差为示例，</w:t>
      </w:r>
      <w:r>
        <w:rPr>
          <w:sz w:val="24"/>
        </w:rPr>
        <w:t>对其进行测量不确定度评定。其他校准项目可参照本附录作类似评定。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114" w:name="_Toc23440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.1.1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测量依据</w:t>
      </w:r>
      <w:bookmarkEnd w:id="114"/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JJF(有色金属) XXXX—20XX《</w:t>
      </w:r>
      <w:r>
        <w:rPr>
          <w:sz w:val="24"/>
        </w:rPr>
        <w:t>直流电弧</w:t>
      </w:r>
      <w:r>
        <w:rPr>
          <w:rFonts w:hint="eastAsia"/>
          <w:sz w:val="24"/>
        </w:rPr>
        <w:t>-原子发射光谱仪校准规范</w:t>
      </w:r>
      <w:r>
        <w:rPr>
          <w:rFonts w:ascii="Times New Roman" w:hAnsi="Times New Roman"/>
          <w:sz w:val="24"/>
        </w:rPr>
        <w:t>》。</w:t>
      </w:r>
    </w:p>
    <w:p>
      <w:pPr>
        <w:spacing w:line="500" w:lineRule="exact"/>
        <w:rPr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.1.2</w:t>
      </w:r>
      <w:r>
        <w:rPr>
          <w:rFonts w:asciiTheme="minorEastAsia" w:hAnsiTheme="minorEastAsia" w:eastAsiaTheme="minorEastAsia"/>
          <w:sz w:val="24"/>
        </w:rPr>
        <w:t xml:space="preserve"> 环境条件：</w:t>
      </w:r>
      <w:r>
        <w:rPr>
          <w:rFonts w:ascii="Times New Roman" w:hAnsi="Times New Roman" w:eastAsiaTheme="minorEastAsia"/>
          <w:sz w:val="24"/>
        </w:rPr>
        <w:t>（10～30）℃，相对湿度</w:t>
      </w:r>
      <w:r>
        <w:rPr>
          <w:rFonts w:asciiTheme="minorEastAsia" w:hAnsiTheme="minorEastAsia" w:eastAsiaTheme="minorEastAsia"/>
          <w:sz w:val="24"/>
        </w:rPr>
        <w:t>≤</w:t>
      </w:r>
      <w:r>
        <w:rPr>
          <w:rFonts w:ascii="Times New Roman" w:hAnsi="Times New Roman"/>
          <w:sz w:val="24"/>
        </w:rPr>
        <w:t>80%</w:t>
      </w:r>
    </w:p>
    <w:p>
      <w:pPr>
        <w:spacing w:line="360" w:lineRule="auto"/>
        <w:rPr>
          <w:rFonts w:ascii="Times New Roman" w:hAnsi="Times New Roman"/>
          <w:sz w:val="24"/>
        </w:rPr>
      </w:pPr>
      <w:bookmarkStart w:id="115" w:name="_Toc21674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.1.3</w:t>
      </w:r>
      <w:r>
        <w:rPr>
          <w:rFonts w:asciiTheme="minorEastAsia" w:hAnsiTheme="minorEastAsia" w:eastAsiaTheme="minorEastAsia"/>
          <w:sz w:val="24"/>
        </w:rPr>
        <w:t xml:space="preserve"> </w:t>
      </w:r>
      <w:bookmarkEnd w:id="115"/>
      <w:r>
        <w:rPr>
          <w:rFonts w:asciiTheme="minorEastAsia" w:hAnsiTheme="minorEastAsia" w:eastAsiaTheme="minorEastAsia"/>
          <w:sz w:val="24"/>
        </w:rPr>
        <w:t>测量标准：</w:t>
      </w:r>
      <w:r>
        <w:rPr>
          <w:rFonts w:ascii="Times New Roman" w:hAnsi="Times New Roman" w:eastAsiaTheme="minorEastAsia"/>
          <w:sz w:val="24"/>
        </w:rPr>
        <w:t>三氧化钼标准样品（YSS104-2020）</w:t>
      </w:r>
      <w:r>
        <w:rPr>
          <w:rFonts w:ascii="Times New Roman" w:hAnsi="Times New Roman"/>
          <w:sz w:val="24"/>
        </w:rPr>
        <w:t>，编号为JDC1#三氧化钼标准物质的铜含量为0.041%，扩展不确定度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sz w:val="24"/>
        </w:rPr>
        <w:t>(Cu)=0.002%。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.1.4</w:t>
      </w:r>
      <w:r>
        <w:rPr>
          <w:rFonts w:asciiTheme="minorEastAsia" w:hAnsiTheme="minorEastAsia" w:eastAsiaTheme="minorEastAsia"/>
          <w:sz w:val="24"/>
        </w:rPr>
        <w:t xml:space="preserve"> 被测对象：</w:t>
      </w:r>
      <w:r>
        <w:rPr>
          <w:sz w:val="24"/>
        </w:rPr>
        <w:t>直流电弧</w:t>
      </w:r>
      <w:r>
        <w:rPr>
          <w:rFonts w:hint="eastAsia"/>
          <w:sz w:val="24"/>
        </w:rPr>
        <w:t>原子发射光谱仪</w:t>
      </w:r>
      <w:r>
        <w:rPr>
          <w:rFonts w:ascii="Times New Roman" w:hAnsi="Times New Roman"/>
          <w:sz w:val="24"/>
        </w:rPr>
        <w:t>。</w:t>
      </w:r>
    </w:p>
    <w:p>
      <w:pPr>
        <w:spacing w:line="360" w:lineRule="auto"/>
        <w:rPr>
          <w:rFonts w:ascii="Times New Roman" w:hAnsi="Times New Roman" w:eastAsiaTheme="minorEastAsia"/>
          <w:sz w:val="24"/>
        </w:rPr>
      </w:pPr>
      <w:bookmarkStart w:id="116" w:name="_Toc27849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.1.5</w:t>
      </w:r>
      <w:r>
        <w:rPr>
          <w:rFonts w:ascii="Times New Roman" w:hAnsi="Times New Roman" w:eastAsiaTheme="minorEastAsia"/>
          <w:sz w:val="24"/>
        </w:rPr>
        <w:t xml:space="preserve"> 测量</w:t>
      </w:r>
      <w:bookmarkEnd w:id="116"/>
      <w:r>
        <w:rPr>
          <w:rFonts w:ascii="Times New Roman" w:hAnsi="Times New Roman" w:eastAsiaTheme="minorEastAsia"/>
          <w:sz w:val="24"/>
        </w:rPr>
        <w:t>过程</w:t>
      </w:r>
    </w:p>
    <w:p>
      <w:pPr>
        <w:spacing w:line="420" w:lineRule="atLeas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仪器调整至工作状态并校准后，根据规范中规定，分别选用合适的光谱分析标准物质，连续测量3次。</w:t>
      </w:r>
    </w:p>
    <w:p>
      <w:pPr>
        <w:widowControl/>
        <w:spacing w:before="156" w:beforeLines="50" w:after="156" w:afterLines="50"/>
        <w:ind w:left="270" w:hanging="270"/>
        <w:outlineLvl w:val="1"/>
        <w:rPr>
          <w:rFonts w:ascii="黑体" w:eastAsia="黑体"/>
          <w:kern w:val="0"/>
          <w:sz w:val="24"/>
        </w:rPr>
      </w:pPr>
      <w:bookmarkStart w:id="117" w:name="_Toc15639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 xml:space="preserve">.2 </w:t>
      </w:r>
      <w:r>
        <w:rPr>
          <w:rFonts w:hint="eastAsia" w:ascii="黑体" w:eastAsia="黑体"/>
          <w:kern w:val="0"/>
          <w:sz w:val="24"/>
        </w:rPr>
        <w:t>测量</w:t>
      </w:r>
      <w:r>
        <w:rPr>
          <w:rFonts w:ascii="黑体" w:eastAsia="黑体"/>
          <w:kern w:val="0"/>
          <w:sz w:val="24"/>
        </w:rPr>
        <w:t>模型</w:t>
      </w:r>
      <w:r>
        <w:rPr>
          <w:rFonts w:hint="eastAsia" w:ascii="黑体" w:eastAsia="黑体"/>
          <w:kern w:val="0"/>
          <w:sz w:val="24"/>
        </w:rPr>
        <w:t>及不确定度来源分析</w:t>
      </w:r>
      <w:bookmarkEnd w:id="117"/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bookmarkStart w:id="118" w:name="_Toc22872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.2.1</w:t>
      </w:r>
      <w:r>
        <w:rPr>
          <w:rFonts w:hint="eastAsia" w:asciiTheme="minorEastAsia" w:hAnsiTheme="minorEastAsia" w:eastAsiaTheme="minorEastAsia"/>
          <w:sz w:val="24"/>
        </w:rPr>
        <w:t xml:space="preserve"> 测量模型</w:t>
      </w:r>
      <w:bookmarkEnd w:id="118"/>
      <w:bookmarkStart w:id="119" w:name="_Toc6018_WPSOffice_Level1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被校准</w:t>
      </w:r>
      <w:r>
        <w:rPr>
          <w:rFonts w:hint="eastAsia"/>
          <w:sz w:val="24"/>
        </w:rPr>
        <w:t>设备的示值误差的测量模型为：</w:t>
      </w:r>
    </w:p>
    <w:p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eastAsiaTheme="minorEastAsia"/>
          <w:color w:val="000000"/>
          <w:kern w:val="0"/>
          <w:sz w:val="24"/>
        </w:rPr>
        <w:t xml:space="preserve">             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Δ</m:t>
        </m:r>
        <m:r>
          <m:rPr>
            <m:nor/>
          </m:rPr>
          <w:rPr>
            <w:rFonts w:ascii="Cambria Math" w:hAnsi="Cambria Math"/>
            <w:i/>
            <w:color w:val="000000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</m:acc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den>
        </m:f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 xml:space="preserve"> </m:t>
        </m:r>
      </m:oMath>
      <w:r>
        <w:rPr>
          <w:rFonts w:ascii="Times New Roman" w:hAnsi="Times New Roman"/>
          <w:color w:val="000000"/>
          <w:kern w:val="0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.1）</w:t>
      </w:r>
    </w:p>
    <w:p>
      <w:pPr>
        <w:widowControl/>
        <w:spacing w:line="360" w:lineRule="auto"/>
        <w:ind w:firstLine="720" w:firstLineChars="3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式中  </w:t>
      </w:r>
      <w:r>
        <w:rPr>
          <w:rFonts w:ascii="Times New Roman" w:hAnsi="Times New Roman"/>
          <w:i/>
          <w:color w:val="000000"/>
          <w:kern w:val="0"/>
          <w:sz w:val="24"/>
        </w:rPr>
        <w:t xml:space="preserve">Δ </w:t>
      </w:r>
      <w:r>
        <w:rPr>
          <w:rFonts w:ascii="Times New Roman" w:hAnsi="Times New Roman"/>
          <w:color w:val="000000"/>
          <w:kern w:val="0"/>
          <w:sz w:val="24"/>
        </w:rPr>
        <w:t>———各点示值误差；</w:t>
      </w:r>
    </w:p>
    <w:p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———各点实测平均值（质量分数），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>
      <w:pPr>
        <w:spacing w:line="360" w:lineRule="auto"/>
        <w:ind w:firstLine="1440" w:firstLineChars="6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———各点标准值（质量分数），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="Times New Roman" w:hAnsi="Times New Roman" w:eastAsia="黑体"/>
          <w:kern w:val="0"/>
          <w:sz w:val="24"/>
        </w:rPr>
        <w:t>C.2.2</w:t>
      </w:r>
      <w:r>
        <w:rPr>
          <w:rFonts w:hint="eastAsia" w:ascii="Times New Roman" w:hAnsi="Times New Roman" w:eastAsia="黑体"/>
          <w:kern w:val="0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测量结果不确定度的主要来源</w:t>
      </w:r>
      <w:r>
        <w:rPr>
          <w:rFonts w:hint="eastAsia" w:asciiTheme="minorEastAsia" w:hAnsiTheme="minorEastAsia" w:eastAsiaTheme="minorEastAsia"/>
          <w:sz w:val="24"/>
        </w:rPr>
        <w:t>分析</w:t>
      </w:r>
      <w:bookmarkEnd w:id="119"/>
    </w:p>
    <w:p>
      <w:pPr>
        <w:spacing w:line="500" w:lineRule="exact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  <w:t>根据测量模型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示值误差的标准不确定度将取决于所有随机因素引起被校示值</w:t>
      </w:r>
      <w:r>
        <w:rPr>
          <w:rFonts w:hint="eastAsia" w:ascii="Times New Roman" w:hAnsi="Times New Roman"/>
          <w:i/>
          <w:color w:val="000000"/>
          <w:sz w:val="24"/>
        </w:rPr>
        <w:t>X</w:t>
      </w:r>
      <w:r>
        <w:rPr>
          <w:color w:val="000000"/>
          <w:sz w:val="24"/>
        </w:rPr>
        <w:t>的标准不确定度</w:t>
      </w:r>
      <w:r>
        <w:rPr>
          <w:rFonts w:ascii="Times New Roman" w:hAnsi="Times New Roman"/>
          <w:i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sz w:val="24"/>
        </w:rPr>
        <w:t>)和标准物质定值不准引入的标准不确定度</w:t>
      </w:r>
      <w:r>
        <w:rPr>
          <w:rFonts w:ascii="Times New Roman" w:hAnsi="Times New Roman"/>
          <w:i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sz w:val="24"/>
        </w:rPr>
        <w:t>)。</w:t>
      </w:r>
    </w:p>
    <w:p>
      <w:pPr>
        <w:widowControl/>
        <w:spacing w:before="156" w:beforeLines="50" w:after="156" w:afterLines="50"/>
        <w:ind w:left="270" w:hanging="270"/>
        <w:outlineLvl w:val="1"/>
        <w:rPr>
          <w:rFonts w:ascii="Times New Roman" w:hAnsi="Times New Roman" w:eastAsia="黑体"/>
          <w:kern w:val="0"/>
          <w:sz w:val="24"/>
        </w:rPr>
      </w:pPr>
      <w:bookmarkStart w:id="120" w:name="_Toc17306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.3 标准不确定度的计算</w:t>
      </w:r>
    </w:p>
    <w:p>
      <w:pPr>
        <w:spacing w:line="360" w:lineRule="auto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 w:eastAsiaTheme="minorEastAsia"/>
          <w:kern w:val="0"/>
          <w:sz w:val="24"/>
        </w:rPr>
        <w:t>C.3.1被测标准物质重复性的标准不确定度</w:t>
      </w:r>
      <w:r>
        <w:rPr>
          <w:rFonts w:ascii="Times New Roman" w:hAnsi="Times New Roman" w:eastAsiaTheme="minorEastAsia"/>
          <w:i/>
          <w:color w:val="000000"/>
          <w:sz w:val="24"/>
        </w:rPr>
        <w:t>u</w:t>
      </w:r>
      <w:r>
        <w:rPr>
          <w:rFonts w:ascii="Times New Roman" w:hAnsi="Times New Roman" w:eastAsiaTheme="minorEastAsia"/>
          <w:color w:val="000000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 w:eastAsiaTheme="minorEastAsia"/>
          <w:color w:val="000000"/>
          <w:sz w:val="24"/>
        </w:rPr>
        <w:t>)</w:t>
      </w:r>
      <w:r>
        <w:rPr>
          <w:rFonts w:ascii="Times New Roman" w:hAnsi="Times New Roman" w:eastAsiaTheme="minorEastAsia"/>
          <w:kern w:val="0"/>
          <w:sz w:val="24"/>
        </w:rPr>
        <w:t>的评定</w:t>
      </w:r>
      <w:bookmarkEnd w:id="120"/>
    </w:p>
    <w:p>
      <w:pPr>
        <w:spacing w:line="360" w:lineRule="auto"/>
        <w:ind w:firstLine="480" w:firstLineChars="200"/>
        <w:rPr>
          <w:rFonts w:ascii="Times New Roman" w:hAnsi="Times New Roman"/>
          <w:color w:val="000000"/>
          <w:sz w:val="24"/>
        </w:rPr>
      </w:pPr>
      <w:bookmarkStart w:id="121" w:name="_Toc13805_WPSOffice_Level1"/>
      <w:r>
        <w:rPr>
          <w:rFonts w:ascii="Times New Roman" w:hAnsi="Times New Roman"/>
          <w:color w:val="000000"/>
          <w:sz w:val="24"/>
        </w:rPr>
        <w:t>采用A类评定方法，选择有色金属标准物质YSS104-2020（</w:t>
      </w: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u：</w:t>
      </w:r>
      <w:r>
        <w:rPr>
          <w:rFonts w:hint="eastAsia"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.041%）</w:t>
      </w:r>
      <w:r>
        <w:rPr>
          <w:rFonts w:hint="eastAsia" w:ascii="Times New Roman" w:hAnsi="Times New Roman"/>
          <w:color w:val="000000"/>
          <w:sz w:val="24"/>
        </w:rPr>
        <w:t>，直流电弧光谱仪对</w:t>
      </w:r>
      <w:r>
        <w:rPr>
          <w:rFonts w:ascii="Times New Roman" w:hAnsi="Times New Roman"/>
          <w:color w:val="000000"/>
          <w:sz w:val="24"/>
        </w:rPr>
        <w:t>连续重复测量10次</w:t>
      </w:r>
      <w:r>
        <w:rPr>
          <w:rFonts w:hint="eastAsia" w:ascii="Times New Roman" w:hAnsi="Times New Roman"/>
          <w:color w:val="000000"/>
          <w:sz w:val="24"/>
        </w:rPr>
        <w:t>，</w:t>
      </w:r>
      <w:r>
        <w:rPr>
          <w:rFonts w:ascii="Times New Roman" w:hAnsi="Times New Roman"/>
          <w:color w:val="000000"/>
          <w:sz w:val="24"/>
        </w:rPr>
        <w:t>具体测量数据见表</w:t>
      </w: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.1。</w:t>
      </w:r>
    </w:p>
    <w:p>
      <w:pPr>
        <w:widowControl/>
        <w:wordWrap w:val="0"/>
        <w:autoSpaceDE w:val="0"/>
        <w:autoSpaceDN w:val="0"/>
        <w:spacing w:line="360" w:lineRule="auto"/>
        <w:ind w:firstLine="420" w:firstLineChars="200"/>
        <w:jc w:val="right"/>
        <w:rPr>
          <w:rFonts w:eastAsia="黑体"/>
          <w:kern w:val="0"/>
        </w:rPr>
      </w:pPr>
      <w:r>
        <w:rPr>
          <w:rFonts w:hint="eastAsia" w:eastAsia="黑体"/>
          <w:kern w:val="0"/>
        </w:rPr>
        <w:t xml:space="preserve">表C.1 </w:t>
      </w:r>
      <w:r>
        <w:rPr>
          <w:rFonts w:eastAsia="黑体"/>
          <w:kern w:val="0"/>
        </w:rPr>
        <w:t>测量值及计算结果表</w:t>
      </w:r>
      <w:r>
        <w:rPr>
          <w:rFonts w:hint="eastAsia" w:eastAsia="黑体"/>
          <w:kern w:val="0"/>
        </w:rPr>
        <w:t xml:space="preserve">                        %  </w:t>
      </w:r>
    </w:p>
    <w:tbl>
      <w:tblPr>
        <w:tblStyle w:val="2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94"/>
        <w:gridCol w:w="840"/>
        <w:gridCol w:w="840"/>
        <w:gridCol w:w="840"/>
        <w:gridCol w:w="840"/>
        <w:gridCol w:w="840"/>
        <w:gridCol w:w="840"/>
        <w:gridCol w:w="840"/>
        <w:gridCol w:w="840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组数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bookmarkStart w:id="122" w:name="OLE_LINK1" w:colFirst="1" w:colLast="10"/>
            <w:r>
              <w:rPr>
                <w:rFonts w:ascii="Times New Roman" w:hAnsi="Times New Roman" w:eastAsiaTheme="minorEastAsia"/>
                <w:szCs w:val="21"/>
              </w:rPr>
              <w:t>测量值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.045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.037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.043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.041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.044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.040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.042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.043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.038</w:t>
            </w:r>
          </w:p>
        </w:tc>
        <w:tc>
          <w:tcPr>
            <w:tcW w:w="874" w:type="dxa"/>
            <w:shd w:val="clear" w:color="auto" w:fill="auto"/>
            <w:vAlign w:val="bottom"/>
          </w:tcPr>
          <w:p>
            <w:pPr>
              <w:spacing w:before="53" w:after="12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.041</w:t>
            </w:r>
          </w:p>
        </w:tc>
      </w:tr>
      <w:bookmarkEnd w:id="1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98" w:type="dxa"/>
            <w:shd w:val="clear" w:color="auto" w:fill="auto"/>
          </w:tcPr>
          <w:p>
            <w:pPr>
              <w:spacing w:line="420" w:lineRule="atLeast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平均值</w:t>
            </w:r>
          </w:p>
        </w:tc>
        <w:tc>
          <w:tcPr>
            <w:tcW w:w="8388" w:type="dxa"/>
            <w:gridSpan w:val="10"/>
            <w:shd w:val="clear" w:color="auto" w:fill="auto"/>
          </w:tcPr>
          <w:p>
            <w:pPr>
              <w:spacing w:line="420" w:lineRule="atLeast"/>
              <w:jc w:val="center"/>
              <w:rPr>
                <w:rFonts w:ascii="Times New Roman" w:hAnsi="Times New Roman" w:eastAsiaTheme="minorEastAsia"/>
                <w:szCs w:val="2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</m:acc>
              <m:r>
                <m:rPr/>
                <w:rPr>
                  <w:rFonts w:ascii="Cambria Math" w:hAnsi="Cambria Math" w:eastAsiaTheme="minorEastAsia"/>
                  <w:color w:val="000000"/>
                  <w:szCs w:val="21"/>
                </w:rPr>
                <m:t>=</m:t>
              </m:r>
            </m:oMath>
            <w:r>
              <w:rPr>
                <w:rFonts w:ascii="Times New Roman" w:hAnsi="Times New Roman" w:eastAsiaTheme="minorEastAsia"/>
                <w:szCs w:val="21"/>
              </w:rPr>
              <w:t>0.041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平均标准偏差</w:t>
            </w:r>
          </w:p>
        </w:tc>
        <w:tc>
          <w:tcPr>
            <w:tcW w:w="8388" w:type="dxa"/>
            <w:gridSpan w:val="10"/>
            <w:shd w:val="clear" w:color="auto" w:fill="auto"/>
          </w:tcPr>
          <w:p>
            <w:pPr>
              <w:spacing w:line="420" w:lineRule="atLeast"/>
              <w:jc w:val="center"/>
              <w:rPr>
                <w:rFonts w:ascii="Times New Roman" w:hAnsi="Times New Roman" w:eastAsiaTheme="minorEastAsia"/>
                <w:i/>
                <w:szCs w:val="21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93980</wp:posOffset>
                  </wp:positionV>
                  <wp:extent cx="866140" cy="659130"/>
                  <wp:effectExtent l="0" t="0" r="0" b="7620"/>
                  <wp:wrapNone/>
                  <wp:docPr id="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20" w:lineRule="atLeast"/>
              <w:ind w:firstLine="2730" w:firstLineChars="1300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i/>
                <w:szCs w:val="21"/>
              </w:rPr>
              <w:t>s</w:t>
            </w:r>
            <w:r>
              <w:rPr>
                <w:rFonts w:ascii="Times New Roman" w:hAnsi="Times New Roman" w:eastAsiaTheme="minorEastAsia"/>
                <w:szCs w:val="21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</m:acc>
            </m:oMath>
            <w:r>
              <w:rPr>
                <w:rFonts w:ascii="Times New Roman" w:hAnsi="Times New Roman" w:eastAsiaTheme="minorEastAsia"/>
                <w:szCs w:val="21"/>
              </w:rPr>
              <w:t>)</w:t>
            </w:r>
            <w:r>
              <w:rPr>
                <w:rFonts w:ascii="Times New Roman" w:hAnsi="Times New Roman" w:eastAsiaTheme="minorEastAsia"/>
                <w:szCs w:val="21"/>
              </w:rPr>
              <w:fldChar w:fldCharType="begin"/>
            </w:r>
            <w:r>
              <w:rPr>
                <w:rFonts w:ascii="Times New Roman" w:hAnsi="Times New Roman" w:eastAsiaTheme="minorEastAsia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eastAsiaTheme="minorEastAsia"/>
                  <w:w w:val="110"/>
                  <w:kern w:val="0"/>
                  <w:szCs w:val="21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color w:val="000000"/>
                  <w:kern w:val="0"/>
                  <w:szCs w:val="21"/>
                </w:rPr>
                <m:t xml:space="preserve">=</m:t>
              </m:r>
              <m:rad>
                <m:radPr>
                  <m:degHide m:val="1"/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radPr>
                <m:deg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EastAsia"/>
                              <w:color w:val="000000"/>
                              <w:kern w:val="0"/>
                              <w:szCs w:val="21"/>
                            </w:rPr>
                            <m:t xml:space="preserve">i=1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EastAsia"/>
                              <w:color w:val="000000"/>
                              <w:kern w:val="0"/>
                              <w:szCs w:val="21"/>
                            </w:rPr>
                            <m:t xml:space="preserve">n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t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maxi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Theme="minorEastAsia"/>
                                      <w:color w:val="000000"/>
                                      <w:kern w:val="0"/>
                                      <w:szCs w:val="21"/>
                                    </w:rPr>
                                    <m:t xml:space="preserve">−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t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m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ub>
                                  </m:sSub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m:ctrlPr>
                                </m:e>
                              </m:d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EastAsia"/>
                                  <w:color w:val="000000"/>
                                  <w:kern w:val="0"/>
                                  <w:szCs w:val="21"/>
                                </w:rPr>
                                <m:t xml:space="preserve">2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e>
                      </m:nary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color w:val="000000"/>
                          <w:kern w:val="0"/>
                          <w:szCs w:val="21"/>
                        </w:rPr>
                        <m:t xml:space="preserve">n−1</m:t>
                      </m:r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den>
                  </m:f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e>
              </m:rad>
            </m:oMath>
            <w:r>
              <w:rPr>
                <w:rFonts w:ascii="Times New Roman" w:hAnsi="Times New Roman" w:eastAsiaTheme="minorEastAsia"/>
                <w:szCs w:val="21"/>
              </w:rPr>
              <w:instrText xml:space="preserve"> </w:instrText>
            </w:r>
            <w:r>
              <w:rPr>
                <w:rFonts w:ascii="Times New Roman" w:hAnsi="Times New Roman" w:eastAsiaTheme="minorEastAsia"/>
                <w:szCs w:val="21"/>
              </w:rPr>
              <w:fldChar w:fldCharType="end"/>
            </w:r>
            <w:r>
              <w:rPr>
                <w:rFonts w:ascii="Times New Roman" w:hAnsi="Times New Roman" w:eastAsiaTheme="minorEastAsia"/>
                <w:szCs w:val="21"/>
              </w:rPr>
              <w:t>=</w:t>
            </w:r>
            <w:r>
              <w:rPr>
                <w:rFonts w:hint="eastAsia" w:ascii="Times New Roman" w:hAnsi="Times New Roman" w:eastAsiaTheme="minorEastAsia"/>
                <w:szCs w:val="21"/>
              </w:rPr>
              <w:t xml:space="preserve">             =</w:t>
            </w:r>
            <w:r>
              <w:rPr>
                <w:rFonts w:ascii="Times New Roman" w:hAnsi="Times New Roman" w:eastAsiaTheme="minorEastAsia"/>
                <w:szCs w:val="21"/>
              </w:rPr>
              <w:t>0.003</w:t>
            </w:r>
          </w:p>
        </w:tc>
      </w:tr>
    </w:tbl>
    <w:p>
      <w:pPr>
        <w:spacing w:line="420" w:lineRule="atLeast"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实际测量取</w:t>
      </w:r>
      <w:r>
        <w:rPr>
          <w:rFonts w:ascii="Times New Roman" w:hAnsi="Times New Roman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次读数平均值作为测量结果，则：</w:t>
      </w:r>
    </w:p>
    <w:p>
      <w:pPr>
        <w:spacing w:line="420" w:lineRule="atLeast"/>
        <w:ind w:firstLine="480" w:firstLineChars="200"/>
        <w:jc w:val="center"/>
        <w:rPr>
          <w:rFonts w:ascii="Times New Roman" w:hAnsi="Times New Roman" w:eastAsiaTheme="majorEastAsia"/>
          <w:i/>
          <w:spacing w:val="-4"/>
        </w:rPr>
      </w:pPr>
      <m:oMathPara>
        <m:oMath>
          <m:r>
            <m:rPr>
              <m:nor/>
            </m:rPr>
            <w:rPr>
              <w:rFonts w:ascii="Times New Roman" w:hAnsi="Times New Roman" w:eastAsiaTheme="minorEastAsia"/>
              <w:i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u</m:t>
          </m:r>
          <m:r>
            <m:rPr>
              <m:nor/>
              <m:sty m:val="p"/>
            </m:rPr>
            <w:rPr>
              <w:rFonts w:ascii="Times New Roman" w:hAnsi="Times New Roman" w:eastAsiaTheme="minorEastAsia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(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000000"/>
                  <w:kern w:val="0"/>
                  <w:sz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kern w:val="0"/>
                      <w:sz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kern w:val="0"/>
                      <w:sz w:val="24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color w:val="000000"/>
                  <w:kern w:val="0"/>
                  <w:sz w:val="24"/>
                </w:rPr>
              </m:ctrlPr>
            </m:e>
          </m:acc>
          <m:r>
            <m:rPr>
              <m:nor/>
              <m:sty m:val="p"/>
            </m:rPr>
            <w:rPr>
              <w:rFonts w:ascii="Times New Roman" w:hAnsi="Times New Roman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) =</m:t>
          </m:r>
          <m:f>
            <m:fPr>
              <m:type m:val="skw"/>
              <m:ctrlPr>
                <w:rPr>
                  <w:rFonts w:ascii="Cambria Math" w:hAnsi="Cambria Math"/>
                  <w:i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fPr>
            <m:num>
              <m:r>
                <m:rPr/>
                <w:rPr>
                  <w:rFonts w:ascii="Cambria Math" w:hAnsi="Cambria Math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m:t>0.003%</m:t>
              </m:r>
              <m:ctrlPr>
                <w:rPr>
                  <w:rFonts w:ascii="Cambria Math" w:hAnsi="Cambria Math"/>
                  <w:i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rad>
              <m:ctrlPr>
                <w:rPr>
                  <w:rFonts w:ascii="Cambria Math" w:hAnsi="Cambria Math"/>
                  <w:i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m:ctrlPr>
            </m:den>
          </m:f>
          <m:r>
            <m:rPr/>
            <w:rPr>
              <w:rFonts w:ascii="Cambria Math" w:hAnsi="Cambria Math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m:t>=0.002%</m:t>
          </m:r>
        </m:oMath>
      </m:oMathPara>
    </w:p>
    <w:p>
      <w:pPr>
        <w:spacing w:line="360" w:lineRule="auto"/>
        <w:rPr>
          <w:rFonts w:asciiTheme="majorEastAsia" w:hAnsiTheme="majorEastAsia" w:eastAsiaTheme="majorEastAsia"/>
          <w:w w:val="105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C.</w:t>
      </w:r>
      <w:r>
        <w:rPr>
          <w:rFonts w:ascii="Times New Roman" w:hAnsi="Times New Roman" w:eastAsia="黑体"/>
          <w:kern w:val="0"/>
          <w:sz w:val="24"/>
        </w:rPr>
        <w:t>3.</w:t>
      </w:r>
      <w:r>
        <w:rPr>
          <w:rFonts w:hint="eastAsia" w:ascii="Times New Roman" w:hAnsi="Times New Roman" w:eastAsia="黑体"/>
          <w:kern w:val="0"/>
          <w:sz w:val="24"/>
        </w:rPr>
        <w:t>2</w:t>
      </w:r>
      <w:r>
        <w:rPr>
          <w:rFonts w:ascii="Times New Roman" w:hAnsi="Times New Roman" w:eastAsia="黑体"/>
          <w:kern w:val="0"/>
          <w:sz w:val="24"/>
        </w:rPr>
        <w:t xml:space="preserve"> </w:t>
      </w:r>
      <w:r>
        <w:rPr>
          <w:rFonts w:hint="eastAsia" w:ascii="Times New Roman" w:hAnsi="Times New Roman" w:eastAsiaTheme="majorEastAsia"/>
          <w:sz w:val="24"/>
        </w:rPr>
        <w:t>标准物质定值</w:t>
      </w:r>
      <w:r>
        <w:rPr>
          <w:rFonts w:hint="eastAsia" w:asciiTheme="majorEastAsia" w:hAnsiTheme="majorEastAsia" w:eastAsiaTheme="majorEastAsia"/>
          <w:sz w:val="24"/>
        </w:rPr>
        <w:t>引入的</w:t>
      </w:r>
      <w:r>
        <w:rPr>
          <w:rFonts w:asciiTheme="majorEastAsia" w:hAnsiTheme="majorEastAsia" w:eastAsiaTheme="majorEastAsia"/>
          <w:w w:val="105"/>
          <w:sz w:val="24"/>
        </w:rPr>
        <w:t>不确定度</w:t>
      </w:r>
      <m:oMath>
        <m:r>
          <m:rPr>
            <m:nor/>
          </m:rPr>
          <w:rPr>
            <w:rFonts w:ascii="Times New Roman" w:hAnsi="Times New Roman" w:eastAsiaTheme="minorEastAsia"/>
            <w:i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u</m:t>
        </m:r>
        <m:r>
          <m:rPr>
            <m:nor/>
            <m:sty m:val="p"/>
          </m:rPr>
          <w:rPr>
            <w:rFonts w:ascii="Times New Roman" w:hAnsi="Times New Roman" w:eastAsiaTheme="minorEastAsia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(</m:t>
        </m:r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X</m:t>
        </m:r>
        <m:r>
          <m:rPr>
            <m:nor/>
            <m:sty m:val="p"/>
          </m:rPr>
          <w:rPr>
            <w:rFonts w:ascii="Times New Roman" w:hAnsi="Times New Roman"/>
            <w:color w:val="000000"/>
            <w:kern w:val="0"/>
            <w:sz w:val="24"/>
            <w:vertAlign w:val="subscript"/>
          </w:rPr>
          <m:t>s</m:t>
        </m:r>
        <m:r>
          <m:rPr>
            <m:nor/>
            <m:sty m:val="p"/>
          </m:rPr>
          <w:rPr>
            <w:rFonts w:ascii="Times New Roman" w:hAnsi="Times New Roman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)</m:t>
        </m:r>
      </m:oMath>
    </w:p>
    <w:p>
      <w:pPr>
        <w:spacing w:line="360" w:lineRule="auto"/>
        <w:ind w:firstLine="480" w:firstLineChars="200"/>
        <w:jc w:val="left"/>
        <w:rPr>
          <w:rFonts w:ascii="Times New Roman" w:hAnsi="Times New Roman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标准物质定值的不确定度,可以通过相应标准物质证书获得。本规范规定标准物质中铜元素的扩展不确定度</w:t>
      </w:r>
      <w:r>
        <w:rPr>
          <w:rFonts w:ascii="Times New Roman" w:hAnsi="Times New Roman" w:eastAsiaTheme="majorEastAsia"/>
          <w:i/>
          <w:sz w:val="24"/>
        </w:rPr>
        <w:t>U</w:t>
      </w:r>
      <w:r>
        <w:rPr>
          <w:rFonts w:ascii="Times New Roman" w:hAnsi="Times New Roman" w:eastAsiaTheme="minorEastAsia"/>
          <w:sz w:val="24"/>
        </w:rPr>
        <w:t>=0.002</w:t>
      </w:r>
      <w:r>
        <w:rPr>
          <w:rFonts w:ascii="Times New Roman" w:hAnsi="Times New Roman" w:eastAsiaTheme="majorEastAsia"/>
          <w:sz w:val="24"/>
        </w:rPr>
        <w:t xml:space="preserve"> (</w:t>
      </w:r>
      <w:r>
        <w:rPr>
          <w:rFonts w:ascii="Times New Roman" w:hAnsi="Times New Roman" w:eastAsiaTheme="majorEastAsia"/>
          <w:i/>
          <w:sz w:val="24"/>
        </w:rPr>
        <w:t>k</w:t>
      </w:r>
      <w:r>
        <w:rPr>
          <w:rFonts w:ascii="Times New Roman" w:hAnsi="Times New Roman" w:eastAsiaTheme="majorEastAsia"/>
          <w:sz w:val="24"/>
        </w:rPr>
        <w:t>=2)，所以</w:t>
      </w:r>
      <w:r>
        <w:rPr>
          <w:rFonts w:hint="eastAsia" w:ascii="Times New Roman" w:hAnsi="Times New Roman" w:eastAsiaTheme="majorEastAsia"/>
          <w:sz w:val="24"/>
        </w:rPr>
        <w:t>：</w:t>
      </w:r>
    </w:p>
    <w:p>
      <w:pPr>
        <w:spacing w:line="360" w:lineRule="auto"/>
        <w:ind w:firstLine="1920" w:firstLineChars="800"/>
        <w:jc w:val="left"/>
        <w:rPr>
          <w:rFonts w:ascii="Times New Roman" w:hAnsi="Times New Roman" w:eastAsiaTheme="majorEastAsia"/>
          <w:sz w:val="24"/>
        </w:rPr>
      </w:pPr>
      <w:r>
        <w:rPr>
          <w:rFonts w:ascii="Times New Roman" w:hAnsi="Times New Roman" w:eastAsiaTheme="majorEastAsia"/>
          <w:i/>
          <w:sz w:val="24"/>
        </w:rPr>
        <w:t>u</w:t>
      </w:r>
      <w:r>
        <w:rPr>
          <w:rFonts w:ascii="Times New Roman" w:hAnsi="Times New Roman" w:eastAsiaTheme="majorEastAsia"/>
          <w:sz w:val="24"/>
        </w:rPr>
        <w:t>(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X</m:t>
        </m:r>
        <m:r>
          <m:rPr>
            <m:nor/>
            <m:sty m:val="p"/>
          </m:rPr>
          <w:rPr>
            <w:rFonts w:ascii="Times New Roman" w:hAnsi="Times New Roman"/>
            <w:color w:val="000000"/>
            <w:kern w:val="0"/>
            <w:sz w:val="24"/>
            <w:vertAlign w:val="subscript"/>
          </w:rPr>
          <m:t>s</m:t>
        </m:r>
      </m:oMath>
      <w:r>
        <w:rPr>
          <w:rFonts w:ascii="Times New Roman" w:hAnsi="Times New Roman" w:eastAsiaTheme="majorEastAsia"/>
          <w:sz w:val="24"/>
        </w:rPr>
        <w:t xml:space="preserve">)= </w:t>
      </w:r>
      <w:r>
        <w:rPr>
          <w:rFonts w:ascii="Times New Roman" w:hAnsi="Times New Roman" w:eastAsiaTheme="majorEastAsia"/>
          <w:i/>
          <w:sz w:val="24"/>
        </w:rPr>
        <w:t>U</w:t>
      </w:r>
      <w:r>
        <w:rPr>
          <w:rFonts w:ascii="Times New Roman" w:hAnsi="Times New Roman" w:eastAsiaTheme="majorEastAsia"/>
          <w:sz w:val="24"/>
        </w:rPr>
        <w:t>/</w:t>
      </w:r>
      <w:r>
        <w:rPr>
          <w:rFonts w:ascii="Times New Roman" w:hAnsi="Times New Roman" w:eastAsiaTheme="majorEastAsia"/>
          <w:i/>
          <w:sz w:val="24"/>
        </w:rPr>
        <w:t xml:space="preserve">k </w:t>
      </w:r>
      <w:r>
        <w:rPr>
          <w:rFonts w:ascii="Times New Roman" w:hAnsi="Times New Roman" w:eastAsiaTheme="majorEastAsia"/>
          <w:sz w:val="24"/>
        </w:rPr>
        <w:t>= 0.002%/2 = 0.001%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.3.</w:t>
      </w:r>
      <w:r>
        <w:rPr>
          <w:rFonts w:hint="eastAsia" w:ascii="Times New Roman" w:hAnsi="Times New Roman"/>
          <w:color w:val="000000"/>
          <w:sz w:val="24"/>
        </w:rPr>
        <w:t xml:space="preserve">3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∆</m:t>
            </m: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Theme="minorEastAsia" w:hAnsiTheme="minorEastAsia" w:eastAsiaTheme="minorEastAsia"/>
          <w:sz w:val="24"/>
        </w:rPr>
        <w:t>合成标准不确定度</w:t>
      </w:r>
    </w:p>
    <w:p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m:oMath>
        <m:sSub>
          <m:sSubP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(∆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/>
            <w:sz w:val="24"/>
          </w:rPr>
          <m:t>)</m:t>
        </m:r>
        <m:r>
          <m:rPr>
            <m:nor/>
            <m:sty m:val="p"/>
          </m:rPr>
          <w:rPr>
            <w:rFonts w:ascii="Times New Roman" w:hAnsi="Times New Roman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color w:val="000000"/>
                            <w:kern w:val="0"/>
                            <w:sz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color w:val="000000"/>
                            <w:kern w:val="0"/>
                            <w:sz w:val="24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</m:acc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</w:rPr>
                  <m:t>X</m:t>
                </m:r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/>
                    <w:kern w:val="0"/>
                    <w:sz w:val="24"/>
                    <w:vertAlign w:val="subscript"/>
                  </w:rPr>
                  <m:t>s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nor/>
            <m:sty m:val="p"/>
          </m:rPr>
          <w:rPr>
            <w:rFonts w:ascii="Times New Roman" w:hAnsi="Times New Roman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0.002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0.00</m:t>
                </m:r>
                <m:r>
                  <m:rPr>
                    <m:nor/>
                    <m:sty m:val="p"/>
                  </m:rPr>
                  <w:rPr>
                    <w:rFonts w:ascii="Cambria Math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</m:oMath>
      <w:r>
        <w:rPr>
          <w:rFonts w:ascii="Times New Roman" w:hAnsi="Times New Roman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0.002%</w:t>
      </w:r>
    </w:p>
    <w:p>
      <w:pPr>
        <w:spacing w:line="360" w:lineRule="auto"/>
        <w:rPr>
          <w:rFonts w:ascii="Times New Roman" w:hAnsi="Times New Roman" w:eastAsia="黑体"/>
          <w:kern w:val="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.3.</w:t>
      </w:r>
      <w:r>
        <w:rPr>
          <w:rFonts w:hint="eastAsia" w:ascii="Times New Roman" w:hAnsi="Times New Roman"/>
          <w:color w:val="000000"/>
          <w:sz w:val="24"/>
        </w:rPr>
        <w:t>4 示值误差</w:t>
      </w:r>
      <w:r>
        <w:rPr>
          <w:rFonts w:ascii="Times New Roman" w:hAnsi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测量结果的扩展</w:t>
      </w:r>
      <w:r>
        <w:rPr>
          <w:rFonts w:asciiTheme="minorEastAsia" w:hAnsiTheme="minorEastAsia" w:eastAsiaTheme="minorEastAsia"/>
          <w:sz w:val="24"/>
        </w:rPr>
        <w:t>不确定度</w:t>
      </w:r>
    </w:p>
    <w:p>
      <w:pPr>
        <w:tabs>
          <w:tab w:val="left" w:pos="7363"/>
        </w:tabs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取</w:t>
      </w:r>
      <w:r>
        <w:rPr>
          <w:rFonts w:hint="eastAsia" w:ascii="Times New Roman" w:hAnsi="Times New Roman"/>
          <w:i/>
          <w:color w:val="000000"/>
          <w:sz w:val="24"/>
        </w:rPr>
        <w:t>k</w:t>
      </w:r>
      <w:r>
        <w:rPr>
          <w:rFonts w:hint="eastAsia" w:ascii="Times New Roman" w:hAnsi="Times New Roman"/>
          <w:color w:val="000000"/>
          <w:sz w:val="24"/>
        </w:rPr>
        <w:t>=2，则：</w:t>
      </w:r>
      <m:oMath>
        <m:r>
          <m:rPr>
            <m:nor/>
          </m:rPr>
          <w:rPr>
            <w:rFonts w:ascii="Times New Roman" w:hAnsi="Times New Roman"/>
            <w:i/>
            <w:color w:val="000000"/>
            <w:sz w:val="24"/>
          </w:rPr>
          <m:t>U</m:t>
        </m:r>
        <m:r>
          <m:rPr>
            <m:nor/>
            <m:sty m:val="p"/>
          </m:rPr>
          <w:rPr>
            <w:rFonts w:ascii="Times New Roman" w:hAnsi="Times New Roman"/>
            <w:color w:val="000000"/>
            <w:sz w:val="24"/>
          </w:rPr>
          <m:t>=</m:t>
        </m:r>
        <m:r>
          <m:rPr>
            <m:nor/>
          </m:rPr>
          <w:rPr>
            <w:rFonts w:ascii="Times New Roman" w:hAnsi="Times New Roman"/>
            <w:i/>
            <w:color w:val="000000"/>
            <w:sz w:val="24"/>
          </w:rPr>
          <m:t>k</m:t>
        </m:r>
        <m:sSub>
          <m:sSubP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∆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/>
            <w:sz w:val="24"/>
          </w:rPr>
          <m:t>)=2×0.002%=</m:t>
        </m:r>
      </m:oMath>
      <w:r>
        <w:rPr>
          <w:rFonts w:hint="eastAsia"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.00</w:t>
      </w:r>
      <w:bookmarkEnd w:id="121"/>
      <w:r>
        <w:rPr>
          <w:rFonts w:ascii="Times New Roman" w:hAnsi="Times New Roman"/>
          <w:sz w:val="24"/>
        </w:rPr>
        <w:t>4%</w:t>
      </w:r>
      <w:r>
        <w:rPr>
          <w:rFonts w:ascii="Times New Roman" w:hAnsi="Times New Roman"/>
          <w:sz w:val="24"/>
        </w:rPr>
        <w:tab/>
      </w:r>
    </w:p>
    <w:p>
      <w:pPr>
        <w:spacing w:line="360" w:lineRule="auto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259715</wp:posOffset>
                </wp:positionV>
                <wp:extent cx="1623695" cy="0"/>
                <wp:effectExtent l="0" t="0" r="14605" b="19050"/>
                <wp:wrapNone/>
                <wp:docPr id="70663" name="直接连接符 70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5.25pt;margin-top:20.45pt;height:0pt;width:127.85pt;z-index:251659264;mso-width-relative:page;mso-height-relative:page;" filled="f" stroked="t" coordsize="21600,21600" o:gfxdata="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PvfJtcAAAAJ&#10;AQAADwAAAAAAAAABACAAAAAiAAAAZHJzL2Rvd25yZXYueG1sUEsBAhQAFAAAAAgAh07iQFCLtg7k&#10;AQAArAMAAA4AAAAAAAAAAQAgAAAAJgEAAGRycy9lMm9Eb2MueG1sUEsFBgAAAAAGAAYAWQEAAHwF&#10;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4" w:type="default"/>
      <w:footerReference r:id="rId15" w:type="even"/>
      <w:pgSz w:w="11907" w:h="16839"/>
      <w:pgMar w:top="1418" w:right="1134" w:bottom="1134" w:left="1418" w:header="102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3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/>
      <w:rPr>
        <w:rStyle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II</w:t>
    </w:r>
    <w:r>
      <w:fldChar w:fldCharType="end"/>
    </w:r>
  </w:p>
  <w:p>
    <w:pPr>
      <w:pStyle w:val="75"/>
      <w:ind w:right="360"/>
      <w:rPr>
        <w:rStyle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436"/>
        <w:tab w:val="right" w:pos="9475"/>
      </w:tabs>
      <w:rPr>
        <w:rStyle w:val="28"/>
      </w:rPr>
    </w:pP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27940</wp:posOffset>
              </wp:positionV>
              <wp:extent cx="76200" cy="131445"/>
              <wp:effectExtent l="0" t="0" r="4445" b="1905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2pt;height:10.35pt;width:6pt;mso-position-horizontal:inside;mso-position-horizontal-relative:margin;mso-wrap-style:none;z-index:251675648;mso-width-relative:page;mso-height-relative:page;" filled="f" stroked="f" coordsize="21600,21600" o:gfxdata="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LOiJNAAAAAEAQAADwAAAAAAAAABACAAAAAiAAAAZHJzL2Rv&#10;d25yZXYueG1sUEsBAhQAFAAAAAgAh07iQGqdCNEJAgAAAw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3"/>
      <w:rPr>
        <w:rStyle w:val="28"/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1610" cy="224155"/>
              <wp:effectExtent l="0" t="0" r="254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begin"/>
                          </w:r>
                          <w:r>
                            <w:rPr>
                              <w:rStyle w:val="28"/>
                              <w:rFonts w:eastAsia="仿宋_GB2312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separate"/>
                          </w:r>
                          <w:r>
                            <w:rPr>
                              <w:rStyle w:val="28"/>
                              <w:rFonts w:eastAsia="仿宋_GB2312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65pt;width:14.3pt;mso-position-horizontal:inside;mso-position-horizontal-relative:margin;z-index:251674624;mso-width-relative:page;mso-height-relative:page;" filled="f" stroked="f" coordsize="21600,21600" o:gfxdata="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R7S/SAAAAAwEAAA8AAAAAAAAAAQAgAAAAIgAAAGRy&#10;cy9kb3ducmV2LnhtbFBLAQIUABQAAAAIAIdO4kBJe3aQCwIAAAY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eastAsia="仿宋_GB2312"/>
                      </w:rPr>
                      <w:fldChar w:fldCharType="begin"/>
                    </w:r>
                    <w:r>
                      <w:rPr>
                        <w:rStyle w:val="28"/>
                        <w:rFonts w:eastAsia="仿宋_GB2312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/>
                      </w:rPr>
                      <w:fldChar w:fldCharType="separate"/>
                    </w:r>
                    <w:r>
                      <w:rPr>
                        <w:rStyle w:val="28"/>
                        <w:rFonts w:eastAsia="仿宋_GB2312"/>
                      </w:rPr>
                      <w:t>3</w:t>
                    </w:r>
                    <w:r>
                      <w:rPr>
                        <w:rFonts w:ascii="Times New Roman" w:hAnsi="Times New Roman" w:eastAsia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9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4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  <w:p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8890" r="13970" b="1016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72576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IZ5fO3nAQAA&#10;uw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jc w:val="center"/>
      <w:rPr>
        <w:rFonts w:ascii="黑体" w:hAnsi="黑体" w:eastAsia="黑体"/>
        <w:bCs/>
        <w:szCs w:val="21"/>
      </w:rPr>
    </w:pPr>
    <w:r>
      <w:rPr>
        <w:rFonts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szCs w:val="21"/>
      </w:rPr>
      <w:t>J</w:t>
    </w:r>
    <w:r>
      <w:rPr>
        <w:rFonts w:hint="eastAsia" w:ascii="黑体" w:hAnsi="黑体" w:eastAsia="黑体"/>
        <w:bCs/>
        <w:color w:val="000000"/>
        <w:szCs w:val="21"/>
      </w:rPr>
      <w:t>F</w:t>
    </w:r>
    <w:r>
      <w:rPr>
        <w:rFonts w:hint="eastAsia" w:ascii="黑体" w:hAnsi="黑体" w:eastAsia="黑体"/>
        <w:bCs/>
        <w:szCs w:val="21"/>
      </w:rPr>
      <w:t>（有色金属）XXXX—</w:t>
    </w:r>
    <w:r>
      <w:rPr>
        <w:rFonts w:ascii="Times New Roman" w:hAnsi="Times New Roman" w:eastAsia="黑体"/>
        <w:bCs/>
        <w:szCs w:val="21"/>
      </w:rPr>
      <w:t>20</w:t>
    </w:r>
    <w:r>
      <w:rPr>
        <w:rFonts w:hint="eastAsia" w:ascii="黑体" w:hAnsi="黑体" w:eastAsia="黑体"/>
        <w:bCs/>
      </w:rPr>
      <w:t>XX</w:t>
    </w:r>
  </w:p>
  <w:p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73600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CraGHX6AEA&#10;ALs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512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12614A"/>
    <w:rsid w:val="00006185"/>
    <w:rsid w:val="00007A51"/>
    <w:rsid w:val="00012E21"/>
    <w:rsid w:val="000149F1"/>
    <w:rsid w:val="00020676"/>
    <w:rsid w:val="00037765"/>
    <w:rsid w:val="00041EBA"/>
    <w:rsid w:val="000454A3"/>
    <w:rsid w:val="00046CE1"/>
    <w:rsid w:val="00047E73"/>
    <w:rsid w:val="0005347B"/>
    <w:rsid w:val="000606D6"/>
    <w:rsid w:val="0006080A"/>
    <w:rsid w:val="000645C4"/>
    <w:rsid w:val="00067524"/>
    <w:rsid w:val="00073107"/>
    <w:rsid w:val="000741AD"/>
    <w:rsid w:val="000808D5"/>
    <w:rsid w:val="00080CAF"/>
    <w:rsid w:val="0008341A"/>
    <w:rsid w:val="00085B9A"/>
    <w:rsid w:val="00086071"/>
    <w:rsid w:val="00086332"/>
    <w:rsid w:val="00087EFC"/>
    <w:rsid w:val="00090C6A"/>
    <w:rsid w:val="00095E78"/>
    <w:rsid w:val="000967DC"/>
    <w:rsid w:val="00096E32"/>
    <w:rsid w:val="000A1F89"/>
    <w:rsid w:val="000A1F8C"/>
    <w:rsid w:val="000A3E1C"/>
    <w:rsid w:val="000A4DC5"/>
    <w:rsid w:val="000A75BC"/>
    <w:rsid w:val="000A798B"/>
    <w:rsid w:val="000B1478"/>
    <w:rsid w:val="000B4D11"/>
    <w:rsid w:val="000C1C35"/>
    <w:rsid w:val="000C39CB"/>
    <w:rsid w:val="000C4AC4"/>
    <w:rsid w:val="000C560E"/>
    <w:rsid w:val="000C6F34"/>
    <w:rsid w:val="000C70F2"/>
    <w:rsid w:val="000D6836"/>
    <w:rsid w:val="000E0B52"/>
    <w:rsid w:val="000F50B5"/>
    <w:rsid w:val="000F5248"/>
    <w:rsid w:val="000F6949"/>
    <w:rsid w:val="0010032A"/>
    <w:rsid w:val="001004A7"/>
    <w:rsid w:val="00101023"/>
    <w:rsid w:val="001044F2"/>
    <w:rsid w:val="00104696"/>
    <w:rsid w:val="001106D2"/>
    <w:rsid w:val="00110867"/>
    <w:rsid w:val="001140FC"/>
    <w:rsid w:val="00121578"/>
    <w:rsid w:val="00122EA2"/>
    <w:rsid w:val="00125F0E"/>
    <w:rsid w:val="0012614A"/>
    <w:rsid w:val="00126D4C"/>
    <w:rsid w:val="00131566"/>
    <w:rsid w:val="00133976"/>
    <w:rsid w:val="00134E2A"/>
    <w:rsid w:val="0013643B"/>
    <w:rsid w:val="00136E3A"/>
    <w:rsid w:val="00137CA0"/>
    <w:rsid w:val="00142970"/>
    <w:rsid w:val="0014334F"/>
    <w:rsid w:val="00147533"/>
    <w:rsid w:val="0015025F"/>
    <w:rsid w:val="0015197A"/>
    <w:rsid w:val="00151FC1"/>
    <w:rsid w:val="00152516"/>
    <w:rsid w:val="00154439"/>
    <w:rsid w:val="001574CE"/>
    <w:rsid w:val="00160562"/>
    <w:rsid w:val="00161043"/>
    <w:rsid w:val="00161DD8"/>
    <w:rsid w:val="00166545"/>
    <w:rsid w:val="001666FA"/>
    <w:rsid w:val="00171A11"/>
    <w:rsid w:val="001733A1"/>
    <w:rsid w:val="00177535"/>
    <w:rsid w:val="001809C1"/>
    <w:rsid w:val="001813BB"/>
    <w:rsid w:val="00183C0C"/>
    <w:rsid w:val="00183D86"/>
    <w:rsid w:val="0018551D"/>
    <w:rsid w:val="001855AB"/>
    <w:rsid w:val="00185C69"/>
    <w:rsid w:val="0019170F"/>
    <w:rsid w:val="00191C9A"/>
    <w:rsid w:val="0019497B"/>
    <w:rsid w:val="00194DDE"/>
    <w:rsid w:val="001A3087"/>
    <w:rsid w:val="001B0C2C"/>
    <w:rsid w:val="001B2261"/>
    <w:rsid w:val="001B280A"/>
    <w:rsid w:val="001B47DD"/>
    <w:rsid w:val="001B5174"/>
    <w:rsid w:val="001C19DC"/>
    <w:rsid w:val="001C28D7"/>
    <w:rsid w:val="001C505F"/>
    <w:rsid w:val="001C5AC8"/>
    <w:rsid w:val="001C6828"/>
    <w:rsid w:val="001C6DBA"/>
    <w:rsid w:val="001D0E10"/>
    <w:rsid w:val="001D2313"/>
    <w:rsid w:val="001D3D61"/>
    <w:rsid w:val="001D40AA"/>
    <w:rsid w:val="001D75E2"/>
    <w:rsid w:val="001E1376"/>
    <w:rsid w:val="001E4161"/>
    <w:rsid w:val="001E6493"/>
    <w:rsid w:val="001F16CC"/>
    <w:rsid w:val="001F2D0F"/>
    <w:rsid w:val="001F763C"/>
    <w:rsid w:val="0020302C"/>
    <w:rsid w:val="00203C58"/>
    <w:rsid w:val="002048FE"/>
    <w:rsid w:val="002053AA"/>
    <w:rsid w:val="002056A8"/>
    <w:rsid w:val="00205982"/>
    <w:rsid w:val="002065BC"/>
    <w:rsid w:val="0020691B"/>
    <w:rsid w:val="00206C80"/>
    <w:rsid w:val="002113D1"/>
    <w:rsid w:val="00212099"/>
    <w:rsid w:val="002137BC"/>
    <w:rsid w:val="00220CC2"/>
    <w:rsid w:val="0022175C"/>
    <w:rsid w:val="00226C09"/>
    <w:rsid w:val="002278B6"/>
    <w:rsid w:val="00227ED5"/>
    <w:rsid w:val="00232D7F"/>
    <w:rsid w:val="00244F30"/>
    <w:rsid w:val="00252C48"/>
    <w:rsid w:val="00261270"/>
    <w:rsid w:val="00264D2B"/>
    <w:rsid w:val="002704D5"/>
    <w:rsid w:val="00270771"/>
    <w:rsid w:val="0027229F"/>
    <w:rsid w:val="002728ED"/>
    <w:rsid w:val="00272FA1"/>
    <w:rsid w:val="002764D2"/>
    <w:rsid w:val="00277082"/>
    <w:rsid w:val="002800D4"/>
    <w:rsid w:val="002836C6"/>
    <w:rsid w:val="00284F36"/>
    <w:rsid w:val="00285A8C"/>
    <w:rsid w:val="00286B8B"/>
    <w:rsid w:val="0029582A"/>
    <w:rsid w:val="00296189"/>
    <w:rsid w:val="002A0268"/>
    <w:rsid w:val="002A1772"/>
    <w:rsid w:val="002A17BB"/>
    <w:rsid w:val="002A1BDD"/>
    <w:rsid w:val="002A2888"/>
    <w:rsid w:val="002A3E5F"/>
    <w:rsid w:val="002A5013"/>
    <w:rsid w:val="002A62BF"/>
    <w:rsid w:val="002A65AE"/>
    <w:rsid w:val="002B20E8"/>
    <w:rsid w:val="002B46B5"/>
    <w:rsid w:val="002B46BB"/>
    <w:rsid w:val="002C0B4D"/>
    <w:rsid w:val="002C14AF"/>
    <w:rsid w:val="002C4CAB"/>
    <w:rsid w:val="002D5ED7"/>
    <w:rsid w:val="002D664E"/>
    <w:rsid w:val="002F069E"/>
    <w:rsid w:val="002F1F47"/>
    <w:rsid w:val="003002BE"/>
    <w:rsid w:val="00301B6B"/>
    <w:rsid w:val="003030EF"/>
    <w:rsid w:val="00303E14"/>
    <w:rsid w:val="00304EAA"/>
    <w:rsid w:val="00310AD9"/>
    <w:rsid w:val="00312426"/>
    <w:rsid w:val="00312E30"/>
    <w:rsid w:val="003148AD"/>
    <w:rsid w:val="003167A6"/>
    <w:rsid w:val="0031714D"/>
    <w:rsid w:val="00317D22"/>
    <w:rsid w:val="003242FA"/>
    <w:rsid w:val="003258FE"/>
    <w:rsid w:val="0032594E"/>
    <w:rsid w:val="00331646"/>
    <w:rsid w:val="00332D13"/>
    <w:rsid w:val="00335751"/>
    <w:rsid w:val="00335F37"/>
    <w:rsid w:val="0034015F"/>
    <w:rsid w:val="003404AF"/>
    <w:rsid w:val="00341015"/>
    <w:rsid w:val="00342FEF"/>
    <w:rsid w:val="00346D85"/>
    <w:rsid w:val="00347241"/>
    <w:rsid w:val="00347C96"/>
    <w:rsid w:val="00352CD5"/>
    <w:rsid w:val="00354217"/>
    <w:rsid w:val="00354C81"/>
    <w:rsid w:val="003572F6"/>
    <w:rsid w:val="00365149"/>
    <w:rsid w:val="00370C09"/>
    <w:rsid w:val="00370E32"/>
    <w:rsid w:val="00370E63"/>
    <w:rsid w:val="00371360"/>
    <w:rsid w:val="003714C3"/>
    <w:rsid w:val="00376DBB"/>
    <w:rsid w:val="00380C68"/>
    <w:rsid w:val="00386735"/>
    <w:rsid w:val="00391EE1"/>
    <w:rsid w:val="00393C18"/>
    <w:rsid w:val="00394E81"/>
    <w:rsid w:val="00396D8A"/>
    <w:rsid w:val="003A1F20"/>
    <w:rsid w:val="003A1FDE"/>
    <w:rsid w:val="003A2EE7"/>
    <w:rsid w:val="003B1148"/>
    <w:rsid w:val="003B6C7B"/>
    <w:rsid w:val="003B7DE6"/>
    <w:rsid w:val="003C08F3"/>
    <w:rsid w:val="003C0E22"/>
    <w:rsid w:val="003C3DD2"/>
    <w:rsid w:val="003C557D"/>
    <w:rsid w:val="003C55BA"/>
    <w:rsid w:val="003C70B7"/>
    <w:rsid w:val="003C7A85"/>
    <w:rsid w:val="003D1181"/>
    <w:rsid w:val="003D28D2"/>
    <w:rsid w:val="003D347C"/>
    <w:rsid w:val="003E125E"/>
    <w:rsid w:val="003E1DCE"/>
    <w:rsid w:val="003E3082"/>
    <w:rsid w:val="003E3EAE"/>
    <w:rsid w:val="003E483A"/>
    <w:rsid w:val="003E5FA8"/>
    <w:rsid w:val="003F245E"/>
    <w:rsid w:val="003F3500"/>
    <w:rsid w:val="00403C3F"/>
    <w:rsid w:val="00406105"/>
    <w:rsid w:val="004074B5"/>
    <w:rsid w:val="004078CF"/>
    <w:rsid w:val="00410518"/>
    <w:rsid w:val="004121B7"/>
    <w:rsid w:val="00414099"/>
    <w:rsid w:val="00415F00"/>
    <w:rsid w:val="00415FFE"/>
    <w:rsid w:val="00416068"/>
    <w:rsid w:val="004211A3"/>
    <w:rsid w:val="0042483D"/>
    <w:rsid w:val="004253D9"/>
    <w:rsid w:val="00425B43"/>
    <w:rsid w:val="004270E3"/>
    <w:rsid w:val="0043667A"/>
    <w:rsid w:val="00440E29"/>
    <w:rsid w:val="004440F7"/>
    <w:rsid w:val="00444CCC"/>
    <w:rsid w:val="00452343"/>
    <w:rsid w:val="00453B48"/>
    <w:rsid w:val="00453CB8"/>
    <w:rsid w:val="00461D66"/>
    <w:rsid w:val="00463478"/>
    <w:rsid w:val="00464D30"/>
    <w:rsid w:val="00466C49"/>
    <w:rsid w:val="004726AE"/>
    <w:rsid w:val="0047433F"/>
    <w:rsid w:val="004758FC"/>
    <w:rsid w:val="00476079"/>
    <w:rsid w:val="0048072B"/>
    <w:rsid w:val="00482CB1"/>
    <w:rsid w:val="004847C4"/>
    <w:rsid w:val="00485DF6"/>
    <w:rsid w:val="004869DE"/>
    <w:rsid w:val="00487D2F"/>
    <w:rsid w:val="00490F76"/>
    <w:rsid w:val="004915FE"/>
    <w:rsid w:val="0049503B"/>
    <w:rsid w:val="00497D01"/>
    <w:rsid w:val="004A04D4"/>
    <w:rsid w:val="004A260E"/>
    <w:rsid w:val="004A2B93"/>
    <w:rsid w:val="004A32BC"/>
    <w:rsid w:val="004A72E2"/>
    <w:rsid w:val="004C3CCC"/>
    <w:rsid w:val="004C3E95"/>
    <w:rsid w:val="004C4A0A"/>
    <w:rsid w:val="004D15DE"/>
    <w:rsid w:val="004D366B"/>
    <w:rsid w:val="004D5304"/>
    <w:rsid w:val="004E102E"/>
    <w:rsid w:val="004E10AF"/>
    <w:rsid w:val="004E41E5"/>
    <w:rsid w:val="004E543A"/>
    <w:rsid w:val="004E6320"/>
    <w:rsid w:val="004F1894"/>
    <w:rsid w:val="004F4975"/>
    <w:rsid w:val="004F73D0"/>
    <w:rsid w:val="004F7CB1"/>
    <w:rsid w:val="00503C99"/>
    <w:rsid w:val="00505450"/>
    <w:rsid w:val="00511B55"/>
    <w:rsid w:val="0052679E"/>
    <w:rsid w:val="00534E50"/>
    <w:rsid w:val="005353C2"/>
    <w:rsid w:val="00540B75"/>
    <w:rsid w:val="00552494"/>
    <w:rsid w:val="00552BC8"/>
    <w:rsid w:val="00553F69"/>
    <w:rsid w:val="00556249"/>
    <w:rsid w:val="0055658B"/>
    <w:rsid w:val="00562EE5"/>
    <w:rsid w:val="00565788"/>
    <w:rsid w:val="00565AC0"/>
    <w:rsid w:val="0056668C"/>
    <w:rsid w:val="00570D38"/>
    <w:rsid w:val="00571685"/>
    <w:rsid w:val="00572C49"/>
    <w:rsid w:val="005769D3"/>
    <w:rsid w:val="005778AB"/>
    <w:rsid w:val="005824DF"/>
    <w:rsid w:val="0058269B"/>
    <w:rsid w:val="0058296B"/>
    <w:rsid w:val="00584768"/>
    <w:rsid w:val="00595CDC"/>
    <w:rsid w:val="00595D46"/>
    <w:rsid w:val="005A1113"/>
    <w:rsid w:val="005A1212"/>
    <w:rsid w:val="005B62F6"/>
    <w:rsid w:val="005B6AC7"/>
    <w:rsid w:val="005B7E92"/>
    <w:rsid w:val="005C04F7"/>
    <w:rsid w:val="005C0BB8"/>
    <w:rsid w:val="005C4E47"/>
    <w:rsid w:val="005C586A"/>
    <w:rsid w:val="005C622F"/>
    <w:rsid w:val="005C7B41"/>
    <w:rsid w:val="005D498A"/>
    <w:rsid w:val="005D617F"/>
    <w:rsid w:val="005E0575"/>
    <w:rsid w:val="005E15DE"/>
    <w:rsid w:val="005E5321"/>
    <w:rsid w:val="005F7517"/>
    <w:rsid w:val="00601D65"/>
    <w:rsid w:val="00602D10"/>
    <w:rsid w:val="006047BC"/>
    <w:rsid w:val="00604834"/>
    <w:rsid w:val="00604D38"/>
    <w:rsid w:val="00605224"/>
    <w:rsid w:val="006058A4"/>
    <w:rsid w:val="00605CA1"/>
    <w:rsid w:val="00607DDD"/>
    <w:rsid w:val="00611EF4"/>
    <w:rsid w:val="00614405"/>
    <w:rsid w:val="00615A44"/>
    <w:rsid w:val="00616724"/>
    <w:rsid w:val="00616BBF"/>
    <w:rsid w:val="00616F91"/>
    <w:rsid w:val="00620FD7"/>
    <w:rsid w:val="00624D47"/>
    <w:rsid w:val="00631A6B"/>
    <w:rsid w:val="00633218"/>
    <w:rsid w:val="00640BEC"/>
    <w:rsid w:val="006410EA"/>
    <w:rsid w:val="006421AC"/>
    <w:rsid w:val="00642312"/>
    <w:rsid w:val="006428E3"/>
    <w:rsid w:val="00642C0B"/>
    <w:rsid w:val="00645063"/>
    <w:rsid w:val="0064638E"/>
    <w:rsid w:val="00651781"/>
    <w:rsid w:val="00651AD7"/>
    <w:rsid w:val="00656B8F"/>
    <w:rsid w:val="0066657E"/>
    <w:rsid w:val="0067508D"/>
    <w:rsid w:val="006757F4"/>
    <w:rsid w:val="00677209"/>
    <w:rsid w:val="00681BF7"/>
    <w:rsid w:val="0068418A"/>
    <w:rsid w:val="00690FC2"/>
    <w:rsid w:val="00691242"/>
    <w:rsid w:val="00691642"/>
    <w:rsid w:val="006949A8"/>
    <w:rsid w:val="006A1756"/>
    <w:rsid w:val="006A3EDE"/>
    <w:rsid w:val="006A4FE0"/>
    <w:rsid w:val="006A6CF5"/>
    <w:rsid w:val="006B0A97"/>
    <w:rsid w:val="006B0CAA"/>
    <w:rsid w:val="006B2DC4"/>
    <w:rsid w:val="006B34C9"/>
    <w:rsid w:val="006B5B34"/>
    <w:rsid w:val="006B6147"/>
    <w:rsid w:val="006C0017"/>
    <w:rsid w:val="006C0105"/>
    <w:rsid w:val="006C5348"/>
    <w:rsid w:val="006C7CF9"/>
    <w:rsid w:val="006D19D2"/>
    <w:rsid w:val="006D2F57"/>
    <w:rsid w:val="006D598F"/>
    <w:rsid w:val="006E33E6"/>
    <w:rsid w:val="006E3D6B"/>
    <w:rsid w:val="006E4C03"/>
    <w:rsid w:val="006E62EA"/>
    <w:rsid w:val="006F0E36"/>
    <w:rsid w:val="006F0F89"/>
    <w:rsid w:val="006F4483"/>
    <w:rsid w:val="006F5578"/>
    <w:rsid w:val="006F631F"/>
    <w:rsid w:val="007013EF"/>
    <w:rsid w:val="007042EC"/>
    <w:rsid w:val="00704BA8"/>
    <w:rsid w:val="007058BD"/>
    <w:rsid w:val="00705BEA"/>
    <w:rsid w:val="007118DB"/>
    <w:rsid w:val="00711C22"/>
    <w:rsid w:val="0071217E"/>
    <w:rsid w:val="00717159"/>
    <w:rsid w:val="00717456"/>
    <w:rsid w:val="00720B30"/>
    <w:rsid w:val="007221D1"/>
    <w:rsid w:val="00724193"/>
    <w:rsid w:val="00724648"/>
    <w:rsid w:val="00725877"/>
    <w:rsid w:val="0073131C"/>
    <w:rsid w:val="00733EA7"/>
    <w:rsid w:val="007401AB"/>
    <w:rsid w:val="00744169"/>
    <w:rsid w:val="0074448D"/>
    <w:rsid w:val="00745467"/>
    <w:rsid w:val="00745A9C"/>
    <w:rsid w:val="00752AA0"/>
    <w:rsid w:val="0075305F"/>
    <w:rsid w:val="00754A22"/>
    <w:rsid w:val="00756F70"/>
    <w:rsid w:val="00757961"/>
    <w:rsid w:val="007601DB"/>
    <w:rsid w:val="00761FEA"/>
    <w:rsid w:val="00763A50"/>
    <w:rsid w:val="00764FF0"/>
    <w:rsid w:val="007676F9"/>
    <w:rsid w:val="00767987"/>
    <w:rsid w:val="007727CE"/>
    <w:rsid w:val="00773C22"/>
    <w:rsid w:val="00777748"/>
    <w:rsid w:val="007808E6"/>
    <w:rsid w:val="007815BC"/>
    <w:rsid w:val="00782C07"/>
    <w:rsid w:val="00783918"/>
    <w:rsid w:val="00785E74"/>
    <w:rsid w:val="007902D4"/>
    <w:rsid w:val="00790C03"/>
    <w:rsid w:val="007913EA"/>
    <w:rsid w:val="007B3AF0"/>
    <w:rsid w:val="007B75EE"/>
    <w:rsid w:val="007C3A56"/>
    <w:rsid w:val="007C5BD7"/>
    <w:rsid w:val="007C7492"/>
    <w:rsid w:val="007C7EFE"/>
    <w:rsid w:val="007D05E4"/>
    <w:rsid w:val="007D534E"/>
    <w:rsid w:val="007D561F"/>
    <w:rsid w:val="007D7911"/>
    <w:rsid w:val="007E37C4"/>
    <w:rsid w:val="007E407A"/>
    <w:rsid w:val="007E654F"/>
    <w:rsid w:val="007F0563"/>
    <w:rsid w:val="007F05B2"/>
    <w:rsid w:val="007F09D4"/>
    <w:rsid w:val="007F2D56"/>
    <w:rsid w:val="007F33B8"/>
    <w:rsid w:val="007F5575"/>
    <w:rsid w:val="00802A52"/>
    <w:rsid w:val="00805154"/>
    <w:rsid w:val="00805CC0"/>
    <w:rsid w:val="00805F2E"/>
    <w:rsid w:val="00807481"/>
    <w:rsid w:val="008104BD"/>
    <w:rsid w:val="00810A1B"/>
    <w:rsid w:val="00812D51"/>
    <w:rsid w:val="00813D9D"/>
    <w:rsid w:val="008144AC"/>
    <w:rsid w:val="008221D2"/>
    <w:rsid w:val="008300FD"/>
    <w:rsid w:val="0083232C"/>
    <w:rsid w:val="00833488"/>
    <w:rsid w:val="00836C4C"/>
    <w:rsid w:val="00840763"/>
    <w:rsid w:val="0084081B"/>
    <w:rsid w:val="00841307"/>
    <w:rsid w:val="00844FB1"/>
    <w:rsid w:val="00846DDE"/>
    <w:rsid w:val="00850EE9"/>
    <w:rsid w:val="00853E7F"/>
    <w:rsid w:val="00855E03"/>
    <w:rsid w:val="00856814"/>
    <w:rsid w:val="00860419"/>
    <w:rsid w:val="00864215"/>
    <w:rsid w:val="00864EEA"/>
    <w:rsid w:val="00866052"/>
    <w:rsid w:val="00866433"/>
    <w:rsid w:val="008670CC"/>
    <w:rsid w:val="008702A8"/>
    <w:rsid w:val="008733E4"/>
    <w:rsid w:val="00877138"/>
    <w:rsid w:val="008776AA"/>
    <w:rsid w:val="00882526"/>
    <w:rsid w:val="00886BA0"/>
    <w:rsid w:val="008900C1"/>
    <w:rsid w:val="008954D5"/>
    <w:rsid w:val="00895E56"/>
    <w:rsid w:val="0089672D"/>
    <w:rsid w:val="00896A3D"/>
    <w:rsid w:val="008A2E00"/>
    <w:rsid w:val="008B26EB"/>
    <w:rsid w:val="008B4097"/>
    <w:rsid w:val="008C0F1D"/>
    <w:rsid w:val="008C595E"/>
    <w:rsid w:val="008C62C2"/>
    <w:rsid w:val="008D2FFB"/>
    <w:rsid w:val="008D3EA2"/>
    <w:rsid w:val="008E1746"/>
    <w:rsid w:val="008E2141"/>
    <w:rsid w:val="008E4D04"/>
    <w:rsid w:val="008E61D2"/>
    <w:rsid w:val="008E6A27"/>
    <w:rsid w:val="008F03CD"/>
    <w:rsid w:val="008F0AB0"/>
    <w:rsid w:val="008F20A3"/>
    <w:rsid w:val="008F7A48"/>
    <w:rsid w:val="00904BE8"/>
    <w:rsid w:val="00910B91"/>
    <w:rsid w:val="00914481"/>
    <w:rsid w:val="00914526"/>
    <w:rsid w:val="009151AA"/>
    <w:rsid w:val="00917E40"/>
    <w:rsid w:val="00921A41"/>
    <w:rsid w:val="00921CCD"/>
    <w:rsid w:val="0092330F"/>
    <w:rsid w:val="00923968"/>
    <w:rsid w:val="009255F3"/>
    <w:rsid w:val="00926995"/>
    <w:rsid w:val="0093149A"/>
    <w:rsid w:val="009339FB"/>
    <w:rsid w:val="00933AE9"/>
    <w:rsid w:val="00934752"/>
    <w:rsid w:val="009364EC"/>
    <w:rsid w:val="00941797"/>
    <w:rsid w:val="00941B49"/>
    <w:rsid w:val="0094360E"/>
    <w:rsid w:val="00943AFF"/>
    <w:rsid w:val="009446C2"/>
    <w:rsid w:val="0094537E"/>
    <w:rsid w:val="009479FE"/>
    <w:rsid w:val="009506B6"/>
    <w:rsid w:val="009523B4"/>
    <w:rsid w:val="00954D82"/>
    <w:rsid w:val="00960F0E"/>
    <w:rsid w:val="009620BE"/>
    <w:rsid w:val="00962E46"/>
    <w:rsid w:val="009639CD"/>
    <w:rsid w:val="00966D0C"/>
    <w:rsid w:val="00967A9F"/>
    <w:rsid w:val="00967B9A"/>
    <w:rsid w:val="00967BE2"/>
    <w:rsid w:val="00970098"/>
    <w:rsid w:val="00971773"/>
    <w:rsid w:val="00975B92"/>
    <w:rsid w:val="00977967"/>
    <w:rsid w:val="00987AF3"/>
    <w:rsid w:val="00991946"/>
    <w:rsid w:val="00992729"/>
    <w:rsid w:val="009A0484"/>
    <w:rsid w:val="009A1354"/>
    <w:rsid w:val="009A24C6"/>
    <w:rsid w:val="009A2D2C"/>
    <w:rsid w:val="009A4EAB"/>
    <w:rsid w:val="009B1BA0"/>
    <w:rsid w:val="009B1BE9"/>
    <w:rsid w:val="009C1247"/>
    <w:rsid w:val="009C2DA3"/>
    <w:rsid w:val="009D28D9"/>
    <w:rsid w:val="009D30B6"/>
    <w:rsid w:val="009D4706"/>
    <w:rsid w:val="009D5BBB"/>
    <w:rsid w:val="009D7C36"/>
    <w:rsid w:val="009D7EBB"/>
    <w:rsid w:val="009E12A2"/>
    <w:rsid w:val="009E78B5"/>
    <w:rsid w:val="009F1152"/>
    <w:rsid w:val="009F287B"/>
    <w:rsid w:val="00A011E7"/>
    <w:rsid w:val="00A03228"/>
    <w:rsid w:val="00A0519F"/>
    <w:rsid w:val="00A061B7"/>
    <w:rsid w:val="00A10FDA"/>
    <w:rsid w:val="00A11037"/>
    <w:rsid w:val="00A11E22"/>
    <w:rsid w:val="00A1316D"/>
    <w:rsid w:val="00A13AEB"/>
    <w:rsid w:val="00A15089"/>
    <w:rsid w:val="00A155EB"/>
    <w:rsid w:val="00A15DF8"/>
    <w:rsid w:val="00A17CC6"/>
    <w:rsid w:val="00A24496"/>
    <w:rsid w:val="00A273E4"/>
    <w:rsid w:val="00A41851"/>
    <w:rsid w:val="00A43388"/>
    <w:rsid w:val="00A44EAC"/>
    <w:rsid w:val="00A4729C"/>
    <w:rsid w:val="00A47853"/>
    <w:rsid w:val="00A47D4E"/>
    <w:rsid w:val="00A5023F"/>
    <w:rsid w:val="00A50B75"/>
    <w:rsid w:val="00A5154A"/>
    <w:rsid w:val="00A55F3C"/>
    <w:rsid w:val="00A61968"/>
    <w:rsid w:val="00A63487"/>
    <w:rsid w:val="00A63750"/>
    <w:rsid w:val="00A63B2A"/>
    <w:rsid w:val="00A66218"/>
    <w:rsid w:val="00A7153A"/>
    <w:rsid w:val="00A72248"/>
    <w:rsid w:val="00A72F34"/>
    <w:rsid w:val="00A7663E"/>
    <w:rsid w:val="00A77DAA"/>
    <w:rsid w:val="00A819C5"/>
    <w:rsid w:val="00A82385"/>
    <w:rsid w:val="00A90D81"/>
    <w:rsid w:val="00A916C1"/>
    <w:rsid w:val="00A9264B"/>
    <w:rsid w:val="00A93346"/>
    <w:rsid w:val="00A94FA8"/>
    <w:rsid w:val="00A964AA"/>
    <w:rsid w:val="00A9685B"/>
    <w:rsid w:val="00AA0FC4"/>
    <w:rsid w:val="00AB091C"/>
    <w:rsid w:val="00AB1A0C"/>
    <w:rsid w:val="00AB3F7F"/>
    <w:rsid w:val="00AC1401"/>
    <w:rsid w:val="00AC5502"/>
    <w:rsid w:val="00AC5AD6"/>
    <w:rsid w:val="00AD02ED"/>
    <w:rsid w:val="00AD37F5"/>
    <w:rsid w:val="00AD3988"/>
    <w:rsid w:val="00AE1790"/>
    <w:rsid w:val="00AE24B4"/>
    <w:rsid w:val="00AE71BC"/>
    <w:rsid w:val="00AF17AC"/>
    <w:rsid w:val="00AF2563"/>
    <w:rsid w:val="00AF26C3"/>
    <w:rsid w:val="00AF5276"/>
    <w:rsid w:val="00AF5F53"/>
    <w:rsid w:val="00B01081"/>
    <w:rsid w:val="00B01E07"/>
    <w:rsid w:val="00B0758C"/>
    <w:rsid w:val="00B120A1"/>
    <w:rsid w:val="00B13C88"/>
    <w:rsid w:val="00B16635"/>
    <w:rsid w:val="00B17BAB"/>
    <w:rsid w:val="00B21697"/>
    <w:rsid w:val="00B22AC8"/>
    <w:rsid w:val="00B325D9"/>
    <w:rsid w:val="00B33DDE"/>
    <w:rsid w:val="00B34BCB"/>
    <w:rsid w:val="00B36CC6"/>
    <w:rsid w:val="00B42610"/>
    <w:rsid w:val="00B43BD0"/>
    <w:rsid w:val="00B47136"/>
    <w:rsid w:val="00B50319"/>
    <w:rsid w:val="00B60968"/>
    <w:rsid w:val="00B61A98"/>
    <w:rsid w:val="00B61EC6"/>
    <w:rsid w:val="00B63B77"/>
    <w:rsid w:val="00B651A6"/>
    <w:rsid w:val="00B653DE"/>
    <w:rsid w:val="00B6632E"/>
    <w:rsid w:val="00B76CEB"/>
    <w:rsid w:val="00B82E60"/>
    <w:rsid w:val="00B84450"/>
    <w:rsid w:val="00B87B7A"/>
    <w:rsid w:val="00B928B3"/>
    <w:rsid w:val="00B93936"/>
    <w:rsid w:val="00B94CDB"/>
    <w:rsid w:val="00B95F54"/>
    <w:rsid w:val="00BA35D1"/>
    <w:rsid w:val="00BA4CA7"/>
    <w:rsid w:val="00BA6B2C"/>
    <w:rsid w:val="00BB41EE"/>
    <w:rsid w:val="00BB67CE"/>
    <w:rsid w:val="00BC5F5D"/>
    <w:rsid w:val="00BD4DEF"/>
    <w:rsid w:val="00BD7A6C"/>
    <w:rsid w:val="00BF2438"/>
    <w:rsid w:val="00BF3A7A"/>
    <w:rsid w:val="00BF3A88"/>
    <w:rsid w:val="00C01362"/>
    <w:rsid w:val="00C0193E"/>
    <w:rsid w:val="00C01ADC"/>
    <w:rsid w:val="00C01BC9"/>
    <w:rsid w:val="00C03816"/>
    <w:rsid w:val="00C03CE6"/>
    <w:rsid w:val="00C04D77"/>
    <w:rsid w:val="00C064A9"/>
    <w:rsid w:val="00C07784"/>
    <w:rsid w:val="00C10E65"/>
    <w:rsid w:val="00C12967"/>
    <w:rsid w:val="00C15406"/>
    <w:rsid w:val="00C15BC2"/>
    <w:rsid w:val="00C171A8"/>
    <w:rsid w:val="00C20A5F"/>
    <w:rsid w:val="00C23F65"/>
    <w:rsid w:val="00C273A7"/>
    <w:rsid w:val="00C30821"/>
    <w:rsid w:val="00C31AA3"/>
    <w:rsid w:val="00C32433"/>
    <w:rsid w:val="00C33B70"/>
    <w:rsid w:val="00C33D79"/>
    <w:rsid w:val="00C37B49"/>
    <w:rsid w:val="00C41AD6"/>
    <w:rsid w:val="00C42406"/>
    <w:rsid w:val="00C426BB"/>
    <w:rsid w:val="00C4386E"/>
    <w:rsid w:val="00C45991"/>
    <w:rsid w:val="00C460F3"/>
    <w:rsid w:val="00C461E6"/>
    <w:rsid w:val="00C46CE6"/>
    <w:rsid w:val="00C503B8"/>
    <w:rsid w:val="00C6363C"/>
    <w:rsid w:val="00C664C2"/>
    <w:rsid w:val="00C6738C"/>
    <w:rsid w:val="00C70F63"/>
    <w:rsid w:val="00C73760"/>
    <w:rsid w:val="00C73C69"/>
    <w:rsid w:val="00C757D6"/>
    <w:rsid w:val="00C77FEE"/>
    <w:rsid w:val="00C8042C"/>
    <w:rsid w:val="00C835EE"/>
    <w:rsid w:val="00C84E24"/>
    <w:rsid w:val="00C86BCE"/>
    <w:rsid w:val="00C922F8"/>
    <w:rsid w:val="00C94681"/>
    <w:rsid w:val="00CA449A"/>
    <w:rsid w:val="00CA497A"/>
    <w:rsid w:val="00CB0479"/>
    <w:rsid w:val="00CB04C2"/>
    <w:rsid w:val="00CB20CE"/>
    <w:rsid w:val="00CC006A"/>
    <w:rsid w:val="00CC03B0"/>
    <w:rsid w:val="00CC2949"/>
    <w:rsid w:val="00CC5A76"/>
    <w:rsid w:val="00CC66F8"/>
    <w:rsid w:val="00CC67D7"/>
    <w:rsid w:val="00CC6D8E"/>
    <w:rsid w:val="00CD0382"/>
    <w:rsid w:val="00CD0E81"/>
    <w:rsid w:val="00CD1A96"/>
    <w:rsid w:val="00CE308D"/>
    <w:rsid w:val="00CE7C1F"/>
    <w:rsid w:val="00CF1F65"/>
    <w:rsid w:val="00CF3CAF"/>
    <w:rsid w:val="00CF668B"/>
    <w:rsid w:val="00CF7F72"/>
    <w:rsid w:val="00D04082"/>
    <w:rsid w:val="00D06C16"/>
    <w:rsid w:val="00D06E94"/>
    <w:rsid w:val="00D07ABE"/>
    <w:rsid w:val="00D07D05"/>
    <w:rsid w:val="00D11025"/>
    <w:rsid w:val="00D11D4A"/>
    <w:rsid w:val="00D14579"/>
    <w:rsid w:val="00D14B60"/>
    <w:rsid w:val="00D15CB1"/>
    <w:rsid w:val="00D24BBA"/>
    <w:rsid w:val="00D25D6A"/>
    <w:rsid w:val="00D26CEB"/>
    <w:rsid w:val="00D273F7"/>
    <w:rsid w:val="00D27A55"/>
    <w:rsid w:val="00D308B4"/>
    <w:rsid w:val="00D32329"/>
    <w:rsid w:val="00D329BA"/>
    <w:rsid w:val="00D37BF3"/>
    <w:rsid w:val="00D408CD"/>
    <w:rsid w:val="00D4101D"/>
    <w:rsid w:val="00D459EC"/>
    <w:rsid w:val="00D50CB0"/>
    <w:rsid w:val="00D548A5"/>
    <w:rsid w:val="00D5748F"/>
    <w:rsid w:val="00D6013B"/>
    <w:rsid w:val="00D63C47"/>
    <w:rsid w:val="00D64548"/>
    <w:rsid w:val="00D6558C"/>
    <w:rsid w:val="00D66F4C"/>
    <w:rsid w:val="00D66FDF"/>
    <w:rsid w:val="00D67B01"/>
    <w:rsid w:val="00D70C2E"/>
    <w:rsid w:val="00D80538"/>
    <w:rsid w:val="00D81551"/>
    <w:rsid w:val="00D82956"/>
    <w:rsid w:val="00D82F86"/>
    <w:rsid w:val="00D84163"/>
    <w:rsid w:val="00D91A4C"/>
    <w:rsid w:val="00D91FAE"/>
    <w:rsid w:val="00DB2F09"/>
    <w:rsid w:val="00DB5313"/>
    <w:rsid w:val="00DB6AB8"/>
    <w:rsid w:val="00DB745E"/>
    <w:rsid w:val="00DC07A0"/>
    <w:rsid w:val="00DC3BA3"/>
    <w:rsid w:val="00DC48BF"/>
    <w:rsid w:val="00DC6492"/>
    <w:rsid w:val="00DD1D78"/>
    <w:rsid w:val="00DD5D78"/>
    <w:rsid w:val="00DD6A3B"/>
    <w:rsid w:val="00DD6F41"/>
    <w:rsid w:val="00DE13A7"/>
    <w:rsid w:val="00DE3A77"/>
    <w:rsid w:val="00DE4B57"/>
    <w:rsid w:val="00DE6BF4"/>
    <w:rsid w:val="00DE7418"/>
    <w:rsid w:val="00DE7C7A"/>
    <w:rsid w:val="00DF0B3F"/>
    <w:rsid w:val="00DF518A"/>
    <w:rsid w:val="00DF64EA"/>
    <w:rsid w:val="00E02093"/>
    <w:rsid w:val="00E02A85"/>
    <w:rsid w:val="00E040AF"/>
    <w:rsid w:val="00E05CE9"/>
    <w:rsid w:val="00E06F8B"/>
    <w:rsid w:val="00E073D4"/>
    <w:rsid w:val="00E1209B"/>
    <w:rsid w:val="00E154B0"/>
    <w:rsid w:val="00E163C2"/>
    <w:rsid w:val="00E17991"/>
    <w:rsid w:val="00E229B8"/>
    <w:rsid w:val="00E248EC"/>
    <w:rsid w:val="00E27518"/>
    <w:rsid w:val="00E3052F"/>
    <w:rsid w:val="00E30853"/>
    <w:rsid w:val="00E365A8"/>
    <w:rsid w:val="00E433B0"/>
    <w:rsid w:val="00E46285"/>
    <w:rsid w:val="00E471C7"/>
    <w:rsid w:val="00E510F1"/>
    <w:rsid w:val="00E52DF1"/>
    <w:rsid w:val="00E5457C"/>
    <w:rsid w:val="00E57CC7"/>
    <w:rsid w:val="00E600D0"/>
    <w:rsid w:val="00E60C62"/>
    <w:rsid w:val="00E6321F"/>
    <w:rsid w:val="00E71AE8"/>
    <w:rsid w:val="00E74F20"/>
    <w:rsid w:val="00E75037"/>
    <w:rsid w:val="00E763FE"/>
    <w:rsid w:val="00E803A8"/>
    <w:rsid w:val="00E8093C"/>
    <w:rsid w:val="00E815FD"/>
    <w:rsid w:val="00E817BB"/>
    <w:rsid w:val="00E81964"/>
    <w:rsid w:val="00E84FF5"/>
    <w:rsid w:val="00E86567"/>
    <w:rsid w:val="00E8797E"/>
    <w:rsid w:val="00E91541"/>
    <w:rsid w:val="00E915DC"/>
    <w:rsid w:val="00E92EE1"/>
    <w:rsid w:val="00E9530B"/>
    <w:rsid w:val="00E95601"/>
    <w:rsid w:val="00E95CB9"/>
    <w:rsid w:val="00EA1AD4"/>
    <w:rsid w:val="00EA70D9"/>
    <w:rsid w:val="00EA79EB"/>
    <w:rsid w:val="00EB0868"/>
    <w:rsid w:val="00EB0D9D"/>
    <w:rsid w:val="00EB5145"/>
    <w:rsid w:val="00EB593C"/>
    <w:rsid w:val="00EC0CB6"/>
    <w:rsid w:val="00EC67DA"/>
    <w:rsid w:val="00EC6E3A"/>
    <w:rsid w:val="00EC7ACB"/>
    <w:rsid w:val="00ED1977"/>
    <w:rsid w:val="00EE0CEE"/>
    <w:rsid w:val="00EF1C04"/>
    <w:rsid w:val="00EF2995"/>
    <w:rsid w:val="00EF2E63"/>
    <w:rsid w:val="00EF43B4"/>
    <w:rsid w:val="00EF475C"/>
    <w:rsid w:val="00EF605C"/>
    <w:rsid w:val="00EF7ABB"/>
    <w:rsid w:val="00F00010"/>
    <w:rsid w:val="00F009E5"/>
    <w:rsid w:val="00F0293B"/>
    <w:rsid w:val="00F0549B"/>
    <w:rsid w:val="00F069D5"/>
    <w:rsid w:val="00F1020F"/>
    <w:rsid w:val="00F149F9"/>
    <w:rsid w:val="00F157D8"/>
    <w:rsid w:val="00F231C2"/>
    <w:rsid w:val="00F25680"/>
    <w:rsid w:val="00F2693B"/>
    <w:rsid w:val="00F2763C"/>
    <w:rsid w:val="00F421E9"/>
    <w:rsid w:val="00F51D96"/>
    <w:rsid w:val="00F56D6B"/>
    <w:rsid w:val="00F646DF"/>
    <w:rsid w:val="00F6614D"/>
    <w:rsid w:val="00F67583"/>
    <w:rsid w:val="00F7026D"/>
    <w:rsid w:val="00F72120"/>
    <w:rsid w:val="00F74F45"/>
    <w:rsid w:val="00F74F5D"/>
    <w:rsid w:val="00F75360"/>
    <w:rsid w:val="00F75A18"/>
    <w:rsid w:val="00F762E5"/>
    <w:rsid w:val="00F76EE0"/>
    <w:rsid w:val="00F77674"/>
    <w:rsid w:val="00F77DFE"/>
    <w:rsid w:val="00F810B5"/>
    <w:rsid w:val="00F826A7"/>
    <w:rsid w:val="00F8568B"/>
    <w:rsid w:val="00F91475"/>
    <w:rsid w:val="00F915DE"/>
    <w:rsid w:val="00F91D24"/>
    <w:rsid w:val="00F923E1"/>
    <w:rsid w:val="00F92D99"/>
    <w:rsid w:val="00F95152"/>
    <w:rsid w:val="00FA6CC6"/>
    <w:rsid w:val="00FA711B"/>
    <w:rsid w:val="00FA7350"/>
    <w:rsid w:val="00FB09DF"/>
    <w:rsid w:val="00FB0BB9"/>
    <w:rsid w:val="00FB324A"/>
    <w:rsid w:val="00FC166D"/>
    <w:rsid w:val="00FC6320"/>
    <w:rsid w:val="00FC72CB"/>
    <w:rsid w:val="00FC7C7D"/>
    <w:rsid w:val="00FD2936"/>
    <w:rsid w:val="00FD3F5B"/>
    <w:rsid w:val="00FD5995"/>
    <w:rsid w:val="00FE40E5"/>
    <w:rsid w:val="00FE4558"/>
    <w:rsid w:val="00FE67E7"/>
    <w:rsid w:val="00FF3781"/>
    <w:rsid w:val="00FF4CBA"/>
    <w:rsid w:val="041A2636"/>
    <w:rsid w:val="0A231697"/>
    <w:rsid w:val="2FAC77AA"/>
    <w:rsid w:val="32542C88"/>
    <w:rsid w:val="37FC73E0"/>
    <w:rsid w:val="471E6D67"/>
    <w:rsid w:val="644B0992"/>
    <w:rsid w:val="6F880A07"/>
    <w:rsid w:val="6FBB33C3"/>
    <w:rsid w:val="705709C7"/>
    <w:rsid w:val="783773A4"/>
    <w:rsid w:val="79D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1050"/>
      <w:jc w:val="left"/>
    </w:pPr>
  </w:style>
  <w:style w:type="paragraph" w:styleId="7">
    <w:name w:val="annotation text"/>
    <w:basedOn w:val="1"/>
    <w:link w:val="43"/>
    <w:qFormat/>
    <w:uiPriority w:val="0"/>
    <w:pPr>
      <w:jc w:val="left"/>
    </w:pPr>
  </w:style>
  <w:style w:type="paragraph" w:styleId="8">
    <w:name w:val="Body Text"/>
    <w:basedOn w:val="1"/>
    <w:link w:val="83"/>
    <w:unhideWhenUsed/>
    <w:qFormat/>
    <w:uiPriority w:val="0"/>
    <w:pPr>
      <w:spacing w:after="120"/>
    </w:pPr>
    <w:rPr>
      <w:rFonts w:ascii="Times New Roman" w:hAnsi="Times New Roman"/>
      <w:sz w:val="24"/>
      <w:szCs w:val="21"/>
    </w:rPr>
  </w:style>
  <w:style w:type="paragraph" w:styleId="9">
    <w:name w:val="Body Text Indent"/>
    <w:basedOn w:val="1"/>
    <w:link w:val="41"/>
    <w:qFormat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qFormat/>
    <w:uiPriority w:val="0"/>
    <w:pPr>
      <w:ind w:left="630"/>
      <w:jc w:val="left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2">
    <w:name w:val="toc 8"/>
    <w:basedOn w:val="1"/>
    <w:next w:val="1"/>
    <w:semiHidden/>
    <w:qFormat/>
    <w:uiPriority w:val="0"/>
    <w:pPr>
      <w:ind w:left="1260"/>
      <w:jc w:val="left"/>
    </w:pPr>
  </w:style>
  <w:style w:type="paragraph" w:styleId="13">
    <w:name w:val="Date"/>
    <w:basedOn w:val="1"/>
    <w:next w:val="1"/>
    <w:link w:val="82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0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footer"/>
    <w:basedOn w:val="1"/>
    <w:link w:val="3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qFormat/>
    <w:uiPriority w:val="39"/>
    <w:pPr>
      <w:widowControl w:val="0"/>
      <w:tabs>
        <w:tab w:val="right" w:leader="dot" w:pos="9345"/>
      </w:tabs>
      <w:spacing w:before="360"/>
    </w:pPr>
    <w:rPr>
      <w:rFonts w:ascii="Arial" w:hAnsi="Arial" w:eastAsia="宋体" w:cs="Times New Roman"/>
      <w:bCs/>
      <w:caps/>
      <w:kern w:val="2"/>
      <w:sz w:val="21"/>
      <w:szCs w:val="21"/>
      <w:lang w:val="en-US" w:eastAsia="zh-CN" w:bidi="ar-SA"/>
    </w:rPr>
  </w:style>
  <w:style w:type="paragraph" w:styleId="18">
    <w:name w:val="toc 4"/>
    <w:basedOn w:val="11"/>
    <w:next w:val="1"/>
    <w:semiHidden/>
    <w:qFormat/>
    <w:uiPriority w:val="0"/>
    <w:pPr>
      <w:ind w:left="420"/>
    </w:pPr>
  </w:style>
  <w:style w:type="paragraph" w:styleId="19">
    <w:name w:val="footnote text"/>
    <w:basedOn w:val="1"/>
    <w:link w:val="38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toc 6"/>
    <w:basedOn w:val="1"/>
    <w:next w:val="1"/>
    <w:semiHidden/>
    <w:qFormat/>
    <w:uiPriority w:val="0"/>
    <w:pPr>
      <w:ind w:left="840"/>
      <w:jc w:val="left"/>
    </w:pPr>
  </w:style>
  <w:style w:type="paragraph" w:styleId="21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22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3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24">
    <w:name w:val="annotation subject"/>
    <w:basedOn w:val="7"/>
    <w:next w:val="7"/>
    <w:link w:val="90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8">
    <w:name w:val="page number"/>
    <w:qFormat/>
    <w:uiPriority w:val="0"/>
    <w:rPr>
      <w:rFonts w:ascii="Times New Roman" w:hAnsi="Times New Roman" w:eastAsia="宋体"/>
      <w:sz w:val="18"/>
    </w:rPr>
  </w:style>
  <w:style w:type="character" w:styleId="29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0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styleId="31">
    <w:name w:val="footnote reference"/>
    <w:qFormat/>
    <w:uiPriority w:val="0"/>
    <w:rPr>
      <w:vertAlign w:val="superscript"/>
    </w:rPr>
  </w:style>
  <w:style w:type="character" w:customStyle="1" w:styleId="32">
    <w:name w:val="页眉 字符"/>
    <w:basedOn w:val="27"/>
    <w:link w:val="16"/>
    <w:qFormat/>
    <w:uiPriority w:val="0"/>
    <w:rPr>
      <w:sz w:val="18"/>
      <w:szCs w:val="18"/>
    </w:rPr>
  </w:style>
  <w:style w:type="character" w:customStyle="1" w:styleId="33">
    <w:name w:val="页脚 字符"/>
    <w:basedOn w:val="27"/>
    <w:link w:val="15"/>
    <w:qFormat/>
    <w:uiPriority w:val="0"/>
    <w:rPr>
      <w:sz w:val="18"/>
      <w:szCs w:val="18"/>
    </w:rPr>
  </w:style>
  <w:style w:type="character" w:customStyle="1" w:styleId="34">
    <w:name w:val="标题 1 字符"/>
    <w:basedOn w:val="2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5">
    <w:name w:val="标题 2 字符"/>
    <w:basedOn w:val="2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6">
    <w:name w:val="标题 3 字符"/>
    <w:basedOn w:val="27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7">
    <w:name w:val="标题 字符"/>
    <w:link w:val="23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8">
    <w:name w:val="脚注文本 字符"/>
    <w:link w:val="19"/>
    <w:qFormat/>
    <w:uiPriority w:val="0"/>
    <w:rPr>
      <w:sz w:val="18"/>
      <w:szCs w:val="18"/>
    </w:rPr>
  </w:style>
  <w:style w:type="character" w:customStyle="1" w:styleId="39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批注框文本 字符"/>
    <w:link w:val="14"/>
    <w:qFormat/>
    <w:uiPriority w:val="0"/>
    <w:rPr>
      <w:sz w:val="18"/>
      <w:szCs w:val="18"/>
    </w:rPr>
  </w:style>
  <w:style w:type="character" w:customStyle="1" w:styleId="41">
    <w:name w:val="正文文本缩进 字符"/>
    <w:basedOn w:val="27"/>
    <w:link w:val="9"/>
    <w:qFormat/>
    <w:uiPriority w:val="0"/>
    <w:rPr>
      <w:rFonts w:ascii="Calibri" w:hAnsi="Calibri" w:eastAsia="宋体" w:cs="Times New Roman"/>
      <w:szCs w:val="24"/>
    </w:rPr>
  </w:style>
  <w:style w:type="paragraph" w:customStyle="1" w:styleId="42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character" w:customStyle="1" w:styleId="43">
    <w:name w:val="批注文字 字符"/>
    <w:basedOn w:val="27"/>
    <w:link w:val="7"/>
    <w:qFormat/>
    <w:uiPriority w:val="0"/>
    <w:rPr>
      <w:rFonts w:ascii="Calibri" w:hAnsi="Calibri" w:eastAsia="宋体" w:cs="Times New Roman"/>
      <w:szCs w:val="24"/>
    </w:rPr>
  </w:style>
  <w:style w:type="paragraph" w:customStyle="1" w:styleId="4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45">
    <w:name w:val="三级条标题"/>
    <w:basedOn w:val="46"/>
    <w:next w:val="49"/>
    <w:qFormat/>
    <w:uiPriority w:val="0"/>
    <w:pPr>
      <w:outlineLvl w:val="4"/>
    </w:pPr>
  </w:style>
  <w:style w:type="paragraph" w:customStyle="1" w:styleId="46">
    <w:name w:val="二级条标题"/>
    <w:basedOn w:val="47"/>
    <w:next w:val="49"/>
    <w:qFormat/>
    <w:uiPriority w:val="0"/>
    <w:pPr>
      <w:outlineLvl w:val="3"/>
    </w:pPr>
  </w:style>
  <w:style w:type="paragraph" w:customStyle="1" w:styleId="47">
    <w:name w:val="一级条标题"/>
    <w:basedOn w:val="48"/>
    <w:next w:val="49"/>
    <w:qFormat/>
    <w:uiPriority w:val="0"/>
    <w:pPr>
      <w:spacing w:before="0" w:beforeLines="0" w:after="0" w:afterLines="0"/>
      <w:ind w:left="512" w:firstLine="0"/>
      <w:outlineLvl w:val="2"/>
    </w:pPr>
  </w:style>
  <w:style w:type="paragraph" w:customStyle="1" w:styleId="48">
    <w:name w:val="章标题"/>
    <w:next w:val="49"/>
    <w:qFormat/>
    <w:uiPriority w:val="0"/>
    <w:pPr>
      <w:spacing w:before="50" w:beforeLines="50" w:after="50" w:afterLines="50"/>
      <w:ind w:left="270" w:hanging="27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4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50">
    <w:name w:val="批注框文本 Char1"/>
    <w:basedOn w:val="2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脚注文本 Char1"/>
    <w:basedOn w:val="2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2">
    <w:name w:val="标题 Char1"/>
    <w:basedOn w:val="2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3">
    <w:name w:val="默认段落字体 Para Char Char Char Char Char Char Char Char Char Char"/>
    <w:basedOn w:val="1"/>
    <w:qFormat/>
    <w:uiPriority w:val="0"/>
  </w:style>
  <w:style w:type="paragraph" w:customStyle="1" w:styleId="54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5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56">
    <w:name w:val="封面标准文稿编辑信息"/>
    <w:qFormat/>
    <w:uiPriority w:val="0"/>
    <w:pPr>
      <w:spacing w:before="180" w:line="180" w:lineRule="exact"/>
      <w:jc w:val="center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7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58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59">
    <w:name w:val="1"/>
    <w:basedOn w:val="1"/>
    <w:next w:val="9"/>
    <w:qFormat/>
    <w:uiPriority w:val="0"/>
    <w:pPr>
      <w:adjustRightInd w:val="0"/>
      <w:spacing w:line="360" w:lineRule="auto"/>
      <w:ind w:firstLine="480" w:firstLineChars="200"/>
      <w:textAlignment w:val="baseline"/>
      <w:outlineLvl w:val="0"/>
    </w:pPr>
    <w:rPr>
      <w:kern w:val="0"/>
      <w:sz w:val="24"/>
      <w:szCs w:val="20"/>
    </w:rPr>
  </w:style>
  <w:style w:type="paragraph" w:customStyle="1" w:styleId="60">
    <w:name w:val="封面正文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1">
    <w:name w:val="封面标准文稿类别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62">
    <w:name w:val="Char Char"/>
    <w:basedOn w:val="1"/>
    <w:qFormat/>
    <w:uiPriority w:val="0"/>
  </w:style>
  <w:style w:type="paragraph" w:customStyle="1" w:styleId="63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30"/>
      <w:sz w:val="96"/>
      <w:lang w:val="en-US" w:eastAsia="zh-CN" w:bidi="ar-SA"/>
    </w:rPr>
  </w:style>
  <w:style w:type="paragraph" w:customStyle="1" w:styleId="6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65">
    <w:name w:val="五级条标题"/>
    <w:basedOn w:val="66"/>
    <w:next w:val="49"/>
    <w:qFormat/>
    <w:uiPriority w:val="0"/>
    <w:pPr>
      <w:outlineLvl w:val="6"/>
    </w:pPr>
  </w:style>
  <w:style w:type="paragraph" w:customStyle="1" w:styleId="66">
    <w:name w:val="四级条标题"/>
    <w:basedOn w:val="45"/>
    <w:next w:val="49"/>
    <w:qFormat/>
    <w:uiPriority w:val="0"/>
    <w:pPr>
      <w:outlineLvl w:val="5"/>
    </w:pPr>
  </w:style>
  <w:style w:type="paragraph" w:customStyle="1" w:styleId="67">
    <w:name w:val="目次、索引正文"/>
    <w:qFormat/>
    <w:uiPriority w:val="0"/>
    <w:pPr>
      <w:spacing w:line="320" w:lineRule="exact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68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69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paragraph" w:customStyle="1" w:styleId="71">
    <w:name w:val="实施日期"/>
    <w:basedOn w:val="58"/>
    <w:qFormat/>
    <w:uiPriority w:val="0"/>
    <w:pPr>
      <w:framePr w:hSpace="0" w:wrap="around" w:xAlign="right"/>
      <w:jc w:val="right"/>
    </w:pPr>
  </w:style>
  <w:style w:type="paragraph" w:customStyle="1" w:styleId="72">
    <w:name w:val="封面一致性程度标识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8"/>
      <w:lang w:val="en-US" w:eastAsia="zh-CN" w:bidi="ar-SA"/>
    </w:rPr>
  </w:style>
  <w:style w:type="paragraph" w:customStyle="1" w:styleId="73">
    <w:name w:val="标准书脚_奇数页"/>
    <w:qFormat/>
    <w:uiPriority w:val="0"/>
    <w:pPr>
      <w:spacing w:before="120"/>
      <w:jc w:val="right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74">
    <w:name w:val="标准书眉一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5">
    <w:name w:val="标准书脚_偶数页"/>
    <w:qFormat/>
    <w:uiPriority w:val="0"/>
    <w:pPr>
      <w:spacing w:before="120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76">
    <w:name w:val="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7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78">
    <w:name w:val="目次、标准名称标题"/>
    <w:basedOn w:val="42"/>
    <w:next w:val="49"/>
    <w:qFormat/>
    <w:uiPriority w:val="0"/>
    <w:pPr>
      <w:spacing w:line="460" w:lineRule="exact"/>
    </w:pPr>
  </w:style>
  <w:style w:type="paragraph" w:customStyle="1" w:styleId="79">
    <w:name w:val="标准书眉_偶数页"/>
    <w:basedOn w:val="64"/>
    <w:next w:val="1"/>
    <w:qFormat/>
    <w:uiPriority w:val="0"/>
    <w:pPr>
      <w:jc w:val="left"/>
    </w:pPr>
  </w:style>
  <w:style w:type="table" w:customStyle="1" w:styleId="80">
    <w:name w:val="网格型1"/>
    <w:basedOn w:val="2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82">
    <w:name w:val="日期 字符"/>
    <w:basedOn w:val="27"/>
    <w:link w:val="1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83">
    <w:name w:val="正文文本 字符"/>
    <w:basedOn w:val="27"/>
    <w:link w:val="8"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styleId="84">
    <w:name w:val="Placeholder Text"/>
    <w:basedOn w:val="27"/>
    <w:semiHidden/>
    <w:qFormat/>
    <w:uiPriority w:val="99"/>
    <w:rPr>
      <w:color w:val="808080"/>
    </w:rPr>
  </w:style>
  <w:style w:type="table" w:customStyle="1" w:styleId="8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6">
    <w:name w:val="标题 21"/>
    <w:basedOn w:val="1"/>
    <w:qFormat/>
    <w:uiPriority w:val="1"/>
    <w:pPr>
      <w:autoSpaceDE w:val="0"/>
      <w:autoSpaceDN w:val="0"/>
      <w:ind w:left="216"/>
      <w:jc w:val="left"/>
      <w:outlineLvl w:val="2"/>
    </w:pPr>
    <w:rPr>
      <w:rFonts w:ascii="Times New Roman" w:hAnsi="Times New Roman" w:eastAsia="Times New Roman"/>
      <w:kern w:val="0"/>
      <w:sz w:val="28"/>
      <w:szCs w:val="28"/>
      <w:lang w:eastAsia="en-US" w:bidi="en-US"/>
    </w:rPr>
  </w:style>
  <w:style w:type="paragraph" w:customStyle="1" w:styleId="87">
    <w:name w:val="Char1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88">
    <w:name w:val="fontstyle01"/>
    <w:basedOn w:val="2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9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90">
    <w:name w:val="批注主题 字符"/>
    <w:basedOn w:val="43"/>
    <w:link w:val="24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4.wmf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emf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B324F-7B6B-4345-A7C9-DD3402C80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14</Pages>
  <Words>3343</Words>
  <Characters>4180</Characters>
  <Lines>45</Lines>
  <Paragraphs>12</Paragraphs>
  <TotalTime>2148</TotalTime>
  <ScaleCrop>false</ScaleCrop>
  <LinksUpToDate>false</LinksUpToDate>
  <CharactersWithSpaces>4795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2022-03-03T03:49:00Z</dcterms:created>
  <dc:creator>yuzeli</dc:creator>
  <cp:lastModifiedBy>闫中南</cp:lastModifiedBy>
  <cp:lastPrinted>2022-03-29T08:11:00Z</cp:lastPrinted>
  <dcterms:modified xsi:type="dcterms:W3CDTF">2024-05-17T01:42:01Z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45DFEAB48F904F5EA88360DC87323241_13</vt:lpwstr>
  </property>
</Properties>
</file>