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激光导热仪校准规范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激光导热仪校准规范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rPr>
                                <w:rFonts w:hint="default"/>
                                <w:lang w:val="en-US" w:eastAsia="zh-CN"/>
                              </w:rPr>
                            </w:pP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rPr>
                          <w:rFonts w:hint="default"/>
                          <w:lang w:val="en-US" w:eastAsia="zh-CN"/>
                        </w:rPr>
                      </w:pP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42"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2"/>
                          <w:p>
                            <w:pPr>
                              <w:jc w:val="center"/>
                              <w:rPr>
                                <w:rFonts w:ascii="黑体" w:hAnsi="黑体" w:eastAsia="黑体" w:cs="黑体"/>
                                <w:sz w:val="44"/>
                                <w:szCs w:val="44"/>
                              </w:rPr>
                            </w:pPr>
                            <w:r>
                              <w:rPr>
                                <w:rFonts w:hint="eastAsia" w:ascii="黑体" w:hAnsi="黑体" w:eastAsia="黑体" w:cs="黑体"/>
                                <w:sz w:val="44"/>
                                <w:szCs w:val="44"/>
                                <w:lang w:val="en-US" w:eastAsia="zh-CN"/>
                              </w:rPr>
                              <w:t>激光导热仪校准规范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42"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2"/>
                    <w:p>
                      <w:pPr>
                        <w:jc w:val="center"/>
                        <w:rPr>
                          <w:rFonts w:ascii="黑体" w:hAnsi="黑体" w:eastAsia="黑体" w:cs="黑体"/>
                          <w:sz w:val="44"/>
                          <w:szCs w:val="44"/>
                        </w:rPr>
                      </w:pPr>
                      <w:r>
                        <w:rPr>
                          <w:rFonts w:hint="eastAsia" w:ascii="黑体" w:hAnsi="黑体" w:eastAsia="黑体" w:cs="黑体"/>
                          <w:sz w:val="44"/>
                          <w:szCs w:val="44"/>
                          <w:lang w:val="en-US" w:eastAsia="zh-CN"/>
                        </w:rPr>
                        <w:t>激光导热仪校准规范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eastAsia"/>
          <w:sz w:val="24"/>
          <w:szCs w:val="24"/>
        </w:rPr>
      </w:pPr>
      <w:r>
        <w:rPr>
          <w:rFonts w:hint="eastAsia"/>
          <w:sz w:val="24"/>
          <w:szCs w:val="24"/>
        </w:rPr>
        <w:t>热扩散系数是评价材料传导性能的重要参数，对于非稳态热流情况下材料，如电子封装材料、热防护材料、热交换材料等新材料的应用设计、安全操作温度的确定、过程控制及质量保证，热扩散系数是关键指标参数。</w:t>
      </w:r>
    </w:p>
    <w:p>
      <w:pPr>
        <w:spacing w:line="360" w:lineRule="auto"/>
        <w:ind w:firstLine="480" w:firstLineChars="200"/>
        <w:rPr>
          <w:rFonts w:hint="eastAsia"/>
          <w:sz w:val="24"/>
          <w:szCs w:val="24"/>
        </w:rPr>
      </w:pPr>
      <w:r>
        <w:rPr>
          <w:rFonts w:hint="eastAsia"/>
          <w:sz w:val="24"/>
          <w:szCs w:val="24"/>
        </w:rPr>
        <w:t>激光闪射法（Flash Method，也称闪光法）因其要求的样品尺寸较小，测量速度快，精度高，测量范围宽，能够覆盖从较低导热系数的聚合物到超高导热的金刚石的宽广的测量范围，尤其适合于中高导热系数材料的测量，激光闪射得到了快速发展，也受到国际热物理学界普遍承认。激光导热仪是基于激光闪射原理开发的测量热扩散系数和导热系数的重要测试仪器，在电子信息、航空航天、核电等重要领域已成为重要的通用检测设备，其量值的准确性对于材料的设计、研发、生产和应用具有重要意义。</w:t>
      </w:r>
    </w:p>
    <w:p>
      <w:pPr>
        <w:spacing w:line="360" w:lineRule="auto"/>
        <w:ind w:firstLine="480" w:firstLineChars="200"/>
        <w:rPr>
          <w:rFonts w:hint="eastAsia"/>
          <w:sz w:val="24"/>
          <w:szCs w:val="24"/>
        </w:rPr>
      </w:pPr>
      <w:r>
        <w:rPr>
          <w:rFonts w:hint="eastAsia"/>
          <w:sz w:val="24"/>
          <w:szCs w:val="24"/>
        </w:rPr>
        <w:t>激光导热仪测量热扩散系数的过程中具有随机和系统误差，设备性能应进行定期校准和校验，评估这些误差影响数据的程度。目前，国内外尚无激光导热仪的检定校准规程或规范等指导性文件用于评定激光热导仪的示值误差和确保测量值准确。激光导热仪相关计量规范的缺失对于设备在使用中风险的控制、校准工作的有效开展实施造成了较大的难度。因此，有必要制定《激光导热仪校准规范》，为指导、有效开展对激光导热仪的校准工作提供详细的校准程序及技术指标，保证量值的准确。</w:t>
      </w:r>
    </w:p>
    <w:p>
      <w:pPr>
        <w:pStyle w:val="60"/>
        <w:spacing w:before="156" w:after="156" w:line="300" w:lineRule="auto"/>
        <w:ind w:left="0"/>
        <w:contextualSpacing/>
        <w:rPr>
          <w:sz w:val="24"/>
          <w:szCs w:val="24"/>
        </w:rPr>
      </w:pPr>
      <w:bookmarkStart w:id="5" w:name="_Toc464728896"/>
      <w:r>
        <w:rPr>
          <w:rFonts w:hint="eastAsia"/>
          <w:sz w:val="24"/>
          <w:szCs w:val="24"/>
        </w:rPr>
        <w:t>任务来源</w:t>
      </w:r>
      <w:bookmarkEnd w:id="5"/>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激光导热仪</w:t>
      </w:r>
      <w:r>
        <w:rPr>
          <w:rFonts w:hint="eastAsia"/>
          <w:sz w:val="24"/>
          <w:szCs w:val="24"/>
        </w:rPr>
        <w:t>的准确性产品质量，适应我国</w:t>
      </w:r>
      <w:r>
        <w:rPr>
          <w:rFonts w:hint="eastAsia"/>
          <w:sz w:val="24"/>
          <w:szCs w:val="24"/>
          <w:lang w:val="en-US" w:eastAsia="zh-CN"/>
        </w:rPr>
        <w:t>热</w:t>
      </w:r>
      <w:r>
        <w:rPr>
          <w:rFonts w:hint="eastAsia"/>
          <w:sz w:val="24"/>
          <w:szCs w:val="24"/>
        </w:rPr>
        <w:t>性能试验行业的快速发展和满足国内外市场的需要，工业和信息化部以工厅科[20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JJFZ（有色金属）006-2023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6" w:name="_Toc462884342"/>
      <w:bookmarkStart w:id="7" w:name="_Toc464728898"/>
      <w:r>
        <w:rPr>
          <w:rFonts w:hint="eastAsia"/>
          <w:sz w:val="24"/>
          <w:szCs w:val="24"/>
        </w:rPr>
        <w:t>项目编制组单位简况</w:t>
      </w:r>
      <w:bookmarkEnd w:id="6"/>
      <w:bookmarkEnd w:id="7"/>
    </w:p>
    <w:p>
      <w:pPr>
        <w:pStyle w:val="59"/>
        <w:spacing w:before="156" w:beforeLines="50" w:after="156" w:afterLines="50" w:line="240" w:lineRule="auto"/>
        <w:ind w:left="0"/>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pPr>
        <w:spacing w:line="300" w:lineRule="auto"/>
        <w:ind w:firstLine="480" w:firstLineChars="200"/>
        <w:contextualSpacing/>
        <w:jc w:val="left"/>
        <w:rPr>
          <w:rFonts w:hint="eastAsia"/>
          <w:sz w:val="24"/>
          <w:szCs w:val="24"/>
        </w:rPr>
      </w:pPr>
      <w:bookmarkStart w:id="10" w:name="_Toc464728900"/>
      <w:bookmarkStart w:id="11" w:name="_Toc462884344"/>
      <w:r>
        <w:rPr>
          <w:rFonts w:hint="eastAsia"/>
          <w:sz w:val="24"/>
          <w:szCs w:val="24"/>
        </w:rPr>
        <w:t>本标准的编制组单位为：国标（北京）检验认证有限公司、。</w:t>
      </w:r>
    </w:p>
    <w:p>
      <w:pPr>
        <w:spacing w:line="300" w:lineRule="auto"/>
        <w:ind w:firstLine="480" w:firstLineChars="200"/>
        <w:contextualSpacing/>
        <w:jc w:val="left"/>
        <w:rPr>
          <w:sz w:val="24"/>
          <w:szCs w:val="24"/>
        </w:rPr>
      </w:pPr>
      <w:bookmarkStart w:id="43" w:name="_GoBack"/>
      <w:bookmarkEnd w:id="43"/>
      <w:r>
        <w:rPr>
          <w:rFonts w:hint="eastAsia"/>
          <w:sz w:val="24"/>
          <w:szCs w:val="24"/>
        </w:rPr>
        <w:t>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2" w:name="_Toc462884345"/>
      <w:bookmarkStart w:id="13" w:name="_Toc464728901"/>
      <w:r>
        <w:rPr>
          <w:rFonts w:hint="eastAsia"/>
          <w:color w:val="auto"/>
          <w:sz w:val="24"/>
          <w:szCs w:val="24"/>
        </w:rPr>
        <w:t>成员单位简介</w:t>
      </w:r>
      <w:bookmarkEnd w:id="12"/>
      <w:bookmarkEnd w:id="13"/>
    </w:p>
    <w:p>
      <w:pPr>
        <w:pStyle w:val="58"/>
        <w:spacing w:before="156" w:beforeLines="50" w:after="156" w:afterLines="50"/>
        <w:ind w:left="2"/>
        <w:contextualSpacing/>
        <w:rPr>
          <w:color w:val="auto"/>
          <w:sz w:val="24"/>
          <w:szCs w:val="24"/>
        </w:rPr>
      </w:pPr>
      <w:r>
        <w:rPr>
          <w:rFonts w:hint="eastAsia"/>
          <w:color w:val="auto"/>
          <w:sz w:val="24"/>
          <w:szCs w:val="24"/>
          <w:lang w:val="en-US" w:eastAsia="zh-CN"/>
        </w:rPr>
        <w:t>中国国检测试控股集团股份有限公司</w:t>
      </w:r>
    </w:p>
    <w:p>
      <w:pPr>
        <w:spacing w:line="300" w:lineRule="auto"/>
        <w:ind w:firstLine="480" w:firstLineChars="200"/>
        <w:contextualSpacing/>
        <w:jc w:val="left"/>
        <w:rPr>
          <w:rFonts w:hint="eastAsia"/>
          <w:sz w:val="24"/>
          <w:szCs w:val="24"/>
        </w:rPr>
      </w:pPr>
      <w:r>
        <w:rPr>
          <w:rFonts w:hint="eastAsia"/>
          <w:sz w:val="24"/>
          <w:szCs w:val="24"/>
        </w:rPr>
        <w:t>中国国检测试控股集团股份有限公司（股票简称“国检集团”，英文简称CTC，股票代码603060）起源于20世纪50年代中国建材总院检验认证业务板块，经过70载不懈努力与执着追求，形成检验检测、认证评价、检测仪器及智能制造、计量校准、科研及技术服务五大业务平台，致力于为客户提供质量、环保、绿色、安全、健康、节能等领域的检验检测、认证评价、鉴定、咨询、培训、仪器装备等技术服务及综合性解决方案。</w:t>
      </w:r>
    </w:p>
    <w:p>
      <w:pPr>
        <w:spacing w:line="300" w:lineRule="auto"/>
        <w:ind w:firstLine="480" w:firstLineChars="200"/>
        <w:contextualSpacing/>
        <w:jc w:val="left"/>
        <w:rPr>
          <w:rFonts w:hint="eastAsia"/>
          <w:sz w:val="24"/>
          <w:szCs w:val="24"/>
        </w:rPr>
      </w:pPr>
      <w:r>
        <w:rPr>
          <w:rFonts w:hint="eastAsia"/>
          <w:sz w:val="24"/>
          <w:szCs w:val="24"/>
        </w:rPr>
        <w:t>国检集团总部位于北京，在全国22个省、市、自治区设有60余个法人机构、34个国家及行业产品质检中心，5700余名优秀员工，服务能力覆盖建筑材料与建设工程、环境、智能制造、轨道交通、医学健康、食品及农产品、化妆品及日化用品、地质矿产等行业的设计、研发、生产、使用、物流、消费各个环节。</w:t>
      </w:r>
    </w:p>
    <w:p>
      <w:pPr>
        <w:spacing w:line="300" w:lineRule="auto"/>
        <w:ind w:firstLine="480" w:firstLineChars="200"/>
        <w:contextualSpacing/>
        <w:jc w:val="left"/>
        <w:rPr>
          <w:rFonts w:hint="eastAsia"/>
          <w:sz w:val="24"/>
          <w:szCs w:val="24"/>
        </w:rPr>
      </w:pPr>
      <w:r>
        <w:rPr>
          <w:rFonts w:hint="eastAsia"/>
          <w:sz w:val="24"/>
          <w:szCs w:val="24"/>
        </w:rPr>
        <w:t>国检集团坚持创新发展，近年来累计完成与在研省部级以上科研项目200余项；主持发布与在研ISO、IEC国际标准16项，国家、行业、地方标准700余项，获授知识产权1500余项；积极践行央企责任与担当，成为奥运工程、上合峰会、APEC会议、金砖会议等国家重点工程唯一环境质量控制服务商；服务国家“双碳”目标，为全国20 多个省市，近3000 家企业提供技术服务。</w:t>
      </w:r>
    </w:p>
    <w:p>
      <w:pPr>
        <w:pStyle w:val="58"/>
        <w:spacing w:before="156" w:beforeLines="50" w:after="156" w:afterLines="50"/>
        <w:ind w:left="2"/>
        <w:contextualSpacing/>
        <w:rPr>
          <w:rFonts w:hint="eastAsia"/>
          <w:color w:val="auto"/>
          <w:sz w:val="24"/>
          <w:szCs w:val="24"/>
          <w:lang w:val="en-US" w:eastAsia="zh-CN"/>
        </w:rPr>
      </w:pPr>
      <w:r>
        <w:rPr>
          <w:rFonts w:hint="eastAsia" w:ascii="宋体" w:hAnsi="宋体" w:eastAsia="宋体" w:cs="宋体"/>
          <w:sz w:val="24"/>
          <w:szCs w:val="24"/>
          <w:lang w:val="en-US" w:eastAsia="zh-CN"/>
        </w:rPr>
        <w:t>德国耐驰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sz w:val="24"/>
          <w:szCs w:val="24"/>
        </w:rPr>
      </w:pPr>
      <w:r>
        <w:rPr>
          <w:rFonts w:hint="eastAsia"/>
          <w:sz w:val="24"/>
          <w:szCs w:val="24"/>
        </w:rPr>
        <w:t>德国耐驰（NETZSCH），总部位于德国Selb，是热分析、热物性测量与旋转流变仪器的专业厂商，致力于研发多功能、高灵敏度、高可靠性的热分析仪器与流变仪，广泛适用于材料研发、质量控制、失效分析等。德国耐驰在全球37个国家设立了130个销售和制造中心，超过3000名员工保证为客户提供及时快捷的专业服务。现拥有多项专利技术，多次获得全球重大科学技术革新大奖。</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sz w:val="24"/>
          <w:szCs w:val="24"/>
        </w:rPr>
      </w:pPr>
      <w:r>
        <w:rPr>
          <w:rFonts w:hint="eastAsia"/>
          <w:sz w:val="24"/>
          <w:szCs w:val="24"/>
        </w:rPr>
        <w:t>进入中国二十多年来，耐驰在上海、北京、广州、成都等多个城市设立了分支机构和技术服务中心，并且在上海设立了应用实验室以及备件仓库，为客户提供强大的技术支持和完善的售后服务。除丰富的产品外，耐驰还为中国用户定制了中文版的操作和分析软件、中文操作说明书以及中文应用资料。耐驰的技术专家每年定期举办用户交流会和技术讲座，并根据用户需求提供定制化高级应用培训。迄今，耐驰仪器在国内已拥有数千家用户，遍布工业领域的研发及质量检验部门，各知名高校研究所，国家权威产品检验部门及国防前沿材料研究领域的国家重点实验室等。</w:t>
      </w:r>
    </w:p>
    <w:p>
      <w:pPr>
        <w:pStyle w:val="58"/>
        <w:spacing w:before="156" w:beforeLines="50" w:after="156" w:afterLines="50"/>
        <w:ind w:left="2"/>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北京航空航天大学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sz w:val="24"/>
          <w:szCs w:val="24"/>
        </w:rPr>
      </w:pPr>
      <w:r>
        <w:rPr>
          <w:rFonts w:hint="eastAsia"/>
          <w:sz w:val="24"/>
          <w:szCs w:val="24"/>
        </w:rPr>
        <w:t>北京航空航天大学分析测试中心（The Analysis &amp; Testing Center, Beihang University）成立于2022年11月，定位为校级公共服务支撑平台，在资产与实验室管理处的业务指导和协调支持下，负责校内公共平台的运行、维护和开放共享，是一个集约化公共服务平台为中心、多个协同测试平台为支撑的综合测试服务平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sz w:val="24"/>
          <w:szCs w:val="24"/>
        </w:rPr>
      </w:pPr>
      <w:r>
        <w:rPr>
          <w:rFonts w:hint="eastAsia"/>
          <w:sz w:val="24"/>
          <w:szCs w:val="24"/>
        </w:rPr>
        <w:t>分析测试中心拥有120余台套仪器设备，资产总值约3.3亿元。分测中心按照“共建共享、发挥效益、有偿服务”的原则，分成“集约服务平台”和“协同服务平台”运行管理，通过建立物联网智能管理模式，对实验仪器进行购置、更新、保养、维护、使用的全生命流程管理，实现面向校内外用户的开放共享。集约服务平台放置通用分析测试设备，共有80余台套，其中单价500万以上仪器设备11台套，单价1000万以上仪器设备2台套，目前有场发射扫描透射电镜、双束显微镜、硬X射线近常压XPS、无损亚微米X射线分析仪、脉冲波谱仪、纳米飞行时间二次离子质谱仪、超高分辨率多级环形离子淌度质谱系统、极低温强磁场综合测量系统、超高分辨激光共聚焦荧光光谱仪等。协同服务平台由学院与分析测试中心协同建设和管理运行，放置特色专业分析测试设备，约有40台套，目前有双球差矫正透射电镜、原子分辨透射电镜、场发射电子探针显微分析仪、激光共焦拉曼光谱仪等。</w:t>
      </w:r>
    </w:p>
    <w:p>
      <w:pPr>
        <w:pStyle w:val="60"/>
        <w:spacing w:before="156" w:after="156" w:line="300" w:lineRule="auto"/>
        <w:ind w:left="0"/>
        <w:contextualSpacing/>
        <w:rPr>
          <w:rFonts w:hint="default"/>
          <w:sz w:val="24"/>
          <w:szCs w:val="24"/>
          <w:lang w:val="en-US"/>
        </w:rPr>
      </w:pPr>
      <w:bookmarkStart w:id="14" w:name="_Toc464728913"/>
      <w:bookmarkStart w:id="15" w:name="_Toc462884357"/>
      <w:r>
        <w:rPr>
          <w:rFonts w:hint="eastAsia"/>
          <w:sz w:val="24"/>
          <w:szCs w:val="24"/>
        </w:rPr>
        <w:t>主要工作过程</w:t>
      </w:r>
      <w:bookmarkEnd w:id="14"/>
      <w:bookmarkEnd w:id="15"/>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pPr>
        <w:pStyle w:val="57"/>
        <w:spacing w:line="324" w:lineRule="auto"/>
        <w:ind w:left="0" w:leftChars="0" w:firstLine="420" w:firstLineChars="0"/>
        <w:rPr>
          <w:rFonts w:hint="eastAsia"/>
          <w:sz w:val="24"/>
          <w:szCs w:val="24"/>
          <w:lang w:val="en-US" w:eastAsia="zh-CN"/>
        </w:rPr>
      </w:pPr>
      <w:r>
        <w:rPr>
          <w:rFonts w:hint="eastAsia"/>
          <w:sz w:val="24"/>
          <w:szCs w:val="24"/>
          <w:lang w:val="en-US" w:eastAsia="zh-CN"/>
        </w:rPr>
        <w:t>通过参考市场常用设备，如型号为</w:t>
      </w:r>
      <w:r>
        <w:rPr>
          <w:rFonts w:hint="eastAsia"/>
          <w:sz w:val="24"/>
          <w:lang w:val="en-US" w:eastAsia="zh-CN"/>
        </w:rPr>
        <w:t>LFA-467HT</w:t>
      </w:r>
      <w:r>
        <w:rPr>
          <w:rFonts w:hint="eastAsia"/>
          <w:sz w:val="24"/>
          <w:szCs w:val="24"/>
          <w:lang w:val="en-US" w:eastAsia="zh-CN"/>
        </w:rPr>
        <w:t>的耐驰激光导热仪等，对规范的校准项目及参数进行了调研。经调研发现，目前激光导热仪试验机对设备校准的需求为采用标准样品进行校准，所以采用标准器进行校准为本项目的主要研究内容。</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pPr>
        <w:pStyle w:val="57"/>
        <w:spacing w:line="324" w:lineRule="auto"/>
        <w:ind w:left="0" w:leftChars="0" w:firstLine="420" w:firstLineChars="0"/>
        <w:rPr>
          <w:rFonts w:hint="default"/>
          <w:sz w:val="24"/>
          <w:szCs w:val="24"/>
          <w:lang w:val="en-US" w:eastAsia="zh-CN"/>
        </w:rPr>
      </w:pPr>
      <w:r>
        <w:rPr>
          <w:rFonts w:hint="eastAsia"/>
          <w:sz w:val="24"/>
          <w:szCs w:val="24"/>
          <w:lang w:val="en-US" w:eastAsia="zh-CN"/>
        </w:rPr>
        <w:t>通过参考</w:t>
      </w:r>
      <w:r>
        <w:rPr>
          <w:rFonts w:ascii="Times New Roman"/>
          <w:sz w:val="24"/>
          <w:szCs w:val="24"/>
        </w:rPr>
        <w:t>GB/T</w:t>
      </w:r>
      <w:r>
        <w:rPr>
          <w:rFonts w:hint="eastAsia" w:ascii="Times New Roman"/>
          <w:sz w:val="24"/>
          <w:szCs w:val="24"/>
          <w:lang w:val="en-US" w:eastAsia="zh-CN"/>
        </w:rPr>
        <w:t xml:space="preserve"> 22588对</w:t>
      </w:r>
      <w:r>
        <w:rPr>
          <w:rFonts w:hint="default"/>
          <w:sz w:val="24"/>
          <w:szCs w:val="24"/>
          <w:lang w:val="en-US" w:eastAsia="zh-CN"/>
        </w:rPr>
        <w:t>主要技术指标</w:t>
      </w:r>
      <w:r>
        <w:rPr>
          <w:rFonts w:hint="eastAsia"/>
          <w:sz w:val="24"/>
          <w:szCs w:val="24"/>
          <w:lang w:val="en-US" w:eastAsia="zh-CN"/>
        </w:rPr>
        <w:t>进行查询，并与专业热分析实验室进行技术讨论，最终确认了校准项目的测量范围和误差范围。</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w:t>
      </w:r>
      <w:r>
        <w:rPr>
          <w:rFonts w:hint="eastAsia"/>
          <w:sz w:val="24"/>
          <w:szCs w:val="24"/>
          <w:lang w:val="en-US" w:eastAsia="zh-CN"/>
        </w:rPr>
        <w:t>3</w:t>
      </w:r>
      <w:r>
        <w:rPr>
          <w:rFonts w:hint="default"/>
          <w:sz w:val="24"/>
          <w:szCs w:val="24"/>
          <w:lang w:val="en-US" w:eastAsia="zh-CN"/>
        </w:rPr>
        <w:t>年，工业和信息化部以工信厅科函[202</w:t>
      </w:r>
      <w:r>
        <w:rPr>
          <w:rFonts w:hint="eastAsia"/>
          <w:sz w:val="24"/>
          <w:szCs w:val="24"/>
          <w:lang w:val="en-US" w:eastAsia="zh-CN"/>
        </w:rPr>
        <w:t>3</w:t>
      </w:r>
      <w:r>
        <w:rPr>
          <w:rFonts w:hint="default"/>
          <w:sz w:val="24"/>
          <w:szCs w:val="24"/>
          <w:lang w:val="en-US" w:eastAsia="zh-CN"/>
        </w:rPr>
        <w:t>]4</w:t>
      </w:r>
      <w:r>
        <w:rPr>
          <w:rFonts w:hint="eastAsia"/>
          <w:sz w:val="24"/>
          <w:szCs w:val="24"/>
          <w:lang w:val="en-US" w:eastAsia="zh-CN"/>
        </w:rPr>
        <w:t>76</w:t>
      </w:r>
      <w:r>
        <w:rPr>
          <w:rFonts w:hint="default"/>
          <w:sz w:val="24"/>
          <w:szCs w:val="24"/>
          <w:lang w:val="en-US" w:eastAsia="zh-CN"/>
        </w:rPr>
        <w:t>号文下达了《工业和信息化部办公厅关于印发202</w:t>
      </w:r>
      <w:r>
        <w:rPr>
          <w:rFonts w:hint="eastAsia"/>
          <w:sz w:val="24"/>
          <w:szCs w:val="24"/>
          <w:lang w:val="en-US" w:eastAsia="zh-CN"/>
        </w:rPr>
        <w:t>3</w:t>
      </w:r>
      <w:r>
        <w:rPr>
          <w:rFonts w:hint="default"/>
          <w:sz w:val="24"/>
          <w:szCs w:val="24"/>
          <w:lang w:val="en-US" w:eastAsia="zh-CN"/>
        </w:rPr>
        <w:t>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00</w:t>
      </w:r>
      <w:r>
        <w:rPr>
          <w:rFonts w:hint="eastAsia"/>
          <w:sz w:val="24"/>
          <w:szCs w:val="24"/>
          <w:lang w:val="en-US" w:eastAsia="zh-CN"/>
        </w:rPr>
        <w:t>6</w:t>
      </w: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，计划完成年限为202</w:t>
      </w:r>
      <w:r>
        <w:rPr>
          <w:rFonts w:hint="eastAsia"/>
          <w:sz w:val="24"/>
          <w:szCs w:val="24"/>
          <w:lang w:val="en-US" w:eastAsia="zh-CN"/>
        </w:rPr>
        <w:t>5</w:t>
      </w:r>
      <w:r>
        <w:rPr>
          <w:rFonts w:hint="default"/>
          <w:sz w:val="24"/>
          <w:szCs w:val="24"/>
          <w:lang w:val="en-US" w:eastAsia="zh-CN"/>
        </w:rPr>
        <w:t>年。</w:t>
      </w:r>
    </w:p>
    <w:p>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pStyle w:val="57"/>
        <w:spacing w:line="324" w:lineRule="auto"/>
        <w:ind w:firstLine="420"/>
        <w:rPr>
          <w:rFonts w:hint="default" w:ascii="Times New Roman" w:hAnsi="Times New Roman" w:eastAsia="宋体" w:cs="Times New Roman"/>
          <w:sz w:val="24"/>
          <w:szCs w:val="24"/>
          <w:lang w:val="en-US" w:eastAsia="zh-CN"/>
        </w:rPr>
      </w:pP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年</w:t>
      </w:r>
      <w:r>
        <w:rPr>
          <w:rFonts w:hint="eastAsia"/>
          <w:sz w:val="24"/>
          <w:szCs w:val="24"/>
          <w:lang w:val="en-US" w:eastAsia="zh-CN"/>
        </w:rPr>
        <w:t>8</w:t>
      </w:r>
      <w:r>
        <w:rPr>
          <w:rFonts w:hint="default"/>
          <w:sz w:val="24"/>
          <w:szCs w:val="24"/>
          <w:lang w:val="en-US" w:eastAsia="zh-CN"/>
        </w:rPr>
        <w:t>月</w:t>
      </w:r>
      <w:r>
        <w:rPr>
          <w:rFonts w:hint="default" w:ascii="Times New Roman" w:hAnsi="Times New Roman" w:cs="Times New Roman"/>
          <w:sz w:val="24"/>
          <w:szCs w:val="24"/>
          <w:lang w:val="en-US" w:eastAsia="zh-CN"/>
        </w:rPr>
        <w:t>~</w:t>
      </w:r>
      <w:r>
        <w:rPr>
          <w:rFonts w:hint="default"/>
          <w:sz w:val="24"/>
          <w:szCs w:val="24"/>
          <w:lang w:val="en-US" w:eastAsia="zh-CN"/>
        </w:rPr>
        <w:t>202</w:t>
      </w:r>
      <w:r>
        <w:rPr>
          <w:rFonts w:hint="eastAsia"/>
          <w:sz w:val="24"/>
          <w:szCs w:val="24"/>
          <w:lang w:val="en-US" w:eastAsia="zh-CN"/>
        </w:rPr>
        <w:t>4</w:t>
      </w:r>
      <w:r>
        <w:rPr>
          <w:rFonts w:hint="default"/>
          <w:sz w:val="24"/>
          <w:szCs w:val="24"/>
          <w:lang w:val="en-US" w:eastAsia="zh-CN"/>
        </w:rPr>
        <w:t>年</w:t>
      </w:r>
      <w:r>
        <w:rPr>
          <w:rFonts w:hint="eastAsia"/>
          <w:sz w:val="24"/>
          <w:szCs w:val="24"/>
          <w:lang w:val="en-US" w:eastAsia="zh-CN"/>
        </w:rPr>
        <w:t>3</w:t>
      </w:r>
      <w:r>
        <w:rPr>
          <w:rFonts w:hint="default"/>
          <w:sz w:val="24"/>
          <w:szCs w:val="24"/>
          <w:lang w:val="en-US" w:eastAsia="zh-CN"/>
        </w:rPr>
        <w:t>月</w:t>
      </w:r>
      <w:r>
        <w:rPr>
          <w:rFonts w:hint="eastAsia" w:ascii="Times New Roman" w:hAnsi="Times New Roman" w:cs="Times New Roman"/>
          <w:sz w:val="24"/>
          <w:szCs w:val="24"/>
          <w:lang w:val="en-US" w:eastAsia="zh-CN"/>
        </w:rPr>
        <w:t>，由国标公司编制组对规范进行起草。经过多次的讨论，现场试验和数据采集后，完成了规范的讨论稿。</w:t>
      </w:r>
    </w:p>
    <w:p>
      <w:pPr>
        <w:ind w:firstLine="480" w:firstLineChars="200"/>
        <w:rPr>
          <w:rFonts w:hint="default" w:ascii="宋体" w:hAnsi="宋体" w:eastAsia="宋体"/>
          <w:b w:val="0"/>
          <w:sz w:val="24"/>
          <w:lang w:val="en-US" w:eastAsia="zh-CN"/>
        </w:rPr>
      </w:pPr>
      <w:r>
        <w:rPr>
          <w:rFonts w:hint="eastAsia" w:ascii="宋体" w:hAnsi="宋体"/>
          <w:b w:val="0"/>
          <w:sz w:val="24"/>
          <w:lang w:val="en-US" w:eastAsia="zh-CN"/>
        </w:rPr>
        <w:t>2024年4月，在湖南长沙召开了规范的讨论会，经现场讨论，形成了规范的征求意见稿。</w:t>
      </w:r>
    </w:p>
    <w:p>
      <w:pPr>
        <w:pStyle w:val="73"/>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pPr>
        <w:pStyle w:val="78"/>
        <w:wordWrap/>
        <w:spacing w:beforeLines="0" w:after="156" w:line="360" w:lineRule="auto"/>
        <w:rPr>
          <w:sz w:val="24"/>
          <w:szCs w:val="24"/>
        </w:rPr>
      </w:pPr>
      <w:bookmarkStart w:id="17" w:name="_Toc464728925"/>
      <w:r>
        <w:rPr>
          <w:rFonts w:hint="eastAsia"/>
          <w:sz w:val="24"/>
          <w:szCs w:val="24"/>
        </w:rPr>
        <w:t>编制原则</w:t>
      </w:r>
      <w:bookmarkEnd w:id="17"/>
    </w:p>
    <w:p>
      <w:pPr>
        <w:pStyle w:val="57"/>
        <w:numPr>
          <w:ilvl w:val="0"/>
          <w:numId w:val="12"/>
        </w:numPr>
        <w:spacing w:line="324" w:lineRule="auto"/>
        <w:ind w:firstLine="420"/>
        <w:rPr>
          <w:sz w:val="24"/>
          <w:szCs w:val="24"/>
        </w:rPr>
      </w:pPr>
      <w:bookmarkStart w:id="18" w:name="_Toc464728926"/>
      <w:r>
        <w:rPr>
          <w:rFonts w:hint="eastAsia"/>
          <w:sz w:val="24"/>
          <w:szCs w:val="24"/>
        </w:rPr>
        <w:t>保证有色行业的特殊性和适用性</w:t>
      </w:r>
    </w:p>
    <w:p>
      <w:pPr>
        <w:pStyle w:val="57"/>
        <w:numPr>
          <w:ilvl w:val="0"/>
          <w:numId w:val="12"/>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pPr>
        <w:pStyle w:val="57"/>
        <w:numPr>
          <w:ilvl w:val="0"/>
          <w:numId w:val="12"/>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pPr>
        <w:pStyle w:val="78"/>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19" w:name="_Toc464728964"/>
      <w:r>
        <w:rPr>
          <w:rFonts w:hint="eastAsia" w:hAnsi="黑体"/>
          <w:sz w:val="24"/>
          <w:szCs w:val="24"/>
          <w:lang w:val="en-US" w:eastAsia="zh-CN"/>
        </w:rPr>
        <w:t xml:space="preserve">1 </w:t>
      </w:r>
      <w:r>
        <w:rPr>
          <w:rFonts w:hint="eastAsia" w:hAnsi="黑体"/>
          <w:sz w:val="24"/>
          <w:szCs w:val="24"/>
        </w:rPr>
        <w:t>范围</w:t>
      </w:r>
    </w:p>
    <w:p>
      <w:pPr>
        <w:pStyle w:val="57"/>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于激光导热仪</w:t>
      </w:r>
      <w:r>
        <w:rPr>
          <w:rFonts w:hint="eastAsia" w:ascii="Times New Roman"/>
          <w:sz w:val="24"/>
          <w:szCs w:val="24"/>
        </w:rPr>
        <w:t>（以下简称试验机）</w:t>
      </w:r>
      <w:r>
        <w:rPr>
          <w:rFonts w:ascii="Times New Roman"/>
          <w:sz w:val="24"/>
          <w:szCs w:val="24"/>
        </w:rPr>
        <w:t>的校准。</w:t>
      </w:r>
    </w:p>
    <w:p>
      <w:pPr>
        <w:pStyle w:val="57"/>
        <w:spacing w:line="324" w:lineRule="auto"/>
        <w:ind w:firstLine="420"/>
        <w:rPr>
          <w:rFonts w:hint="eastAsia"/>
          <w:sz w:val="24"/>
          <w:szCs w:val="24"/>
          <w:lang w:val="en-US" w:eastAsia="zh-CN"/>
        </w:rPr>
      </w:pPr>
      <w:r>
        <w:rPr>
          <w:rFonts w:hint="eastAsia"/>
          <w:sz w:val="24"/>
          <w:szCs w:val="24"/>
          <w:lang w:val="en-US" w:eastAsia="zh-CN"/>
        </w:rPr>
        <w:t>编制理由：</w:t>
      </w:r>
    </w:p>
    <w:p>
      <w:pPr>
        <w:pStyle w:val="57"/>
        <w:spacing w:line="324" w:lineRule="auto"/>
        <w:ind w:firstLine="420"/>
        <w:rPr>
          <w:rFonts w:hint="eastAsia"/>
          <w:sz w:val="24"/>
          <w:szCs w:val="24"/>
          <w:lang w:val="en-US" w:eastAsia="zh-CN"/>
        </w:rPr>
      </w:pPr>
      <w:r>
        <w:rPr>
          <w:rFonts w:hint="eastAsia"/>
          <w:sz w:val="24"/>
          <w:szCs w:val="24"/>
          <w:lang w:val="en-US" w:eastAsia="zh-CN"/>
        </w:rPr>
        <w:t>1）目前没有对激光导热仪进行校准的规范性文件。</w:t>
      </w:r>
    </w:p>
    <w:p>
      <w:pPr>
        <w:pStyle w:val="57"/>
        <w:spacing w:line="324" w:lineRule="auto"/>
        <w:ind w:firstLine="420"/>
        <w:rPr>
          <w:rFonts w:hint="eastAsia"/>
          <w:sz w:val="24"/>
          <w:szCs w:val="24"/>
          <w:lang w:val="en-US" w:eastAsia="zh-CN"/>
        </w:rPr>
      </w:pPr>
      <w:r>
        <w:rPr>
          <w:rFonts w:hint="eastAsia"/>
          <w:sz w:val="24"/>
          <w:szCs w:val="24"/>
          <w:lang w:val="en-US" w:eastAsia="zh-CN"/>
        </w:rPr>
        <w:t>2）为满足热扩散系数试验方法中对试验机的校准要求。</w:t>
      </w:r>
    </w:p>
    <w:p>
      <w:pPr>
        <w:pStyle w:val="57"/>
        <w:spacing w:line="324" w:lineRule="auto"/>
        <w:ind w:firstLine="420"/>
        <w:rPr>
          <w:rFonts w:hint="eastAsia"/>
          <w:sz w:val="24"/>
          <w:szCs w:val="24"/>
        </w:rPr>
      </w:pPr>
      <w:r>
        <w:rPr>
          <w:rFonts w:hint="eastAsia"/>
          <w:sz w:val="24"/>
          <w:szCs w:val="24"/>
          <w:lang w:val="en-US" w:eastAsia="zh-CN"/>
        </w:rPr>
        <w:t>3）通过对激光导热仪进行校准，提高对新材料的质量把控及溯源性。</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pPr>
        <w:pStyle w:val="57"/>
        <w:spacing w:line="324" w:lineRule="auto"/>
        <w:ind w:firstLine="420"/>
        <w:rPr>
          <w:rFonts w:hint="default" w:ascii="Times New Roman"/>
          <w:b/>
          <w:bCs/>
          <w:sz w:val="24"/>
          <w:szCs w:val="24"/>
          <w:lang w:val="en-US" w:eastAsia="zh-CN"/>
        </w:rPr>
      </w:pPr>
      <w:r>
        <w:rPr>
          <w:rFonts w:hint="eastAsia"/>
          <w:sz w:val="24"/>
          <w:szCs w:val="24"/>
          <w:lang w:val="en-US" w:eastAsia="zh-CN"/>
        </w:rPr>
        <w:t>（无）。</w:t>
      </w: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阐述激光导热仪的设备构成与工作原理。</w:t>
      </w:r>
    </w:p>
    <w:p>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57"/>
        <w:numPr>
          <w:ilvl w:val="0"/>
          <w:numId w:val="0"/>
        </w:numPr>
        <w:spacing w:line="360" w:lineRule="auto"/>
        <w:ind w:firstLine="480" w:firstLineChars="200"/>
        <w:rPr>
          <w:rFonts w:hint="eastAsia" w:ascii="MS Gothic" w:hAnsi="MS Gothic" w:cs="MS Gothic" w:eastAsiaTheme="minorEastAsia"/>
        </w:rPr>
      </w:pPr>
      <w:r>
        <w:rPr>
          <w:rFonts w:hint="eastAsia"/>
          <w:sz w:val="24"/>
          <w:szCs w:val="24"/>
        </w:rPr>
        <w:t>根据</w:t>
      </w:r>
      <w:r>
        <w:rPr>
          <w:rFonts w:hint="eastAsia"/>
          <w:sz w:val="24"/>
          <w:szCs w:val="24"/>
          <w:lang w:val="en-US" w:eastAsia="zh-CN"/>
        </w:rPr>
        <w:t>激光导热仪</w:t>
      </w:r>
      <w:r>
        <w:rPr>
          <w:rFonts w:hint="eastAsia"/>
          <w:sz w:val="24"/>
          <w:szCs w:val="24"/>
        </w:rPr>
        <w:t>方法</w:t>
      </w:r>
      <w:r>
        <w:rPr>
          <w:rFonts w:hint="eastAsia" w:ascii="MS Gothic" w:hAnsi="MS Gothic" w:cs="MS Gothic" w:eastAsiaTheme="minorEastAsia"/>
          <w:sz w:val="24"/>
          <w:szCs w:val="24"/>
        </w:rPr>
        <w:t>中的主要试验参数规定了</w:t>
      </w:r>
      <w:r>
        <w:rPr>
          <w:rFonts w:hint="eastAsia" w:ascii="MS Gothic" w:hAnsi="MS Gothic" w:cs="MS Gothic" w:eastAsiaTheme="minorEastAsia"/>
          <w:sz w:val="24"/>
          <w:szCs w:val="24"/>
          <w:lang w:val="en-US" w:eastAsia="zh-CN"/>
        </w:rPr>
        <w:t>激光导热仪</w:t>
      </w:r>
      <w:r>
        <w:rPr>
          <w:rFonts w:hint="eastAsia" w:ascii="MS Gothic" w:hAnsi="MS Gothic" w:cs="MS Gothic" w:eastAsiaTheme="minorEastAsia"/>
          <w:sz w:val="24"/>
          <w:szCs w:val="24"/>
        </w:rPr>
        <w:t>的计量特性。</w:t>
      </w:r>
    </w:p>
    <w:p>
      <w:pPr>
        <w:pStyle w:val="57"/>
        <w:spacing w:line="360" w:lineRule="auto"/>
        <w:ind w:firstLine="420"/>
        <w:rPr>
          <w:rFonts w:ascii="MS Gothic" w:hAnsi="MS Gothic" w:cs="MS Gothic" w:eastAsiaTheme="minorEastAsia"/>
        </w:rPr>
      </w:pPr>
      <w:r>
        <w:rPr>
          <w:rFonts w:hint="eastAsia" w:ascii="MS Gothic" w:hAnsi="MS Gothic" w:cs="MS Gothic" w:eastAsiaTheme="minorEastAsia"/>
          <w:sz w:val="24"/>
          <w:szCs w:val="24"/>
        </w:rPr>
        <w:t>编制理由：</w:t>
      </w:r>
    </w:p>
    <w:p>
      <w:pPr>
        <w:pStyle w:val="57"/>
        <w:numPr>
          <w:ilvl w:val="0"/>
          <w:numId w:val="0"/>
        </w:numPr>
        <w:spacing w:line="360" w:lineRule="auto"/>
        <w:ind w:firstLine="480" w:firstLineChars="200"/>
        <w:rPr>
          <w:rFonts w:hint="eastAsia" w:ascii="Times New Roman" w:hAnsi="Times New Roman"/>
          <w:color w:val="000000"/>
          <w:sz w:val="24"/>
          <w:szCs w:val="24"/>
          <w:lang w:eastAsia="zh-CN"/>
        </w:rPr>
      </w:pPr>
      <w:r>
        <w:rPr>
          <w:rFonts w:hint="eastAsia" w:eastAsiaTheme="minorEastAsia"/>
          <w:sz w:val="24"/>
          <w:szCs w:val="24"/>
          <w:lang w:val="en-US" w:eastAsia="zh-CN"/>
        </w:rPr>
        <w:t>激光导热仪的热扩散系数测量是</w:t>
      </w:r>
      <w:r>
        <w:rPr>
          <w:rFonts w:hint="eastAsia" w:ascii="Times New Roman" w:hAnsi="Times New Roman"/>
          <w:color w:val="000000"/>
          <w:sz w:val="24"/>
          <w:szCs w:val="24"/>
        </w:rPr>
        <w:t>主要参数，本规范对主要参数的技术指标做出规定</w:t>
      </w:r>
      <w:r>
        <w:rPr>
          <w:rFonts w:hint="eastAsia" w:ascii="Times New Roman" w:hAnsi="Times New Roman"/>
          <w:color w:val="000000"/>
          <w:sz w:val="24"/>
          <w:szCs w:val="24"/>
          <w:lang w:eastAsia="zh-CN"/>
        </w:rPr>
        <w:t>。</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rFonts w:hint="eastAsia" w:eastAsiaTheme="minorEastAsia"/>
          <w:sz w:val="24"/>
          <w:szCs w:val="24"/>
          <w:lang w:val="en-US" w:eastAsia="zh-CN"/>
        </w:rPr>
        <w:t>激光导热仪</w:t>
      </w:r>
      <w:r>
        <w:rPr>
          <w:rFonts w:hint="eastAsia"/>
          <w:sz w:val="24"/>
          <w:szCs w:val="24"/>
        </w:rPr>
        <w:t>校准的环境条件</w:t>
      </w:r>
      <w:r>
        <w:rPr>
          <w:rFonts w:hint="eastAsia"/>
          <w:sz w:val="24"/>
          <w:szCs w:val="24"/>
          <w:lang w:eastAsia="zh-CN"/>
        </w:rPr>
        <w:t>。</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spacing w:line="360" w:lineRule="auto"/>
        <w:ind w:firstLine="480" w:firstLineChars="200"/>
        <w:outlineLvl w:val="1"/>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对校准的环境条件作出说明，对显著影响校准结果的环境要素温湿度、</w:t>
      </w:r>
      <w:r>
        <w:rPr>
          <w:rFonts w:hint="eastAsia" w:ascii="Times New Roman" w:hAnsi="Times New Roman"/>
          <w:color w:val="000000" w:themeColor="text1"/>
          <w:sz w:val="24"/>
          <w:szCs w:val="24"/>
          <w:lang w:val="en-US" w:eastAsia="zh-CN"/>
          <w14:textFill>
            <w14:solidFill>
              <w14:schemeClr w14:val="tx1"/>
            </w14:solidFill>
          </w14:textFill>
        </w:rPr>
        <w:t>震动</w:t>
      </w:r>
      <w:r>
        <w:rPr>
          <w:rFonts w:hint="eastAsia" w:ascii="Times New Roman" w:hAnsi="Times New Roman"/>
          <w:color w:val="000000" w:themeColor="text1"/>
          <w:sz w:val="24"/>
          <w:szCs w:val="24"/>
          <w14:textFill>
            <w14:solidFill>
              <w14:schemeClr w14:val="tx1"/>
            </w14:solidFill>
          </w14:textFill>
        </w:rPr>
        <w:t>等提出具体要求：温度：</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sz w:val="24"/>
          <w:lang w:val="en-US" w:eastAsia="zh-CN"/>
        </w:rPr>
        <w:t>15~30</w:t>
      </w:r>
      <w:r>
        <w:rPr>
          <w:rFonts w:hint="eastAsia"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sym w:font="Symbol" w:char="F0B0"/>
      </w: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；湿度：不大于8</w:t>
      </w:r>
      <w:r>
        <w:rPr>
          <w:rFonts w:hint="eastAsia" w:ascii="Times New Roman" w:hAnsi="Times New Roman"/>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%RH；设备周围应无强烈振动及腐蚀性气体存在，应避免其他冷、热源影响。</w:t>
      </w:r>
      <w:r>
        <w:rPr>
          <w:rFonts w:hint="eastAsia" w:ascii="Times New Roman" w:hAnsi="Times New Roman" w:eastAsia="宋体" w:cs="Times New Roman"/>
          <w:sz w:val="24"/>
          <w:lang w:val="en-US" w:eastAsia="zh-CN"/>
        </w:rPr>
        <w:t>仪器应放置于稳固的工作台上，无影响仪器正常工作的震源。场所应通风良好，无热辐射影响，无易燃、易爆物及腐蚀性气体。</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rFonts w:hint="eastAsia" w:eastAsiaTheme="minorEastAsia"/>
          <w:sz w:val="24"/>
          <w:szCs w:val="24"/>
          <w:lang w:val="en-US" w:eastAsia="zh-CN"/>
        </w:rPr>
        <w:t>激光导热仪</w:t>
      </w:r>
      <w:r>
        <w:rPr>
          <w:rFonts w:hint="eastAsia"/>
          <w:sz w:val="24"/>
          <w:szCs w:val="24"/>
        </w:rPr>
        <w:t>校准使用的</w:t>
      </w:r>
      <w:r>
        <w:rPr>
          <w:rFonts w:hint="eastAsia" w:ascii="Times New Roman" w:hAnsi="Times New Roman"/>
          <w:color w:val="000000" w:themeColor="text1"/>
          <w:sz w:val="24"/>
          <w:szCs w:val="24"/>
          <w:lang w:val="en-US" w:eastAsia="zh-CN"/>
          <w14:textFill>
            <w14:solidFill>
              <w14:schemeClr w14:val="tx1"/>
            </w14:solidFill>
          </w14:textFill>
        </w:rPr>
        <w:t>测量标准</w:t>
      </w:r>
      <w:r>
        <w:rPr>
          <w:rFonts w:hint="eastAsia" w:ascii="Times New Roman" w:hAnsi="Times New Roman"/>
          <w:color w:val="000000" w:themeColor="text1"/>
          <w:sz w:val="24"/>
          <w:szCs w:val="24"/>
          <w14:textFill>
            <w14:solidFill>
              <w14:schemeClr w14:val="tx1"/>
            </w14:solidFill>
          </w14:textFill>
        </w:rPr>
        <w:t>。</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0"/>
        </w:numPr>
        <w:spacing w:line="360" w:lineRule="auto"/>
        <w:ind w:firstLine="480" w:firstLineChars="200"/>
        <w:rPr>
          <w:rFonts w:hint="eastAsia"/>
          <w:color w:val="000000"/>
          <w:sz w:val="24"/>
          <w:szCs w:val="24"/>
          <w:lang w:bidi="zh-TW"/>
        </w:rPr>
      </w:pPr>
      <w:r>
        <w:rPr>
          <w:rFonts w:hint="eastAsia" w:ascii="Times New Roman" w:hAnsi="Times New Roman"/>
          <w:color w:val="000000" w:themeColor="text1"/>
          <w:sz w:val="24"/>
          <w:szCs w:val="24"/>
          <w14:textFill>
            <w14:solidFill>
              <w14:schemeClr w14:val="tx1"/>
            </w14:solidFill>
          </w14:textFill>
        </w:rPr>
        <w:t>对</w:t>
      </w:r>
      <w:r>
        <w:rPr>
          <w:rFonts w:hint="eastAsia" w:ascii="Times New Roman" w:hAnsi="Times New Roman"/>
          <w:color w:val="000000" w:themeColor="text1"/>
          <w:sz w:val="24"/>
          <w:szCs w:val="24"/>
          <w:lang w:val="en-US" w:eastAsia="zh-CN"/>
          <w14:textFill>
            <w14:solidFill>
              <w14:schemeClr w14:val="tx1"/>
            </w14:solidFill>
          </w14:textFill>
        </w:rPr>
        <w:t>测量标准</w:t>
      </w:r>
      <w:r>
        <w:rPr>
          <w:rFonts w:hint="eastAsia" w:ascii="Times New Roman" w:hAnsi="Times New Roman"/>
          <w:color w:val="000000" w:themeColor="text1"/>
          <w:sz w:val="24"/>
          <w:szCs w:val="24"/>
          <w14:textFill>
            <w14:solidFill>
              <w14:schemeClr w14:val="tx1"/>
            </w14:solidFill>
          </w14:textFill>
        </w:rPr>
        <w:t>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w:t>
      </w:r>
      <w:r>
        <w:rPr>
          <w:rFonts w:hint="eastAsia"/>
          <w:color w:val="000000"/>
          <w:sz w:val="24"/>
          <w:szCs w:val="24"/>
          <w:lang w:val="en-US" w:eastAsia="zh-CN" w:bidi="zh-TW"/>
        </w:rPr>
        <w:t>范围</w:t>
      </w:r>
      <w:r>
        <w:rPr>
          <w:color w:val="000000"/>
          <w:sz w:val="24"/>
          <w:szCs w:val="24"/>
          <w:lang w:val="zh-TW" w:eastAsia="zh-TW" w:bidi="zh-TW"/>
        </w:rPr>
        <w:t>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标准技术指标见</w:t>
      </w:r>
      <w:r>
        <w:rPr>
          <w:rFonts w:hint="eastAsia"/>
          <w:color w:val="000000"/>
          <w:sz w:val="24"/>
          <w:szCs w:val="24"/>
          <w:lang w:val="zh-TW" w:bidi="zh-TW"/>
        </w:rPr>
        <w:t>表</w:t>
      </w:r>
      <w:r>
        <w:rPr>
          <w:rFonts w:hint="eastAsia"/>
          <w:color w:val="000000"/>
          <w:sz w:val="24"/>
          <w:szCs w:val="24"/>
          <w:lang w:val="en-US" w:eastAsia="zh-CN" w:bidi="zh-TW"/>
        </w:rPr>
        <w:t>1</w:t>
      </w:r>
      <w:r>
        <w:rPr>
          <w:rFonts w:hint="eastAsia"/>
          <w:color w:val="000000"/>
          <w:sz w:val="24"/>
          <w:szCs w:val="24"/>
          <w:lang w:bidi="zh-TW"/>
        </w:rPr>
        <w:t>。</w:t>
      </w:r>
    </w:p>
    <w:p>
      <w:pPr>
        <w:pStyle w:val="57"/>
        <w:numPr>
          <w:ilvl w:val="0"/>
          <w:numId w:val="0"/>
        </w:numPr>
        <w:spacing w:line="360" w:lineRule="auto"/>
        <w:ind w:firstLine="480" w:firstLineChars="200"/>
        <w:rPr>
          <w:rFonts w:hint="eastAsia"/>
          <w:color w:val="000000"/>
          <w:sz w:val="24"/>
          <w:szCs w:val="24"/>
          <w:lang w:bidi="zh-TW"/>
        </w:rPr>
      </w:pPr>
    </w:p>
    <w:p>
      <w:pPr>
        <w:pStyle w:val="57"/>
        <w:numPr>
          <w:ilvl w:val="0"/>
          <w:numId w:val="0"/>
        </w:numPr>
        <w:spacing w:line="360" w:lineRule="auto"/>
        <w:ind w:firstLine="480" w:firstLineChars="200"/>
        <w:rPr>
          <w:rFonts w:hint="eastAsia"/>
          <w:color w:val="000000"/>
          <w:sz w:val="24"/>
          <w:szCs w:val="24"/>
          <w:lang w:bidi="zh-TW"/>
        </w:rPr>
      </w:pPr>
    </w:p>
    <w:p>
      <w:pPr>
        <w:pStyle w:val="57"/>
        <w:numPr>
          <w:ilvl w:val="0"/>
          <w:numId w:val="0"/>
        </w:numPr>
        <w:spacing w:line="360" w:lineRule="auto"/>
        <w:ind w:firstLine="480" w:firstLineChars="200"/>
        <w:rPr>
          <w:rFonts w:hint="eastAsia"/>
          <w:color w:val="000000"/>
          <w:sz w:val="24"/>
          <w:szCs w:val="24"/>
          <w:lang w:bidi="zh-TW"/>
        </w:rPr>
      </w:pPr>
    </w:p>
    <w:p>
      <w:pPr>
        <w:pStyle w:val="57"/>
        <w:numPr>
          <w:ilvl w:val="0"/>
          <w:numId w:val="0"/>
        </w:numPr>
        <w:spacing w:line="360" w:lineRule="auto"/>
        <w:ind w:firstLine="420" w:firstLineChars="200"/>
        <w:jc w:val="center"/>
        <w:rPr>
          <w:rFonts w:hint="eastAsia" w:ascii="黑体" w:hAnsi="黑体" w:eastAsia="黑体" w:cs="黑体"/>
          <w:color w:val="000000"/>
          <w:sz w:val="21"/>
          <w:szCs w:val="21"/>
          <w:lang w:val="en-US" w:eastAsia="zh-CN" w:bidi="zh-TW"/>
        </w:rPr>
      </w:pPr>
      <w:r>
        <w:rPr>
          <w:rFonts w:hint="eastAsia" w:ascii="黑体" w:hAnsi="黑体" w:eastAsia="黑体" w:cs="黑体"/>
          <w:color w:val="000000"/>
          <w:sz w:val="21"/>
          <w:szCs w:val="21"/>
          <w:lang w:val="en-US" w:eastAsia="zh-CN" w:bidi="zh-TW"/>
        </w:rPr>
        <w:t>表1测量标准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1941"/>
        <w:gridCol w:w="331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测量标准</w:t>
            </w:r>
          </w:p>
        </w:tc>
        <w:tc>
          <w:tcPr>
            <w:tcW w:w="1941"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温度</w:t>
            </w:r>
          </w:p>
        </w:tc>
        <w:tc>
          <w:tcPr>
            <w:tcW w:w="3319"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特征值</w:t>
            </w:r>
          </w:p>
        </w:tc>
        <w:tc>
          <w:tcPr>
            <w:tcW w:w="1769"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vertAlign w:val="baseline"/>
                <w:lang w:val="en-US" w:eastAsia="zh-CN"/>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19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lang w:val="en-US" w:eastAsia="zh-CN" w:bidi="ar-SA"/>
              </w:rPr>
            </w:pPr>
            <w:r>
              <w:rPr>
                <w:rFonts w:hint="default" w:ascii="Times New Roman" w:hAnsi="Times New Roman" w:cs="Times New Roman" w:eastAsiaTheme="minorEastAsia"/>
                <w:szCs w:val="21"/>
                <w:highlight w:val="none"/>
                <w:lang w:val="en-US" w:eastAsia="zh-CN"/>
              </w:rPr>
              <w:t>蓝宝石热扩散系数</w:t>
            </w:r>
            <w:r>
              <w:rPr>
                <w:rFonts w:hint="eastAsia" w:ascii="Times New Roman" w:hAnsi="Times New Roman" w:cs="Times New Roman" w:eastAsiaTheme="minorEastAsia"/>
                <w:szCs w:val="21"/>
                <w:highlight w:val="none"/>
                <w:lang w:val="en-US" w:eastAsia="zh-CN"/>
              </w:rPr>
              <w:t>测量标准</w:t>
            </w:r>
          </w:p>
        </w:tc>
        <w:tc>
          <w:tcPr>
            <w:tcW w:w="1941"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500℃</w:t>
            </w:r>
          </w:p>
        </w:tc>
        <w:tc>
          <w:tcPr>
            <w:tcW w:w="331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2.571 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热扩散系数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IN600热扩散系数</w:t>
            </w:r>
            <w:r>
              <w:rPr>
                <w:rFonts w:hint="eastAsia" w:ascii="Times New Roman" w:hAnsi="Times New Roman" w:cs="Times New Roman" w:eastAsiaTheme="minorEastAsia"/>
                <w:szCs w:val="21"/>
                <w:highlight w:val="none"/>
                <w:lang w:val="en-US" w:eastAsia="zh-CN"/>
              </w:rPr>
              <w:t>测量标准</w:t>
            </w: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25℃</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3.458</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热扩散系数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3.563</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3.947</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4.264</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500℃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4.783</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800℃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5.392</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1000℃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5.863</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石墨热扩散系数</w:t>
            </w:r>
            <w:r>
              <w:rPr>
                <w:rFonts w:hint="eastAsia" w:ascii="Times New Roman" w:hAnsi="Times New Roman" w:cs="Times New Roman" w:eastAsiaTheme="minorEastAsia"/>
                <w:szCs w:val="21"/>
                <w:highlight w:val="none"/>
                <w:lang w:val="en-US" w:eastAsia="zh-CN"/>
              </w:rPr>
              <w:t>测量标准</w:t>
            </w: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20℃</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76.2</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热扩散系数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227℃</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43.7</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Cs w:val="21"/>
                <w:highlight w:val="none"/>
                <w:lang w:val="en-US" w:eastAsia="zh-CN"/>
              </w:rPr>
            </w:pPr>
          </w:p>
        </w:tc>
        <w:tc>
          <w:tcPr>
            <w:tcW w:w="1941" w:type="dxa"/>
            <w:noWrap w:val="0"/>
            <w:vAlign w:val="center"/>
          </w:tcPr>
          <w:p>
            <w:pPr>
              <w:pStyle w:val="57"/>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1027℃</w:t>
            </w:r>
          </w:p>
        </w:tc>
        <w:tc>
          <w:tcPr>
            <w:tcW w:w="3319" w:type="dxa"/>
            <w:noWrap w:val="0"/>
            <w:vAlign w:val="center"/>
          </w:tcPr>
          <w:p>
            <w:pPr>
              <w:pStyle w:val="57"/>
              <w:ind w:left="0" w:leftChars="0" w:firstLine="0" w:firstLineChars="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15.1</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mm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cs="Times New Roman" w:eastAsiaTheme="minorEastAsia"/>
                <w:sz w:val="21"/>
                <w:szCs w:val="21"/>
                <w:highlight w:val="none"/>
                <w:vertAlign w:val="baseline"/>
                <w:lang w:val="en-US" w:eastAsia="zh-CN"/>
              </w:rPr>
            </w:pPr>
          </w:p>
        </w:tc>
      </w:tr>
    </w:tbl>
    <w:p>
      <w:pPr>
        <w:pStyle w:val="57"/>
        <w:numPr>
          <w:ilvl w:val="0"/>
          <w:numId w:val="0"/>
        </w:numPr>
        <w:spacing w:line="360" w:lineRule="auto"/>
        <w:ind w:firstLine="420" w:firstLineChars="200"/>
        <w:jc w:val="center"/>
        <w:rPr>
          <w:rFonts w:hint="eastAsia" w:ascii="黑体" w:hAnsi="黑体" w:eastAsia="黑体" w:cs="黑体"/>
          <w:color w:val="000000"/>
          <w:sz w:val="21"/>
          <w:szCs w:val="21"/>
          <w:lang w:val="en-US" w:eastAsia="zh-CN" w:bidi="zh-TW"/>
        </w:rPr>
      </w:pP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0" w:name="_Toc25298"/>
      <w:bookmarkStart w:id="21" w:name="_Toc23784569"/>
      <w:bookmarkStart w:id="22" w:name="_Toc31671"/>
      <w:bookmarkStart w:id="23" w:name="_Toc193860216"/>
      <w:bookmarkStart w:id="24" w:name="_Toc193619100"/>
      <w:bookmarkStart w:id="25" w:name="_Toc193860035"/>
      <w:bookmarkStart w:id="26" w:name="_Toc27992_WPSOffice_Level1"/>
      <w:bookmarkStart w:id="27" w:name="_Toc193618955"/>
      <w:bookmarkStart w:id="28" w:name="_Toc193619058"/>
      <w:bookmarkStart w:id="29" w:name="_Toc23785566"/>
      <w:bookmarkStart w:id="30" w:name="_Toc193860185"/>
      <w:bookmarkStart w:id="31" w:name="_Toc5198"/>
      <w:bookmarkStart w:id="32" w:name="_Toc29120"/>
      <w:bookmarkStart w:id="33" w:name="_Toc23784668"/>
      <w:r>
        <w:rPr>
          <w:rFonts w:hint="eastAsia" w:ascii="黑体" w:hAnsi="黑体" w:eastAsia="黑体" w:cs="Times New Roman"/>
          <w:sz w:val="24"/>
          <w:szCs w:val="24"/>
          <w:lang w:val="en-US" w:eastAsia="zh-CN" w:bidi="ar-SA"/>
        </w:rPr>
        <w:t>校准项目和校准方法</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对校准项目及操作方法作出说明。校准的项目</w:t>
      </w:r>
      <w:r>
        <w:rPr>
          <w:rFonts w:hint="eastAsia" w:cs="宋体"/>
          <w:sz w:val="24"/>
          <w:szCs w:val="24"/>
          <w:lang w:val="en-US" w:eastAsia="zh-CN" w:bidi="ar-SA"/>
        </w:rPr>
        <w:t>为热扩散系数的</w:t>
      </w:r>
      <w:r>
        <w:rPr>
          <w:rFonts w:hint="eastAsia" w:cs="宋体"/>
          <w:b w:val="0"/>
          <w:bCs w:val="0"/>
          <w:sz w:val="24"/>
          <w:szCs w:val="24"/>
          <w:lang w:val="en-US" w:eastAsia="zh-CN"/>
        </w:rPr>
        <w:t>校准</w:t>
      </w:r>
      <w:r>
        <w:rPr>
          <w:rFonts w:hint="eastAsia" w:ascii="宋体" w:hAnsi="宋体" w:eastAsia="宋体" w:cs="宋体"/>
          <w:sz w:val="24"/>
          <w:szCs w:val="24"/>
          <w:lang w:val="en-US" w:eastAsia="zh-CN" w:bidi="ar-SA"/>
        </w:rPr>
        <w:t>。规定了校准时的布点</w:t>
      </w:r>
      <w:r>
        <w:rPr>
          <w:rFonts w:hint="eastAsia" w:cs="宋体"/>
          <w:sz w:val="24"/>
          <w:szCs w:val="24"/>
          <w:lang w:val="en-US" w:eastAsia="zh-CN" w:bidi="ar-SA"/>
        </w:rPr>
        <w:t>范围</w:t>
      </w:r>
      <w:r>
        <w:rPr>
          <w:rFonts w:hint="eastAsia" w:ascii="宋体" w:hAnsi="宋体" w:eastAsia="宋体" w:cs="宋体"/>
          <w:sz w:val="24"/>
          <w:szCs w:val="24"/>
          <w:lang w:val="en-US" w:eastAsia="zh-CN" w:bidi="ar-SA"/>
        </w:rPr>
        <w:t>、数据采集规则</w:t>
      </w:r>
      <w:r>
        <w:rPr>
          <w:rFonts w:hint="eastAsia" w:cs="宋体"/>
          <w:sz w:val="24"/>
          <w:szCs w:val="24"/>
          <w:lang w:val="en-US" w:eastAsia="zh-CN" w:bidi="ar-SA"/>
        </w:rPr>
        <w:t>、</w:t>
      </w:r>
      <w:r>
        <w:rPr>
          <w:rFonts w:hint="eastAsia" w:ascii="宋体" w:hAnsi="宋体" w:eastAsia="宋体" w:cs="宋体"/>
          <w:sz w:val="24"/>
          <w:szCs w:val="24"/>
          <w:lang w:val="en-US" w:eastAsia="zh-CN" w:bidi="ar-SA"/>
        </w:rPr>
        <w:t>操作步骤</w:t>
      </w:r>
      <w:r>
        <w:rPr>
          <w:rFonts w:hint="eastAsia" w:cs="宋体"/>
          <w:sz w:val="24"/>
          <w:szCs w:val="24"/>
          <w:lang w:val="en-US" w:eastAsia="zh-CN" w:bidi="ar-SA"/>
        </w:rPr>
        <w:t>和数据处理过程</w:t>
      </w:r>
      <w:r>
        <w:rPr>
          <w:rFonts w:hint="eastAsia" w:ascii="宋体" w:hAnsi="宋体" w:eastAsia="宋体" w:cs="宋体"/>
          <w:sz w:val="24"/>
          <w:szCs w:val="24"/>
          <w:lang w:val="en-US" w:eastAsia="zh-CN" w:bidi="ar-SA"/>
        </w:rPr>
        <w:t>。</w:t>
      </w:r>
    </w:p>
    <w:p>
      <w:pPr>
        <w:pStyle w:val="57"/>
        <w:numPr>
          <w:ilvl w:val="0"/>
          <w:numId w:val="0"/>
        </w:numPr>
        <w:spacing w:line="360" w:lineRule="auto"/>
        <w:rPr>
          <w:rFonts w:hint="eastAsia" w:cs="宋体"/>
          <w:sz w:val="24"/>
          <w:szCs w:val="24"/>
          <w:lang w:val="en-US" w:eastAsia="zh-CN" w:bidi="ar-SA"/>
        </w:rPr>
      </w:pPr>
      <w:bookmarkStart w:id="34" w:name="_Toc13251"/>
      <w:r>
        <w:rPr>
          <w:rFonts w:hint="eastAsia" w:ascii="宋体" w:hAnsi="宋体" w:eastAsia="宋体" w:cs="宋体"/>
          <w:sz w:val="24"/>
          <w:szCs w:val="24"/>
          <w:lang w:val="en-US" w:eastAsia="zh-CN" w:bidi="ar-SA"/>
        </w:rPr>
        <w:t xml:space="preserve">7.1 </w:t>
      </w:r>
      <w:bookmarkEnd w:id="34"/>
      <w:r>
        <w:rPr>
          <w:rFonts w:hint="eastAsia" w:cs="宋体"/>
          <w:sz w:val="24"/>
          <w:szCs w:val="24"/>
          <w:lang w:val="en-US" w:eastAsia="zh-CN" w:bidi="ar-SA"/>
        </w:rPr>
        <w:t>校准项目</w:t>
      </w:r>
    </w:p>
    <w:p>
      <w:pPr>
        <w:pStyle w:val="57"/>
        <w:spacing w:line="360" w:lineRule="auto"/>
        <w:ind w:firstLine="0" w:firstLineChars="0"/>
        <w:jc w:val="center"/>
        <w:rPr>
          <w:rFonts w:hint="eastAsia" w:ascii="Times New Roman" w:eastAsia="黑体"/>
          <w:sz w:val="24"/>
          <w:szCs w:val="24"/>
          <w:lang w:eastAsia="zh-CN"/>
        </w:rPr>
      </w:pPr>
      <w:r>
        <w:rPr>
          <w:rFonts w:hint="eastAsia" w:ascii="黑体" w:hAnsi="黑体" w:eastAsia="黑体" w:cs="黑体"/>
          <w:szCs w:val="21"/>
          <w:highlight w:val="none"/>
          <w:lang w:val="en-US" w:eastAsia="zh-CN"/>
        </w:rPr>
        <w:t>激光导热仪</w:t>
      </w:r>
      <w:r>
        <w:rPr>
          <w:rFonts w:hint="eastAsia" w:ascii="黑体" w:hAnsi="黑体" w:eastAsia="黑体" w:cs="黑体"/>
          <w:szCs w:val="21"/>
          <w:highlight w:val="none"/>
        </w:rPr>
        <w:t>校准项目</w:t>
      </w:r>
    </w:p>
    <w:tbl>
      <w:tblPr>
        <w:tblStyle w:val="40"/>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8"/>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8" w:type="dxa"/>
            <w:noWrap w:val="0"/>
            <w:vAlign w:val="top"/>
          </w:tcPr>
          <w:p>
            <w:pPr>
              <w:pStyle w:val="57"/>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669" w:type="dxa"/>
            <w:noWrap w:val="0"/>
            <w:vAlign w:val="top"/>
          </w:tcPr>
          <w:p>
            <w:pPr>
              <w:pStyle w:val="57"/>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8" w:type="dxa"/>
            <w:noWrap w:val="0"/>
            <w:vAlign w:val="top"/>
          </w:tcPr>
          <w:p>
            <w:pPr>
              <w:pStyle w:val="57"/>
              <w:widowControl w:val="0"/>
              <w:spacing w:line="360" w:lineRule="auto"/>
              <w:ind w:firstLine="0" w:firstLineChars="0"/>
              <w:jc w:val="center"/>
              <w:rPr>
                <w:rFonts w:hint="default" w:ascii="宋体" w:hAnsi="宋体" w:eastAsia="宋体" w:cs="宋体"/>
                <w:sz w:val="21"/>
                <w:szCs w:val="21"/>
                <w:lang w:val="en-US" w:eastAsia="zh-CN"/>
              </w:rPr>
            </w:pPr>
            <w:r>
              <w:rPr>
                <w:rFonts w:hint="eastAsia" w:hAnsi="宋体" w:eastAsia="宋体" w:cs="宋体"/>
                <w:sz w:val="21"/>
                <w:szCs w:val="21"/>
                <w:lang w:val="en-US" w:eastAsia="zh-CN"/>
              </w:rPr>
              <w:t>1</w:t>
            </w:r>
          </w:p>
        </w:tc>
        <w:tc>
          <w:tcPr>
            <w:tcW w:w="466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热扩散系数</w:t>
            </w:r>
          </w:p>
        </w:tc>
      </w:tr>
    </w:tbl>
    <w:p>
      <w:pPr>
        <w:spacing w:line="360" w:lineRule="auto"/>
        <w:outlineLvl w:val="0"/>
        <w:rPr>
          <w:rFonts w:hint="eastAsia" w:ascii="Times New Roman" w:hAnsi="Times New Roman" w:eastAsia="宋体" w:cs="Times New Roman"/>
          <w:sz w:val="24"/>
          <w:lang w:val="en-US" w:eastAsia="zh-CN"/>
        </w:rPr>
      </w:pPr>
      <w:r>
        <w:rPr>
          <w:rFonts w:hint="eastAsia" w:cs="宋体"/>
          <w:sz w:val="24"/>
          <w:szCs w:val="24"/>
          <w:lang w:val="en-US" w:eastAsia="zh-CN" w:bidi="ar-SA"/>
        </w:rPr>
        <w:t xml:space="preserve">7.2 </w:t>
      </w:r>
      <w:r>
        <w:rPr>
          <w:rFonts w:hint="eastAsia" w:ascii="Times New Roman" w:hAnsi="Times New Roman" w:eastAsia="宋体" w:cs="Times New Roman"/>
          <w:sz w:val="24"/>
          <w:lang w:val="en-US" w:eastAsia="zh-CN"/>
        </w:rPr>
        <w:t>校准方法</w:t>
      </w:r>
    </w:p>
    <w:p>
      <w:pPr>
        <w:pStyle w:val="57"/>
        <w:spacing w:line="360" w:lineRule="auto"/>
        <w:ind w:firstLine="0" w:firstLineChars="0"/>
        <w:rPr>
          <w:rFonts w:hint="eastAsia" w:ascii="Times New Roman"/>
          <w:sz w:val="24"/>
          <w:szCs w:val="24"/>
          <w:lang w:val="en-US" w:eastAsia="zh-CN"/>
        </w:rPr>
      </w:pPr>
      <w:r>
        <w:rPr>
          <w:rFonts w:hint="eastAsia" w:ascii="Times New Roman"/>
          <w:sz w:val="24"/>
          <w:szCs w:val="24"/>
          <w:lang w:val="en-US" w:eastAsia="zh-CN"/>
        </w:rPr>
        <w:t>7.2.1 校准前的准备工作</w:t>
      </w:r>
    </w:p>
    <w:p>
      <w:pPr>
        <w:pStyle w:val="57"/>
        <w:spacing w:line="360" w:lineRule="auto"/>
        <w:ind w:firstLine="480" w:firstLineChars="200"/>
        <w:rPr>
          <w:rFonts w:hint="eastAsia" w:ascii="Times New Roman"/>
          <w:sz w:val="24"/>
          <w:szCs w:val="24"/>
          <w:lang w:val="en-US" w:eastAsia="zh-CN"/>
        </w:rPr>
      </w:pPr>
      <w:r>
        <w:rPr>
          <w:rFonts w:hint="eastAsia" w:ascii="Times New Roman"/>
          <w:sz w:val="24"/>
          <w:szCs w:val="24"/>
          <w:lang w:val="en-US" w:eastAsia="zh-CN"/>
        </w:rPr>
        <w:t>校准前应进行外观检查，检查仪器名称、型号、出厂编号和制造厂名。仪器外观整洁，控制面板所有开关和按键均工作正常，显示屏的信息显示清晰。</w:t>
      </w:r>
    </w:p>
    <w:p>
      <w:pPr>
        <w:pStyle w:val="57"/>
        <w:spacing w:line="360" w:lineRule="auto"/>
        <w:ind w:firstLine="480" w:firstLineChars="200"/>
        <w:rPr>
          <w:rFonts w:hint="eastAsia" w:ascii="Times New Roman"/>
          <w:sz w:val="24"/>
          <w:szCs w:val="24"/>
          <w:highlight w:val="none"/>
          <w:lang w:val="en-US" w:eastAsia="zh-CN"/>
        </w:rPr>
      </w:pPr>
      <w:r>
        <w:rPr>
          <w:rFonts w:hint="eastAsia" w:ascii="Times New Roman"/>
          <w:sz w:val="24"/>
          <w:szCs w:val="24"/>
          <w:lang w:val="en-US" w:eastAsia="zh-CN"/>
        </w:rPr>
        <w:t>开机并开启水浴装置后保持30min以上，</w:t>
      </w:r>
      <w:r>
        <w:rPr>
          <w:rFonts w:hint="eastAsia" w:ascii="Times New Roman"/>
          <w:sz w:val="24"/>
          <w:szCs w:val="24"/>
          <w:highlight w:val="none"/>
          <w:lang w:val="en-US" w:eastAsia="zh-CN"/>
        </w:rPr>
        <w:t>使设备处于稳定状态之后才能进行校准工作。</w:t>
      </w:r>
    </w:p>
    <w:p>
      <w:pPr>
        <w:pStyle w:val="57"/>
        <w:spacing w:line="360" w:lineRule="auto"/>
        <w:ind w:firstLine="480" w:firstLineChars="200"/>
        <w:rPr>
          <w:rFonts w:hint="eastAsia" w:ascii="Times New Roman"/>
          <w:sz w:val="24"/>
          <w:szCs w:val="24"/>
          <w:highlight w:val="none"/>
          <w:lang w:val="en-US" w:eastAsia="zh-CN"/>
        </w:rPr>
      </w:pPr>
      <w:r>
        <w:rPr>
          <w:rFonts w:hint="eastAsia" w:ascii="Times New Roman"/>
          <w:sz w:val="24"/>
          <w:szCs w:val="24"/>
          <w:highlight w:val="none"/>
          <w:lang w:val="en-US" w:eastAsia="zh-CN"/>
        </w:rPr>
        <w:t>为红外检测器充填液氮，保证检测器在零下温度工作。</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 热扩散系数的校准</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采用激光导热仪将测量标准进行一系列温度点的热扩散系数测量，测量标准的选取原则为大致覆盖仪器常用测量温度。</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rPr>
      </w:pPr>
      <w:r>
        <w:rPr>
          <w:rFonts w:hint="eastAsia" w:ascii="Times New Roman"/>
          <w:sz w:val="24"/>
          <w:szCs w:val="24"/>
          <w:lang w:val="en-US" w:eastAsia="zh-CN"/>
        </w:rPr>
        <w:t xml:space="preserve">7.2.2.1 </w:t>
      </w:r>
      <w:r>
        <w:rPr>
          <w:rFonts w:hint="default" w:ascii="Times New Roman" w:hAnsi="Times New Roman" w:eastAsia="宋体" w:cs="Times New Roman"/>
          <w:b w:val="0"/>
          <w:bCs w:val="0"/>
          <w:sz w:val="24"/>
          <w:szCs w:val="24"/>
        </w:rPr>
        <w:t>校准点的选择</w:t>
      </w:r>
    </w:p>
    <w:p>
      <w:pPr>
        <w:pStyle w:val="57"/>
        <w:spacing w:line="360" w:lineRule="auto"/>
        <w:ind w:left="0" w:leftChars="0" w:firstLine="480" w:firstLineChars="200"/>
        <w:outlineLvl w:val="1"/>
        <w:rPr>
          <w:rFonts w:hint="eastAsia" w:ascii="Times New Roman"/>
          <w:sz w:val="24"/>
          <w:szCs w:val="24"/>
          <w:lang w:val="en-US" w:eastAsia="zh-CN"/>
        </w:rPr>
      </w:pPr>
      <w:r>
        <w:rPr>
          <w:rFonts w:hint="eastAsia" w:ascii="Times New Roman" w:hAnsi="Times New Roman" w:eastAsia="宋体" w:cs="Times New Roman"/>
          <w:b w:val="0"/>
          <w:bCs w:val="0"/>
          <w:sz w:val="24"/>
          <w:szCs w:val="24"/>
          <w:lang w:val="en-US" w:eastAsia="zh-CN"/>
        </w:rPr>
        <w:t>热扩散系数校准点的选择建议不少于5个点，</w:t>
      </w:r>
      <w:r>
        <w:rPr>
          <w:rFonts w:hint="eastAsia" w:ascii="Times New Roman"/>
          <w:sz w:val="24"/>
          <w:szCs w:val="24"/>
          <w:lang w:val="en-US" w:eastAsia="zh-CN"/>
        </w:rPr>
        <w:t>一般按照量程的20%、40%、60%、80%、100%选择校准点，也可按照客户需求进行取点。</w:t>
      </w:r>
    </w:p>
    <w:p>
      <w:pPr>
        <w:pStyle w:val="57"/>
        <w:spacing w:line="360" w:lineRule="auto"/>
        <w:ind w:left="0" w:leftChars="0" w:firstLine="0" w:firstLineChars="0"/>
        <w:outlineLvl w:val="1"/>
        <w:rPr>
          <w:rFonts w:hint="eastAsia" w:ascii="Times New Roman"/>
          <w:sz w:val="24"/>
          <w:szCs w:val="24"/>
          <w:lang w:val="en-US" w:eastAsia="zh-CN"/>
        </w:rPr>
      </w:pPr>
      <w:r>
        <w:rPr>
          <w:rFonts w:hint="eastAsia" w:ascii="Times New Roman"/>
          <w:sz w:val="24"/>
          <w:szCs w:val="24"/>
          <w:lang w:val="en-US" w:eastAsia="zh-CN"/>
        </w:rPr>
        <w:t>7.2.2.2 测量热扩散系数</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（1）采用千分尺对测试标准的厚度进行准确测量，测试标准厚度方向的两个平面应尽量平行且光洁；</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（2）对测试标准采用石墨喷灌进行表面涂覆以增加样品表面对光能的吸收比与红外发射率，覆层应均匀致密，厚度应适度，在保证材料表面有效遮覆的同时不应过厚；</w:t>
      </w:r>
    </w:p>
    <w:p>
      <w:pPr>
        <w:pStyle w:val="57"/>
        <w:spacing w:line="360" w:lineRule="auto"/>
        <w:ind w:left="0" w:leftChars="0" w:firstLine="480" w:firstLineChars="0"/>
        <w:outlineLvl w:val="1"/>
        <w:rPr>
          <w:rFonts w:hint="default" w:ascii="Times New Roman"/>
          <w:sz w:val="24"/>
          <w:szCs w:val="24"/>
          <w:lang w:val="en-US" w:eastAsia="zh-CN"/>
        </w:rPr>
      </w:pPr>
      <w:r>
        <w:rPr>
          <w:rFonts w:hint="eastAsia" w:ascii="Times New Roman"/>
          <w:sz w:val="24"/>
          <w:szCs w:val="24"/>
          <w:lang w:val="en-US" w:eastAsia="zh-CN"/>
        </w:rPr>
        <w:t>（3）将试样放入合适尺寸的样品托盘，托盘孔的直径（实际检测直径）应小于样品直径，建议两者比例约为70%；</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（4）试样应在保护气氛下进行测试，建议采用氮气或者氩气等惰性气体进行保护，500℃以上建议采用氩气进行保护；</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（5）输入测试标准的名称、厚度；</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（6）按照6.2.2.1的要求设置测试温度点；</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（7）对测试标准进行预闪射，获取电压、脉冲宽度、时间等参数信息；</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（8）依据预闪射获得的参数对测试参数进行尝试和调整后进行测量；</w:t>
      </w:r>
    </w:p>
    <w:p>
      <w:pPr>
        <w:pStyle w:val="57"/>
        <w:spacing w:line="360" w:lineRule="auto"/>
        <w:ind w:left="0" w:leftChars="0" w:firstLine="480" w:firstLineChars="0"/>
        <w:outlineLvl w:val="1"/>
        <w:rPr>
          <w:rFonts w:hint="eastAsia" w:ascii="Times New Roman"/>
          <w:sz w:val="24"/>
          <w:szCs w:val="24"/>
          <w:lang w:val="en-US" w:eastAsia="zh-CN"/>
        </w:rPr>
      </w:pPr>
      <w:r>
        <w:rPr>
          <w:rFonts w:hint="eastAsia" w:ascii="Times New Roman"/>
          <w:sz w:val="24"/>
          <w:szCs w:val="24"/>
          <w:lang w:val="en-US" w:eastAsia="zh-CN"/>
        </w:rPr>
        <w:t>（9）设置测量次数大于等于4次，去掉第一次预散射结果，获得至少3个有效数据；</w:t>
      </w:r>
    </w:p>
    <w:p>
      <w:pPr>
        <w:pStyle w:val="57"/>
        <w:spacing w:line="360" w:lineRule="auto"/>
        <w:ind w:left="0" w:leftChars="0" w:firstLine="480" w:firstLineChars="0"/>
        <w:outlineLvl w:val="1"/>
        <w:rPr>
          <w:rFonts w:hint="default" w:ascii="Times New Roman"/>
          <w:sz w:val="24"/>
          <w:szCs w:val="24"/>
          <w:lang w:val="en-US" w:eastAsia="zh-CN"/>
        </w:rPr>
      </w:pPr>
      <w:r>
        <w:rPr>
          <w:rFonts w:hint="eastAsia" w:ascii="Times New Roman"/>
          <w:sz w:val="24"/>
          <w:szCs w:val="24"/>
          <w:lang w:val="en-US" w:eastAsia="zh-CN"/>
        </w:rPr>
        <w:t>（10）到达各温度点时，重复第（9）步操作；</w:t>
      </w:r>
    </w:p>
    <w:p>
      <w:pPr>
        <w:pStyle w:val="57"/>
        <w:spacing w:line="360" w:lineRule="auto"/>
        <w:ind w:left="0" w:leftChars="0" w:firstLine="480" w:firstLineChars="0"/>
        <w:outlineLvl w:val="1"/>
        <w:rPr>
          <w:rFonts w:hint="eastAsia" w:ascii="宋体" w:hAnsi="宋体" w:eastAsia="宋体" w:cs="宋体"/>
          <w:sz w:val="24"/>
          <w:szCs w:val="24"/>
          <w:highlight w:val="yellow"/>
        </w:rPr>
      </w:pPr>
      <w:r>
        <w:rPr>
          <w:rFonts w:hint="eastAsia" w:ascii="Times New Roman"/>
          <w:sz w:val="24"/>
          <w:szCs w:val="24"/>
          <w:lang w:val="en-US" w:eastAsia="zh-CN"/>
        </w:rPr>
        <w:t>（11）数据处理，</w:t>
      </w:r>
      <w:r>
        <w:rPr>
          <w:rFonts w:hint="eastAsia" w:ascii="Times New Roman" w:hAnsi="Times New Roman" w:eastAsia="宋体" w:cs="Times New Roman"/>
          <w:sz w:val="24"/>
          <w:szCs w:val="24"/>
          <w:lang w:val="en-US" w:eastAsia="zh-CN"/>
        </w:rPr>
        <w:t>激光闪射法测量热扩散系数α可通过下列公式进行计算：</w:t>
      </w:r>
    </w:p>
    <w:p>
      <w:pPr>
        <w:spacing w:line="360" w:lineRule="auto"/>
        <w:ind w:firstLine="560" w:firstLineChars="200"/>
        <w:jc w:val="center"/>
        <w:outlineLvl w:val="1"/>
        <w:rPr>
          <w:rFonts w:hint="eastAsia" w:ascii="宋体" w:hAnsi="宋体" w:eastAsia="宋体" w:cs="宋体"/>
          <w:sz w:val="24"/>
          <w:szCs w:val="24"/>
          <w:highlight w:val="none"/>
        </w:rPr>
      </w:pPr>
      <m:oMathPara>
        <m:oMath>
          <m:r>
            <m:rPr/>
            <w:rPr>
              <w:rFonts w:hint="eastAsia" w:ascii="Cambria Math" w:hAnsi="Cambria Math" w:eastAsia="宋体" w:cs="宋体"/>
              <w:sz w:val="28"/>
              <w:szCs w:val="28"/>
            </w:rPr>
            <m:t>α=</m:t>
          </m:r>
          <m:r>
            <m:rPr/>
            <w:rPr>
              <w:rFonts w:hint="default" w:ascii="Cambria Math" w:hAnsi="Cambria Math" w:eastAsia="宋体" w:cs="宋体"/>
              <w:sz w:val="28"/>
              <w:szCs w:val="28"/>
            </w:rPr>
            <m:t>0.1388×</m:t>
          </m:r>
          <m:sSup>
            <m:sSupPr>
              <m:ctrlPr>
                <w:rPr>
                  <w:rFonts w:hint="default" w:ascii="Cambria Math" w:hAnsi="Cambria Math" w:eastAsia="宋体" w:cs="宋体"/>
                  <w:i/>
                  <w:sz w:val="28"/>
                  <w:szCs w:val="28"/>
                </w:rPr>
              </m:ctrlPr>
            </m:sSupPr>
            <m:e>
              <m:r>
                <m:rPr/>
                <w:rPr>
                  <w:rFonts w:hint="eastAsia" w:ascii="Cambria Math" w:hAnsi="Cambria Math" w:eastAsia="宋体" w:cs="宋体"/>
                  <w:sz w:val="28"/>
                  <w:szCs w:val="28"/>
                </w:rPr>
                <m:t>d</m:t>
              </m:r>
              <m:ctrlPr>
                <w:rPr>
                  <w:rFonts w:hint="default" w:ascii="Cambria Math" w:hAnsi="Cambria Math" w:eastAsia="宋体" w:cs="宋体"/>
                  <w:i/>
                  <w:sz w:val="28"/>
                  <w:szCs w:val="28"/>
                </w:rPr>
              </m:ctrlPr>
            </m:e>
            <m:sup>
              <m:r>
                <m:rPr/>
                <w:rPr>
                  <w:rFonts w:hint="default" w:ascii="Cambria Math" w:hAnsi="Cambria Math" w:eastAsia="宋体" w:cs="宋体"/>
                  <w:sz w:val="28"/>
                  <w:szCs w:val="28"/>
                </w:rPr>
                <m:t>2</m:t>
              </m:r>
              <m:ctrlPr>
                <w:rPr>
                  <w:rFonts w:hint="default" w:ascii="Cambria Math" w:hAnsi="Cambria Math" w:eastAsia="宋体" w:cs="宋体"/>
                  <w:i/>
                  <w:sz w:val="28"/>
                  <w:szCs w:val="28"/>
                </w:rPr>
              </m:ctrlPr>
            </m:sup>
          </m:sSup>
          <m:r>
            <m:rPr/>
            <w:rPr>
              <w:rFonts w:hint="default" w:ascii="Cambria Math" w:hAnsi="Cambria Math" w:eastAsia="宋体" w:cs="宋体"/>
              <w:sz w:val="28"/>
              <w:szCs w:val="28"/>
            </w:rPr>
            <m:t>/</m:t>
          </m:r>
          <m:sSub>
            <m:sSubPr>
              <m:ctrlPr>
                <w:rPr>
                  <w:rFonts w:hint="default" w:ascii="Cambria Math" w:hAnsi="Cambria Math" w:eastAsia="宋体" w:cs="宋体"/>
                  <w:i/>
                  <w:sz w:val="28"/>
                  <w:szCs w:val="28"/>
                </w:rPr>
              </m:ctrlPr>
            </m:sSubPr>
            <m:e>
              <m:r>
                <m:rPr/>
                <w:rPr>
                  <w:rFonts w:hint="default" w:ascii="Cambria Math" w:hAnsi="Cambria Math" w:eastAsia="宋体" w:cs="宋体"/>
                  <w:sz w:val="28"/>
                  <w:szCs w:val="28"/>
                </w:rPr>
                <m:t>t</m:t>
              </m:r>
              <m:ctrlPr>
                <w:rPr>
                  <w:rFonts w:hint="default" w:ascii="Cambria Math" w:hAnsi="Cambria Math" w:eastAsia="宋体" w:cs="宋体"/>
                  <w:i/>
                  <w:sz w:val="28"/>
                  <w:szCs w:val="28"/>
                </w:rPr>
              </m:ctrlPr>
            </m:e>
            <m:sub>
              <m:r>
                <m:rPr/>
                <w:rPr>
                  <w:rFonts w:hint="default" w:ascii="Cambria Math" w:hAnsi="Cambria Math" w:eastAsia="宋体" w:cs="宋体"/>
                  <w:sz w:val="28"/>
                  <w:szCs w:val="28"/>
                </w:rPr>
                <m:t>50</m:t>
              </m:r>
              <m:ctrlPr>
                <w:rPr>
                  <w:rFonts w:hint="default" w:ascii="Cambria Math" w:hAnsi="Cambria Math" w:eastAsia="宋体" w:cs="宋体"/>
                  <w:i/>
                  <w:sz w:val="28"/>
                  <w:szCs w:val="28"/>
                </w:rPr>
              </m:ctrlPr>
            </m:sub>
          </m:sSub>
        </m:oMath>
      </m:oMathPara>
    </w:p>
    <w:p>
      <w:pPr>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式中：</w:t>
      </w:r>
    </w:p>
    <w:p>
      <w:pPr>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d:样品的厚度；</w:t>
      </w:r>
      <w:r>
        <w:rPr>
          <w:rFonts w:hint="eastAsia" w:ascii="宋体" w:hAnsi="宋体" w:eastAsia="宋体" w:cs="宋体"/>
          <w:sz w:val="24"/>
          <w:szCs w:val="24"/>
          <w:highlight w:val="none"/>
          <w:lang w:val="en-US" w:eastAsia="zh-CN"/>
        </w:rPr>
        <w:t>t</w:t>
      </w:r>
      <w:r>
        <w:rPr>
          <w:rFonts w:hint="eastAsia" w:ascii="宋体" w:hAnsi="宋体" w:eastAsia="宋体" w:cs="宋体"/>
          <w:sz w:val="24"/>
          <w:szCs w:val="24"/>
          <w:highlight w:val="none"/>
          <w:vertAlign w:val="subscript"/>
          <w:lang w:val="en-US" w:eastAsia="zh-CN"/>
        </w:rPr>
        <w:t>50</w:t>
      </w:r>
      <w:r>
        <w:rPr>
          <w:rFonts w:hint="eastAsia" w:ascii="宋体" w:hAnsi="宋体" w:eastAsia="宋体" w:cs="宋体"/>
          <w:sz w:val="24"/>
          <w:szCs w:val="24"/>
          <w:highlight w:val="none"/>
        </w:rPr>
        <w:t>：半升温时间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即样品接收到光脉冲照射后样品另一面表面温度升高到最大值的一半所需的时间</w:t>
      </w:r>
      <w:r>
        <w:rPr>
          <w:rFonts w:hint="eastAsia" w:ascii="宋体" w:hAnsi="宋体" w:eastAsia="宋体" w:cs="宋体"/>
          <w:sz w:val="24"/>
          <w:szCs w:val="24"/>
          <w:highlight w:val="none"/>
        </w:rPr>
        <w:t>。</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7.2.2.3 热扩散系数重复性误差</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outlineLvl w:val="1"/>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计算每个校准点3次测量的算术平均值，按照下述公式计算示值重复性相对误差。</w:t>
      </w:r>
    </w:p>
    <w:p>
      <w:pPr>
        <w:pStyle w:val="57"/>
        <w:spacing w:line="360" w:lineRule="auto"/>
        <w:ind w:left="0" w:leftChars="0" w:firstLine="0" w:firstLineChars="0"/>
        <w:jc w:val="center"/>
        <w:outlineLvl w:val="1"/>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26"/>
          <w:sz w:val="24"/>
          <w:szCs w:val="24"/>
          <w:highlight w:val="none"/>
          <w:lang w:val="en-US" w:eastAsia="zh-CN"/>
        </w:rPr>
        <w:object>
          <v:shape id="_x0000_i1025" o:spt="75" type="#_x0000_t75" style="height:31.95pt;width:112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pPr>
        <w:pStyle w:val="57"/>
        <w:spacing w:line="360" w:lineRule="auto"/>
        <w:jc w:val="left"/>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式中：</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object>
          <v:shape id="_x0000_i1026" o:spt="75" type="#_x0000_t75" style="height:13.95pt;width:10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w:t>
      </w:r>
      <w:r>
        <w:rPr>
          <w:rFonts w:hint="default" w:ascii="Times New Roman" w:hAnsi="Times New Roman" w:eastAsia="宋体" w:cs="Times New Roman"/>
          <w:b w:val="0"/>
          <w:bCs w:val="0"/>
          <w:sz w:val="24"/>
          <w:szCs w:val="24"/>
          <w:lang w:val="en-US" w:eastAsia="zh-CN"/>
        </w:rPr>
        <w:t>的重复性相对误差；</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12"/>
          <w:sz w:val="24"/>
          <w:szCs w:val="24"/>
          <w:lang w:val="en-US" w:eastAsia="zh-CN"/>
        </w:rPr>
        <w:object>
          <v:shape id="_x0000_i1027" o:spt="75" type="#_x0000_t75" style="height:18pt;width:24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w:t>
      </w:r>
      <w:r>
        <w:rPr>
          <w:rFonts w:hint="eastAsia" w:ascii="Times New Roman" w:hAnsi="Times New Roman" w:eastAsia="宋体" w:cs="Times New Roman"/>
          <w:b w:val="0"/>
          <w:bCs w:val="0"/>
          <w:sz w:val="24"/>
          <w:szCs w:val="24"/>
          <w:highlight w:val="none"/>
          <w:lang w:val="en-US" w:eastAsia="zh-CN"/>
        </w:rPr>
        <w:t>i在n</w:t>
      </w:r>
      <w:r>
        <w:rPr>
          <w:rFonts w:hint="eastAsia" w:ascii="Times New Roman" w:hAnsi="Times New Roman" w:eastAsia="宋体" w:cs="Times New Roman"/>
          <w:b w:val="0"/>
          <w:bCs w:val="0"/>
          <w:sz w:val="24"/>
          <w:szCs w:val="24"/>
          <w:lang w:val="en-US" w:eastAsia="zh-CN"/>
        </w:rPr>
        <w:t>次测量中的最大值</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10"/>
          <w:sz w:val="24"/>
          <w:szCs w:val="24"/>
          <w:lang w:val="en-US" w:eastAsia="zh-CN"/>
        </w:rPr>
        <w:object>
          <v:shape id="_x0000_i1028" o:spt="75" type="#_x0000_t75" style="height:17pt;width:23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校准点i在n次测量中的</w:t>
      </w:r>
      <w:r>
        <w:rPr>
          <w:rFonts w:hint="default" w:ascii="Times New Roman" w:hAnsi="Times New Roman" w:eastAsia="宋体" w:cs="Times New Roman"/>
          <w:b w:val="0"/>
          <w:bCs w:val="0"/>
          <w:sz w:val="24"/>
          <w:szCs w:val="24"/>
          <w:lang w:val="en-US" w:eastAsia="zh-CN"/>
        </w:rPr>
        <w:t>最小值，</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7.2.2.4 热扩散系数示值误差</w:t>
      </w:r>
    </w:p>
    <w:p>
      <w:pPr>
        <w:pStyle w:val="57"/>
        <w:wordWrap w:val="0"/>
        <w:spacing w:line="360" w:lineRule="auto"/>
        <w:ind w:left="0" w:leftChars="0" w:firstLine="0" w:firstLineChars="0"/>
        <w:jc w:val="center"/>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24"/>
          <w:sz w:val="24"/>
          <w:szCs w:val="24"/>
          <w:lang w:val="en-US" w:eastAsia="zh-CN"/>
        </w:rPr>
        <w:object>
          <v:shape id="_x0000_i1029" o:spt="75" type="#_x0000_t75" style="height:33pt;width:90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式中：</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iCs/>
          <w:sz w:val="24"/>
          <w:szCs w:val="24"/>
          <w:lang w:val="en-US" w:eastAsia="zh-CN"/>
        </w:rPr>
        <w:t>q</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w:t>
      </w:r>
      <w:r>
        <w:rPr>
          <w:rFonts w:hint="default" w:ascii="Times New Roman" w:hAnsi="Times New Roman" w:eastAsia="宋体" w:cs="Times New Roman"/>
          <w:b w:val="0"/>
          <w:bCs w:val="0"/>
          <w:sz w:val="24"/>
          <w:szCs w:val="24"/>
          <w:lang w:val="en-US" w:eastAsia="zh-CN"/>
        </w:rPr>
        <w:t>的重复性相对误差；</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6"/>
          <w:sz w:val="24"/>
          <w:szCs w:val="24"/>
          <w:lang w:val="en-US" w:eastAsia="zh-CN"/>
        </w:rPr>
        <w:object>
          <v:shape id="_x0000_i1030" o:spt="75" type="#_x0000_t75" style="height:11pt;width:12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热扩散系数标准样品的</w:t>
      </w:r>
      <w:r>
        <w:rPr>
          <w:rFonts w:hint="eastAsia" w:ascii="Times New Roman" w:hAnsi="Times New Roman" w:eastAsia="宋体" w:cs="Times New Roman"/>
          <w:b w:val="0"/>
          <w:bCs w:val="0"/>
          <w:sz w:val="24"/>
          <w:szCs w:val="24"/>
          <w:highlight w:val="none"/>
          <w:lang w:val="en-US" w:eastAsia="zh-CN"/>
        </w:rPr>
        <w:t>特征值</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20" w:firstLineChars="200"/>
        <w:outlineLvl w:val="1"/>
        <w:rPr>
          <w:rFonts w:hint="default" w:ascii="Times New Roman" w:hAnsi="Times New Roman" w:eastAsia="宋体" w:cs="Times New Roman"/>
          <w:b w:val="0"/>
          <w:bCs w:val="0"/>
          <w:sz w:val="24"/>
          <w:szCs w:val="24"/>
          <w:lang w:val="en-US" w:eastAsia="zh-CN"/>
        </w:rPr>
      </w:pPr>
      <w:r>
        <w:drawing>
          <wp:inline distT="0" distB="0" distL="114300" distR="114300">
            <wp:extent cx="180975" cy="238125"/>
            <wp:effectExtent l="0" t="0" r="9525" b="825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23"/>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校准点i在n次测量中的平均值</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19"/>
    </w:p>
    <w:p>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eastAsiaTheme="minorEastAsia"/>
          <w:sz w:val="24"/>
          <w:szCs w:val="24"/>
          <w:lang w:val="en-US" w:eastAsia="zh-CN"/>
        </w:rPr>
        <w:t>激光导热仪</w:t>
      </w:r>
      <w:r>
        <w:rPr>
          <w:rFonts w:hint="eastAsia"/>
          <w:sz w:val="24"/>
          <w:szCs w:val="24"/>
        </w:rPr>
        <w:t>进行了全计量特性的校准。</w:t>
      </w:r>
    </w:p>
    <w:bookmarkEnd w:id="1"/>
    <w:p>
      <w:pPr>
        <w:pStyle w:val="73"/>
        <w:numPr>
          <w:ilvl w:val="0"/>
          <w:numId w:val="11"/>
        </w:numPr>
        <w:tabs>
          <w:tab w:val="left" w:pos="426"/>
        </w:tabs>
        <w:spacing w:before="312" w:beforeLines="100" w:after="312" w:afterLines="100"/>
        <w:ind w:hangingChars="200"/>
        <w:jc w:val="left"/>
        <w:rPr>
          <w:sz w:val="24"/>
          <w:szCs w:val="24"/>
        </w:rPr>
      </w:pPr>
      <w:bookmarkStart w:id="35" w:name="_Toc464728965"/>
      <w:r>
        <w:rPr>
          <w:rFonts w:hint="eastAsia"/>
          <w:sz w:val="24"/>
          <w:szCs w:val="24"/>
        </w:rPr>
        <w:t>标准水平分析</w:t>
      </w:r>
      <w:bookmarkEnd w:id="35"/>
    </w:p>
    <w:p>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的制定填补了有色金属行业用</w:t>
      </w:r>
      <w:r>
        <w:rPr>
          <w:rFonts w:hint="eastAsia" w:eastAsiaTheme="minorEastAsia"/>
          <w:sz w:val="24"/>
          <w:szCs w:val="24"/>
          <w:lang w:val="en-US" w:eastAsia="zh-CN"/>
        </w:rPr>
        <w:t>激光导热仪</w:t>
      </w:r>
      <w:r>
        <w:rPr>
          <w:rFonts w:hint="eastAsia"/>
          <w:sz w:val="24"/>
          <w:szCs w:val="24"/>
        </w:rPr>
        <w:t>的校准空白，属于国内首创。</w:t>
      </w:r>
    </w:p>
    <w:p>
      <w:pPr>
        <w:pStyle w:val="73"/>
        <w:numPr>
          <w:ilvl w:val="0"/>
          <w:numId w:val="11"/>
        </w:numPr>
        <w:tabs>
          <w:tab w:val="left" w:pos="426"/>
        </w:tabs>
        <w:spacing w:before="312" w:beforeLines="100" w:after="312" w:afterLines="100"/>
        <w:ind w:hangingChars="200"/>
        <w:jc w:val="left"/>
        <w:rPr>
          <w:sz w:val="24"/>
          <w:szCs w:val="24"/>
        </w:rPr>
      </w:pPr>
      <w:bookmarkStart w:id="36"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36"/>
    </w:p>
    <w:p>
      <w:pPr>
        <w:pStyle w:val="57"/>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37" w:name="_Toc464728973"/>
      <w:r>
        <w:rPr>
          <w:rFonts w:hint="eastAsia"/>
          <w:sz w:val="24"/>
          <w:szCs w:val="24"/>
        </w:rPr>
        <w:t>标准中涉及的专利或知识产权说明</w:t>
      </w:r>
      <w:bookmarkEnd w:id="37"/>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38" w:name="_Toc464728974"/>
      <w:r>
        <w:rPr>
          <w:rFonts w:hint="eastAsia"/>
          <w:sz w:val="24"/>
          <w:szCs w:val="24"/>
        </w:rPr>
        <w:t>重大分歧意见的处理经过和依据</w:t>
      </w:r>
      <w:bookmarkEnd w:id="38"/>
    </w:p>
    <w:p>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pPr>
        <w:pStyle w:val="73"/>
        <w:numPr>
          <w:ilvl w:val="0"/>
          <w:numId w:val="11"/>
        </w:numPr>
        <w:tabs>
          <w:tab w:val="left" w:pos="426"/>
        </w:tabs>
        <w:spacing w:before="312" w:beforeLines="100" w:after="312" w:afterLines="100"/>
        <w:ind w:hangingChars="200"/>
        <w:jc w:val="left"/>
        <w:rPr>
          <w:sz w:val="24"/>
          <w:szCs w:val="24"/>
        </w:rPr>
      </w:pPr>
      <w:bookmarkStart w:id="39" w:name="_Toc464728976"/>
      <w:r>
        <w:rPr>
          <w:rFonts w:hint="eastAsia"/>
          <w:sz w:val="24"/>
          <w:szCs w:val="24"/>
        </w:rPr>
        <w:t>贯彻规范的要求和措施建议</w:t>
      </w:r>
      <w:bookmarkEnd w:id="39"/>
    </w:p>
    <w:p>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eastAsiaTheme="minorEastAsia"/>
          <w:sz w:val="24"/>
          <w:szCs w:val="24"/>
          <w:lang w:val="en-US" w:eastAsia="zh-CN"/>
        </w:rPr>
        <w:t>激光导热仪</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pPr>
        <w:pStyle w:val="73"/>
        <w:numPr>
          <w:ilvl w:val="0"/>
          <w:numId w:val="11"/>
        </w:numPr>
        <w:tabs>
          <w:tab w:val="left" w:pos="426"/>
        </w:tabs>
        <w:spacing w:before="312" w:beforeLines="100" w:after="312" w:afterLines="100"/>
        <w:ind w:hangingChars="200"/>
        <w:jc w:val="left"/>
        <w:rPr>
          <w:sz w:val="24"/>
          <w:szCs w:val="24"/>
        </w:rPr>
      </w:pPr>
      <w:bookmarkStart w:id="40"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40"/>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41" w:name="_Toc464728978"/>
      <w:r>
        <w:rPr>
          <w:rFonts w:hint="eastAsia"/>
          <w:sz w:val="24"/>
          <w:szCs w:val="24"/>
        </w:rPr>
        <w:t>产业化情况、推广应用论证和预期达到的经济效果</w:t>
      </w:r>
      <w:bookmarkEnd w:id="41"/>
    </w:p>
    <w:p>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M4NGFhNmY3YzQ0YTgyZmE4Mzc3ODI5ODE3Mjk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6A347B"/>
    <w:rsid w:val="0264546B"/>
    <w:rsid w:val="02F703B0"/>
    <w:rsid w:val="05C37B35"/>
    <w:rsid w:val="07A009E4"/>
    <w:rsid w:val="07DC0ED5"/>
    <w:rsid w:val="0904785D"/>
    <w:rsid w:val="09573966"/>
    <w:rsid w:val="099C21DC"/>
    <w:rsid w:val="0A781AE7"/>
    <w:rsid w:val="0C1748FC"/>
    <w:rsid w:val="0C8E5209"/>
    <w:rsid w:val="0CCA0314"/>
    <w:rsid w:val="108153C0"/>
    <w:rsid w:val="14317D7D"/>
    <w:rsid w:val="14FE0CE9"/>
    <w:rsid w:val="15494EE3"/>
    <w:rsid w:val="157D64FB"/>
    <w:rsid w:val="158E7867"/>
    <w:rsid w:val="174C2AB4"/>
    <w:rsid w:val="1F5A1A25"/>
    <w:rsid w:val="1F714057"/>
    <w:rsid w:val="208E75B3"/>
    <w:rsid w:val="218A16C9"/>
    <w:rsid w:val="21BE3478"/>
    <w:rsid w:val="21D04080"/>
    <w:rsid w:val="22423DCF"/>
    <w:rsid w:val="23A74BBD"/>
    <w:rsid w:val="23D43A72"/>
    <w:rsid w:val="28902179"/>
    <w:rsid w:val="29846CB3"/>
    <w:rsid w:val="29E46257"/>
    <w:rsid w:val="2A4110A1"/>
    <w:rsid w:val="2AB85E2C"/>
    <w:rsid w:val="2C281A12"/>
    <w:rsid w:val="2CB24D78"/>
    <w:rsid w:val="2FBE527A"/>
    <w:rsid w:val="301B29EA"/>
    <w:rsid w:val="31B57A58"/>
    <w:rsid w:val="32A069D0"/>
    <w:rsid w:val="330D75D5"/>
    <w:rsid w:val="34745E77"/>
    <w:rsid w:val="36AE69D8"/>
    <w:rsid w:val="37DC5381"/>
    <w:rsid w:val="38B6063A"/>
    <w:rsid w:val="39E63C45"/>
    <w:rsid w:val="3A910669"/>
    <w:rsid w:val="3BA532D3"/>
    <w:rsid w:val="3BFA1058"/>
    <w:rsid w:val="3EBA5BC3"/>
    <w:rsid w:val="420E5348"/>
    <w:rsid w:val="44100726"/>
    <w:rsid w:val="456D3D97"/>
    <w:rsid w:val="458638E8"/>
    <w:rsid w:val="45E87405"/>
    <w:rsid w:val="46474D73"/>
    <w:rsid w:val="465F616C"/>
    <w:rsid w:val="48AE19A3"/>
    <w:rsid w:val="48BE5C4B"/>
    <w:rsid w:val="49214E6F"/>
    <w:rsid w:val="4989333F"/>
    <w:rsid w:val="4C0905B7"/>
    <w:rsid w:val="4E3430C7"/>
    <w:rsid w:val="51142E0B"/>
    <w:rsid w:val="52A97DDB"/>
    <w:rsid w:val="56154CA2"/>
    <w:rsid w:val="568A547C"/>
    <w:rsid w:val="5A931503"/>
    <w:rsid w:val="5A971C98"/>
    <w:rsid w:val="5AFA5C95"/>
    <w:rsid w:val="5CDE078E"/>
    <w:rsid w:val="5DC655CC"/>
    <w:rsid w:val="5F776EED"/>
    <w:rsid w:val="605176D9"/>
    <w:rsid w:val="62950339"/>
    <w:rsid w:val="633C7C85"/>
    <w:rsid w:val="63F828E6"/>
    <w:rsid w:val="68E47C07"/>
    <w:rsid w:val="6AB57C02"/>
    <w:rsid w:val="6AD92B47"/>
    <w:rsid w:val="6B27051F"/>
    <w:rsid w:val="6B753BDA"/>
    <w:rsid w:val="6B770841"/>
    <w:rsid w:val="6DC12A1C"/>
    <w:rsid w:val="6E8A0C2B"/>
    <w:rsid w:val="6EF60757"/>
    <w:rsid w:val="6F9D433B"/>
    <w:rsid w:val="70DF25F4"/>
    <w:rsid w:val="70FA146A"/>
    <w:rsid w:val="710228B1"/>
    <w:rsid w:val="73A7009A"/>
    <w:rsid w:val="73B95B2E"/>
    <w:rsid w:val="74130018"/>
    <w:rsid w:val="7613428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qFormat/>
    <w:uiPriority w:val="99"/>
    <w:rPr>
      <w:sz w:val="18"/>
      <w:szCs w:val="18"/>
    </w:rPr>
  </w:style>
  <w:style w:type="paragraph" w:styleId="29">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qFormat/>
    <w:uiPriority w:val="39"/>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5796</Words>
  <Characters>6266</Characters>
  <Lines>32</Lines>
  <Paragraphs>9</Paragraphs>
  <TotalTime>3</TotalTime>
  <ScaleCrop>false</ScaleCrop>
  <LinksUpToDate>false</LinksUpToDate>
  <CharactersWithSpaces>6314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闫中南</cp:lastModifiedBy>
  <cp:lastPrinted>2024-03-01T08:00:00Z</cp:lastPrinted>
  <dcterms:modified xsi:type="dcterms:W3CDTF">2024-05-16T09:44:34Z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E58E2515E7494DD789A62EF4B5363EE0_13</vt:lpwstr>
  </property>
</Properties>
</file>