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p>
    <w:p>
      <w:pPr>
        <w:pStyle w:val="34"/>
        <w:spacing w:line="360" w:lineRule="auto"/>
        <w:rPr>
          <w:rFonts w:hint="default" w:hAnsi="黑体" w:eastAsia="黑体" w:cs="黑体"/>
          <w:sz w:val="44"/>
          <w:szCs w:val="44"/>
          <w:lang w:val="en-US" w:eastAsia="zh-CN"/>
        </w:rPr>
      </w:pPr>
      <w:r>
        <w:rPr>
          <w:rFonts w:hAnsi="黑体" w:cs="黑体"/>
          <w:sz w:val="44"/>
          <w:szCs w:val="44"/>
        </w:rPr>
        <w:t>JJF</w:t>
      </w:r>
      <w:r>
        <w:rPr>
          <w:rFonts w:hint="eastAsia" w:hAnsi="黑体" w:cs="黑体"/>
          <w:sz w:val="44"/>
          <w:szCs w:val="44"/>
          <w:lang w:val="en-US" w:eastAsia="zh-CN"/>
        </w:rPr>
        <w:t>Z</w:t>
      </w:r>
      <w:r>
        <w:rPr>
          <w:rFonts w:hint="eastAsia" w:hAnsi="黑体" w:cs="黑体"/>
          <w:sz w:val="44"/>
          <w:szCs w:val="44"/>
        </w:rPr>
        <w:t>（有色金属）</w:t>
      </w:r>
      <w:r>
        <w:rPr>
          <w:rFonts w:hAnsi="黑体" w:cs="黑体"/>
          <w:sz w:val="44"/>
          <w:szCs w:val="44"/>
        </w:rPr>
        <w:t>00</w:t>
      </w:r>
      <w:r>
        <w:rPr>
          <w:rFonts w:hint="eastAsia" w:hAnsi="黑体" w:cs="黑体"/>
          <w:sz w:val="44"/>
          <w:szCs w:val="44"/>
          <w:lang w:val="en-US" w:eastAsia="zh-CN"/>
        </w:rPr>
        <w:t>5</w:t>
      </w:r>
      <w:r>
        <w:rPr>
          <w:rFonts w:hAnsi="黑体" w:cs="黑体"/>
          <w:sz w:val="44"/>
          <w:szCs w:val="44"/>
        </w:rPr>
        <w:t>—20</w:t>
      </w:r>
      <w:r>
        <w:rPr>
          <w:rFonts w:hint="eastAsia" w:hAnsi="黑体" w:cs="黑体"/>
          <w:sz w:val="44"/>
          <w:szCs w:val="44"/>
          <w:lang w:val="en-US" w:eastAsia="zh-CN"/>
        </w:rPr>
        <w:t>23</w:t>
      </w:r>
    </w:p>
    <w:p>
      <w:pPr>
        <w:spacing w:line="360" w:lineRule="auto"/>
        <w:jc w:val="center"/>
        <w:rPr>
          <w:rFonts w:ascii="黑体" w:hAnsi="黑体" w:eastAsia="黑体" w:cs="黑体"/>
          <w:sz w:val="44"/>
          <w:szCs w:val="44"/>
        </w:rPr>
      </w:pPr>
      <w:r>
        <w:rPr>
          <w:rFonts w:hint="eastAsia" w:ascii="黑体" w:hAnsi="黑体" w:eastAsia="黑体" w:cs="黑体"/>
          <w:sz w:val="44"/>
          <w:szCs w:val="44"/>
        </w:rPr>
        <w:t>《松装密度漏斗法测定仪校准规范》</w:t>
      </w:r>
    </w:p>
    <w:p>
      <w:pPr>
        <w:pStyle w:val="34"/>
        <w:spacing w:line="360" w:lineRule="auto"/>
        <w:rPr>
          <w:rFonts w:hAnsi="黑体" w:cs="黑体"/>
          <w:sz w:val="44"/>
          <w:szCs w:val="44"/>
        </w:rPr>
      </w:pPr>
    </w:p>
    <w:p>
      <w:pPr>
        <w:spacing w:line="360" w:lineRule="auto"/>
        <w:jc w:val="center"/>
        <w:rPr>
          <w:rFonts w:ascii="黑体" w:hAnsi="黑体" w:eastAsia="黑体" w:cs="黑体"/>
          <w:sz w:val="44"/>
          <w:szCs w:val="44"/>
        </w:rPr>
      </w:pPr>
      <w:r>
        <w:rPr>
          <w:rFonts w:ascii="黑体" w:hAnsi="黑体" w:eastAsia="黑体" w:cs="黑体"/>
          <w:sz w:val="44"/>
          <w:szCs w:val="44"/>
        </w:rPr>
        <w:t>(</w:t>
      </w:r>
      <w:r>
        <w:rPr>
          <w:rFonts w:hint="eastAsia" w:ascii="黑体" w:hAnsi="黑体" w:eastAsia="黑体" w:cs="黑体"/>
          <w:sz w:val="44"/>
          <w:szCs w:val="44"/>
          <w:lang w:val="en-US" w:eastAsia="zh-CN"/>
        </w:rPr>
        <w:t>征求意见</w:t>
      </w:r>
      <w:r>
        <w:rPr>
          <w:rFonts w:hint="eastAsia" w:ascii="黑体" w:hAnsi="黑体" w:eastAsia="黑体" w:cs="黑体"/>
          <w:sz w:val="44"/>
          <w:szCs w:val="44"/>
        </w:rPr>
        <w:t>稿编制说明</w:t>
      </w:r>
      <w:r>
        <w:rPr>
          <w:rFonts w:ascii="黑体" w:hAnsi="黑体" w:eastAsia="黑体" w:cs="黑体"/>
          <w:sz w:val="44"/>
          <w:szCs w:val="44"/>
        </w:rPr>
        <w:t>)</w:t>
      </w: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jc w:val="center"/>
        <w:rPr>
          <w:rFonts w:ascii="黑体" w:eastAsia="黑体"/>
          <w:bCs/>
          <w:sz w:val="24"/>
        </w:rPr>
      </w:pPr>
    </w:p>
    <w:p>
      <w:pPr>
        <w:pStyle w:val="36"/>
        <w:spacing w:before="600" w:line="360" w:lineRule="auto"/>
        <w:rPr>
          <w:rFonts w:hint="default" w:ascii="黑体" w:hAnsi="黑体" w:eastAsia="黑体"/>
          <w:sz w:val="36"/>
          <w:szCs w:val="36"/>
          <w:lang w:val="en-US" w:eastAsia="zh-CN"/>
        </w:rPr>
      </w:pPr>
      <w:r>
        <w:rPr>
          <w:rFonts w:ascii="黑体" w:hAnsi="黑体" w:eastAsia="黑体"/>
          <w:sz w:val="36"/>
          <w:szCs w:val="36"/>
        </w:rPr>
        <w:t>202</w:t>
      </w:r>
      <w:r>
        <w:rPr>
          <w:rFonts w:hint="eastAsia" w:ascii="黑体" w:hAnsi="黑体" w:eastAsia="黑体"/>
          <w:sz w:val="36"/>
          <w:szCs w:val="36"/>
          <w:lang w:val="en-US" w:eastAsia="zh-CN"/>
        </w:rPr>
        <w:t>4</w:t>
      </w:r>
      <w:r>
        <w:rPr>
          <w:rFonts w:ascii="黑体" w:hAnsi="黑体" w:eastAsia="黑体"/>
          <w:sz w:val="36"/>
          <w:szCs w:val="36"/>
        </w:rPr>
        <w:t>-0</w:t>
      </w:r>
      <w:r>
        <w:rPr>
          <w:rFonts w:hint="eastAsia" w:ascii="黑体" w:hAnsi="黑体" w:eastAsia="黑体"/>
          <w:sz w:val="36"/>
          <w:szCs w:val="36"/>
          <w:lang w:val="en-US" w:eastAsia="zh-CN"/>
        </w:rPr>
        <w:t>5</w:t>
      </w:r>
      <w:r>
        <w:rPr>
          <w:rFonts w:ascii="黑体" w:hAnsi="黑体" w:eastAsia="黑体"/>
          <w:sz w:val="36"/>
          <w:szCs w:val="36"/>
        </w:rPr>
        <w:t>-</w:t>
      </w:r>
      <w:r>
        <w:rPr>
          <w:rFonts w:hint="eastAsia" w:ascii="黑体" w:hAnsi="黑体" w:eastAsia="黑体"/>
          <w:sz w:val="36"/>
          <w:szCs w:val="36"/>
          <w:lang w:val="en-US" w:eastAsia="zh-CN"/>
        </w:rPr>
        <w:t>14</w:t>
      </w:r>
    </w:p>
    <w:p>
      <w:pPr>
        <w:spacing w:line="360" w:lineRule="auto"/>
        <w:rPr>
          <w:rFonts w:ascii="黑体" w:eastAsia="黑体"/>
          <w:bCs/>
          <w:sz w:val="24"/>
        </w:rPr>
      </w:pPr>
    </w:p>
    <w:p>
      <w:pPr>
        <w:pStyle w:val="35"/>
        <w:spacing w:line="360" w:lineRule="auto"/>
        <w:rPr>
          <w:rFonts w:ascii="宋体" w:hAnsi="宋体" w:eastAsia="宋体" w:cs="宋体"/>
          <w:sz w:val="28"/>
          <w:szCs w:val="28"/>
        </w:rPr>
      </w:pPr>
      <w:r>
        <w:rPr>
          <w:rFonts w:hint="eastAsia" w:ascii="宋体" w:hAnsi="宋体" w:eastAsia="宋体" w:cs="宋体"/>
          <w:sz w:val="28"/>
          <w:szCs w:val="28"/>
        </w:rPr>
        <w:t>主编单位：广东省</w:t>
      </w:r>
      <w:r>
        <w:rPr>
          <w:rFonts w:hint="eastAsia" w:ascii="宋体" w:hAnsi="宋体" w:eastAsia="宋体" w:cs="宋体"/>
          <w:sz w:val="28"/>
          <w:szCs w:val="28"/>
          <w:lang w:val="en-US" w:eastAsia="zh-CN"/>
        </w:rPr>
        <w:t>科学院</w:t>
      </w:r>
      <w:r>
        <w:rPr>
          <w:rFonts w:hint="eastAsia" w:ascii="宋体" w:hAnsi="宋体" w:eastAsia="宋体" w:cs="宋体"/>
          <w:sz w:val="28"/>
          <w:szCs w:val="28"/>
        </w:rPr>
        <w:t>工业分析检测中心</w:t>
      </w:r>
    </w:p>
    <w:p>
      <w:pPr>
        <w:spacing w:line="360" w:lineRule="auto"/>
        <w:jc w:val="center"/>
        <w:rPr>
          <w:rFonts w:ascii="黑体" w:eastAsia="黑体"/>
          <w:bCs/>
          <w:sz w:val="24"/>
        </w:rPr>
      </w:pPr>
    </w:p>
    <w:p>
      <w:pPr>
        <w:spacing w:line="360" w:lineRule="auto"/>
        <w:jc w:val="center"/>
        <w:rPr>
          <w:rFonts w:ascii="黑体" w:eastAsia="黑体"/>
          <w:bCs/>
          <w:sz w:val="24"/>
        </w:rPr>
      </w:pPr>
    </w:p>
    <w:p>
      <w:pPr>
        <w:spacing w:line="360" w:lineRule="auto"/>
        <w:rPr>
          <w:rFonts w:ascii="黑体" w:eastAsia="黑体"/>
          <w:bCs/>
          <w:sz w:val="24"/>
        </w:rPr>
      </w:pPr>
    </w:p>
    <w:p>
      <w:pPr>
        <w:spacing w:line="360" w:lineRule="auto"/>
        <w:rPr>
          <w:b/>
        </w:rPr>
      </w:pPr>
      <w:r>
        <w:rPr>
          <w:rFonts w:hint="eastAsia"/>
          <w:b/>
        </w:rPr>
        <w:t>一、工作简况</w:t>
      </w:r>
    </w:p>
    <w:p>
      <w:pPr>
        <w:spacing w:line="360" w:lineRule="auto"/>
        <w:rPr>
          <w:rFonts w:ascii="黑体" w:eastAsia="黑体"/>
          <w:szCs w:val="21"/>
        </w:rPr>
      </w:pPr>
      <w:r>
        <w:rPr>
          <w:rFonts w:ascii="黑体" w:eastAsia="黑体"/>
          <w:szCs w:val="21"/>
        </w:rPr>
        <w:t xml:space="preserve">1.1 </w:t>
      </w:r>
      <w:r>
        <w:rPr>
          <w:rFonts w:hint="eastAsia" w:ascii="黑体" w:hAnsi="宋体" w:eastAsia="黑体"/>
          <w:szCs w:val="21"/>
        </w:rPr>
        <w:t>任务来源</w:t>
      </w:r>
    </w:p>
    <w:p>
      <w:pPr>
        <w:pStyle w:val="10"/>
        <w:spacing w:after="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根据工业和信息化部《关于印发</w:t>
      </w:r>
      <w:r>
        <w:rPr>
          <w:rFonts w:hint="eastAsia" w:ascii="宋体" w:hAnsi="宋体" w:cs="宋体"/>
          <w:color w:val="auto"/>
          <w:szCs w:val="21"/>
          <w:lang w:val="en-US" w:eastAsia="zh-CN"/>
        </w:rPr>
        <w:t>2023</w:t>
      </w:r>
      <w:r>
        <w:rPr>
          <w:rFonts w:hint="eastAsia" w:ascii="宋体" w:hAnsi="宋体" w:eastAsia="宋体" w:cs="宋体"/>
          <w:color w:val="auto"/>
          <w:szCs w:val="21"/>
        </w:rPr>
        <w:t>年行业计量技术规范制修订计划的通知》（工信厅科函［</w:t>
      </w:r>
      <w:r>
        <w:rPr>
          <w:rFonts w:hint="eastAsia" w:ascii="宋体" w:hAnsi="宋体" w:cs="宋体"/>
          <w:color w:val="auto"/>
          <w:szCs w:val="21"/>
          <w:lang w:val="en-US" w:eastAsia="zh-CN"/>
        </w:rPr>
        <w:t>2023</w:t>
      </w:r>
      <w:r>
        <w:rPr>
          <w:rFonts w:hint="eastAsia" w:ascii="宋体" w:hAnsi="宋体" w:eastAsia="宋体" w:cs="宋体"/>
          <w:color w:val="auto"/>
          <w:szCs w:val="21"/>
        </w:rPr>
        <w:t>］</w:t>
      </w:r>
      <w:r>
        <w:rPr>
          <w:rFonts w:hint="eastAsia" w:ascii="宋体" w:hAnsi="宋体" w:cs="宋体"/>
          <w:color w:val="auto"/>
          <w:szCs w:val="21"/>
          <w:lang w:val="en-US" w:eastAsia="zh-CN"/>
        </w:rPr>
        <w:t>476</w:t>
      </w:r>
      <w:r>
        <w:rPr>
          <w:rFonts w:hint="eastAsia" w:ascii="宋体" w:hAnsi="宋体" w:eastAsia="宋体" w:cs="宋体"/>
          <w:color w:val="auto"/>
          <w:szCs w:val="21"/>
        </w:rPr>
        <w:t>号）文的要求，行业计量技术规范《松装密度漏斗法测定仪校准规范》由广东省</w:t>
      </w:r>
      <w:r>
        <w:rPr>
          <w:rFonts w:hint="eastAsia" w:ascii="宋体" w:hAnsi="宋体" w:eastAsia="宋体" w:cs="宋体"/>
          <w:color w:val="auto"/>
          <w:szCs w:val="21"/>
          <w:lang w:val="en-US" w:eastAsia="zh-CN"/>
        </w:rPr>
        <w:t>科学院</w:t>
      </w:r>
      <w:r>
        <w:rPr>
          <w:rFonts w:hint="eastAsia" w:ascii="宋体" w:hAnsi="宋体" w:eastAsia="宋体" w:cs="宋体"/>
          <w:color w:val="auto"/>
          <w:szCs w:val="21"/>
        </w:rPr>
        <w:t>工业分析检测中心负责起草。该项目计划编号为JJF</w:t>
      </w:r>
      <w:r>
        <w:rPr>
          <w:rFonts w:hint="eastAsia" w:ascii="宋体" w:hAnsi="宋体" w:eastAsia="宋体" w:cs="宋体"/>
          <w:color w:val="auto"/>
          <w:szCs w:val="21"/>
          <w:lang w:val="en-US" w:eastAsia="zh-CN"/>
        </w:rPr>
        <w:t>Z</w:t>
      </w:r>
      <w:r>
        <w:rPr>
          <w:rFonts w:hint="eastAsia" w:ascii="宋体" w:hAnsi="宋体" w:eastAsia="宋体" w:cs="宋体"/>
          <w:color w:val="auto"/>
          <w:szCs w:val="21"/>
        </w:rPr>
        <w:t>（有色金属）00</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。按计划要求，本技术规范应于202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年完成。</w:t>
      </w:r>
    </w:p>
    <w:p>
      <w:pPr>
        <w:pStyle w:val="10"/>
        <w:spacing w:after="0" w:line="360" w:lineRule="auto"/>
        <w:rPr>
          <w:rFonts w:ascii="黑体" w:hAnsi="宋体" w:eastAsia="黑体"/>
          <w:szCs w:val="21"/>
        </w:rPr>
      </w:pPr>
      <w:r>
        <w:rPr>
          <w:rFonts w:ascii="黑体" w:hAnsi="宋体" w:eastAsia="黑体"/>
          <w:szCs w:val="21"/>
        </w:rPr>
        <w:t xml:space="preserve">1.2 </w:t>
      </w:r>
      <w:r>
        <w:rPr>
          <w:rFonts w:hint="eastAsia" w:ascii="黑体" w:hAnsi="宋体" w:eastAsia="黑体"/>
          <w:szCs w:val="21"/>
        </w:rPr>
        <w:t>承担单位情况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w:t>
      </w:r>
      <w:r>
        <w:rPr>
          <w:rFonts w:hint="eastAsia" w:ascii="宋体" w:hAnsi="宋体" w:cs="宋体"/>
          <w:szCs w:val="21"/>
          <w:lang w:val="en-US" w:eastAsia="zh-CN"/>
        </w:rPr>
        <w:t>5</w:t>
      </w:r>
      <w:r>
        <w:rPr>
          <w:rFonts w:hint="eastAsia" w:ascii="宋体" w:hAnsi="宋体" w:eastAsia="宋体" w:cs="宋体"/>
          <w:szCs w:val="21"/>
          <w:lang w:val="en-US" w:eastAsia="zh-CN"/>
        </w:rPr>
        <w:t>0</w:t>
      </w:r>
      <w:r>
        <w:rPr>
          <w:rFonts w:hint="eastAsia" w:ascii="宋体" w:hAnsi="宋体" w:eastAsia="宋体" w:cs="宋体"/>
          <w:szCs w:val="21"/>
        </w:rPr>
        <w:t>余人，其中教授有1</w:t>
      </w:r>
      <w:r>
        <w:rPr>
          <w:rFonts w:hint="eastAsia" w:ascii="宋体" w:hAnsi="宋体" w:eastAsia="宋体" w:cs="宋体"/>
          <w:szCs w:val="21"/>
          <w:lang w:val="en-US" w:eastAsia="zh-CN"/>
        </w:rPr>
        <w:t>1</w:t>
      </w:r>
      <w:r>
        <w:rPr>
          <w:rFonts w:hint="eastAsia" w:ascii="宋体" w:hAnsi="宋体" w:eastAsia="宋体" w:cs="宋体"/>
          <w:szCs w:val="21"/>
        </w:rPr>
        <w:t>人，高级工程师24人，硕博士20人，具有中级职称以上科技人员占80%。承担国家、省级各类项目50余项，主持和参与国家、行业标准200余项，发表专著5部，发表论文300余篇。</w:t>
      </w:r>
    </w:p>
    <w:p>
      <w:pPr>
        <w:spacing w:line="360" w:lineRule="auto"/>
        <w:ind w:firstLine="420" w:firstLineChars="200"/>
        <w:rPr>
          <w:rFonts w:hint="eastAsia"/>
          <w:sz w:val="21"/>
          <w:szCs w:val="21"/>
        </w:rPr>
      </w:pPr>
      <w:r>
        <w:rPr>
          <w:rFonts w:hint="eastAsia"/>
          <w:sz w:val="21"/>
          <w:szCs w:val="21"/>
        </w:rPr>
        <w:t>西安汉唐分析检测有限公司成立于</w:t>
      </w:r>
      <w:r>
        <w:rPr>
          <w:sz w:val="21"/>
          <w:szCs w:val="21"/>
        </w:rPr>
        <w:t>2018</w:t>
      </w:r>
      <w:r>
        <w:rPr>
          <w:rFonts w:hint="eastAsia"/>
          <w:sz w:val="21"/>
          <w:szCs w:val="21"/>
        </w:rPr>
        <w:t>年</w:t>
      </w:r>
      <w:r>
        <w:rPr>
          <w:sz w:val="21"/>
          <w:szCs w:val="21"/>
        </w:rPr>
        <w:t>8</w:t>
      </w:r>
      <w:r>
        <w:rPr>
          <w:rFonts w:hint="eastAsia"/>
          <w:sz w:val="21"/>
          <w:szCs w:val="21"/>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Pr>
          <w:sz w:val="21"/>
          <w:szCs w:val="21"/>
        </w:rPr>
        <w:t>8000</w:t>
      </w:r>
      <w:r>
        <w:rPr>
          <w:rFonts w:hint="eastAsia"/>
          <w:sz w:val="21"/>
          <w:szCs w:val="21"/>
        </w:rPr>
        <w:t>余平米，下设泾渭分部、西北院分部、宝鸡分公司等三个业务分部。现有工作人员</w:t>
      </w:r>
      <w:r>
        <w:rPr>
          <w:sz w:val="21"/>
          <w:szCs w:val="21"/>
        </w:rPr>
        <w:t>150</w:t>
      </w:r>
      <w:r>
        <w:rPr>
          <w:rFonts w:hint="eastAsia"/>
          <w:sz w:val="21"/>
          <w:szCs w:val="21"/>
        </w:rPr>
        <w:t>余名，其中技术人员</w:t>
      </w:r>
      <w:r>
        <w:rPr>
          <w:sz w:val="21"/>
          <w:szCs w:val="21"/>
        </w:rPr>
        <w:t>70</w:t>
      </w:r>
      <w:r>
        <w:rPr>
          <w:rFonts w:hint="eastAsia"/>
          <w:sz w:val="21"/>
          <w:szCs w:val="21"/>
        </w:rPr>
        <w:t>余名，拥有各种仪器设备设施</w:t>
      </w:r>
      <w:r>
        <w:rPr>
          <w:sz w:val="21"/>
          <w:szCs w:val="21"/>
        </w:rPr>
        <w:t>120</w:t>
      </w:r>
      <w:r>
        <w:rPr>
          <w:rFonts w:hint="eastAsia"/>
          <w:sz w:val="21"/>
          <w:szCs w:val="21"/>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sz w:val="21"/>
          <w:szCs w:val="21"/>
        </w:rPr>
        <w:t>/</w:t>
      </w:r>
      <w:r>
        <w:rPr>
          <w:rFonts w:hint="eastAsia"/>
          <w:sz w:val="21"/>
          <w:szCs w:val="21"/>
        </w:rPr>
        <w:t>国家</w:t>
      </w:r>
      <w:r>
        <w:rPr>
          <w:sz w:val="21"/>
          <w:szCs w:val="21"/>
        </w:rPr>
        <w:t>/</w:t>
      </w:r>
      <w:r>
        <w:rPr>
          <w:rFonts w:hint="eastAsia"/>
          <w:sz w:val="21"/>
          <w:szCs w:val="21"/>
        </w:rPr>
        <w:t>行业标准制定、计量技术规范、分析方法研究、标准物质研制、人员培训等服务项目。</w:t>
      </w:r>
    </w:p>
    <w:p>
      <w:pPr>
        <w:spacing w:line="360" w:lineRule="auto"/>
        <w:ind w:firstLine="420" w:firstLineChars="200"/>
        <w:rPr>
          <w:rFonts w:hint="eastAsia"/>
          <w:sz w:val="21"/>
          <w:szCs w:val="21"/>
        </w:rPr>
      </w:pPr>
      <w:r>
        <w:rPr>
          <w:rFonts w:hint="eastAsia"/>
        </w:rPr>
        <w:t>国标（北京）检验认证有限公司（以下简称国标检验）于</w:t>
      </w:r>
      <w:r>
        <w:t>2014</w:t>
      </w:r>
      <w:r>
        <w:rPr>
          <w:rFonts w:hint="eastAsia"/>
        </w:rPr>
        <w:t>年</w:t>
      </w:r>
      <w:r>
        <w:t>7</w:t>
      </w:r>
      <w:r>
        <w:rPr>
          <w:rFonts w:hint="eastAsia"/>
        </w:rPr>
        <w:t>月由原北京有色金属研究总院测试技术研究所改制成立，系中央企业有研科技集团有限公司（原北京有色金属研究总院）下属国合通用测试评价认证股份公司的全资子公司。国标检验是中国有色金属行业测试评价技术开发的骨干单位和分析测试标准的主要起草单位之一。主要从事金属材料及产品、有色金属矿物的化学成分成分、组织结构分析、物理性能测试、力学性能测试、无损探伤检测、失效分析等测试评价服务，培训、咨询、认证等技术服务，以及分析仪器研制、标准物质生产等。先后承担国家科技重大专项、国际科技支撑计划、国家自然科学基金等国家级科研项目</w:t>
      </w:r>
      <w:r>
        <w:t>41</w:t>
      </w:r>
      <w:r>
        <w:rPr>
          <w:rFonts w:hint="eastAsia"/>
        </w:rPr>
        <w:t>项，获得省部级科技成果奖励</w:t>
      </w:r>
      <w:r>
        <w:t>110</w:t>
      </w:r>
      <w:r>
        <w:rPr>
          <w:rFonts w:hint="eastAsia"/>
        </w:rPr>
        <w:t>余项，拥有授权中国专利和国际专利</w:t>
      </w:r>
      <w:r>
        <w:t>100</w:t>
      </w:r>
      <w:r>
        <w:rPr>
          <w:rFonts w:hint="eastAsia"/>
        </w:rPr>
        <w:t>余项，制定国家和行业标准</w:t>
      </w:r>
      <w:r>
        <w:t>381</w:t>
      </w:r>
      <w:r>
        <w:rPr>
          <w:rFonts w:hint="eastAsia"/>
        </w:rPr>
        <w:t>项，研制国家标准物质</w:t>
      </w:r>
      <w:r>
        <w:t>/</w:t>
      </w:r>
      <w:r>
        <w:rPr>
          <w:rFonts w:hint="eastAsia"/>
        </w:rPr>
        <w:t>标准样品</w:t>
      </w:r>
      <w:r>
        <w:t>162</w:t>
      </w:r>
      <w:r>
        <w:rPr>
          <w:rFonts w:hint="eastAsia"/>
        </w:rPr>
        <w:t>个，在国内外期刊发表学术论文</w:t>
      </w:r>
      <w:r>
        <w:t>800</w:t>
      </w:r>
      <w:r>
        <w:rPr>
          <w:rFonts w:hint="eastAsia"/>
        </w:rPr>
        <w:t>多篇，撰写学术著作</w:t>
      </w:r>
      <w:r>
        <w:t>23</w:t>
      </w:r>
      <w:r>
        <w:rPr>
          <w:rFonts w:hint="eastAsia"/>
        </w:rPr>
        <w:t>部。</w:t>
      </w:r>
    </w:p>
    <w:p>
      <w:pPr>
        <w:spacing w:line="360" w:lineRule="auto"/>
        <w:ind w:firstLine="420" w:firstLineChars="200"/>
        <w:rPr>
          <w:rFonts w:hint="eastAsia" w:asciiTheme="minorEastAsia" w:hAnsiTheme="minorEastAsia"/>
          <w:szCs w:val="21"/>
          <w:lang w:eastAsia="zh-CN"/>
        </w:rPr>
      </w:pPr>
      <w:r>
        <w:rPr>
          <w:rFonts w:hint="eastAsia"/>
        </w:rPr>
        <w:t>天津</w:t>
      </w:r>
      <w:r>
        <w:rPr>
          <w:rFonts w:hint="eastAsia"/>
          <w:lang w:eastAsia="zh-CN"/>
        </w:rPr>
        <w:t>艾隆</w:t>
      </w:r>
      <w:r>
        <w:rPr>
          <w:rFonts w:hint="eastAsia"/>
        </w:rPr>
        <w:t>科技有限公司是我国</w:t>
      </w:r>
      <w:r>
        <w:rPr>
          <w:rFonts w:hint="eastAsia"/>
          <w:szCs w:val="21"/>
        </w:rPr>
        <w:t>铝合金建筑型材用丙烯酸电泳涂料的主要供货厂家之一，</w:t>
      </w:r>
      <w:r>
        <w:rPr>
          <w:rFonts w:hint="eastAsia" w:asciiTheme="minorEastAsia" w:hAnsiTheme="minorEastAsia"/>
          <w:szCs w:val="21"/>
        </w:rPr>
        <w:t>成立于2003年，是在天津滨海经济开发区注册的一家拥有高新技术及人才的独资企业，主要生产、销售铝型材专用阳极电泳涂料。公司现在拥有外籍专家4名，高级工程师6名，工程师及技术人员12名。</w:t>
      </w:r>
      <w:r>
        <w:rPr>
          <w:rFonts w:hint="eastAsia" w:asciiTheme="minorEastAsia" w:hAnsiTheme="minorEastAsia"/>
          <w:szCs w:val="21"/>
          <w:lang w:eastAsia="zh-CN"/>
        </w:rPr>
        <w:t>参与大量标准的制修订工作，具有较高的</w:t>
      </w:r>
      <w:r>
        <w:rPr>
          <w:rFonts w:hint="eastAsia" w:asciiTheme="minorEastAsia" w:hAnsiTheme="minorEastAsia"/>
          <w:szCs w:val="21"/>
        </w:rPr>
        <w:t>综合技术实力</w:t>
      </w:r>
      <w:r>
        <w:rPr>
          <w:rFonts w:hint="eastAsia" w:asciiTheme="minorEastAsia" w:hAnsiTheme="minorEastAsia"/>
          <w:szCs w:val="21"/>
          <w:lang w:eastAsia="zh-CN"/>
        </w:rPr>
        <w:t>。</w:t>
      </w:r>
    </w:p>
    <w:p>
      <w:pPr>
        <w:spacing w:line="360" w:lineRule="auto"/>
        <w:ind w:firstLine="420" w:firstLineChars="200"/>
        <w:rPr>
          <w:rFonts w:hint="eastAsia" w:asciiTheme="minorEastAsia" w:hAnsiTheme="minorEastAsia"/>
          <w:szCs w:val="21"/>
          <w:lang w:eastAsia="zh-CN"/>
        </w:rPr>
      </w:pPr>
      <w:r>
        <w:rPr>
          <w:rFonts w:hint="eastAsia"/>
          <w:bCs/>
        </w:rPr>
        <w:t>西南铝业</w:t>
      </w:r>
      <w:r>
        <w:rPr>
          <w:rFonts w:hint="eastAsia"/>
          <w:bCs/>
          <w:lang w:eastAsia="zh-CN"/>
        </w:rPr>
        <w:t>（</w:t>
      </w:r>
      <w:r>
        <w:rPr>
          <w:rFonts w:hint="eastAsia"/>
          <w:bCs/>
        </w:rPr>
        <w:t>集团</w:t>
      </w:r>
      <w:r>
        <w:rPr>
          <w:rFonts w:hint="eastAsia"/>
          <w:bCs/>
          <w:lang w:eastAsia="zh-CN"/>
        </w:rPr>
        <w:t>）</w:t>
      </w:r>
      <w:r>
        <w:rPr>
          <w:rFonts w:hint="eastAsia"/>
          <w:bCs/>
        </w:rPr>
        <w:t>有限责任公司</w:t>
      </w:r>
      <w:r>
        <w:rPr>
          <w:rFonts w:hint="eastAsia"/>
          <w:bCs/>
          <w:lang w:eastAsia="zh-CN"/>
        </w:rPr>
        <w:t>（</w:t>
      </w:r>
      <w:r>
        <w:rPr>
          <w:rFonts w:hint="eastAsia"/>
          <w:bCs/>
        </w:rPr>
        <w:t>简称西南铝</w:t>
      </w:r>
      <w:r>
        <w:rPr>
          <w:rFonts w:hint="eastAsia"/>
          <w:bCs/>
          <w:lang w:eastAsia="zh-CN"/>
        </w:rPr>
        <w:t>）</w:t>
      </w:r>
      <w:r>
        <w:rPr>
          <w:rFonts w:hint="eastAsia"/>
          <w:bCs/>
        </w:rPr>
        <w:t>位于重庆市九龙坡区西彭镇</w:t>
      </w:r>
      <w:r>
        <w:rPr>
          <w:rFonts w:hint="eastAsia"/>
          <w:bCs/>
          <w:lang w:eastAsia="zh-CN"/>
        </w:rPr>
        <w:t>，</w:t>
      </w:r>
      <w:r>
        <w:rPr>
          <w:rFonts w:hint="eastAsia"/>
          <w:bCs/>
        </w:rPr>
        <w:t>前身为冶金部112厂、西南铝加工厂</w:t>
      </w:r>
      <w:r>
        <w:rPr>
          <w:rFonts w:hint="eastAsia"/>
          <w:bCs/>
          <w:lang w:eastAsia="zh-CN"/>
        </w:rPr>
        <w:t>，</w:t>
      </w:r>
      <w:r>
        <w:rPr>
          <w:rFonts w:hint="eastAsia"/>
          <w:bCs/>
        </w:rPr>
        <w:t>始建于1965年7月</w:t>
      </w:r>
      <w:r>
        <w:rPr>
          <w:rFonts w:hint="eastAsia"/>
          <w:bCs/>
          <w:lang w:eastAsia="zh-CN"/>
        </w:rPr>
        <w:t>，</w:t>
      </w:r>
      <w:r>
        <w:rPr>
          <w:rFonts w:hint="eastAsia"/>
          <w:bCs/>
        </w:rPr>
        <w:t>2000年12月改制成立有限责任公司</w:t>
      </w:r>
      <w:r>
        <w:rPr>
          <w:rFonts w:hint="eastAsia"/>
          <w:bCs/>
          <w:lang w:eastAsia="zh-CN"/>
        </w:rPr>
        <w:t>，</w:t>
      </w:r>
      <w:r>
        <w:rPr>
          <w:rFonts w:hint="eastAsia"/>
          <w:bCs/>
        </w:rPr>
        <w:t>是我国</w:t>
      </w:r>
      <w:r>
        <w:rPr>
          <w:rFonts w:hint="eastAsia"/>
          <w:bCs/>
          <w:lang w:eastAsia="zh-CN"/>
        </w:rPr>
        <w:t>为</w:t>
      </w:r>
      <w:r>
        <w:rPr>
          <w:rFonts w:hint="eastAsia"/>
          <w:bCs/>
        </w:rPr>
        <w:t>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w:t>
      </w:r>
      <w:r>
        <w:rPr>
          <w:rFonts w:hint="eastAsia"/>
          <w:bCs/>
          <w:lang w:eastAsia="zh-CN"/>
        </w:rPr>
        <w:t>，</w:t>
      </w:r>
      <w:r>
        <w:rPr>
          <w:rFonts w:hint="eastAsia"/>
          <w:bCs/>
        </w:rPr>
        <w:t>建有院士工作站</w:t>
      </w:r>
      <w:r>
        <w:rPr>
          <w:rFonts w:hint="eastAsia"/>
          <w:bCs/>
          <w:lang w:eastAsia="zh-CN"/>
        </w:rPr>
        <w:t>，</w:t>
      </w:r>
      <w:r>
        <w:rPr>
          <w:rFonts w:hint="eastAsia"/>
          <w:bCs/>
        </w:rPr>
        <w:t>拥有国家级企业技术中心</w:t>
      </w:r>
      <w:r>
        <w:rPr>
          <w:rFonts w:hint="eastAsia"/>
          <w:bCs/>
          <w:lang w:eastAsia="zh-CN"/>
        </w:rPr>
        <w:t>，</w:t>
      </w:r>
      <w:r>
        <w:rPr>
          <w:rFonts w:hint="eastAsia"/>
          <w:bCs/>
        </w:rPr>
        <w:t>技术研发实力国内领先。率先开发出以地铁车辆用铝型材、易拉罐用铝板材、印刷用铝版基等为代表的大量高品质新型铝合金材料以及全铝家居系列产品</w:t>
      </w:r>
      <w:r>
        <w:rPr>
          <w:rFonts w:hint="eastAsia"/>
          <w:bCs/>
          <w:lang w:eastAsia="zh-CN"/>
        </w:rPr>
        <w:t>，</w:t>
      </w:r>
      <w:r>
        <w:rPr>
          <w:rFonts w:hint="eastAsia"/>
          <w:bCs/>
        </w:rPr>
        <w:t>“西南铝”驰名商标已成为具有国际影响力的中国铝加工品牌。</w:t>
      </w:r>
    </w:p>
    <w:p>
      <w:pPr>
        <w:pStyle w:val="10"/>
        <w:spacing w:after="0" w:line="360" w:lineRule="auto"/>
        <w:rPr>
          <w:rFonts w:ascii="黑体" w:eastAsia="黑体"/>
          <w:szCs w:val="21"/>
        </w:rPr>
      </w:pPr>
      <w:r>
        <w:rPr>
          <w:rFonts w:ascii="黑体" w:eastAsia="黑体"/>
          <w:szCs w:val="21"/>
        </w:rPr>
        <w:t>1.3</w:t>
      </w:r>
      <w:r>
        <w:rPr>
          <w:rFonts w:hint="eastAsia" w:ascii="黑体" w:eastAsia="黑体"/>
          <w:szCs w:val="21"/>
          <w:lang w:val="en-US" w:eastAsia="zh-CN"/>
        </w:rPr>
        <w:t xml:space="preserve"> </w:t>
      </w:r>
      <w:r>
        <w:rPr>
          <w:rFonts w:hint="eastAsia" w:ascii="黑体" w:hAnsi="宋体" w:eastAsia="黑体"/>
          <w:szCs w:val="21"/>
        </w:rPr>
        <w:t>主要工作过程</w:t>
      </w:r>
    </w:p>
    <w:p>
      <w:pPr>
        <w:numPr>
          <w:ilvl w:val="0"/>
          <w:numId w:val="0"/>
        </w:numPr>
        <w:bidi w:val="0"/>
        <w:spacing w:line="360" w:lineRule="auto"/>
        <w:ind w:firstLine="420" w:firstLineChars="200"/>
        <w:rPr>
          <w:rFonts w:hint="eastAsia" w:ascii="宋体" w:hAnsi="宋体" w:cs="宋体"/>
          <w:bCs/>
          <w:color w:val="000000"/>
          <w:szCs w:val="21"/>
          <w:lang w:eastAsia="zh-CN"/>
        </w:rPr>
      </w:pPr>
      <w:r>
        <w:rPr>
          <w:rFonts w:hint="eastAsia" w:ascii="宋体" w:hAnsi="宋体" w:cs="宋体"/>
          <w:bCs/>
          <w:color w:val="000000"/>
          <w:szCs w:val="21"/>
          <w:lang w:eastAsia="zh-CN"/>
        </w:rPr>
        <w:t>广东省</w:t>
      </w:r>
      <w:r>
        <w:rPr>
          <w:rFonts w:hint="eastAsia" w:ascii="宋体" w:hAnsi="宋体" w:cs="宋体"/>
          <w:bCs/>
          <w:color w:val="000000"/>
          <w:szCs w:val="21"/>
          <w:lang w:val="en-US" w:eastAsia="zh-CN"/>
        </w:rPr>
        <w:t>科学院</w:t>
      </w:r>
      <w:r>
        <w:rPr>
          <w:rFonts w:hint="eastAsia" w:ascii="宋体" w:hAnsi="宋体" w:cs="宋体"/>
          <w:bCs/>
          <w:color w:val="000000"/>
          <w:szCs w:val="21"/>
          <w:lang w:eastAsia="zh-CN"/>
        </w:rPr>
        <w:t>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numPr>
          <w:ilvl w:val="0"/>
          <w:numId w:val="0"/>
        </w:numPr>
        <w:bidi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20</w:t>
      </w:r>
      <w:r>
        <w:rPr>
          <w:rFonts w:hint="eastAsia" w:ascii="宋体" w:hAnsi="宋体" w:eastAsia="宋体" w:cs="宋体"/>
          <w:lang w:val="en-US" w:eastAsia="zh-CN"/>
        </w:rPr>
        <w:t>23</w:t>
      </w:r>
      <w:r>
        <w:rPr>
          <w:rFonts w:hint="eastAsia" w:ascii="宋体" w:hAnsi="宋体" w:eastAsia="宋体" w:cs="宋体"/>
        </w:rPr>
        <w:t>年1</w:t>
      </w:r>
      <w:r>
        <w:rPr>
          <w:rFonts w:hint="eastAsia" w:ascii="宋体" w:hAnsi="宋体" w:eastAsia="宋体" w:cs="宋体"/>
          <w:lang w:val="en-US" w:eastAsia="zh-CN"/>
        </w:rPr>
        <w:t>2</w:t>
      </w:r>
      <w:r>
        <w:rPr>
          <w:rFonts w:hint="eastAsia" w:ascii="宋体" w:hAnsi="宋体" w:eastAsia="宋体" w:cs="宋体"/>
        </w:rPr>
        <w:t>月成立计量规范编制组，</w:t>
      </w:r>
      <w:r>
        <w:rPr>
          <w:rFonts w:hint="eastAsia"/>
          <w:bCs/>
        </w:rPr>
        <w:t>参与单位有</w:t>
      </w:r>
      <w:r>
        <w:rPr>
          <w:rFonts w:hint="eastAsia" w:ascii="宋体" w:hAnsi="宋体" w:cs="宋体"/>
          <w:bCs/>
          <w:color w:val="000000"/>
          <w:szCs w:val="21"/>
          <w:lang w:eastAsia="zh-CN"/>
        </w:rPr>
        <w:t>西安汉唐分析检测有限公司</w:t>
      </w:r>
      <w:r>
        <w:rPr>
          <w:rFonts w:hint="eastAsia" w:ascii="宋体" w:hAnsi="宋体" w:cs="宋体"/>
          <w:bCs/>
          <w:color w:val="000000"/>
          <w:szCs w:val="21"/>
          <w:lang w:eastAsia="zh-CN"/>
        </w:rPr>
        <w:t>、国标（北京）检验认证有限公司、</w:t>
      </w:r>
      <w:r>
        <w:rPr>
          <w:rFonts w:hint="eastAsia"/>
        </w:rPr>
        <w:t>天津</w:t>
      </w:r>
      <w:r>
        <w:rPr>
          <w:rFonts w:hint="eastAsia"/>
          <w:lang w:eastAsia="zh-CN"/>
        </w:rPr>
        <w:t>新艾隆</w:t>
      </w:r>
      <w:r>
        <w:rPr>
          <w:rFonts w:hint="eastAsia"/>
        </w:rPr>
        <w:t>科技有限公司</w:t>
      </w:r>
      <w:r>
        <w:rPr>
          <w:rFonts w:hint="eastAsia"/>
          <w:lang w:eastAsia="zh-CN"/>
        </w:rPr>
        <w:t>和</w:t>
      </w:r>
      <w:r>
        <w:rPr>
          <w:rFonts w:hint="eastAsia"/>
          <w:bCs/>
        </w:rPr>
        <w:t>西南铝业</w:t>
      </w:r>
      <w:r>
        <w:rPr>
          <w:rFonts w:hint="eastAsia"/>
          <w:bCs/>
          <w:lang w:eastAsia="zh-CN"/>
        </w:rPr>
        <w:t>（</w:t>
      </w:r>
      <w:r>
        <w:rPr>
          <w:rFonts w:hint="eastAsia"/>
          <w:bCs/>
        </w:rPr>
        <w:t>集团</w:t>
      </w:r>
      <w:r>
        <w:rPr>
          <w:rFonts w:hint="eastAsia"/>
          <w:bCs/>
          <w:lang w:eastAsia="zh-CN"/>
        </w:rPr>
        <w:t>）</w:t>
      </w:r>
      <w:r>
        <w:rPr>
          <w:rFonts w:hint="eastAsia"/>
          <w:bCs/>
        </w:rPr>
        <w:t>有限责任公司</w:t>
      </w:r>
      <w:r>
        <w:rPr>
          <w:rFonts w:hint="eastAsia" w:ascii="宋体" w:hAnsi="宋体" w:cs="宋体"/>
          <w:bCs/>
          <w:color w:val="000000"/>
          <w:szCs w:val="21"/>
          <w:lang w:eastAsia="zh-CN"/>
        </w:rPr>
        <w:t>等</w:t>
      </w:r>
      <w:r>
        <w:rPr>
          <w:rFonts w:hint="eastAsia"/>
          <w:szCs w:val="21"/>
        </w:rPr>
        <w:t>，</w:t>
      </w:r>
      <w:r>
        <w:rPr>
          <w:rFonts w:hint="eastAsia" w:ascii="宋体" w:hAnsi="宋体" w:eastAsia="宋体" w:cs="宋体"/>
        </w:rPr>
        <w:t>并明确了工作的职能和任务。</w:t>
      </w:r>
    </w:p>
    <w:p>
      <w:pPr>
        <w:numPr>
          <w:ilvl w:val="0"/>
          <w:numId w:val="0"/>
        </w:numPr>
        <w:bidi w:val="0"/>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月计量规范编制组成员认真学习了《国家计量校准规范编写规则》，对松装密度漏斗法测定仪校准规范中的校准参数及方法进行了讨论，确定了校准参数，在</w:t>
      </w:r>
      <w:r>
        <w:rPr>
          <w:rFonts w:hint="eastAsia" w:ascii="宋体" w:hAnsi="宋体" w:eastAsia="宋体" w:cs="宋体"/>
          <w:lang w:val="en-US" w:eastAsia="zh-CN"/>
        </w:rPr>
        <w:t>4</w:t>
      </w:r>
      <w:r>
        <w:rPr>
          <w:rFonts w:hint="eastAsia" w:ascii="宋体" w:hAnsi="宋体" w:eastAsia="宋体" w:cs="宋体"/>
        </w:rPr>
        <w:t>月初形成了装密度漏斗法测定仪校准规范讨论稿。</w:t>
      </w:r>
    </w:p>
    <w:p>
      <w:pPr>
        <w:bidi w:val="0"/>
        <w:spacing w:line="360" w:lineRule="auto"/>
        <w:ind w:firstLine="420" w:firstLineChars="200"/>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cs="宋体"/>
          <w:lang w:val="en-US" w:eastAsia="zh-CN"/>
        </w:rPr>
        <w:t>23日</w:t>
      </w:r>
      <w:bookmarkStart w:id="3" w:name="_GoBack"/>
      <w:bookmarkEnd w:id="3"/>
      <w:r>
        <w:rPr>
          <w:rFonts w:hint="eastAsia" w:ascii="宋体" w:hAnsi="宋体" w:cs="宋体"/>
          <w:lang w:val="en-US" w:eastAsia="zh-CN"/>
        </w:rPr>
        <w:t>～</w:t>
      </w: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rPr>
        <w:t>日参加了由有色金属行业计量技术委员会组织的在</w:t>
      </w:r>
      <w:r>
        <w:rPr>
          <w:rFonts w:hint="eastAsia" w:ascii="宋体" w:hAnsi="宋体" w:eastAsia="宋体" w:cs="宋体"/>
          <w:lang w:val="en-US" w:eastAsia="zh-CN"/>
        </w:rPr>
        <w:t>长沙</w:t>
      </w:r>
      <w:r>
        <w:rPr>
          <w:rFonts w:hint="eastAsia" w:ascii="宋体" w:hAnsi="宋体" w:eastAsia="宋体" w:cs="宋体"/>
        </w:rPr>
        <w:t>召开的有色金属行业计量技术委员会工作会，会上与会专家对本计量规范的讨论稿提出了宝贵的意见和建议。</w:t>
      </w:r>
      <w:r>
        <w:rPr>
          <w:rFonts w:hint="eastAsia" w:ascii="宋体" w:hAnsi="宋体" w:cs="宋体"/>
          <w:lang w:eastAsia="zh-CN"/>
        </w:rPr>
        <w:t>提出修改意见如下：对规范中的原理示意图注明各个位置的图例说明；第</w:t>
      </w:r>
      <w:r>
        <w:rPr>
          <w:rFonts w:hint="eastAsia" w:ascii="宋体" w:hAnsi="宋体" w:cs="宋体"/>
          <w:lang w:val="en-US" w:eastAsia="zh-CN"/>
        </w:rPr>
        <w:t>4节与第5节顺序调整，将低节的通用技术要求改为校准条件；</w:t>
      </w:r>
      <w:r>
        <w:rPr>
          <w:rFonts w:hint="eastAsia" w:ascii="宋体" w:hAnsi="宋体" w:cs="宋体"/>
          <w:lang w:eastAsia="zh-CN"/>
        </w:rPr>
        <w:t>内锥面粗糙度参数对结果影响不大较难校准的情况下此项删除；附录</w:t>
      </w:r>
      <w:r>
        <w:rPr>
          <w:rFonts w:hint="eastAsia" w:ascii="宋体" w:hAnsi="宋体" w:cs="宋体"/>
          <w:lang w:val="en-US" w:eastAsia="zh-CN"/>
        </w:rPr>
        <w:t>C不确定度评定示例重新修改描述</w:t>
      </w:r>
      <w:r>
        <w:rPr>
          <w:rFonts w:hint="eastAsia" w:ascii="宋体" w:hAnsi="宋体" w:cs="宋体"/>
          <w:lang w:eastAsia="zh-CN"/>
        </w:rPr>
        <w:t>。</w:t>
      </w:r>
    </w:p>
    <w:p>
      <w:pPr>
        <w:bidi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20</w:t>
      </w:r>
      <w:r>
        <w:rPr>
          <w:rFonts w:hint="eastAsia" w:ascii="宋体" w:hAnsi="宋体" w:eastAsia="宋体" w:cs="宋体"/>
          <w:lang w:val="en-US" w:eastAsia="zh-CN"/>
        </w:rPr>
        <w:t>24</w:t>
      </w:r>
      <w:r>
        <w:rPr>
          <w:rFonts w:hint="eastAsia" w:ascii="宋体" w:hAnsi="宋体" w:eastAsia="宋体" w:cs="宋体"/>
        </w:rPr>
        <w:t>年</w:t>
      </w:r>
      <w:r>
        <w:rPr>
          <w:rFonts w:hint="eastAsia" w:ascii="宋体" w:hAnsi="宋体" w:eastAsia="宋体" w:cs="宋体"/>
          <w:lang w:val="en-US" w:eastAsia="zh-CN"/>
        </w:rPr>
        <w:t>5</w:t>
      </w:r>
      <w:r>
        <w:rPr>
          <w:rFonts w:hint="eastAsia" w:ascii="宋体" w:hAnsi="宋体" w:eastAsia="宋体" w:cs="宋体"/>
        </w:rPr>
        <w:t>月</w:t>
      </w:r>
      <w:r>
        <w:rPr>
          <w:rFonts w:hint="eastAsia" w:ascii="宋体" w:hAnsi="宋体" w:eastAsia="宋体" w:cs="宋体"/>
          <w:lang w:eastAsia="zh-CN"/>
        </w:rPr>
        <w:t>，</w:t>
      </w:r>
      <w:r>
        <w:rPr>
          <w:rFonts w:hint="eastAsia" w:ascii="宋体" w:hAnsi="宋体" w:eastAsia="宋体" w:cs="宋体"/>
        </w:rPr>
        <w:t>规范编制组</w:t>
      </w:r>
      <w:r>
        <w:rPr>
          <w:rFonts w:hint="eastAsia" w:ascii="宋体" w:hAnsi="宋体" w:eastAsia="宋体" w:cs="宋体"/>
          <w:lang w:val="en-US" w:eastAsia="zh-CN"/>
        </w:rPr>
        <w:t>针对讨论会上各专家对本</w:t>
      </w:r>
      <w:r>
        <w:rPr>
          <w:rFonts w:hint="eastAsia" w:ascii="宋体" w:hAnsi="宋体" w:eastAsia="宋体" w:cs="宋体"/>
        </w:rPr>
        <w:t>计量规范讨论稿提出</w:t>
      </w:r>
      <w:r>
        <w:rPr>
          <w:rFonts w:hint="eastAsia" w:ascii="宋体" w:hAnsi="宋体" w:eastAsia="宋体" w:cs="宋体"/>
          <w:lang w:val="en-US" w:eastAsia="zh-CN"/>
        </w:rPr>
        <w:t>的意见，对</w:t>
      </w:r>
      <w:r>
        <w:rPr>
          <w:rFonts w:hint="eastAsia" w:ascii="宋体" w:hAnsi="宋体" w:eastAsia="宋体" w:cs="宋体"/>
        </w:rPr>
        <w:t>计量规范讨论稿</w:t>
      </w:r>
      <w:r>
        <w:rPr>
          <w:rFonts w:hint="eastAsia" w:ascii="宋体" w:hAnsi="宋体" w:eastAsia="宋体" w:cs="宋体"/>
          <w:lang w:val="en-US" w:eastAsia="zh-CN"/>
        </w:rPr>
        <w:t>进行修改并形成了征求意见稿。</w:t>
      </w:r>
    </w:p>
    <w:p>
      <w:pPr>
        <w:adjustRightInd w:val="0"/>
        <w:snapToGrid w:val="0"/>
        <w:spacing w:line="360" w:lineRule="auto"/>
        <w:rPr>
          <w:rFonts w:ascii="黑体" w:eastAsia="黑体"/>
          <w:color w:val="FF0000"/>
          <w:szCs w:val="21"/>
        </w:rPr>
      </w:pPr>
      <w:r>
        <w:rPr>
          <w:rFonts w:hint="eastAsia"/>
          <w:color w:val="000000"/>
          <w:szCs w:val="21"/>
        </w:rPr>
        <w:t>二、</w:t>
      </w:r>
      <w:r>
        <w:rPr>
          <w:rFonts w:hint="eastAsia" w:ascii="黑体" w:hAnsi="宋体" w:eastAsia="黑体"/>
          <w:szCs w:val="21"/>
        </w:rPr>
        <w:t>编制原则和依据</w:t>
      </w:r>
    </w:p>
    <w:p>
      <w:pPr>
        <w:pStyle w:val="10"/>
        <w:spacing w:after="0" w:line="360" w:lineRule="auto"/>
        <w:rPr>
          <w:rFonts w:ascii="黑体" w:eastAsia="黑体"/>
          <w:szCs w:val="21"/>
        </w:rPr>
      </w:pPr>
      <w:r>
        <w:rPr>
          <w:rFonts w:ascii="黑体" w:eastAsia="黑体"/>
          <w:szCs w:val="21"/>
        </w:rPr>
        <w:t>2.1</w:t>
      </w:r>
      <w:r>
        <w:rPr>
          <w:rFonts w:hint="eastAsia" w:ascii="黑体" w:hAnsi="宋体" w:eastAsia="黑体"/>
          <w:szCs w:val="21"/>
        </w:rPr>
        <w:t>规范编制原则</w:t>
      </w:r>
    </w:p>
    <w:p>
      <w:pPr>
        <w:spacing w:line="360" w:lineRule="auto"/>
        <w:ind w:firstLine="435"/>
        <w:rPr>
          <w:rFonts w:hint="eastAsia" w:ascii="宋体" w:hAnsi="宋体" w:eastAsia="宋体" w:cs="宋体"/>
          <w:szCs w:val="21"/>
        </w:rPr>
      </w:pPr>
      <w:r>
        <w:rPr>
          <w:rFonts w:hint="eastAsia" w:ascii="宋体" w:hAnsi="宋体" w:eastAsia="宋体" w:cs="宋体"/>
          <w:szCs w:val="21"/>
        </w:rPr>
        <w:t>1）该规范按照</w:t>
      </w:r>
      <w:r>
        <w:rPr>
          <w:rFonts w:hint="eastAsia" w:ascii="宋体" w:hAnsi="宋体" w:eastAsia="宋体" w:cs="宋体"/>
        </w:rPr>
        <w:t>JJF 1071-2010《国家计量校准规范编写规则》、JJF 1001</w:t>
      </w:r>
      <w:r>
        <w:rPr>
          <w:rFonts w:hint="eastAsia" w:ascii="宋体" w:hAnsi="宋体" w:eastAsia="宋体" w:cs="宋体"/>
          <w:lang w:val="en-US" w:eastAsia="zh-CN"/>
        </w:rPr>
        <w:t>-</w:t>
      </w:r>
      <w:r>
        <w:rPr>
          <w:rFonts w:hint="eastAsia" w:ascii="宋体" w:hAnsi="宋体" w:eastAsia="宋体" w:cs="宋体"/>
        </w:rPr>
        <w:t>2011《通用计量术语及定义》和JJF 1059.1</w:t>
      </w:r>
      <w:r>
        <w:rPr>
          <w:rFonts w:hint="eastAsia" w:ascii="宋体" w:hAnsi="宋体" w:eastAsia="宋体" w:cs="宋体"/>
          <w:lang w:val="en-US" w:eastAsia="zh-CN"/>
        </w:rPr>
        <w:t>-</w:t>
      </w:r>
      <w:r>
        <w:rPr>
          <w:rFonts w:hint="eastAsia" w:ascii="宋体" w:hAnsi="宋体" w:eastAsia="宋体" w:cs="宋体"/>
        </w:rPr>
        <w:t>2012《测量不确定度评定与表示》编写。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2）先进性：本规范依据GB/T</w:t>
      </w:r>
      <w:r>
        <w:rPr>
          <w:rFonts w:hint="eastAsia" w:ascii="宋体" w:hAnsi="宋体" w:eastAsia="宋体" w:cs="宋体"/>
          <w:szCs w:val="21"/>
          <w:lang w:val="en-US" w:eastAsia="zh-CN"/>
        </w:rPr>
        <w:t xml:space="preserve"> 1479.1</w:t>
      </w:r>
      <w:r>
        <w:rPr>
          <w:rFonts w:hint="eastAsia" w:ascii="宋体" w:hAnsi="宋体" w:cs="宋体"/>
          <w:szCs w:val="21"/>
          <w:lang w:val="en-US" w:eastAsia="zh-CN"/>
        </w:rPr>
        <w:t>-2011</w:t>
      </w:r>
      <w:r>
        <w:rPr>
          <w:rFonts w:hint="eastAsia" w:ascii="宋体" w:hAnsi="宋体" w:eastAsia="宋体" w:cs="宋体"/>
          <w:szCs w:val="21"/>
        </w:rPr>
        <w:t>《</w:t>
      </w:r>
      <w:bookmarkStart w:id="0" w:name="OLE_LINK3"/>
      <w:r>
        <w:rPr>
          <w:rFonts w:hint="eastAsia" w:ascii="宋体" w:hAnsi="宋体" w:eastAsia="宋体" w:cs="宋体"/>
          <w:szCs w:val="21"/>
          <w:lang w:val="en-US" w:eastAsia="zh-CN"/>
        </w:rPr>
        <w:t>金属粉末 松装密度的测定 第1部分：漏斗法</w:t>
      </w:r>
      <w:bookmarkEnd w:id="0"/>
      <w:r>
        <w:rPr>
          <w:rFonts w:hint="eastAsia" w:ascii="宋体" w:hAnsi="宋体" w:eastAsia="宋体" w:cs="宋体"/>
          <w:szCs w:val="21"/>
        </w:rPr>
        <w:t>》检测要求，充分考虑到现有检测</w:t>
      </w:r>
      <w:r>
        <w:rPr>
          <w:rFonts w:hint="eastAsia" w:ascii="宋体" w:hAnsi="宋体" w:cs="宋体"/>
          <w:szCs w:val="21"/>
          <w:lang w:val="en-US" w:eastAsia="zh-CN"/>
        </w:rPr>
        <w:t>仪器</w:t>
      </w:r>
      <w:r>
        <w:rPr>
          <w:rFonts w:hint="eastAsia" w:ascii="宋体" w:hAnsi="宋体" w:eastAsia="宋体" w:cs="宋体"/>
          <w:szCs w:val="21"/>
        </w:rPr>
        <w:t>的条件，制订了本规范的基本原则和编制依据，使本规范具有较好的操作性和规范性。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3）创新性：制定后的计量规范有助于统一</w:t>
      </w:r>
      <w:r>
        <w:rPr>
          <w:rFonts w:hint="eastAsia" w:ascii="宋体" w:hAnsi="宋体" w:eastAsia="宋体" w:cs="宋体"/>
        </w:rPr>
        <w:t>松装密度漏斗法测定仪</w:t>
      </w:r>
      <w:r>
        <w:rPr>
          <w:rFonts w:hint="eastAsia" w:ascii="宋体" w:hAnsi="宋体" w:eastAsia="宋体" w:cs="宋体"/>
          <w:szCs w:val="21"/>
        </w:rPr>
        <w:t>的校准参数，评价</w:t>
      </w:r>
      <w:r>
        <w:rPr>
          <w:rFonts w:hint="eastAsia" w:ascii="宋体" w:hAnsi="宋体" w:cs="宋体"/>
          <w:szCs w:val="21"/>
          <w:lang w:val="en-US" w:eastAsia="zh-CN"/>
        </w:rPr>
        <w:t>仪器</w:t>
      </w:r>
      <w:r>
        <w:rPr>
          <w:rFonts w:hint="eastAsia" w:ascii="宋体" w:hAnsi="宋体" w:eastAsia="宋体" w:cs="宋体"/>
          <w:szCs w:val="21"/>
        </w:rPr>
        <w:t>性能好坏，提高</w:t>
      </w:r>
      <w:r>
        <w:rPr>
          <w:rFonts w:hint="eastAsia" w:ascii="宋体" w:hAnsi="宋体" w:cs="宋体"/>
          <w:szCs w:val="21"/>
          <w:lang w:val="en-US" w:eastAsia="zh-CN"/>
        </w:rPr>
        <w:t>仪器</w:t>
      </w:r>
      <w:r>
        <w:rPr>
          <w:rFonts w:hint="eastAsia" w:ascii="宋体" w:hAnsi="宋体" w:eastAsia="宋体" w:cs="宋体"/>
          <w:szCs w:val="21"/>
        </w:rPr>
        <w:t>的可比性，保证后期测量数据的可靠性。</w:t>
      </w:r>
    </w:p>
    <w:p>
      <w:pPr>
        <w:spacing w:line="360" w:lineRule="auto"/>
        <w:rPr>
          <w:rFonts w:ascii="黑体" w:hAnsi="宋体" w:eastAsia="黑体"/>
          <w:szCs w:val="21"/>
        </w:rPr>
      </w:pPr>
      <w:r>
        <w:rPr>
          <w:rFonts w:ascii="黑体" w:eastAsia="黑体"/>
          <w:szCs w:val="21"/>
        </w:rPr>
        <w:t>2.2</w:t>
      </w:r>
      <w:r>
        <w:rPr>
          <w:rFonts w:hint="eastAsia" w:ascii="黑体" w:hAnsi="宋体" w:eastAsia="黑体"/>
          <w:szCs w:val="21"/>
        </w:rPr>
        <w:t>制定规范主要内容的论据</w:t>
      </w:r>
    </w:p>
    <w:p>
      <w:pPr>
        <w:spacing w:line="360" w:lineRule="auto"/>
        <w:rPr>
          <w:rFonts w:ascii="黑体" w:hAnsi="黑体" w:eastAsia="黑体"/>
          <w:szCs w:val="21"/>
        </w:rPr>
      </w:pPr>
      <w:r>
        <w:rPr>
          <w:rFonts w:ascii="黑体" w:hAnsi="黑体" w:eastAsia="黑体"/>
          <w:szCs w:val="21"/>
        </w:rPr>
        <w:t>2.2.1</w:t>
      </w:r>
      <w:r>
        <w:rPr>
          <w:rFonts w:hint="eastAsia" w:ascii="黑体" w:hAnsi="黑体" w:eastAsia="黑体"/>
          <w:szCs w:val="21"/>
        </w:rPr>
        <w:t>范围</w:t>
      </w:r>
    </w:p>
    <w:p>
      <w:pPr>
        <w:spacing w:line="360" w:lineRule="auto"/>
        <w:ind w:firstLine="420" w:firstLineChars="200"/>
        <w:rPr>
          <w:rFonts w:ascii="宋体" w:eastAsia="方正行楷简体"/>
          <w:kern w:val="0"/>
          <w:szCs w:val="21"/>
        </w:rPr>
      </w:pPr>
      <w:bookmarkStart w:id="1" w:name="OLE_LINK5"/>
      <w:r>
        <w:rPr>
          <w:rFonts w:hint="eastAsia" w:ascii="宋体" w:eastAsia="方正行楷简体"/>
          <w:kern w:val="0"/>
          <w:szCs w:val="21"/>
        </w:rPr>
        <w:t>规范适用于利用</w:t>
      </w:r>
      <w:r>
        <w:rPr>
          <w:rFonts w:hint="eastAsia" w:ascii="宋体" w:eastAsia="方正行楷简体"/>
          <w:kern w:val="0"/>
          <w:szCs w:val="21"/>
          <w:lang w:val="en-US" w:eastAsia="zh-CN"/>
        </w:rPr>
        <w:t>漏斗法</w:t>
      </w:r>
      <w:r>
        <w:rPr>
          <w:rFonts w:hint="eastAsia" w:ascii="宋体" w:eastAsia="方正行楷简体"/>
          <w:kern w:val="0"/>
          <w:szCs w:val="21"/>
        </w:rPr>
        <w:t>原理</w:t>
      </w:r>
      <w:r>
        <w:rPr>
          <w:rFonts w:hint="eastAsia" w:ascii="宋体" w:eastAsia="方正行楷简体"/>
          <w:kern w:val="0"/>
          <w:szCs w:val="21"/>
          <w:lang w:val="en-US" w:eastAsia="zh-CN"/>
        </w:rPr>
        <w:t>测定</w:t>
      </w:r>
      <w:r>
        <w:rPr>
          <w:rFonts w:hint="eastAsia" w:ascii="宋体" w:eastAsia="方正行楷简体"/>
          <w:kern w:val="0"/>
          <w:szCs w:val="21"/>
        </w:rPr>
        <w:t>粉末颗粒</w:t>
      </w:r>
      <w:r>
        <w:rPr>
          <w:rFonts w:hint="eastAsia" w:ascii="宋体" w:eastAsia="方正行楷简体"/>
          <w:kern w:val="0"/>
          <w:szCs w:val="21"/>
          <w:lang w:val="en-US" w:eastAsia="zh-CN"/>
        </w:rPr>
        <w:t>松装密度的松装密度漏斗法测定仪</w:t>
      </w:r>
      <w:r>
        <w:rPr>
          <w:rFonts w:hint="eastAsia" w:ascii="宋体" w:eastAsia="方正行楷简体"/>
          <w:kern w:val="0"/>
          <w:szCs w:val="21"/>
        </w:rPr>
        <w:t>的校准。</w:t>
      </w:r>
      <w:bookmarkEnd w:id="1"/>
    </w:p>
    <w:p>
      <w:pPr>
        <w:pStyle w:val="22"/>
        <w:spacing w:line="360" w:lineRule="auto"/>
        <w:ind w:firstLine="31680"/>
        <w:rPr>
          <w:rFonts w:eastAsia="方正行楷简体"/>
          <w:szCs w:val="21"/>
        </w:rPr>
      </w:pPr>
      <w:r>
        <w:rPr>
          <w:rFonts w:hint="eastAsia" w:eastAsia="方正行楷简体"/>
          <w:szCs w:val="21"/>
        </w:rPr>
        <w:t>本规范规定了</w:t>
      </w:r>
      <w:r>
        <w:rPr>
          <w:rFonts w:hint="eastAsia" w:ascii="宋体" w:eastAsia="方正行楷简体"/>
          <w:kern w:val="0"/>
          <w:szCs w:val="21"/>
          <w:lang w:val="en-US" w:eastAsia="zh-CN"/>
        </w:rPr>
        <w:t>松装密度漏斗法测定仪</w:t>
      </w:r>
      <w:r>
        <w:rPr>
          <w:rFonts w:hint="eastAsia" w:eastAsia="方正行楷简体"/>
          <w:szCs w:val="21"/>
        </w:rPr>
        <w:t>的校准步骤及参数。</w:t>
      </w:r>
    </w:p>
    <w:p>
      <w:pPr>
        <w:spacing w:line="360" w:lineRule="auto"/>
        <w:rPr>
          <w:rFonts w:ascii="黑体" w:hAnsi="宋体" w:eastAsia="黑体"/>
          <w:szCs w:val="21"/>
        </w:rPr>
      </w:pPr>
      <w:r>
        <w:rPr>
          <w:rFonts w:ascii="黑体" w:hAnsi="宋体" w:eastAsia="黑体"/>
          <w:szCs w:val="21"/>
        </w:rPr>
        <w:t>2.2.2</w:t>
      </w:r>
      <w:r>
        <w:rPr>
          <w:rFonts w:ascii="黑体" w:eastAsia="黑体"/>
          <w:szCs w:val="21"/>
        </w:rPr>
        <w:t xml:space="preserve"> </w:t>
      </w:r>
      <w:r>
        <w:rPr>
          <w:rFonts w:hint="eastAsia" w:ascii="黑体" w:hAnsi="宋体" w:eastAsia="黑体"/>
          <w:szCs w:val="21"/>
        </w:rPr>
        <w:t>引用文件</w:t>
      </w:r>
    </w:p>
    <w:p>
      <w:pPr>
        <w:spacing w:line="360" w:lineRule="auto"/>
        <w:ind w:firstLine="420" w:firstLineChars="200"/>
        <w:rPr>
          <w:rFonts w:ascii="宋体"/>
          <w:szCs w:val="21"/>
        </w:rPr>
      </w:pPr>
      <w:r>
        <w:rPr>
          <w:rFonts w:hint="eastAsia" w:ascii="宋体" w:hAnsi="宋体"/>
          <w:szCs w:val="21"/>
        </w:rPr>
        <w:t>本规范规定了</w:t>
      </w:r>
      <w:r>
        <w:rPr>
          <w:rFonts w:hint="eastAsia" w:ascii="宋体" w:eastAsia="方正行楷简体"/>
          <w:kern w:val="0"/>
          <w:szCs w:val="21"/>
          <w:lang w:val="en-US" w:eastAsia="zh-CN"/>
        </w:rPr>
        <w:t>松装密度漏斗法测定仪</w:t>
      </w:r>
      <w:r>
        <w:rPr>
          <w:rFonts w:hint="eastAsia" w:eastAsia="方正行楷简体"/>
          <w:szCs w:val="21"/>
        </w:rPr>
        <w:t>的校准要求，此仪器主要用于测试</w:t>
      </w:r>
      <w:r>
        <w:rPr>
          <w:rFonts w:hint="eastAsia" w:ascii="宋体" w:eastAsia="方正行楷简体"/>
          <w:kern w:val="0"/>
          <w:szCs w:val="21"/>
        </w:rPr>
        <w:t>粉末颗粒</w:t>
      </w:r>
      <w:r>
        <w:rPr>
          <w:rFonts w:hint="eastAsia" w:ascii="宋体" w:eastAsia="方正行楷简体"/>
          <w:kern w:val="0"/>
          <w:szCs w:val="21"/>
          <w:lang w:val="en-US" w:eastAsia="zh-CN"/>
        </w:rPr>
        <w:t>松装密度</w:t>
      </w:r>
      <w:r>
        <w:rPr>
          <w:rFonts w:hint="eastAsia" w:eastAsia="方正行楷简体"/>
          <w:szCs w:val="21"/>
        </w:rPr>
        <w:t>，因此引用了</w:t>
      </w:r>
      <w:r>
        <w:rPr>
          <w:rFonts w:hint="eastAsia" w:ascii="宋体" w:hAnsi="宋体" w:eastAsia="宋体" w:cs="宋体"/>
          <w:szCs w:val="21"/>
        </w:rPr>
        <w:t>GB/T</w:t>
      </w:r>
      <w:r>
        <w:rPr>
          <w:rFonts w:hint="eastAsia" w:ascii="宋体" w:hAnsi="宋体" w:eastAsia="宋体" w:cs="宋体"/>
          <w:szCs w:val="21"/>
          <w:lang w:val="en-US" w:eastAsia="zh-CN"/>
        </w:rPr>
        <w:t xml:space="preserve"> 1479.1</w:t>
      </w:r>
      <w:r>
        <w:rPr>
          <w:rFonts w:hint="eastAsia" w:ascii="宋体" w:hAnsi="宋体" w:cs="宋体"/>
          <w:szCs w:val="21"/>
          <w:lang w:val="en-US" w:eastAsia="zh-CN"/>
        </w:rPr>
        <w:t>-2011</w:t>
      </w:r>
      <w:r>
        <w:rPr>
          <w:rFonts w:hint="eastAsia" w:ascii="宋体" w:hAnsi="宋体" w:eastAsia="宋体" w:cs="宋体"/>
          <w:szCs w:val="21"/>
        </w:rPr>
        <w:t>《</w:t>
      </w:r>
      <w:r>
        <w:rPr>
          <w:rFonts w:hint="eastAsia" w:ascii="宋体" w:hAnsi="宋体" w:eastAsia="宋体" w:cs="宋体"/>
          <w:szCs w:val="21"/>
          <w:lang w:val="en-US" w:eastAsia="zh-CN"/>
        </w:rPr>
        <w:t>金属粉末 松装密度的测定 第1部分：漏斗法</w:t>
      </w:r>
      <w:r>
        <w:rPr>
          <w:rFonts w:hint="eastAsia" w:ascii="宋体" w:hAnsi="宋体" w:eastAsia="宋体" w:cs="宋体"/>
          <w:szCs w:val="21"/>
        </w:rPr>
        <w:t>》</w:t>
      </w:r>
      <w:r>
        <w:rPr>
          <w:rFonts w:hint="eastAsia" w:ascii="宋体" w:hAnsi="宋体"/>
          <w:szCs w:val="21"/>
        </w:rPr>
        <w:t>。</w:t>
      </w:r>
    </w:p>
    <w:p>
      <w:pPr>
        <w:spacing w:line="360" w:lineRule="auto"/>
        <w:rPr>
          <w:rFonts w:ascii="黑体" w:hAnsi="宋体" w:eastAsia="黑体"/>
          <w:szCs w:val="21"/>
        </w:rPr>
      </w:pPr>
      <w:r>
        <w:rPr>
          <w:rFonts w:ascii="黑体" w:hAnsi="宋体" w:eastAsia="黑体"/>
          <w:szCs w:val="21"/>
        </w:rPr>
        <w:t>2.2.3</w:t>
      </w:r>
      <w:r>
        <w:rPr>
          <w:rFonts w:ascii="黑体" w:eastAsia="黑体"/>
          <w:szCs w:val="21"/>
        </w:rPr>
        <w:t xml:space="preserve"> </w:t>
      </w:r>
      <w:r>
        <w:rPr>
          <w:rFonts w:hint="eastAsia" w:ascii="黑体" w:hAnsi="宋体" w:eastAsia="黑体"/>
          <w:szCs w:val="21"/>
        </w:rPr>
        <w:t>概述</w:t>
      </w:r>
    </w:p>
    <w:p>
      <w:pPr>
        <w:spacing w:line="360" w:lineRule="auto"/>
        <w:ind w:firstLine="420"/>
        <w:rPr>
          <w:rFonts w:hint="eastAsia" w:eastAsia="方正行楷简体"/>
          <w:szCs w:val="21"/>
          <w:lang w:val="en-US" w:eastAsia="zh-CN"/>
        </w:rPr>
      </w:pPr>
      <w:r>
        <w:rPr>
          <w:rFonts w:hint="eastAsia" w:ascii="宋体" w:eastAsia="方正行楷简体"/>
          <w:kern w:val="0"/>
          <w:szCs w:val="21"/>
          <w:lang w:val="en-US" w:eastAsia="zh-CN"/>
        </w:rPr>
        <w:t>松装密度漏斗法测定仪</w:t>
      </w:r>
      <w:r>
        <w:rPr>
          <w:rFonts w:hint="eastAsia" w:eastAsia="方正行楷简体"/>
          <w:szCs w:val="21"/>
        </w:rPr>
        <w:t>主要用于</w:t>
      </w:r>
      <w:r>
        <w:rPr>
          <w:rFonts w:hint="eastAsia" w:ascii="宋体" w:eastAsia="方正行楷简体"/>
          <w:kern w:val="0"/>
          <w:szCs w:val="21"/>
        </w:rPr>
        <w:t>粉末颗粒</w:t>
      </w:r>
      <w:r>
        <w:rPr>
          <w:rFonts w:hint="eastAsia" w:ascii="宋体" w:eastAsia="方正行楷简体"/>
          <w:kern w:val="0"/>
          <w:szCs w:val="21"/>
          <w:lang w:val="en-US" w:eastAsia="zh-CN"/>
        </w:rPr>
        <w:t>松装密度</w:t>
      </w:r>
      <w:r>
        <w:rPr>
          <w:rFonts w:hint="eastAsia" w:eastAsia="方正行楷简体"/>
          <w:szCs w:val="21"/>
        </w:rPr>
        <w:t>的测定。</w:t>
      </w:r>
      <w:r>
        <w:rPr>
          <w:rFonts w:hint="eastAsia" w:eastAsia="方正行楷简体"/>
          <w:szCs w:val="21"/>
          <w:lang w:val="en-US" w:eastAsia="zh-CN"/>
        </w:rPr>
        <w:t>其原理</w:t>
      </w:r>
      <w:r>
        <w:rPr>
          <w:rFonts w:hint="eastAsia" w:eastAsia="方正行楷简体"/>
          <w:szCs w:val="21"/>
        </w:rPr>
        <w:t>是使粉末</w:t>
      </w:r>
      <w:r>
        <w:rPr>
          <w:rFonts w:hint="eastAsia" w:eastAsia="方正行楷简体"/>
          <w:szCs w:val="21"/>
          <w:lang w:val="en-US" w:eastAsia="zh-CN"/>
        </w:rPr>
        <w:t>颗粒</w:t>
      </w:r>
      <w:r>
        <w:rPr>
          <w:rFonts w:hint="eastAsia" w:eastAsia="方正行楷简体"/>
          <w:szCs w:val="21"/>
        </w:rPr>
        <w:t>在自然状态下从漏斗孔按一定高度自由落体充满量杯</w:t>
      </w:r>
      <w:r>
        <w:rPr>
          <w:rFonts w:hint="eastAsia" w:eastAsia="方正行楷简体"/>
          <w:szCs w:val="21"/>
          <w:lang w:eastAsia="zh-CN"/>
        </w:rPr>
        <w:t>，</w:t>
      </w:r>
      <w:r>
        <w:rPr>
          <w:rFonts w:hint="eastAsia" w:eastAsia="方正行楷简体"/>
          <w:szCs w:val="21"/>
          <w:lang w:val="en-US" w:eastAsia="zh-CN"/>
        </w:rPr>
        <w:t>从而算得粉末颗粒的松装密度。</w:t>
      </w:r>
    </w:p>
    <w:p>
      <w:pPr>
        <w:spacing w:line="360" w:lineRule="auto"/>
        <w:ind w:firstLine="420"/>
        <w:rPr>
          <w:rFonts w:eastAsia="方正行楷简体"/>
          <w:szCs w:val="21"/>
        </w:rPr>
      </w:pPr>
      <w:r>
        <w:rPr>
          <w:rFonts w:hint="eastAsia" w:ascii="宋体" w:hAnsi="宋体"/>
          <w:szCs w:val="21"/>
        </w:rPr>
        <w:t>本规范明确了</w:t>
      </w:r>
      <w:r>
        <w:rPr>
          <w:rFonts w:hint="eastAsia" w:ascii="宋体" w:eastAsia="方正行楷简体"/>
          <w:kern w:val="0"/>
          <w:szCs w:val="21"/>
          <w:lang w:val="en-US" w:eastAsia="zh-CN"/>
        </w:rPr>
        <w:t>松装密度漏斗法测定仪</w:t>
      </w:r>
      <w:r>
        <w:rPr>
          <w:rFonts w:hint="eastAsia" w:eastAsia="方正行楷简体"/>
          <w:szCs w:val="21"/>
          <w:lang w:val="en-US" w:eastAsia="zh-CN"/>
        </w:rPr>
        <w:t>测定</w:t>
      </w:r>
      <w:r>
        <w:rPr>
          <w:rFonts w:hint="eastAsia" w:ascii="宋体" w:eastAsia="方正行楷简体"/>
          <w:kern w:val="0"/>
          <w:szCs w:val="21"/>
        </w:rPr>
        <w:t>粉末颗粒</w:t>
      </w:r>
      <w:r>
        <w:rPr>
          <w:rFonts w:hint="eastAsia" w:ascii="宋体" w:eastAsia="方正行楷简体"/>
          <w:kern w:val="0"/>
          <w:szCs w:val="21"/>
          <w:lang w:val="en-US" w:eastAsia="zh-CN"/>
        </w:rPr>
        <w:t>松装密度</w:t>
      </w:r>
      <w:r>
        <w:rPr>
          <w:rFonts w:hint="eastAsia" w:eastAsia="方正行楷简体"/>
          <w:szCs w:val="21"/>
        </w:rPr>
        <w:t>的原理，展示了</w:t>
      </w:r>
      <w:r>
        <w:rPr>
          <w:rFonts w:hint="eastAsia" w:eastAsia="方正行楷简体"/>
          <w:szCs w:val="21"/>
          <w:lang w:val="en-US" w:eastAsia="zh-CN"/>
        </w:rPr>
        <w:t>仪器</w:t>
      </w:r>
      <w:r>
        <w:rPr>
          <w:rFonts w:hint="eastAsia" w:eastAsia="方正行楷简体"/>
          <w:szCs w:val="21"/>
        </w:rPr>
        <w:t>校准主要部件的示意图。</w:t>
      </w:r>
    </w:p>
    <w:p>
      <w:pPr>
        <w:spacing w:line="360" w:lineRule="auto"/>
        <w:rPr>
          <w:rFonts w:ascii="黑体" w:hAnsi="宋体" w:eastAsia="黑体"/>
          <w:szCs w:val="21"/>
        </w:rPr>
      </w:pPr>
      <w:r>
        <w:rPr>
          <w:rFonts w:ascii="黑体" w:hAnsi="宋体" w:eastAsia="黑体"/>
          <w:szCs w:val="21"/>
        </w:rPr>
        <w:t>2.2.4</w:t>
      </w:r>
      <w:r>
        <w:rPr>
          <w:rFonts w:ascii="黑体" w:eastAsia="黑体"/>
          <w:szCs w:val="21"/>
        </w:rPr>
        <w:t xml:space="preserve"> </w:t>
      </w:r>
      <w:r>
        <w:rPr>
          <w:rFonts w:hint="eastAsia" w:ascii="黑体" w:hAnsi="宋体" w:eastAsia="黑体"/>
          <w:szCs w:val="21"/>
        </w:rPr>
        <w:t>计量特性</w:t>
      </w:r>
    </w:p>
    <w:p>
      <w:pPr>
        <w:spacing w:line="360" w:lineRule="auto"/>
        <w:ind w:firstLine="420"/>
        <w:rPr>
          <w:rFonts w:ascii="宋体"/>
          <w:szCs w:val="21"/>
        </w:rPr>
      </w:pPr>
      <w:r>
        <w:rPr>
          <w:rFonts w:hint="eastAsia" w:ascii="宋体" w:hAnsi="宋体"/>
          <w:szCs w:val="21"/>
          <w:lang w:val="en-US" w:eastAsia="zh-CN"/>
        </w:rPr>
        <w:t>量杯</w:t>
      </w:r>
      <w:r>
        <w:rPr>
          <w:rFonts w:hint="eastAsia" w:ascii="宋体" w:hAnsi="宋体"/>
          <w:szCs w:val="21"/>
        </w:rPr>
        <w:t>和</w:t>
      </w:r>
      <w:r>
        <w:rPr>
          <w:rFonts w:hint="eastAsia" w:ascii="宋体" w:hAnsi="宋体"/>
          <w:szCs w:val="21"/>
          <w:lang w:val="en-US" w:eastAsia="zh-CN"/>
        </w:rPr>
        <w:t>漏斗</w:t>
      </w:r>
      <w:r>
        <w:rPr>
          <w:rFonts w:hint="eastAsia" w:ascii="宋体" w:hAnsi="宋体"/>
          <w:szCs w:val="21"/>
        </w:rPr>
        <w:t>是影响</w:t>
      </w:r>
      <w:r>
        <w:rPr>
          <w:rFonts w:hint="eastAsia" w:ascii="宋体" w:hAnsi="宋体"/>
          <w:szCs w:val="21"/>
          <w:lang w:val="en-US" w:eastAsia="zh-CN"/>
        </w:rPr>
        <w:t>试仪器</w:t>
      </w:r>
      <w:r>
        <w:rPr>
          <w:rFonts w:hint="eastAsia" w:ascii="宋体" w:hAnsi="宋体"/>
          <w:szCs w:val="21"/>
        </w:rPr>
        <w:t>性能的主要</w:t>
      </w:r>
      <w:r>
        <w:rPr>
          <w:rFonts w:hint="eastAsia" w:ascii="宋体" w:hAnsi="宋体"/>
          <w:szCs w:val="21"/>
          <w:lang w:val="en-US" w:eastAsia="zh-CN"/>
        </w:rPr>
        <w:t>部件</w:t>
      </w:r>
      <w:r>
        <w:rPr>
          <w:rFonts w:hint="eastAsia" w:ascii="宋体" w:hAnsi="宋体"/>
          <w:szCs w:val="21"/>
        </w:rPr>
        <w:t>，主要</w:t>
      </w:r>
      <w:r>
        <w:rPr>
          <w:rFonts w:hint="eastAsia" w:ascii="宋体" w:hAnsi="宋体"/>
          <w:szCs w:val="21"/>
          <w:lang w:val="en-US" w:eastAsia="zh-CN"/>
        </w:rPr>
        <w:t>计量特性</w:t>
      </w:r>
      <w:r>
        <w:rPr>
          <w:rFonts w:hint="eastAsia" w:ascii="宋体" w:hAnsi="宋体"/>
          <w:szCs w:val="21"/>
        </w:rPr>
        <w:t>有：</w:t>
      </w:r>
      <w:r>
        <w:rPr>
          <w:rFonts w:hint="eastAsia" w:ascii="宋体" w:hAnsi="宋体"/>
          <w:szCs w:val="21"/>
          <w:lang w:val="en-US" w:eastAsia="zh-CN"/>
        </w:rPr>
        <w:t>量杯内径、量杯容积、漏斗孔径、漏斗孔下表面与量杯上表面的间距。</w:t>
      </w:r>
      <w:r>
        <w:rPr>
          <w:rFonts w:hint="eastAsia" w:ascii="宋体" w:hAnsi="宋体"/>
          <w:szCs w:val="21"/>
        </w:rPr>
        <w:t>除此之外，还有一些其它因素可能会影响</w:t>
      </w:r>
      <w:r>
        <w:rPr>
          <w:rFonts w:hint="eastAsia" w:ascii="宋体" w:hAnsi="宋体"/>
          <w:szCs w:val="21"/>
          <w:lang w:val="en-US" w:eastAsia="zh-CN"/>
        </w:rPr>
        <w:t>仪器</w:t>
      </w:r>
      <w:r>
        <w:rPr>
          <w:rFonts w:hint="eastAsia" w:ascii="宋体" w:hAnsi="宋体"/>
          <w:szCs w:val="21"/>
        </w:rPr>
        <w:t>的</w:t>
      </w:r>
      <w:r>
        <w:rPr>
          <w:rFonts w:hint="eastAsia" w:ascii="宋体" w:hAnsi="宋体"/>
          <w:szCs w:val="21"/>
          <w:lang w:val="en-US" w:eastAsia="zh-CN"/>
        </w:rPr>
        <w:t>结果</w:t>
      </w:r>
      <w:r>
        <w:rPr>
          <w:rFonts w:hint="eastAsia" w:ascii="宋体" w:hAnsi="宋体"/>
          <w:szCs w:val="21"/>
        </w:rPr>
        <w:t>准确度，但与主要指标相比，影响因素较小，故考虑到计量的可操作性及其他因素，对</w:t>
      </w:r>
      <w:r>
        <w:rPr>
          <w:rFonts w:hint="eastAsia" w:ascii="宋体" w:hAnsi="宋体"/>
          <w:szCs w:val="21"/>
          <w:lang w:val="en-US" w:eastAsia="zh-CN"/>
        </w:rPr>
        <w:t>量杯</w:t>
      </w:r>
      <w:r>
        <w:rPr>
          <w:rFonts w:hint="eastAsia" w:ascii="宋体" w:hAnsi="宋体"/>
          <w:szCs w:val="21"/>
        </w:rPr>
        <w:t>和</w:t>
      </w:r>
      <w:r>
        <w:rPr>
          <w:rFonts w:hint="eastAsia" w:ascii="宋体" w:hAnsi="宋体"/>
          <w:szCs w:val="21"/>
          <w:lang w:val="en-US" w:eastAsia="zh-CN"/>
        </w:rPr>
        <w:t>漏斗的</w:t>
      </w:r>
      <w:r>
        <w:rPr>
          <w:rFonts w:hint="eastAsia" w:ascii="宋体" w:hAnsi="宋体"/>
          <w:szCs w:val="21"/>
        </w:rPr>
        <w:t>这些</w:t>
      </w:r>
      <w:r>
        <w:rPr>
          <w:rFonts w:hint="eastAsia" w:ascii="宋体" w:hAnsi="宋体"/>
          <w:szCs w:val="21"/>
          <w:lang w:val="en-US" w:eastAsia="zh-CN"/>
        </w:rPr>
        <w:t>计量特性</w:t>
      </w:r>
      <w:r>
        <w:rPr>
          <w:rFonts w:hint="eastAsia" w:ascii="宋体" w:hAnsi="宋体"/>
          <w:szCs w:val="21"/>
        </w:rPr>
        <w:t>进行了规定。</w:t>
      </w:r>
    </w:p>
    <w:p>
      <w:pPr>
        <w:spacing w:line="360" w:lineRule="auto"/>
        <w:rPr>
          <w:rFonts w:ascii="黑体" w:hAnsi="宋体" w:eastAsia="黑体"/>
          <w:szCs w:val="21"/>
        </w:rPr>
      </w:pPr>
      <w:r>
        <w:rPr>
          <w:rFonts w:ascii="宋体" w:hAnsi="宋体"/>
          <w:szCs w:val="21"/>
        </w:rPr>
        <w:t xml:space="preserve"> </w:t>
      </w:r>
      <w:r>
        <w:rPr>
          <w:rFonts w:ascii="黑体" w:hAnsi="宋体" w:eastAsia="黑体"/>
          <w:szCs w:val="21"/>
        </w:rPr>
        <w:t>2.2.5</w:t>
      </w:r>
      <w:r>
        <w:rPr>
          <w:rFonts w:ascii="黑体" w:eastAsia="黑体"/>
          <w:szCs w:val="21"/>
        </w:rPr>
        <w:t xml:space="preserve"> </w:t>
      </w:r>
      <w:r>
        <w:rPr>
          <w:rFonts w:hint="eastAsia" w:ascii="黑体" w:hAnsi="宋体" w:eastAsia="黑体"/>
          <w:szCs w:val="21"/>
        </w:rPr>
        <w:t>校准条件</w:t>
      </w:r>
    </w:p>
    <w:p>
      <w:pPr>
        <w:spacing w:line="360" w:lineRule="auto"/>
        <w:ind w:firstLine="420"/>
        <w:rPr>
          <w:rFonts w:ascii="宋体"/>
          <w:szCs w:val="21"/>
        </w:rPr>
      </w:pPr>
      <w:r>
        <w:rPr>
          <w:rFonts w:hint="eastAsia" w:ascii="宋体" w:hAnsi="宋体"/>
          <w:szCs w:val="21"/>
        </w:rPr>
        <w:t>对</w:t>
      </w:r>
      <w:r>
        <w:rPr>
          <w:rFonts w:hint="eastAsia" w:ascii="宋体" w:hAnsi="宋体"/>
          <w:szCs w:val="21"/>
          <w:lang w:val="en-US" w:eastAsia="zh-CN"/>
        </w:rPr>
        <w:t>仪器</w:t>
      </w:r>
      <w:r>
        <w:rPr>
          <w:rFonts w:hint="eastAsia" w:ascii="宋体" w:hAnsi="宋体"/>
          <w:szCs w:val="21"/>
        </w:rPr>
        <w:t>校准的试验环境条件、校准标准物质及相关测量</w:t>
      </w:r>
      <w:r>
        <w:rPr>
          <w:rFonts w:hint="eastAsia" w:ascii="宋体" w:hAnsi="宋体"/>
          <w:szCs w:val="21"/>
          <w:lang w:val="en-US" w:eastAsia="zh-CN"/>
        </w:rPr>
        <w:t>标准</w:t>
      </w:r>
      <w:r>
        <w:rPr>
          <w:rFonts w:hint="eastAsia" w:ascii="宋体" w:hAnsi="宋体"/>
          <w:szCs w:val="21"/>
        </w:rPr>
        <w:t>进行了规定。</w:t>
      </w:r>
    </w:p>
    <w:p>
      <w:pPr>
        <w:spacing w:line="360" w:lineRule="auto"/>
        <w:rPr>
          <w:rFonts w:ascii="黑体" w:hAnsi="宋体" w:eastAsia="黑体"/>
          <w:szCs w:val="21"/>
        </w:rPr>
      </w:pPr>
      <w:r>
        <w:rPr>
          <w:rFonts w:ascii="黑体" w:hAnsi="宋体" w:eastAsia="黑体"/>
          <w:szCs w:val="21"/>
        </w:rPr>
        <w:t>2.2.6</w:t>
      </w:r>
      <w:r>
        <w:rPr>
          <w:rFonts w:ascii="黑体" w:eastAsia="黑体"/>
          <w:szCs w:val="21"/>
        </w:rPr>
        <w:t xml:space="preserve"> </w:t>
      </w:r>
      <w:r>
        <w:rPr>
          <w:rFonts w:hint="eastAsia" w:ascii="黑体" w:hAnsi="宋体" w:eastAsia="黑体"/>
          <w:szCs w:val="21"/>
        </w:rPr>
        <w:t>校准项目和校准方法</w:t>
      </w:r>
    </w:p>
    <w:p>
      <w:pPr>
        <w:spacing w:line="360" w:lineRule="auto"/>
        <w:ind w:firstLine="420"/>
        <w:rPr>
          <w:rFonts w:hint="eastAsia" w:ascii="宋体" w:hAnsi="宋体"/>
          <w:szCs w:val="21"/>
        </w:rPr>
      </w:pPr>
      <w:r>
        <w:rPr>
          <w:rFonts w:hint="eastAsia" w:ascii="宋体" w:hAnsi="宋体"/>
          <w:szCs w:val="21"/>
        </w:rPr>
        <w:t>根据</w:t>
      </w:r>
      <w:r>
        <w:rPr>
          <w:rFonts w:hint="eastAsia" w:ascii="宋体" w:hAnsi="宋体"/>
          <w:szCs w:val="21"/>
          <w:lang w:val="en-US" w:eastAsia="zh-CN"/>
        </w:rPr>
        <w:t>仪器</w:t>
      </w:r>
      <w:r>
        <w:rPr>
          <w:rFonts w:hint="eastAsia" w:ascii="宋体" w:hAnsi="宋体"/>
          <w:szCs w:val="21"/>
        </w:rPr>
        <w:t>的技术构成以及</w:t>
      </w:r>
      <w:r>
        <w:rPr>
          <w:rFonts w:hint="eastAsia" w:ascii="宋体" w:hAnsi="宋体"/>
          <w:szCs w:val="21"/>
          <w:lang w:val="en-US" w:eastAsia="zh-CN"/>
        </w:rPr>
        <w:t>计量特性</w:t>
      </w:r>
      <w:r>
        <w:rPr>
          <w:rFonts w:hint="eastAsia" w:ascii="宋体" w:hAnsi="宋体"/>
          <w:szCs w:val="21"/>
        </w:rPr>
        <w:t>，确定出</w:t>
      </w:r>
      <w:r>
        <w:rPr>
          <w:rFonts w:hint="eastAsia" w:ascii="宋体" w:hAnsi="宋体"/>
          <w:szCs w:val="21"/>
          <w:lang w:val="en-US" w:eastAsia="zh-CN"/>
        </w:rPr>
        <w:t>仪器</w:t>
      </w:r>
      <w:r>
        <w:rPr>
          <w:rFonts w:hint="eastAsia" w:ascii="宋体" w:hAnsi="宋体"/>
          <w:szCs w:val="21"/>
        </w:rPr>
        <w:t>的校准项目。</w:t>
      </w:r>
      <w:r>
        <w:rPr>
          <w:rFonts w:hint="eastAsia" w:ascii="宋体" w:hAnsi="宋体"/>
          <w:szCs w:val="21"/>
          <w:lang w:val="en-US" w:eastAsia="zh-CN"/>
        </w:rPr>
        <w:t>仪器</w:t>
      </w:r>
      <w:r>
        <w:rPr>
          <w:rFonts w:hint="eastAsia" w:ascii="宋体" w:hAnsi="宋体"/>
          <w:szCs w:val="21"/>
        </w:rPr>
        <w:t>校准项目有</w:t>
      </w:r>
      <w:r>
        <w:rPr>
          <w:rFonts w:hint="eastAsia" w:ascii="宋体" w:hAnsi="宋体"/>
          <w:szCs w:val="21"/>
          <w:lang w:val="en-US" w:eastAsia="zh-CN"/>
        </w:rPr>
        <w:t>量杯内径、量杯容积、漏斗孔径、漏斗内锥面粗糙度、漏斗孔下表面与量杯上表面的间距</w:t>
      </w:r>
      <w:r>
        <w:rPr>
          <w:rFonts w:hint="eastAsia"/>
          <w:szCs w:val="21"/>
          <w:lang w:eastAsia="zh-CN"/>
        </w:rPr>
        <w:t>。</w:t>
      </w:r>
      <w:r>
        <w:rPr>
          <w:rFonts w:hint="eastAsia" w:ascii="宋体" w:hAnsi="宋体"/>
          <w:szCs w:val="21"/>
        </w:rPr>
        <w:t>依据校准项目，选择满足精度要求的测量</w:t>
      </w:r>
      <w:r>
        <w:rPr>
          <w:rFonts w:hint="eastAsia" w:ascii="宋体" w:hAnsi="宋体"/>
          <w:szCs w:val="21"/>
          <w:lang w:val="en-US" w:eastAsia="zh-CN"/>
        </w:rPr>
        <w:t>标准</w:t>
      </w:r>
      <w:r>
        <w:rPr>
          <w:rFonts w:hint="eastAsia" w:ascii="宋体" w:hAnsi="宋体"/>
          <w:szCs w:val="21"/>
        </w:rPr>
        <w:t>进行测量。</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量杯内径：用游标卡尺对量杯内径进行5次测量，测量位置均匀分布，取5次测量值的平均值作为校准结果。</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量杯容积：用游标卡尺对量杯深度进行5次测量，测量位置均匀分布，取5次测量值的平均值，再由内径和深度测量结果计算得到量杯容积。</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漏斗孔径：</w:t>
      </w:r>
      <w:r>
        <w:rPr>
          <w:rFonts w:hint="eastAsia" w:ascii="宋体" w:hAnsi="宋体"/>
          <w:szCs w:val="21"/>
        </w:rPr>
        <w:t>用</w:t>
      </w:r>
      <w:r>
        <w:rPr>
          <w:rFonts w:hint="eastAsia" w:ascii="宋体" w:hAnsi="宋体"/>
          <w:szCs w:val="21"/>
          <w:lang w:val="en-US" w:eastAsia="zh-CN"/>
        </w:rPr>
        <w:t>视频影像测量仪放大漏斗孔，采用三点圆模式</w:t>
      </w:r>
      <w:r>
        <w:rPr>
          <w:rFonts w:hint="eastAsia" w:ascii="宋体" w:hAnsi="宋体"/>
          <w:szCs w:val="21"/>
        </w:rPr>
        <w:t>对</w:t>
      </w:r>
      <w:r>
        <w:rPr>
          <w:rFonts w:hint="eastAsia" w:ascii="宋体" w:hAnsi="宋体"/>
          <w:szCs w:val="21"/>
          <w:lang w:val="en-US" w:eastAsia="zh-CN"/>
        </w:rPr>
        <w:t>漏斗孔径</w:t>
      </w:r>
      <w:r>
        <w:rPr>
          <w:rFonts w:hint="eastAsia" w:ascii="宋体" w:hAnsi="宋体"/>
          <w:szCs w:val="21"/>
        </w:rPr>
        <w:t>进行测量</w:t>
      </w:r>
      <w:r>
        <w:rPr>
          <w:rFonts w:hint="eastAsia" w:ascii="宋体" w:hAnsi="宋体"/>
          <w:szCs w:val="21"/>
          <w:lang w:eastAsia="zh-CN"/>
        </w:rPr>
        <w:t>，</w:t>
      </w:r>
      <w:r>
        <w:rPr>
          <w:rFonts w:hint="eastAsia" w:ascii="宋体" w:hAnsi="宋体"/>
          <w:szCs w:val="21"/>
          <w:lang w:val="en-US" w:eastAsia="zh-CN"/>
        </w:rPr>
        <w:t>选点位置在圆周上均匀分布，</w:t>
      </w:r>
      <w:r>
        <w:rPr>
          <w:rFonts w:hint="eastAsia" w:ascii="宋体" w:hAnsi="宋体"/>
          <w:szCs w:val="21"/>
        </w:rPr>
        <w:t>取</w:t>
      </w:r>
      <w:r>
        <w:rPr>
          <w:rFonts w:hint="eastAsia" w:ascii="宋体" w:hAnsi="宋体"/>
          <w:szCs w:val="21"/>
          <w:lang w:val="en-US" w:eastAsia="zh-CN"/>
        </w:rPr>
        <w:t>5</w:t>
      </w:r>
      <w:r>
        <w:rPr>
          <w:rFonts w:hint="eastAsia" w:ascii="宋体" w:hAnsi="宋体"/>
          <w:szCs w:val="21"/>
        </w:rPr>
        <w:t>次测量值的平均值作为校准结果。</w:t>
      </w:r>
    </w:p>
    <w:p>
      <w:pPr>
        <w:spacing w:line="360" w:lineRule="auto"/>
        <w:ind w:firstLine="420" w:firstLineChars="200"/>
        <w:rPr>
          <w:rFonts w:hint="eastAsia" w:ascii="宋体" w:hAnsi="宋体"/>
          <w:szCs w:val="21"/>
        </w:rPr>
      </w:pPr>
      <w:r>
        <w:rPr>
          <w:rFonts w:hint="eastAsia" w:ascii="宋体" w:hAnsi="宋体"/>
          <w:szCs w:val="21"/>
          <w:lang w:val="en-US" w:eastAsia="zh-CN"/>
        </w:rPr>
        <w:t>漏斗孔下表面与量杯上表面的间距：</w:t>
      </w:r>
      <w:r>
        <w:rPr>
          <w:rFonts w:hint="eastAsia" w:ascii="宋体" w:hAnsi="宋体"/>
          <w:szCs w:val="21"/>
        </w:rPr>
        <w:t>用游标卡尺对</w:t>
      </w:r>
      <w:r>
        <w:rPr>
          <w:rFonts w:hint="eastAsia" w:ascii="宋体" w:hAnsi="宋体"/>
          <w:szCs w:val="21"/>
          <w:lang w:val="en-US" w:eastAsia="zh-CN"/>
        </w:rPr>
        <w:t>漏斗孔下表面与量杯上表面的间距</w:t>
      </w:r>
      <w:r>
        <w:rPr>
          <w:rFonts w:hint="eastAsia" w:ascii="宋体" w:hAnsi="宋体"/>
          <w:szCs w:val="21"/>
        </w:rPr>
        <w:t>进行</w:t>
      </w:r>
      <w:r>
        <w:rPr>
          <w:rFonts w:hint="eastAsia" w:ascii="宋体" w:hAnsi="宋体"/>
          <w:szCs w:val="21"/>
          <w:lang w:val="en-US" w:eastAsia="zh-CN"/>
        </w:rPr>
        <w:t>5</w:t>
      </w:r>
      <w:r>
        <w:rPr>
          <w:rFonts w:hint="eastAsia" w:ascii="宋体" w:hAnsi="宋体"/>
          <w:szCs w:val="21"/>
        </w:rPr>
        <w:t>次测量，测量位置均匀分布，取</w:t>
      </w:r>
      <w:r>
        <w:rPr>
          <w:rFonts w:hint="eastAsia" w:ascii="宋体" w:hAnsi="宋体"/>
          <w:szCs w:val="21"/>
          <w:lang w:val="en-US" w:eastAsia="zh-CN"/>
        </w:rPr>
        <w:t>5</w:t>
      </w:r>
      <w:r>
        <w:rPr>
          <w:rFonts w:hint="eastAsia" w:ascii="宋体" w:hAnsi="宋体"/>
          <w:szCs w:val="21"/>
        </w:rPr>
        <w:t>次测量值的平均值作为校准结果。</w:t>
      </w:r>
    </w:p>
    <w:p>
      <w:pPr>
        <w:spacing w:line="360" w:lineRule="auto"/>
        <w:rPr>
          <w:rFonts w:ascii="黑体" w:hAnsi="宋体" w:eastAsia="黑体"/>
          <w:szCs w:val="21"/>
        </w:rPr>
      </w:pPr>
      <w:r>
        <w:rPr>
          <w:rFonts w:ascii="黑体" w:hAnsi="宋体" w:eastAsia="黑体"/>
          <w:szCs w:val="21"/>
        </w:rPr>
        <w:t xml:space="preserve">2.2.7 </w:t>
      </w:r>
      <w:r>
        <w:rPr>
          <w:rFonts w:hint="eastAsia" w:ascii="黑体" w:hAnsi="宋体" w:eastAsia="黑体"/>
          <w:szCs w:val="21"/>
        </w:rPr>
        <w:t>校准结果表达</w:t>
      </w:r>
    </w:p>
    <w:p>
      <w:pPr>
        <w:spacing w:line="360" w:lineRule="auto"/>
        <w:ind w:firstLine="420" w:firstLineChars="200"/>
        <w:rPr>
          <w:rFonts w:ascii="宋体"/>
          <w:szCs w:val="21"/>
        </w:rPr>
      </w:pPr>
      <w:r>
        <w:rPr>
          <w:rFonts w:hint="eastAsia" w:ascii="宋体" w:hAnsi="宋体"/>
          <w:szCs w:val="21"/>
        </w:rPr>
        <w:t>根据上述校准项目结果，按照校准报告规格出具校准证书。</w:t>
      </w:r>
    </w:p>
    <w:p>
      <w:pPr>
        <w:spacing w:line="360" w:lineRule="auto"/>
        <w:rPr>
          <w:rFonts w:ascii="黑体" w:hAnsi="宋体" w:eastAsia="黑体"/>
          <w:szCs w:val="21"/>
        </w:rPr>
      </w:pPr>
      <w:r>
        <w:rPr>
          <w:rFonts w:ascii="黑体" w:hAnsi="宋体" w:eastAsia="黑体"/>
          <w:szCs w:val="21"/>
        </w:rPr>
        <w:t>2.2.</w:t>
      </w:r>
      <w:r>
        <w:rPr>
          <w:rFonts w:hint="eastAsia" w:ascii="黑体" w:hAnsi="宋体" w:eastAsia="黑体"/>
          <w:szCs w:val="21"/>
          <w:lang w:val="en-US" w:eastAsia="zh-CN"/>
        </w:rPr>
        <w:t>8</w:t>
      </w:r>
      <w:r>
        <w:rPr>
          <w:rFonts w:ascii="黑体" w:eastAsia="黑体"/>
          <w:szCs w:val="21"/>
        </w:rPr>
        <w:t xml:space="preserve"> </w:t>
      </w:r>
      <w:r>
        <w:rPr>
          <w:rFonts w:hint="eastAsia" w:ascii="黑体" w:hAnsi="宋体" w:eastAsia="黑体"/>
          <w:szCs w:val="21"/>
        </w:rPr>
        <w:t>附录性资料</w:t>
      </w:r>
    </w:p>
    <w:p>
      <w:pPr>
        <w:spacing w:line="360" w:lineRule="auto"/>
        <w:ind w:firstLine="420"/>
        <w:rPr>
          <w:rFonts w:ascii="宋体"/>
          <w:szCs w:val="21"/>
        </w:rPr>
      </w:pPr>
      <w:r>
        <w:rPr>
          <w:rFonts w:hint="eastAsia" w:ascii="宋体" w:hAnsi="宋体"/>
          <w:szCs w:val="21"/>
        </w:rPr>
        <w:t>校准规范规定需出具不确定度值，附录中给出了</w:t>
      </w:r>
      <w:bookmarkStart w:id="2" w:name="OLE_LINK21"/>
      <w:r>
        <w:rPr>
          <w:rFonts w:hint="eastAsia" w:ascii="宋体" w:hAnsi="宋体"/>
          <w:szCs w:val="21"/>
        </w:rPr>
        <w:t>松装密度漏斗法测定仪</w:t>
      </w:r>
      <w:bookmarkEnd w:id="2"/>
      <w:r>
        <w:rPr>
          <w:rFonts w:hint="eastAsia" w:ascii="宋体" w:hAnsi="宋体"/>
          <w:szCs w:val="21"/>
          <w:lang w:val="en-US" w:eastAsia="zh-CN"/>
        </w:rPr>
        <w:t>量杯内径</w:t>
      </w:r>
      <w:r>
        <w:rPr>
          <w:rFonts w:hint="eastAsia" w:ascii="宋体" w:hAnsi="宋体"/>
          <w:szCs w:val="21"/>
        </w:rPr>
        <w:t>校准结果测量不确定度的评定示例，以便本校准规范实施过程中具有可操作性。</w:t>
      </w:r>
    </w:p>
    <w:p>
      <w:pPr>
        <w:adjustRightInd w:val="0"/>
        <w:spacing w:line="360" w:lineRule="auto"/>
        <w:rPr>
          <w:rFonts w:ascii="黑体" w:hAnsi="宋体" w:eastAsia="黑体"/>
          <w:szCs w:val="21"/>
        </w:rPr>
      </w:pPr>
      <w:r>
        <w:rPr>
          <w:rFonts w:hint="eastAsia" w:ascii="黑体" w:hAnsi="宋体" w:eastAsia="黑体"/>
          <w:szCs w:val="21"/>
        </w:rPr>
        <w:t>三、标准水平分析</w:t>
      </w:r>
    </w:p>
    <w:p>
      <w:pPr>
        <w:adjustRightInd w:val="0"/>
        <w:spacing w:line="360" w:lineRule="auto"/>
        <w:rPr>
          <w:rFonts w:ascii="黑体" w:hAnsi="宋体" w:eastAsia="黑体"/>
          <w:szCs w:val="21"/>
        </w:rPr>
      </w:pPr>
      <w:r>
        <w:rPr>
          <w:rFonts w:ascii="黑体" w:hAnsi="宋体" w:eastAsia="黑体"/>
          <w:szCs w:val="21"/>
        </w:rPr>
        <w:t>3.1</w:t>
      </w:r>
      <w:r>
        <w:rPr>
          <w:rFonts w:hint="eastAsia" w:ascii="黑体" w:hAnsi="宋体" w:eastAsia="黑体"/>
          <w:szCs w:val="21"/>
        </w:rPr>
        <w:t>采用国际标准及国外先进标准的程度</w:t>
      </w:r>
    </w:p>
    <w:p>
      <w:pPr>
        <w:adjustRightInd w:val="0"/>
        <w:spacing w:line="360" w:lineRule="auto"/>
        <w:ind w:firstLine="420" w:firstLineChars="200"/>
        <w:rPr>
          <w:rFonts w:ascii="宋体"/>
          <w:szCs w:val="21"/>
        </w:rPr>
      </w:pPr>
      <w:r>
        <w:rPr>
          <w:rFonts w:hint="eastAsia" w:ascii="宋体" w:hAnsi="宋体"/>
          <w:szCs w:val="21"/>
        </w:rPr>
        <w:t>据查，目前国内外没有专门针对松装密度漏斗法测定仪的校准规范。</w:t>
      </w:r>
    </w:p>
    <w:p>
      <w:pPr>
        <w:adjustRightInd w:val="0"/>
        <w:spacing w:line="360" w:lineRule="auto"/>
        <w:rPr>
          <w:rFonts w:ascii="黑体" w:hAnsi="宋体" w:eastAsia="黑体"/>
          <w:szCs w:val="21"/>
        </w:rPr>
      </w:pPr>
      <w:r>
        <w:rPr>
          <w:rFonts w:ascii="黑体" w:hAnsi="宋体" w:eastAsia="黑体"/>
          <w:szCs w:val="21"/>
        </w:rPr>
        <w:t>3.2</w:t>
      </w:r>
      <w:r>
        <w:rPr>
          <w:rFonts w:hint="eastAsia" w:ascii="黑体" w:hAnsi="宋体" w:eastAsia="黑体"/>
          <w:szCs w:val="21"/>
        </w:rPr>
        <w:t>与国际及国外同类标准水平的对比分析</w:t>
      </w:r>
    </w:p>
    <w:p>
      <w:pPr>
        <w:spacing w:line="360" w:lineRule="auto"/>
        <w:ind w:firstLine="420" w:firstLineChars="200"/>
        <w:rPr>
          <w:sz w:val="18"/>
        </w:rPr>
      </w:pPr>
      <w:r>
        <w:rPr>
          <w:rFonts w:hint="eastAsia" w:ascii="宋体" w:hAnsi="宋体"/>
          <w:szCs w:val="21"/>
        </w:rPr>
        <w:t>目前国外没有相关技术规范，本规范水平达到国内先进水平。</w:t>
      </w:r>
    </w:p>
    <w:p>
      <w:pPr>
        <w:adjustRightInd w:val="0"/>
        <w:spacing w:line="360" w:lineRule="auto"/>
        <w:rPr>
          <w:rFonts w:ascii="黑体" w:hAnsi="宋体" w:eastAsia="黑体"/>
          <w:szCs w:val="21"/>
        </w:rPr>
      </w:pPr>
      <w:r>
        <w:rPr>
          <w:rFonts w:hint="eastAsia" w:ascii="黑体" w:hAnsi="宋体" w:eastAsia="黑体"/>
          <w:szCs w:val="21"/>
        </w:rPr>
        <w:t>四、与有关的现行法律、法规和强制性国家标准的关系</w:t>
      </w:r>
    </w:p>
    <w:p>
      <w:pPr>
        <w:adjustRightInd w:val="0"/>
        <w:spacing w:line="360" w:lineRule="auto"/>
        <w:ind w:firstLine="420" w:firstLineChars="200"/>
        <w:rPr>
          <w:rFonts w:hAnsi="宋体"/>
          <w:szCs w:val="21"/>
        </w:rPr>
      </w:pPr>
      <w:r>
        <w:rPr>
          <w:rFonts w:hint="eastAsia" w:hAnsi="宋体"/>
          <w:szCs w:val="21"/>
        </w:rPr>
        <w:t>本规范与有关的现行法律、法规和国家计量技术规范具有一致性，无冲突之处。</w:t>
      </w:r>
    </w:p>
    <w:p>
      <w:pPr>
        <w:adjustRightInd w:val="0"/>
        <w:spacing w:line="360" w:lineRule="auto"/>
        <w:rPr>
          <w:rFonts w:ascii="黑体" w:hAnsi="宋体" w:eastAsia="黑体"/>
          <w:szCs w:val="21"/>
        </w:rPr>
      </w:pPr>
      <w:r>
        <w:rPr>
          <w:rFonts w:hint="eastAsia" w:ascii="黑体" w:hAnsi="宋体" w:eastAsia="黑体"/>
          <w:szCs w:val="21"/>
        </w:rPr>
        <w:t>五、重大分歧意见的处理经过和依据</w:t>
      </w:r>
    </w:p>
    <w:p>
      <w:pPr>
        <w:adjustRightInd w:val="0"/>
        <w:spacing w:line="360" w:lineRule="auto"/>
        <w:ind w:firstLine="420" w:firstLineChars="200"/>
        <w:rPr>
          <w:rFonts w:hAnsi="宋体"/>
          <w:szCs w:val="21"/>
        </w:rPr>
      </w:pPr>
      <w:r>
        <w:rPr>
          <w:rFonts w:hint="eastAsia" w:hAnsi="宋体"/>
          <w:szCs w:val="21"/>
        </w:rPr>
        <w:t>无</w:t>
      </w:r>
    </w:p>
    <w:p>
      <w:pPr>
        <w:adjustRightInd w:val="0"/>
        <w:spacing w:line="360" w:lineRule="auto"/>
        <w:rPr>
          <w:rFonts w:ascii="黑体" w:hAnsi="宋体" w:eastAsia="黑体"/>
          <w:szCs w:val="21"/>
        </w:rPr>
      </w:pPr>
      <w:r>
        <w:rPr>
          <w:rFonts w:hint="eastAsia" w:ascii="黑体" w:hAnsi="宋体" w:eastAsia="黑体"/>
          <w:szCs w:val="21"/>
        </w:rPr>
        <w:t>六、标准作为强制性或推荐性国家（或行业）标准的建议</w:t>
      </w:r>
    </w:p>
    <w:p>
      <w:pPr>
        <w:adjustRightInd w:val="0"/>
        <w:spacing w:line="360" w:lineRule="auto"/>
        <w:ind w:firstLine="420" w:firstLineChars="200"/>
        <w:rPr>
          <w:rFonts w:hAnsi="宋体"/>
          <w:szCs w:val="21"/>
        </w:rPr>
      </w:pPr>
      <w:r>
        <w:rPr>
          <w:rFonts w:hint="eastAsia" w:hAnsi="宋体"/>
          <w:szCs w:val="21"/>
        </w:rPr>
        <w:t>建议本规范作为推荐性行业计量技术规范，供相关行业参考采用。</w:t>
      </w:r>
    </w:p>
    <w:p>
      <w:pPr>
        <w:adjustRightInd w:val="0"/>
        <w:spacing w:line="360" w:lineRule="auto"/>
        <w:rPr>
          <w:rFonts w:ascii="黑体" w:hAnsi="宋体" w:eastAsia="黑体"/>
          <w:szCs w:val="21"/>
        </w:rPr>
      </w:pPr>
      <w:r>
        <w:rPr>
          <w:rFonts w:hint="eastAsia" w:ascii="黑体" w:hAnsi="宋体" w:eastAsia="黑体"/>
          <w:szCs w:val="21"/>
        </w:rPr>
        <w:t>七、贯彻标准的要求和措施建议</w:t>
      </w:r>
    </w:p>
    <w:p>
      <w:pPr>
        <w:adjustRightInd w:val="0"/>
        <w:spacing w:line="360" w:lineRule="auto"/>
        <w:ind w:firstLine="420" w:firstLineChars="200"/>
        <w:rPr>
          <w:rFonts w:hAnsi="宋体"/>
          <w:szCs w:val="21"/>
        </w:rPr>
      </w:pPr>
      <w:r>
        <w:rPr>
          <w:rFonts w:hint="eastAsia" w:hAnsi="宋体"/>
          <w:szCs w:val="21"/>
        </w:rPr>
        <w:t>无</w:t>
      </w:r>
    </w:p>
    <w:p>
      <w:pPr>
        <w:adjustRightInd w:val="0"/>
        <w:snapToGrid w:val="0"/>
        <w:spacing w:line="360" w:lineRule="auto"/>
        <w:rPr>
          <w:rFonts w:ascii="黑体" w:hAnsi="宋体" w:eastAsia="黑体"/>
          <w:szCs w:val="21"/>
        </w:rPr>
      </w:pPr>
      <w:r>
        <w:rPr>
          <w:rFonts w:hint="eastAsia" w:ascii="黑体" w:hAnsi="宋体" w:eastAsia="黑体"/>
          <w:szCs w:val="21"/>
        </w:rPr>
        <w:t>八、废止现行有关标准的建议</w:t>
      </w:r>
    </w:p>
    <w:p>
      <w:pPr>
        <w:adjustRightInd w:val="0"/>
        <w:snapToGrid w:val="0"/>
        <w:spacing w:line="360" w:lineRule="auto"/>
        <w:ind w:firstLine="420" w:firstLineChars="200"/>
        <w:rPr>
          <w:rFonts w:hAnsi="宋体"/>
          <w:szCs w:val="21"/>
        </w:rPr>
      </w:pPr>
      <w:r>
        <w:rPr>
          <w:rFonts w:hint="eastAsia" w:hAnsi="宋体"/>
          <w:szCs w:val="21"/>
        </w:rPr>
        <w:t>无</w:t>
      </w:r>
    </w:p>
    <w:p>
      <w:pPr>
        <w:spacing w:line="360" w:lineRule="auto"/>
        <w:rPr>
          <w:rFonts w:ascii="黑体" w:eastAsia="黑体"/>
        </w:rPr>
      </w:pPr>
      <w:r>
        <w:rPr>
          <w:rFonts w:hint="eastAsia" w:ascii="黑体" w:eastAsia="黑体"/>
        </w:rPr>
        <w:t>九、预期效果</w:t>
      </w:r>
    </w:p>
    <w:p>
      <w:pPr>
        <w:adjustRightInd w:val="0"/>
        <w:snapToGrid w:val="0"/>
        <w:spacing w:line="360" w:lineRule="auto"/>
        <w:ind w:firstLine="420" w:firstLineChars="200"/>
      </w:pPr>
      <w:r>
        <w:rPr>
          <w:rFonts w:hint="eastAsia"/>
        </w:rPr>
        <w:t>本规范的制定实施有利于</w:t>
      </w:r>
      <w:r>
        <w:rPr>
          <w:rFonts w:hint="eastAsia" w:ascii="宋体" w:eastAsia="方正行楷简体"/>
          <w:kern w:val="0"/>
          <w:szCs w:val="21"/>
        </w:rPr>
        <w:t>规范</w:t>
      </w:r>
      <w:r>
        <w:rPr>
          <w:rFonts w:hint="eastAsia" w:ascii="宋体" w:hAnsi="宋体"/>
          <w:szCs w:val="21"/>
        </w:rPr>
        <w:t>松装密度漏斗法测定仪</w:t>
      </w:r>
      <w:r>
        <w:rPr>
          <w:rFonts w:hint="eastAsia" w:ascii="宋体" w:eastAsia="方正行楷简体"/>
          <w:kern w:val="0"/>
          <w:szCs w:val="21"/>
        </w:rPr>
        <w:t>的验收和校准，</w:t>
      </w:r>
      <w:r>
        <w:rPr>
          <w:rFonts w:hint="eastAsia"/>
        </w:rPr>
        <w:t>进一步促进</w:t>
      </w:r>
      <w:r>
        <w:rPr>
          <w:rFonts w:hint="eastAsia" w:ascii="宋体" w:hAnsi="宋体"/>
          <w:szCs w:val="21"/>
        </w:rPr>
        <w:t>松装密度漏斗法测定仪</w:t>
      </w:r>
      <w:r>
        <w:rPr>
          <w:rFonts w:hint="eastAsia"/>
        </w:rPr>
        <w:t>在</w:t>
      </w:r>
      <w:r>
        <w:rPr>
          <w:rFonts w:hint="eastAsia"/>
          <w:lang w:val="en-US" w:eastAsia="zh-CN"/>
        </w:rPr>
        <w:t>测定</w:t>
      </w:r>
      <w:r>
        <w:rPr>
          <w:rFonts w:hint="eastAsia" w:ascii="宋体" w:eastAsia="方正行楷简体"/>
          <w:kern w:val="0"/>
          <w:szCs w:val="21"/>
        </w:rPr>
        <w:t>粉末颗粒</w:t>
      </w:r>
      <w:r>
        <w:rPr>
          <w:rFonts w:hint="eastAsia" w:ascii="宋体" w:eastAsia="方正行楷简体"/>
          <w:kern w:val="0"/>
          <w:szCs w:val="21"/>
          <w:lang w:val="en-US" w:eastAsia="zh-CN"/>
        </w:rPr>
        <w:t>松装密度</w:t>
      </w:r>
      <w:r>
        <w:rPr>
          <w:rFonts w:hint="eastAsia"/>
        </w:rPr>
        <w:t>中的运用。</w:t>
      </w:r>
    </w:p>
    <w:p>
      <w:pPr>
        <w:adjustRightInd w:val="0"/>
        <w:snapToGrid w:val="0"/>
        <w:spacing w:line="360" w:lineRule="auto"/>
        <w:rPr>
          <w:rFonts w:ascii="黑体" w:hAnsi="宋体" w:eastAsia="黑体"/>
          <w:szCs w:val="21"/>
        </w:rPr>
      </w:pPr>
      <w:r>
        <w:rPr>
          <w:rFonts w:hint="eastAsia" w:ascii="黑体" w:hAnsi="宋体" w:eastAsia="黑体"/>
          <w:szCs w:val="21"/>
        </w:rPr>
        <w:t>十、其他应予说明的事项</w:t>
      </w:r>
    </w:p>
    <w:p>
      <w:pPr>
        <w:spacing w:line="360" w:lineRule="auto"/>
        <w:ind w:firstLine="420" w:firstLineChars="200"/>
      </w:pPr>
      <w:r>
        <w:rPr>
          <w:rFonts w:hint="eastAsia"/>
        </w:rPr>
        <w:t>无</w:t>
      </w:r>
    </w:p>
    <w:p>
      <w:pPr>
        <w:adjustRightInd w:val="0"/>
        <w:snapToGrid w:val="0"/>
        <w:spacing w:line="360" w:lineRule="auto"/>
        <w:textAlignment w:val="top"/>
      </w:pPr>
    </w:p>
    <w:p>
      <w:pPr>
        <w:spacing w:line="360" w:lineRule="auto"/>
        <w:jc w:val="right"/>
        <w:rPr>
          <w:rFonts w:ascii="黑体" w:hAnsi="黑体" w:eastAsia="黑体"/>
          <w:b/>
          <w:szCs w:val="21"/>
        </w:rPr>
      </w:pPr>
      <w:r>
        <w:rPr>
          <w:rFonts w:ascii="黑体" w:eastAsia="黑体"/>
        </w:rPr>
        <w:t xml:space="preserve">         </w:t>
      </w:r>
      <w:r>
        <w:rPr>
          <w:rFonts w:ascii="黑体" w:hAnsi="黑体" w:eastAsia="黑体"/>
        </w:rPr>
        <w:t xml:space="preserve">      </w:t>
      </w:r>
      <w:r>
        <w:rPr>
          <w:rFonts w:ascii="黑体" w:hAnsi="黑体" w:eastAsia="黑体"/>
          <w:b/>
        </w:rPr>
        <w:t xml:space="preserve">  </w:t>
      </w:r>
      <w:r>
        <w:rPr>
          <w:rFonts w:hint="eastAsia" w:ascii="黑体" w:hAnsi="黑体" w:eastAsia="黑体"/>
          <w:b/>
        </w:rPr>
        <w:t>《松装密度漏斗法测定仪</w:t>
      </w:r>
      <w:r>
        <w:rPr>
          <w:rFonts w:hint="eastAsia" w:ascii="宋体" w:eastAsia="方正行楷简体"/>
          <w:b/>
          <w:kern w:val="0"/>
          <w:szCs w:val="21"/>
        </w:rPr>
        <w:t>校准规范》标准编制组</w:t>
      </w:r>
    </w:p>
    <w:p>
      <w:pPr>
        <w:spacing w:line="360" w:lineRule="auto"/>
        <w:rPr>
          <w:rFonts w:ascii="黑体" w:eastAsia="黑体"/>
        </w:rPr>
      </w:pPr>
      <w:r>
        <w:rPr>
          <w:rFonts w:hint="eastAsia" w:ascii="黑体" w:eastAsia="黑体"/>
          <w:lang w:val="en-US" w:eastAsia="zh-CN"/>
        </w:rPr>
        <w:t xml:space="preserve">                                                   </w:t>
      </w:r>
      <w:r>
        <w:rPr>
          <w:rFonts w:ascii="黑体" w:eastAsia="黑体"/>
        </w:rPr>
        <w:t>202</w:t>
      </w:r>
      <w:r>
        <w:rPr>
          <w:rFonts w:hint="eastAsia" w:ascii="黑体" w:eastAsia="黑体"/>
          <w:lang w:val="en-US" w:eastAsia="zh-CN"/>
        </w:rPr>
        <w:t>4</w:t>
      </w:r>
      <w:r>
        <w:rPr>
          <w:rFonts w:hint="eastAsia" w:ascii="黑体" w:eastAsia="黑体"/>
        </w:rPr>
        <w:t>年</w:t>
      </w:r>
      <w:r>
        <w:rPr>
          <w:rFonts w:hint="eastAsia" w:ascii="黑体" w:eastAsia="黑体"/>
          <w:lang w:val="en-US" w:eastAsia="zh-CN"/>
        </w:rPr>
        <w:t>5</w:t>
      </w:r>
      <w:r>
        <w:rPr>
          <w:rFonts w:hint="eastAsia" w:ascii="黑体" w:eastAsia="黑体"/>
        </w:rPr>
        <w:t>月</w:t>
      </w:r>
      <w:r>
        <w:rPr>
          <w:rFonts w:hint="eastAsia" w:ascii="黑体" w:eastAsia="黑体"/>
          <w:lang w:val="en-US" w:eastAsia="zh-CN"/>
        </w:rPr>
        <w:t>14</w:t>
      </w:r>
      <w:r>
        <w:rPr>
          <w:rFonts w:hint="eastAsia" w:ascii="黑体" w:eastAsia="黑体"/>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第</w:t>
    </w:r>
    <w:r>
      <w:fldChar w:fldCharType="begin"/>
    </w:r>
    <w:r>
      <w:instrText xml:space="preserve"> PAGE   \* MERGEFORMAT </w:instrText>
    </w:r>
    <w:r>
      <w:fldChar w:fldCharType="separate"/>
    </w:r>
    <w:r>
      <w:rPr>
        <w:lang w:val="zh-CN"/>
      </w:rPr>
      <w:t>2</w:t>
    </w:r>
    <w:r>
      <w:rPr>
        <w:lang w:val="zh-CN"/>
      </w:rPr>
      <w:fldChar w:fldCharType="end"/>
    </w:r>
    <w:r>
      <w:rPr>
        <w:rFonts w:hint="eastAsia"/>
      </w:rPr>
      <w:t>页共</w:t>
    </w:r>
    <w:r>
      <w:rPr>
        <w:rFonts w:hint="eastAsia"/>
        <w:lang w:val="en-US" w:eastAsia="zh-CN"/>
      </w:rPr>
      <w:t>5</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6"/>
      <w:suff w:val="nothing"/>
      <w:lvlText w:val="%1"/>
      <w:lvlJc w:val="left"/>
      <w:rPr>
        <w:rFonts w:hint="default" w:ascii="Times New Roman" w:hAnsi="Times New Roman" w:cs="Times New Roman"/>
        <w:b/>
        <w:i w:val="0"/>
        <w:sz w:val="21"/>
      </w:rPr>
    </w:lvl>
    <w:lvl w:ilvl="1" w:tentative="0">
      <w:start w:val="1"/>
      <w:numFmt w:val="decimal"/>
      <w:pStyle w:val="27"/>
      <w:suff w:val="nothing"/>
      <w:lvlText w:val="%1%2　"/>
      <w:lvlJc w:val="left"/>
      <w:rPr>
        <w:rFonts w:hint="eastAsia" w:ascii="黑体" w:hAnsi="Times New Roman" w:eastAsia="黑体" w:cs="Times New Roman"/>
        <w:b w:val="0"/>
        <w:i w:val="0"/>
        <w:sz w:val="21"/>
      </w:rPr>
    </w:lvl>
    <w:lvl w:ilvl="2" w:tentative="0">
      <w:start w:val="1"/>
      <w:numFmt w:val="decimal"/>
      <w:pStyle w:val="28"/>
      <w:suff w:val="nothing"/>
      <w:lvlText w:val="%1%2.%3　"/>
      <w:lvlJc w:val="left"/>
      <w:rPr>
        <w:rFonts w:hint="eastAsia" w:ascii="黑体" w:hAnsi="Times New Roman" w:eastAsia="黑体" w:cs="Times New Roman"/>
        <w:b w:val="0"/>
        <w:i w:val="0"/>
        <w:sz w:val="21"/>
      </w:rPr>
    </w:lvl>
    <w:lvl w:ilvl="3" w:tentative="0">
      <w:start w:val="1"/>
      <w:numFmt w:val="decimal"/>
      <w:pStyle w:val="29"/>
      <w:suff w:val="nothing"/>
      <w:lvlText w:val="%1%2.%3.%4　"/>
      <w:lvlJc w:val="left"/>
      <w:rPr>
        <w:rFonts w:hint="eastAsia" w:ascii="黑体" w:hAnsi="Times New Roman" w:eastAsia="黑体" w:cs="Times New Roman"/>
        <w:b w:val="0"/>
        <w:i w:val="0"/>
        <w:sz w:val="21"/>
      </w:rPr>
    </w:lvl>
    <w:lvl w:ilvl="4" w:tentative="0">
      <w:start w:val="1"/>
      <w:numFmt w:val="decimal"/>
      <w:pStyle w:val="30"/>
      <w:suff w:val="nothing"/>
      <w:lvlText w:val="%1%2.%3.%4.%5　"/>
      <w:lvlJc w:val="left"/>
      <w:rPr>
        <w:rFonts w:hint="eastAsia" w:ascii="黑体" w:hAnsi="Times New Roman" w:eastAsia="黑体" w:cs="Times New Roman"/>
        <w:b w:val="0"/>
        <w:i w:val="0"/>
        <w:sz w:val="21"/>
      </w:rPr>
    </w:lvl>
    <w:lvl w:ilvl="5" w:tentative="0">
      <w:start w:val="1"/>
      <w:numFmt w:val="decimal"/>
      <w:pStyle w:val="31"/>
      <w:suff w:val="nothing"/>
      <w:lvlText w:val="%1%2.%3.%4.%5.%6　"/>
      <w:lvlJc w:val="left"/>
      <w:rPr>
        <w:rFonts w:hint="eastAsia" w:ascii="黑体" w:hAnsi="Times New Roman" w:eastAsia="黑体" w:cs="Times New Roman"/>
        <w:b w:val="0"/>
        <w:i w:val="0"/>
        <w:sz w:val="21"/>
      </w:rPr>
    </w:lvl>
    <w:lvl w:ilvl="6" w:tentative="0">
      <w:start w:val="1"/>
      <w:numFmt w:val="decimal"/>
      <w:pStyle w:val="3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WUyMzU1MTQ5MmVkODI0YjE1NWY0Y2RmMDc3NDcifQ=="/>
  </w:docVars>
  <w:rsids>
    <w:rsidRoot w:val="00184578"/>
    <w:rsid w:val="000022A2"/>
    <w:rsid w:val="0000397C"/>
    <w:rsid w:val="00005248"/>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6D8A"/>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42CE"/>
    <w:rsid w:val="002611C1"/>
    <w:rsid w:val="00261E29"/>
    <w:rsid w:val="002673D6"/>
    <w:rsid w:val="00267A6F"/>
    <w:rsid w:val="00270C04"/>
    <w:rsid w:val="00271BD7"/>
    <w:rsid w:val="00271D26"/>
    <w:rsid w:val="00273BC9"/>
    <w:rsid w:val="002742B8"/>
    <w:rsid w:val="00275BF8"/>
    <w:rsid w:val="0027605A"/>
    <w:rsid w:val="00277D7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B20"/>
    <w:rsid w:val="002F3D25"/>
    <w:rsid w:val="00302D96"/>
    <w:rsid w:val="00306CBB"/>
    <w:rsid w:val="00307AE2"/>
    <w:rsid w:val="00317054"/>
    <w:rsid w:val="0032613D"/>
    <w:rsid w:val="0032615E"/>
    <w:rsid w:val="0032788A"/>
    <w:rsid w:val="0033162F"/>
    <w:rsid w:val="003325E2"/>
    <w:rsid w:val="00334E5F"/>
    <w:rsid w:val="00334EDB"/>
    <w:rsid w:val="00336CD7"/>
    <w:rsid w:val="00337245"/>
    <w:rsid w:val="0034161D"/>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7365"/>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1E0"/>
    <w:rsid w:val="003E3803"/>
    <w:rsid w:val="003E6710"/>
    <w:rsid w:val="003E77E9"/>
    <w:rsid w:val="003E7B50"/>
    <w:rsid w:val="003F2355"/>
    <w:rsid w:val="004013EB"/>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5974"/>
    <w:rsid w:val="00467BAC"/>
    <w:rsid w:val="00472D5E"/>
    <w:rsid w:val="00473301"/>
    <w:rsid w:val="00473571"/>
    <w:rsid w:val="0047495C"/>
    <w:rsid w:val="00481838"/>
    <w:rsid w:val="00481A32"/>
    <w:rsid w:val="00481B91"/>
    <w:rsid w:val="00494416"/>
    <w:rsid w:val="00494FFF"/>
    <w:rsid w:val="00495E20"/>
    <w:rsid w:val="004A154E"/>
    <w:rsid w:val="004A183D"/>
    <w:rsid w:val="004A6F2B"/>
    <w:rsid w:val="004A6F8C"/>
    <w:rsid w:val="004A7D7E"/>
    <w:rsid w:val="004B116A"/>
    <w:rsid w:val="004B5F82"/>
    <w:rsid w:val="004B671C"/>
    <w:rsid w:val="004C2C9B"/>
    <w:rsid w:val="004C3FBD"/>
    <w:rsid w:val="004C4C37"/>
    <w:rsid w:val="004E100B"/>
    <w:rsid w:val="004E259C"/>
    <w:rsid w:val="004E2C7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62A1"/>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34BD"/>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6333"/>
    <w:rsid w:val="005B6427"/>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5035"/>
    <w:rsid w:val="006703F3"/>
    <w:rsid w:val="00670582"/>
    <w:rsid w:val="0067203B"/>
    <w:rsid w:val="00672ACB"/>
    <w:rsid w:val="00673479"/>
    <w:rsid w:val="0067570C"/>
    <w:rsid w:val="0067714B"/>
    <w:rsid w:val="00684A82"/>
    <w:rsid w:val="00685142"/>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C7DE7"/>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12D7"/>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C75"/>
    <w:rsid w:val="008C738D"/>
    <w:rsid w:val="008D063A"/>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4AD8"/>
    <w:rsid w:val="00926568"/>
    <w:rsid w:val="00926C8D"/>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942"/>
    <w:rsid w:val="00994CA8"/>
    <w:rsid w:val="009961CE"/>
    <w:rsid w:val="009966D5"/>
    <w:rsid w:val="009A278A"/>
    <w:rsid w:val="009A4E4A"/>
    <w:rsid w:val="009A7ACC"/>
    <w:rsid w:val="009B14BB"/>
    <w:rsid w:val="009B1583"/>
    <w:rsid w:val="009B3B0C"/>
    <w:rsid w:val="009B5CD6"/>
    <w:rsid w:val="009C1C7F"/>
    <w:rsid w:val="009C38FF"/>
    <w:rsid w:val="009C4191"/>
    <w:rsid w:val="009C4632"/>
    <w:rsid w:val="009C5C55"/>
    <w:rsid w:val="009D0E1A"/>
    <w:rsid w:val="009D24AE"/>
    <w:rsid w:val="009D2E71"/>
    <w:rsid w:val="009D4233"/>
    <w:rsid w:val="009D6802"/>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2051C"/>
    <w:rsid w:val="00A216E0"/>
    <w:rsid w:val="00A33BBD"/>
    <w:rsid w:val="00A347A3"/>
    <w:rsid w:val="00A36707"/>
    <w:rsid w:val="00A36EF3"/>
    <w:rsid w:val="00A376DC"/>
    <w:rsid w:val="00A37EEF"/>
    <w:rsid w:val="00A4253A"/>
    <w:rsid w:val="00A42D69"/>
    <w:rsid w:val="00A53873"/>
    <w:rsid w:val="00A55102"/>
    <w:rsid w:val="00A56373"/>
    <w:rsid w:val="00A63992"/>
    <w:rsid w:val="00A66BDB"/>
    <w:rsid w:val="00A73DD1"/>
    <w:rsid w:val="00A76D8C"/>
    <w:rsid w:val="00A80F01"/>
    <w:rsid w:val="00A81CF7"/>
    <w:rsid w:val="00A8245C"/>
    <w:rsid w:val="00A853B1"/>
    <w:rsid w:val="00A85505"/>
    <w:rsid w:val="00A8711C"/>
    <w:rsid w:val="00A90DC9"/>
    <w:rsid w:val="00A929C0"/>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778E"/>
    <w:rsid w:val="00B62317"/>
    <w:rsid w:val="00B67D13"/>
    <w:rsid w:val="00B81391"/>
    <w:rsid w:val="00B83C93"/>
    <w:rsid w:val="00B93078"/>
    <w:rsid w:val="00B93358"/>
    <w:rsid w:val="00B9366B"/>
    <w:rsid w:val="00B9383E"/>
    <w:rsid w:val="00BA1A3A"/>
    <w:rsid w:val="00BA6B4A"/>
    <w:rsid w:val="00BA6F6D"/>
    <w:rsid w:val="00BC0904"/>
    <w:rsid w:val="00BC6454"/>
    <w:rsid w:val="00BC6DA8"/>
    <w:rsid w:val="00BC7A1F"/>
    <w:rsid w:val="00BD0345"/>
    <w:rsid w:val="00BD157A"/>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07F"/>
    <w:rsid w:val="00C3180F"/>
    <w:rsid w:val="00C333D2"/>
    <w:rsid w:val="00C41C13"/>
    <w:rsid w:val="00C43663"/>
    <w:rsid w:val="00C43990"/>
    <w:rsid w:val="00C43BE8"/>
    <w:rsid w:val="00C44E83"/>
    <w:rsid w:val="00C4555A"/>
    <w:rsid w:val="00C46F0A"/>
    <w:rsid w:val="00C510BF"/>
    <w:rsid w:val="00C53C1F"/>
    <w:rsid w:val="00C53DA5"/>
    <w:rsid w:val="00C566FB"/>
    <w:rsid w:val="00C5743F"/>
    <w:rsid w:val="00C616E8"/>
    <w:rsid w:val="00C71955"/>
    <w:rsid w:val="00C72F04"/>
    <w:rsid w:val="00C75CDC"/>
    <w:rsid w:val="00C8333A"/>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7533"/>
    <w:rsid w:val="00D57DFC"/>
    <w:rsid w:val="00D6076E"/>
    <w:rsid w:val="00D60771"/>
    <w:rsid w:val="00D614FE"/>
    <w:rsid w:val="00D64070"/>
    <w:rsid w:val="00D643CD"/>
    <w:rsid w:val="00D649DC"/>
    <w:rsid w:val="00D66E4E"/>
    <w:rsid w:val="00D70517"/>
    <w:rsid w:val="00D7440F"/>
    <w:rsid w:val="00D74A3C"/>
    <w:rsid w:val="00D7521E"/>
    <w:rsid w:val="00D90D29"/>
    <w:rsid w:val="00D934F1"/>
    <w:rsid w:val="00D9474A"/>
    <w:rsid w:val="00D94A92"/>
    <w:rsid w:val="00D97B9A"/>
    <w:rsid w:val="00DA1217"/>
    <w:rsid w:val="00DA2CFE"/>
    <w:rsid w:val="00DA3D14"/>
    <w:rsid w:val="00DA7599"/>
    <w:rsid w:val="00DB436B"/>
    <w:rsid w:val="00DB4497"/>
    <w:rsid w:val="00DB56CA"/>
    <w:rsid w:val="00DC0D96"/>
    <w:rsid w:val="00DC3693"/>
    <w:rsid w:val="00DC3B78"/>
    <w:rsid w:val="00DC5112"/>
    <w:rsid w:val="00DC566F"/>
    <w:rsid w:val="00DC5726"/>
    <w:rsid w:val="00DC756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6C66"/>
    <w:rsid w:val="00E306E3"/>
    <w:rsid w:val="00E36D22"/>
    <w:rsid w:val="00E40EDF"/>
    <w:rsid w:val="00E43CDD"/>
    <w:rsid w:val="00E44ADE"/>
    <w:rsid w:val="00E5444E"/>
    <w:rsid w:val="00E55855"/>
    <w:rsid w:val="00E563BD"/>
    <w:rsid w:val="00E56851"/>
    <w:rsid w:val="00E56C9E"/>
    <w:rsid w:val="00E62C7D"/>
    <w:rsid w:val="00E66957"/>
    <w:rsid w:val="00E71E84"/>
    <w:rsid w:val="00E72A57"/>
    <w:rsid w:val="00E751A5"/>
    <w:rsid w:val="00E77032"/>
    <w:rsid w:val="00E77629"/>
    <w:rsid w:val="00E9022B"/>
    <w:rsid w:val="00E9366B"/>
    <w:rsid w:val="00E9563C"/>
    <w:rsid w:val="00E95CCC"/>
    <w:rsid w:val="00EA0DD7"/>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F01AB9"/>
    <w:rsid w:val="00F10E86"/>
    <w:rsid w:val="00F21110"/>
    <w:rsid w:val="00F21FA7"/>
    <w:rsid w:val="00F2297B"/>
    <w:rsid w:val="00F2625E"/>
    <w:rsid w:val="00F41C74"/>
    <w:rsid w:val="00F42CD3"/>
    <w:rsid w:val="00F437A1"/>
    <w:rsid w:val="00F43FC6"/>
    <w:rsid w:val="00F46E95"/>
    <w:rsid w:val="00F51DB1"/>
    <w:rsid w:val="00F573CF"/>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112363F"/>
    <w:rsid w:val="0ACB4F83"/>
    <w:rsid w:val="0C0D35AD"/>
    <w:rsid w:val="0E675CD8"/>
    <w:rsid w:val="0E877EF9"/>
    <w:rsid w:val="12F1776A"/>
    <w:rsid w:val="12FE592C"/>
    <w:rsid w:val="14057536"/>
    <w:rsid w:val="190D49C0"/>
    <w:rsid w:val="1ACC3A1B"/>
    <w:rsid w:val="1C875BA2"/>
    <w:rsid w:val="1CE75991"/>
    <w:rsid w:val="1F63628C"/>
    <w:rsid w:val="22CE7B5C"/>
    <w:rsid w:val="25B33776"/>
    <w:rsid w:val="266A5364"/>
    <w:rsid w:val="27C8726F"/>
    <w:rsid w:val="27E24D57"/>
    <w:rsid w:val="288822B5"/>
    <w:rsid w:val="298B4856"/>
    <w:rsid w:val="2D7E7C0F"/>
    <w:rsid w:val="33FB0C02"/>
    <w:rsid w:val="36D87F64"/>
    <w:rsid w:val="380F7024"/>
    <w:rsid w:val="38DF4D78"/>
    <w:rsid w:val="3942645F"/>
    <w:rsid w:val="3C4E566F"/>
    <w:rsid w:val="3E8306C6"/>
    <w:rsid w:val="3EF83183"/>
    <w:rsid w:val="40DD3E8F"/>
    <w:rsid w:val="443B5FD6"/>
    <w:rsid w:val="45C94918"/>
    <w:rsid w:val="4A3A62BD"/>
    <w:rsid w:val="4A9B2E4E"/>
    <w:rsid w:val="4D0A709D"/>
    <w:rsid w:val="51D75590"/>
    <w:rsid w:val="53057744"/>
    <w:rsid w:val="5461625B"/>
    <w:rsid w:val="55A93028"/>
    <w:rsid w:val="57861C50"/>
    <w:rsid w:val="58BC7128"/>
    <w:rsid w:val="592D3787"/>
    <w:rsid w:val="5A810CF1"/>
    <w:rsid w:val="5BBE3B49"/>
    <w:rsid w:val="5C4850FD"/>
    <w:rsid w:val="5E3D32B0"/>
    <w:rsid w:val="5F7F06E5"/>
    <w:rsid w:val="60275C02"/>
    <w:rsid w:val="61C865A3"/>
    <w:rsid w:val="62AA58EC"/>
    <w:rsid w:val="631321A0"/>
    <w:rsid w:val="640D2748"/>
    <w:rsid w:val="648C7D6A"/>
    <w:rsid w:val="662B5964"/>
    <w:rsid w:val="707977F0"/>
    <w:rsid w:val="71206FB1"/>
    <w:rsid w:val="718C6893"/>
    <w:rsid w:val="71EB75F5"/>
    <w:rsid w:val="721C6FC6"/>
    <w:rsid w:val="73AC577E"/>
    <w:rsid w:val="74000587"/>
    <w:rsid w:val="744A5267"/>
    <w:rsid w:val="7B744F44"/>
    <w:rsid w:val="7B7A74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after="120"/>
    </w:pPr>
  </w:style>
  <w:style w:type="paragraph" w:styleId="6">
    <w:name w:val="Date"/>
    <w:basedOn w:val="1"/>
    <w:next w:val="1"/>
    <w:link w:val="17"/>
    <w:qFormat/>
    <w:uiPriority w:val="99"/>
    <w:pPr>
      <w:ind w:left="100" w:leftChars="2500"/>
    </w:p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1"/>
    <w:autoRedefine/>
    <w:qFormat/>
    <w:uiPriority w:val="99"/>
    <w:pPr>
      <w:spacing w:after="120" w:line="480" w:lineRule="auto"/>
    </w:pPr>
  </w:style>
  <w:style w:type="paragraph" w:styleId="11">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autoRedefine/>
    <w:qFormat/>
    <w:locked/>
    <w:uiPriority w:val="0"/>
    <w:rPr>
      <w:b/>
    </w:rPr>
  </w:style>
  <w:style w:type="character" w:customStyle="1" w:styleId="16">
    <w:name w:val="Heading 2 Char"/>
    <w:basedOn w:val="14"/>
    <w:link w:val="3"/>
    <w:autoRedefine/>
    <w:qFormat/>
    <w:locked/>
    <w:uiPriority w:val="99"/>
    <w:rPr>
      <w:rFonts w:ascii="Arial" w:hAnsi="Arial" w:eastAsia="黑体" w:cs="Times New Roman"/>
      <w:b/>
      <w:bCs/>
      <w:kern w:val="2"/>
      <w:sz w:val="32"/>
      <w:szCs w:val="32"/>
    </w:rPr>
  </w:style>
  <w:style w:type="character" w:customStyle="1" w:styleId="17">
    <w:name w:val="Date Char"/>
    <w:basedOn w:val="14"/>
    <w:link w:val="6"/>
    <w:autoRedefine/>
    <w:qFormat/>
    <w:locked/>
    <w:uiPriority w:val="99"/>
    <w:rPr>
      <w:rFonts w:cs="Times New Roman"/>
      <w:kern w:val="2"/>
      <w:sz w:val="24"/>
      <w:szCs w:val="24"/>
    </w:rPr>
  </w:style>
  <w:style w:type="character" w:customStyle="1" w:styleId="18">
    <w:name w:val="Balloon Text Char"/>
    <w:basedOn w:val="14"/>
    <w:link w:val="7"/>
    <w:autoRedefine/>
    <w:qFormat/>
    <w:locked/>
    <w:uiPriority w:val="99"/>
    <w:rPr>
      <w:rFonts w:cs="Times New Roman"/>
      <w:kern w:val="2"/>
      <w:sz w:val="18"/>
      <w:szCs w:val="18"/>
    </w:rPr>
  </w:style>
  <w:style w:type="character" w:customStyle="1" w:styleId="19">
    <w:name w:val="Footer Char"/>
    <w:basedOn w:val="14"/>
    <w:link w:val="8"/>
    <w:autoRedefine/>
    <w:qFormat/>
    <w:locked/>
    <w:uiPriority w:val="99"/>
    <w:rPr>
      <w:rFonts w:cs="Times New Roman"/>
      <w:kern w:val="2"/>
      <w:sz w:val="18"/>
      <w:szCs w:val="18"/>
    </w:rPr>
  </w:style>
  <w:style w:type="character" w:customStyle="1" w:styleId="20">
    <w:name w:val="Header Char"/>
    <w:basedOn w:val="14"/>
    <w:link w:val="9"/>
    <w:autoRedefine/>
    <w:semiHidden/>
    <w:qFormat/>
    <w:locked/>
    <w:uiPriority w:val="99"/>
    <w:rPr>
      <w:rFonts w:cs="Times New Roman"/>
      <w:sz w:val="18"/>
      <w:szCs w:val="18"/>
    </w:rPr>
  </w:style>
  <w:style w:type="character" w:customStyle="1" w:styleId="21">
    <w:name w:val="Body Text 2 Char"/>
    <w:basedOn w:val="14"/>
    <w:link w:val="10"/>
    <w:autoRedefine/>
    <w:semiHidden/>
    <w:qFormat/>
    <w:locked/>
    <w:uiPriority w:val="99"/>
    <w:rPr>
      <w:rFonts w:cs="Times New Roman"/>
      <w:sz w:val="24"/>
      <w:szCs w:val="24"/>
    </w:rPr>
  </w:style>
  <w:style w:type="paragraph" w:customStyle="1" w:styleId="22">
    <w:name w:val="段"/>
    <w:link w:val="23"/>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3">
    <w:name w:val="段 Char"/>
    <w:basedOn w:val="14"/>
    <w:link w:val="22"/>
    <w:autoRedefine/>
    <w:qFormat/>
    <w:locked/>
    <w:uiPriority w:val="99"/>
    <w:rPr>
      <w:rFonts w:ascii="宋体" w:cs="Times New Roman"/>
      <w:sz w:val="21"/>
      <w:lang w:val="en-US" w:eastAsia="zh-CN" w:bidi="ar-SA"/>
    </w:rPr>
  </w:style>
  <w:style w:type="character" w:styleId="24">
    <w:name w:val="Placeholder Text"/>
    <w:basedOn w:val="14"/>
    <w:autoRedefine/>
    <w:semiHidden/>
    <w:qFormat/>
    <w:uiPriority w:val="99"/>
    <w:rPr>
      <w:rFonts w:cs="Times New Roman"/>
      <w:color w:val="808080"/>
    </w:rPr>
  </w:style>
  <w:style w:type="paragraph" w:styleId="25">
    <w:name w:val="List Paragraph"/>
    <w:basedOn w:val="1"/>
    <w:autoRedefine/>
    <w:qFormat/>
    <w:uiPriority w:val="99"/>
    <w:pPr>
      <w:ind w:firstLine="420" w:firstLineChars="200"/>
    </w:pPr>
  </w:style>
  <w:style w:type="paragraph" w:customStyle="1" w:styleId="26">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7">
    <w:name w:val="章标题"/>
    <w:next w:val="22"/>
    <w:autoRedefine/>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8">
    <w:name w:val="一级条标题"/>
    <w:basedOn w:val="27"/>
    <w:next w:val="22"/>
    <w:link w:val="33"/>
    <w:autoRedefine/>
    <w:qFormat/>
    <w:uiPriority w:val="99"/>
    <w:pPr>
      <w:numPr>
        <w:ilvl w:val="2"/>
      </w:numPr>
      <w:spacing w:beforeLines="0" w:afterLines="0"/>
      <w:outlineLvl w:val="2"/>
    </w:pPr>
  </w:style>
  <w:style w:type="paragraph" w:customStyle="1" w:styleId="29">
    <w:name w:val="二级条标题"/>
    <w:basedOn w:val="28"/>
    <w:next w:val="22"/>
    <w:link w:val="37"/>
    <w:autoRedefine/>
    <w:qFormat/>
    <w:uiPriority w:val="99"/>
    <w:pPr>
      <w:numPr>
        <w:ilvl w:val="3"/>
      </w:numPr>
      <w:ind w:left="2310" w:hanging="420"/>
      <w:outlineLvl w:val="3"/>
    </w:pPr>
  </w:style>
  <w:style w:type="paragraph" w:customStyle="1" w:styleId="30">
    <w:name w:val="三级条标题"/>
    <w:basedOn w:val="29"/>
    <w:next w:val="22"/>
    <w:autoRedefine/>
    <w:qFormat/>
    <w:uiPriority w:val="99"/>
    <w:pPr>
      <w:numPr>
        <w:ilvl w:val="4"/>
      </w:numPr>
      <w:ind w:left="2730"/>
      <w:outlineLvl w:val="4"/>
    </w:pPr>
  </w:style>
  <w:style w:type="paragraph" w:customStyle="1" w:styleId="31">
    <w:name w:val="四级条标题"/>
    <w:basedOn w:val="30"/>
    <w:next w:val="22"/>
    <w:autoRedefine/>
    <w:qFormat/>
    <w:uiPriority w:val="99"/>
    <w:pPr>
      <w:numPr>
        <w:ilvl w:val="5"/>
      </w:numPr>
      <w:ind w:left="3150"/>
      <w:outlineLvl w:val="5"/>
    </w:pPr>
  </w:style>
  <w:style w:type="paragraph" w:customStyle="1" w:styleId="32">
    <w:name w:val="五级条标题"/>
    <w:basedOn w:val="31"/>
    <w:next w:val="22"/>
    <w:autoRedefine/>
    <w:qFormat/>
    <w:uiPriority w:val="99"/>
    <w:pPr>
      <w:numPr>
        <w:ilvl w:val="6"/>
      </w:numPr>
      <w:ind w:left="3570"/>
      <w:outlineLvl w:val="6"/>
    </w:pPr>
  </w:style>
  <w:style w:type="character" w:customStyle="1" w:styleId="33">
    <w:name w:val="一级条标题 Char"/>
    <w:link w:val="28"/>
    <w:autoRedefine/>
    <w:qFormat/>
    <w:locked/>
    <w:uiPriority w:val="99"/>
    <w:rPr>
      <w:rFonts w:ascii="黑体" w:eastAsia="黑体"/>
      <w:sz w:val="21"/>
      <w:lang w:val="en-US" w:eastAsia="zh-CN"/>
    </w:rPr>
  </w:style>
  <w:style w:type="paragraph" w:customStyle="1" w:styleId="34">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
    <w:name w:val="其他发布部门"/>
    <w:basedOn w:val="1"/>
    <w:autoRedefine/>
    <w:qFormat/>
    <w:uiPriority w:val="99"/>
    <w:pPr>
      <w:widowControl/>
      <w:spacing w:line="240" w:lineRule="atLeast"/>
      <w:jc w:val="center"/>
    </w:pPr>
    <w:rPr>
      <w:rFonts w:ascii="黑体" w:eastAsia="黑体"/>
      <w:spacing w:val="20"/>
      <w:w w:val="135"/>
      <w:kern w:val="0"/>
      <w:sz w:val="36"/>
      <w:szCs w:val="20"/>
    </w:rPr>
  </w:style>
  <w:style w:type="paragraph" w:customStyle="1" w:styleId="36">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37">
    <w:name w:val="二级条标题 Char"/>
    <w:link w:val="29"/>
    <w:autoRedefine/>
    <w:qFormat/>
    <w:locked/>
    <w:uiPriority w:val="99"/>
    <w:rPr>
      <w:rFonts w:ascii="黑体" w:eastAsia="黑体"/>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6</Pages>
  <Words>662</Words>
  <Characters>3776</Characters>
  <Lines>0</Lines>
  <Paragraphs>0</Paragraphs>
  <TotalTime>45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2020-06-29T09:57:00Z</dcterms:created>
  <dc:creator>USER</dc:creator>
  <cp:lastModifiedBy>伍cq</cp:lastModifiedBy>
  <cp:lastPrinted>2013-05-26T06:25:00Z</cp:lastPrinted>
  <dcterms:modified xsi:type="dcterms:W3CDTF">2024-05-15T03:30:12Z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6F734443134A47798D365491C9F3B204_13</vt:lpwstr>
  </property>
</Properties>
</file>