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Cs/>
          <w:sz w:val="24"/>
        </w:rPr>
      </w:pPr>
    </w:p>
    <w:p>
      <w:pPr>
        <w:pStyle w:val="33"/>
        <w:spacing w:line="360" w:lineRule="auto"/>
        <w:rPr>
          <w:rFonts w:hint="default" w:hAnsi="黑体" w:eastAsia="黑体" w:cs="黑体"/>
          <w:sz w:val="44"/>
          <w:szCs w:val="44"/>
          <w:lang w:val="en-US" w:eastAsia="zh-CN"/>
        </w:rPr>
      </w:pPr>
      <w:r>
        <w:rPr>
          <w:rFonts w:hAnsi="黑体" w:cs="黑体"/>
          <w:sz w:val="44"/>
          <w:szCs w:val="44"/>
        </w:rPr>
        <w:t>JJF</w:t>
      </w:r>
      <w:r>
        <w:rPr>
          <w:rFonts w:hint="eastAsia" w:hAnsi="黑体" w:cs="黑体"/>
          <w:sz w:val="44"/>
          <w:szCs w:val="44"/>
          <w:lang w:val="en-US" w:eastAsia="zh-CN"/>
        </w:rPr>
        <w:t>Z</w:t>
      </w:r>
      <w:r>
        <w:rPr>
          <w:rFonts w:hint="eastAsia" w:hAnsi="黑体" w:cs="黑体"/>
          <w:sz w:val="44"/>
          <w:szCs w:val="44"/>
        </w:rPr>
        <w:t>（有色金属）</w:t>
      </w:r>
      <w:r>
        <w:rPr>
          <w:rFonts w:hAnsi="黑体" w:cs="黑体"/>
          <w:sz w:val="44"/>
          <w:szCs w:val="44"/>
        </w:rPr>
        <w:t>00</w:t>
      </w:r>
      <w:r>
        <w:rPr>
          <w:rFonts w:hint="eastAsia" w:hAnsi="黑体" w:cs="黑体"/>
          <w:sz w:val="44"/>
          <w:szCs w:val="44"/>
          <w:lang w:val="en-US" w:eastAsia="zh-CN"/>
        </w:rPr>
        <w:t>4</w:t>
      </w:r>
      <w:r>
        <w:rPr>
          <w:rFonts w:hAnsi="黑体" w:cs="黑体"/>
          <w:sz w:val="44"/>
          <w:szCs w:val="44"/>
        </w:rPr>
        <w:t>—20</w:t>
      </w:r>
      <w:r>
        <w:rPr>
          <w:rFonts w:hint="eastAsia" w:hAnsi="黑体" w:cs="黑体"/>
          <w:sz w:val="44"/>
          <w:szCs w:val="44"/>
          <w:lang w:val="en-US" w:eastAsia="zh-CN"/>
        </w:rPr>
        <w:t>23</w:t>
      </w:r>
    </w:p>
    <w:p>
      <w:pPr>
        <w:spacing w:line="360" w:lineRule="auto"/>
        <w:jc w:val="center"/>
        <w:rPr>
          <w:rFonts w:ascii="黑体" w:hAnsi="黑体" w:eastAsia="黑体" w:cs="黑体"/>
          <w:sz w:val="44"/>
          <w:szCs w:val="44"/>
        </w:rPr>
      </w:pPr>
      <w:r>
        <w:rPr>
          <w:rFonts w:hint="eastAsia" w:ascii="黑体" w:hAnsi="黑体" w:eastAsia="黑体" w:cs="黑体"/>
          <w:sz w:val="44"/>
          <w:szCs w:val="44"/>
        </w:rPr>
        <w:t>《管路式海水冲刷腐蚀试验机校准规范》</w:t>
      </w:r>
    </w:p>
    <w:p>
      <w:pPr>
        <w:pStyle w:val="33"/>
        <w:spacing w:line="360" w:lineRule="auto"/>
        <w:rPr>
          <w:rFonts w:hAnsi="黑体" w:cs="黑体"/>
          <w:sz w:val="44"/>
          <w:szCs w:val="44"/>
        </w:rPr>
      </w:pPr>
    </w:p>
    <w:p>
      <w:pPr>
        <w:spacing w:line="360" w:lineRule="auto"/>
        <w:jc w:val="center"/>
        <w:rPr>
          <w:rFonts w:ascii="黑体" w:hAnsi="黑体" w:eastAsia="黑体" w:cs="黑体"/>
          <w:sz w:val="44"/>
          <w:szCs w:val="44"/>
        </w:rPr>
      </w:pPr>
      <w:r>
        <w:rPr>
          <w:rFonts w:ascii="黑体" w:hAnsi="黑体" w:eastAsia="黑体" w:cs="黑体"/>
          <w:sz w:val="44"/>
          <w:szCs w:val="44"/>
        </w:rPr>
        <w:t>(</w:t>
      </w:r>
      <w:r>
        <w:rPr>
          <w:rFonts w:hint="eastAsia" w:ascii="黑体" w:hAnsi="黑体" w:eastAsia="黑体" w:cs="黑体"/>
          <w:sz w:val="44"/>
          <w:szCs w:val="44"/>
          <w:lang w:val="en-US" w:eastAsia="zh-CN"/>
        </w:rPr>
        <w:t>征求意见</w:t>
      </w:r>
      <w:r>
        <w:rPr>
          <w:rFonts w:hint="eastAsia" w:ascii="黑体" w:hAnsi="黑体" w:eastAsia="黑体" w:cs="黑体"/>
          <w:sz w:val="44"/>
          <w:szCs w:val="44"/>
        </w:rPr>
        <w:t>稿编制说明</w:t>
      </w:r>
      <w:r>
        <w:rPr>
          <w:rFonts w:ascii="黑体" w:hAnsi="黑体" w:eastAsia="黑体" w:cs="黑体"/>
          <w:sz w:val="44"/>
          <w:szCs w:val="44"/>
        </w:rPr>
        <w:t>)</w:t>
      </w: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pStyle w:val="35"/>
        <w:spacing w:before="600" w:line="360" w:lineRule="auto"/>
        <w:rPr>
          <w:rFonts w:hint="default" w:ascii="黑体" w:hAnsi="黑体" w:eastAsia="黑体"/>
          <w:sz w:val="36"/>
          <w:szCs w:val="36"/>
          <w:lang w:val="en-US" w:eastAsia="zh-CN"/>
        </w:rPr>
      </w:pPr>
      <w:r>
        <w:rPr>
          <w:rFonts w:ascii="黑体" w:hAnsi="黑体" w:eastAsia="黑体"/>
          <w:sz w:val="36"/>
          <w:szCs w:val="36"/>
        </w:rPr>
        <w:t>202</w:t>
      </w:r>
      <w:r>
        <w:rPr>
          <w:rFonts w:hint="eastAsia" w:ascii="黑体" w:hAnsi="黑体" w:eastAsia="黑体"/>
          <w:sz w:val="36"/>
          <w:szCs w:val="36"/>
          <w:lang w:val="en-US" w:eastAsia="zh-CN"/>
        </w:rPr>
        <w:t>4</w:t>
      </w:r>
      <w:r>
        <w:rPr>
          <w:rFonts w:ascii="黑体" w:hAnsi="黑体" w:eastAsia="黑体"/>
          <w:sz w:val="36"/>
          <w:szCs w:val="36"/>
        </w:rPr>
        <w:t>-0</w:t>
      </w:r>
      <w:r>
        <w:rPr>
          <w:rFonts w:hint="eastAsia" w:ascii="黑体" w:hAnsi="黑体" w:eastAsia="黑体"/>
          <w:sz w:val="36"/>
          <w:szCs w:val="36"/>
          <w:lang w:val="en-US" w:eastAsia="zh-CN"/>
        </w:rPr>
        <w:t>5</w:t>
      </w:r>
      <w:r>
        <w:rPr>
          <w:rFonts w:ascii="黑体" w:hAnsi="黑体" w:eastAsia="黑体"/>
          <w:sz w:val="36"/>
          <w:szCs w:val="36"/>
        </w:rPr>
        <w:t>-</w:t>
      </w:r>
      <w:r>
        <w:rPr>
          <w:rFonts w:hint="eastAsia" w:ascii="黑体" w:hAnsi="黑体" w:eastAsia="黑体"/>
          <w:sz w:val="36"/>
          <w:szCs w:val="36"/>
          <w:lang w:val="en-US" w:eastAsia="zh-CN"/>
        </w:rPr>
        <w:t>14</w:t>
      </w:r>
    </w:p>
    <w:p>
      <w:pPr>
        <w:spacing w:line="360" w:lineRule="auto"/>
        <w:rPr>
          <w:rFonts w:ascii="黑体" w:eastAsia="黑体"/>
          <w:bCs/>
          <w:sz w:val="24"/>
        </w:rPr>
      </w:pPr>
    </w:p>
    <w:p>
      <w:pPr>
        <w:pStyle w:val="34"/>
        <w:spacing w:line="360" w:lineRule="auto"/>
        <w:rPr>
          <w:rFonts w:ascii="宋体" w:hAnsi="宋体" w:eastAsia="宋体" w:cs="宋体"/>
          <w:sz w:val="28"/>
          <w:szCs w:val="28"/>
        </w:rPr>
      </w:pPr>
      <w:r>
        <w:rPr>
          <w:rFonts w:hint="eastAsia" w:ascii="宋体" w:hAnsi="宋体" w:eastAsia="宋体" w:cs="宋体"/>
          <w:sz w:val="28"/>
          <w:szCs w:val="28"/>
        </w:rPr>
        <w:t>主编单位：广东省</w:t>
      </w:r>
      <w:r>
        <w:rPr>
          <w:rFonts w:hint="eastAsia" w:ascii="宋体" w:hAnsi="宋体" w:eastAsia="宋体" w:cs="宋体"/>
          <w:sz w:val="28"/>
          <w:szCs w:val="28"/>
          <w:lang w:val="en-US" w:eastAsia="zh-CN"/>
        </w:rPr>
        <w:t>科学院</w:t>
      </w:r>
      <w:r>
        <w:rPr>
          <w:rFonts w:hint="eastAsia" w:ascii="宋体" w:hAnsi="宋体" w:eastAsia="宋体" w:cs="宋体"/>
          <w:sz w:val="28"/>
          <w:szCs w:val="28"/>
        </w:rPr>
        <w:t>工业分析检测中心</w:t>
      </w: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rPr>
          <w:rFonts w:ascii="黑体" w:eastAsia="黑体"/>
          <w:bCs/>
          <w:sz w:val="24"/>
        </w:rPr>
      </w:pPr>
    </w:p>
    <w:p>
      <w:pPr>
        <w:spacing w:line="360" w:lineRule="auto"/>
        <w:rPr>
          <w:b/>
        </w:rPr>
      </w:pPr>
      <w:r>
        <w:rPr>
          <w:rFonts w:hint="eastAsia"/>
          <w:b/>
        </w:rPr>
        <w:t>一、工作简况</w:t>
      </w:r>
    </w:p>
    <w:p>
      <w:pPr>
        <w:spacing w:line="360" w:lineRule="auto"/>
        <w:rPr>
          <w:rFonts w:ascii="黑体" w:eastAsia="黑体"/>
          <w:szCs w:val="21"/>
        </w:rPr>
      </w:pPr>
      <w:r>
        <w:rPr>
          <w:rFonts w:ascii="黑体" w:eastAsia="黑体"/>
          <w:szCs w:val="21"/>
        </w:rPr>
        <w:t xml:space="preserve">1.1 </w:t>
      </w:r>
      <w:r>
        <w:rPr>
          <w:rFonts w:hint="eastAsia" w:ascii="黑体" w:hAnsi="宋体" w:eastAsia="黑体"/>
          <w:szCs w:val="21"/>
        </w:rPr>
        <w:t>任务来源</w:t>
      </w:r>
    </w:p>
    <w:p>
      <w:pPr>
        <w:pStyle w:val="9"/>
        <w:spacing w:after="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根据工业和信息化部《关于印发</w:t>
      </w:r>
      <w:r>
        <w:rPr>
          <w:rFonts w:hint="eastAsia" w:ascii="宋体" w:hAnsi="宋体" w:cs="宋体"/>
          <w:color w:val="auto"/>
          <w:szCs w:val="21"/>
          <w:lang w:val="en-US" w:eastAsia="zh-CN"/>
        </w:rPr>
        <w:t>2023</w:t>
      </w:r>
      <w:r>
        <w:rPr>
          <w:rFonts w:hint="eastAsia" w:ascii="宋体" w:hAnsi="宋体" w:eastAsia="宋体" w:cs="宋体"/>
          <w:color w:val="auto"/>
          <w:szCs w:val="21"/>
        </w:rPr>
        <w:t>年行业计量技术规范制修订计划的通知》（工信厅科函［</w:t>
      </w:r>
      <w:r>
        <w:rPr>
          <w:rFonts w:hint="eastAsia" w:ascii="宋体" w:hAnsi="宋体" w:cs="宋体"/>
          <w:color w:val="auto"/>
          <w:szCs w:val="21"/>
          <w:lang w:val="en-US" w:eastAsia="zh-CN"/>
        </w:rPr>
        <w:t>2023</w:t>
      </w:r>
      <w:r>
        <w:rPr>
          <w:rFonts w:hint="eastAsia" w:ascii="宋体" w:hAnsi="宋体" w:eastAsia="宋体" w:cs="宋体"/>
          <w:color w:val="auto"/>
          <w:szCs w:val="21"/>
        </w:rPr>
        <w:t>］</w:t>
      </w:r>
      <w:r>
        <w:rPr>
          <w:rFonts w:hint="eastAsia" w:ascii="宋体" w:hAnsi="宋体" w:cs="宋体"/>
          <w:color w:val="auto"/>
          <w:szCs w:val="21"/>
          <w:lang w:val="en-US" w:eastAsia="zh-CN"/>
        </w:rPr>
        <w:t>476</w:t>
      </w:r>
      <w:r>
        <w:rPr>
          <w:rFonts w:hint="eastAsia" w:ascii="宋体" w:hAnsi="宋体" w:eastAsia="宋体" w:cs="宋体"/>
          <w:color w:val="auto"/>
          <w:szCs w:val="21"/>
        </w:rPr>
        <w:t>号）文的要求，行业计量技术规范《管路式海水冲刷腐蚀试验机校准规范》由广东省</w:t>
      </w:r>
      <w:r>
        <w:rPr>
          <w:rFonts w:hint="eastAsia" w:ascii="宋体" w:hAnsi="宋体" w:eastAsia="宋体" w:cs="宋体"/>
          <w:color w:val="auto"/>
          <w:szCs w:val="21"/>
          <w:lang w:val="en-US" w:eastAsia="zh-CN"/>
        </w:rPr>
        <w:t>科学院</w:t>
      </w:r>
      <w:r>
        <w:rPr>
          <w:rFonts w:hint="eastAsia" w:ascii="宋体" w:hAnsi="宋体" w:eastAsia="宋体" w:cs="宋体"/>
          <w:color w:val="auto"/>
          <w:szCs w:val="21"/>
        </w:rPr>
        <w:t>工业分析检测中心负责起草。该项目计划编号为JJF</w:t>
      </w:r>
      <w:r>
        <w:rPr>
          <w:rFonts w:hint="eastAsia" w:ascii="宋体" w:hAnsi="宋体" w:eastAsia="宋体" w:cs="宋体"/>
          <w:color w:val="auto"/>
          <w:szCs w:val="21"/>
          <w:lang w:val="en-US" w:eastAsia="zh-CN"/>
        </w:rPr>
        <w:t>Z</w:t>
      </w:r>
      <w:r>
        <w:rPr>
          <w:rFonts w:hint="eastAsia" w:ascii="宋体" w:hAnsi="宋体" w:eastAsia="宋体" w:cs="宋体"/>
          <w:color w:val="auto"/>
          <w:szCs w:val="21"/>
        </w:rPr>
        <w:t>（有色金属）00</w:t>
      </w:r>
      <w:r>
        <w:rPr>
          <w:rFonts w:hint="eastAsia" w:ascii="宋体" w:hAnsi="宋体" w:eastAsia="宋体" w:cs="宋体"/>
          <w:color w:val="auto"/>
          <w:szCs w:val="21"/>
          <w:lang w:val="en-US" w:eastAsia="zh-CN"/>
        </w:rPr>
        <w:t>4-</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。按计划要求，本技术规范应于202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年完成。</w:t>
      </w:r>
    </w:p>
    <w:p>
      <w:pPr>
        <w:pStyle w:val="9"/>
        <w:spacing w:after="0" w:line="360" w:lineRule="auto"/>
        <w:rPr>
          <w:rFonts w:ascii="黑体" w:hAnsi="宋体" w:eastAsia="黑体"/>
          <w:color w:val="auto"/>
          <w:szCs w:val="21"/>
        </w:rPr>
      </w:pPr>
      <w:r>
        <w:rPr>
          <w:rFonts w:ascii="黑体" w:hAnsi="宋体" w:eastAsia="黑体"/>
          <w:color w:val="auto"/>
          <w:szCs w:val="21"/>
        </w:rPr>
        <w:t xml:space="preserve">1.2 </w:t>
      </w:r>
      <w:r>
        <w:rPr>
          <w:rFonts w:hint="eastAsia" w:ascii="黑体" w:hAnsi="宋体" w:eastAsia="黑体"/>
          <w:color w:val="auto"/>
          <w:szCs w:val="21"/>
        </w:rPr>
        <w:t>承担单位情况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w:t>
      </w:r>
      <w:r>
        <w:rPr>
          <w:rFonts w:hint="eastAsia" w:ascii="宋体" w:hAnsi="宋体" w:eastAsia="宋体" w:cs="宋体"/>
          <w:szCs w:val="21"/>
          <w:lang w:val="en-US" w:eastAsia="zh-CN"/>
        </w:rPr>
        <w:t>30</w:t>
      </w:r>
      <w:r>
        <w:rPr>
          <w:rFonts w:hint="eastAsia" w:ascii="宋体" w:hAnsi="宋体" w:eastAsia="宋体" w:cs="宋体"/>
          <w:szCs w:val="21"/>
        </w:rPr>
        <w:t>余人，其中教授有1</w:t>
      </w:r>
      <w:r>
        <w:rPr>
          <w:rFonts w:hint="eastAsia" w:ascii="宋体" w:hAnsi="宋体" w:eastAsia="宋体" w:cs="宋体"/>
          <w:szCs w:val="21"/>
          <w:lang w:val="en-US" w:eastAsia="zh-CN"/>
        </w:rPr>
        <w:t>1</w:t>
      </w:r>
      <w:r>
        <w:rPr>
          <w:rFonts w:hint="eastAsia" w:ascii="宋体" w:hAnsi="宋体" w:eastAsia="宋体" w:cs="宋体"/>
          <w:szCs w:val="21"/>
        </w:rPr>
        <w:t>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船黄埔文冲船舶有限公司是中国船舶集团有限公司下属大型骨干造船企业和国家核心军工生产企业，始建于1851年，是我国第一家近代船舶工业企业，是我国最早期产业工人的诞生地之一，是台湾海峡以南、南海区域规模最大的军工船舶企业。公司拥有防务装备、船海装备、科技应用三大产业板块，是我国新型导弹护卫舰、大中型登陆装备、高端军辅船等防务装备的重要建造和保障基地，是国内最大的公务船建造基地，全球领先的支线集装箱船、亚洲最强的疏浚工程装备制造企业，还是华南地区规模最大的高端海洋工程装备、海上风电基础产品建造基地。</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广船国际有限公司是中国船舶集团有限公司属下华南地区最大、最现代化的综合船舶造修企业</w:t>
      </w:r>
      <w:r>
        <w:rPr>
          <w:rFonts w:hint="eastAsia" w:ascii="宋体" w:hAnsi="宋体" w:cs="宋体"/>
          <w:szCs w:val="21"/>
          <w:lang w:eastAsia="zh-CN"/>
        </w:rPr>
        <w:t>，</w:t>
      </w:r>
      <w:r>
        <w:rPr>
          <w:rFonts w:hint="eastAsia" w:ascii="宋体" w:hAnsi="宋体" w:eastAsia="宋体" w:cs="宋体"/>
          <w:szCs w:val="21"/>
        </w:rPr>
        <w:t>始建于1</w:t>
      </w:r>
      <w:r>
        <w:rPr>
          <w:rFonts w:hint="eastAsia" w:ascii="宋体" w:hAnsi="宋体" w:cs="宋体"/>
          <w:szCs w:val="21"/>
          <w:lang w:val="en-US" w:eastAsia="zh-CN"/>
        </w:rPr>
        <w:t>914</w:t>
      </w:r>
      <w:r>
        <w:rPr>
          <w:rFonts w:hint="eastAsia" w:ascii="宋体" w:hAnsi="宋体" w:eastAsia="宋体" w:cs="宋体"/>
          <w:szCs w:val="21"/>
        </w:rPr>
        <w:t>年，地处粤港澳大湾区几何中心、国家级自由贸易区，业务涉及3大产业4大板块，拥有中国船舶集团有限公司规划的华南应用产业中心</w:t>
      </w:r>
      <w:r>
        <w:rPr>
          <w:rFonts w:hint="eastAsia" w:ascii="宋体" w:hAnsi="宋体" w:cs="宋体"/>
          <w:szCs w:val="21"/>
          <w:lang w:eastAsia="zh-CN"/>
        </w:rPr>
        <w:t>，</w:t>
      </w:r>
      <w:r>
        <w:rPr>
          <w:rFonts w:hint="eastAsia" w:ascii="宋体" w:hAnsi="宋体" w:eastAsia="宋体" w:cs="宋体"/>
          <w:szCs w:val="21"/>
        </w:rPr>
        <w:t>是国家高新技术企业，拥有国家认定的企业技术中心，作为世界首家建造先进半潜船的船企，全球近三分之一的半潜船均由广船国际建造，为全球基础设施建设和海洋贸易贡献了中国力量。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广州计量检测技术研究院是国家质量技术监督检验检验总局下属的市级计量技术机构，依据中国《计量法》行使法定计量检定职责，保障全市范围单位统一和量值准确，同时作为中国合格评定（cnas）实验室之一在亚太地区合作组织互认（ilac）协议范围内提供校准检测服务，致力于计量标准的建设和量值传递工作，提供计量在产品生产制造过程中的技术支持，以及计量在智能装备制造、环境监测、新能源与新材料、生物化学等新技术领域的溯源方法和检测技术研究</w:t>
      </w:r>
      <w:r>
        <w:rPr>
          <w:rFonts w:hint="eastAsia" w:ascii="宋体" w:hAnsi="宋体" w:cs="宋体"/>
          <w:szCs w:val="21"/>
          <w:lang w:eastAsia="zh-CN"/>
        </w:rPr>
        <w:t>，</w:t>
      </w:r>
      <w:r>
        <w:rPr>
          <w:rFonts w:hint="eastAsia" w:ascii="宋体" w:hAnsi="宋体" w:eastAsia="宋体" w:cs="宋体"/>
          <w:szCs w:val="21"/>
        </w:rPr>
        <w:t>为地方企业对外贸易与技术创新提供了公共检测平台。</w:t>
      </w:r>
    </w:p>
    <w:p>
      <w:pPr>
        <w:spacing w:line="360" w:lineRule="auto"/>
        <w:ind w:firstLine="420" w:firstLineChars="200"/>
        <w:rPr>
          <w:rFonts w:hint="eastAsia" w:ascii="宋体" w:hAnsi="宋体" w:eastAsia="宋体" w:cs="宋体"/>
          <w:szCs w:val="21"/>
        </w:rPr>
      </w:pPr>
      <w:r>
        <w:rPr>
          <w:rFonts w:hint="eastAsia"/>
          <w:sz w:val="21"/>
          <w:szCs w:val="21"/>
        </w:rPr>
        <w:t>西安汉唐分析检测有限公司成立于</w:t>
      </w:r>
      <w:r>
        <w:rPr>
          <w:sz w:val="21"/>
          <w:szCs w:val="21"/>
        </w:rPr>
        <w:t>2018</w:t>
      </w:r>
      <w:r>
        <w:rPr>
          <w:rFonts w:hint="eastAsia"/>
          <w:sz w:val="21"/>
          <w:szCs w:val="21"/>
        </w:rPr>
        <w:t>年</w:t>
      </w:r>
      <w:r>
        <w:rPr>
          <w:sz w:val="21"/>
          <w:szCs w:val="21"/>
        </w:rPr>
        <w:t>8</w:t>
      </w:r>
      <w:r>
        <w:rPr>
          <w:rFonts w:hint="eastAsia"/>
          <w:sz w:val="21"/>
          <w:szCs w:val="21"/>
        </w:rPr>
        <w:t>月，是由西北有色金属研究院（集团）整合其分析检测资源组建的具有独立法律地位的检验检测机构。公司具有雄厚的技术力量、完整的检验检测手段和先进的检验检测设备，认可或认证资质齐全。目前，公司在西安、宝鸡两地三区设立活动场所，检测面积</w:t>
      </w:r>
      <w:r>
        <w:rPr>
          <w:sz w:val="21"/>
          <w:szCs w:val="21"/>
        </w:rPr>
        <w:t>8000</w:t>
      </w:r>
      <w:r>
        <w:rPr>
          <w:rFonts w:hint="eastAsia"/>
          <w:sz w:val="21"/>
          <w:szCs w:val="21"/>
        </w:rPr>
        <w:t>余平米，下设泾渭分部、西北院分部、宝鸡分公司等三个业务分部。现有工作人员</w:t>
      </w:r>
      <w:r>
        <w:rPr>
          <w:sz w:val="21"/>
          <w:szCs w:val="21"/>
        </w:rPr>
        <w:t>150</w:t>
      </w:r>
      <w:r>
        <w:rPr>
          <w:rFonts w:hint="eastAsia"/>
          <w:sz w:val="21"/>
          <w:szCs w:val="21"/>
        </w:rPr>
        <w:t>余名，其中技术人员</w:t>
      </w:r>
      <w:r>
        <w:rPr>
          <w:sz w:val="21"/>
          <w:szCs w:val="21"/>
        </w:rPr>
        <w:t>70</w:t>
      </w:r>
      <w:r>
        <w:rPr>
          <w:rFonts w:hint="eastAsia"/>
          <w:sz w:val="21"/>
          <w:szCs w:val="21"/>
        </w:rPr>
        <w:t>余名，拥有各种仪器设备设施</w:t>
      </w:r>
      <w:r>
        <w:rPr>
          <w:sz w:val="21"/>
          <w:szCs w:val="21"/>
        </w:rPr>
        <w:t>120</w:t>
      </w:r>
      <w:r>
        <w:rPr>
          <w:rFonts w:hint="eastAsia"/>
          <w:sz w:val="21"/>
          <w:szCs w:val="21"/>
        </w:rPr>
        <w:t>多台套。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Pr>
          <w:sz w:val="21"/>
          <w:szCs w:val="21"/>
        </w:rPr>
        <w:t>/</w:t>
      </w:r>
      <w:r>
        <w:rPr>
          <w:rFonts w:hint="eastAsia"/>
          <w:sz w:val="21"/>
          <w:szCs w:val="21"/>
        </w:rPr>
        <w:t>国家</w:t>
      </w:r>
      <w:r>
        <w:rPr>
          <w:sz w:val="21"/>
          <w:szCs w:val="21"/>
        </w:rPr>
        <w:t>/</w:t>
      </w:r>
      <w:r>
        <w:rPr>
          <w:rFonts w:hint="eastAsia"/>
          <w:sz w:val="21"/>
          <w:szCs w:val="21"/>
        </w:rPr>
        <w:t>行业标准制定、计量技术规范、分析方法研究、标准物质研制、人员培训等服务项目。</w:t>
      </w:r>
    </w:p>
    <w:p>
      <w:pPr>
        <w:pStyle w:val="9"/>
        <w:spacing w:after="0" w:line="360" w:lineRule="auto"/>
        <w:rPr>
          <w:rFonts w:ascii="黑体" w:eastAsia="黑体"/>
          <w:szCs w:val="21"/>
        </w:rPr>
      </w:pPr>
      <w:r>
        <w:rPr>
          <w:rFonts w:ascii="黑体" w:eastAsia="黑体"/>
          <w:szCs w:val="21"/>
        </w:rPr>
        <w:t>1.3</w:t>
      </w:r>
      <w:r>
        <w:rPr>
          <w:rFonts w:hint="eastAsia" w:ascii="黑体" w:eastAsia="黑体"/>
          <w:szCs w:val="21"/>
          <w:lang w:val="en-US" w:eastAsia="zh-CN"/>
        </w:rPr>
        <w:t xml:space="preserve"> </w:t>
      </w:r>
      <w:r>
        <w:rPr>
          <w:rFonts w:hint="eastAsia" w:ascii="黑体" w:hAnsi="宋体" w:eastAsia="黑体"/>
          <w:szCs w:val="21"/>
        </w:rPr>
        <w:t>主要工作过程</w:t>
      </w:r>
    </w:p>
    <w:p>
      <w:pPr>
        <w:pStyle w:val="27"/>
        <w:numPr>
          <w:ilvl w:val="2"/>
          <w:numId w:val="0"/>
        </w:numPr>
        <w:adjustRightInd w:val="0"/>
        <w:snapToGrid w:val="0"/>
        <w:spacing w:line="360" w:lineRule="auto"/>
        <w:ind w:firstLine="420" w:firstLineChars="200"/>
        <w:rPr>
          <w:rFonts w:hint="eastAsia" w:ascii="宋体" w:hAnsi="宋体" w:eastAsia="宋体" w:cs="宋体"/>
          <w:kern w:val="2"/>
          <w:szCs w:val="24"/>
        </w:rPr>
      </w:pPr>
      <w:r>
        <w:rPr>
          <w:rFonts w:hint="eastAsia" w:ascii="宋体" w:hAnsi="宋体" w:eastAsia="宋体" w:cs="宋体"/>
          <w:kern w:val="2"/>
          <w:szCs w:val="24"/>
        </w:rPr>
        <w:t>广东省</w:t>
      </w:r>
      <w:r>
        <w:rPr>
          <w:rFonts w:hint="eastAsia" w:ascii="宋体" w:hAnsi="宋体" w:eastAsia="宋体" w:cs="宋体"/>
          <w:kern w:val="2"/>
          <w:szCs w:val="24"/>
          <w:lang w:val="en-US" w:eastAsia="zh-CN"/>
        </w:rPr>
        <w:t>科学院</w:t>
      </w:r>
      <w:r>
        <w:rPr>
          <w:rFonts w:hint="eastAsia" w:ascii="宋体" w:hAnsi="宋体" w:eastAsia="宋体" w:cs="宋体"/>
          <w:kern w:val="2"/>
          <w:szCs w:val="24"/>
        </w:rPr>
        <w:t>工业分析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numPr>
          <w:ilvl w:val="0"/>
          <w:numId w:val="0"/>
        </w:numPr>
        <w:bidi w:val="0"/>
        <w:spacing w:line="360" w:lineRule="auto"/>
        <w:ind w:firstLine="42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20</w:t>
      </w:r>
      <w:r>
        <w:rPr>
          <w:rFonts w:hint="eastAsia" w:ascii="宋体" w:hAnsi="宋体" w:eastAsia="宋体" w:cs="宋体"/>
          <w:lang w:val="en-US" w:eastAsia="zh-CN"/>
        </w:rPr>
        <w:t>23</w:t>
      </w:r>
      <w:r>
        <w:rPr>
          <w:rFonts w:hint="eastAsia" w:ascii="宋体" w:hAnsi="宋体" w:eastAsia="宋体" w:cs="宋体"/>
        </w:rPr>
        <w:t>年1</w:t>
      </w:r>
      <w:r>
        <w:rPr>
          <w:rFonts w:hint="eastAsia" w:ascii="宋体" w:hAnsi="宋体" w:eastAsia="宋体" w:cs="宋体"/>
          <w:lang w:val="en-US" w:eastAsia="zh-CN"/>
        </w:rPr>
        <w:t>2</w:t>
      </w:r>
      <w:r>
        <w:rPr>
          <w:rFonts w:hint="eastAsia" w:ascii="宋体" w:hAnsi="宋体" w:eastAsia="宋体" w:cs="宋体"/>
        </w:rPr>
        <w:t>月成立计量规范编制组，</w:t>
      </w:r>
      <w:r>
        <w:rPr>
          <w:rFonts w:hint="eastAsia"/>
          <w:bCs/>
        </w:rPr>
        <w:t>参与单位有</w:t>
      </w:r>
      <w:r>
        <w:rPr>
          <w:rFonts w:hint="eastAsia" w:ascii="宋体" w:hAnsi="宋体" w:eastAsia="宋体" w:cs="宋体"/>
          <w:szCs w:val="21"/>
        </w:rPr>
        <w:t>中船黄埔文冲船舶有限公司</w:t>
      </w:r>
      <w:r>
        <w:rPr>
          <w:rFonts w:hint="eastAsia" w:ascii="宋体" w:hAnsi="宋体" w:cs="宋体"/>
          <w:szCs w:val="21"/>
          <w:lang w:eastAsia="zh-CN"/>
        </w:rPr>
        <w:t>、</w:t>
      </w:r>
      <w:r>
        <w:rPr>
          <w:rFonts w:hint="eastAsia" w:ascii="宋体" w:hAnsi="宋体" w:eastAsia="宋体" w:cs="宋体"/>
          <w:szCs w:val="21"/>
        </w:rPr>
        <w:t>广船国际有限公司</w:t>
      </w:r>
      <w:r>
        <w:rPr>
          <w:rFonts w:hint="eastAsia" w:ascii="宋体" w:hAnsi="宋体" w:cs="宋体"/>
          <w:szCs w:val="21"/>
          <w:lang w:eastAsia="zh-CN"/>
        </w:rPr>
        <w:t>、</w:t>
      </w:r>
      <w:r>
        <w:rPr>
          <w:rFonts w:hint="eastAsia" w:ascii="宋体" w:hAnsi="宋体" w:eastAsia="宋体" w:cs="宋体"/>
          <w:szCs w:val="21"/>
        </w:rPr>
        <w:t>广州计量检测技术研究院</w:t>
      </w:r>
      <w:r>
        <w:rPr>
          <w:rFonts w:hint="eastAsia" w:ascii="宋体" w:hAnsi="宋体" w:cs="宋体"/>
          <w:szCs w:val="21"/>
          <w:lang w:eastAsia="zh-CN"/>
        </w:rPr>
        <w:t>、</w:t>
      </w:r>
      <w:r>
        <w:rPr>
          <w:rFonts w:hint="eastAsia" w:ascii="宋体" w:hAnsi="宋体" w:cs="宋体"/>
          <w:bCs/>
          <w:color w:val="000000"/>
          <w:szCs w:val="21"/>
          <w:lang w:eastAsia="zh-CN"/>
        </w:rPr>
        <w:t>西安汉唐分析检测有限公司、国标（北京）检验认证有限公司</w:t>
      </w:r>
      <w:r>
        <w:rPr>
          <w:rFonts w:hint="eastAsia"/>
          <w:lang w:eastAsia="zh-CN"/>
        </w:rPr>
        <w:t>和</w:t>
      </w:r>
      <w:r>
        <w:rPr>
          <w:rFonts w:hint="eastAsia"/>
          <w:bCs/>
        </w:rPr>
        <w:t>西南铝业</w:t>
      </w:r>
      <w:r>
        <w:rPr>
          <w:rFonts w:hint="eastAsia"/>
          <w:bCs/>
          <w:lang w:eastAsia="zh-CN"/>
        </w:rPr>
        <w:t>（</w:t>
      </w:r>
      <w:r>
        <w:rPr>
          <w:rFonts w:hint="eastAsia"/>
          <w:bCs/>
        </w:rPr>
        <w:t>集团</w:t>
      </w:r>
      <w:r>
        <w:rPr>
          <w:rFonts w:hint="eastAsia"/>
          <w:bCs/>
          <w:lang w:eastAsia="zh-CN"/>
        </w:rPr>
        <w:t>）</w:t>
      </w:r>
      <w:r>
        <w:rPr>
          <w:rFonts w:hint="eastAsia"/>
          <w:bCs/>
        </w:rPr>
        <w:t>有限责任公司</w:t>
      </w:r>
      <w:r>
        <w:rPr>
          <w:rFonts w:hint="eastAsia" w:ascii="宋体" w:hAnsi="宋体" w:cs="宋体"/>
          <w:bCs/>
          <w:color w:val="000000"/>
          <w:szCs w:val="21"/>
          <w:lang w:eastAsia="zh-CN"/>
        </w:rPr>
        <w:t>等</w:t>
      </w:r>
      <w:r>
        <w:rPr>
          <w:rFonts w:hint="eastAsia"/>
          <w:szCs w:val="21"/>
        </w:rPr>
        <w:t>，</w:t>
      </w:r>
      <w:r>
        <w:rPr>
          <w:rFonts w:hint="eastAsia" w:ascii="宋体" w:hAnsi="宋体" w:eastAsia="宋体" w:cs="宋体"/>
        </w:rPr>
        <w:t>并明确了工作的职能和任务。</w:t>
      </w:r>
    </w:p>
    <w:p>
      <w:pPr>
        <w:numPr>
          <w:ilvl w:val="0"/>
          <w:numId w:val="0"/>
        </w:numPr>
        <w:bidi w:val="0"/>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月计量规范编制组成员认真学习了《国家计量校准规范编写规则》，对管路式海水冲刷腐蚀试验机校准规范中的校准参数及方法进行了讨论，确定了校准参数，在</w:t>
      </w:r>
      <w:r>
        <w:rPr>
          <w:rFonts w:hint="eastAsia" w:ascii="宋体" w:hAnsi="宋体" w:eastAsia="宋体" w:cs="宋体"/>
          <w:lang w:val="en-US" w:eastAsia="zh-CN"/>
        </w:rPr>
        <w:t>4</w:t>
      </w:r>
      <w:r>
        <w:rPr>
          <w:rFonts w:hint="eastAsia" w:ascii="宋体" w:hAnsi="宋体" w:eastAsia="宋体" w:cs="宋体"/>
        </w:rPr>
        <w:t>月初形成了计量规范讨论稿。</w:t>
      </w:r>
    </w:p>
    <w:p>
      <w:pPr>
        <w:bidi w:val="0"/>
        <w:spacing w:line="36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cs="宋体"/>
          <w:lang w:val="en-US" w:eastAsia="zh-CN"/>
        </w:rPr>
        <w:t>23日～</w:t>
      </w:r>
      <w:r>
        <w:rPr>
          <w:rFonts w:hint="eastAsia" w:ascii="宋体" w:hAnsi="宋体" w:eastAsia="宋体" w:cs="宋体"/>
        </w:rPr>
        <w:t>2</w:t>
      </w:r>
      <w:r>
        <w:rPr>
          <w:rFonts w:hint="eastAsia" w:ascii="宋体" w:hAnsi="宋体" w:eastAsia="宋体" w:cs="宋体"/>
          <w:lang w:val="en-US" w:eastAsia="zh-CN"/>
        </w:rPr>
        <w:t>5</w:t>
      </w:r>
      <w:r>
        <w:rPr>
          <w:rFonts w:hint="eastAsia" w:ascii="宋体" w:hAnsi="宋体" w:eastAsia="宋体" w:cs="宋体"/>
        </w:rPr>
        <w:t>日参加了由</w:t>
      </w:r>
      <w:bookmarkStart w:id="0" w:name="_GoBack"/>
      <w:bookmarkEnd w:id="0"/>
      <w:r>
        <w:rPr>
          <w:rFonts w:hint="eastAsia" w:ascii="宋体" w:hAnsi="宋体" w:eastAsia="宋体" w:cs="宋体"/>
        </w:rPr>
        <w:t>有色金属行业计量技术委员会组织的在</w:t>
      </w:r>
      <w:r>
        <w:rPr>
          <w:rFonts w:hint="eastAsia" w:ascii="宋体" w:hAnsi="宋体" w:eastAsia="宋体" w:cs="宋体"/>
          <w:lang w:val="en-US" w:eastAsia="zh-CN"/>
        </w:rPr>
        <w:t>长沙</w:t>
      </w:r>
      <w:r>
        <w:rPr>
          <w:rFonts w:hint="eastAsia" w:ascii="宋体" w:hAnsi="宋体" w:eastAsia="宋体" w:cs="宋体"/>
        </w:rPr>
        <w:t>召开的有色金属行业计量技术委员会工作会，会上与会专家对本计量规范的讨论稿提出了宝贵的意见和建议。</w:t>
      </w:r>
      <w:r>
        <w:rPr>
          <w:rFonts w:hint="eastAsia" w:ascii="宋体" w:hAnsi="宋体" w:cs="宋体"/>
          <w:lang w:eastAsia="zh-CN"/>
        </w:rPr>
        <w:t>提出修改意见如下：温度校准引用标准删除；按标准修改附录</w:t>
      </w:r>
      <w:r>
        <w:rPr>
          <w:rFonts w:hint="eastAsia" w:ascii="宋体" w:hAnsi="宋体" w:cs="宋体"/>
          <w:lang w:val="en-US" w:eastAsia="zh-CN"/>
        </w:rPr>
        <w:t>A、附录B的格式；</w:t>
      </w:r>
      <w:r>
        <w:rPr>
          <w:rFonts w:hint="eastAsia" w:ascii="宋体" w:hAnsi="宋体" w:cs="宋体"/>
          <w:lang w:eastAsia="zh-CN"/>
        </w:rPr>
        <w:t>附录</w:t>
      </w:r>
      <w:r>
        <w:rPr>
          <w:rFonts w:hint="eastAsia" w:ascii="宋体" w:hAnsi="宋体" w:cs="宋体"/>
          <w:lang w:val="en-US" w:eastAsia="zh-CN"/>
        </w:rPr>
        <w:t>C中的不确定度评定示例明确具体的项目名称；不确定度分量C.7.1和C.7.2来源一致，评估时可考虑忽略一个较小值。</w:t>
      </w:r>
    </w:p>
    <w:p>
      <w:pPr>
        <w:bidi w:val="0"/>
        <w:spacing w:line="360" w:lineRule="auto"/>
        <w:ind w:firstLine="42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5</w:t>
      </w:r>
      <w:r>
        <w:rPr>
          <w:rFonts w:hint="eastAsia" w:ascii="宋体" w:hAnsi="宋体" w:eastAsia="宋体" w:cs="宋体"/>
        </w:rPr>
        <w:t>月</w:t>
      </w:r>
      <w:r>
        <w:rPr>
          <w:rFonts w:hint="eastAsia" w:ascii="宋体" w:hAnsi="宋体" w:eastAsia="宋体" w:cs="宋体"/>
          <w:lang w:eastAsia="zh-CN"/>
        </w:rPr>
        <w:t>，</w:t>
      </w:r>
      <w:r>
        <w:rPr>
          <w:rFonts w:hint="eastAsia" w:ascii="宋体" w:hAnsi="宋体" w:eastAsia="宋体" w:cs="宋体"/>
        </w:rPr>
        <w:t>规范编制组</w:t>
      </w:r>
      <w:r>
        <w:rPr>
          <w:rFonts w:hint="eastAsia" w:ascii="宋体" w:hAnsi="宋体" w:eastAsia="宋体" w:cs="宋体"/>
          <w:lang w:val="en-US" w:eastAsia="zh-CN"/>
        </w:rPr>
        <w:t>针对讨论会上各专家对本</w:t>
      </w:r>
      <w:r>
        <w:rPr>
          <w:rFonts w:hint="eastAsia" w:ascii="宋体" w:hAnsi="宋体" w:eastAsia="宋体" w:cs="宋体"/>
        </w:rPr>
        <w:t>计量规范讨论稿提出</w:t>
      </w:r>
      <w:r>
        <w:rPr>
          <w:rFonts w:hint="eastAsia" w:ascii="宋体" w:hAnsi="宋体" w:eastAsia="宋体" w:cs="宋体"/>
          <w:lang w:val="en-US" w:eastAsia="zh-CN"/>
        </w:rPr>
        <w:t>的意见，对</w:t>
      </w:r>
      <w:r>
        <w:rPr>
          <w:rFonts w:hint="eastAsia" w:ascii="宋体" w:hAnsi="宋体" w:eastAsia="宋体" w:cs="宋体"/>
        </w:rPr>
        <w:t>计量规范讨论稿</w:t>
      </w:r>
      <w:r>
        <w:rPr>
          <w:rFonts w:hint="eastAsia" w:ascii="宋体" w:hAnsi="宋体" w:eastAsia="宋体" w:cs="宋体"/>
          <w:lang w:val="en-US" w:eastAsia="zh-CN"/>
        </w:rPr>
        <w:t>进行修改并形成了征求意见稿。</w:t>
      </w:r>
    </w:p>
    <w:p>
      <w:pPr>
        <w:adjustRightInd w:val="0"/>
        <w:snapToGrid w:val="0"/>
        <w:spacing w:line="360" w:lineRule="auto"/>
        <w:rPr>
          <w:rFonts w:ascii="黑体" w:eastAsia="黑体"/>
          <w:color w:val="FF0000"/>
          <w:szCs w:val="21"/>
        </w:rPr>
      </w:pPr>
      <w:r>
        <w:rPr>
          <w:rFonts w:hint="eastAsia"/>
          <w:color w:val="000000"/>
          <w:szCs w:val="21"/>
        </w:rPr>
        <w:t>二、</w:t>
      </w:r>
      <w:r>
        <w:rPr>
          <w:rFonts w:hint="eastAsia" w:ascii="黑体" w:hAnsi="宋体" w:eastAsia="黑体"/>
          <w:szCs w:val="21"/>
        </w:rPr>
        <w:t>编制原则和依据</w:t>
      </w:r>
    </w:p>
    <w:p>
      <w:pPr>
        <w:pStyle w:val="9"/>
        <w:spacing w:after="0" w:line="360" w:lineRule="auto"/>
        <w:rPr>
          <w:rFonts w:ascii="黑体" w:eastAsia="黑体"/>
          <w:szCs w:val="21"/>
        </w:rPr>
      </w:pPr>
      <w:r>
        <w:rPr>
          <w:rFonts w:ascii="黑体" w:eastAsia="黑体"/>
          <w:szCs w:val="21"/>
        </w:rPr>
        <w:t>2.1</w:t>
      </w:r>
      <w:r>
        <w:rPr>
          <w:rFonts w:hint="eastAsia" w:ascii="黑体" w:hAnsi="宋体" w:eastAsia="黑体"/>
          <w:szCs w:val="21"/>
        </w:rPr>
        <w:t>规范编制原则</w:t>
      </w:r>
    </w:p>
    <w:p>
      <w:pPr>
        <w:spacing w:line="360" w:lineRule="auto"/>
        <w:ind w:firstLine="435"/>
        <w:rPr>
          <w:rFonts w:hint="eastAsia" w:ascii="宋体" w:hAnsi="宋体" w:eastAsia="宋体" w:cs="宋体"/>
          <w:szCs w:val="21"/>
        </w:rPr>
      </w:pPr>
      <w:r>
        <w:rPr>
          <w:rFonts w:hint="eastAsia" w:ascii="宋体" w:hAnsi="宋体" w:eastAsia="宋体" w:cs="宋体"/>
          <w:szCs w:val="21"/>
        </w:rPr>
        <w:t>1）该规范按照</w:t>
      </w:r>
      <w:r>
        <w:rPr>
          <w:rFonts w:hint="eastAsia" w:ascii="宋体" w:hAnsi="宋体" w:eastAsia="宋体" w:cs="宋体"/>
        </w:rPr>
        <w:t>JJF 1071-2010《国家计量校准规范编写规则》、JJF 1001</w:t>
      </w:r>
      <w:r>
        <w:rPr>
          <w:rFonts w:hint="eastAsia" w:ascii="宋体" w:hAnsi="宋体" w:eastAsia="宋体" w:cs="宋体"/>
          <w:lang w:val="en-US" w:eastAsia="zh-CN"/>
        </w:rPr>
        <w:t>-</w:t>
      </w:r>
      <w:r>
        <w:rPr>
          <w:rFonts w:hint="eastAsia" w:ascii="宋体" w:hAnsi="宋体" w:eastAsia="宋体" w:cs="宋体"/>
        </w:rPr>
        <w:t>2011《通用计量术语及定义》和JJF 1059.1</w:t>
      </w:r>
      <w:r>
        <w:rPr>
          <w:rFonts w:hint="eastAsia" w:ascii="宋体" w:hAnsi="宋体" w:eastAsia="宋体" w:cs="宋体"/>
          <w:lang w:val="en-US" w:eastAsia="zh-CN"/>
        </w:rPr>
        <w:t>-</w:t>
      </w:r>
      <w:r>
        <w:rPr>
          <w:rFonts w:hint="eastAsia" w:ascii="宋体" w:hAnsi="宋体" w:eastAsia="宋体" w:cs="宋体"/>
        </w:rPr>
        <w:t>2012《测量不确定度评定与表示》编写。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2）先进性：本规范依据GB/T 42654-2023《铜及铜合金海水冲刷腐蚀试验方法》检测要求，充分考虑到现有检测设备的条件，制订了本规范的基本原则和编制依据，使本规范具有较好的操作性和规范性。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3）创新性：制定后的计量规范有助于统一</w:t>
      </w:r>
      <w:r>
        <w:rPr>
          <w:rFonts w:hint="eastAsia" w:ascii="宋体" w:hAnsi="宋体" w:eastAsia="宋体" w:cs="宋体"/>
        </w:rPr>
        <w:t>管路式海水冲刷腐蚀试验机</w:t>
      </w:r>
      <w:r>
        <w:rPr>
          <w:rFonts w:hint="eastAsia" w:ascii="宋体" w:hAnsi="宋体" w:eastAsia="宋体" w:cs="宋体"/>
          <w:szCs w:val="21"/>
        </w:rPr>
        <w:t>的校准参数，评价设备性能好坏，提高设备的可比性，保证后期测量数据的可靠性。</w:t>
      </w:r>
    </w:p>
    <w:p>
      <w:pPr>
        <w:spacing w:line="360" w:lineRule="auto"/>
        <w:rPr>
          <w:rFonts w:ascii="黑体" w:hAnsi="宋体" w:eastAsia="黑体"/>
          <w:szCs w:val="21"/>
        </w:rPr>
      </w:pPr>
      <w:r>
        <w:rPr>
          <w:rFonts w:ascii="黑体" w:eastAsia="黑体"/>
          <w:szCs w:val="21"/>
        </w:rPr>
        <w:t>2.2</w:t>
      </w:r>
      <w:r>
        <w:rPr>
          <w:rFonts w:hint="eastAsia" w:ascii="黑体" w:hAnsi="宋体" w:eastAsia="黑体"/>
          <w:szCs w:val="21"/>
        </w:rPr>
        <w:t>制定规范主要内容的论据</w:t>
      </w:r>
    </w:p>
    <w:p>
      <w:pPr>
        <w:spacing w:line="360" w:lineRule="auto"/>
        <w:rPr>
          <w:rFonts w:ascii="黑体" w:hAnsi="黑体" w:eastAsia="黑体"/>
          <w:szCs w:val="21"/>
        </w:rPr>
      </w:pPr>
      <w:r>
        <w:rPr>
          <w:rFonts w:ascii="黑体" w:hAnsi="黑体" w:eastAsia="黑体"/>
          <w:szCs w:val="21"/>
        </w:rPr>
        <w:t>2.2.1</w:t>
      </w:r>
      <w:r>
        <w:rPr>
          <w:rFonts w:hint="eastAsia" w:ascii="黑体" w:hAnsi="黑体" w:eastAsia="黑体"/>
          <w:szCs w:val="21"/>
        </w:rPr>
        <w:t>范围</w:t>
      </w:r>
    </w:p>
    <w:p>
      <w:pPr>
        <w:spacing w:line="360" w:lineRule="auto"/>
        <w:ind w:firstLine="420" w:firstLineChars="200"/>
        <w:rPr>
          <w:rFonts w:ascii="宋体" w:eastAsia="方正行楷简体"/>
          <w:kern w:val="0"/>
          <w:szCs w:val="21"/>
        </w:rPr>
      </w:pPr>
      <w:r>
        <w:rPr>
          <w:rFonts w:hint="eastAsia" w:ascii="宋体" w:eastAsia="方正行楷简体"/>
          <w:kern w:val="0"/>
          <w:szCs w:val="21"/>
        </w:rPr>
        <w:t>本规范适用于管路式海水冲刷腐蚀试验机的校准。</w:t>
      </w:r>
    </w:p>
    <w:p>
      <w:pPr>
        <w:pStyle w:val="21"/>
        <w:spacing w:line="360" w:lineRule="auto"/>
        <w:ind w:firstLine="31680"/>
        <w:rPr>
          <w:rFonts w:eastAsia="方正行楷简体"/>
          <w:szCs w:val="21"/>
        </w:rPr>
      </w:pPr>
      <w:r>
        <w:rPr>
          <w:rFonts w:hint="eastAsia" w:eastAsia="方正行楷简体"/>
          <w:szCs w:val="21"/>
        </w:rPr>
        <w:t>本规范规定了</w:t>
      </w:r>
      <w:r>
        <w:rPr>
          <w:rFonts w:hint="eastAsia" w:ascii="宋体" w:eastAsia="方正行楷简体"/>
          <w:kern w:val="0"/>
          <w:szCs w:val="21"/>
        </w:rPr>
        <w:t>管路式海水冲刷腐蚀试验机</w:t>
      </w:r>
      <w:r>
        <w:rPr>
          <w:rFonts w:hint="eastAsia" w:eastAsia="方正行楷简体"/>
          <w:szCs w:val="21"/>
        </w:rPr>
        <w:t>的校准步骤及参数。</w:t>
      </w:r>
    </w:p>
    <w:p>
      <w:pPr>
        <w:spacing w:line="360" w:lineRule="auto"/>
        <w:rPr>
          <w:rFonts w:ascii="黑体" w:hAnsi="宋体" w:eastAsia="黑体"/>
          <w:szCs w:val="21"/>
        </w:rPr>
      </w:pPr>
      <w:r>
        <w:rPr>
          <w:rFonts w:ascii="黑体" w:hAnsi="宋体" w:eastAsia="黑体"/>
          <w:szCs w:val="21"/>
        </w:rPr>
        <w:t>2.2.2</w:t>
      </w:r>
      <w:r>
        <w:rPr>
          <w:rFonts w:ascii="黑体" w:eastAsia="黑体"/>
          <w:szCs w:val="21"/>
        </w:rPr>
        <w:t xml:space="preserve"> </w:t>
      </w:r>
      <w:r>
        <w:rPr>
          <w:rFonts w:hint="eastAsia" w:ascii="黑体" w:hAnsi="宋体" w:eastAsia="黑体"/>
          <w:szCs w:val="21"/>
        </w:rPr>
        <w:t>引用文件</w:t>
      </w:r>
    </w:p>
    <w:p>
      <w:pPr>
        <w:spacing w:line="360" w:lineRule="auto"/>
        <w:ind w:firstLine="420" w:firstLineChars="200"/>
        <w:rPr>
          <w:rFonts w:ascii="宋体"/>
          <w:szCs w:val="21"/>
        </w:rPr>
      </w:pPr>
      <w:r>
        <w:rPr>
          <w:rFonts w:hint="eastAsia" w:ascii="宋体" w:hAnsi="宋体"/>
          <w:szCs w:val="21"/>
        </w:rPr>
        <w:t>本规范规定了</w:t>
      </w:r>
      <w:r>
        <w:rPr>
          <w:rFonts w:hint="eastAsia" w:ascii="宋体" w:eastAsia="方正行楷简体"/>
          <w:kern w:val="0"/>
          <w:szCs w:val="21"/>
        </w:rPr>
        <w:t>管路式海水冲刷腐蚀试验机</w:t>
      </w:r>
      <w:r>
        <w:rPr>
          <w:rFonts w:hint="eastAsia" w:eastAsia="方正行楷简体"/>
          <w:szCs w:val="21"/>
        </w:rPr>
        <w:t>的校准要求，此仪器主要用于测试铜合金</w:t>
      </w:r>
      <w:r>
        <w:rPr>
          <w:rFonts w:hint="eastAsia" w:eastAsia="方正行楷简体"/>
          <w:szCs w:val="21"/>
          <w:lang w:val="en-US" w:eastAsia="zh-CN"/>
        </w:rPr>
        <w:t>耐</w:t>
      </w:r>
      <w:r>
        <w:rPr>
          <w:rFonts w:hint="eastAsia" w:eastAsia="方正行楷简体"/>
          <w:szCs w:val="21"/>
        </w:rPr>
        <w:t>海水冲刷腐蚀</w:t>
      </w:r>
      <w:r>
        <w:rPr>
          <w:rFonts w:hint="eastAsia" w:eastAsia="方正行楷简体"/>
          <w:szCs w:val="21"/>
          <w:lang w:val="en-US" w:eastAsia="zh-CN"/>
        </w:rPr>
        <w:t>性能</w:t>
      </w:r>
      <w:r>
        <w:rPr>
          <w:rFonts w:hint="eastAsia" w:eastAsia="方正行楷简体"/>
          <w:szCs w:val="21"/>
        </w:rPr>
        <w:t>，因此引用了</w:t>
      </w:r>
      <w:r>
        <w:rPr>
          <w:rFonts w:hint="eastAsia" w:ascii="宋体" w:hAnsi="宋体" w:eastAsia="宋体" w:cs="宋体"/>
          <w:szCs w:val="21"/>
        </w:rPr>
        <w:t>GB/T 42654-2023《铜及铜合金海水冲刷腐蚀试验方法》</w:t>
      </w:r>
      <w:r>
        <w:rPr>
          <w:rFonts w:hint="eastAsia" w:ascii="宋体" w:hAnsi="宋体"/>
          <w:szCs w:val="21"/>
        </w:rPr>
        <w:t>。</w:t>
      </w:r>
    </w:p>
    <w:p>
      <w:pPr>
        <w:spacing w:line="360" w:lineRule="auto"/>
        <w:rPr>
          <w:rFonts w:ascii="黑体" w:hAnsi="宋体" w:eastAsia="黑体"/>
          <w:szCs w:val="21"/>
        </w:rPr>
      </w:pPr>
      <w:r>
        <w:rPr>
          <w:rFonts w:ascii="黑体" w:hAnsi="宋体" w:eastAsia="黑体"/>
          <w:szCs w:val="21"/>
        </w:rPr>
        <w:t>2.2.3</w:t>
      </w:r>
      <w:r>
        <w:rPr>
          <w:rFonts w:ascii="黑体" w:eastAsia="黑体"/>
          <w:szCs w:val="21"/>
        </w:rPr>
        <w:t xml:space="preserve"> </w:t>
      </w:r>
      <w:r>
        <w:rPr>
          <w:rFonts w:hint="eastAsia" w:ascii="黑体" w:hAnsi="宋体" w:eastAsia="黑体"/>
          <w:szCs w:val="21"/>
        </w:rPr>
        <w:t>概述</w:t>
      </w:r>
    </w:p>
    <w:p>
      <w:pPr>
        <w:spacing w:line="360" w:lineRule="auto"/>
        <w:ind w:firstLine="420" w:firstLineChars="200"/>
        <w:rPr>
          <w:rFonts w:eastAsia="方正行楷简体"/>
          <w:szCs w:val="21"/>
        </w:rPr>
      </w:pPr>
      <w:r>
        <w:rPr>
          <w:rFonts w:hint="eastAsia" w:eastAsia="方正行楷简体"/>
          <w:szCs w:val="21"/>
        </w:rPr>
        <w:t>管路式海水冲刷腐蚀试验机主要用于铜合金等管材耐海水冲刷腐蚀性能的测定。通过压力驱动使以氯化钠为主要成分的冲刷介质冲刷样品表面，在设定的流速、温度下冲刷规定的时间，根据试验后试样的腐蚀失重率，评价产品的耐冲刷腐蚀性能。</w:t>
      </w:r>
    </w:p>
    <w:p>
      <w:pPr>
        <w:spacing w:line="360" w:lineRule="auto"/>
        <w:ind w:firstLine="420"/>
        <w:rPr>
          <w:rFonts w:eastAsia="方正行楷简体"/>
          <w:szCs w:val="21"/>
        </w:rPr>
      </w:pPr>
      <w:r>
        <w:rPr>
          <w:rFonts w:hint="eastAsia" w:ascii="宋体" w:hAnsi="宋体"/>
          <w:szCs w:val="21"/>
        </w:rPr>
        <w:t>本规范明确了</w:t>
      </w:r>
      <w:r>
        <w:rPr>
          <w:rFonts w:hint="eastAsia" w:eastAsia="方正行楷简体"/>
          <w:szCs w:val="21"/>
        </w:rPr>
        <w:t>管路式海水冲刷腐蚀试验机</w:t>
      </w:r>
      <w:r>
        <w:rPr>
          <w:rFonts w:hint="eastAsia" w:eastAsia="方正行楷简体"/>
          <w:szCs w:val="21"/>
          <w:lang w:val="en-US" w:eastAsia="zh-CN"/>
        </w:rPr>
        <w:t>测定</w:t>
      </w:r>
      <w:r>
        <w:rPr>
          <w:rFonts w:hint="eastAsia" w:eastAsia="方正行楷简体"/>
          <w:szCs w:val="21"/>
        </w:rPr>
        <w:t>铜合金</w:t>
      </w:r>
      <w:r>
        <w:rPr>
          <w:rFonts w:hint="eastAsia" w:eastAsia="方正行楷简体"/>
          <w:szCs w:val="21"/>
          <w:lang w:val="en-US" w:eastAsia="zh-CN"/>
        </w:rPr>
        <w:t>耐</w:t>
      </w:r>
      <w:r>
        <w:rPr>
          <w:rFonts w:hint="eastAsia" w:eastAsia="方正行楷简体"/>
          <w:szCs w:val="21"/>
        </w:rPr>
        <w:t>海水冲刷腐蚀</w:t>
      </w:r>
      <w:r>
        <w:rPr>
          <w:rFonts w:hint="eastAsia" w:eastAsia="方正行楷简体"/>
          <w:szCs w:val="21"/>
          <w:lang w:val="en-US" w:eastAsia="zh-CN"/>
        </w:rPr>
        <w:t>性能</w:t>
      </w:r>
      <w:r>
        <w:rPr>
          <w:rFonts w:hint="eastAsia" w:eastAsia="方正行楷简体"/>
          <w:szCs w:val="21"/>
        </w:rPr>
        <w:t>的原理，展示了</w:t>
      </w:r>
      <w:r>
        <w:rPr>
          <w:rFonts w:hint="eastAsia" w:eastAsia="方正行楷简体"/>
          <w:szCs w:val="21"/>
          <w:lang w:val="en-US" w:eastAsia="zh-CN"/>
        </w:rPr>
        <w:t>试验机</w:t>
      </w:r>
      <w:r>
        <w:rPr>
          <w:rFonts w:hint="eastAsia" w:eastAsia="方正行楷简体"/>
          <w:szCs w:val="21"/>
        </w:rPr>
        <w:t>校准主要部件的示意图。</w:t>
      </w:r>
    </w:p>
    <w:p>
      <w:pPr>
        <w:spacing w:line="360" w:lineRule="auto"/>
        <w:rPr>
          <w:rFonts w:ascii="黑体" w:hAnsi="宋体" w:eastAsia="黑体"/>
          <w:szCs w:val="21"/>
        </w:rPr>
      </w:pPr>
      <w:r>
        <w:rPr>
          <w:rFonts w:ascii="黑体" w:hAnsi="宋体" w:eastAsia="黑体"/>
          <w:szCs w:val="21"/>
        </w:rPr>
        <w:t>2.2.4</w:t>
      </w:r>
      <w:r>
        <w:rPr>
          <w:rFonts w:ascii="黑体" w:eastAsia="黑体"/>
          <w:szCs w:val="21"/>
        </w:rPr>
        <w:t xml:space="preserve"> </w:t>
      </w:r>
      <w:r>
        <w:rPr>
          <w:rFonts w:hint="eastAsia" w:ascii="黑体" w:hAnsi="宋体" w:eastAsia="黑体"/>
          <w:szCs w:val="21"/>
        </w:rPr>
        <w:t>计量特性</w:t>
      </w:r>
    </w:p>
    <w:p>
      <w:pPr>
        <w:spacing w:line="360" w:lineRule="auto"/>
        <w:ind w:firstLine="420"/>
        <w:rPr>
          <w:rFonts w:ascii="宋体"/>
          <w:szCs w:val="21"/>
        </w:rPr>
      </w:pPr>
      <w:r>
        <w:rPr>
          <w:rFonts w:hint="eastAsia" w:ascii="宋体" w:hAnsi="宋体"/>
          <w:szCs w:val="21"/>
          <w:lang w:val="en-US" w:eastAsia="zh-CN"/>
        </w:rPr>
        <w:t>流量计</w:t>
      </w:r>
      <w:r>
        <w:rPr>
          <w:rFonts w:hint="eastAsia" w:ascii="宋体" w:hAnsi="宋体"/>
          <w:szCs w:val="21"/>
        </w:rPr>
        <w:t>和</w:t>
      </w:r>
      <w:r>
        <w:rPr>
          <w:rFonts w:hint="eastAsia" w:ascii="宋体" w:hAnsi="宋体"/>
          <w:szCs w:val="21"/>
          <w:lang w:val="en-US" w:eastAsia="zh-CN"/>
        </w:rPr>
        <w:t>温度测量系统</w:t>
      </w:r>
      <w:r>
        <w:rPr>
          <w:rFonts w:hint="eastAsia" w:ascii="宋体" w:hAnsi="宋体"/>
          <w:szCs w:val="21"/>
        </w:rPr>
        <w:t>是影响</w:t>
      </w:r>
      <w:r>
        <w:rPr>
          <w:rFonts w:hint="eastAsia" w:ascii="宋体" w:hAnsi="宋体"/>
          <w:szCs w:val="21"/>
          <w:lang w:val="en-US" w:eastAsia="zh-CN"/>
        </w:rPr>
        <w:t>试验机</w:t>
      </w:r>
      <w:r>
        <w:rPr>
          <w:rFonts w:hint="eastAsia" w:ascii="宋体" w:hAnsi="宋体"/>
          <w:szCs w:val="21"/>
        </w:rPr>
        <w:t>性能的主要指标，其中</w:t>
      </w:r>
      <w:r>
        <w:rPr>
          <w:rFonts w:hint="eastAsia" w:ascii="宋体" w:hAnsi="宋体"/>
          <w:szCs w:val="21"/>
          <w:lang w:val="en-US" w:eastAsia="zh-CN"/>
        </w:rPr>
        <w:t>流量计</w:t>
      </w:r>
      <w:r>
        <w:rPr>
          <w:rFonts w:hint="eastAsia" w:ascii="宋体" w:hAnsi="宋体"/>
          <w:szCs w:val="21"/>
        </w:rPr>
        <w:t>的主要</w:t>
      </w:r>
      <w:r>
        <w:rPr>
          <w:rFonts w:hint="eastAsia" w:ascii="宋体" w:hAnsi="宋体"/>
          <w:szCs w:val="21"/>
          <w:lang w:val="en-US" w:eastAsia="zh-CN"/>
        </w:rPr>
        <w:t>计量特性</w:t>
      </w:r>
      <w:r>
        <w:rPr>
          <w:rFonts w:hint="eastAsia" w:ascii="宋体" w:hAnsi="宋体"/>
          <w:szCs w:val="21"/>
        </w:rPr>
        <w:t>有：</w:t>
      </w:r>
      <w:r>
        <w:rPr>
          <w:rFonts w:hint="eastAsia"/>
          <w:szCs w:val="21"/>
        </w:rPr>
        <w:t>流速示值误差</w:t>
      </w:r>
      <w:r>
        <w:rPr>
          <w:rFonts w:hint="eastAsia"/>
          <w:szCs w:val="21"/>
          <w:lang w:val="en-US" w:eastAsia="zh-CN"/>
        </w:rPr>
        <w:t>和</w:t>
      </w:r>
      <w:r>
        <w:rPr>
          <w:rFonts w:hint="eastAsia"/>
          <w:szCs w:val="21"/>
        </w:rPr>
        <w:t>流速重复性</w:t>
      </w:r>
      <w:r>
        <w:rPr>
          <w:rFonts w:hint="eastAsia"/>
          <w:szCs w:val="21"/>
          <w:lang w:eastAsia="zh-CN"/>
        </w:rPr>
        <w:t>；</w:t>
      </w:r>
      <w:r>
        <w:rPr>
          <w:rFonts w:hint="eastAsia" w:ascii="宋体" w:hAnsi="宋体"/>
          <w:szCs w:val="21"/>
          <w:lang w:val="en-US" w:eastAsia="zh-CN"/>
        </w:rPr>
        <w:t>温度测量系统</w:t>
      </w:r>
      <w:r>
        <w:rPr>
          <w:rFonts w:hint="eastAsia" w:ascii="宋体" w:hAnsi="宋体"/>
          <w:szCs w:val="21"/>
        </w:rPr>
        <w:t>的主要</w:t>
      </w:r>
      <w:r>
        <w:rPr>
          <w:rFonts w:hint="eastAsia" w:ascii="宋体" w:hAnsi="宋体"/>
          <w:szCs w:val="21"/>
          <w:lang w:val="en-US" w:eastAsia="zh-CN"/>
        </w:rPr>
        <w:t>计量特性</w:t>
      </w:r>
      <w:r>
        <w:rPr>
          <w:rFonts w:hint="eastAsia" w:ascii="宋体" w:hAnsi="宋体"/>
          <w:szCs w:val="21"/>
        </w:rPr>
        <w:t>有：</w:t>
      </w:r>
      <w:r>
        <w:rPr>
          <w:rFonts w:hint="eastAsia"/>
          <w:szCs w:val="21"/>
        </w:rPr>
        <w:t>温度偏差</w:t>
      </w:r>
      <w:r>
        <w:rPr>
          <w:rFonts w:hint="eastAsia"/>
          <w:szCs w:val="21"/>
          <w:lang w:eastAsia="zh-CN"/>
        </w:rPr>
        <w:t>、</w:t>
      </w:r>
      <w:r>
        <w:rPr>
          <w:rFonts w:hint="eastAsia"/>
          <w:szCs w:val="21"/>
        </w:rPr>
        <w:t>温度波动度</w:t>
      </w:r>
      <w:r>
        <w:rPr>
          <w:rFonts w:hint="eastAsia"/>
          <w:szCs w:val="21"/>
          <w:lang w:val="en-US" w:eastAsia="zh-CN"/>
        </w:rPr>
        <w:t>和</w:t>
      </w:r>
      <w:r>
        <w:rPr>
          <w:rFonts w:hint="eastAsia"/>
          <w:szCs w:val="21"/>
        </w:rPr>
        <w:t>温度均匀度</w:t>
      </w:r>
      <w:r>
        <w:rPr>
          <w:rFonts w:hint="eastAsia" w:ascii="宋体" w:hAnsi="宋体"/>
          <w:szCs w:val="21"/>
        </w:rPr>
        <w:t>。除此之外，还有一些其它因素可能会影响</w:t>
      </w:r>
      <w:r>
        <w:rPr>
          <w:rFonts w:hint="eastAsia" w:ascii="宋体" w:hAnsi="宋体"/>
          <w:szCs w:val="21"/>
          <w:lang w:val="en-US" w:eastAsia="zh-CN"/>
        </w:rPr>
        <w:t>试验机</w:t>
      </w:r>
      <w:r>
        <w:rPr>
          <w:rFonts w:hint="eastAsia" w:ascii="宋体" w:hAnsi="宋体"/>
          <w:szCs w:val="21"/>
        </w:rPr>
        <w:t>的</w:t>
      </w:r>
      <w:r>
        <w:rPr>
          <w:rFonts w:hint="eastAsia" w:ascii="宋体" w:hAnsi="宋体"/>
          <w:szCs w:val="21"/>
          <w:lang w:val="en-US" w:eastAsia="zh-CN"/>
        </w:rPr>
        <w:t>结果</w:t>
      </w:r>
      <w:r>
        <w:rPr>
          <w:rFonts w:hint="eastAsia" w:ascii="宋体" w:hAnsi="宋体"/>
          <w:szCs w:val="21"/>
        </w:rPr>
        <w:t>准确度，但与主要指标相比，影响因素较小，故考虑到计量的可操作性及其他因素，对</w:t>
      </w:r>
      <w:r>
        <w:rPr>
          <w:rFonts w:hint="eastAsia" w:ascii="宋体" w:hAnsi="宋体"/>
          <w:szCs w:val="21"/>
          <w:lang w:val="en-US" w:eastAsia="zh-CN"/>
        </w:rPr>
        <w:t>流量计</w:t>
      </w:r>
      <w:r>
        <w:rPr>
          <w:rFonts w:hint="eastAsia" w:ascii="宋体" w:hAnsi="宋体"/>
          <w:szCs w:val="21"/>
        </w:rPr>
        <w:t>和</w:t>
      </w:r>
      <w:r>
        <w:rPr>
          <w:rFonts w:hint="eastAsia" w:ascii="宋体" w:hAnsi="宋体"/>
          <w:szCs w:val="21"/>
          <w:lang w:val="en-US" w:eastAsia="zh-CN"/>
        </w:rPr>
        <w:t>温度测量系统的</w:t>
      </w:r>
      <w:r>
        <w:rPr>
          <w:rFonts w:hint="eastAsia" w:ascii="宋体" w:hAnsi="宋体"/>
          <w:szCs w:val="21"/>
        </w:rPr>
        <w:t>这些</w:t>
      </w:r>
      <w:r>
        <w:rPr>
          <w:rFonts w:hint="eastAsia" w:ascii="宋体" w:hAnsi="宋体"/>
          <w:szCs w:val="21"/>
          <w:lang w:val="en-US" w:eastAsia="zh-CN"/>
        </w:rPr>
        <w:t>计量特性</w:t>
      </w:r>
      <w:r>
        <w:rPr>
          <w:rFonts w:hint="eastAsia" w:ascii="宋体" w:hAnsi="宋体"/>
          <w:szCs w:val="21"/>
        </w:rPr>
        <w:t>进行了规定。</w:t>
      </w:r>
    </w:p>
    <w:p>
      <w:pPr>
        <w:spacing w:line="360" w:lineRule="auto"/>
        <w:rPr>
          <w:rFonts w:ascii="黑体" w:hAnsi="宋体" w:eastAsia="黑体"/>
          <w:szCs w:val="21"/>
        </w:rPr>
      </w:pPr>
      <w:r>
        <w:rPr>
          <w:rFonts w:ascii="宋体" w:hAnsi="宋体"/>
          <w:szCs w:val="21"/>
        </w:rPr>
        <w:t xml:space="preserve"> </w:t>
      </w:r>
      <w:r>
        <w:rPr>
          <w:rFonts w:ascii="黑体" w:hAnsi="宋体" w:eastAsia="黑体"/>
          <w:szCs w:val="21"/>
        </w:rPr>
        <w:t>2.2.5</w:t>
      </w:r>
      <w:r>
        <w:rPr>
          <w:rFonts w:ascii="黑体" w:eastAsia="黑体"/>
          <w:szCs w:val="21"/>
        </w:rPr>
        <w:t xml:space="preserve"> </w:t>
      </w:r>
      <w:r>
        <w:rPr>
          <w:rFonts w:hint="eastAsia" w:ascii="黑体" w:hAnsi="宋体" w:eastAsia="黑体"/>
          <w:szCs w:val="21"/>
        </w:rPr>
        <w:t>校准条件</w:t>
      </w:r>
    </w:p>
    <w:p>
      <w:pPr>
        <w:spacing w:line="360" w:lineRule="auto"/>
        <w:ind w:firstLine="420"/>
        <w:rPr>
          <w:rFonts w:ascii="宋体"/>
          <w:szCs w:val="21"/>
        </w:rPr>
      </w:pPr>
      <w:r>
        <w:rPr>
          <w:rFonts w:hint="eastAsia" w:ascii="宋体" w:hAnsi="宋体"/>
          <w:szCs w:val="21"/>
        </w:rPr>
        <w:t>对</w:t>
      </w:r>
      <w:r>
        <w:rPr>
          <w:rFonts w:hint="eastAsia" w:ascii="宋体" w:hAnsi="宋体"/>
          <w:szCs w:val="21"/>
          <w:lang w:val="en-US" w:eastAsia="zh-CN"/>
        </w:rPr>
        <w:t>试验机</w:t>
      </w:r>
      <w:r>
        <w:rPr>
          <w:rFonts w:hint="eastAsia" w:ascii="宋体" w:hAnsi="宋体"/>
          <w:szCs w:val="21"/>
        </w:rPr>
        <w:t>校准的试验环境条件、校准标准物质及相关测量</w:t>
      </w:r>
      <w:r>
        <w:rPr>
          <w:rFonts w:hint="eastAsia" w:ascii="宋体" w:hAnsi="宋体"/>
          <w:szCs w:val="21"/>
          <w:lang w:val="en-US" w:eastAsia="zh-CN"/>
        </w:rPr>
        <w:t>标准</w:t>
      </w:r>
      <w:r>
        <w:rPr>
          <w:rFonts w:hint="eastAsia" w:ascii="宋体" w:hAnsi="宋体"/>
          <w:szCs w:val="21"/>
        </w:rPr>
        <w:t>进行了规定。</w:t>
      </w:r>
    </w:p>
    <w:p>
      <w:pPr>
        <w:spacing w:line="360" w:lineRule="auto"/>
        <w:rPr>
          <w:rFonts w:ascii="黑体" w:hAnsi="宋体" w:eastAsia="黑体"/>
          <w:szCs w:val="21"/>
        </w:rPr>
      </w:pPr>
      <w:r>
        <w:rPr>
          <w:rFonts w:ascii="黑体" w:hAnsi="宋体" w:eastAsia="黑体"/>
          <w:szCs w:val="21"/>
        </w:rPr>
        <w:t>2.2.6</w:t>
      </w:r>
      <w:r>
        <w:rPr>
          <w:rFonts w:ascii="黑体" w:eastAsia="黑体"/>
          <w:szCs w:val="21"/>
        </w:rPr>
        <w:t xml:space="preserve"> </w:t>
      </w:r>
      <w:r>
        <w:rPr>
          <w:rFonts w:hint="eastAsia" w:ascii="黑体" w:hAnsi="宋体" w:eastAsia="黑体"/>
          <w:szCs w:val="21"/>
        </w:rPr>
        <w:t>校准项目和校准方法</w:t>
      </w:r>
    </w:p>
    <w:p>
      <w:pPr>
        <w:spacing w:line="360" w:lineRule="auto"/>
        <w:ind w:firstLine="420"/>
        <w:rPr>
          <w:rFonts w:ascii="宋体"/>
          <w:szCs w:val="21"/>
        </w:rPr>
      </w:pPr>
      <w:r>
        <w:rPr>
          <w:rFonts w:hint="eastAsia" w:ascii="宋体" w:hAnsi="宋体"/>
          <w:szCs w:val="21"/>
        </w:rPr>
        <w:t>根据</w:t>
      </w:r>
      <w:r>
        <w:rPr>
          <w:rFonts w:hint="eastAsia" w:ascii="宋体" w:hAnsi="宋体"/>
          <w:szCs w:val="21"/>
          <w:lang w:val="en-US" w:eastAsia="zh-CN"/>
        </w:rPr>
        <w:t>试验机</w:t>
      </w:r>
      <w:r>
        <w:rPr>
          <w:rFonts w:hint="eastAsia" w:ascii="宋体" w:hAnsi="宋体"/>
          <w:szCs w:val="21"/>
        </w:rPr>
        <w:t>的技术构成以及</w:t>
      </w:r>
      <w:r>
        <w:rPr>
          <w:rFonts w:hint="eastAsia" w:ascii="宋体" w:hAnsi="宋体"/>
          <w:szCs w:val="21"/>
          <w:lang w:val="en-US" w:eastAsia="zh-CN"/>
        </w:rPr>
        <w:t>计量特性</w:t>
      </w:r>
      <w:r>
        <w:rPr>
          <w:rFonts w:hint="eastAsia" w:ascii="宋体" w:hAnsi="宋体"/>
          <w:szCs w:val="21"/>
        </w:rPr>
        <w:t>，确定出</w:t>
      </w:r>
      <w:r>
        <w:rPr>
          <w:rFonts w:hint="eastAsia" w:ascii="宋体" w:hAnsi="宋体"/>
          <w:szCs w:val="21"/>
          <w:lang w:val="en-US" w:eastAsia="zh-CN"/>
        </w:rPr>
        <w:t>试验机</w:t>
      </w:r>
      <w:r>
        <w:rPr>
          <w:rFonts w:hint="eastAsia" w:ascii="宋体" w:hAnsi="宋体"/>
          <w:szCs w:val="21"/>
        </w:rPr>
        <w:t>的校准项目。</w:t>
      </w:r>
      <w:r>
        <w:rPr>
          <w:rFonts w:hint="eastAsia" w:ascii="宋体" w:hAnsi="宋体"/>
          <w:szCs w:val="21"/>
          <w:lang w:val="en-US" w:eastAsia="zh-CN"/>
        </w:rPr>
        <w:t>试验机</w:t>
      </w:r>
      <w:r>
        <w:rPr>
          <w:rFonts w:hint="eastAsia" w:ascii="宋体" w:hAnsi="宋体"/>
          <w:szCs w:val="21"/>
        </w:rPr>
        <w:t>校准项目有</w:t>
      </w:r>
      <w:r>
        <w:rPr>
          <w:rFonts w:hint="eastAsia"/>
          <w:szCs w:val="21"/>
        </w:rPr>
        <w:t>流速示值误差</w:t>
      </w:r>
      <w:r>
        <w:rPr>
          <w:rFonts w:hint="eastAsia"/>
          <w:szCs w:val="21"/>
          <w:lang w:eastAsia="zh-CN"/>
        </w:rPr>
        <w:t>、</w:t>
      </w:r>
      <w:r>
        <w:rPr>
          <w:rFonts w:hint="eastAsia"/>
          <w:szCs w:val="21"/>
        </w:rPr>
        <w:t>流速重复性</w:t>
      </w:r>
      <w:r>
        <w:rPr>
          <w:rFonts w:hint="eastAsia"/>
          <w:szCs w:val="21"/>
          <w:lang w:eastAsia="zh-CN"/>
        </w:rPr>
        <w:t>、</w:t>
      </w:r>
      <w:r>
        <w:rPr>
          <w:rFonts w:hint="eastAsia"/>
          <w:szCs w:val="21"/>
        </w:rPr>
        <w:t>温度偏差</w:t>
      </w:r>
      <w:r>
        <w:rPr>
          <w:rFonts w:hint="eastAsia"/>
          <w:szCs w:val="21"/>
          <w:lang w:eastAsia="zh-CN"/>
        </w:rPr>
        <w:t>、</w:t>
      </w:r>
      <w:r>
        <w:rPr>
          <w:rFonts w:hint="eastAsia"/>
          <w:szCs w:val="21"/>
        </w:rPr>
        <w:t>温度波动度</w:t>
      </w:r>
      <w:r>
        <w:rPr>
          <w:rFonts w:hint="eastAsia"/>
          <w:szCs w:val="21"/>
          <w:lang w:val="en-US" w:eastAsia="zh-CN"/>
        </w:rPr>
        <w:t>和</w:t>
      </w:r>
      <w:r>
        <w:rPr>
          <w:rFonts w:hint="eastAsia"/>
          <w:szCs w:val="21"/>
        </w:rPr>
        <w:t>温度均匀度</w:t>
      </w:r>
      <w:r>
        <w:rPr>
          <w:rFonts w:hint="eastAsia"/>
          <w:szCs w:val="21"/>
          <w:lang w:eastAsia="zh-CN"/>
        </w:rPr>
        <w:t>。</w:t>
      </w:r>
      <w:r>
        <w:rPr>
          <w:rFonts w:hint="eastAsia" w:ascii="宋体" w:hAnsi="宋体"/>
          <w:szCs w:val="21"/>
        </w:rPr>
        <w:t>依据校准项目，选择满足精度要求的测量</w:t>
      </w:r>
      <w:r>
        <w:rPr>
          <w:rFonts w:hint="eastAsia" w:ascii="宋体" w:hAnsi="宋体"/>
          <w:szCs w:val="21"/>
          <w:lang w:val="en-US" w:eastAsia="zh-CN"/>
        </w:rPr>
        <w:t>标准</w:t>
      </w:r>
      <w:r>
        <w:rPr>
          <w:rFonts w:hint="eastAsia" w:ascii="宋体" w:hAnsi="宋体"/>
          <w:szCs w:val="21"/>
        </w:rPr>
        <w:t>进行测量。</w:t>
      </w:r>
    </w:p>
    <w:p>
      <w:pPr>
        <w:spacing w:line="360" w:lineRule="auto"/>
        <w:ind w:firstLine="420"/>
        <w:rPr>
          <w:rFonts w:ascii="宋体"/>
          <w:szCs w:val="21"/>
        </w:rPr>
      </w:pPr>
      <w:r>
        <w:rPr>
          <w:rFonts w:hint="eastAsia"/>
          <w:szCs w:val="21"/>
        </w:rPr>
        <w:t>流速示值误差</w:t>
      </w:r>
      <w:r>
        <w:rPr>
          <w:rFonts w:hint="eastAsia"/>
          <w:szCs w:val="21"/>
          <w:lang w:eastAsia="zh-CN"/>
        </w:rPr>
        <w:t>、</w:t>
      </w:r>
      <w:r>
        <w:rPr>
          <w:rFonts w:hint="eastAsia"/>
          <w:szCs w:val="21"/>
        </w:rPr>
        <w:t>流速重复性</w:t>
      </w:r>
      <w:r>
        <w:rPr>
          <w:rFonts w:hint="eastAsia" w:ascii="宋体" w:hAnsi="宋体"/>
          <w:szCs w:val="21"/>
        </w:rPr>
        <w:t>：校准点应尽量按平均分布选取，也可依据送校单位要求进行选择。测点速度间隔取0.5 m/s，最大不超过1 m/s。根据GB/T 35138所述，将超声流量计安装在试验机检测管上。启动试验机，待稳定后分别对标准流量计和被校流量计进行读数，每2 min至少记录所有校准点的流速值一次，在10 min内至少记录5次。亦可根据送校单位校准需求确定时间间隔和记录数据，并在原始记录和校准证书中进行说明。</w:t>
      </w:r>
    </w:p>
    <w:p>
      <w:pPr>
        <w:spacing w:line="360" w:lineRule="auto"/>
        <w:ind w:firstLine="420"/>
        <w:rPr>
          <w:rFonts w:ascii="宋体"/>
          <w:szCs w:val="21"/>
        </w:rPr>
      </w:pPr>
      <w:r>
        <w:rPr>
          <w:rFonts w:hint="eastAsia"/>
          <w:szCs w:val="21"/>
        </w:rPr>
        <w:t>温度偏差</w:t>
      </w:r>
      <w:r>
        <w:rPr>
          <w:rFonts w:hint="eastAsia"/>
          <w:szCs w:val="21"/>
          <w:lang w:eastAsia="zh-CN"/>
        </w:rPr>
        <w:t>、</w:t>
      </w:r>
      <w:r>
        <w:rPr>
          <w:rFonts w:hint="eastAsia"/>
          <w:szCs w:val="21"/>
        </w:rPr>
        <w:t>温度波动度</w:t>
      </w:r>
      <w:r>
        <w:rPr>
          <w:rFonts w:hint="eastAsia"/>
          <w:szCs w:val="21"/>
          <w:lang w:val="en-US" w:eastAsia="zh-CN"/>
        </w:rPr>
        <w:t>和</w:t>
      </w:r>
      <w:r>
        <w:rPr>
          <w:rFonts w:hint="eastAsia"/>
          <w:szCs w:val="21"/>
        </w:rPr>
        <w:t>温度均匀度</w:t>
      </w:r>
      <w:r>
        <w:rPr>
          <w:rFonts w:hint="eastAsia" w:ascii="宋体" w:hAnsi="宋体"/>
          <w:szCs w:val="21"/>
        </w:rPr>
        <w:t>：校准温度点一般应选择设备使用范围的上限、下限及中间点，也可根据试验方法中的要求选择具体试验温度点。分别在工作区域的上、下、左、右布置测温点，亦可根据实际工作区域进行布点。校准通常在空载状态下进行。为防止温度传感器被腐蚀，校准前应将腐蚀性介质更换为水介质，液面高度应满足试验要求。按图3布放温度传感器，将试验机的温度控制器设定至所需校准的温度，使试验机的温度稳定10 min后开始读数，每2 min至少记录所有</w:t>
      </w:r>
      <w:r>
        <w:rPr>
          <w:rFonts w:hint="eastAsia" w:ascii="宋体" w:hAnsi="宋体"/>
          <w:szCs w:val="21"/>
          <w:lang w:eastAsia="zh-CN"/>
        </w:rPr>
        <w:t>校准</w:t>
      </w:r>
      <w:r>
        <w:rPr>
          <w:rFonts w:hint="eastAsia" w:ascii="宋体" w:hAnsi="宋体"/>
          <w:szCs w:val="21"/>
        </w:rPr>
        <w:t>点的温度值一次，在30 min内至少记录15次。亦可根据送校单位需求确定时间间隔和记录数据，并在原始记录和校准证书中进行说明。</w:t>
      </w:r>
    </w:p>
    <w:p>
      <w:pPr>
        <w:spacing w:line="360" w:lineRule="auto"/>
        <w:rPr>
          <w:rFonts w:ascii="黑体" w:hAnsi="宋体" w:eastAsia="黑体"/>
          <w:szCs w:val="21"/>
        </w:rPr>
      </w:pPr>
      <w:r>
        <w:rPr>
          <w:rFonts w:ascii="黑体" w:hAnsi="宋体" w:eastAsia="黑体"/>
          <w:szCs w:val="21"/>
        </w:rPr>
        <w:t xml:space="preserve">2.2.7 </w:t>
      </w:r>
      <w:r>
        <w:rPr>
          <w:rFonts w:hint="eastAsia" w:ascii="黑体" w:hAnsi="宋体" w:eastAsia="黑体"/>
          <w:szCs w:val="21"/>
        </w:rPr>
        <w:t>校准结果表达</w:t>
      </w:r>
    </w:p>
    <w:p>
      <w:pPr>
        <w:spacing w:line="360" w:lineRule="auto"/>
        <w:ind w:firstLine="420" w:firstLineChars="200"/>
        <w:rPr>
          <w:rFonts w:ascii="宋体"/>
          <w:szCs w:val="21"/>
        </w:rPr>
      </w:pPr>
      <w:r>
        <w:rPr>
          <w:rFonts w:hint="eastAsia" w:ascii="宋体" w:hAnsi="宋体"/>
          <w:szCs w:val="21"/>
        </w:rPr>
        <w:t>根据上述校准项目结果，按照校准报告规格出具校准证书。</w:t>
      </w:r>
    </w:p>
    <w:p>
      <w:pPr>
        <w:spacing w:line="360" w:lineRule="auto"/>
        <w:rPr>
          <w:rFonts w:ascii="黑体" w:hAnsi="宋体" w:eastAsia="黑体"/>
          <w:szCs w:val="21"/>
        </w:rPr>
      </w:pPr>
      <w:r>
        <w:rPr>
          <w:rFonts w:ascii="黑体" w:hAnsi="宋体" w:eastAsia="黑体"/>
          <w:szCs w:val="21"/>
        </w:rPr>
        <w:t>2.2.</w:t>
      </w:r>
      <w:r>
        <w:rPr>
          <w:rFonts w:hint="eastAsia" w:ascii="黑体" w:hAnsi="宋体" w:eastAsia="黑体"/>
          <w:szCs w:val="21"/>
          <w:lang w:val="en-US" w:eastAsia="zh-CN"/>
        </w:rPr>
        <w:t>8</w:t>
      </w:r>
      <w:r>
        <w:rPr>
          <w:rFonts w:ascii="黑体" w:eastAsia="黑体"/>
          <w:szCs w:val="21"/>
        </w:rPr>
        <w:t xml:space="preserve"> </w:t>
      </w:r>
      <w:r>
        <w:rPr>
          <w:rFonts w:hint="eastAsia" w:ascii="黑体" w:hAnsi="宋体" w:eastAsia="黑体"/>
          <w:szCs w:val="21"/>
        </w:rPr>
        <w:t>附录性资料</w:t>
      </w:r>
    </w:p>
    <w:p>
      <w:pPr>
        <w:spacing w:line="360" w:lineRule="auto"/>
        <w:ind w:firstLine="420"/>
        <w:rPr>
          <w:rFonts w:ascii="宋体"/>
          <w:szCs w:val="21"/>
        </w:rPr>
      </w:pPr>
      <w:r>
        <w:rPr>
          <w:rFonts w:hint="eastAsia" w:ascii="宋体" w:hAnsi="宋体"/>
          <w:szCs w:val="21"/>
        </w:rPr>
        <w:t>校准规范规定需出具不确定度值，附录中给出了管路式海水冲刷腐蚀试验机</w:t>
      </w:r>
      <w:r>
        <w:rPr>
          <w:rFonts w:hint="eastAsia" w:ascii="宋体" w:hAnsi="宋体"/>
          <w:szCs w:val="21"/>
          <w:lang w:val="en-US" w:eastAsia="zh-CN"/>
        </w:rPr>
        <w:t>温度偏差</w:t>
      </w:r>
      <w:r>
        <w:rPr>
          <w:rFonts w:hint="eastAsia" w:ascii="宋体" w:hAnsi="宋体"/>
          <w:szCs w:val="21"/>
        </w:rPr>
        <w:t>校准结果测量不确定度的评定示例，以便本校准规范实施过程中具有可操作性。</w:t>
      </w:r>
    </w:p>
    <w:p>
      <w:pPr>
        <w:adjustRightInd w:val="0"/>
        <w:spacing w:line="360" w:lineRule="auto"/>
        <w:rPr>
          <w:rFonts w:ascii="黑体" w:hAnsi="宋体" w:eastAsia="黑体"/>
          <w:szCs w:val="21"/>
        </w:rPr>
      </w:pPr>
      <w:r>
        <w:rPr>
          <w:rFonts w:hint="eastAsia" w:ascii="黑体" w:hAnsi="宋体" w:eastAsia="黑体"/>
          <w:szCs w:val="21"/>
        </w:rPr>
        <w:t>三、标准水平分析</w:t>
      </w:r>
    </w:p>
    <w:p>
      <w:pPr>
        <w:adjustRightInd w:val="0"/>
        <w:spacing w:line="360" w:lineRule="auto"/>
        <w:rPr>
          <w:rFonts w:ascii="黑体" w:hAnsi="宋体" w:eastAsia="黑体"/>
          <w:szCs w:val="21"/>
        </w:rPr>
      </w:pPr>
      <w:r>
        <w:rPr>
          <w:rFonts w:ascii="黑体" w:hAnsi="宋体" w:eastAsia="黑体"/>
          <w:szCs w:val="21"/>
        </w:rPr>
        <w:t>3.1</w:t>
      </w:r>
      <w:r>
        <w:rPr>
          <w:rFonts w:hint="eastAsia" w:ascii="黑体" w:hAnsi="宋体" w:eastAsia="黑体"/>
          <w:szCs w:val="21"/>
        </w:rPr>
        <w:t>采用国际标准及国外先进标准的程度</w:t>
      </w:r>
    </w:p>
    <w:p>
      <w:pPr>
        <w:adjustRightInd w:val="0"/>
        <w:spacing w:line="360" w:lineRule="auto"/>
        <w:ind w:firstLine="420" w:firstLineChars="200"/>
        <w:rPr>
          <w:rFonts w:ascii="宋体"/>
          <w:szCs w:val="21"/>
        </w:rPr>
      </w:pPr>
      <w:r>
        <w:rPr>
          <w:rFonts w:hint="eastAsia" w:ascii="宋体" w:hAnsi="宋体"/>
          <w:szCs w:val="21"/>
        </w:rPr>
        <w:t>据查，目前国内外没有专门针对管路式海水冲刷腐蚀试验机的校准规范。</w:t>
      </w:r>
    </w:p>
    <w:p>
      <w:pPr>
        <w:adjustRightInd w:val="0"/>
        <w:spacing w:line="360" w:lineRule="auto"/>
        <w:rPr>
          <w:rFonts w:ascii="黑体" w:hAnsi="宋体" w:eastAsia="黑体"/>
          <w:szCs w:val="21"/>
        </w:rPr>
      </w:pPr>
      <w:r>
        <w:rPr>
          <w:rFonts w:ascii="黑体" w:hAnsi="宋体" w:eastAsia="黑体"/>
          <w:szCs w:val="21"/>
        </w:rPr>
        <w:t>3.2</w:t>
      </w:r>
      <w:r>
        <w:rPr>
          <w:rFonts w:hint="eastAsia" w:ascii="黑体" w:hAnsi="宋体" w:eastAsia="黑体"/>
          <w:szCs w:val="21"/>
        </w:rPr>
        <w:t>与国际及国外同类标准水平的对比分析</w:t>
      </w:r>
    </w:p>
    <w:p>
      <w:pPr>
        <w:spacing w:line="360" w:lineRule="auto"/>
        <w:ind w:firstLine="420" w:firstLineChars="200"/>
        <w:rPr>
          <w:sz w:val="18"/>
        </w:rPr>
      </w:pPr>
      <w:r>
        <w:rPr>
          <w:rFonts w:hint="eastAsia" w:ascii="宋体" w:hAnsi="宋体"/>
          <w:szCs w:val="21"/>
        </w:rPr>
        <w:t>目前国外没有相关技术规范，本规范水平达到国内先进水平。</w:t>
      </w:r>
    </w:p>
    <w:p>
      <w:pPr>
        <w:adjustRightInd w:val="0"/>
        <w:spacing w:line="360" w:lineRule="auto"/>
        <w:rPr>
          <w:rFonts w:ascii="黑体" w:hAnsi="宋体" w:eastAsia="黑体"/>
          <w:szCs w:val="21"/>
        </w:rPr>
      </w:pPr>
      <w:r>
        <w:rPr>
          <w:rFonts w:hint="eastAsia" w:ascii="黑体" w:hAnsi="宋体" w:eastAsia="黑体"/>
          <w:szCs w:val="21"/>
        </w:rPr>
        <w:t>四、与有关的现行法律、法规和强制性国家标准的关系</w:t>
      </w:r>
    </w:p>
    <w:p>
      <w:pPr>
        <w:adjustRightInd w:val="0"/>
        <w:spacing w:line="360" w:lineRule="auto"/>
        <w:ind w:firstLine="420" w:firstLineChars="200"/>
        <w:rPr>
          <w:rFonts w:hAnsi="宋体"/>
          <w:szCs w:val="21"/>
        </w:rPr>
      </w:pPr>
      <w:r>
        <w:rPr>
          <w:rFonts w:hint="eastAsia" w:hAnsi="宋体"/>
          <w:szCs w:val="21"/>
        </w:rPr>
        <w:t>本规范与有关的现行法律、法规和国家计量技术规范具有一致性，无冲突之处。</w:t>
      </w:r>
    </w:p>
    <w:p>
      <w:pPr>
        <w:adjustRightInd w:val="0"/>
        <w:spacing w:line="360" w:lineRule="auto"/>
        <w:rPr>
          <w:rFonts w:ascii="黑体" w:hAnsi="宋体" w:eastAsia="黑体"/>
          <w:szCs w:val="21"/>
        </w:rPr>
      </w:pPr>
      <w:r>
        <w:rPr>
          <w:rFonts w:hint="eastAsia" w:ascii="黑体" w:hAnsi="宋体" w:eastAsia="黑体"/>
          <w:szCs w:val="21"/>
        </w:rPr>
        <w:t>五、重大分歧意见的处理经过和依据</w:t>
      </w:r>
    </w:p>
    <w:p>
      <w:pPr>
        <w:adjustRightInd w:val="0"/>
        <w:spacing w:line="360" w:lineRule="auto"/>
        <w:ind w:firstLine="420" w:firstLineChars="200"/>
        <w:rPr>
          <w:rFonts w:hAnsi="宋体"/>
          <w:szCs w:val="21"/>
        </w:rPr>
      </w:pPr>
      <w:r>
        <w:rPr>
          <w:rFonts w:hint="eastAsia" w:hAnsi="宋体"/>
          <w:szCs w:val="21"/>
        </w:rPr>
        <w:t>无</w:t>
      </w:r>
    </w:p>
    <w:p>
      <w:pPr>
        <w:adjustRightInd w:val="0"/>
        <w:spacing w:line="360" w:lineRule="auto"/>
        <w:rPr>
          <w:rFonts w:ascii="黑体" w:hAnsi="宋体" w:eastAsia="黑体"/>
          <w:szCs w:val="21"/>
        </w:rPr>
      </w:pPr>
      <w:r>
        <w:rPr>
          <w:rFonts w:hint="eastAsia" w:ascii="黑体" w:hAnsi="宋体" w:eastAsia="黑体"/>
          <w:szCs w:val="21"/>
        </w:rPr>
        <w:t>六、标准作为强制性或推荐性国家（或行业）标准的建议</w:t>
      </w:r>
    </w:p>
    <w:p>
      <w:pPr>
        <w:adjustRightInd w:val="0"/>
        <w:spacing w:line="360" w:lineRule="auto"/>
        <w:ind w:firstLine="420" w:firstLineChars="200"/>
        <w:rPr>
          <w:rFonts w:hAnsi="宋体"/>
          <w:szCs w:val="21"/>
        </w:rPr>
      </w:pPr>
      <w:r>
        <w:rPr>
          <w:rFonts w:hint="eastAsia" w:hAnsi="宋体"/>
          <w:szCs w:val="21"/>
        </w:rPr>
        <w:t>建议本规范作为推荐性行业计量技术规范，供相关行业参考采用。</w:t>
      </w:r>
    </w:p>
    <w:p>
      <w:pPr>
        <w:adjustRightInd w:val="0"/>
        <w:spacing w:line="360" w:lineRule="auto"/>
        <w:rPr>
          <w:rFonts w:ascii="黑体" w:hAnsi="宋体" w:eastAsia="黑体"/>
          <w:szCs w:val="21"/>
        </w:rPr>
      </w:pPr>
      <w:r>
        <w:rPr>
          <w:rFonts w:hint="eastAsia" w:ascii="黑体" w:hAnsi="宋体" w:eastAsia="黑体"/>
          <w:szCs w:val="21"/>
        </w:rPr>
        <w:t>七、贯彻标准的要求和措施建议</w:t>
      </w:r>
    </w:p>
    <w:p>
      <w:pPr>
        <w:adjustRightInd w:val="0"/>
        <w:spacing w:line="360" w:lineRule="auto"/>
        <w:ind w:firstLine="420" w:firstLineChars="200"/>
        <w:rPr>
          <w:rFonts w:hAnsi="宋体"/>
          <w:szCs w:val="21"/>
        </w:rPr>
      </w:pPr>
      <w:r>
        <w:rPr>
          <w:rFonts w:hint="eastAsia" w:hAnsi="宋体"/>
          <w:szCs w:val="21"/>
        </w:rPr>
        <w:t>无</w:t>
      </w:r>
    </w:p>
    <w:p>
      <w:pPr>
        <w:adjustRightInd w:val="0"/>
        <w:snapToGrid w:val="0"/>
        <w:spacing w:line="360" w:lineRule="auto"/>
        <w:rPr>
          <w:rFonts w:ascii="黑体" w:hAnsi="宋体" w:eastAsia="黑体"/>
          <w:szCs w:val="21"/>
        </w:rPr>
      </w:pPr>
      <w:r>
        <w:rPr>
          <w:rFonts w:hint="eastAsia" w:ascii="黑体" w:hAnsi="宋体" w:eastAsia="黑体"/>
          <w:szCs w:val="21"/>
        </w:rPr>
        <w:t>八、废止现行有关标准的建议</w:t>
      </w:r>
    </w:p>
    <w:p>
      <w:pPr>
        <w:adjustRightInd w:val="0"/>
        <w:snapToGrid w:val="0"/>
        <w:spacing w:line="360" w:lineRule="auto"/>
        <w:ind w:firstLine="420" w:firstLineChars="200"/>
        <w:rPr>
          <w:rFonts w:hAnsi="宋体"/>
          <w:szCs w:val="21"/>
        </w:rPr>
      </w:pPr>
      <w:r>
        <w:rPr>
          <w:rFonts w:hint="eastAsia" w:hAnsi="宋体"/>
          <w:szCs w:val="21"/>
        </w:rPr>
        <w:t>无</w:t>
      </w:r>
    </w:p>
    <w:p>
      <w:pPr>
        <w:spacing w:line="360" w:lineRule="auto"/>
        <w:rPr>
          <w:rFonts w:ascii="黑体" w:eastAsia="黑体"/>
        </w:rPr>
      </w:pPr>
      <w:r>
        <w:rPr>
          <w:rFonts w:hint="eastAsia" w:ascii="黑体" w:eastAsia="黑体"/>
        </w:rPr>
        <w:t>九、预期效果</w:t>
      </w:r>
    </w:p>
    <w:p>
      <w:pPr>
        <w:adjustRightInd w:val="0"/>
        <w:snapToGrid w:val="0"/>
        <w:spacing w:line="360" w:lineRule="auto"/>
        <w:ind w:firstLine="420" w:firstLineChars="200"/>
      </w:pPr>
      <w:r>
        <w:rPr>
          <w:rFonts w:hint="eastAsia"/>
        </w:rPr>
        <w:t>本规范的制定实施有利于</w:t>
      </w:r>
      <w:r>
        <w:rPr>
          <w:rFonts w:hint="eastAsia" w:ascii="宋体" w:eastAsia="方正行楷简体"/>
          <w:kern w:val="0"/>
          <w:szCs w:val="21"/>
        </w:rPr>
        <w:t>规范</w:t>
      </w:r>
      <w:r>
        <w:rPr>
          <w:rFonts w:hint="eastAsia" w:ascii="宋体" w:hAnsi="宋体"/>
          <w:szCs w:val="21"/>
        </w:rPr>
        <w:t>管路式海水冲刷腐蚀试验机</w:t>
      </w:r>
      <w:r>
        <w:rPr>
          <w:rFonts w:hint="eastAsia" w:ascii="宋体" w:eastAsia="方正行楷简体"/>
          <w:kern w:val="0"/>
          <w:szCs w:val="21"/>
        </w:rPr>
        <w:t>的验收和校准，</w:t>
      </w:r>
      <w:r>
        <w:rPr>
          <w:rFonts w:hint="eastAsia"/>
        </w:rPr>
        <w:t>进一步促进</w:t>
      </w:r>
      <w:r>
        <w:rPr>
          <w:rFonts w:hint="eastAsia" w:ascii="宋体" w:hAnsi="宋体"/>
          <w:szCs w:val="21"/>
        </w:rPr>
        <w:t>管路式海水冲刷腐蚀试验机</w:t>
      </w:r>
      <w:r>
        <w:rPr>
          <w:rFonts w:hint="eastAsia"/>
        </w:rPr>
        <w:t>在</w:t>
      </w:r>
      <w:r>
        <w:rPr>
          <w:rFonts w:hint="eastAsia"/>
          <w:lang w:val="en-US" w:eastAsia="zh-CN"/>
        </w:rPr>
        <w:t>测定</w:t>
      </w:r>
      <w:r>
        <w:rPr>
          <w:rFonts w:hint="eastAsia" w:eastAsia="方正行楷简体"/>
          <w:szCs w:val="21"/>
        </w:rPr>
        <w:t>铜合金耐海水冲刷腐蚀性能</w:t>
      </w:r>
      <w:r>
        <w:rPr>
          <w:rFonts w:hint="eastAsia"/>
        </w:rPr>
        <w:t>中的运用。</w:t>
      </w:r>
    </w:p>
    <w:p>
      <w:pPr>
        <w:adjustRightInd w:val="0"/>
        <w:snapToGrid w:val="0"/>
        <w:spacing w:line="360" w:lineRule="auto"/>
        <w:rPr>
          <w:rFonts w:ascii="黑体" w:hAnsi="宋体" w:eastAsia="黑体"/>
          <w:szCs w:val="21"/>
        </w:rPr>
      </w:pPr>
      <w:r>
        <w:rPr>
          <w:rFonts w:hint="eastAsia" w:ascii="黑体" w:hAnsi="宋体" w:eastAsia="黑体"/>
          <w:szCs w:val="21"/>
        </w:rPr>
        <w:t>十、其他应予说明的事项</w:t>
      </w:r>
    </w:p>
    <w:p>
      <w:pPr>
        <w:spacing w:line="360" w:lineRule="auto"/>
        <w:ind w:firstLine="420" w:firstLineChars="200"/>
      </w:pPr>
      <w:r>
        <w:rPr>
          <w:rFonts w:hint="eastAsia"/>
        </w:rPr>
        <w:t>无</w:t>
      </w:r>
    </w:p>
    <w:p>
      <w:pPr>
        <w:adjustRightInd w:val="0"/>
        <w:snapToGrid w:val="0"/>
        <w:spacing w:line="360" w:lineRule="auto"/>
        <w:textAlignment w:val="top"/>
      </w:pPr>
    </w:p>
    <w:p>
      <w:pPr>
        <w:spacing w:line="360" w:lineRule="auto"/>
        <w:jc w:val="right"/>
        <w:rPr>
          <w:rFonts w:ascii="黑体" w:hAnsi="黑体" w:eastAsia="黑体"/>
          <w:b/>
          <w:szCs w:val="21"/>
        </w:rPr>
      </w:pPr>
      <w:r>
        <w:rPr>
          <w:rFonts w:asci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《管路式海水冲刷腐蚀试验机</w:t>
      </w:r>
      <w:r>
        <w:rPr>
          <w:rFonts w:hint="eastAsia" w:ascii="宋体" w:eastAsia="方正行楷简体"/>
          <w:b/>
          <w:kern w:val="0"/>
          <w:szCs w:val="21"/>
        </w:rPr>
        <w:t>校准规范》标准编制组</w:t>
      </w:r>
    </w:p>
    <w:p>
      <w:pPr>
        <w:adjustRightInd w:val="0"/>
        <w:snapToGrid w:val="0"/>
        <w:spacing w:line="360" w:lineRule="auto"/>
        <w:ind w:right="105"/>
        <w:jc w:val="center"/>
        <w:textAlignment w:val="top"/>
        <w:rPr>
          <w:rFonts w:ascii="黑体" w:eastAsia="黑体"/>
        </w:rPr>
      </w:pPr>
      <w:r>
        <w:rPr>
          <w:rFonts w:hint="eastAsia" w:ascii="黑体" w:eastAsia="黑体"/>
          <w:lang w:val="en-US" w:eastAsia="zh-CN"/>
        </w:rPr>
        <w:t xml:space="preserve">                                  </w:t>
      </w:r>
      <w:r>
        <w:rPr>
          <w:rFonts w:ascii="黑体" w:eastAsia="黑体"/>
        </w:rPr>
        <w:t>202</w:t>
      </w:r>
      <w:r>
        <w:rPr>
          <w:rFonts w:hint="eastAsia" w:ascii="黑体" w:eastAsia="黑体"/>
          <w:lang w:val="en-US" w:eastAsia="zh-CN"/>
        </w:rPr>
        <w:t>4</w:t>
      </w:r>
      <w:r>
        <w:rPr>
          <w:rFonts w:hint="eastAsia" w:ascii="黑体" w:eastAsia="黑体"/>
        </w:rPr>
        <w:t>年</w:t>
      </w:r>
      <w:r>
        <w:rPr>
          <w:rFonts w:hint="eastAsia" w:ascii="黑体" w:eastAsia="黑体"/>
          <w:lang w:val="en-US" w:eastAsia="zh-CN"/>
        </w:rPr>
        <w:t>5</w:t>
      </w:r>
      <w:r>
        <w:rPr>
          <w:rFonts w:hint="eastAsia" w:ascii="黑体" w:eastAsia="黑体"/>
        </w:rPr>
        <w:t>月</w:t>
      </w:r>
      <w:r>
        <w:rPr>
          <w:rFonts w:hint="eastAsia" w:ascii="黑体" w:eastAsia="黑体"/>
          <w:lang w:val="en-US" w:eastAsia="zh-CN"/>
        </w:rPr>
        <w:t>14</w:t>
      </w:r>
      <w:r>
        <w:rPr>
          <w:rFonts w:hint="eastAsia" w:ascii="黑体" w:eastAsia="黑体"/>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第</w:t>
    </w:r>
    <w:r>
      <w:fldChar w:fldCharType="begin"/>
    </w:r>
    <w:r>
      <w:instrText xml:space="preserve"> PAGE   \* MERGEFORMAT </w:instrText>
    </w:r>
    <w:r>
      <w:fldChar w:fldCharType="separate"/>
    </w:r>
    <w:r>
      <w:rPr>
        <w:lang w:val="zh-CN"/>
      </w:rPr>
      <w:t>2</w:t>
    </w:r>
    <w:r>
      <w:rPr>
        <w:lang w:val="zh-CN"/>
      </w:rPr>
      <w:fldChar w:fldCharType="end"/>
    </w:r>
    <w:r>
      <w:rPr>
        <w:rFonts w:hint="eastAsia"/>
      </w:rPr>
      <w:t>页共</w:t>
    </w:r>
    <w:r>
      <w:rPr>
        <w:rFonts w:hint="eastAsia"/>
        <w:lang w:val="en-US" w:eastAsia="zh-CN"/>
      </w:rPr>
      <w:t>5</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5"/>
      <w:suff w:val="nothing"/>
      <w:lvlText w:val="%1"/>
      <w:lvlJc w:val="left"/>
      <w:rPr>
        <w:rFonts w:hint="default" w:ascii="Times New Roman" w:hAnsi="Times New Roman" w:cs="Times New Roman"/>
        <w:b/>
        <w:i w:val="0"/>
        <w:sz w:val="21"/>
      </w:rPr>
    </w:lvl>
    <w:lvl w:ilvl="1" w:tentative="0">
      <w:start w:val="1"/>
      <w:numFmt w:val="decimal"/>
      <w:pStyle w:val="26"/>
      <w:suff w:val="nothing"/>
      <w:lvlText w:val="%1%2　"/>
      <w:lvlJc w:val="left"/>
      <w:rPr>
        <w:rFonts w:hint="eastAsia" w:ascii="黑体" w:hAnsi="Times New Roman" w:eastAsia="黑体" w:cs="Times New Roman"/>
        <w:b w:val="0"/>
        <w:i w:val="0"/>
        <w:sz w:val="21"/>
      </w:rPr>
    </w:lvl>
    <w:lvl w:ilvl="2" w:tentative="0">
      <w:start w:val="1"/>
      <w:numFmt w:val="decimal"/>
      <w:pStyle w:val="27"/>
      <w:suff w:val="nothing"/>
      <w:lvlText w:val="%1%2.%3　"/>
      <w:lvlJc w:val="left"/>
      <w:rPr>
        <w:rFonts w:hint="eastAsia" w:ascii="黑体" w:hAnsi="Times New Roman" w:eastAsia="黑体" w:cs="Times New Roman"/>
        <w:b w:val="0"/>
        <w:i w:val="0"/>
        <w:sz w:val="21"/>
      </w:rPr>
    </w:lvl>
    <w:lvl w:ilvl="3" w:tentative="0">
      <w:start w:val="1"/>
      <w:numFmt w:val="decimal"/>
      <w:pStyle w:val="28"/>
      <w:suff w:val="nothing"/>
      <w:lvlText w:val="%1%2.%3.%4　"/>
      <w:lvlJc w:val="left"/>
      <w:rPr>
        <w:rFonts w:hint="eastAsia" w:ascii="黑体" w:hAnsi="Times New Roman" w:eastAsia="黑体" w:cs="Times New Roman"/>
        <w:b w:val="0"/>
        <w:i w:val="0"/>
        <w:sz w:val="21"/>
      </w:rPr>
    </w:lvl>
    <w:lvl w:ilvl="4" w:tentative="0">
      <w:start w:val="1"/>
      <w:numFmt w:val="decimal"/>
      <w:pStyle w:val="29"/>
      <w:suff w:val="nothing"/>
      <w:lvlText w:val="%1%2.%3.%4.%5　"/>
      <w:lvlJc w:val="left"/>
      <w:rPr>
        <w:rFonts w:hint="eastAsia" w:ascii="黑体" w:hAnsi="Times New Roman" w:eastAsia="黑体" w:cs="Times New Roman"/>
        <w:b w:val="0"/>
        <w:i w:val="0"/>
        <w:sz w:val="21"/>
      </w:rPr>
    </w:lvl>
    <w:lvl w:ilvl="5" w:tentative="0">
      <w:start w:val="1"/>
      <w:numFmt w:val="decimal"/>
      <w:pStyle w:val="30"/>
      <w:suff w:val="nothing"/>
      <w:lvlText w:val="%1%2.%3.%4.%5.%6　"/>
      <w:lvlJc w:val="left"/>
      <w:rPr>
        <w:rFonts w:hint="eastAsia" w:ascii="黑体" w:hAnsi="Times New Roman" w:eastAsia="黑体" w:cs="Times New Roman"/>
        <w:b w:val="0"/>
        <w:i w:val="0"/>
        <w:sz w:val="21"/>
      </w:rPr>
    </w:lvl>
    <w:lvl w:ilvl="6" w:tentative="0">
      <w:start w:val="1"/>
      <w:numFmt w:val="decimal"/>
      <w:pStyle w:val="3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WUyMzU1MTQ5MmVkODI0YjE1NWY0Y2RmMDc3NDcifQ=="/>
  </w:docVars>
  <w:rsids>
    <w:rsidRoot w:val="00184578"/>
    <w:rsid w:val="000022A2"/>
    <w:rsid w:val="0000397C"/>
    <w:rsid w:val="00005248"/>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6D8A"/>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42CE"/>
    <w:rsid w:val="002611C1"/>
    <w:rsid w:val="00261E29"/>
    <w:rsid w:val="002673D6"/>
    <w:rsid w:val="00267A6F"/>
    <w:rsid w:val="00270C04"/>
    <w:rsid w:val="00271BD7"/>
    <w:rsid w:val="00271D26"/>
    <w:rsid w:val="00273BC9"/>
    <w:rsid w:val="002742B8"/>
    <w:rsid w:val="00275BF8"/>
    <w:rsid w:val="0027605A"/>
    <w:rsid w:val="00277D7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B20"/>
    <w:rsid w:val="002F3D25"/>
    <w:rsid w:val="00302D96"/>
    <w:rsid w:val="00306CBB"/>
    <w:rsid w:val="00307AE2"/>
    <w:rsid w:val="00317054"/>
    <w:rsid w:val="0032613D"/>
    <w:rsid w:val="0032615E"/>
    <w:rsid w:val="0032788A"/>
    <w:rsid w:val="0033162F"/>
    <w:rsid w:val="003325E2"/>
    <w:rsid w:val="00334E5F"/>
    <w:rsid w:val="00334EDB"/>
    <w:rsid w:val="00336CD7"/>
    <w:rsid w:val="00337245"/>
    <w:rsid w:val="0034161D"/>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7365"/>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1E0"/>
    <w:rsid w:val="003E3803"/>
    <w:rsid w:val="003E6710"/>
    <w:rsid w:val="003E77E9"/>
    <w:rsid w:val="003E7B50"/>
    <w:rsid w:val="003F2355"/>
    <w:rsid w:val="004013EB"/>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5974"/>
    <w:rsid w:val="00467BAC"/>
    <w:rsid w:val="00472D5E"/>
    <w:rsid w:val="00473301"/>
    <w:rsid w:val="00473571"/>
    <w:rsid w:val="0047495C"/>
    <w:rsid w:val="00481838"/>
    <w:rsid w:val="00481A32"/>
    <w:rsid w:val="00481B91"/>
    <w:rsid w:val="00494416"/>
    <w:rsid w:val="00494FFF"/>
    <w:rsid w:val="00495E20"/>
    <w:rsid w:val="004A154E"/>
    <w:rsid w:val="004A183D"/>
    <w:rsid w:val="004A6F2B"/>
    <w:rsid w:val="004A6F8C"/>
    <w:rsid w:val="004A7D7E"/>
    <w:rsid w:val="004B116A"/>
    <w:rsid w:val="004B5F82"/>
    <w:rsid w:val="004B671C"/>
    <w:rsid w:val="004C2C9B"/>
    <w:rsid w:val="004C3FBD"/>
    <w:rsid w:val="004C4C37"/>
    <w:rsid w:val="004E100B"/>
    <w:rsid w:val="004E259C"/>
    <w:rsid w:val="004E2C7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62A1"/>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34BD"/>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6333"/>
    <w:rsid w:val="005B6427"/>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5035"/>
    <w:rsid w:val="006703F3"/>
    <w:rsid w:val="00670582"/>
    <w:rsid w:val="0067203B"/>
    <w:rsid w:val="00672ACB"/>
    <w:rsid w:val="00673479"/>
    <w:rsid w:val="0067570C"/>
    <w:rsid w:val="0067714B"/>
    <w:rsid w:val="00684A82"/>
    <w:rsid w:val="00685142"/>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C7DE7"/>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12D7"/>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C75"/>
    <w:rsid w:val="008C738D"/>
    <w:rsid w:val="008D063A"/>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4AD8"/>
    <w:rsid w:val="00926568"/>
    <w:rsid w:val="00926C8D"/>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942"/>
    <w:rsid w:val="00994CA8"/>
    <w:rsid w:val="009961CE"/>
    <w:rsid w:val="009966D5"/>
    <w:rsid w:val="009A278A"/>
    <w:rsid w:val="009A4E4A"/>
    <w:rsid w:val="009A7ACC"/>
    <w:rsid w:val="009B14BB"/>
    <w:rsid w:val="009B1583"/>
    <w:rsid w:val="009B3B0C"/>
    <w:rsid w:val="009B5CD6"/>
    <w:rsid w:val="009C1C7F"/>
    <w:rsid w:val="009C38FF"/>
    <w:rsid w:val="009C4191"/>
    <w:rsid w:val="009C4632"/>
    <w:rsid w:val="009C5C55"/>
    <w:rsid w:val="009D0E1A"/>
    <w:rsid w:val="009D24AE"/>
    <w:rsid w:val="009D2E71"/>
    <w:rsid w:val="009D4233"/>
    <w:rsid w:val="009D6802"/>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2051C"/>
    <w:rsid w:val="00A216E0"/>
    <w:rsid w:val="00A33BBD"/>
    <w:rsid w:val="00A347A3"/>
    <w:rsid w:val="00A36707"/>
    <w:rsid w:val="00A36EF3"/>
    <w:rsid w:val="00A376DC"/>
    <w:rsid w:val="00A37EEF"/>
    <w:rsid w:val="00A4253A"/>
    <w:rsid w:val="00A42D69"/>
    <w:rsid w:val="00A53873"/>
    <w:rsid w:val="00A55102"/>
    <w:rsid w:val="00A56373"/>
    <w:rsid w:val="00A63992"/>
    <w:rsid w:val="00A66BDB"/>
    <w:rsid w:val="00A73DD1"/>
    <w:rsid w:val="00A76D8C"/>
    <w:rsid w:val="00A80F01"/>
    <w:rsid w:val="00A81CF7"/>
    <w:rsid w:val="00A8245C"/>
    <w:rsid w:val="00A853B1"/>
    <w:rsid w:val="00A85505"/>
    <w:rsid w:val="00A8711C"/>
    <w:rsid w:val="00A90DC9"/>
    <w:rsid w:val="00A929C0"/>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778E"/>
    <w:rsid w:val="00B62317"/>
    <w:rsid w:val="00B67D13"/>
    <w:rsid w:val="00B81391"/>
    <w:rsid w:val="00B83C93"/>
    <w:rsid w:val="00B93078"/>
    <w:rsid w:val="00B93358"/>
    <w:rsid w:val="00B9366B"/>
    <w:rsid w:val="00B9383E"/>
    <w:rsid w:val="00BA1A3A"/>
    <w:rsid w:val="00BA6B4A"/>
    <w:rsid w:val="00BA6F6D"/>
    <w:rsid w:val="00BC0904"/>
    <w:rsid w:val="00BC6454"/>
    <w:rsid w:val="00BC6DA8"/>
    <w:rsid w:val="00BC7A1F"/>
    <w:rsid w:val="00BD0345"/>
    <w:rsid w:val="00BD157A"/>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07F"/>
    <w:rsid w:val="00C3180F"/>
    <w:rsid w:val="00C333D2"/>
    <w:rsid w:val="00C41C13"/>
    <w:rsid w:val="00C43663"/>
    <w:rsid w:val="00C43990"/>
    <w:rsid w:val="00C43BE8"/>
    <w:rsid w:val="00C44E83"/>
    <w:rsid w:val="00C4555A"/>
    <w:rsid w:val="00C46F0A"/>
    <w:rsid w:val="00C510BF"/>
    <w:rsid w:val="00C53C1F"/>
    <w:rsid w:val="00C53DA5"/>
    <w:rsid w:val="00C566FB"/>
    <w:rsid w:val="00C5743F"/>
    <w:rsid w:val="00C616E8"/>
    <w:rsid w:val="00C71955"/>
    <w:rsid w:val="00C72F04"/>
    <w:rsid w:val="00C75CDC"/>
    <w:rsid w:val="00C8333A"/>
    <w:rsid w:val="00C87741"/>
    <w:rsid w:val="00C90344"/>
    <w:rsid w:val="00CA381C"/>
    <w:rsid w:val="00CA3F07"/>
    <w:rsid w:val="00CB0CCE"/>
    <w:rsid w:val="00CB51A3"/>
    <w:rsid w:val="00CB6203"/>
    <w:rsid w:val="00CC02B2"/>
    <w:rsid w:val="00CC2FDF"/>
    <w:rsid w:val="00CC77F1"/>
    <w:rsid w:val="00CD047A"/>
    <w:rsid w:val="00CD09C2"/>
    <w:rsid w:val="00CD2BCB"/>
    <w:rsid w:val="00CD5536"/>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7533"/>
    <w:rsid w:val="00D57DFC"/>
    <w:rsid w:val="00D6076E"/>
    <w:rsid w:val="00D60771"/>
    <w:rsid w:val="00D614FE"/>
    <w:rsid w:val="00D64070"/>
    <w:rsid w:val="00D643CD"/>
    <w:rsid w:val="00D649DC"/>
    <w:rsid w:val="00D66E4E"/>
    <w:rsid w:val="00D70517"/>
    <w:rsid w:val="00D7440F"/>
    <w:rsid w:val="00D74A3C"/>
    <w:rsid w:val="00D7521E"/>
    <w:rsid w:val="00D90D29"/>
    <w:rsid w:val="00D934F1"/>
    <w:rsid w:val="00D9474A"/>
    <w:rsid w:val="00D94A92"/>
    <w:rsid w:val="00D97B9A"/>
    <w:rsid w:val="00DA1217"/>
    <w:rsid w:val="00DA2CFE"/>
    <w:rsid w:val="00DA3D14"/>
    <w:rsid w:val="00DA7599"/>
    <w:rsid w:val="00DB436B"/>
    <w:rsid w:val="00DB4497"/>
    <w:rsid w:val="00DB56CA"/>
    <w:rsid w:val="00DC0D96"/>
    <w:rsid w:val="00DC3693"/>
    <w:rsid w:val="00DC3B78"/>
    <w:rsid w:val="00DC5112"/>
    <w:rsid w:val="00DC566F"/>
    <w:rsid w:val="00DC5726"/>
    <w:rsid w:val="00DC756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6C66"/>
    <w:rsid w:val="00E306E3"/>
    <w:rsid w:val="00E36D22"/>
    <w:rsid w:val="00E40EDF"/>
    <w:rsid w:val="00E43CDD"/>
    <w:rsid w:val="00E44ADE"/>
    <w:rsid w:val="00E5444E"/>
    <w:rsid w:val="00E55855"/>
    <w:rsid w:val="00E563BD"/>
    <w:rsid w:val="00E56851"/>
    <w:rsid w:val="00E56C9E"/>
    <w:rsid w:val="00E62C7D"/>
    <w:rsid w:val="00E66957"/>
    <w:rsid w:val="00E71E84"/>
    <w:rsid w:val="00E72A57"/>
    <w:rsid w:val="00E751A5"/>
    <w:rsid w:val="00E77032"/>
    <w:rsid w:val="00E77629"/>
    <w:rsid w:val="00E9022B"/>
    <w:rsid w:val="00E9366B"/>
    <w:rsid w:val="00E9563C"/>
    <w:rsid w:val="00E95CCC"/>
    <w:rsid w:val="00EA0DD7"/>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F01AB9"/>
    <w:rsid w:val="00F10E86"/>
    <w:rsid w:val="00F21110"/>
    <w:rsid w:val="00F21FA7"/>
    <w:rsid w:val="00F2297B"/>
    <w:rsid w:val="00F2625E"/>
    <w:rsid w:val="00F41C74"/>
    <w:rsid w:val="00F42CD3"/>
    <w:rsid w:val="00F437A1"/>
    <w:rsid w:val="00F43FC6"/>
    <w:rsid w:val="00F46E95"/>
    <w:rsid w:val="00F51DB1"/>
    <w:rsid w:val="00F573CF"/>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112363F"/>
    <w:rsid w:val="0ACB4F83"/>
    <w:rsid w:val="0C0D35AD"/>
    <w:rsid w:val="0E675CD8"/>
    <w:rsid w:val="12F1776A"/>
    <w:rsid w:val="12FE592C"/>
    <w:rsid w:val="14057536"/>
    <w:rsid w:val="1ACC3A1B"/>
    <w:rsid w:val="1C875BA2"/>
    <w:rsid w:val="1CE75991"/>
    <w:rsid w:val="210F6490"/>
    <w:rsid w:val="22E35EC7"/>
    <w:rsid w:val="266A5364"/>
    <w:rsid w:val="288822B5"/>
    <w:rsid w:val="2D7E7C0F"/>
    <w:rsid w:val="367E0296"/>
    <w:rsid w:val="36D87F64"/>
    <w:rsid w:val="3C4E566F"/>
    <w:rsid w:val="3EF83183"/>
    <w:rsid w:val="40DD3E8F"/>
    <w:rsid w:val="438211DE"/>
    <w:rsid w:val="443B5FD6"/>
    <w:rsid w:val="45C94918"/>
    <w:rsid w:val="4A9B2E4E"/>
    <w:rsid w:val="4D0A709D"/>
    <w:rsid w:val="5461625B"/>
    <w:rsid w:val="54854D73"/>
    <w:rsid w:val="58BC7128"/>
    <w:rsid w:val="59024996"/>
    <w:rsid w:val="592D3787"/>
    <w:rsid w:val="5A810CF1"/>
    <w:rsid w:val="5BBE3B49"/>
    <w:rsid w:val="5C4850FD"/>
    <w:rsid w:val="5DB37248"/>
    <w:rsid w:val="5F7F06E5"/>
    <w:rsid w:val="60275C02"/>
    <w:rsid w:val="61381005"/>
    <w:rsid w:val="61C865A3"/>
    <w:rsid w:val="62AA58EC"/>
    <w:rsid w:val="631321A0"/>
    <w:rsid w:val="643F1818"/>
    <w:rsid w:val="662B5964"/>
    <w:rsid w:val="71EB75F5"/>
    <w:rsid w:val="721C6FC6"/>
    <w:rsid w:val="744A5267"/>
    <w:rsid w:val="7B744F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autoRedefine/>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uiPriority w:val="99"/>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99"/>
    <w:pPr>
      <w:spacing w:after="120"/>
    </w:pPr>
  </w:style>
  <w:style w:type="paragraph" w:styleId="5">
    <w:name w:val="Date"/>
    <w:basedOn w:val="1"/>
    <w:next w:val="1"/>
    <w:link w:val="16"/>
    <w:autoRedefine/>
    <w:qFormat/>
    <w:uiPriority w:val="99"/>
    <w:pPr>
      <w:ind w:left="100" w:leftChars="2500"/>
    </w:pPr>
  </w:style>
  <w:style w:type="paragraph" w:styleId="6">
    <w:name w:val="Balloon Text"/>
    <w:basedOn w:val="1"/>
    <w:link w:val="17"/>
    <w:autoRedefine/>
    <w:qFormat/>
    <w:uiPriority w:val="99"/>
    <w:rPr>
      <w:sz w:val="18"/>
      <w:szCs w:val="18"/>
    </w:r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0"/>
    <w:autoRedefine/>
    <w:qFormat/>
    <w:uiPriority w:val="99"/>
    <w:pPr>
      <w:spacing w:after="120" w:line="480" w:lineRule="auto"/>
    </w:pPr>
  </w:style>
  <w:style w:type="paragraph" w:styleId="10">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autoRedefine/>
    <w:qFormat/>
    <w:locked/>
    <w:uiPriority w:val="0"/>
    <w:rPr>
      <w:b/>
    </w:rPr>
  </w:style>
  <w:style w:type="character" w:customStyle="1" w:styleId="15">
    <w:name w:val="Heading 2 Char"/>
    <w:basedOn w:val="13"/>
    <w:link w:val="2"/>
    <w:qFormat/>
    <w:locked/>
    <w:uiPriority w:val="99"/>
    <w:rPr>
      <w:rFonts w:ascii="Arial" w:hAnsi="Arial" w:eastAsia="黑体" w:cs="Times New Roman"/>
      <w:b/>
      <w:bCs/>
      <w:kern w:val="2"/>
      <w:sz w:val="32"/>
      <w:szCs w:val="32"/>
    </w:rPr>
  </w:style>
  <w:style w:type="character" w:customStyle="1" w:styleId="16">
    <w:name w:val="Date Char"/>
    <w:basedOn w:val="13"/>
    <w:link w:val="5"/>
    <w:autoRedefine/>
    <w:qFormat/>
    <w:locked/>
    <w:uiPriority w:val="99"/>
    <w:rPr>
      <w:rFonts w:cs="Times New Roman"/>
      <w:kern w:val="2"/>
      <w:sz w:val="24"/>
      <w:szCs w:val="24"/>
    </w:rPr>
  </w:style>
  <w:style w:type="character" w:customStyle="1" w:styleId="17">
    <w:name w:val="Balloon Text Char"/>
    <w:basedOn w:val="13"/>
    <w:link w:val="6"/>
    <w:autoRedefine/>
    <w:qFormat/>
    <w:locked/>
    <w:uiPriority w:val="99"/>
    <w:rPr>
      <w:rFonts w:cs="Times New Roman"/>
      <w:kern w:val="2"/>
      <w:sz w:val="18"/>
      <w:szCs w:val="18"/>
    </w:rPr>
  </w:style>
  <w:style w:type="character" w:customStyle="1" w:styleId="18">
    <w:name w:val="Footer Char"/>
    <w:basedOn w:val="13"/>
    <w:link w:val="7"/>
    <w:autoRedefine/>
    <w:qFormat/>
    <w:locked/>
    <w:uiPriority w:val="99"/>
    <w:rPr>
      <w:rFonts w:cs="Times New Roman"/>
      <w:kern w:val="2"/>
      <w:sz w:val="18"/>
      <w:szCs w:val="18"/>
    </w:rPr>
  </w:style>
  <w:style w:type="character" w:customStyle="1" w:styleId="19">
    <w:name w:val="Header Char"/>
    <w:basedOn w:val="13"/>
    <w:link w:val="8"/>
    <w:autoRedefine/>
    <w:semiHidden/>
    <w:qFormat/>
    <w:locked/>
    <w:uiPriority w:val="99"/>
    <w:rPr>
      <w:rFonts w:cs="Times New Roman"/>
      <w:sz w:val="18"/>
      <w:szCs w:val="18"/>
    </w:rPr>
  </w:style>
  <w:style w:type="character" w:customStyle="1" w:styleId="20">
    <w:name w:val="Body Text 2 Char"/>
    <w:basedOn w:val="13"/>
    <w:link w:val="9"/>
    <w:autoRedefine/>
    <w:semiHidden/>
    <w:qFormat/>
    <w:locked/>
    <w:uiPriority w:val="99"/>
    <w:rPr>
      <w:rFonts w:cs="Times New Roman"/>
      <w:sz w:val="24"/>
      <w:szCs w:val="24"/>
    </w:rPr>
  </w:style>
  <w:style w:type="paragraph" w:customStyle="1" w:styleId="21">
    <w:name w:val="段"/>
    <w:link w:val="22"/>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2">
    <w:name w:val="段 Char"/>
    <w:basedOn w:val="13"/>
    <w:link w:val="21"/>
    <w:autoRedefine/>
    <w:qFormat/>
    <w:locked/>
    <w:uiPriority w:val="99"/>
    <w:rPr>
      <w:rFonts w:ascii="宋体" w:cs="Times New Roman"/>
      <w:sz w:val="21"/>
      <w:lang w:val="en-US" w:eastAsia="zh-CN" w:bidi="ar-SA"/>
    </w:rPr>
  </w:style>
  <w:style w:type="character" w:styleId="23">
    <w:name w:val="Placeholder Text"/>
    <w:basedOn w:val="13"/>
    <w:autoRedefine/>
    <w:semiHidden/>
    <w:qFormat/>
    <w:uiPriority w:val="99"/>
    <w:rPr>
      <w:rFonts w:cs="Times New Roman"/>
      <w:color w:val="808080"/>
    </w:rPr>
  </w:style>
  <w:style w:type="paragraph" w:styleId="24">
    <w:name w:val="List Paragraph"/>
    <w:basedOn w:val="1"/>
    <w:autoRedefine/>
    <w:qFormat/>
    <w:uiPriority w:val="99"/>
    <w:pPr>
      <w:ind w:firstLine="420" w:firstLineChars="200"/>
    </w:pPr>
  </w:style>
  <w:style w:type="paragraph" w:customStyle="1" w:styleId="25">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6">
    <w:name w:val="章标题"/>
    <w:next w:val="21"/>
    <w:autoRedefine/>
    <w:qFormat/>
    <w:uiPriority w:val="99"/>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7">
    <w:name w:val="一级条标题"/>
    <w:basedOn w:val="26"/>
    <w:next w:val="21"/>
    <w:link w:val="32"/>
    <w:autoRedefine/>
    <w:qFormat/>
    <w:uiPriority w:val="99"/>
    <w:pPr>
      <w:numPr>
        <w:ilvl w:val="2"/>
      </w:numPr>
      <w:spacing w:beforeLines="0" w:afterLines="0"/>
      <w:outlineLvl w:val="2"/>
    </w:pPr>
  </w:style>
  <w:style w:type="paragraph" w:customStyle="1" w:styleId="28">
    <w:name w:val="二级条标题"/>
    <w:basedOn w:val="27"/>
    <w:next w:val="21"/>
    <w:link w:val="36"/>
    <w:autoRedefine/>
    <w:qFormat/>
    <w:uiPriority w:val="99"/>
    <w:pPr>
      <w:numPr>
        <w:ilvl w:val="3"/>
      </w:numPr>
      <w:ind w:left="2310" w:hanging="420"/>
      <w:outlineLvl w:val="3"/>
    </w:pPr>
  </w:style>
  <w:style w:type="paragraph" w:customStyle="1" w:styleId="29">
    <w:name w:val="三级条标题"/>
    <w:basedOn w:val="28"/>
    <w:next w:val="21"/>
    <w:autoRedefine/>
    <w:qFormat/>
    <w:uiPriority w:val="99"/>
    <w:pPr>
      <w:numPr>
        <w:ilvl w:val="4"/>
      </w:numPr>
      <w:ind w:left="2730"/>
      <w:outlineLvl w:val="4"/>
    </w:pPr>
  </w:style>
  <w:style w:type="paragraph" w:customStyle="1" w:styleId="30">
    <w:name w:val="四级条标题"/>
    <w:basedOn w:val="29"/>
    <w:next w:val="21"/>
    <w:autoRedefine/>
    <w:qFormat/>
    <w:uiPriority w:val="99"/>
    <w:pPr>
      <w:numPr>
        <w:ilvl w:val="5"/>
      </w:numPr>
      <w:ind w:left="3150"/>
      <w:outlineLvl w:val="5"/>
    </w:pPr>
  </w:style>
  <w:style w:type="paragraph" w:customStyle="1" w:styleId="31">
    <w:name w:val="五级条标题"/>
    <w:basedOn w:val="30"/>
    <w:next w:val="21"/>
    <w:autoRedefine/>
    <w:qFormat/>
    <w:uiPriority w:val="99"/>
    <w:pPr>
      <w:numPr>
        <w:ilvl w:val="6"/>
      </w:numPr>
      <w:ind w:left="3570"/>
      <w:outlineLvl w:val="6"/>
    </w:pPr>
  </w:style>
  <w:style w:type="character" w:customStyle="1" w:styleId="32">
    <w:name w:val="一级条标题 Char"/>
    <w:link w:val="27"/>
    <w:autoRedefine/>
    <w:qFormat/>
    <w:locked/>
    <w:uiPriority w:val="99"/>
    <w:rPr>
      <w:rFonts w:ascii="黑体" w:eastAsia="黑体"/>
      <w:sz w:val="21"/>
      <w:lang w:val="en-US" w:eastAsia="zh-CN"/>
    </w:rPr>
  </w:style>
  <w:style w:type="paragraph" w:customStyle="1" w:styleId="33">
    <w:name w:val="封面标准名称"/>
    <w:autoRedefine/>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
    <w:name w:val="其他发布部门"/>
    <w:basedOn w:val="1"/>
    <w:autoRedefine/>
    <w:qFormat/>
    <w:uiPriority w:val="99"/>
    <w:pPr>
      <w:widowControl/>
      <w:spacing w:line="240" w:lineRule="atLeast"/>
      <w:jc w:val="center"/>
    </w:pPr>
    <w:rPr>
      <w:rFonts w:ascii="黑体" w:eastAsia="黑体"/>
      <w:spacing w:val="20"/>
      <w:w w:val="135"/>
      <w:kern w:val="0"/>
      <w:sz w:val="36"/>
      <w:szCs w:val="20"/>
    </w:rPr>
  </w:style>
  <w:style w:type="paragraph" w:customStyle="1" w:styleId="35">
    <w:name w:val="封面标准文稿编辑信息"/>
    <w:autoRedefine/>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36">
    <w:name w:val="二级条标题 Char"/>
    <w:link w:val="28"/>
    <w:autoRedefine/>
    <w:qFormat/>
    <w:locked/>
    <w:uiPriority w:val="99"/>
    <w:rPr>
      <w:rFonts w:ascii="黑体" w:eastAsia="黑体"/>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6</Pages>
  <Words>662</Words>
  <Characters>3776</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2020-06-29T09:57:00Z</dcterms:created>
  <dc:creator>USER</dc:creator>
  <cp:lastModifiedBy>伍cq</cp:lastModifiedBy>
  <cp:lastPrinted>2013-05-26T06:25:00Z</cp:lastPrinted>
  <dcterms:modified xsi:type="dcterms:W3CDTF">2024-05-15T06:16:24Z</dcterms:modified>
  <dc:title>GB/T11105-2011《金属粉末-压坯的拉托拉试验》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0C73D456986D43F6BE44BADDEEF86126_13</vt:lpwstr>
  </property>
</Properties>
</file>