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bookmarkStart w:id="0" w:name="_GoBack"/>
      <w:bookmarkEnd w:id="0"/>
      <w:r>
        <w:rPr>
          <w:rFonts w:ascii="黑体" w:eastAsia="黑体"/>
          <w:bCs/>
          <w:sz w:val="24"/>
          <w:highlight w:val="none"/>
        </w:rPr>
        <w:t>JJF</w:t>
      </w:r>
      <w:r>
        <w:rPr>
          <w:rFonts w:hint="eastAsia" w:ascii="黑体" w:eastAsia="黑体"/>
          <w:bCs/>
          <w:sz w:val="24"/>
          <w:highlight w:val="none"/>
          <w:lang w:val="en-US" w:eastAsia="zh-CN"/>
        </w:rPr>
        <w:t>Z</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2</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3</w:t>
      </w:r>
      <w:r>
        <w:rPr>
          <w:rFonts w:hint="eastAsia" w:ascii="黑体" w:eastAsia="黑体"/>
          <w:bCs/>
          <w:sz w:val="24"/>
          <w:highlight w:val="none"/>
          <w:lang w:val="en-GB"/>
        </w:rPr>
        <w:t>《</w:t>
      </w:r>
      <w:r>
        <w:rPr>
          <w:rFonts w:hint="eastAsia" w:ascii="黑体" w:eastAsia="黑体"/>
          <w:bCs/>
          <w:sz w:val="24"/>
          <w:highlight w:val="none"/>
          <w:lang w:val="en-US" w:eastAsia="zh-CN"/>
        </w:rPr>
        <w:t>氩气浓度检测报警仪校准规范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spacing w:line="360" w:lineRule="auto"/>
        <w:rPr>
          <w:bCs/>
          <w:highlight w:val="none"/>
        </w:rPr>
      </w:pPr>
      <w:r>
        <w:rPr>
          <w:rFonts w:hint="eastAsia"/>
          <w:bCs/>
          <w:highlight w:val="none"/>
        </w:rPr>
        <w:t>一、工作简况</w:t>
      </w:r>
    </w:p>
    <w:p>
      <w:pPr>
        <w:spacing w:line="360" w:lineRule="auto"/>
        <w:rPr>
          <w:rFonts w:ascii="黑体" w:eastAsia="黑体"/>
          <w:bCs/>
          <w:szCs w:val="21"/>
          <w:highlight w:val="none"/>
        </w:rPr>
      </w:pPr>
      <w:r>
        <w:rPr>
          <w:rFonts w:ascii="黑体" w:eastAsia="黑体"/>
          <w:bCs/>
          <w:szCs w:val="21"/>
          <w:highlight w:val="none"/>
        </w:rPr>
        <w:t>1</w:t>
      </w:r>
      <w:r>
        <w:rPr>
          <w:rFonts w:hint="eastAsia" w:ascii="黑体" w:eastAsia="黑体"/>
          <w:bCs/>
          <w:szCs w:val="21"/>
          <w:highlight w:val="none"/>
        </w:rPr>
        <w:t>.1</w:t>
      </w: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3</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3</w:t>
      </w:r>
      <w:r>
        <w:rPr>
          <w:rFonts w:hint="eastAsia" w:hAnsi="宋体"/>
          <w:bCs/>
          <w:szCs w:val="21"/>
          <w:highlight w:val="none"/>
        </w:rPr>
        <w:t>］</w:t>
      </w:r>
      <w:r>
        <w:rPr>
          <w:rFonts w:hint="eastAsia" w:hAnsi="宋体"/>
          <w:bCs/>
          <w:szCs w:val="21"/>
          <w:highlight w:val="none"/>
          <w:lang w:val="en-US" w:eastAsia="zh-CN"/>
        </w:rPr>
        <w:t>476</w:t>
      </w:r>
      <w:r>
        <w:rPr>
          <w:rFonts w:hint="eastAsia" w:hAnsi="宋体"/>
          <w:bCs/>
          <w:szCs w:val="21"/>
          <w:highlight w:val="none"/>
        </w:rPr>
        <w:t>号）文的要求，行业计量技术规范《</w:t>
      </w:r>
      <w:r>
        <w:rPr>
          <w:rFonts w:hint="eastAsia" w:hAnsi="宋体"/>
          <w:bCs/>
          <w:szCs w:val="21"/>
          <w:highlight w:val="none"/>
          <w:lang w:val="en-US" w:eastAsia="zh-CN"/>
        </w:rPr>
        <w:t>氩气浓度检测报警仪</w:t>
      </w:r>
      <w:r>
        <w:rPr>
          <w:rFonts w:hint="eastAsia" w:hAnsi="宋体"/>
          <w:bCs/>
          <w:szCs w:val="21"/>
          <w:highlight w:val="none"/>
          <w:lang w:eastAsia="zh-CN"/>
        </w:rPr>
        <w:t>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lang w:val="en-US" w:eastAsia="zh-CN"/>
        </w:rPr>
        <w:t>Z</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2</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3</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5</w:t>
      </w:r>
      <w:r>
        <w:rPr>
          <w:rFonts w:hint="eastAsia" w:hAnsi="宋体"/>
          <w:bCs/>
          <w:szCs w:val="21"/>
          <w:highlight w:val="none"/>
        </w:rPr>
        <w:t>年完成。</w:t>
      </w:r>
    </w:p>
    <w:p>
      <w:pPr>
        <w:pStyle w:val="11"/>
        <w:spacing w:after="0" w:line="360" w:lineRule="auto"/>
        <w:rPr>
          <w:rFonts w:ascii="黑体" w:hAnsi="宋体" w:eastAsia="黑体"/>
          <w:bCs/>
          <w:szCs w:val="21"/>
          <w:highlight w:val="none"/>
        </w:rPr>
      </w:pPr>
      <w:r>
        <w:rPr>
          <w:rFonts w:ascii="黑体" w:hAnsi="宋体" w:eastAsia="黑体"/>
          <w:bCs/>
          <w:szCs w:val="21"/>
          <w:highlight w:val="none"/>
        </w:rPr>
        <w:t>1.2</w:t>
      </w:r>
      <w:r>
        <w:rPr>
          <w:rFonts w:hint="eastAsia" w:ascii="黑体" w:hAnsi="宋体" w:eastAsia="黑体"/>
          <w:bCs/>
          <w:szCs w:val="21"/>
          <w:highlight w:val="none"/>
        </w:rPr>
        <w:t>承担单位情况</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w:t>
      </w:r>
      <w:r>
        <w:rPr>
          <w:rFonts w:hint="eastAsia"/>
          <w:bCs/>
          <w:highlight w:val="none"/>
          <w:lang w:eastAsia="zh-CN"/>
        </w:rPr>
        <w:t>，</w:t>
      </w:r>
      <w:r>
        <w:rPr>
          <w:rFonts w:hint="eastAsia"/>
          <w:bCs/>
          <w:highlight w:val="none"/>
        </w:rPr>
        <w:t>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一氧化碳、电化学氧、硫化氢、可燃气体等气体检测报警仪的CNAS校准能力。主持了行业校准规范《闭路循环法铝及铝合金液态测氢仪校准规范》、《电热恒温水浴锅校准规范》、《电子式温湿度计校准规范》、《油膜测厚仪校准规范校准规范》、《支辊式弯曲试验机校准规范》、《叉式热电偶校准规范》、《铝板带在线测厚仪校准规范》等的起草。</w:t>
      </w:r>
    </w:p>
    <w:p>
      <w:pPr>
        <w:pStyle w:val="11"/>
        <w:spacing w:after="0" w:line="360" w:lineRule="auto"/>
        <w:rPr>
          <w:rFonts w:ascii="黑体" w:eastAsia="黑体"/>
          <w:bCs/>
          <w:szCs w:val="21"/>
          <w:highlight w:val="none"/>
        </w:rPr>
      </w:pPr>
      <w:r>
        <w:rPr>
          <w:rFonts w:ascii="黑体" w:eastAsia="黑体"/>
          <w:bCs/>
          <w:szCs w:val="21"/>
          <w:highlight w:val="none"/>
        </w:rPr>
        <w:t>1.3</w:t>
      </w:r>
      <w:r>
        <w:rPr>
          <w:rFonts w:hint="eastAsia" w:ascii="黑体" w:hAnsi="宋体" w:eastAsia="黑体"/>
          <w:bCs/>
          <w:szCs w:val="21"/>
          <w:highlight w:val="none"/>
        </w:rPr>
        <w:t>主要工作过程</w:t>
      </w:r>
    </w:p>
    <w:p>
      <w:pPr>
        <w:spacing w:line="360" w:lineRule="auto"/>
        <w:ind w:firstLine="420" w:firstLineChars="200"/>
        <w:rPr>
          <w:rFonts w:hint="eastAsia"/>
          <w:bCs/>
          <w:highlight w:val="none"/>
          <w:lang w:val="en-US" w:eastAsia="zh-CN"/>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w:t>
      </w:r>
      <w:r>
        <w:rPr>
          <w:rFonts w:hint="eastAsia"/>
          <w:bCs/>
          <w:highlight w:val="none"/>
          <w:lang w:val="en-US" w:eastAsia="zh-CN"/>
        </w:rPr>
        <w:t>制组，成员有东北轻合金有限公司、中铝瑞闽股份有限公司、西北铝业有限责任公司、山东南山铝业股份有限公司、国标（北京）检验认证有限公司、西安汉唐分析检测有限公司、广东省科学院工业分析检测中心等。对计量技术规范编写工作进行了部署和分工，制定了制定原则及计划工作。本项目主要工作过程经过了以下几个阶段：</w:t>
      </w:r>
    </w:p>
    <w:p>
      <w:pPr>
        <w:numPr>
          <w:ilvl w:val="0"/>
          <w:numId w:val="2"/>
        </w:numPr>
        <w:spacing w:line="360" w:lineRule="auto"/>
        <w:ind w:left="0" w:leftChars="0" w:firstLine="0" w:firstLineChars="0"/>
        <w:rPr>
          <w:bCs/>
          <w:highlight w:val="none"/>
        </w:rPr>
      </w:pPr>
      <w:r>
        <w:rPr>
          <w:bCs/>
          <w:highlight w:val="none"/>
        </w:rPr>
        <w:t>20</w:t>
      </w:r>
      <w:r>
        <w:rPr>
          <w:rFonts w:hint="eastAsia"/>
          <w:bCs/>
          <w:highlight w:val="none"/>
        </w:rPr>
        <w:t>2</w:t>
      </w:r>
      <w:r>
        <w:rPr>
          <w:rFonts w:hint="eastAsia"/>
          <w:bCs/>
          <w:highlight w:val="none"/>
          <w:lang w:val="en-US" w:eastAsia="zh-CN"/>
        </w:rPr>
        <w:t>3</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numPr>
          <w:ilvl w:val="0"/>
          <w:numId w:val="2"/>
        </w:numPr>
        <w:spacing w:line="360" w:lineRule="auto"/>
        <w:ind w:left="0" w:leftChars="0" w:firstLine="0" w:firstLineChars="0"/>
        <w:rPr>
          <w:rFonts w:hint="eastAsia"/>
          <w:bCs/>
          <w:highlight w:val="none"/>
        </w:rPr>
      </w:pPr>
      <w:r>
        <w:rPr>
          <w:bCs/>
          <w:highlight w:val="none"/>
        </w:rPr>
        <w:t>20</w:t>
      </w:r>
      <w:r>
        <w:rPr>
          <w:rFonts w:hint="eastAsia"/>
          <w:bCs/>
          <w:highlight w:val="none"/>
        </w:rPr>
        <w:t>2</w:t>
      </w:r>
      <w:r>
        <w:rPr>
          <w:rFonts w:hint="eastAsia"/>
          <w:bCs/>
          <w:highlight w:val="none"/>
          <w:lang w:val="en-US" w:eastAsia="zh-CN"/>
        </w:rPr>
        <w:t>3</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～2024年4月</w:t>
      </w:r>
      <w:r>
        <w:rPr>
          <w:rFonts w:hint="eastAsia"/>
          <w:bCs/>
          <w:highlight w:val="none"/>
        </w:rPr>
        <w:t>计量规范编制组成员对有</w:t>
      </w:r>
      <w:r>
        <w:rPr>
          <w:rFonts w:hint="eastAsia"/>
          <w:bCs/>
          <w:highlight w:val="none"/>
          <w:lang w:val="en-US" w:eastAsia="zh-CN"/>
        </w:rPr>
        <w:t>氩气浓度检测报警仪</w:t>
      </w:r>
      <w:r>
        <w:rPr>
          <w:rFonts w:hint="eastAsia"/>
          <w:bCs/>
          <w:highlight w:val="none"/>
          <w:lang w:eastAsia="zh-CN"/>
        </w:rPr>
        <w:t>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4</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numPr>
          <w:ilvl w:val="0"/>
          <w:numId w:val="2"/>
        </w:numPr>
        <w:spacing w:line="360" w:lineRule="auto"/>
        <w:ind w:left="0" w:leftChars="0" w:firstLine="0" w:firstLineChars="0"/>
        <w:rPr>
          <w:rFonts w:hint="eastAsia"/>
          <w:bCs/>
          <w:highlight w:val="none"/>
        </w:rPr>
      </w:pPr>
      <w:r>
        <w:rPr>
          <w:rFonts w:hint="eastAsia"/>
          <w:bCs/>
          <w:highlight w:val="none"/>
          <w:lang w:val="en-US" w:eastAsia="zh-CN"/>
        </w:rPr>
        <w:t>2024年4月24日～25日，根据有色计量委字【2024】5号关于召开《空气热老化箱校准规范》等14项计量技术规范工作会议的通知，在湖南省长沙市召开了研讨会。会上来自不同单位的计量委员会委员、专家、代表对《氩气浓度检测报警仪校准规范-讨论稿》提出了修改建议，并明确了验证单位和各项工作的时间进度要求。</w:t>
      </w:r>
    </w:p>
    <w:p>
      <w:pPr>
        <w:numPr>
          <w:ilvl w:val="0"/>
          <w:numId w:val="2"/>
        </w:numPr>
        <w:spacing w:line="360" w:lineRule="auto"/>
        <w:ind w:left="0" w:leftChars="0" w:firstLine="0" w:firstLineChars="0"/>
        <w:rPr>
          <w:rFonts w:hint="default"/>
          <w:bCs/>
          <w:highlight w:val="none"/>
          <w:lang w:val="en-US" w:eastAsia="zh-CN"/>
        </w:rPr>
      </w:pPr>
      <w:r>
        <w:rPr>
          <w:rFonts w:hint="eastAsia"/>
          <w:bCs/>
          <w:highlight w:val="none"/>
        </w:rPr>
        <w:t>2024年4月～5月30日，针对4月长沙讨论会中提出的修改意见和建议，编制组开会讨论并修改了校准规范</w:t>
      </w:r>
      <w:r>
        <w:rPr>
          <w:rFonts w:hint="eastAsia"/>
          <w:bCs/>
          <w:highlight w:val="none"/>
          <w:lang w:eastAsia="zh-CN"/>
        </w:rPr>
        <w:t>。</w:t>
      </w: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2.1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w:t>
      </w:r>
      <w:r>
        <w:rPr>
          <w:rFonts w:hint="eastAsia" w:hAnsi="宋体"/>
          <w:bCs/>
          <w:szCs w:val="21"/>
          <w:highlight w:val="none"/>
          <w:lang w:val="en-US" w:eastAsia="zh-CN"/>
        </w:rPr>
        <w:t>本</w:t>
      </w:r>
      <w:r>
        <w:rPr>
          <w:rFonts w:hint="eastAsia" w:hAnsi="宋体"/>
          <w:bCs/>
          <w:szCs w:val="21"/>
          <w:highlight w:val="none"/>
        </w:rPr>
        <w:t>规范对</w:t>
      </w:r>
      <w:r>
        <w:rPr>
          <w:rFonts w:hint="eastAsia" w:hAnsi="宋体"/>
          <w:bCs/>
          <w:szCs w:val="21"/>
          <w:highlight w:val="none"/>
          <w:lang w:val="en-US" w:eastAsia="zh-CN"/>
        </w:rPr>
        <w:t>氩气浓度检测报警仪计量特性的校准方法</w:t>
      </w:r>
      <w:r>
        <w:rPr>
          <w:rFonts w:hint="eastAsia" w:hAnsi="宋体"/>
          <w:bCs/>
          <w:szCs w:val="21"/>
          <w:highlight w:val="none"/>
        </w:rPr>
        <w:t>进行了详细描述</w:t>
      </w:r>
      <w:r>
        <w:rPr>
          <w:rFonts w:hint="eastAsia" w:hAnsi="宋体"/>
          <w:bCs/>
          <w:szCs w:val="21"/>
          <w:highlight w:val="none"/>
          <w:lang w:eastAsia="zh-CN"/>
        </w:rPr>
        <w:t>，</w:t>
      </w:r>
      <w:r>
        <w:rPr>
          <w:rFonts w:hint="eastAsia" w:hAnsi="宋体"/>
          <w:bCs/>
          <w:szCs w:val="21"/>
          <w:highlight w:val="none"/>
        </w:rPr>
        <w:t>填补了国内对</w:t>
      </w:r>
      <w:r>
        <w:rPr>
          <w:rFonts w:hint="eastAsia" w:hAnsi="宋体"/>
          <w:bCs/>
          <w:szCs w:val="21"/>
          <w:highlight w:val="none"/>
          <w:lang w:val="en-US" w:eastAsia="zh-CN"/>
        </w:rPr>
        <w:t>氩气浓度检测报警仪</w:t>
      </w:r>
      <w:r>
        <w:rPr>
          <w:rFonts w:hint="eastAsia" w:hAnsi="宋体"/>
          <w:bCs/>
          <w:szCs w:val="21"/>
          <w:highlight w:val="none"/>
        </w:rPr>
        <w:t>无校准规范的空白</w:t>
      </w:r>
      <w:r>
        <w:rPr>
          <w:rFonts w:hint="eastAsia" w:hAnsi="宋体"/>
          <w:bCs/>
          <w:szCs w:val="21"/>
          <w:highlight w:val="none"/>
          <w:lang w:eastAsia="zh-CN"/>
        </w:rPr>
        <w:t>，</w:t>
      </w:r>
      <w:r>
        <w:rPr>
          <w:rFonts w:hint="eastAsia" w:hAnsi="宋体"/>
          <w:bCs/>
          <w:szCs w:val="21"/>
          <w:highlight w:val="none"/>
          <w:lang w:val="en-US" w:eastAsia="zh-CN"/>
        </w:rPr>
        <w:t>为有色金属行业安全生产提供技术保障</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对氩气浓度检测报警仪的校准方法和误差计算方法进行了详细的描述；对校准标准装置进行了详细的规定；对氩气浓度检测报警仪的控制输出、数字传输等安全性能指标的校准方法做了详细规定。</w:t>
      </w:r>
    </w:p>
    <w:p>
      <w:pPr>
        <w:spacing w:line="360" w:lineRule="auto"/>
        <w:rPr>
          <w:rFonts w:ascii="黑体" w:hAnsi="宋体" w:eastAsia="黑体"/>
          <w:bCs/>
          <w:szCs w:val="21"/>
          <w:highlight w:val="none"/>
        </w:rPr>
      </w:pPr>
      <w:r>
        <w:rPr>
          <w:rFonts w:ascii="黑体" w:eastAsia="黑体"/>
          <w:bCs/>
          <w:szCs w:val="21"/>
          <w:highlight w:val="none"/>
        </w:rPr>
        <w:t>2.2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2.2.1</w:t>
      </w:r>
      <w:r>
        <w:rPr>
          <w:rFonts w:hint="eastAsia" w:ascii="黑体" w:hAnsi="黑体" w:eastAsia="黑体"/>
          <w:bCs/>
          <w:szCs w:val="21"/>
          <w:highlight w:val="none"/>
        </w:rPr>
        <w:t>范围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本规范适用于测量范围（0～100%）mol/mol氩气浓度检测报警仪（以下简称仪器）的校准，其他用于氩气浓度检测或报警的仪器也可参照本规范进行校准</w:t>
      </w:r>
      <w:r>
        <w:rPr>
          <w:rFonts w:hint="eastAsia" w:ascii="宋体" w:hAnsi="宋体" w:cs="宋体"/>
          <w:bCs/>
          <w:szCs w:val="21"/>
          <w:highlight w:val="none"/>
          <w:lang w:val="en-US" w:eastAsia="zh-CN"/>
        </w:rPr>
        <w:t>。</w:t>
      </w:r>
    </w:p>
    <w:p>
      <w:pPr>
        <w:spacing w:line="360" w:lineRule="auto"/>
        <w:ind w:firstLine="420" w:firstLineChars="200"/>
        <w:rPr>
          <w:rFonts w:hint="eastAsia" w:ascii="宋体" w:hAnsi="宋体" w:cs="宋体"/>
          <w:bCs/>
          <w:szCs w:val="21"/>
          <w:highlight w:val="none"/>
          <w:lang w:val="en-US" w:eastAsia="zh-CN"/>
        </w:rPr>
      </w:pPr>
      <w:r>
        <w:rPr>
          <w:rFonts w:hint="eastAsia"/>
          <w:bCs/>
          <w:highlight w:val="none"/>
          <w:lang w:val="en-US" w:eastAsia="zh-CN"/>
        </w:rPr>
        <w:t>在条款1中增加了规范适用的仪器范围（0～100%）mol/mol。</w:t>
      </w:r>
    </w:p>
    <w:p>
      <w:pPr>
        <w:spacing w:line="360" w:lineRule="auto"/>
        <w:rPr>
          <w:rFonts w:ascii="黑体" w:hAnsi="宋体" w:eastAsia="黑体"/>
          <w:bCs/>
          <w:szCs w:val="21"/>
          <w:highlight w:val="none"/>
        </w:rPr>
      </w:pPr>
      <w:r>
        <w:rPr>
          <w:rFonts w:ascii="黑体" w:hAnsi="宋体" w:eastAsia="黑体"/>
          <w:bCs/>
          <w:szCs w:val="21"/>
          <w:highlight w:val="none"/>
        </w:rPr>
        <w:t>2.2.2</w:t>
      </w:r>
      <w:r>
        <w:rPr>
          <w:rFonts w:ascii="黑体" w:eastAsia="黑体"/>
          <w:bCs/>
          <w:szCs w:val="21"/>
          <w:highlight w:val="none"/>
        </w:rPr>
        <w:t xml:space="preserve"> </w:t>
      </w:r>
      <w:r>
        <w:rPr>
          <w:rFonts w:hint="eastAsia" w:ascii="黑体" w:hAnsi="宋体" w:eastAsia="黑体"/>
          <w:bCs/>
          <w:szCs w:val="21"/>
          <w:highlight w:val="none"/>
        </w:rPr>
        <w:t>引用文件</w:t>
      </w:r>
    </w:p>
    <w:p>
      <w:pPr>
        <w:spacing w:line="360" w:lineRule="auto"/>
        <w:ind w:firstLine="420" w:firstLineChars="200"/>
        <w:rPr>
          <w:rFonts w:hint="eastAsia" w:ascii="宋体" w:hAnsi="宋体" w:cs="宋体"/>
          <w:bCs/>
          <w:szCs w:val="21"/>
          <w:highlight w:val="none"/>
        </w:rPr>
      </w:pPr>
      <w:r>
        <w:rPr>
          <w:rFonts w:hint="eastAsia" w:hAnsi="宋体"/>
          <w:bCs/>
          <w:szCs w:val="21"/>
          <w:highlight w:val="none"/>
        </w:rPr>
        <w:t>本规</w:t>
      </w:r>
      <w:r>
        <w:rPr>
          <w:rFonts w:hint="eastAsia" w:ascii="宋体" w:hAnsi="宋体" w:cs="宋体"/>
          <w:bCs/>
          <w:szCs w:val="21"/>
          <w:highlight w:val="none"/>
        </w:rPr>
        <w:t>范引用了下列文件：</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GB 12358-2006  作业场所环境气体检测报警仪通用技术要求</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GB/T 50493-2019  石油化工可燃气体和有毒气体检测报警设计标准</w:t>
      </w:r>
    </w:p>
    <w:p>
      <w:pPr>
        <w:spacing w:line="360" w:lineRule="auto"/>
        <w:ind w:firstLine="420" w:firstLineChars="200"/>
        <w:rPr>
          <w:rFonts w:hint="default" w:hAnsi="宋体" w:eastAsia="宋体"/>
          <w:bCs/>
          <w:szCs w:val="21"/>
          <w:highlight w:val="none"/>
          <w:lang w:val="en-US" w:eastAsia="zh-CN"/>
        </w:rPr>
      </w:pPr>
      <w:r>
        <w:rPr>
          <w:rFonts w:hint="eastAsia" w:ascii="宋体" w:hAnsi="宋体" w:cs="宋体"/>
          <w:bCs/>
          <w:szCs w:val="21"/>
          <w:highlight w:val="none"/>
        </w:rPr>
        <w:t>凡是注</w:t>
      </w:r>
      <w:r>
        <w:rPr>
          <w:rFonts w:hint="eastAsia" w:hAnsi="宋体"/>
          <w:bCs/>
          <w:szCs w:val="21"/>
          <w:highlight w:val="none"/>
        </w:rPr>
        <w:t>日期的引用文件，仅注日期的版本适用于本规范；凡是不注日期的引用文件，其最新版本（包括所有的修改单）适用于本规范</w:t>
      </w:r>
      <w:r>
        <w:rPr>
          <w:rFonts w:hint="eastAsia" w:hAnsi="宋体"/>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2.2.3</w:t>
      </w:r>
      <w:r>
        <w:rPr>
          <w:rFonts w:ascii="黑体" w:eastAsia="黑体"/>
          <w:bCs/>
          <w:szCs w:val="21"/>
          <w:highlight w:val="none"/>
        </w:rPr>
        <w:t xml:space="preserve"> </w:t>
      </w:r>
      <w:r>
        <w:rPr>
          <w:rFonts w:hint="eastAsia" w:ascii="黑体" w:hAnsi="宋体" w:eastAsia="黑体"/>
          <w:bCs/>
          <w:szCs w:val="21"/>
          <w:highlight w:val="none"/>
        </w:rPr>
        <w:t>概述</w:t>
      </w:r>
    </w:p>
    <w:p>
      <w:pPr>
        <w:pStyle w:val="25"/>
        <w:bidi w:val="0"/>
        <w:spacing w:line="360" w:lineRule="auto"/>
        <w:rPr>
          <w:rFonts w:hint="eastAsia" w:ascii="Times New Roman" w:cs="Times New Roman"/>
          <w:sz w:val="21"/>
          <w:lang w:eastAsia="zh-CN"/>
        </w:rPr>
      </w:pPr>
      <w:r>
        <w:rPr>
          <w:rFonts w:hint="eastAsia" w:ascii="Times New Roman" w:hAnsi="Times New Roman" w:cs="Times New Roman"/>
          <w:sz w:val="21"/>
        </w:rPr>
        <w:t>仪器的检测原理主要是热导型，利用混合气体导热系数随组分气体的体积百分含量不同而变化的物理特征进行测量。仪器的采样方式有扩散式和吸入式。仪器的结构形式有便携式和固定式两种。仪器主要由检测元件、放大电路、报警部分、显示部分、输出部分等组成，用于检测作业场所环境中氩气的浓度</w:t>
      </w:r>
      <w:r>
        <w:rPr>
          <w:rFonts w:hint="eastAsia" w:ascii="Times New Roman" w:cs="Times New Roman"/>
          <w:sz w:val="21"/>
          <w:lang w:eastAsia="zh-CN"/>
        </w:rPr>
        <w:t>。</w:t>
      </w:r>
    </w:p>
    <w:p>
      <w:pPr>
        <w:pStyle w:val="25"/>
        <w:bidi w:val="0"/>
        <w:spacing w:line="360" w:lineRule="auto"/>
        <w:jc w:val="center"/>
        <w:rPr>
          <w:rFonts w:hint="eastAsia" w:hAnsi="宋体" w:eastAsia="宋体"/>
          <w:szCs w:val="24"/>
          <w:lang w:eastAsia="zh-CN"/>
        </w:rPr>
      </w:pPr>
      <w:r>
        <w:rPr>
          <w:rFonts w:hint="eastAsia" w:hAnsi="宋体" w:eastAsia="宋体"/>
          <w:szCs w:val="24"/>
          <w:lang w:eastAsia="zh-CN"/>
        </w:rPr>
        <w:drawing>
          <wp:inline distT="0" distB="0" distL="114300" distR="114300">
            <wp:extent cx="3126740" cy="1767205"/>
            <wp:effectExtent l="0" t="0" r="16510" b="4445"/>
            <wp:docPr id="17" name="图片 17" descr="171558075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5580757870"/>
                    <pic:cNvPicPr>
                      <a:picLocks noChangeAspect="1"/>
                    </pic:cNvPicPr>
                  </pic:nvPicPr>
                  <pic:blipFill>
                    <a:blip r:embed="rId6"/>
                    <a:stretch>
                      <a:fillRect/>
                    </a:stretch>
                  </pic:blipFill>
                  <pic:spPr>
                    <a:xfrm>
                      <a:off x="0" y="0"/>
                      <a:ext cx="3126740" cy="1767205"/>
                    </a:xfrm>
                    <a:prstGeom prst="rect">
                      <a:avLst/>
                    </a:prstGeom>
                  </pic:spPr>
                </pic:pic>
              </a:graphicData>
            </a:graphic>
          </wp:inline>
        </w:drawing>
      </w:r>
    </w:p>
    <w:p>
      <w:pPr>
        <w:pStyle w:val="25"/>
        <w:ind w:firstLine="48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1-显示部分；2-壳体；3-检测元件；4-过滤罩；5-放大电路；6-报警部分；7-输出部分</w:t>
      </w:r>
    </w:p>
    <w:p>
      <w:pPr>
        <w:pStyle w:val="25"/>
        <w:bidi w:val="0"/>
        <w:spacing w:line="360" w:lineRule="auto"/>
        <w:jc w:val="center"/>
        <w:rPr>
          <w:rFonts w:hint="eastAsia" w:hAnsi="宋体" w:eastAsia="宋体"/>
          <w:szCs w:val="24"/>
          <w:lang w:eastAsia="zh-CN"/>
        </w:rPr>
      </w:pPr>
      <w:r>
        <w:rPr>
          <w:rFonts w:hint="eastAsia" w:ascii="宋体" w:hAnsi="宋体" w:cs="宋体"/>
          <w:sz w:val="21"/>
          <w:szCs w:val="21"/>
        </w:rPr>
        <w:t>图</w:t>
      </w:r>
      <w:r>
        <w:rPr>
          <w:rFonts w:hint="eastAsia" w:ascii="宋体" w:hAnsi="宋体" w:cs="宋体"/>
          <w:sz w:val="21"/>
          <w:szCs w:val="21"/>
          <w:lang w:val="en-US" w:eastAsia="zh-CN"/>
        </w:rPr>
        <w:t>1</w:t>
      </w:r>
      <w:r>
        <w:rPr>
          <w:rFonts w:hint="eastAsia" w:ascii="宋体" w:hAnsi="宋体" w:cs="宋体"/>
          <w:sz w:val="21"/>
          <w:szCs w:val="21"/>
        </w:rPr>
        <w:t xml:space="preserve"> 仪器</w:t>
      </w:r>
      <w:r>
        <w:rPr>
          <w:rFonts w:hint="eastAsia" w:ascii="宋体" w:hAnsi="宋体" w:cs="宋体"/>
          <w:sz w:val="21"/>
          <w:szCs w:val="21"/>
          <w:lang w:val="en-US" w:eastAsia="zh-CN"/>
        </w:rPr>
        <w:t>结构</w:t>
      </w:r>
      <w:r>
        <w:rPr>
          <w:rFonts w:hint="eastAsia" w:ascii="宋体" w:hAnsi="宋体" w:cs="宋体"/>
          <w:sz w:val="21"/>
          <w:szCs w:val="21"/>
        </w:rPr>
        <w:t>图</w:t>
      </w:r>
    </w:p>
    <w:p>
      <w:pPr>
        <w:pStyle w:val="25"/>
        <w:bidi w:val="0"/>
        <w:spacing w:line="360" w:lineRule="auto"/>
        <w:rPr>
          <w:rFonts w:hint="eastAsia" w:ascii="Times New Roman" w:cs="Times New Roman"/>
          <w:sz w:val="21"/>
          <w:lang w:eastAsia="zh-CN"/>
        </w:rPr>
      </w:pPr>
      <w:r>
        <w:rPr>
          <w:rFonts w:hint="eastAsia"/>
          <w:bCs/>
          <w:highlight w:val="none"/>
          <w:lang w:val="en-US" w:eastAsia="zh-CN"/>
        </w:rPr>
        <w:t>在条款3中对仪器的概述进行了逻辑修改，并增加了仪器结构图。</w:t>
      </w:r>
    </w:p>
    <w:p>
      <w:pPr>
        <w:spacing w:line="360" w:lineRule="auto"/>
        <w:rPr>
          <w:rFonts w:ascii="黑体" w:hAnsi="宋体" w:eastAsia="黑体"/>
          <w:bCs/>
          <w:szCs w:val="21"/>
          <w:highlight w:val="none"/>
        </w:rPr>
      </w:pPr>
      <w:r>
        <w:rPr>
          <w:rFonts w:ascii="黑体" w:hAnsi="宋体" w:eastAsia="黑体"/>
          <w:bCs/>
          <w:szCs w:val="21"/>
          <w:highlight w:val="none"/>
        </w:rPr>
        <w:t>2.2.4</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仪表的计量特性主要为</w:t>
      </w:r>
      <w:r>
        <w:rPr>
          <w:rFonts w:hint="eastAsia" w:hAnsi="宋体" w:cs="Times New Roman"/>
          <w:bCs/>
          <w:szCs w:val="21"/>
          <w:highlight w:val="none"/>
          <w:lang w:val="en-US" w:eastAsia="zh-CN"/>
        </w:rPr>
        <w:t>示值误差、重复性、响应时间、报警点误差、变送输出误差、漂移</w:t>
      </w:r>
      <w:r>
        <w:rPr>
          <w:rFonts w:hint="eastAsia" w:ascii="Times New Roman" w:hAnsi="宋体" w:cs="Times New Roman"/>
          <w:bCs/>
          <w:szCs w:val="21"/>
          <w:highlight w:val="none"/>
          <w:lang w:val="en-US" w:eastAsia="zh-CN"/>
        </w:rPr>
        <w:t>。</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bCs/>
          <w:highlight w:val="none"/>
          <w:lang w:val="en-US" w:eastAsia="zh-CN"/>
        </w:rPr>
        <w:t>在条款4中对计量特性利用表格进行了归类描述。</w:t>
      </w:r>
    </w:p>
    <w:p>
      <w:pPr>
        <w:spacing w:line="360" w:lineRule="auto"/>
        <w:rPr>
          <w:rFonts w:ascii="黑体" w:hAnsi="宋体" w:eastAsia="黑体"/>
          <w:bCs/>
          <w:szCs w:val="21"/>
          <w:highlight w:val="none"/>
        </w:rPr>
      </w:pPr>
      <w:r>
        <w:rPr>
          <w:rFonts w:ascii="黑体" w:hAnsi="宋体" w:eastAsia="黑体"/>
          <w:bCs/>
          <w:szCs w:val="21"/>
          <w:highlight w:val="none"/>
        </w:rPr>
        <w:t>2.2.5</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Fonts w:hint="eastAsia"/>
          <w:bCs/>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ind w:firstLine="420" w:firstLineChars="200"/>
        <w:rPr>
          <w:rFonts w:hint="eastAsia"/>
          <w:bCs/>
          <w:highlight w:val="none"/>
          <w:lang w:val="en-US" w:eastAsia="zh-CN"/>
        </w:rPr>
      </w:pPr>
      <w:r>
        <w:rPr>
          <w:rFonts w:hint="eastAsia"/>
          <w:bCs/>
          <w:highlight w:val="none"/>
          <w:lang w:val="en-US" w:eastAsia="zh-CN"/>
        </w:rPr>
        <w:t>在条款5.2中对校准用计量标准和配套设备利用表格进行了归类描述。</w:t>
      </w:r>
    </w:p>
    <w:p>
      <w:pPr>
        <w:spacing w:line="360" w:lineRule="auto"/>
        <w:rPr>
          <w:rFonts w:ascii="黑体" w:hAnsi="宋体" w:eastAsia="黑体"/>
          <w:bCs/>
          <w:szCs w:val="21"/>
          <w:highlight w:val="none"/>
        </w:rPr>
      </w:pPr>
      <w:r>
        <w:rPr>
          <w:rFonts w:ascii="黑体" w:hAnsi="宋体" w:eastAsia="黑体"/>
          <w:bCs/>
          <w:szCs w:val="21"/>
          <w:highlight w:val="none"/>
        </w:rPr>
        <w:t>2.2.6</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1）关于校准项目</w:t>
      </w:r>
    </w:p>
    <w:p>
      <w:pPr>
        <w:adjustRightInd w:val="0"/>
        <w:snapToGrid w:val="0"/>
        <w:spacing w:line="360" w:lineRule="auto"/>
        <w:ind w:firstLine="420" w:firstLineChars="200"/>
        <w:rPr>
          <w:rFonts w:hint="default" w:ascii="黑体" w:hAnsi="宋体"/>
          <w:bCs/>
          <w:szCs w:val="21"/>
          <w:highlight w:val="none"/>
          <w:lang w:val="en-US" w:eastAsia="zh-CN"/>
        </w:rPr>
      </w:pPr>
      <w:r>
        <w:rPr>
          <w:rFonts w:hint="eastAsia" w:ascii="黑体" w:hAnsi="宋体"/>
          <w:bCs/>
          <w:szCs w:val="21"/>
          <w:highlight w:val="none"/>
          <w:lang w:val="en-US" w:eastAsia="zh-CN"/>
        </w:rPr>
        <w:t>校准项目：</w:t>
      </w:r>
      <w:r>
        <w:rPr>
          <w:rFonts w:hint="eastAsia" w:hAnsi="宋体" w:cs="Times New Roman"/>
          <w:bCs/>
          <w:szCs w:val="21"/>
          <w:highlight w:val="none"/>
          <w:lang w:val="en-US" w:eastAsia="zh-CN"/>
        </w:rPr>
        <w:t>示值误差、重复性、响应时间、报警点误差、变送输出误差、漂移</w:t>
      </w:r>
      <w:r>
        <w:rPr>
          <w:rFonts w:hint="eastAsia" w:ascii="黑体" w:hAnsi="宋体"/>
          <w:bCs/>
          <w:szCs w:val="21"/>
          <w:highlight w:val="none"/>
          <w:lang w:val="en-US" w:eastAsia="zh-CN"/>
        </w:rPr>
        <w:t>。仪器经过调零、修理、更换重要部件的，需对所有项目进行重新校准。</w:t>
      </w:r>
    </w:p>
    <w:p>
      <w:pPr>
        <w:numPr>
          <w:ilvl w:val="0"/>
          <w:numId w:val="3"/>
        </w:num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关于校准方法</w:t>
      </w:r>
    </w:p>
    <w:p>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规范对仪器的校准点的选择进行了描述，规范对仪器计量特性示值误差、重复性、响应时间、报警点误差、变送输出误差、漂移的校准方法进行了详细描述，给出了相应校准项目的误差计算公式。规范能较好地指导校准人员对仪器进行校准，具有较强的可操作性。</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在条款6.2.1中明确了仪器通电预热时间的具体时间为1h。</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在条款6.2.2中删除了注1的内容。</w:t>
      </w:r>
    </w:p>
    <w:p>
      <w:pPr>
        <w:numPr>
          <w:ilvl w:val="0"/>
          <w:numId w:val="0"/>
        </w:numPr>
        <w:tabs>
          <w:tab w:val="left" w:pos="0"/>
        </w:tabs>
        <w:spacing w:line="360" w:lineRule="auto"/>
        <w:ind w:leftChars="200"/>
        <w:rPr>
          <w:rFonts w:hint="eastAsia"/>
          <w:bCs/>
          <w:highlight w:val="none"/>
          <w:lang w:val="en-US" w:eastAsia="zh-CN"/>
        </w:rPr>
      </w:pPr>
      <w:r>
        <w:rPr>
          <w:rFonts w:hint="eastAsia"/>
          <w:bCs/>
          <w:highlight w:val="none"/>
          <w:lang w:val="en-US" w:eastAsia="zh-CN"/>
        </w:rPr>
        <w:t>在条款6.2.7中增加了Z</w:t>
      </w:r>
      <w:r>
        <w:rPr>
          <w:rFonts w:hint="eastAsia"/>
          <w:bCs/>
          <w:highlight w:val="none"/>
          <w:vertAlign w:val="subscript"/>
          <w:lang w:val="en-US" w:eastAsia="zh-CN"/>
        </w:rPr>
        <w:t>0</w:t>
      </w:r>
      <w:r>
        <w:rPr>
          <w:rFonts w:hint="eastAsia"/>
          <w:bCs/>
          <w:highlight w:val="none"/>
          <w:vertAlign w:val="baseline"/>
          <w:lang w:val="en-US" w:eastAsia="zh-CN"/>
        </w:rPr>
        <w:t>、</w:t>
      </w:r>
      <w:r>
        <w:rPr>
          <w:rFonts w:hint="eastAsia"/>
          <w:bCs/>
          <w:highlight w:val="none"/>
          <w:lang w:val="en-US" w:eastAsia="zh-CN"/>
        </w:rPr>
        <w:t>Z</w:t>
      </w:r>
      <w:r>
        <w:rPr>
          <w:rFonts w:hint="eastAsia"/>
          <w:bCs/>
          <w:highlight w:val="none"/>
          <w:vertAlign w:val="subscript"/>
          <w:lang w:val="en-US" w:eastAsia="zh-CN"/>
        </w:rPr>
        <w:t>i</w:t>
      </w:r>
      <w:r>
        <w:rPr>
          <w:rFonts w:hint="eastAsia"/>
          <w:bCs/>
          <w:highlight w:val="none"/>
          <w:vertAlign w:val="baseline"/>
          <w:lang w:val="en-US" w:eastAsia="zh-CN"/>
        </w:rPr>
        <w:t>、S</w:t>
      </w:r>
      <w:r>
        <w:rPr>
          <w:rFonts w:hint="eastAsia"/>
          <w:bCs/>
          <w:highlight w:val="none"/>
          <w:vertAlign w:val="subscript"/>
          <w:lang w:val="en-US" w:eastAsia="zh-CN"/>
        </w:rPr>
        <w:t>0</w:t>
      </w:r>
      <w:r>
        <w:rPr>
          <w:rFonts w:hint="eastAsia"/>
          <w:bCs/>
          <w:highlight w:val="none"/>
          <w:vertAlign w:val="baseline"/>
          <w:lang w:val="en-US" w:eastAsia="zh-CN"/>
        </w:rPr>
        <w:t>、S</w:t>
      </w:r>
      <w:r>
        <w:rPr>
          <w:rFonts w:hint="eastAsia"/>
          <w:bCs/>
          <w:highlight w:val="none"/>
          <w:vertAlign w:val="subscript"/>
          <w:lang w:val="en-US" w:eastAsia="zh-CN"/>
        </w:rPr>
        <w:t>i</w:t>
      </w:r>
      <w:r>
        <w:rPr>
          <w:rFonts w:hint="eastAsia"/>
          <w:bCs/>
          <w:highlight w:val="none"/>
          <w:vertAlign w:val="baseline"/>
          <w:lang w:val="en-US" w:eastAsia="zh-CN"/>
        </w:rPr>
        <w:t>的说明。</w:t>
      </w:r>
    </w:p>
    <w:p>
      <w:pPr>
        <w:spacing w:line="360" w:lineRule="auto"/>
        <w:rPr>
          <w:rFonts w:ascii="黑体" w:hAnsi="宋体" w:eastAsia="黑体"/>
          <w:bCs/>
          <w:szCs w:val="21"/>
          <w:highlight w:val="none"/>
        </w:rPr>
      </w:pPr>
      <w:r>
        <w:rPr>
          <w:rFonts w:ascii="黑体" w:hAnsi="宋体" w:eastAsia="黑体"/>
          <w:bCs/>
          <w:szCs w:val="21"/>
          <w:highlight w:val="none"/>
        </w:rPr>
        <w:t xml:space="preserve">2.2.7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2.2.8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给出了最长1年复校时间间隔的建议。但客户可根据使用情况自主决定复校时间间隔。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hint="eastAsia" w:ascii="黑体" w:hAnsi="宋体" w:eastAsia="黑体"/>
          <w:bCs/>
          <w:szCs w:val="21"/>
          <w:highlight w:val="none"/>
          <w:lang w:val="en-US" w:eastAsia="zh-CN"/>
        </w:rPr>
        <w:t>9</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设置了4个附录，便于校准时参考和规范化。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仪器校准原始记录参考格式</w:t>
      </w:r>
    </w:p>
    <w:p>
      <w:pPr>
        <w:adjustRightInd w:val="0"/>
        <w:snapToGrid w:val="0"/>
        <w:spacing w:line="360" w:lineRule="auto"/>
        <w:ind w:firstLine="420" w:firstLineChars="200"/>
        <w:rPr>
          <w:rFonts w:hint="default"/>
          <w:bCs/>
          <w:highlight w:val="none"/>
          <w:lang w:val="en-US" w:eastAsia="zh-CN"/>
        </w:rPr>
      </w:pPr>
      <w:r>
        <w:rPr>
          <w:rFonts w:hint="eastAsia"/>
          <w:bCs/>
          <w:highlight w:val="none"/>
          <w:lang w:val="en-US" w:eastAsia="zh-CN"/>
        </w:rPr>
        <w:t>增加了原始记录中其他条件的内容。</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仪器校准证书内页参考格式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增加了校准证书中其他条件的内容。</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仪器示值误差测量结果的不确定度评定示例</w:t>
      </w:r>
    </w:p>
    <w:p>
      <w:pPr>
        <w:adjustRightInd w:val="0"/>
        <w:snapToGrid w:val="0"/>
        <w:spacing w:line="360" w:lineRule="auto"/>
        <w:ind w:firstLine="420" w:firstLineChars="200"/>
        <w:rPr>
          <w:rFonts w:hint="default"/>
          <w:bCs/>
          <w:highlight w:val="none"/>
          <w:lang w:val="en-US" w:eastAsia="zh-CN"/>
        </w:rPr>
      </w:pPr>
      <w:r>
        <w:rPr>
          <w:rFonts w:hint="eastAsia"/>
          <w:bCs/>
          <w:highlight w:val="none"/>
          <w:lang w:val="en-US" w:eastAsia="zh-CN"/>
        </w:rPr>
        <w:t>在C.3条款中取消了不确定度来源的序号编排。</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附录D 仪器变送输出误差测量结果的不确定度评定示例</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在D.3条款中取消了不确定度来源的序号编排。</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本规范填补了国内对仪器无校准规范的空白，规范对仪器计量特性的校准，特别对仪器数字传输、控制输出等安全性能进行了详细描述，可操作性强，水平达到国内领先。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w:t>
      </w:r>
      <w:r>
        <w:rPr>
          <w:rFonts w:hint="eastAsia" w:hAnsi="宋体"/>
          <w:bCs/>
          <w:szCs w:val="21"/>
          <w:highlight w:val="none"/>
          <w:lang w:val="en-US" w:eastAsia="zh-CN"/>
        </w:rPr>
        <w:t>推荐性</w:t>
      </w:r>
      <w:r>
        <w:rPr>
          <w:rFonts w:hint="eastAsia" w:hAnsi="宋体"/>
          <w:bCs/>
          <w:szCs w:val="21"/>
          <w:highlight w:val="none"/>
        </w:rPr>
        <w:t>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bCs/>
          <w:highlight w:val="none"/>
          <w:lang w:val="en-US" w:eastAsia="zh-CN"/>
        </w:rPr>
        <w:t>仪器的校准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对仪器的评价有了统一标准，能很好地用于工业现场安全生产监视，保障生产环境安全可靠</w:t>
      </w:r>
      <w:r>
        <w:rPr>
          <w:rFonts w:hint="eastAsia" w:ascii="宋体" w:eastAsia="方正行楷简体"/>
          <w:bCs/>
          <w:kern w:val="0"/>
          <w:szCs w:val="21"/>
          <w:highlight w:val="none"/>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氩气浓度检测报警仪</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4</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05</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10</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DB93A"/>
    <w:multiLevelType w:val="singleLevel"/>
    <w:tmpl w:val="85ADB93A"/>
    <w:lvl w:ilvl="0" w:tentative="0">
      <w:start w:val="1"/>
      <w:numFmt w:val="decimal"/>
      <w:suff w:val="space"/>
      <w:lvlText w:val="%1）"/>
      <w:lvlJc w:val="left"/>
      <w:pPr>
        <w:tabs>
          <w:tab w:val="left" w:pos="0"/>
        </w:tabs>
      </w:pPr>
      <w:rPr>
        <w:rFonts w:hint="default"/>
      </w:rPr>
    </w:lvl>
  </w:abstractNum>
  <w:abstractNum w:abstractNumId="1">
    <w:nsid w:val="A130271F"/>
    <w:multiLevelType w:val="singleLevel"/>
    <w:tmpl w:val="A130271F"/>
    <w:lvl w:ilvl="0" w:tentative="0">
      <w:start w:val="2"/>
      <w:numFmt w:val="decimal"/>
      <w:suff w:val="nothing"/>
      <w:lvlText w:val="%1）"/>
      <w:lvlJc w:val="left"/>
    </w:lvl>
  </w:abstractNum>
  <w:abstractNum w:abstractNumId="2">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39906BD"/>
    <w:rsid w:val="052C6AB8"/>
    <w:rsid w:val="054363E9"/>
    <w:rsid w:val="09402D37"/>
    <w:rsid w:val="0DB103FD"/>
    <w:rsid w:val="0DB62202"/>
    <w:rsid w:val="0EE20108"/>
    <w:rsid w:val="0F046843"/>
    <w:rsid w:val="0F4960E8"/>
    <w:rsid w:val="0FD961E1"/>
    <w:rsid w:val="102B2027"/>
    <w:rsid w:val="11580B6C"/>
    <w:rsid w:val="126E7A09"/>
    <w:rsid w:val="14251CC4"/>
    <w:rsid w:val="154C457C"/>
    <w:rsid w:val="15FF6F85"/>
    <w:rsid w:val="163F2D2D"/>
    <w:rsid w:val="168D2F97"/>
    <w:rsid w:val="181878E8"/>
    <w:rsid w:val="185C1918"/>
    <w:rsid w:val="18B775BA"/>
    <w:rsid w:val="196656B5"/>
    <w:rsid w:val="19D813C6"/>
    <w:rsid w:val="1A7B17FC"/>
    <w:rsid w:val="1B3E222D"/>
    <w:rsid w:val="1DFD3AB5"/>
    <w:rsid w:val="1E1E7305"/>
    <w:rsid w:val="236269FD"/>
    <w:rsid w:val="24500F51"/>
    <w:rsid w:val="264362D5"/>
    <w:rsid w:val="2B6A69EA"/>
    <w:rsid w:val="2F3F109E"/>
    <w:rsid w:val="30204B81"/>
    <w:rsid w:val="31D30F8D"/>
    <w:rsid w:val="32CF2B4C"/>
    <w:rsid w:val="33A855B9"/>
    <w:rsid w:val="3400143C"/>
    <w:rsid w:val="345C0A57"/>
    <w:rsid w:val="34915439"/>
    <w:rsid w:val="36070A65"/>
    <w:rsid w:val="36294EFF"/>
    <w:rsid w:val="366B4F50"/>
    <w:rsid w:val="36814FE8"/>
    <w:rsid w:val="3A6A7A9F"/>
    <w:rsid w:val="3B4B3584"/>
    <w:rsid w:val="3C2D4B77"/>
    <w:rsid w:val="3C6F02A3"/>
    <w:rsid w:val="3D540C00"/>
    <w:rsid w:val="3FFB769C"/>
    <w:rsid w:val="424972B2"/>
    <w:rsid w:val="42CD2859"/>
    <w:rsid w:val="46057311"/>
    <w:rsid w:val="461756FA"/>
    <w:rsid w:val="46D77749"/>
    <w:rsid w:val="46E43C6C"/>
    <w:rsid w:val="49ED573E"/>
    <w:rsid w:val="50F90BE2"/>
    <w:rsid w:val="519E65DF"/>
    <w:rsid w:val="51C34A47"/>
    <w:rsid w:val="55BF234C"/>
    <w:rsid w:val="55CC27F2"/>
    <w:rsid w:val="57415D20"/>
    <w:rsid w:val="588B31DD"/>
    <w:rsid w:val="5A8913F1"/>
    <w:rsid w:val="5B9F2DFD"/>
    <w:rsid w:val="5BBE3B49"/>
    <w:rsid w:val="5C486802"/>
    <w:rsid w:val="5E361946"/>
    <w:rsid w:val="613C71BD"/>
    <w:rsid w:val="62C244A7"/>
    <w:rsid w:val="635C4B8E"/>
    <w:rsid w:val="6388107B"/>
    <w:rsid w:val="644127EC"/>
    <w:rsid w:val="645D0E2E"/>
    <w:rsid w:val="64610126"/>
    <w:rsid w:val="655463FB"/>
    <w:rsid w:val="66471C44"/>
    <w:rsid w:val="69893755"/>
    <w:rsid w:val="6AD2505B"/>
    <w:rsid w:val="6C0D48EE"/>
    <w:rsid w:val="6C687BC5"/>
    <w:rsid w:val="6C715A3C"/>
    <w:rsid w:val="6D4F6A9B"/>
    <w:rsid w:val="6FE72B43"/>
    <w:rsid w:val="74145A7A"/>
    <w:rsid w:val="751C244E"/>
    <w:rsid w:val="75411574"/>
    <w:rsid w:val="76657642"/>
    <w:rsid w:val="77266CAE"/>
    <w:rsid w:val="77466927"/>
    <w:rsid w:val="7A5E69CB"/>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2868</Words>
  <Characters>3104</Characters>
  <Lines>3</Lines>
  <Paragraphs>8</Paragraphs>
  <TotalTime>0</TotalTime>
  <ScaleCrop>false</ScaleCrop>
  <LinksUpToDate>false</LinksUpToDate>
  <CharactersWithSpaces>3143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闫中南</cp:lastModifiedBy>
  <cp:lastPrinted>2013-05-26T06:25:00Z</cp:lastPrinted>
  <dcterms:modified xsi:type="dcterms:W3CDTF">2024-05-16T09:39:29Z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093BBB91377A4D33B626FDFD9EC8F07B_13</vt:lpwstr>
  </property>
</Properties>
</file>