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3"/>
        <w:rPr>
          <w:rFonts w:hAnsi="黑体" w:cs="黑体"/>
          <w:sz w:val="44"/>
          <w:szCs w:val="44"/>
        </w:rPr>
      </w:pPr>
      <w:bookmarkStart w:id="0" w:name="_Hlk23687263"/>
      <w:r>
        <w:rPr>
          <w:rFonts w:hint="eastAsia" w:hAnsi="黑体" w:cs="黑体"/>
          <w:sz w:val="44"/>
          <w:szCs w:val="44"/>
        </w:rPr>
        <w:t>JJF（有色金属）</w:t>
      </w:r>
      <w:r>
        <w:rPr>
          <w:rFonts w:hAnsi="黑体" w:cs="黑体"/>
          <w:sz w:val="44"/>
          <w:szCs w:val="44"/>
        </w:rPr>
        <w:t>XXXX</w:t>
      </w:r>
      <w:r>
        <w:rPr>
          <w:rFonts w:hint="eastAsia" w:hAnsi="黑体" w:cs="黑体"/>
          <w:sz w:val="44"/>
          <w:szCs w:val="44"/>
        </w:rPr>
        <w:t>—</w:t>
      </w:r>
      <w:r>
        <w:rPr>
          <w:rFonts w:hAnsi="黑体" w:cs="黑体"/>
          <w:sz w:val="44"/>
          <w:szCs w:val="44"/>
        </w:rPr>
        <w:t>XXXX</w:t>
      </w:r>
    </w:p>
    <w:bookmarkEnd w:id="0"/>
    <w:p>
      <w:pPr>
        <w:pStyle w:val="43"/>
        <w:rPr>
          <w:rFonts w:hAnsi="黑体" w:cs="黑体"/>
          <w:szCs w:val="52"/>
        </w:rPr>
      </w:pPr>
      <w:r>
        <w:rPr>
          <w:rFonts w:hint="eastAsia" w:hAnsi="黑体" w:cs="黑体"/>
          <w:szCs w:val="52"/>
        </w:rPr>
        <w:t>塑料容量瓶校准规范</w:t>
      </w:r>
    </w:p>
    <w:p>
      <w:pPr>
        <w:jc w:val="center"/>
        <w:rPr>
          <w:rFonts w:ascii="黑体" w:hAnsi="黑体" w:eastAsia="黑体" w:cs="黑体"/>
          <w:sz w:val="44"/>
          <w:szCs w:val="44"/>
        </w:rPr>
      </w:pPr>
      <w:r>
        <w:rPr>
          <w:rFonts w:hint="eastAsia" w:ascii="黑体" w:hAnsi="黑体" w:eastAsia="黑体" w:cs="黑体"/>
          <w:sz w:val="44"/>
          <w:szCs w:val="44"/>
        </w:rPr>
        <w:t>(编制说明)</w:t>
      </w: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pStyle w:val="45"/>
        <w:spacing w:before="600"/>
        <w:rPr>
          <w:rFonts w:ascii="黑体" w:hAnsi="黑体" w:eastAsia="黑体"/>
          <w:sz w:val="36"/>
          <w:szCs w:val="36"/>
        </w:rPr>
      </w:pPr>
      <w:r>
        <w:rPr>
          <w:rFonts w:hint="eastAsia" w:ascii="黑体" w:hAnsi="黑体" w:eastAsia="黑体"/>
          <w:sz w:val="36"/>
          <w:szCs w:val="36"/>
          <w:lang w:val="en-US" w:eastAsia="zh-CN"/>
        </w:rPr>
        <w:t>送审</w:t>
      </w:r>
      <w:bookmarkStart w:id="53" w:name="_GoBack"/>
      <w:bookmarkEnd w:id="53"/>
      <w:r>
        <w:rPr>
          <w:rFonts w:hint="eastAsia" w:ascii="黑体" w:hAnsi="黑体" w:eastAsia="黑体"/>
          <w:sz w:val="36"/>
          <w:szCs w:val="36"/>
        </w:rPr>
        <w:t>稿</w:t>
      </w:r>
    </w:p>
    <w:p>
      <w:pPr>
        <w:pStyle w:val="45"/>
        <w:spacing w:before="600"/>
        <w:rPr>
          <w:rFonts w:ascii="黑体" w:hAnsi="黑体" w:eastAsia="黑体"/>
          <w:sz w:val="36"/>
          <w:szCs w:val="36"/>
        </w:rPr>
      </w:pPr>
      <w:r>
        <w:rPr>
          <w:rFonts w:hint="eastAsia" w:ascii="黑体" w:hAnsi="黑体" w:eastAsia="黑体"/>
          <w:sz w:val="36"/>
          <w:szCs w:val="36"/>
        </w:rPr>
        <w:t>20</w:t>
      </w:r>
      <w:r>
        <w:rPr>
          <w:rFonts w:ascii="黑体" w:hAnsi="黑体" w:eastAsia="黑体"/>
          <w:sz w:val="36"/>
          <w:szCs w:val="36"/>
        </w:rPr>
        <w:t>2</w:t>
      </w:r>
      <w:r>
        <w:rPr>
          <w:rFonts w:hint="eastAsia" w:ascii="黑体" w:hAnsi="黑体" w:eastAsia="黑体"/>
          <w:sz w:val="36"/>
          <w:szCs w:val="36"/>
        </w:rPr>
        <w:t>4-04</w:t>
      </w: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rPr>
          <w:rFonts w:ascii="黑体" w:eastAsia="黑体"/>
          <w:bCs/>
          <w:sz w:val="24"/>
        </w:rPr>
      </w:pPr>
      <w:r>
        <mc:AlternateContent>
          <mc:Choice Requires="wps">
            <w:drawing>
              <wp:anchor distT="0" distB="0" distL="114300" distR="114300" simplePos="0" relativeHeight="251659264" behindDoc="0" locked="1" layoutInCell="1" allowOverlap="1">
                <wp:simplePos x="0" y="0"/>
                <wp:positionH relativeFrom="margin">
                  <wp:posOffset>-82550</wp:posOffset>
                </wp:positionH>
                <wp:positionV relativeFrom="margin">
                  <wp:posOffset>7232650</wp:posOffset>
                </wp:positionV>
                <wp:extent cx="6120130" cy="1544320"/>
                <wp:effectExtent l="0" t="0" r="0" b="0"/>
                <wp:wrapNone/>
                <wp:docPr id="2" name="fmFrame7"/>
                <wp:cNvGraphicFramePr/>
                <a:graphic xmlns:a="http://schemas.openxmlformats.org/drawingml/2006/main">
                  <a:graphicData uri="http://schemas.microsoft.com/office/word/2010/wordprocessingShape">
                    <wps:wsp>
                      <wps:cNvSpPr/>
                      <wps:spPr>
                        <a:xfrm>
                          <a:off x="0" y="0"/>
                          <a:ext cx="6120130" cy="1544320"/>
                        </a:xfrm>
                        <a:prstGeom prst="rect">
                          <a:avLst/>
                        </a:prstGeom>
                        <a:solidFill>
                          <a:srgbClr val="FFFFFF"/>
                        </a:solidFill>
                        <a:ln>
                          <a:noFill/>
                        </a:ln>
                      </wps:spPr>
                      <wps:txbx>
                        <w:txbxContent>
                          <w:p>
                            <w:pPr>
                              <w:pStyle w:val="43"/>
                              <w:jc w:val="both"/>
                              <w:rPr>
                                <w:rFonts w:ascii="宋体" w:hAnsi="宋体" w:eastAsia="宋体" w:cs="宋体"/>
                                <w:spacing w:val="58"/>
                                <w:w w:val="120"/>
                                <w:kern w:val="2"/>
                                <w:sz w:val="28"/>
                                <w:szCs w:val="28"/>
                              </w:rPr>
                            </w:pPr>
                          </w:p>
                          <w:p>
                            <w:pPr>
                              <w:jc w:val="center"/>
                              <w:rPr>
                                <w:rFonts w:ascii="宋体" w:hAnsi="宋体" w:cs="宋体"/>
                                <w:spacing w:val="58"/>
                                <w:w w:val="120"/>
                                <w:sz w:val="28"/>
                                <w:szCs w:val="28"/>
                              </w:rPr>
                            </w:pPr>
                            <w:r>
                              <w:rPr>
                                <w:rFonts w:hint="eastAsia" w:ascii="宋体" w:hAnsi="宋体" w:cs="宋体"/>
                                <w:spacing w:val="58"/>
                                <w:w w:val="120"/>
                                <w:sz w:val="28"/>
                                <w:szCs w:val="28"/>
                              </w:rPr>
                              <w:t>塑料容量瓶校准规范</w:t>
                            </w:r>
                          </w:p>
                          <w:p>
                            <w:pPr>
                              <w:jc w:val="center"/>
                              <w:rPr>
                                <w:rFonts w:ascii="宋体" w:hAnsi="宋体" w:cs="宋体"/>
                                <w:sz w:val="28"/>
                                <w:szCs w:val="28"/>
                              </w:rPr>
                            </w:pPr>
                            <w:r>
                              <w:rPr>
                                <w:rFonts w:hint="eastAsia" w:ascii="宋体" w:hAnsi="宋体" w:cs="宋体"/>
                                <w:spacing w:val="58"/>
                                <w:w w:val="120"/>
                                <w:sz w:val="28"/>
                                <w:szCs w:val="28"/>
                              </w:rPr>
                              <w:t>编制组</w:t>
                            </w:r>
                          </w:p>
                          <w:p>
                            <w:pPr>
                              <w:pStyle w:val="46"/>
                              <w:rPr>
                                <w:rFonts w:ascii="宋体" w:hAnsi="宋体" w:eastAsia="宋体" w:cs="宋体"/>
                                <w:sz w:val="28"/>
                                <w:szCs w:val="28"/>
                              </w:rPr>
                            </w:pPr>
                            <w:r>
                              <w:rPr>
                                <w:rFonts w:hint="eastAsia" w:ascii="宋体" w:hAnsi="宋体" w:eastAsia="宋体" w:cs="宋体"/>
                                <w:sz w:val="28"/>
                                <w:szCs w:val="28"/>
                              </w:rPr>
                              <w:t>主编单位：西安汉唐分析检测有限公司</w:t>
                            </w:r>
                          </w:p>
                        </w:txbxContent>
                      </wps:txbx>
                      <wps:bodyPr lIns="0" tIns="0" rIns="0" bIns="0" upright="1"/>
                    </wps:wsp>
                  </a:graphicData>
                </a:graphic>
              </wp:anchor>
            </w:drawing>
          </mc:Choice>
          <mc:Fallback>
            <w:pict>
              <v:rect id="fmFrame7" o:spid="_x0000_s1026" o:spt="1" style="position:absolute;left:0pt;margin-left:-6.5pt;margin-top:569.5pt;height:121.6pt;width:481.9pt;mso-position-horizontal-relative:margin;mso-position-vertical-relative:margin;z-index:251659264;mso-width-relative:page;mso-height-relative:page;" fillcolor="#FFFFFF" filled="t" stroked="f" coordsize="21600,21600" o:gfxdata="UEsDBAoAAAAAAIdO4kAAAAAAAAAAAAAAAAAEAAAAZHJzL1BLAwQUAAAACACHTuJAZRXGetgAAAAN&#10;AQAADwAAAGRycy9kb3ducmV2LnhtbE2PS0/DMBCE70j8B2uRuLW2E4HaEKcHHuqZUMTVjZc44EcU&#10;O23g17Oc4La7M5qdr94t3rETTmmIQYFcC2AYumiG0Cs4vDytNsBS1sFoFwMq+MIEu+byotaViefw&#10;jKc294xCQqq0ApvzWHGeOotep3UcMZD2HievM61Tz82kzxTuHS+EuOVeD4E+WD3ivcXus529gr18&#10;eBw/+Her9y7j/GqXzr0tSl1fSXEHLOOS/8zwW5+qQ0OdjnEOJjGnYCVLYskkyHJLE1m2N4JojnQq&#10;N0UBvKn5f4rmB1BLAwQUAAAACACHTuJAkFnLSLoBAACPAwAADgAAAGRycy9lMm9Eb2MueG1srVPL&#10;btswELwX6D8QvMe0nDQtBMs5xHBRoGgDJP0AiiIlAnxhSVvy33dJyU6bXnKoDtIsdzm7M6S2D5M1&#10;5CQhau8aWq3WlEgnfKdd39BfL4ebL5TExF3HjXeyoWcZ6cPu44ftGGq58YM3nQSCJC7WY2jokFKo&#10;GYtikJbHlQ/SYVJ5sDxhCD3rgI/Ibg3brNf3bPTQBfBCxoir+zlJF0Z4D6FXSgu59+JopUszK0jD&#10;E0qKgw6R7sq0SkmRfioVZSKmoag0lTc2QdzmN9tted0DD4MWywj8PSO80WS5dtj0SrXniZMj6H+o&#10;rBbgo1dpJbxls5DiCKqo1m+8eR54kEULWh3D1fT4/2jFj9MTEN01dEOJ4xYPXNkDIPicvRlDrLHk&#10;OTzBEkWEWeikwOYvSiBT8fN89VNOiQhcvK9Q1C1aLTBXfbq7u90Ux9nr9gAxfZXekgwaCnhgxUd+&#10;+h4TtsTSS0nuFr3R3UEbUwLo20cD5MTxcA/lyTPjlr/KjMvFzudtczqvsCxtFpNRmtppUdj67oye&#10;mG8Ofc535gLgAtoLOAbQ/YBzV6VxJsJzKiMsdypfhD/j0vj1P9r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GUVxnrYAAAADQEAAA8AAAAAAAAAAQAgAAAAIgAAAGRycy9kb3ducmV2LnhtbFBLAQIU&#10;ABQAAAAIAIdO4kCQWctIugEAAI8DAAAOAAAAAAAAAAEAIAAAACcBAABkcnMvZTJvRG9jLnhtbFBL&#10;BQYAAAAABgAGAFkBAABTBQAAAAA=&#10;">
                <v:fill on="t" focussize="0,0"/>
                <v:stroke on="f"/>
                <v:imagedata o:title=""/>
                <o:lock v:ext="edit" aspectratio="f"/>
                <v:textbox inset="0mm,0mm,0mm,0mm">
                  <w:txbxContent>
                    <w:p>
                      <w:pPr>
                        <w:pStyle w:val="43"/>
                        <w:jc w:val="both"/>
                        <w:rPr>
                          <w:rFonts w:ascii="宋体" w:hAnsi="宋体" w:eastAsia="宋体" w:cs="宋体"/>
                          <w:spacing w:val="58"/>
                          <w:w w:val="120"/>
                          <w:kern w:val="2"/>
                          <w:sz w:val="28"/>
                          <w:szCs w:val="28"/>
                        </w:rPr>
                      </w:pPr>
                    </w:p>
                    <w:p>
                      <w:pPr>
                        <w:jc w:val="center"/>
                        <w:rPr>
                          <w:rFonts w:ascii="宋体" w:hAnsi="宋体" w:cs="宋体"/>
                          <w:spacing w:val="58"/>
                          <w:w w:val="120"/>
                          <w:sz w:val="28"/>
                          <w:szCs w:val="28"/>
                        </w:rPr>
                      </w:pPr>
                      <w:r>
                        <w:rPr>
                          <w:rFonts w:hint="eastAsia" w:ascii="宋体" w:hAnsi="宋体" w:cs="宋体"/>
                          <w:spacing w:val="58"/>
                          <w:w w:val="120"/>
                          <w:sz w:val="28"/>
                          <w:szCs w:val="28"/>
                        </w:rPr>
                        <w:t>塑料容量瓶校准规范</w:t>
                      </w:r>
                    </w:p>
                    <w:p>
                      <w:pPr>
                        <w:jc w:val="center"/>
                        <w:rPr>
                          <w:rFonts w:ascii="宋体" w:hAnsi="宋体" w:cs="宋体"/>
                          <w:sz w:val="28"/>
                          <w:szCs w:val="28"/>
                        </w:rPr>
                      </w:pPr>
                      <w:r>
                        <w:rPr>
                          <w:rFonts w:hint="eastAsia" w:ascii="宋体" w:hAnsi="宋体" w:cs="宋体"/>
                          <w:spacing w:val="58"/>
                          <w:w w:val="120"/>
                          <w:sz w:val="28"/>
                          <w:szCs w:val="28"/>
                        </w:rPr>
                        <w:t>编制组</w:t>
                      </w:r>
                    </w:p>
                    <w:p>
                      <w:pPr>
                        <w:pStyle w:val="46"/>
                        <w:rPr>
                          <w:rFonts w:ascii="宋体" w:hAnsi="宋体" w:eastAsia="宋体" w:cs="宋体"/>
                          <w:sz w:val="28"/>
                          <w:szCs w:val="28"/>
                        </w:rPr>
                      </w:pPr>
                      <w:r>
                        <w:rPr>
                          <w:rFonts w:hint="eastAsia" w:ascii="宋体" w:hAnsi="宋体" w:eastAsia="宋体" w:cs="宋体"/>
                          <w:sz w:val="28"/>
                          <w:szCs w:val="28"/>
                        </w:rPr>
                        <w:t>主编单位：西安汉唐分析检测有限公司</w:t>
                      </w:r>
                    </w:p>
                  </w:txbxContent>
                </v:textbox>
                <w10:anchorlock/>
              </v:rect>
            </w:pict>
          </mc:Fallback>
        </mc:AlternateContent>
      </w: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p>
    <w:p>
      <w:pPr>
        <w:spacing w:line="360" w:lineRule="auto"/>
        <w:jc w:val="center"/>
        <w:rPr>
          <w:rFonts w:ascii="黑体" w:eastAsia="黑体"/>
          <w:bCs/>
          <w:sz w:val="24"/>
        </w:rPr>
      </w:pPr>
      <w:r>
        <w:rPr>
          <w:rFonts w:ascii="黑体" w:eastAsia="黑体"/>
          <w:bCs/>
          <w:sz w:val="24"/>
        </w:rPr>
        <w:t>JJF</w:t>
      </w:r>
      <w:r>
        <w:rPr>
          <w:rFonts w:hint="eastAsia" w:ascii="黑体" w:eastAsia="黑体"/>
          <w:bCs/>
          <w:sz w:val="24"/>
        </w:rPr>
        <w:t>（有色金属）014-2022《塑料容量瓶校准规范》</w:t>
      </w:r>
    </w:p>
    <w:p>
      <w:pPr>
        <w:spacing w:line="360" w:lineRule="auto"/>
        <w:jc w:val="center"/>
        <w:rPr>
          <w:rFonts w:ascii="黑体" w:eastAsia="黑体"/>
          <w:bCs/>
          <w:sz w:val="24"/>
        </w:rPr>
      </w:pPr>
      <w:r>
        <w:rPr>
          <w:rFonts w:hint="eastAsia" w:ascii="黑体" w:eastAsia="黑体"/>
          <w:bCs/>
          <w:sz w:val="24"/>
        </w:rPr>
        <w:t>行业计量技术规范编制说明</w:t>
      </w:r>
    </w:p>
    <w:p>
      <w:pPr>
        <w:spacing w:line="360" w:lineRule="auto"/>
        <w:rPr>
          <w:rFonts w:ascii="黑体" w:hAnsi="宋体" w:eastAsia="黑体"/>
          <w:bCs/>
          <w:szCs w:val="21"/>
        </w:rPr>
      </w:pPr>
      <w:r>
        <w:rPr>
          <w:rFonts w:hint="eastAsia" w:ascii="黑体" w:hAnsi="宋体" w:eastAsia="黑体"/>
          <w:bCs/>
          <w:szCs w:val="21"/>
        </w:rPr>
        <w:t>一、工作简况</w:t>
      </w:r>
    </w:p>
    <w:p>
      <w:pPr>
        <w:spacing w:line="360" w:lineRule="auto"/>
        <w:rPr>
          <w:rFonts w:hint="eastAsia" w:ascii="黑体" w:hAnsi="宋体" w:eastAsia="黑体"/>
          <w:bCs/>
          <w:szCs w:val="21"/>
        </w:rPr>
      </w:pPr>
      <w:r>
        <w:rPr>
          <w:rFonts w:hint="eastAsia" w:ascii="黑体" w:hAnsi="宋体" w:eastAsia="黑体"/>
          <w:bCs/>
          <w:szCs w:val="21"/>
        </w:rPr>
        <w:t>一、工作简况</w:t>
      </w:r>
    </w:p>
    <w:p>
      <w:pPr>
        <w:spacing w:line="360" w:lineRule="auto"/>
        <w:rPr>
          <w:rFonts w:hAnsi="宋体"/>
          <w:bCs/>
          <w:szCs w:val="21"/>
        </w:rPr>
      </w:pPr>
      <w:r>
        <w:rPr>
          <w:rFonts w:hint="eastAsia" w:ascii="黑体" w:eastAsia="黑体"/>
          <w:bCs/>
          <w:szCs w:val="21"/>
        </w:rPr>
        <w:t>1</w:t>
      </w:r>
      <w:r>
        <w:rPr>
          <w:rFonts w:hint="eastAsia" w:ascii="黑体" w:hAnsi="宋体" w:eastAsia="黑体"/>
          <w:bCs/>
          <w:szCs w:val="21"/>
        </w:rPr>
        <w:t>立项目的</w:t>
      </w:r>
    </w:p>
    <w:p>
      <w:pPr>
        <w:spacing w:line="360" w:lineRule="auto"/>
        <w:ind w:firstLine="420" w:firstLineChars="200"/>
        <w:rPr>
          <w:rFonts w:hAnsi="宋体"/>
          <w:bCs/>
          <w:szCs w:val="21"/>
        </w:rPr>
      </w:pPr>
      <w:r>
        <w:rPr>
          <w:rFonts w:hAnsi="宋体"/>
          <w:bCs/>
          <w:szCs w:val="21"/>
        </w:rPr>
        <w:t>随着航空航天等领域的飞速发展，对材料分析的要求以及需求日益增多，其中金属材料领域中，钛合金、锆合金、铪合金的分析技术迅速发展，相关的检测标准也在逐步完善，而塑料容量瓶的使用在以上分析方法中必不可少。又如在环境检测领域，氟离子标准溶液的配置及储存，同样需要使用塑料容量瓶。</w:t>
      </w:r>
      <w:r>
        <w:rPr>
          <w:rFonts w:hint="eastAsia" w:hAnsi="宋体"/>
          <w:bCs/>
          <w:szCs w:val="21"/>
        </w:rPr>
        <w:t>随着塑料容量瓶的使用数量和种类越来越多，其容量的准确性也开始受到计量检测人员和企事业单位的关注。目前，塑料容量瓶的校准尚无国家校准规范，一些单位可能会参照 JJG 196-2006《常用玻璃量器检定规程》和JJG 646-2006《移液器检定规程》进行自校，但不同于玻璃量器，由于纯水在塑料容量瓶中受表面张力的影响接近为平液面，定容方式应取液面与容量瓶刻度线的上边缘相平。且塑料材质的体胀系数远大于玻璃材质，并且不同材质的塑料容量瓶其体胀系数也不同，导致其容量允差不尽相同，无法参照玻璃量器的容量允差。所提出的塑料容量瓶校准规范，能够适用于常见材质塑料容量瓶的校准，保证各个塑料容量瓶量值的准确，进而保证试验结果的可信度。</w:t>
      </w:r>
    </w:p>
    <w:p>
      <w:pPr>
        <w:spacing w:line="360" w:lineRule="auto"/>
        <w:rPr>
          <w:rFonts w:ascii="黑体" w:eastAsia="黑体"/>
          <w:bCs/>
          <w:szCs w:val="21"/>
        </w:rPr>
      </w:pPr>
      <w:r>
        <w:rPr>
          <w:rFonts w:hint="eastAsia" w:ascii="黑体" w:eastAsia="黑体"/>
          <w:bCs/>
          <w:szCs w:val="21"/>
        </w:rPr>
        <w:t>2</w:t>
      </w:r>
      <w:r>
        <w:rPr>
          <w:rFonts w:hint="eastAsia" w:ascii="黑体" w:hAnsi="宋体" w:eastAsia="黑体"/>
          <w:bCs/>
          <w:szCs w:val="21"/>
        </w:rPr>
        <w:t>任务来源</w:t>
      </w:r>
    </w:p>
    <w:p>
      <w:pPr>
        <w:pStyle w:val="11"/>
        <w:spacing w:after="0" w:line="360" w:lineRule="auto"/>
        <w:ind w:firstLine="420" w:firstLineChars="200"/>
        <w:rPr>
          <w:rFonts w:hAnsi="宋体"/>
          <w:bCs/>
          <w:szCs w:val="21"/>
        </w:rPr>
      </w:pPr>
      <w:r>
        <w:rPr>
          <w:rFonts w:hint="eastAsia" w:hAnsi="宋体"/>
          <w:bCs/>
          <w:szCs w:val="21"/>
        </w:rPr>
        <w:t>根据工业和信息化部《关于印发2022年行业计量技术规范制修订计划的通知》（工厅科［2022］464号）文的要求，行业计量技术规范《塑料容量瓶校准规范》由</w:t>
      </w:r>
      <w:r>
        <w:rPr>
          <w:rFonts w:hint="eastAsia"/>
          <w:szCs w:val="21"/>
        </w:rPr>
        <w:t>西安汉唐分析检测有限公司</w:t>
      </w:r>
      <w:r>
        <w:rPr>
          <w:rFonts w:hint="eastAsia" w:hAnsi="宋体"/>
          <w:bCs/>
          <w:szCs w:val="21"/>
        </w:rPr>
        <w:t>负责起草。该项目计划编号为</w:t>
      </w:r>
      <w:r>
        <w:rPr>
          <w:rFonts w:hAnsi="宋体"/>
          <w:bCs/>
          <w:szCs w:val="21"/>
        </w:rPr>
        <w:t>JJF</w:t>
      </w:r>
      <w:r>
        <w:rPr>
          <w:rFonts w:hint="eastAsia" w:hAnsi="宋体"/>
          <w:bCs/>
          <w:szCs w:val="21"/>
        </w:rPr>
        <w:t>（有色金属）014-2</w:t>
      </w:r>
      <w:r>
        <w:rPr>
          <w:rFonts w:hAnsi="宋体"/>
          <w:bCs/>
          <w:szCs w:val="21"/>
        </w:rPr>
        <w:t>02</w:t>
      </w:r>
      <w:r>
        <w:rPr>
          <w:rFonts w:hint="eastAsia" w:hAnsi="宋体"/>
          <w:bCs/>
          <w:szCs w:val="21"/>
        </w:rPr>
        <w:t>2，按计划要求，本计量规范应于</w:t>
      </w:r>
      <w:r>
        <w:rPr>
          <w:rFonts w:hAnsi="宋体"/>
          <w:bCs/>
          <w:szCs w:val="21"/>
        </w:rPr>
        <w:t>202</w:t>
      </w:r>
      <w:r>
        <w:rPr>
          <w:rFonts w:hint="eastAsia" w:hAnsi="宋体"/>
          <w:bCs/>
          <w:szCs w:val="21"/>
        </w:rPr>
        <w:t>4年完成。</w:t>
      </w:r>
    </w:p>
    <w:p>
      <w:pPr>
        <w:pStyle w:val="11"/>
        <w:spacing w:after="0" w:line="360" w:lineRule="auto"/>
        <w:rPr>
          <w:rFonts w:ascii="黑体" w:eastAsia="黑体"/>
          <w:bCs/>
          <w:szCs w:val="21"/>
        </w:rPr>
      </w:pPr>
      <w:r>
        <w:rPr>
          <w:rFonts w:hint="eastAsia" w:ascii="黑体" w:hAnsi="宋体" w:eastAsia="黑体"/>
          <w:bCs/>
          <w:szCs w:val="21"/>
        </w:rPr>
        <w:t>3</w:t>
      </w:r>
      <w:r>
        <w:rPr>
          <w:rFonts w:hint="eastAsia" w:ascii="黑体" w:eastAsia="黑体"/>
          <w:bCs/>
          <w:szCs w:val="21"/>
        </w:rPr>
        <w:t>项目编制组单位简况</w:t>
      </w:r>
    </w:p>
    <w:p>
      <w:pPr>
        <w:pStyle w:val="11"/>
        <w:spacing w:after="0" w:line="360" w:lineRule="auto"/>
        <w:rPr>
          <w:rFonts w:ascii="黑体" w:hAnsi="宋体" w:eastAsia="黑体"/>
          <w:bCs/>
          <w:szCs w:val="21"/>
        </w:rPr>
      </w:pPr>
      <w:r>
        <w:rPr>
          <w:rFonts w:hint="eastAsia" w:ascii="黑体" w:hAnsi="宋体" w:eastAsia="黑体"/>
          <w:bCs/>
          <w:szCs w:val="21"/>
        </w:rPr>
        <w:t>3.1编制组成员单位</w:t>
      </w:r>
    </w:p>
    <w:p>
      <w:pPr>
        <w:pStyle w:val="11"/>
        <w:spacing w:after="0" w:line="360" w:lineRule="auto"/>
        <w:rPr>
          <w:rFonts w:ascii="黑体" w:hAnsi="宋体" w:eastAsia="黑体"/>
          <w:bCs/>
          <w:szCs w:val="21"/>
        </w:rPr>
      </w:pPr>
      <w:r>
        <w:rPr>
          <w:rFonts w:hint="eastAsia" w:ascii="黑体" w:hAnsi="宋体" w:eastAsia="黑体"/>
          <w:bCs/>
          <w:szCs w:val="21"/>
        </w:rPr>
        <w:t xml:space="preserve">   </w:t>
      </w:r>
      <w:r>
        <w:rPr>
          <w:rFonts w:hint="eastAsia"/>
          <w:szCs w:val="21"/>
        </w:rPr>
        <w:t>本规范的编制组单位为：</w:t>
      </w:r>
      <w:r>
        <w:rPr>
          <w:rFonts w:hint="eastAsia" w:hAnsi="宋体"/>
          <w:bCs/>
          <w:szCs w:val="21"/>
        </w:rPr>
        <w:t>西安汉唐分析检测有限公司</w:t>
      </w:r>
    </w:p>
    <w:p>
      <w:pPr>
        <w:pStyle w:val="11"/>
        <w:spacing w:after="0" w:line="360" w:lineRule="auto"/>
        <w:rPr>
          <w:rFonts w:ascii="黑体" w:hAnsi="宋体" w:eastAsia="黑体"/>
          <w:bCs/>
          <w:szCs w:val="21"/>
        </w:rPr>
      </w:pPr>
      <w:r>
        <w:rPr>
          <w:rFonts w:hint="eastAsia" w:ascii="黑体" w:hAnsi="宋体" w:eastAsia="黑体"/>
          <w:bCs/>
          <w:szCs w:val="21"/>
        </w:rPr>
        <w:t>3.2主编单位简介</w:t>
      </w:r>
    </w:p>
    <w:p>
      <w:pPr>
        <w:spacing w:line="360" w:lineRule="auto"/>
        <w:rPr>
          <w:szCs w:val="21"/>
        </w:rPr>
      </w:pPr>
      <w:r>
        <w:rPr>
          <w:rFonts w:hint="eastAsia"/>
          <w:szCs w:val="21"/>
        </w:rPr>
        <w:t>3.2.1 西安汉唐分析检测有限公司</w:t>
      </w:r>
    </w:p>
    <w:p>
      <w:pPr>
        <w:spacing w:line="360" w:lineRule="auto"/>
        <w:ind w:firstLine="420" w:firstLineChars="200"/>
        <w:rPr>
          <w:szCs w:val="21"/>
        </w:rPr>
      </w:pPr>
      <w:r>
        <w:rPr>
          <w:rFonts w:hint="eastAsia"/>
          <w:szCs w:val="21"/>
        </w:rPr>
        <w:t>西安汉唐分析检测有限公司是西北有色金属研究院(集团)控股子公司，属国有企业，主要从事有色产品的检测、可靠性评价、失效分析、质量评估、腐蚀性能及表面测试与表征、规范起草、检测方法的开发、标物的研制、设备的计量校准等。</w:t>
      </w:r>
    </w:p>
    <w:p>
      <w:pPr>
        <w:spacing w:line="360" w:lineRule="auto"/>
        <w:ind w:firstLine="420" w:firstLineChars="200"/>
        <w:rPr>
          <w:szCs w:val="21"/>
        </w:rPr>
      </w:pPr>
      <w:r>
        <w:rPr>
          <w:rFonts w:hint="eastAsia"/>
          <w:szCs w:val="21"/>
        </w:rPr>
        <w:t>公司于1985年被陕西省质监局授权为陕西省有色金属产品质量监督检验站。1987年被中国有色金属工业总公司授权为西北质量监督检验中心，先后被国家质检总局确定为钛及钛合金、铜及铜合金管材生产许可证检验工作实施单位；公司通过CNAS、CMA、国防DiLAC等认证认可，是陕西省有色金属材料分析检测与评价中心、陕西省稀有金属材料安全评估和失效分析中心、工业（稀有金属）产品质量和技术评价实验室、陕西省核工业用金属材料检测与评价服务平台挂靠单位。公司是国内最早从事有色金属材料及其产品分析检验检测与评价研究的专业机构之一，技术装备水平国内一流、国际先进，在我省优势产业稀有金属材料领域的检测能力和水平处于领先地位；先后承担了国家、省市多项重大课题，目前已建成国内唯一的核电堆芯材料分析检测平台、多层金属复合材料测试和评价平台、钛及钛合金专业检测平台。</w:t>
      </w:r>
    </w:p>
    <w:p>
      <w:pPr>
        <w:spacing w:line="360" w:lineRule="auto"/>
        <w:ind w:firstLine="420" w:firstLineChars="200"/>
        <w:rPr>
          <w:szCs w:val="21"/>
        </w:rPr>
      </w:pPr>
      <w:r>
        <w:rPr>
          <w:rFonts w:hint="eastAsia"/>
          <w:szCs w:val="21"/>
        </w:rPr>
        <w:t>近10年起草有色金属国家/行业规范共80余项、发表论文120余篇、授权专利30余项。先后荣获中国有色金属工业一等奖、二等奖20余次。</w:t>
      </w:r>
    </w:p>
    <w:p>
      <w:pPr>
        <w:pStyle w:val="11"/>
        <w:spacing w:after="0" w:line="360" w:lineRule="auto"/>
        <w:rPr>
          <w:rFonts w:hint="eastAsia"/>
          <w:szCs w:val="21"/>
        </w:rPr>
      </w:pPr>
      <w:r>
        <w:rPr>
          <w:rFonts w:hint="eastAsia"/>
          <w:szCs w:val="21"/>
        </w:rPr>
        <w:t>本单位积极组织编制组各次工作会议，开展相关的校准，有效组织参编单位多次对规范的各版《征求意见稿》进行认真的讨论和审议，提出大量有益的意见和建议，在编制组中发挥了牵头作用。</w:t>
      </w:r>
    </w:p>
    <w:p>
      <w:pPr>
        <w:pStyle w:val="32"/>
        <w:numPr>
          <w:ilvl w:val="0"/>
          <w:numId w:val="0"/>
        </w:numPr>
        <w:spacing w:before="156" w:beforeLines="50" w:after="156" w:afterLines="50" w:line="300" w:lineRule="auto"/>
        <w:ind w:left="2"/>
        <w:contextualSpacing/>
        <w:rPr>
          <w:rFonts w:ascii="Times New Roman" w:eastAsia="宋体"/>
          <w:kern w:val="2"/>
          <w:szCs w:val="21"/>
        </w:rPr>
      </w:pPr>
      <w:r>
        <w:rPr>
          <w:rFonts w:hint="eastAsia" w:ascii="Times New Roman" w:eastAsia="宋体"/>
          <w:kern w:val="2"/>
          <w:szCs w:val="21"/>
        </w:rPr>
        <w:t>3.2.2新疆湘润新材料科技有限公司</w:t>
      </w:r>
    </w:p>
    <w:p>
      <w:pPr>
        <w:spacing w:line="360" w:lineRule="auto"/>
        <w:ind w:firstLine="420" w:firstLineChars="200"/>
        <w:contextualSpacing/>
        <w:jc w:val="left"/>
        <w:rPr>
          <w:szCs w:val="21"/>
        </w:rPr>
      </w:pPr>
      <w:r>
        <w:rPr>
          <w:szCs w:val="21"/>
        </w:rPr>
        <w:t>新疆湘润新材料科技有限公司于2016年07月08日成立，</w:t>
      </w:r>
      <w:r>
        <w:rPr>
          <w:rFonts w:hint="eastAsia"/>
          <w:szCs w:val="21"/>
        </w:rPr>
        <w:t>主要从事</w:t>
      </w:r>
      <w:r>
        <w:rPr>
          <w:szCs w:val="21"/>
        </w:rPr>
        <w:t>金属材料及制品的生产、销售、技术咨询、技术服务；货物与技术的进出口业务；经过多年专业水平和成熟技术积累，目前在有色金属行业具有很大影响力。</w:t>
      </w:r>
    </w:p>
    <w:p>
      <w:pPr>
        <w:spacing w:line="360" w:lineRule="auto"/>
        <w:ind w:firstLine="420" w:firstLineChars="200"/>
        <w:contextualSpacing/>
        <w:jc w:val="left"/>
      </w:pPr>
      <w:r>
        <w:rPr>
          <w:rFonts w:hint="eastAsia"/>
          <w:szCs w:val="21"/>
        </w:rPr>
        <w:t>该单位积极参加编制工作，开展相关的验证试验，提供修改意见。</w:t>
      </w:r>
    </w:p>
    <w:p>
      <w:pPr>
        <w:pStyle w:val="32"/>
        <w:numPr>
          <w:ilvl w:val="0"/>
          <w:numId w:val="0"/>
        </w:numPr>
        <w:spacing w:before="156" w:beforeLines="50" w:after="156" w:afterLines="50" w:line="300" w:lineRule="auto"/>
        <w:ind w:left="2"/>
        <w:contextualSpacing/>
        <w:rPr>
          <w:rFonts w:hint="eastAsia" w:ascii="Times New Roman" w:eastAsia="宋体"/>
          <w:kern w:val="2"/>
          <w:szCs w:val="21"/>
        </w:rPr>
      </w:pPr>
      <w:r>
        <w:rPr>
          <w:rFonts w:hint="eastAsia" w:ascii="Times New Roman" w:eastAsia="宋体"/>
          <w:kern w:val="2"/>
          <w:szCs w:val="21"/>
        </w:rPr>
        <w:t>3.2.3陕西有色榆林新材料集团有限责任公司</w:t>
      </w:r>
    </w:p>
    <w:p>
      <w:pPr>
        <w:spacing w:line="360" w:lineRule="auto"/>
        <w:ind w:firstLine="420" w:firstLineChars="200"/>
        <w:contextualSpacing/>
        <w:jc w:val="left"/>
        <w:rPr>
          <w:szCs w:val="21"/>
        </w:rPr>
      </w:pPr>
      <w:r>
        <w:rPr>
          <w:rFonts w:hint="eastAsia"/>
          <w:szCs w:val="21"/>
        </w:rPr>
        <w:t>陕西有色榆林新材料集团有限责任公司主要经营铝、铝基合金、炭素产品、化工产品（易制毒、危险、监控化学品除外）、多晶硅及原辅材料的生产、销售（涉及国家有专项专营规定的从其规定）；自备电厂经营；有色金属及原料、贵金属、机电产品的销售；进出口贸易（国家限定或禁止公司经营的商品和技术除外）；技术咨询、技术服务；黄金的加工、销售。</w:t>
      </w:r>
    </w:p>
    <w:p>
      <w:pPr>
        <w:pStyle w:val="25"/>
        <w:ind w:firstLine="0" w:firstLineChars="0"/>
        <w:rPr>
          <w:rFonts w:ascii="Times New Roman"/>
          <w:kern w:val="2"/>
          <w:szCs w:val="21"/>
        </w:rPr>
      </w:pPr>
      <w:r>
        <w:rPr>
          <w:rFonts w:hint="eastAsia" w:ascii="Times New Roman"/>
          <w:kern w:val="2"/>
          <w:szCs w:val="21"/>
        </w:rPr>
        <w:t>3.2.4陕西天成航空材料有限公司</w:t>
      </w:r>
    </w:p>
    <w:p>
      <w:pPr>
        <w:pStyle w:val="32"/>
        <w:numPr>
          <w:ilvl w:val="0"/>
          <w:numId w:val="0"/>
        </w:numPr>
        <w:spacing w:line="360" w:lineRule="auto"/>
        <w:ind w:firstLine="420" w:firstLineChars="200"/>
        <w:contextualSpacing/>
        <w:outlineLvl w:val="9"/>
        <w:rPr>
          <w:rFonts w:ascii="Times New Roman" w:eastAsia="宋体"/>
          <w:kern w:val="2"/>
          <w:szCs w:val="21"/>
        </w:rPr>
      </w:pPr>
      <w:r>
        <w:rPr>
          <w:rFonts w:hint="eastAsia" w:ascii="Times New Roman" w:eastAsia="宋体"/>
          <w:kern w:val="2"/>
          <w:szCs w:val="21"/>
        </w:rPr>
        <w:t>陕西天成航空材料有限公司</w:t>
      </w:r>
      <w:r>
        <w:rPr>
          <w:rFonts w:ascii="Times New Roman" w:eastAsia="宋体"/>
          <w:kern w:val="2"/>
          <w:szCs w:val="21"/>
        </w:rPr>
        <w:t>天成航材成立于2007年，是专业从事钛合金材料研发、生产的高新技术企业。公司于2008年投产，目前拥有自主知识产权及各项成果100余项，研发人员占比15%，累计研发投入上亿元，是国内较早涉足钛合金产业的技术队伍之一。</w:t>
      </w:r>
    </w:p>
    <w:p>
      <w:pPr>
        <w:pStyle w:val="32"/>
        <w:numPr>
          <w:ilvl w:val="0"/>
          <w:numId w:val="0"/>
        </w:numPr>
        <w:spacing w:line="360" w:lineRule="auto"/>
        <w:ind w:firstLine="420" w:firstLineChars="200"/>
        <w:contextualSpacing/>
        <w:outlineLvl w:val="9"/>
        <w:rPr>
          <w:rFonts w:ascii="Times New Roman" w:eastAsia="宋体"/>
          <w:kern w:val="2"/>
          <w:szCs w:val="21"/>
        </w:rPr>
      </w:pPr>
      <w:r>
        <w:rPr>
          <w:rFonts w:ascii="Times New Roman" w:eastAsia="宋体"/>
          <w:kern w:val="2"/>
          <w:szCs w:val="21"/>
        </w:rPr>
        <w:t>公司产品定位于高端钛材应用，主营产品包含钛合金棒材、线材、锻件等，以一流的“航空标准”管理体系支撑钛产业高质量发展。公司自主研发、设计了国内首条航空级钛合金全流程动态多向控温控轧生产线，可为航空、医疗等高端领域用户提供超细晶钛棒及高品质钛盘卷，从材料端创新突破，解决了多项航空材料“卡脖子”难题；大规格棒材生产线采取“以轧代锻、锻轧结合”的方式，进一步优化生产工艺，可为航空终端提供发动机盘、轴件及飞机结构件用原材料，赋能中国航空业态升级。</w:t>
      </w:r>
    </w:p>
    <w:p>
      <w:pPr>
        <w:pStyle w:val="32"/>
        <w:numPr>
          <w:ilvl w:val="0"/>
          <w:numId w:val="0"/>
        </w:numPr>
        <w:spacing w:before="156" w:beforeLines="50" w:after="156" w:afterLines="50"/>
        <w:contextualSpacing/>
        <w:rPr>
          <w:rFonts w:ascii="Times New Roman" w:eastAsia="宋体"/>
          <w:kern w:val="2"/>
          <w:szCs w:val="21"/>
        </w:rPr>
      </w:pPr>
      <w:r>
        <w:rPr>
          <w:rFonts w:hint="eastAsia" w:ascii="Times New Roman" w:eastAsia="宋体"/>
          <w:kern w:val="2"/>
          <w:szCs w:val="21"/>
        </w:rPr>
        <w:t>3.2.5国标（北京）检验认证有限公司</w:t>
      </w:r>
    </w:p>
    <w:p>
      <w:pPr>
        <w:widowControl/>
        <w:spacing w:line="360" w:lineRule="auto"/>
        <w:ind w:firstLine="561"/>
        <w:jc w:val="left"/>
        <w:rPr>
          <w:szCs w:val="21"/>
        </w:rPr>
      </w:pPr>
      <w:r>
        <w:rPr>
          <w:rFonts w:hint="eastAsia"/>
          <w:szCs w:val="21"/>
        </w:rPr>
        <w:t>标准（北京）检验认证有限公司（简称标准公司，英文简称GTC），是中国的第三方检验认证服务机构，致力于为客户提供一站式质量保障服务。公司前身为北京有色金属研究总院分析测试技术研究所，同时运行管理着“地区有色金属质量监督检验中心”和“地区有色金属及电子材料分析测试中心”，分别由原地区质量技术监督局于1985年批准建立和原地区科委于1983年批准建立。 标准公司通过ISO 17025实验室地区认可(CNAS)、中国计量认证(CMA)、实验室审查认可（CAL）、培训机构资质认证（NTC）等，是地区工业与信息化部挂牌“有色金属标准样品研制单位（YSRK 07-2014）”、 “多晶硅行业准入检测测评实验室”、“工业(有色金属及半导体材料)产品质量控制及评价实验室”；中国有色金属工业协会认定的“有色金属失效分析行业实验室”；中关村高新技术企业园区挂牌的开放实验室；“航天器材料质量机构”；中国船级社检测和试验机构；同时是中国有色金属学会理化检验学术、中国稀土学会理化检验的主任委员单位。 标准公司主营业务涉及第三方检测服务，分析测试仪器装备及配件的研制和销售、标准物质/样品、无损检测设备检定、分析检测人员培训、实验室规划设计、特种功能材料研发与生产等领域。公司是中国第三方金属检测的成员之一者，主要从事有色金属、黑色金属、矿物材料、建筑材料、环境样品等的分析检测服务；服务项目包括化学成分成分、组织结构分析、物理性能测试、力学性能测试、无损探伤检测等。</w:t>
      </w:r>
    </w:p>
    <w:p>
      <w:pPr>
        <w:pStyle w:val="11"/>
        <w:spacing w:after="0" w:line="360" w:lineRule="auto"/>
        <w:rPr>
          <w:rFonts w:ascii="黑体" w:eastAsia="黑体"/>
          <w:bCs/>
          <w:szCs w:val="21"/>
        </w:rPr>
      </w:pPr>
      <w:r>
        <w:rPr>
          <w:rFonts w:hint="eastAsia" w:ascii="黑体" w:eastAsia="黑体"/>
          <w:bCs/>
          <w:szCs w:val="21"/>
        </w:rPr>
        <w:t>4</w:t>
      </w:r>
      <w:r>
        <w:rPr>
          <w:rFonts w:hint="eastAsia" w:ascii="黑体" w:hAnsi="宋体" w:eastAsia="黑体"/>
          <w:bCs/>
          <w:szCs w:val="21"/>
        </w:rPr>
        <w:t>主要工作过程</w:t>
      </w:r>
    </w:p>
    <w:p>
      <w:pPr>
        <w:spacing w:line="360" w:lineRule="auto"/>
        <w:ind w:firstLine="420" w:firstLineChars="200"/>
        <w:rPr>
          <w:bCs/>
        </w:rPr>
      </w:pPr>
      <w:r>
        <w:rPr>
          <w:rFonts w:hint="eastAsia"/>
          <w:bCs/>
        </w:rPr>
        <w:t>西安汉唐分析检测有限公司接到有色金属行业计量技术委员会转发下达的制定任务后，成立了计量规范编制组，对计量技术规范编写工作进行了部署和分工，制定了制定原则及计划工作。本项目主要工作过程经过了以下几个阶段：</w:t>
      </w:r>
    </w:p>
    <w:p>
      <w:pPr>
        <w:spacing w:line="360" w:lineRule="auto"/>
        <w:ind w:firstLine="210" w:firstLineChars="100"/>
        <w:rPr>
          <w:bCs/>
        </w:rPr>
      </w:pPr>
      <w:r>
        <w:rPr>
          <w:rFonts w:hint="eastAsia"/>
          <w:bCs/>
        </w:rPr>
        <w:t>1）</w:t>
      </w:r>
      <w:r>
        <w:rPr>
          <w:bCs/>
        </w:rPr>
        <w:t>20</w:t>
      </w:r>
      <w:r>
        <w:rPr>
          <w:rFonts w:hint="eastAsia"/>
          <w:bCs/>
        </w:rPr>
        <w:t>22年8月成立了计量规范编制组，明确了编制组成员各自的工作内容和任务。</w:t>
      </w:r>
    </w:p>
    <w:p>
      <w:pPr>
        <w:spacing w:line="360" w:lineRule="auto"/>
        <w:ind w:firstLine="210" w:firstLineChars="100"/>
        <w:rPr>
          <w:bCs/>
        </w:rPr>
      </w:pPr>
      <w:r>
        <w:rPr>
          <w:rFonts w:hint="eastAsia"/>
          <w:bCs/>
        </w:rPr>
        <w:t xml:space="preserve">2） </w:t>
      </w:r>
      <w:r>
        <w:rPr>
          <w:bCs/>
        </w:rPr>
        <w:t>20</w:t>
      </w:r>
      <w:r>
        <w:rPr>
          <w:rFonts w:hint="eastAsia"/>
          <w:bCs/>
        </w:rPr>
        <w:t>22年9月～2023年4月计量规范编制组成员对有塑料容量瓶校准规范中的计量特性及校准方法进行了讨论，确定了校准项目和方法，在</w:t>
      </w:r>
      <w:r>
        <w:rPr>
          <w:bCs/>
        </w:rPr>
        <w:t>202</w:t>
      </w:r>
      <w:r>
        <w:rPr>
          <w:rFonts w:hint="eastAsia"/>
          <w:bCs/>
        </w:rPr>
        <w:t>3年4月形成了计量规范讨论稿。</w:t>
      </w:r>
    </w:p>
    <w:p>
      <w:pPr>
        <w:spacing w:line="360" w:lineRule="auto"/>
        <w:ind w:firstLine="210" w:firstLineChars="100"/>
      </w:pPr>
      <w:r>
        <w:rPr>
          <w:rFonts w:hint="eastAsia"/>
          <w:bCs/>
        </w:rPr>
        <w:t>3）2023年5月8日~10日，在陕西省西安市西安华山酒店召开有色金属计量技术规范研讨会，</w:t>
      </w:r>
      <w:r>
        <w:rPr>
          <w:rFonts w:hint="eastAsia"/>
          <w:szCs w:val="21"/>
        </w:rPr>
        <w:t>会上对《塑料容量瓶校准规范-讨论稿》等15项有色金属行业计量技术规范进行了讨论，会上有来自不同单位的计量委员会委员、专家、代表对《塑料容量瓶校准规范-讨论稿》提出了修改建议和意见，</w:t>
      </w:r>
      <w:r>
        <w:rPr>
          <w:rFonts w:hint="eastAsia"/>
        </w:rPr>
        <w:t>会上确定了项目负责起草单位、起草单位及一验、二验单位，明确了各项工作时间进度要求。修改形成征求意见稿。会议纪要见表1。</w:t>
      </w:r>
    </w:p>
    <w:p>
      <w:pPr>
        <w:spacing w:line="360" w:lineRule="auto"/>
        <w:ind w:firstLine="210" w:firstLineChars="100"/>
        <w:jc w:val="center"/>
      </w:pPr>
      <w:r>
        <w:rPr>
          <w:rFonts w:hint="eastAsia"/>
        </w:rPr>
        <w:t>表1有色金属计量技术规范研讨会会议纪要</w:t>
      </w:r>
    </w:p>
    <w:tbl>
      <w:tblPr>
        <w:tblStyle w:val="15"/>
        <w:tblW w:w="4886" w:type="pct"/>
        <w:tblInd w:w="-5" w:type="dxa"/>
        <w:tblLayout w:type="fixed"/>
        <w:tblCellMar>
          <w:top w:w="0" w:type="dxa"/>
          <w:left w:w="108" w:type="dxa"/>
          <w:bottom w:w="0" w:type="dxa"/>
          <w:right w:w="108" w:type="dxa"/>
        </w:tblCellMar>
      </w:tblPr>
      <w:tblGrid>
        <w:gridCol w:w="764"/>
        <w:gridCol w:w="1192"/>
        <w:gridCol w:w="3788"/>
        <w:gridCol w:w="1288"/>
        <w:gridCol w:w="1296"/>
      </w:tblGrid>
      <w:tr>
        <w:tblPrEx>
          <w:tblCellMar>
            <w:top w:w="0" w:type="dxa"/>
            <w:left w:w="108" w:type="dxa"/>
            <w:bottom w:w="0" w:type="dxa"/>
            <w:right w:w="108" w:type="dxa"/>
          </w:tblCellMar>
        </w:tblPrEx>
        <w:trPr>
          <w:trHeight w:val="24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序号</w:t>
            </w:r>
          </w:p>
        </w:tc>
        <w:tc>
          <w:tcPr>
            <w:tcW w:w="716" w:type="pct"/>
            <w:tcBorders>
              <w:top w:val="single" w:color="auto" w:sz="4" w:space="0"/>
              <w:left w:val="nil"/>
              <w:bottom w:val="single" w:color="auto" w:sz="4" w:space="0"/>
              <w:right w:val="single" w:color="auto" w:sz="4" w:space="0"/>
            </w:tcBorders>
            <w:shd w:val="clear" w:color="auto" w:fill="auto"/>
            <w:vAlign w:val="center"/>
          </w:tcPr>
          <w:p>
            <w:pPr>
              <w:widowControl/>
              <w:spacing w:line="260" w:lineRule="exact"/>
              <w:jc w:val="center"/>
              <w:rPr>
                <w:color w:val="000000"/>
                <w:kern w:val="0"/>
                <w:szCs w:val="21"/>
              </w:rPr>
            </w:pPr>
            <w:r>
              <w:rPr>
                <w:color w:val="000000"/>
                <w:kern w:val="0"/>
                <w:szCs w:val="21"/>
              </w:rPr>
              <w:t>标准章条</w:t>
            </w:r>
          </w:p>
          <w:p>
            <w:pPr>
              <w:widowControl/>
              <w:spacing w:line="260" w:lineRule="exact"/>
              <w:jc w:val="center"/>
              <w:rPr>
                <w:color w:val="000000"/>
                <w:kern w:val="0"/>
                <w:szCs w:val="21"/>
              </w:rPr>
            </w:pPr>
            <w:r>
              <w:rPr>
                <w:color w:val="000000"/>
                <w:kern w:val="0"/>
                <w:szCs w:val="21"/>
              </w:rPr>
              <w:t>编号</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意见内容</w:t>
            </w:r>
          </w:p>
        </w:tc>
        <w:tc>
          <w:tcPr>
            <w:tcW w:w="773"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提出单位及提出人</w:t>
            </w:r>
          </w:p>
          <w:p>
            <w:pPr>
              <w:widowControl/>
              <w:spacing w:line="260" w:lineRule="exact"/>
              <w:jc w:val="center"/>
              <w:rPr>
                <w:color w:val="000000"/>
                <w:kern w:val="0"/>
                <w:szCs w:val="21"/>
              </w:rPr>
            </w:pPr>
            <w:r>
              <w:rPr>
                <w:color w:val="000000"/>
                <w:kern w:val="0"/>
                <w:szCs w:val="21"/>
              </w:rPr>
              <w:t>（可简写）</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处理意见</w:t>
            </w:r>
          </w:p>
        </w:tc>
      </w:tr>
      <w:tr>
        <w:tblPrEx>
          <w:tblCellMar>
            <w:top w:w="0" w:type="dxa"/>
            <w:left w:w="108" w:type="dxa"/>
            <w:bottom w:w="0" w:type="dxa"/>
            <w:right w:w="108" w:type="dxa"/>
          </w:tblCellMar>
        </w:tblPrEx>
        <w:trPr>
          <w:trHeight w:val="923"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pStyle w:val="28"/>
              <w:widowControl/>
              <w:numPr>
                <w:ilvl w:val="0"/>
                <w:numId w:val="2"/>
              </w:numPr>
              <w:ind w:firstLineChars="0"/>
              <w:jc w:val="center"/>
              <w:rPr>
                <w:color w:val="000000"/>
                <w:kern w:val="0"/>
                <w:szCs w:val="21"/>
              </w:rPr>
            </w:pP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4.1</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删去计量特性中“密合性”，建议增加外观要求</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国家有色金属质量监督检验中心 樊志罡</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增加“通用技术要求”对外观等提出要求</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pStyle w:val="28"/>
              <w:widowControl/>
              <w:numPr>
                <w:ilvl w:val="0"/>
                <w:numId w:val="2"/>
              </w:numPr>
              <w:ind w:firstLineChars="0"/>
              <w:jc w:val="center"/>
              <w:rPr>
                <w:color w:val="000000"/>
                <w:kern w:val="0"/>
                <w:szCs w:val="21"/>
              </w:rPr>
            </w:pP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4.2</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计量特性中增加容量瓶具体容量误差</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东北轻合金有限责任公司 马金萍</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计量特性中增加容量允差</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pStyle w:val="28"/>
              <w:widowControl/>
              <w:numPr>
                <w:ilvl w:val="0"/>
                <w:numId w:val="2"/>
              </w:numPr>
              <w:ind w:firstLineChars="0"/>
              <w:jc w:val="center"/>
              <w:rPr>
                <w:color w:val="000000"/>
                <w:kern w:val="0"/>
                <w:szCs w:val="21"/>
              </w:rPr>
            </w:pP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6.1</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删除密合性校准方法，改至外观要求</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东北轻合金有限责任公司 马金萍</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增加“通用技术要求”对外观等提出要求</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pStyle w:val="28"/>
              <w:widowControl/>
              <w:numPr>
                <w:ilvl w:val="0"/>
                <w:numId w:val="2"/>
              </w:numPr>
              <w:ind w:firstLineChars="0"/>
              <w:jc w:val="center"/>
              <w:rPr>
                <w:color w:val="000000"/>
                <w:kern w:val="0"/>
                <w:szCs w:val="21"/>
              </w:rPr>
            </w:pP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6.2.4</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增加容量瓶容量误差计算公式</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国家有色金属质量监督检验中心 樊志罡</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增加容量误差计算公式：误差=</w:t>
            </w:r>
            <w:r>
              <w:rPr>
                <w:i/>
                <w:iCs/>
                <w:color w:val="000000"/>
                <w:kern w:val="0"/>
                <w:szCs w:val="21"/>
              </w:rPr>
              <w:t>V</w:t>
            </w:r>
            <w:r>
              <w:rPr>
                <w:color w:val="000000"/>
                <w:kern w:val="0"/>
                <w:szCs w:val="21"/>
              </w:rPr>
              <w:t>-</w:t>
            </w:r>
            <w:r>
              <w:rPr>
                <w:i/>
                <w:iCs/>
                <w:color w:val="000000"/>
                <w:kern w:val="0"/>
                <w:szCs w:val="21"/>
              </w:rPr>
              <w:t>V</w:t>
            </w:r>
            <w:r>
              <w:rPr>
                <w:color w:val="000000"/>
                <w:kern w:val="0"/>
                <w:szCs w:val="21"/>
                <w:vertAlign w:val="subscript"/>
              </w:rPr>
              <w:t>20</w:t>
            </w:r>
          </w:p>
        </w:tc>
      </w:tr>
    </w:tbl>
    <w:p>
      <w:pPr>
        <w:spacing w:line="360" w:lineRule="auto"/>
        <w:ind w:firstLine="210" w:firstLineChars="100"/>
        <w:rPr>
          <w:rFonts w:hint="eastAsia"/>
          <w:szCs w:val="21"/>
        </w:rPr>
      </w:pPr>
      <w:r>
        <w:rPr>
          <w:rFonts w:hint="eastAsia"/>
          <w:szCs w:val="21"/>
        </w:rPr>
        <w:t>4）2023年9月，针对征求意见稿收集到的意见和建议，编制组开会讨论，对征求意见稿进行了修改，形成了预审稿。征求意见汇总处理表见表2。</w:t>
      </w:r>
    </w:p>
    <w:p>
      <w:pPr>
        <w:widowControl/>
        <w:spacing w:line="360" w:lineRule="auto"/>
        <w:ind w:firstLine="210" w:firstLineChars="100"/>
        <w:jc w:val="center"/>
        <w:rPr>
          <w:szCs w:val="21"/>
        </w:rPr>
      </w:pPr>
      <w:r>
        <w:rPr>
          <w:rFonts w:hint="eastAsia"/>
          <w:szCs w:val="21"/>
        </w:rPr>
        <w:t>表2 征求意见汇总处理表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2552"/>
        <w:gridCol w:w="1276"/>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7" w:type="dxa"/>
            <w:vAlign w:val="center"/>
          </w:tcPr>
          <w:p>
            <w:pPr>
              <w:adjustRightInd w:val="0"/>
              <w:snapToGrid w:val="0"/>
              <w:spacing w:line="360" w:lineRule="auto"/>
              <w:jc w:val="center"/>
              <w:rPr>
                <w:color w:val="000000"/>
                <w:kern w:val="0"/>
                <w:szCs w:val="21"/>
              </w:rPr>
            </w:pPr>
            <w:r>
              <w:rPr>
                <w:rFonts w:hint="eastAsia"/>
                <w:color w:val="000000"/>
                <w:kern w:val="0"/>
                <w:szCs w:val="21"/>
              </w:rPr>
              <w:t>序号</w:t>
            </w:r>
          </w:p>
        </w:tc>
        <w:tc>
          <w:tcPr>
            <w:tcW w:w="1559" w:type="dxa"/>
            <w:vAlign w:val="center"/>
          </w:tcPr>
          <w:p>
            <w:pPr>
              <w:jc w:val="center"/>
              <w:rPr>
                <w:color w:val="000000"/>
                <w:kern w:val="0"/>
                <w:szCs w:val="21"/>
              </w:rPr>
            </w:pPr>
            <w:r>
              <w:rPr>
                <w:rFonts w:hint="eastAsia"/>
                <w:color w:val="000000"/>
                <w:kern w:val="0"/>
                <w:szCs w:val="21"/>
              </w:rPr>
              <w:t>技术规范</w:t>
            </w:r>
          </w:p>
          <w:p>
            <w:pPr>
              <w:jc w:val="center"/>
              <w:rPr>
                <w:color w:val="000000"/>
                <w:kern w:val="0"/>
                <w:szCs w:val="21"/>
              </w:rPr>
            </w:pPr>
            <w:r>
              <w:rPr>
                <w:rFonts w:hint="eastAsia"/>
                <w:color w:val="000000"/>
                <w:kern w:val="0"/>
                <w:szCs w:val="21"/>
              </w:rPr>
              <w:t>章条编号</w:t>
            </w:r>
          </w:p>
        </w:tc>
        <w:tc>
          <w:tcPr>
            <w:tcW w:w="2552" w:type="dxa"/>
            <w:vAlign w:val="center"/>
          </w:tcPr>
          <w:p>
            <w:pPr>
              <w:adjustRightInd w:val="0"/>
              <w:snapToGrid w:val="0"/>
              <w:spacing w:line="360" w:lineRule="auto"/>
              <w:jc w:val="center"/>
              <w:rPr>
                <w:color w:val="000000"/>
                <w:kern w:val="0"/>
                <w:szCs w:val="21"/>
              </w:rPr>
            </w:pPr>
            <w:r>
              <w:rPr>
                <w:rFonts w:hint="eastAsia"/>
                <w:color w:val="000000"/>
                <w:kern w:val="0"/>
                <w:szCs w:val="21"/>
              </w:rPr>
              <w:t>意见内容</w:t>
            </w:r>
          </w:p>
        </w:tc>
        <w:tc>
          <w:tcPr>
            <w:tcW w:w="1276" w:type="dxa"/>
            <w:vAlign w:val="center"/>
          </w:tcPr>
          <w:p>
            <w:pPr>
              <w:adjustRightInd w:val="0"/>
              <w:snapToGrid w:val="0"/>
              <w:spacing w:line="360" w:lineRule="auto"/>
              <w:jc w:val="center"/>
              <w:rPr>
                <w:color w:val="000000"/>
                <w:kern w:val="0"/>
                <w:szCs w:val="21"/>
              </w:rPr>
            </w:pPr>
            <w:r>
              <w:rPr>
                <w:rFonts w:hint="eastAsia"/>
                <w:color w:val="000000"/>
                <w:kern w:val="0"/>
                <w:szCs w:val="21"/>
              </w:rPr>
              <w:t>提出单位</w:t>
            </w:r>
          </w:p>
        </w:tc>
        <w:tc>
          <w:tcPr>
            <w:tcW w:w="2318" w:type="dxa"/>
            <w:vAlign w:val="center"/>
          </w:tcPr>
          <w:p>
            <w:pPr>
              <w:adjustRightInd w:val="0"/>
              <w:snapToGrid w:val="0"/>
              <w:spacing w:line="360" w:lineRule="auto"/>
              <w:jc w:val="center"/>
              <w:rPr>
                <w:color w:val="000000"/>
                <w:kern w:val="0"/>
                <w:szCs w:val="21"/>
              </w:rPr>
            </w:pPr>
            <w:r>
              <w:rPr>
                <w:rFonts w:hint="eastAsia"/>
                <w:color w:val="000000"/>
                <w:kern w:val="0"/>
                <w:szCs w:val="21"/>
              </w:rPr>
              <w:t>处理意见及理由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817" w:type="dxa"/>
            <w:vAlign w:val="center"/>
          </w:tcPr>
          <w:p>
            <w:pPr>
              <w:adjustRightInd w:val="0"/>
              <w:snapToGrid w:val="0"/>
              <w:spacing w:line="360" w:lineRule="auto"/>
              <w:jc w:val="center"/>
              <w:rPr>
                <w:color w:val="000000"/>
                <w:kern w:val="0"/>
                <w:szCs w:val="21"/>
              </w:rPr>
            </w:pPr>
            <w:r>
              <w:rPr>
                <w:rFonts w:hint="eastAsia"/>
                <w:color w:val="000000"/>
                <w:kern w:val="0"/>
                <w:szCs w:val="21"/>
              </w:rPr>
              <w:t>1</w:t>
            </w:r>
          </w:p>
        </w:tc>
        <w:tc>
          <w:tcPr>
            <w:tcW w:w="1559" w:type="dxa"/>
            <w:vAlign w:val="center"/>
          </w:tcPr>
          <w:p>
            <w:pPr>
              <w:spacing w:line="280" w:lineRule="exact"/>
              <w:jc w:val="center"/>
              <w:rPr>
                <w:rFonts w:hint="eastAsia"/>
                <w:szCs w:val="21"/>
              </w:rPr>
            </w:pPr>
            <w:r>
              <w:rPr>
                <w:rFonts w:hint="eastAsia"/>
                <w:szCs w:val="21"/>
              </w:rPr>
              <w:t>7.1.4</w:t>
            </w:r>
          </w:p>
        </w:tc>
        <w:tc>
          <w:tcPr>
            <w:tcW w:w="2552" w:type="dxa"/>
            <w:vAlign w:val="center"/>
          </w:tcPr>
          <w:p>
            <w:pPr>
              <w:adjustRightInd w:val="0"/>
              <w:snapToGrid w:val="0"/>
              <w:spacing w:line="280" w:lineRule="exact"/>
              <w:jc w:val="center"/>
              <w:rPr>
                <w:rFonts w:hint="eastAsia"/>
                <w:szCs w:val="21"/>
              </w:rPr>
            </w:pPr>
            <w:r>
              <w:rPr>
                <w:rFonts w:hint="eastAsia"/>
                <w:szCs w:val="21"/>
              </w:rPr>
              <w:t>与JJG 196保持一致，用“容量偏差”或“容量示值”。</w:t>
            </w:r>
          </w:p>
        </w:tc>
        <w:tc>
          <w:tcPr>
            <w:tcW w:w="1276" w:type="dxa"/>
            <w:vAlign w:val="center"/>
          </w:tcPr>
          <w:p>
            <w:pPr>
              <w:adjustRightInd w:val="0"/>
              <w:snapToGrid w:val="0"/>
              <w:spacing w:line="280" w:lineRule="exact"/>
              <w:jc w:val="center"/>
              <w:rPr>
                <w:rFonts w:hint="eastAsia"/>
                <w:szCs w:val="21"/>
              </w:rPr>
            </w:pPr>
            <w:r>
              <w:rPr>
                <w:rFonts w:hint="eastAsia"/>
                <w:szCs w:val="21"/>
              </w:rPr>
              <w:t>广东省阳江市质量计量监督检测所</w:t>
            </w:r>
          </w:p>
        </w:tc>
        <w:tc>
          <w:tcPr>
            <w:tcW w:w="2318" w:type="dxa"/>
            <w:vAlign w:val="center"/>
          </w:tcPr>
          <w:p>
            <w:pPr>
              <w:adjustRightInd w:val="0"/>
              <w:snapToGrid w:val="0"/>
              <w:spacing w:line="280" w:lineRule="exact"/>
              <w:jc w:val="center"/>
              <w:rPr>
                <w:rFonts w:hint="eastAsia"/>
                <w:szCs w:val="21"/>
              </w:rPr>
            </w:pPr>
            <w:r>
              <w:rPr>
                <w:rFonts w:hint="eastAsia"/>
                <w:szCs w:val="21"/>
              </w:rPr>
              <w:t>不采纳；描述测量结果的术语为“测量误差：测得的量值减去参考量值”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trPr>
        <w:tc>
          <w:tcPr>
            <w:tcW w:w="817" w:type="dxa"/>
            <w:vAlign w:val="center"/>
          </w:tcPr>
          <w:p>
            <w:pPr>
              <w:adjustRightInd w:val="0"/>
              <w:snapToGrid w:val="0"/>
              <w:spacing w:line="360" w:lineRule="auto"/>
              <w:jc w:val="center"/>
              <w:rPr>
                <w:color w:val="000000"/>
                <w:kern w:val="0"/>
                <w:szCs w:val="21"/>
              </w:rPr>
            </w:pPr>
            <w:r>
              <w:rPr>
                <w:rFonts w:hint="eastAsia"/>
                <w:color w:val="000000"/>
                <w:kern w:val="0"/>
                <w:szCs w:val="21"/>
              </w:rPr>
              <w:t>2</w:t>
            </w:r>
          </w:p>
        </w:tc>
        <w:tc>
          <w:tcPr>
            <w:tcW w:w="1559" w:type="dxa"/>
            <w:vAlign w:val="center"/>
          </w:tcPr>
          <w:p>
            <w:pPr>
              <w:spacing w:line="280" w:lineRule="exact"/>
              <w:jc w:val="center"/>
              <w:rPr>
                <w:rFonts w:eastAsia="仿宋"/>
                <w:kern w:val="0"/>
                <w:szCs w:val="21"/>
              </w:rPr>
            </w:pPr>
            <w:r>
              <w:rPr>
                <w:rFonts w:hint="eastAsia" w:eastAsia="仿宋"/>
                <w:kern w:val="0"/>
                <w:szCs w:val="21"/>
              </w:rPr>
              <w:t>6.2</w:t>
            </w:r>
          </w:p>
        </w:tc>
        <w:tc>
          <w:tcPr>
            <w:tcW w:w="2552" w:type="dxa"/>
            <w:vAlign w:val="center"/>
          </w:tcPr>
          <w:p>
            <w:pPr>
              <w:adjustRightInd w:val="0"/>
              <w:snapToGrid w:val="0"/>
              <w:spacing w:line="280" w:lineRule="exact"/>
              <w:jc w:val="center"/>
              <w:rPr>
                <w:szCs w:val="21"/>
              </w:rPr>
            </w:pPr>
            <w:r>
              <w:rPr>
                <w:rFonts w:hint="eastAsia"/>
                <w:szCs w:val="21"/>
              </w:rPr>
              <w:t>将“测量标准</w:t>
            </w:r>
          </w:p>
          <w:p>
            <w:pPr>
              <w:adjustRightInd w:val="0"/>
              <w:snapToGrid w:val="0"/>
              <w:spacing w:line="280" w:lineRule="exact"/>
              <w:jc w:val="center"/>
              <w:rPr>
                <w:rFonts w:hint="eastAsia"/>
                <w:szCs w:val="21"/>
              </w:rPr>
            </w:pPr>
            <w:r>
              <w:rPr>
                <w:rFonts w:hint="eastAsia"/>
                <w:szCs w:val="21"/>
              </w:rPr>
              <w:t>”修改为“校准设备”</w:t>
            </w:r>
          </w:p>
        </w:tc>
        <w:tc>
          <w:tcPr>
            <w:tcW w:w="1276" w:type="dxa"/>
            <w:vAlign w:val="center"/>
          </w:tcPr>
          <w:p>
            <w:pPr>
              <w:adjustRightInd w:val="0"/>
              <w:snapToGrid w:val="0"/>
              <w:spacing w:line="280" w:lineRule="exact"/>
              <w:jc w:val="center"/>
              <w:rPr>
                <w:rFonts w:hint="eastAsia"/>
                <w:szCs w:val="21"/>
              </w:rPr>
            </w:pPr>
            <w:r>
              <w:rPr>
                <w:rFonts w:hint="eastAsia"/>
                <w:szCs w:val="21"/>
              </w:rPr>
              <w:t>新疆湘润新材料科技有限公司</w:t>
            </w:r>
          </w:p>
        </w:tc>
        <w:tc>
          <w:tcPr>
            <w:tcW w:w="2318" w:type="dxa"/>
            <w:vAlign w:val="center"/>
          </w:tcPr>
          <w:p>
            <w:pPr>
              <w:adjustRightInd w:val="0"/>
              <w:snapToGrid w:val="0"/>
              <w:spacing w:line="280" w:lineRule="exact"/>
              <w:jc w:val="center"/>
              <w:rPr>
                <w:rFonts w:hint="eastAsia"/>
                <w:szCs w:val="21"/>
              </w:rPr>
            </w:pPr>
            <w:r>
              <w:rPr>
                <w:rFonts w:hint="eastAsia"/>
                <w:szCs w:val="21"/>
              </w:rPr>
              <w:t>不采纳；参考</w:t>
            </w:r>
            <w:r>
              <w:rPr>
                <w:szCs w:val="21"/>
              </w:rPr>
              <w:t>JJF 1071-2010</w:t>
            </w:r>
            <w:r>
              <w:rPr>
                <w:rFonts w:hint="eastAsia"/>
                <w:szCs w:val="21"/>
              </w:rPr>
              <w:t>《国家计量校准规范编写规则》中术语表述为“测量标准”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7" w:type="dxa"/>
            <w:vAlign w:val="center"/>
          </w:tcPr>
          <w:p>
            <w:pPr>
              <w:adjustRightInd w:val="0"/>
              <w:snapToGrid w:val="0"/>
              <w:spacing w:line="360" w:lineRule="auto"/>
              <w:jc w:val="center"/>
              <w:rPr>
                <w:color w:val="000000"/>
                <w:kern w:val="0"/>
                <w:szCs w:val="21"/>
              </w:rPr>
            </w:pPr>
            <w:r>
              <w:rPr>
                <w:rFonts w:hint="eastAsia"/>
                <w:color w:val="000000"/>
                <w:kern w:val="0"/>
                <w:szCs w:val="21"/>
              </w:rPr>
              <w:t>3</w:t>
            </w:r>
          </w:p>
        </w:tc>
        <w:tc>
          <w:tcPr>
            <w:tcW w:w="1559" w:type="dxa"/>
            <w:vAlign w:val="center"/>
          </w:tcPr>
          <w:p>
            <w:pPr>
              <w:spacing w:line="280" w:lineRule="exact"/>
              <w:jc w:val="center"/>
              <w:rPr>
                <w:rFonts w:hint="eastAsia" w:eastAsia="仿宋"/>
                <w:kern w:val="0"/>
                <w:szCs w:val="21"/>
              </w:rPr>
            </w:pPr>
            <w:r>
              <w:rPr>
                <w:rFonts w:hint="eastAsia" w:eastAsia="仿宋"/>
                <w:kern w:val="0"/>
                <w:szCs w:val="21"/>
              </w:rPr>
              <w:t>6.2</w:t>
            </w:r>
          </w:p>
        </w:tc>
        <w:tc>
          <w:tcPr>
            <w:tcW w:w="2552" w:type="dxa"/>
            <w:vAlign w:val="center"/>
          </w:tcPr>
          <w:p>
            <w:pPr>
              <w:adjustRightInd w:val="0"/>
              <w:snapToGrid w:val="0"/>
              <w:spacing w:line="280" w:lineRule="exact"/>
              <w:jc w:val="center"/>
              <w:rPr>
                <w:rFonts w:hint="eastAsia"/>
                <w:szCs w:val="21"/>
              </w:rPr>
            </w:pPr>
            <w:r>
              <w:rPr>
                <w:rFonts w:hint="eastAsia"/>
                <w:szCs w:val="21"/>
              </w:rPr>
              <w:t>将表4 “校准设备一览表”修改为“测量标准”</w:t>
            </w:r>
          </w:p>
        </w:tc>
        <w:tc>
          <w:tcPr>
            <w:tcW w:w="1276" w:type="dxa"/>
            <w:vAlign w:val="center"/>
          </w:tcPr>
          <w:p>
            <w:pPr>
              <w:adjustRightInd w:val="0"/>
              <w:snapToGrid w:val="0"/>
              <w:spacing w:line="280" w:lineRule="exact"/>
              <w:jc w:val="center"/>
              <w:rPr>
                <w:rFonts w:hint="eastAsia"/>
                <w:szCs w:val="21"/>
              </w:rPr>
            </w:pPr>
            <w:r>
              <w:rPr>
                <w:rFonts w:hint="eastAsia"/>
                <w:szCs w:val="21"/>
              </w:rPr>
              <w:t>西南铝业（集团）有限公司</w:t>
            </w:r>
          </w:p>
        </w:tc>
        <w:tc>
          <w:tcPr>
            <w:tcW w:w="2318" w:type="dxa"/>
            <w:vAlign w:val="center"/>
          </w:tcPr>
          <w:p>
            <w:pPr>
              <w:adjustRightInd w:val="0"/>
              <w:snapToGrid w:val="0"/>
              <w:spacing w:line="280" w:lineRule="exact"/>
              <w:jc w:val="center"/>
              <w:rPr>
                <w:rFonts w:hint="eastAsia"/>
                <w:szCs w:val="21"/>
              </w:rPr>
            </w:pPr>
            <w:r>
              <w:rPr>
                <w:rFonts w:hint="eastAsia"/>
                <w:szCs w:val="21"/>
              </w:rPr>
              <w:t>采纳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7" w:type="dxa"/>
            <w:vAlign w:val="center"/>
          </w:tcPr>
          <w:p>
            <w:pPr>
              <w:adjustRightInd w:val="0"/>
              <w:snapToGrid w:val="0"/>
              <w:spacing w:line="360" w:lineRule="auto"/>
              <w:jc w:val="center"/>
              <w:rPr>
                <w:rFonts w:hint="eastAsia"/>
                <w:color w:val="000000"/>
                <w:kern w:val="0"/>
                <w:szCs w:val="21"/>
              </w:rPr>
            </w:pPr>
            <w:r>
              <w:rPr>
                <w:rFonts w:hint="eastAsia"/>
                <w:color w:val="000000"/>
                <w:kern w:val="0"/>
                <w:szCs w:val="21"/>
              </w:rPr>
              <w:t>4</w:t>
            </w:r>
          </w:p>
        </w:tc>
        <w:tc>
          <w:tcPr>
            <w:tcW w:w="1559" w:type="dxa"/>
            <w:vAlign w:val="center"/>
          </w:tcPr>
          <w:p>
            <w:pPr>
              <w:spacing w:line="280" w:lineRule="exact"/>
              <w:jc w:val="center"/>
              <w:rPr>
                <w:rFonts w:hint="eastAsia" w:eastAsia="仿宋"/>
                <w:kern w:val="0"/>
                <w:szCs w:val="21"/>
              </w:rPr>
            </w:pPr>
            <w:r>
              <w:rPr>
                <w:rFonts w:hint="eastAsia" w:eastAsia="仿宋"/>
                <w:kern w:val="0"/>
                <w:szCs w:val="21"/>
              </w:rPr>
              <w:t>4</w:t>
            </w:r>
          </w:p>
        </w:tc>
        <w:tc>
          <w:tcPr>
            <w:tcW w:w="2552" w:type="dxa"/>
            <w:vAlign w:val="center"/>
          </w:tcPr>
          <w:p>
            <w:pPr>
              <w:adjustRightInd w:val="0"/>
              <w:snapToGrid w:val="0"/>
              <w:spacing w:line="280" w:lineRule="exact"/>
              <w:jc w:val="center"/>
              <w:rPr>
                <w:rFonts w:hint="eastAsia"/>
                <w:szCs w:val="21"/>
              </w:rPr>
            </w:pPr>
            <w:r>
              <w:rPr>
                <w:rFonts w:hint="eastAsia"/>
                <w:szCs w:val="21"/>
              </w:rPr>
              <w:t>建议将该条中4.1所有内容移到“6 校准条件”中</w:t>
            </w:r>
          </w:p>
          <w:p>
            <w:pPr>
              <w:adjustRightInd w:val="0"/>
              <w:snapToGrid w:val="0"/>
              <w:spacing w:line="280" w:lineRule="exact"/>
              <w:jc w:val="center"/>
              <w:rPr>
                <w:rFonts w:hint="eastAsia"/>
                <w:szCs w:val="21"/>
              </w:rPr>
            </w:pPr>
            <w:r>
              <w:rPr>
                <w:rFonts w:hint="eastAsia"/>
                <w:szCs w:val="21"/>
              </w:rPr>
              <w:t>4.2 密合性 作为校准项目</w:t>
            </w:r>
          </w:p>
        </w:tc>
        <w:tc>
          <w:tcPr>
            <w:tcW w:w="1276" w:type="dxa"/>
            <w:vAlign w:val="center"/>
          </w:tcPr>
          <w:p>
            <w:pPr>
              <w:adjustRightInd w:val="0"/>
              <w:snapToGrid w:val="0"/>
              <w:spacing w:line="280" w:lineRule="exact"/>
              <w:jc w:val="center"/>
              <w:rPr>
                <w:rFonts w:hint="eastAsia"/>
                <w:szCs w:val="21"/>
              </w:rPr>
            </w:pPr>
            <w:r>
              <w:rPr>
                <w:rFonts w:hint="eastAsia"/>
                <w:szCs w:val="21"/>
              </w:rPr>
              <w:t>西南铝业（集团）有限公司</w:t>
            </w:r>
          </w:p>
        </w:tc>
        <w:tc>
          <w:tcPr>
            <w:tcW w:w="2318" w:type="dxa"/>
            <w:vAlign w:val="center"/>
          </w:tcPr>
          <w:p>
            <w:pPr>
              <w:adjustRightInd w:val="0"/>
              <w:snapToGrid w:val="0"/>
              <w:spacing w:line="280" w:lineRule="exact"/>
              <w:rPr>
                <w:rFonts w:hint="eastAsia"/>
                <w:szCs w:val="21"/>
              </w:rPr>
            </w:pPr>
            <w:r>
              <w:rPr>
                <w:rFonts w:hint="eastAsia"/>
                <w:szCs w:val="21"/>
              </w:rPr>
              <w:t>不采纳；上次标准讨论会建议将密合性从计量特性中删除，添加到“外观要求”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17" w:type="dxa"/>
            <w:vAlign w:val="center"/>
          </w:tcPr>
          <w:p>
            <w:pPr>
              <w:adjustRightInd w:val="0"/>
              <w:snapToGrid w:val="0"/>
              <w:spacing w:line="360" w:lineRule="auto"/>
              <w:jc w:val="center"/>
              <w:rPr>
                <w:rFonts w:hint="eastAsia"/>
                <w:color w:val="000000"/>
                <w:kern w:val="0"/>
                <w:szCs w:val="21"/>
              </w:rPr>
            </w:pPr>
            <w:r>
              <w:rPr>
                <w:rFonts w:hint="eastAsia"/>
                <w:color w:val="000000"/>
                <w:kern w:val="0"/>
                <w:szCs w:val="21"/>
              </w:rPr>
              <w:t>5</w:t>
            </w:r>
          </w:p>
        </w:tc>
        <w:tc>
          <w:tcPr>
            <w:tcW w:w="1559" w:type="dxa"/>
            <w:vAlign w:val="center"/>
          </w:tcPr>
          <w:p>
            <w:pPr>
              <w:spacing w:line="280" w:lineRule="exact"/>
              <w:jc w:val="center"/>
              <w:rPr>
                <w:rFonts w:hint="eastAsia"/>
                <w:szCs w:val="21"/>
              </w:rPr>
            </w:pPr>
            <w:r>
              <w:rPr>
                <w:rFonts w:hint="eastAsia"/>
                <w:szCs w:val="21"/>
              </w:rPr>
              <w:t>7</w:t>
            </w:r>
          </w:p>
        </w:tc>
        <w:tc>
          <w:tcPr>
            <w:tcW w:w="2552" w:type="dxa"/>
            <w:vAlign w:val="center"/>
          </w:tcPr>
          <w:p>
            <w:pPr>
              <w:spacing w:line="280" w:lineRule="exact"/>
              <w:rPr>
                <w:szCs w:val="21"/>
              </w:rPr>
            </w:pPr>
            <w:r>
              <w:rPr>
                <w:rFonts w:hint="eastAsia"/>
                <w:szCs w:val="21"/>
              </w:rPr>
              <w:t>建议将：校准用纯水应提前24小时放入实验室，使其温度与室温温差不得大于2℃，校准前需将容量瓶洗净并干燥，且提前4小时放入实验室内。</w:t>
            </w:r>
          </w:p>
          <w:p>
            <w:pPr>
              <w:adjustRightInd w:val="0"/>
              <w:snapToGrid w:val="0"/>
              <w:spacing w:line="280" w:lineRule="exact"/>
              <w:jc w:val="center"/>
              <w:rPr>
                <w:rFonts w:hint="eastAsia"/>
                <w:szCs w:val="21"/>
              </w:rPr>
            </w:pPr>
            <w:r>
              <w:rPr>
                <w:rFonts w:hint="eastAsia"/>
                <w:szCs w:val="21"/>
              </w:rPr>
              <w:t>移到：7 校准方法中，作为准备工作</w:t>
            </w:r>
          </w:p>
        </w:tc>
        <w:tc>
          <w:tcPr>
            <w:tcW w:w="1276" w:type="dxa"/>
            <w:vAlign w:val="center"/>
          </w:tcPr>
          <w:p>
            <w:pPr>
              <w:adjustRightInd w:val="0"/>
              <w:snapToGrid w:val="0"/>
              <w:spacing w:line="280" w:lineRule="exact"/>
              <w:jc w:val="center"/>
              <w:rPr>
                <w:rFonts w:hint="eastAsia"/>
                <w:szCs w:val="21"/>
              </w:rPr>
            </w:pPr>
            <w:r>
              <w:rPr>
                <w:rFonts w:hint="eastAsia"/>
                <w:szCs w:val="21"/>
              </w:rPr>
              <w:t>西南铝业（集团）有限公司</w:t>
            </w:r>
          </w:p>
        </w:tc>
        <w:tc>
          <w:tcPr>
            <w:tcW w:w="2318" w:type="dxa"/>
            <w:vAlign w:val="center"/>
          </w:tcPr>
          <w:p>
            <w:pPr>
              <w:adjustRightInd w:val="0"/>
              <w:snapToGrid w:val="0"/>
              <w:spacing w:line="280" w:lineRule="exact"/>
              <w:jc w:val="center"/>
              <w:rPr>
                <w:rFonts w:hint="eastAsia"/>
                <w:szCs w:val="21"/>
              </w:rPr>
            </w:pPr>
            <w:r>
              <w:rPr>
                <w:rFonts w:hint="eastAsia"/>
                <w:szCs w:val="21"/>
              </w:rPr>
              <w:t>采纳</w:t>
            </w:r>
          </w:p>
        </w:tc>
      </w:tr>
    </w:tbl>
    <w:p>
      <w:pPr>
        <w:spacing w:line="360" w:lineRule="auto"/>
        <w:ind w:firstLine="210" w:firstLineChars="100"/>
        <w:jc w:val="left"/>
        <w:rPr>
          <w:rFonts w:hint="eastAsia"/>
          <w:szCs w:val="21"/>
        </w:rPr>
      </w:pPr>
      <w:r>
        <w:rPr>
          <w:rFonts w:hint="eastAsia"/>
          <w:szCs w:val="21"/>
        </w:rPr>
        <w:t>5）2024年1月10日，在黑龙江省</w:t>
      </w:r>
      <w:r>
        <w:rPr>
          <w:rFonts w:cs="宋体"/>
          <w:color w:val="000000"/>
          <w:kern w:val="0"/>
          <w:sz w:val="24"/>
        </w:rPr>
        <w:t>哈尔滨金谷大厦</w:t>
      </w:r>
      <w:r>
        <w:rPr>
          <w:rFonts w:hint="eastAsia"/>
          <w:bCs/>
        </w:rPr>
        <w:t>召开有色金属计量技术规范研讨会，</w:t>
      </w:r>
      <w:r>
        <w:rPr>
          <w:rFonts w:hint="eastAsia"/>
          <w:szCs w:val="21"/>
        </w:rPr>
        <w:t>会上对《塑料容量瓶校准规范-讨论稿》等15项有色金属行业计量技术规范进行了讨论，会上有来自不同单位的计量委员会委员、专家、代表对《塑料容量瓶校准规范-讨论稿》提出了修改建议和意见。会议纪要见表3。</w:t>
      </w:r>
    </w:p>
    <w:p>
      <w:pPr>
        <w:spacing w:line="360" w:lineRule="auto"/>
        <w:ind w:firstLine="210" w:firstLineChars="100"/>
        <w:jc w:val="center"/>
      </w:pPr>
      <w:r>
        <w:rPr>
          <w:rFonts w:hint="eastAsia"/>
        </w:rPr>
        <w:t>表3有色金属计量技术规范研讨会会议纪要</w:t>
      </w:r>
    </w:p>
    <w:tbl>
      <w:tblPr>
        <w:tblStyle w:val="15"/>
        <w:tblW w:w="4886" w:type="pct"/>
        <w:tblInd w:w="-5" w:type="dxa"/>
        <w:tblLayout w:type="fixed"/>
        <w:tblCellMar>
          <w:top w:w="0" w:type="dxa"/>
          <w:left w:w="108" w:type="dxa"/>
          <w:bottom w:w="0" w:type="dxa"/>
          <w:right w:w="108" w:type="dxa"/>
        </w:tblCellMar>
      </w:tblPr>
      <w:tblGrid>
        <w:gridCol w:w="764"/>
        <w:gridCol w:w="1192"/>
        <w:gridCol w:w="3788"/>
        <w:gridCol w:w="1288"/>
        <w:gridCol w:w="1296"/>
      </w:tblGrid>
      <w:tr>
        <w:tblPrEx>
          <w:tblCellMar>
            <w:top w:w="0" w:type="dxa"/>
            <w:left w:w="108" w:type="dxa"/>
            <w:bottom w:w="0" w:type="dxa"/>
            <w:right w:w="108" w:type="dxa"/>
          </w:tblCellMar>
        </w:tblPrEx>
        <w:trPr>
          <w:trHeight w:val="24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序号</w:t>
            </w:r>
          </w:p>
        </w:tc>
        <w:tc>
          <w:tcPr>
            <w:tcW w:w="716" w:type="pct"/>
            <w:tcBorders>
              <w:top w:val="single" w:color="auto" w:sz="4" w:space="0"/>
              <w:left w:val="nil"/>
              <w:bottom w:val="single" w:color="auto" w:sz="4" w:space="0"/>
              <w:right w:val="single" w:color="auto" w:sz="4" w:space="0"/>
            </w:tcBorders>
            <w:shd w:val="clear" w:color="auto" w:fill="auto"/>
            <w:vAlign w:val="center"/>
          </w:tcPr>
          <w:p>
            <w:pPr>
              <w:widowControl/>
              <w:spacing w:line="260" w:lineRule="exact"/>
              <w:jc w:val="center"/>
              <w:rPr>
                <w:color w:val="000000"/>
                <w:kern w:val="0"/>
                <w:szCs w:val="21"/>
              </w:rPr>
            </w:pPr>
            <w:r>
              <w:rPr>
                <w:color w:val="000000"/>
                <w:kern w:val="0"/>
                <w:szCs w:val="21"/>
              </w:rPr>
              <w:t>标准章条</w:t>
            </w:r>
          </w:p>
          <w:p>
            <w:pPr>
              <w:widowControl/>
              <w:spacing w:line="260" w:lineRule="exact"/>
              <w:jc w:val="center"/>
              <w:rPr>
                <w:color w:val="000000"/>
                <w:kern w:val="0"/>
                <w:szCs w:val="21"/>
              </w:rPr>
            </w:pPr>
            <w:r>
              <w:rPr>
                <w:color w:val="000000"/>
                <w:kern w:val="0"/>
                <w:szCs w:val="21"/>
              </w:rPr>
              <w:t>编号</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意见内容</w:t>
            </w:r>
          </w:p>
        </w:tc>
        <w:tc>
          <w:tcPr>
            <w:tcW w:w="773"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提出单位及提出人</w:t>
            </w:r>
          </w:p>
          <w:p>
            <w:pPr>
              <w:widowControl/>
              <w:spacing w:line="260" w:lineRule="exact"/>
              <w:jc w:val="center"/>
              <w:rPr>
                <w:color w:val="000000"/>
                <w:kern w:val="0"/>
                <w:szCs w:val="21"/>
              </w:rPr>
            </w:pPr>
            <w:r>
              <w:rPr>
                <w:color w:val="000000"/>
                <w:kern w:val="0"/>
                <w:szCs w:val="21"/>
              </w:rPr>
              <w:t>（可简写）</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处理意见</w:t>
            </w:r>
          </w:p>
        </w:tc>
      </w:tr>
      <w:tr>
        <w:tblPrEx>
          <w:tblCellMar>
            <w:top w:w="0" w:type="dxa"/>
            <w:left w:w="108" w:type="dxa"/>
            <w:bottom w:w="0" w:type="dxa"/>
            <w:right w:w="108" w:type="dxa"/>
          </w:tblCellMar>
        </w:tblPrEx>
        <w:trPr>
          <w:trHeight w:val="923"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pPr>
            <w:r>
              <w:rPr>
                <w:rFonts w:hint="eastAsia"/>
              </w:rPr>
              <w:t>1</w:t>
            </w: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6.2</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表4 测量标准的测量范围改为具体范围</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 xml:space="preserve">国家有色金属质量监督检验中心 </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将天平的测量范围改为（0~220）g…..</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pPr>
            <w:r>
              <w:rPr>
                <w:rFonts w:hint="eastAsia"/>
              </w:rPr>
              <w:t>2</w:t>
            </w: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6.2</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表4 测量标准中温度计增加精度要求</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 xml:space="preserve">东北轻合金有限责任公司 </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增加温度计最大允许误差</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pPr>
            <w:r>
              <w:rPr>
                <w:rFonts w:hint="eastAsia"/>
              </w:rPr>
              <w:t>3</w:t>
            </w: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5.1</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不同品牌的塑料容量瓶容量允许误差移至附录</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 xml:space="preserve">东北轻合金有限责任公司 </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将容量允差移至附录E</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pPr>
            <w:r>
              <w:rPr>
                <w:rFonts w:hint="eastAsia"/>
              </w:rPr>
              <w:t>4</w:t>
            </w:r>
          </w:p>
        </w:tc>
        <w:tc>
          <w:tcPr>
            <w:tcW w:w="716"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附录D</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附录D中不确定度评定缺少测量模型</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80" w:lineRule="exact"/>
              <w:jc w:val="left"/>
              <w:rPr>
                <w:color w:val="000000"/>
                <w:kern w:val="0"/>
                <w:szCs w:val="21"/>
              </w:rPr>
            </w:pPr>
            <w:r>
              <w:rPr>
                <w:color w:val="000000"/>
                <w:kern w:val="0"/>
                <w:szCs w:val="21"/>
              </w:rPr>
              <w:t>西南铝业（集团）有限责任公司</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80" w:lineRule="exact"/>
              <w:jc w:val="center"/>
              <w:rPr>
                <w:color w:val="000000"/>
                <w:kern w:val="0"/>
                <w:szCs w:val="21"/>
              </w:rPr>
            </w:pPr>
            <w:r>
              <w:rPr>
                <w:color w:val="000000"/>
                <w:kern w:val="0"/>
                <w:szCs w:val="21"/>
              </w:rPr>
              <w:t>修改不确定度评定增加测量模型</w:t>
            </w:r>
          </w:p>
        </w:tc>
      </w:tr>
    </w:tbl>
    <w:p>
      <w:pPr>
        <w:spacing w:line="360" w:lineRule="auto"/>
        <w:rPr>
          <w:rFonts w:eastAsiaTheme="minorEastAsia"/>
          <w:szCs w:val="21"/>
        </w:rPr>
      </w:pPr>
      <w:r>
        <w:rPr>
          <w:rFonts w:hint="eastAsia"/>
          <w:szCs w:val="21"/>
        </w:rPr>
        <w:t xml:space="preserve"> 6）</w:t>
      </w:r>
      <w:r>
        <w:rPr>
          <w:rFonts w:hint="eastAsia"/>
          <w:bCs/>
          <w:color w:val="000000"/>
          <w:szCs w:val="21"/>
        </w:rPr>
        <w:t>2024年4月23日在长沙</w:t>
      </w:r>
      <w:r>
        <w:rPr>
          <w:rFonts w:hint="eastAsia" w:eastAsiaTheme="minorEastAsia"/>
        </w:rPr>
        <w:t>举行有色金属计量技术规范研讨会，</w:t>
      </w:r>
      <w:r>
        <w:rPr>
          <w:rFonts w:hint="eastAsia" w:eastAsiaTheme="minorEastAsia"/>
          <w:szCs w:val="21"/>
        </w:rPr>
        <w:t>会上对《</w:t>
      </w:r>
      <w:r>
        <w:rPr>
          <w:rFonts w:hint="eastAsia" w:eastAsiaTheme="minorEastAsia"/>
          <w:bCs/>
        </w:rPr>
        <w:t>塑料容量瓶校准规范</w:t>
      </w:r>
      <w:r>
        <w:rPr>
          <w:rFonts w:hint="eastAsia" w:eastAsiaTheme="minorEastAsia"/>
          <w:szCs w:val="21"/>
        </w:rPr>
        <w:t>》等项有色金属行业计量技术规范进行了讨论，会上有来自不同单位的计量委员会委员、专家、代表对《</w:t>
      </w:r>
      <w:r>
        <w:rPr>
          <w:rFonts w:hint="eastAsia" w:eastAsiaTheme="minorEastAsia"/>
          <w:bCs/>
        </w:rPr>
        <w:t>塑料容量瓶校准规范</w:t>
      </w:r>
      <w:r>
        <w:rPr>
          <w:rFonts w:hint="eastAsia" w:eastAsiaTheme="minorEastAsia"/>
          <w:szCs w:val="21"/>
        </w:rPr>
        <w:t>》审定稿提出了修改建议和意见，会议纪要见表4。</w:t>
      </w:r>
    </w:p>
    <w:p>
      <w:pPr>
        <w:spacing w:line="360" w:lineRule="auto"/>
        <w:ind w:firstLine="210" w:firstLineChars="100"/>
        <w:jc w:val="center"/>
      </w:pPr>
      <w:r>
        <w:rPr>
          <w:rFonts w:hint="eastAsia"/>
        </w:rPr>
        <w:t>表4有色金属计量技术规范研讨会会议纪要</w:t>
      </w:r>
    </w:p>
    <w:tbl>
      <w:tblPr>
        <w:tblStyle w:val="15"/>
        <w:tblW w:w="4886" w:type="pct"/>
        <w:tblInd w:w="-5" w:type="dxa"/>
        <w:tblLayout w:type="fixed"/>
        <w:tblCellMar>
          <w:top w:w="0" w:type="dxa"/>
          <w:left w:w="108" w:type="dxa"/>
          <w:bottom w:w="0" w:type="dxa"/>
          <w:right w:w="108" w:type="dxa"/>
        </w:tblCellMar>
      </w:tblPr>
      <w:tblGrid>
        <w:gridCol w:w="764"/>
        <w:gridCol w:w="1192"/>
        <w:gridCol w:w="3788"/>
        <w:gridCol w:w="1288"/>
        <w:gridCol w:w="1296"/>
      </w:tblGrid>
      <w:tr>
        <w:tblPrEx>
          <w:tblCellMar>
            <w:top w:w="0" w:type="dxa"/>
            <w:left w:w="108" w:type="dxa"/>
            <w:bottom w:w="0" w:type="dxa"/>
            <w:right w:w="108" w:type="dxa"/>
          </w:tblCellMar>
        </w:tblPrEx>
        <w:trPr>
          <w:trHeight w:val="24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序号</w:t>
            </w:r>
          </w:p>
        </w:tc>
        <w:tc>
          <w:tcPr>
            <w:tcW w:w="716" w:type="pct"/>
            <w:tcBorders>
              <w:top w:val="single" w:color="auto" w:sz="4" w:space="0"/>
              <w:left w:val="nil"/>
              <w:bottom w:val="single" w:color="auto" w:sz="4" w:space="0"/>
              <w:right w:val="single" w:color="auto" w:sz="4" w:space="0"/>
            </w:tcBorders>
            <w:shd w:val="clear" w:color="auto" w:fill="auto"/>
            <w:vAlign w:val="center"/>
          </w:tcPr>
          <w:p>
            <w:pPr>
              <w:widowControl/>
              <w:spacing w:line="260" w:lineRule="exact"/>
              <w:jc w:val="center"/>
              <w:rPr>
                <w:color w:val="000000"/>
                <w:kern w:val="0"/>
                <w:szCs w:val="21"/>
              </w:rPr>
            </w:pPr>
            <w:r>
              <w:rPr>
                <w:color w:val="000000"/>
                <w:kern w:val="0"/>
                <w:szCs w:val="21"/>
              </w:rPr>
              <w:t>标准章条</w:t>
            </w:r>
          </w:p>
          <w:p>
            <w:pPr>
              <w:widowControl/>
              <w:spacing w:line="260" w:lineRule="exact"/>
              <w:jc w:val="center"/>
              <w:rPr>
                <w:color w:val="000000"/>
                <w:kern w:val="0"/>
                <w:szCs w:val="21"/>
              </w:rPr>
            </w:pPr>
            <w:r>
              <w:rPr>
                <w:color w:val="000000"/>
                <w:kern w:val="0"/>
                <w:szCs w:val="21"/>
              </w:rPr>
              <w:t>编号</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意见内容</w:t>
            </w:r>
          </w:p>
        </w:tc>
        <w:tc>
          <w:tcPr>
            <w:tcW w:w="773"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提出单位及提出人</w:t>
            </w:r>
          </w:p>
          <w:p>
            <w:pPr>
              <w:widowControl/>
              <w:spacing w:line="260" w:lineRule="exact"/>
              <w:jc w:val="center"/>
              <w:rPr>
                <w:color w:val="000000"/>
                <w:kern w:val="0"/>
                <w:szCs w:val="21"/>
              </w:rPr>
            </w:pPr>
            <w:r>
              <w:rPr>
                <w:color w:val="000000"/>
                <w:kern w:val="0"/>
                <w:szCs w:val="21"/>
              </w:rPr>
              <w:t>（可简写）</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widowControl/>
              <w:spacing w:line="260" w:lineRule="exact"/>
              <w:jc w:val="center"/>
              <w:rPr>
                <w:color w:val="000000"/>
                <w:kern w:val="0"/>
                <w:szCs w:val="21"/>
              </w:rPr>
            </w:pPr>
            <w:r>
              <w:rPr>
                <w:color w:val="000000"/>
                <w:kern w:val="0"/>
                <w:szCs w:val="21"/>
              </w:rPr>
              <w:t>处理意见</w:t>
            </w:r>
          </w:p>
        </w:tc>
      </w:tr>
      <w:tr>
        <w:tblPrEx>
          <w:tblCellMar>
            <w:top w:w="0" w:type="dxa"/>
            <w:left w:w="108" w:type="dxa"/>
            <w:bottom w:w="0" w:type="dxa"/>
            <w:right w:w="108" w:type="dxa"/>
          </w:tblCellMar>
        </w:tblPrEx>
        <w:trPr>
          <w:trHeight w:val="384"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1</w:t>
            </w:r>
          </w:p>
        </w:tc>
        <w:tc>
          <w:tcPr>
            <w:tcW w:w="716" w:type="pct"/>
            <w:tcBorders>
              <w:top w:val="nil"/>
              <w:left w:val="nil"/>
              <w:bottom w:val="single" w:color="auto" w:sz="4" w:space="0"/>
              <w:right w:val="single" w:color="auto" w:sz="4" w:space="0"/>
            </w:tcBorders>
            <w:shd w:val="clear" w:color="auto" w:fill="auto"/>
            <w:noWrap/>
            <w:vAlign w:val="center"/>
          </w:tcPr>
          <w:p>
            <w:pPr>
              <w:widowControl/>
              <w:jc w:val="center"/>
              <w:rPr>
                <w:color w:val="000000"/>
                <w:kern w:val="0"/>
                <w:szCs w:val="21"/>
              </w:rPr>
            </w:pPr>
            <w:r>
              <w:rPr>
                <w:rFonts w:hint="eastAsia"/>
                <w:color w:val="000000"/>
                <w:kern w:val="0"/>
                <w:szCs w:val="21"/>
              </w:rPr>
              <w:t>3</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40" w:lineRule="exact"/>
              <w:jc w:val="left"/>
              <w:rPr>
                <w:szCs w:val="21"/>
              </w:rPr>
            </w:pPr>
            <w:r>
              <w:rPr>
                <w:rFonts w:hint="eastAsia"/>
                <w:szCs w:val="21"/>
              </w:rPr>
              <w:t>修改塑料容量瓶的用途</w:t>
            </w:r>
          </w:p>
        </w:tc>
        <w:tc>
          <w:tcPr>
            <w:tcW w:w="773" w:type="pct"/>
            <w:tcBorders>
              <w:top w:val="nil"/>
              <w:left w:val="nil"/>
              <w:bottom w:val="single" w:color="auto" w:sz="4" w:space="0"/>
              <w:right w:val="single" w:color="auto" w:sz="4" w:space="0"/>
            </w:tcBorders>
            <w:shd w:val="clear" w:color="auto" w:fill="auto"/>
            <w:noWrap/>
            <w:vAlign w:val="center"/>
          </w:tcPr>
          <w:p>
            <w:pPr>
              <w:widowControl/>
              <w:spacing w:line="240" w:lineRule="exact"/>
              <w:jc w:val="center"/>
              <w:rPr>
                <w:szCs w:val="21"/>
              </w:rPr>
            </w:pPr>
            <w:r>
              <w:rPr>
                <w:rFonts w:hint="eastAsia"/>
                <w:szCs w:val="21"/>
              </w:rPr>
              <w:t>国标（北京）检验认证有限公司</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40" w:lineRule="exact"/>
              <w:jc w:val="center"/>
              <w:rPr>
                <w:color w:val="000000"/>
                <w:kern w:val="0"/>
                <w:szCs w:val="21"/>
              </w:rPr>
            </w:pPr>
            <w:r>
              <w:rPr>
                <w:rFonts w:hint="eastAsia"/>
                <w:szCs w:val="21"/>
              </w:rPr>
              <w:t>采纳</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2</w:t>
            </w:r>
          </w:p>
        </w:tc>
        <w:tc>
          <w:tcPr>
            <w:tcW w:w="716" w:type="pct"/>
            <w:tcBorders>
              <w:top w:val="nil"/>
              <w:left w:val="nil"/>
              <w:bottom w:val="single" w:color="auto" w:sz="4" w:space="0"/>
              <w:right w:val="single" w:color="auto" w:sz="4" w:space="0"/>
            </w:tcBorders>
            <w:shd w:val="clear" w:color="auto" w:fill="auto"/>
            <w:noWrap/>
            <w:vAlign w:val="center"/>
          </w:tcPr>
          <w:p>
            <w:pPr>
              <w:widowControl/>
              <w:jc w:val="center"/>
              <w:rPr>
                <w:szCs w:val="21"/>
              </w:rPr>
            </w:pPr>
            <w:r>
              <w:rPr>
                <w:rFonts w:hint="eastAsia"/>
                <w:szCs w:val="21"/>
              </w:rPr>
              <w:t>2</w:t>
            </w:r>
          </w:p>
        </w:tc>
        <w:tc>
          <w:tcPr>
            <w:tcW w:w="2274" w:type="pct"/>
            <w:tcBorders>
              <w:top w:val="nil"/>
              <w:left w:val="nil"/>
              <w:bottom w:val="single" w:color="auto" w:sz="4" w:space="0"/>
              <w:right w:val="single" w:color="auto" w:sz="4" w:space="0"/>
            </w:tcBorders>
            <w:shd w:val="clear" w:color="auto" w:fill="auto"/>
            <w:noWrap/>
            <w:vAlign w:val="center"/>
          </w:tcPr>
          <w:p>
            <w:pPr>
              <w:spacing w:line="360" w:lineRule="auto"/>
              <w:rPr>
                <w:szCs w:val="21"/>
              </w:rPr>
            </w:pPr>
            <w:r>
              <w:rPr>
                <w:rFonts w:hint="eastAsia"/>
                <w:szCs w:val="21"/>
              </w:rPr>
              <w:t>引用的文件需要在正文中体现</w:t>
            </w:r>
          </w:p>
        </w:tc>
        <w:tc>
          <w:tcPr>
            <w:tcW w:w="773" w:type="pct"/>
            <w:tcBorders>
              <w:top w:val="nil"/>
              <w:left w:val="nil"/>
              <w:bottom w:val="single" w:color="auto" w:sz="4" w:space="0"/>
              <w:right w:val="single" w:color="auto" w:sz="4" w:space="0"/>
            </w:tcBorders>
            <w:shd w:val="clear" w:color="auto" w:fill="auto"/>
            <w:noWrap/>
            <w:vAlign w:val="center"/>
          </w:tcPr>
          <w:p>
            <w:pPr>
              <w:spacing w:line="240" w:lineRule="exact"/>
              <w:jc w:val="center"/>
              <w:rPr>
                <w:szCs w:val="21"/>
              </w:rPr>
            </w:pPr>
            <w:r>
              <w:rPr>
                <w:rFonts w:hint="eastAsia"/>
                <w:szCs w:val="21"/>
              </w:rPr>
              <w:t>国标（北京）检验认证有限公司</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40" w:lineRule="exact"/>
              <w:jc w:val="center"/>
              <w:rPr>
                <w:szCs w:val="21"/>
              </w:rPr>
            </w:pPr>
            <w:r>
              <w:rPr>
                <w:szCs w:val="21"/>
              </w:rPr>
              <w:t>修改引用文件</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3</w:t>
            </w:r>
          </w:p>
        </w:tc>
        <w:tc>
          <w:tcPr>
            <w:tcW w:w="716" w:type="pct"/>
            <w:tcBorders>
              <w:top w:val="nil"/>
              <w:left w:val="nil"/>
              <w:bottom w:val="single" w:color="auto" w:sz="4" w:space="0"/>
              <w:right w:val="single" w:color="auto" w:sz="4" w:space="0"/>
            </w:tcBorders>
            <w:shd w:val="clear" w:color="auto" w:fill="auto"/>
            <w:noWrap/>
            <w:vAlign w:val="center"/>
          </w:tcPr>
          <w:p>
            <w:pPr>
              <w:widowControl/>
              <w:jc w:val="center"/>
              <w:rPr>
                <w:szCs w:val="21"/>
              </w:rPr>
            </w:pPr>
            <w:r>
              <w:rPr>
                <w:rFonts w:hint="eastAsia"/>
                <w:sz w:val="24"/>
              </w:rPr>
              <w:t>4.2</w:t>
            </w:r>
          </w:p>
        </w:tc>
        <w:tc>
          <w:tcPr>
            <w:tcW w:w="2274" w:type="pct"/>
            <w:tcBorders>
              <w:top w:val="nil"/>
              <w:left w:val="nil"/>
              <w:bottom w:val="single" w:color="auto" w:sz="4" w:space="0"/>
              <w:right w:val="single" w:color="auto" w:sz="4" w:space="0"/>
            </w:tcBorders>
            <w:shd w:val="clear" w:color="auto" w:fill="auto"/>
            <w:noWrap/>
            <w:vAlign w:val="center"/>
          </w:tcPr>
          <w:p>
            <w:pPr>
              <w:spacing w:line="240" w:lineRule="exact"/>
              <w:jc w:val="left"/>
              <w:rPr>
                <w:szCs w:val="21"/>
              </w:rPr>
            </w:pPr>
            <w:r>
              <w:rPr>
                <w:rFonts w:hint="eastAsia"/>
                <w:sz w:val="24"/>
              </w:rPr>
              <w:t>密合性将“</w:t>
            </w:r>
            <w:r>
              <w:rPr>
                <w:sz w:val="24"/>
              </w:rPr>
              <w:t>当水注入至最高标线</w:t>
            </w:r>
            <w:r>
              <w:rPr>
                <w:rFonts w:hint="eastAsia"/>
                <w:sz w:val="24"/>
              </w:rPr>
              <w:t>”修改为“</w:t>
            </w:r>
            <w:r>
              <w:rPr>
                <w:sz w:val="24"/>
              </w:rPr>
              <w:t>当水注入至标线</w:t>
            </w:r>
            <w:r>
              <w:rPr>
                <w:rFonts w:hint="eastAsia"/>
                <w:sz w:val="24"/>
              </w:rPr>
              <w:t>”</w:t>
            </w:r>
          </w:p>
        </w:tc>
        <w:tc>
          <w:tcPr>
            <w:tcW w:w="773" w:type="pct"/>
            <w:tcBorders>
              <w:top w:val="nil"/>
              <w:left w:val="nil"/>
              <w:bottom w:val="single" w:color="auto" w:sz="4" w:space="0"/>
              <w:right w:val="single" w:color="auto" w:sz="4" w:space="0"/>
            </w:tcBorders>
            <w:shd w:val="clear" w:color="auto" w:fill="auto"/>
            <w:noWrap/>
            <w:vAlign w:val="center"/>
          </w:tcPr>
          <w:p>
            <w:pPr>
              <w:spacing w:line="260" w:lineRule="exact"/>
              <w:jc w:val="center"/>
              <w:rPr>
                <w:szCs w:val="21"/>
              </w:rPr>
            </w:pPr>
            <w:r>
              <w:rPr>
                <w:rFonts w:hint="eastAsia"/>
                <w:szCs w:val="21"/>
              </w:rPr>
              <w:t>国标（北京）检验认证有限公司</w:t>
            </w:r>
          </w:p>
        </w:tc>
        <w:tc>
          <w:tcPr>
            <w:tcW w:w="778" w:type="pct"/>
            <w:tcBorders>
              <w:top w:val="nil"/>
              <w:left w:val="nil"/>
              <w:bottom w:val="single" w:color="auto" w:sz="4" w:space="0"/>
              <w:right w:val="single" w:color="auto" w:sz="4" w:space="0"/>
            </w:tcBorders>
            <w:shd w:val="clear" w:color="auto" w:fill="auto"/>
            <w:noWrap/>
            <w:vAlign w:val="center"/>
          </w:tcPr>
          <w:p>
            <w:pPr>
              <w:widowControl/>
              <w:spacing w:line="260" w:lineRule="exact"/>
              <w:jc w:val="center"/>
              <w:rPr>
                <w:szCs w:val="21"/>
              </w:rPr>
            </w:pPr>
            <w:r>
              <w:rPr>
                <w:rFonts w:hint="eastAsia"/>
                <w:szCs w:val="21"/>
              </w:rPr>
              <w:t>采纳</w:t>
            </w:r>
          </w:p>
        </w:tc>
      </w:tr>
      <w:tr>
        <w:tblPrEx>
          <w:tblCellMar>
            <w:top w:w="0" w:type="dxa"/>
            <w:left w:w="108" w:type="dxa"/>
            <w:bottom w:w="0" w:type="dxa"/>
            <w:right w:w="108" w:type="dxa"/>
          </w:tblCellMar>
        </w:tblPrEx>
        <w:trPr>
          <w:trHeight w:val="241"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4</w:t>
            </w:r>
          </w:p>
        </w:tc>
        <w:tc>
          <w:tcPr>
            <w:tcW w:w="716" w:type="pct"/>
            <w:tcBorders>
              <w:top w:val="nil"/>
              <w:left w:val="nil"/>
              <w:bottom w:val="single" w:color="auto" w:sz="4" w:space="0"/>
              <w:right w:val="single" w:color="auto" w:sz="4" w:space="0"/>
            </w:tcBorders>
            <w:shd w:val="clear" w:color="auto" w:fill="auto"/>
            <w:noWrap/>
            <w:vAlign w:val="center"/>
          </w:tcPr>
          <w:p>
            <w:pPr>
              <w:widowControl/>
              <w:jc w:val="center"/>
              <w:rPr>
                <w:szCs w:val="21"/>
              </w:rPr>
            </w:pPr>
            <w:r>
              <w:rPr>
                <w:rFonts w:hint="eastAsia"/>
                <w:szCs w:val="21"/>
              </w:rPr>
              <w:t>5.1</w:t>
            </w:r>
          </w:p>
        </w:tc>
        <w:tc>
          <w:tcPr>
            <w:tcW w:w="2274" w:type="pct"/>
            <w:tcBorders>
              <w:top w:val="nil"/>
              <w:left w:val="nil"/>
              <w:bottom w:val="single" w:color="auto" w:sz="4" w:space="0"/>
              <w:right w:val="single" w:color="auto" w:sz="4" w:space="0"/>
            </w:tcBorders>
            <w:shd w:val="clear" w:color="auto" w:fill="auto"/>
            <w:noWrap/>
            <w:vAlign w:val="center"/>
          </w:tcPr>
          <w:p>
            <w:pPr>
              <w:spacing w:line="240" w:lineRule="exact"/>
              <w:rPr>
                <w:szCs w:val="21"/>
              </w:rPr>
            </w:pPr>
            <w:r>
              <w:rPr>
                <w:rFonts w:hint="eastAsia"/>
                <w:sz w:val="24"/>
              </w:rPr>
              <w:t>将容量瓶允许误差整理，进行分级，分为A级、B级</w:t>
            </w:r>
          </w:p>
        </w:tc>
        <w:tc>
          <w:tcPr>
            <w:tcW w:w="773" w:type="pct"/>
            <w:tcBorders>
              <w:top w:val="nil"/>
              <w:left w:val="nil"/>
              <w:bottom w:val="single" w:color="auto" w:sz="4" w:space="0"/>
              <w:right w:val="single" w:color="auto" w:sz="4" w:space="0"/>
            </w:tcBorders>
            <w:shd w:val="clear" w:color="auto" w:fill="auto"/>
            <w:noWrap/>
            <w:vAlign w:val="center"/>
          </w:tcPr>
          <w:p>
            <w:pPr>
              <w:spacing w:line="240" w:lineRule="exact"/>
              <w:jc w:val="center"/>
              <w:rPr>
                <w:szCs w:val="21"/>
              </w:rPr>
            </w:pPr>
            <w:r>
              <w:rPr>
                <w:rFonts w:hint="eastAsia"/>
                <w:szCs w:val="21"/>
              </w:rPr>
              <w:t>国标（北京）检验认证有限公司</w:t>
            </w:r>
          </w:p>
        </w:tc>
        <w:tc>
          <w:tcPr>
            <w:tcW w:w="778" w:type="pct"/>
            <w:tcBorders>
              <w:top w:val="nil"/>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462" w:hRule="atLeast"/>
        </w:trPr>
        <w:tc>
          <w:tcPr>
            <w:tcW w:w="459" w:type="pct"/>
            <w:tcBorders>
              <w:top w:val="nil"/>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5</w:t>
            </w:r>
          </w:p>
        </w:tc>
        <w:tc>
          <w:tcPr>
            <w:tcW w:w="716" w:type="pct"/>
            <w:tcBorders>
              <w:top w:val="nil"/>
              <w:left w:val="nil"/>
              <w:bottom w:val="single" w:color="auto" w:sz="4" w:space="0"/>
              <w:right w:val="single" w:color="auto" w:sz="4" w:space="0"/>
            </w:tcBorders>
            <w:shd w:val="clear" w:color="auto" w:fill="auto"/>
            <w:noWrap/>
            <w:vAlign w:val="center"/>
          </w:tcPr>
          <w:p>
            <w:pPr>
              <w:widowControl/>
              <w:jc w:val="center"/>
              <w:rPr>
                <w:szCs w:val="21"/>
              </w:rPr>
            </w:pPr>
            <w:r>
              <w:rPr>
                <w:rFonts w:hint="eastAsia"/>
                <w:szCs w:val="21"/>
              </w:rPr>
              <w:t>6.1.2</w:t>
            </w:r>
          </w:p>
        </w:tc>
        <w:tc>
          <w:tcPr>
            <w:tcW w:w="2274" w:type="pct"/>
            <w:tcBorders>
              <w:top w:val="nil"/>
              <w:left w:val="nil"/>
              <w:bottom w:val="single" w:color="auto" w:sz="4" w:space="0"/>
              <w:right w:val="single" w:color="auto" w:sz="4" w:space="0"/>
            </w:tcBorders>
            <w:shd w:val="clear" w:color="auto" w:fill="auto"/>
            <w:noWrap/>
            <w:vAlign w:val="center"/>
          </w:tcPr>
          <w:p>
            <w:pPr>
              <w:widowControl/>
              <w:spacing w:line="240" w:lineRule="exact"/>
              <w:jc w:val="left"/>
              <w:rPr>
                <w:szCs w:val="21"/>
              </w:rPr>
            </w:pPr>
            <w:r>
              <w:rPr>
                <w:rFonts w:hint="eastAsia"/>
                <w:sz w:val="24"/>
              </w:rPr>
              <w:t>确定校准介质为几级纯水</w:t>
            </w:r>
          </w:p>
        </w:tc>
        <w:tc>
          <w:tcPr>
            <w:tcW w:w="773" w:type="pct"/>
            <w:tcBorders>
              <w:top w:val="nil"/>
              <w:left w:val="nil"/>
              <w:bottom w:val="single" w:color="auto" w:sz="4" w:space="0"/>
              <w:right w:val="single" w:color="auto" w:sz="4" w:space="0"/>
            </w:tcBorders>
            <w:shd w:val="clear" w:color="auto" w:fill="auto"/>
            <w:noWrap/>
            <w:vAlign w:val="center"/>
          </w:tcPr>
          <w:p>
            <w:pPr>
              <w:spacing w:line="240" w:lineRule="exact"/>
              <w:jc w:val="center"/>
              <w:rPr>
                <w:szCs w:val="21"/>
              </w:rPr>
            </w:pPr>
            <w:r>
              <w:rPr>
                <w:rFonts w:hint="eastAsia"/>
                <w:szCs w:val="21"/>
              </w:rPr>
              <w:t>国标（北京）检验认证有限公司</w:t>
            </w:r>
          </w:p>
        </w:tc>
        <w:tc>
          <w:tcPr>
            <w:tcW w:w="778" w:type="pct"/>
            <w:tcBorders>
              <w:top w:val="nil"/>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225"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6</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szCs w:val="21"/>
              </w:rPr>
            </w:pPr>
            <w:r>
              <w:rPr>
                <w:rFonts w:hint="eastAsia"/>
                <w:szCs w:val="21"/>
              </w:rPr>
              <w:t>6.2</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szCs w:val="21"/>
              </w:rPr>
            </w:pPr>
            <w:r>
              <w:rPr>
                <w:rFonts w:hint="eastAsia"/>
                <w:sz w:val="24"/>
              </w:rPr>
              <w:t>将测量标准中电子天平（0~5000）g修改为（0~2000）g</w:t>
            </w:r>
          </w:p>
        </w:tc>
        <w:tc>
          <w:tcPr>
            <w:tcW w:w="773"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pPr>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13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7</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szCs w:val="21"/>
              </w:rPr>
            </w:pPr>
            <w:r>
              <w:rPr>
                <w:rFonts w:hint="eastAsia"/>
                <w:szCs w:val="21"/>
              </w:rPr>
              <w:t>7.1</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szCs w:val="21"/>
              </w:rPr>
            </w:pPr>
            <w:r>
              <w:rPr>
                <w:rFonts w:hint="eastAsia"/>
                <w:sz w:val="24"/>
              </w:rPr>
              <w:t>修改“24小时、4小时”修改为“24h、4h”</w:t>
            </w:r>
          </w:p>
        </w:tc>
        <w:tc>
          <w:tcPr>
            <w:tcW w:w="773" w:type="pct"/>
            <w:tcBorders>
              <w:top w:val="single" w:color="auto" w:sz="4" w:space="0"/>
              <w:left w:val="nil"/>
              <w:bottom w:val="single" w:color="auto" w:sz="4" w:space="0"/>
              <w:right w:val="single" w:color="auto" w:sz="4" w:space="0"/>
            </w:tcBorders>
            <w:shd w:val="clear" w:color="auto" w:fill="auto"/>
            <w:noWrap/>
          </w:tcPr>
          <w:p>
            <w:pPr>
              <w:spacing w:line="240" w:lineRule="exact"/>
            </w:pPr>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13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8</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szCs w:val="21"/>
              </w:rPr>
            </w:pPr>
            <w:r>
              <w:rPr>
                <w:rFonts w:hint="eastAsia"/>
                <w:szCs w:val="21"/>
              </w:rPr>
              <w:t>7.2.2</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80" w:lineRule="exact"/>
              <w:jc w:val="left"/>
              <w:rPr>
                <w:szCs w:val="21"/>
              </w:rPr>
            </w:pPr>
            <w:r>
              <w:rPr>
                <w:rFonts w:hint="eastAsia"/>
                <w:sz w:val="24"/>
              </w:rPr>
              <w:t>将定容详细描述为定容至弯月面处或与刻度线水平位置</w:t>
            </w:r>
          </w:p>
        </w:tc>
        <w:tc>
          <w:tcPr>
            <w:tcW w:w="773" w:type="pct"/>
            <w:tcBorders>
              <w:top w:val="single" w:color="auto" w:sz="4" w:space="0"/>
              <w:left w:val="nil"/>
              <w:bottom w:val="single" w:color="auto" w:sz="4" w:space="0"/>
              <w:right w:val="single" w:color="auto" w:sz="4" w:space="0"/>
            </w:tcBorders>
            <w:shd w:val="clear" w:color="auto" w:fill="auto"/>
            <w:noWrap/>
          </w:tcPr>
          <w:p>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13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szCs w:val="21"/>
              </w:rPr>
            </w:pPr>
            <w:r>
              <w:rPr>
                <w:szCs w:val="21"/>
              </w:rPr>
              <w:t>9</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szCs w:val="21"/>
              </w:rPr>
            </w:pPr>
            <w:r>
              <w:rPr>
                <w:rFonts w:hint="eastAsia"/>
                <w:szCs w:val="21"/>
              </w:rPr>
              <w:t>7.2.4</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szCs w:val="21"/>
              </w:rPr>
            </w:pPr>
            <w:r>
              <w:rPr>
                <w:rFonts w:hint="eastAsia"/>
                <w:sz w:val="24"/>
              </w:rPr>
              <w:t>确认7.2.4章节公式（1）</w:t>
            </w:r>
          </w:p>
        </w:tc>
        <w:tc>
          <w:tcPr>
            <w:tcW w:w="773" w:type="pct"/>
            <w:tcBorders>
              <w:top w:val="single" w:color="auto" w:sz="4" w:space="0"/>
              <w:left w:val="nil"/>
              <w:bottom w:val="single" w:color="auto" w:sz="4" w:space="0"/>
              <w:right w:val="single" w:color="auto" w:sz="4" w:space="0"/>
            </w:tcBorders>
            <w:shd w:val="clear" w:color="auto" w:fill="auto"/>
            <w:noWrap/>
          </w:tcPr>
          <w:p>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711"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szCs w:val="21"/>
              </w:rPr>
            </w:pPr>
            <w:r>
              <w:rPr>
                <w:rFonts w:hint="eastAsia"/>
                <w:szCs w:val="21"/>
              </w:rPr>
              <w:t>10</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rFonts w:hint="eastAsia"/>
                <w:szCs w:val="21"/>
              </w:rPr>
            </w:pPr>
            <w:r>
              <w:rPr>
                <w:rFonts w:hint="eastAsia"/>
                <w:sz w:val="24"/>
              </w:rPr>
              <w:t>附录A</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rFonts w:hint="eastAsia"/>
                <w:sz w:val="24"/>
              </w:rPr>
            </w:pPr>
            <w:r>
              <w:rPr>
                <w:rFonts w:hint="eastAsia"/>
                <w:sz w:val="24"/>
              </w:rPr>
              <w:t xml:space="preserve">验证附录A </w:t>
            </w:r>
            <w:r>
              <w:rPr>
                <w:rFonts w:hint="eastAsia"/>
                <w:i/>
                <w:iCs/>
                <w:sz w:val="24"/>
              </w:rPr>
              <w:t>K</w:t>
            </w:r>
            <w:r>
              <w:rPr>
                <w:rFonts w:hint="eastAsia"/>
                <w:sz w:val="24"/>
              </w:rPr>
              <w:t>(</w:t>
            </w:r>
            <w:r>
              <w:rPr>
                <w:rFonts w:hint="eastAsia"/>
                <w:i/>
                <w:iCs/>
                <w:sz w:val="24"/>
              </w:rPr>
              <w:t>t</w:t>
            </w:r>
            <w:r>
              <w:rPr>
                <w:rFonts w:hint="eastAsia"/>
                <w:sz w:val="24"/>
              </w:rPr>
              <w:t>)值</w:t>
            </w:r>
          </w:p>
        </w:tc>
        <w:tc>
          <w:tcPr>
            <w:tcW w:w="773" w:type="pct"/>
            <w:tcBorders>
              <w:top w:val="single" w:color="auto" w:sz="4" w:space="0"/>
              <w:left w:val="nil"/>
              <w:bottom w:val="single" w:color="auto" w:sz="4" w:space="0"/>
              <w:right w:val="single" w:color="auto" w:sz="4" w:space="0"/>
            </w:tcBorders>
            <w:shd w:val="clear" w:color="auto" w:fill="auto"/>
            <w:noWrap/>
          </w:tcPr>
          <w:p>
            <w:pPr>
              <w:spacing w:line="240" w:lineRule="exact"/>
            </w:pPr>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565"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szCs w:val="21"/>
              </w:rPr>
            </w:pPr>
            <w:r>
              <w:rPr>
                <w:rFonts w:hint="eastAsia"/>
                <w:szCs w:val="21"/>
              </w:rPr>
              <w:t>11</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rFonts w:hint="eastAsia"/>
                <w:szCs w:val="21"/>
              </w:rPr>
            </w:pPr>
            <w:r>
              <w:rPr>
                <w:sz w:val="24"/>
              </w:rPr>
              <w:t>附录</w:t>
            </w:r>
            <w:r>
              <w:rPr>
                <w:rFonts w:hint="eastAsia"/>
                <w:sz w:val="24"/>
              </w:rPr>
              <w:t>D</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rFonts w:hint="eastAsia"/>
                <w:sz w:val="24"/>
              </w:rPr>
            </w:pPr>
            <w:r>
              <w:rPr>
                <w:rFonts w:hint="eastAsia"/>
                <w:sz w:val="24"/>
              </w:rPr>
              <w:t>不确定度评定格式，D.2.1修改电子天平为（0.1mg~220g)</w:t>
            </w:r>
          </w:p>
        </w:tc>
        <w:tc>
          <w:tcPr>
            <w:tcW w:w="773" w:type="pct"/>
            <w:tcBorders>
              <w:top w:val="single" w:color="auto" w:sz="4" w:space="0"/>
              <w:left w:val="nil"/>
              <w:bottom w:val="single" w:color="auto" w:sz="4" w:space="0"/>
              <w:right w:val="single" w:color="auto" w:sz="4" w:space="0"/>
            </w:tcBorders>
            <w:shd w:val="clear" w:color="auto" w:fill="auto"/>
            <w:noWrap/>
          </w:tcPr>
          <w:p>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608"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szCs w:val="21"/>
              </w:rPr>
            </w:pPr>
            <w:r>
              <w:rPr>
                <w:rFonts w:hint="eastAsia"/>
                <w:szCs w:val="21"/>
              </w:rPr>
              <w:t>12</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rFonts w:hint="eastAsia"/>
                <w:sz w:val="24"/>
              </w:rPr>
            </w:pPr>
            <w:r>
              <w:rPr>
                <w:sz w:val="24"/>
              </w:rPr>
              <w:t>附录</w:t>
            </w:r>
            <w:r>
              <w:rPr>
                <w:rFonts w:hint="eastAsia"/>
                <w:sz w:val="24"/>
              </w:rPr>
              <w:t>D</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rFonts w:hint="eastAsia"/>
                <w:sz w:val="24"/>
              </w:rPr>
            </w:pPr>
            <w:r>
              <w:rPr>
                <w:rFonts w:hint="eastAsia"/>
                <w:sz w:val="24"/>
              </w:rPr>
              <w:t>增加不确定度评定中灵敏系数的计算公式</w:t>
            </w:r>
          </w:p>
        </w:tc>
        <w:tc>
          <w:tcPr>
            <w:tcW w:w="773" w:type="pct"/>
            <w:tcBorders>
              <w:top w:val="single" w:color="auto" w:sz="4" w:space="0"/>
              <w:left w:val="nil"/>
              <w:bottom w:val="single" w:color="auto" w:sz="4" w:space="0"/>
              <w:right w:val="single" w:color="auto" w:sz="4" w:space="0"/>
            </w:tcBorders>
            <w:shd w:val="clear" w:color="auto" w:fill="auto"/>
            <w:noWrap/>
          </w:tcPr>
          <w:p>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r>
        <w:tblPrEx>
          <w:tblCellMar>
            <w:top w:w="0" w:type="dxa"/>
            <w:left w:w="108" w:type="dxa"/>
            <w:bottom w:w="0" w:type="dxa"/>
            <w:right w:w="108" w:type="dxa"/>
          </w:tblCellMar>
        </w:tblPrEx>
        <w:trPr>
          <w:trHeight w:val="608" w:hRule="atLeast"/>
        </w:trPr>
        <w:tc>
          <w:tcPr>
            <w:tcW w:w="459"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szCs w:val="21"/>
              </w:rPr>
            </w:pPr>
            <w:r>
              <w:rPr>
                <w:rFonts w:hint="eastAsia"/>
                <w:szCs w:val="21"/>
              </w:rPr>
              <w:t>13</w:t>
            </w:r>
          </w:p>
        </w:tc>
        <w:tc>
          <w:tcPr>
            <w:tcW w:w="716" w:type="pct"/>
            <w:tcBorders>
              <w:top w:val="single" w:color="auto" w:sz="4" w:space="0"/>
              <w:left w:val="nil"/>
              <w:bottom w:val="single" w:color="auto" w:sz="4" w:space="0"/>
              <w:right w:val="single" w:color="auto" w:sz="4" w:space="0"/>
            </w:tcBorders>
            <w:shd w:val="clear" w:color="auto" w:fill="auto"/>
            <w:noWrap/>
            <w:vAlign w:val="center"/>
          </w:tcPr>
          <w:p>
            <w:pPr>
              <w:jc w:val="center"/>
              <w:rPr>
                <w:sz w:val="24"/>
              </w:rPr>
            </w:pPr>
            <w:r>
              <w:rPr>
                <w:rFonts w:hint="eastAsia"/>
                <w:sz w:val="24"/>
              </w:rPr>
              <w:t>附录E</w:t>
            </w:r>
          </w:p>
        </w:tc>
        <w:tc>
          <w:tcPr>
            <w:tcW w:w="2274"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left"/>
              <w:rPr>
                <w:rFonts w:hint="eastAsia"/>
                <w:sz w:val="24"/>
              </w:rPr>
            </w:pPr>
            <w:r>
              <w:rPr>
                <w:rFonts w:hint="eastAsia"/>
                <w:sz w:val="24"/>
              </w:rPr>
              <w:t>删除附录E</w:t>
            </w:r>
          </w:p>
        </w:tc>
        <w:tc>
          <w:tcPr>
            <w:tcW w:w="773" w:type="pct"/>
            <w:tcBorders>
              <w:top w:val="single" w:color="auto" w:sz="4" w:space="0"/>
              <w:left w:val="nil"/>
              <w:bottom w:val="single" w:color="auto" w:sz="4" w:space="0"/>
              <w:right w:val="single" w:color="auto" w:sz="4" w:space="0"/>
            </w:tcBorders>
            <w:shd w:val="clear" w:color="auto" w:fill="auto"/>
            <w:noWrap/>
          </w:tcPr>
          <w:p>
            <w:pPr>
              <w:spacing w:line="240" w:lineRule="exact"/>
            </w:pPr>
            <w:r>
              <w:rPr>
                <w:rFonts w:hint="eastAsia"/>
                <w:szCs w:val="21"/>
              </w:rPr>
              <w:t>国标（北京）检验认证有限公司</w:t>
            </w:r>
          </w:p>
        </w:tc>
        <w:tc>
          <w:tcPr>
            <w:tcW w:w="778" w:type="pct"/>
            <w:tcBorders>
              <w:top w:val="single" w:color="auto" w:sz="4" w:space="0"/>
              <w:left w:val="nil"/>
              <w:bottom w:val="single" w:color="auto" w:sz="4" w:space="0"/>
              <w:right w:val="single" w:color="auto" w:sz="4" w:space="0"/>
            </w:tcBorders>
            <w:shd w:val="clear" w:color="auto" w:fill="auto"/>
            <w:noWrap/>
            <w:vAlign w:val="center"/>
          </w:tcPr>
          <w:p>
            <w:pPr>
              <w:jc w:val="center"/>
            </w:pPr>
            <w:r>
              <w:rPr>
                <w:rFonts w:hint="eastAsia"/>
                <w:szCs w:val="21"/>
              </w:rPr>
              <w:t>采纳</w:t>
            </w:r>
          </w:p>
        </w:tc>
      </w:tr>
    </w:tbl>
    <w:p>
      <w:pPr>
        <w:spacing w:line="276" w:lineRule="auto"/>
        <w:rPr>
          <w:rFonts w:ascii="黑体" w:eastAsia="黑体"/>
          <w:bCs/>
          <w:color w:val="FF0000"/>
          <w:szCs w:val="21"/>
        </w:rPr>
      </w:pPr>
      <w:r>
        <w:rPr>
          <w:rFonts w:hint="eastAsia"/>
          <w:bCs/>
          <w:color w:val="000000"/>
          <w:szCs w:val="21"/>
        </w:rPr>
        <w:t>二、</w:t>
      </w:r>
      <w:r>
        <w:rPr>
          <w:rFonts w:hint="eastAsia" w:ascii="黑体" w:hAnsi="宋体" w:eastAsia="黑体"/>
          <w:bCs/>
          <w:szCs w:val="21"/>
        </w:rPr>
        <w:t>编制原则和依据</w:t>
      </w:r>
    </w:p>
    <w:p>
      <w:pPr>
        <w:pStyle w:val="11"/>
        <w:spacing w:after="0" w:line="276" w:lineRule="auto"/>
        <w:rPr>
          <w:rFonts w:ascii="黑体" w:eastAsia="黑体"/>
          <w:bCs/>
          <w:szCs w:val="21"/>
        </w:rPr>
      </w:pPr>
      <w:r>
        <w:rPr>
          <w:rFonts w:hint="eastAsia" w:ascii="黑体" w:eastAsia="黑体"/>
          <w:bCs/>
          <w:szCs w:val="21"/>
        </w:rPr>
        <w:t xml:space="preserve">1 </w:t>
      </w:r>
      <w:r>
        <w:rPr>
          <w:rFonts w:hint="eastAsia" w:ascii="黑体" w:hAnsi="宋体" w:eastAsia="黑体"/>
          <w:bCs/>
          <w:szCs w:val="21"/>
        </w:rPr>
        <w:t>规范编制原则</w:t>
      </w:r>
    </w:p>
    <w:p>
      <w:pPr>
        <w:pStyle w:val="25"/>
        <w:spacing w:line="360" w:lineRule="auto"/>
        <w:ind w:firstLine="210" w:firstLineChars="100"/>
        <w:rPr>
          <w:rFonts w:ascii="Times New Roman"/>
          <w:kern w:val="2"/>
          <w:szCs w:val="21"/>
        </w:rPr>
      </w:pPr>
      <w:r>
        <w:rPr>
          <w:rFonts w:hint="eastAsia" w:ascii="Times New Roman"/>
          <w:kern w:val="2"/>
          <w:szCs w:val="21"/>
        </w:rPr>
        <w:t>1）本规范是以</w:t>
      </w:r>
      <w:r>
        <w:rPr>
          <w:rFonts w:ascii="Times New Roman"/>
          <w:kern w:val="2"/>
          <w:szCs w:val="21"/>
        </w:rPr>
        <w:t>JJF 1071-2010</w:t>
      </w:r>
      <w:r>
        <w:rPr>
          <w:rFonts w:hint="eastAsia" w:ascii="Times New Roman"/>
          <w:kern w:val="2"/>
          <w:szCs w:val="21"/>
        </w:rPr>
        <w:t>《国家计量校准规范编写规则》、JJF 1001-2011《通用计量术语及定义》和JJF 1059.1-2012《测量不确定度评定与表示》为基础性系列规范进行编写。</w:t>
      </w:r>
    </w:p>
    <w:p>
      <w:pPr>
        <w:spacing w:line="360" w:lineRule="auto"/>
        <w:ind w:firstLine="210" w:firstLineChars="100"/>
        <w:rPr>
          <w:szCs w:val="21"/>
        </w:rPr>
      </w:pPr>
      <w:r>
        <w:rPr>
          <w:rFonts w:hint="eastAsia"/>
          <w:szCs w:val="21"/>
        </w:rPr>
        <w:t>2）先进性：我国暂未发布针对塑料量器的检定规程或校准规范，填补了塑料量器校准的空白。</w:t>
      </w:r>
    </w:p>
    <w:p>
      <w:pPr>
        <w:spacing w:line="360" w:lineRule="auto"/>
        <w:ind w:firstLine="210" w:firstLineChars="100"/>
        <w:rPr>
          <w:szCs w:val="21"/>
        </w:rPr>
      </w:pPr>
      <w:r>
        <w:rPr>
          <w:rFonts w:hint="eastAsia"/>
          <w:szCs w:val="21"/>
        </w:rPr>
        <w:t>3）创新性：本规范采用纯水介质衡重法，建立了塑料容量瓶的校准方法。衡重法的关键是修正系数的确定，列举了三种塑料容量瓶体胀系数所对应的</w:t>
      </w:r>
      <w:r>
        <w:rPr>
          <w:rFonts w:hint="eastAsia"/>
          <w:i/>
          <w:szCs w:val="21"/>
        </w:rPr>
        <w:t>修正系数</w:t>
      </w:r>
      <w:r>
        <w:rPr>
          <w:rFonts w:hint="eastAsia"/>
          <w:szCs w:val="21"/>
        </w:rPr>
        <w:t>表，解决了常见塑料容量瓶实际容量计算的难题</w:t>
      </w:r>
      <w:r>
        <w:rPr>
          <w:szCs w:val="21"/>
        </w:rPr>
        <w:t>。</w:t>
      </w:r>
    </w:p>
    <w:p>
      <w:pPr>
        <w:spacing w:line="276" w:lineRule="auto"/>
        <w:rPr>
          <w:rFonts w:ascii="黑体" w:hAnsi="宋体" w:eastAsia="黑体"/>
          <w:bCs/>
          <w:szCs w:val="21"/>
        </w:rPr>
      </w:pPr>
      <w:r>
        <w:rPr>
          <w:rFonts w:ascii="黑体" w:eastAsia="黑体"/>
          <w:bCs/>
          <w:szCs w:val="21"/>
        </w:rPr>
        <w:t>2</w:t>
      </w:r>
      <w:r>
        <w:rPr>
          <w:rFonts w:hint="eastAsia" w:ascii="黑体" w:eastAsia="黑体"/>
          <w:bCs/>
          <w:szCs w:val="21"/>
        </w:rPr>
        <w:t xml:space="preserve"> </w:t>
      </w:r>
      <w:r>
        <w:rPr>
          <w:rFonts w:hint="eastAsia" w:ascii="黑体" w:hAnsi="宋体" w:eastAsia="黑体"/>
          <w:bCs/>
          <w:szCs w:val="21"/>
        </w:rPr>
        <w:t>制定规范主要内容的论据</w:t>
      </w:r>
    </w:p>
    <w:p>
      <w:pPr>
        <w:pStyle w:val="30"/>
        <w:numPr>
          <w:ilvl w:val="0"/>
          <w:numId w:val="0"/>
        </w:numPr>
        <w:spacing w:beforeLines="0" w:afterLines="0" w:line="360" w:lineRule="auto"/>
        <w:rPr>
          <w:rFonts w:ascii="Times New Roman"/>
          <w:szCs w:val="21"/>
        </w:rPr>
      </w:pPr>
      <w:bookmarkStart w:id="1" w:name="_Toc500258929"/>
      <w:bookmarkStart w:id="2" w:name="_Toc193860177"/>
      <w:bookmarkStart w:id="3" w:name="_Toc23837_WPSOffice_Level1"/>
      <w:bookmarkStart w:id="4" w:name="_Toc193860208"/>
      <w:bookmarkStart w:id="5" w:name="_Toc193860027"/>
      <w:bookmarkStart w:id="6" w:name="_Toc464728964"/>
      <w:r>
        <w:rPr>
          <w:rFonts w:hint="eastAsia" w:ascii="Times New Roman"/>
          <w:szCs w:val="21"/>
        </w:rPr>
        <w:t>2.1范围</w:t>
      </w:r>
      <w:bookmarkEnd w:id="1"/>
      <w:bookmarkEnd w:id="2"/>
      <w:bookmarkEnd w:id="3"/>
      <w:bookmarkEnd w:id="4"/>
      <w:bookmarkEnd w:id="5"/>
    </w:p>
    <w:p>
      <w:pPr>
        <w:spacing w:line="360" w:lineRule="auto"/>
        <w:ind w:firstLine="420" w:firstLineChars="200"/>
        <w:rPr>
          <w:rFonts w:eastAsiaTheme="minorEastAsia"/>
          <w:kern w:val="0"/>
          <w:szCs w:val="21"/>
        </w:rPr>
      </w:pPr>
      <w:bookmarkStart w:id="7" w:name="_Toc193860209"/>
      <w:bookmarkStart w:id="8" w:name="_Toc193860178"/>
      <w:bookmarkStart w:id="9" w:name="_Toc193860028"/>
      <w:bookmarkStart w:id="10" w:name="_Toc7848_WPSOffice_Level1"/>
      <w:bookmarkStart w:id="11" w:name="_Toc500258930"/>
      <w:r>
        <w:rPr>
          <w:rFonts w:hint="eastAsia" w:eastAsiaTheme="minorEastAsia"/>
          <w:kern w:val="0"/>
          <w:szCs w:val="21"/>
        </w:rPr>
        <w:t>本规范适用于适用于聚丙烯(PP)、聚甲基戊烯(PMP)、过氟烷氧基(PFA)塑料容量瓶校准。</w:t>
      </w:r>
    </w:p>
    <w:p>
      <w:pPr>
        <w:pStyle w:val="30"/>
        <w:numPr>
          <w:ilvl w:val="0"/>
          <w:numId w:val="0"/>
        </w:numPr>
        <w:spacing w:beforeLines="0" w:afterLines="0" w:line="360" w:lineRule="auto"/>
        <w:rPr>
          <w:rFonts w:ascii="Times New Roman"/>
          <w:szCs w:val="21"/>
        </w:rPr>
      </w:pPr>
      <w:r>
        <w:rPr>
          <w:rFonts w:ascii="Times New Roman"/>
          <w:szCs w:val="21"/>
        </w:rPr>
        <w:t>2</w:t>
      </w:r>
      <w:r>
        <w:rPr>
          <w:rFonts w:hint="eastAsia" w:ascii="Times New Roman"/>
          <w:szCs w:val="21"/>
        </w:rPr>
        <w:t>.2引用文</w:t>
      </w:r>
      <w:bookmarkEnd w:id="7"/>
      <w:bookmarkEnd w:id="8"/>
      <w:bookmarkEnd w:id="9"/>
      <w:r>
        <w:rPr>
          <w:rFonts w:hint="eastAsia" w:ascii="Times New Roman"/>
          <w:szCs w:val="21"/>
        </w:rPr>
        <w:t>件</w:t>
      </w:r>
      <w:bookmarkEnd w:id="10"/>
      <w:bookmarkEnd w:id="11"/>
    </w:p>
    <w:p>
      <w:pPr>
        <w:pStyle w:val="30"/>
        <w:numPr>
          <w:ilvl w:val="0"/>
          <w:numId w:val="0"/>
        </w:numPr>
        <w:spacing w:beforeLines="0" w:afterLines="0" w:line="360" w:lineRule="auto"/>
        <w:ind w:firstLine="400" w:firstLineChars="200"/>
        <w:rPr>
          <w:rFonts w:eastAsiaTheme="minorEastAsia"/>
          <w:szCs w:val="21"/>
        </w:rPr>
      </w:pPr>
      <w:bookmarkStart w:id="12" w:name="_Toc193619055"/>
      <w:bookmarkStart w:id="13" w:name="_Toc193860211"/>
      <w:bookmarkStart w:id="14" w:name="_Toc193860030"/>
      <w:bookmarkStart w:id="15" w:name="_Toc193618952"/>
      <w:bookmarkStart w:id="16" w:name="_Toc13054_WPSOffice_Level1"/>
      <w:bookmarkStart w:id="17" w:name="_Toc500258937"/>
      <w:bookmarkStart w:id="18" w:name="_Toc193619097"/>
      <w:bookmarkStart w:id="19" w:name="_Toc193860180"/>
      <w:r>
        <w:rPr>
          <w:rFonts w:hint="eastAsia" w:eastAsiaTheme="minorEastAsia"/>
          <w:szCs w:val="21"/>
        </w:rPr>
        <w:t>本规范主要引用</w:t>
      </w:r>
      <w:r>
        <w:rPr>
          <w:rFonts w:ascii="Times New Roman" w:eastAsiaTheme="minorEastAsia"/>
          <w:szCs w:val="21"/>
        </w:rPr>
        <w:t>了JJG 196 常用玻璃量器检定规程和JJG 646 移液器检</w:t>
      </w:r>
      <w:r>
        <w:rPr>
          <w:rFonts w:hint="eastAsia" w:eastAsiaTheme="minorEastAsia"/>
          <w:szCs w:val="21"/>
        </w:rPr>
        <w:t>定规程。</w:t>
      </w:r>
    </w:p>
    <w:p>
      <w:pPr>
        <w:pStyle w:val="30"/>
        <w:numPr>
          <w:ilvl w:val="0"/>
          <w:numId w:val="0"/>
        </w:numPr>
        <w:spacing w:beforeLines="0" w:afterLines="0" w:line="360" w:lineRule="auto"/>
        <w:rPr>
          <w:rFonts w:ascii="Times New Roman"/>
          <w:szCs w:val="21"/>
        </w:rPr>
      </w:pPr>
      <w:r>
        <w:rPr>
          <w:rFonts w:hint="eastAsia" w:ascii="Times New Roman"/>
          <w:szCs w:val="21"/>
        </w:rPr>
        <w:t>2.3 概述</w:t>
      </w:r>
      <w:bookmarkEnd w:id="12"/>
      <w:bookmarkEnd w:id="13"/>
      <w:bookmarkEnd w:id="14"/>
      <w:bookmarkEnd w:id="15"/>
      <w:bookmarkEnd w:id="16"/>
      <w:bookmarkEnd w:id="17"/>
      <w:bookmarkEnd w:id="18"/>
      <w:bookmarkEnd w:id="19"/>
    </w:p>
    <w:p>
      <w:pPr>
        <w:autoSpaceDE w:val="0"/>
        <w:autoSpaceDN w:val="0"/>
        <w:adjustRightInd w:val="0"/>
        <w:spacing w:line="360" w:lineRule="auto"/>
        <w:ind w:firstLine="420" w:firstLineChars="200"/>
      </w:pPr>
      <w:r>
        <w:rPr>
          <w:rFonts w:hint="eastAsia" w:eastAsiaTheme="minorEastAsia"/>
          <w:kern w:val="0"/>
          <w:szCs w:val="21"/>
        </w:rPr>
        <w:t>塑料容量瓶主要用于环保、科研、材料检测等领域，多用于一些特殊的分析方法，避免受到玻璃材质的干扰，常见的塑料容量瓶材质主要有聚丙烯(PP)、聚甲基戊烯(PMP)、过氟烷氧基(PFA)。</w:t>
      </w:r>
    </w:p>
    <w:p>
      <w:pPr>
        <w:pStyle w:val="30"/>
        <w:numPr>
          <w:ilvl w:val="0"/>
          <w:numId w:val="0"/>
        </w:numPr>
        <w:spacing w:before="156" w:after="156" w:line="276" w:lineRule="auto"/>
        <w:rPr>
          <w:rFonts w:ascii="Times New Roman"/>
          <w:szCs w:val="21"/>
        </w:rPr>
      </w:pPr>
      <w:bookmarkStart w:id="20" w:name="_Toc25829_WPSOffice_Level1"/>
      <w:r>
        <w:rPr>
          <w:rFonts w:hint="eastAsia" w:ascii="Times New Roman"/>
          <w:szCs w:val="21"/>
        </w:rPr>
        <w:t>2.4通用技术要求</w:t>
      </w:r>
    </w:p>
    <w:p>
      <w:pPr>
        <w:pStyle w:val="30"/>
        <w:numPr>
          <w:ilvl w:val="0"/>
          <w:numId w:val="0"/>
        </w:numPr>
        <w:spacing w:before="156" w:after="156" w:line="360" w:lineRule="auto"/>
        <w:ind w:firstLine="390"/>
        <w:rPr>
          <w:rFonts w:ascii="Times New Roman" w:eastAsiaTheme="minorEastAsia"/>
          <w:sz w:val="21"/>
          <w:szCs w:val="21"/>
        </w:rPr>
      </w:pPr>
      <w:r>
        <w:rPr>
          <w:rFonts w:hint="eastAsia" w:ascii="Times New Roman" w:eastAsiaTheme="minorEastAsia"/>
          <w:sz w:val="21"/>
          <w:szCs w:val="21"/>
        </w:rPr>
        <w:t>针对2023年5月西安研讨会专家提出删去计量特性中“密合性”，建议增加外观要求，在预审稿中增加了“4.1外观</w:t>
      </w:r>
      <w:r>
        <w:rPr>
          <w:rFonts w:ascii="Times New Roman" w:eastAsiaTheme="minorEastAsia"/>
          <w:sz w:val="21"/>
          <w:szCs w:val="21"/>
        </w:rPr>
        <w:t>、</w:t>
      </w:r>
      <w:r>
        <w:rPr>
          <w:rFonts w:hint="eastAsia" w:ascii="Times New Roman" w:eastAsiaTheme="minorEastAsia"/>
          <w:sz w:val="21"/>
          <w:szCs w:val="21"/>
        </w:rPr>
        <w:t>4.2密合性”</w:t>
      </w:r>
    </w:p>
    <w:p>
      <w:pPr>
        <w:pStyle w:val="30"/>
        <w:numPr>
          <w:ilvl w:val="0"/>
          <w:numId w:val="0"/>
        </w:numPr>
        <w:spacing w:before="156" w:after="156" w:line="360" w:lineRule="auto"/>
        <w:ind w:firstLine="390"/>
        <w:rPr>
          <w:rFonts w:ascii="Times New Roman" w:eastAsiaTheme="minorEastAsia"/>
          <w:sz w:val="21"/>
          <w:szCs w:val="21"/>
        </w:rPr>
      </w:pPr>
      <w:r>
        <w:rPr>
          <w:rFonts w:hint="eastAsia" w:ascii="Times New Roman" w:eastAsiaTheme="minorEastAsia"/>
          <w:sz w:val="21"/>
          <w:szCs w:val="21"/>
        </w:rPr>
        <w:t>提出了塑料容量瓶瓶身应标注厂名或商标、材质、标称容量以及容量允差等信息。</w:t>
      </w:r>
    </w:p>
    <w:p>
      <w:pPr>
        <w:pStyle w:val="25"/>
        <w:ind w:firstLine="420"/>
      </w:pPr>
    </w:p>
    <w:p>
      <w:pPr>
        <w:pStyle w:val="30"/>
        <w:numPr>
          <w:ilvl w:val="0"/>
          <w:numId w:val="0"/>
        </w:numPr>
        <w:spacing w:before="156" w:after="156" w:line="276" w:lineRule="auto"/>
        <w:rPr>
          <w:rFonts w:ascii="Times New Roman"/>
          <w:szCs w:val="21"/>
        </w:rPr>
      </w:pPr>
      <w:r>
        <w:rPr>
          <w:rFonts w:hint="eastAsia" w:ascii="Times New Roman"/>
          <w:szCs w:val="21"/>
        </w:rPr>
        <w:t>2.5计量特性</w:t>
      </w:r>
    </w:p>
    <w:p>
      <w:pPr>
        <w:pStyle w:val="25"/>
        <w:spacing w:line="360" w:lineRule="auto"/>
        <w:ind w:firstLine="420"/>
        <w:rPr>
          <w:rFonts w:ascii="Times New Roman" w:eastAsiaTheme="minorEastAsia"/>
          <w:szCs w:val="21"/>
        </w:rPr>
      </w:pPr>
      <w:r>
        <w:rPr>
          <w:rFonts w:hint="eastAsia" w:ascii="Times New Roman" w:eastAsiaTheme="minorEastAsia"/>
          <w:szCs w:val="21"/>
        </w:rPr>
        <w:t>塑料容量瓶的计量特性主要为容量误差，针对2023年5月西安研讨会专家提出缺少容量允差的问题，经过调研不同品牌不同材质的塑料容量瓶，在预审稿中列出了在标准温度20℃时，常见塑料容量瓶的标称容量允差。</w:t>
      </w:r>
    </w:p>
    <w:p>
      <w:pPr>
        <w:pStyle w:val="25"/>
        <w:spacing w:line="360" w:lineRule="auto"/>
        <w:ind w:firstLine="420"/>
        <w:rPr>
          <w:rFonts w:ascii="Times New Roman" w:eastAsiaTheme="minorEastAsia"/>
          <w:szCs w:val="21"/>
        </w:rPr>
      </w:pPr>
      <w:r>
        <w:rPr>
          <w:rFonts w:hint="eastAsia" w:ascii="Times New Roman" w:eastAsiaTheme="minorEastAsia"/>
          <w:szCs w:val="21"/>
        </w:rPr>
        <w:t>2024年1月研讨会专家提出将所列出的不同品牌不同材质的塑料容量瓶允差，移至附录，故增加了附录E常见塑料容量瓶的标称容量允差。</w:t>
      </w:r>
    </w:p>
    <w:p>
      <w:pPr>
        <w:pStyle w:val="30"/>
        <w:numPr>
          <w:ilvl w:val="0"/>
          <w:numId w:val="0"/>
        </w:numPr>
        <w:spacing w:before="156" w:after="156" w:line="276" w:lineRule="auto"/>
        <w:rPr>
          <w:rFonts w:ascii="Times New Roman"/>
          <w:szCs w:val="21"/>
        </w:rPr>
      </w:pPr>
      <w:r>
        <w:rPr>
          <w:rFonts w:hint="eastAsia" w:ascii="Times New Roman"/>
          <w:szCs w:val="21"/>
        </w:rPr>
        <w:t>2.6校准条件</w:t>
      </w:r>
      <w:bookmarkEnd w:id="20"/>
      <w:bookmarkStart w:id="21" w:name="_Toc193860183"/>
      <w:bookmarkStart w:id="22" w:name="_Toc193860214"/>
      <w:bookmarkStart w:id="23" w:name="_Toc500258942"/>
      <w:bookmarkStart w:id="24" w:name="_Toc193860033"/>
    </w:p>
    <w:bookmarkEnd w:id="21"/>
    <w:bookmarkEnd w:id="22"/>
    <w:bookmarkEnd w:id="23"/>
    <w:bookmarkEnd w:id="24"/>
    <w:p>
      <w:pPr>
        <w:pStyle w:val="30"/>
        <w:numPr>
          <w:ilvl w:val="0"/>
          <w:numId w:val="0"/>
        </w:numPr>
        <w:spacing w:before="156" w:after="156" w:line="276" w:lineRule="auto"/>
        <w:ind w:firstLine="420" w:firstLineChars="200"/>
        <w:rPr>
          <w:rFonts w:ascii="Times New Roman" w:eastAsia="宋体"/>
          <w:kern w:val="2"/>
          <w:sz w:val="21"/>
          <w:szCs w:val="21"/>
        </w:rPr>
      </w:pPr>
      <w:bookmarkStart w:id="25" w:name="_Toc193860035"/>
      <w:bookmarkStart w:id="26" w:name="_Toc193618955"/>
      <w:bookmarkStart w:id="27" w:name="_Toc500258944"/>
      <w:bookmarkStart w:id="28" w:name="_Toc193860185"/>
      <w:bookmarkStart w:id="29" w:name="_Toc193860216"/>
      <w:bookmarkStart w:id="30" w:name="_Toc193619058"/>
      <w:bookmarkStart w:id="31" w:name="_Toc193619100"/>
      <w:bookmarkStart w:id="32" w:name="_Toc2741_WPSOffice_Level1"/>
      <w:r>
        <w:rPr>
          <w:rFonts w:hint="eastAsia" w:ascii="Times New Roman" w:eastAsia="宋体"/>
          <w:kern w:val="2"/>
          <w:sz w:val="21"/>
          <w:szCs w:val="21"/>
        </w:rPr>
        <w:t>室温（20±5）℃，且室温变化不得大于1℃/h；校准介质为纯水，应符合GB/T 6682-2008要求。</w:t>
      </w:r>
    </w:p>
    <w:p>
      <w:pPr>
        <w:spacing w:line="360" w:lineRule="auto"/>
        <w:ind w:firstLine="420" w:firstLineChars="200"/>
        <w:rPr>
          <w:szCs w:val="21"/>
        </w:rPr>
      </w:pPr>
      <w:r>
        <w:rPr>
          <w:rFonts w:hint="eastAsia" w:eastAsiaTheme="minorEastAsia"/>
          <w:szCs w:val="21"/>
        </w:rPr>
        <w:t>2024年1月研讨会专家提出</w:t>
      </w:r>
      <w:r>
        <w:rPr>
          <w:rFonts w:hint="eastAsia"/>
          <w:szCs w:val="21"/>
        </w:rPr>
        <w:t xml:space="preserve">6.2章节表4 测量标准的测量范围改为具体范围、温度计增加精度要求。修改测量标准见表1 </w:t>
      </w:r>
    </w:p>
    <w:p>
      <w:pPr>
        <w:spacing w:line="360" w:lineRule="auto"/>
        <w:jc w:val="center"/>
        <w:rPr>
          <w:rFonts w:eastAsiaTheme="minorEastAsia"/>
          <w:sz w:val="24"/>
        </w:rPr>
      </w:pPr>
      <w:r>
        <w:rPr>
          <w:rFonts w:hint="eastAsia"/>
          <w:szCs w:val="21"/>
        </w:rPr>
        <w:t xml:space="preserve">   </w:t>
      </w:r>
      <w:r>
        <w:rPr>
          <w:rFonts w:hint="eastAsia" w:eastAsiaTheme="minorEastAsia"/>
          <w:sz w:val="24"/>
        </w:rPr>
        <w:t>表1 测量标准</w:t>
      </w:r>
    </w:p>
    <w:tbl>
      <w:tblPr>
        <w:tblStyle w:val="16"/>
        <w:tblW w:w="87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9"/>
        <w:gridCol w:w="2459"/>
        <w:gridCol w:w="4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1649" w:type="dxa"/>
            <w:vAlign w:val="center"/>
          </w:tcPr>
          <w:p>
            <w:pPr>
              <w:spacing w:line="360" w:lineRule="auto"/>
              <w:jc w:val="center"/>
              <w:rPr>
                <w:rFonts w:ascii="Calibri" w:hAnsi="Calibri" w:eastAsiaTheme="minorEastAsia"/>
                <w:sz w:val="22"/>
                <w:szCs w:val="22"/>
              </w:rPr>
            </w:pPr>
            <w:r>
              <w:rPr>
                <w:rFonts w:hint="eastAsia" w:ascii="Calibri" w:hAnsi="Calibri" w:eastAsiaTheme="minorEastAsia"/>
                <w:sz w:val="22"/>
                <w:szCs w:val="22"/>
              </w:rPr>
              <w:t>仪器名称</w:t>
            </w:r>
          </w:p>
        </w:tc>
        <w:tc>
          <w:tcPr>
            <w:tcW w:w="2459" w:type="dxa"/>
            <w:vAlign w:val="center"/>
          </w:tcPr>
          <w:p>
            <w:pPr>
              <w:spacing w:line="360" w:lineRule="auto"/>
              <w:jc w:val="center"/>
              <w:rPr>
                <w:rFonts w:ascii="Calibri" w:hAnsi="Calibri" w:eastAsiaTheme="minorEastAsia"/>
                <w:sz w:val="22"/>
                <w:szCs w:val="22"/>
              </w:rPr>
            </w:pPr>
            <w:r>
              <w:rPr>
                <w:rFonts w:hint="eastAsia" w:ascii="Calibri" w:hAnsi="Calibri" w:eastAsiaTheme="minorEastAsia"/>
                <w:sz w:val="22"/>
                <w:szCs w:val="22"/>
              </w:rPr>
              <w:t>测量范围</w:t>
            </w:r>
          </w:p>
        </w:tc>
        <w:tc>
          <w:tcPr>
            <w:tcW w:w="4621" w:type="dxa"/>
            <w:vAlign w:val="center"/>
          </w:tcPr>
          <w:p>
            <w:pPr>
              <w:spacing w:line="360" w:lineRule="auto"/>
              <w:jc w:val="center"/>
              <w:rPr>
                <w:rFonts w:ascii="Calibri" w:hAnsi="Calibri" w:eastAsiaTheme="minorEastAsia"/>
                <w:sz w:val="22"/>
                <w:szCs w:val="22"/>
              </w:rPr>
            </w:pPr>
            <w:r>
              <w:rPr>
                <w:rFonts w:hint="eastAsia" w:ascii="Calibri" w:hAnsi="Calibri" w:eastAsiaTheme="minorEastAsia"/>
                <w:sz w:val="22"/>
                <w:szCs w:val="22"/>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649" w:type="dxa"/>
            <w:vAlign w:val="center"/>
          </w:tcPr>
          <w:p>
            <w:pPr>
              <w:spacing w:line="360" w:lineRule="auto"/>
              <w:jc w:val="center"/>
              <w:rPr>
                <w:rFonts w:eastAsiaTheme="minorEastAsia"/>
                <w:kern w:val="0"/>
                <w:szCs w:val="21"/>
              </w:rPr>
            </w:pPr>
            <w:r>
              <w:rPr>
                <w:rFonts w:hint="eastAsia" w:eastAsiaTheme="minorEastAsia"/>
                <w:kern w:val="0"/>
                <w:szCs w:val="21"/>
              </w:rPr>
              <w:t>电子天平</w:t>
            </w:r>
          </w:p>
        </w:tc>
        <w:tc>
          <w:tcPr>
            <w:tcW w:w="2459" w:type="dxa"/>
            <w:vAlign w:val="center"/>
          </w:tcPr>
          <w:p>
            <w:pPr>
              <w:spacing w:line="360" w:lineRule="auto"/>
              <w:jc w:val="center"/>
              <w:rPr>
                <w:rFonts w:eastAsiaTheme="minorEastAsia"/>
                <w:kern w:val="0"/>
                <w:szCs w:val="21"/>
              </w:rPr>
            </w:pPr>
            <w:r>
              <w:rPr>
                <w:rFonts w:eastAsiaTheme="minorEastAsia"/>
                <w:kern w:val="0"/>
                <w:szCs w:val="21"/>
              </w:rPr>
              <w:t>（0 ~200）g</w:t>
            </w:r>
          </w:p>
        </w:tc>
        <w:tc>
          <w:tcPr>
            <w:tcW w:w="4621" w:type="dxa"/>
            <w:vAlign w:val="center"/>
          </w:tcPr>
          <w:p>
            <w:pPr>
              <w:spacing w:line="360" w:lineRule="auto"/>
              <w:jc w:val="center"/>
              <w:rPr>
                <w:rFonts w:eastAsiaTheme="minorEastAsia"/>
                <w:kern w:val="0"/>
                <w:szCs w:val="21"/>
              </w:rPr>
            </w:pPr>
            <w:r>
              <w:rPr>
                <w:rFonts w:eastAsiaTheme="minorEastAsia"/>
                <w:kern w:val="0"/>
                <w:szCs w:val="21"/>
              </w:rPr>
              <w:t>分度值：0.1mg，</w:t>
            </w:r>
            <w:r>
              <w:rPr>
                <w:rFonts w:eastAsiaTheme="minorEastAsia"/>
                <w:kern w:val="0"/>
                <w:szCs w:val="21"/>
              </w:rPr>
              <w:drawing>
                <wp:inline distT="0" distB="0" distL="0" distR="0">
                  <wp:extent cx="149225" cy="116205"/>
                  <wp:effectExtent l="0" t="0" r="3175" b="0"/>
                  <wp:docPr id="27" name="图片 27" descr="..\桌面\tubia\1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桌面\tubia\111.b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48033" cy="115263"/>
                          </a:xfrm>
                          <a:prstGeom prst="rect">
                            <a:avLst/>
                          </a:prstGeom>
                          <a:noFill/>
                          <a:ln>
                            <a:noFill/>
                          </a:ln>
                        </pic:spPr>
                      </pic:pic>
                    </a:graphicData>
                  </a:graphic>
                </wp:inline>
              </w:drawing>
            </w:r>
            <w:r>
              <w:rPr>
                <w:rFonts w:eastAsiaTheme="minorEastAsia"/>
                <w:kern w:val="0"/>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1649" w:type="dxa"/>
            <w:vAlign w:val="center"/>
          </w:tcPr>
          <w:p>
            <w:pPr>
              <w:spacing w:line="360" w:lineRule="auto"/>
              <w:jc w:val="center"/>
              <w:rPr>
                <w:rFonts w:eastAsiaTheme="minorEastAsia"/>
                <w:kern w:val="0"/>
                <w:szCs w:val="21"/>
              </w:rPr>
            </w:pPr>
            <w:r>
              <w:rPr>
                <w:rFonts w:hint="eastAsia" w:eastAsiaTheme="minorEastAsia"/>
                <w:kern w:val="0"/>
                <w:szCs w:val="21"/>
              </w:rPr>
              <w:t>电子天平</w:t>
            </w:r>
          </w:p>
        </w:tc>
        <w:tc>
          <w:tcPr>
            <w:tcW w:w="2459" w:type="dxa"/>
            <w:vAlign w:val="center"/>
          </w:tcPr>
          <w:p>
            <w:pPr>
              <w:spacing w:line="360" w:lineRule="auto"/>
              <w:jc w:val="center"/>
              <w:rPr>
                <w:rFonts w:eastAsiaTheme="minorEastAsia"/>
                <w:kern w:val="0"/>
                <w:szCs w:val="21"/>
              </w:rPr>
            </w:pPr>
            <w:r>
              <w:rPr>
                <w:rFonts w:eastAsiaTheme="minorEastAsia"/>
                <w:kern w:val="0"/>
                <w:szCs w:val="21"/>
              </w:rPr>
              <w:t>（0~1000）g</w:t>
            </w:r>
          </w:p>
        </w:tc>
        <w:tc>
          <w:tcPr>
            <w:tcW w:w="4621" w:type="dxa"/>
            <w:vAlign w:val="center"/>
          </w:tcPr>
          <w:p>
            <w:pPr>
              <w:spacing w:line="360" w:lineRule="auto"/>
              <w:jc w:val="center"/>
              <w:rPr>
                <w:rFonts w:eastAsiaTheme="minorEastAsia"/>
                <w:kern w:val="0"/>
                <w:szCs w:val="21"/>
              </w:rPr>
            </w:pPr>
            <w:r>
              <w:rPr>
                <w:rFonts w:eastAsiaTheme="minorEastAsia"/>
                <w:kern w:val="0"/>
                <w:szCs w:val="21"/>
              </w:rPr>
              <w:t>分度值：2mg，</w:t>
            </w:r>
            <w:r>
              <w:rPr>
                <w:rFonts w:eastAsiaTheme="minorEastAsia"/>
                <w:kern w:val="0"/>
                <w:szCs w:val="21"/>
              </w:rPr>
              <w:drawing>
                <wp:inline distT="0" distB="0" distL="0" distR="0">
                  <wp:extent cx="162560" cy="125730"/>
                  <wp:effectExtent l="0" t="0" r="8890" b="7620"/>
                  <wp:docPr id="28" name="图片 28" descr="..\桌面\tubia\22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桌面\tubia\222.b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65785" cy="128247"/>
                          </a:xfrm>
                          <a:prstGeom prst="rect">
                            <a:avLst/>
                          </a:prstGeom>
                          <a:noFill/>
                          <a:ln>
                            <a:noFill/>
                          </a:ln>
                        </pic:spPr>
                      </pic:pic>
                    </a:graphicData>
                  </a:graphic>
                </wp:inline>
              </w:drawing>
            </w:r>
            <w:r>
              <w:rPr>
                <w:rFonts w:eastAsiaTheme="minorEastAsia"/>
                <w:kern w:val="0"/>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649" w:type="dxa"/>
            <w:vAlign w:val="center"/>
          </w:tcPr>
          <w:p>
            <w:pPr>
              <w:spacing w:line="360" w:lineRule="auto"/>
              <w:jc w:val="center"/>
              <w:rPr>
                <w:rFonts w:eastAsiaTheme="minorEastAsia"/>
                <w:kern w:val="0"/>
                <w:szCs w:val="21"/>
              </w:rPr>
            </w:pPr>
            <w:r>
              <w:rPr>
                <w:rFonts w:hint="eastAsia" w:eastAsiaTheme="minorEastAsia"/>
                <w:kern w:val="0"/>
                <w:szCs w:val="21"/>
              </w:rPr>
              <w:t>电子天平</w:t>
            </w:r>
          </w:p>
        </w:tc>
        <w:tc>
          <w:tcPr>
            <w:tcW w:w="2459" w:type="dxa"/>
            <w:vAlign w:val="center"/>
          </w:tcPr>
          <w:p>
            <w:pPr>
              <w:spacing w:line="360" w:lineRule="auto"/>
              <w:jc w:val="center"/>
              <w:rPr>
                <w:rFonts w:eastAsiaTheme="minorEastAsia"/>
                <w:kern w:val="0"/>
                <w:szCs w:val="21"/>
              </w:rPr>
            </w:pPr>
            <w:r>
              <w:rPr>
                <w:rFonts w:eastAsiaTheme="minorEastAsia"/>
                <w:kern w:val="0"/>
                <w:szCs w:val="21"/>
              </w:rPr>
              <w:t>（0~5000）g</w:t>
            </w:r>
          </w:p>
        </w:tc>
        <w:tc>
          <w:tcPr>
            <w:tcW w:w="4621" w:type="dxa"/>
            <w:vAlign w:val="center"/>
          </w:tcPr>
          <w:p>
            <w:pPr>
              <w:spacing w:line="360" w:lineRule="auto"/>
              <w:jc w:val="center"/>
              <w:rPr>
                <w:rFonts w:eastAsiaTheme="minorEastAsia"/>
                <w:kern w:val="0"/>
                <w:szCs w:val="21"/>
              </w:rPr>
            </w:pPr>
            <w:r>
              <w:rPr>
                <w:rFonts w:eastAsiaTheme="minorEastAsia"/>
                <w:kern w:val="0"/>
                <w:szCs w:val="21"/>
              </w:rPr>
              <w:t>分度值：10mg，</w:t>
            </w:r>
            <w:r>
              <w:rPr>
                <w:rFonts w:eastAsiaTheme="minorEastAsia"/>
                <w:kern w:val="0"/>
                <w:szCs w:val="21"/>
              </w:rPr>
              <w:drawing>
                <wp:inline distT="0" distB="0" distL="0" distR="0">
                  <wp:extent cx="175895" cy="135890"/>
                  <wp:effectExtent l="0" t="0" r="0" b="0"/>
                  <wp:docPr id="29" name="图片 29" descr="..\桌面\tubia\22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桌面\tubia\222.b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79719" cy="139026"/>
                          </a:xfrm>
                          <a:prstGeom prst="rect">
                            <a:avLst/>
                          </a:prstGeom>
                          <a:noFill/>
                          <a:ln>
                            <a:noFill/>
                          </a:ln>
                        </pic:spPr>
                      </pic:pic>
                    </a:graphicData>
                  </a:graphic>
                </wp:inline>
              </w:drawing>
            </w:r>
            <w:r>
              <w:rPr>
                <w:rFonts w:eastAsiaTheme="minorEastAsia"/>
                <w:kern w:val="0"/>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649" w:type="dxa"/>
            <w:vAlign w:val="center"/>
          </w:tcPr>
          <w:p>
            <w:pPr>
              <w:spacing w:line="360" w:lineRule="auto"/>
              <w:jc w:val="center"/>
              <w:rPr>
                <w:rFonts w:eastAsiaTheme="minorEastAsia"/>
                <w:kern w:val="0"/>
                <w:szCs w:val="21"/>
              </w:rPr>
            </w:pPr>
            <w:r>
              <w:rPr>
                <w:rFonts w:hint="eastAsia" w:eastAsiaTheme="minorEastAsia"/>
                <w:kern w:val="0"/>
                <w:szCs w:val="21"/>
              </w:rPr>
              <w:t>温度计</w:t>
            </w:r>
          </w:p>
        </w:tc>
        <w:tc>
          <w:tcPr>
            <w:tcW w:w="2459" w:type="dxa"/>
            <w:vAlign w:val="center"/>
          </w:tcPr>
          <w:p>
            <w:pPr>
              <w:spacing w:line="360" w:lineRule="auto"/>
              <w:jc w:val="center"/>
              <w:rPr>
                <w:rFonts w:eastAsiaTheme="minorEastAsia"/>
                <w:kern w:val="0"/>
                <w:szCs w:val="21"/>
              </w:rPr>
            </w:pPr>
            <w:r>
              <w:rPr>
                <w:rFonts w:eastAsiaTheme="minorEastAsia"/>
                <w:kern w:val="0"/>
                <w:szCs w:val="21"/>
              </w:rPr>
              <w:t>（10~30）℃</w:t>
            </w:r>
          </w:p>
        </w:tc>
        <w:tc>
          <w:tcPr>
            <w:tcW w:w="4621" w:type="dxa"/>
            <w:vAlign w:val="center"/>
          </w:tcPr>
          <w:p>
            <w:pPr>
              <w:spacing w:line="360" w:lineRule="auto"/>
              <w:jc w:val="center"/>
              <w:rPr>
                <w:rFonts w:eastAsiaTheme="minorEastAsia"/>
                <w:kern w:val="0"/>
                <w:szCs w:val="21"/>
              </w:rPr>
            </w:pPr>
            <w:r>
              <w:rPr>
                <w:rFonts w:eastAsiaTheme="minorEastAsia"/>
                <w:kern w:val="0"/>
                <w:szCs w:val="21"/>
              </w:rPr>
              <w:t>分度值不低于0.1℃，最大允许误差±0.2℃</w:t>
            </w:r>
          </w:p>
        </w:tc>
      </w:tr>
    </w:tbl>
    <w:p>
      <w:pPr>
        <w:pStyle w:val="25"/>
        <w:ind w:firstLine="0" w:firstLineChars="0"/>
      </w:pPr>
    </w:p>
    <w:p>
      <w:pPr>
        <w:pStyle w:val="30"/>
        <w:numPr>
          <w:ilvl w:val="0"/>
          <w:numId w:val="0"/>
        </w:numPr>
        <w:spacing w:before="156" w:after="156" w:line="276" w:lineRule="auto"/>
        <w:rPr>
          <w:rFonts w:ascii="Times New Roman"/>
          <w:szCs w:val="21"/>
        </w:rPr>
      </w:pPr>
      <w:r>
        <w:rPr>
          <w:rFonts w:hint="eastAsia" w:ascii="Times New Roman"/>
          <w:szCs w:val="21"/>
        </w:rPr>
        <w:t>2.7校准项目和校准方法</w:t>
      </w:r>
      <w:bookmarkEnd w:id="25"/>
      <w:bookmarkEnd w:id="26"/>
      <w:bookmarkEnd w:id="27"/>
      <w:bookmarkEnd w:id="28"/>
      <w:bookmarkEnd w:id="29"/>
      <w:bookmarkEnd w:id="30"/>
      <w:bookmarkEnd w:id="31"/>
      <w:bookmarkEnd w:id="32"/>
    </w:p>
    <w:p>
      <w:pPr>
        <w:spacing w:line="360" w:lineRule="auto"/>
        <w:ind w:firstLine="420" w:firstLineChars="200"/>
        <w:rPr>
          <w:kern w:val="0"/>
          <w:szCs w:val="21"/>
        </w:rPr>
      </w:pPr>
      <w:bookmarkStart w:id="33" w:name="_Toc22718_WPSOffice_Level2"/>
      <w:bookmarkStart w:id="34" w:name="_Toc500258945"/>
      <w:bookmarkStart w:id="35" w:name="_Toc193860038"/>
      <w:bookmarkStart w:id="36" w:name="_Toc193618956"/>
      <w:bookmarkStart w:id="37" w:name="_Toc193619101"/>
      <w:bookmarkStart w:id="38" w:name="_Toc193619059"/>
      <w:bookmarkStart w:id="39" w:name="_Toc193860219"/>
      <w:bookmarkStart w:id="40" w:name="_Toc193860188"/>
      <w:bookmarkStart w:id="41" w:name="_Toc25466_WPSOffice_Level1"/>
      <w:bookmarkStart w:id="42" w:name="_Toc500258947"/>
      <w:r>
        <w:rPr>
          <w:rFonts w:hint="eastAsia"/>
          <w:kern w:val="0"/>
          <w:szCs w:val="21"/>
        </w:rPr>
        <w:t>校准项目主要为塑料容量瓶的容量误差，校准方法采用衡量法。</w:t>
      </w:r>
    </w:p>
    <w:p>
      <w:pPr>
        <w:spacing w:line="360" w:lineRule="auto"/>
        <w:ind w:firstLine="420" w:firstLineChars="200"/>
        <w:rPr>
          <w:rFonts w:eastAsiaTheme="minorEastAsia"/>
          <w:szCs w:val="21"/>
        </w:rPr>
      </w:pPr>
      <w:r>
        <w:rPr>
          <w:rFonts w:hint="eastAsia" w:eastAsiaTheme="minorEastAsia"/>
          <w:szCs w:val="21"/>
        </w:rPr>
        <w:t>针对2023年5月西安研讨会专家提出缺少容量误差计算公式，增加了“容量误差</w:t>
      </w:r>
      <w:r>
        <w:rPr>
          <w:rFonts w:eastAsiaTheme="minorEastAsia"/>
          <w:szCs w:val="21"/>
        </w:rPr>
        <w:t>Δ</w:t>
      </w:r>
      <w:r>
        <w:rPr>
          <w:rFonts w:hint="eastAsia" w:eastAsiaTheme="minorEastAsia"/>
          <w:i/>
          <w:iCs/>
          <w:szCs w:val="21"/>
        </w:rPr>
        <w:t>V</w:t>
      </w:r>
      <w:r>
        <w:rPr>
          <w:rFonts w:hint="eastAsia" w:eastAsiaTheme="minorEastAsia"/>
          <w:iCs/>
          <w:szCs w:val="21"/>
        </w:rPr>
        <w:t>的计算公式</w:t>
      </w:r>
      <w:r>
        <w:rPr>
          <w:position w:val="-12"/>
        </w:rPr>
        <w:object>
          <v:shape id="_x0000_i1025" o:spt="75" type="#_x0000_t75" style="height:15.65pt;width:57.5pt;" o:ole="t" filled="f" o:preferrelative="t" stroked="f" coordsize="21600,21600">
            <v:path/>
            <v:fill on="f" focussize="0,0"/>
            <v:stroke on="f" joinstyle="miter"/>
            <v:imagedata r:id="rId9" o:title=""/>
            <o:lock v:ext="edit" aspectratio="t"/>
            <w10:wrap type="none"/>
            <w10:anchorlock/>
          </v:shape>
          <o:OLEObject Type="Embed" ProgID="Equation.3" ShapeID="_x0000_i1025" DrawAspect="Content" ObjectID="_1468075725" r:id="rId8">
            <o:LockedField>false</o:LockedField>
          </o:OLEObject>
        </w:object>
      </w:r>
    </w:p>
    <w:p>
      <w:pPr>
        <w:spacing w:line="360" w:lineRule="auto"/>
        <w:ind w:firstLine="420" w:firstLineChars="200"/>
        <w:rPr>
          <w:kern w:val="0"/>
          <w:szCs w:val="21"/>
        </w:rPr>
      </w:pPr>
      <w:r>
        <w:rPr>
          <w:rFonts w:hint="eastAsia"/>
          <w:kern w:val="0"/>
          <w:szCs w:val="21"/>
        </w:rPr>
        <w:t>根据征求意见稿反馈，增加了“7.1校准前的准备：校准用纯水应提前24小时放入实验室，使其温度与室温温差不得大于2℃，校准前需将容量瓶洗净并干燥，且提前4小时放入实验室内。</w:t>
      </w:r>
      <w:r>
        <w:rPr>
          <w:kern w:val="0"/>
          <w:szCs w:val="21"/>
        </w:rPr>
        <w:t>”</w:t>
      </w:r>
    </w:p>
    <w:bookmarkEnd w:id="33"/>
    <w:bookmarkEnd w:id="34"/>
    <w:p>
      <w:pPr>
        <w:pStyle w:val="30"/>
        <w:numPr>
          <w:ilvl w:val="0"/>
          <w:numId w:val="0"/>
        </w:numPr>
        <w:spacing w:before="156" w:after="156" w:line="276" w:lineRule="auto"/>
        <w:rPr>
          <w:rFonts w:ascii="Times New Roman"/>
          <w:szCs w:val="21"/>
        </w:rPr>
      </w:pPr>
      <w:r>
        <w:rPr>
          <w:rFonts w:hint="eastAsia" w:ascii="Times New Roman"/>
          <w:szCs w:val="21"/>
        </w:rPr>
        <w:t>2.8校准结果</w:t>
      </w:r>
      <w:bookmarkEnd w:id="35"/>
      <w:bookmarkEnd w:id="36"/>
      <w:bookmarkEnd w:id="37"/>
      <w:bookmarkEnd w:id="38"/>
      <w:bookmarkEnd w:id="39"/>
      <w:bookmarkEnd w:id="40"/>
      <w:r>
        <w:rPr>
          <w:rFonts w:hint="eastAsia" w:ascii="Times New Roman"/>
          <w:szCs w:val="21"/>
        </w:rPr>
        <w:t>表达</w:t>
      </w:r>
      <w:bookmarkEnd w:id="41"/>
      <w:bookmarkEnd w:id="42"/>
    </w:p>
    <w:p>
      <w:pPr>
        <w:pStyle w:val="25"/>
        <w:spacing w:line="276" w:lineRule="auto"/>
        <w:ind w:firstLine="420"/>
        <w:rPr>
          <w:rFonts w:ascii="Times New Roman" w:eastAsiaTheme="minorEastAsia"/>
          <w:kern w:val="2"/>
          <w:szCs w:val="21"/>
        </w:rPr>
      </w:pPr>
      <w:bookmarkStart w:id="43" w:name="_Toc5529"/>
      <w:bookmarkStart w:id="44" w:name="_Toc193860189"/>
      <w:bookmarkStart w:id="45" w:name="_Toc193860040"/>
      <w:bookmarkStart w:id="46" w:name="_Toc14803_WPSOffice_Level1"/>
      <w:bookmarkStart w:id="47" w:name="_Toc193860220"/>
      <w:bookmarkStart w:id="48" w:name="_Toc193860041"/>
      <w:r>
        <w:rPr>
          <w:rFonts w:hint="eastAsia" w:ascii="Times New Roman" w:eastAsiaTheme="minorEastAsia"/>
          <w:kern w:val="2"/>
          <w:szCs w:val="21"/>
        </w:rPr>
        <w:t>根据实验室环境要求、校准项目校准结果、测量不确定度评定结果等，按照推荐的校准报告格式，出具校准证书。</w:t>
      </w:r>
    </w:p>
    <w:p>
      <w:pPr>
        <w:pStyle w:val="30"/>
        <w:numPr>
          <w:ilvl w:val="0"/>
          <w:numId w:val="0"/>
        </w:numPr>
        <w:spacing w:before="156" w:after="156" w:line="360" w:lineRule="auto"/>
        <w:rPr>
          <w:rFonts w:ascii="Times New Roman"/>
          <w:szCs w:val="21"/>
        </w:rPr>
      </w:pPr>
      <w:r>
        <w:rPr>
          <w:rFonts w:hint="eastAsia" w:ascii="Times New Roman"/>
          <w:szCs w:val="21"/>
        </w:rPr>
        <w:t>2.9复校</w:t>
      </w:r>
      <w:bookmarkEnd w:id="43"/>
      <w:bookmarkEnd w:id="44"/>
      <w:bookmarkEnd w:id="45"/>
      <w:bookmarkEnd w:id="46"/>
      <w:bookmarkEnd w:id="47"/>
      <w:r>
        <w:rPr>
          <w:rFonts w:hint="eastAsia" w:ascii="Times New Roman"/>
          <w:szCs w:val="21"/>
        </w:rPr>
        <w:t>时间间隔</w:t>
      </w:r>
    </w:p>
    <w:bookmarkEnd w:id="48"/>
    <w:p>
      <w:pPr>
        <w:pStyle w:val="25"/>
        <w:spacing w:line="360" w:lineRule="auto"/>
        <w:ind w:firstLine="420"/>
        <w:rPr>
          <w:rFonts w:ascii="Times New Roman" w:eastAsiaTheme="minorEastAsia"/>
          <w:kern w:val="2"/>
          <w:szCs w:val="21"/>
        </w:rPr>
      </w:pPr>
      <w:r>
        <w:rPr>
          <w:rFonts w:hint="eastAsia" w:ascii="Times New Roman" w:eastAsiaTheme="minorEastAsia"/>
          <w:kern w:val="2"/>
          <w:szCs w:val="21"/>
        </w:rPr>
        <w:t>可根据实际使用情况自主决定，建议复校时间间隔为</w:t>
      </w:r>
      <w:r>
        <w:rPr>
          <w:rFonts w:ascii="Times New Roman" w:eastAsiaTheme="minorEastAsia"/>
          <w:kern w:val="2"/>
          <w:szCs w:val="21"/>
        </w:rPr>
        <w:t>1</w:t>
      </w:r>
      <w:r>
        <w:rPr>
          <w:rFonts w:hint="eastAsia" w:ascii="Times New Roman" w:eastAsiaTheme="minorEastAsia"/>
          <w:kern w:val="2"/>
          <w:szCs w:val="21"/>
        </w:rPr>
        <w:t>年。</w:t>
      </w:r>
    </w:p>
    <w:p>
      <w:pPr>
        <w:pStyle w:val="30"/>
        <w:numPr>
          <w:ilvl w:val="0"/>
          <w:numId w:val="0"/>
        </w:numPr>
        <w:spacing w:before="156" w:after="156" w:line="360" w:lineRule="auto"/>
        <w:rPr>
          <w:rFonts w:ascii="Times New Roman"/>
          <w:szCs w:val="21"/>
        </w:rPr>
      </w:pPr>
      <w:r>
        <w:rPr>
          <w:rFonts w:hint="eastAsia" w:ascii="Times New Roman"/>
          <w:szCs w:val="21"/>
        </w:rPr>
        <w:t>2.10附录</w:t>
      </w:r>
    </w:p>
    <w:bookmarkEnd w:id="6"/>
    <w:p>
      <w:pPr>
        <w:pStyle w:val="25"/>
        <w:spacing w:line="360" w:lineRule="auto"/>
        <w:ind w:firstLine="420"/>
        <w:rPr>
          <w:rFonts w:ascii="Times New Roman" w:eastAsiaTheme="minorEastAsia"/>
          <w:kern w:val="2"/>
          <w:szCs w:val="21"/>
        </w:rPr>
      </w:pPr>
      <w:r>
        <w:rPr>
          <w:rFonts w:hint="eastAsia" w:ascii="Times New Roman" w:eastAsiaTheme="minorEastAsia"/>
          <w:kern w:val="2"/>
          <w:szCs w:val="21"/>
        </w:rPr>
        <w:t>附录主要包含校准原始记录参考格式、校准证书内页参考格式、塑料容量瓶衡量法</w:t>
      </w:r>
      <w:r>
        <w:rPr>
          <w:rFonts w:ascii="Times New Roman" w:eastAsiaTheme="minorEastAsia"/>
          <w:i/>
          <w:iCs/>
          <w:kern w:val="2"/>
          <w:szCs w:val="21"/>
        </w:rPr>
        <w:t>K</w:t>
      </w:r>
      <w:r>
        <w:rPr>
          <w:rFonts w:ascii="Times New Roman" w:eastAsiaTheme="minorEastAsia"/>
          <w:kern w:val="2"/>
          <w:szCs w:val="21"/>
        </w:rPr>
        <w:t>(</w:t>
      </w:r>
      <w:r>
        <w:rPr>
          <w:rFonts w:ascii="Times New Roman" w:eastAsiaTheme="minorEastAsia"/>
          <w:i/>
          <w:iCs/>
          <w:kern w:val="2"/>
          <w:szCs w:val="21"/>
        </w:rPr>
        <w:t>t</w:t>
      </w:r>
      <w:r>
        <w:rPr>
          <w:rFonts w:ascii="Times New Roman" w:eastAsiaTheme="minorEastAsia"/>
          <w:kern w:val="2"/>
          <w:szCs w:val="21"/>
        </w:rPr>
        <w:t>)</w:t>
      </w:r>
      <w:r>
        <w:rPr>
          <w:rFonts w:hint="eastAsia" w:ascii="Times New Roman" w:eastAsiaTheme="minorEastAsia"/>
          <w:kern w:val="2"/>
          <w:szCs w:val="21"/>
        </w:rPr>
        <w:t>值表、容量误差测量结果不确定度。</w:t>
      </w:r>
    </w:p>
    <w:p>
      <w:pPr>
        <w:adjustRightInd w:val="0"/>
        <w:spacing w:line="360" w:lineRule="auto"/>
        <w:rPr>
          <w:rFonts w:ascii="黑体" w:hAnsi="宋体" w:eastAsia="黑体"/>
          <w:bCs/>
          <w:szCs w:val="21"/>
        </w:rPr>
      </w:pPr>
      <w:r>
        <w:rPr>
          <w:rFonts w:hint="eastAsia" w:ascii="黑体" w:hAnsi="宋体" w:eastAsia="黑体"/>
          <w:bCs/>
          <w:szCs w:val="21"/>
        </w:rPr>
        <w:t>三、规范水平分析</w:t>
      </w:r>
    </w:p>
    <w:p>
      <w:pPr>
        <w:adjustRightInd w:val="0"/>
        <w:spacing w:line="360" w:lineRule="auto"/>
        <w:rPr>
          <w:rFonts w:ascii="黑体" w:hAnsi="宋体" w:eastAsia="黑体"/>
          <w:bCs/>
          <w:szCs w:val="21"/>
        </w:rPr>
      </w:pPr>
      <w:r>
        <w:rPr>
          <w:rFonts w:ascii="黑体" w:hAnsi="宋体" w:eastAsia="黑体"/>
          <w:bCs/>
          <w:szCs w:val="21"/>
        </w:rPr>
        <w:t>3.1</w:t>
      </w:r>
      <w:r>
        <w:rPr>
          <w:rFonts w:hint="eastAsia" w:ascii="黑体" w:hAnsi="宋体" w:eastAsia="黑体"/>
          <w:bCs/>
          <w:szCs w:val="21"/>
        </w:rPr>
        <w:t>采用国际标准及国外先进规范的程度</w:t>
      </w:r>
    </w:p>
    <w:p>
      <w:pPr>
        <w:adjustRightInd w:val="0"/>
        <w:spacing w:line="360" w:lineRule="auto"/>
        <w:ind w:firstLine="420" w:firstLineChars="200"/>
        <w:rPr>
          <w:rFonts w:ascii="宋体" w:hAnsi="宋体"/>
          <w:bCs/>
          <w:szCs w:val="21"/>
        </w:rPr>
      </w:pPr>
      <w:r>
        <w:rPr>
          <w:rFonts w:hint="eastAsia" w:ascii="宋体" w:hAnsi="宋体"/>
          <w:bCs/>
          <w:szCs w:val="21"/>
        </w:rPr>
        <w:t>据查，目前国内外没有针对</w:t>
      </w:r>
      <w:r>
        <w:rPr>
          <w:rFonts w:hint="eastAsia"/>
        </w:rPr>
        <w:t>塑料容量瓶</w:t>
      </w:r>
      <w:r>
        <w:rPr>
          <w:rFonts w:hint="eastAsia" w:ascii="宋体" w:hAnsi="宋体"/>
          <w:bCs/>
          <w:szCs w:val="21"/>
        </w:rPr>
        <w:t>的校准规范，计量检测机构也未开展该类仪器的检定校准。</w:t>
      </w:r>
    </w:p>
    <w:p>
      <w:pPr>
        <w:adjustRightInd w:val="0"/>
        <w:spacing w:line="360" w:lineRule="auto"/>
        <w:rPr>
          <w:rFonts w:ascii="黑体" w:hAnsi="宋体" w:eastAsia="黑体"/>
          <w:bCs/>
          <w:szCs w:val="21"/>
        </w:rPr>
      </w:pPr>
      <w:r>
        <w:rPr>
          <w:rFonts w:ascii="黑体" w:hAnsi="宋体" w:eastAsia="黑体"/>
          <w:bCs/>
          <w:szCs w:val="21"/>
        </w:rPr>
        <w:t>3.2</w:t>
      </w:r>
      <w:r>
        <w:rPr>
          <w:rFonts w:hint="eastAsia" w:ascii="黑体" w:hAnsi="宋体" w:eastAsia="黑体"/>
          <w:bCs/>
          <w:szCs w:val="21"/>
        </w:rPr>
        <w:t>与国际及国外同类标准水平的对比分析</w:t>
      </w:r>
    </w:p>
    <w:p>
      <w:pPr>
        <w:spacing w:line="360" w:lineRule="auto"/>
        <w:ind w:firstLine="420" w:firstLineChars="200"/>
        <w:rPr>
          <w:bCs/>
          <w:sz w:val="18"/>
        </w:rPr>
      </w:pPr>
      <w:r>
        <w:rPr>
          <w:rFonts w:hint="eastAsia" w:ascii="宋体" w:hAnsi="宋体"/>
          <w:bCs/>
          <w:szCs w:val="21"/>
        </w:rPr>
        <w:t>目前国外没有相关技术规范，本规范水平达到国外先进水平。</w:t>
      </w:r>
    </w:p>
    <w:p>
      <w:pPr>
        <w:pStyle w:val="44"/>
        <w:tabs>
          <w:tab w:val="left" w:pos="426"/>
        </w:tabs>
        <w:spacing w:before="312" w:beforeLines="100" w:after="312" w:afterLines="100" w:line="276" w:lineRule="auto"/>
        <w:ind w:left="-420" w:leftChars="-200" w:firstLine="420" w:firstLineChars="200"/>
        <w:jc w:val="left"/>
      </w:pPr>
      <w:r>
        <w:rPr>
          <w:rFonts w:hint="eastAsia" w:hAnsi="宋体"/>
          <w:bCs/>
          <w:szCs w:val="21"/>
        </w:rPr>
        <w:t>四、与有关的现行法律、法规和强制性国家标准的关系</w:t>
      </w:r>
    </w:p>
    <w:p>
      <w:pPr>
        <w:pStyle w:val="25"/>
        <w:spacing w:line="276" w:lineRule="auto"/>
        <w:ind w:firstLine="420"/>
      </w:pPr>
      <w:r>
        <w:rPr>
          <w:rFonts w:hint="eastAsia"/>
        </w:rPr>
        <w:t>本规范所引用的规程及规范均为我国现行有效的计量规程及规范，是本规范的一部分，引用这些规程及规范后，使本规范的要求与现行的相关法律、法规、规章及相关规程规范的关系不矛盾、不冲突，其相互关系非常协调。</w:t>
      </w:r>
    </w:p>
    <w:p>
      <w:pPr>
        <w:pStyle w:val="44"/>
        <w:tabs>
          <w:tab w:val="left" w:pos="426"/>
        </w:tabs>
        <w:spacing w:before="312" w:beforeLines="100" w:after="312" w:afterLines="100" w:line="276" w:lineRule="auto"/>
        <w:ind w:left="-420" w:leftChars="-200" w:firstLine="420" w:firstLineChars="200"/>
        <w:jc w:val="left"/>
      </w:pPr>
      <w:bookmarkStart w:id="49" w:name="_Toc464728973"/>
      <w:r>
        <w:rPr>
          <w:rFonts w:hint="eastAsia"/>
        </w:rPr>
        <w:t>五、规范中涉及的专利或知识产权说明</w:t>
      </w:r>
      <w:bookmarkEnd w:id="49"/>
    </w:p>
    <w:p>
      <w:pPr>
        <w:pStyle w:val="25"/>
        <w:spacing w:line="276" w:lineRule="auto"/>
        <w:ind w:firstLineChars="0"/>
        <w:contextualSpacing/>
        <w:rPr>
          <w:szCs w:val="21"/>
        </w:rPr>
      </w:pPr>
      <w:bookmarkStart w:id="50" w:name="_Toc464728974"/>
      <w:r>
        <w:rPr>
          <w:rFonts w:hint="eastAsia"/>
          <w:szCs w:val="21"/>
        </w:rPr>
        <w:t>（无）</w:t>
      </w:r>
    </w:p>
    <w:p>
      <w:pPr>
        <w:pStyle w:val="44"/>
        <w:tabs>
          <w:tab w:val="left" w:pos="426"/>
        </w:tabs>
        <w:spacing w:before="312" w:beforeLines="100" w:after="312" w:afterLines="100" w:line="276" w:lineRule="auto"/>
        <w:ind w:left="-420" w:leftChars="-200" w:firstLine="420" w:firstLineChars="200"/>
        <w:jc w:val="left"/>
      </w:pPr>
      <w:r>
        <w:rPr>
          <w:rFonts w:hint="eastAsia"/>
        </w:rPr>
        <w:t>六、重大分歧意见的处理经过和依据</w:t>
      </w:r>
      <w:bookmarkEnd w:id="50"/>
    </w:p>
    <w:p>
      <w:pPr>
        <w:pStyle w:val="25"/>
        <w:spacing w:line="276" w:lineRule="auto"/>
        <w:ind w:firstLine="420"/>
        <w:contextualSpacing/>
        <w:rPr>
          <w:szCs w:val="21"/>
        </w:rPr>
      </w:pPr>
      <w:r>
        <w:rPr>
          <w:rFonts w:hint="eastAsia"/>
          <w:szCs w:val="21"/>
        </w:rPr>
        <w:t>（无）</w:t>
      </w:r>
    </w:p>
    <w:p>
      <w:pPr>
        <w:pStyle w:val="44"/>
        <w:tabs>
          <w:tab w:val="left" w:pos="426"/>
        </w:tabs>
        <w:spacing w:before="312" w:beforeLines="100" w:after="312" w:afterLines="100" w:line="276" w:lineRule="auto"/>
        <w:ind w:left="-420" w:leftChars="-200" w:firstLine="420" w:firstLineChars="200"/>
        <w:jc w:val="left"/>
      </w:pPr>
      <w:r>
        <w:rPr>
          <w:rFonts w:hint="eastAsia"/>
        </w:rPr>
        <w:t>七、规范作为强制性或推荐性国家（或行业）标准的建议</w:t>
      </w:r>
    </w:p>
    <w:p>
      <w:pPr>
        <w:adjustRightInd w:val="0"/>
        <w:spacing w:line="276" w:lineRule="auto"/>
        <w:ind w:firstLine="420" w:firstLineChars="200"/>
        <w:rPr>
          <w:rFonts w:hAnsi="宋体"/>
          <w:bCs/>
          <w:szCs w:val="21"/>
        </w:rPr>
      </w:pPr>
      <w:r>
        <w:rPr>
          <w:rFonts w:hint="eastAsia" w:hAnsi="宋体"/>
          <w:bCs/>
          <w:szCs w:val="21"/>
        </w:rPr>
        <w:t>建议本规范作为推荐性行业计量技术规范，供相关行业参考采用。</w:t>
      </w:r>
    </w:p>
    <w:p>
      <w:pPr>
        <w:pStyle w:val="44"/>
        <w:tabs>
          <w:tab w:val="left" w:pos="426"/>
        </w:tabs>
        <w:spacing w:before="312" w:beforeLines="100" w:after="312" w:afterLines="100" w:line="276" w:lineRule="auto"/>
        <w:ind w:left="-420" w:leftChars="-200" w:firstLine="420" w:firstLineChars="200"/>
        <w:jc w:val="left"/>
      </w:pPr>
      <w:bookmarkStart w:id="51" w:name="_Toc464728976"/>
      <w:r>
        <w:rPr>
          <w:rFonts w:hint="eastAsia"/>
        </w:rPr>
        <w:t>八、贯彻规范的要求和措施建议</w:t>
      </w:r>
      <w:bookmarkEnd w:id="51"/>
    </w:p>
    <w:p>
      <w:pPr>
        <w:pStyle w:val="25"/>
        <w:spacing w:line="276" w:lineRule="auto"/>
        <w:ind w:firstLine="420"/>
        <w:contextualSpacing/>
        <w:rPr>
          <w:rFonts w:ascii="Times New Roman" w:hAnsi="宋体"/>
          <w:bCs/>
          <w:kern w:val="2"/>
          <w:szCs w:val="21"/>
        </w:rPr>
      </w:pPr>
      <w:r>
        <w:rPr>
          <w:rFonts w:hint="eastAsia" w:ascii="Times New Roman" w:hAnsi="宋体"/>
          <w:bCs/>
          <w:kern w:val="2"/>
          <w:szCs w:val="21"/>
        </w:rPr>
        <w:t>本规范发布后，中国有色金属行业协会和有色金属行业计量技术委员会应加强本规范的宣传力度，促进各实验室以及计量技术机构对本规范的使用，以确保塑料容量瓶量值的准确，保障人民生产生活的安全，促进金属行业化工制造，冶金，制药，环保等领域的发展。</w:t>
      </w:r>
    </w:p>
    <w:p>
      <w:pPr>
        <w:pStyle w:val="44"/>
        <w:tabs>
          <w:tab w:val="left" w:pos="426"/>
        </w:tabs>
        <w:spacing w:before="312" w:beforeLines="100" w:after="312" w:afterLines="100" w:line="276" w:lineRule="auto"/>
        <w:ind w:left="-420" w:leftChars="-200" w:firstLine="420" w:firstLineChars="200"/>
        <w:jc w:val="left"/>
      </w:pPr>
      <w:bookmarkStart w:id="52" w:name="_Toc464728977"/>
      <w:r>
        <w:rPr>
          <w:rFonts w:hint="eastAsia"/>
        </w:rPr>
        <w:t>九、废止现行有关规范的建议</w:t>
      </w:r>
      <w:bookmarkEnd w:id="52"/>
    </w:p>
    <w:p>
      <w:pPr>
        <w:pStyle w:val="25"/>
        <w:spacing w:line="276" w:lineRule="auto"/>
        <w:ind w:firstLine="420"/>
        <w:contextualSpacing/>
        <w:rPr>
          <w:szCs w:val="21"/>
        </w:rPr>
      </w:pPr>
      <w:r>
        <w:rPr>
          <w:rFonts w:hint="eastAsia"/>
          <w:szCs w:val="21"/>
        </w:rPr>
        <w:t>（无）。</w:t>
      </w:r>
    </w:p>
    <w:p>
      <w:pPr>
        <w:pStyle w:val="44"/>
        <w:tabs>
          <w:tab w:val="left" w:pos="426"/>
        </w:tabs>
        <w:spacing w:before="312" w:beforeLines="100" w:after="312" w:afterLines="100" w:line="276" w:lineRule="auto"/>
        <w:ind w:left="-420" w:leftChars="-200" w:firstLine="420" w:firstLineChars="200"/>
        <w:jc w:val="left"/>
      </w:pPr>
      <w:r>
        <w:rPr>
          <w:rFonts w:hint="eastAsia"/>
        </w:rPr>
        <w:t>十、预期效果</w:t>
      </w:r>
    </w:p>
    <w:p>
      <w:pPr>
        <w:pStyle w:val="25"/>
        <w:spacing w:line="276" w:lineRule="auto"/>
        <w:ind w:firstLineChars="0"/>
        <w:contextualSpacing/>
        <w:rPr>
          <w:rFonts w:cs="宋体"/>
          <w:szCs w:val="21"/>
        </w:rPr>
      </w:pPr>
      <w:r>
        <w:rPr>
          <w:rFonts w:hint="eastAsia" w:cs="宋体"/>
          <w:szCs w:val="21"/>
        </w:rPr>
        <w:t>塑料容量瓶校准规范的制定，</w:t>
      </w:r>
      <w:r>
        <w:rPr>
          <w:rFonts w:hint="eastAsia" w:cs="宋体"/>
          <w:kern w:val="2"/>
          <w:szCs w:val="21"/>
        </w:rPr>
        <w:t>具有极大的经济效益和社会效益，填补了有色金属行业领域校准空白，能够很好的满足有色金属领域分析检测实验室对于塑料容量瓶的校准需求，进而保证试验结果的可信度，使得产品的安全性。</w:t>
      </w:r>
    </w:p>
    <w:p>
      <w:pPr>
        <w:pStyle w:val="44"/>
        <w:tabs>
          <w:tab w:val="left" w:pos="426"/>
        </w:tabs>
        <w:spacing w:before="312" w:beforeLines="100" w:after="312" w:afterLines="100" w:line="276" w:lineRule="auto"/>
        <w:ind w:left="-420" w:leftChars="-200" w:firstLine="420" w:firstLineChars="200"/>
        <w:jc w:val="left"/>
      </w:pPr>
      <w:r>
        <w:rPr>
          <w:rFonts w:hint="eastAsia" w:hAnsi="宋体"/>
          <w:bCs/>
          <w:szCs w:val="21"/>
        </w:rPr>
        <w:t>十一、其他应予说明的事项</w:t>
      </w:r>
    </w:p>
    <w:p>
      <w:pPr>
        <w:pStyle w:val="25"/>
        <w:spacing w:line="276" w:lineRule="auto"/>
        <w:ind w:firstLineChars="0"/>
        <w:contextualSpacing/>
        <w:rPr>
          <w:rFonts w:ascii="Times New Roman"/>
          <w:szCs w:val="21"/>
        </w:rPr>
      </w:pPr>
      <w:r>
        <w:rPr>
          <w:rFonts w:hint="eastAsia"/>
          <w:szCs w:val="21"/>
        </w:rPr>
        <w:t>（无）。</w:t>
      </w:r>
    </w:p>
    <w:p>
      <w:pPr>
        <w:spacing w:line="276" w:lineRule="auto"/>
        <w:jc w:val="right"/>
        <w:rPr>
          <w:rFonts w:asciiTheme="minorEastAsia" w:hAnsiTheme="minorEastAsia" w:eastAsiaTheme="minorEastAsia" w:cstheme="minorEastAsia"/>
          <w:bCs/>
          <w:szCs w:val="21"/>
        </w:rPr>
      </w:pPr>
      <w:r>
        <w:rPr>
          <w:rFonts w:ascii="黑体" w:eastAsia="黑体"/>
          <w:bCs/>
        </w:rPr>
        <w:t xml:space="preserve">         </w:t>
      </w:r>
      <w:r>
        <w:rPr>
          <w:rFonts w:ascii="黑体" w:hAnsi="黑体" w:eastAsia="黑体"/>
          <w:bCs/>
        </w:rPr>
        <w:t xml:space="preserve">     </w:t>
      </w:r>
      <w:r>
        <w:rPr>
          <w:rFonts w:hint="eastAsia" w:asciiTheme="minorEastAsia" w:hAnsiTheme="minorEastAsia" w:eastAsiaTheme="minorEastAsia" w:cstheme="minorEastAsia"/>
          <w:bCs/>
          <w:szCs w:val="21"/>
        </w:rPr>
        <w:t xml:space="preserve"> 《塑料容量瓶校准规范</w:t>
      </w:r>
      <w:r>
        <w:rPr>
          <w:rFonts w:hint="eastAsia" w:asciiTheme="minorEastAsia" w:hAnsiTheme="minorEastAsia" w:eastAsiaTheme="minorEastAsia" w:cstheme="minorEastAsia"/>
          <w:bCs/>
          <w:kern w:val="0"/>
          <w:szCs w:val="21"/>
        </w:rPr>
        <w:t>》规范编制组</w:t>
      </w:r>
    </w:p>
    <w:p>
      <w:pPr>
        <w:adjustRightInd w:val="0"/>
        <w:snapToGrid w:val="0"/>
        <w:spacing w:line="360" w:lineRule="auto"/>
        <w:ind w:right="105"/>
        <w:jc w:val="right"/>
        <w:textAlignment w:val="top"/>
        <w:rPr>
          <w:rFonts w:asciiTheme="minorEastAsia" w:hAnsiTheme="minorEastAsia" w:eastAsiaTheme="minorEastAsia" w:cstheme="minorEastAsia"/>
          <w:bCs/>
        </w:rPr>
      </w:pPr>
      <w:r>
        <w:rPr>
          <w:rFonts w:hint="eastAsia" w:asciiTheme="minorEastAsia" w:hAnsiTheme="minorEastAsia" w:eastAsiaTheme="minorEastAsia" w:cstheme="minorEastAsia"/>
          <w:bCs/>
        </w:rPr>
        <w:t>2024年4月3日</w:t>
      </w: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59264" behindDoc="0" locked="0" layoutInCell="1" allowOverlap="1">
              <wp:simplePos x="0" y="0"/>
              <wp:positionH relativeFrom="margin">
                <wp:posOffset>2256155</wp:posOffset>
              </wp:positionH>
              <wp:positionV relativeFrom="paragraph">
                <wp:posOffset>-103505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jc w:val="center"/>
                          </w:pPr>
                          <w:r>
                            <w:t xml:space="preserve">第 </w:t>
                          </w:r>
                          <w:r>
                            <w:fldChar w:fldCharType="begin"/>
                          </w:r>
                          <w:r>
                            <w:instrText xml:space="preserve"> PAGE  \* MERGEFORMAT </w:instrText>
                          </w:r>
                          <w:r>
                            <w:fldChar w:fldCharType="separate"/>
                          </w:r>
                          <w:r>
                            <w:t>8</w:t>
                          </w:r>
                          <w:r>
                            <w:fldChar w:fldCharType="end"/>
                          </w:r>
                          <w:r>
                            <w:t xml:space="preserve"> 页 共 </w:t>
                          </w:r>
                          <w:r>
                            <w:fldChar w:fldCharType="begin"/>
                          </w:r>
                          <w:r>
                            <w:instrText xml:space="preserve"> NUMPAGES  \* MERGEFORMAT </w:instrText>
                          </w:r>
                          <w:r>
                            <w:fldChar w:fldCharType="separate"/>
                          </w:r>
                          <w:r>
                            <w:t>10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177.65pt;margin-top:-8.15pt;height:144pt;width:144pt;mso-position-horizontal-relative:margin;mso-wrap-style:none;z-index:251659264;mso-width-relative:page;mso-height-relative:page;" filled="f" stroked="f" coordsize="21600,21600" o:gfxdata="UEsDBAoAAAAAAIdO4kAAAAAAAAAAAAAAAAAEAAAAZHJzL1BLAwQUAAAACACHTuJAlbgkfNkAAAAL&#10;AQAADwAAAGRycy9kb3ducmV2LnhtbE2Py07DMBBF90j8gzVI7FonTZtWIU4lKsISiYYFSzeeJgE/&#10;IttNw98zrOjujubozplyPxvNJvRhcFZAukyAoW2dGmwn4KOpFztgIUqrpHYWBfxggH11f1fKQrmr&#10;fcfpGDtGJTYUUkAf41hwHtoejQxLN6Kl3dl5IyONvuPKyyuVG81XSZJzIwdLF3o54qHH9vt4MQIO&#10;ddP4CYPXn/haZ19vz2t8mYV4fEiTJ2AR5/gPw58+qUNFTid3sSowLSDbbDJCBSzSnAIR+TqjcBKw&#10;2qZb4FXJb3+ofgFQSwMEFAAAAAgAh07iQIzXDnwqAgAAVQQAAA4AAABkcnMvZTJvRG9jLnhtbK1U&#10;zY7TMBC+I/EOlu80aRGrKmq6KlsVIVXsSgVxdh2nieQ/2W6T8gDwBpy4cOe5+hx8zk8XLRz2wMUZ&#10;e8bfzPfNOIvbVklyEs7XRud0OkkpEZqbotaHnH76uHk1p8QHpgsmjRY5PQtPb5cvXywam4mZqYws&#10;hCMA0T5rbE6rEGyWJJ5XQjE/MVZoOEvjFAvYukNSONYAXclklqY3SWNcYZ3hwnucrnsnHRDdcwBN&#10;WdZcrA0/KqFDj+qEZAGUfFVbT5ddtWUpeLgvSy8CkTkF09CtSAJ7H9dkuWDZwTFb1XwogT2nhCec&#10;FKs1kl6h1iwwcnT1X1Cq5s54U4YJNyrpiXSKgMU0faLNrmJWdFwgtbdX0f3/g+UfTg+O1AUmgRLN&#10;FBp++f7t8uPX5edXMo3yNNZniNpZxIX2rWlj6HDucRhZt6VT8Qs+BH6Ie76KK9pAeLw0n83nKVwc&#10;vnEDnOTxunU+vBNGkWjk1KF7najstPWhDx1DYjZtNrWUOGeZ1KTJ6c3rN2l34eoBuNTIEUn0xUYr&#10;tPt2YLA3xRnEnOknw1u+qZF8y3x4YA6jgILxWMI9llIaJDGDRUll3Jd/ncd4dAheShqMVk41XhIl&#10;8r1G5wAYRsONxn409FHdGcwquoFaOhMXXJCjWTqjPuMFrWIOuJjmyJTTMJp3oR9vvEAuVqsuCLNm&#10;WdjqneUROirm7eoYIGCnaxSlV2LQCtPWdWZ4GXGc/9x3UY9/g+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lbgkfNkAAAALAQAADwAAAAAAAAABACAAAAAiAAAAZHJzL2Rvd25yZXYueG1sUEsBAhQA&#10;FAAAAAgAh07iQIzXDnwqAgAAVQQAAA4AAAAAAAAAAQAgAAAAKAEAAGRycy9lMm9Eb2MueG1sUEsF&#10;BgAAAAAGAAYAWQEAAMQFAAAAAA==&#10;">
              <v:fill on="f" focussize="0,0"/>
              <v:stroke on="f" weight="0.5pt"/>
              <v:imagedata o:title=""/>
              <o:lock v:ext="edit" aspectratio="f"/>
              <v:textbox inset="0mm,0mm,0mm,0mm" style="mso-fit-shape-to-text:t;">
                <w:txbxContent>
                  <w:p>
                    <w:pPr>
                      <w:pStyle w:val="9"/>
                      <w:jc w:val="center"/>
                    </w:pPr>
                    <w:r>
                      <w:t xml:space="preserve">第 </w:t>
                    </w:r>
                    <w:r>
                      <w:fldChar w:fldCharType="begin"/>
                    </w:r>
                    <w:r>
                      <w:instrText xml:space="preserve"> PAGE  \* MERGEFORMAT </w:instrText>
                    </w:r>
                    <w:r>
                      <w:fldChar w:fldCharType="separate"/>
                    </w:r>
                    <w:r>
                      <w:t>8</w:t>
                    </w:r>
                    <w:r>
                      <w:fldChar w:fldCharType="end"/>
                    </w:r>
                    <w:r>
                      <w:t xml:space="preserve"> 页 共 </w:t>
                    </w:r>
                    <w:r>
                      <w:fldChar w:fldCharType="begin"/>
                    </w:r>
                    <w:r>
                      <w:instrText xml:space="preserve"> NUMPAGES  \* MERGEFORMAT </w:instrText>
                    </w:r>
                    <w:r>
                      <w:fldChar w:fldCharType="separate"/>
                    </w:r>
                    <w:r>
                      <w:t>10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D2325A"/>
    <w:multiLevelType w:val="multilevel"/>
    <w:tmpl w:val="49D2325A"/>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CEA2025"/>
    <w:multiLevelType w:val="multilevel"/>
    <w:tmpl w:val="6CEA2025"/>
    <w:lvl w:ilvl="0" w:tentative="0">
      <w:start w:val="1"/>
      <w:numFmt w:val="none"/>
      <w:pStyle w:val="29"/>
      <w:suff w:val="nothing"/>
      <w:lvlText w:val="%1"/>
      <w:lvlJc w:val="left"/>
      <w:rPr>
        <w:rFonts w:hint="default" w:ascii="Times New Roman" w:hAnsi="Times New Roman" w:cs="Times New Roman"/>
        <w:b/>
        <w:i w:val="0"/>
        <w:sz w:val="21"/>
      </w:rPr>
    </w:lvl>
    <w:lvl w:ilvl="1" w:tentative="0">
      <w:start w:val="1"/>
      <w:numFmt w:val="decimal"/>
      <w:pStyle w:val="30"/>
      <w:suff w:val="nothing"/>
      <w:lvlText w:val="%1%2　"/>
      <w:lvlJc w:val="left"/>
      <w:rPr>
        <w:rFonts w:hint="eastAsia" w:ascii="黑体" w:hAnsi="Times New Roman" w:eastAsia="黑体" w:cs="Times New Roman"/>
        <w:b w:val="0"/>
        <w:i w:val="0"/>
        <w:sz w:val="21"/>
      </w:rPr>
    </w:lvl>
    <w:lvl w:ilvl="2" w:tentative="0">
      <w:start w:val="1"/>
      <w:numFmt w:val="decimal"/>
      <w:pStyle w:val="31"/>
      <w:suff w:val="nothing"/>
      <w:lvlText w:val="%1%2.%3　"/>
      <w:lvlJc w:val="left"/>
      <w:rPr>
        <w:rFonts w:hint="eastAsia" w:ascii="黑体" w:hAnsi="Times New Roman" w:eastAsia="黑体" w:cs="Times New Roman"/>
        <w:b w:val="0"/>
        <w:i w:val="0"/>
        <w:sz w:val="21"/>
      </w:rPr>
    </w:lvl>
    <w:lvl w:ilvl="3" w:tentative="0">
      <w:start w:val="1"/>
      <w:numFmt w:val="decimal"/>
      <w:pStyle w:val="32"/>
      <w:suff w:val="nothing"/>
      <w:lvlText w:val="%1%2.%3.%4　"/>
      <w:lvlJc w:val="left"/>
      <w:rPr>
        <w:rFonts w:hint="eastAsia" w:ascii="黑体" w:hAnsi="Times New Roman" w:eastAsia="黑体" w:cs="Times New Roman"/>
        <w:b w:val="0"/>
        <w:i w:val="0"/>
        <w:sz w:val="21"/>
      </w:rPr>
    </w:lvl>
    <w:lvl w:ilvl="4" w:tentative="0">
      <w:start w:val="1"/>
      <w:numFmt w:val="decimal"/>
      <w:pStyle w:val="33"/>
      <w:suff w:val="nothing"/>
      <w:lvlText w:val="%1%2.%3.%4.%5　"/>
      <w:lvlJc w:val="left"/>
      <w:rPr>
        <w:rFonts w:hint="eastAsia" w:ascii="黑体" w:hAnsi="Times New Roman" w:eastAsia="黑体" w:cs="Times New Roman"/>
        <w:b w:val="0"/>
        <w:i w:val="0"/>
        <w:sz w:val="21"/>
      </w:rPr>
    </w:lvl>
    <w:lvl w:ilvl="5" w:tentative="0">
      <w:start w:val="1"/>
      <w:numFmt w:val="decimal"/>
      <w:pStyle w:val="34"/>
      <w:suff w:val="nothing"/>
      <w:lvlText w:val="%1%2.%3.%4.%5.%6　"/>
      <w:lvlJc w:val="left"/>
      <w:rPr>
        <w:rFonts w:hint="eastAsia" w:ascii="黑体" w:hAnsi="Times New Roman" w:eastAsia="黑体" w:cs="Times New Roman"/>
        <w:b w:val="0"/>
        <w:i w:val="0"/>
        <w:sz w:val="21"/>
      </w:rPr>
    </w:lvl>
    <w:lvl w:ilvl="6" w:tentative="0">
      <w:start w:val="1"/>
      <w:numFmt w:val="decimal"/>
      <w:pStyle w:val="35"/>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0MmM4NGFhNmY3YzQ0YTgyZmE4Mzc3ODI5ODE3MjkifQ=="/>
  </w:docVars>
  <w:rsids>
    <w:rsidRoot w:val="00184578"/>
    <w:rsid w:val="000022A2"/>
    <w:rsid w:val="0000397C"/>
    <w:rsid w:val="00005248"/>
    <w:rsid w:val="0000744A"/>
    <w:rsid w:val="00011B64"/>
    <w:rsid w:val="000130A5"/>
    <w:rsid w:val="0002526C"/>
    <w:rsid w:val="000263CD"/>
    <w:rsid w:val="00037E9A"/>
    <w:rsid w:val="00037FD6"/>
    <w:rsid w:val="00041052"/>
    <w:rsid w:val="000517E5"/>
    <w:rsid w:val="00051E64"/>
    <w:rsid w:val="00053DC7"/>
    <w:rsid w:val="00054BEB"/>
    <w:rsid w:val="000555F9"/>
    <w:rsid w:val="00060C21"/>
    <w:rsid w:val="00061AFC"/>
    <w:rsid w:val="000628EC"/>
    <w:rsid w:val="00065878"/>
    <w:rsid w:val="00066007"/>
    <w:rsid w:val="00067A19"/>
    <w:rsid w:val="00071E23"/>
    <w:rsid w:val="00071F72"/>
    <w:rsid w:val="00073CD4"/>
    <w:rsid w:val="000749E6"/>
    <w:rsid w:val="00076F46"/>
    <w:rsid w:val="00083BB5"/>
    <w:rsid w:val="00083D20"/>
    <w:rsid w:val="00084668"/>
    <w:rsid w:val="00084CF0"/>
    <w:rsid w:val="00085536"/>
    <w:rsid w:val="0009141E"/>
    <w:rsid w:val="00091C06"/>
    <w:rsid w:val="00093DDC"/>
    <w:rsid w:val="000950D3"/>
    <w:rsid w:val="000A2A1F"/>
    <w:rsid w:val="000A3537"/>
    <w:rsid w:val="000A4F86"/>
    <w:rsid w:val="000B09AD"/>
    <w:rsid w:val="000B11CC"/>
    <w:rsid w:val="000B13B1"/>
    <w:rsid w:val="000B5731"/>
    <w:rsid w:val="000C0212"/>
    <w:rsid w:val="000C29BD"/>
    <w:rsid w:val="000C2D7E"/>
    <w:rsid w:val="000C76EA"/>
    <w:rsid w:val="000C7C53"/>
    <w:rsid w:val="000D13E6"/>
    <w:rsid w:val="000D22DD"/>
    <w:rsid w:val="000D2A50"/>
    <w:rsid w:val="000D376D"/>
    <w:rsid w:val="000D5237"/>
    <w:rsid w:val="000D5725"/>
    <w:rsid w:val="000D5989"/>
    <w:rsid w:val="000D6B99"/>
    <w:rsid w:val="000D76C2"/>
    <w:rsid w:val="000E04AE"/>
    <w:rsid w:val="000E1F11"/>
    <w:rsid w:val="000E57DA"/>
    <w:rsid w:val="000E58DB"/>
    <w:rsid w:val="000F18F1"/>
    <w:rsid w:val="000F36EE"/>
    <w:rsid w:val="000F3BEA"/>
    <w:rsid w:val="000F47FE"/>
    <w:rsid w:val="000F5947"/>
    <w:rsid w:val="00101AD8"/>
    <w:rsid w:val="001037B8"/>
    <w:rsid w:val="0010386C"/>
    <w:rsid w:val="00104AEB"/>
    <w:rsid w:val="00107D1C"/>
    <w:rsid w:val="001106BC"/>
    <w:rsid w:val="00111B29"/>
    <w:rsid w:val="001123FA"/>
    <w:rsid w:val="00116240"/>
    <w:rsid w:val="00122FE4"/>
    <w:rsid w:val="001264EF"/>
    <w:rsid w:val="00135804"/>
    <w:rsid w:val="001368F4"/>
    <w:rsid w:val="00140FBC"/>
    <w:rsid w:val="001413E1"/>
    <w:rsid w:val="00143319"/>
    <w:rsid w:val="0014366B"/>
    <w:rsid w:val="00145DCE"/>
    <w:rsid w:val="001467FD"/>
    <w:rsid w:val="00147CBC"/>
    <w:rsid w:val="00150456"/>
    <w:rsid w:val="00150D90"/>
    <w:rsid w:val="00151657"/>
    <w:rsid w:val="0015358E"/>
    <w:rsid w:val="00155145"/>
    <w:rsid w:val="001564D8"/>
    <w:rsid w:val="00157CB0"/>
    <w:rsid w:val="00157E17"/>
    <w:rsid w:val="00164CCC"/>
    <w:rsid w:val="0016502C"/>
    <w:rsid w:val="001659B8"/>
    <w:rsid w:val="001670DA"/>
    <w:rsid w:val="00171005"/>
    <w:rsid w:val="001714C8"/>
    <w:rsid w:val="00171C63"/>
    <w:rsid w:val="00173446"/>
    <w:rsid w:val="001751F3"/>
    <w:rsid w:val="0017576B"/>
    <w:rsid w:val="00175A28"/>
    <w:rsid w:val="00176368"/>
    <w:rsid w:val="00177948"/>
    <w:rsid w:val="00182F39"/>
    <w:rsid w:val="00184578"/>
    <w:rsid w:val="0018498F"/>
    <w:rsid w:val="00184BE3"/>
    <w:rsid w:val="00184CF2"/>
    <w:rsid w:val="001866CD"/>
    <w:rsid w:val="00186D67"/>
    <w:rsid w:val="00187B2A"/>
    <w:rsid w:val="0019108E"/>
    <w:rsid w:val="0019304A"/>
    <w:rsid w:val="001930ED"/>
    <w:rsid w:val="001949C6"/>
    <w:rsid w:val="00194A59"/>
    <w:rsid w:val="00194F23"/>
    <w:rsid w:val="00197520"/>
    <w:rsid w:val="00197A87"/>
    <w:rsid w:val="001A04A4"/>
    <w:rsid w:val="001B04B6"/>
    <w:rsid w:val="001B1196"/>
    <w:rsid w:val="001B1E39"/>
    <w:rsid w:val="001B3C52"/>
    <w:rsid w:val="001B4F51"/>
    <w:rsid w:val="001B5902"/>
    <w:rsid w:val="001C0CC0"/>
    <w:rsid w:val="001C2C50"/>
    <w:rsid w:val="001C7D1F"/>
    <w:rsid w:val="001D1B95"/>
    <w:rsid w:val="001E079E"/>
    <w:rsid w:val="001E0C66"/>
    <w:rsid w:val="001E600D"/>
    <w:rsid w:val="001E6F1D"/>
    <w:rsid w:val="001F2E62"/>
    <w:rsid w:val="001F7014"/>
    <w:rsid w:val="001F7A22"/>
    <w:rsid w:val="00202B88"/>
    <w:rsid w:val="00204D95"/>
    <w:rsid w:val="002051CF"/>
    <w:rsid w:val="002077F6"/>
    <w:rsid w:val="00212300"/>
    <w:rsid w:val="002126AE"/>
    <w:rsid w:val="00212CB6"/>
    <w:rsid w:val="00221133"/>
    <w:rsid w:val="00221D64"/>
    <w:rsid w:val="00222F30"/>
    <w:rsid w:val="0022358A"/>
    <w:rsid w:val="00223E08"/>
    <w:rsid w:val="00225DF4"/>
    <w:rsid w:val="0022632E"/>
    <w:rsid w:val="002305AC"/>
    <w:rsid w:val="00230891"/>
    <w:rsid w:val="002314F8"/>
    <w:rsid w:val="00231CB3"/>
    <w:rsid w:val="002320A6"/>
    <w:rsid w:val="00236152"/>
    <w:rsid w:val="00237172"/>
    <w:rsid w:val="00242426"/>
    <w:rsid w:val="0025072D"/>
    <w:rsid w:val="002542CE"/>
    <w:rsid w:val="002611C1"/>
    <w:rsid w:val="00261E29"/>
    <w:rsid w:val="002673D6"/>
    <w:rsid w:val="00267A6F"/>
    <w:rsid w:val="00270ADD"/>
    <w:rsid w:val="00270C04"/>
    <w:rsid w:val="00271BD7"/>
    <w:rsid w:val="00271D26"/>
    <w:rsid w:val="00273BC9"/>
    <w:rsid w:val="002742B8"/>
    <w:rsid w:val="00275BF8"/>
    <w:rsid w:val="0027605A"/>
    <w:rsid w:val="00281836"/>
    <w:rsid w:val="00283403"/>
    <w:rsid w:val="00284F0E"/>
    <w:rsid w:val="00290AB9"/>
    <w:rsid w:val="0029439F"/>
    <w:rsid w:val="0029496D"/>
    <w:rsid w:val="00295520"/>
    <w:rsid w:val="0029600A"/>
    <w:rsid w:val="002A0E57"/>
    <w:rsid w:val="002A1849"/>
    <w:rsid w:val="002A19F7"/>
    <w:rsid w:val="002A25A9"/>
    <w:rsid w:val="002A2633"/>
    <w:rsid w:val="002A7744"/>
    <w:rsid w:val="002A78A5"/>
    <w:rsid w:val="002B4CC4"/>
    <w:rsid w:val="002B6D9D"/>
    <w:rsid w:val="002B7911"/>
    <w:rsid w:val="002B7AA4"/>
    <w:rsid w:val="002C09AB"/>
    <w:rsid w:val="002C0C4E"/>
    <w:rsid w:val="002C0FAE"/>
    <w:rsid w:val="002C2A82"/>
    <w:rsid w:val="002C5319"/>
    <w:rsid w:val="002C5AFE"/>
    <w:rsid w:val="002C7346"/>
    <w:rsid w:val="002D2C75"/>
    <w:rsid w:val="002D326C"/>
    <w:rsid w:val="002D3CC8"/>
    <w:rsid w:val="002D6DF3"/>
    <w:rsid w:val="002E183A"/>
    <w:rsid w:val="002E44EA"/>
    <w:rsid w:val="002E544F"/>
    <w:rsid w:val="002F1780"/>
    <w:rsid w:val="002F1D14"/>
    <w:rsid w:val="002F1E35"/>
    <w:rsid w:val="002F2582"/>
    <w:rsid w:val="002F2B20"/>
    <w:rsid w:val="002F3D25"/>
    <w:rsid w:val="00302D96"/>
    <w:rsid w:val="00306CBB"/>
    <w:rsid w:val="00307AE2"/>
    <w:rsid w:val="00317054"/>
    <w:rsid w:val="0032613D"/>
    <w:rsid w:val="0032615E"/>
    <w:rsid w:val="0032788A"/>
    <w:rsid w:val="0033162F"/>
    <w:rsid w:val="003325E2"/>
    <w:rsid w:val="00332D34"/>
    <w:rsid w:val="00334E5F"/>
    <w:rsid w:val="00334EDB"/>
    <w:rsid w:val="00336CD7"/>
    <w:rsid w:val="00337245"/>
    <w:rsid w:val="0034161D"/>
    <w:rsid w:val="00342B43"/>
    <w:rsid w:val="0034569C"/>
    <w:rsid w:val="00345A3D"/>
    <w:rsid w:val="00346525"/>
    <w:rsid w:val="0034739D"/>
    <w:rsid w:val="00350BCD"/>
    <w:rsid w:val="00351173"/>
    <w:rsid w:val="003517A8"/>
    <w:rsid w:val="00351D55"/>
    <w:rsid w:val="0035333C"/>
    <w:rsid w:val="0036229D"/>
    <w:rsid w:val="00365CE5"/>
    <w:rsid w:val="003679FC"/>
    <w:rsid w:val="00372D62"/>
    <w:rsid w:val="003774B2"/>
    <w:rsid w:val="00380BC2"/>
    <w:rsid w:val="00381812"/>
    <w:rsid w:val="00383477"/>
    <w:rsid w:val="0038426C"/>
    <w:rsid w:val="00387FCB"/>
    <w:rsid w:val="00391F5C"/>
    <w:rsid w:val="0039502E"/>
    <w:rsid w:val="0039584D"/>
    <w:rsid w:val="0039603C"/>
    <w:rsid w:val="00396835"/>
    <w:rsid w:val="003A0C36"/>
    <w:rsid w:val="003A29CE"/>
    <w:rsid w:val="003A3CFD"/>
    <w:rsid w:val="003A44C5"/>
    <w:rsid w:val="003A4D0B"/>
    <w:rsid w:val="003A5722"/>
    <w:rsid w:val="003A7365"/>
    <w:rsid w:val="003A7828"/>
    <w:rsid w:val="003A7FDC"/>
    <w:rsid w:val="003B1CED"/>
    <w:rsid w:val="003B3306"/>
    <w:rsid w:val="003C0F95"/>
    <w:rsid w:val="003C1ECF"/>
    <w:rsid w:val="003C49BC"/>
    <w:rsid w:val="003C53BE"/>
    <w:rsid w:val="003C7B3E"/>
    <w:rsid w:val="003C7F9F"/>
    <w:rsid w:val="003D056A"/>
    <w:rsid w:val="003D1E1B"/>
    <w:rsid w:val="003D4705"/>
    <w:rsid w:val="003D6067"/>
    <w:rsid w:val="003D706F"/>
    <w:rsid w:val="003D7247"/>
    <w:rsid w:val="003E2274"/>
    <w:rsid w:val="003E3803"/>
    <w:rsid w:val="003E6710"/>
    <w:rsid w:val="003E77E9"/>
    <w:rsid w:val="003E7B50"/>
    <w:rsid w:val="003F2355"/>
    <w:rsid w:val="004013EB"/>
    <w:rsid w:val="00404008"/>
    <w:rsid w:val="00404EE7"/>
    <w:rsid w:val="00410198"/>
    <w:rsid w:val="00411E6B"/>
    <w:rsid w:val="00413820"/>
    <w:rsid w:val="004156B1"/>
    <w:rsid w:val="004156CA"/>
    <w:rsid w:val="004215F6"/>
    <w:rsid w:val="00421A90"/>
    <w:rsid w:val="0043109B"/>
    <w:rsid w:val="004322D1"/>
    <w:rsid w:val="00433EF9"/>
    <w:rsid w:val="00433F17"/>
    <w:rsid w:val="0043668A"/>
    <w:rsid w:val="00436B15"/>
    <w:rsid w:val="00440E7B"/>
    <w:rsid w:val="0044536F"/>
    <w:rsid w:val="004479A5"/>
    <w:rsid w:val="0045244C"/>
    <w:rsid w:val="00456386"/>
    <w:rsid w:val="0046399D"/>
    <w:rsid w:val="00464AE4"/>
    <w:rsid w:val="00465974"/>
    <w:rsid w:val="00467BAC"/>
    <w:rsid w:val="00472D5E"/>
    <w:rsid w:val="00473301"/>
    <w:rsid w:val="00473571"/>
    <w:rsid w:val="0047495C"/>
    <w:rsid w:val="00481838"/>
    <w:rsid w:val="00481A32"/>
    <w:rsid w:val="00481B91"/>
    <w:rsid w:val="0048583F"/>
    <w:rsid w:val="00494416"/>
    <w:rsid w:val="00494FFF"/>
    <w:rsid w:val="00495E20"/>
    <w:rsid w:val="004A154E"/>
    <w:rsid w:val="004A183D"/>
    <w:rsid w:val="004A6F2B"/>
    <w:rsid w:val="004A6F8C"/>
    <w:rsid w:val="004A78DD"/>
    <w:rsid w:val="004A7D7E"/>
    <w:rsid w:val="004B116A"/>
    <w:rsid w:val="004B241B"/>
    <w:rsid w:val="004B5F82"/>
    <w:rsid w:val="004B671C"/>
    <w:rsid w:val="004C124B"/>
    <w:rsid w:val="004C2C9B"/>
    <w:rsid w:val="004C3FBD"/>
    <w:rsid w:val="004C4C37"/>
    <w:rsid w:val="004E100B"/>
    <w:rsid w:val="004E259C"/>
    <w:rsid w:val="004E3529"/>
    <w:rsid w:val="004E3945"/>
    <w:rsid w:val="004E5504"/>
    <w:rsid w:val="004E5F8A"/>
    <w:rsid w:val="004E67E9"/>
    <w:rsid w:val="004E751D"/>
    <w:rsid w:val="004E7595"/>
    <w:rsid w:val="005000FF"/>
    <w:rsid w:val="005001B1"/>
    <w:rsid w:val="005024FB"/>
    <w:rsid w:val="00505A02"/>
    <w:rsid w:val="00507A88"/>
    <w:rsid w:val="00510681"/>
    <w:rsid w:val="00512184"/>
    <w:rsid w:val="00517AED"/>
    <w:rsid w:val="00520159"/>
    <w:rsid w:val="005210F7"/>
    <w:rsid w:val="00522B99"/>
    <w:rsid w:val="00523DC2"/>
    <w:rsid w:val="00527FF5"/>
    <w:rsid w:val="00530A53"/>
    <w:rsid w:val="00530F0B"/>
    <w:rsid w:val="005316CE"/>
    <w:rsid w:val="005348A9"/>
    <w:rsid w:val="005350F5"/>
    <w:rsid w:val="00536780"/>
    <w:rsid w:val="005370BE"/>
    <w:rsid w:val="00540E44"/>
    <w:rsid w:val="00542A54"/>
    <w:rsid w:val="005445E1"/>
    <w:rsid w:val="0054654D"/>
    <w:rsid w:val="00546F97"/>
    <w:rsid w:val="005509E4"/>
    <w:rsid w:val="0055191F"/>
    <w:rsid w:val="00551DDE"/>
    <w:rsid w:val="00552152"/>
    <w:rsid w:val="00555B92"/>
    <w:rsid w:val="00556379"/>
    <w:rsid w:val="00564EDC"/>
    <w:rsid w:val="00565790"/>
    <w:rsid w:val="005661A7"/>
    <w:rsid w:val="005671DA"/>
    <w:rsid w:val="005676D0"/>
    <w:rsid w:val="005701E0"/>
    <w:rsid w:val="0057118F"/>
    <w:rsid w:val="00577680"/>
    <w:rsid w:val="005800BE"/>
    <w:rsid w:val="005843E5"/>
    <w:rsid w:val="00584C05"/>
    <w:rsid w:val="00585224"/>
    <w:rsid w:val="0058556A"/>
    <w:rsid w:val="00586A8F"/>
    <w:rsid w:val="005878E4"/>
    <w:rsid w:val="00587F65"/>
    <w:rsid w:val="00592789"/>
    <w:rsid w:val="005962F1"/>
    <w:rsid w:val="005965F5"/>
    <w:rsid w:val="005968CA"/>
    <w:rsid w:val="00596CF9"/>
    <w:rsid w:val="005A016D"/>
    <w:rsid w:val="005A0CFB"/>
    <w:rsid w:val="005A469F"/>
    <w:rsid w:val="005A495F"/>
    <w:rsid w:val="005B112C"/>
    <w:rsid w:val="005B2583"/>
    <w:rsid w:val="005B4CA2"/>
    <w:rsid w:val="005B6333"/>
    <w:rsid w:val="005B6427"/>
    <w:rsid w:val="005C0285"/>
    <w:rsid w:val="005C21F0"/>
    <w:rsid w:val="005C2E33"/>
    <w:rsid w:val="005C5684"/>
    <w:rsid w:val="005C6C79"/>
    <w:rsid w:val="005D3010"/>
    <w:rsid w:val="005D3966"/>
    <w:rsid w:val="005D7717"/>
    <w:rsid w:val="005D7F26"/>
    <w:rsid w:val="005E17E7"/>
    <w:rsid w:val="005E564C"/>
    <w:rsid w:val="005F12E0"/>
    <w:rsid w:val="005F3C60"/>
    <w:rsid w:val="0060098D"/>
    <w:rsid w:val="006064DC"/>
    <w:rsid w:val="006102C4"/>
    <w:rsid w:val="0061090B"/>
    <w:rsid w:val="006113C8"/>
    <w:rsid w:val="006200CF"/>
    <w:rsid w:val="006208F2"/>
    <w:rsid w:val="0063081D"/>
    <w:rsid w:val="006317DA"/>
    <w:rsid w:val="00633163"/>
    <w:rsid w:val="00633394"/>
    <w:rsid w:val="00634856"/>
    <w:rsid w:val="00635033"/>
    <w:rsid w:val="0064177F"/>
    <w:rsid w:val="00641F00"/>
    <w:rsid w:val="006449ED"/>
    <w:rsid w:val="0064558D"/>
    <w:rsid w:val="00650005"/>
    <w:rsid w:val="00650A65"/>
    <w:rsid w:val="006525E6"/>
    <w:rsid w:val="0065480E"/>
    <w:rsid w:val="006566D3"/>
    <w:rsid w:val="00656DE1"/>
    <w:rsid w:val="00660621"/>
    <w:rsid w:val="00664D44"/>
    <w:rsid w:val="00665035"/>
    <w:rsid w:val="006703F3"/>
    <w:rsid w:val="00670582"/>
    <w:rsid w:val="0067203B"/>
    <w:rsid w:val="00672ACB"/>
    <w:rsid w:val="00673479"/>
    <w:rsid w:val="0067570C"/>
    <w:rsid w:val="0067714B"/>
    <w:rsid w:val="00684A82"/>
    <w:rsid w:val="00685142"/>
    <w:rsid w:val="00685328"/>
    <w:rsid w:val="006868C0"/>
    <w:rsid w:val="00692A1B"/>
    <w:rsid w:val="006956EC"/>
    <w:rsid w:val="006958B4"/>
    <w:rsid w:val="006961CC"/>
    <w:rsid w:val="00697846"/>
    <w:rsid w:val="006A1024"/>
    <w:rsid w:val="006A15F0"/>
    <w:rsid w:val="006A1AB1"/>
    <w:rsid w:val="006B7C0D"/>
    <w:rsid w:val="006C0D59"/>
    <w:rsid w:val="006C1F6D"/>
    <w:rsid w:val="006C4718"/>
    <w:rsid w:val="006C681D"/>
    <w:rsid w:val="006D29C2"/>
    <w:rsid w:val="006D318D"/>
    <w:rsid w:val="006D4404"/>
    <w:rsid w:val="006D5D97"/>
    <w:rsid w:val="006D6DC3"/>
    <w:rsid w:val="006E464F"/>
    <w:rsid w:val="006F3A77"/>
    <w:rsid w:val="006F4C00"/>
    <w:rsid w:val="006F667D"/>
    <w:rsid w:val="006F6885"/>
    <w:rsid w:val="006F7D8D"/>
    <w:rsid w:val="006F7E98"/>
    <w:rsid w:val="007050BB"/>
    <w:rsid w:val="00705D27"/>
    <w:rsid w:val="00706434"/>
    <w:rsid w:val="00710D85"/>
    <w:rsid w:val="00710FFC"/>
    <w:rsid w:val="00712FE4"/>
    <w:rsid w:val="00714673"/>
    <w:rsid w:val="0071767D"/>
    <w:rsid w:val="00721ED5"/>
    <w:rsid w:val="00724490"/>
    <w:rsid w:val="007256E6"/>
    <w:rsid w:val="00733D70"/>
    <w:rsid w:val="007340CB"/>
    <w:rsid w:val="00735BAE"/>
    <w:rsid w:val="00740AEE"/>
    <w:rsid w:val="007501CC"/>
    <w:rsid w:val="0075652B"/>
    <w:rsid w:val="00757FE5"/>
    <w:rsid w:val="007624B5"/>
    <w:rsid w:val="00762CBF"/>
    <w:rsid w:val="00770C97"/>
    <w:rsid w:val="00770E2B"/>
    <w:rsid w:val="007715C1"/>
    <w:rsid w:val="00771DE2"/>
    <w:rsid w:val="00772018"/>
    <w:rsid w:val="0077445B"/>
    <w:rsid w:val="00774754"/>
    <w:rsid w:val="007767E3"/>
    <w:rsid w:val="0078259E"/>
    <w:rsid w:val="00794472"/>
    <w:rsid w:val="00794480"/>
    <w:rsid w:val="007952DC"/>
    <w:rsid w:val="0079556E"/>
    <w:rsid w:val="00796EAE"/>
    <w:rsid w:val="007971A8"/>
    <w:rsid w:val="00797CE7"/>
    <w:rsid w:val="007A2746"/>
    <w:rsid w:val="007A5067"/>
    <w:rsid w:val="007B207A"/>
    <w:rsid w:val="007B25E6"/>
    <w:rsid w:val="007B3254"/>
    <w:rsid w:val="007B6793"/>
    <w:rsid w:val="007C38A9"/>
    <w:rsid w:val="007D7CFA"/>
    <w:rsid w:val="007E0660"/>
    <w:rsid w:val="007E31E4"/>
    <w:rsid w:val="007E6803"/>
    <w:rsid w:val="007E77FD"/>
    <w:rsid w:val="0080125F"/>
    <w:rsid w:val="008023DF"/>
    <w:rsid w:val="008047E3"/>
    <w:rsid w:val="0081055F"/>
    <w:rsid w:val="008132E2"/>
    <w:rsid w:val="00816C6A"/>
    <w:rsid w:val="00827A48"/>
    <w:rsid w:val="00830B89"/>
    <w:rsid w:val="00831CDE"/>
    <w:rsid w:val="00832AEC"/>
    <w:rsid w:val="00835BFA"/>
    <w:rsid w:val="00836863"/>
    <w:rsid w:val="008409D6"/>
    <w:rsid w:val="008410D7"/>
    <w:rsid w:val="00841B72"/>
    <w:rsid w:val="0084432F"/>
    <w:rsid w:val="0084495A"/>
    <w:rsid w:val="008461B0"/>
    <w:rsid w:val="00851CE1"/>
    <w:rsid w:val="00851D7B"/>
    <w:rsid w:val="00860421"/>
    <w:rsid w:val="00867B11"/>
    <w:rsid w:val="0087212D"/>
    <w:rsid w:val="0087634B"/>
    <w:rsid w:val="00890C9B"/>
    <w:rsid w:val="00891042"/>
    <w:rsid w:val="00894DAF"/>
    <w:rsid w:val="0089577D"/>
    <w:rsid w:val="00895D3D"/>
    <w:rsid w:val="0089753B"/>
    <w:rsid w:val="008A264E"/>
    <w:rsid w:val="008A3CC0"/>
    <w:rsid w:val="008A735A"/>
    <w:rsid w:val="008B1533"/>
    <w:rsid w:val="008B19EF"/>
    <w:rsid w:val="008B3B45"/>
    <w:rsid w:val="008B489A"/>
    <w:rsid w:val="008B5CF3"/>
    <w:rsid w:val="008B5D54"/>
    <w:rsid w:val="008B748F"/>
    <w:rsid w:val="008C15EE"/>
    <w:rsid w:val="008C20C4"/>
    <w:rsid w:val="008C2C75"/>
    <w:rsid w:val="008C738D"/>
    <w:rsid w:val="008D063A"/>
    <w:rsid w:val="008D64F4"/>
    <w:rsid w:val="008D7C6F"/>
    <w:rsid w:val="008E00A2"/>
    <w:rsid w:val="008E0FA2"/>
    <w:rsid w:val="008E1032"/>
    <w:rsid w:val="008E2369"/>
    <w:rsid w:val="008E28AA"/>
    <w:rsid w:val="008E56DF"/>
    <w:rsid w:val="008E5C6C"/>
    <w:rsid w:val="008E6C9E"/>
    <w:rsid w:val="008E6E37"/>
    <w:rsid w:val="008E7D9E"/>
    <w:rsid w:val="008E7F95"/>
    <w:rsid w:val="008F041C"/>
    <w:rsid w:val="008F1C50"/>
    <w:rsid w:val="008F2ED5"/>
    <w:rsid w:val="008F4C82"/>
    <w:rsid w:val="008F68B4"/>
    <w:rsid w:val="008F78E8"/>
    <w:rsid w:val="00901D71"/>
    <w:rsid w:val="00905751"/>
    <w:rsid w:val="00905F63"/>
    <w:rsid w:val="00907C66"/>
    <w:rsid w:val="0092030F"/>
    <w:rsid w:val="009205A2"/>
    <w:rsid w:val="00920C9B"/>
    <w:rsid w:val="00921F51"/>
    <w:rsid w:val="00924AD8"/>
    <w:rsid w:val="00926568"/>
    <w:rsid w:val="00926C8D"/>
    <w:rsid w:val="009270CC"/>
    <w:rsid w:val="00927191"/>
    <w:rsid w:val="00930619"/>
    <w:rsid w:val="00930C82"/>
    <w:rsid w:val="009324E9"/>
    <w:rsid w:val="009330E6"/>
    <w:rsid w:val="00933BAF"/>
    <w:rsid w:val="00937AB1"/>
    <w:rsid w:val="00941BCF"/>
    <w:rsid w:val="00942DF0"/>
    <w:rsid w:val="00942FA5"/>
    <w:rsid w:val="00943326"/>
    <w:rsid w:val="00945200"/>
    <w:rsid w:val="00945739"/>
    <w:rsid w:val="00947B6A"/>
    <w:rsid w:val="00950CBD"/>
    <w:rsid w:val="00951BCE"/>
    <w:rsid w:val="00952F52"/>
    <w:rsid w:val="00954F99"/>
    <w:rsid w:val="00955241"/>
    <w:rsid w:val="00961B6A"/>
    <w:rsid w:val="00961CF5"/>
    <w:rsid w:val="009635A0"/>
    <w:rsid w:val="00964661"/>
    <w:rsid w:val="0096782D"/>
    <w:rsid w:val="00971213"/>
    <w:rsid w:val="00971C0D"/>
    <w:rsid w:val="009777D7"/>
    <w:rsid w:val="00981811"/>
    <w:rsid w:val="009818D7"/>
    <w:rsid w:val="009830F0"/>
    <w:rsid w:val="009848A0"/>
    <w:rsid w:val="00987084"/>
    <w:rsid w:val="00990972"/>
    <w:rsid w:val="00992AF5"/>
    <w:rsid w:val="00992EBE"/>
    <w:rsid w:val="00994CA8"/>
    <w:rsid w:val="009961CE"/>
    <w:rsid w:val="009966D5"/>
    <w:rsid w:val="009A278A"/>
    <w:rsid w:val="009A4E4A"/>
    <w:rsid w:val="009A7ACC"/>
    <w:rsid w:val="009B14BB"/>
    <w:rsid w:val="009B1583"/>
    <w:rsid w:val="009B5CD6"/>
    <w:rsid w:val="009C38FF"/>
    <w:rsid w:val="009C4191"/>
    <w:rsid w:val="009C4632"/>
    <w:rsid w:val="009C5C55"/>
    <w:rsid w:val="009C7B18"/>
    <w:rsid w:val="009D0E1A"/>
    <w:rsid w:val="009D24AE"/>
    <w:rsid w:val="009D2E71"/>
    <w:rsid w:val="009D4233"/>
    <w:rsid w:val="009E277D"/>
    <w:rsid w:val="009E2C18"/>
    <w:rsid w:val="009E342C"/>
    <w:rsid w:val="009E71A4"/>
    <w:rsid w:val="009E7236"/>
    <w:rsid w:val="009F0C43"/>
    <w:rsid w:val="009F5241"/>
    <w:rsid w:val="00A042B0"/>
    <w:rsid w:val="00A051CE"/>
    <w:rsid w:val="00A0713C"/>
    <w:rsid w:val="00A11B0D"/>
    <w:rsid w:val="00A1444C"/>
    <w:rsid w:val="00A14B7C"/>
    <w:rsid w:val="00A15BA7"/>
    <w:rsid w:val="00A16CFF"/>
    <w:rsid w:val="00A2051C"/>
    <w:rsid w:val="00A216E0"/>
    <w:rsid w:val="00A27E01"/>
    <w:rsid w:val="00A33BBD"/>
    <w:rsid w:val="00A347A3"/>
    <w:rsid w:val="00A349E7"/>
    <w:rsid w:val="00A36707"/>
    <w:rsid w:val="00A36EF3"/>
    <w:rsid w:val="00A376DC"/>
    <w:rsid w:val="00A37EEF"/>
    <w:rsid w:val="00A4253A"/>
    <w:rsid w:val="00A42D69"/>
    <w:rsid w:val="00A529FC"/>
    <w:rsid w:val="00A53873"/>
    <w:rsid w:val="00A56373"/>
    <w:rsid w:val="00A620F4"/>
    <w:rsid w:val="00A63992"/>
    <w:rsid w:val="00A66BDB"/>
    <w:rsid w:val="00A73DD1"/>
    <w:rsid w:val="00A76D8C"/>
    <w:rsid w:val="00A80010"/>
    <w:rsid w:val="00A80F01"/>
    <w:rsid w:val="00A81CF7"/>
    <w:rsid w:val="00A8245C"/>
    <w:rsid w:val="00A85505"/>
    <w:rsid w:val="00A8711C"/>
    <w:rsid w:val="00A90DC9"/>
    <w:rsid w:val="00A95B4F"/>
    <w:rsid w:val="00AA0A2F"/>
    <w:rsid w:val="00AA1E3B"/>
    <w:rsid w:val="00AA2C0E"/>
    <w:rsid w:val="00AA30FE"/>
    <w:rsid w:val="00AB0B19"/>
    <w:rsid w:val="00AB73AA"/>
    <w:rsid w:val="00AC1D52"/>
    <w:rsid w:val="00AC379E"/>
    <w:rsid w:val="00AC3F68"/>
    <w:rsid w:val="00AC511B"/>
    <w:rsid w:val="00AC53A0"/>
    <w:rsid w:val="00AC5755"/>
    <w:rsid w:val="00AC704F"/>
    <w:rsid w:val="00AD0B0A"/>
    <w:rsid w:val="00AD2555"/>
    <w:rsid w:val="00AD4194"/>
    <w:rsid w:val="00AD4499"/>
    <w:rsid w:val="00AE0F24"/>
    <w:rsid w:val="00AE45AA"/>
    <w:rsid w:val="00AE4DF1"/>
    <w:rsid w:val="00AE5DBA"/>
    <w:rsid w:val="00AE634E"/>
    <w:rsid w:val="00AE69B1"/>
    <w:rsid w:val="00AE6A7C"/>
    <w:rsid w:val="00AF0E50"/>
    <w:rsid w:val="00AF6385"/>
    <w:rsid w:val="00AF7FCF"/>
    <w:rsid w:val="00B00A9B"/>
    <w:rsid w:val="00B0173D"/>
    <w:rsid w:val="00B02263"/>
    <w:rsid w:val="00B027C7"/>
    <w:rsid w:val="00B03DE7"/>
    <w:rsid w:val="00B07A15"/>
    <w:rsid w:val="00B110E5"/>
    <w:rsid w:val="00B1160C"/>
    <w:rsid w:val="00B14078"/>
    <w:rsid w:val="00B14691"/>
    <w:rsid w:val="00B151EC"/>
    <w:rsid w:val="00B20749"/>
    <w:rsid w:val="00B22D0F"/>
    <w:rsid w:val="00B31051"/>
    <w:rsid w:val="00B3268C"/>
    <w:rsid w:val="00B40033"/>
    <w:rsid w:val="00B40CE3"/>
    <w:rsid w:val="00B45EC0"/>
    <w:rsid w:val="00B4708B"/>
    <w:rsid w:val="00B4735A"/>
    <w:rsid w:val="00B52B79"/>
    <w:rsid w:val="00B533A3"/>
    <w:rsid w:val="00B5778E"/>
    <w:rsid w:val="00B62317"/>
    <w:rsid w:val="00B67D13"/>
    <w:rsid w:val="00B80205"/>
    <w:rsid w:val="00B81391"/>
    <w:rsid w:val="00B83C93"/>
    <w:rsid w:val="00B93078"/>
    <w:rsid w:val="00B93358"/>
    <w:rsid w:val="00B9366B"/>
    <w:rsid w:val="00B9383E"/>
    <w:rsid w:val="00BA1A3A"/>
    <w:rsid w:val="00BA6B4A"/>
    <w:rsid w:val="00BA6F6D"/>
    <w:rsid w:val="00BC03E8"/>
    <w:rsid w:val="00BC0904"/>
    <w:rsid w:val="00BC6454"/>
    <w:rsid w:val="00BC6DA8"/>
    <w:rsid w:val="00BC7A1F"/>
    <w:rsid w:val="00BD0345"/>
    <w:rsid w:val="00BD3B64"/>
    <w:rsid w:val="00BD4D39"/>
    <w:rsid w:val="00BD5CB9"/>
    <w:rsid w:val="00BD7E4A"/>
    <w:rsid w:val="00BE1409"/>
    <w:rsid w:val="00BE325A"/>
    <w:rsid w:val="00BE5509"/>
    <w:rsid w:val="00BE7A26"/>
    <w:rsid w:val="00BF28B4"/>
    <w:rsid w:val="00BF511E"/>
    <w:rsid w:val="00BF54E0"/>
    <w:rsid w:val="00BF623B"/>
    <w:rsid w:val="00C02998"/>
    <w:rsid w:val="00C03F23"/>
    <w:rsid w:val="00C12202"/>
    <w:rsid w:val="00C12C94"/>
    <w:rsid w:val="00C14A8F"/>
    <w:rsid w:val="00C15359"/>
    <w:rsid w:val="00C2034D"/>
    <w:rsid w:val="00C21D6D"/>
    <w:rsid w:val="00C229E8"/>
    <w:rsid w:val="00C24BB1"/>
    <w:rsid w:val="00C3180F"/>
    <w:rsid w:val="00C333D2"/>
    <w:rsid w:val="00C41C13"/>
    <w:rsid w:val="00C43663"/>
    <w:rsid w:val="00C43990"/>
    <w:rsid w:val="00C43BE8"/>
    <w:rsid w:val="00C44E83"/>
    <w:rsid w:val="00C4555A"/>
    <w:rsid w:val="00C46F0A"/>
    <w:rsid w:val="00C510BF"/>
    <w:rsid w:val="00C517C5"/>
    <w:rsid w:val="00C53C1F"/>
    <w:rsid w:val="00C53DA5"/>
    <w:rsid w:val="00C566FB"/>
    <w:rsid w:val="00C5743F"/>
    <w:rsid w:val="00C616E8"/>
    <w:rsid w:val="00C71955"/>
    <w:rsid w:val="00C72F04"/>
    <w:rsid w:val="00C75CDC"/>
    <w:rsid w:val="00C8333A"/>
    <w:rsid w:val="00C85A52"/>
    <w:rsid w:val="00C87741"/>
    <w:rsid w:val="00C90344"/>
    <w:rsid w:val="00CA1F8E"/>
    <w:rsid w:val="00CA381C"/>
    <w:rsid w:val="00CA3F07"/>
    <w:rsid w:val="00CB0CCE"/>
    <w:rsid w:val="00CB42F0"/>
    <w:rsid w:val="00CB51A3"/>
    <w:rsid w:val="00CB6203"/>
    <w:rsid w:val="00CC02B2"/>
    <w:rsid w:val="00CC2FDF"/>
    <w:rsid w:val="00CC77F1"/>
    <w:rsid w:val="00CD047A"/>
    <w:rsid w:val="00CD09C2"/>
    <w:rsid w:val="00CD2BCB"/>
    <w:rsid w:val="00CD5536"/>
    <w:rsid w:val="00CE0C2F"/>
    <w:rsid w:val="00CE2F57"/>
    <w:rsid w:val="00CE4941"/>
    <w:rsid w:val="00CE5A3D"/>
    <w:rsid w:val="00CE758A"/>
    <w:rsid w:val="00CE779D"/>
    <w:rsid w:val="00CF0E53"/>
    <w:rsid w:val="00CF3893"/>
    <w:rsid w:val="00CF57B4"/>
    <w:rsid w:val="00CF71AA"/>
    <w:rsid w:val="00D009FF"/>
    <w:rsid w:val="00D0103B"/>
    <w:rsid w:val="00D02B3C"/>
    <w:rsid w:val="00D05A49"/>
    <w:rsid w:val="00D06B0F"/>
    <w:rsid w:val="00D14155"/>
    <w:rsid w:val="00D15F81"/>
    <w:rsid w:val="00D16AC6"/>
    <w:rsid w:val="00D176EE"/>
    <w:rsid w:val="00D17820"/>
    <w:rsid w:val="00D17D36"/>
    <w:rsid w:val="00D20A65"/>
    <w:rsid w:val="00D2318E"/>
    <w:rsid w:val="00D237B9"/>
    <w:rsid w:val="00D23D5D"/>
    <w:rsid w:val="00D24C76"/>
    <w:rsid w:val="00D2695E"/>
    <w:rsid w:val="00D26EDF"/>
    <w:rsid w:val="00D27CA9"/>
    <w:rsid w:val="00D33B68"/>
    <w:rsid w:val="00D355C9"/>
    <w:rsid w:val="00D35A3A"/>
    <w:rsid w:val="00D36FF7"/>
    <w:rsid w:val="00D404FF"/>
    <w:rsid w:val="00D43454"/>
    <w:rsid w:val="00D43F68"/>
    <w:rsid w:val="00D50A0A"/>
    <w:rsid w:val="00D565D1"/>
    <w:rsid w:val="00D57533"/>
    <w:rsid w:val="00D57DFC"/>
    <w:rsid w:val="00D6076E"/>
    <w:rsid w:val="00D60771"/>
    <w:rsid w:val="00D614FE"/>
    <w:rsid w:val="00D6185B"/>
    <w:rsid w:val="00D64070"/>
    <w:rsid w:val="00D643CD"/>
    <w:rsid w:val="00D649DC"/>
    <w:rsid w:val="00D652A6"/>
    <w:rsid w:val="00D66E4E"/>
    <w:rsid w:val="00D70517"/>
    <w:rsid w:val="00D7440F"/>
    <w:rsid w:val="00D74A3C"/>
    <w:rsid w:val="00D7521E"/>
    <w:rsid w:val="00D85A82"/>
    <w:rsid w:val="00D876C6"/>
    <w:rsid w:val="00D90D29"/>
    <w:rsid w:val="00D934F1"/>
    <w:rsid w:val="00D9474A"/>
    <w:rsid w:val="00D94A92"/>
    <w:rsid w:val="00D97B9A"/>
    <w:rsid w:val="00DA0C32"/>
    <w:rsid w:val="00DA1217"/>
    <w:rsid w:val="00DA2CFE"/>
    <w:rsid w:val="00DA3D14"/>
    <w:rsid w:val="00DA7599"/>
    <w:rsid w:val="00DB436B"/>
    <w:rsid w:val="00DB4497"/>
    <w:rsid w:val="00DB56CA"/>
    <w:rsid w:val="00DC0D96"/>
    <w:rsid w:val="00DC3693"/>
    <w:rsid w:val="00DC3B78"/>
    <w:rsid w:val="00DC5112"/>
    <w:rsid w:val="00DC566F"/>
    <w:rsid w:val="00DC5726"/>
    <w:rsid w:val="00DC7642"/>
    <w:rsid w:val="00DD191D"/>
    <w:rsid w:val="00DD31B4"/>
    <w:rsid w:val="00DD377D"/>
    <w:rsid w:val="00DD3D64"/>
    <w:rsid w:val="00DD3F4A"/>
    <w:rsid w:val="00DD4C15"/>
    <w:rsid w:val="00DD6D63"/>
    <w:rsid w:val="00DE25AA"/>
    <w:rsid w:val="00DF2FE0"/>
    <w:rsid w:val="00DF5FE8"/>
    <w:rsid w:val="00DF64BF"/>
    <w:rsid w:val="00DF76E1"/>
    <w:rsid w:val="00DF7969"/>
    <w:rsid w:val="00E007C6"/>
    <w:rsid w:val="00E01299"/>
    <w:rsid w:val="00E02E67"/>
    <w:rsid w:val="00E058B9"/>
    <w:rsid w:val="00E06967"/>
    <w:rsid w:val="00E0765E"/>
    <w:rsid w:val="00E11A17"/>
    <w:rsid w:val="00E1379B"/>
    <w:rsid w:val="00E2072E"/>
    <w:rsid w:val="00E23A9E"/>
    <w:rsid w:val="00E24EE7"/>
    <w:rsid w:val="00E25C0A"/>
    <w:rsid w:val="00E26C66"/>
    <w:rsid w:val="00E306E3"/>
    <w:rsid w:val="00E36D22"/>
    <w:rsid w:val="00E40EDF"/>
    <w:rsid w:val="00E43CDD"/>
    <w:rsid w:val="00E44ADE"/>
    <w:rsid w:val="00E5444E"/>
    <w:rsid w:val="00E55855"/>
    <w:rsid w:val="00E55A5D"/>
    <w:rsid w:val="00E563BD"/>
    <w:rsid w:val="00E56851"/>
    <w:rsid w:val="00E56C9E"/>
    <w:rsid w:val="00E62C7D"/>
    <w:rsid w:val="00E66957"/>
    <w:rsid w:val="00E71E84"/>
    <w:rsid w:val="00E72A57"/>
    <w:rsid w:val="00E751A5"/>
    <w:rsid w:val="00E77032"/>
    <w:rsid w:val="00E77629"/>
    <w:rsid w:val="00E863A6"/>
    <w:rsid w:val="00E9022B"/>
    <w:rsid w:val="00E9366B"/>
    <w:rsid w:val="00E9563C"/>
    <w:rsid w:val="00EA0DD7"/>
    <w:rsid w:val="00EA1CFC"/>
    <w:rsid w:val="00EA4D53"/>
    <w:rsid w:val="00EB07E2"/>
    <w:rsid w:val="00EB21E6"/>
    <w:rsid w:val="00EB2F37"/>
    <w:rsid w:val="00EB34DA"/>
    <w:rsid w:val="00EB406D"/>
    <w:rsid w:val="00EC1F09"/>
    <w:rsid w:val="00EC28EB"/>
    <w:rsid w:val="00EC5F87"/>
    <w:rsid w:val="00EC6B5F"/>
    <w:rsid w:val="00EC7F57"/>
    <w:rsid w:val="00ED01DF"/>
    <w:rsid w:val="00ED0490"/>
    <w:rsid w:val="00ED0783"/>
    <w:rsid w:val="00ED109D"/>
    <w:rsid w:val="00ED1AA9"/>
    <w:rsid w:val="00ED3AAD"/>
    <w:rsid w:val="00EE2011"/>
    <w:rsid w:val="00EF1E33"/>
    <w:rsid w:val="00EF236D"/>
    <w:rsid w:val="00EF4636"/>
    <w:rsid w:val="00EF663C"/>
    <w:rsid w:val="00EF69F0"/>
    <w:rsid w:val="00F01AB9"/>
    <w:rsid w:val="00F10E86"/>
    <w:rsid w:val="00F15D27"/>
    <w:rsid w:val="00F21FA7"/>
    <w:rsid w:val="00F2297B"/>
    <w:rsid w:val="00F2625E"/>
    <w:rsid w:val="00F41C74"/>
    <w:rsid w:val="00F42959"/>
    <w:rsid w:val="00F42CD3"/>
    <w:rsid w:val="00F437A1"/>
    <w:rsid w:val="00F43FC6"/>
    <w:rsid w:val="00F46E95"/>
    <w:rsid w:val="00F51768"/>
    <w:rsid w:val="00F51DB1"/>
    <w:rsid w:val="00F61F03"/>
    <w:rsid w:val="00F662E9"/>
    <w:rsid w:val="00F66439"/>
    <w:rsid w:val="00F66F85"/>
    <w:rsid w:val="00F7261D"/>
    <w:rsid w:val="00F72A9D"/>
    <w:rsid w:val="00F8157C"/>
    <w:rsid w:val="00F83182"/>
    <w:rsid w:val="00F846F9"/>
    <w:rsid w:val="00F87810"/>
    <w:rsid w:val="00F908B5"/>
    <w:rsid w:val="00F92CE8"/>
    <w:rsid w:val="00F94EDA"/>
    <w:rsid w:val="00F96197"/>
    <w:rsid w:val="00FA066E"/>
    <w:rsid w:val="00FA0A70"/>
    <w:rsid w:val="00FA36E2"/>
    <w:rsid w:val="00FA3917"/>
    <w:rsid w:val="00FA5CFF"/>
    <w:rsid w:val="00FB2969"/>
    <w:rsid w:val="00FB6236"/>
    <w:rsid w:val="00FB78B6"/>
    <w:rsid w:val="00FB79AF"/>
    <w:rsid w:val="00FC07CA"/>
    <w:rsid w:val="00FC1AE6"/>
    <w:rsid w:val="00FC3C4D"/>
    <w:rsid w:val="00FC3FF6"/>
    <w:rsid w:val="00FC7FC2"/>
    <w:rsid w:val="00FD09A1"/>
    <w:rsid w:val="00FD10F2"/>
    <w:rsid w:val="00FD1686"/>
    <w:rsid w:val="00FD236F"/>
    <w:rsid w:val="00FD28AD"/>
    <w:rsid w:val="00FE07FE"/>
    <w:rsid w:val="00FE1BEE"/>
    <w:rsid w:val="00FE3115"/>
    <w:rsid w:val="00FE3D9F"/>
    <w:rsid w:val="00FE57C0"/>
    <w:rsid w:val="00FE6433"/>
    <w:rsid w:val="00FE6C9B"/>
    <w:rsid w:val="00FF30BD"/>
    <w:rsid w:val="00FF390D"/>
    <w:rsid w:val="00FF6269"/>
    <w:rsid w:val="00FF7E79"/>
    <w:rsid w:val="01387720"/>
    <w:rsid w:val="030A4873"/>
    <w:rsid w:val="052C6AB8"/>
    <w:rsid w:val="054363E9"/>
    <w:rsid w:val="08AF79C5"/>
    <w:rsid w:val="09402D37"/>
    <w:rsid w:val="0B510E78"/>
    <w:rsid w:val="0C994C14"/>
    <w:rsid w:val="0D1C71DB"/>
    <w:rsid w:val="0D5112A8"/>
    <w:rsid w:val="0DB103FD"/>
    <w:rsid w:val="0DB62202"/>
    <w:rsid w:val="0EA01F2C"/>
    <w:rsid w:val="0ECD1618"/>
    <w:rsid w:val="0F046843"/>
    <w:rsid w:val="0F4960E8"/>
    <w:rsid w:val="0FD961E1"/>
    <w:rsid w:val="0FFC60A7"/>
    <w:rsid w:val="0FFD1EEF"/>
    <w:rsid w:val="11580B6C"/>
    <w:rsid w:val="115B55D4"/>
    <w:rsid w:val="126E7A09"/>
    <w:rsid w:val="13F10A99"/>
    <w:rsid w:val="14251CC4"/>
    <w:rsid w:val="14E223F3"/>
    <w:rsid w:val="154C457C"/>
    <w:rsid w:val="163F2D2D"/>
    <w:rsid w:val="181878E8"/>
    <w:rsid w:val="196656B5"/>
    <w:rsid w:val="19D813C6"/>
    <w:rsid w:val="1A7B17FC"/>
    <w:rsid w:val="1B3E222D"/>
    <w:rsid w:val="1DFD3AB5"/>
    <w:rsid w:val="236269FD"/>
    <w:rsid w:val="24500F51"/>
    <w:rsid w:val="264362D5"/>
    <w:rsid w:val="2B6A69EA"/>
    <w:rsid w:val="2F3F109E"/>
    <w:rsid w:val="31D30F8D"/>
    <w:rsid w:val="32CF2B4C"/>
    <w:rsid w:val="33A855B9"/>
    <w:rsid w:val="34915439"/>
    <w:rsid w:val="36294EFF"/>
    <w:rsid w:val="366B4F50"/>
    <w:rsid w:val="3A6A7A9F"/>
    <w:rsid w:val="3B506247"/>
    <w:rsid w:val="3C2D4B77"/>
    <w:rsid w:val="3C4804B8"/>
    <w:rsid w:val="3D540C00"/>
    <w:rsid w:val="3E4C126D"/>
    <w:rsid w:val="3FFB769C"/>
    <w:rsid w:val="424972B2"/>
    <w:rsid w:val="42CD2859"/>
    <w:rsid w:val="461756FA"/>
    <w:rsid w:val="46E43C6C"/>
    <w:rsid w:val="49ED573E"/>
    <w:rsid w:val="4B7142E8"/>
    <w:rsid w:val="4DF72F6D"/>
    <w:rsid w:val="519E65DF"/>
    <w:rsid w:val="51C34A47"/>
    <w:rsid w:val="55BF234C"/>
    <w:rsid w:val="55CC27F2"/>
    <w:rsid w:val="564A178B"/>
    <w:rsid w:val="57415D20"/>
    <w:rsid w:val="588B31DD"/>
    <w:rsid w:val="595F0132"/>
    <w:rsid w:val="5A8913F1"/>
    <w:rsid w:val="5B9F2DFD"/>
    <w:rsid w:val="5BBE3B49"/>
    <w:rsid w:val="5E361946"/>
    <w:rsid w:val="62C244A7"/>
    <w:rsid w:val="635C4B8E"/>
    <w:rsid w:val="645D0E2E"/>
    <w:rsid w:val="65F509DC"/>
    <w:rsid w:val="661E7DA3"/>
    <w:rsid w:val="66471C44"/>
    <w:rsid w:val="6AD2505B"/>
    <w:rsid w:val="6C0D48EE"/>
    <w:rsid w:val="6C715A3C"/>
    <w:rsid w:val="6CC25367"/>
    <w:rsid w:val="6D1337BB"/>
    <w:rsid w:val="6D4F6A9B"/>
    <w:rsid w:val="6EAB3BD4"/>
    <w:rsid w:val="6FE72B43"/>
    <w:rsid w:val="72BE258A"/>
    <w:rsid w:val="74145A7A"/>
    <w:rsid w:val="753825F8"/>
    <w:rsid w:val="75411574"/>
    <w:rsid w:val="76657642"/>
    <w:rsid w:val="77266CAE"/>
    <w:rsid w:val="78CE66EC"/>
    <w:rsid w:val="7D6D5AB9"/>
    <w:rsid w:val="7E0D45A7"/>
    <w:rsid w:val="7ECD3A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9"/>
    <w:qFormat/>
    <w:uiPriority w:val="99"/>
    <w:pPr>
      <w:keepNext/>
      <w:keepLines/>
      <w:spacing w:before="260" w:after="260" w:line="416" w:lineRule="auto"/>
      <w:outlineLvl w:val="1"/>
    </w:pPr>
    <w:rPr>
      <w:rFonts w:ascii="Arial" w:hAnsi="Arial" w:eastAsia="黑体"/>
      <w:b/>
      <w:bCs/>
      <w:sz w:val="32"/>
      <w:szCs w:val="32"/>
    </w:rPr>
  </w:style>
  <w:style w:type="character" w:default="1" w:styleId="17">
    <w:name w:val="Default Paragraph Font"/>
    <w:semiHidden/>
    <w:unhideWhenUsed/>
    <w:uiPriority w:val="1"/>
  </w:style>
  <w:style w:type="table" w:default="1" w:styleId="15">
    <w:name w:val="Normal Table"/>
    <w:autoRedefine/>
    <w:semiHidden/>
    <w:unhideWhenUsed/>
    <w:uiPriority w:val="99"/>
    <w:tblPr>
      <w:tblCellMar>
        <w:top w:w="0" w:type="dxa"/>
        <w:left w:w="108" w:type="dxa"/>
        <w:bottom w:w="0" w:type="dxa"/>
        <w:right w:w="108" w:type="dxa"/>
      </w:tblCellMar>
    </w:tblPr>
  </w:style>
  <w:style w:type="paragraph" w:styleId="3">
    <w:name w:val="annotation text"/>
    <w:basedOn w:val="1"/>
    <w:autoRedefine/>
    <w:semiHidden/>
    <w:qFormat/>
    <w:uiPriority w:val="99"/>
    <w:pPr>
      <w:jc w:val="left"/>
    </w:pPr>
  </w:style>
  <w:style w:type="paragraph" w:styleId="4">
    <w:name w:val="Body Text"/>
    <w:basedOn w:val="1"/>
    <w:link w:val="40"/>
    <w:qFormat/>
    <w:uiPriority w:val="99"/>
    <w:pPr>
      <w:spacing w:after="120"/>
    </w:pPr>
  </w:style>
  <w:style w:type="paragraph" w:styleId="5">
    <w:name w:val="Body Text Indent"/>
    <w:basedOn w:val="1"/>
    <w:link w:val="38"/>
    <w:qFormat/>
    <w:uiPriority w:val="99"/>
    <w:pPr>
      <w:spacing w:after="120"/>
      <w:ind w:left="420" w:leftChars="200"/>
    </w:pPr>
  </w:style>
  <w:style w:type="paragraph" w:styleId="6">
    <w:name w:val="Date"/>
    <w:basedOn w:val="1"/>
    <w:next w:val="1"/>
    <w:link w:val="20"/>
    <w:autoRedefine/>
    <w:qFormat/>
    <w:uiPriority w:val="99"/>
    <w:pPr>
      <w:ind w:left="100" w:leftChars="2500"/>
    </w:pPr>
  </w:style>
  <w:style w:type="paragraph" w:styleId="7">
    <w:name w:val="Body Text Indent 2"/>
    <w:basedOn w:val="1"/>
    <w:link w:val="37"/>
    <w:qFormat/>
    <w:uiPriority w:val="99"/>
    <w:pPr>
      <w:spacing w:after="120" w:line="480" w:lineRule="auto"/>
      <w:ind w:left="420" w:leftChars="200"/>
    </w:pPr>
  </w:style>
  <w:style w:type="paragraph" w:styleId="8">
    <w:name w:val="Balloon Text"/>
    <w:basedOn w:val="1"/>
    <w:link w:val="21"/>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3"/>
    <w:qFormat/>
    <w:uiPriority w:val="99"/>
    <w:pPr>
      <w:pBdr>
        <w:bottom w:val="single" w:color="auto" w:sz="6" w:space="1"/>
      </w:pBdr>
      <w:tabs>
        <w:tab w:val="center" w:pos="4153"/>
        <w:tab w:val="right" w:pos="8306"/>
      </w:tabs>
      <w:snapToGrid w:val="0"/>
      <w:jc w:val="center"/>
    </w:pPr>
    <w:rPr>
      <w:sz w:val="18"/>
      <w:szCs w:val="18"/>
    </w:rPr>
  </w:style>
  <w:style w:type="paragraph" w:styleId="11">
    <w:name w:val="Body Text 2"/>
    <w:basedOn w:val="1"/>
    <w:link w:val="24"/>
    <w:qFormat/>
    <w:uiPriority w:val="99"/>
    <w:pPr>
      <w:spacing w:after="120" w:line="480" w:lineRule="auto"/>
    </w:pPr>
  </w:style>
  <w:style w:type="paragraph" w:styleId="12">
    <w:name w:val="Normal (Web)"/>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styleId="13">
    <w:name w:val="Body Text First Indent"/>
    <w:basedOn w:val="4"/>
    <w:link w:val="41"/>
    <w:autoRedefine/>
    <w:qFormat/>
    <w:uiPriority w:val="99"/>
    <w:pPr>
      <w:ind w:firstLine="420" w:firstLineChars="100"/>
    </w:pPr>
  </w:style>
  <w:style w:type="paragraph" w:styleId="14">
    <w:name w:val="Body Text First Indent 2"/>
    <w:basedOn w:val="5"/>
    <w:link w:val="39"/>
    <w:qFormat/>
    <w:uiPriority w:val="99"/>
    <w:pPr>
      <w:ind w:firstLine="420" w:firstLineChars="200"/>
    </w:pPr>
  </w:style>
  <w:style w:type="table" w:styleId="16">
    <w:name w:val="Table Grid"/>
    <w:basedOn w:val="15"/>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8">
    <w:name w:val="annotation reference"/>
    <w:basedOn w:val="17"/>
    <w:autoRedefine/>
    <w:semiHidden/>
    <w:qFormat/>
    <w:uiPriority w:val="99"/>
    <w:rPr>
      <w:rFonts w:cs="Times New Roman"/>
      <w:sz w:val="21"/>
      <w:szCs w:val="21"/>
    </w:rPr>
  </w:style>
  <w:style w:type="character" w:customStyle="1" w:styleId="19">
    <w:name w:val="标题 2 Char"/>
    <w:basedOn w:val="17"/>
    <w:link w:val="2"/>
    <w:qFormat/>
    <w:locked/>
    <w:uiPriority w:val="99"/>
    <w:rPr>
      <w:rFonts w:ascii="Arial" w:hAnsi="Arial" w:eastAsia="黑体" w:cs="Times New Roman"/>
      <w:b/>
      <w:bCs/>
      <w:kern w:val="2"/>
      <w:sz w:val="32"/>
      <w:szCs w:val="32"/>
    </w:rPr>
  </w:style>
  <w:style w:type="character" w:customStyle="1" w:styleId="20">
    <w:name w:val="日期 Char"/>
    <w:basedOn w:val="17"/>
    <w:link w:val="6"/>
    <w:autoRedefine/>
    <w:qFormat/>
    <w:locked/>
    <w:uiPriority w:val="99"/>
    <w:rPr>
      <w:rFonts w:cs="Times New Roman"/>
      <w:kern w:val="2"/>
      <w:sz w:val="24"/>
      <w:szCs w:val="24"/>
    </w:rPr>
  </w:style>
  <w:style w:type="character" w:customStyle="1" w:styleId="21">
    <w:name w:val="批注框文本 Char"/>
    <w:basedOn w:val="17"/>
    <w:link w:val="8"/>
    <w:autoRedefine/>
    <w:qFormat/>
    <w:locked/>
    <w:uiPriority w:val="99"/>
    <w:rPr>
      <w:rFonts w:cs="Times New Roman"/>
      <w:kern w:val="2"/>
      <w:sz w:val="18"/>
      <w:szCs w:val="18"/>
    </w:rPr>
  </w:style>
  <w:style w:type="character" w:customStyle="1" w:styleId="22">
    <w:name w:val="页脚 Char"/>
    <w:basedOn w:val="17"/>
    <w:link w:val="9"/>
    <w:qFormat/>
    <w:locked/>
    <w:uiPriority w:val="99"/>
    <w:rPr>
      <w:rFonts w:cs="Times New Roman"/>
      <w:kern w:val="2"/>
      <w:sz w:val="18"/>
      <w:szCs w:val="18"/>
    </w:rPr>
  </w:style>
  <w:style w:type="character" w:customStyle="1" w:styleId="23">
    <w:name w:val="页眉 Char"/>
    <w:basedOn w:val="17"/>
    <w:link w:val="10"/>
    <w:semiHidden/>
    <w:qFormat/>
    <w:locked/>
    <w:uiPriority w:val="99"/>
    <w:rPr>
      <w:rFonts w:cs="Times New Roman"/>
      <w:sz w:val="18"/>
      <w:szCs w:val="18"/>
    </w:rPr>
  </w:style>
  <w:style w:type="character" w:customStyle="1" w:styleId="24">
    <w:name w:val="正文文本 2 Char"/>
    <w:basedOn w:val="17"/>
    <w:link w:val="11"/>
    <w:semiHidden/>
    <w:qFormat/>
    <w:locked/>
    <w:uiPriority w:val="99"/>
    <w:rPr>
      <w:rFonts w:cs="Times New Roman"/>
      <w:sz w:val="24"/>
      <w:szCs w:val="24"/>
    </w:rPr>
  </w:style>
  <w:style w:type="paragraph" w:customStyle="1" w:styleId="25">
    <w:name w:val="段"/>
    <w:link w:val="26"/>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6">
    <w:name w:val="段 Char"/>
    <w:basedOn w:val="17"/>
    <w:link w:val="25"/>
    <w:autoRedefine/>
    <w:qFormat/>
    <w:locked/>
    <w:uiPriority w:val="0"/>
    <w:rPr>
      <w:rFonts w:ascii="宋体" w:cs="Times New Roman"/>
      <w:sz w:val="21"/>
      <w:lang w:val="en-US" w:eastAsia="zh-CN" w:bidi="ar-SA"/>
    </w:rPr>
  </w:style>
  <w:style w:type="character" w:styleId="27">
    <w:name w:val="Placeholder Text"/>
    <w:basedOn w:val="17"/>
    <w:semiHidden/>
    <w:qFormat/>
    <w:uiPriority w:val="99"/>
    <w:rPr>
      <w:rFonts w:cs="Times New Roman"/>
      <w:color w:val="808080"/>
    </w:rPr>
  </w:style>
  <w:style w:type="paragraph" w:styleId="28">
    <w:name w:val="List Paragraph"/>
    <w:basedOn w:val="1"/>
    <w:autoRedefine/>
    <w:qFormat/>
    <w:uiPriority w:val="34"/>
    <w:pPr>
      <w:ind w:firstLine="420" w:firstLineChars="200"/>
    </w:pPr>
  </w:style>
  <w:style w:type="paragraph" w:customStyle="1" w:styleId="29">
    <w:name w:val="前言、引言标题"/>
    <w:next w:val="1"/>
    <w:autoRedefine/>
    <w:qFormat/>
    <w:uiPriority w:val="0"/>
    <w:pPr>
      <w:numPr>
        <w:ilvl w:val="0"/>
        <w:numId w:val="1"/>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30">
    <w:name w:val="章标题"/>
    <w:next w:val="25"/>
    <w:qFormat/>
    <w:uiPriority w:val="0"/>
    <w:pPr>
      <w:numPr>
        <w:ilvl w:val="1"/>
        <w:numId w:val="1"/>
      </w:numPr>
      <w:spacing w:beforeLines="50" w:afterLines="50"/>
      <w:jc w:val="both"/>
      <w:outlineLvl w:val="1"/>
    </w:pPr>
    <w:rPr>
      <w:rFonts w:ascii="黑体" w:hAnsi="Times New Roman" w:eastAsia="黑体" w:cs="Times New Roman"/>
      <w:lang w:val="en-US" w:eastAsia="zh-CN" w:bidi="ar-SA"/>
    </w:rPr>
  </w:style>
  <w:style w:type="paragraph" w:customStyle="1" w:styleId="31">
    <w:name w:val="一级条标题"/>
    <w:basedOn w:val="30"/>
    <w:next w:val="25"/>
    <w:link w:val="36"/>
    <w:qFormat/>
    <w:uiPriority w:val="0"/>
    <w:pPr>
      <w:numPr>
        <w:ilvl w:val="2"/>
      </w:numPr>
      <w:spacing w:beforeLines="0" w:afterLines="0"/>
      <w:outlineLvl w:val="2"/>
    </w:pPr>
    <w:rPr>
      <w:sz w:val="21"/>
    </w:rPr>
  </w:style>
  <w:style w:type="paragraph" w:customStyle="1" w:styleId="32">
    <w:name w:val="二级条标题"/>
    <w:basedOn w:val="31"/>
    <w:next w:val="25"/>
    <w:link w:val="47"/>
    <w:qFormat/>
    <w:uiPriority w:val="0"/>
    <w:pPr>
      <w:numPr>
        <w:ilvl w:val="3"/>
      </w:numPr>
      <w:ind w:left="2310" w:hanging="420"/>
      <w:outlineLvl w:val="3"/>
    </w:pPr>
  </w:style>
  <w:style w:type="paragraph" w:customStyle="1" w:styleId="33">
    <w:name w:val="三级条标题"/>
    <w:basedOn w:val="32"/>
    <w:next w:val="25"/>
    <w:qFormat/>
    <w:uiPriority w:val="0"/>
    <w:pPr>
      <w:numPr>
        <w:ilvl w:val="4"/>
      </w:numPr>
      <w:ind w:left="2730"/>
      <w:outlineLvl w:val="4"/>
    </w:pPr>
  </w:style>
  <w:style w:type="paragraph" w:customStyle="1" w:styleId="34">
    <w:name w:val="四级条标题"/>
    <w:basedOn w:val="33"/>
    <w:next w:val="25"/>
    <w:autoRedefine/>
    <w:qFormat/>
    <w:uiPriority w:val="0"/>
    <w:pPr>
      <w:numPr>
        <w:ilvl w:val="5"/>
      </w:numPr>
      <w:ind w:left="3150"/>
      <w:outlineLvl w:val="5"/>
    </w:pPr>
  </w:style>
  <w:style w:type="paragraph" w:customStyle="1" w:styleId="35">
    <w:name w:val="五级条标题"/>
    <w:basedOn w:val="34"/>
    <w:next w:val="25"/>
    <w:autoRedefine/>
    <w:qFormat/>
    <w:uiPriority w:val="0"/>
    <w:pPr>
      <w:numPr>
        <w:ilvl w:val="6"/>
      </w:numPr>
      <w:ind w:left="3570"/>
      <w:outlineLvl w:val="6"/>
    </w:pPr>
  </w:style>
  <w:style w:type="character" w:customStyle="1" w:styleId="36">
    <w:name w:val="一级条标题 Char"/>
    <w:link w:val="31"/>
    <w:qFormat/>
    <w:locked/>
    <w:uiPriority w:val="99"/>
    <w:rPr>
      <w:rFonts w:ascii="黑体" w:eastAsia="黑体"/>
      <w:sz w:val="21"/>
      <w:lang w:val="en-US" w:eastAsia="zh-CN"/>
    </w:rPr>
  </w:style>
  <w:style w:type="character" w:customStyle="1" w:styleId="37">
    <w:name w:val="正文文本缩进 2 Char"/>
    <w:basedOn w:val="17"/>
    <w:link w:val="7"/>
    <w:semiHidden/>
    <w:qFormat/>
    <w:locked/>
    <w:uiPriority w:val="99"/>
    <w:rPr>
      <w:rFonts w:cs="Times New Roman"/>
      <w:sz w:val="24"/>
      <w:szCs w:val="24"/>
    </w:rPr>
  </w:style>
  <w:style w:type="character" w:customStyle="1" w:styleId="38">
    <w:name w:val="正文文本缩进 Char"/>
    <w:basedOn w:val="17"/>
    <w:link w:val="5"/>
    <w:autoRedefine/>
    <w:semiHidden/>
    <w:qFormat/>
    <w:locked/>
    <w:uiPriority w:val="99"/>
    <w:rPr>
      <w:rFonts w:cs="Times New Roman"/>
      <w:sz w:val="24"/>
      <w:szCs w:val="24"/>
    </w:rPr>
  </w:style>
  <w:style w:type="character" w:customStyle="1" w:styleId="39">
    <w:name w:val="正文首行缩进 2 Char"/>
    <w:basedOn w:val="38"/>
    <w:link w:val="14"/>
    <w:semiHidden/>
    <w:qFormat/>
    <w:locked/>
    <w:uiPriority w:val="99"/>
    <w:rPr>
      <w:rFonts w:cs="Times New Roman"/>
      <w:sz w:val="24"/>
      <w:szCs w:val="24"/>
    </w:rPr>
  </w:style>
  <w:style w:type="character" w:customStyle="1" w:styleId="40">
    <w:name w:val="正文文本 Char"/>
    <w:basedOn w:val="17"/>
    <w:link w:val="4"/>
    <w:autoRedefine/>
    <w:semiHidden/>
    <w:qFormat/>
    <w:locked/>
    <w:uiPriority w:val="99"/>
    <w:rPr>
      <w:rFonts w:cs="Times New Roman"/>
      <w:sz w:val="24"/>
      <w:szCs w:val="24"/>
    </w:rPr>
  </w:style>
  <w:style w:type="character" w:customStyle="1" w:styleId="41">
    <w:name w:val="正文首行缩进 Char"/>
    <w:basedOn w:val="40"/>
    <w:link w:val="13"/>
    <w:semiHidden/>
    <w:qFormat/>
    <w:locked/>
    <w:uiPriority w:val="99"/>
    <w:rPr>
      <w:rFonts w:cs="Times New Roman"/>
      <w:sz w:val="24"/>
      <w:szCs w:val="24"/>
    </w:rPr>
  </w:style>
  <w:style w:type="character" w:customStyle="1" w:styleId="42">
    <w:name w:val="图题及表格"/>
    <w:basedOn w:val="17"/>
    <w:qFormat/>
    <w:uiPriority w:val="0"/>
    <w:rPr>
      <w:rFonts w:ascii="Times New Roman" w:hAnsi="Times New Roman" w:eastAsia="宋体"/>
      <w:sz w:val="21"/>
    </w:rPr>
  </w:style>
  <w:style w:type="paragraph" w:customStyle="1" w:styleId="43">
    <w:name w:val="封面标准名称"/>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44">
    <w:name w:val="参考文献、索引标题"/>
    <w:basedOn w:val="29"/>
    <w:next w:val="1"/>
    <w:qFormat/>
    <w:uiPriority w:val="0"/>
    <w:pPr>
      <w:numPr>
        <w:numId w:val="0"/>
      </w:numPr>
      <w:spacing w:after="200"/>
    </w:pPr>
    <w:rPr>
      <w:sz w:val="21"/>
    </w:rPr>
  </w:style>
  <w:style w:type="paragraph" w:customStyle="1" w:styleId="45">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46">
    <w:name w:val="其他发布部门"/>
    <w:basedOn w:val="1"/>
    <w:qFormat/>
    <w:uiPriority w:val="0"/>
    <w:pPr>
      <w:widowControl/>
      <w:spacing w:line="0" w:lineRule="atLeast"/>
      <w:jc w:val="center"/>
    </w:pPr>
    <w:rPr>
      <w:rFonts w:ascii="黑体" w:eastAsia="黑体"/>
      <w:spacing w:val="20"/>
      <w:w w:val="135"/>
      <w:kern w:val="0"/>
      <w:sz w:val="36"/>
      <w:szCs w:val="20"/>
    </w:rPr>
  </w:style>
  <w:style w:type="character" w:customStyle="1" w:styleId="47">
    <w:name w:val="二级条标题 Char"/>
    <w:link w:val="32"/>
    <w:autoRedefine/>
    <w:qFormat/>
    <w:uiPriority w:val="0"/>
    <w:rPr>
      <w:rFonts w:ascii="黑体" w:eastAsia="黑体"/>
      <w:sz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3.wmf"/><Relationship Id="rId8" Type="http://schemas.openxmlformats.org/officeDocument/2006/relationships/oleObject" Target="embeddings/oleObject1.bin"/><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10</Pages>
  <Words>1084</Words>
  <Characters>6183</Characters>
  <Lines>51</Lines>
  <Paragraphs>14</Paragraphs>
  <TotalTime>13</TotalTime>
  <ScaleCrop>false</ScaleCrop>
  <LinksUpToDate>false</LinksUpToDate>
  <CharactersWithSpaces>7253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2024-04-30T05:05:00Z</dcterms:created>
  <dc:creator>USER</dc:creator>
  <cp:lastModifiedBy>闫中南</cp:lastModifiedBy>
  <cp:lastPrinted>2013-05-26T06:25:00Z</cp:lastPrinted>
  <dcterms:modified xsi:type="dcterms:W3CDTF">2024-05-10T09:52:11Z</dcterms:modified>
  <dc:title>GB/T11105-2011《金属粉末-压坯的拉托拉试验》</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2D4CEB8F29DD4C148491165E7BCF4C55_13</vt:lpwstr>
  </property>
</Properties>
</file>