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lang w:val="en-US" w:eastAsia="zh-CN"/>
        </w:rPr>
        <w:t>Z</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2</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3</w:t>
      </w:r>
      <w:r>
        <w:rPr>
          <w:rFonts w:hint="eastAsia" w:ascii="黑体" w:eastAsia="黑体"/>
          <w:bCs/>
          <w:sz w:val="24"/>
          <w:highlight w:val="none"/>
          <w:lang w:val="en-GB"/>
        </w:rPr>
        <w:t>《</w:t>
      </w:r>
      <w:r>
        <w:rPr>
          <w:rFonts w:hint="eastAsia" w:ascii="黑体" w:eastAsia="黑体"/>
          <w:bCs/>
          <w:sz w:val="24"/>
          <w:highlight w:val="none"/>
          <w:lang w:val="en-US" w:eastAsia="zh-CN"/>
        </w:rPr>
        <w:t>氩气浓度检测报警仪校准规范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bCs/>
          <w:highlight w:val="none"/>
        </w:rPr>
      </w:pPr>
      <w:r>
        <w:rPr>
          <w:rFonts w:hint="eastAsia"/>
          <w:bCs/>
          <w:highlight w:val="none"/>
        </w:rPr>
        <w:t>一、工作简况</w:t>
      </w:r>
    </w:p>
    <w:p>
      <w:pPr>
        <w:spacing w:line="360" w:lineRule="auto"/>
        <w:rPr>
          <w:rFonts w:ascii="黑体" w:eastAsia="黑体"/>
          <w:bCs/>
          <w:szCs w:val="21"/>
          <w:highlight w:val="none"/>
        </w:rPr>
      </w:pPr>
      <w:r>
        <w:rPr>
          <w:rFonts w:ascii="黑体" w:eastAsia="黑体"/>
          <w:bCs/>
          <w:szCs w:val="21"/>
          <w:highlight w:val="none"/>
        </w:rPr>
        <w:t>1</w:t>
      </w:r>
      <w:r>
        <w:rPr>
          <w:rFonts w:hint="eastAsia" w:ascii="黑体" w:eastAsia="黑体"/>
          <w:bCs/>
          <w:szCs w:val="21"/>
          <w:highlight w:val="none"/>
        </w:rPr>
        <w:t>.1</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3</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3</w:t>
      </w:r>
      <w:r>
        <w:rPr>
          <w:rFonts w:hint="eastAsia" w:hAnsi="宋体"/>
          <w:bCs/>
          <w:szCs w:val="21"/>
          <w:highlight w:val="none"/>
        </w:rPr>
        <w:t>］</w:t>
      </w:r>
      <w:r>
        <w:rPr>
          <w:rFonts w:hint="eastAsia" w:hAnsi="宋体"/>
          <w:bCs/>
          <w:szCs w:val="21"/>
          <w:highlight w:val="none"/>
          <w:lang w:val="en-US" w:eastAsia="zh-CN"/>
        </w:rPr>
        <w:t>476</w:t>
      </w:r>
      <w:r>
        <w:rPr>
          <w:rFonts w:hint="eastAsia" w:hAnsi="宋体"/>
          <w:bCs/>
          <w:szCs w:val="21"/>
          <w:highlight w:val="none"/>
        </w:rPr>
        <w:t>号）文的要求，行业计量技术规范《</w:t>
      </w:r>
      <w:r>
        <w:rPr>
          <w:rFonts w:hint="eastAsia" w:hAnsi="宋体"/>
          <w:bCs/>
          <w:szCs w:val="21"/>
          <w:highlight w:val="none"/>
          <w:lang w:val="en-US" w:eastAsia="zh-CN"/>
        </w:rPr>
        <w:t>氩气浓度检测报警仪</w:t>
      </w:r>
      <w:r>
        <w:rPr>
          <w:rFonts w:hint="eastAsia" w:hAnsi="宋体"/>
          <w:bCs/>
          <w:szCs w:val="21"/>
          <w:highlight w:val="none"/>
          <w:lang w:eastAsia="zh-CN"/>
        </w:rPr>
        <w:t>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lang w:val="en-US" w:eastAsia="zh-CN"/>
        </w:rPr>
        <w:t>Z</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2</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3</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5</w:t>
      </w:r>
      <w:r>
        <w:rPr>
          <w:rFonts w:hint="eastAsia" w:hAnsi="宋体"/>
          <w:bCs/>
          <w:szCs w:val="21"/>
          <w:highlight w:val="none"/>
        </w:rPr>
        <w:t>年完成。</w:t>
      </w:r>
    </w:p>
    <w:p>
      <w:pPr>
        <w:pStyle w:val="11"/>
        <w:spacing w:after="0" w:line="360" w:lineRule="auto"/>
        <w:rPr>
          <w:rFonts w:ascii="黑体" w:hAnsi="宋体" w:eastAsia="黑体"/>
          <w:bCs/>
          <w:szCs w:val="21"/>
          <w:highlight w:val="none"/>
        </w:rPr>
      </w:pPr>
      <w:r>
        <w:rPr>
          <w:rFonts w:ascii="黑体" w:hAnsi="宋体" w:eastAsia="黑体"/>
          <w:bCs/>
          <w:szCs w:val="21"/>
          <w:highlight w:val="none"/>
        </w:rPr>
        <w:t>1.2</w:t>
      </w:r>
      <w:r>
        <w:rPr>
          <w:rFonts w:hint="eastAsia" w:ascii="黑体" w:hAnsi="宋体" w:eastAsia="黑体"/>
          <w:bCs/>
          <w:szCs w:val="21"/>
          <w:highlight w:val="none"/>
        </w:rPr>
        <w:t>承担单位情况</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w:t>
      </w:r>
      <w:r>
        <w:rPr>
          <w:rFonts w:hint="eastAsia"/>
          <w:bCs/>
          <w:highlight w:val="none"/>
          <w:lang w:eastAsia="zh-CN"/>
        </w:rPr>
        <w:t>，</w:t>
      </w:r>
      <w:r>
        <w:rPr>
          <w:rFonts w:hint="eastAsia"/>
          <w:bCs/>
          <w:highlight w:val="none"/>
        </w:rPr>
        <w:t>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一氧化碳、电化学氧、硫化氢、可燃气体等气体检测报警仪的CNAS校准能力。主持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等的起草</w:t>
      </w:r>
      <w:bookmarkStart w:id="0" w:name="_GoBack"/>
      <w:bookmarkEnd w:id="0"/>
      <w:r>
        <w:rPr>
          <w:rFonts w:hint="eastAsia"/>
          <w:bCs/>
          <w:highlight w:val="none"/>
          <w:lang w:val="en-US" w:eastAsia="zh-CN"/>
        </w:rPr>
        <w:t>。</w:t>
      </w:r>
    </w:p>
    <w:p>
      <w:pPr>
        <w:pStyle w:val="11"/>
        <w:spacing w:after="0" w:line="360" w:lineRule="auto"/>
        <w:rPr>
          <w:rFonts w:ascii="黑体" w:eastAsia="黑体"/>
          <w:bCs/>
          <w:szCs w:val="21"/>
          <w:highlight w:val="none"/>
        </w:rPr>
      </w:pPr>
      <w:r>
        <w:rPr>
          <w:rFonts w:ascii="黑体" w:eastAsia="黑体"/>
          <w:bCs/>
          <w:szCs w:val="21"/>
          <w:highlight w:val="none"/>
        </w:rPr>
        <w:t>1.3</w:t>
      </w:r>
      <w:r>
        <w:rPr>
          <w:rFonts w:hint="eastAsia" w:ascii="黑体" w:hAnsi="宋体" w:eastAsia="黑体"/>
          <w:bCs/>
          <w:szCs w:val="21"/>
          <w:highlight w:val="none"/>
        </w:rPr>
        <w:t>主要工作过程</w:t>
      </w:r>
    </w:p>
    <w:p>
      <w:pPr>
        <w:spacing w:line="360" w:lineRule="auto"/>
        <w:ind w:firstLine="420" w:firstLineChars="200"/>
        <w:rPr>
          <w:rFonts w:hint="eastAsia"/>
          <w:bCs/>
          <w:highlight w:val="none"/>
          <w:lang w:val="en-US" w:eastAsia="zh-CN"/>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w:t>
      </w:r>
      <w:r>
        <w:rPr>
          <w:rFonts w:hint="eastAsia"/>
          <w:bCs/>
          <w:highlight w:val="none"/>
          <w:lang w:val="en-US" w:eastAsia="zh-CN"/>
        </w:rPr>
        <w:t>制组，成员有东北轻合金有限公司、中铝瑞闽股份有限公司、西北铝业有限责任公司、山东南山铝业股份有限公司、国标（北京）检验认证有限公司、西安汉唐分析检测有限公司、广东省科学院工业分析检测中心等。对计量技术规范编写工作进行了部署和分工，制定了制定原则及计划工作。本项目主要工作过程经过了以下几个阶段：</w:t>
      </w:r>
    </w:p>
    <w:p>
      <w:pPr>
        <w:numPr>
          <w:ilvl w:val="0"/>
          <w:numId w:val="2"/>
        </w:numPr>
        <w:spacing w:line="360" w:lineRule="auto"/>
        <w:ind w:left="0" w:leftChars="0" w:firstLine="0" w:firstLineChars="0"/>
        <w:rPr>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2"/>
        </w:numPr>
        <w:spacing w:line="360" w:lineRule="auto"/>
        <w:ind w:left="0" w:leftChars="0" w:firstLine="0" w:firstLineChars="0"/>
        <w:rPr>
          <w:rFonts w:hint="eastAsia"/>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～2024年4月</w:t>
      </w:r>
      <w:r>
        <w:rPr>
          <w:rFonts w:hint="eastAsia"/>
          <w:bCs/>
          <w:highlight w:val="none"/>
        </w:rPr>
        <w:t>计量规范编制组成员对有</w:t>
      </w:r>
      <w:r>
        <w:rPr>
          <w:rFonts w:hint="eastAsia"/>
          <w:bCs/>
          <w:highlight w:val="none"/>
          <w:lang w:val="en-US" w:eastAsia="zh-CN"/>
        </w:rPr>
        <w:t>氩气浓度检测报警仪</w:t>
      </w:r>
      <w:r>
        <w:rPr>
          <w:rFonts w:hint="eastAsia"/>
          <w:bCs/>
          <w:highlight w:val="none"/>
          <w:lang w:eastAsia="zh-CN"/>
        </w:rPr>
        <w:t>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4</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2.1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w:t>
      </w:r>
      <w:r>
        <w:rPr>
          <w:rFonts w:hint="eastAsia" w:hAnsi="宋体"/>
          <w:bCs/>
          <w:szCs w:val="21"/>
          <w:highlight w:val="none"/>
          <w:lang w:val="en-US" w:eastAsia="zh-CN"/>
        </w:rPr>
        <w:t>本</w:t>
      </w:r>
      <w:r>
        <w:rPr>
          <w:rFonts w:hint="eastAsia" w:hAnsi="宋体"/>
          <w:bCs/>
          <w:szCs w:val="21"/>
          <w:highlight w:val="none"/>
        </w:rPr>
        <w:t>规范对</w:t>
      </w:r>
      <w:r>
        <w:rPr>
          <w:rFonts w:hint="eastAsia" w:hAnsi="宋体"/>
          <w:bCs/>
          <w:szCs w:val="21"/>
          <w:highlight w:val="none"/>
          <w:lang w:val="en-US" w:eastAsia="zh-CN"/>
        </w:rPr>
        <w:t>氩气浓度检测报警仪计量特性的校准方法</w:t>
      </w:r>
      <w:r>
        <w:rPr>
          <w:rFonts w:hint="eastAsia" w:hAnsi="宋体"/>
          <w:bCs/>
          <w:szCs w:val="21"/>
          <w:highlight w:val="none"/>
        </w:rPr>
        <w:t>进行了详细描述</w:t>
      </w:r>
      <w:r>
        <w:rPr>
          <w:rFonts w:hint="eastAsia" w:hAnsi="宋体"/>
          <w:bCs/>
          <w:szCs w:val="21"/>
          <w:highlight w:val="none"/>
          <w:lang w:eastAsia="zh-CN"/>
        </w:rPr>
        <w:t>，</w:t>
      </w:r>
      <w:r>
        <w:rPr>
          <w:rFonts w:hint="eastAsia" w:hAnsi="宋体"/>
          <w:bCs/>
          <w:szCs w:val="21"/>
          <w:highlight w:val="none"/>
        </w:rPr>
        <w:t>填补了国内对</w:t>
      </w:r>
      <w:r>
        <w:rPr>
          <w:rFonts w:hint="eastAsia" w:hAnsi="宋体"/>
          <w:bCs/>
          <w:szCs w:val="21"/>
          <w:highlight w:val="none"/>
          <w:lang w:val="en-US" w:eastAsia="zh-CN"/>
        </w:rPr>
        <w:t>氩气浓度检测报警仪</w:t>
      </w:r>
      <w:r>
        <w:rPr>
          <w:rFonts w:hint="eastAsia" w:hAnsi="宋体"/>
          <w:bCs/>
          <w:szCs w:val="21"/>
          <w:highlight w:val="none"/>
        </w:rPr>
        <w:t>无校准规范的空白</w:t>
      </w:r>
      <w:r>
        <w:rPr>
          <w:rFonts w:hint="eastAsia" w:hAnsi="宋体"/>
          <w:bCs/>
          <w:szCs w:val="21"/>
          <w:highlight w:val="none"/>
          <w:lang w:eastAsia="zh-CN"/>
        </w:rPr>
        <w:t>，</w:t>
      </w:r>
      <w:r>
        <w:rPr>
          <w:rFonts w:hint="eastAsia" w:hAnsi="宋体"/>
          <w:bCs/>
          <w:szCs w:val="21"/>
          <w:highlight w:val="none"/>
          <w:lang w:val="en-US" w:eastAsia="zh-CN"/>
        </w:rPr>
        <w:t>为有色金属行业安全生产提供技术保障</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对氩气浓度检测报警仪的校准方法和误差计算方法进行了详细的描述；对校准标准装置进行了详细的规定；对氩气浓度检测报警仪的控制输出、数字传输等安全性能指标的校准方法做了详细规定。</w:t>
      </w:r>
    </w:p>
    <w:p>
      <w:pPr>
        <w:spacing w:line="360" w:lineRule="auto"/>
        <w:rPr>
          <w:rFonts w:ascii="黑体" w:hAnsi="宋体" w:eastAsia="黑体"/>
          <w:bCs/>
          <w:szCs w:val="21"/>
          <w:highlight w:val="none"/>
        </w:rPr>
      </w:pPr>
      <w:r>
        <w:rPr>
          <w:rFonts w:ascii="黑体" w:eastAsia="黑体"/>
          <w:bCs/>
          <w:szCs w:val="21"/>
          <w:highlight w:val="none"/>
        </w:rPr>
        <w:t>2.2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适用于氩气浓度检测报警仪（以下简称仪器）的校准，其他用于氩气浓度检测的仪器（包括氩气浓度检测仪、氩气浓度报警仪）也可参照本规范进行校准。</w:t>
      </w:r>
    </w:p>
    <w:p>
      <w:pPr>
        <w:spacing w:line="360" w:lineRule="auto"/>
        <w:rPr>
          <w:rFonts w:ascii="黑体" w:hAnsi="宋体" w:eastAsia="黑体"/>
          <w:bCs/>
          <w:szCs w:val="21"/>
          <w:highlight w:val="none"/>
        </w:rPr>
      </w:pPr>
      <w:r>
        <w:rPr>
          <w:rFonts w:ascii="黑体" w:hAnsi="宋体" w:eastAsia="黑体"/>
          <w:bCs/>
          <w:szCs w:val="21"/>
          <w:highlight w:val="none"/>
        </w:rPr>
        <w:t>2.2.2</w:t>
      </w:r>
      <w:r>
        <w:rPr>
          <w:rFonts w:ascii="黑体" w:eastAsia="黑体"/>
          <w:bCs/>
          <w:szCs w:val="21"/>
          <w:highlight w:val="none"/>
        </w:rPr>
        <w:t xml:space="preserve"> </w:t>
      </w:r>
      <w:r>
        <w:rPr>
          <w:rFonts w:hint="eastAsia" w:ascii="黑体" w:hAnsi="宋体" w:eastAsia="黑体"/>
          <w:bCs/>
          <w:szCs w:val="21"/>
          <w:highlight w:val="none"/>
        </w:rPr>
        <w:t>引用文件</w:t>
      </w:r>
    </w:p>
    <w:p>
      <w:pPr>
        <w:spacing w:line="360" w:lineRule="auto"/>
        <w:ind w:firstLine="420" w:firstLineChars="200"/>
        <w:rPr>
          <w:rFonts w:hint="eastAsia" w:ascii="宋体" w:hAnsi="宋体" w:cs="宋体"/>
          <w:bCs/>
          <w:szCs w:val="21"/>
          <w:highlight w:val="none"/>
        </w:rPr>
      </w:pPr>
      <w:r>
        <w:rPr>
          <w:rFonts w:hint="eastAsia" w:hAnsi="宋体"/>
          <w:bCs/>
          <w:szCs w:val="21"/>
          <w:highlight w:val="none"/>
        </w:rPr>
        <w:t>本规</w:t>
      </w:r>
      <w:r>
        <w:rPr>
          <w:rFonts w:hint="eastAsia" w:ascii="宋体" w:hAnsi="宋体" w:cs="宋体"/>
          <w:bCs/>
          <w:szCs w:val="21"/>
          <w:highlight w:val="none"/>
        </w:rPr>
        <w:t>范引用了下列文件：</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GB 12358-2006  作业场所环境气体检测报警仪通用技术要求</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GB/T 50493-2019  石油化工可燃气体和有毒气体检测报警设计标准</w:t>
      </w:r>
    </w:p>
    <w:p>
      <w:pPr>
        <w:spacing w:line="360" w:lineRule="auto"/>
        <w:ind w:firstLine="420" w:firstLineChars="200"/>
        <w:rPr>
          <w:rFonts w:hint="default" w:hAnsi="宋体" w:eastAsia="宋体"/>
          <w:bCs/>
          <w:szCs w:val="21"/>
          <w:highlight w:val="none"/>
          <w:lang w:val="en-US" w:eastAsia="zh-CN"/>
        </w:rPr>
      </w:pPr>
      <w:r>
        <w:rPr>
          <w:rFonts w:hint="eastAsia" w:ascii="宋体" w:hAnsi="宋体" w:cs="宋体"/>
          <w:bCs/>
          <w:szCs w:val="21"/>
          <w:highlight w:val="none"/>
        </w:rPr>
        <w:t>凡是注</w:t>
      </w:r>
      <w:r>
        <w:rPr>
          <w:rFonts w:hint="eastAsia" w:hAnsi="宋体"/>
          <w:bCs/>
          <w:szCs w:val="21"/>
          <w:highlight w:val="none"/>
        </w:rPr>
        <w:t>日期的引用文件，仅注日期的版本适用于本规范；凡是不注日期的引用文件，其最新版本（包括所有的修改单）适用于本规范</w:t>
      </w:r>
      <w:r>
        <w:rPr>
          <w:rFonts w:hint="eastAsia" w:hAnsi="宋体"/>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2.2.3</w:t>
      </w:r>
      <w:r>
        <w:rPr>
          <w:rFonts w:ascii="黑体" w:eastAsia="黑体"/>
          <w:bCs/>
          <w:szCs w:val="21"/>
          <w:highlight w:val="none"/>
        </w:rPr>
        <w:t xml:space="preserve"> </w:t>
      </w:r>
      <w:r>
        <w:rPr>
          <w:rFonts w:hint="eastAsia" w:ascii="黑体" w:hAnsi="宋体" w:eastAsia="黑体"/>
          <w:bCs/>
          <w:szCs w:val="21"/>
          <w:highlight w:val="none"/>
        </w:rPr>
        <w:t>概述</w:t>
      </w:r>
    </w:p>
    <w:p>
      <w:pPr>
        <w:pStyle w:val="25"/>
        <w:bidi w:val="0"/>
        <w:spacing w:line="360" w:lineRule="auto"/>
        <w:rPr>
          <w:rFonts w:hint="eastAsia" w:ascii="Times New Roman" w:hAnsi="Times New Roman" w:eastAsia="宋体"/>
          <w:color w:val="auto"/>
          <w:sz w:val="24"/>
          <w:highlight w:val="none"/>
          <w:lang w:eastAsia="zh-CN"/>
        </w:rPr>
      </w:pPr>
      <w:r>
        <w:rPr>
          <w:rFonts w:hint="eastAsia" w:ascii="Times New Roman" w:hAnsi="Times New Roman" w:cs="Times New Roman"/>
          <w:sz w:val="21"/>
        </w:rPr>
        <w:t>仪器主要用于检测作业场所环境和生产流程中氩气气体的浓度。仪器的检测原理主要是热导型。仪器的采样方式有扩散式和吸入式。仪器的结构形式有便携式和固定式，主要由检测元件、放大电路、报警部分、显示部分、输出部分等组成。仪器的信号输出方式主要有RS485信号、标准电流/电压信号、开关量信号、无线传输信号等。仪器通过报警控制器与风机、电磁阀等联动，保障作业环境安全</w:t>
      </w:r>
      <w:r>
        <w:rPr>
          <w:rFonts w:hint="eastAsia" w:ascii="Times New Roman" w:cs="Times New Roman"/>
          <w:sz w:val="21"/>
          <w:lang w:eastAsia="zh-CN"/>
        </w:rPr>
        <w:t>。</w:t>
      </w:r>
    </w:p>
    <w:p>
      <w:pPr>
        <w:spacing w:line="360" w:lineRule="auto"/>
        <w:rPr>
          <w:rFonts w:ascii="黑体" w:hAnsi="宋体" w:eastAsia="黑体"/>
          <w:bCs/>
          <w:szCs w:val="21"/>
          <w:highlight w:val="none"/>
        </w:rPr>
      </w:pPr>
      <w:r>
        <w:rPr>
          <w:rFonts w:ascii="黑体" w:hAnsi="宋体" w:eastAsia="黑体"/>
          <w:bCs/>
          <w:szCs w:val="21"/>
          <w:highlight w:val="none"/>
        </w:rPr>
        <w:t>2.2.4</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w:t>
      </w:r>
      <w:r>
        <w:rPr>
          <w:rFonts w:hint="eastAsia" w:hAnsi="宋体" w:cs="Times New Roman"/>
          <w:bCs/>
          <w:szCs w:val="21"/>
          <w:highlight w:val="none"/>
          <w:lang w:val="en-US" w:eastAsia="zh-CN"/>
        </w:rPr>
        <w:t>外观与结构</w:t>
      </w:r>
      <w:r>
        <w:rPr>
          <w:rFonts w:hint="eastAsia" w:ascii="Times New Roman" w:hAnsi="宋体" w:cs="Times New Roman"/>
          <w:bCs/>
          <w:szCs w:val="21"/>
          <w:highlight w:val="none"/>
          <w:lang w:val="en-US" w:eastAsia="zh-CN"/>
        </w:rPr>
        <w:t>、</w:t>
      </w:r>
      <w:r>
        <w:rPr>
          <w:rFonts w:hint="eastAsia" w:hAnsi="宋体" w:cs="Times New Roman"/>
          <w:bCs/>
          <w:szCs w:val="21"/>
          <w:highlight w:val="none"/>
          <w:lang w:val="en-US" w:eastAsia="zh-CN"/>
        </w:rPr>
        <w:t>标志和标识、示值误差、重复性、响应时间、报警功能、开关量控制、变送输出、漂移</w:t>
      </w:r>
      <w:r>
        <w:rPr>
          <w:rFonts w:hint="eastAsia" w:ascii="Times New Roman" w:hAnsi="宋体" w:cs="Times New Roman"/>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2.2.5</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Style w:val="42"/>
          <w:rFonts w:hint="eastAsia"/>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rPr>
          <w:rFonts w:ascii="黑体" w:hAnsi="宋体" w:eastAsia="黑体"/>
          <w:bCs/>
          <w:szCs w:val="21"/>
          <w:highlight w:val="none"/>
        </w:rPr>
      </w:pPr>
      <w:r>
        <w:rPr>
          <w:rFonts w:ascii="黑体" w:hAnsi="宋体" w:eastAsia="黑体"/>
          <w:bCs/>
          <w:szCs w:val="21"/>
          <w:highlight w:val="none"/>
        </w:rPr>
        <w:t>2.2.6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default" w:ascii="黑体" w:hAnsi="宋体"/>
          <w:bCs/>
          <w:szCs w:val="21"/>
          <w:highlight w:val="none"/>
          <w:lang w:val="en-US" w:eastAsia="zh-CN"/>
        </w:rPr>
      </w:pPr>
      <w:r>
        <w:rPr>
          <w:rFonts w:hint="eastAsia" w:ascii="黑体" w:hAnsi="宋体"/>
          <w:bCs/>
          <w:szCs w:val="21"/>
          <w:highlight w:val="none"/>
          <w:lang w:val="en-US" w:eastAsia="zh-CN"/>
        </w:rPr>
        <w:t>校准项目：</w:t>
      </w:r>
      <w:r>
        <w:rPr>
          <w:rFonts w:hint="eastAsia" w:hAnsi="宋体" w:cs="Times New Roman"/>
          <w:bCs/>
          <w:szCs w:val="21"/>
          <w:highlight w:val="none"/>
          <w:lang w:val="en-US" w:eastAsia="zh-CN"/>
        </w:rPr>
        <w:t>外观与结构</w:t>
      </w:r>
      <w:r>
        <w:rPr>
          <w:rFonts w:hint="eastAsia" w:ascii="Times New Roman" w:hAnsi="宋体" w:cs="Times New Roman"/>
          <w:bCs/>
          <w:szCs w:val="21"/>
          <w:highlight w:val="none"/>
          <w:lang w:val="en-US" w:eastAsia="zh-CN"/>
        </w:rPr>
        <w:t>、</w:t>
      </w:r>
      <w:r>
        <w:rPr>
          <w:rFonts w:hint="eastAsia" w:hAnsi="宋体" w:cs="Times New Roman"/>
          <w:bCs/>
          <w:szCs w:val="21"/>
          <w:highlight w:val="none"/>
          <w:lang w:val="en-US" w:eastAsia="zh-CN"/>
        </w:rPr>
        <w:t>标志和标识、示值误差、重复性、响应时间、报警功能、开关量控制、变送输出、漂移</w:t>
      </w:r>
      <w:r>
        <w:rPr>
          <w:rFonts w:hint="eastAsia" w:ascii="黑体" w:hAnsi="宋体"/>
          <w:bCs/>
          <w:szCs w:val="21"/>
          <w:highlight w:val="none"/>
          <w:lang w:val="en-US" w:eastAsia="zh-CN"/>
        </w:rPr>
        <w:t>。仪器经过修理、更换重要部件的，需对所有项目进行重新校准。</w:t>
      </w:r>
    </w:p>
    <w:p>
      <w:pPr>
        <w:numPr>
          <w:ilvl w:val="0"/>
          <w:numId w:val="3"/>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hAnsi="宋体" w:cs="Times New Roman"/>
          <w:bCs/>
          <w:szCs w:val="21"/>
          <w:highlight w:val="none"/>
          <w:lang w:val="en-US" w:eastAsia="zh-CN"/>
        </w:rPr>
        <w:t>规范对仪器的校准点的选择进行了描述，规范对仪器计量特性外观与结构</w:t>
      </w:r>
      <w:r>
        <w:rPr>
          <w:rFonts w:hint="eastAsia" w:ascii="Times New Roman" w:hAnsi="宋体" w:cs="Times New Roman"/>
          <w:bCs/>
          <w:szCs w:val="21"/>
          <w:highlight w:val="none"/>
          <w:lang w:val="en-US" w:eastAsia="zh-CN"/>
        </w:rPr>
        <w:t>、</w:t>
      </w:r>
      <w:r>
        <w:rPr>
          <w:rFonts w:hint="eastAsia" w:hAnsi="宋体" w:cs="Times New Roman"/>
          <w:bCs/>
          <w:szCs w:val="21"/>
          <w:highlight w:val="none"/>
          <w:lang w:val="en-US" w:eastAsia="zh-CN"/>
        </w:rPr>
        <w:t>标志和标识、示值误差、重复性、响应时间、报警功能、开关量控制、变送输出、漂移的校准方法进行了详细描述，给出了相应校准项目的误差计算公式。规范能较好地指导校准人员对仪器进行校准，具有较强的可操作性。</w:t>
      </w:r>
    </w:p>
    <w:p>
      <w:pPr>
        <w:spacing w:line="360" w:lineRule="auto"/>
        <w:rPr>
          <w:rFonts w:ascii="黑体" w:hAnsi="宋体" w:eastAsia="黑体"/>
          <w:bCs/>
          <w:szCs w:val="21"/>
          <w:highlight w:val="none"/>
        </w:rPr>
      </w:pPr>
      <w:r>
        <w:rPr>
          <w:rFonts w:ascii="黑体" w:hAnsi="宋体" w:eastAsia="黑体"/>
          <w:bCs/>
          <w:szCs w:val="21"/>
          <w:highlight w:val="none"/>
        </w:rPr>
        <w:t xml:space="preserve">2.2.7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给出了最长1年复校时间间隔的建议。但客户可根据使用情况自主决定复校时间间隔。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设置了4个附录，便于校准时参考和规范化。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仪器校准原始记录参考格式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仪器校准证书内页参考格式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仪器示值误差测量结果的不确定度评定示例</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附录D 仪器变送输出误差测量结果的不确定度评定示例</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本规范填补了国内对仪器无校准规范的空白，规范对仪器计量特性的校准，特别对仪器数字传输、控制输出等安全性能进行了详细描述，可操作性强，水平达到国内领先。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w:t>
      </w:r>
      <w:r>
        <w:rPr>
          <w:rFonts w:hint="eastAsia" w:hAnsi="宋体"/>
          <w:bCs/>
          <w:szCs w:val="21"/>
          <w:highlight w:val="none"/>
          <w:lang w:val="en-US" w:eastAsia="zh-CN"/>
        </w:rPr>
        <w:t>推荐性</w:t>
      </w:r>
      <w:r>
        <w:rPr>
          <w:rFonts w:hint="eastAsia" w:hAnsi="宋体"/>
          <w:bCs/>
          <w:szCs w:val="21"/>
          <w:highlight w:val="none"/>
        </w:rPr>
        <w:t>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仪器的校准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对仪器的评价有了统一标准，能很好地用于工业现场安全生产监视，保障生产环境安全可靠</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氩气浓度检测报警仪</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16</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DB93A"/>
    <w:multiLevelType w:val="singleLevel"/>
    <w:tmpl w:val="85ADB93A"/>
    <w:lvl w:ilvl="0" w:tentative="0">
      <w:start w:val="1"/>
      <w:numFmt w:val="decimal"/>
      <w:suff w:val="space"/>
      <w:lvlText w:val="%1）"/>
      <w:lvlJc w:val="left"/>
      <w:pPr>
        <w:tabs>
          <w:tab w:val="left" w:pos="0"/>
        </w:tabs>
      </w:pPr>
      <w:rPr>
        <w:rFonts w:hint="default"/>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9906BD"/>
    <w:rsid w:val="052C6AB8"/>
    <w:rsid w:val="054363E9"/>
    <w:rsid w:val="09402D37"/>
    <w:rsid w:val="0DB103FD"/>
    <w:rsid w:val="0DB62202"/>
    <w:rsid w:val="0F046843"/>
    <w:rsid w:val="0F4960E8"/>
    <w:rsid w:val="0FD961E1"/>
    <w:rsid w:val="102B2027"/>
    <w:rsid w:val="11580B6C"/>
    <w:rsid w:val="126E7A09"/>
    <w:rsid w:val="14251CC4"/>
    <w:rsid w:val="154C457C"/>
    <w:rsid w:val="163F2D2D"/>
    <w:rsid w:val="168D2F97"/>
    <w:rsid w:val="181878E8"/>
    <w:rsid w:val="185C1918"/>
    <w:rsid w:val="196656B5"/>
    <w:rsid w:val="19D813C6"/>
    <w:rsid w:val="1A7B17FC"/>
    <w:rsid w:val="1B3E222D"/>
    <w:rsid w:val="1DFD3AB5"/>
    <w:rsid w:val="1E1E7305"/>
    <w:rsid w:val="236269FD"/>
    <w:rsid w:val="24500F51"/>
    <w:rsid w:val="264362D5"/>
    <w:rsid w:val="2B6A69EA"/>
    <w:rsid w:val="2F3F109E"/>
    <w:rsid w:val="30204B81"/>
    <w:rsid w:val="31D30F8D"/>
    <w:rsid w:val="32CF2B4C"/>
    <w:rsid w:val="33A855B9"/>
    <w:rsid w:val="3400143C"/>
    <w:rsid w:val="345C0A57"/>
    <w:rsid w:val="34915439"/>
    <w:rsid w:val="36070A65"/>
    <w:rsid w:val="36294EFF"/>
    <w:rsid w:val="366B4F50"/>
    <w:rsid w:val="36814FE8"/>
    <w:rsid w:val="3A6A7A9F"/>
    <w:rsid w:val="3B4B3584"/>
    <w:rsid w:val="3C2D4B77"/>
    <w:rsid w:val="3C6F02A3"/>
    <w:rsid w:val="3D540C00"/>
    <w:rsid w:val="3FFB769C"/>
    <w:rsid w:val="424972B2"/>
    <w:rsid w:val="42CD2859"/>
    <w:rsid w:val="46057311"/>
    <w:rsid w:val="461756FA"/>
    <w:rsid w:val="46D77749"/>
    <w:rsid w:val="46E43C6C"/>
    <w:rsid w:val="49ED573E"/>
    <w:rsid w:val="50F90BE2"/>
    <w:rsid w:val="519E65DF"/>
    <w:rsid w:val="51C34A47"/>
    <w:rsid w:val="55BF234C"/>
    <w:rsid w:val="55CC27F2"/>
    <w:rsid w:val="57415D20"/>
    <w:rsid w:val="588B31DD"/>
    <w:rsid w:val="5A8913F1"/>
    <w:rsid w:val="5B9F2DFD"/>
    <w:rsid w:val="5BBE3B49"/>
    <w:rsid w:val="5C486802"/>
    <w:rsid w:val="5E361946"/>
    <w:rsid w:val="613C71BD"/>
    <w:rsid w:val="62C244A7"/>
    <w:rsid w:val="635C4B8E"/>
    <w:rsid w:val="6388107B"/>
    <w:rsid w:val="644127EC"/>
    <w:rsid w:val="645D0E2E"/>
    <w:rsid w:val="64610126"/>
    <w:rsid w:val="655463FB"/>
    <w:rsid w:val="66471C44"/>
    <w:rsid w:val="69893755"/>
    <w:rsid w:val="6AD2505B"/>
    <w:rsid w:val="6C0D48EE"/>
    <w:rsid w:val="6C687BC5"/>
    <w:rsid w:val="6C715A3C"/>
    <w:rsid w:val="6D4F6A9B"/>
    <w:rsid w:val="6FE72B43"/>
    <w:rsid w:val="731820CB"/>
    <w:rsid w:val="74145A7A"/>
    <w:rsid w:val="75411574"/>
    <w:rsid w:val="76657642"/>
    <w:rsid w:val="77266CAE"/>
    <w:rsid w:val="77466927"/>
    <w:rsid w:val="7A5E69CB"/>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99"/>
    <w:pPr>
      <w:jc w:val="left"/>
    </w:pPr>
  </w:style>
  <w:style w:type="paragraph" w:styleId="4">
    <w:name w:val="Body Text"/>
    <w:basedOn w:val="1"/>
    <w:link w:val="40"/>
    <w:autoRedefine/>
    <w:qFormat/>
    <w:uiPriority w:val="99"/>
    <w:pPr>
      <w:spacing w:after="120"/>
    </w:pPr>
  </w:style>
  <w:style w:type="paragraph" w:styleId="5">
    <w:name w:val="Body Text Indent"/>
    <w:basedOn w:val="1"/>
    <w:link w:val="38"/>
    <w:autoRedefine/>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autoRedefine/>
    <w:qFormat/>
    <w:uiPriority w:val="99"/>
    <w:pPr>
      <w:spacing w:after="120" w:line="480" w:lineRule="auto"/>
      <w:ind w:left="420" w:leftChars="200"/>
    </w:pPr>
  </w:style>
  <w:style w:type="paragraph" w:styleId="8">
    <w:name w:val="Balloon Text"/>
    <w:basedOn w:val="1"/>
    <w:link w:val="21"/>
    <w:autoRedefine/>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sz w:val="1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autoRedefine/>
    <w:qFormat/>
    <w:uiPriority w:val="99"/>
    <w:pPr>
      <w:ind w:firstLine="420" w:firstLineChars="100"/>
    </w:pPr>
  </w:style>
  <w:style w:type="paragraph" w:styleId="14">
    <w:name w:val="Body Text First Indent 2"/>
    <w:basedOn w:val="5"/>
    <w:link w:val="39"/>
    <w:autoRedefine/>
    <w:qFormat/>
    <w:uiPriority w:val="99"/>
    <w:pPr>
      <w:ind w:firstLine="420" w:firstLineChars="200"/>
    </w:pPr>
  </w:style>
  <w:style w:type="table" w:styleId="16">
    <w:name w:val="Table Grid"/>
    <w:basedOn w:val="1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autoRedefine/>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autoRedefine/>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autoRedefine/>
    <w:qFormat/>
    <w:locked/>
    <w:uiPriority w:val="99"/>
    <w:rPr>
      <w:rFonts w:cs="Times New Roman"/>
      <w:kern w:val="2"/>
      <w:sz w:val="18"/>
      <w:szCs w:val="18"/>
    </w:rPr>
  </w:style>
  <w:style w:type="character" w:customStyle="1" w:styleId="23">
    <w:name w:val="页眉 字符"/>
    <w:basedOn w:val="17"/>
    <w:link w:val="10"/>
    <w:autoRedefine/>
    <w:semiHidden/>
    <w:qFormat/>
    <w:locked/>
    <w:uiPriority w:val="99"/>
    <w:rPr>
      <w:rFonts w:cs="Times New Roman"/>
      <w:sz w:val="18"/>
      <w:szCs w:val="18"/>
    </w:rPr>
  </w:style>
  <w:style w:type="character" w:customStyle="1" w:styleId="24">
    <w:name w:val="正文文本 2 字符"/>
    <w:basedOn w:val="17"/>
    <w:link w:val="11"/>
    <w:autoRedefine/>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autoRedefine/>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autoRedefine/>
    <w:qFormat/>
    <w:uiPriority w:val="99"/>
    <w:pPr>
      <w:ind w:firstLine="420" w:firstLineChars="200"/>
    </w:pPr>
  </w:style>
  <w:style w:type="paragraph" w:customStyle="1" w:styleId="2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autoRedefine/>
    <w:qFormat/>
    <w:uiPriority w:val="99"/>
    <w:pPr>
      <w:numPr>
        <w:ilvl w:val="2"/>
      </w:numPr>
      <w:spacing w:beforeLines="0" w:afterLines="0"/>
      <w:outlineLvl w:val="2"/>
    </w:pPr>
    <w:rPr>
      <w:sz w:val="21"/>
    </w:rPr>
  </w:style>
  <w:style w:type="paragraph" w:customStyle="1" w:styleId="32">
    <w:name w:val="二级条标题"/>
    <w:basedOn w:val="31"/>
    <w:next w:val="25"/>
    <w:autoRedefine/>
    <w:qFormat/>
    <w:uiPriority w:val="99"/>
    <w:pPr>
      <w:numPr>
        <w:ilvl w:val="3"/>
      </w:numPr>
      <w:ind w:left="2310" w:hanging="420"/>
      <w:outlineLvl w:val="3"/>
    </w:pPr>
  </w:style>
  <w:style w:type="paragraph" w:customStyle="1" w:styleId="33">
    <w:name w:val="三级条标题"/>
    <w:basedOn w:val="32"/>
    <w:next w:val="25"/>
    <w:autoRedefine/>
    <w:qFormat/>
    <w:uiPriority w:val="99"/>
    <w:pPr>
      <w:numPr>
        <w:ilvl w:val="4"/>
      </w:numPr>
      <w:ind w:left="2730"/>
      <w:outlineLvl w:val="4"/>
    </w:pPr>
  </w:style>
  <w:style w:type="paragraph" w:customStyle="1" w:styleId="34">
    <w:name w:val="四级条标题"/>
    <w:basedOn w:val="33"/>
    <w:next w:val="25"/>
    <w:autoRedefine/>
    <w:qFormat/>
    <w:uiPriority w:val="99"/>
    <w:pPr>
      <w:numPr>
        <w:ilvl w:val="5"/>
      </w:numPr>
      <w:ind w:left="3150"/>
      <w:outlineLvl w:val="5"/>
    </w:pPr>
  </w:style>
  <w:style w:type="paragraph" w:customStyle="1" w:styleId="35">
    <w:name w:val="五级条标题"/>
    <w:basedOn w:val="34"/>
    <w:next w:val="25"/>
    <w:autoRedefine/>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autoRedefine/>
    <w:semiHidden/>
    <w:qFormat/>
    <w:locked/>
    <w:uiPriority w:val="99"/>
    <w:rPr>
      <w:rFonts w:cs="Times New Roman"/>
      <w:sz w:val="24"/>
      <w:szCs w:val="24"/>
    </w:rPr>
  </w:style>
  <w:style w:type="character" w:customStyle="1" w:styleId="39">
    <w:name w:val="正文文本首行缩进 2 字符"/>
    <w:basedOn w:val="38"/>
    <w:link w:val="14"/>
    <w:autoRedefine/>
    <w:semiHidden/>
    <w:qFormat/>
    <w:locked/>
    <w:uiPriority w:val="99"/>
    <w:rPr>
      <w:rFonts w:cs="Times New Roman"/>
      <w:sz w:val="24"/>
      <w:szCs w:val="24"/>
    </w:rPr>
  </w:style>
  <w:style w:type="character" w:customStyle="1" w:styleId="40">
    <w:name w:val="正文文本 字符"/>
    <w:basedOn w:val="17"/>
    <w:link w:val="4"/>
    <w:autoRedefine/>
    <w:semiHidden/>
    <w:qFormat/>
    <w:locked/>
    <w:uiPriority w:val="99"/>
    <w:rPr>
      <w:rFonts w:cs="Times New Roman"/>
      <w:sz w:val="24"/>
      <w:szCs w:val="24"/>
    </w:rPr>
  </w:style>
  <w:style w:type="character" w:customStyle="1" w:styleId="41">
    <w:name w:val="正文文本首行缩进 字符"/>
    <w:basedOn w:val="40"/>
    <w:link w:val="13"/>
    <w:autoRedefine/>
    <w:semiHidden/>
    <w:qFormat/>
    <w:locked/>
    <w:uiPriority w:val="99"/>
    <w:rPr>
      <w:rFonts w:cs="Times New Roman"/>
      <w:sz w:val="24"/>
      <w:szCs w:val="24"/>
    </w:rPr>
  </w:style>
  <w:style w:type="character" w:customStyle="1" w:styleId="42">
    <w:name w:val="图题及表格"/>
    <w:basedOn w:val="17"/>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5263</Words>
  <Characters>5713</Characters>
  <Lines>3</Lines>
  <Paragraphs>8</Paragraphs>
  <TotalTime>5</TotalTime>
  <ScaleCrop>false</ScaleCrop>
  <LinksUpToDate>false</LinksUpToDate>
  <CharactersWithSpaces>5867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2024-04-18T08:57:19Z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3D9A1C3C9AF04F2290E0BD4591ADC4B0_13</vt:lpwstr>
  </property>
</Properties>
</file>