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rPr>
          <w:sz w:val="24"/>
          <w:szCs w:val="24"/>
        </w:rPr>
      </w:pPr>
      <w:bookmarkStart w:id="0" w:name="SectionMark0"/>
      <w:bookmarkStart w:id="1" w:name="SectionMark4"/>
      <w:r>
        <w:rPr>
          <w:sz w:val="24"/>
          <w:szCs w:val="24"/>
        </w:rP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激光导热仪校准规范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激光导热仪校准规范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v:textbox>
                <w10:anchorlock/>
              </v:rect>
            </w:pict>
          </mc:Fallback>
        </mc:AlternateContent>
      </w:r>
      <w:r>
        <w:rPr>
          <w:sz w:val="24"/>
          <w:szCs w:val="24"/>
        </w:rP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rPr>
                                <w:rFonts w:hint="default"/>
                                <w:lang w:val="en-US" w:eastAsia="zh-CN"/>
                              </w:rPr>
                            </w:pP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0288;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pPr>
                        <w:rPr>
                          <w:rFonts w:hint="default"/>
                          <w:lang w:val="en-US" w:eastAsia="zh-CN"/>
                        </w:rPr>
                      </w:pPr>
                    </w:p>
                  </w:txbxContent>
                </v:textbox>
                <w10:anchorlock/>
              </v:rect>
            </w:pict>
          </mc:Fallback>
        </mc:AlternateContent>
      </w:r>
      <w:r>
        <w:rPr>
          <w:sz w:val="24"/>
          <w:szCs w:val="24"/>
        </w:rP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4"/>
                              <w:rPr>
                                <w:rFonts w:hint="default" w:hAnsi="黑体" w:eastAsia="黑体" w:cs="黑体"/>
                                <w:sz w:val="44"/>
                                <w:szCs w:val="44"/>
                                <w:lang w:val="en-US" w:eastAsia="zh-CN"/>
                              </w:rPr>
                            </w:pPr>
                            <w:bookmarkStart w:id="42" w:name="_Hlk23687263"/>
                            <w:r>
                              <w:rPr>
                                <w:rFonts w:hint="eastAsia" w:hAnsi="黑体" w:cs="黑体"/>
                                <w:sz w:val="44"/>
                                <w:szCs w:val="44"/>
                              </w:rPr>
                              <w:t xml:space="preserve"> JJF（有色金属）</w:t>
                            </w:r>
                            <w:r>
                              <w:rPr>
                                <w:rFonts w:hint="eastAsia" w:hAnsi="黑体" w:cs="黑体"/>
                                <w:sz w:val="44"/>
                                <w:szCs w:val="44"/>
                                <w:lang w:val="en-US" w:eastAsia="zh-CN"/>
                              </w:rPr>
                              <w:t>XXX</w:t>
                            </w:r>
                            <w:r>
                              <w:rPr>
                                <w:rFonts w:hint="eastAsia" w:hAnsi="黑体" w:cs="黑体"/>
                                <w:sz w:val="44"/>
                                <w:szCs w:val="44"/>
                              </w:rPr>
                              <w:t>—</w:t>
                            </w:r>
                            <w:r>
                              <w:rPr>
                                <w:rFonts w:hint="eastAsia" w:hAnsi="黑体" w:cs="黑体"/>
                                <w:sz w:val="44"/>
                                <w:szCs w:val="44"/>
                                <w:lang w:val="en-US" w:eastAsia="zh-CN"/>
                              </w:rPr>
                              <w:t>XXXX</w:t>
                            </w:r>
                          </w:p>
                          <w:bookmarkEnd w:id="42"/>
                          <w:p>
                            <w:pPr>
                              <w:jc w:val="center"/>
                              <w:rPr>
                                <w:rFonts w:ascii="黑体" w:hAnsi="黑体" w:eastAsia="黑体" w:cs="黑体"/>
                                <w:sz w:val="44"/>
                                <w:szCs w:val="44"/>
                              </w:rPr>
                            </w:pPr>
                            <w:r>
                              <w:rPr>
                                <w:rFonts w:hint="eastAsia" w:ascii="黑体" w:hAnsi="黑体" w:eastAsia="黑体" w:cs="黑体"/>
                                <w:sz w:val="44"/>
                                <w:szCs w:val="44"/>
                                <w:lang w:val="en-US" w:eastAsia="zh-CN"/>
                              </w:rPr>
                              <w:t>激光导热仪校准规范</w:t>
                            </w: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4"/>
                        <w:rPr>
                          <w:rFonts w:hint="default" w:hAnsi="黑体" w:eastAsia="黑体" w:cs="黑体"/>
                          <w:sz w:val="44"/>
                          <w:szCs w:val="44"/>
                          <w:lang w:val="en-US" w:eastAsia="zh-CN"/>
                        </w:rPr>
                      </w:pPr>
                      <w:bookmarkStart w:id="42" w:name="_Hlk23687263"/>
                      <w:r>
                        <w:rPr>
                          <w:rFonts w:hint="eastAsia" w:hAnsi="黑体" w:cs="黑体"/>
                          <w:sz w:val="44"/>
                          <w:szCs w:val="44"/>
                        </w:rPr>
                        <w:t xml:space="preserve"> JJF（有色金属）</w:t>
                      </w:r>
                      <w:r>
                        <w:rPr>
                          <w:rFonts w:hint="eastAsia" w:hAnsi="黑体" w:cs="黑体"/>
                          <w:sz w:val="44"/>
                          <w:szCs w:val="44"/>
                          <w:lang w:val="en-US" w:eastAsia="zh-CN"/>
                        </w:rPr>
                        <w:t>XXX</w:t>
                      </w:r>
                      <w:r>
                        <w:rPr>
                          <w:rFonts w:hint="eastAsia" w:hAnsi="黑体" w:cs="黑体"/>
                          <w:sz w:val="44"/>
                          <w:szCs w:val="44"/>
                        </w:rPr>
                        <w:t>—</w:t>
                      </w:r>
                      <w:r>
                        <w:rPr>
                          <w:rFonts w:hint="eastAsia" w:hAnsi="黑体" w:cs="黑体"/>
                          <w:sz w:val="44"/>
                          <w:szCs w:val="44"/>
                          <w:lang w:val="en-US" w:eastAsia="zh-CN"/>
                        </w:rPr>
                        <w:t>XXXX</w:t>
                      </w:r>
                    </w:p>
                    <w:bookmarkEnd w:id="42"/>
                    <w:p>
                      <w:pPr>
                        <w:jc w:val="center"/>
                        <w:rPr>
                          <w:rFonts w:ascii="黑体" w:hAnsi="黑体" w:eastAsia="黑体" w:cs="黑体"/>
                          <w:sz w:val="44"/>
                          <w:szCs w:val="44"/>
                        </w:rPr>
                      </w:pPr>
                      <w:r>
                        <w:rPr>
                          <w:rFonts w:hint="eastAsia" w:ascii="黑体" w:hAnsi="黑体" w:eastAsia="黑体" w:cs="黑体"/>
                          <w:sz w:val="44"/>
                          <w:szCs w:val="44"/>
                          <w:lang w:val="en-US" w:eastAsia="zh-CN"/>
                        </w:rPr>
                        <w:t>激光导热仪校准规范</w:t>
                      </w:r>
                      <w:r>
                        <w:rPr>
                          <w:rFonts w:hint="eastAsia" w:ascii="黑体" w:hAnsi="黑体" w:eastAsia="黑体" w:cs="黑体"/>
                          <w:sz w:val="44"/>
                          <w:szCs w:val="44"/>
                        </w:rPr>
                        <w:t>(编制说明)</w:t>
                      </w:r>
                    </w:p>
                  </w:txbxContent>
                </v:textbox>
                <w10:anchorlock/>
              </v:rect>
            </w:pict>
          </mc:Fallback>
        </mc:AlternateContent>
      </w:r>
      <w:bookmarkEnd w:id="0"/>
    </w:p>
    <w:p>
      <w:pPr>
        <w:pStyle w:val="71"/>
        <w:numPr>
          <w:ilvl w:val="0"/>
          <w:numId w:val="0"/>
        </w:numPr>
        <w:ind w:left="840" w:hanging="420"/>
        <w:jc w:val="center"/>
        <w:rPr>
          <w:b/>
          <w:sz w:val="24"/>
          <w:szCs w:val="24"/>
        </w:rPr>
      </w:pPr>
    </w:p>
    <w:p>
      <w:pPr>
        <w:pStyle w:val="57"/>
        <w:ind w:firstLine="420"/>
        <w:rPr>
          <w:sz w:val="24"/>
          <w:szCs w:val="24"/>
        </w:rPr>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3"/>
        <w:numPr>
          <w:ilvl w:val="0"/>
          <w:numId w:val="11"/>
        </w:numPr>
        <w:tabs>
          <w:tab w:val="left" w:pos="426"/>
        </w:tabs>
        <w:spacing w:before="312" w:beforeLines="100" w:after="312" w:afterLines="100"/>
        <w:ind w:hangingChars="200"/>
        <w:jc w:val="left"/>
        <w:rPr>
          <w:sz w:val="24"/>
          <w:szCs w:val="24"/>
        </w:rPr>
      </w:pPr>
      <w:bookmarkStart w:id="2" w:name="_Toc464728891"/>
      <w:r>
        <w:rPr>
          <w:rFonts w:hint="eastAsia"/>
          <w:sz w:val="24"/>
          <w:szCs w:val="24"/>
        </w:rPr>
        <w:t>工作简况</w:t>
      </w:r>
      <w:bookmarkEnd w:id="2"/>
    </w:p>
    <w:p>
      <w:pPr>
        <w:pStyle w:val="60"/>
        <w:spacing w:before="156" w:after="156" w:line="300" w:lineRule="auto"/>
        <w:ind w:left="0"/>
        <w:contextualSpacing/>
        <w:rPr>
          <w:sz w:val="24"/>
          <w:szCs w:val="24"/>
        </w:rPr>
      </w:pPr>
      <w:bookmarkStart w:id="3" w:name="_Toc464728892"/>
      <w:bookmarkStart w:id="4" w:name="_Toc456592524"/>
      <w:r>
        <w:rPr>
          <w:rFonts w:hint="eastAsia"/>
          <w:sz w:val="24"/>
          <w:szCs w:val="24"/>
        </w:rPr>
        <w:t>立项目的</w:t>
      </w:r>
      <w:bookmarkEnd w:id="3"/>
      <w:bookmarkEnd w:id="4"/>
    </w:p>
    <w:p>
      <w:pPr>
        <w:spacing w:line="360" w:lineRule="auto"/>
        <w:ind w:firstLine="480" w:firstLineChars="200"/>
        <w:rPr>
          <w:rFonts w:hint="eastAsia"/>
          <w:sz w:val="24"/>
          <w:szCs w:val="24"/>
        </w:rPr>
      </w:pPr>
      <w:r>
        <w:rPr>
          <w:rFonts w:hint="eastAsia"/>
          <w:sz w:val="24"/>
          <w:szCs w:val="24"/>
        </w:rPr>
        <w:t>热扩散系数是评价材料传导性能的重要参数，对于非稳态热流情况下材料，如电子封装材料、热防护材料、热交换材料等新材料的应用设计、安全操作温度的确定、过程控制及质量保证，热扩散系数是关键指标参数。</w:t>
      </w:r>
    </w:p>
    <w:p>
      <w:pPr>
        <w:spacing w:line="360" w:lineRule="auto"/>
        <w:ind w:firstLine="480" w:firstLineChars="200"/>
        <w:rPr>
          <w:rFonts w:hint="eastAsia"/>
          <w:sz w:val="24"/>
          <w:szCs w:val="24"/>
        </w:rPr>
      </w:pPr>
      <w:r>
        <w:rPr>
          <w:rFonts w:hint="eastAsia"/>
          <w:sz w:val="24"/>
          <w:szCs w:val="24"/>
        </w:rPr>
        <w:t>激光闪射法（Flash Method，也称闪光法）因其要求的样品尺寸较小，测量速度快，精度高，测量范围宽，能够覆盖从较低导热系数的聚合物到超高导热的金刚石的宽广的测量范围，尤其适合于中高导热系数材料的测量，激光闪射得到了快速发展，也受到国际热物理学界普遍承认。激光导热仪是基于激光闪射原理开发的测量热扩散系数和导热系数的重要测试仪器，在电子信息、航空航天、核电等重要领域已成为重要的通用检测设备，其量值的准确性对于材料的设计、研发、生产和应用具有重要意义。</w:t>
      </w:r>
    </w:p>
    <w:p>
      <w:pPr>
        <w:spacing w:line="360" w:lineRule="auto"/>
        <w:ind w:firstLine="480" w:firstLineChars="200"/>
        <w:rPr>
          <w:rFonts w:hint="eastAsia"/>
          <w:sz w:val="24"/>
          <w:szCs w:val="24"/>
        </w:rPr>
      </w:pPr>
      <w:r>
        <w:rPr>
          <w:rFonts w:hint="eastAsia"/>
          <w:sz w:val="24"/>
          <w:szCs w:val="24"/>
        </w:rPr>
        <w:t>激光导热仪测量热扩散系数的过程中具有随机和系统误差，设备性能应进行定期校准和校验，评估这些误差影响数据的程度。目前，国内外尚无激光导热仪的检定校准规程或规范等指导性文件用于评定激光热导仪的示值误差和确保测量值准确。激光导热仪相关计量规范的缺失对于设备在使用中风险的控制、校准工作的有效开展实施造成了较大的难度。因此，有必要制定《激光导热仪校准规范》，为指导、有效开展对激光导热仪的校准工作提供详细的校准程序及技术指标，保证量值的准确。</w:t>
      </w:r>
    </w:p>
    <w:p>
      <w:pPr>
        <w:pStyle w:val="60"/>
        <w:spacing w:before="156" w:after="156" w:line="300" w:lineRule="auto"/>
        <w:ind w:left="0"/>
        <w:contextualSpacing/>
        <w:rPr>
          <w:sz w:val="24"/>
          <w:szCs w:val="24"/>
        </w:rPr>
      </w:pPr>
      <w:bookmarkStart w:id="5" w:name="_Toc464728896"/>
      <w:r>
        <w:rPr>
          <w:rFonts w:hint="eastAsia"/>
          <w:sz w:val="24"/>
          <w:szCs w:val="24"/>
        </w:rPr>
        <w:t>任务来源</w:t>
      </w:r>
      <w:bookmarkEnd w:id="5"/>
    </w:p>
    <w:p>
      <w:pPr>
        <w:spacing w:line="300" w:lineRule="auto"/>
        <w:ind w:firstLine="480" w:firstLineChars="200"/>
        <w:contextualSpacing/>
        <w:jc w:val="left"/>
        <w:rPr>
          <w:sz w:val="24"/>
          <w:szCs w:val="24"/>
        </w:rPr>
      </w:pPr>
      <w:r>
        <w:rPr>
          <w:rFonts w:hint="eastAsia"/>
          <w:sz w:val="24"/>
          <w:szCs w:val="24"/>
        </w:rPr>
        <w:t>为保证和提升我国</w:t>
      </w:r>
      <w:r>
        <w:rPr>
          <w:rFonts w:hint="eastAsia"/>
          <w:sz w:val="24"/>
          <w:szCs w:val="24"/>
          <w:lang w:val="en-US" w:eastAsia="zh-CN"/>
        </w:rPr>
        <w:t>激光导热仪</w:t>
      </w:r>
      <w:r>
        <w:rPr>
          <w:rFonts w:hint="eastAsia"/>
          <w:sz w:val="24"/>
          <w:szCs w:val="24"/>
        </w:rPr>
        <w:t>的准确性产品质量，适应我国</w:t>
      </w:r>
      <w:r>
        <w:rPr>
          <w:rFonts w:hint="eastAsia"/>
          <w:sz w:val="24"/>
          <w:szCs w:val="24"/>
          <w:lang w:val="en-US" w:eastAsia="zh-CN"/>
        </w:rPr>
        <w:t>热</w:t>
      </w:r>
      <w:r>
        <w:rPr>
          <w:rFonts w:hint="eastAsia"/>
          <w:sz w:val="24"/>
          <w:szCs w:val="24"/>
        </w:rPr>
        <w:t>性能试验行业的快速发展和满足国内外市场的需要，工业和信息化部以工厅科[20</w:t>
      </w:r>
      <w:r>
        <w:rPr>
          <w:rFonts w:hint="eastAsia"/>
          <w:sz w:val="24"/>
          <w:szCs w:val="24"/>
          <w:lang w:val="en-US" w:eastAsia="zh-CN"/>
        </w:rPr>
        <w:t>23</w:t>
      </w:r>
      <w:r>
        <w:rPr>
          <w:rFonts w:hint="eastAsia"/>
          <w:sz w:val="24"/>
          <w:szCs w:val="24"/>
        </w:rPr>
        <w:t>]</w:t>
      </w:r>
      <w:r>
        <w:rPr>
          <w:rFonts w:hint="eastAsia"/>
          <w:sz w:val="24"/>
          <w:szCs w:val="24"/>
          <w:lang w:val="en-US" w:eastAsia="zh-CN"/>
        </w:rPr>
        <w:t>476</w:t>
      </w:r>
      <w:r>
        <w:rPr>
          <w:rFonts w:hint="eastAsia"/>
          <w:sz w:val="24"/>
          <w:szCs w:val="24"/>
        </w:rPr>
        <w:t>号文下达了《工业和信息化部办公厅关于印发202</w:t>
      </w:r>
      <w:r>
        <w:rPr>
          <w:rFonts w:hint="eastAsia"/>
          <w:sz w:val="24"/>
          <w:szCs w:val="24"/>
          <w:lang w:val="en-US" w:eastAsia="zh-CN"/>
        </w:rPr>
        <w:t>3</w:t>
      </w:r>
      <w:r>
        <w:rPr>
          <w:rFonts w:hint="eastAsia"/>
          <w:sz w:val="24"/>
          <w:szCs w:val="24"/>
        </w:rPr>
        <w:t>计量规范制修订计划的通知》，其</w:t>
      </w:r>
      <w:r>
        <w:rPr>
          <w:rFonts w:hint="eastAsia"/>
          <w:sz w:val="24"/>
          <w:szCs w:val="24"/>
          <w:lang w:val="en-US" w:eastAsia="zh-CN"/>
        </w:rPr>
        <w:t>计划号</w:t>
      </w:r>
      <w:r>
        <w:rPr>
          <w:rFonts w:hint="eastAsia"/>
          <w:sz w:val="24"/>
          <w:szCs w:val="24"/>
        </w:rPr>
        <w:t>为：</w:t>
      </w:r>
      <w:r>
        <w:rPr>
          <w:rFonts w:hint="eastAsia"/>
          <w:sz w:val="24"/>
          <w:szCs w:val="24"/>
          <w:lang w:val="en-US" w:eastAsia="zh-CN"/>
        </w:rPr>
        <w:t>JJFZ（有色金属）006-2023</w:t>
      </w:r>
      <w:r>
        <w:rPr>
          <w:rFonts w:hint="eastAsia"/>
          <w:sz w:val="24"/>
          <w:szCs w:val="24"/>
        </w:rPr>
        <w:t>，计划完成年限为202</w:t>
      </w:r>
      <w:r>
        <w:rPr>
          <w:rFonts w:hint="eastAsia"/>
          <w:sz w:val="24"/>
          <w:szCs w:val="24"/>
          <w:lang w:val="en-US" w:eastAsia="zh-CN"/>
        </w:rPr>
        <w:t>5</w:t>
      </w:r>
      <w:r>
        <w:rPr>
          <w:rFonts w:hint="eastAsia"/>
          <w:sz w:val="24"/>
          <w:szCs w:val="24"/>
        </w:rPr>
        <w:t>年。</w:t>
      </w:r>
    </w:p>
    <w:p>
      <w:pPr>
        <w:pStyle w:val="60"/>
        <w:spacing w:before="156" w:after="156" w:line="300" w:lineRule="auto"/>
        <w:ind w:left="0"/>
        <w:contextualSpacing/>
        <w:rPr>
          <w:sz w:val="24"/>
          <w:szCs w:val="24"/>
        </w:rPr>
      </w:pPr>
      <w:bookmarkStart w:id="6" w:name="_Toc462884342"/>
      <w:bookmarkStart w:id="7" w:name="_Toc464728898"/>
      <w:r>
        <w:rPr>
          <w:rFonts w:hint="eastAsia"/>
          <w:sz w:val="24"/>
          <w:szCs w:val="24"/>
        </w:rPr>
        <w:t>项目编制组单位简况</w:t>
      </w:r>
      <w:bookmarkEnd w:id="6"/>
      <w:bookmarkEnd w:id="7"/>
    </w:p>
    <w:p>
      <w:pPr>
        <w:pStyle w:val="59"/>
        <w:spacing w:before="156" w:beforeLines="50" w:after="156" w:afterLines="50" w:line="240" w:lineRule="auto"/>
        <w:ind w:left="0"/>
        <w:rPr>
          <w:color w:val="auto"/>
          <w:sz w:val="24"/>
          <w:szCs w:val="24"/>
        </w:rPr>
      </w:pPr>
      <w:bookmarkStart w:id="8" w:name="_Toc464728899"/>
      <w:bookmarkStart w:id="9" w:name="_Toc462884343"/>
      <w:r>
        <w:rPr>
          <w:rFonts w:hint="eastAsia"/>
          <w:color w:val="auto"/>
          <w:sz w:val="24"/>
          <w:szCs w:val="24"/>
        </w:rPr>
        <w:t>编制组成员单位</w:t>
      </w:r>
      <w:bookmarkEnd w:id="8"/>
      <w:bookmarkEnd w:id="9"/>
    </w:p>
    <w:p>
      <w:pPr>
        <w:spacing w:line="300" w:lineRule="auto"/>
        <w:ind w:firstLine="480" w:firstLineChars="200"/>
        <w:contextualSpacing/>
        <w:jc w:val="left"/>
        <w:rPr>
          <w:sz w:val="24"/>
          <w:szCs w:val="24"/>
        </w:rPr>
      </w:pPr>
      <w:bookmarkStart w:id="10" w:name="_Toc464728900"/>
      <w:bookmarkStart w:id="11" w:name="_Toc462884344"/>
      <w:r>
        <w:rPr>
          <w:rFonts w:hint="eastAsia"/>
          <w:sz w:val="24"/>
          <w:szCs w:val="24"/>
        </w:rPr>
        <w:t>本标准的编制组单位为：国标（北京）检验认证有限公司、。编制组成员单位均是我国有色金属行业的主要计量及科研研制单位。</w:t>
      </w:r>
    </w:p>
    <w:bookmarkEnd w:id="10"/>
    <w:bookmarkEnd w:id="11"/>
    <w:p>
      <w:pPr>
        <w:pStyle w:val="59"/>
        <w:spacing w:before="156" w:beforeLines="50" w:after="156" w:afterLines="50"/>
        <w:ind w:left="0"/>
        <w:contextualSpacing/>
        <w:rPr>
          <w:rFonts w:hAnsi="黑体"/>
          <w:color w:val="auto"/>
          <w:sz w:val="24"/>
          <w:szCs w:val="24"/>
        </w:rPr>
      </w:pPr>
      <w:r>
        <w:rPr>
          <w:rFonts w:hint="eastAsia" w:hAnsi="黑体"/>
          <w:color w:val="auto"/>
          <w:sz w:val="24"/>
          <w:szCs w:val="24"/>
        </w:rPr>
        <w:t>主编单位简介</w:t>
      </w:r>
    </w:p>
    <w:p>
      <w:pPr>
        <w:pStyle w:val="58"/>
        <w:spacing w:before="156" w:beforeLines="50" w:after="156" w:afterLines="50"/>
        <w:ind w:left="0" w:leftChars="0" w:firstLineChars="0"/>
        <w:contextualSpacing/>
        <w:rPr>
          <w:color w:val="auto"/>
          <w:sz w:val="24"/>
          <w:szCs w:val="24"/>
        </w:rPr>
      </w:pPr>
      <w:r>
        <w:rPr>
          <w:rFonts w:hint="eastAsia"/>
          <w:color w:val="auto"/>
          <w:sz w:val="24"/>
          <w:szCs w:val="24"/>
        </w:rPr>
        <w:t>国标（北京）检验认证有限公司</w:t>
      </w:r>
    </w:p>
    <w:p>
      <w:pPr>
        <w:spacing w:line="300" w:lineRule="auto"/>
        <w:ind w:firstLine="480" w:firstLineChars="200"/>
        <w:contextualSpacing/>
        <w:jc w:val="left"/>
        <w:rPr>
          <w:sz w:val="24"/>
          <w:szCs w:val="24"/>
        </w:rPr>
      </w:pPr>
      <w:r>
        <w:rPr>
          <w:rFonts w:hint="eastAsia"/>
          <w:sz w:val="24"/>
          <w:szCs w:val="24"/>
        </w:rPr>
        <w:t>国标（北京）检验认证有限公司是我国有色行业的材料研究和材料检测的权威机构。该公司运行着国家有色金属质量监督检验中心，于1985年开始筹建并承担检验任务。1990年通过国家技术质量监督检验检疫总局的审查认可，2001年通过实验室“三合一”认可。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spacing w:line="300" w:lineRule="auto"/>
        <w:ind w:firstLine="480" w:firstLineChars="200"/>
        <w:contextualSpacing/>
        <w:jc w:val="left"/>
        <w:rPr>
          <w:sz w:val="24"/>
          <w:szCs w:val="24"/>
        </w:rPr>
      </w:pPr>
      <w:r>
        <w:rPr>
          <w:rFonts w:hint="eastAsia"/>
          <w:sz w:val="24"/>
          <w:szCs w:val="24"/>
        </w:rPr>
        <w:t>在铝及铝合金材料的监督检验方面，该公司具备深厚的基础，承担了大量的分析检测任务和标准起草制定工作。实验室配备有ICP-MS、ICP-ES、GD-MS、光谱仪、氧氮氢测定仪等一系列化学分析仪器，可对铝及铝合金材料进行全元素定性和定量分析。实验室配备了万能材料试验机及相关配套设备，可进行高低室温下的拉伸、压缩、剪切等力学性能试验，以及弯曲、扩口、压扁、杯突等工艺性能的检测、配备有高周、低周和弯曲疲劳试验机及高、低温环境箱，可进行高、低、室温下的高周疲劳和弯曲疲劳性能，以及室温下的低周疲劳、裂纹扩展速率、断裂韧性、腐蚀疲劳等性能的检测。配备了多种硬度检测设备，可进行布氏、洛氏、维氏、韦氏等硬度检测。另外还可开展铝及铝合金的应力腐蚀、剥落腐蚀、盐雾腐蚀等抗腐蚀性能的检测，以及持久蠕变试验、冲击试验、热分析、粗糙度、电性能、密度、涂层性能等参数的检测，基本涵盖了铝及铝合金产品监督检验的领域范围。</w:t>
      </w:r>
    </w:p>
    <w:p>
      <w:pPr>
        <w:spacing w:line="300" w:lineRule="auto"/>
        <w:ind w:firstLine="480" w:firstLineChars="200"/>
        <w:contextualSpacing/>
        <w:jc w:val="left"/>
        <w:rPr>
          <w:sz w:val="24"/>
          <w:szCs w:val="24"/>
        </w:rPr>
      </w:pPr>
      <w:r>
        <w:rPr>
          <w:rFonts w:hint="eastAsia"/>
          <w:sz w:val="24"/>
          <w:szCs w:val="24"/>
        </w:rPr>
        <w:t>本单位积极组织编制组各次工作会议，开展相关的校准，有效组织参编单位多次对标准的各版《征求意见稿》进行认真的讨论和审议，提出大量有益的意见和建议，在编制组中发挥了牵头作用。</w:t>
      </w:r>
    </w:p>
    <w:p>
      <w:pPr>
        <w:pStyle w:val="59"/>
        <w:spacing w:before="156" w:beforeLines="50" w:after="156" w:afterLines="50" w:line="240" w:lineRule="auto"/>
        <w:ind w:left="0"/>
        <w:rPr>
          <w:color w:val="auto"/>
          <w:sz w:val="24"/>
          <w:szCs w:val="24"/>
        </w:rPr>
      </w:pPr>
      <w:bookmarkStart w:id="12" w:name="_Toc464728901"/>
      <w:bookmarkStart w:id="13" w:name="_Toc462884345"/>
      <w:r>
        <w:rPr>
          <w:rFonts w:hint="eastAsia"/>
          <w:color w:val="auto"/>
          <w:sz w:val="24"/>
          <w:szCs w:val="24"/>
        </w:rPr>
        <w:t>成员单位简介</w:t>
      </w:r>
      <w:bookmarkEnd w:id="12"/>
      <w:bookmarkEnd w:id="13"/>
    </w:p>
    <w:p>
      <w:pPr>
        <w:pStyle w:val="58"/>
        <w:spacing w:before="156" w:beforeLines="50" w:after="156" w:afterLines="50"/>
        <w:ind w:left="2"/>
        <w:contextualSpacing/>
        <w:rPr>
          <w:color w:val="auto"/>
          <w:sz w:val="24"/>
          <w:szCs w:val="24"/>
        </w:rPr>
      </w:pPr>
      <w:r>
        <w:rPr>
          <w:rFonts w:hint="eastAsia"/>
          <w:color w:val="auto"/>
          <w:sz w:val="24"/>
          <w:szCs w:val="24"/>
          <w:lang w:val="en-US" w:eastAsia="zh-CN"/>
        </w:rPr>
        <w:t>北京航空航天大学</w:t>
      </w:r>
    </w:p>
    <w:p>
      <w:pPr>
        <w:pStyle w:val="57"/>
      </w:pPr>
    </w:p>
    <w:p>
      <w:pPr>
        <w:pStyle w:val="60"/>
        <w:spacing w:before="156" w:after="156" w:line="300" w:lineRule="auto"/>
        <w:ind w:left="0"/>
        <w:contextualSpacing/>
        <w:rPr>
          <w:rFonts w:hint="default"/>
          <w:sz w:val="24"/>
          <w:szCs w:val="24"/>
          <w:lang w:val="en-US"/>
        </w:rPr>
      </w:pPr>
      <w:bookmarkStart w:id="14" w:name="_Toc462884357"/>
      <w:bookmarkStart w:id="15" w:name="_Toc464728913"/>
      <w:r>
        <w:rPr>
          <w:rFonts w:hint="eastAsia"/>
          <w:sz w:val="24"/>
          <w:szCs w:val="24"/>
        </w:rPr>
        <w:t>主要工作过程</w:t>
      </w:r>
      <w:bookmarkEnd w:id="14"/>
      <w:bookmarkEnd w:id="15"/>
    </w:p>
    <w:p>
      <w:pPr>
        <w:pStyle w:val="57"/>
        <w:spacing w:line="360" w:lineRule="auto"/>
        <w:ind w:left="0" w:leftChars="0" w:firstLine="0" w:firstLineChars="0"/>
        <w:rPr>
          <w:rFonts w:hint="default"/>
          <w:lang w:val="en-US" w:eastAsia="zh-CN"/>
        </w:rPr>
      </w:pPr>
      <w:r>
        <w:rPr>
          <w:rFonts w:hint="default" w:ascii="黑体" w:hAnsi="Times New Roman" w:eastAsia="黑体" w:cs="Times New Roman"/>
          <w:color w:val="auto"/>
          <w:spacing w:val="-4"/>
          <w:sz w:val="24"/>
          <w:szCs w:val="24"/>
          <w:lang w:val="en-US" w:eastAsia="zh-CN" w:bidi="ar-SA"/>
        </w:rPr>
        <w:t>4.1 预研阶段</w:t>
      </w:r>
    </w:p>
    <w:p>
      <w:pPr>
        <w:pStyle w:val="57"/>
        <w:spacing w:line="324" w:lineRule="auto"/>
        <w:ind w:firstLine="420"/>
        <w:rPr>
          <w:rFonts w:hint="default"/>
          <w:sz w:val="24"/>
          <w:szCs w:val="24"/>
          <w:lang w:val="en-US" w:eastAsia="zh-CN"/>
        </w:rPr>
      </w:pPr>
      <w:r>
        <w:rPr>
          <w:rFonts w:hint="default"/>
          <w:sz w:val="24"/>
          <w:szCs w:val="24"/>
          <w:lang w:val="en-US" w:eastAsia="zh-CN"/>
        </w:rPr>
        <w:t>编制组内部经实地调研，就规范包含的内容、主要技术指标等问题进行了讨论，确定规范起草的主导思想和起草原则，对起草组人员的工作进行了分配，并对制定规范的技术指标及拟使用的方法进行现场验证。了解使用单位需求情况并进行测试试验,选取有代表性的仪器品牌并对其分类，收集相关技术材料。</w:t>
      </w:r>
    </w:p>
    <w:p>
      <w:pPr>
        <w:pStyle w:val="57"/>
        <w:spacing w:line="324" w:lineRule="auto"/>
        <w:ind w:left="0" w:leftChars="0" w:firstLine="0" w:firstLineChars="0"/>
        <w:rPr>
          <w:rFonts w:hint="default"/>
          <w:sz w:val="24"/>
          <w:szCs w:val="24"/>
          <w:lang w:val="en-US" w:eastAsia="zh-CN"/>
        </w:rPr>
      </w:pPr>
      <w:r>
        <w:rPr>
          <w:rFonts w:hint="eastAsia"/>
          <w:sz w:val="24"/>
          <w:szCs w:val="24"/>
          <w:lang w:val="en-US" w:eastAsia="zh-CN"/>
        </w:rPr>
        <w:t>4.1.1 规范内容的确认</w:t>
      </w:r>
    </w:p>
    <w:p>
      <w:pPr>
        <w:pStyle w:val="57"/>
        <w:spacing w:line="324" w:lineRule="auto"/>
        <w:ind w:left="0" w:leftChars="0" w:firstLine="420" w:firstLineChars="0"/>
        <w:rPr>
          <w:rFonts w:hint="eastAsia"/>
          <w:sz w:val="24"/>
          <w:szCs w:val="24"/>
          <w:lang w:val="en-US" w:eastAsia="zh-CN"/>
        </w:rPr>
      </w:pPr>
      <w:r>
        <w:rPr>
          <w:rFonts w:hint="eastAsia"/>
          <w:sz w:val="24"/>
          <w:szCs w:val="24"/>
          <w:lang w:val="en-US" w:eastAsia="zh-CN"/>
        </w:rPr>
        <w:t>通过参考市场常用设备，如型号为</w:t>
      </w:r>
      <w:r>
        <w:rPr>
          <w:rFonts w:hint="eastAsia"/>
          <w:sz w:val="24"/>
          <w:lang w:val="en-US" w:eastAsia="zh-CN"/>
        </w:rPr>
        <w:t>LFA-467HT</w:t>
      </w:r>
      <w:r>
        <w:rPr>
          <w:rFonts w:hint="eastAsia"/>
          <w:sz w:val="24"/>
          <w:szCs w:val="24"/>
          <w:lang w:val="en-US" w:eastAsia="zh-CN"/>
        </w:rPr>
        <w:t>的耐驰激光导热仪等，对规范的校准项目及参数进行了调研。经调研发现，目前激光导热仪试验机对设备校准的需求为采用标准样品进行校准，所以采用标准器进行校准为本项目的主要研究内容。</w:t>
      </w:r>
    </w:p>
    <w:p>
      <w:pPr>
        <w:pStyle w:val="57"/>
        <w:spacing w:line="324" w:lineRule="auto"/>
        <w:ind w:left="0" w:leftChars="0" w:firstLine="0" w:firstLineChars="0"/>
        <w:rPr>
          <w:rFonts w:hint="default"/>
          <w:sz w:val="24"/>
          <w:szCs w:val="24"/>
          <w:lang w:val="en-US" w:eastAsia="zh-CN"/>
        </w:rPr>
      </w:pPr>
      <w:r>
        <w:rPr>
          <w:rFonts w:hint="eastAsia"/>
          <w:sz w:val="24"/>
          <w:szCs w:val="24"/>
          <w:lang w:val="en-US" w:eastAsia="zh-CN"/>
        </w:rPr>
        <w:t>4.1.2 技术指标的确认</w:t>
      </w:r>
    </w:p>
    <w:p>
      <w:pPr>
        <w:pStyle w:val="57"/>
        <w:spacing w:line="324" w:lineRule="auto"/>
        <w:ind w:left="0" w:leftChars="0" w:firstLine="420" w:firstLineChars="0"/>
        <w:rPr>
          <w:rFonts w:hint="default"/>
          <w:sz w:val="24"/>
          <w:szCs w:val="24"/>
          <w:lang w:val="en-US" w:eastAsia="zh-CN"/>
        </w:rPr>
      </w:pPr>
      <w:r>
        <w:rPr>
          <w:rFonts w:hint="eastAsia"/>
          <w:sz w:val="24"/>
          <w:szCs w:val="24"/>
          <w:lang w:val="en-US" w:eastAsia="zh-CN"/>
        </w:rPr>
        <w:t>通过参考</w:t>
      </w:r>
      <w:r>
        <w:rPr>
          <w:rFonts w:ascii="Times New Roman"/>
          <w:sz w:val="24"/>
          <w:szCs w:val="24"/>
        </w:rPr>
        <w:t>GB/T</w:t>
      </w:r>
      <w:r>
        <w:rPr>
          <w:rFonts w:hint="eastAsia" w:ascii="Times New Roman"/>
          <w:sz w:val="24"/>
          <w:szCs w:val="24"/>
          <w:lang w:val="en-US" w:eastAsia="zh-CN"/>
        </w:rPr>
        <w:t xml:space="preserve"> 22588对</w:t>
      </w:r>
      <w:r>
        <w:rPr>
          <w:rFonts w:hint="default"/>
          <w:sz w:val="24"/>
          <w:szCs w:val="24"/>
          <w:lang w:val="en-US" w:eastAsia="zh-CN"/>
        </w:rPr>
        <w:t>主要技术指标</w:t>
      </w:r>
      <w:r>
        <w:rPr>
          <w:rFonts w:hint="eastAsia"/>
          <w:sz w:val="24"/>
          <w:szCs w:val="24"/>
          <w:lang w:val="en-US" w:eastAsia="zh-CN"/>
        </w:rPr>
        <w:t>进行查询，并与专业热分析实验室进行技术讨论，最终确认了校准项目的测量范围和误差范围。</w:t>
      </w:r>
    </w:p>
    <w:p>
      <w:pPr>
        <w:pStyle w:val="57"/>
        <w:spacing w:line="360" w:lineRule="auto"/>
        <w:ind w:left="0" w:leftChars="0" w:firstLine="0" w:firstLineChars="0"/>
        <w:rPr>
          <w:rFonts w:hint="default"/>
          <w:lang w:val="en-US" w:eastAsia="zh-CN"/>
        </w:rPr>
      </w:pPr>
      <w:r>
        <w:rPr>
          <w:rFonts w:hint="default" w:ascii="黑体" w:hAnsi="Times New Roman" w:eastAsia="黑体" w:cs="Times New Roman"/>
          <w:color w:val="auto"/>
          <w:spacing w:val="-4"/>
          <w:sz w:val="24"/>
          <w:szCs w:val="24"/>
          <w:lang w:val="en-US" w:eastAsia="zh-CN" w:bidi="ar-SA"/>
        </w:rPr>
        <w:t>4.2 立项阶段</w:t>
      </w:r>
    </w:p>
    <w:p>
      <w:pPr>
        <w:pStyle w:val="57"/>
        <w:spacing w:line="324" w:lineRule="auto"/>
        <w:ind w:firstLine="420"/>
        <w:rPr>
          <w:rFonts w:hint="default"/>
          <w:sz w:val="24"/>
          <w:szCs w:val="24"/>
          <w:lang w:val="en-US" w:eastAsia="zh-CN"/>
        </w:rPr>
      </w:pPr>
      <w:r>
        <w:rPr>
          <w:rFonts w:hint="default"/>
          <w:sz w:val="24"/>
          <w:szCs w:val="24"/>
          <w:lang w:val="en-US" w:eastAsia="zh-CN"/>
        </w:rPr>
        <w:t>预研工作完成后，由国标（北京）检验认证有限公司提交项目申请书等材料，于202</w:t>
      </w:r>
      <w:r>
        <w:rPr>
          <w:rFonts w:hint="eastAsia"/>
          <w:sz w:val="24"/>
          <w:szCs w:val="24"/>
          <w:lang w:val="en-US" w:eastAsia="zh-CN"/>
        </w:rPr>
        <w:t>3</w:t>
      </w:r>
      <w:r>
        <w:rPr>
          <w:rFonts w:hint="default"/>
          <w:sz w:val="24"/>
          <w:szCs w:val="24"/>
          <w:lang w:val="en-US" w:eastAsia="zh-CN"/>
        </w:rPr>
        <w:t>年，工业和信息化部以工信厅科函[202</w:t>
      </w:r>
      <w:r>
        <w:rPr>
          <w:rFonts w:hint="eastAsia"/>
          <w:sz w:val="24"/>
          <w:szCs w:val="24"/>
          <w:lang w:val="en-US" w:eastAsia="zh-CN"/>
        </w:rPr>
        <w:t>3</w:t>
      </w:r>
      <w:r>
        <w:rPr>
          <w:rFonts w:hint="default"/>
          <w:sz w:val="24"/>
          <w:szCs w:val="24"/>
          <w:lang w:val="en-US" w:eastAsia="zh-CN"/>
        </w:rPr>
        <w:t>]4</w:t>
      </w:r>
      <w:r>
        <w:rPr>
          <w:rFonts w:hint="eastAsia"/>
          <w:sz w:val="24"/>
          <w:szCs w:val="24"/>
          <w:lang w:val="en-US" w:eastAsia="zh-CN"/>
        </w:rPr>
        <w:t>76</w:t>
      </w:r>
      <w:r>
        <w:rPr>
          <w:rFonts w:hint="default"/>
          <w:sz w:val="24"/>
          <w:szCs w:val="24"/>
          <w:lang w:val="en-US" w:eastAsia="zh-CN"/>
        </w:rPr>
        <w:t>号文下达了《工业和信息化部办公厅关于印发202</w:t>
      </w:r>
      <w:r>
        <w:rPr>
          <w:rFonts w:hint="eastAsia"/>
          <w:sz w:val="24"/>
          <w:szCs w:val="24"/>
          <w:lang w:val="en-US" w:eastAsia="zh-CN"/>
        </w:rPr>
        <w:t>3</w:t>
      </w:r>
      <w:r>
        <w:rPr>
          <w:rFonts w:hint="default"/>
          <w:sz w:val="24"/>
          <w:szCs w:val="24"/>
          <w:lang w:val="en-US" w:eastAsia="zh-CN"/>
        </w:rPr>
        <w:t>年行业计量技术规范制修订计划的通知》，其申报号为：JJFZ(有色金属)</w:t>
      </w:r>
      <w:r>
        <w:rPr>
          <w:rFonts w:hint="eastAsia"/>
          <w:sz w:val="24"/>
          <w:szCs w:val="24"/>
          <w:lang w:val="en-US" w:eastAsia="zh-CN"/>
        </w:rPr>
        <w:t xml:space="preserve"> </w:t>
      </w:r>
      <w:r>
        <w:rPr>
          <w:rFonts w:hint="default"/>
          <w:sz w:val="24"/>
          <w:szCs w:val="24"/>
          <w:lang w:val="en-US" w:eastAsia="zh-CN"/>
        </w:rPr>
        <w:t>00</w:t>
      </w:r>
      <w:r>
        <w:rPr>
          <w:rFonts w:hint="eastAsia"/>
          <w:sz w:val="24"/>
          <w:szCs w:val="24"/>
          <w:lang w:val="en-US" w:eastAsia="zh-CN"/>
        </w:rPr>
        <w:t>6</w:t>
      </w:r>
      <w:r>
        <w:rPr>
          <w:rFonts w:hint="default"/>
          <w:sz w:val="24"/>
          <w:szCs w:val="24"/>
          <w:lang w:val="en-US" w:eastAsia="zh-CN"/>
        </w:rPr>
        <w:t>-202</w:t>
      </w:r>
      <w:r>
        <w:rPr>
          <w:rFonts w:hint="eastAsia"/>
          <w:sz w:val="24"/>
          <w:szCs w:val="24"/>
          <w:lang w:val="en-US" w:eastAsia="zh-CN"/>
        </w:rPr>
        <w:t>3</w:t>
      </w:r>
      <w:r>
        <w:rPr>
          <w:rFonts w:hint="default"/>
          <w:sz w:val="24"/>
          <w:szCs w:val="24"/>
          <w:lang w:val="en-US" w:eastAsia="zh-CN"/>
        </w:rPr>
        <w:t>，计划完成年限为202</w:t>
      </w:r>
      <w:r>
        <w:rPr>
          <w:rFonts w:hint="eastAsia"/>
          <w:sz w:val="24"/>
          <w:szCs w:val="24"/>
          <w:lang w:val="en-US" w:eastAsia="zh-CN"/>
        </w:rPr>
        <w:t>5</w:t>
      </w:r>
      <w:r>
        <w:rPr>
          <w:rFonts w:hint="default"/>
          <w:sz w:val="24"/>
          <w:szCs w:val="24"/>
          <w:lang w:val="en-US" w:eastAsia="zh-CN"/>
        </w:rPr>
        <w:t>年。</w:t>
      </w:r>
    </w:p>
    <w:p>
      <w:pPr>
        <w:pStyle w:val="57"/>
        <w:spacing w:line="360" w:lineRule="auto"/>
        <w:ind w:left="0" w:leftChars="0" w:firstLine="0" w:firstLineChars="0"/>
        <w:rPr>
          <w:rFonts w:hint="default"/>
          <w:sz w:val="24"/>
          <w:szCs w:val="24"/>
          <w:lang w:val="en-US" w:eastAsia="zh-CN"/>
        </w:rPr>
      </w:pPr>
      <w:r>
        <w:rPr>
          <w:rFonts w:hint="default" w:ascii="黑体" w:hAnsi="Times New Roman" w:eastAsia="黑体" w:cs="Times New Roman"/>
          <w:color w:val="auto"/>
          <w:spacing w:val="-4"/>
          <w:sz w:val="24"/>
          <w:szCs w:val="24"/>
          <w:lang w:val="en-US" w:eastAsia="zh-CN" w:bidi="ar-SA"/>
        </w:rPr>
        <w:t>4.3 起草阶段</w:t>
      </w:r>
    </w:p>
    <w:p>
      <w:pPr>
        <w:pStyle w:val="57"/>
        <w:spacing w:line="324" w:lineRule="auto"/>
        <w:ind w:left="0" w:leftChars="0" w:firstLine="0" w:firstLineChars="0"/>
        <w:rPr>
          <w:rFonts w:hint="eastAsia"/>
          <w:color w:val="auto"/>
          <w:sz w:val="24"/>
          <w:szCs w:val="24"/>
        </w:rPr>
      </w:pPr>
      <w:r>
        <w:rPr>
          <w:rFonts w:hint="eastAsia" w:ascii="黑体" w:hAnsi="Times New Roman" w:eastAsia="黑体" w:cs="Times New Roman"/>
          <w:color w:val="auto"/>
          <w:spacing w:val="-4"/>
          <w:sz w:val="24"/>
          <w:szCs w:val="24"/>
          <w:lang w:val="en-US" w:eastAsia="zh-CN" w:bidi="ar-SA"/>
        </w:rPr>
        <w:t>4.3.1 任务讨论会</w:t>
      </w:r>
    </w:p>
    <w:p>
      <w:pPr>
        <w:pStyle w:val="57"/>
        <w:spacing w:line="324" w:lineRule="auto"/>
        <w:ind w:firstLine="420"/>
        <w:rPr>
          <w:rFonts w:hint="default" w:ascii="Times New Roman" w:hAnsi="Times New Roman" w:eastAsia="宋体" w:cs="Times New Roman"/>
          <w:sz w:val="24"/>
          <w:szCs w:val="24"/>
          <w:lang w:val="en-US" w:eastAsia="zh-CN"/>
        </w:rPr>
      </w:pPr>
      <w:r>
        <w:rPr>
          <w:rFonts w:hint="default"/>
          <w:sz w:val="24"/>
          <w:szCs w:val="24"/>
          <w:lang w:val="en-US" w:eastAsia="zh-CN"/>
        </w:rPr>
        <w:t>202</w:t>
      </w:r>
      <w:r>
        <w:rPr>
          <w:rFonts w:hint="eastAsia"/>
          <w:sz w:val="24"/>
          <w:szCs w:val="24"/>
          <w:lang w:val="en-US" w:eastAsia="zh-CN"/>
        </w:rPr>
        <w:t>3</w:t>
      </w:r>
      <w:r>
        <w:rPr>
          <w:rFonts w:hint="default"/>
          <w:sz w:val="24"/>
          <w:szCs w:val="24"/>
          <w:lang w:val="en-US" w:eastAsia="zh-CN"/>
        </w:rPr>
        <w:t>年</w:t>
      </w:r>
      <w:r>
        <w:rPr>
          <w:rFonts w:hint="eastAsia"/>
          <w:sz w:val="24"/>
          <w:szCs w:val="24"/>
          <w:lang w:val="en-US" w:eastAsia="zh-CN"/>
        </w:rPr>
        <w:t>8</w:t>
      </w:r>
      <w:r>
        <w:rPr>
          <w:rFonts w:hint="default"/>
          <w:sz w:val="24"/>
          <w:szCs w:val="24"/>
          <w:lang w:val="en-US" w:eastAsia="zh-CN"/>
        </w:rPr>
        <w:t>月</w:t>
      </w:r>
      <w:r>
        <w:rPr>
          <w:rFonts w:hint="default" w:ascii="Times New Roman" w:hAnsi="Times New Roman" w:cs="Times New Roman"/>
          <w:sz w:val="24"/>
          <w:szCs w:val="24"/>
          <w:lang w:val="en-US" w:eastAsia="zh-CN"/>
        </w:rPr>
        <w:t>~</w:t>
      </w:r>
      <w:r>
        <w:rPr>
          <w:rFonts w:hint="default"/>
          <w:sz w:val="24"/>
          <w:szCs w:val="24"/>
          <w:lang w:val="en-US" w:eastAsia="zh-CN"/>
        </w:rPr>
        <w:t>202</w:t>
      </w:r>
      <w:r>
        <w:rPr>
          <w:rFonts w:hint="eastAsia"/>
          <w:sz w:val="24"/>
          <w:szCs w:val="24"/>
          <w:lang w:val="en-US" w:eastAsia="zh-CN"/>
        </w:rPr>
        <w:t>4</w:t>
      </w:r>
      <w:r>
        <w:rPr>
          <w:rFonts w:hint="default"/>
          <w:sz w:val="24"/>
          <w:szCs w:val="24"/>
          <w:lang w:val="en-US" w:eastAsia="zh-CN"/>
        </w:rPr>
        <w:t>年</w:t>
      </w:r>
      <w:r>
        <w:rPr>
          <w:rFonts w:hint="eastAsia"/>
          <w:sz w:val="24"/>
          <w:szCs w:val="24"/>
          <w:lang w:val="en-US" w:eastAsia="zh-CN"/>
        </w:rPr>
        <w:t>3</w:t>
      </w:r>
      <w:r>
        <w:rPr>
          <w:rFonts w:hint="default"/>
          <w:sz w:val="24"/>
          <w:szCs w:val="24"/>
          <w:lang w:val="en-US" w:eastAsia="zh-CN"/>
        </w:rPr>
        <w:t>月</w:t>
      </w:r>
      <w:r>
        <w:rPr>
          <w:rFonts w:hint="eastAsia" w:ascii="Times New Roman" w:hAnsi="Times New Roman" w:cs="Times New Roman"/>
          <w:sz w:val="24"/>
          <w:szCs w:val="24"/>
          <w:lang w:val="en-US" w:eastAsia="zh-CN"/>
        </w:rPr>
        <w:t>，由国标公司编制组对规范进行起草。经过多次的讨论，现场试验和数据采集后，完成了规范的讨论稿。</w:t>
      </w:r>
    </w:p>
    <w:p>
      <w:pPr>
        <w:ind w:firstLine="480" w:firstLineChars="200"/>
        <w:rPr>
          <w:rFonts w:hint="default" w:ascii="宋体" w:hAnsi="宋体" w:eastAsia="宋体"/>
          <w:b w:val="0"/>
          <w:sz w:val="24"/>
          <w:lang w:val="en-US" w:eastAsia="zh-CN"/>
        </w:rPr>
      </w:pPr>
    </w:p>
    <w:p>
      <w:pPr>
        <w:pStyle w:val="73"/>
        <w:numPr>
          <w:ilvl w:val="0"/>
          <w:numId w:val="11"/>
        </w:numPr>
        <w:tabs>
          <w:tab w:val="left" w:pos="426"/>
        </w:tabs>
        <w:spacing w:before="312" w:beforeLines="100" w:after="312" w:afterLines="100"/>
        <w:ind w:hangingChars="200"/>
        <w:jc w:val="left"/>
      </w:pPr>
      <w:bookmarkStart w:id="16" w:name="_Toc464728924"/>
      <w:r>
        <w:rPr>
          <w:rFonts w:hint="eastAsia"/>
          <w:sz w:val="24"/>
          <w:szCs w:val="24"/>
          <w:lang w:eastAsia="zh-CN"/>
        </w:rPr>
        <w:t>规范</w:t>
      </w:r>
      <w:r>
        <w:rPr>
          <w:rFonts w:hint="eastAsia"/>
          <w:sz w:val="24"/>
          <w:szCs w:val="24"/>
        </w:rPr>
        <w:t>编制原则和确定主要内容</w:t>
      </w:r>
      <w:bookmarkEnd w:id="16"/>
    </w:p>
    <w:p>
      <w:pPr>
        <w:pStyle w:val="78"/>
        <w:wordWrap/>
        <w:spacing w:beforeLines="0" w:after="156" w:line="360" w:lineRule="auto"/>
        <w:rPr>
          <w:sz w:val="24"/>
          <w:szCs w:val="24"/>
        </w:rPr>
      </w:pPr>
      <w:bookmarkStart w:id="17" w:name="_Toc464728925"/>
      <w:r>
        <w:rPr>
          <w:rFonts w:hint="eastAsia"/>
          <w:sz w:val="24"/>
          <w:szCs w:val="24"/>
        </w:rPr>
        <w:t>编制原则</w:t>
      </w:r>
      <w:bookmarkEnd w:id="17"/>
    </w:p>
    <w:p>
      <w:pPr>
        <w:pStyle w:val="57"/>
        <w:numPr>
          <w:ilvl w:val="0"/>
          <w:numId w:val="12"/>
        </w:numPr>
        <w:spacing w:line="324" w:lineRule="auto"/>
        <w:ind w:firstLine="420"/>
        <w:rPr>
          <w:sz w:val="24"/>
          <w:szCs w:val="24"/>
        </w:rPr>
      </w:pPr>
      <w:bookmarkStart w:id="18" w:name="_Toc464728926"/>
      <w:r>
        <w:rPr>
          <w:rFonts w:hint="eastAsia"/>
          <w:sz w:val="24"/>
          <w:szCs w:val="24"/>
        </w:rPr>
        <w:t>保证有色行业的特殊性和适用性</w:t>
      </w:r>
    </w:p>
    <w:p>
      <w:pPr>
        <w:pStyle w:val="57"/>
        <w:numPr>
          <w:ilvl w:val="0"/>
          <w:numId w:val="12"/>
        </w:numPr>
        <w:spacing w:line="324" w:lineRule="auto"/>
        <w:ind w:firstLine="420"/>
        <w:rPr>
          <w:sz w:val="24"/>
          <w:szCs w:val="24"/>
        </w:rPr>
      </w:pPr>
      <w:r>
        <w:rPr>
          <w:rFonts w:hint="eastAsia"/>
          <w:sz w:val="24"/>
          <w:szCs w:val="24"/>
        </w:rPr>
        <w:t>保证</w:t>
      </w:r>
      <w:r>
        <w:rPr>
          <w:rFonts w:hint="eastAsia"/>
          <w:sz w:val="24"/>
          <w:szCs w:val="24"/>
          <w:lang w:val="en-US" w:eastAsia="zh-CN"/>
        </w:rPr>
        <w:t>校准规范</w:t>
      </w:r>
      <w:r>
        <w:rPr>
          <w:rFonts w:hint="eastAsia"/>
          <w:sz w:val="24"/>
          <w:szCs w:val="24"/>
        </w:rPr>
        <w:t>的规范性</w:t>
      </w:r>
    </w:p>
    <w:p>
      <w:pPr>
        <w:pStyle w:val="57"/>
        <w:numPr>
          <w:ilvl w:val="0"/>
          <w:numId w:val="12"/>
        </w:numPr>
        <w:spacing w:line="324" w:lineRule="auto"/>
        <w:ind w:firstLine="420"/>
        <w:rPr>
          <w:sz w:val="24"/>
          <w:szCs w:val="24"/>
        </w:rPr>
      </w:pPr>
      <w:r>
        <w:rPr>
          <w:rFonts w:hint="eastAsia"/>
          <w:sz w:val="24"/>
          <w:szCs w:val="24"/>
          <w:lang w:val="en-US" w:eastAsia="zh-CN"/>
        </w:rPr>
        <w:t>保证校准规范</w:t>
      </w:r>
      <w:r>
        <w:rPr>
          <w:rFonts w:hint="eastAsia"/>
          <w:sz w:val="24"/>
          <w:szCs w:val="24"/>
        </w:rPr>
        <w:t>的</w:t>
      </w:r>
      <w:r>
        <w:rPr>
          <w:rFonts w:hint="eastAsia"/>
          <w:sz w:val="24"/>
          <w:szCs w:val="24"/>
          <w:lang w:val="en-US" w:eastAsia="zh-CN"/>
        </w:rPr>
        <w:t>可操作</w:t>
      </w:r>
      <w:r>
        <w:rPr>
          <w:rFonts w:hint="eastAsia"/>
          <w:sz w:val="24"/>
          <w:szCs w:val="24"/>
        </w:rPr>
        <w:t>性</w:t>
      </w:r>
    </w:p>
    <w:p>
      <w:pPr>
        <w:pStyle w:val="78"/>
        <w:spacing w:before="312" w:beforeLines="100" w:after="312" w:afterLines="100"/>
        <w:rPr>
          <w:rFonts w:ascii="宋体" w:hAnsi="宋体"/>
          <w:sz w:val="24"/>
          <w:szCs w:val="24"/>
        </w:rPr>
      </w:pPr>
      <w:r>
        <w:rPr>
          <w:rFonts w:hint="eastAsia"/>
          <w:sz w:val="24"/>
          <w:szCs w:val="24"/>
        </w:rPr>
        <w:t>确定主要内</w:t>
      </w:r>
      <w:bookmarkEnd w:id="18"/>
      <w:r>
        <w:rPr>
          <w:rFonts w:hint="eastAsia"/>
          <w:sz w:val="24"/>
          <w:szCs w:val="24"/>
        </w:rPr>
        <w:t>容</w:t>
      </w:r>
    </w:p>
    <w:p>
      <w:pPr>
        <w:pStyle w:val="60"/>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contextualSpacing/>
        <w:textAlignment w:val="auto"/>
        <w:rPr>
          <w:rFonts w:hAnsi="黑体"/>
          <w:sz w:val="24"/>
          <w:szCs w:val="24"/>
        </w:rPr>
      </w:pPr>
      <w:bookmarkStart w:id="19" w:name="_Toc464728964"/>
      <w:r>
        <w:rPr>
          <w:rFonts w:hint="eastAsia" w:hAnsi="黑体"/>
          <w:sz w:val="24"/>
          <w:szCs w:val="24"/>
          <w:lang w:val="en-US" w:eastAsia="zh-CN"/>
        </w:rPr>
        <w:t xml:space="preserve">1 </w:t>
      </w:r>
      <w:r>
        <w:rPr>
          <w:rFonts w:hint="eastAsia" w:hAnsi="黑体"/>
          <w:sz w:val="24"/>
          <w:szCs w:val="24"/>
        </w:rPr>
        <w:t>范围</w:t>
      </w:r>
    </w:p>
    <w:p>
      <w:pPr>
        <w:pStyle w:val="57"/>
        <w:spacing w:line="360" w:lineRule="auto"/>
        <w:ind w:firstLine="480"/>
        <w:rPr>
          <w:rFonts w:hint="eastAsia" w:eastAsia="宋体"/>
          <w:color w:val="auto"/>
          <w:sz w:val="24"/>
          <w:szCs w:val="24"/>
          <w:lang w:val="en-US" w:eastAsia="zh-CN"/>
        </w:rPr>
      </w:pPr>
      <w:r>
        <w:rPr>
          <w:rFonts w:hint="eastAsia" w:ascii="Times New Roman"/>
          <w:sz w:val="24"/>
          <w:szCs w:val="24"/>
        </w:rPr>
        <w:t>本校准规范适用</w:t>
      </w:r>
      <w:r>
        <w:rPr>
          <w:rFonts w:hint="eastAsia" w:ascii="Times New Roman"/>
          <w:sz w:val="24"/>
          <w:szCs w:val="24"/>
          <w:lang w:val="en-US" w:eastAsia="zh-CN"/>
        </w:rPr>
        <w:t>于激光导热仪</w:t>
      </w:r>
      <w:r>
        <w:rPr>
          <w:rFonts w:hint="eastAsia" w:ascii="Times New Roman"/>
          <w:sz w:val="24"/>
          <w:szCs w:val="24"/>
        </w:rPr>
        <w:t>（以下简称试验机）</w:t>
      </w:r>
      <w:r>
        <w:rPr>
          <w:rFonts w:ascii="Times New Roman"/>
          <w:sz w:val="24"/>
          <w:szCs w:val="24"/>
        </w:rPr>
        <w:t>的校准。</w:t>
      </w:r>
    </w:p>
    <w:p>
      <w:pPr>
        <w:pStyle w:val="57"/>
        <w:spacing w:line="324" w:lineRule="auto"/>
        <w:ind w:firstLine="420"/>
        <w:rPr>
          <w:rFonts w:hint="eastAsia"/>
          <w:sz w:val="24"/>
          <w:szCs w:val="24"/>
          <w:lang w:val="en-US" w:eastAsia="zh-CN"/>
        </w:rPr>
      </w:pPr>
      <w:r>
        <w:rPr>
          <w:rFonts w:hint="eastAsia"/>
          <w:sz w:val="24"/>
          <w:szCs w:val="24"/>
          <w:lang w:val="en-US" w:eastAsia="zh-CN"/>
        </w:rPr>
        <w:t>编制理由：</w:t>
      </w:r>
    </w:p>
    <w:p>
      <w:pPr>
        <w:pStyle w:val="57"/>
        <w:spacing w:line="324" w:lineRule="auto"/>
        <w:ind w:firstLine="420"/>
        <w:rPr>
          <w:rFonts w:hint="eastAsia"/>
          <w:sz w:val="24"/>
          <w:szCs w:val="24"/>
          <w:lang w:val="en-US" w:eastAsia="zh-CN"/>
        </w:rPr>
      </w:pPr>
      <w:r>
        <w:rPr>
          <w:rFonts w:hint="eastAsia"/>
          <w:sz w:val="24"/>
          <w:szCs w:val="24"/>
          <w:lang w:val="en-US" w:eastAsia="zh-CN"/>
        </w:rPr>
        <w:t>1）目前没有对激光导热仪进行校准的规范性文件。</w:t>
      </w:r>
    </w:p>
    <w:p>
      <w:pPr>
        <w:pStyle w:val="57"/>
        <w:spacing w:line="324" w:lineRule="auto"/>
        <w:ind w:firstLine="420"/>
        <w:rPr>
          <w:rFonts w:hint="eastAsia"/>
          <w:sz w:val="24"/>
          <w:szCs w:val="24"/>
          <w:lang w:val="en-US" w:eastAsia="zh-CN"/>
        </w:rPr>
      </w:pPr>
      <w:r>
        <w:rPr>
          <w:rFonts w:hint="eastAsia"/>
          <w:sz w:val="24"/>
          <w:szCs w:val="24"/>
          <w:lang w:val="en-US" w:eastAsia="zh-CN"/>
        </w:rPr>
        <w:t>2）为满足热扩散系数试验方法中对试验机的校准要求。</w:t>
      </w:r>
    </w:p>
    <w:p>
      <w:pPr>
        <w:pStyle w:val="57"/>
        <w:spacing w:line="324" w:lineRule="auto"/>
        <w:ind w:firstLine="420"/>
        <w:rPr>
          <w:rFonts w:hint="eastAsia"/>
          <w:sz w:val="24"/>
          <w:szCs w:val="24"/>
        </w:rPr>
      </w:pPr>
      <w:r>
        <w:rPr>
          <w:rFonts w:hint="eastAsia"/>
          <w:sz w:val="24"/>
          <w:szCs w:val="24"/>
          <w:lang w:val="en-US" w:eastAsia="zh-CN"/>
        </w:rPr>
        <w:t>3）通过对激光导热仪进行校准，提高对新材料的质量把控及溯源性。</w:t>
      </w:r>
    </w:p>
    <w:p>
      <w:pPr>
        <w:pStyle w:val="60"/>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contextualSpacing/>
        <w:textAlignment w:val="auto"/>
        <w:rPr>
          <w:rFonts w:hAnsi="黑体"/>
          <w:sz w:val="24"/>
          <w:szCs w:val="24"/>
        </w:rPr>
      </w:pPr>
      <w:r>
        <w:rPr>
          <w:rFonts w:hint="eastAsia" w:hAnsi="黑体"/>
          <w:sz w:val="24"/>
          <w:szCs w:val="24"/>
          <w:lang w:val="en-US" w:eastAsia="zh-CN"/>
        </w:rPr>
        <w:t xml:space="preserve">2 </w:t>
      </w:r>
      <w:r>
        <w:rPr>
          <w:rFonts w:hint="eastAsia" w:hAnsi="黑体"/>
          <w:sz w:val="24"/>
          <w:szCs w:val="24"/>
        </w:rPr>
        <w:t>规范性引用文件</w:t>
      </w:r>
    </w:p>
    <w:p>
      <w:pPr>
        <w:pStyle w:val="57"/>
        <w:spacing w:line="324" w:lineRule="auto"/>
        <w:ind w:firstLine="420"/>
        <w:rPr>
          <w:rFonts w:hint="default" w:ascii="Times New Roman"/>
          <w:b/>
          <w:bCs/>
          <w:sz w:val="24"/>
          <w:szCs w:val="24"/>
          <w:lang w:val="en-US" w:eastAsia="zh-CN"/>
        </w:rPr>
      </w:pPr>
      <w:r>
        <w:rPr>
          <w:rFonts w:hint="eastAsia"/>
          <w:sz w:val="24"/>
          <w:szCs w:val="24"/>
          <w:lang w:val="en-US" w:eastAsia="zh-CN"/>
        </w:rPr>
        <w:t>（无）。</w:t>
      </w:r>
    </w:p>
    <w:p>
      <w:pPr>
        <w:pStyle w:val="57"/>
        <w:spacing w:line="324" w:lineRule="auto"/>
        <w:ind w:left="0" w:leftChars="0" w:firstLine="0" w:firstLineChars="0"/>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3 概述</w:t>
      </w:r>
    </w:p>
    <w:p>
      <w:pPr>
        <w:pStyle w:val="57"/>
        <w:spacing w:line="324" w:lineRule="auto"/>
        <w:ind w:left="0" w:leftChars="0" w:firstLine="480" w:firstLineChars="200"/>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阐述激光导热仪的工作原理及分类。</w:t>
      </w:r>
    </w:p>
    <w:p>
      <w:pPr>
        <w:pStyle w:val="57"/>
        <w:spacing w:line="360" w:lineRule="auto"/>
        <w:ind w:left="0" w:leftChars="0" w:firstLine="0" w:firstLineChars="0"/>
        <w:rPr>
          <w:rFonts w:hint="default"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4</w:t>
      </w:r>
      <w:r>
        <w:rPr>
          <w:rFonts w:hint="default" w:ascii="黑体" w:hAnsi="黑体" w:eastAsia="黑体" w:cs="Times New Roman"/>
          <w:sz w:val="24"/>
          <w:szCs w:val="24"/>
          <w:lang w:val="en-US" w:eastAsia="zh-CN" w:bidi="ar-SA"/>
        </w:rPr>
        <w:t xml:space="preserve"> 计量特性</w:t>
      </w:r>
    </w:p>
    <w:p>
      <w:pPr>
        <w:pStyle w:val="57"/>
        <w:numPr>
          <w:ilvl w:val="0"/>
          <w:numId w:val="0"/>
        </w:numPr>
        <w:spacing w:line="360" w:lineRule="auto"/>
        <w:ind w:firstLine="480" w:firstLineChars="200"/>
        <w:rPr>
          <w:rFonts w:hint="eastAsia" w:ascii="MS Gothic" w:hAnsi="MS Gothic" w:cs="MS Gothic" w:eastAsiaTheme="minorEastAsia"/>
        </w:rPr>
      </w:pPr>
      <w:r>
        <w:rPr>
          <w:rFonts w:hint="eastAsia"/>
          <w:sz w:val="24"/>
          <w:szCs w:val="24"/>
        </w:rPr>
        <w:t>根据</w:t>
      </w:r>
      <w:r>
        <w:rPr>
          <w:rFonts w:hint="eastAsia"/>
          <w:sz w:val="24"/>
          <w:szCs w:val="24"/>
          <w:lang w:val="en-US" w:eastAsia="zh-CN"/>
        </w:rPr>
        <w:t>激光导热仪</w:t>
      </w:r>
      <w:r>
        <w:rPr>
          <w:rFonts w:hint="eastAsia"/>
          <w:sz w:val="24"/>
          <w:szCs w:val="24"/>
        </w:rPr>
        <w:t>方法</w:t>
      </w:r>
      <w:r>
        <w:rPr>
          <w:rFonts w:hint="eastAsia" w:ascii="MS Gothic" w:hAnsi="MS Gothic" w:cs="MS Gothic" w:eastAsiaTheme="minorEastAsia"/>
          <w:sz w:val="24"/>
          <w:szCs w:val="24"/>
        </w:rPr>
        <w:t>中的主要试验参数规定了</w:t>
      </w:r>
      <w:r>
        <w:rPr>
          <w:rFonts w:hint="eastAsia" w:ascii="MS Gothic" w:hAnsi="MS Gothic" w:cs="MS Gothic" w:eastAsiaTheme="minorEastAsia"/>
          <w:sz w:val="24"/>
          <w:szCs w:val="24"/>
          <w:lang w:val="en-US" w:eastAsia="zh-CN"/>
        </w:rPr>
        <w:t>激光导热仪</w:t>
      </w:r>
      <w:r>
        <w:rPr>
          <w:rFonts w:hint="eastAsia" w:ascii="MS Gothic" w:hAnsi="MS Gothic" w:cs="MS Gothic" w:eastAsiaTheme="minorEastAsia"/>
          <w:sz w:val="24"/>
          <w:szCs w:val="24"/>
        </w:rPr>
        <w:t>的计量特性。</w:t>
      </w:r>
    </w:p>
    <w:p>
      <w:pPr>
        <w:pStyle w:val="57"/>
        <w:spacing w:line="360" w:lineRule="auto"/>
        <w:ind w:firstLine="420"/>
        <w:rPr>
          <w:rFonts w:ascii="MS Gothic" w:hAnsi="MS Gothic" w:cs="MS Gothic" w:eastAsiaTheme="minorEastAsia"/>
        </w:rPr>
      </w:pPr>
      <w:r>
        <w:rPr>
          <w:rFonts w:hint="eastAsia" w:ascii="MS Gothic" w:hAnsi="MS Gothic" w:cs="MS Gothic" w:eastAsiaTheme="minorEastAsia"/>
          <w:sz w:val="24"/>
          <w:szCs w:val="24"/>
        </w:rPr>
        <w:t>编制理由：</w:t>
      </w:r>
    </w:p>
    <w:p>
      <w:pPr>
        <w:pStyle w:val="57"/>
        <w:numPr>
          <w:ilvl w:val="0"/>
          <w:numId w:val="0"/>
        </w:numPr>
        <w:spacing w:line="360" w:lineRule="auto"/>
        <w:ind w:firstLine="480" w:firstLineChars="200"/>
        <w:rPr>
          <w:rFonts w:hint="eastAsia" w:ascii="Times New Roman" w:hAnsi="Times New Roman"/>
          <w:color w:val="000000"/>
          <w:sz w:val="24"/>
          <w:szCs w:val="24"/>
          <w:lang w:eastAsia="zh-CN"/>
        </w:rPr>
      </w:pPr>
      <w:r>
        <w:rPr>
          <w:rFonts w:hint="eastAsia" w:eastAsiaTheme="minorEastAsia"/>
          <w:sz w:val="24"/>
          <w:szCs w:val="24"/>
          <w:lang w:val="en-US" w:eastAsia="zh-CN"/>
        </w:rPr>
        <w:t>1）激光导热仪的热扩散系数测量是</w:t>
      </w:r>
      <w:r>
        <w:rPr>
          <w:rFonts w:hint="eastAsia" w:ascii="Times New Roman" w:hAnsi="Times New Roman"/>
          <w:color w:val="000000"/>
          <w:sz w:val="24"/>
          <w:szCs w:val="24"/>
        </w:rPr>
        <w:t>主要参数，本规范对主要参数的技术指标做出规定</w:t>
      </w:r>
      <w:r>
        <w:rPr>
          <w:rFonts w:hint="eastAsia" w:ascii="Times New Roman" w:hAnsi="Times New Roman"/>
          <w:color w:val="000000"/>
          <w:sz w:val="24"/>
          <w:szCs w:val="24"/>
          <w:lang w:eastAsia="zh-CN"/>
        </w:rPr>
        <w:t>。</w:t>
      </w:r>
    </w:p>
    <w:p>
      <w:pPr>
        <w:pStyle w:val="57"/>
        <w:numPr>
          <w:ilvl w:val="0"/>
          <w:numId w:val="0"/>
        </w:numPr>
        <w:spacing w:line="360" w:lineRule="auto"/>
        <w:rPr>
          <w:rFonts w:hint="eastAsia" w:ascii="黑体" w:hAnsi="黑体" w:eastAsia="黑体" w:cs="Times New Roman"/>
          <w:sz w:val="24"/>
          <w:szCs w:val="24"/>
          <w:lang w:val="en-US" w:eastAsia="zh-CN" w:bidi="ar-SA"/>
        </w:rPr>
      </w:pPr>
      <w:r>
        <w:rPr>
          <w:rFonts w:hint="eastAsia" w:ascii="Times New Roman" w:hAnsi="Times New Roman" w:cs="Times New Roman"/>
          <w:color w:val="auto"/>
          <w:spacing w:val="0"/>
          <w:kern w:val="0"/>
          <w:sz w:val="21"/>
          <w:szCs w:val="21"/>
          <w:lang w:val="en-US" w:eastAsia="zh-CN" w:bidi="ar-SA"/>
        </w:rPr>
        <w:t>5</w:t>
      </w:r>
      <w:r>
        <w:rPr>
          <w:rFonts w:hint="eastAsia" w:ascii="黑体" w:hAnsi="黑体" w:eastAsia="黑体" w:cs="Times New Roman"/>
          <w:sz w:val="24"/>
          <w:szCs w:val="24"/>
          <w:lang w:val="en-US" w:eastAsia="zh-CN" w:bidi="ar-SA"/>
        </w:rPr>
        <w:t xml:space="preserve"> 校准条件</w:t>
      </w:r>
    </w:p>
    <w:p>
      <w:pPr>
        <w:pStyle w:val="57"/>
        <w:numPr>
          <w:ilvl w:val="0"/>
          <w:numId w:val="0"/>
        </w:numPr>
        <w:spacing w:line="360" w:lineRule="auto"/>
        <w:ind w:firstLine="480" w:firstLineChars="200"/>
        <w:rPr>
          <w:rFonts w:hint="eastAsia"/>
          <w:sz w:val="24"/>
          <w:szCs w:val="24"/>
          <w:lang w:eastAsia="zh-CN"/>
        </w:rPr>
      </w:pPr>
      <w:r>
        <w:rPr>
          <w:rFonts w:hint="eastAsia"/>
          <w:sz w:val="24"/>
          <w:szCs w:val="24"/>
        </w:rPr>
        <w:t>规定了</w:t>
      </w:r>
      <w:r>
        <w:rPr>
          <w:rFonts w:hint="eastAsia" w:eastAsiaTheme="minorEastAsia"/>
          <w:sz w:val="24"/>
          <w:szCs w:val="24"/>
          <w:lang w:val="en-US" w:eastAsia="zh-CN"/>
        </w:rPr>
        <w:t>激光导热仪</w:t>
      </w:r>
      <w:r>
        <w:rPr>
          <w:rFonts w:hint="eastAsia"/>
          <w:sz w:val="24"/>
          <w:szCs w:val="24"/>
        </w:rPr>
        <w:t>校准的环境条件</w:t>
      </w:r>
      <w:r>
        <w:rPr>
          <w:rFonts w:hint="eastAsia"/>
          <w:sz w:val="24"/>
          <w:szCs w:val="24"/>
          <w:lang w:eastAsia="zh-CN"/>
        </w:rPr>
        <w:t>。</w:t>
      </w:r>
    </w:p>
    <w:p>
      <w:pPr>
        <w:pStyle w:val="57"/>
        <w:numPr>
          <w:ilvl w:val="0"/>
          <w:numId w:val="0"/>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编制理由：</w:t>
      </w:r>
    </w:p>
    <w:p>
      <w:pPr>
        <w:pStyle w:val="57"/>
        <w:numPr>
          <w:ilvl w:val="0"/>
          <w:numId w:val="13"/>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对校准的环境条件作出说明，对显著影响校准结果的环境要素温湿度、气压、供电电源等提出具体要求：温度：</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20±5</w:t>
      </w:r>
      <w:r>
        <w:rPr>
          <w:rFonts w:hint="eastAsia" w:ascii="Times New Roman" w:hAnsi="Times New Roman"/>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sym w:font="Symbol" w:char="F0B0"/>
      </w:r>
      <w:r>
        <w:rPr>
          <w:rFonts w:ascii="Times New Roman" w:hAnsi="Times New Roman"/>
          <w:color w:val="000000" w:themeColor="text1"/>
          <w:sz w:val="24"/>
          <w:szCs w:val="24"/>
          <w14:textFill>
            <w14:solidFill>
              <w14:schemeClr w14:val="tx1"/>
            </w14:solidFill>
          </w14:textFill>
        </w:rPr>
        <w:t>C</w:t>
      </w:r>
      <w:r>
        <w:rPr>
          <w:rFonts w:hint="eastAsia" w:ascii="Times New Roman" w:hAnsi="Times New Roman"/>
          <w:color w:val="000000" w:themeColor="text1"/>
          <w:sz w:val="24"/>
          <w:szCs w:val="24"/>
          <w14:textFill>
            <w14:solidFill>
              <w14:schemeClr w14:val="tx1"/>
            </w14:solidFill>
          </w14:textFill>
        </w:rPr>
        <w:t>，校准期间温度变化范围不超过</w:t>
      </w:r>
      <w:r>
        <w:rPr>
          <w:rFonts w:ascii="Times New Roman" w:hAnsi="Times New Roman"/>
          <w:color w:val="000000" w:themeColor="text1"/>
          <w:sz w:val="24"/>
          <w:szCs w:val="24"/>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sym w:font="Symbol" w:char="F0B0"/>
      </w:r>
      <w:r>
        <w:rPr>
          <w:rFonts w:ascii="Times New Roman" w:hAnsi="Times New Roman"/>
          <w:color w:val="000000" w:themeColor="text1"/>
          <w:sz w:val="24"/>
          <w:szCs w:val="24"/>
          <w14:textFill>
            <w14:solidFill>
              <w14:schemeClr w14:val="tx1"/>
            </w14:solidFill>
          </w14:textFill>
        </w:rPr>
        <w:t>C</w:t>
      </w:r>
      <w:r>
        <w:rPr>
          <w:rFonts w:hint="eastAsia" w:ascii="Times New Roman" w:hAnsi="Times New Roman"/>
          <w:color w:val="000000" w:themeColor="text1"/>
          <w:sz w:val="24"/>
          <w:szCs w:val="24"/>
          <w14:textFill>
            <w14:solidFill>
              <w14:schemeClr w14:val="tx1"/>
            </w14:solidFill>
          </w14:textFill>
        </w:rPr>
        <w:t>；湿度：不大于80%RH；设备周围应无强烈振动及腐蚀性气体存在，应避免其他冷、热源影响。周围无影响校准工作的电磁干扰和机械振动。实际工作中，环境条件还应满足测量标准器正常使用的要求。</w:t>
      </w:r>
    </w:p>
    <w:p>
      <w:pPr>
        <w:pStyle w:val="57"/>
        <w:numPr>
          <w:ilvl w:val="0"/>
          <w:numId w:val="0"/>
        </w:numPr>
        <w:spacing w:line="360" w:lineRule="auto"/>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6 测量标准</w:t>
      </w:r>
    </w:p>
    <w:p>
      <w:pPr>
        <w:pStyle w:val="57"/>
        <w:numPr>
          <w:ilvl w:val="0"/>
          <w:numId w:val="0"/>
        </w:numPr>
        <w:spacing w:line="360" w:lineRule="auto"/>
        <w:ind w:firstLine="480" w:firstLineChars="200"/>
        <w:rPr>
          <w:rFonts w:hint="eastAsia" w:ascii="Times New Roman" w:hAnsi="Times New Roman" w:cs="Times New Roman"/>
          <w:sz w:val="24"/>
          <w:szCs w:val="24"/>
          <w:lang w:val="en-US" w:eastAsia="zh-CN"/>
        </w:rPr>
      </w:pPr>
      <w:r>
        <w:rPr>
          <w:rFonts w:hint="eastAsia"/>
          <w:sz w:val="24"/>
          <w:szCs w:val="24"/>
        </w:rPr>
        <w:t>规定了</w:t>
      </w:r>
      <w:r>
        <w:rPr>
          <w:rFonts w:hint="eastAsia" w:eastAsiaTheme="minorEastAsia"/>
          <w:sz w:val="24"/>
          <w:szCs w:val="24"/>
          <w:lang w:val="en-US" w:eastAsia="zh-CN"/>
        </w:rPr>
        <w:t>激光导热仪</w:t>
      </w:r>
      <w:r>
        <w:rPr>
          <w:rFonts w:hint="eastAsia"/>
          <w:sz w:val="24"/>
          <w:szCs w:val="24"/>
        </w:rPr>
        <w:t>校准使用的</w:t>
      </w:r>
      <w:r>
        <w:rPr>
          <w:rFonts w:hint="eastAsia" w:ascii="Times New Roman" w:hAnsi="Times New Roman"/>
          <w:color w:val="000000" w:themeColor="text1"/>
          <w:sz w:val="24"/>
          <w:szCs w:val="24"/>
          <w14:textFill>
            <w14:solidFill>
              <w14:schemeClr w14:val="tx1"/>
            </w14:solidFill>
          </w14:textFill>
        </w:rPr>
        <w:t>标准器。</w:t>
      </w:r>
    </w:p>
    <w:p>
      <w:pPr>
        <w:pStyle w:val="57"/>
        <w:numPr>
          <w:ilvl w:val="0"/>
          <w:numId w:val="0"/>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编制理由：</w:t>
      </w:r>
    </w:p>
    <w:p>
      <w:pPr>
        <w:pStyle w:val="57"/>
        <w:numPr>
          <w:ilvl w:val="0"/>
          <w:numId w:val="0"/>
        </w:numPr>
        <w:spacing w:line="360" w:lineRule="auto"/>
        <w:ind w:firstLine="480" w:firstLineChars="200"/>
        <w:rPr>
          <w:rFonts w:hint="eastAsia"/>
          <w:color w:val="000000"/>
          <w:sz w:val="24"/>
          <w:szCs w:val="24"/>
          <w:lang w:bidi="zh-TW"/>
        </w:rPr>
      </w:pPr>
      <w:r>
        <w:rPr>
          <w:rFonts w:hint="eastAsia" w:ascii="Times New Roman" w:hAnsi="Times New Roman"/>
          <w:color w:val="000000" w:themeColor="text1"/>
          <w:sz w:val="24"/>
          <w:szCs w:val="24"/>
          <w14:textFill>
            <w14:solidFill>
              <w14:schemeClr w14:val="tx1"/>
            </w14:solidFill>
          </w14:textFill>
        </w:rPr>
        <w:t>对</w:t>
      </w:r>
      <w:r>
        <w:rPr>
          <w:rFonts w:hint="eastAsia" w:ascii="Times New Roman" w:hAnsi="Times New Roman"/>
          <w:color w:val="000000" w:themeColor="text1"/>
          <w:sz w:val="24"/>
          <w:szCs w:val="24"/>
          <w:lang w:val="en-US" w:eastAsia="zh-CN"/>
          <w14:textFill>
            <w14:solidFill>
              <w14:schemeClr w14:val="tx1"/>
            </w14:solidFill>
          </w14:textFill>
        </w:rPr>
        <w:t>标准器</w:t>
      </w:r>
      <w:r>
        <w:rPr>
          <w:rFonts w:hint="eastAsia" w:ascii="Times New Roman" w:hAnsi="Times New Roman"/>
          <w:color w:val="000000" w:themeColor="text1"/>
          <w:sz w:val="24"/>
          <w:szCs w:val="24"/>
          <w14:textFill>
            <w14:solidFill>
              <w14:schemeClr w14:val="tx1"/>
            </w14:solidFill>
          </w14:textFill>
        </w:rPr>
        <w:t>的技术指标作出说明，为实现计量工作正常有效开展，保证设备正常工作、实现量值统一、建立计量溯源性提供依据。</w:t>
      </w:r>
      <w:r>
        <w:rPr>
          <w:rFonts w:hint="eastAsia"/>
          <w:color w:val="000000"/>
          <w:sz w:val="24"/>
          <w:szCs w:val="24"/>
          <w:lang w:val="zh-TW" w:eastAsia="zh-TW" w:bidi="zh-TW"/>
        </w:rPr>
        <w:t>测量标准器</w:t>
      </w:r>
      <w:r>
        <w:rPr>
          <w:color w:val="000000"/>
          <w:sz w:val="24"/>
          <w:szCs w:val="24"/>
          <w:lang w:val="zh-TW" w:eastAsia="zh-TW" w:bidi="zh-TW"/>
        </w:rPr>
        <w:t>温度</w:t>
      </w:r>
      <w:r>
        <w:rPr>
          <w:rFonts w:hint="eastAsia"/>
          <w:color w:val="000000"/>
          <w:sz w:val="24"/>
          <w:szCs w:val="24"/>
          <w:lang w:val="en-US" w:eastAsia="zh-CN" w:bidi="zh-TW"/>
        </w:rPr>
        <w:t>范围</w:t>
      </w:r>
      <w:r>
        <w:rPr>
          <w:color w:val="000000"/>
          <w:sz w:val="24"/>
          <w:szCs w:val="24"/>
          <w:lang w:val="zh-TW" w:eastAsia="zh-TW" w:bidi="zh-TW"/>
        </w:rPr>
        <w:t>应满足校准布点要求，</w:t>
      </w:r>
      <w:r>
        <w:rPr>
          <w:rFonts w:hint="eastAsia"/>
          <w:color w:val="000000"/>
          <w:sz w:val="24"/>
          <w:szCs w:val="24"/>
          <w:lang w:val="en-US" w:eastAsia="zh-CN" w:bidi="zh-TW"/>
        </w:rPr>
        <w:t>具体</w:t>
      </w:r>
      <w:r>
        <w:rPr>
          <w:color w:val="000000"/>
          <w:sz w:val="24"/>
          <w:szCs w:val="24"/>
          <w:lang w:val="zh-TW" w:eastAsia="zh-TW" w:bidi="zh-TW"/>
        </w:rPr>
        <w:t>的</w:t>
      </w:r>
      <w:r>
        <w:rPr>
          <w:rFonts w:hint="eastAsia"/>
          <w:color w:val="000000"/>
          <w:sz w:val="24"/>
          <w:szCs w:val="24"/>
          <w:lang w:val="zh-TW" w:bidi="zh-TW"/>
        </w:rPr>
        <w:t>测量</w:t>
      </w:r>
      <w:r>
        <w:rPr>
          <w:color w:val="000000"/>
          <w:sz w:val="24"/>
          <w:szCs w:val="24"/>
          <w:lang w:val="zh-TW" w:eastAsia="zh-TW" w:bidi="zh-TW"/>
        </w:rPr>
        <w:t>标准技术指标见</w:t>
      </w:r>
      <w:r>
        <w:rPr>
          <w:rFonts w:hint="eastAsia"/>
          <w:color w:val="000000"/>
          <w:sz w:val="24"/>
          <w:szCs w:val="24"/>
          <w:lang w:val="zh-TW" w:bidi="zh-TW"/>
        </w:rPr>
        <w:t>表</w:t>
      </w:r>
      <w:r>
        <w:rPr>
          <w:rFonts w:hint="eastAsia"/>
          <w:color w:val="000000"/>
          <w:sz w:val="24"/>
          <w:szCs w:val="24"/>
          <w:lang w:val="en-US" w:eastAsia="zh-CN" w:bidi="zh-TW"/>
        </w:rPr>
        <w:t>1</w:t>
      </w:r>
      <w:r>
        <w:rPr>
          <w:rFonts w:hint="eastAsia"/>
          <w:color w:val="000000"/>
          <w:sz w:val="24"/>
          <w:szCs w:val="24"/>
          <w:lang w:bidi="zh-TW"/>
        </w:rPr>
        <w:t>。</w:t>
      </w:r>
    </w:p>
    <w:p>
      <w:pPr>
        <w:pStyle w:val="57"/>
        <w:numPr>
          <w:ilvl w:val="0"/>
          <w:numId w:val="0"/>
        </w:numPr>
        <w:spacing w:line="360" w:lineRule="auto"/>
        <w:ind w:firstLine="420" w:firstLineChars="200"/>
        <w:jc w:val="center"/>
        <w:rPr>
          <w:rFonts w:hint="eastAsia" w:ascii="黑体" w:hAnsi="黑体" w:eastAsia="黑体" w:cs="黑体"/>
          <w:color w:val="000000"/>
          <w:sz w:val="21"/>
          <w:szCs w:val="21"/>
          <w:lang w:val="en-US" w:eastAsia="zh-CN" w:bidi="zh-TW"/>
        </w:rPr>
      </w:pPr>
      <w:r>
        <w:rPr>
          <w:rFonts w:hint="eastAsia" w:ascii="黑体" w:hAnsi="黑体" w:eastAsia="黑体" w:cs="黑体"/>
          <w:color w:val="000000"/>
          <w:sz w:val="21"/>
          <w:szCs w:val="21"/>
          <w:lang w:val="en-US" w:eastAsia="zh-CN" w:bidi="zh-TW"/>
        </w:rPr>
        <w:t>表1测量标准</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619"/>
        <w:gridCol w:w="3641"/>
        <w:gridCol w:w="1769"/>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pStyle w:val="60"/>
              <w:widowControl w:val="0"/>
              <w:numPr>
                <w:ilvl w:val="0"/>
                <w:numId w:val="0"/>
              </w:numPr>
              <w:spacing w:before="0" w:beforeLines="0" w:after="0" w:afterLines="0" w:line="360" w:lineRule="auto"/>
              <w:jc w:val="center"/>
              <w:rPr>
                <w:rFonts w:ascii="Times New Roman" w:eastAsia="宋体"/>
                <w:szCs w:val="21"/>
              </w:rPr>
            </w:pPr>
            <w:r>
              <w:rPr>
                <w:rFonts w:ascii="Times New Roman" w:eastAsia="宋体"/>
                <w:szCs w:val="21"/>
              </w:rPr>
              <w:t>设备名称</w:t>
            </w:r>
          </w:p>
        </w:tc>
        <w:tc>
          <w:tcPr>
            <w:tcW w:w="1619" w:type="dxa"/>
            <w:noWrap w:val="0"/>
            <w:vAlign w:val="center"/>
          </w:tcPr>
          <w:p>
            <w:pPr>
              <w:pStyle w:val="60"/>
              <w:widowControl w:val="0"/>
              <w:numPr>
                <w:ilvl w:val="0"/>
                <w:numId w:val="0"/>
              </w:numPr>
              <w:spacing w:before="0" w:beforeLines="0" w:after="0" w:afterLines="0" w:line="360" w:lineRule="auto"/>
              <w:jc w:val="center"/>
              <w:rPr>
                <w:rFonts w:hint="default" w:ascii="Times New Roman" w:eastAsia="宋体"/>
                <w:szCs w:val="21"/>
                <w:lang w:val="en-US" w:eastAsia="zh-CN"/>
              </w:rPr>
            </w:pPr>
            <w:r>
              <w:rPr>
                <w:rFonts w:hint="eastAsia" w:ascii="Times New Roman" w:eastAsia="宋体"/>
                <w:szCs w:val="21"/>
                <w:lang w:val="en-US" w:eastAsia="zh-CN"/>
              </w:rPr>
              <w:t>温度</w:t>
            </w:r>
          </w:p>
        </w:tc>
        <w:tc>
          <w:tcPr>
            <w:tcW w:w="3641" w:type="dxa"/>
            <w:noWrap w:val="0"/>
            <w:vAlign w:val="center"/>
          </w:tcPr>
          <w:p>
            <w:pPr>
              <w:pStyle w:val="60"/>
              <w:widowControl w:val="0"/>
              <w:numPr>
                <w:ilvl w:val="0"/>
                <w:numId w:val="0"/>
              </w:numPr>
              <w:spacing w:before="0" w:beforeLines="0" w:after="0" w:afterLines="0" w:line="360" w:lineRule="auto"/>
              <w:jc w:val="center"/>
              <w:rPr>
                <w:rFonts w:ascii="Times New Roman" w:eastAsia="宋体"/>
                <w:szCs w:val="21"/>
              </w:rPr>
            </w:pPr>
            <w:r>
              <w:rPr>
                <w:rFonts w:hint="eastAsia" w:ascii="Times New Roman" w:eastAsia="宋体"/>
                <w:szCs w:val="21"/>
                <w:lang w:val="en-US" w:eastAsia="zh-CN"/>
              </w:rPr>
              <w:t>特征值</w:t>
            </w:r>
          </w:p>
        </w:tc>
        <w:tc>
          <w:tcPr>
            <w:tcW w:w="1769" w:type="dxa"/>
            <w:noWrap w:val="0"/>
            <w:vAlign w:val="center"/>
          </w:tcPr>
          <w:p>
            <w:pPr>
              <w:pStyle w:val="60"/>
              <w:widowControl w:val="0"/>
              <w:numPr>
                <w:ilvl w:val="0"/>
                <w:numId w:val="0"/>
              </w:numPr>
              <w:spacing w:before="0" w:beforeLines="0" w:after="0" w:afterLines="0" w:line="360" w:lineRule="auto"/>
              <w:jc w:val="center"/>
              <w:rPr>
                <w:rFonts w:ascii="Times New Roman" w:eastAsia="宋体"/>
                <w:szCs w:val="21"/>
              </w:rPr>
            </w:pPr>
            <w:r>
              <w:rPr>
                <w:rFonts w:hint="default" w:ascii="Times New Roman" w:hAnsi="Times New Roman" w:eastAsia="宋体" w:cs="Times New Roman"/>
                <w:sz w:val="21"/>
                <w:szCs w:val="21"/>
                <w:vertAlign w:val="baseline"/>
                <w:lang w:val="en-US" w:eastAsia="zh-CN"/>
              </w:rPr>
              <w:t>校准项目</w:t>
            </w:r>
          </w:p>
        </w:tc>
        <w:tc>
          <w:tcPr>
            <w:tcW w:w="1298" w:type="dxa"/>
            <w:noWrap w:val="0"/>
            <w:vAlign w:val="center"/>
          </w:tcPr>
          <w:p>
            <w:pPr>
              <w:pStyle w:val="60"/>
              <w:widowControl w:val="0"/>
              <w:numPr>
                <w:ilvl w:val="0"/>
                <w:numId w:val="0"/>
              </w:numPr>
              <w:spacing w:before="0" w:beforeLines="0" w:after="0" w:afterLines="0" w:line="360" w:lineRule="auto"/>
              <w:jc w:val="center"/>
              <w:rPr>
                <w:rFonts w:ascii="Times New Roman" w:eastAsia="宋体"/>
                <w:szCs w:val="21"/>
              </w:rPr>
            </w:pPr>
            <w:r>
              <w:rPr>
                <w:rFonts w:ascii="Times New Roman" w:eastAsia="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eastAsia="宋体"/>
                <w:sz w:val="21"/>
                <w:szCs w:val="21"/>
                <w:highlight w:val="none"/>
                <w:lang w:val="en-US" w:eastAsia="zh-CN" w:bidi="ar-SA"/>
              </w:rPr>
            </w:pPr>
            <w:r>
              <w:rPr>
                <w:rFonts w:hint="eastAsia" w:ascii="Times New Roman" w:eastAsia="宋体"/>
                <w:szCs w:val="21"/>
                <w:highlight w:val="none"/>
                <w:lang w:val="en-US" w:eastAsia="zh-CN"/>
              </w:rPr>
              <w:t>蓝宝石热扩散系数标准样品</w:t>
            </w:r>
          </w:p>
        </w:tc>
        <w:tc>
          <w:tcPr>
            <w:tcW w:w="1619" w:type="dxa"/>
            <w:noWrap w:val="0"/>
            <w:vAlign w:val="center"/>
          </w:tcPr>
          <w:p>
            <w:pPr>
              <w:pStyle w:val="57"/>
              <w:ind w:left="0" w:leftChars="0" w:firstLine="0" w:firstLineChars="0"/>
              <w:jc w:val="center"/>
              <w:rPr>
                <w:rFonts w:hint="default"/>
                <w:lang w:val="en-US" w:eastAsia="zh-CN"/>
              </w:rPr>
            </w:pPr>
            <w:r>
              <w:rPr>
                <w:rFonts w:hint="eastAsia"/>
                <w:lang w:val="en-US" w:eastAsia="zh-CN"/>
              </w:rPr>
              <w:t>500℃</w:t>
            </w:r>
          </w:p>
        </w:tc>
        <w:tc>
          <w:tcPr>
            <w:tcW w:w="3641"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lang w:val="en-US" w:eastAsia="zh-CN"/>
              </w:rPr>
            </w:pPr>
            <w:r>
              <w:rPr>
                <w:rFonts w:hint="eastAsia"/>
                <w:lang w:val="en-US" w:eastAsia="zh-CN"/>
              </w:rPr>
              <w:t>2.571 mm</w:t>
            </w:r>
            <w:r>
              <w:rPr>
                <w:rFonts w:hint="eastAsia"/>
                <w:vertAlign w:val="superscript"/>
                <w:lang w:val="en-US" w:eastAsia="zh-CN"/>
              </w:rPr>
              <w:t>2</w:t>
            </w:r>
            <w:r>
              <w:rPr>
                <w:rFonts w:hint="eastAsia"/>
                <w:lang w:val="en-US" w:eastAsia="zh-CN"/>
              </w:rPr>
              <w:t>/s</w:t>
            </w:r>
          </w:p>
          <w:p>
            <w:pPr>
              <w:pStyle w:val="60"/>
              <w:widowControl w:val="0"/>
              <w:numPr>
                <w:ilvl w:val="0"/>
                <w:numId w:val="0"/>
              </w:numPr>
              <w:spacing w:before="0" w:beforeLines="0" w:after="0" w:afterLines="0" w:line="360" w:lineRule="auto"/>
              <w:ind w:left="0" w:leftChars="0" w:firstLine="0" w:firstLineChars="0"/>
              <w:jc w:val="center"/>
              <w:rPr>
                <w:rFonts w:hint="default"/>
                <w:lang w:val="en-US" w:eastAsia="zh-CN"/>
              </w:rPr>
            </w:pPr>
            <w:r>
              <w:rPr>
                <w:rFonts w:hint="eastAsia"/>
                <w:lang w:val="en-US" w:eastAsia="zh-CN"/>
              </w:rPr>
              <w:t>不确定度：0.028</w:t>
            </w:r>
          </w:p>
          <w:p>
            <w:pPr>
              <w:pStyle w:val="57"/>
              <w:rPr>
                <w:rFonts w:hint="default"/>
                <w:lang w:val="en-US" w:eastAsia="zh-CN"/>
              </w:rPr>
            </w:pPr>
          </w:p>
        </w:tc>
        <w:tc>
          <w:tcPr>
            <w:tcW w:w="1769"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hAnsi="Times New Roman" w:eastAsia="宋体" w:cs="Times New Roman"/>
                <w:sz w:val="21"/>
                <w:szCs w:val="21"/>
                <w:highlight w:val="none"/>
                <w:vertAlign w:val="baseline"/>
                <w:lang w:val="en-US" w:eastAsia="zh-CN" w:bidi="ar-SA"/>
              </w:rPr>
            </w:pPr>
            <w:r>
              <w:rPr>
                <w:rFonts w:hint="eastAsia" w:ascii="Times New Roman" w:hAnsi="Times New Roman" w:eastAsia="宋体" w:cs="Times New Roman"/>
                <w:sz w:val="21"/>
                <w:szCs w:val="21"/>
                <w:highlight w:val="none"/>
                <w:vertAlign w:val="baseline"/>
                <w:lang w:val="en-US" w:eastAsia="zh-CN"/>
              </w:rPr>
              <w:t>热扩散系数</w:t>
            </w:r>
          </w:p>
        </w:tc>
        <w:tc>
          <w:tcPr>
            <w:tcW w:w="1298"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eastAsia="宋体"/>
                <w:sz w:val="21"/>
                <w:szCs w:val="21"/>
                <w:highlight w:val="none"/>
                <w:lang w:val="en-US" w:eastAsia="zh-CN" w:bidi="ar-SA"/>
              </w:rPr>
            </w:pPr>
            <w:r>
              <w:rPr>
                <w:rFonts w:hint="eastAsia" w:ascii="Times New Roman" w:eastAsia="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eastAsia="宋体"/>
                <w:szCs w:val="21"/>
                <w:highlight w:val="none"/>
                <w:lang w:val="en-US" w:eastAsia="zh-CN"/>
              </w:rPr>
            </w:pPr>
            <w:r>
              <w:rPr>
                <w:rFonts w:hint="eastAsia" w:ascii="Times New Roman" w:eastAsia="宋体"/>
                <w:szCs w:val="21"/>
                <w:highlight w:val="none"/>
                <w:lang w:val="en-US" w:eastAsia="zh-CN"/>
              </w:rPr>
              <w:t>IN600热扩散系数标准样品</w:t>
            </w:r>
          </w:p>
        </w:tc>
        <w:tc>
          <w:tcPr>
            <w:tcW w:w="1619" w:type="dxa"/>
            <w:noWrap w:val="0"/>
            <w:vAlign w:val="center"/>
          </w:tcPr>
          <w:p>
            <w:pPr>
              <w:pStyle w:val="57"/>
              <w:rPr>
                <w:rFonts w:hint="default"/>
                <w:lang w:val="en-US" w:eastAsia="zh-CN"/>
              </w:rPr>
            </w:pPr>
            <w:r>
              <w:rPr>
                <w:rFonts w:hint="eastAsia"/>
                <w:lang w:val="en-US" w:eastAsia="zh-CN"/>
              </w:rPr>
              <w:t>25℃</w:t>
            </w:r>
          </w:p>
        </w:tc>
        <w:tc>
          <w:tcPr>
            <w:tcW w:w="3641" w:type="dxa"/>
            <w:noWrap w:val="0"/>
            <w:vAlign w:val="center"/>
          </w:tcPr>
          <w:p>
            <w:pPr>
              <w:pStyle w:val="57"/>
              <w:ind w:left="0" w:leftChars="0" w:firstLine="0" w:firstLineChars="0"/>
              <w:jc w:val="center"/>
              <w:rPr>
                <w:rFonts w:hint="default"/>
                <w:lang w:val="en-US" w:eastAsia="zh-CN"/>
              </w:rPr>
            </w:pPr>
            <w:r>
              <w:rPr>
                <w:rFonts w:hint="eastAsia"/>
                <w:lang w:val="en-US" w:eastAsia="zh-CN"/>
              </w:rPr>
              <w:t>3.458mm</w:t>
            </w:r>
            <w:r>
              <w:rPr>
                <w:rFonts w:hint="eastAsia"/>
                <w:vertAlign w:val="superscript"/>
                <w:lang w:val="en-US" w:eastAsia="zh-CN"/>
              </w:rPr>
              <w:t>2</w:t>
            </w:r>
            <w:r>
              <w:rPr>
                <w:rFonts w:hint="eastAsia"/>
                <w:lang w:val="en-US" w:eastAsia="zh-CN"/>
              </w:rPr>
              <w:t>/s</w:t>
            </w:r>
          </w:p>
        </w:tc>
        <w:tc>
          <w:tcPr>
            <w:tcW w:w="1769" w:type="dxa"/>
            <w:vMerge w:val="restart"/>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热扩散系数</w:t>
            </w:r>
          </w:p>
        </w:tc>
        <w:tc>
          <w:tcPr>
            <w:tcW w:w="1298"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eastAsia="宋体"/>
                <w:szCs w:val="21"/>
                <w:highlight w:val="none"/>
                <w:lang w:val="en-US" w:eastAsia="zh-CN"/>
              </w:rPr>
            </w:pPr>
            <w:r>
              <w:rPr>
                <w:rFonts w:hint="eastAsia" w:ascii="Times New Roman" w:eastAsia="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eastAsia="宋体"/>
                <w:szCs w:val="21"/>
                <w:highlight w:val="none"/>
                <w:lang w:val="en-US" w:eastAsia="zh-CN"/>
              </w:rPr>
            </w:pPr>
          </w:p>
        </w:tc>
        <w:tc>
          <w:tcPr>
            <w:tcW w:w="1619" w:type="dxa"/>
            <w:noWrap w:val="0"/>
            <w:vAlign w:val="center"/>
          </w:tcPr>
          <w:p>
            <w:pPr>
              <w:pStyle w:val="57"/>
              <w:rPr>
                <w:rFonts w:hint="default"/>
                <w:lang w:val="en-US" w:eastAsia="zh-CN"/>
              </w:rPr>
            </w:pPr>
            <w:r>
              <w:rPr>
                <w:rFonts w:hint="eastAsia"/>
                <w:lang w:val="en-US" w:eastAsia="zh-CN"/>
              </w:rPr>
              <w:t>100℃</w:t>
            </w:r>
          </w:p>
        </w:tc>
        <w:tc>
          <w:tcPr>
            <w:tcW w:w="3641" w:type="dxa"/>
            <w:noWrap w:val="0"/>
            <w:vAlign w:val="center"/>
          </w:tcPr>
          <w:p>
            <w:pPr>
              <w:pStyle w:val="57"/>
              <w:ind w:left="0" w:leftChars="0" w:firstLine="0" w:firstLineChars="0"/>
              <w:jc w:val="center"/>
              <w:rPr>
                <w:rFonts w:hint="default"/>
                <w:lang w:val="en-US" w:eastAsia="zh-CN"/>
              </w:rPr>
            </w:pPr>
            <w:r>
              <w:rPr>
                <w:rFonts w:hint="eastAsia"/>
                <w:lang w:val="en-US" w:eastAsia="zh-CN"/>
              </w:rPr>
              <w:t>3.563mm</w:t>
            </w:r>
            <w:r>
              <w:rPr>
                <w:rFonts w:hint="eastAsia"/>
                <w:vertAlign w:val="superscript"/>
                <w:lang w:val="en-US" w:eastAsia="zh-CN"/>
              </w:rPr>
              <w:t>2</w:t>
            </w:r>
            <w:r>
              <w:rPr>
                <w:rFonts w:hint="eastAsia"/>
                <w:lang w:val="en-US" w:eastAsia="zh-CN"/>
              </w:rPr>
              <w:t>/s</w:t>
            </w:r>
          </w:p>
        </w:tc>
        <w:tc>
          <w:tcPr>
            <w:tcW w:w="176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hAnsi="Times New Roman" w:eastAsia="宋体" w:cs="Times New Roman"/>
                <w:sz w:val="21"/>
                <w:szCs w:val="21"/>
                <w:highlight w:val="none"/>
                <w:vertAlign w:val="baseline"/>
                <w:lang w:val="en-US" w:eastAsia="zh-CN"/>
              </w:rPr>
            </w:pPr>
          </w:p>
        </w:tc>
        <w:tc>
          <w:tcPr>
            <w:tcW w:w="1298" w:type="dxa"/>
            <w:noWrap w:val="0"/>
            <w:vAlign w:val="center"/>
          </w:tcPr>
          <w:p>
            <w:pPr>
              <w:widowControl w:val="0"/>
              <w:numPr>
                <w:ilvl w:val="0"/>
                <w:numId w:val="0"/>
              </w:numPr>
              <w:spacing w:before="0" w:beforeLines="0" w:after="0" w:afterLines="0" w:line="360" w:lineRule="auto"/>
              <w:ind w:left="0" w:leftChars="0" w:firstLine="0" w:firstLineChars="0"/>
              <w:jc w:val="center"/>
              <w:rPr>
                <w:rFonts w:hint="eastAsia" w:ascii="Times New Roman" w:eastAsia="宋体"/>
                <w:szCs w:val="21"/>
                <w:highlight w:val="none"/>
                <w:lang w:val="en-US" w:eastAsia="zh-CN"/>
              </w:rPr>
            </w:pPr>
            <w:r>
              <w:rPr>
                <w:rFonts w:hint="eastAsia" w:ascii="Times New Roman" w:eastAsia="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eastAsia="宋体"/>
                <w:szCs w:val="21"/>
                <w:highlight w:val="none"/>
                <w:lang w:val="en-US" w:eastAsia="zh-CN"/>
              </w:rPr>
            </w:pPr>
          </w:p>
        </w:tc>
        <w:tc>
          <w:tcPr>
            <w:tcW w:w="1619" w:type="dxa"/>
            <w:noWrap w:val="0"/>
            <w:vAlign w:val="center"/>
          </w:tcPr>
          <w:p>
            <w:pPr>
              <w:pStyle w:val="57"/>
              <w:rPr>
                <w:rFonts w:hint="default"/>
                <w:lang w:val="en-US" w:eastAsia="zh-CN"/>
              </w:rPr>
            </w:pPr>
            <w:r>
              <w:rPr>
                <w:rFonts w:hint="eastAsia"/>
                <w:lang w:val="en-US" w:eastAsia="zh-CN"/>
              </w:rPr>
              <w:t>200℃</w:t>
            </w:r>
          </w:p>
        </w:tc>
        <w:tc>
          <w:tcPr>
            <w:tcW w:w="3641" w:type="dxa"/>
            <w:noWrap w:val="0"/>
            <w:vAlign w:val="center"/>
          </w:tcPr>
          <w:p>
            <w:pPr>
              <w:pStyle w:val="57"/>
              <w:ind w:left="0" w:leftChars="0" w:firstLine="0" w:firstLineChars="0"/>
              <w:jc w:val="center"/>
              <w:rPr>
                <w:rFonts w:hint="default"/>
                <w:lang w:val="en-US" w:eastAsia="zh-CN"/>
              </w:rPr>
            </w:pPr>
            <w:r>
              <w:rPr>
                <w:rFonts w:hint="eastAsia"/>
                <w:lang w:val="en-US" w:eastAsia="zh-CN"/>
              </w:rPr>
              <w:t>3.947mm</w:t>
            </w:r>
            <w:r>
              <w:rPr>
                <w:rFonts w:hint="eastAsia"/>
                <w:vertAlign w:val="superscript"/>
                <w:lang w:val="en-US" w:eastAsia="zh-CN"/>
              </w:rPr>
              <w:t>2</w:t>
            </w:r>
            <w:r>
              <w:rPr>
                <w:rFonts w:hint="eastAsia"/>
                <w:lang w:val="en-US" w:eastAsia="zh-CN"/>
              </w:rPr>
              <w:t>/s</w:t>
            </w:r>
          </w:p>
        </w:tc>
        <w:tc>
          <w:tcPr>
            <w:tcW w:w="176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hAnsi="Times New Roman" w:eastAsia="宋体" w:cs="Times New Roman"/>
                <w:sz w:val="21"/>
                <w:szCs w:val="21"/>
                <w:highlight w:val="none"/>
                <w:vertAlign w:val="baseline"/>
                <w:lang w:val="en-US" w:eastAsia="zh-CN"/>
              </w:rPr>
            </w:pPr>
          </w:p>
        </w:tc>
        <w:tc>
          <w:tcPr>
            <w:tcW w:w="1298" w:type="dxa"/>
            <w:noWrap w:val="0"/>
            <w:vAlign w:val="center"/>
          </w:tcPr>
          <w:p>
            <w:pPr>
              <w:widowControl w:val="0"/>
              <w:numPr>
                <w:ilvl w:val="0"/>
                <w:numId w:val="0"/>
              </w:numPr>
              <w:spacing w:before="0" w:beforeLines="0" w:after="0" w:afterLines="0" w:line="360" w:lineRule="auto"/>
              <w:ind w:left="0" w:leftChars="0" w:firstLine="0" w:firstLineChars="0"/>
              <w:jc w:val="center"/>
              <w:rPr>
                <w:rFonts w:hint="eastAsia" w:ascii="Times New Roman" w:eastAsia="宋体"/>
                <w:szCs w:val="21"/>
                <w:highlight w:val="none"/>
                <w:lang w:val="en-US" w:eastAsia="zh-CN"/>
              </w:rPr>
            </w:pPr>
            <w:r>
              <w:rPr>
                <w:rFonts w:hint="eastAsia" w:ascii="Times New Roman" w:eastAsia="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eastAsia="宋体"/>
                <w:szCs w:val="21"/>
                <w:highlight w:val="none"/>
                <w:lang w:val="en-US" w:eastAsia="zh-CN"/>
              </w:rPr>
            </w:pPr>
          </w:p>
        </w:tc>
        <w:tc>
          <w:tcPr>
            <w:tcW w:w="1619" w:type="dxa"/>
            <w:noWrap w:val="0"/>
            <w:vAlign w:val="center"/>
          </w:tcPr>
          <w:p>
            <w:pPr>
              <w:pStyle w:val="57"/>
              <w:rPr>
                <w:rFonts w:hint="default"/>
                <w:lang w:val="en-US" w:eastAsia="zh-CN"/>
              </w:rPr>
            </w:pPr>
            <w:r>
              <w:rPr>
                <w:rFonts w:hint="eastAsia"/>
                <w:lang w:val="en-US" w:eastAsia="zh-CN"/>
              </w:rPr>
              <w:t>300℃</w:t>
            </w:r>
          </w:p>
        </w:tc>
        <w:tc>
          <w:tcPr>
            <w:tcW w:w="3641" w:type="dxa"/>
            <w:noWrap w:val="0"/>
            <w:vAlign w:val="center"/>
          </w:tcPr>
          <w:p>
            <w:pPr>
              <w:pStyle w:val="57"/>
              <w:ind w:left="0" w:leftChars="0" w:firstLine="0" w:firstLineChars="0"/>
              <w:jc w:val="center"/>
              <w:rPr>
                <w:rFonts w:hint="default"/>
                <w:lang w:val="en-US" w:eastAsia="zh-CN"/>
              </w:rPr>
            </w:pPr>
            <w:r>
              <w:rPr>
                <w:rFonts w:hint="eastAsia"/>
                <w:lang w:val="en-US" w:eastAsia="zh-CN"/>
              </w:rPr>
              <w:t>4.264mm</w:t>
            </w:r>
            <w:r>
              <w:rPr>
                <w:rFonts w:hint="eastAsia"/>
                <w:vertAlign w:val="superscript"/>
                <w:lang w:val="en-US" w:eastAsia="zh-CN"/>
              </w:rPr>
              <w:t>2</w:t>
            </w:r>
            <w:r>
              <w:rPr>
                <w:rFonts w:hint="eastAsia"/>
                <w:lang w:val="en-US" w:eastAsia="zh-CN"/>
              </w:rPr>
              <w:t>/s</w:t>
            </w:r>
          </w:p>
        </w:tc>
        <w:tc>
          <w:tcPr>
            <w:tcW w:w="176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hAnsi="Times New Roman" w:eastAsia="宋体" w:cs="Times New Roman"/>
                <w:sz w:val="21"/>
                <w:szCs w:val="21"/>
                <w:highlight w:val="none"/>
                <w:vertAlign w:val="baseline"/>
                <w:lang w:val="en-US" w:eastAsia="zh-CN"/>
              </w:rPr>
            </w:pPr>
          </w:p>
        </w:tc>
        <w:tc>
          <w:tcPr>
            <w:tcW w:w="1298" w:type="dxa"/>
            <w:noWrap w:val="0"/>
            <w:vAlign w:val="center"/>
          </w:tcPr>
          <w:p>
            <w:pPr>
              <w:widowControl w:val="0"/>
              <w:numPr>
                <w:ilvl w:val="0"/>
                <w:numId w:val="0"/>
              </w:numPr>
              <w:spacing w:before="0" w:beforeLines="0" w:after="0" w:afterLines="0" w:line="360" w:lineRule="auto"/>
              <w:ind w:left="0" w:leftChars="0" w:firstLine="0" w:firstLineChars="0"/>
              <w:jc w:val="center"/>
              <w:rPr>
                <w:rFonts w:hint="eastAsia" w:ascii="Times New Roman" w:eastAsia="宋体"/>
                <w:szCs w:val="21"/>
                <w:highlight w:val="none"/>
                <w:lang w:val="en-US" w:eastAsia="zh-CN"/>
              </w:rPr>
            </w:pPr>
            <w:r>
              <w:rPr>
                <w:rFonts w:hint="eastAsia" w:ascii="Times New Roman" w:eastAsia="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eastAsia="宋体"/>
                <w:szCs w:val="21"/>
                <w:highlight w:val="none"/>
                <w:lang w:val="en-US" w:eastAsia="zh-CN"/>
              </w:rPr>
            </w:pPr>
          </w:p>
        </w:tc>
        <w:tc>
          <w:tcPr>
            <w:tcW w:w="1619" w:type="dxa"/>
            <w:noWrap w:val="0"/>
            <w:vAlign w:val="center"/>
          </w:tcPr>
          <w:p>
            <w:pPr>
              <w:pStyle w:val="57"/>
              <w:rPr>
                <w:rFonts w:hint="default"/>
                <w:lang w:val="en-US" w:eastAsia="zh-CN"/>
              </w:rPr>
            </w:pPr>
            <w:r>
              <w:rPr>
                <w:rFonts w:hint="eastAsia"/>
                <w:lang w:val="en-US" w:eastAsia="zh-CN"/>
              </w:rPr>
              <w:t>500℃</w:t>
            </w:r>
          </w:p>
        </w:tc>
        <w:tc>
          <w:tcPr>
            <w:tcW w:w="3641" w:type="dxa"/>
            <w:noWrap w:val="0"/>
            <w:vAlign w:val="center"/>
          </w:tcPr>
          <w:p>
            <w:pPr>
              <w:pStyle w:val="57"/>
              <w:ind w:left="0" w:leftChars="0" w:firstLine="0" w:firstLineChars="0"/>
              <w:jc w:val="center"/>
              <w:rPr>
                <w:rFonts w:hint="default"/>
                <w:lang w:val="en-US" w:eastAsia="zh-CN"/>
              </w:rPr>
            </w:pPr>
            <w:r>
              <w:rPr>
                <w:rFonts w:hint="eastAsia"/>
                <w:lang w:val="en-US" w:eastAsia="zh-CN"/>
              </w:rPr>
              <w:t>4.783mm</w:t>
            </w:r>
            <w:r>
              <w:rPr>
                <w:rFonts w:hint="eastAsia"/>
                <w:vertAlign w:val="superscript"/>
                <w:lang w:val="en-US" w:eastAsia="zh-CN"/>
              </w:rPr>
              <w:t>2</w:t>
            </w:r>
            <w:r>
              <w:rPr>
                <w:rFonts w:hint="eastAsia"/>
                <w:lang w:val="en-US" w:eastAsia="zh-CN"/>
              </w:rPr>
              <w:t>/s</w:t>
            </w:r>
          </w:p>
        </w:tc>
        <w:tc>
          <w:tcPr>
            <w:tcW w:w="176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hAnsi="Times New Roman" w:eastAsia="宋体" w:cs="Times New Roman"/>
                <w:sz w:val="21"/>
                <w:szCs w:val="21"/>
                <w:highlight w:val="none"/>
                <w:vertAlign w:val="baseline"/>
                <w:lang w:val="en-US" w:eastAsia="zh-CN"/>
              </w:rPr>
            </w:pPr>
          </w:p>
        </w:tc>
        <w:tc>
          <w:tcPr>
            <w:tcW w:w="1298" w:type="dxa"/>
            <w:noWrap w:val="0"/>
            <w:vAlign w:val="center"/>
          </w:tcPr>
          <w:p>
            <w:pPr>
              <w:widowControl w:val="0"/>
              <w:numPr>
                <w:ilvl w:val="0"/>
                <w:numId w:val="0"/>
              </w:numPr>
              <w:spacing w:before="0" w:beforeLines="0" w:after="0" w:afterLines="0" w:line="360" w:lineRule="auto"/>
              <w:ind w:left="0" w:leftChars="0" w:firstLine="0" w:firstLineChars="0"/>
              <w:jc w:val="center"/>
              <w:rPr>
                <w:rFonts w:hint="eastAsia" w:ascii="Times New Roman" w:eastAsia="宋体"/>
                <w:szCs w:val="21"/>
                <w:highlight w:val="none"/>
                <w:lang w:val="en-US" w:eastAsia="zh-CN"/>
              </w:rPr>
            </w:pPr>
            <w:r>
              <w:rPr>
                <w:rFonts w:hint="eastAsia" w:ascii="Times New Roman" w:eastAsia="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eastAsia="宋体"/>
                <w:szCs w:val="21"/>
                <w:highlight w:val="none"/>
                <w:lang w:val="en-US" w:eastAsia="zh-CN"/>
              </w:rPr>
            </w:pPr>
          </w:p>
        </w:tc>
        <w:tc>
          <w:tcPr>
            <w:tcW w:w="1619" w:type="dxa"/>
            <w:noWrap w:val="0"/>
            <w:vAlign w:val="center"/>
          </w:tcPr>
          <w:p>
            <w:pPr>
              <w:pStyle w:val="57"/>
              <w:rPr>
                <w:rFonts w:hint="default"/>
                <w:lang w:val="en-US" w:eastAsia="zh-CN"/>
              </w:rPr>
            </w:pPr>
            <w:r>
              <w:rPr>
                <w:rFonts w:hint="eastAsia"/>
                <w:lang w:val="en-US" w:eastAsia="zh-CN"/>
              </w:rPr>
              <w:t>800℃</w:t>
            </w:r>
          </w:p>
        </w:tc>
        <w:tc>
          <w:tcPr>
            <w:tcW w:w="3641" w:type="dxa"/>
            <w:noWrap w:val="0"/>
            <w:vAlign w:val="center"/>
          </w:tcPr>
          <w:p>
            <w:pPr>
              <w:pStyle w:val="57"/>
              <w:ind w:left="0" w:leftChars="0" w:firstLine="0" w:firstLineChars="0"/>
              <w:jc w:val="center"/>
              <w:rPr>
                <w:rFonts w:hint="eastAsia"/>
                <w:lang w:val="en-US" w:eastAsia="zh-CN"/>
              </w:rPr>
            </w:pPr>
            <w:r>
              <w:rPr>
                <w:rFonts w:hint="eastAsia"/>
                <w:lang w:val="en-US" w:eastAsia="zh-CN"/>
              </w:rPr>
              <w:t>5.392mm</w:t>
            </w:r>
            <w:r>
              <w:rPr>
                <w:rFonts w:hint="eastAsia"/>
                <w:vertAlign w:val="superscript"/>
                <w:lang w:val="en-US" w:eastAsia="zh-CN"/>
              </w:rPr>
              <w:t>2</w:t>
            </w:r>
            <w:r>
              <w:rPr>
                <w:rFonts w:hint="eastAsia"/>
                <w:lang w:val="en-US" w:eastAsia="zh-CN"/>
              </w:rPr>
              <w:t>/s</w:t>
            </w:r>
          </w:p>
        </w:tc>
        <w:tc>
          <w:tcPr>
            <w:tcW w:w="176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hAnsi="Times New Roman" w:eastAsia="宋体" w:cs="Times New Roman"/>
                <w:sz w:val="21"/>
                <w:szCs w:val="21"/>
                <w:highlight w:val="none"/>
                <w:vertAlign w:val="baseline"/>
                <w:lang w:val="en-US" w:eastAsia="zh-CN"/>
              </w:rPr>
            </w:pPr>
          </w:p>
        </w:tc>
        <w:tc>
          <w:tcPr>
            <w:tcW w:w="1298" w:type="dxa"/>
            <w:noWrap w:val="0"/>
            <w:vAlign w:val="center"/>
          </w:tcPr>
          <w:p>
            <w:pPr>
              <w:widowControl w:val="0"/>
              <w:numPr>
                <w:ilvl w:val="0"/>
                <w:numId w:val="0"/>
              </w:numPr>
              <w:spacing w:before="0" w:beforeLines="0" w:after="0" w:afterLines="0" w:line="360" w:lineRule="auto"/>
              <w:ind w:left="0" w:leftChars="0" w:firstLine="0" w:firstLineChars="0"/>
              <w:jc w:val="center"/>
              <w:rPr>
                <w:rFonts w:hint="eastAsia" w:ascii="Times New Roman" w:eastAsia="宋体"/>
                <w:szCs w:val="21"/>
                <w:highlight w:val="none"/>
                <w:lang w:val="en-US" w:eastAsia="zh-CN"/>
              </w:rPr>
            </w:pPr>
            <w:r>
              <w:rPr>
                <w:rFonts w:hint="eastAsia" w:ascii="Times New Roman" w:eastAsia="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eastAsia="宋体"/>
                <w:szCs w:val="21"/>
                <w:highlight w:val="none"/>
                <w:lang w:val="en-US" w:eastAsia="zh-CN"/>
              </w:rPr>
            </w:pPr>
          </w:p>
        </w:tc>
        <w:tc>
          <w:tcPr>
            <w:tcW w:w="1619" w:type="dxa"/>
            <w:noWrap w:val="0"/>
            <w:vAlign w:val="center"/>
          </w:tcPr>
          <w:p>
            <w:pPr>
              <w:pStyle w:val="57"/>
              <w:rPr>
                <w:rFonts w:hint="default"/>
                <w:lang w:val="en-US" w:eastAsia="zh-CN"/>
              </w:rPr>
            </w:pPr>
            <w:r>
              <w:rPr>
                <w:rFonts w:hint="eastAsia"/>
                <w:lang w:val="en-US" w:eastAsia="zh-CN"/>
              </w:rPr>
              <w:t>1000℃</w:t>
            </w:r>
          </w:p>
        </w:tc>
        <w:tc>
          <w:tcPr>
            <w:tcW w:w="3641" w:type="dxa"/>
            <w:noWrap w:val="0"/>
            <w:vAlign w:val="center"/>
          </w:tcPr>
          <w:p>
            <w:pPr>
              <w:pStyle w:val="57"/>
              <w:ind w:left="0" w:leftChars="0" w:firstLine="0" w:firstLineChars="0"/>
              <w:jc w:val="center"/>
              <w:rPr>
                <w:rFonts w:hint="eastAsia"/>
                <w:lang w:val="en-US" w:eastAsia="zh-CN"/>
              </w:rPr>
            </w:pPr>
            <w:r>
              <w:rPr>
                <w:rFonts w:hint="eastAsia"/>
                <w:lang w:val="en-US" w:eastAsia="zh-CN"/>
              </w:rPr>
              <w:t>5.863mm</w:t>
            </w:r>
            <w:r>
              <w:rPr>
                <w:rFonts w:hint="eastAsia"/>
                <w:vertAlign w:val="superscript"/>
                <w:lang w:val="en-US" w:eastAsia="zh-CN"/>
              </w:rPr>
              <w:t>2</w:t>
            </w:r>
            <w:r>
              <w:rPr>
                <w:rFonts w:hint="eastAsia"/>
                <w:lang w:val="en-US" w:eastAsia="zh-CN"/>
              </w:rPr>
              <w:t>/s</w:t>
            </w:r>
          </w:p>
        </w:tc>
        <w:tc>
          <w:tcPr>
            <w:tcW w:w="176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hAnsi="Times New Roman" w:eastAsia="宋体" w:cs="Times New Roman"/>
                <w:sz w:val="21"/>
                <w:szCs w:val="21"/>
                <w:highlight w:val="none"/>
                <w:vertAlign w:val="baseline"/>
                <w:lang w:val="en-US" w:eastAsia="zh-CN"/>
              </w:rPr>
            </w:pPr>
          </w:p>
        </w:tc>
        <w:tc>
          <w:tcPr>
            <w:tcW w:w="1298" w:type="dxa"/>
            <w:noWrap w:val="0"/>
            <w:vAlign w:val="center"/>
          </w:tcPr>
          <w:p>
            <w:pPr>
              <w:widowControl w:val="0"/>
              <w:numPr>
                <w:ilvl w:val="0"/>
                <w:numId w:val="0"/>
              </w:numPr>
              <w:spacing w:before="0" w:beforeLines="0" w:after="0" w:afterLines="0" w:line="360" w:lineRule="auto"/>
              <w:ind w:left="0" w:leftChars="0" w:firstLine="0" w:firstLineChars="0"/>
              <w:jc w:val="center"/>
              <w:rPr>
                <w:rFonts w:hint="eastAsia" w:ascii="Times New Roman" w:eastAsia="宋体"/>
                <w:szCs w:val="21"/>
                <w:highlight w:val="none"/>
                <w:lang w:val="en-US" w:eastAsia="zh-CN"/>
              </w:rPr>
            </w:pPr>
            <w:r>
              <w:rPr>
                <w:rFonts w:hint="eastAsia" w:ascii="Times New Roman" w:eastAsia="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Times New Roman" w:eastAsia="宋体"/>
                <w:szCs w:val="21"/>
                <w:highlight w:val="none"/>
                <w:lang w:val="en-US" w:eastAsia="zh-CN"/>
              </w:rPr>
            </w:pPr>
            <w:r>
              <w:rPr>
                <w:rFonts w:hint="eastAsia" w:ascii="Times New Roman" w:eastAsia="宋体"/>
                <w:szCs w:val="21"/>
                <w:highlight w:val="none"/>
                <w:lang w:val="en-US" w:eastAsia="zh-CN"/>
              </w:rPr>
              <w:t>石墨热扩散系数标准样品</w:t>
            </w:r>
          </w:p>
        </w:tc>
        <w:tc>
          <w:tcPr>
            <w:tcW w:w="1619" w:type="dxa"/>
            <w:noWrap w:val="0"/>
            <w:vAlign w:val="center"/>
          </w:tcPr>
          <w:p>
            <w:pPr>
              <w:pStyle w:val="57"/>
              <w:rPr>
                <w:rFonts w:hint="default"/>
                <w:lang w:val="en-US" w:eastAsia="zh-CN"/>
              </w:rPr>
            </w:pPr>
            <w:r>
              <w:rPr>
                <w:rFonts w:hint="eastAsia"/>
                <w:lang w:val="en-US" w:eastAsia="zh-CN"/>
              </w:rPr>
              <w:t>20℃</w:t>
            </w:r>
          </w:p>
        </w:tc>
        <w:tc>
          <w:tcPr>
            <w:tcW w:w="3641" w:type="dxa"/>
            <w:noWrap w:val="0"/>
            <w:vAlign w:val="center"/>
          </w:tcPr>
          <w:p>
            <w:pPr>
              <w:pStyle w:val="57"/>
              <w:ind w:left="0" w:leftChars="0" w:firstLine="0" w:firstLineChars="0"/>
              <w:jc w:val="center"/>
              <w:rPr>
                <w:rFonts w:hint="default"/>
                <w:lang w:val="en-US" w:eastAsia="zh-CN"/>
              </w:rPr>
            </w:pPr>
            <w:r>
              <w:rPr>
                <w:rFonts w:hint="eastAsia"/>
                <w:lang w:val="en-US" w:eastAsia="zh-CN"/>
              </w:rPr>
              <w:t>76.2mm</w:t>
            </w:r>
            <w:r>
              <w:rPr>
                <w:rFonts w:hint="eastAsia"/>
                <w:vertAlign w:val="superscript"/>
                <w:lang w:val="en-US" w:eastAsia="zh-CN"/>
              </w:rPr>
              <w:t>2</w:t>
            </w:r>
            <w:r>
              <w:rPr>
                <w:rFonts w:hint="eastAsia"/>
                <w:lang w:val="en-US" w:eastAsia="zh-CN"/>
              </w:rPr>
              <w:t>/s</w:t>
            </w:r>
          </w:p>
        </w:tc>
        <w:tc>
          <w:tcPr>
            <w:tcW w:w="1769" w:type="dxa"/>
            <w:vMerge w:val="restart"/>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热扩散系数</w:t>
            </w:r>
          </w:p>
        </w:tc>
        <w:tc>
          <w:tcPr>
            <w:tcW w:w="1298" w:type="dxa"/>
            <w:noWrap w:val="0"/>
            <w:vAlign w:val="center"/>
          </w:tcPr>
          <w:p>
            <w:pPr>
              <w:widowControl w:val="0"/>
              <w:numPr>
                <w:ilvl w:val="0"/>
                <w:numId w:val="0"/>
              </w:numPr>
              <w:spacing w:before="0" w:beforeLines="0" w:after="0" w:afterLines="0" w:line="360" w:lineRule="auto"/>
              <w:ind w:left="0" w:leftChars="0" w:firstLine="0" w:firstLineChars="0"/>
              <w:jc w:val="center"/>
              <w:rPr>
                <w:rFonts w:hint="eastAsia" w:ascii="Times New Roman" w:eastAsia="宋体"/>
                <w:szCs w:val="21"/>
                <w:highlight w:val="none"/>
                <w:lang w:val="en-US" w:eastAsia="zh-CN"/>
              </w:rPr>
            </w:pPr>
            <w:r>
              <w:rPr>
                <w:rFonts w:hint="eastAsia" w:ascii="Times New Roman" w:eastAsia="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eastAsia="宋体"/>
                <w:szCs w:val="21"/>
                <w:highlight w:val="none"/>
                <w:lang w:val="en-US" w:eastAsia="zh-CN"/>
              </w:rPr>
            </w:pPr>
          </w:p>
        </w:tc>
        <w:tc>
          <w:tcPr>
            <w:tcW w:w="1619" w:type="dxa"/>
            <w:noWrap w:val="0"/>
            <w:vAlign w:val="center"/>
          </w:tcPr>
          <w:p>
            <w:pPr>
              <w:pStyle w:val="57"/>
              <w:rPr>
                <w:rFonts w:hint="default"/>
                <w:lang w:val="en-US" w:eastAsia="zh-CN"/>
              </w:rPr>
            </w:pPr>
            <w:r>
              <w:rPr>
                <w:rFonts w:hint="eastAsia"/>
                <w:lang w:val="en-US" w:eastAsia="zh-CN"/>
              </w:rPr>
              <w:t>227℃</w:t>
            </w:r>
          </w:p>
        </w:tc>
        <w:tc>
          <w:tcPr>
            <w:tcW w:w="3641" w:type="dxa"/>
            <w:noWrap w:val="0"/>
            <w:vAlign w:val="center"/>
          </w:tcPr>
          <w:p>
            <w:pPr>
              <w:pStyle w:val="57"/>
              <w:ind w:left="0" w:leftChars="0" w:firstLine="0" w:firstLineChars="0"/>
              <w:jc w:val="center"/>
              <w:rPr>
                <w:rFonts w:hint="default"/>
                <w:lang w:val="en-US" w:eastAsia="zh-CN"/>
              </w:rPr>
            </w:pPr>
            <w:r>
              <w:rPr>
                <w:rFonts w:hint="eastAsia"/>
                <w:lang w:val="en-US" w:eastAsia="zh-CN"/>
              </w:rPr>
              <w:t>43.7mm</w:t>
            </w:r>
            <w:r>
              <w:rPr>
                <w:rFonts w:hint="eastAsia"/>
                <w:vertAlign w:val="superscript"/>
                <w:lang w:val="en-US" w:eastAsia="zh-CN"/>
              </w:rPr>
              <w:t>2</w:t>
            </w:r>
            <w:r>
              <w:rPr>
                <w:rFonts w:hint="eastAsia"/>
                <w:lang w:val="en-US" w:eastAsia="zh-CN"/>
              </w:rPr>
              <w:t>/s</w:t>
            </w:r>
          </w:p>
        </w:tc>
        <w:tc>
          <w:tcPr>
            <w:tcW w:w="176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hAnsi="Times New Roman" w:eastAsia="宋体" w:cs="Times New Roman"/>
                <w:sz w:val="21"/>
                <w:szCs w:val="21"/>
                <w:highlight w:val="none"/>
                <w:vertAlign w:val="baseline"/>
                <w:lang w:val="en-US" w:eastAsia="zh-CN"/>
              </w:rPr>
            </w:pPr>
          </w:p>
        </w:tc>
        <w:tc>
          <w:tcPr>
            <w:tcW w:w="1298" w:type="dxa"/>
            <w:noWrap w:val="0"/>
            <w:vAlign w:val="center"/>
          </w:tcPr>
          <w:p>
            <w:pPr>
              <w:widowControl w:val="0"/>
              <w:numPr>
                <w:ilvl w:val="0"/>
                <w:numId w:val="0"/>
              </w:numPr>
              <w:spacing w:before="0" w:beforeLines="0" w:after="0" w:afterLines="0" w:line="360" w:lineRule="auto"/>
              <w:ind w:left="0" w:leftChars="0" w:firstLine="0" w:firstLineChars="0"/>
              <w:jc w:val="center"/>
              <w:rPr>
                <w:rFonts w:hint="eastAsia" w:ascii="Times New Roman" w:eastAsia="宋体"/>
                <w:szCs w:val="21"/>
                <w:highlight w:val="none"/>
                <w:lang w:val="en-US" w:eastAsia="zh-CN"/>
              </w:rPr>
            </w:pPr>
            <w:r>
              <w:rPr>
                <w:rFonts w:hint="eastAsia" w:ascii="Times New Roman" w:eastAsia="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eastAsia="宋体"/>
                <w:szCs w:val="21"/>
                <w:highlight w:val="none"/>
                <w:lang w:val="en-US" w:eastAsia="zh-CN"/>
              </w:rPr>
            </w:pPr>
          </w:p>
        </w:tc>
        <w:tc>
          <w:tcPr>
            <w:tcW w:w="1619" w:type="dxa"/>
            <w:noWrap w:val="0"/>
            <w:vAlign w:val="center"/>
          </w:tcPr>
          <w:p>
            <w:pPr>
              <w:pStyle w:val="57"/>
              <w:rPr>
                <w:rFonts w:hint="default"/>
                <w:lang w:val="en-US" w:eastAsia="zh-CN"/>
              </w:rPr>
            </w:pPr>
            <w:r>
              <w:rPr>
                <w:rFonts w:hint="eastAsia"/>
                <w:lang w:val="en-US" w:eastAsia="zh-CN"/>
              </w:rPr>
              <w:t>1027</w:t>
            </w:r>
          </w:p>
        </w:tc>
        <w:tc>
          <w:tcPr>
            <w:tcW w:w="3641" w:type="dxa"/>
            <w:noWrap w:val="0"/>
            <w:vAlign w:val="center"/>
          </w:tcPr>
          <w:p>
            <w:pPr>
              <w:pStyle w:val="57"/>
              <w:ind w:left="0" w:leftChars="0" w:firstLine="0" w:firstLineChars="0"/>
              <w:jc w:val="center"/>
              <w:rPr>
                <w:rFonts w:hint="default"/>
                <w:lang w:val="en-US" w:eastAsia="zh-CN"/>
              </w:rPr>
            </w:pPr>
            <w:r>
              <w:rPr>
                <w:rFonts w:hint="eastAsia"/>
                <w:lang w:val="en-US" w:eastAsia="zh-CN"/>
              </w:rPr>
              <w:t>15.1mm</w:t>
            </w:r>
            <w:r>
              <w:rPr>
                <w:rFonts w:hint="eastAsia"/>
                <w:vertAlign w:val="superscript"/>
                <w:lang w:val="en-US" w:eastAsia="zh-CN"/>
              </w:rPr>
              <w:t>2</w:t>
            </w:r>
            <w:r>
              <w:rPr>
                <w:rFonts w:hint="eastAsia"/>
                <w:lang w:val="en-US" w:eastAsia="zh-CN"/>
              </w:rPr>
              <w:t>/s</w:t>
            </w:r>
          </w:p>
        </w:tc>
        <w:tc>
          <w:tcPr>
            <w:tcW w:w="1769" w:type="dxa"/>
            <w:vMerge w:val="continue"/>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eastAsia" w:ascii="Times New Roman" w:hAnsi="Times New Roman" w:eastAsia="宋体" w:cs="Times New Roman"/>
                <w:sz w:val="21"/>
                <w:szCs w:val="21"/>
                <w:highlight w:val="none"/>
                <w:vertAlign w:val="baseline"/>
                <w:lang w:val="en-US" w:eastAsia="zh-CN"/>
              </w:rPr>
            </w:pPr>
          </w:p>
        </w:tc>
        <w:tc>
          <w:tcPr>
            <w:tcW w:w="1298" w:type="dxa"/>
            <w:noWrap w:val="0"/>
            <w:vAlign w:val="center"/>
          </w:tcPr>
          <w:p>
            <w:pPr>
              <w:widowControl w:val="0"/>
              <w:numPr>
                <w:ilvl w:val="0"/>
                <w:numId w:val="0"/>
              </w:numPr>
              <w:spacing w:before="0" w:beforeLines="0" w:after="0" w:afterLines="0" w:line="360" w:lineRule="auto"/>
              <w:ind w:left="0" w:leftChars="0" w:firstLine="0" w:firstLineChars="0"/>
              <w:jc w:val="center"/>
              <w:rPr>
                <w:rFonts w:hint="eastAsia" w:ascii="Times New Roman" w:eastAsia="宋体"/>
                <w:szCs w:val="21"/>
                <w:highlight w:val="none"/>
                <w:lang w:val="en-US" w:eastAsia="zh-CN"/>
              </w:rPr>
            </w:pPr>
            <w:r>
              <w:rPr>
                <w:rFonts w:hint="eastAsia" w:ascii="Times New Roman" w:eastAsia="宋体"/>
                <w:szCs w:val="21"/>
                <w:highlight w:val="none"/>
                <w:lang w:val="en-US" w:eastAsia="zh-CN"/>
              </w:rPr>
              <w:t>/</w:t>
            </w:r>
          </w:p>
        </w:tc>
      </w:tr>
    </w:tbl>
    <w:p>
      <w:pPr>
        <w:pStyle w:val="57"/>
        <w:numPr>
          <w:ilvl w:val="0"/>
          <w:numId w:val="0"/>
        </w:numPr>
        <w:spacing w:line="360" w:lineRule="auto"/>
        <w:ind w:firstLine="420" w:firstLineChars="200"/>
        <w:jc w:val="center"/>
        <w:rPr>
          <w:rFonts w:hint="eastAsia" w:ascii="黑体" w:hAnsi="黑体" w:eastAsia="黑体" w:cs="黑体"/>
          <w:color w:val="000000"/>
          <w:sz w:val="21"/>
          <w:szCs w:val="21"/>
          <w:lang w:val="en-US" w:eastAsia="zh-CN" w:bidi="zh-TW"/>
        </w:rPr>
      </w:pPr>
    </w:p>
    <w:p>
      <w:pPr>
        <w:pStyle w:val="57"/>
        <w:keepNext w:val="0"/>
        <w:keepLines w:val="0"/>
        <w:pageBreakBefore w:val="0"/>
        <w:widowControl/>
        <w:numPr>
          <w:ilvl w:val="0"/>
          <w:numId w:val="0"/>
        </w:numPr>
        <w:kinsoku/>
        <w:wordWrap/>
        <w:overflowPunct/>
        <w:topLinePunct w:val="0"/>
        <w:autoSpaceDE w:val="0"/>
        <w:autoSpaceDN w:val="0"/>
        <w:bidi w:val="0"/>
        <w:adjustRightInd w:val="0"/>
        <w:snapToGrid w:val="0"/>
        <w:spacing w:before="313" w:beforeLines="100" w:line="360" w:lineRule="auto"/>
        <w:textAlignment w:val="auto"/>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 xml:space="preserve">7 </w:t>
      </w:r>
      <w:bookmarkStart w:id="20" w:name="_Toc23785566"/>
      <w:bookmarkStart w:id="21" w:name="_Toc31671"/>
      <w:bookmarkStart w:id="22" w:name="_Toc25298"/>
      <w:bookmarkStart w:id="23" w:name="_Toc193860035"/>
      <w:bookmarkStart w:id="24" w:name="_Toc23784569"/>
      <w:bookmarkStart w:id="25" w:name="_Toc193619100"/>
      <w:bookmarkStart w:id="26" w:name="_Toc193619058"/>
      <w:bookmarkStart w:id="27" w:name="_Toc193860216"/>
      <w:bookmarkStart w:id="28" w:name="_Toc193860185"/>
      <w:bookmarkStart w:id="29" w:name="_Toc5198"/>
      <w:bookmarkStart w:id="30" w:name="_Toc193618955"/>
      <w:bookmarkStart w:id="31" w:name="_Toc29120"/>
      <w:bookmarkStart w:id="32" w:name="_Toc27992_WPSOffice_Level1"/>
      <w:bookmarkStart w:id="33" w:name="_Toc23784668"/>
      <w:r>
        <w:rPr>
          <w:rFonts w:hint="eastAsia" w:ascii="黑体" w:hAnsi="黑体" w:eastAsia="黑体" w:cs="Times New Roman"/>
          <w:sz w:val="24"/>
          <w:szCs w:val="24"/>
          <w:lang w:val="en-US" w:eastAsia="zh-CN" w:bidi="ar-SA"/>
        </w:rPr>
        <w:t>校准项目和校准方法</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57"/>
        <w:numPr>
          <w:ilvl w:val="0"/>
          <w:numId w:val="0"/>
        </w:num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对校准项目及操作方法作出说明。校准的项目</w:t>
      </w:r>
      <w:r>
        <w:rPr>
          <w:rFonts w:hint="eastAsia" w:cs="宋体"/>
          <w:sz w:val="24"/>
          <w:szCs w:val="24"/>
          <w:lang w:val="en-US" w:eastAsia="zh-CN" w:bidi="ar-SA"/>
        </w:rPr>
        <w:t>为热扩散系数的</w:t>
      </w:r>
      <w:r>
        <w:rPr>
          <w:rFonts w:hint="eastAsia" w:cs="宋体"/>
          <w:b w:val="0"/>
          <w:bCs w:val="0"/>
          <w:sz w:val="24"/>
          <w:szCs w:val="24"/>
          <w:lang w:val="en-US" w:eastAsia="zh-CN"/>
        </w:rPr>
        <w:t>校准</w:t>
      </w:r>
      <w:r>
        <w:rPr>
          <w:rFonts w:hint="eastAsia" w:ascii="宋体" w:hAnsi="宋体" w:eastAsia="宋体" w:cs="宋体"/>
          <w:sz w:val="24"/>
          <w:szCs w:val="24"/>
          <w:lang w:val="en-US" w:eastAsia="zh-CN" w:bidi="ar-SA"/>
        </w:rPr>
        <w:t>。规定了校准时的布点</w:t>
      </w:r>
      <w:r>
        <w:rPr>
          <w:rFonts w:hint="eastAsia" w:cs="宋体"/>
          <w:sz w:val="24"/>
          <w:szCs w:val="24"/>
          <w:lang w:val="en-US" w:eastAsia="zh-CN" w:bidi="ar-SA"/>
        </w:rPr>
        <w:t>范围</w:t>
      </w:r>
      <w:r>
        <w:rPr>
          <w:rFonts w:hint="eastAsia" w:ascii="宋体" w:hAnsi="宋体" w:eastAsia="宋体" w:cs="宋体"/>
          <w:sz w:val="24"/>
          <w:szCs w:val="24"/>
          <w:lang w:val="en-US" w:eastAsia="zh-CN" w:bidi="ar-SA"/>
        </w:rPr>
        <w:t>、数据采集规则</w:t>
      </w:r>
      <w:r>
        <w:rPr>
          <w:rFonts w:hint="eastAsia" w:cs="宋体"/>
          <w:sz w:val="24"/>
          <w:szCs w:val="24"/>
          <w:lang w:val="en-US" w:eastAsia="zh-CN" w:bidi="ar-SA"/>
        </w:rPr>
        <w:t>、</w:t>
      </w:r>
      <w:r>
        <w:rPr>
          <w:rFonts w:hint="eastAsia" w:ascii="宋体" w:hAnsi="宋体" w:eastAsia="宋体" w:cs="宋体"/>
          <w:sz w:val="24"/>
          <w:szCs w:val="24"/>
          <w:lang w:val="en-US" w:eastAsia="zh-CN" w:bidi="ar-SA"/>
        </w:rPr>
        <w:t>操作步骤</w:t>
      </w:r>
      <w:r>
        <w:rPr>
          <w:rFonts w:hint="eastAsia" w:cs="宋体"/>
          <w:sz w:val="24"/>
          <w:szCs w:val="24"/>
          <w:lang w:val="en-US" w:eastAsia="zh-CN" w:bidi="ar-SA"/>
        </w:rPr>
        <w:t>和数据处理过程</w:t>
      </w:r>
      <w:r>
        <w:rPr>
          <w:rFonts w:hint="eastAsia" w:ascii="宋体" w:hAnsi="宋体" w:eastAsia="宋体" w:cs="宋体"/>
          <w:sz w:val="24"/>
          <w:szCs w:val="24"/>
          <w:lang w:val="en-US" w:eastAsia="zh-CN" w:bidi="ar-SA"/>
        </w:rPr>
        <w:t>。</w:t>
      </w:r>
    </w:p>
    <w:p>
      <w:pPr>
        <w:pStyle w:val="57"/>
        <w:numPr>
          <w:ilvl w:val="0"/>
          <w:numId w:val="0"/>
        </w:numPr>
        <w:spacing w:line="360" w:lineRule="auto"/>
        <w:ind w:firstLine="480" w:firstLineChars="200"/>
        <w:rPr>
          <w:rFonts w:hint="eastAsia" w:cs="宋体"/>
          <w:sz w:val="24"/>
          <w:szCs w:val="24"/>
          <w:lang w:val="en-US" w:eastAsia="zh-CN" w:bidi="ar-SA"/>
        </w:rPr>
      </w:pPr>
      <w:bookmarkStart w:id="34" w:name="_Toc13251"/>
      <w:r>
        <w:rPr>
          <w:rFonts w:hint="eastAsia" w:ascii="宋体" w:hAnsi="宋体" w:eastAsia="宋体" w:cs="宋体"/>
          <w:sz w:val="24"/>
          <w:szCs w:val="24"/>
          <w:lang w:val="en-US" w:eastAsia="zh-CN" w:bidi="ar-SA"/>
        </w:rPr>
        <w:t xml:space="preserve">7.1 </w:t>
      </w:r>
      <w:bookmarkEnd w:id="34"/>
      <w:r>
        <w:rPr>
          <w:rFonts w:hint="eastAsia" w:cs="宋体"/>
          <w:sz w:val="24"/>
          <w:szCs w:val="24"/>
          <w:lang w:val="en-US" w:eastAsia="zh-CN" w:bidi="ar-SA"/>
        </w:rPr>
        <w:t>校准项目</w:t>
      </w:r>
    </w:p>
    <w:p>
      <w:pPr>
        <w:pStyle w:val="57"/>
        <w:spacing w:line="360" w:lineRule="auto"/>
        <w:ind w:firstLine="0" w:firstLineChars="0"/>
        <w:jc w:val="center"/>
        <w:rPr>
          <w:rFonts w:hint="eastAsia" w:ascii="Times New Roman" w:eastAsia="黑体"/>
          <w:sz w:val="24"/>
          <w:szCs w:val="24"/>
          <w:lang w:eastAsia="zh-CN"/>
        </w:rPr>
      </w:pPr>
      <w:r>
        <w:rPr>
          <w:rFonts w:hint="eastAsia" w:ascii="黑体" w:hAnsi="黑体" w:eastAsia="黑体" w:cs="黑体"/>
          <w:szCs w:val="21"/>
          <w:highlight w:val="none"/>
          <w:lang w:val="en-US" w:eastAsia="zh-CN"/>
        </w:rPr>
        <w:t>激光导热仪</w:t>
      </w:r>
      <w:r>
        <w:rPr>
          <w:rFonts w:hint="eastAsia" w:ascii="黑体" w:hAnsi="黑体" w:eastAsia="黑体" w:cs="黑体"/>
          <w:szCs w:val="21"/>
          <w:highlight w:val="none"/>
        </w:rPr>
        <w:t>校准项目</w:t>
      </w:r>
    </w:p>
    <w:tbl>
      <w:tblPr>
        <w:tblStyle w:val="40"/>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8"/>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8" w:type="dxa"/>
            <w:noWrap w:val="0"/>
            <w:vAlign w:val="top"/>
          </w:tcPr>
          <w:p>
            <w:pPr>
              <w:pStyle w:val="57"/>
              <w:widowControl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4669" w:type="dxa"/>
            <w:noWrap w:val="0"/>
            <w:vAlign w:val="top"/>
          </w:tcPr>
          <w:p>
            <w:pPr>
              <w:pStyle w:val="57"/>
              <w:widowControl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校准项目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68" w:type="dxa"/>
            <w:noWrap w:val="0"/>
            <w:vAlign w:val="top"/>
          </w:tcPr>
          <w:p>
            <w:pPr>
              <w:pStyle w:val="57"/>
              <w:widowControl w:val="0"/>
              <w:spacing w:line="360" w:lineRule="auto"/>
              <w:ind w:firstLine="0" w:firstLineChars="0"/>
              <w:jc w:val="center"/>
              <w:rPr>
                <w:rFonts w:hint="default" w:ascii="宋体" w:hAnsi="宋体" w:eastAsia="宋体" w:cs="宋体"/>
                <w:sz w:val="21"/>
                <w:szCs w:val="21"/>
                <w:lang w:val="en-US" w:eastAsia="zh-CN"/>
              </w:rPr>
            </w:pPr>
            <w:r>
              <w:rPr>
                <w:rFonts w:hint="eastAsia" w:hAnsi="宋体" w:eastAsia="宋体" w:cs="宋体"/>
                <w:sz w:val="21"/>
                <w:szCs w:val="21"/>
                <w:lang w:val="en-US" w:eastAsia="zh-CN"/>
              </w:rPr>
              <w:t>1</w:t>
            </w:r>
          </w:p>
        </w:tc>
        <w:tc>
          <w:tcPr>
            <w:tcW w:w="4669" w:type="dxa"/>
            <w:noWrap w:val="0"/>
            <w:vAlign w:val="center"/>
          </w:tcPr>
          <w:p>
            <w:pPr>
              <w:pStyle w:val="60"/>
              <w:widowControl w:val="0"/>
              <w:numPr>
                <w:ilvl w:val="0"/>
                <w:numId w:val="0"/>
              </w:numPr>
              <w:spacing w:before="0" w:beforeLines="0" w:after="0" w:afterLines="0" w:line="360" w:lineRule="auto"/>
              <w:ind w:left="0" w:leftChars="0" w:firstLine="0" w:firstLineChars="0"/>
              <w:jc w:val="center"/>
              <w:rPr>
                <w:rFonts w:hint="default" w:ascii="宋体" w:hAnsi="宋体" w:eastAsia="宋体" w:cs="宋体"/>
                <w:sz w:val="21"/>
                <w:szCs w:val="21"/>
                <w:vertAlign w:val="baseline"/>
                <w:lang w:val="en-US" w:eastAsia="zh-CN" w:bidi="ar-SA"/>
              </w:rPr>
            </w:pPr>
            <w:r>
              <w:rPr>
                <w:rFonts w:hint="eastAsia" w:ascii="宋体" w:hAnsi="宋体" w:eastAsia="宋体" w:cs="宋体"/>
                <w:sz w:val="21"/>
                <w:szCs w:val="21"/>
                <w:vertAlign w:val="baseline"/>
                <w:lang w:val="en-US" w:eastAsia="zh-CN"/>
              </w:rPr>
              <w:t>热扩散系数</w:t>
            </w:r>
          </w:p>
        </w:tc>
      </w:tr>
    </w:tbl>
    <w:p>
      <w:pPr>
        <w:spacing w:line="360" w:lineRule="auto"/>
        <w:outlineLvl w:val="0"/>
        <w:rPr>
          <w:rFonts w:hint="eastAsia" w:ascii="Times New Roman" w:hAnsi="Times New Roman" w:eastAsia="宋体" w:cs="Times New Roman"/>
          <w:sz w:val="24"/>
          <w:lang w:val="en-US" w:eastAsia="zh-CN"/>
        </w:rPr>
      </w:pPr>
      <w:r>
        <w:rPr>
          <w:rFonts w:hint="eastAsia" w:cs="宋体"/>
          <w:sz w:val="24"/>
          <w:szCs w:val="24"/>
          <w:lang w:val="en-US" w:eastAsia="zh-CN" w:bidi="ar-SA"/>
        </w:rPr>
        <w:t xml:space="preserve">7.2 </w:t>
      </w:r>
      <w:r>
        <w:rPr>
          <w:rFonts w:hint="eastAsia" w:ascii="Times New Roman" w:hAnsi="Times New Roman" w:eastAsia="宋体" w:cs="Times New Roman"/>
          <w:sz w:val="24"/>
          <w:lang w:val="en-US" w:eastAsia="zh-CN"/>
        </w:rPr>
        <w:t>校准方法</w:t>
      </w:r>
    </w:p>
    <w:p>
      <w:pPr>
        <w:pStyle w:val="57"/>
        <w:spacing w:line="360" w:lineRule="auto"/>
        <w:ind w:firstLine="0" w:firstLineChars="0"/>
        <w:rPr>
          <w:rFonts w:hint="eastAsia" w:ascii="Times New Roman"/>
          <w:sz w:val="24"/>
          <w:szCs w:val="24"/>
          <w:lang w:val="en-US" w:eastAsia="zh-CN"/>
        </w:rPr>
      </w:pPr>
      <w:r>
        <w:rPr>
          <w:rFonts w:hint="eastAsia" w:ascii="Times New Roman"/>
          <w:sz w:val="24"/>
          <w:szCs w:val="24"/>
          <w:lang w:val="en-US" w:eastAsia="zh-CN"/>
        </w:rPr>
        <w:t>7.2.1 校准前的准备工作</w:t>
      </w:r>
    </w:p>
    <w:p>
      <w:pPr>
        <w:pStyle w:val="57"/>
        <w:spacing w:line="360" w:lineRule="auto"/>
        <w:ind w:firstLine="480" w:firstLineChars="200"/>
        <w:rPr>
          <w:rFonts w:hint="default" w:ascii="Times New Roman"/>
          <w:sz w:val="24"/>
          <w:szCs w:val="24"/>
          <w:lang w:val="en-US" w:eastAsia="zh-CN"/>
        </w:rPr>
      </w:pPr>
      <w:r>
        <w:rPr>
          <w:rFonts w:hint="eastAsia" w:ascii="Times New Roman"/>
          <w:sz w:val="24"/>
          <w:szCs w:val="24"/>
          <w:lang w:val="en-US" w:eastAsia="zh-CN"/>
        </w:rPr>
        <w:t>校准前应进行外观检查，检查仪器名称、型号、出厂编号和制造厂名。仪器外观整洁，控制面板所有开关和按键均工作正常，显示屏的信息显示清晰。</w:t>
      </w:r>
    </w:p>
    <w:p>
      <w:pPr>
        <w:pStyle w:val="57"/>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outlineLvl w:val="1"/>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7.2.2 热扩散系数的校准</w:t>
      </w:r>
    </w:p>
    <w:p>
      <w:pPr>
        <w:pStyle w:val="57"/>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outlineLvl w:val="1"/>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将一系列热扩散系数标样采用激光导热仪进行热扩散系数测试，标样的选取原则为大致覆盖仪器常用测量温度。常用校准用标准样品为蓝宝石、</w:t>
      </w:r>
      <w:r>
        <w:rPr>
          <w:rFonts w:hint="eastAsia" w:hAnsi="宋体" w:eastAsia="宋体" w:cs="宋体"/>
          <w:sz w:val="24"/>
          <w:szCs w:val="24"/>
          <w:lang w:val="en-US" w:eastAsia="zh-CN"/>
        </w:rPr>
        <w:t>镍基合金、石墨等</w:t>
      </w:r>
      <w:r>
        <w:rPr>
          <w:rFonts w:hint="eastAsia" w:ascii="Times New Roman" w:hAnsi="Times New Roman" w:eastAsia="宋体" w:cs="Times New Roman"/>
          <w:b w:val="0"/>
          <w:bCs w:val="0"/>
          <w:sz w:val="24"/>
          <w:szCs w:val="24"/>
          <w:lang w:val="en-US" w:eastAsia="zh-CN"/>
        </w:rPr>
        <w:t>。</w:t>
      </w:r>
    </w:p>
    <w:p>
      <w:pPr>
        <w:pStyle w:val="57"/>
        <w:spacing w:line="360" w:lineRule="auto"/>
        <w:ind w:left="0" w:leftChars="0" w:firstLine="0" w:firstLineChars="0"/>
        <w:outlineLvl w:val="1"/>
        <w:rPr>
          <w:rFonts w:hint="default" w:ascii="Times New Roman" w:hAnsi="Times New Roman" w:eastAsia="宋体" w:cs="Times New Roman"/>
          <w:b w:val="0"/>
          <w:bCs w:val="0"/>
          <w:sz w:val="24"/>
          <w:szCs w:val="24"/>
        </w:rPr>
      </w:pPr>
      <w:r>
        <w:rPr>
          <w:rFonts w:hint="eastAsia" w:ascii="Times New Roman"/>
          <w:sz w:val="24"/>
          <w:szCs w:val="24"/>
          <w:lang w:val="en-US" w:eastAsia="zh-CN"/>
        </w:rPr>
        <w:t xml:space="preserve">7.2.2.1 </w:t>
      </w:r>
      <w:r>
        <w:rPr>
          <w:rFonts w:hint="default" w:ascii="Times New Roman" w:hAnsi="Times New Roman" w:eastAsia="宋体" w:cs="Times New Roman"/>
          <w:b w:val="0"/>
          <w:bCs w:val="0"/>
          <w:sz w:val="24"/>
          <w:szCs w:val="24"/>
        </w:rPr>
        <w:t>校准点的选择</w:t>
      </w:r>
    </w:p>
    <w:p>
      <w:pPr>
        <w:pStyle w:val="57"/>
        <w:spacing w:line="360" w:lineRule="auto"/>
        <w:ind w:left="0" w:leftChars="0" w:firstLine="480" w:firstLineChars="200"/>
        <w:outlineLvl w:val="1"/>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热扩散系数校准点的选择建议不少于5个点，</w:t>
      </w:r>
      <w:r>
        <w:rPr>
          <w:rFonts w:hint="eastAsia" w:ascii="Times New Roman"/>
          <w:sz w:val="24"/>
          <w:szCs w:val="24"/>
          <w:lang w:val="en-US" w:eastAsia="zh-CN"/>
        </w:rPr>
        <w:t>一般按照量程的20%、40%、60%、80%、100%选择校准点，也可按照客户需求进行取点。</w:t>
      </w:r>
    </w:p>
    <w:p>
      <w:pPr>
        <w:pStyle w:val="57"/>
        <w:spacing w:line="360" w:lineRule="auto"/>
        <w:ind w:left="0" w:leftChars="0" w:firstLine="0" w:firstLineChars="0"/>
        <w:outlineLvl w:val="1"/>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7.2.2.2 热扩散系数重复性误差</w:t>
      </w:r>
    </w:p>
    <w:p>
      <w:pPr>
        <w:pStyle w:val="57"/>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outlineLvl w:val="1"/>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计算每个校准点3次测量</w:t>
      </w:r>
      <w:bookmarkStart w:id="43" w:name="_GoBack"/>
      <w:bookmarkEnd w:id="43"/>
      <w:r>
        <w:rPr>
          <w:rFonts w:hint="eastAsia" w:ascii="Times New Roman" w:hAnsi="Times New Roman" w:eastAsia="宋体" w:cs="Times New Roman"/>
          <w:b w:val="0"/>
          <w:bCs w:val="0"/>
          <w:sz w:val="24"/>
          <w:szCs w:val="24"/>
          <w:lang w:val="en-US" w:eastAsia="zh-CN"/>
        </w:rPr>
        <w:t>的算术平均值，按照公式（1）计算示值重复性相对误差。</w:t>
      </w:r>
    </w:p>
    <w:p>
      <w:pPr>
        <w:pStyle w:val="57"/>
        <w:spacing w:line="360" w:lineRule="auto"/>
        <w:ind w:firstLine="3120" w:firstLineChars="1300"/>
        <w:outlineLvl w:val="1"/>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position w:val="-26"/>
          <w:sz w:val="24"/>
          <w:szCs w:val="24"/>
          <w:highlight w:val="none"/>
          <w:lang w:val="en-US" w:eastAsia="zh-CN"/>
        </w:rPr>
        <w:object>
          <v:shape id="_x0000_i1025" o:spt="75" type="#_x0000_t75" style="height:31.95pt;width:112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1</w:t>
      </w:r>
      <w:r>
        <w:rPr>
          <w:rFonts w:hint="default" w:ascii="Times New Roman" w:hAnsi="Times New Roman" w:eastAsia="宋体" w:cs="Times New Roman"/>
          <w:b w:val="0"/>
          <w:bCs w:val="0"/>
          <w:sz w:val="24"/>
          <w:szCs w:val="24"/>
          <w:lang w:val="en-US" w:eastAsia="zh-CN"/>
        </w:rPr>
        <w:t>）</w:t>
      </w:r>
    </w:p>
    <w:p>
      <w:pPr>
        <w:pStyle w:val="57"/>
        <w:spacing w:line="360" w:lineRule="auto"/>
        <w:ind w:left="0" w:leftChars="0" w:firstLine="480" w:firstLineChars="200"/>
        <w:outlineLvl w:val="1"/>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式中：</w:t>
      </w:r>
    </w:p>
    <w:p>
      <w:pPr>
        <w:pStyle w:val="57"/>
        <w:spacing w:line="360" w:lineRule="auto"/>
        <w:ind w:left="0" w:leftChars="0" w:firstLine="480" w:firstLineChars="200"/>
        <w:outlineLvl w:val="1"/>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object>
          <v:shape id="_x0000_i1026" o:spt="75" type="#_x0000_t75" style="height:13.95pt;width:10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热扩散系数</w:t>
      </w:r>
      <w:r>
        <w:rPr>
          <w:rFonts w:hint="default" w:ascii="Times New Roman" w:hAnsi="Times New Roman" w:eastAsia="宋体" w:cs="Times New Roman"/>
          <w:b w:val="0"/>
          <w:bCs w:val="0"/>
          <w:sz w:val="24"/>
          <w:szCs w:val="24"/>
          <w:lang w:val="en-US" w:eastAsia="zh-CN"/>
        </w:rPr>
        <w:t>的重复性相对误差；</w:t>
      </w:r>
    </w:p>
    <w:p>
      <w:pPr>
        <w:pStyle w:val="57"/>
        <w:spacing w:line="360" w:lineRule="auto"/>
        <w:ind w:left="0" w:leftChars="0" w:firstLine="480" w:firstLineChars="200"/>
        <w:outlineLvl w:val="1"/>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position w:val="-12"/>
          <w:sz w:val="24"/>
          <w:szCs w:val="24"/>
          <w:lang w:val="en-US" w:eastAsia="zh-CN"/>
        </w:rPr>
        <w:object>
          <v:shape id="_x0000_i1027" o:spt="75" type="#_x0000_t75" style="height:18pt;width:24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7" r:id="rId15">
            <o:LockedField>false</o:LockedField>
          </o:OLEObject>
        </w:objec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校准点</w:t>
      </w:r>
      <w:r>
        <w:rPr>
          <w:rFonts w:hint="eastAsia" w:ascii="Times New Roman" w:hAnsi="Times New Roman" w:eastAsia="宋体" w:cs="Times New Roman"/>
          <w:b w:val="0"/>
          <w:bCs w:val="0"/>
          <w:sz w:val="24"/>
          <w:szCs w:val="24"/>
          <w:highlight w:val="none"/>
          <w:lang w:val="en-US" w:eastAsia="zh-CN"/>
        </w:rPr>
        <w:t>i在n</w:t>
      </w:r>
      <w:r>
        <w:rPr>
          <w:rFonts w:hint="eastAsia" w:ascii="Times New Roman" w:hAnsi="Times New Roman" w:eastAsia="宋体" w:cs="Times New Roman"/>
          <w:b w:val="0"/>
          <w:bCs w:val="0"/>
          <w:sz w:val="24"/>
          <w:szCs w:val="24"/>
          <w:lang w:val="en-US" w:eastAsia="zh-CN"/>
        </w:rPr>
        <w:t>次测量中的最大值</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mm</w:t>
      </w:r>
      <w:r>
        <w:rPr>
          <w:rFonts w:hint="eastAsia" w:ascii="Times New Roman" w:hAnsi="Times New Roman" w:eastAsia="宋体" w:cs="Times New Roman"/>
          <w:b w:val="0"/>
          <w:bCs w:val="0"/>
          <w:sz w:val="24"/>
          <w:szCs w:val="24"/>
          <w:vertAlign w:val="superscript"/>
          <w:lang w:val="en-US" w:eastAsia="zh-CN"/>
        </w:rPr>
        <w:t>2</w:t>
      </w:r>
      <w:r>
        <w:rPr>
          <w:rFonts w:hint="eastAsia" w:ascii="Times New Roman" w:hAnsi="Times New Roman" w:eastAsia="宋体" w:cs="Times New Roman"/>
          <w:b w:val="0"/>
          <w:bCs w:val="0"/>
          <w:sz w:val="24"/>
          <w:szCs w:val="24"/>
          <w:lang w:val="en-US" w:eastAsia="zh-CN"/>
        </w:rPr>
        <w:t>/s</w:t>
      </w:r>
      <w:r>
        <w:rPr>
          <w:rFonts w:hint="default" w:ascii="Times New Roman" w:hAnsi="Times New Roman" w:eastAsia="宋体" w:cs="Times New Roman"/>
          <w:b w:val="0"/>
          <w:bCs w:val="0"/>
          <w:sz w:val="24"/>
          <w:szCs w:val="24"/>
          <w:lang w:val="en-US" w:eastAsia="zh-CN"/>
        </w:rPr>
        <w:t>；</w:t>
      </w:r>
    </w:p>
    <w:p>
      <w:pPr>
        <w:pStyle w:val="57"/>
        <w:spacing w:line="360" w:lineRule="auto"/>
        <w:ind w:left="0" w:leftChars="0" w:firstLine="480" w:firstLineChars="200"/>
        <w:outlineLvl w:val="1"/>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position w:val="-10"/>
          <w:sz w:val="24"/>
          <w:szCs w:val="24"/>
          <w:lang w:val="en-US" w:eastAsia="zh-CN"/>
        </w:rPr>
        <w:object>
          <v:shape id="_x0000_i1028" o:spt="75" type="#_x0000_t75" style="height:17pt;width:23pt;" o:ole="t" filled="f" o:preferrelative="t" stroked="f" coordsize="21600,21600">
            <v:path/>
            <v:fill on="f" focussize="0,0"/>
            <v:stroke on="f"/>
            <v:imagedata r:id="rId18" o:title=""/>
            <o:lock v:ext="edit" aspectratio="t"/>
            <w10:wrap type="none"/>
            <w10:anchorlock/>
          </v:shape>
          <o:OLEObject Type="Embed" ProgID="Equation.KSEE3" ShapeID="_x0000_i1028" DrawAspect="Content" ObjectID="_1468075728" r:id="rId17">
            <o:LockedField>false</o:LockedField>
          </o:OLEObject>
        </w:objec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校准点i在n次测量中的</w:t>
      </w:r>
      <w:r>
        <w:rPr>
          <w:rFonts w:hint="default" w:ascii="Times New Roman" w:hAnsi="Times New Roman" w:eastAsia="宋体" w:cs="Times New Roman"/>
          <w:b w:val="0"/>
          <w:bCs w:val="0"/>
          <w:sz w:val="24"/>
          <w:szCs w:val="24"/>
          <w:lang w:val="en-US" w:eastAsia="zh-CN"/>
        </w:rPr>
        <w:t>最小值，</w:t>
      </w:r>
      <w:r>
        <w:rPr>
          <w:rFonts w:hint="eastAsia" w:ascii="Times New Roman" w:hAnsi="Times New Roman" w:eastAsia="宋体" w:cs="Times New Roman"/>
          <w:b w:val="0"/>
          <w:bCs w:val="0"/>
          <w:sz w:val="24"/>
          <w:szCs w:val="24"/>
          <w:lang w:val="en-US" w:eastAsia="zh-CN"/>
        </w:rPr>
        <w:t>mm</w:t>
      </w:r>
      <w:r>
        <w:rPr>
          <w:rFonts w:hint="eastAsia" w:ascii="Times New Roman" w:hAnsi="Times New Roman" w:eastAsia="宋体" w:cs="Times New Roman"/>
          <w:b w:val="0"/>
          <w:bCs w:val="0"/>
          <w:sz w:val="24"/>
          <w:szCs w:val="24"/>
          <w:vertAlign w:val="superscript"/>
          <w:lang w:val="en-US" w:eastAsia="zh-CN"/>
        </w:rPr>
        <w:t>2</w:t>
      </w:r>
      <w:r>
        <w:rPr>
          <w:rFonts w:hint="eastAsia" w:ascii="Times New Roman" w:hAnsi="Times New Roman" w:eastAsia="宋体" w:cs="Times New Roman"/>
          <w:b w:val="0"/>
          <w:bCs w:val="0"/>
          <w:sz w:val="24"/>
          <w:szCs w:val="24"/>
          <w:lang w:val="en-US" w:eastAsia="zh-CN"/>
        </w:rPr>
        <w:t>/s</w:t>
      </w:r>
      <w:r>
        <w:rPr>
          <w:rFonts w:hint="default" w:ascii="Times New Roman" w:hAnsi="Times New Roman" w:eastAsia="宋体" w:cs="Times New Roman"/>
          <w:b w:val="0"/>
          <w:bCs w:val="0"/>
          <w:sz w:val="24"/>
          <w:szCs w:val="24"/>
          <w:lang w:val="en-US" w:eastAsia="zh-CN"/>
        </w:rPr>
        <w:t>。</w:t>
      </w:r>
    </w:p>
    <w:p>
      <w:pPr>
        <w:pStyle w:val="57"/>
        <w:spacing w:line="360" w:lineRule="auto"/>
        <w:ind w:left="0" w:leftChars="0" w:firstLine="0" w:firstLineChars="0"/>
        <w:outlineLvl w:val="1"/>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7.2.2.3 热扩散系数示值误差</w:t>
      </w:r>
    </w:p>
    <w:p>
      <w:pPr>
        <w:pStyle w:val="57"/>
        <w:wordWrap w:val="0"/>
        <w:spacing w:line="360" w:lineRule="auto"/>
        <w:ind w:left="0" w:leftChars="0" w:firstLine="480" w:firstLineChars="200"/>
        <w:jc w:val="right"/>
        <w:outlineLvl w:val="1"/>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position w:val="-24"/>
          <w:sz w:val="24"/>
          <w:szCs w:val="24"/>
          <w:lang w:val="en-US" w:eastAsia="zh-CN"/>
        </w:rPr>
        <w:object>
          <v:shape id="_x0000_i1029" o:spt="75" type="#_x0000_t75" style="height:33pt;width:90pt;" o:ole="t" filled="f" o:preferrelative="t" stroked="f" coordsize="21600,21600">
            <v:path/>
            <v:fill on="f" focussize="0,0"/>
            <v:stroke on="f"/>
            <v:imagedata r:id="rId20" o:title=""/>
            <o:lock v:ext="edit" aspectratio="t"/>
            <w10:wrap type="none"/>
            <w10:anchorlock/>
          </v:shape>
          <o:OLEObject Type="Embed" ProgID="Equation.KSEE3" ShapeID="_x0000_i1029" DrawAspect="Content" ObjectID="_1468075729" r:id="rId19">
            <o:LockedField>false</o:LockedField>
          </o:OLEObject>
        </w:object>
      </w: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2</w:t>
      </w:r>
      <w:r>
        <w:rPr>
          <w:rFonts w:hint="default" w:ascii="Times New Roman" w:hAnsi="Times New Roman" w:eastAsia="宋体" w:cs="Times New Roman"/>
          <w:b w:val="0"/>
          <w:bCs w:val="0"/>
          <w:sz w:val="24"/>
          <w:szCs w:val="24"/>
          <w:lang w:val="en-US" w:eastAsia="zh-CN"/>
        </w:rPr>
        <w:t>）</w:t>
      </w:r>
    </w:p>
    <w:p>
      <w:pPr>
        <w:pStyle w:val="57"/>
        <w:spacing w:line="360" w:lineRule="auto"/>
        <w:ind w:left="0" w:leftChars="0" w:firstLine="480" w:firstLineChars="200"/>
        <w:outlineLvl w:val="1"/>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式中：</w:t>
      </w:r>
    </w:p>
    <w:p>
      <w:pPr>
        <w:pStyle w:val="57"/>
        <w:spacing w:line="360" w:lineRule="auto"/>
        <w:ind w:left="0" w:leftChars="0" w:firstLine="480" w:firstLineChars="200"/>
        <w:outlineLvl w:val="1"/>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i/>
          <w:iCs/>
          <w:sz w:val="24"/>
          <w:szCs w:val="24"/>
          <w:lang w:val="en-US" w:eastAsia="zh-CN"/>
        </w:rPr>
        <w:t>q</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热扩散系数</w:t>
      </w:r>
      <w:r>
        <w:rPr>
          <w:rFonts w:hint="default" w:ascii="Times New Roman" w:hAnsi="Times New Roman" w:eastAsia="宋体" w:cs="Times New Roman"/>
          <w:b w:val="0"/>
          <w:bCs w:val="0"/>
          <w:sz w:val="24"/>
          <w:szCs w:val="24"/>
          <w:lang w:val="en-US" w:eastAsia="zh-CN"/>
        </w:rPr>
        <w:t>的重复性相对误差；</w:t>
      </w:r>
    </w:p>
    <w:p>
      <w:pPr>
        <w:pStyle w:val="57"/>
        <w:spacing w:line="360" w:lineRule="auto"/>
        <w:ind w:left="0" w:leftChars="0" w:firstLine="480" w:firstLineChars="200"/>
        <w:outlineLvl w:val="1"/>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position w:val="-6"/>
          <w:sz w:val="24"/>
          <w:szCs w:val="24"/>
          <w:lang w:val="en-US" w:eastAsia="zh-CN"/>
        </w:rPr>
        <w:object>
          <v:shape id="_x0000_i1030" o:spt="75" type="#_x0000_t75" style="height:11pt;width:12pt;" o:ole="t" filled="f" o:preferrelative="t" stroked="f" coordsize="21600,21600">
            <v:path/>
            <v:fill on="f" focussize="0,0"/>
            <v:stroke on="f"/>
            <v:imagedata r:id="rId22" o:title=""/>
            <o:lock v:ext="edit" aspectratio="t"/>
            <w10:wrap type="none"/>
            <w10:anchorlock/>
          </v:shape>
          <o:OLEObject Type="Embed" ProgID="Equation.KSEE3" ShapeID="_x0000_i1030" DrawAspect="Content" ObjectID="_1468075730" r:id="rId21">
            <o:LockedField>false</o:LockedField>
          </o:OLEObject>
        </w:objec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热扩散系数标准样品的</w:t>
      </w:r>
      <w:r>
        <w:rPr>
          <w:rFonts w:hint="eastAsia" w:ascii="Times New Roman" w:hAnsi="Times New Roman" w:eastAsia="宋体" w:cs="Times New Roman"/>
          <w:b w:val="0"/>
          <w:bCs w:val="0"/>
          <w:sz w:val="24"/>
          <w:szCs w:val="24"/>
          <w:highlight w:val="yellow"/>
          <w:lang w:val="en-US" w:eastAsia="zh-CN"/>
        </w:rPr>
        <w:t>特征值</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mm</w:t>
      </w:r>
      <w:r>
        <w:rPr>
          <w:rFonts w:hint="eastAsia" w:ascii="Times New Roman" w:hAnsi="Times New Roman" w:eastAsia="宋体" w:cs="Times New Roman"/>
          <w:b w:val="0"/>
          <w:bCs w:val="0"/>
          <w:sz w:val="24"/>
          <w:szCs w:val="24"/>
          <w:vertAlign w:val="superscript"/>
          <w:lang w:val="en-US" w:eastAsia="zh-CN"/>
        </w:rPr>
        <w:t>2</w:t>
      </w:r>
      <w:r>
        <w:rPr>
          <w:rFonts w:hint="eastAsia" w:ascii="Times New Roman" w:hAnsi="Times New Roman" w:eastAsia="宋体" w:cs="Times New Roman"/>
          <w:b w:val="0"/>
          <w:bCs w:val="0"/>
          <w:sz w:val="24"/>
          <w:szCs w:val="24"/>
          <w:lang w:val="en-US" w:eastAsia="zh-CN"/>
        </w:rPr>
        <w:t>/s</w:t>
      </w:r>
      <w:r>
        <w:rPr>
          <w:rFonts w:hint="default" w:ascii="Times New Roman" w:hAnsi="Times New Roman" w:eastAsia="宋体" w:cs="Times New Roman"/>
          <w:b w:val="0"/>
          <w:bCs w:val="0"/>
          <w:sz w:val="24"/>
          <w:szCs w:val="24"/>
          <w:lang w:val="en-US" w:eastAsia="zh-CN"/>
        </w:rPr>
        <w:t>；</w:t>
      </w:r>
    </w:p>
    <w:p>
      <w:pPr>
        <w:pStyle w:val="57"/>
        <w:spacing w:line="360" w:lineRule="auto"/>
        <w:ind w:left="0" w:leftChars="0" w:firstLine="420" w:firstLineChars="200"/>
        <w:outlineLvl w:val="1"/>
        <w:rPr>
          <w:rFonts w:hint="default" w:ascii="Times New Roman" w:hAnsi="Times New Roman" w:eastAsia="宋体" w:cs="Times New Roman"/>
          <w:b w:val="0"/>
          <w:bCs w:val="0"/>
          <w:sz w:val="24"/>
          <w:szCs w:val="24"/>
          <w:lang w:val="en-US" w:eastAsia="zh-CN"/>
        </w:rPr>
      </w:pPr>
      <w:r>
        <w:drawing>
          <wp:inline distT="0" distB="0" distL="114300" distR="114300">
            <wp:extent cx="180975" cy="238125"/>
            <wp:effectExtent l="0" t="0" r="9525" b="825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23"/>
                    <a:stretch>
                      <a:fillRect/>
                    </a:stretch>
                  </pic:blipFill>
                  <pic:spPr>
                    <a:xfrm>
                      <a:off x="0" y="0"/>
                      <a:ext cx="180975" cy="238125"/>
                    </a:xfrm>
                    <a:prstGeom prst="rect">
                      <a:avLst/>
                    </a:prstGeom>
                    <a:noFill/>
                    <a:ln>
                      <a:noFill/>
                    </a:ln>
                  </pic:spPr>
                </pic:pic>
              </a:graphicData>
            </a:graphic>
          </wp:inline>
        </w:drawing>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校准点i在n次测量中的平均值</w:t>
      </w:r>
      <w:r>
        <w:rPr>
          <w:rFonts w:hint="default" w:ascii="Times New Roman" w:hAnsi="Times New Roman" w:eastAsia="宋体" w:cs="Times New Roman"/>
          <w:b w:val="0"/>
          <w:bCs w:val="0"/>
          <w:sz w:val="24"/>
          <w:szCs w:val="24"/>
          <w:lang w:val="en-US" w:eastAsia="zh-CN"/>
        </w:rPr>
        <w:t>值，</w:t>
      </w:r>
      <w:r>
        <w:rPr>
          <w:rFonts w:hint="eastAsia" w:ascii="Times New Roman" w:hAnsi="Times New Roman" w:eastAsia="宋体" w:cs="Times New Roman"/>
          <w:b w:val="0"/>
          <w:bCs w:val="0"/>
          <w:sz w:val="24"/>
          <w:szCs w:val="24"/>
          <w:lang w:val="en-US" w:eastAsia="zh-CN"/>
        </w:rPr>
        <w:t>mm</w:t>
      </w:r>
      <w:r>
        <w:rPr>
          <w:rFonts w:hint="eastAsia" w:ascii="Times New Roman" w:hAnsi="Times New Roman" w:eastAsia="宋体" w:cs="Times New Roman"/>
          <w:b w:val="0"/>
          <w:bCs w:val="0"/>
          <w:sz w:val="24"/>
          <w:szCs w:val="24"/>
          <w:vertAlign w:val="superscript"/>
          <w:lang w:val="en-US" w:eastAsia="zh-CN"/>
        </w:rPr>
        <w:t>2</w:t>
      </w:r>
      <w:r>
        <w:rPr>
          <w:rFonts w:hint="eastAsia" w:ascii="Times New Roman" w:hAnsi="Times New Roman" w:eastAsia="宋体" w:cs="Times New Roman"/>
          <w:b w:val="0"/>
          <w:bCs w:val="0"/>
          <w:sz w:val="24"/>
          <w:szCs w:val="24"/>
          <w:lang w:val="en-US" w:eastAsia="zh-CN"/>
        </w:rPr>
        <w:t>/s</w:t>
      </w:r>
      <w:r>
        <w:rPr>
          <w:rFonts w:hint="default" w:ascii="Times New Roman" w:hAnsi="Times New Roman" w:eastAsia="宋体" w:cs="Times New Roman"/>
          <w:b w:val="0"/>
          <w:bCs w:val="0"/>
          <w:sz w:val="24"/>
          <w:szCs w:val="24"/>
          <w:lang w:val="en-US" w:eastAsia="zh-CN"/>
        </w:rPr>
        <w:t>。</w:t>
      </w:r>
    </w:p>
    <w:p>
      <w:pPr>
        <w:pStyle w:val="57"/>
        <w:numPr>
          <w:ilvl w:val="0"/>
          <w:numId w:val="0"/>
        </w:numPr>
        <w:spacing w:line="360" w:lineRule="auto"/>
        <w:ind w:firstLine="480" w:firstLineChars="200"/>
        <w:rPr>
          <w:rFonts w:hint="default" w:cs="宋体"/>
          <w:sz w:val="24"/>
          <w:szCs w:val="24"/>
          <w:lang w:val="en-US" w:eastAsia="zh-CN" w:bidi="ar-SA"/>
        </w:rPr>
      </w:pPr>
    </w:p>
    <w:p>
      <w:pPr>
        <w:pStyle w:val="73"/>
        <w:numPr>
          <w:ilvl w:val="0"/>
          <w:numId w:val="11"/>
        </w:numPr>
        <w:tabs>
          <w:tab w:val="left" w:pos="426"/>
        </w:tabs>
        <w:spacing w:before="312" w:beforeLines="100" w:after="312" w:afterLines="100"/>
        <w:ind w:hangingChars="200"/>
        <w:jc w:val="left"/>
        <w:rPr>
          <w:sz w:val="24"/>
          <w:szCs w:val="24"/>
        </w:rPr>
      </w:pPr>
      <w:r>
        <w:rPr>
          <w:rFonts w:hint="eastAsia"/>
          <w:sz w:val="24"/>
          <w:szCs w:val="24"/>
        </w:rPr>
        <w:t>实践检测情况</w:t>
      </w:r>
      <w:bookmarkEnd w:id="19"/>
    </w:p>
    <w:p>
      <w:pPr>
        <w:ind w:firstLine="480" w:firstLineChars="200"/>
        <w:rPr>
          <w:rFonts w:hint="eastAsia"/>
          <w:sz w:val="24"/>
          <w:szCs w:val="24"/>
        </w:rPr>
      </w:pPr>
      <w:r>
        <w:rPr>
          <w:rFonts w:hint="eastAsia"/>
          <w:sz w:val="24"/>
          <w:szCs w:val="24"/>
        </w:rPr>
        <w:t>国标（北京）检验认证有限公司根据本</w:t>
      </w:r>
      <w:r>
        <w:rPr>
          <w:rFonts w:hint="eastAsia"/>
          <w:sz w:val="24"/>
          <w:szCs w:val="24"/>
          <w:lang w:val="en-US" w:eastAsia="zh-CN"/>
        </w:rPr>
        <w:t>规范</w:t>
      </w:r>
      <w:r>
        <w:rPr>
          <w:rFonts w:hint="eastAsia"/>
          <w:sz w:val="24"/>
          <w:szCs w:val="24"/>
        </w:rPr>
        <w:t>对</w:t>
      </w:r>
      <w:r>
        <w:rPr>
          <w:rFonts w:hint="eastAsia" w:eastAsiaTheme="minorEastAsia"/>
          <w:sz w:val="24"/>
          <w:szCs w:val="24"/>
          <w:lang w:val="en-US" w:eastAsia="zh-CN"/>
        </w:rPr>
        <w:t>激光导热仪</w:t>
      </w:r>
      <w:r>
        <w:rPr>
          <w:rFonts w:hint="eastAsia"/>
          <w:sz w:val="24"/>
          <w:szCs w:val="24"/>
        </w:rPr>
        <w:t>进行了全计量特性的校准，内容详见校准报告。</w:t>
      </w:r>
    </w:p>
    <w:bookmarkEnd w:id="1"/>
    <w:p>
      <w:pPr>
        <w:pStyle w:val="73"/>
        <w:numPr>
          <w:ilvl w:val="0"/>
          <w:numId w:val="11"/>
        </w:numPr>
        <w:tabs>
          <w:tab w:val="left" w:pos="426"/>
        </w:tabs>
        <w:spacing w:before="312" w:beforeLines="100" w:after="312" w:afterLines="100"/>
        <w:ind w:hangingChars="200"/>
        <w:jc w:val="left"/>
        <w:rPr>
          <w:sz w:val="24"/>
          <w:szCs w:val="24"/>
        </w:rPr>
      </w:pPr>
      <w:bookmarkStart w:id="35" w:name="_Toc464728965"/>
      <w:r>
        <w:rPr>
          <w:rFonts w:hint="eastAsia"/>
          <w:sz w:val="24"/>
          <w:szCs w:val="24"/>
        </w:rPr>
        <w:t>标准水平分析</w:t>
      </w:r>
      <w:bookmarkEnd w:id="35"/>
    </w:p>
    <w:p>
      <w:pPr>
        <w:rPr>
          <w:sz w:val="24"/>
          <w:szCs w:val="24"/>
        </w:rPr>
      </w:pPr>
      <w:r>
        <w:rPr>
          <w:rFonts w:hint="eastAsia"/>
          <w:sz w:val="24"/>
          <w:szCs w:val="24"/>
        </w:rPr>
        <w:t xml:space="preserve">    本</w:t>
      </w:r>
      <w:r>
        <w:rPr>
          <w:rFonts w:hint="eastAsia"/>
          <w:sz w:val="24"/>
          <w:szCs w:val="24"/>
          <w:lang w:eastAsia="zh-CN"/>
        </w:rPr>
        <w:t>规范</w:t>
      </w:r>
      <w:r>
        <w:rPr>
          <w:rFonts w:hint="eastAsia"/>
          <w:sz w:val="24"/>
          <w:szCs w:val="24"/>
        </w:rPr>
        <w:t>的制定填补了有色金属行业用</w:t>
      </w:r>
      <w:r>
        <w:rPr>
          <w:rFonts w:hint="eastAsia" w:eastAsiaTheme="minorEastAsia"/>
          <w:sz w:val="24"/>
          <w:szCs w:val="24"/>
          <w:lang w:val="en-US" w:eastAsia="zh-CN"/>
        </w:rPr>
        <w:t>激光导热仪</w:t>
      </w:r>
      <w:r>
        <w:rPr>
          <w:rFonts w:hint="eastAsia"/>
          <w:sz w:val="24"/>
          <w:szCs w:val="24"/>
        </w:rPr>
        <w:t>的校准空白，属于国内首创。</w:t>
      </w:r>
    </w:p>
    <w:p>
      <w:pPr>
        <w:pStyle w:val="73"/>
        <w:numPr>
          <w:ilvl w:val="0"/>
          <w:numId w:val="11"/>
        </w:numPr>
        <w:tabs>
          <w:tab w:val="left" w:pos="426"/>
        </w:tabs>
        <w:spacing w:before="312" w:beforeLines="100" w:after="312" w:afterLines="100"/>
        <w:ind w:hangingChars="200"/>
        <w:jc w:val="left"/>
        <w:rPr>
          <w:sz w:val="24"/>
          <w:szCs w:val="24"/>
        </w:rPr>
      </w:pPr>
      <w:bookmarkStart w:id="36" w:name="_Toc464728972"/>
      <w:r>
        <w:rPr>
          <w:rFonts w:hint="eastAsia"/>
          <w:sz w:val="24"/>
          <w:szCs w:val="24"/>
        </w:rPr>
        <w:t>与现行相关法律、法规、规章及相关规范，特别是</w:t>
      </w:r>
      <w:r>
        <w:rPr>
          <w:rFonts w:hint="eastAsia"/>
          <w:sz w:val="24"/>
          <w:szCs w:val="24"/>
          <w:lang w:eastAsia="zh-CN"/>
        </w:rPr>
        <w:t>规范</w:t>
      </w:r>
      <w:r>
        <w:rPr>
          <w:rFonts w:hint="eastAsia"/>
          <w:sz w:val="24"/>
          <w:szCs w:val="24"/>
        </w:rPr>
        <w:t>的协调性</w:t>
      </w:r>
      <w:bookmarkEnd w:id="36"/>
    </w:p>
    <w:p>
      <w:pPr>
        <w:pStyle w:val="57"/>
        <w:spacing w:line="300" w:lineRule="auto"/>
        <w:rPr>
          <w:sz w:val="24"/>
          <w:szCs w:val="24"/>
        </w:rPr>
      </w:pPr>
      <w:r>
        <w:rPr>
          <w:rFonts w:hint="eastAsia"/>
          <w:sz w:val="24"/>
          <w:szCs w:val="24"/>
        </w:rPr>
        <w:t>本规范所引用的</w:t>
      </w:r>
      <w:r>
        <w:rPr>
          <w:rFonts w:hint="eastAsia"/>
          <w:sz w:val="24"/>
          <w:szCs w:val="24"/>
          <w:lang w:eastAsia="zh-CN"/>
        </w:rPr>
        <w:t>规范</w:t>
      </w:r>
      <w:r>
        <w:rPr>
          <w:rFonts w:hint="eastAsia"/>
          <w:sz w:val="24"/>
          <w:szCs w:val="24"/>
        </w:rPr>
        <w:t>及规范均为我国现行有效的计量</w:t>
      </w:r>
      <w:r>
        <w:rPr>
          <w:rFonts w:hint="eastAsia"/>
          <w:sz w:val="24"/>
          <w:szCs w:val="24"/>
          <w:lang w:eastAsia="zh-CN"/>
        </w:rPr>
        <w:t>规范</w:t>
      </w:r>
      <w:r>
        <w:rPr>
          <w:rFonts w:hint="eastAsia"/>
          <w:sz w:val="24"/>
          <w:szCs w:val="24"/>
        </w:rPr>
        <w:t>及规范，是本标准的一部分，引用这些</w:t>
      </w:r>
      <w:r>
        <w:rPr>
          <w:rFonts w:hint="eastAsia"/>
          <w:sz w:val="24"/>
          <w:szCs w:val="24"/>
          <w:lang w:eastAsia="zh-CN"/>
        </w:rPr>
        <w:t>规范</w:t>
      </w:r>
      <w:r>
        <w:rPr>
          <w:rFonts w:hint="eastAsia"/>
          <w:sz w:val="24"/>
          <w:szCs w:val="24"/>
        </w:rPr>
        <w:t>及规范后，使本规范的要求与现行的相关法律、法规、规章及相关</w:t>
      </w:r>
      <w:r>
        <w:rPr>
          <w:rFonts w:hint="eastAsia"/>
          <w:sz w:val="24"/>
          <w:szCs w:val="24"/>
          <w:lang w:eastAsia="zh-CN"/>
        </w:rPr>
        <w:t>规范</w:t>
      </w:r>
      <w:r>
        <w:rPr>
          <w:rFonts w:hint="eastAsia"/>
          <w:sz w:val="24"/>
          <w:szCs w:val="24"/>
        </w:rPr>
        <w:t>规范的关系不矛盾、不冲突，其相互关系非常协调。</w:t>
      </w:r>
    </w:p>
    <w:p>
      <w:pPr>
        <w:pStyle w:val="73"/>
        <w:numPr>
          <w:ilvl w:val="0"/>
          <w:numId w:val="11"/>
        </w:numPr>
        <w:tabs>
          <w:tab w:val="left" w:pos="426"/>
        </w:tabs>
        <w:spacing w:before="312" w:beforeLines="100" w:after="312" w:afterLines="100"/>
        <w:ind w:hangingChars="200"/>
        <w:jc w:val="left"/>
        <w:rPr>
          <w:sz w:val="24"/>
          <w:szCs w:val="24"/>
        </w:rPr>
      </w:pPr>
      <w:bookmarkStart w:id="37" w:name="_Toc464728973"/>
      <w:r>
        <w:rPr>
          <w:rFonts w:hint="eastAsia"/>
          <w:sz w:val="24"/>
          <w:szCs w:val="24"/>
        </w:rPr>
        <w:t>标准中涉及的专利或知识产权说明</w:t>
      </w:r>
      <w:bookmarkEnd w:id="37"/>
    </w:p>
    <w:p>
      <w:pPr>
        <w:pStyle w:val="57"/>
        <w:spacing w:line="300" w:lineRule="auto"/>
        <w:ind w:firstLine="420"/>
        <w:contextualSpacing/>
        <w:rPr>
          <w:sz w:val="24"/>
          <w:szCs w:val="24"/>
        </w:rPr>
      </w:pPr>
      <w:r>
        <w:rPr>
          <w:rFonts w:hint="eastAsia"/>
          <w:sz w:val="24"/>
          <w:szCs w:val="24"/>
        </w:rPr>
        <w:t>本标准不涉及任何专利或知识产权。</w:t>
      </w:r>
    </w:p>
    <w:p>
      <w:pPr>
        <w:pStyle w:val="73"/>
        <w:numPr>
          <w:ilvl w:val="0"/>
          <w:numId w:val="11"/>
        </w:numPr>
        <w:tabs>
          <w:tab w:val="left" w:pos="426"/>
        </w:tabs>
        <w:spacing w:before="312" w:beforeLines="100" w:after="312" w:afterLines="100"/>
        <w:ind w:hangingChars="200"/>
        <w:jc w:val="left"/>
        <w:rPr>
          <w:sz w:val="24"/>
          <w:szCs w:val="24"/>
        </w:rPr>
      </w:pPr>
      <w:bookmarkStart w:id="38" w:name="_Toc464728974"/>
      <w:r>
        <w:rPr>
          <w:rFonts w:hint="eastAsia"/>
          <w:sz w:val="24"/>
          <w:szCs w:val="24"/>
        </w:rPr>
        <w:t>重大分歧意见的处理经过和依据</w:t>
      </w:r>
      <w:bookmarkEnd w:id="38"/>
    </w:p>
    <w:p>
      <w:pPr>
        <w:pStyle w:val="14"/>
        <w:ind w:firstLine="420" w:firstLineChars="0"/>
        <w:jc w:val="both"/>
        <w:rPr>
          <w:rFonts w:hint="default"/>
          <w:lang w:val="en-US" w:eastAsia="zh-CN"/>
        </w:rPr>
      </w:pPr>
      <w:r>
        <w:rPr>
          <w:rFonts w:hint="eastAsia" w:ascii="宋体" w:hAnsi="宋体" w:eastAsia="宋体" w:cs="宋体"/>
          <w:sz w:val="24"/>
          <w:szCs w:val="24"/>
        </w:rPr>
        <w:t>（无）</w:t>
      </w:r>
      <w:r>
        <w:rPr>
          <w:rFonts w:hint="eastAsia"/>
          <w:lang w:val="en-US" w:eastAsia="zh-CN"/>
        </w:rPr>
        <w:t>。</w:t>
      </w:r>
    </w:p>
    <w:p>
      <w:pPr>
        <w:pStyle w:val="73"/>
        <w:numPr>
          <w:ilvl w:val="0"/>
          <w:numId w:val="11"/>
        </w:numPr>
        <w:tabs>
          <w:tab w:val="left" w:pos="426"/>
        </w:tabs>
        <w:spacing w:before="312" w:beforeLines="100" w:after="312" w:afterLines="100"/>
        <w:ind w:hangingChars="200"/>
        <w:jc w:val="left"/>
        <w:rPr>
          <w:sz w:val="24"/>
          <w:szCs w:val="24"/>
        </w:rPr>
      </w:pPr>
      <w:bookmarkStart w:id="39" w:name="_Toc464728976"/>
      <w:r>
        <w:rPr>
          <w:rFonts w:hint="eastAsia"/>
          <w:sz w:val="24"/>
          <w:szCs w:val="24"/>
        </w:rPr>
        <w:t>贯彻规范的要求和措施建议</w:t>
      </w:r>
      <w:bookmarkEnd w:id="39"/>
    </w:p>
    <w:p>
      <w:pPr>
        <w:pStyle w:val="57"/>
        <w:spacing w:line="300" w:lineRule="auto"/>
        <w:ind w:firstLine="420"/>
        <w:contextualSpacing/>
        <w:rPr>
          <w:rFonts w:hint="eastAsia"/>
          <w:sz w:val="24"/>
          <w:szCs w:val="24"/>
        </w:rPr>
      </w:pPr>
      <w:r>
        <w:rPr>
          <w:rFonts w:hint="eastAsia"/>
          <w:sz w:val="24"/>
          <w:szCs w:val="24"/>
        </w:rPr>
        <w:t>本规范发布后，中国有色金属行业协会和有色金属行业计量技术委员会应加强本规范的宣传力度，促进</w:t>
      </w:r>
      <w:r>
        <w:rPr>
          <w:rFonts w:hint="eastAsia" w:eastAsiaTheme="minorEastAsia"/>
          <w:sz w:val="24"/>
          <w:szCs w:val="24"/>
          <w:lang w:val="en-US" w:eastAsia="zh-CN"/>
        </w:rPr>
        <w:t>激光导热仪</w:t>
      </w:r>
      <w:r>
        <w:rPr>
          <w:rFonts w:hint="eastAsia"/>
          <w:sz w:val="24"/>
          <w:szCs w:val="24"/>
        </w:rPr>
        <w:t>生产厂家按照设备使用情况合理选用校准</w:t>
      </w:r>
      <w:r>
        <w:rPr>
          <w:rFonts w:hint="eastAsia"/>
          <w:sz w:val="24"/>
          <w:szCs w:val="24"/>
          <w:lang w:eastAsia="zh-CN"/>
        </w:rPr>
        <w:t>规范</w:t>
      </w:r>
      <w:r>
        <w:rPr>
          <w:rFonts w:hint="eastAsia"/>
          <w:sz w:val="24"/>
          <w:szCs w:val="24"/>
        </w:rPr>
        <w:t>，以促进我国企业的技术进步和产品质量，提高我国产品在国际、国内市场的竞争能力，走出国门践行“一带一路”，有效地化解我国的</w:t>
      </w:r>
      <w:r>
        <w:rPr>
          <w:rFonts w:hint="eastAsia"/>
          <w:sz w:val="24"/>
          <w:szCs w:val="24"/>
          <w:lang w:val="en-US" w:eastAsia="zh-CN"/>
        </w:rPr>
        <w:t>有色金属</w:t>
      </w:r>
      <w:r>
        <w:rPr>
          <w:rFonts w:hint="eastAsia"/>
          <w:sz w:val="24"/>
          <w:szCs w:val="24"/>
        </w:rPr>
        <w:t>产能过剩，促进</w:t>
      </w:r>
      <w:r>
        <w:rPr>
          <w:rFonts w:hint="eastAsia"/>
          <w:sz w:val="24"/>
          <w:szCs w:val="24"/>
          <w:lang w:val="en-US" w:eastAsia="zh-CN"/>
        </w:rPr>
        <w:t>有色金属</w:t>
      </w:r>
      <w:r>
        <w:rPr>
          <w:rFonts w:hint="eastAsia"/>
          <w:sz w:val="24"/>
          <w:szCs w:val="24"/>
        </w:rPr>
        <w:t>加工产业的质量提升。</w:t>
      </w:r>
    </w:p>
    <w:p>
      <w:pPr>
        <w:pStyle w:val="73"/>
        <w:numPr>
          <w:ilvl w:val="0"/>
          <w:numId w:val="11"/>
        </w:numPr>
        <w:tabs>
          <w:tab w:val="left" w:pos="426"/>
        </w:tabs>
        <w:spacing w:before="312" w:beforeLines="100" w:after="312" w:afterLines="100"/>
        <w:ind w:hangingChars="200"/>
        <w:jc w:val="left"/>
        <w:rPr>
          <w:sz w:val="24"/>
          <w:szCs w:val="24"/>
        </w:rPr>
      </w:pPr>
      <w:bookmarkStart w:id="40" w:name="_Toc464728977"/>
      <w:r>
        <w:rPr>
          <w:rFonts w:hint="eastAsia"/>
          <w:sz w:val="24"/>
          <w:szCs w:val="24"/>
        </w:rPr>
        <w:t>废止现行有关</w:t>
      </w:r>
      <w:r>
        <w:rPr>
          <w:rFonts w:hint="eastAsia"/>
          <w:sz w:val="24"/>
          <w:szCs w:val="24"/>
          <w:lang w:eastAsia="zh-CN"/>
        </w:rPr>
        <w:t>规范</w:t>
      </w:r>
      <w:r>
        <w:rPr>
          <w:rFonts w:hint="eastAsia"/>
          <w:sz w:val="24"/>
          <w:szCs w:val="24"/>
        </w:rPr>
        <w:t>的建议</w:t>
      </w:r>
      <w:bookmarkEnd w:id="40"/>
    </w:p>
    <w:p>
      <w:pPr>
        <w:pStyle w:val="57"/>
        <w:spacing w:line="300" w:lineRule="auto"/>
        <w:ind w:firstLine="420"/>
        <w:contextualSpacing/>
        <w:rPr>
          <w:sz w:val="24"/>
          <w:szCs w:val="24"/>
        </w:rPr>
      </w:pPr>
      <w:r>
        <w:rPr>
          <w:rFonts w:hint="eastAsia"/>
          <w:sz w:val="24"/>
          <w:szCs w:val="24"/>
        </w:rPr>
        <w:t>（无）。</w:t>
      </w:r>
    </w:p>
    <w:p>
      <w:pPr>
        <w:pStyle w:val="73"/>
        <w:numPr>
          <w:ilvl w:val="0"/>
          <w:numId w:val="11"/>
        </w:numPr>
        <w:tabs>
          <w:tab w:val="left" w:pos="426"/>
        </w:tabs>
        <w:spacing w:before="312" w:beforeLines="100" w:after="312" w:afterLines="100"/>
        <w:ind w:hangingChars="200"/>
        <w:jc w:val="left"/>
        <w:rPr>
          <w:sz w:val="24"/>
          <w:szCs w:val="24"/>
        </w:rPr>
      </w:pPr>
      <w:bookmarkStart w:id="41" w:name="_Toc464728978"/>
      <w:r>
        <w:rPr>
          <w:rFonts w:hint="eastAsia"/>
          <w:sz w:val="24"/>
          <w:szCs w:val="24"/>
        </w:rPr>
        <w:t>产业化情况、推广应用论证和预期达到的经济效果</w:t>
      </w:r>
      <w:bookmarkEnd w:id="41"/>
    </w:p>
    <w:p>
      <w:pPr>
        <w:spacing w:line="300" w:lineRule="auto"/>
        <w:ind w:firstLine="480" w:firstLineChars="200"/>
        <w:contextualSpacing/>
        <w:jc w:val="left"/>
        <w:rPr>
          <w:rFonts w:ascii="宋体" w:hAnsi="宋体" w:cs="宋体"/>
          <w:sz w:val="24"/>
          <w:szCs w:val="24"/>
        </w:rPr>
      </w:pPr>
      <w:r>
        <w:rPr>
          <w:rFonts w:hint="eastAsia" w:ascii="宋体" w:hAnsi="宋体"/>
          <w:kern w:val="0"/>
          <w:sz w:val="24"/>
          <w:szCs w:val="24"/>
        </w:rPr>
        <w:t>本</w:t>
      </w:r>
      <w:r>
        <w:rPr>
          <w:rFonts w:hint="eastAsia"/>
          <w:sz w:val="24"/>
          <w:szCs w:val="24"/>
        </w:rPr>
        <w:t>规范</w:t>
      </w:r>
      <w:r>
        <w:rPr>
          <w:rFonts w:hint="eastAsia" w:ascii="宋体" w:hAnsi="宋体"/>
          <w:kern w:val="0"/>
          <w:sz w:val="24"/>
          <w:szCs w:val="24"/>
        </w:rPr>
        <w:t>发布后将在我国有色金属行业得到广泛的应用，</w:t>
      </w:r>
      <w:r>
        <w:rPr>
          <w:rFonts w:hint="eastAsia"/>
          <w:sz w:val="24"/>
          <w:szCs w:val="24"/>
        </w:rPr>
        <w:t>使用该设备</w:t>
      </w:r>
      <w:r>
        <w:rPr>
          <w:rFonts w:hint="eastAsia" w:ascii="宋体" w:hAnsi="宋体"/>
          <w:kern w:val="0"/>
          <w:sz w:val="24"/>
          <w:szCs w:val="24"/>
        </w:rPr>
        <w:t>的生产厂家众多，使用厂家也多，且随着我国“城市改造、城市建设、城市绿化，保护环境”、“一带一路”和“中国制造2025”战略的实施，随着工程建筑行业的科技进步和快速发展</w:t>
      </w:r>
      <w:r>
        <w:rPr>
          <w:rFonts w:hint="eastAsia" w:ascii="宋体" w:hAnsi="宋体" w:cs="宋体"/>
          <w:sz w:val="24"/>
          <w:szCs w:val="24"/>
        </w:rPr>
        <w:t>。</w:t>
      </w:r>
      <w:r>
        <w:rPr>
          <w:rFonts w:hint="eastAsia"/>
          <w:sz w:val="24"/>
          <w:szCs w:val="24"/>
        </w:rPr>
        <w:t>本规范的顺利制定将进一步推动产品的质量提升，</w:t>
      </w:r>
      <w:r>
        <w:rPr>
          <w:rFonts w:hint="eastAsia" w:ascii="宋体" w:hAnsi="宋体"/>
          <w:kern w:val="0"/>
          <w:sz w:val="24"/>
          <w:szCs w:val="24"/>
        </w:rPr>
        <w:t>市场潜力巨大，经济效益巨大。</w:t>
      </w:r>
    </w:p>
    <w:p>
      <w:pPr>
        <w:pStyle w:val="57"/>
        <w:spacing w:line="300" w:lineRule="auto"/>
        <w:ind w:left="0" w:leftChars="0" w:firstLine="0" w:firstLineChars="0"/>
        <w:contextualSpacing/>
        <w:rPr>
          <w:rFonts w:hint="eastAsia" w:eastAsia="宋体" w:cs="宋体"/>
          <w:kern w:val="2"/>
          <w:sz w:val="24"/>
          <w:szCs w:val="24"/>
          <w:lang w:eastAsia="zh-CN"/>
        </w:rPr>
      </w:pP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p>
    <w:pPr>
      <w:pStyle w:val="29"/>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284" w:firstLine="0"/>
      </w:pPr>
      <w:rPr>
        <w:rFonts w:hint="eastAsia" w:ascii="黑体" w:hAnsi="Times New Roman" w:eastAsia="黑体"/>
        <w:b w:val="0"/>
        <w:i w:val="0"/>
        <w:sz w:val="21"/>
      </w:rPr>
    </w:lvl>
    <w:lvl w:ilvl="3" w:tentative="0">
      <w:start w:val="1"/>
      <w:numFmt w:val="decimal"/>
      <w:pStyle w:val="58"/>
      <w:suff w:val="nothing"/>
      <w:lvlText w:val="%1%2.%3.%4　"/>
      <w:lvlJc w:val="left"/>
      <w:pPr>
        <w:ind w:left="282"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FF7A4C2"/>
    <w:multiLevelType w:val="singleLevel"/>
    <w:tmpl w:val="4FF7A4C2"/>
    <w:lvl w:ilvl="0" w:tentative="0">
      <w:start w:val="1"/>
      <w:numFmt w:val="decimal"/>
      <w:suff w:val="nothing"/>
      <w:lvlText w:val="%1）"/>
      <w:lvlJc w:val="left"/>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kM2VjZTFlZGVlYmM1YmQ3MWE0MDI1M2E0NGE0N2IifQ=="/>
  </w:docVars>
  <w:rsids>
    <w:rsidRoot w:val="00693668"/>
    <w:rsid w:val="000971D5"/>
    <w:rsid w:val="00122AD8"/>
    <w:rsid w:val="00122DCA"/>
    <w:rsid w:val="0019431C"/>
    <w:rsid w:val="002849BB"/>
    <w:rsid w:val="00291548"/>
    <w:rsid w:val="004A27E5"/>
    <w:rsid w:val="004F58ED"/>
    <w:rsid w:val="00536C60"/>
    <w:rsid w:val="00567271"/>
    <w:rsid w:val="0059121E"/>
    <w:rsid w:val="005F42DD"/>
    <w:rsid w:val="00601ADF"/>
    <w:rsid w:val="00623451"/>
    <w:rsid w:val="00625140"/>
    <w:rsid w:val="00644C6D"/>
    <w:rsid w:val="0069107A"/>
    <w:rsid w:val="00693668"/>
    <w:rsid w:val="006E11F0"/>
    <w:rsid w:val="00724E03"/>
    <w:rsid w:val="00764D0A"/>
    <w:rsid w:val="00765621"/>
    <w:rsid w:val="007902D1"/>
    <w:rsid w:val="0086056F"/>
    <w:rsid w:val="00876D87"/>
    <w:rsid w:val="008E415E"/>
    <w:rsid w:val="008F5DCA"/>
    <w:rsid w:val="009111C1"/>
    <w:rsid w:val="00946B7D"/>
    <w:rsid w:val="009A61F5"/>
    <w:rsid w:val="00A1497C"/>
    <w:rsid w:val="00A15577"/>
    <w:rsid w:val="00AC0924"/>
    <w:rsid w:val="00B706F7"/>
    <w:rsid w:val="00BC6B82"/>
    <w:rsid w:val="00C058B2"/>
    <w:rsid w:val="00C27739"/>
    <w:rsid w:val="00C7537E"/>
    <w:rsid w:val="00CD2D13"/>
    <w:rsid w:val="00CD7C00"/>
    <w:rsid w:val="00DB362A"/>
    <w:rsid w:val="00DB4F65"/>
    <w:rsid w:val="00E019C6"/>
    <w:rsid w:val="00E22714"/>
    <w:rsid w:val="00E82471"/>
    <w:rsid w:val="00E911BC"/>
    <w:rsid w:val="00F10C9E"/>
    <w:rsid w:val="00F3447A"/>
    <w:rsid w:val="00F507FB"/>
    <w:rsid w:val="00FE1932"/>
    <w:rsid w:val="00FE3C04"/>
    <w:rsid w:val="016A347B"/>
    <w:rsid w:val="0264546B"/>
    <w:rsid w:val="02F703B0"/>
    <w:rsid w:val="05C37B35"/>
    <w:rsid w:val="07DC0ED5"/>
    <w:rsid w:val="0904785D"/>
    <w:rsid w:val="09573966"/>
    <w:rsid w:val="099C21DC"/>
    <w:rsid w:val="0A781AE7"/>
    <w:rsid w:val="0C1748FC"/>
    <w:rsid w:val="0C8E5209"/>
    <w:rsid w:val="0CCA0314"/>
    <w:rsid w:val="14317D7D"/>
    <w:rsid w:val="14FE0CE9"/>
    <w:rsid w:val="15494EE3"/>
    <w:rsid w:val="157D64FB"/>
    <w:rsid w:val="158E7867"/>
    <w:rsid w:val="174C2AB4"/>
    <w:rsid w:val="1F5A1A25"/>
    <w:rsid w:val="1F714057"/>
    <w:rsid w:val="208E75B3"/>
    <w:rsid w:val="218A16C9"/>
    <w:rsid w:val="21BE3478"/>
    <w:rsid w:val="21D04080"/>
    <w:rsid w:val="22423DCF"/>
    <w:rsid w:val="23A74BBD"/>
    <w:rsid w:val="23D43A72"/>
    <w:rsid w:val="28902179"/>
    <w:rsid w:val="29846CB3"/>
    <w:rsid w:val="29E46257"/>
    <w:rsid w:val="2A4110A1"/>
    <w:rsid w:val="2AB85E2C"/>
    <w:rsid w:val="2C281A12"/>
    <w:rsid w:val="2CB24D78"/>
    <w:rsid w:val="2FBE527A"/>
    <w:rsid w:val="31B57A58"/>
    <w:rsid w:val="32A069D0"/>
    <w:rsid w:val="34745E77"/>
    <w:rsid w:val="36AE69D8"/>
    <w:rsid w:val="37DC5381"/>
    <w:rsid w:val="38B6063A"/>
    <w:rsid w:val="39E63C45"/>
    <w:rsid w:val="3A910669"/>
    <w:rsid w:val="3BA532D3"/>
    <w:rsid w:val="3BFA1058"/>
    <w:rsid w:val="3EBA5BC3"/>
    <w:rsid w:val="420E5348"/>
    <w:rsid w:val="44100726"/>
    <w:rsid w:val="456D3D97"/>
    <w:rsid w:val="458638E8"/>
    <w:rsid w:val="45E87405"/>
    <w:rsid w:val="46474D73"/>
    <w:rsid w:val="465F616C"/>
    <w:rsid w:val="48AE19A3"/>
    <w:rsid w:val="48BE5C4B"/>
    <w:rsid w:val="49214E6F"/>
    <w:rsid w:val="4989333F"/>
    <w:rsid w:val="4C0905B7"/>
    <w:rsid w:val="4E3430C7"/>
    <w:rsid w:val="51142E0B"/>
    <w:rsid w:val="52A97DDB"/>
    <w:rsid w:val="56154CA2"/>
    <w:rsid w:val="5A931503"/>
    <w:rsid w:val="5A971C98"/>
    <w:rsid w:val="5AFA5C95"/>
    <w:rsid w:val="5CDE078E"/>
    <w:rsid w:val="5DC655CC"/>
    <w:rsid w:val="5F776EED"/>
    <w:rsid w:val="605176D9"/>
    <w:rsid w:val="62950339"/>
    <w:rsid w:val="633C7C85"/>
    <w:rsid w:val="63F828E6"/>
    <w:rsid w:val="68E47C07"/>
    <w:rsid w:val="6AB57C02"/>
    <w:rsid w:val="6AD92B47"/>
    <w:rsid w:val="6B27051F"/>
    <w:rsid w:val="6B753BDA"/>
    <w:rsid w:val="6B770841"/>
    <w:rsid w:val="6DC12A1C"/>
    <w:rsid w:val="6E8A0C2B"/>
    <w:rsid w:val="6EF60757"/>
    <w:rsid w:val="6F9D433B"/>
    <w:rsid w:val="70DF25F4"/>
    <w:rsid w:val="70FA146A"/>
    <w:rsid w:val="710228B1"/>
    <w:rsid w:val="73A7009A"/>
    <w:rsid w:val="73B95B2E"/>
    <w:rsid w:val="74130018"/>
    <w:rsid w:val="7613428E"/>
    <w:rsid w:val="77457761"/>
    <w:rsid w:val="77CE2BEC"/>
    <w:rsid w:val="7892370F"/>
    <w:rsid w:val="78947487"/>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
    <w:next w:val="1"/>
    <w:link w:val="310"/>
    <w:qFormat/>
    <w:uiPriority w:val="39"/>
  </w:style>
  <w:style w:type="paragraph" w:styleId="13">
    <w:name w:val="Normal Indent"/>
    <w:basedOn w:val="1"/>
    <w:qFormat/>
    <w:uiPriority w:val="0"/>
    <w:pPr>
      <w:ind w:firstLine="420"/>
    </w:pPr>
    <w:rPr>
      <w:szCs w:val="20"/>
    </w:rPr>
  </w:style>
  <w:style w:type="paragraph" w:styleId="14">
    <w:name w:val="caption"/>
    <w:basedOn w:val="1"/>
    <w:next w:val="1"/>
    <w:qFormat/>
    <w:uiPriority w:val="0"/>
    <w:pPr>
      <w:spacing w:before="152" w:after="160"/>
    </w:pPr>
    <w:rPr>
      <w:rFonts w:ascii="Arial" w:hAnsi="Arial" w:eastAsia="黑体"/>
      <w:szCs w:val="20"/>
    </w:rPr>
  </w:style>
  <w:style w:type="paragraph" w:styleId="15">
    <w:name w:val="annotation text"/>
    <w:basedOn w:val="1"/>
    <w:link w:val="287"/>
    <w:qFormat/>
    <w:uiPriority w:val="0"/>
    <w:pPr>
      <w:jc w:val="left"/>
    </w:pPr>
  </w:style>
  <w:style w:type="paragraph" w:styleId="16">
    <w:name w:val="Body Text"/>
    <w:basedOn w:val="1"/>
    <w:link w:val="282"/>
    <w:qFormat/>
    <w:uiPriority w:val="0"/>
    <w:pPr>
      <w:spacing w:after="120"/>
    </w:pPr>
  </w:style>
  <w:style w:type="paragraph" w:styleId="17">
    <w:name w:val="Body Text Indent"/>
    <w:basedOn w:val="1"/>
    <w:link w:val="285"/>
    <w:qFormat/>
    <w:uiPriority w:val="0"/>
    <w:pPr>
      <w:spacing w:line="360" w:lineRule="exact"/>
      <w:ind w:left="420" w:firstLine="480"/>
    </w:pPr>
    <w:rPr>
      <w:sz w:val="24"/>
      <w:szCs w:val="20"/>
    </w:rPr>
  </w:style>
  <w:style w:type="paragraph" w:styleId="18">
    <w:name w:val="HTML Address"/>
    <w:basedOn w:val="1"/>
    <w:qFormat/>
    <w:uiPriority w:val="0"/>
    <w:rPr>
      <w:i/>
      <w:iCs/>
    </w:rPr>
  </w:style>
  <w:style w:type="paragraph" w:styleId="19">
    <w:name w:val="toc 5"/>
    <w:basedOn w:val="1"/>
    <w:next w:val="1"/>
    <w:qFormat/>
    <w:uiPriority w:val="39"/>
  </w:style>
  <w:style w:type="paragraph" w:styleId="20">
    <w:name w:val="toc 3"/>
    <w:basedOn w:val="21"/>
    <w:next w:val="1"/>
    <w:qFormat/>
    <w:uiPriority w:val="39"/>
  </w:style>
  <w:style w:type="paragraph" w:styleId="21">
    <w:name w:val="toc 2"/>
    <w:basedOn w:val="22"/>
    <w:next w:val="1"/>
    <w:qFormat/>
    <w:uiPriority w:val="39"/>
  </w:style>
  <w:style w:type="paragraph" w:styleId="22">
    <w:name w:val="toc 1"/>
    <w:next w:val="1"/>
    <w:qFormat/>
    <w:uiPriority w:val="39"/>
    <w:pPr>
      <w:jc w:val="both"/>
    </w:pPr>
    <w:rPr>
      <w:rFonts w:ascii="宋体" w:hAnsi="Times New Roman" w:eastAsia="宋体" w:cs="Times New Roman"/>
      <w:sz w:val="21"/>
      <w:lang w:val="en-US" w:eastAsia="zh-CN" w:bidi="ar-SA"/>
    </w:rPr>
  </w:style>
  <w:style w:type="paragraph" w:styleId="23">
    <w:name w:val="Plain Text"/>
    <w:basedOn w:val="1"/>
    <w:link w:val="279"/>
    <w:qFormat/>
    <w:uiPriority w:val="0"/>
    <w:rPr>
      <w:rFonts w:ascii="宋体" w:hAnsi="Courier New"/>
      <w:szCs w:val="21"/>
    </w:rPr>
  </w:style>
  <w:style w:type="paragraph" w:styleId="24">
    <w:name w:val="toc 8"/>
    <w:basedOn w:val="11"/>
    <w:next w:val="1"/>
    <w:qFormat/>
    <w:uiPriority w:val="39"/>
  </w:style>
  <w:style w:type="paragraph" w:styleId="25">
    <w:name w:val="Date"/>
    <w:basedOn w:val="1"/>
    <w:next w:val="1"/>
    <w:link w:val="291"/>
    <w:qFormat/>
    <w:uiPriority w:val="99"/>
    <w:pPr>
      <w:ind w:left="100" w:leftChars="2500"/>
    </w:pPr>
    <w:rPr>
      <w:sz w:val="24"/>
      <w:szCs w:val="20"/>
    </w:rPr>
  </w:style>
  <w:style w:type="paragraph" w:styleId="26">
    <w:name w:val="Body Text Indent 2"/>
    <w:basedOn w:val="1"/>
    <w:link w:val="290"/>
    <w:qFormat/>
    <w:uiPriority w:val="0"/>
    <w:pPr>
      <w:spacing w:after="120" w:line="480" w:lineRule="auto"/>
      <w:ind w:left="420" w:leftChars="200"/>
    </w:pPr>
  </w:style>
  <w:style w:type="paragraph" w:styleId="27">
    <w:name w:val="endnote text"/>
    <w:basedOn w:val="1"/>
    <w:qFormat/>
    <w:uiPriority w:val="0"/>
    <w:pPr>
      <w:snapToGrid w:val="0"/>
    </w:pPr>
  </w:style>
  <w:style w:type="paragraph" w:styleId="28">
    <w:name w:val="Balloon Text"/>
    <w:basedOn w:val="1"/>
    <w:link w:val="281"/>
    <w:qFormat/>
    <w:uiPriority w:val="99"/>
    <w:rPr>
      <w:sz w:val="18"/>
      <w:szCs w:val="18"/>
    </w:rPr>
  </w:style>
  <w:style w:type="paragraph" w:styleId="29">
    <w:name w:val="footer"/>
    <w:basedOn w:val="1"/>
    <w:link w:val="284"/>
    <w:qFormat/>
    <w:uiPriority w:val="99"/>
    <w:pPr>
      <w:tabs>
        <w:tab w:val="center" w:pos="4153"/>
        <w:tab w:val="right" w:pos="8306"/>
      </w:tabs>
      <w:snapToGrid w:val="0"/>
      <w:ind w:right="210" w:rightChars="100"/>
      <w:jc w:val="right"/>
    </w:pPr>
    <w:rPr>
      <w:sz w:val="18"/>
      <w:szCs w:val="18"/>
    </w:rPr>
  </w:style>
  <w:style w:type="paragraph" w:styleId="30">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31">
    <w:name w:val="toc 4"/>
    <w:basedOn w:val="20"/>
    <w:next w:val="1"/>
    <w:qFormat/>
    <w:uiPriority w:val="39"/>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4"/>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qFormat/>
    <w:uiPriority w:val="0"/>
    <w:pPr>
      <w:spacing w:before="240" w:after="60"/>
      <w:jc w:val="center"/>
      <w:outlineLvl w:val="0"/>
    </w:pPr>
    <w:rPr>
      <w:rFonts w:ascii="Arial" w:hAnsi="Arial" w:cs="Arial"/>
      <w:b/>
      <w:bCs/>
      <w:sz w:val="32"/>
      <w:szCs w:val="32"/>
    </w:rPr>
  </w:style>
  <w:style w:type="paragraph" w:styleId="38">
    <w:name w:val="annotation subject"/>
    <w:basedOn w:val="15"/>
    <w:next w:val="15"/>
    <w:link w:val="288"/>
    <w:qFormat/>
    <w:uiPriority w:val="0"/>
    <w:rPr>
      <w:b/>
      <w:bCs/>
    </w:rPr>
  </w:style>
  <w:style w:type="paragraph" w:styleId="39">
    <w:name w:val="Body Text First Indent"/>
    <w:basedOn w:val="16"/>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ind w:left="0"/>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outlineLvl w:val="2"/>
    </w:pPr>
    <w:rPr>
      <w:color w:val="FF0000"/>
      <w:spacing w:val="-4"/>
      <w:szCs w:val="24"/>
    </w:rPr>
  </w:style>
  <w:style w:type="paragraph" w:customStyle="1" w:styleId="60">
    <w:name w:val="章标题"/>
    <w:next w:val="57"/>
    <w:link w:val="27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link w:val="303"/>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0"/>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eastAsia="黑体"/>
      <w:color w:val="FF0000"/>
      <w:spacing w:val="-4"/>
      <w:sz w:val="21"/>
      <w:szCs w:val="24"/>
    </w:rPr>
  </w:style>
  <w:style w:type="character" w:customStyle="1" w:styleId="279">
    <w:name w:val="纯文本 字符"/>
    <w:link w:val="23"/>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8"/>
    <w:qFormat/>
    <w:uiPriority w:val="99"/>
    <w:rPr>
      <w:kern w:val="2"/>
      <w:sz w:val="18"/>
      <w:szCs w:val="18"/>
    </w:rPr>
  </w:style>
  <w:style w:type="character" w:customStyle="1" w:styleId="282">
    <w:name w:val="正文文本 字符"/>
    <w:link w:val="16"/>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29"/>
    <w:qFormat/>
    <w:uiPriority w:val="99"/>
    <w:rPr>
      <w:kern w:val="2"/>
      <w:sz w:val="18"/>
      <w:szCs w:val="18"/>
    </w:rPr>
  </w:style>
  <w:style w:type="character" w:customStyle="1" w:styleId="285">
    <w:name w:val="正文文本缩进 字符"/>
    <w:link w:val="17"/>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15"/>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30"/>
    <w:qFormat/>
    <w:uiPriority w:val="99"/>
    <w:rPr>
      <w:kern w:val="2"/>
      <w:sz w:val="18"/>
      <w:szCs w:val="18"/>
    </w:rPr>
  </w:style>
  <w:style w:type="character" w:customStyle="1" w:styleId="290">
    <w:name w:val="正文文本缩进 2 字符"/>
    <w:link w:val="26"/>
    <w:qFormat/>
    <w:uiPriority w:val="0"/>
    <w:rPr>
      <w:kern w:val="2"/>
      <w:sz w:val="21"/>
      <w:szCs w:val="24"/>
    </w:rPr>
  </w:style>
  <w:style w:type="character" w:customStyle="1" w:styleId="291">
    <w:name w:val="日期 字符"/>
    <w:link w:val="25"/>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 w:type="paragraph" w:customStyle="1" w:styleId="302">
    <w:name w:val="Other|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character" w:customStyle="1" w:styleId="303">
    <w:name w:val="标准书眉一 Char"/>
    <w:link w:val="111"/>
    <w:qFormat/>
    <w:uiPriority w:val="0"/>
    <w:rPr>
      <w:rFonts w:ascii="Times New Roman" w:hAnsi="Times New Roman" w:eastAsia="宋体" w:cs="Times New Roman"/>
      <w:lang w:val="en-US" w:eastAsia="zh-CN" w:bidi="ar-SA"/>
    </w:rPr>
  </w:style>
  <w:style w:type="character" w:customStyle="1" w:styleId="304">
    <w:name w:val="bds_more"/>
    <w:basedOn w:val="42"/>
    <w:qFormat/>
    <w:uiPriority w:val="0"/>
    <w:rPr>
      <w:rFonts w:hint="eastAsia" w:ascii="宋体" w:hAnsi="宋体" w:eastAsia="宋体" w:cs="宋体"/>
    </w:rPr>
  </w:style>
  <w:style w:type="character" w:customStyle="1" w:styleId="305">
    <w:name w:val="bds_more1"/>
    <w:basedOn w:val="42"/>
    <w:qFormat/>
    <w:uiPriority w:val="0"/>
  </w:style>
  <w:style w:type="character" w:customStyle="1" w:styleId="306">
    <w:name w:val="bds_more2"/>
    <w:basedOn w:val="42"/>
    <w:qFormat/>
    <w:uiPriority w:val="0"/>
  </w:style>
  <w:style w:type="character" w:customStyle="1" w:styleId="307">
    <w:name w:val="bds_nopic"/>
    <w:basedOn w:val="42"/>
    <w:qFormat/>
    <w:uiPriority w:val="0"/>
  </w:style>
  <w:style w:type="character" w:customStyle="1" w:styleId="308">
    <w:name w:val="bds_nopic1"/>
    <w:basedOn w:val="42"/>
    <w:qFormat/>
    <w:uiPriority w:val="0"/>
  </w:style>
  <w:style w:type="character" w:customStyle="1" w:styleId="309">
    <w:name w:val="bds_nopic2"/>
    <w:basedOn w:val="42"/>
    <w:qFormat/>
    <w:uiPriority w:val="0"/>
  </w:style>
  <w:style w:type="character" w:customStyle="1" w:styleId="310">
    <w:name w:val="TOC 6 字符"/>
    <w:link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7.wmf"/><Relationship Id="rId22" Type="http://schemas.openxmlformats.org/officeDocument/2006/relationships/image" Target="media/image6.wmf"/><Relationship Id="rId21" Type="http://schemas.openxmlformats.org/officeDocument/2006/relationships/oleObject" Target="embeddings/oleObject6.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C06E0-E10B-46FD-AB59-2F17ED22A987}">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9</Pages>
  <Words>5820</Words>
  <Characters>6147</Characters>
  <Lines>32</Lines>
  <Paragraphs>9</Paragraphs>
  <TotalTime>1</TotalTime>
  <ScaleCrop>false</ScaleCrop>
  <LinksUpToDate>false</LinksUpToDate>
  <CharactersWithSpaces>6217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2019-11-11T12:12:00Z</dcterms:created>
  <dc:creator>标准李瑞山9585</dc:creator>
  <cp:lastModifiedBy>夏雯</cp:lastModifiedBy>
  <cp:lastPrinted>2024-03-01T08:00:00Z</cp:lastPrinted>
  <dcterms:modified xsi:type="dcterms:W3CDTF">2024-04-17T10:40:13Z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B26B21019E3948DDB043D98DA24F02D7</vt:lpwstr>
  </property>
</Properties>
</file>