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156" w:afterLines="50"/>
        <w:ind w:left="5250" w:leftChars="2500" w:right="1039" w:rightChars="495"/>
        <w:outlineLvl w:val="9"/>
        <w:rPr>
          <w:rFonts w:eastAsia="方正小标宋简体" w:cs="方正小标宋简体"/>
          <w:bCs/>
          <w:kern w:val="0"/>
          <w:sz w:val="24"/>
        </w:rPr>
      </w:pPr>
      <w:bookmarkStart w:id="0" w:name="SectionMark0"/>
      <w:r>
        <w:rPr>
          <w:sz w:val="24"/>
        </w:rPr>
        <w:drawing>
          <wp:inline distT="0" distB="0" distL="0" distR="0">
            <wp:extent cx="1863090" cy="836930"/>
            <wp:effectExtent l="0" t="0" r="3810" b="1270"/>
            <wp:docPr id="1" name="图片 1" descr="7ae779013415e90a1541f6088b01d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e779013415e90a1541f6088b01d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19" t="9979" r="10962" b="63341"/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2" w:beforeLines="100"/>
        <w:jc w:val="center"/>
        <w:outlineLvl w:val="9"/>
        <w:rPr>
          <w:rFonts w:eastAsia="方正小标宋简体" w:cs="方正小标宋简体"/>
          <w:bCs/>
          <w:kern w:val="0"/>
          <w:sz w:val="24"/>
        </w:rPr>
      </w:pPr>
      <w:r>
        <w:rPr>
          <w:rFonts w:eastAsia="方正小标宋简体" w:cs="方正小标宋简体"/>
          <w:bCs/>
          <w:kern w:val="0"/>
          <w:sz w:val="24"/>
        </w:rPr>
        <w:pict>
          <v:shape id="_x0000_i1025" o:spt="136" type="#_x0000_t136" style="height:25.5pt;width:439.5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中华人民共和国工业和信息化部" style="font-family:方正小标宋_GBK;font-size:36pt;v-text-align:center;"/>
            <w10:wrap type="none"/>
            <w10:anchorlock/>
          </v:shape>
        </w:pi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6" w:afterLines="50"/>
        <w:jc w:val="center"/>
        <w:outlineLvl w:val="9"/>
        <w:rPr>
          <w:rFonts w:eastAsia="方正小标宋简体" w:cs="方正小标宋简体"/>
          <w:bCs/>
          <w:kern w:val="0"/>
          <w:sz w:val="24"/>
        </w:rPr>
      </w:pPr>
      <w:r>
        <w:rPr>
          <w:rFonts w:eastAsia="方正小标宋简体" w:cs="方正小标宋简体"/>
          <w:bCs/>
          <w:kern w:val="0"/>
          <w:sz w:val="24"/>
        </w:rPr>
        <w:pict>
          <v:shape id="_x0000_i1026" o:spt="136" type="#_x0000_t136" style="height:25.5pt;width:284.25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有色金属计量技术规范" style="font-family:方正小标宋_GBK;font-size:32pt;v-text-align:center;"/>
            <w10:wrap type="none"/>
            <w10:anchorlock/>
          </v:shape>
        </w:pi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="468" w:beforeLines="150" w:after="468" w:afterLines="150"/>
        <w:ind w:right="1417"/>
        <w:jc w:val="right"/>
        <w:outlineLvl w:val="9"/>
        <w:rPr>
          <w:rFonts w:eastAsia="黑体" w:cs="黑体"/>
          <w:kern w:val="0"/>
          <w:sz w:val="24"/>
        </w:rPr>
      </w:pPr>
      <w:r>
        <w:rPr>
          <w:rFonts w:hint="eastAsia" w:eastAsia="黑体" w:cs="BatangChe"/>
          <w:b/>
          <w:bCs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770890</wp:posOffset>
                </wp:positionV>
                <wp:extent cx="5840095" cy="635"/>
                <wp:effectExtent l="10795" t="7620" r="6985" b="1079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00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8pt;margin-top:60.7pt;height:0.05pt;width:459.85pt;z-index:251672576;mso-width-relative:page;mso-height-relative:page;" filled="f" stroked="t" coordsize="21600,21600" o:gfxdata="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/Ml&#10;YNkAAAAKAQAADwAAAAAAAAABACAAAAAiAAAAZHJzL2Rvd25yZXYueG1sUEsBAhQAFAAAAAgAh07i&#10;QBlOj8zoAQAArwMAAA4AAAAAAAAAAQAgAAAAKAEAAGRycy9lMm9Eb2MueG1sUEsFBgAAAAAGAAYA&#10;WQEAAII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黑体" w:cs="BatangChe"/>
          <w:b/>
          <w:bCs/>
          <w:kern w:val="0"/>
          <w:sz w:val="24"/>
        </w:rPr>
        <w:t xml:space="preserve"> JJF</w:t>
      </w:r>
      <w:r>
        <w:rPr>
          <w:rFonts w:eastAsia="黑体" w:cs="黑体"/>
          <w:kern w:val="0"/>
          <w:sz w:val="24"/>
        </w:rPr>
        <w:t>(</w:t>
      </w:r>
      <w:r>
        <w:rPr>
          <w:rFonts w:hint="eastAsia" w:eastAsia="黑体" w:cs="黑体"/>
          <w:kern w:val="0"/>
          <w:sz w:val="24"/>
        </w:rPr>
        <w:t>有色金属</w:t>
      </w:r>
      <w:r>
        <w:rPr>
          <w:rFonts w:eastAsia="黑体" w:cs="黑体"/>
          <w:kern w:val="0"/>
          <w:sz w:val="24"/>
        </w:rPr>
        <w:t>)</w:t>
      </w:r>
      <w:r>
        <w:rPr>
          <w:rFonts w:hint="eastAsia" w:eastAsia="黑体" w:cs="黑体"/>
          <w:kern w:val="0"/>
          <w:sz w:val="24"/>
        </w:rPr>
        <w:t xml:space="preserve"> XXXX</w:t>
      </w:r>
      <w:r>
        <w:rPr>
          <w:rFonts w:eastAsia="黑体" w:cs="黑体"/>
          <w:kern w:val="0"/>
          <w:sz w:val="24"/>
        </w:rPr>
        <w:t>─</w:t>
      </w:r>
      <w:r>
        <w:rPr>
          <w:rFonts w:hint="eastAsia" w:eastAsia="黑体" w:cs="黑体"/>
          <w:kern w:val="0"/>
          <w:sz w:val="24"/>
        </w:rPr>
        <w:t>XXXX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jc w:val="left"/>
        <w:outlineLvl w:val="9"/>
        <w:rPr>
          <w:rFonts w:eastAsia="黑体" w:cs="黑体"/>
          <w:kern w:val="0"/>
          <w:sz w:val="24"/>
        </w:rPr>
      </w:pPr>
      <w:r>
        <w:rPr>
          <w:sz w:val="24"/>
        </w:rPr>
        <mc:AlternateContent>
          <mc:Choice Requires="wpc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6350</wp:posOffset>
                </wp:positionV>
                <wp:extent cx="6083935" cy="108585"/>
                <wp:effectExtent l="0" t="1270" r="0" b="4445"/>
                <wp:wrapNone/>
                <wp:docPr id="12" name="画布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5pt;margin-top:0.5pt;height:8.55pt;width:479.05pt;z-index:251671552;mso-width-relative:page;mso-height-relative:page;" coordsize="6083935,108585" editas="canvas" o:gfxdata="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">
                <o:lock v:ext="edit" aspectratio="f"/>
                <v:shape id="_x0000_s1026" o:spid="_x0000_s1026" style="position:absolute;left:0;top:0;height:108585;width:6083935;" filled="f" stroked="f" coordsize="21600,21600" o:gfxdata="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">
                  <v:fill on="f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jc w:val="left"/>
        <w:outlineLvl w:val="9"/>
        <w:rPr>
          <w:rFonts w:eastAsia="黑体" w:cs="黑体"/>
          <w:kern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jc w:val="left"/>
        <w:outlineLvl w:val="9"/>
        <w:rPr>
          <w:rFonts w:eastAsia="黑体" w:cs="黑体"/>
          <w:kern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jc w:val="left"/>
        <w:outlineLvl w:val="9"/>
        <w:rPr>
          <w:rFonts w:eastAsia="黑体" w:cs="黑体"/>
          <w:kern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jc w:val="left"/>
        <w:outlineLvl w:val="9"/>
        <w:rPr>
          <w:rFonts w:eastAsia="黑体" w:cs="黑体"/>
          <w:kern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jc w:val="left"/>
        <w:outlineLvl w:val="9"/>
        <w:rPr>
          <w:rFonts w:eastAsia="黑体" w:cs="黑体"/>
          <w:kern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jc w:val="left"/>
        <w:outlineLvl w:val="9"/>
        <w:rPr>
          <w:rFonts w:eastAsia="黑体" w:cs="黑体"/>
          <w:kern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jc w:val="left"/>
        <w:outlineLvl w:val="9"/>
        <w:rPr>
          <w:rFonts w:eastAsia="黑体" w:cs="黑体"/>
          <w:kern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jc w:val="left"/>
        <w:outlineLvl w:val="9"/>
        <w:rPr>
          <w:rFonts w:eastAsia="黑体" w:cs="黑体"/>
          <w:kern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jc w:val="left"/>
        <w:outlineLvl w:val="9"/>
        <w:rPr>
          <w:rFonts w:eastAsia="黑体" w:cs="黑体"/>
          <w:kern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jc w:val="left"/>
        <w:outlineLvl w:val="9"/>
        <w:rPr>
          <w:rFonts w:eastAsia="黑体" w:cs="黑体"/>
          <w:kern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jc w:val="left"/>
        <w:outlineLvl w:val="9"/>
        <w:rPr>
          <w:rFonts w:eastAsia="黑体" w:cs="黑体"/>
          <w:kern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jc w:val="left"/>
        <w:outlineLvl w:val="9"/>
        <w:rPr>
          <w:rFonts w:eastAsia="黑体" w:cs="黑体"/>
          <w:kern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jc w:val="left"/>
        <w:outlineLvl w:val="9"/>
        <w:rPr>
          <w:rFonts w:eastAsia="黑体" w:cs="黑体"/>
          <w:kern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jc w:val="left"/>
        <w:outlineLvl w:val="9"/>
        <w:rPr>
          <w:rFonts w:eastAsia="黑体" w:cs="黑体"/>
          <w:kern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jc w:val="left"/>
        <w:outlineLvl w:val="9"/>
        <w:rPr>
          <w:rFonts w:eastAsia="黑体" w:cs="黑体"/>
          <w:kern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jc w:val="left"/>
        <w:outlineLvl w:val="9"/>
        <w:rPr>
          <w:rFonts w:eastAsia="黑体" w:cs="黑体"/>
          <w:kern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jc w:val="left"/>
        <w:outlineLvl w:val="9"/>
        <w:rPr>
          <w:rFonts w:eastAsia="黑体" w:cs="黑体"/>
          <w:kern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jc w:val="left"/>
        <w:outlineLvl w:val="9"/>
        <w:rPr>
          <w:rFonts w:eastAsia="黑体" w:cs="黑体"/>
          <w:kern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jc w:val="left"/>
        <w:outlineLvl w:val="9"/>
        <w:rPr>
          <w:rFonts w:eastAsia="黑体" w:cs="黑体"/>
          <w:kern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jc w:val="left"/>
        <w:outlineLvl w:val="9"/>
        <w:rPr>
          <w:rFonts w:eastAsia="黑体" w:cs="黑体"/>
          <w:kern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jc w:val="left"/>
        <w:outlineLvl w:val="9"/>
        <w:rPr>
          <w:rFonts w:eastAsia="黑体" w:cs="黑体"/>
          <w:kern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156" w:afterLines="50"/>
        <w:jc w:val="center"/>
        <w:outlineLvl w:val="9"/>
        <w:rPr>
          <w:rFonts w:eastAsia="黑体" w:cs="黑体"/>
          <w:kern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jc w:val="left"/>
        <w:outlineLvl w:val="9"/>
        <w:rPr>
          <w:rFonts w:eastAsia="黑体" w:cs="黑体"/>
          <w:kern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jc w:val="left"/>
        <w:outlineLvl w:val="9"/>
        <w:rPr>
          <w:rFonts w:eastAsia="黑体" w:cs="黑体"/>
          <w:kern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jc w:val="left"/>
        <w:outlineLvl w:val="9"/>
        <w:rPr>
          <w:rFonts w:eastAsia="黑体" w:cs="黑体"/>
          <w:kern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jc w:val="left"/>
        <w:outlineLvl w:val="9"/>
        <w:rPr>
          <w:rFonts w:eastAsia="黑体" w:cs="黑体"/>
          <w:kern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ind w:firstLine="480" w:firstLineChars="200"/>
        <w:jc w:val="left"/>
        <w:outlineLvl w:val="9"/>
        <w:rPr>
          <w:rFonts w:eastAsia="黑体" w:cs="黑体"/>
          <w:kern w:val="0"/>
          <w:sz w:val="24"/>
        </w:rPr>
      </w:pPr>
      <w:r>
        <w:rPr>
          <w:rFonts w:hint="eastAsia" w:eastAsia="黑体" w:cs="黑体"/>
          <w:kern w:val="0"/>
          <w:sz w:val="24"/>
        </w:rPr>
        <w:t>××××-××-××发布                         ××××-××-××实施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outlineLvl w:val="9"/>
        <w:rPr>
          <w:sz w:val="24"/>
        </w:rPr>
      </w:pPr>
      <w:r>
        <w:rPr>
          <w:rFonts w:eastAsia="方正小标宋_GBK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111760</wp:posOffset>
                </wp:positionV>
                <wp:extent cx="631190" cy="321945"/>
                <wp:effectExtent l="0" t="0" r="0" b="7620"/>
                <wp:wrapNone/>
                <wp:docPr id="21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发 布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53" o:spid="_x0000_s1026" o:spt="202" type="#_x0000_t202" style="position:absolute;left:0pt;margin-left:372.3pt;margin-top:8.8pt;height:25.35pt;width:49.7pt;z-index:251673600;mso-width-relative:page;mso-height-relative:margin;mso-height-percent:200;" fillcolor="#FFFFFF" filled="t" stroked="f" coordsize="21600,21600" o:gfxdata="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I5mlHXAAAACQEAAA8AAAAAAAAAAQAgAAAAIgAAAGRy&#10;cy9kb3ducmV2LnhtbFBLAQIUABQAAAAIAIdO4kCBROsHzQEAAJIDAAAOAAAAAAAAAAEAIAAAACYB&#10;AABkcnMvZTJvRG9jLnhtbFBLBQYAAAAABgAGAFkBAABlBQAAAAA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发 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6350</wp:posOffset>
                </wp:positionV>
                <wp:extent cx="4116070" cy="524510"/>
                <wp:effectExtent l="0" t="0" r="0" b="0"/>
                <wp:wrapNone/>
                <wp:docPr id="20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607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_GBK" w:eastAsia="方正小标宋_GB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sz w:val="44"/>
                                <w:szCs w:val="44"/>
                              </w:rPr>
                              <w:t>中华人民共和国工业和信息化部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55" o:spid="_x0000_s1026" o:spt="202" type="#_x0000_t202" style="position:absolute;left:0pt;margin-left:50.8pt;margin-top:0.5pt;height:41.3pt;width:324.1pt;z-index:251674624;mso-width-relative:page;mso-height-relative:margin;mso-height-percent:200;" fillcolor="#FFFFFF" filled="t" stroked="f" coordsize="21600,21600" o:gfxdata="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yBXHb1gAAAAgBAAAPAAAAAAAAAAEAIAAAACIAAABk&#10;cnMvZG93bnJldi54bWxQSwECFAAUAAAACACHTuJAxXZSS88BAACTAwAADgAAAAAAAAABACAAAAAl&#10;AQAAZHJzL2Uyb0RvYy54bWxQSwUGAAAAAAYABgBZAQAAZgUA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方正小标宋_GBK" w:eastAsia="方正小标宋_GBK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方正小标宋_GBK" w:eastAsia="方正小标宋_GBK"/>
                          <w:sz w:val="44"/>
                          <w:szCs w:val="44"/>
                        </w:rPr>
                        <w:t>中华人民共和国工业和信息化部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 w:cs="黑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7620</wp:posOffset>
                </wp:positionV>
                <wp:extent cx="5840095" cy="635"/>
                <wp:effectExtent l="0" t="0" r="0" b="0"/>
                <wp:wrapNone/>
                <wp:docPr id="19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009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2.5pt;margin-top:0.6pt;height:0.05pt;width:459.85pt;z-index:251675648;mso-width-relative:page;mso-height-relative:page;" filled="f" stroked="t" coordsize="21600,21600" o:gfxdata="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wqHOdYAAAAGAQAA&#10;DwAAAAAAAAABACAAAAAiAAAAZHJzL2Rvd25yZXYueG1sUEsBAhQAFAAAAAgAh07iQMdwBmfiAQAA&#10;1AMAAA4AAAAAAAAAAQAgAAAAJQEAAGRycy9lMm9Eb2MueG1sUEsFBgAAAAAGAAYAWQEAAHkFAAAA&#10;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66"/>
        <w:keepNext w:val="0"/>
        <w:keepLines w:val="0"/>
        <w:pageBreakBefore w:val="0"/>
        <w:kinsoku/>
        <w:wordWrap/>
        <w:overflowPunct/>
        <w:topLinePunct w:val="0"/>
        <w:bidi w:val="0"/>
        <w:outlineLvl w:val="9"/>
        <w:rPr>
          <w:rFonts w:ascii="Times New Roman" w:hAnsi="Times New Roman"/>
          <w:color w:val="000000"/>
          <w:sz w:val="24"/>
          <w:szCs w:val="2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567" w:right="851" w:bottom="1361" w:left="1418" w:header="624" w:footer="0" w:gutter="0"/>
          <w:pgNumType w:start="1"/>
          <w:cols w:space="720" w:num="1"/>
          <w:titlePg/>
          <w:docGrid w:type="lines" w:linePitch="312" w:charSpace="0"/>
        </w:sectPr>
      </w:pPr>
      <w:r>
        <w:rPr>
          <w:rFonts w:ascii="Times New Roman" w:hAnsi="Times New Roman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8824595</wp:posOffset>
                </wp:positionV>
                <wp:extent cx="6121400" cy="0"/>
                <wp:effectExtent l="8255" t="10795" r="13970" b="825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5pt;margin-top:694.85pt;height:0pt;width:482pt;z-index:251666432;mso-width-relative:page;mso-height-relative:page;" filled="f" stroked="t" coordsize="21600,21600" o:gfxdata="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jnZ8HYAAAADAEA&#10;AA8AAAAAAAAAAQAgAAAAIgAAAGRycy9kb3ducmV2LnhtbFBLAQIUABQAAAAIAIdO4kBRBa8h4QEA&#10;AKsDAAAOAAAAAAAAAAEAIAAAACcBAABkcnMvZTJvRG9jLnhtbFBLBQYAAAAABgAGAFkBAAB6BQAA&#10;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3887470</wp:posOffset>
                </wp:positionV>
                <wp:extent cx="5969000" cy="333375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rPr>
                                <w:rFonts w:hAnsi="黑体" w:cs="黑体"/>
                                <w:szCs w:val="52"/>
                              </w:rPr>
                            </w:pPr>
                            <w:r>
                              <w:rPr>
                                <w:rFonts w:hint="eastAsia" w:hAnsi="黑体" w:cs="黑体"/>
                                <w:szCs w:val="52"/>
                              </w:rPr>
                              <w:t>直流电弧-原子</w:t>
                            </w:r>
                            <w:r>
                              <w:rPr>
                                <w:rFonts w:hAnsi="黑体" w:cs="黑体"/>
                                <w:szCs w:val="52"/>
                              </w:rPr>
                              <w:t>发射光谱仪</w:t>
                            </w:r>
                            <w:r>
                              <w:rPr>
                                <w:rFonts w:hint="eastAsia" w:hAnsi="黑体" w:cs="黑体"/>
                                <w:szCs w:val="52"/>
                              </w:rPr>
                              <w:t>校准规范</w:t>
                            </w:r>
                          </w:p>
                          <w:p>
                            <w:pPr>
                              <w:pStyle w:val="75"/>
                              <w:spacing w:before="156" w:beforeLines="50" w:line="360" w:lineRule="auto"/>
                              <w:jc w:val="center"/>
                              <w:rPr>
                                <w:rFonts w:ascii="Times New Roman" w:hAnsi="Times New Roman" w:eastAsia="黑体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黑体"/>
                                <w:szCs w:val="28"/>
                              </w:rPr>
                              <w:t xml:space="preserve">Calibration Specification </w:t>
                            </w:r>
                            <w:r>
                              <w:rPr>
                                <w:rFonts w:hint="eastAsia" w:ascii="Times New Roman" w:hAnsi="Times New Roman" w:eastAsia="黑体"/>
                                <w:szCs w:val="28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 w:eastAsia="黑体"/>
                                <w:szCs w:val="28"/>
                              </w:rPr>
                              <w:t xml:space="preserve"> Direct Current Arc Atomic Emission Spectrometry</w:t>
                            </w:r>
                          </w:p>
                          <w:p>
                            <w:pPr>
                              <w:pStyle w:val="62"/>
                              <w:spacing w:line="220" w:lineRule="exact"/>
                              <w:rPr>
                                <w:rFonts w:ascii="黑体" w:eastAsia="黑体"/>
                                <w:sz w:val="30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0"/>
                              </w:rPr>
                              <w:t>（讨论稿）</w:t>
                            </w:r>
                          </w:p>
                          <w:p>
                            <w:pPr>
                              <w:pStyle w:val="62"/>
                              <w:spacing w:line="220" w:lineRule="exact"/>
                              <w:rPr>
                                <w:rFonts w:eastAsia="黑体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306.1pt;height:262.5pt;width:470pt;mso-position-horizontal-relative:margin;mso-position-vertical-relative:margin;z-index:251665408;mso-width-relative:page;mso-height-relative:page;" fillcolor="#FFFFFF" filled="t" stroked="f" coordsize="21600,21600" o:gfxdata="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Txy6PX&#10;AAAACQEAAA8AAAAAAAAAAQAgAAAAIgAAAGRycy9kb3ducmV2LnhtbFBLAQIUABQAAAAIAIdO4kCH&#10;WVv0IQIAAC8EAAAOAAAAAAAAAAEAIAAAACYBAABkcnMvZTJvRG9jLnhtbFBLBQYAAAAABgAGAFkB&#10;AAC5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rPr>
                          <w:rFonts w:hAnsi="黑体" w:cs="黑体"/>
                          <w:szCs w:val="52"/>
                        </w:rPr>
                      </w:pPr>
                      <w:r>
                        <w:rPr>
                          <w:rFonts w:hint="eastAsia" w:hAnsi="黑体" w:cs="黑体"/>
                          <w:szCs w:val="52"/>
                        </w:rPr>
                        <w:t>直流电弧-原子</w:t>
                      </w:r>
                      <w:r>
                        <w:rPr>
                          <w:rFonts w:hAnsi="黑体" w:cs="黑体"/>
                          <w:szCs w:val="52"/>
                        </w:rPr>
                        <w:t>发射光谱仪</w:t>
                      </w:r>
                      <w:r>
                        <w:rPr>
                          <w:rFonts w:hint="eastAsia" w:hAnsi="黑体" w:cs="黑体"/>
                          <w:szCs w:val="52"/>
                        </w:rPr>
                        <w:t>校准规范</w:t>
                      </w:r>
                    </w:p>
                    <w:p>
                      <w:pPr>
                        <w:pStyle w:val="75"/>
                        <w:spacing w:before="156" w:beforeLines="50" w:line="360" w:lineRule="auto"/>
                        <w:jc w:val="center"/>
                        <w:rPr>
                          <w:rFonts w:ascii="Times New Roman" w:hAnsi="Times New Roman" w:eastAsia="黑体"/>
                          <w:szCs w:val="28"/>
                        </w:rPr>
                      </w:pPr>
                      <w:r>
                        <w:rPr>
                          <w:rFonts w:ascii="Times New Roman" w:hAnsi="Times New Roman" w:eastAsia="黑体"/>
                          <w:szCs w:val="28"/>
                        </w:rPr>
                        <w:t xml:space="preserve">Calibration Specification </w:t>
                      </w:r>
                      <w:r>
                        <w:rPr>
                          <w:rFonts w:hint="eastAsia" w:ascii="Times New Roman" w:hAnsi="Times New Roman" w:eastAsia="黑体"/>
                          <w:szCs w:val="28"/>
                        </w:rPr>
                        <w:t>of</w:t>
                      </w:r>
                      <w:r>
                        <w:rPr>
                          <w:rFonts w:ascii="Times New Roman" w:hAnsi="Times New Roman" w:eastAsia="黑体"/>
                          <w:szCs w:val="28"/>
                        </w:rPr>
                        <w:t xml:space="preserve"> Direct Current Arc Atomic Emission Spectrometry</w:t>
                      </w:r>
                    </w:p>
                    <w:p>
                      <w:pPr>
                        <w:pStyle w:val="62"/>
                        <w:spacing w:line="220" w:lineRule="exact"/>
                        <w:rPr>
                          <w:rFonts w:ascii="黑体" w:eastAsia="黑体"/>
                          <w:sz w:val="30"/>
                        </w:rPr>
                      </w:pPr>
                      <w:r>
                        <w:rPr>
                          <w:rFonts w:hint="eastAsia" w:ascii="黑体" w:eastAsia="黑体"/>
                          <w:sz w:val="30"/>
                        </w:rPr>
                        <w:t>（讨论稿）</w:t>
                      </w:r>
                    </w:p>
                    <w:p>
                      <w:pPr>
                        <w:pStyle w:val="62"/>
                        <w:spacing w:line="220" w:lineRule="exact"/>
                        <w:rPr>
                          <w:rFonts w:eastAsia="黑体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outlineLvl w:val="9"/>
        <w:rPr>
          <w:color w:val="000000"/>
          <w:sz w:val="24"/>
        </w:rPr>
      </w:pPr>
      <w:bookmarkStart w:id="1" w:name="_Toc193555883"/>
      <w:bookmarkStart w:id="2" w:name="_Toc193860026"/>
      <w:bookmarkStart w:id="3" w:name="_Toc193860207"/>
      <w:bookmarkStart w:id="4" w:name="_Toc193601894"/>
      <w:bookmarkStart w:id="5" w:name="_Toc193619049"/>
      <w:bookmarkStart w:id="6" w:name="_Toc193601673"/>
      <w:bookmarkStart w:id="7" w:name="_Toc193619091"/>
      <w:bookmarkStart w:id="8" w:name="_Toc193861442"/>
      <w:bookmarkStart w:id="9" w:name="_Toc193603073"/>
      <w:bookmarkStart w:id="10" w:name="_Toc193860176"/>
      <w:bookmarkStart w:id="11" w:name="_Toc193618946"/>
      <w:bookmarkStart w:id="12" w:name="_Toc193547508"/>
      <w:bookmarkStart w:id="13" w:name="_Toc193551753"/>
      <w:bookmarkStart w:id="14" w:name="_Toc193552963"/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-19685</wp:posOffset>
                </wp:positionV>
                <wp:extent cx="3255010" cy="1480820"/>
                <wp:effectExtent l="0" t="0" r="22225" b="2476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992" cy="14807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 algn="ctr">
                          <a:solidFill>
                            <a:srgbClr val="FFFFFF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50"/>
                              <w:spacing w:line="200" w:lineRule="atLeast"/>
                              <w:rPr>
                                <w:rFonts w:hAnsi="宋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hAnsi="宋体"/>
                                <w:sz w:val="44"/>
                                <w:szCs w:val="44"/>
                              </w:rPr>
                              <w:t>直流</w:t>
                            </w:r>
                            <w:r>
                              <w:rPr>
                                <w:rFonts w:hAnsi="宋体"/>
                                <w:sz w:val="44"/>
                                <w:szCs w:val="44"/>
                              </w:rPr>
                              <w:t>电弧原子发射光谱仪</w:t>
                            </w:r>
                            <w:r>
                              <w:rPr>
                                <w:rFonts w:hint="eastAsia" w:hAnsi="宋体"/>
                                <w:sz w:val="44"/>
                                <w:szCs w:val="44"/>
                              </w:rPr>
                              <w:t>校准规范</w:t>
                            </w:r>
                          </w:p>
                          <w:p>
                            <w:pPr>
                              <w:pStyle w:val="75"/>
                              <w:spacing w:before="0" w:line="400" w:lineRule="exact"/>
                              <w:jc w:val="center"/>
                              <w:rPr>
                                <w:rFonts w:ascii="Franklin Gothic Medium" w:hAnsi="Franklin Gothic Medium" w:eastAsia="黑体"/>
                                <w:color w:val="000000"/>
                                <w:kern w:val="36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黑体"/>
                                <w:szCs w:val="28"/>
                              </w:rPr>
                              <w:t xml:space="preserve">Calibration Specification </w:t>
                            </w:r>
                            <w:r>
                              <w:rPr>
                                <w:rFonts w:hint="eastAsia" w:ascii="Times New Roman" w:hAnsi="Times New Roman" w:eastAsia="黑体"/>
                                <w:szCs w:val="28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 w:eastAsia="黑体"/>
                                <w:szCs w:val="28"/>
                              </w:rPr>
                              <w:t xml:space="preserve"> Direct Current Arc Atomic Emission Spectrometry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黑体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黑体"/>
                                <w:szCs w:val="28"/>
                              </w:rPr>
                            </w:pPr>
                            <w:r>
                              <w:rPr>
                                <w:rFonts w:hint="eastAsia" w:eastAsia="黑体"/>
                                <w:szCs w:val="28"/>
                              </w:rPr>
                              <w:t xml:space="preserve">                      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6pt;margin-top:-1.55pt;height:116.6pt;width:256.3pt;z-index:251667456;mso-width-relative:page;mso-height-relative:page;" fillcolor="#FFFFFF" filled="t" stroked="t" coordsize="21600,21600" o:gfxdata="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OXhg3NoAAAAJAQAADwAAAAAAAAABACAAAAAiAAAAZHJzL2Rvd25yZXYueG1sUEsBAhQA&#10;FAAAAAgAh07iQCTpmAFiAgAAxQQAAA4AAAAAAAAAAQAgAAAAKQEAAGRycy9lMm9Eb2MueG1sUEsF&#10;BgAAAAAGAAYAWQEAAP0FAAAAAA==&#10;">
                <v:fill on="t" focussize="0,0"/>
                <v:stroke weight="0.25pt" color="#FFFFFF" miterlimit="8" joinstyle="miter" dashstyle="1 1" endcap="round"/>
                <v:imagedata o:title=""/>
                <o:lock v:ext="edit" aspectratio="f"/>
                <v:textbox inset="2.54mm,2.3mm,2.54mm,2.3mm">
                  <w:txbxContent>
                    <w:p>
                      <w:pPr>
                        <w:pStyle w:val="50"/>
                        <w:spacing w:line="200" w:lineRule="atLeast"/>
                        <w:rPr>
                          <w:rFonts w:hAnsi="宋体"/>
                          <w:sz w:val="44"/>
                          <w:szCs w:val="44"/>
                        </w:rPr>
                      </w:pPr>
                      <w:r>
                        <w:rPr>
                          <w:rFonts w:hint="eastAsia" w:hAnsi="宋体"/>
                          <w:sz w:val="44"/>
                          <w:szCs w:val="44"/>
                        </w:rPr>
                        <w:t>直流</w:t>
                      </w:r>
                      <w:r>
                        <w:rPr>
                          <w:rFonts w:hAnsi="宋体"/>
                          <w:sz w:val="44"/>
                          <w:szCs w:val="44"/>
                        </w:rPr>
                        <w:t>电弧原子发射光谱仪</w:t>
                      </w:r>
                      <w:r>
                        <w:rPr>
                          <w:rFonts w:hint="eastAsia" w:hAnsi="宋体"/>
                          <w:sz w:val="44"/>
                          <w:szCs w:val="44"/>
                        </w:rPr>
                        <w:t>校准规范</w:t>
                      </w:r>
                    </w:p>
                    <w:p>
                      <w:pPr>
                        <w:pStyle w:val="75"/>
                        <w:spacing w:before="0" w:line="400" w:lineRule="exact"/>
                        <w:jc w:val="center"/>
                        <w:rPr>
                          <w:rFonts w:ascii="Franklin Gothic Medium" w:hAnsi="Franklin Gothic Medium" w:eastAsia="黑体"/>
                          <w:color w:val="000000"/>
                          <w:kern w:val="36"/>
                          <w:szCs w:val="28"/>
                        </w:rPr>
                      </w:pPr>
                      <w:r>
                        <w:rPr>
                          <w:rFonts w:ascii="Times New Roman" w:hAnsi="Times New Roman" w:eastAsia="黑体"/>
                          <w:szCs w:val="28"/>
                        </w:rPr>
                        <w:t xml:space="preserve">Calibration Specification </w:t>
                      </w:r>
                      <w:r>
                        <w:rPr>
                          <w:rFonts w:hint="eastAsia" w:ascii="Times New Roman" w:hAnsi="Times New Roman" w:eastAsia="黑体"/>
                          <w:szCs w:val="28"/>
                        </w:rPr>
                        <w:t>of</w:t>
                      </w:r>
                      <w:r>
                        <w:rPr>
                          <w:rFonts w:ascii="Times New Roman" w:hAnsi="Times New Roman" w:eastAsia="黑体"/>
                          <w:szCs w:val="28"/>
                        </w:rPr>
                        <w:t xml:space="preserve"> Direct Current Arc Atomic Emission Spectrometry</w:t>
                      </w:r>
                    </w:p>
                    <w:p>
                      <w:pPr>
                        <w:jc w:val="center"/>
                        <w:rPr>
                          <w:rFonts w:eastAsia="黑体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eastAsia="黑体"/>
                          <w:szCs w:val="28"/>
                        </w:rPr>
                      </w:pPr>
                      <w:r>
                        <w:rPr>
                          <w:rFonts w:hint="eastAsia" w:eastAsia="黑体"/>
                          <w:szCs w:val="28"/>
                        </w:rPr>
                        <w:t xml:space="preserve">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>
      <w:pPr>
        <w:pStyle w:val="84"/>
        <w:keepNext w:val="0"/>
        <w:keepLines w:val="0"/>
        <w:pageBreakBefore w:val="0"/>
        <w:kinsoku/>
        <w:wordWrap/>
        <w:overflowPunct/>
        <w:topLinePunct w:val="0"/>
        <w:bidi w:val="0"/>
        <w:spacing w:before="100" w:beforeAutospacing="1"/>
        <w:ind w:firstLine="480" w:firstLineChars="200"/>
        <w:jc w:val="both"/>
        <w:outlineLvl w:val="9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3917950</wp:posOffset>
                </wp:positionH>
                <wp:positionV relativeFrom="paragraph">
                  <wp:posOffset>359410</wp:posOffset>
                </wp:positionV>
                <wp:extent cx="1846580" cy="309880"/>
                <wp:effectExtent l="0" t="0" r="20320" b="1397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80" cy="31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7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J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J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（有色金属）XXXX—XXXX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8.5pt;margin-top:28.3pt;height:24.4pt;width:145.4pt;z-index:251669504;mso-width-relative:page;mso-height-relative:page;" fillcolor="#FFFFFF" filled="t" stroked="t" coordsize="21600,21600" o:gfxdata="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LGA2a2AAAAAoBAAAPAAAAAAAAAAEAIAAAACIAAABkcnMvZG93&#10;bnJldi54bWxQSwECFAAUAAAACACHTuJALztmoTkCAACIBAAADgAAAAAAAAABACAAAAAnAQAAZHJz&#10;L2Uyb0RvYy54bWxQSwUGAAAAAAYABgBZAQAA0gUAAAAA&#10;">
                <v:fill on="t" focussize="0,0"/>
                <v:stroke weight="1pt" color="#FFFFFF" miterlimit="8" joinstyle="miter"/>
                <v:imagedata o:title=""/>
                <o:lock v:ext="edit" aspectratio="f"/>
                <v:textbox inset="1.5mm,1.27mm,1.5mm,1.27mm">
                  <w:txbxContent>
                    <w:p>
                      <w:pPr>
                        <w:pStyle w:val="70"/>
                        <w:jc w:val="center"/>
                        <w:rPr>
                          <w:b/>
                          <w:bCs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J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J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 w:val="24"/>
                        </w:rPr>
                        <w:t>F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（有色金属）XXXX—XXXX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/>
          <w:color w:val="000000"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3817620</wp:posOffset>
            </wp:positionH>
            <wp:positionV relativeFrom="paragraph">
              <wp:posOffset>63500</wp:posOffset>
            </wp:positionV>
            <wp:extent cx="2052320" cy="836295"/>
            <wp:effectExtent l="0" t="0" r="5080" b="190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color w:val="000000"/>
          <w:sz w:val="24"/>
          <w:szCs w:val="24"/>
        </w:rPr>
        <w:t xml:space="preserve">                                   </w:t>
      </w:r>
    </w:p>
    <w:p>
      <w:pPr>
        <w:pStyle w:val="55"/>
        <w:keepNext w:val="0"/>
        <w:keepLines w:val="0"/>
        <w:pageBreakBefore w:val="0"/>
        <w:kinsoku/>
        <w:wordWrap/>
        <w:overflowPunct/>
        <w:topLinePunct w:val="0"/>
        <w:bidi w:val="0"/>
        <w:ind w:firstLine="480"/>
        <w:outlineLvl w:val="9"/>
        <w:rPr>
          <w:rFonts w:ascii="Times New Roman" w:hAnsi="Times New Roman"/>
          <w:color w:val="000000"/>
          <w:sz w:val="24"/>
          <w:szCs w:val="24"/>
        </w:rPr>
      </w:pPr>
    </w:p>
    <w:bookmarkEnd w:id="12"/>
    <w:bookmarkEnd w:id="13"/>
    <w:bookmarkEnd w:id="14"/>
    <w:p>
      <w:pPr>
        <w:pStyle w:val="66"/>
        <w:keepNext w:val="0"/>
        <w:keepLines w:val="0"/>
        <w:pageBreakBefore w:val="0"/>
        <w:kinsoku/>
        <w:wordWrap/>
        <w:overflowPunct/>
        <w:topLinePunct w:val="0"/>
        <w:bidi w:val="0"/>
        <w:outlineLvl w:val="9"/>
        <w:rPr>
          <w:rFonts w:ascii="Times New Roman" w:hAnsi="Times New Roman"/>
          <w:color w:val="000000"/>
          <w:sz w:val="24"/>
          <w:szCs w:val="24"/>
        </w:rPr>
      </w:pPr>
      <w:bookmarkStart w:id="15" w:name="_Toc193555885"/>
      <w:bookmarkStart w:id="16" w:name="_Toc193601896"/>
      <w:bookmarkStart w:id="17" w:name="_Toc193601675"/>
      <w:bookmarkStart w:id="18" w:name="_Toc193603075"/>
    </w:p>
    <w:p>
      <w:pPr>
        <w:pStyle w:val="62"/>
        <w:keepNext w:val="0"/>
        <w:keepLines w:val="0"/>
        <w:pageBreakBefore w:val="0"/>
        <w:kinsoku/>
        <w:wordWrap/>
        <w:overflowPunct/>
        <w:topLinePunct w:val="0"/>
        <w:bidi w:val="0"/>
        <w:spacing w:line="420" w:lineRule="exact"/>
        <w:jc w:val="both"/>
        <w:outlineLvl w:val="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5943600" cy="0"/>
                <wp:effectExtent l="5080" t="10795" r="13970" b="825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.45pt;height:0pt;width:468pt;z-index:251668480;mso-width-relative:page;mso-height-relative:page;" filled="f" stroked="t" coordsize="21600,21600" o:gfxdata="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gOECj0wAA&#10;AAYBAAAPAAAAAAAAAAEAIAAAACIAAABkcnMvZG93bnJldi54bWxQSwECFAAUAAAACACHTuJAiVLP&#10;KuoBAAC4AwAADgAAAAAAAAABACAAAAAi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End w:id="15"/>
      <w:bookmarkEnd w:id="16"/>
      <w:bookmarkEnd w:id="17"/>
      <w:bookmarkEnd w:id="18"/>
    </w:p>
    <w:p>
      <w:pPr>
        <w:pStyle w:val="62"/>
        <w:keepNext w:val="0"/>
        <w:keepLines w:val="0"/>
        <w:pageBreakBefore w:val="0"/>
        <w:kinsoku/>
        <w:wordWrap/>
        <w:overflowPunct/>
        <w:topLinePunct w:val="0"/>
        <w:bidi w:val="0"/>
        <w:spacing w:line="420" w:lineRule="exact"/>
        <w:jc w:val="both"/>
        <w:outlineLvl w:val="9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55"/>
        <w:keepNext w:val="0"/>
        <w:keepLines w:val="0"/>
        <w:pageBreakBefore w:val="0"/>
        <w:kinsoku/>
        <w:wordWrap/>
        <w:overflowPunct/>
        <w:topLinePunct w:val="0"/>
        <w:bidi w:val="0"/>
        <w:ind w:firstLine="0" w:firstLineChars="0"/>
        <w:outlineLvl w:val="9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50"/>
        <w:keepNext w:val="0"/>
        <w:keepLines w:val="0"/>
        <w:pageBreakBefore w:val="0"/>
        <w:framePr w:w="8080" w:h="6806" w:hRule="exact" w:wrap="around" w:vAnchor="page" w:hAnchor="page" w:x="2115" w:y="7035"/>
        <w:kinsoku/>
        <w:wordWrap/>
        <w:overflowPunct/>
        <w:topLinePunct w:val="0"/>
        <w:bidi w:val="0"/>
        <w:adjustRightInd w:val="0"/>
        <w:snapToGrid w:val="0"/>
        <w:spacing w:line="520" w:lineRule="exact"/>
        <w:jc w:val="both"/>
        <w:outlineLvl w:val="9"/>
        <w:rPr>
          <w:rFonts w:asciiTheme="minorEastAsia" w:hAnsiTheme="minorEastAsia" w:eastAsiaTheme="minorEastAsia"/>
          <w:color w:val="000000"/>
          <w:spacing w:val="11"/>
          <w:sz w:val="28"/>
          <w:szCs w:val="24"/>
        </w:rPr>
      </w:pPr>
      <w:r>
        <w:rPr>
          <w:rFonts w:hint="eastAsia" w:ascii="Times New Roman" w:hAnsi="Times New Roman"/>
          <w:color w:val="000000"/>
          <w:spacing w:val="11"/>
          <w:sz w:val="28"/>
          <w:szCs w:val="24"/>
        </w:rPr>
        <w:t xml:space="preserve">归 口 单 </w:t>
      </w:r>
      <w:r>
        <w:rPr>
          <w:rFonts w:hint="eastAsia" w:ascii="Times New Roman" w:hAnsi="Times New Roman"/>
          <w:color w:val="000000"/>
          <w:spacing w:val="4"/>
          <w:sz w:val="28"/>
          <w:szCs w:val="24"/>
        </w:rPr>
        <w:t>位</w:t>
      </w:r>
      <w:r>
        <w:rPr>
          <w:rFonts w:hint="eastAsia" w:ascii="Times New Roman" w:hAnsi="Times New Roman"/>
          <w:color w:val="000000"/>
          <w:sz w:val="28"/>
          <w:szCs w:val="24"/>
        </w:rPr>
        <w:t>：</w:t>
      </w:r>
      <w:r>
        <w:rPr>
          <w:rFonts w:hint="eastAsia" w:asciiTheme="minorEastAsia" w:hAnsiTheme="minorEastAsia" w:eastAsiaTheme="minorEastAsia"/>
          <w:color w:val="000000"/>
          <w:sz w:val="28"/>
          <w:szCs w:val="24"/>
        </w:rPr>
        <w:t>中国有色金属工业协会</w:t>
      </w:r>
    </w:p>
    <w:p>
      <w:pPr>
        <w:keepNext w:val="0"/>
        <w:keepLines w:val="0"/>
        <w:pageBreakBefore w:val="0"/>
        <w:framePr w:w="8080" w:h="6806" w:hRule="exact" w:wrap="around" w:vAnchor="page" w:hAnchor="page" w:x="2115" w:y="7035" w:anchorLock="1"/>
        <w:widowControl/>
        <w:kinsoku/>
        <w:wordWrap/>
        <w:overflowPunct/>
        <w:topLinePunct w:val="0"/>
        <w:autoSpaceDE w:val="0"/>
        <w:autoSpaceDN w:val="0"/>
        <w:bidi w:val="0"/>
        <w:spacing w:line="360" w:lineRule="auto"/>
        <w:outlineLvl w:val="9"/>
        <w:rPr>
          <w:rFonts w:asciiTheme="minorEastAsia" w:hAnsiTheme="minorEastAsia" w:eastAsiaTheme="minorEastAsia"/>
          <w:color w:val="000000"/>
          <w:kern w:val="0"/>
          <w:sz w:val="28"/>
        </w:rPr>
      </w:pPr>
      <w:r>
        <w:rPr>
          <w:rFonts w:hint="eastAsia" w:eastAsia="黑体"/>
          <w:color w:val="000000"/>
          <w:kern w:val="0"/>
          <w:sz w:val="28"/>
        </w:rPr>
        <w:t>主要起草单位：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</w:rPr>
        <w:t>西安汉唐分析检测有限公司</w:t>
      </w:r>
    </w:p>
    <w:p>
      <w:pPr>
        <w:keepNext w:val="0"/>
        <w:keepLines w:val="0"/>
        <w:pageBreakBefore w:val="0"/>
        <w:framePr w:w="8080" w:h="6806" w:hRule="exact" w:wrap="around" w:vAnchor="page" w:hAnchor="page" w:x="2115" w:y="7035" w:anchorLock="1"/>
        <w:widowControl/>
        <w:kinsoku/>
        <w:wordWrap/>
        <w:overflowPunct/>
        <w:topLinePunct w:val="0"/>
        <w:autoSpaceDE w:val="0"/>
        <w:autoSpaceDN w:val="0"/>
        <w:bidi w:val="0"/>
        <w:spacing w:line="360" w:lineRule="auto"/>
        <w:outlineLvl w:val="9"/>
        <w:rPr>
          <w:rFonts w:eastAsia="黑体"/>
          <w:color w:val="000000"/>
          <w:kern w:val="0"/>
          <w:sz w:val="28"/>
        </w:rPr>
      </w:pPr>
      <w:r>
        <w:rPr>
          <w:rFonts w:hint="eastAsia" w:eastAsia="黑体"/>
          <w:color w:val="000000"/>
          <w:kern w:val="0"/>
          <w:sz w:val="28"/>
        </w:rPr>
        <w:t>参加起草单位：</w:t>
      </w:r>
    </w:p>
    <w:p>
      <w:pPr>
        <w:keepNext w:val="0"/>
        <w:keepLines w:val="0"/>
        <w:pageBreakBefore w:val="0"/>
        <w:framePr w:w="8080" w:h="6806" w:hRule="exact" w:wrap="around" w:vAnchor="page" w:hAnchor="page" w:x="2115" w:y="7035" w:anchorLock="1"/>
        <w:widowControl/>
        <w:kinsoku/>
        <w:wordWrap/>
        <w:overflowPunct/>
        <w:topLinePunct w:val="0"/>
        <w:autoSpaceDE w:val="0"/>
        <w:autoSpaceDN w:val="0"/>
        <w:bidi w:val="0"/>
        <w:spacing w:line="360" w:lineRule="auto"/>
        <w:ind w:firstLine="1960" w:firstLineChars="700"/>
        <w:outlineLvl w:val="9"/>
        <w:rPr>
          <w:rFonts w:eastAsia="黑体"/>
          <w:color w:val="000000"/>
          <w:kern w:val="0"/>
          <w:sz w:val="28"/>
        </w:rPr>
      </w:pPr>
    </w:p>
    <w:p>
      <w:pPr>
        <w:pStyle w:val="55"/>
        <w:ind w:left="420" w:hanging="420" w:firstLineChars="0"/>
        <w:jc w:val="center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55"/>
        <w:ind w:left="420" w:hanging="420" w:firstLineChars="0"/>
        <w:jc w:val="center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55"/>
        <w:ind w:left="420" w:hanging="420" w:firstLineChars="0"/>
        <w:jc w:val="center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55"/>
        <w:ind w:left="420" w:hanging="420" w:firstLineChars="0"/>
        <w:jc w:val="center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55"/>
        <w:ind w:left="420" w:hanging="420" w:firstLineChars="0"/>
        <w:jc w:val="center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55"/>
        <w:ind w:left="420" w:hanging="420" w:firstLineChars="0"/>
        <w:jc w:val="center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55"/>
        <w:ind w:left="420" w:hanging="420" w:firstLineChars="0"/>
        <w:jc w:val="center"/>
        <w:rPr>
          <w:rFonts w:ascii="Times New Roman" w:hAnsi="Times New Roman"/>
          <w:color w:val="000000"/>
          <w:sz w:val="28"/>
          <w:szCs w:val="24"/>
        </w:rPr>
      </w:pPr>
      <w:r>
        <w:rPr>
          <w:rFonts w:hint="eastAsia" w:ascii="Times New Roman" w:hAnsi="Times New Roman"/>
          <w:color w:val="000000"/>
          <w:sz w:val="28"/>
          <w:szCs w:val="24"/>
        </w:rPr>
        <w:t>本规范委托有色金属行业计量技术委员会负责解释</w:t>
      </w:r>
    </w:p>
    <w:p>
      <w:pPr>
        <w:pStyle w:val="55"/>
        <w:framePr w:w="9366" w:h="8566" w:hRule="exact" w:wrap="around" w:vAnchor="page" w:hAnchor="page" w:x="1419" w:y="2667" w:anchorLock="1"/>
        <w:spacing w:line="400" w:lineRule="exact"/>
        <w:ind w:firstLine="562"/>
        <w:rPr>
          <w:rFonts w:ascii="Times New Roman" w:hAnsi="Times New Roman" w:eastAsia="黑体"/>
          <w:b/>
          <w:sz w:val="28"/>
          <w:szCs w:val="24"/>
        </w:rPr>
      </w:pPr>
      <w:bookmarkStart w:id="19" w:name="_Toc193601676"/>
      <w:bookmarkStart w:id="20" w:name="_Toc193547510"/>
      <w:bookmarkStart w:id="21" w:name="_Toc193603076"/>
      <w:bookmarkStart w:id="22" w:name="_Toc193555886"/>
      <w:bookmarkStart w:id="23" w:name="_Toc193601897"/>
      <w:bookmarkStart w:id="24" w:name="_Toc193552965"/>
      <w:bookmarkStart w:id="25" w:name="_Toc193551755"/>
      <w:r>
        <w:rPr>
          <w:rFonts w:hint="eastAsia" w:ascii="Times New Roman" w:hAnsi="Times New Roman" w:eastAsia="黑体"/>
          <w:b/>
          <w:sz w:val="28"/>
          <w:szCs w:val="24"/>
        </w:rPr>
        <w:t>本规范主要起草人：</w:t>
      </w:r>
      <w:bookmarkEnd w:id="19"/>
      <w:bookmarkEnd w:id="20"/>
      <w:bookmarkEnd w:id="21"/>
      <w:bookmarkEnd w:id="22"/>
      <w:bookmarkEnd w:id="23"/>
      <w:bookmarkEnd w:id="24"/>
      <w:bookmarkEnd w:id="25"/>
    </w:p>
    <w:p>
      <w:pPr>
        <w:framePr w:w="9366" w:h="8566" w:hRule="exact" w:wrap="around" w:vAnchor="page" w:hAnchor="page" w:x="1419" w:y="2667" w:anchorLock="1"/>
        <w:widowControl/>
        <w:autoSpaceDE w:val="0"/>
        <w:autoSpaceDN w:val="0"/>
        <w:spacing w:line="360" w:lineRule="auto"/>
        <w:rPr>
          <w:kern w:val="0"/>
          <w:sz w:val="28"/>
        </w:rPr>
      </w:pPr>
    </w:p>
    <w:p>
      <w:pPr>
        <w:framePr w:w="9366" w:h="8566" w:hRule="exact" w:wrap="around" w:vAnchor="page" w:hAnchor="page" w:x="1419" w:y="2667" w:anchorLock="1"/>
        <w:widowControl/>
        <w:autoSpaceDE w:val="0"/>
        <w:autoSpaceDN w:val="0"/>
        <w:spacing w:line="360" w:lineRule="auto"/>
        <w:rPr>
          <w:kern w:val="0"/>
          <w:sz w:val="28"/>
        </w:rPr>
      </w:pPr>
    </w:p>
    <w:p>
      <w:pPr>
        <w:framePr w:w="9366" w:h="8566" w:hRule="exact" w:wrap="around" w:vAnchor="page" w:hAnchor="page" w:x="1419" w:y="2667" w:anchorLock="1"/>
        <w:widowControl/>
        <w:autoSpaceDE w:val="0"/>
        <w:autoSpaceDN w:val="0"/>
        <w:spacing w:line="360" w:lineRule="auto"/>
        <w:rPr>
          <w:kern w:val="0"/>
          <w:sz w:val="28"/>
        </w:rPr>
      </w:pPr>
    </w:p>
    <w:p>
      <w:pPr>
        <w:framePr w:w="9366" w:h="8566" w:hRule="exact" w:wrap="around" w:vAnchor="page" w:hAnchor="page" w:x="1419" w:y="2667" w:anchorLock="1"/>
        <w:widowControl/>
        <w:autoSpaceDE w:val="0"/>
        <w:autoSpaceDN w:val="0"/>
        <w:spacing w:line="360" w:lineRule="auto"/>
        <w:rPr>
          <w:kern w:val="0"/>
          <w:sz w:val="28"/>
        </w:rPr>
      </w:pPr>
    </w:p>
    <w:p>
      <w:pPr>
        <w:framePr w:w="9366" w:h="8566" w:hRule="exact" w:wrap="around" w:vAnchor="page" w:hAnchor="page" w:x="1419" w:y="2667" w:anchorLock="1"/>
        <w:widowControl/>
        <w:autoSpaceDE w:val="0"/>
        <w:autoSpaceDN w:val="0"/>
        <w:spacing w:line="360" w:lineRule="auto"/>
        <w:rPr>
          <w:kern w:val="0"/>
          <w:sz w:val="28"/>
        </w:rPr>
      </w:pPr>
    </w:p>
    <w:p>
      <w:pPr>
        <w:framePr w:w="9366" w:h="8566" w:hRule="exact" w:wrap="around" w:vAnchor="page" w:hAnchor="page" w:x="1419" w:y="2667" w:anchorLock="1"/>
        <w:widowControl/>
        <w:autoSpaceDE w:val="0"/>
        <w:autoSpaceDN w:val="0"/>
        <w:spacing w:line="360" w:lineRule="auto"/>
        <w:rPr>
          <w:kern w:val="0"/>
          <w:sz w:val="28"/>
        </w:rPr>
      </w:pPr>
    </w:p>
    <w:p>
      <w:pPr>
        <w:framePr w:w="9366" w:h="8566" w:hRule="exact" w:wrap="around" w:vAnchor="page" w:hAnchor="page" w:x="1419" w:y="2667" w:anchorLock="1"/>
        <w:widowControl/>
        <w:autoSpaceDE w:val="0"/>
        <w:autoSpaceDN w:val="0"/>
        <w:spacing w:line="360" w:lineRule="auto"/>
        <w:rPr>
          <w:kern w:val="0"/>
          <w:sz w:val="28"/>
        </w:rPr>
      </w:pPr>
    </w:p>
    <w:p>
      <w:pPr>
        <w:framePr w:w="9366" w:h="8566" w:hRule="exact" w:wrap="around" w:vAnchor="page" w:hAnchor="page" w:x="1419" w:y="2667" w:anchorLock="1"/>
        <w:widowControl/>
        <w:autoSpaceDE w:val="0"/>
        <w:autoSpaceDN w:val="0"/>
        <w:spacing w:line="360" w:lineRule="auto"/>
        <w:ind w:firstLine="1405" w:firstLineChars="500"/>
        <w:rPr>
          <w:rFonts w:eastAsia="黑体"/>
          <w:b/>
          <w:kern w:val="0"/>
          <w:sz w:val="28"/>
        </w:rPr>
      </w:pPr>
      <w:r>
        <w:rPr>
          <w:rFonts w:hint="eastAsia" w:eastAsia="黑体"/>
          <w:b/>
          <w:kern w:val="0"/>
          <w:sz w:val="28"/>
        </w:rPr>
        <w:t>参加起草人：</w:t>
      </w:r>
    </w:p>
    <w:p>
      <w:pPr>
        <w:pStyle w:val="8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ascii="Times New Roman" w:hAnsi="Times New Roman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sz w:val="24"/>
        </w:rPr>
        <w:sectPr>
          <w:headerReference r:id="rId8" w:type="default"/>
          <w:footerReference r:id="rId10" w:type="default"/>
          <w:headerReference r:id="rId9" w:type="even"/>
          <w:footerReference r:id="rId11" w:type="even"/>
          <w:pgSz w:w="11907" w:h="16839"/>
          <w:pgMar w:top="1418" w:right="1134" w:bottom="1134" w:left="1418" w:header="1247" w:footer="851" w:gutter="0"/>
          <w:pgNumType w:fmt="upperRoman" w:start="1"/>
          <w:cols w:space="720" w:num="1"/>
          <w:docGrid w:type="lines" w:linePitch="312" w:charSpace="0"/>
        </w:sectPr>
      </w:pPr>
    </w:p>
    <w:p>
      <w:pPr>
        <w:pStyle w:val="8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ascii="Times New Roman" w:hAnsi="Times New Roman"/>
          <w:color w:val="000000"/>
          <w:sz w:val="24"/>
          <w:szCs w:val="24"/>
        </w:rPr>
        <w:sectPr>
          <w:headerReference r:id="rId12" w:type="default"/>
          <w:footerReference r:id="rId13" w:type="default"/>
          <w:type w:val="continuous"/>
          <w:pgSz w:w="11907" w:h="16839"/>
          <w:pgMar w:top="1418" w:right="1134" w:bottom="1134" w:left="1418" w:header="1247" w:footer="851" w:gutter="0"/>
          <w:pgNumType w:fmt="upperRoman" w:start="1"/>
          <w:cols w:space="720" w:num="1"/>
          <w:docGrid w:type="lines" w:linePitch="312" w:charSpace="0"/>
        </w:sectPr>
      </w:pPr>
    </w:p>
    <w:p>
      <w:pPr>
        <w:jc w:val="center"/>
        <w:rPr>
          <w:color w:val="FF0000"/>
          <w:sz w:val="24"/>
        </w:rPr>
      </w:pPr>
      <w:r>
        <w:rPr>
          <w:rFonts w:hint="eastAsia" w:ascii="黑体" w:hAnsi="黑体" w:eastAsia="黑体"/>
          <w:bCs/>
          <w:sz w:val="44"/>
        </w:rPr>
        <w:t>目  录</w:t>
      </w: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60579"/>
        <w15:color w:val="DBDBDB"/>
        <w:docPartObj>
          <w:docPartGallery w:val="Table of Contents"/>
          <w:docPartUnique/>
        </w:docPartObj>
      </w:sdtPr>
      <w:sdtEndPr>
        <w:rPr>
          <w:rFonts w:ascii="Times New Roman" w:hAnsi="Times New Roman" w:cs="宋体" w:eastAsiaTheme="minorEastAsia"/>
          <w:b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>
          <w:pPr>
            <w:pStyle w:val="19"/>
            <w:keepNext w:val="0"/>
            <w:keepLines w:val="0"/>
            <w:pageBreakBefore w:val="0"/>
            <w:widowControl w:val="0"/>
            <w:tabs>
              <w:tab w:val="right" w:leader="dot" w:pos="9355"/>
              <w:tab w:val="clear" w:pos="93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line="360" w:lineRule="auto"/>
            <w:jc w:val="left"/>
            <w:textAlignment w:val="auto"/>
            <w:rPr>
              <w:rFonts w:hint="default" w:ascii="Times New Roman" w:hAnsi="Times New Roman" w:cs="Times New Roman" w:eastAsiaTheme="minorEastAsia"/>
              <w:sz w:val="24"/>
              <w:szCs w:val="24"/>
            </w:rPr>
          </w:pPr>
          <w:r>
            <w:rPr>
              <w:rFonts w:ascii="Times New Roman" w:hAnsi="Times New Roman" w:cs="宋体" w:eastAsiaTheme="minorEastAsia"/>
              <w:sz w:val="24"/>
              <w:szCs w:val="24"/>
            </w:rPr>
            <w:fldChar w:fldCharType="begin"/>
          </w:r>
          <w:r>
            <w:rPr>
              <w:rFonts w:ascii="Times New Roman" w:hAnsi="Times New Roman" w:cs="宋体" w:eastAsiaTheme="minorEastAsia"/>
              <w:sz w:val="24"/>
              <w:szCs w:val="24"/>
            </w:rPr>
            <w:instrText xml:space="preserve">TOC \o "1-2" \h \u </w:instrText>
          </w:r>
          <w:r>
            <w:rPr>
              <w:rFonts w:ascii="Times New Roman" w:hAnsi="Times New Roman" w:cs="宋体" w:eastAsiaTheme="min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instrText xml:space="preserve"> HYPERLINK \l _Toc2809 </w:instrTex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>引言</w: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instrText xml:space="preserve"> PAGEREF _Toc2809 \h </w:instrTex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>II</w: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end"/>
          </w:r>
        </w:p>
        <w:p>
          <w:pPr>
            <w:pStyle w:val="24"/>
            <w:keepNext w:val="0"/>
            <w:keepLines w:val="0"/>
            <w:pageBreakBefore w:val="0"/>
            <w:widowControl w:val="0"/>
            <w:tabs>
              <w:tab w:val="right" w:leader="dot" w:pos="9355"/>
              <w:tab w:val="clear" w:pos="93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jc w:val="left"/>
            <w:textAlignment w:val="auto"/>
            <w:rPr>
              <w:rFonts w:hint="default" w:ascii="Times New Roman" w:hAnsi="Times New Roman" w:cs="Times New Roman" w:eastAsiaTheme="min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instrText xml:space="preserve"> HYPERLINK \l _Toc7631 </w:instrTex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>1 范围</w: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instrText xml:space="preserve"> PAGEREF _Toc7631 \h </w:instrTex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>3</w: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end"/>
          </w:r>
        </w:p>
        <w:p>
          <w:pPr>
            <w:pStyle w:val="24"/>
            <w:keepNext w:val="0"/>
            <w:keepLines w:val="0"/>
            <w:pageBreakBefore w:val="0"/>
            <w:widowControl w:val="0"/>
            <w:tabs>
              <w:tab w:val="right" w:leader="dot" w:pos="9355"/>
              <w:tab w:val="clear" w:pos="93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jc w:val="left"/>
            <w:textAlignment w:val="auto"/>
            <w:rPr>
              <w:rFonts w:hint="default" w:ascii="Times New Roman" w:hAnsi="Times New Roman" w:cs="Times New Roman" w:eastAsiaTheme="min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instrText xml:space="preserve"> HYPERLINK \l _Toc6861 </w:instrTex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>2 引用文件</w: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instrText xml:space="preserve"> PAGEREF _Toc6861 \h </w:instrTex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>3</w: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end"/>
          </w:r>
        </w:p>
        <w:p>
          <w:pPr>
            <w:pStyle w:val="24"/>
            <w:keepNext w:val="0"/>
            <w:keepLines w:val="0"/>
            <w:pageBreakBefore w:val="0"/>
            <w:widowControl w:val="0"/>
            <w:tabs>
              <w:tab w:val="right" w:leader="dot" w:pos="9355"/>
              <w:tab w:val="clear" w:pos="93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jc w:val="left"/>
            <w:textAlignment w:val="auto"/>
            <w:rPr>
              <w:rFonts w:hint="default" w:ascii="Times New Roman" w:hAnsi="Times New Roman" w:cs="Times New Roman" w:eastAsiaTheme="min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instrText xml:space="preserve"> HYPERLINK \l _Toc10241 </w:instrTex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>3 概述</w: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instrText xml:space="preserve"> PAGEREF _Toc10241 \h </w:instrTex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>3</w: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end"/>
          </w:r>
        </w:p>
        <w:p>
          <w:pPr>
            <w:pStyle w:val="24"/>
            <w:keepNext w:val="0"/>
            <w:keepLines w:val="0"/>
            <w:pageBreakBefore w:val="0"/>
            <w:widowControl w:val="0"/>
            <w:tabs>
              <w:tab w:val="right" w:leader="dot" w:pos="9355"/>
              <w:tab w:val="clear" w:pos="93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jc w:val="left"/>
            <w:textAlignment w:val="auto"/>
            <w:rPr>
              <w:rFonts w:hint="default" w:ascii="Times New Roman" w:hAnsi="Times New Roman" w:cs="Times New Roman" w:eastAsiaTheme="min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instrText xml:space="preserve"> HYPERLINK \l _Toc17873 </w:instrTex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kern w:val="0"/>
              <w:sz w:val="24"/>
              <w:szCs w:val="24"/>
            </w:rPr>
            <w:t>3.1 仪器原理和用途</w: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instrText xml:space="preserve"> PAGEREF _Toc17873 \h </w:instrTex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>3</w: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end"/>
          </w:r>
        </w:p>
        <w:p>
          <w:pPr>
            <w:pStyle w:val="24"/>
            <w:keepNext w:val="0"/>
            <w:keepLines w:val="0"/>
            <w:pageBreakBefore w:val="0"/>
            <w:widowControl w:val="0"/>
            <w:tabs>
              <w:tab w:val="right" w:leader="dot" w:pos="9355"/>
              <w:tab w:val="clear" w:pos="93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jc w:val="left"/>
            <w:textAlignment w:val="auto"/>
            <w:rPr>
              <w:rFonts w:hint="default" w:ascii="Times New Roman" w:hAnsi="Times New Roman" w:cs="Times New Roman" w:eastAsiaTheme="min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instrText xml:space="preserve"> HYPERLINK \l _Toc26185 </w:instrTex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kern w:val="0"/>
              <w:sz w:val="24"/>
              <w:szCs w:val="24"/>
            </w:rPr>
            <w:t>3.2 仪器结构</w: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instrText xml:space="preserve"> PAGEREF _Toc26185 \h </w:instrTex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>3</w: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end"/>
          </w:r>
        </w:p>
        <w:p>
          <w:pPr>
            <w:pStyle w:val="24"/>
            <w:keepNext w:val="0"/>
            <w:keepLines w:val="0"/>
            <w:pageBreakBefore w:val="0"/>
            <w:widowControl w:val="0"/>
            <w:tabs>
              <w:tab w:val="right" w:leader="dot" w:pos="9355"/>
              <w:tab w:val="clear" w:pos="93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jc w:val="left"/>
            <w:textAlignment w:val="auto"/>
            <w:rPr>
              <w:rFonts w:hint="default" w:ascii="Times New Roman" w:hAnsi="Times New Roman" w:cs="Times New Roman" w:eastAsiaTheme="min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instrText xml:space="preserve"> HYPERLINK \l _Toc30870 </w:instrTex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>4计量特性</w: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instrText xml:space="preserve"> PAGEREF _Toc30870 \h </w:instrTex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>3</w: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end"/>
          </w:r>
        </w:p>
        <w:p>
          <w:pPr>
            <w:pStyle w:val="24"/>
            <w:keepNext w:val="0"/>
            <w:keepLines w:val="0"/>
            <w:pageBreakBefore w:val="0"/>
            <w:widowControl w:val="0"/>
            <w:tabs>
              <w:tab w:val="right" w:leader="dot" w:pos="9355"/>
              <w:tab w:val="clear" w:pos="93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jc w:val="left"/>
            <w:textAlignment w:val="auto"/>
            <w:rPr>
              <w:rFonts w:hint="default" w:ascii="Times New Roman" w:hAnsi="Times New Roman" w:cs="Times New Roman" w:eastAsiaTheme="min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instrText xml:space="preserve"> HYPERLINK \l _Toc579 </w:instrTex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>5 校准条件</w: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instrText xml:space="preserve"> PAGEREF _Toc579 \h </w:instrTex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>4</w: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end"/>
          </w:r>
        </w:p>
        <w:p>
          <w:pPr>
            <w:pStyle w:val="24"/>
            <w:keepNext w:val="0"/>
            <w:keepLines w:val="0"/>
            <w:pageBreakBefore w:val="0"/>
            <w:widowControl w:val="0"/>
            <w:tabs>
              <w:tab w:val="right" w:leader="dot" w:pos="9355"/>
              <w:tab w:val="clear" w:pos="93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jc w:val="left"/>
            <w:textAlignment w:val="auto"/>
            <w:rPr>
              <w:rFonts w:hint="default" w:ascii="Times New Roman" w:hAnsi="Times New Roman" w:cs="Times New Roman" w:eastAsiaTheme="min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instrText xml:space="preserve"> HYPERLINK \l _Toc4201 </w:instrTex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>5.1 环境条件</w: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instrText xml:space="preserve"> PAGEREF _Toc4201 \h </w:instrTex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>4</w: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end"/>
          </w:r>
        </w:p>
        <w:p>
          <w:pPr>
            <w:pStyle w:val="24"/>
            <w:keepNext w:val="0"/>
            <w:keepLines w:val="0"/>
            <w:pageBreakBefore w:val="0"/>
            <w:widowControl w:val="0"/>
            <w:tabs>
              <w:tab w:val="right" w:leader="dot" w:pos="9355"/>
              <w:tab w:val="clear" w:pos="93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jc w:val="left"/>
            <w:textAlignment w:val="auto"/>
            <w:rPr>
              <w:rFonts w:hint="default" w:ascii="Times New Roman" w:hAnsi="Times New Roman" w:cs="Times New Roman" w:eastAsiaTheme="min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instrText xml:space="preserve"> HYPERLINK \l _Toc23970 </w:instrTex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>5.2 测量标准</w: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instrText xml:space="preserve"> PAGEREF _Toc23970 \h </w:instrTex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>4</w: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end"/>
          </w:r>
        </w:p>
        <w:p>
          <w:pPr>
            <w:pStyle w:val="24"/>
            <w:keepNext w:val="0"/>
            <w:keepLines w:val="0"/>
            <w:pageBreakBefore w:val="0"/>
            <w:widowControl w:val="0"/>
            <w:tabs>
              <w:tab w:val="right" w:leader="dot" w:pos="9355"/>
              <w:tab w:val="clear" w:pos="93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jc w:val="left"/>
            <w:textAlignment w:val="auto"/>
            <w:rPr>
              <w:rFonts w:hint="default" w:ascii="Times New Roman" w:hAnsi="Times New Roman" w:cs="Times New Roman" w:eastAsiaTheme="min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instrText xml:space="preserve"> HYPERLINK \l _Toc25448 </w:instrTex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>6 校准项目和校准方法</w: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instrText xml:space="preserve"> PAGEREF _Toc25448 \h </w:instrTex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>4</w: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end"/>
          </w:r>
        </w:p>
        <w:p>
          <w:pPr>
            <w:pStyle w:val="24"/>
            <w:keepNext w:val="0"/>
            <w:keepLines w:val="0"/>
            <w:pageBreakBefore w:val="0"/>
            <w:widowControl w:val="0"/>
            <w:tabs>
              <w:tab w:val="right" w:leader="dot" w:pos="9355"/>
              <w:tab w:val="clear" w:pos="93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jc w:val="left"/>
            <w:textAlignment w:val="auto"/>
            <w:rPr>
              <w:rFonts w:hint="default" w:ascii="Times New Roman" w:hAnsi="Times New Roman" w:cs="Times New Roman" w:eastAsiaTheme="min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instrText xml:space="preserve"> HYPERLINK \l _Toc19571 </w:instrTex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kern w:val="0"/>
              <w:sz w:val="24"/>
              <w:szCs w:val="24"/>
            </w:rPr>
            <w:t>6.1</w: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 xml:space="preserve"> 校准项目</w: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instrText xml:space="preserve"> PAGEREF _Toc19571 \h </w:instrTex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>4</w: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end"/>
          </w:r>
        </w:p>
        <w:p>
          <w:pPr>
            <w:pStyle w:val="24"/>
            <w:keepNext w:val="0"/>
            <w:keepLines w:val="0"/>
            <w:pageBreakBefore w:val="0"/>
            <w:widowControl w:val="0"/>
            <w:tabs>
              <w:tab w:val="right" w:leader="dot" w:pos="9355"/>
              <w:tab w:val="clear" w:pos="93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jc w:val="left"/>
            <w:textAlignment w:val="auto"/>
            <w:rPr>
              <w:rFonts w:hint="default" w:ascii="Times New Roman" w:hAnsi="Times New Roman" w:cs="Times New Roman" w:eastAsiaTheme="min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instrText xml:space="preserve"> HYPERLINK \l _Toc6699 </w:instrTex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kern w:val="0"/>
              <w:sz w:val="24"/>
              <w:szCs w:val="24"/>
            </w:rPr>
            <w:t>6.2</w: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 xml:space="preserve"> 校准方法</w: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instrText xml:space="preserve"> PAGEREF _Toc6699 \h </w:instrTex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>4</w: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end"/>
          </w:r>
        </w:p>
        <w:p>
          <w:pPr>
            <w:pStyle w:val="24"/>
            <w:keepNext w:val="0"/>
            <w:keepLines w:val="0"/>
            <w:pageBreakBefore w:val="0"/>
            <w:widowControl w:val="0"/>
            <w:tabs>
              <w:tab w:val="right" w:leader="dot" w:pos="9355"/>
              <w:tab w:val="clear" w:pos="93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jc w:val="left"/>
            <w:textAlignment w:val="auto"/>
            <w:rPr>
              <w:rFonts w:hint="default" w:ascii="Times New Roman" w:hAnsi="Times New Roman" w:cs="Times New Roman" w:eastAsiaTheme="min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instrText xml:space="preserve"> HYPERLINK \l _Toc28331 </w:instrTex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>7 校准结果表达</w: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instrText xml:space="preserve"> PAGEREF _Toc28331 \h </w:instrTex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>5</w: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end"/>
          </w:r>
        </w:p>
        <w:p>
          <w:pPr>
            <w:pStyle w:val="24"/>
            <w:keepNext w:val="0"/>
            <w:keepLines w:val="0"/>
            <w:pageBreakBefore w:val="0"/>
            <w:widowControl w:val="0"/>
            <w:tabs>
              <w:tab w:val="right" w:leader="dot" w:pos="9355"/>
              <w:tab w:val="clear" w:pos="93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jc w:val="left"/>
            <w:textAlignment w:val="auto"/>
            <w:rPr>
              <w:rFonts w:hint="default" w:ascii="Times New Roman" w:hAnsi="Times New Roman" w:cs="Times New Roman" w:eastAsiaTheme="min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instrText xml:space="preserve"> HYPERLINK \l _Toc28581 </w:instrTex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>8 复校时间间隔</w: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instrText xml:space="preserve"> PAGEREF _Toc28581 \h </w:instrTex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>6</w: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end"/>
          </w:r>
        </w:p>
        <w:p>
          <w:pPr>
            <w:pStyle w:val="19"/>
            <w:keepNext w:val="0"/>
            <w:keepLines w:val="0"/>
            <w:pageBreakBefore w:val="0"/>
            <w:widowControl w:val="0"/>
            <w:tabs>
              <w:tab w:val="right" w:leader="dot" w:pos="9355"/>
              <w:tab w:val="clear" w:pos="93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line="360" w:lineRule="auto"/>
            <w:jc w:val="left"/>
            <w:textAlignment w:val="auto"/>
            <w:rPr>
              <w:rFonts w:hint="default" w:ascii="Times New Roman" w:hAnsi="Times New Roman" w:cs="Times New Roman" w:eastAsiaTheme="min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instrText xml:space="preserve"> HYPERLINK \l _Toc2806 </w:instrTex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>附录A</w:t>
          </w:r>
          <w:r>
            <w:rPr>
              <w:rFonts w:hint="eastAsia" w:ascii="Times New Roman" w:hAnsi="Times New Roman" w:cs="Times New Roman" w:eastAsiaTheme="minorEastAsia"/>
              <w:sz w:val="24"/>
              <w:szCs w:val="24"/>
              <w:lang w:val="en-US" w:eastAsia="zh-CN"/>
            </w:rPr>
            <w:t xml:space="preserve"> 校准原始记录参考格式</w: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instrText xml:space="preserve"> PAGEREF _Toc2806 \h </w:instrTex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>7</w: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end"/>
          </w:r>
        </w:p>
        <w:p>
          <w:pPr>
            <w:pStyle w:val="19"/>
            <w:keepNext w:val="0"/>
            <w:keepLines w:val="0"/>
            <w:pageBreakBefore w:val="0"/>
            <w:widowControl w:val="0"/>
            <w:tabs>
              <w:tab w:val="right" w:leader="dot" w:pos="9355"/>
              <w:tab w:val="clear" w:pos="93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line="360" w:lineRule="auto"/>
            <w:jc w:val="left"/>
            <w:textAlignment w:val="auto"/>
            <w:rPr>
              <w:rFonts w:hint="default" w:ascii="Times New Roman" w:hAnsi="Times New Roman" w:cs="Times New Roman" w:eastAsiaTheme="min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instrText xml:space="preserve"> HYPERLINK \l _Toc20787 </w:instrTex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>附录B</w:t>
          </w:r>
          <w:r>
            <w:rPr>
              <w:rFonts w:hint="eastAsia" w:ascii="Times New Roman" w:hAnsi="Times New Roman" w:cs="Times New Roman" w:eastAsiaTheme="minorEastAsia"/>
              <w:sz w:val="24"/>
              <w:szCs w:val="24"/>
              <w:lang w:val="en-US" w:eastAsia="zh-CN"/>
            </w:rPr>
            <w:t xml:space="preserve"> 校准证书内页参考格式</w: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instrText xml:space="preserve"> PAGEREF _Toc20787 \h </w:instrTex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>9</w: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end"/>
          </w:r>
        </w:p>
        <w:p>
          <w:pPr>
            <w:pStyle w:val="19"/>
            <w:keepNext w:val="0"/>
            <w:keepLines w:val="0"/>
            <w:pageBreakBefore w:val="0"/>
            <w:widowControl w:val="0"/>
            <w:tabs>
              <w:tab w:val="right" w:leader="dot" w:pos="9355"/>
              <w:tab w:val="clear" w:pos="93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line="360" w:lineRule="auto"/>
            <w:jc w:val="left"/>
            <w:textAlignment w:val="auto"/>
          </w:pP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instrText xml:space="preserve"> HYPERLINK \l _Toc7454 </w:instrTex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kern w:val="0"/>
              <w:sz w:val="24"/>
              <w:szCs w:val="24"/>
            </w:rPr>
            <w:t>附录C</w:t>
          </w:r>
          <w:r>
            <w:rPr>
              <w:rFonts w:hint="eastAsia" w:ascii="Times New Roman" w:hAnsi="Times New Roman" w:cs="Times New Roman" w:eastAsiaTheme="minorEastAsia"/>
              <w:kern w:val="0"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/>
              <w:sz w:val="24"/>
            </w:rPr>
            <w:t>直流电弧-原子发射光谱仪示值误差</w:t>
          </w:r>
          <w:r>
            <w:rPr>
              <w:rFonts w:hint="eastAsia"/>
              <w:sz w:val="24"/>
              <w:lang w:val="en-US" w:eastAsia="zh-CN"/>
            </w:rPr>
            <w:t>不确定度评定示例</w: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instrText xml:space="preserve"> PAGEREF _Toc7454 \h </w:instrTex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t>10</w: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end"/>
          </w:r>
        </w:p>
        <w:p>
          <w:pPr>
            <w:pStyle w:val="63"/>
            <w:keepNext w:val="0"/>
            <w:keepLines w:val="0"/>
            <w:pageBreakBefore w:val="0"/>
            <w:tabs>
              <w:tab w:val="right" w:leader="dot" w:pos="935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jc w:val="left"/>
            <w:textAlignment w:val="auto"/>
            <w:rPr>
              <w:rFonts w:ascii="Times New Roman" w:hAnsi="Times New Roman" w:cs="宋体" w:eastAsiaTheme="minorEastAsia"/>
              <w:sz w:val="24"/>
              <w:szCs w:val="24"/>
            </w:rPr>
          </w:pPr>
          <w:r>
            <w:rPr>
              <w:rFonts w:ascii="Times New Roman" w:hAnsi="Times New Roman" w:cs="宋体" w:eastAsiaTheme="minorEastAsia"/>
              <w:szCs w:val="24"/>
            </w:rPr>
            <w:fldChar w:fldCharType="end"/>
          </w:r>
        </w:p>
      </w:sdtContent>
    </w:sdt>
    <w:p>
      <w:pPr>
        <w:widowControl/>
        <w:jc w:val="left"/>
        <w:rPr>
          <w:rStyle w:val="35"/>
          <w:rFonts w:eastAsia="Adobe 黑体 Std R"/>
          <w:color w:val="000000"/>
          <w:sz w:val="24"/>
        </w:rPr>
      </w:pPr>
      <w:r>
        <w:rPr>
          <w:rStyle w:val="35"/>
          <w:rFonts w:eastAsia="Adobe 黑体 Std R"/>
          <w:color w:val="000000"/>
          <w:sz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Style w:val="35"/>
          <w:rFonts w:ascii="黑体" w:hAnsi="黑体" w:eastAsia="黑体"/>
          <w:color w:val="000000"/>
          <w:sz w:val="44"/>
          <w:szCs w:val="44"/>
        </w:rPr>
      </w:pPr>
      <w:bookmarkStart w:id="26" w:name="_Toc2809"/>
      <w:r>
        <w:rPr>
          <w:rStyle w:val="35"/>
          <w:rFonts w:hint="eastAsia" w:ascii="黑体" w:hAnsi="黑体" w:eastAsia="黑体"/>
          <w:color w:val="000000"/>
          <w:sz w:val="44"/>
          <w:szCs w:val="44"/>
        </w:rPr>
        <w:t>引   言</w:t>
      </w:r>
      <w:bookmarkEnd w:id="26"/>
    </w:p>
    <w:p>
      <w:pPr>
        <w:rPr>
          <w:sz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本规范是以JJF 1071-2010《国家计量校准规范编写规则》、JJF 1001-2011《通用计量术语及定义》和JJF 1059.1-2012《测量不确定度评定与表示》为基础性系列规范进行编写。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本规范主要参考了JJG 768《发射光谱仪》、JJF 2024《能量色散 X射线荧光光谱仪校准规范》、GB/T 4698.21《海绵钛、钛及钛合金化学分析方法 第21部分：锰、铬、镍、铝、钼、锡、钒、钇、铜、锆量的测定 原子发射光谱法》、ASTM E2371《Standard Test Method for Analysis of Titanium and Titanium Alloys by Direct Current Plasma and Inductively Coupled Plasma Atomic Emission Spectrometry (Performance-Based Test Methodology》、GB/T 15076.10《钽铌化学分析方法 第10部分:铌中铁、镍、铬、钛、锆、铝和锰量的测定 直流电弧原子发射光谱法》、GB/T 15076.11《钽铌化学分析方法 第11部分：铌中砷、锑、铅、锡和铋量的测定 直流电弧原子发射光谱法》、YS/T 281.16-2011《钴化学分析方法 第16部分：砷、镉、铜、锌、铅、铋、锡、锑、硅、锰、铁、镍、铝、镁量的测定 直流电弧原子发射光谱法》。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本规范为首次发布。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  <w:sectPr>
          <w:headerReference r:id="rId14" w:type="default"/>
          <w:footerReference r:id="rId15" w:type="default"/>
          <w:pgSz w:w="11907" w:h="16839"/>
          <w:pgMar w:top="1418" w:right="1134" w:bottom="1134" w:left="1418" w:header="1247" w:footer="851" w:gutter="0"/>
          <w:pgNumType w:fmt="upperRoman" w:start="1"/>
          <w:cols w:space="720" w:num="1"/>
          <w:docGrid w:type="lines" w:linePitch="312" w:charSpace="0"/>
        </w:sectPr>
      </w:pPr>
    </w:p>
    <w:p>
      <w:pPr>
        <w:pStyle w:val="50"/>
        <w:framePr w:w="9406" w:h="736" w:hRule="exact" w:wrap="around" w:vAnchor="page" w:hAnchor="page" w:x="1396" w:y="1501"/>
        <w:spacing w:line="200" w:lineRule="atLeast"/>
        <w:rPr>
          <w:rFonts w:hAnsi="宋体"/>
          <w:sz w:val="32"/>
          <w:szCs w:val="32"/>
        </w:rPr>
      </w:pPr>
      <w:bookmarkStart w:id="27" w:name="_Toc193619050"/>
      <w:bookmarkStart w:id="28" w:name="_Toc193618947"/>
      <w:bookmarkStart w:id="29" w:name="_Toc193619092"/>
      <w:r>
        <w:rPr>
          <w:rFonts w:hint="eastAsia" w:hAnsi="宋体"/>
          <w:sz w:val="32"/>
          <w:szCs w:val="32"/>
        </w:rPr>
        <w:t>直流电弧-原子</w:t>
      </w:r>
      <w:r>
        <w:rPr>
          <w:rFonts w:hAnsi="宋体"/>
          <w:sz w:val="32"/>
          <w:szCs w:val="32"/>
        </w:rPr>
        <w:t>发射光谱仪</w:t>
      </w:r>
      <w:r>
        <w:rPr>
          <w:rFonts w:hint="eastAsia" w:hAnsi="宋体"/>
          <w:sz w:val="32"/>
          <w:szCs w:val="32"/>
        </w:rPr>
        <w:t>校准规范</w:t>
      </w:r>
    </w:p>
    <w:bookmarkEnd w:id="27"/>
    <w:bookmarkEnd w:id="28"/>
    <w:bookmarkEnd w:id="29"/>
    <w:p>
      <w:pPr>
        <w:pStyle w:val="5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hanging="312" w:hangingChars="130"/>
        <w:textAlignment w:val="auto"/>
        <w:outlineLvl w:val="0"/>
        <w:rPr>
          <w:color w:val="000000"/>
          <w:sz w:val="24"/>
        </w:rPr>
      </w:pPr>
      <w:bookmarkStart w:id="30" w:name="_Toc193860177"/>
      <w:bookmarkStart w:id="31" w:name="_Toc7631"/>
      <w:bookmarkStart w:id="32" w:name="_Toc500258929"/>
      <w:bookmarkStart w:id="33" w:name="_Toc193860208"/>
      <w:bookmarkStart w:id="34" w:name="_Toc193860027"/>
      <w:bookmarkStart w:id="35" w:name="_Toc26232"/>
      <w:r>
        <w:rPr>
          <w:rFonts w:ascii="Times New Roman" w:hAnsi="Times New Roman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 xml:space="preserve"> 范围</w:t>
      </w:r>
      <w:bookmarkEnd w:id="30"/>
      <w:bookmarkEnd w:id="31"/>
      <w:bookmarkEnd w:id="32"/>
      <w:bookmarkEnd w:id="33"/>
      <w:bookmarkEnd w:id="34"/>
      <w:bookmarkEnd w:id="35"/>
    </w:p>
    <w:p>
      <w:pPr>
        <w:spacing w:line="360" w:lineRule="auto"/>
        <w:ind w:firstLine="480" w:firstLineChars="200"/>
        <w:rPr>
          <w:rFonts w:ascii="Times New Roman" w:hAnsi="Times New Roman" w:eastAsiaTheme="minorEastAsia"/>
          <w:kern w:val="0"/>
          <w:sz w:val="24"/>
          <w:szCs w:val="20"/>
        </w:rPr>
      </w:pPr>
      <w:r>
        <w:rPr>
          <w:rFonts w:hint="eastAsia" w:asciiTheme="minorEastAsia" w:hAnsiTheme="minorEastAsia" w:eastAsiaTheme="minorEastAsia"/>
          <w:kern w:val="0"/>
          <w:sz w:val="24"/>
          <w:szCs w:val="20"/>
        </w:rPr>
        <w:t>本规范适用于</w:t>
      </w:r>
      <w:r>
        <w:rPr>
          <w:rFonts w:hint="eastAsia" w:ascii="Times New Roman" w:hAnsi="Times New Roman" w:eastAsiaTheme="minorEastAsia"/>
          <w:kern w:val="0"/>
          <w:sz w:val="24"/>
          <w:szCs w:val="20"/>
        </w:rPr>
        <w:t>直流电弧-原子</w:t>
      </w:r>
      <w:r>
        <w:rPr>
          <w:rFonts w:ascii="Times New Roman" w:hAnsi="Times New Roman" w:eastAsiaTheme="minorEastAsia"/>
          <w:kern w:val="0"/>
          <w:sz w:val="24"/>
          <w:szCs w:val="20"/>
        </w:rPr>
        <w:t>发射光谱仪</w:t>
      </w:r>
      <w:r>
        <w:rPr>
          <w:rFonts w:hint="eastAsia" w:ascii="Times New Roman" w:hAnsi="Times New Roman" w:eastAsiaTheme="minorEastAsia"/>
          <w:kern w:val="0"/>
          <w:sz w:val="24"/>
          <w:szCs w:val="20"/>
        </w:rPr>
        <w:t>的校准。</w:t>
      </w:r>
    </w:p>
    <w:p>
      <w:pPr>
        <w:pStyle w:val="5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272" w:hanging="272"/>
        <w:textAlignment w:val="auto"/>
        <w:outlineLvl w:val="0"/>
        <w:rPr>
          <w:sz w:val="24"/>
        </w:rPr>
      </w:pPr>
      <w:bookmarkStart w:id="36" w:name="_Toc193860209"/>
      <w:bookmarkStart w:id="37" w:name="_Toc193860178"/>
      <w:bookmarkStart w:id="38" w:name="_Toc193860028"/>
      <w:bookmarkStart w:id="39" w:name="_Toc500258930"/>
      <w:bookmarkStart w:id="40" w:name="_Toc6861"/>
      <w:bookmarkStart w:id="41" w:name="_Toc26495"/>
      <w:r>
        <w:rPr>
          <w:rFonts w:ascii="Times New Roman" w:hAnsi="Times New Roman"/>
          <w:sz w:val="24"/>
        </w:rPr>
        <w:t>2</w:t>
      </w:r>
      <w:r>
        <w:rPr>
          <w:rFonts w:hint="eastAsia"/>
          <w:sz w:val="24"/>
        </w:rPr>
        <w:t xml:space="preserve"> 引用文</w:t>
      </w:r>
      <w:bookmarkEnd w:id="36"/>
      <w:bookmarkEnd w:id="37"/>
      <w:bookmarkEnd w:id="38"/>
      <w:r>
        <w:rPr>
          <w:rFonts w:hint="eastAsia"/>
          <w:sz w:val="24"/>
        </w:rPr>
        <w:t>件</w:t>
      </w:r>
      <w:bookmarkEnd w:id="39"/>
      <w:bookmarkEnd w:id="40"/>
      <w:bookmarkEnd w:id="4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kern w:val="0"/>
          <w:sz w:val="24"/>
          <w:szCs w:val="20"/>
        </w:rPr>
      </w:pPr>
      <w:r>
        <w:rPr>
          <w:rFonts w:hint="eastAsia" w:asciiTheme="minorEastAsia" w:hAnsiTheme="minorEastAsia" w:eastAsiaTheme="minorEastAsia"/>
          <w:kern w:val="0"/>
          <w:sz w:val="24"/>
          <w:szCs w:val="20"/>
        </w:rPr>
        <w:t>本规范引用了下列文件：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ascii="宋体" w:hAnsi="宋体"/>
          <w:sz w:val="24"/>
        </w:rPr>
      </w:pPr>
      <w:bookmarkStart w:id="42" w:name="_Hlk37535606"/>
      <w:r>
        <w:rPr>
          <w:rFonts w:hint="eastAsia" w:ascii="Times New Roman" w:hAnsi="Times New Roman"/>
          <w:sz w:val="24"/>
        </w:rPr>
        <w:t>JJF 1001</w:t>
      </w:r>
      <w:r>
        <w:rPr>
          <w:rFonts w:ascii="Times New Roman" w:hAnsi="Times New Roman"/>
          <w:sz w:val="24"/>
        </w:rPr>
        <w:t xml:space="preserve">    </w:t>
      </w:r>
      <w:r>
        <w:rPr>
          <w:rFonts w:hint="eastAsia" w:ascii="Times New Roman" w:hAnsi="Times New Roman"/>
          <w:sz w:val="24"/>
        </w:rPr>
        <w:t>《</w:t>
      </w:r>
      <w:r>
        <w:rPr>
          <w:rFonts w:hint="eastAsia" w:ascii="宋体" w:hAnsi="宋体"/>
          <w:sz w:val="24"/>
        </w:rPr>
        <w:t>通用计量术语及定义》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ascii="Times New Roman" w:hAnsi="Times New Roman" w:eastAsiaTheme="minorEastAsia"/>
          <w:kern w:val="0"/>
          <w:sz w:val="24"/>
          <w:szCs w:val="20"/>
        </w:rPr>
      </w:pPr>
      <w:r>
        <w:rPr>
          <w:rFonts w:hint="eastAsia" w:ascii="Times New Roman" w:hAnsi="Times New Roman"/>
          <w:sz w:val="24"/>
        </w:rPr>
        <w:t xml:space="preserve">JJF </w:t>
      </w:r>
      <w:r>
        <w:rPr>
          <w:rFonts w:ascii="Times New Roman" w:hAnsi="Times New Roman"/>
          <w:sz w:val="24"/>
        </w:rPr>
        <w:t>2024    《</w:t>
      </w:r>
      <w:r>
        <w:rPr>
          <w:rFonts w:ascii="宋体" w:hAnsi="宋体"/>
          <w:sz w:val="24"/>
        </w:rPr>
        <w:t>能量色散 X射线荧光光谱仪校准规范》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ascii="Times New Roman" w:hAnsi="Times New Roman" w:eastAsiaTheme="minorEastAsia"/>
          <w:kern w:val="0"/>
          <w:sz w:val="24"/>
          <w:szCs w:val="20"/>
        </w:rPr>
      </w:pPr>
      <w:r>
        <w:rPr>
          <w:rFonts w:hint="eastAsia" w:ascii="Times New Roman" w:hAnsi="Times New Roman" w:eastAsiaTheme="minorEastAsia"/>
          <w:kern w:val="0"/>
          <w:sz w:val="24"/>
          <w:szCs w:val="20"/>
        </w:rPr>
        <w:t>JJ</w:t>
      </w:r>
      <w:r>
        <w:rPr>
          <w:rFonts w:ascii="Times New Roman" w:hAnsi="Times New Roman" w:eastAsiaTheme="minorEastAsia"/>
          <w:kern w:val="0"/>
          <w:sz w:val="24"/>
          <w:szCs w:val="20"/>
        </w:rPr>
        <w:t>G</w:t>
      </w:r>
      <w:r>
        <w:rPr>
          <w:rFonts w:hint="eastAsia" w:ascii="Times New Roman" w:hAnsi="Times New Roman" w:eastAsiaTheme="minorEastAsia"/>
          <w:kern w:val="0"/>
          <w:sz w:val="24"/>
          <w:szCs w:val="20"/>
        </w:rPr>
        <w:t xml:space="preserve"> </w:t>
      </w:r>
      <w:r>
        <w:rPr>
          <w:rFonts w:ascii="Times New Roman" w:hAnsi="Times New Roman" w:eastAsiaTheme="minorEastAsia"/>
          <w:kern w:val="0"/>
          <w:sz w:val="24"/>
          <w:szCs w:val="20"/>
        </w:rPr>
        <w:t>768</w:t>
      </w:r>
      <w:r>
        <w:rPr>
          <w:rFonts w:hint="eastAsia" w:ascii="Times New Roman" w:hAnsi="Times New Roman" w:eastAsiaTheme="minorEastAsia"/>
          <w:kern w:val="0"/>
          <w:sz w:val="24"/>
          <w:szCs w:val="20"/>
        </w:rPr>
        <w:t xml:space="preserve"> </w:t>
      </w:r>
      <w:r>
        <w:rPr>
          <w:rFonts w:ascii="Times New Roman" w:hAnsi="Times New Roman" w:eastAsiaTheme="minorEastAsia"/>
          <w:kern w:val="0"/>
          <w:sz w:val="24"/>
          <w:szCs w:val="20"/>
        </w:rPr>
        <w:t xml:space="preserve">    《</w:t>
      </w:r>
      <w:r>
        <w:rPr>
          <w:rFonts w:hint="eastAsia" w:ascii="Times New Roman" w:hAnsi="Times New Roman" w:eastAsiaTheme="minorEastAsia"/>
          <w:kern w:val="0"/>
          <w:sz w:val="24"/>
          <w:szCs w:val="20"/>
        </w:rPr>
        <w:t>发射</w:t>
      </w:r>
      <w:r>
        <w:rPr>
          <w:rFonts w:ascii="Times New Roman" w:hAnsi="Times New Roman" w:eastAsiaTheme="minorEastAsia"/>
          <w:kern w:val="0"/>
          <w:sz w:val="24"/>
          <w:szCs w:val="20"/>
        </w:rPr>
        <w:t>光谱仪检定规程》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ascii="Times New Roman" w:hAnsi="Times New Roman" w:eastAsiaTheme="minorEastAsia"/>
          <w:kern w:val="0"/>
          <w:sz w:val="24"/>
          <w:szCs w:val="20"/>
        </w:rPr>
      </w:pPr>
      <w:r>
        <w:rPr>
          <w:rFonts w:hint="eastAsia" w:ascii="Times New Roman" w:hAnsi="Times New Roman" w:eastAsiaTheme="minorEastAsia"/>
          <w:kern w:val="0"/>
          <w:sz w:val="24"/>
          <w:szCs w:val="20"/>
        </w:rPr>
        <w:t xml:space="preserve">YS/T </w:t>
      </w:r>
      <w:r>
        <w:rPr>
          <w:rFonts w:ascii="Times New Roman" w:hAnsi="Times New Roman" w:eastAsiaTheme="minorEastAsia"/>
          <w:kern w:val="0"/>
          <w:sz w:val="24"/>
          <w:szCs w:val="20"/>
        </w:rPr>
        <w:t>281.16 《</w:t>
      </w:r>
      <w:r>
        <w:rPr>
          <w:rFonts w:ascii="宋体" w:hAnsi="宋体"/>
          <w:sz w:val="24"/>
        </w:rPr>
        <w:t>钴化学分析方法 第16部分：砷、镉、铜、锌、铅、铋、锡、锑、硅、锰、铁、镍、铝、镁量的测定 直流电弧原子发射光谱法</w:t>
      </w:r>
      <w:r>
        <w:rPr>
          <w:rFonts w:ascii="Times New Roman" w:hAnsi="Times New Roman" w:eastAsiaTheme="minorEastAsia"/>
          <w:kern w:val="0"/>
          <w:sz w:val="24"/>
          <w:szCs w:val="20"/>
        </w:rPr>
        <w:t>》</w:t>
      </w:r>
    </w:p>
    <w:bookmarkEnd w:id="4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kern w:val="0"/>
          <w:sz w:val="24"/>
          <w:szCs w:val="20"/>
        </w:rPr>
      </w:pPr>
      <w:bookmarkStart w:id="43" w:name="_Toc193618952"/>
      <w:bookmarkStart w:id="44" w:name="_Toc193860180"/>
      <w:bookmarkStart w:id="45" w:name="_Toc193860030"/>
      <w:bookmarkStart w:id="46" w:name="_Toc193619097"/>
      <w:bookmarkStart w:id="47" w:name="_Toc193860211"/>
      <w:bookmarkStart w:id="48" w:name="_Toc193619055"/>
      <w:bookmarkStart w:id="49" w:name="_Toc500258937"/>
      <w:r>
        <w:rPr>
          <w:rFonts w:hint="eastAsia" w:asciiTheme="minorEastAsia" w:hAnsiTheme="minorEastAsia" w:eastAsiaTheme="minorEastAsia"/>
          <w:kern w:val="0"/>
          <w:sz w:val="24"/>
          <w:szCs w:val="20"/>
        </w:rPr>
        <w:t>凡是注日期的引用文件，仅注日期的版本适用于本规范；凡是不注日期的引用文件，其最新版本（包括所有的修改单）适用于本规范。</w:t>
      </w:r>
    </w:p>
    <w:p>
      <w:pPr>
        <w:pStyle w:val="5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272" w:hanging="272"/>
        <w:textAlignment w:val="auto"/>
        <w:outlineLvl w:val="0"/>
        <w:rPr>
          <w:rFonts w:hAnsi="Adobe 黑体 Std R"/>
          <w:sz w:val="24"/>
        </w:rPr>
      </w:pPr>
      <w:bookmarkStart w:id="50" w:name="_Toc804"/>
      <w:bookmarkStart w:id="51" w:name="_Toc10241"/>
      <w:r>
        <w:rPr>
          <w:rFonts w:hint="eastAsia" w:ascii="Times New Roman" w:hAnsi="Times New Roman"/>
          <w:sz w:val="24"/>
        </w:rPr>
        <w:t>3</w:t>
      </w:r>
      <w:r>
        <w:rPr>
          <w:rFonts w:hint="eastAsia" w:hAnsi="Adobe 黑体 Std R"/>
          <w:sz w:val="24"/>
        </w:rPr>
        <w:t xml:space="preserve"> 概述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outlineLvl w:val="1"/>
        <w:rPr>
          <w:rFonts w:hint="default" w:ascii="Times New Roman" w:hAnsi="Times New Roman" w:cs="Times New Roman" w:eastAsiaTheme="minorEastAsia"/>
          <w:kern w:val="0"/>
          <w:sz w:val="24"/>
          <w:szCs w:val="20"/>
        </w:rPr>
      </w:pPr>
      <w:bookmarkStart w:id="52" w:name="_Toc17873"/>
      <w:r>
        <w:rPr>
          <w:rFonts w:hint="default" w:ascii="Times New Roman" w:hAnsi="Times New Roman" w:cs="Times New Roman" w:eastAsiaTheme="minorEastAsia"/>
          <w:kern w:val="0"/>
          <w:sz w:val="24"/>
          <w:szCs w:val="20"/>
        </w:rPr>
        <w:t>3.1 仪器原理和用途</w:t>
      </w:r>
      <w:bookmarkEnd w:id="52"/>
      <w:r>
        <w:rPr>
          <w:rFonts w:hint="default" w:ascii="Times New Roman" w:hAnsi="Times New Roman" w:cs="Times New Roman" w:eastAsiaTheme="minorEastAsia"/>
          <w:kern w:val="0"/>
          <w:sz w:val="24"/>
          <w:szCs w:val="2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kern w:val="0"/>
          <w:sz w:val="36"/>
          <w:szCs w:val="20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0"/>
        </w:rPr>
        <w:t>直流电弧原子发射光谱仪（以下简称光谱仪）是将样品中待测元素的原子被激发而产生特征辐射,使用具有一定分辨力的探测器检测所有元素的特征辐射谱线，根据特征辐射谱线不同与强度大小,对各元素进行定性和定量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kern w:val="0"/>
          <w:sz w:val="24"/>
          <w:szCs w:val="20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0"/>
        </w:rPr>
        <w:t>光谱仪主要用于有色冶金、地质、电子、半导体、化工等领域的样品微量与痕量元素分析。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outlineLvl w:val="1"/>
        <w:rPr>
          <w:rFonts w:hint="default" w:ascii="Times New Roman" w:hAnsi="Times New Roman" w:cs="Times New Roman" w:eastAsiaTheme="minorEastAsia"/>
          <w:kern w:val="0"/>
          <w:sz w:val="24"/>
          <w:szCs w:val="20"/>
        </w:rPr>
      </w:pPr>
      <w:bookmarkStart w:id="53" w:name="_Toc26185"/>
      <w:r>
        <w:rPr>
          <w:rFonts w:hint="default" w:ascii="Times New Roman" w:hAnsi="Times New Roman" w:cs="Times New Roman" w:eastAsiaTheme="minorEastAsia"/>
          <w:kern w:val="0"/>
          <w:sz w:val="24"/>
          <w:szCs w:val="20"/>
        </w:rPr>
        <w:t>3.2 仪器结构</w:t>
      </w:r>
      <w:bookmarkEnd w:id="5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kern w:val="0"/>
          <w:sz w:val="24"/>
          <w:szCs w:val="20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0"/>
        </w:rPr>
        <w:t>光谱仪主要由进样装置、电弧</w:t>
      </w:r>
      <w:r>
        <w:rPr>
          <w:rFonts w:hint="default" w:ascii="Times New Roman" w:hAnsi="Times New Roman" w:cs="Times New Roman"/>
          <w:sz w:val="24"/>
        </w:rPr>
        <w:t>激发装置、探测器、控制与信号分析系统四部分组成。</w:t>
      </w:r>
    </w:p>
    <w:p>
      <w:pPr>
        <w:pStyle w:val="5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272" w:hanging="272"/>
        <w:textAlignment w:val="auto"/>
        <w:outlineLvl w:val="0"/>
        <w:rPr>
          <w:rFonts w:hint="eastAsia" w:ascii="Times New Roman" w:hAnsi="Times New Roman"/>
          <w:sz w:val="24"/>
        </w:rPr>
      </w:pPr>
      <w:bookmarkStart w:id="54" w:name="_Toc193619098"/>
      <w:bookmarkStart w:id="55" w:name="_Toc193619056"/>
      <w:bookmarkStart w:id="56" w:name="_Toc193618953"/>
      <w:bookmarkStart w:id="57" w:name="_Toc193860181"/>
      <w:bookmarkStart w:id="58" w:name="_Toc20725"/>
      <w:bookmarkStart w:id="59" w:name="_Toc193860031"/>
      <w:bookmarkStart w:id="60" w:name="_Toc30870"/>
      <w:bookmarkStart w:id="61" w:name="_Toc193860212"/>
      <w:bookmarkStart w:id="62" w:name="_Toc500258938"/>
      <w:r>
        <w:rPr>
          <w:rFonts w:hint="eastAsia" w:ascii="Times New Roman" w:hAnsi="Times New Roman"/>
          <w:sz w:val="24"/>
        </w:rPr>
        <w:t>4计量特性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>
      <w:pPr>
        <w:keepNext w:val="0"/>
        <w:keepLines w:val="0"/>
        <w:pageBreakBefore w:val="0"/>
        <w:widowControl w:val="0"/>
        <w:tabs>
          <w:tab w:val="left" w:pos="59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Theme="minorEastAsia"/>
          <w:sz w:val="24"/>
        </w:rPr>
      </w:pPr>
      <w:r>
        <w:rPr>
          <w:rFonts w:hint="eastAsia"/>
          <w:sz w:val="24"/>
        </w:rPr>
        <w:t>直</w:t>
      </w:r>
      <w:r>
        <w:rPr>
          <w:rFonts w:hint="eastAsia"/>
          <w:sz w:val="24"/>
          <w:lang w:val="en-US" w:eastAsia="zh-CN"/>
        </w:rPr>
        <w:t>流</w:t>
      </w:r>
      <w:r>
        <w:rPr>
          <w:rFonts w:hint="eastAsia"/>
          <w:sz w:val="24"/>
        </w:rPr>
        <w:t>电弧-原子发射光谱仪计量性能要求见表1。</w:t>
      </w:r>
      <w:r>
        <w:rPr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黑体" w:hAnsi="黑体" w:eastAsia="黑体" w:cs="黑体"/>
          <w:kern w:val="0"/>
          <w:sz w:val="24"/>
          <w:szCs w:val="20"/>
        </w:rPr>
      </w:pPr>
      <w:r>
        <w:rPr>
          <w:rFonts w:hint="eastAsia" w:ascii="黑体" w:hAnsi="黑体" w:eastAsia="黑体" w:cs="黑体"/>
          <w:kern w:val="0"/>
          <w:szCs w:val="20"/>
        </w:rPr>
        <w:t>表1</w:t>
      </w:r>
      <w:r>
        <w:rPr>
          <w:rFonts w:hint="eastAsia" w:ascii="黑体" w:hAnsi="黑体" w:eastAsia="黑体" w:cs="黑体"/>
          <w:kern w:val="0"/>
          <w:szCs w:val="2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kern w:val="0"/>
          <w:szCs w:val="20"/>
        </w:rPr>
        <w:t>光谱仪的主要检定项目及计量特性要求</w:t>
      </w:r>
    </w:p>
    <w:tbl>
      <w:tblPr>
        <w:tblStyle w:val="3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40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计量参数</w:t>
            </w:r>
          </w:p>
        </w:tc>
        <w:tc>
          <w:tcPr>
            <w:tcW w:w="403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计量技术要求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示值误差</w:t>
            </w:r>
          </w:p>
        </w:tc>
        <w:tc>
          <w:tcPr>
            <w:tcW w:w="40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</w:rPr>
              <w:t>±</w:t>
            </w:r>
            <w:r>
              <w:rPr>
                <w:rFonts w:ascii="Times New Roman" w:hAnsi="Times New Roman"/>
                <w:szCs w:val="21"/>
              </w:rPr>
              <w:t>40%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重复性</w:t>
            </w:r>
          </w:p>
        </w:tc>
        <w:tc>
          <w:tcPr>
            <w:tcW w:w="403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</w:t>
            </w:r>
            <w:r>
              <w:rPr>
                <w:rFonts w:ascii="Times New Roman" w:hAnsi="Times New Roman"/>
                <w:szCs w:val="21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稳定性</w:t>
            </w:r>
            <w:bookmarkStart w:id="124" w:name="_GoBack"/>
            <w:bookmarkEnd w:id="124"/>
          </w:p>
        </w:tc>
        <w:tc>
          <w:tcPr>
            <w:tcW w:w="40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</w:t>
            </w:r>
            <w:r>
              <w:rPr>
                <w:rFonts w:ascii="Times New Roman" w:hAnsi="Times New Roman"/>
                <w:szCs w:val="21"/>
              </w:rPr>
              <w:t>15%</w:t>
            </w:r>
          </w:p>
        </w:tc>
      </w:tr>
    </w:tbl>
    <w:p>
      <w:pPr>
        <w:pStyle w:val="5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272" w:hanging="272"/>
        <w:textAlignment w:val="auto"/>
        <w:outlineLvl w:val="9"/>
        <w:rPr>
          <w:rFonts w:hint="eastAsia" w:ascii="Times New Roman" w:hAnsi="Times New Roman"/>
          <w:sz w:val="24"/>
        </w:rPr>
      </w:pPr>
      <w:bookmarkStart w:id="63" w:name="_Toc25829_WPSOffice_Level1"/>
    </w:p>
    <w:p>
      <w:pPr>
        <w:pStyle w:val="5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272" w:hanging="272"/>
        <w:textAlignment w:val="auto"/>
        <w:outlineLvl w:val="0"/>
        <w:rPr>
          <w:rFonts w:hint="eastAsia" w:ascii="Times New Roman" w:hAnsi="Times New Roman"/>
          <w:sz w:val="24"/>
        </w:rPr>
      </w:pPr>
      <w:bookmarkStart w:id="64" w:name="_Toc20081"/>
      <w:bookmarkStart w:id="65" w:name="_Toc579"/>
      <w:r>
        <w:rPr>
          <w:rFonts w:hint="eastAsia" w:ascii="Times New Roman" w:hAnsi="Times New Roman"/>
          <w:sz w:val="24"/>
        </w:rPr>
        <w:t>5 校准条件</w:t>
      </w:r>
      <w:bookmarkEnd w:id="63"/>
      <w:bookmarkEnd w:id="64"/>
      <w:bookmarkEnd w:id="65"/>
      <w:bookmarkStart w:id="66" w:name="_Toc193860214"/>
      <w:bookmarkStart w:id="67" w:name="_Toc500258942"/>
      <w:bookmarkStart w:id="68" w:name="_Toc193860033"/>
      <w:bookmarkStart w:id="69" w:name="_Toc19386018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asciiTheme="minorEastAsia" w:hAnsiTheme="minorEastAsia" w:eastAsiaTheme="minorEastAsia"/>
          <w:sz w:val="24"/>
        </w:rPr>
      </w:pPr>
      <w:bookmarkStart w:id="70" w:name="_Toc4201"/>
      <w:r>
        <w:rPr>
          <w:rFonts w:ascii="Times New Roman" w:hAnsi="Times New Roman" w:eastAsiaTheme="minorEastAsia"/>
          <w:sz w:val="24"/>
        </w:rPr>
        <w:t>5.1</w:t>
      </w:r>
      <w:r>
        <w:rPr>
          <w:rFonts w:hint="eastAsia" w:asciiTheme="minorEastAsia" w:hAnsiTheme="minorEastAsia" w:eastAsiaTheme="minorEastAsia"/>
          <w:sz w:val="24"/>
        </w:rPr>
        <w:t xml:space="preserve"> 环境条件</w:t>
      </w:r>
      <w:bookmarkEnd w:id="7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Theme="minorEastAsia"/>
          <w:sz w:val="24"/>
        </w:rPr>
      </w:pPr>
      <w:r>
        <w:rPr>
          <w:rFonts w:ascii="Times New Roman" w:hAnsi="Times New Roman" w:eastAsiaTheme="minorEastAsia"/>
          <w:sz w:val="24"/>
        </w:rPr>
        <w:t>5.1.1环境温度（10～30）℃，相对湿度</w:t>
      </w:r>
      <w:r>
        <w:rPr>
          <w:rFonts w:asciiTheme="majorEastAsia" w:hAnsiTheme="majorEastAsia" w:eastAsiaTheme="majorEastAsia"/>
          <w:sz w:val="24"/>
        </w:rPr>
        <w:t>≤</w:t>
      </w:r>
      <w:r>
        <w:rPr>
          <w:rFonts w:ascii="Times New Roman" w:hAnsi="Times New Roman" w:eastAsiaTheme="minorEastAsia"/>
          <w:sz w:val="24"/>
        </w:rPr>
        <w:t>80%。如果设备规定了使用的环境温室度，校准活动应符合其</w:t>
      </w:r>
      <w:r>
        <w:rPr>
          <w:rFonts w:hint="eastAsia" w:ascii="Times New Roman" w:hAnsi="Times New Roman" w:eastAsiaTheme="minorEastAsia"/>
          <w:sz w:val="24"/>
        </w:rPr>
        <w:t>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Theme="minorEastAsia"/>
          <w:sz w:val="24"/>
        </w:rPr>
      </w:pPr>
      <w:r>
        <w:rPr>
          <w:rFonts w:ascii="Times New Roman" w:hAnsi="Times New Roman" w:eastAsiaTheme="minorEastAsia"/>
          <w:sz w:val="24"/>
        </w:rPr>
        <w:t>5.1.2无影响光谱仪正常工作的强烈电磁干扰与机械振动，无强烈气流、无粉尘，无易燃、易爆和强腐蚀性气体或试剂。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Theme="minorEastAsia"/>
          <w:sz w:val="24"/>
        </w:rPr>
      </w:pPr>
      <w:r>
        <w:rPr>
          <w:rFonts w:ascii="Times New Roman" w:hAnsi="Times New Roman" w:eastAsiaTheme="minorEastAsia"/>
          <w:sz w:val="24"/>
        </w:rPr>
        <w:t>5.1.3 电源：电压AC (220±22)V，频率(50±1)Hz。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asciiTheme="minorEastAsia" w:hAnsiTheme="minorEastAsia" w:eastAsiaTheme="minorEastAsia"/>
          <w:sz w:val="24"/>
        </w:rPr>
      </w:pPr>
      <w:bookmarkStart w:id="71" w:name="_Toc23970"/>
      <w:bookmarkStart w:id="72" w:name="_Hlk99029139"/>
      <w:r>
        <w:rPr>
          <w:rFonts w:ascii="Times New Roman" w:hAnsi="Times New Roman" w:eastAsiaTheme="minorEastAsia"/>
          <w:sz w:val="24"/>
        </w:rPr>
        <w:t>5.2</w:t>
      </w:r>
      <w:r>
        <w:rPr>
          <w:rFonts w:hint="eastAsia" w:asciiTheme="minorEastAsia" w:hAnsiTheme="minorEastAsia" w:eastAsiaTheme="minorEastAsia"/>
          <w:sz w:val="24"/>
        </w:rPr>
        <w:t xml:space="preserve"> 测量标准</w:t>
      </w:r>
      <w:bookmarkEnd w:id="71"/>
    </w:p>
    <w:bookmarkEnd w:id="66"/>
    <w:bookmarkEnd w:id="67"/>
    <w:bookmarkEnd w:id="68"/>
    <w:bookmarkEnd w:id="69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Theme="minorEastAsia"/>
          <w:sz w:val="24"/>
        </w:rPr>
      </w:pPr>
      <w:bookmarkStart w:id="73" w:name="_Toc193860216"/>
      <w:bookmarkStart w:id="74" w:name="_Toc193618955"/>
      <w:bookmarkStart w:id="75" w:name="_Toc193619058"/>
      <w:bookmarkStart w:id="76" w:name="_Toc193619100"/>
      <w:bookmarkStart w:id="77" w:name="_Toc193860185"/>
      <w:bookmarkStart w:id="78" w:name="_Toc500258944"/>
      <w:bookmarkStart w:id="79" w:name="_Toc2741_WPSOffice_Level1"/>
      <w:bookmarkStart w:id="80" w:name="_Toc193860035"/>
      <w:r>
        <w:rPr>
          <w:rFonts w:hint="eastAsia" w:ascii="Times New Roman" w:hAnsi="Times New Roman" w:eastAsiaTheme="minorEastAsia"/>
          <w:sz w:val="24"/>
        </w:rPr>
        <w:t>5</w:t>
      </w:r>
      <w:r>
        <w:rPr>
          <w:rFonts w:ascii="Times New Roman" w:hAnsi="Times New Roman" w:eastAsiaTheme="minorEastAsia"/>
          <w:sz w:val="24"/>
        </w:rPr>
        <w:t>.2.1金属基体有证标准物质，相对扩展不确定度不大于10% (k=2)。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5</w:t>
      </w:r>
      <w:r>
        <w:rPr>
          <w:rFonts w:ascii="Times New Roman" w:hAnsi="Times New Roman" w:eastAsiaTheme="minorEastAsia"/>
          <w:sz w:val="24"/>
        </w:rPr>
        <w:t>.2.2兆欧表：</w:t>
      </w:r>
      <w:r>
        <w:rPr>
          <w:rFonts w:hint="eastAsia" w:ascii="Times New Roman" w:hAnsi="Times New Roman" w:eastAsiaTheme="minorEastAsia"/>
          <w:sz w:val="24"/>
        </w:rPr>
        <w:t>1</w:t>
      </w:r>
      <w:r>
        <w:rPr>
          <w:rFonts w:ascii="Times New Roman" w:hAnsi="Times New Roman" w:eastAsiaTheme="minorEastAsia"/>
          <w:sz w:val="24"/>
        </w:rPr>
        <w:t>000V</w:t>
      </w:r>
    </w:p>
    <w:bookmarkEnd w:id="72"/>
    <w:p>
      <w:pPr>
        <w:pStyle w:val="5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hanging="312" w:hangingChars="130"/>
        <w:textAlignment w:val="auto"/>
        <w:outlineLvl w:val="0"/>
        <w:rPr>
          <w:rFonts w:hint="eastAsia" w:ascii="Times New Roman" w:hAnsi="Times New Roman"/>
          <w:color w:val="000000"/>
          <w:sz w:val="24"/>
        </w:rPr>
      </w:pPr>
      <w:bookmarkStart w:id="81" w:name="_Toc1442"/>
      <w:bookmarkStart w:id="82" w:name="_Toc25448"/>
      <w:r>
        <w:rPr>
          <w:rFonts w:hint="eastAsia" w:ascii="Times New Roman" w:hAnsi="Times New Roman"/>
          <w:color w:val="000000"/>
          <w:sz w:val="24"/>
        </w:rPr>
        <w:t>6 校准项目和校准方法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1"/>
        <w:rPr>
          <w:rFonts w:asciiTheme="minorEastAsia" w:hAnsiTheme="minorEastAsia" w:eastAsiaTheme="minorEastAsia"/>
          <w:color w:val="auto"/>
          <w:sz w:val="24"/>
        </w:rPr>
      </w:pPr>
      <w:bookmarkStart w:id="83" w:name="_Toc500258945"/>
      <w:bookmarkStart w:id="84" w:name="_Toc19571"/>
      <w:r>
        <w:rPr>
          <w:rFonts w:hint="eastAsia" w:ascii="Times New Roman" w:hAnsi="Times New Roman"/>
          <w:color w:val="auto"/>
          <w:kern w:val="0"/>
          <w:sz w:val="24"/>
          <w:szCs w:val="20"/>
        </w:rPr>
        <w:t>6.1</w:t>
      </w:r>
      <w:r>
        <w:rPr>
          <w:rFonts w:hint="eastAsia" w:asciiTheme="minorEastAsia" w:hAnsiTheme="minorEastAsia" w:eastAsiaTheme="minorEastAsia"/>
          <w:color w:val="auto"/>
          <w:sz w:val="24"/>
        </w:rPr>
        <w:t xml:space="preserve"> 校准项目</w:t>
      </w:r>
      <w:bookmarkEnd w:id="83"/>
      <w:bookmarkEnd w:id="84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ascii="宋体" w:hAnsi="宋体"/>
          <w:color w:val="auto"/>
          <w:kern w:val="0"/>
          <w:sz w:val="24"/>
          <w:szCs w:val="20"/>
        </w:rPr>
      </w:pPr>
      <w:r>
        <w:rPr>
          <w:rFonts w:hint="eastAsia" w:ascii="Times New Roman" w:hAnsi="Times New Roman"/>
          <w:color w:val="auto"/>
          <w:kern w:val="0"/>
          <w:sz w:val="24"/>
          <w:szCs w:val="20"/>
        </w:rPr>
        <w:t>6.1.1</w:t>
      </w:r>
      <w:r>
        <w:rPr>
          <w:rFonts w:hint="eastAsia" w:ascii="宋体" w:hAnsi="宋体"/>
          <w:color w:val="auto"/>
          <w:kern w:val="0"/>
          <w:sz w:val="24"/>
          <w:szCs w:val="20"/>
        </w:rPr>
        <w:t xml:space="preserve"> 外观及通用要求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/>
          <w:color w:val="auto"/>
          <w:kern w:val="0"/>
          <w:sz w:val="24"/>
          <w:szCs w:val="20"/>
        </w:rPr>
      </w:pPr>
      <w:r>
        <w:rPr>
          <w:rFonts w:hint="eastAsia" w:ascii="Times New Roman" w:hAnsi="Times New Roman"/>
          <w:color w:val="auto"/>
          <w:kern w:val="0"/>
          <w:sz w:val="24"/>
          <w:szCs w:val="20"/>
        </w:rPr>
        <w:t>6</w:t>
      </w:r>
      <w:r>
        <w:rPr>
          <w:rFonts w:ascii="Times New Roman" w:hAnsi="Times New Roman"/>
          <w:color w:val="auto"/>
          <w:kern w:val="0"/>
          <w:sz w:val="24"/>
          <w:szCs w:val="20"/>
        </w:rPr>
        <w:t>.1.1.1仪器应有仪器名称、型号、制造</w:t>
      </w:r>
      <w:r>
        <w:rPr>
          <w:rFonts w:hint="eastAsia" w:ascii="Times New Roman" w:hAnsi="Times New Roman"/>
          <w:color w:val="auto"/>
          <w:kern w:val="0"/>
          <w:sz w:val="24"/>
          <w:szCs w:val="20"/>
        </w:rPr>
        <w:t>公司</w:t>
      </w:r>
      <w:r>
        <w:rPr>
          <w:rFonts w:ascii="Times New Roman" w:hAnsi="Times New Roman"/>
          <w:color w:val="auto"/>
          <w:kern w:val="0"/>
          <w:sz w:val="24"/>
          <w:szCs w:val="20"/>
        </w:rPr>
        <w:t>、出厂编号与出厂日期。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/>
          <w:color w:val="auto"/>
          <w:kern w:val="0"/>
          <w:sz w:val="24"/>
          <w:szCs w:val="20"/>
        </w:rPr>
      </w:pPr>
      <w:r>
        <w:rPr>
          <w:rFonts w:hint="eastAsia" w:ascii="Times New Roman" w:hAnsi="Times New Roman"/>
          <w:color w:val="auto"/>
          <w:kern w:val="0"/>
          <w:sz w:val="24"/>
          <w:szCs w:val="20"/>
        </w:rPr>
        <w:t>6</w:t>
      </w:r>
      <w:r>
        <w:rPr>
          <w:rFonts w:ascii="Times New Roman" w:hAnsi="Times New Roman"/>
          <w:color w:val="auto"/>
          <w:kern w:val="0"/>
          <w:sz w:val="24"/>
          <w:szCs w:val="20"/>
        </w:rPr>
        <w:t>.1.1.2仪器所有</w:t>
      </w:r>
      <w:r>
        <w:rPr>
          <w:rFonts w:hint="eastAsia" w:ascii="Times New Roman" w:hAnsi="Times New Roman"/>
          <w:color w:val="auto"/>
          <w:kern w:val="0"/>
          <w:sz w:val="24"/>
          <w:szCs w:val="20"/>
        </w:rPr>
        <w:t>部件连接</w:t>
      </w:r>
      <w:r>
        <w:rPr>
          <w:rFonts w:ascii="Times New Roman" w:hAnsi="Times New Roman"/>
          <w:color w:val="auto"/>
          <w:kern w:val="0"/>
          <w:sz w:val="24"/>
          <w:szCs w:val="20"/>
        </w:rPr>
        <w:t>良好</w:t>
      </w:r>
      <w:r>
        <w:rPr>
          <w:rFonts w:hint="eastAsia" w:ascii="Times New Roman" w:hAnsi="Times New Roman"/>
          <w:color w:val="auto"/>
          <w:kern w:val="0"/>
          <w:sz w:val="24"/>
          <w:szCs w:val="20"/>
        </w:rPr>
        <w:t>；可活动</w:t>
      </w:r>
      <w:r>
        <w:rPr>
          <w:rFonts w:ascii="Times New Roman" w:hAnsi="Times New Roman"/>
          <w:color w:val="auto"/>
          <w:kern w:val="0"/>
          <w:sz w:val="24"/>
          <w:szCs w:val="20"/>
        </w:rPr>
        <w:t>部位应灵活平稳</w:t>
      </w:r>
      <w:r>
        <w:rPr>
          <w:rFonts w:hint="eastAsia" w:ascii="Times New Roman" w:hAnsi="Times New Roman"/>
          <w:color w:val="auto"/>
          <w:kern w:val="0"/>
          <w:sz w:val="24"/>
          <w:szCs w:val="20"/>
        </w:rPr>
        <w:t>；</w:t>
      </w:r>
      <w:r>
        <w:rPr>
          <w:rFonts w:ascii="Times New Roman" w:hAnsi="Times New Roman"/>
          <w:color w:val="auto"/>
          <w:kern w:val="0"/>
          <w:sz w:val="24"/>
          <w:szCs w:val="20"/>
        </w:rPr>
        <w:t>气路系统应密封可靠</w:t>
      </w:r>
      <w:r>
        <w:rPr>
          <w:rFonts w:hint="eastAsia" w:ascii="Times New Roman" w:hAnsi="Times New Roman"/>
          <w:color w:val="auto"/>
          <w:kern w:val="0"/>
          <w:sz w:val="24"/>
          <w:szCs w:val="20"/>
        </w:rPr>
        <w:t>，</w:t>
      </w:r>
      <w:r>
        <w:rPr>
          <w:rFonts w:ascii="Times New Roman" w:hAnsi="Times New Roman"/>
          <w:color w:val="auto"/>
          <w:kern w:val="0"/>
          <w:sz w:val="24"/>
          <w:szCs w:val="20"/>
        </w:rPr>
        <w:t>不得泄漏。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/>
          <w:color w:val="auto"/>
          <w:kern w:val="0"/>
          <w:sz w:val="24"/>
          <w:szCs w:val="20"/>
        </w:rPr>
      </w:pPr>
      <w:r>
        <w:rPr>
          <w:rFonts w:hint="eastAsia" w:ascii="Times New Roman" w:hAnsi="Times New Roman"/>
          <w:color w:val="auto"/>
          <w:kern w:val="0"/>
          <w:sz w:val="24"/>
          <w:szCs w:val="20"/>
        </w:rPr>
        <w:t>6</w:t>
      </w:r>
      <w:r>
        <w:rPr>
          <w:rFonts w:ascii="Times New Roman" w:hAnsi="Times New Roman"/>
          <w:color w:val="auto"/>
          <w:kern w:val="0"/>
          <w:sz w:val="24"/>
          <w:szCs w:val="20"/>
        </w:rPr>
        <w:t>.1.1.3仪器所有功能键应能正常使用</w:t>
      </w:r>
      <w:r>
        <w:rPr>
          <w:rFonts w:hint="eastAsia" w:ascii="Times New Roman" w:hAnsi="Times New Roman"/>
          <w:color w:val="auto"/>
          <w:kern w:val="0"/>
          <w:sz w:val="24"/>
          <w:szCs w:val="20"/>
        </w:rPr>
        <w:t>；</w:t>
      </w:r>
      <w:r>
        <w:rPr>
          <w:rFonts w:ascii="Times New Roman" w:hAnsi="Times New Roman"/>
          <w:color w:val="auto"/>
          <w:kern w:val="0"/>
          <w:sz w:val="24"/>
          <w:szCs w:val="20"/>
        </w:rPr>
        <w:t>测试软件应</w:t>
      </w:r>
      <w:r>
        <w:rPr>
          <w:rFonts w:hint="eastAsia" w:ascii="Times New Roman" w:hAnsi="Times New Roman"/>
          <w:color w:val="auto"/>
          <w:kern w:val="0"/>
          <w:sz w:val="24"/>
          <w:szCs w:val="20"/>
        </w:rPr>
        <w:t>能正常控制设备相关模块，保证测试过程</w:t>
      </w:r>
      <w:r>
        <w:rPr>
          <w:rFonts w:ascii="Times New Roman" w:hAnsi="Times New Roman"/>
          <w:color w:val="auto"/>
          <w:kern w:val="0"/>
          <w:sz w:val="24"/>
          <w:szCs w:val="20"/>
        </w:rPr>
        <w:t>的</w:t>
      </w:r>
      <w:r>
        <w:rPr>
          <w:rFonts w:hint="eastAsia" w:ascii="Times New Roman" w:hAnsi="Times New Roman"/>
          <w:color w:val="auto"/>
          <w:kern w:val="0"/>
          <w:sz w:val="24"/>
          <w:szCs w:val="20"/>
        </w:rPr>
        <w:t>正常实施。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/>
          <w:color w:val="auto"/>
          <w:kern w:val="0"/>
          <w:sz w:val="24"/>
          <w:szCs w:val="20"/>
        </w:rPr>
      </w:pPr>
      <w:r>
        <w:rPr>
          <w:rFonts w:hint="eastAsia" w:ascii="Times New Roman" w:hAnsi="Times New Roman"/>
          <w:color w:val="auto"/>
          <w:kern w:val="0"/>
          <w:sz w:val="24"/>
          <w:szCs w:val="20"/>
        </w:rPr>
        <w:t>6.1.2</w:t>
      </w:r>
      <w:r>
        <w:rPr>
          <w:rFonts w:ascii="Times New Roman" w:hAnsi="Times New Roman"/>
          <w:color w:val="auto"/>
          <w:kern w:val="0"/>
          <w:sz w:val="24"/>
          <w:szCs w:val="20"/>
        </w:rPr>
        <w:t xml:space="preserve">安全性能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Times New Roman" w:hAnsi="Times New Roman"/>
          <w:color w:val="auto"/>
          <w:kern w:val="0"/>
          <w:sz w:val="24"/>
          <w:szCs w:val="20"/>
        </w:rPr>
      </w:pPr>
      <w:r>
        <w:rPr>
          <w:rFonts w:ascii="Times New Roman" w:hAnsi="Times New Roman"/>
          <w:color w:val="auto"/>
          <w:kern w:val="0"/>
          <w:sz w:val="24"/>
          <w:szCs w:val="20"/>
        </w:rPr>
        <w:t>仪器接地良好，绝缘电阻应不小于20MΩ。</w:t>
      </w:r>
    </w:p>
    <w:p>
      <w:pPr>
        <w:pStyle w:val="55"/>
        <w:keepNext w:val="0"/>
        <w:keepLines w:val="0"/>
        <w:pageBreakBefore w:val="0"/>
        <w:tabs>
          <w:tab w:val="left" w:pos="5725"/>
        </w:tabs>
        <w:kinsoku/>
        <w:wordWrap/>
        <w:overflowPunct/>
        <w:topLinePunct w:val="0"/>
        <w:bidi w:val="0"/>
        <w:adjustRightInd/>
        <w:snapToGrid/>
        <w:spacing w:line="360" w:lineRule="auto"/>
        <w:ind w:firstLine="0" w:firstLineChars="0"/>
        <w:textAlignment w:val="auto"/>
        <w:rPr>
          <w:rFonts w:hAnsi="宋体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6.1.</w:t>
      </w:r>
      <w:r>
        <w:rPr>
          <w:rFonts w:ascii="Times New Roman" w:hAnsi="Times New Roman"/>
          <w:color w:val="auto"/>
          <w:sz w:val="24"/>
        </w:rPr>
        <w:t>3</w:t>
      </w:r>
      <w:r>
        <w:rPr>
          <w:rFonts w:hint="eastAsia" w:hAnsi="宋体"/>
          <w:color w:val="auto"/>
          <w:sz w:val="24"/>
        </w:rPr>
        <w:t xml:space="preserve"> 校准项目</w:t>
      </w:r>
      <w:r>
        <w:rPr>
          <w:rFonts w:hAnsi="宋体"/>
          <w:color w:val="auto"/>
          <w:sz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>校准项目见表</w:t>
      </w:r>
      <w:r>
        <w:rPr>
          <w:rFonts w:hint="eastAsia" w:ascii="Times New Roman" w:hAnsi="Times New Roman" w:eastAsiaTheme="minorEastAsia"/>
          <w:color w:val="auto"/>
          <w:sz w:val="24"/>
        </w:rPr>
        <w:t>2</w:t>
      </w:r>
      <w:r>
        <w:rPr>
          <w:rFonts w:hint="eastAsia" w:hAnsi="宋体"/>
          <w:color w:val="auto"/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eastAsia="黑体"/>
        </w:rPr>
      </w:pPr>
      <w:r>
        <w:rPr>
          <w:rFonts w:hint="eastAsia" w:eastAsia="黑体"/>
        </w:rPr>
        <w:t>表</w:t>
      </w:r>
      <w:r>
        <w:rPr>
          <w:rFonts w:hint="eastAsia" w:ascii="Times New Roman" w:hAnsi="Times New Roman" w:eastAsia="黑体"/>
        </w:rPr>
        <w:t>2</w:t>
      </w:r>
      <w:r>
        <w:rPr>
          <w:rFonts w:hint="eastAsia" w:eastAsia="黑体"/>
        </w:rPr>
        <w:t xml:space="preserve"> </w:t>
      </w:r>
      <w:r>
        <w:rPr>
          <w:rFonts w:hint="eastAsia" w:eastAsia="黑体"/>
          <w:lang w:val="en-US" w:eastAsia="zh-CN"/>
        </w:rPr>
        <w:t xml:space="preserve"> </w:t>
      </w:r>
      <w:r>
        <w:rPr>
          <w:rFonts w:hint="eastAsia" w:eastAsia="黑体"/>
        </w:rPr>
        <w:t>校准项目表</w:t>
      </w:r>
    </w:p>
    <w:tbl>
      <w:tblPr>
        <w:tblStyle w:val="29"/>
        <w:tblW w:w="370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5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03" w:type="pct"/>
            <w:vAlign w:val="center"/>
          </w:tcPr>
          <w:p>
            <w:pPr>
              <w:pStyle w:val="55"/>
              <w:ind w:firstLine="0" w:firstLineChars="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Cs w:val="22"/>
                <w:lang w:bidi="en-US"/>
              </w:rPr>
              <w:t>序号</w:t>
            </w:r>
          </w:p>
        </w:tc>
        <w:tc>
          <w:tcPr>
            <w:tcW w:w="3697" w:type="pct"/>
            <w:vAlign w:val="center"/>
          </w:tcPr>
          <w:p>
            <w:pPr>
              <w:pStyle w:val="55"/>
              <w:ind w:firstLine="0" w:firstLineChars="0"/>
              <w:jc w:val="center"/>
              <w:rPr>
                <w:rFonts w:cs="宋体" w:asciiTheme="minorEastAsia" w:hAnsiTheme="minorEastAsia" w:eastAsiaTheme="minorEastAsia"/>
                <w:szCs w:val="22"/>
                <w:lang w:bidi="en-US"/>
              </w:rPr>
            </w:pPr>
            <w:r>
              <w:rPr>
                <w:rFonts w:hint="eastAsia" w:cs="宋体" w:asciiTheme="minorEastAsia" w:hAnsiTheme="minorEastAsia" w:eastAsiaTheme="minorEastAsia"/>
                <w:szCs w:val="22"/>
                <w:lang w:bidi="en-US"/>
              </w:rPr>
              <w:t>校准项目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03" w:type="pct"/>
            <w:vAlign w:val="center"/>
          </w:tcPr>
          <w:p>
            <w:pPr>
              <w:pStyle w:val="55"/>
              <w:ind w:firstLine="0" w:firstLineChars="0"/>
              <w:jc w:val="center"/>
              <w:rPr>
                <w:rFonts w:ascii="Times New Roman" w:hAnsi="Times New Roman" w:eastAsiaTheme="minorEastAsia"/>
                <w:kern w:val="2"/>
                <w:szCs w:val="24"/>
              </w:rPr>
            </w:pPr>
            <w:r>
              <w:rPr>
                <w:rFonts w:ascii="Times New Roman" w:hAnsi="Times New Roman" w:eastAsiaTheme="minorEastAsia"/>
                <w:kern w:val="2"/>
                <w:szCs w:val="24"/>
              </w:rPr>
              <w:t>1</w:t>
            </w:r>
          </w:p>
        </w:tc>
        <w:tc>
          <w:tcPr>
            <w:tcW w:w="3697" w:type="pct"/>
            <w:vAlign w:val="center"/>
          </w:tcPr>
          <w:p>
            <w:pPr>
              <w:pStyle w:val="55"/>
              <w:ind w:firstLine="0" w:firstLineChars="0"/>
              <w:jc w:val="center"/>
              <w:rPr>
                <w:rFonts w:cs="宋体" w:asciiTheme="minorEastAsia" w:hAnsiTheme="minorEastAsia" w:eastAsiaTheme="minorEastAsia"/>
                <w:szCs w:val="22"/>
                <w:lang w:bidi="en-US"/>
              </w:rPr>
            </w:pPr>
            <w:r>
              <w:rPr>
                <w:rFonts w:hint="eastAsia" w:cs="宋体" w:asciiTheme="minorEastAsia" w:hAnsiTheme="minorEastAsia" w:eastAsiaTheme="minorEastAsia"/>
                <w:szCs w:val="22"/>
                <w:lang w:bidi="en-US"/>
              </w:rPr>
              <w:t>外观及通用要求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pStyle w:val="55"/>
              <w:ind w:firstLine="0" w:firstLineChars="0"/>
              <w:jc w:val="center"/>
              <w:rPr>
                <w:rFonts w:ascii="Times New Roman" w:hAnsi="Times New Roman" w:eastAsiaTheme="minorEastAsia"/>
                <w:kern w:val="2"/>
                <w:szCs w:val="24"/>
              </w:rPr>
            </w:pPr>
            <w:r>
              <w:rPr>
                <w:rFonts w:ascii="Times New Roman" w:hAnsi="Times New Roman" w:eastAsiaTheme="minorEastAsia"/>
                <w:kern w:val="2"/>
                <w:szCs w:val="24"/>
              </w:rPr>
              <w:t>2</w:t>
            </w:r>
          </w:p>
        </w:tc>
        <w:tc>
          <w:tcPr>
            <w:tcW w:w="3697" w:type="pct"/>
            <w:vAlign w:val="center"/>
          </w:tcPr>
          <w:p>
            <w:pPr>
              <w:pStyle w:val="87"/>
              <w:spacing w:before="32"/>
              <w:ind w:right="41"/>
              <w:jc w:val="center"/>
              <w:rPr>
                <w:rFonts w:asciiTheme="minorEastAsia" w:hAnsiTheme="minorEastAsia" w:eastAsia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eastAsia="zh-CN"/>
              </w:rPr>
              <w:t>绝缘电阻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pStyle w:val="55"/>
              <w:ind w:firstLine="0" w:firstLineChars="0"/>
              <w:jc w:val="center"/>
              <w:rPr>
                <w:rFonts w:ascii="Times New Roman" w:hAnsi="Times New Roman" w:eastAsiaTheme="minorEastAsia"/>
                <w:kern w:val="2"/>
                <w:szCs w:val="24"/>
              </w:rPr>
            </w:pPr>
            <w:r>
              <w:rPr>
                <w:rFonts w:ascii="Times New Roman" w:hAnsi="Times New Roman" w:eastAsiaTheme="minorEastAsia"/>
                <w:kern w:val="2"/>
                <w:szCs w:val="24"/>
              </w:rPr>
              <w:t>3</w:t>
            </w:r>
          </w:p>
        </w:tc>
        <w:tc>
          <w:tcPr>
            <w:tcW w:w="3697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示值误差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pStyle w:val="55"/>
              <w:ind w:firstLine="0" w:firstLineChars="0"/>
              <w:jc w:val="center"/>
              <w:rPr>
                <w:rFonts w:ascii="Times New Roman" w:hAnsi="Times New Roman" w:eastAsiaTheme="minorEastAsia"/>
                <w:kern w:val="2"/>
                <w:szCs w:val="24"/>
              </w:rPr>
            </w:pPr>
            <w:r>
              <w:rPr>
                <w:rFonts w:ascii="Times New Roman" w:hAnsi="Times New Roman" w:eastAsiaTheme="minorEastAsia"/>
                <w:kern w:val="2"/>
                <w:szCs w:val="24"/>
              </w:rPr>
              <w:t>4</w:t>
            </w:r>
          </w:p>
        </w:tc>
        <w:tc>
          <w:tcPr>
            <w:tcW w:w="3697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重复性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pStyle w:val="55"/>
              <w:ind w:firstLine="0" w:firstLineChars="0"/>
              <w:jc w:val="center"/>
              <w:rPr>
                <w:rFonts w:ascii="Times New Roman" w:hAnsi="Times New Roman" w:eastAsiaTheme="minorEastAsia"/>
                <w:kern w:val="2"/>
                <w:szCs w:val="24"/>
              </w:rPr>
            </w:pPr>
            <w:r>
              <w:rPr>
                <w:rFonts w:ascii="Times New Roman" w:hAnsi="Times New Roman" w:eastAsiaTheme="minorEastAsia"/>
                <w:kern w:val="2"/>
                <w:szCs w:val="24"/>
              </w:rPr>
              <w:t>5</w:t>
            </w:r>
          </w:p>
        </w:tc>
        <w:tc>
          <w:tcPr>
            <w:tcW w:w="3697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稳定性</w:t>
            </w:r>
          </w:p>
        </w:tc>
      </w:tr>
    </w:tbl>
    <w:p>
      <w:pPr>
        <w:spacing w:line="360" w:lineRule="auto"/>
        <w:outlineLvl w:val="1"/>
        <w:rPr>
          <w:rFonts w:asciiTheme="minorEastAsia" w:hAnsiTheme="minorEastAsia" w:eastAsiaTheme="minorEastAsia"/>
          <w:sz w:val="24"/>
        </w:rPr>
      </w:pPr>
      <w:bookmarkStart w:id="85" w:name="_Toc6699"/>
      <w:r>
        <w:rPr>
          <w:rFonts w:hint="eastAsia" w:ascii="Times New Roman" w:hAnsi="Times New Roman"/>
          <w:kern w:val="0"/>
          <w:sz w:val="24"/>
          <w:szCs w:val="20"/>
        </w:rPr>
        <w:t>6.2</w:t>
      </w:r>
      <w:r>
        <w:rPr>
          <w:rFonts w:hint="eastAsia" w:asciiTheme="minorEastAsia" w:hAnsiTheme="minorEastAsia" w:eastAsiaTheme="minorEastAsia"/>
          <w:sz w:val="24"/>
        </w:rPr>
        <w:t xml:space="preserve"> 校准方法</w:t>
      </w:r>
      <w:bookmarkEnd w:id="8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="Times New Roman" w:hAnsi="Times New Roman"/>
          <w:kern w:val="0"/>
          <w:sz w:val="24"/>
          <w:szCs w:val="20"/>
        </w:rPr>
        <w:t>6.2.1</w:t>
      </w:r>
      <w:r>
        <w:rPr>
          <w:rFonts w:hint="eastAsia" w:asciiTheme="minorEastAsia" w:hAnsiTheme="minorEastAsia" w:eastAsiaTheme="minorEastAsia"/>
          <w:sz w:val="24"/>
        </w:rPr>
        <w:t xml:space="preserve"> 外观及通用要求的检查</w:t>
      </w:r>
    </w:p>
    <w:p>
      <w:pPr>
        <w:spacing w:line="360" w:lineRule="auto"/>
        <w:ind w:firstLine="48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按</w:t>
      </w:r>
      <w:r>
        <w:rPr>
          <w:rFonts w:ascii="Times New Roman" w:hAnsi="Times New Roman" w:eastAsiaTheme="minorEastAsia"/>
          <w:sz w:val="24"/>
        </w:rPr>
        <w:t>6.1.1</w:t>
      </w:r>
      <w:r>
        <w:rPr>
          <w:rFonts w:asciiTheme="minorEastAsia" w:hAnsiTheme="minorEastAsia" w:eastAsiaTheme="minorEastAsia"/>
          <w:sz w:val="24"/>
        </w:rPr>
        <w:t>要求</w:t>
      </w:r>
      <w:r>
        <w:rPr>
          <w:rFonts w:hint="eastAsia" w:asciiTheme="minorEastAsia" w:hAnsiTheme="minorEastAsia" w:eastAsiaTheme="minorEastAsia"/>
          <w:sz w:val="24"/>
        </w:rPr>
        <w:t>，采用目视观察法检查仪器外观和铭牌内容；接通电源检查设备（含附件）、测试软件</w:t>
      </w:r>
      <w:r>
        <w:rPr>
          <w:rFonts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压力表、气路密闭性等运行是否正常，</w:t>
      </w:r>
      <w:r>
        <w:rPr>
          <w:rFonts w:asciiTheme="minorEastAsia" w:hAnsiTheme="minorEastAsia" w:eastAsiaTheme="minorEastAsia"/>
          <w:sz w:val="24"/>
        </w:rPr>
        <w:t>在确定无影响计量特性的因素后，再进行校准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spacing w:line="360" w:lineRule="auto"/>
        <w:rPr>
          <w:rFonts w:ascii="Times New Roman" w:hAnsi="Times New Roman" w:eastAsiaTheme="minorEastAsia"/>
          <w:sz w:val="24"/>
        </w:rPr>
      </w:pPr>
      <w:r>
        <w:rPr>
          <w:rFonts w:ascii="Times New Roman" w:hAnsi="Times New Roman" w:eastAsiaTheme="minorEastAsia"/>
          <w:sz w:val="24"/>
        </w:rPr>
        <w:t>6.2.2安全性能的</w:t>
      </w:r>
      <w:r>
        <w:rPr>
          <w:rFonts w:hint="eastAsia" w:ascii="Times New Roman" w:hAnsi="Times New Roman" w:eastAsiaTheme="minorEastAsia"/>
          <w:sz w:val="24"/>
        </w:rPr>
        <w:t>检查</w:t>
      </w:r>
      <w:r>
        <w:rPr>
          <w:rFonts w:ascii="Times New Roman" w:hAnsi="Times New Roman" w:eastAsiaTheme="minorEastAsia"/>
          <w:sz w:val="24"/>
        </w:rPr>
        <w:t xml:space="preserve"> 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Theme="minorEastAsia"/>
          <w:sz w:val="24"/>
        </w:rPr>
      </w:pPr>
      <w:r>
        <w:rPr>
          <w:rFonts w:ascii="Times New Roman" w:hAnsi="Times New Roman" w:eastAsiaTheme="minorEastAsia"/>
          <w:sz w:val="24"/>
        </w:rPr>
        <w:t>在未接通电源时</w:t>
      </w:r>
      <w:r>
        <w:rPr>
          <w:rFonts w:hint="eastAsia" w:ascii="Times New Roman" w:hAnsi="Times New Roman" w:eastAsiaTheme="minorEastAsia"/>
          <w:sz w:val="24"/>
        </w:rPr>
        <w:t>，</w:t>
      </w:r>
      <w:r>
        <w:rPr>
          <w:rFonts w:ascii="Times New Roman" w:hAnsi="Times New Roman" w:eastAsiaTheme="minorEastAsia"/>
          <w:sz w:val="24"/>
        </w:rPr>
        <w:t>打开仪器开关</w:t>
      </w:r>
      <w:r>
        <w:rPr>
          <w:rFonts w:hint="eastAsia" w:ascii="Times New Roman" w:hAnsi="Times New Roman" w:eastAsiaTheme="minorEastAsia"/>
          <w:sz w:val="24"/>
        </w:rPr>
        <w:t>，</w:t>
      </w:r>
      <w:r>
        <w:rPr>
          <w:rFonts w:ascii="Times New Roman" w:hAnsi="Times New Roman" w:eastAsiaTheme="minorEastAsia"/>
          <w:sz w:val="24"/>
        </w:rPr>
        <w:t>用兆欧表测量电源进线端（相线或中线）与机壳间的绝缘电阻。</w:t>
      </w:r>
    </w:p>
    <w:p>
      <w:pPr>
        <w:spacing w:line="360" w:lineRule="auto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/>
          <w:kern w:val="0"/>
          <w:sz w:val="24"/>
          <w:szCs w:val="20"/>
        </w:rPr>
        <w:t>6</w:t>
      </w:r>
      <w:r>
        <w:rPr>
          <w:rFonts w:ascii="Times New Roman" w:hAnsi="Times New Roman"/>
          <w:kern w:val="0"/>
          <w:sz w:val="24"/>
          <w:szCs w:val="20"/>
        </w:rPr>
        <w:t>.</w:t>
      </w:r>
      <w:r>
        <w:rPr>
          <w:rFonts w:hint="eastAsia" w:ascii="Times New Roman" w:hAnsi="Times New Roman"/>
          <w:kern w:val="0"/>
          <w:sz w:val="24"/>
          <w:szCs w:val="20"/>
        </w:rPr>
        <w:t>2.</w:t>
      </w:r>
      <w:r>
        <w:rPr>
          <w:rFonts w:ascii="Times New Roman" w:hAnsi="Times New Roman"/>
          <w:kern w:val="0"/>
          <w:sz w:val="24"/>
          <w:szCs w:val="20"/>
        </w:rPr>
        <w:t>3</w:t>
      </w:r>
      <w:r>
        <w:rPr>
          <w:rFonts w:ascii="Times New Roman" w:hAnsi="Times New Roman" w:eastAsiaTheme="minorEastAsia"/>
          <w:sz w:val="24"/>
        </w:rPr>
        <w:t>示值误差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Theme="minorEastAsia"/>
          <w:sz w:val="24"/>
        </w:rPr>
      </w:pPr>
      <w:r>
        <w:rPr>
          <w:rFonts w:ascii="Times New Roman" w:hAnsi="Times New Roman" w:eastAsiaTheme="minorEastAsia"/>
          <w:sz w:val="24"/>
        </w:rPr>
        <w:t>按照光谱仪常用使用范围，选用5.2.1中高、中、低含量的3种标准物质，对每种标准物质重复测定3次，求平均值，按式</w:t>
      </w:r>
      <w:r>
        <w:rPr>
          <w:rFonts w:hint="eastAsia" w:eastAsiaTheme="minorEastAsia"/>
          <w:sz w:val="24"/>
          <w:lang w:eastAsia="zh-CN"/>
        </w:rPr>
        <w:t>（</w:t>
      </w:r>
      <w:r>
        <w:rPr>
          <w:rFonts w:ascii="Times New Roman" w:hAnsi="Times New Roman" w:eastAsiaTheme="minorEastAsia"/>
          <w:sz w:val="24"/>
        </w:rPr>
        <w:t>1</w:t>
      </w:r>
      <w:r>
        <w:rPr>
          <w:rFonts w:hint="eastAsia" w:eastAsiaTheme="minorEastAsia"/>
          <w:sz w:val="24"/>
          <w:lang w:eastAsia="zh-CN"/>
        </w:rPr>
        <w:t>）</w:t>
      </w:r>
      <w:r>
        <w:rPr>
          <w:rFonts w:ascii="Times New Roman" w:hAnsi="Times New Roman" w:eastAsiaTheme="minorEastAsia"/>
          <w:sz w:val="24"/>
        </w:rPr>
        <w:t xml:space="preserve">分别计算各点示值误差，取 </w:t>
      </w:r>
      <w:r>
        <w:rPr>
          <w:rFonts w:ascii="Times New Roman" w:hAnsi="Times New Roman" w:eastAsiaTheme="minorEastAsia"/>
          <w:i/>
          <w:sz w:val="24"/>
        </w:rPr>
        <w:t>Δ</w:t>
      </w:r>
      <w:r>
        <w:rPr>
          <w:rFonts w:ascii="Times New Roman" w:hAnsi="Times New Roman" w:eastAsiaTheme="minorEastAsia"/>
          <w:sz w:val="24"/>
        </w:rPr>
        <w:t>绝对值最大者为光谱仪的示值误差。</w:t>
      </w:r>
    </w:p>
    <w:p>
      <w:pPr>
        <w:spacing w:line="360" w:lineRule="auto"/>
        <w:jc w:val="right"/>
        <w:rPr>
          <w:rFonts w:ascii="Times New Roman" w:hAnsi="Times New Roman"/>
          <w:kern w:val="0"/>
          <w:sz w:val="24"/>
        </w:rPr>
      </w:pPr>
      <w:r>
        <w:rPr>
          <w:rFonts w:hint="eastAsia" w:ascii="Times New Roman" w:hAnsi="Times New Roman" w:eastAsiaTheme="minorEastAsia"/>
          <w:color w:val="000000"/>
          <w:kern w:val="0"/>
          <w:sz w:val="24"/>
        </w:rPr>
        <w:t xml:space="preserve"> </w:t>
      </w:r>
      <w:r>
        <w:rPr>
          <w:rFonts w:ascii="Times New Roman" w:hAnsi="Times New Roman" w:eastAsiaTheme="minorEastAsia"/>
          <w:color w:val="000000"/>
          <w:kern w:val="0"/>
          <w:sz w:val="24"/>
        </w:rPr>
        <w:t xml:space="preserve">                                </w:t>
      </w:r>
      <m:oMath>
        <m:r>
          <m:rPr>
            <m:nor/>
          </m:rPr>
          <w:rPr>
            <w:rFonts w:ascii="Times New Roman" w:hAnsi="Times New Roman"/>
            <w:i/>
            <w:color w:val="000000"/>
            <w:kern w:val="0"/>
            <w:sz w:val="24"/>
          </w:rPr>
          <m:t>Δ</m:t>
        </m:r>
        <m:r>
          <m:rPr>
            <m:nor/>
          </m:rPr>
          <w:rPr>
            <w:rFonts w:ascii="Cambria Math" w:hAnsi="Cambria Math"/>
            <w:i/>
            <w:color w:val="000000"/>
            <w:kern w:val="0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kern w:val="0"/>
                        <w:sz w:val="24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color w:val="000000"/>
                        <w:kern w:val="0"/>
                        <w:sz w:val="24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kern w:val="0"/>
                        <w:sz w:val="24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color w:val="000000"/>
                        <w:kern w:val="0"/>
                        <w:sz w:val="24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kern w:val="0"/>
                        <w:sz w:val="24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e>
            </m:acc>
            <m:r>
              <m:rPr/>
              <w:rPr>
                <w:rFonts w:ascii="Cambria Math" w:hAnsi="Cambria Math"/>
                <w:color w:val="000000"/>
                <w:kern w:val="0"/>
                <w:sz w:val="24"/>
              </w:rPr>
              <m:t>−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s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ub>
            </m:sSub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s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ub>
            </m:sSub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den>
        </m:f>
        <m:r>
          <m:rPr>
            <m:nor/>
          </m:rPr>
          <w:rPr>
            <w:rFonts w:ascii="Times New Roman" w:hAnsi="Times New Roman"/>
            <w:i/>
            <w:color w:val="000000"/>
            <w:kern w:val="0"/>
            <w:sz w:val="24"/>
          </w:rPr>
          <m:t xml:space="preserve"> </m:t>
        </m:r>
      </m:oMath>
      <w:r>
        <w:rPr>
          <w:rFonts w:ascii="Times New Roman" w:hAnsi="Times New Roman"/>
          <w:color w:val="000000"/>
          <w:kern w:val="0"/>
          <w:sz w:val="24"/>
        </w:rPr>
        <w:t xml:space="preserve">                  </w:t>
      </w:r>
      <w:r>
        <w:rPr>
          <w:rFonts w:hint="eastAsia"/>
          <w:color w:val="000000"/>
          <w:kern w:val="0"/>
          <w:sz w:val="24"/>
          <w:lang w:val="en-US" w:eastAsia="zh-CN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</w:rPr>
        <w:t xml:space="preserve">           </w:t>
      </w:r>
      <w:r>
        <w:rPr>
          <w:rFonts w:hint="eastAsia" w:ascii="Times New Roman" w:hAnsi="Times New Roman"/>
          <w:color w:val="000000"/>
          <w:kern w:val="0"/>
          <w:sz w:val="24"/>
        </w:rPr>
        <w:t>（1）</w:t>
      </w:r>
    </w:p>
    <w:p>
      <w:pPr>
        <w:widowControl/>
        <w:spacing w:line="360" w:lineRule="auto"/>
        <w:ind w:firstLine="480" w:firstLineChars="200"/>
        <w:jc w:val="left"/>
        <w:rPr>
          <w:rFonts w:hint="eastAsia"/>
          <w:color w:val="000000"/>
          <w:kern w:val="0"/>
          <w:sz w:val="24"/>
          <w:lang w:eastAsia="zh-CN"/>
        </w:rPr>
      </w:pPr>
      <w:r>
        <w:rPr>
          <w:rFonts w:ascii="Times New Roman" w:hAnsi="Times New Roman"/>
          <w:color w:val="000000"/>
          <w:kern w:val="0"/>
          <w:sz w:val="24"/>
        </w:rPr>
        <w:t>式中</w:t>
      </w:r>
      <w:r>
        <w:rPr>
          <w:rFonts w:hint="eastAsia"/>
          <w:color w:val="000000"/>
          <w:kern w:val="0"/>
          <w:sz w:val="24"/>
          <w:lang w:eastAsia="zh-CN"/>
        </w:rPr>
        <w:t>：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i/>
          <w:color w:val="000000"/>
          <w:kern w:val="0"/>
          <w:sz w:val="24"/>
        </w:rPr>
        <w:t xml:space="preserve">Δ </w:t>
      </w:r>
      <w:r>
        <w:rPr>
          <w:rFonts w:ascii="Times New Roman" w:hAnsi="Times New Roman"/>
          <w:color w:val="000000"/>
          <w:kern w:val="0"/>
          <w:sz w:val="24"/>
        </w:rPr>
        <w:t>———各点示值误差；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/>
          <w:kern w:val="0"/>
          <w:sz w:val="24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i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ub>
            </m:sSub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e>
        </m:acc>
      </m:oMath>
      <w:r>
        <w:rPr>
          <w:rFonts w:ascii="Times New Roman" w:hAnsi="Times New Roman"/>
          <w:color w:val="000000"/>
          <w:kern w:val="0"/>
          <w:sz w:val="24"/>
        </w:rPr>
        <w:t>———各点实测平均值（质量分数），</w:t>
      </w:r>
      <w:r>
        <w:rPr>
          <w:rFonts w:hint="eastAsia" w:ascii="Times New Roman" w:hAnsi="Times New Roman"/>
          <w:color w:val="000000"/>
          <w:kern w:val="0"/>
          <w:sz w:val="24"/>
        </w:rPr>
        <w:t>%</w:t>
      </w:r>
      <w:r>
        <w:rPr>
          <w:rFonts w:ascii="Times New Roman" w:hAnsi="Times New Roman"/>
          <w:color w:val="000000"/>
          <w:kern w:val="0"/>
          <w:sz w:val="24"/>
        </w:rPr>
        <w:t>；</w:t>
      </w:r>
    </w:p>
    <w:p>
      <w:pPr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i/>
          <w:color w:val="000000"/>
          <w:kern w:val="0"/>
          <w:sz w:val="24"/>
        </w:rPr>
        <w:t>X</w:t>
      </w:r>
      <w:r>
        <w:rPr>
          <w:rFonts w:ascii="Times New Roman" w:hAnsi="Times New Roman"/>
          <w:color w:val="000000"/>
          <w:kern w:val="0"/>
          <w:sz w:val="24"/>
          <w:vertAlign w:val="subscript"/>
        </w:rPr>
        <w:t>s</w:t>
      </w:r>
      <w:r>
        <w:rPr>
          <w:rFonts w:ascii="Times New Roman" w:hAnsi="Times New Roman"/>
          <w:color w:val="000000"/>
          <w:kern w:val="0"/>
          <w:sz w:val="24"/>
        </w:rPr>
        <w:t xml:space="preserve"> ———各点标准值（质量分数），</w:t>
      </w:r>
      <w:r>
        <w:rPr>
          <w:rFonts w:hint="eastAsia" w:ascii="Times New Roman" w:hAnsi="Times New Roman"/>
          <w:color w:val="000000"/>
          <w:kern w:val="0"/>
          <w:sz w:val="24"/>
        </w:rPr>
        <w:t>%</w:t>
      </w:r>
      <w:r>
        <w:rPr>
          <w:rFonts w:ascii="Times New Roman" w:hAnsi="Times New Roman"/>
          <w:color w:val="000000"/>
          <w:kern w:val="0"/>
          <w:sz w:val="24"/>
        </w:rPr>
        <w:t>。</w:t>
      </w:r>
    </w:p>
    <w:p>
      <w:pPr>
        <w:spacing w:line="360" w:lineRule="auto"/>
        <w:rPr>
          <w:rFonts w:hint="eastAsia" w:ascii="FZSSK--GBK1-0" w:hAnsi="FZSSK--GBK1-0"/>
          <w:color w:val="000000"/>
          <w:sz w:val="24"/>
        </w:rPr>
      </w:pPr>
      <w:r>
        <w:rPr>
          <w:rFonts w:hint="eastAsia" w:ascii="Times New Roman" w:hAnsi="Times New Roman"/>
          <w:kern w:val="0"/>
          <w:sz w:val="24"/>
        </w:rPr>
        <w:t>6.</w:t>
      </w:r>
      <w:r>
        <w:rPr>
          <w:rFonts w:ascii="Times New Roman" w:hAnsi="Times New Roman"/>
          <w:kern w:val="0"/>
          <w:sz w:val="24"/>
        </w:rPr>
        <w:t>2.4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="FZSSK--GBK1-0" w:hAnsi="FZSSK--GBK1-0"/>
          <w:color w:val="000000"/>
          <w:sz w:val="24"/>
        </w:rPr>
        <w:t>重复性</w:t>
      </w:r>
    </w:p>
    <w:p>
      <w:pPr>
        <w:spacing w:line="360" w:lineRule="auto"/>
        <w:ind w:firstLine="480" w:firstLineChars="200"/>
        <w:rPr>
          <w:rFonts w:hint="eastAsia" w:ascii="FZSSK--GBK1-0" w:hAnsi="FZSSK--GBK1-0"/>
          <w:color w:val="000000"/>
          <w:sz w:val="24"/>
        </w:rPr>
      </w:pPr>
      <w:r>
        <w:rPr>
          <w:rFonts w:ascii="FZSSK--GBK1-0" w:hAnsi="FZSSK--GBK1-0" w:cs="宋体"/>
          <w:color w:val="000000"/>
          <w:kern w:val="0"/>
          <w:sz w:val="24"/>
        </w:rPr>
        <w:t>在</w:t>
      </w:r>
      <w:r>
        <w:rPr>
          <w:rFonts w:hint="eastAsia" w:ascii="FZSSK--GBK1-0" w:hAnsi="FZSSK--GBK1-0" w:cs="宋体"/>
          <w:color w:val="000000"/>
          <w:kern w:val="0"/>
          <w:sz w:val="24"/>
        </w:rPr>
        <w:t>6</w:t>
      </w:r>
      <w:r>
        <w:rPr>
          <w:rFonts w:ascii="FZSSK--GBK1-0" w:hAnsi="FZSSK--GBK1-0" w:cs="宋体"/>
          <w:color w:val="000000"/>
          <w:kern w:val="0"/>
          <w:sz w:val="24"/>
        </w:rPr>
        <w:t>.2.3相同条件下</w:t>
      </w:r>
      <w:r>
        <w:rPr>
          <w:rFonts w:hint="eastAsia" w:ascii="E-BZ" w:hAnsi="E-BZ" w:cs="宋体"/>
          <w:color w:val="000000"/>
          <w:kern w:val="0"/>
          <w:sz w:val="24"/>
        </w:rPr>
        <w:t>，</w:t>
      </w:r>
      <w:r>
        <w:rPr>
          <w:rFonts w:ascii="FZSSK--GBK1-0" w:hAnsi="FZSSK--GBK1-0" w:cs="宋体"/>
          <w:color w:val="000000"/>
          <w:kern w:val="0"/>
          <w:sz w:val="24"/>
        </w:rPr>
        <w:t>连续激发</w:t>
      </w:r>
      <w:r>
        <w:rPr>
          <w:rFonts w:ascii="E-BZ" w:hAnsi="E-BZ" w:cs="宋体"/>
          <w:color w:val="000000"/>
          <w:kern w:val="0"/>
          <w:sz w:val="24"/>
        </w:rPr>
        <w:t>7</w:t>
      </w:r>
      <w:r>
        <w:rPr>
          <w:rFonts w:ascii="FZSSK--GBK1-0" w:hAnsi="FZSSK--GBK1-0" w:cs="宋体"/>
          <w:color w:val="000000"/>
          <w:kern w:val="0"/>
          <w:sz w:val="24"/>
        </w:rPr>
        <w:t>次测</w:t>
      </w:r>
      <w:r>
        <w:rPr>
          <w:rFonts w:ascii="FZSSK--GBK1-0" w:hAnsi="FZSSK--GBK1-0" w:cs="宋体"/>
          <w:kern w:val="0"/>
          <w:sz w:val="24"/>
        </w:rPr>
        <w:t>量</w:t>
      </w:r>
      <w:r>
        <w:rPr>
          <w:rFonts w:hint="eastAsia" w:ascii="FZSSK--GBK1-0" w:hAnsi="FZSSK--GBK1-0" w:cs="宋体"/>
          <w:kern w:val="0"/>
          <w:sz w:val="24"/>
        </w:rPr>
        <w:t>5</w:t>
      </w:r>
      <w:r>
        <w:rPr>
          <w:rFonts w:ascii="FZSSK--GBK1-0" w:hAnsi="FZSSK--GBK1-0" w:cs="宋体"/>
          <w:kern w:val="0"/>
          <w:sz w:val="24"/>
        </w:rPr>
        <w:t>.2.1中间含量的标准物质</w:t>
      </w:r>
      <w:r>
        <w:rPr>
          <w:rFonts w:hint="eastAsia" w:ascii="E-BZ" w:hAnsi="E-BZ" w:cs="宋体"/>
          <w:kern w:val="0"/>
          <w:sz w:val="24"/>
        </w:rPr>
        <w:t>，按公</w:t>
      </w:r>
      <w:r>
        <w:rPr>
          <w:rFonts w:ascii="FZSSK--GBK1-0" w:hAnsi="FZSSK--GBK1-0" w:cs="宋体"/>
          <w:kern w:val="0"/>
          <w:sz w:val="24"/>
        </w:rPr>
        <w:t>式</w:t>
      </w:r>
      <w:r>
        <w:rPr>
          <w:rFonts w:hint="eastAsia" w:ascii="FZSSK--GBK1-0" w:hAnsi="FZSSK--GBK1-0" w:cs="宋体"/>
          <w:kern w:val="0"/>
          <w:sz w:val="24"/>
          <w:lang w:eastAsia="zh-CN"/>
        </w:rPr>
        <w:t>（</w:t>
      </w:r>
      <w:r>
        <w:rPr>
          <w:rFonts w:ascii="E-BZ" w:hAnsi="E-BZ" w:cs="宋体"/>
          <w:kern w:val="0"/>
          <w:sz w:val="24"/>
        </w:rPr>
        <w:t>2</w:t>
      </w:r>
      <w:r>
        <w:rPr>
          <w:rFonts w:hint="eastAsia" w:ascii="E-BZ" w:hAnsi="E-BZ" w:cs="宋体"/>
          <w:kern w:val="0"/>
          <w:sz w:val="24"/>
          <w:lang w:eastAsia="zh-CN"/>
        </w:rPr>
        <w:t>）</w:t>
      </w:r>
      <w:r>
        <w:rPr>
          <w:rFonts w:ascii="FZSSK--GBK1-0" w:hAnsi="FZSSK--GBK1-0" w:cs="宋体"/>
          <w:color w:val="000000"/>
          <w:kern w:val="0"/>
          <w:sz w:val="24"/>
        </w:rPr>
        <w:t>计算最大相对标准偏差，即为重复性</w:t>
      </w:r>
      <w:r>
        <w:rPr>
          <w:rFonts w:ascii="E-BZ" w:hAnsi="E-BZ" w:cs="宋体"/>
          <w:color w:val="000000"/>
          <w:kern w:val="0"/>
          <w:sz w:val="24"/>
        </w:rPr>
        <w:t>(</w:t>
      </w:r>
      <w:r>
        <w:rPr>
          <w:rFonts w:ascii="E-BZ" w:hAnsi="E-BZ" w:cs="宋体"/>
          <w:i/>
          <w:color w:val="000000"/>
          <w:kern w:val="0"/>
          <w:sz w:val="24"/>
        </w:rPr>
        <w:t>RSD</w:t>
      </w:r>
      <w:r>
        <w:rPr>
          <w:rFonts w:ascii="E-BZ" w:hAnsi="E-BZ" w:cs="宋体"/>
          <w:color w:val="000000"/>
          <w:kern w:val="0"/>
          <w:sz w:val="24"/>
        </w:rPr>
        <w:t>)。</w:t>
      </w:r>
    </w:p>
    <w:p>
      <w:pPr>
        <w:spacing w:line="360" w:lineRule="auto"/>
        <w:jc w:val="right"/>
        <w:rPr>
          <w:rFonts w:hint="eastAsia" w:ascii="FZSSK--GBK1-0" w:hAnsi="FZSSK--GBK1-0" w:eastAsia="宋体"/>
          <w:i/>
          <w:color w:val="000000"/>
          <w:sz w:val="24"/>
          <w:lang w:eastAsia="zh-CN"/>
        </w:rPr>
      </w:pPr>
      <w:r>
        <w:rPr>
          <w:rFonts w:ascii="FZSSK--GBK1-0" w:hAnsi="FZSSK--GBK1-0"/>
          <w:color w:val="000000"/>
          <w:sz w:val="24"/>
        </w:rPr>
        <w:t xml:space="preserve">                     </w:t>
      </w:r>
      <m:oMath>
        <m:r>
          <m:rPr/>
          <w:rPr>
            <w:rFonts w:hint="eastAsia" w:ascii="Cambria Math" w:hAnsi="Cambria Math"/>
            <w:color w:val="000000"/>
            <w:sz w:val="24"/>
          </w:rPr>
          <m:t>RSD</m:t>
        </m:r>
        <m:r>
          <m:rPr/>
          <w:rPr>
            <w:rFonts w:ascii="Cambria Math" w:hAnsi="Cambria Math"/>
            <w:color w:val="000000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  <w:sz w:val="24"/>
              </w:rPr>
              <m:t>1</m:t>
            </m: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sz w:val="24"/>
                  </w:rPr>
                </m:ctrlPr>
              </m:accPr>
              <m:e>
                <m:r>
                  <m:rPr/>
                  <w:rPr>
                    <w:rFonts w:ascii="Cambria Math" w:hAnsi="Cambria Math"/>
                    <w:color w:val="000000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color w:val="000000"/>
                    <w:sz w:val="24"/>
                  </w:rPr>
                </m:ctrlPr>
              </m:e>
            </m:acc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den>
        </m:f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radPr>
          <m:deg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deg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4"/>
                  </w:rPr>
                </m:ctrlPr>
              </m:fPr>
              <m:num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</w:rPr>
                    </m:ctrlPr>
                  </m:naryPr>
                  <m:sub>
                    <m:r>
                      <m:rPr/>
                      <w:rPr>
                        <w:rFonts w:ascii="Cambria Math" w:hAnsi="Cambria Math"/>
                        <w:color w:val="000000"/>
                        <w:sz w:val="24"/>
                      </w:rPr>
                      <m:t>i=1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</w:rPr>
                    </m:ctrlPr>
                  </m:sub>
                  <m:sup>
                    <m:r>
                      <m:rPr/>
                      <w:rPr>
                        <w:rFonts w:ascii="Cambria Math" w:hAnsi="Cambria Math"/>
                        <w:color w:val="000000"/>
                        <w:sz w:val="24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</w:rPr>
                    </m:ctrlP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/>
                            <w:color w:val="000000"/>
                            <w:sz w:val="24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ascii="Cambria Math" w:hAnsi="Cambria Math"/>
                                <w:color w:val="000000"/>
                                <w:sz w:val="24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ascii="Cambria Math" w:hAnsi="Cambria Math"/>
                                <w:color w:val="000000"/>
                                <w:sz w:val="24"/>
                              </w:rPr>
                              <m:t>i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</w:rPr>
                            </m:ctrlPr>
                          </m:sub>
                        </m:sSub>
                        <m:r>
                          <m:rPr/>
                          <w:rPr>
                            <w:rFonts w:ascii="Cambria Math" w:hAnsi="Cambria Math"/>
                            <w:color w:val="000000"/>
                            <w:sz w:val="24"/>
                          </w:rPr>
                          <m:t>−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</w:rPr>
                            </m:ctrlPr>
                          </m:accPr>
                          <m:e>
                            <m:r>
                              <m:rPr/>
                              <w:rPr>
                                <w:rFonts w:ascii="Cambria Math" w:hAnsi="Cambria Math"/>
                                <w:color w:val="000000"/>
                                <w:sz w:val="24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</w:rPr>
                            </m:ctrlPr>
                          </m:e>
                        </m:acc>
                        <m:r>
                          <m:rPr/>
                          <w:rPr>
                            <w:rFonts w:ascii="Cambria Math" w:hAnsi="Cambria Math"/>
                            <w:color w:val="000000"/>
                            <w:sz w:val="24"/>
                          </w:rPr>
                          <m:t>)</m:t>
                        </m: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/>
                            <w:color w:val="000000"/>
                            <w:sz w:val="24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</w:rPr>
                    </m:ctrlPr>
                  </m:e>
                </m:nary>
                <m:ctrlPr>
                  <w:rPr>
                    <w:rFonts w:ascii="Cambria Math" w:hAnsi="Cambria Math"/>
                    <w:i/>
                    <w:color w:val="000000"/>
                    <w:sz w:val="24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  <w:sz w:val="24"/>
                  </w:rPr>
                  <m:t>n−1</m:t>
                </m:r>
                <m:ctrlPr>
                  <w:rPr>
                    <w:rFonts w:ascii="Cambria Math" w:hAnsi="Cambria Math"/>
                    <w:i/>
                    <w:color w:val="000000"/>
                    <w:sz w:val="24"/>
                  </w:rPr>
                </m:ctrlPr>
              </m:den>
            </m:f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e>
        </m:rad>
        <m:r>
          <m:rPr/>
          <w:rPr>
            <w:rFonts w:ascii="Cambria Math" w:hAnsi="Cambria Math"/>
            <w:color w:val="000000"/>
            <w:sz w:val="24"/>
          </w:rPr>
          <m:t xml:space="preserve"> ×100%</m:t>
        </m:r>
      </m:oMath>
      <w:r>
        <w:rPr>
          <w:rFonts w:hint="eastAsia" w:ascii="FZSSK--GBK1-0" w:hAnsi="FZSSK--GBK1-0"/>
          <w:i/>
          <w:color w:val="000000"/>
          <w:sz w:val="24"/>
        </w:rPr>
        <w:t xml:space="preserve"> </w:t>
      </w:r>
      <w:r>
        <w:rPr>
          <w:rFonts w:ascii="FZSSK--GBK1-0" w:hAnsi="FZSSK--GBK1-0"/>
          <w:i/>
          <w:color w:val="000000"/>
          <w:sz w:val="24"/>
        </w:rPr>
        <w:t xml:space="preserve">                    </w:t>
      </w:r>
      <w:r>
        <w:rPr>
          <w:rFonts w:hint="eastAsia" w:ascii="E-BZ" w:hAnsi="E-BZ" w:cs="宋体"/>
          <w:color w:val="000000"/>
          <w:kern w:val="0"/>
          <w:sz w:val="24"/>
          <w:lang w:eastAsia="zh-CN"/>
        </w:rPr>
        <w:t>（</w:t>
      </w:r>
      <w:r>
        <w:rPr>
          <w:rFonts w:ascii="E-BZ" w:hAnsi="E-BZ" w:cs="宋体"/>
          <w:color w:val="000000"/>
          <w:kern w:val="0"/>
          <w:sz w:val="24"/>
        </w:rPr>
        <w:t>2</w:t>
      </w:r>
      <w:r>
        <w:rPr>
          <w:rFonts w:hint="eastAsia" w:ascii="E-BZ" w:hAnsi="E-BZ" w:cs="宋体"/>
          <w:color w:val="000000"/>
          <w:kern w:val="0"/>
          <w:sz w:val="24"/>
          <w:lang w:eastAsia="zh-CN"/>
        </w:rPr>
        <w:t>）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式中：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i/>
          <w:color w:val="000000"/>
          <w:kern w:val="0"/>
          <w:sz w:val="24"/>
        </w:rPr>
        <w:t>RSD</w:t>
      </w:r>
      <w:r>
        <w:rPr>
          <w:rFonts w:ascii="Times New Roman" w:hAnsi="Times New Roman"/>
          <w:color w:val="000000"/>
          <w:kern w:val="0"/>
          <w:sz w:val="24"/>
        </w:rPr>
        <w:t xml:space="preserve">———相对标准偏差，%； 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i/>
          <w:color w:val="000000"/>
          <w:kern w:val="0"/>
          <w:sz w:val="24"/>
        </w:rPr>
        <w:t>X</w:t>
      </w:r>
      <w:r>
        <w:rPr>
          <w:rFonts w:ascii="Times New Roman" w:hAnsi="Times New Roman"/>
          <w:color w:val="000000"/>
          <w:kern w:val="0"/>
          <w:sz w:val="24"/>
          <w:vertAlign w:val="subscript"/>
        </w:rPr>
        <w:t>i</w:t>
      </w:r>
      <w:r>
        <w:rPr>
          <w:rFonts w:ascii="Times New Roman" w:hAnsi="Times New Roman"/>
          <w:color w:val="000000"/>
          <w:kern w:val="0"/>
          <w:sz w:val="24"/>
        </w:rPr>
        <w:t>———单次测量值，%；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/>
          <w:kern w:val="0"/>
          <w:sz w:val="24"/>
        </w:rPr>
      </w:pPr>
      <m:oMath>
        <m:acc>
          <m:accPr>
            <m:chr m:val="̅"/>
            <m:ctrlPr>
              <w:rPr>
                <w:rFonts w:ascii="Cambria Math" w:hAnsi="Cambria Math"/>
                <w:color w:val="000000"/>
                <w:kern w:val="0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4"/>
              </w:rPr>
              <m:t>X</m:t>
            </m:r>
            <m:ctrlPr>
              <w:rPr>
                <w:rFonts w:ascii="Cambria Math" w:hAnsi="Cambria Math"/>
                <w:color w:val="000000"/>
                <w:kern w:val="0"/>
                <w:sz w:val="24"/>
              </w:rPr>
            </m:ctrlPr>
          </m:e>
        </m:acc>
      </m:oMath>
      <w:r>
        <w:rPr>
          <w:rFonts w:ascii="Times New Roman" w:hAnsi="Times New Roman"/>
          <w:color w:val="000000"/>
          <w:kern w:val="0"/>
          <w:sz w:val="24"/>
        </w:rPr>
        <w:t xml:space="preserve"> ———测量平均值，%； </w:t>
      </w:r>
    </w:p>
    <w:p>
      <w:pPr>
        <w:spacing w:line="360" w:lineRule="auto"/>
        <w:ind w:firstLine="480" w:firstLineChars="200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n———测量次数，n=10。</w:t>
      </w:r>
    </w:p>
    <w:p>
      <w:pPr>
        <w:spacing w:line="360" w:lineRule="auto"/>
        <w:rPr>
          <w:rFonts w:hint="eastAsia" w:ascii="FZSSK--GBK1-0" w:hAnsi="FZSSK--GBK1-0"/>
          <w:color w:val="000000"/>
          <w:sz w:val="24"/>
        </w:rPr>
      </w:pPr>
      <w:r>
        <w:rPr>
          <w:rFonts w:hint="eastAsia" w:ascii="Times New Roman" w:hAnsi="Times New Roman"/>
          <w:kern w:val="0"/>
          <w:sz w:val="24"/>
        </w:rPr>
        <w:t>6.</w:t>
      </w:r>
      <w:r>
        <w:rPr>
          <w:rFonts w:ascii="Times New Roman" w:hAnsi="Times New Roman"/>
          <w:kern w:val="0"/>
          <w:sz w:val="24"/>
        </w:rPr>
        <w:t>2.5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="FZSSK--GBK1-0" w:hAnsi="FZSSK--GBK1-0"/>
          <w:color w:val="000000"/>
          <w:sz w:val="24"/>
        </w:rPr>
        <w:t>稳定性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FZSSK--GBK1-0" w:hAnsi="FZSSK--GBK1-0"/>
          <w:color w:val="000000"/>
          <w:sz w:val="24"/>
        </w:rPr>
      </w:pPr>
      <w:r>
        <w:rPr>
          <w:rFonts w:ascii="FZSSK--GBK1-0" w:hAnsi="FZSSK--GBK1-0" w:cs="宋体"/>
          <w:color w:val="000000"/>
          <w:kern w:val="0"/>
          <w:sz w:val="24"/>
        </w:rPr>
        <w:t>在</w:t>
      </w:r>
      <w:r>
        <w:rPr>
          <w:rFonts w:hint="eastAsia" w:ascii="FZSSK--GBK1-0" w:hAnsi="FZSSK--GBK1-0" w:cs="宋体"/>
          <w:color w:val="000000"/>
          <w:kern w:val="0"/>
          <w:sz w:val="24"/>
        </w:rPr>
        <w:t>6</w:t>
      </w:r>
      <w:r>
        <w:rPr>
          <w:rFonts w:ascii="FZSSK--GBK1-0" w:hAnsi="FZSSK--GBK1-0" w:cs="宋体"/>
          <w:color w:val="000000"/>
          <w:kern w:val="0"/>
          <w:sz w:val="24"/>
        </w:rPr>
        <w:t>.2.3相同条件下</w:t>
      </w:r>
      <w:r>
        <w:rPr>
          <w:rFonts w:hint="eastAsia" w:ascii="FZSSK--GBK1-0" w:hAnsi="FZSSK--GBK1-0"/>
          <w:color w:val="000000"/>
          <w:sz w:val="24"/>
        </w:rPr>
        <w:t>，</w:t>
      </w:r>
      <w:r>
        <w:rPr>
          <w:rFonts w:ascii="FZSSK--GBK1-0" w:hAnsi="FZSSK--GBK1-0"/>
          <w:color w:val="000000"/>
          <w:sz w:val="24"/>
        </w:rPr>
        <w:t>选用</w:t>
      </w:r>
      <w:r>
        <w:rPr>
          <w:rFonts w:hint="eastAsia" w:ascii="Times New Roman" w:hAnsi="Times New Roman"/>
          <w:kern w:val="0"/>
          <w:sz w:val="24"/>
        </w:rPr>
        <w:t>6.</w:t>
      </w:r>
      <w:r>
        <w:rPr>
          <w:rFonts w:ascii="Times New Roman" w:hAnsi="Times New Roman"/>
          <w:kern w:val="0"/>
          <w:sz w:val="24"/>
        </w:rPr>
        <w:t>2.4相同的标准物质</w:t>
      </w:r>
      <w:r>
        <w:rPr>
          <w:rFonts w:ascii="FZSSK--GBK1-0" w:hAnsi="FZSSK--GBK1-0"/>
          <w:color w:val="000000"/>
          <w:sz w:val="24"/>
        </w:rPr>
        <w:t>。在不少于2h内</w:t>
      </w:r>
      <w:r>
        <w:rPr>
          <w:rFonts w:hint="eastAsia" w:ascii="FZSSK--GBK1-0" w:hAnsi="FZSSK--GBK1-0"/>
          <w:color w:val="000000"/>
          <w:sz w:val="24"/>
        </w:rPr>
        <w:t>，</w:t>
      </w:r>
      <w:r>
        <w:rPr>
          <w:rFonts w:ascii="FZSSK--GBK1-0" w:hAnsi="FZSSK--GBK1-0"/>
          <w:color w:val="000000"/>
          <w:sz w:val="24"/>
        </w:rPr>
        <w:t>间隔20min测量</w:t>
      </w:r>
      <w:r>
        <w:rPr>
          <w:rFonts w:hint="eastAsia" w:ascii="FZSSK--GBK1-0" w:hAnsi="FZSSK--GBK1-0"/>
          <w:color w:val="000000"/>
          <w:sz w:val="24"/>
        </w:rPr>
        <w:t>1</w:t>
      </w:r>
      <w:r>
        <w:rPr>
          <w:rFonts w:ascii="FZSSK--GBK1-0" w:hAnsi="FZSSK--GBK1-0"/>
          <w:color w:val="000000"/>
          <w:sz w:val="24"/>
        </w:rPr>
        <w:t>次</w:t>
      </w:r>
      <w:r>
        <w:rPr>
          <w:rFonts w:hint="eastAsia" w:ascii="FZSSK--GBK1-0" w:hAnsi="FZSSK--GBK1-0"/>
          <w:color w:val="000000"/>
          <w:sz w:val="24"/>
        </w:rPr>
        <w:t>，</w:t>
      </w:r>
      <w:r>
        <w:rPr>
          <w:rFonts w:ascii="FZSSK--GBK1-0" w:hAnsi="FZSSK--GBK1-0"/>
          <w:color w:val="000000"/>
          <w:sz w:val="24"/>
        </w:rPr>
        <w:t>重复6次测量。按公式</w:t>
      </w:r>
      <w:r>
        <w:rPr>
          <w:rFonts w:hint="eastAsia" w:ascii="FZSSK--GBK1-0" w:hAnsi="FZSSK--GBK1-0"/>
          <w:color w:val="000000"/>
          <w:sz w:val="24"/>
          <w:lang w:eastAsia="zh-CN"/>
        </w:rPr>
        <w:t>（</w:t>
      </w:r>
      <w:r>
        <w:rPr>
          <w:rFonts w:ascii="FZSSK--GBK1-0" w:hAnsi="FZSSK--GBK1-0"/>
          <w:color w:val="000000"/>
          <w:sz w:val="24"/>
        </w:rPr>
        <w:t>2</w:t>
      </w:r>
      <w:r>
        <w:rPr>
          <w:rFonts w:hint="eastAsia" w:ascii="FZSSK--GBK1-0" w:hAnsi="FZSSK--GBK1-0"/>
          <w:color w:val="000000"/>
          <w:sz w:val="24"/>
          <w:lang w:eastAsia="zh-CN"/>
        </w:rPr>
        <w:t>）</w:t>
      </w:r>
      <w:r>
        <w:rPr>
          <w:rFonts w:ascii="FZSSK--GBK1-0" w:hAnsi="FZSSK--GBK1-0"/>
          <w:color w:val="000000"/>
          <w:sz w:val="24"/>
        </w:rPr>
        <w:t>计算的最大相对标准偏差，即为光谱仪的稳定性。</w:t>
      </w:r>
    </w:p>
    <w:p>
      <w:pPr>
        <w:pStyle w:val="5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272" w:hanging="272"/>
        <w:textAlignment w:val="auto"/>
        <w:outlineLvl w:val="0"/>
        <w:rPr>
          <w:rFonts w:hint="eastAsia" w:ascii="Times New Roman" w:hAnsi="Times New Roman"/>
          <w:sz w:val="24"/>
        </w:rPr>
      </w:pPr>
      <w:bookmarkStart w:id="86" w:name="_Toc193860188"/>
      <w:bookmarkStart w:id="87" w:name="_Toc193619101"/>
      <w:bookmarkStart w:id="88" w:name="_Toc193860038"/>
      <w:bookmarkStart w:id="89" w:name="_Toc193860219"/>
      <w:bookmarkStart w:id="90" w:name="_Toc193619059"/>
      <w:bookmarkStart w:id="91" w:name="_Toc193618956"/>
      <w:bookmarkStart w:id="92" w:name="_Toc25552"/>
      <w:bookmarkStart w:id="93" w:name="_Toc28331"/>
      <w:bookmarkStart w:id="94" w:name="_Toc500258947"/>
      <w:r>
        <w:rPr>
          <w:rFonts w:hint="eastAsia" w:ascii="Times New Roman" w:hAnsi="Times New Roman"/>
          <w:sz w:val="24"/>
        </w:rPr>
        <w:t>7 校准结果</w:t>
      </w:r>
      <w:bookmarkEnd w:id="86"/>
      <w:bookmarkEnd w:id="87"/>
      <w:bookmarkEnd w:id="88"/>
      <w:bookmarkEnd w:id="89"/>
      <w:bookmarkEnd w:id="90"/>
      <w:bookmarkEnd w:id="91"/>
      <w:r>
        <w:rPr>
          <w:rFonts w:hint="eastAsia" w:ascii="Times New Roman" w:hAnsi="Times New Roman"/>
          <w:sz w:val="24"/>
        </w:rPr>
        <w:t>表达</w:t>
      </w:r>
      <w:bookmarkEnd w:id="92"/>
      <w:bookmarkEnd w:id="93"/>
      <w:bookmarkEnd w:id="94"/>
    </w:p>
    <w:p>
      <w:pPr>
        <w:pStyle w:val="55"/>
        <w:spacing w:line="360" w:lineRule="auto"/>
        <w:ind w:firstLine="480"/>
        <w:rPr>
          <w:rFonts w:asciiTheme="minorEastAsia" w:hAnsiTheme="minorEastAsia" w:eastAsia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/>
          <w:kern w:val="2"/>
          <w:sz w:val="24"/>
          <w:szCs w:val="24"/>
        </w:rPr>
        <w:t>校准结果应在校准证书上反映。校准证书应至少包括以下信息：</w:t>
      </w:r>
    </w:p>
    <w:p>
      <w:pPr>
        <w:pStyle w:val="55"/>
        <w:spacing w:line="360" w:lineRule="auto"/>
        <w:ind w:firstLine="48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a) 标题：</w:t>
      </w:r>
      <w:r>
        <w:rPr>
          <w:rFonts w:asciiTheme="minorEastAsia" w:hAnsiTheme="minorEastAsia" w:eastAsiaTheme="minorEastAsia"/>
          <w:kern w:val="2"/>
          <w:sz w:val="24"/>
          <w:szCs w:val="24"/>
        </w:rPr>
        <w:t>“</w:t>
      </w:r>
      <w:r>
        <w:rPr>
          <w:rFonts w:ascii="Times New Roman" w:hAnsi="Times New Roman" w:eastAsiaTheme="minorEastAsia"/>
          <w:kern w:val="2"/>
          <w:sz w:val="24"/>
          <w:szCs w:val="24"/>
        </w:rPr>
        <w:t>校准证书</w:t>
      </w:r>
      <w:r>
        <w:rPr>
          <w:rFonts w:asciiTheme="minorEastAsia" w:hAnsiTheme="minorEastAsia" w:eastAsiaTheme="minorEastAsia"/>
          <w:kern w:val="2"/>
          <w:sz w:val="24"/>
          <w:szCs w:val="24"/>
        </w:rPr>
        <w:t>”</w:t>
      </w:r>
      <w:r>
        <w:rPr>
          <w:rFonts w:ascii="Times New Roman" w:hAnsi="Times New Roman" w:eastAsiaTheme="minorEastAsia"/>
          <w:kern w:val="2"/>
          <w:sz w:val="24"/>
          <w:szCs w:val="24"/>
        </w:rPr>
        <w:t>；</w:t>
      </w:r>
    </w:p>
    <w:p>
      <w:pPr>
        <w:pStyle w:val="55"/>
        <w:spacing w:line="360" w:lineRule="auto"/>
        <w:ind w:firstLine="48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b) 实验室名称和地址；</w:t>
      </w:r>
    </w:p>
    <w:p>
      <w:pPr>
        <w:pStyle w:val="55"/>
        <w:spacing w:line="360" w:lineRule="auto"/>
        <w:ind w:firstLine="48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c) 进行校准的地点（如与实验室的地址不同）；</w:t>
      </w:r>
    </w:p>
    <w:p>
      <w:pPr>
        <w:pStyle w:val="55"/>
        <w:spacing w:line="360" w:lineRule="auto"/>
        <w:ind w:firstLine="48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d) 证书的唯一性标识</w:t>
      </w:r>
      <w:r>
        <w:rPr>
          <w:rFonts w:ascii="Times New Roman" w:hAnsi="Times New Roman"/>
          <w:spacing w:val="-2"/>
          <w:sz w:val="24"/>
        </w:rPr>
        <w:t>（如编号）</w:t>
      </w:r>
      <w:r>
        <w:rPr>
          <w:rFonts w:ascii="Times New Roman" w:hAnsi="Times New Roman" w:eastAsiaTheme="minorEastAsia"/>
          <w:kern w:val="2"/>
          <w:sz w:val="24"/>
          <w:szCs w:val="24"/>
        </w:rPr>
        <w:t>，每页及总页数的标识；</w:t>
      </w:r>
    </w:p>
    <w:p>
      <w:pPr>
        <w:pStyle w:val="55"/>
        <w:spacing w:line="360" w:lineRule="auto"/>
        <w:ind w:firstLine="48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e) 客户的名称和地址；</w:t>
      </w:r>
    </w:p>
    <w:p>
      <w:pPr>
        <w:pStyle w:val="55"/>
        <w:spacing w:line="360" w:lineRule="auto"/>
        <w:ind w:firstLine="48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f) 被校对象的描述和明确标识；</w:t>
      </w:r>
    </w:p>
    <w:p>
      <w:pPr>
        <w:pStyle w:val="55"/>
        <w:spacing w:line="360" w:lineRule="auto"/>
        <w:ind w:firstLine="48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g) 进行校准的日期，如果与校准结果的有效性和应用有关时，应说明被校对象的接收日期；</w:t>
      </w:r>
    </w:p>
    <w:p>
      <w:pPr>
        <w:pStyle w:val="55"/>
        <w:spacing w:line="360" w:lineRule="auto"/>
        <w:ind w:firstLine="48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h) 校准所依据的技术规范的标识，包括名称及代号；</w:t>
      </w:r>
    </w:p>
    <w:p>
      <w:pPr>
        <w:pStyle w:val="55"/>
        <w:spacing w:line="360" w:lineRule="auto"/>
        <w:ind w:firstLine="48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i) 本次校准所用测量标准的溯源性及有效性说明；</w:t>
      </w:r>
    </w:p>
    <w:p>
      <w:pPr>
        <w:pStyle w:val="55"/>
        <w:spacing w:line="360" w:lineRule="auto"/>
        <w:ind w:firstLine="48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j) 校准环境的描述；</w:t>
      </w:r>
    </w:p>
    <w:p>
      <w:pPr>
        <w:pStyle w:val="55"/>
        <w:spacing w:line="360" w:lineRule="auto"/>
        <w:ind w:firstLine="48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k) 校准结果及测量不确定度的说明；</w:t>
      </w:r>
    </w:p>
    <w:p>
      <w:pPr>
        <w:pStyle w:val="55"/>
        <w:spacing w:line="360" w:lineRule="auto"/>
        <w:ind w:firstLine="48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l) 对校准规范的偏离的说明；</w:t>
      </w:r>
    </w:p>
    <w:p>
      <w:pPr>
        <w:pStyle w:val="55"/>
        <w:spacing w:line="360" w:lineRule="auto"/>
        <w:ind w:firstLine="480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 w:eastAsiaTheme="minorEastAsia"/>
          <w:sz w:val="24"/>
        </w:rPr>
        <w:t xml:space="preserve">m) </w:t>
      </w:r>
      <w:r>
        <w:rPr>
          <w:rFonts w:ascii="Times New Roman" w:hAnsi="Times New Roman"/>
          <w:spacing w:val="-2"/>
          <w:sz w:val="24"/>
        </w:rPr>
        <w:t>校准证书签发人的签名、职务或等效标识以及签发日期；</w:t>
      </w:r>
    </w:p>
    <w:p>
      <w:pPr>
        <w:pStyle w:val="55"/>
        <w:spacing w:line="360" w:lineRule="auto"/>
        <w:ind w:firstLine="48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n) 校准结果仅对被校对象有效的声明；</w:t>
      </w:r>
    </w:p>
    <w:p>
      <w:pPr>
        <w:pStyle w:val="55"/>
        <w:spacing w:line="360" w:lineRule="auto"/>
        <w:ind w:firstLine="480"/>
        <w:rPr>
          <w:rFonts w:ascii="Times New Roman" w:hAnsi="Times New Roman" w:eastAsiaTheme="minorEastAsia"/>
          <w:kern w:val="2"/>
          <w:sz w:val="24"/>
          <w:szCs w:val="24"/>
        </w:rPr>
      </w:pPr>
      <w:r>
        <w:rPr>
          <w:rFonts w:ascii="Times New Roman" w:hAnsi="Times New Roman" w:eastAsiaTheme="minorEastAsia"/>
          <w:kern w:val="2"/>
          <w:sz w:val="24"/>
          <w:szCs w:val="24"/>
        </w:rPr>
        <w:t>o) 未经实验室书面批准，不得部分复制证书的声明。</w:t>
      </w:r>
    </w:p>
    <w:p>
      <w:pPr>
        <w:pStyle w:val="5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272" w:hanging="272"/>
        <w:textAlignment w:val="auto"/>
        <w:outlineLvl w:val="0"/>
        <w:rPr>
          <w:rFonts w:hint="eastAsia" w:ascii="Times New Roman" w:hAnsi="Times New Roman"/>
          <w:sz w:val="24"/>
        </w:rPr>
      </w:pPr>
      <w:bookmarkStart w:id="95" w:name="_Toc193860220"/>
      <w:bookmarkStart w:id="96" w:name="_Toc193860189"/>
      <w:bookmarkStart w:id="97" w:name="_Toc193860040"/>
      <w:bookmarkStart w:id="98" w:name="_Toc5529"/>
      <w:bookmarkStart w:id="99" w:name="_Toc28581"/>
      <w:bookmarkStart w:id="100" w:name="_Toc17907"/>
      <w:bookmarkStart w:id="101" w:name="_Toc193860041"/>
      <w:r>
        <w:rPr>
          <w:rFonts w:hint="eastAsia" w:ascii="Times New Roman" w:hAnsi="Times New Roman"/>
          <w:sz w:val="24"/>
        </w:rPr>
        <w:t>8 复校</w:t>
      </w:r>
      <w:bookmarkEnd w:id="95"/>
      <w:bookmarkEnd w:id="96"/>
      <w:bookmarkEnd w:id="97"/>
      <w:bookmarkEnd w:id="98"/>
      <w:r>
        <w:rPr>
          <w:rFonts w:hint="eastAsia" w:ascii="Times New Roman" w:hAnsi="Times New Roman"/>
          <w:sz w:val="24"/>
        </w:rPr>
        <w:t>时间间隔</w:t>
      </w:r>
      <w:bookmarkEnd w:id="99"/>
      <w:bookmarkEnd w:id="100"/>
    </w:p>
    <w:bookmarkEnd w:id="101"/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建议复校时间间隔不超过</w:t>
      </w:r>
      <w:r>
        <w:rPr>
          <w:rFonts w:ascii="Times New Roman" w:hAnsi="Times New Roman"/>
          <w:sz w:val="24"/>
        </w:rPr>
        <w:t>24个月</w:t>
      </w:r>
      <w:r>
        <w:rPr>
          <w:rFonts w:hint="eastAsia"/>
          <w:sz w:val="24"/>
        </w:rPr>
        <w:t>。</w:t>
      </w:r>
      <w:r>
        <w:rPr>
          <w:sz w:val="24"/>
        </w:rPr>
        <w:t>如果对光谱仪的检测数据有怀疑或光谱仪更换主要部件及修理后，应对光谱仪重新校准</w:t>
      </w:r>
      <w:r>
        <w:rPr>
          <w:rFonts w:ascii="Times New Roman" w:hAnsi="宋体"/>
          <w:color w:val="000000"/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由于复校时间间隔的长短是由仪器的使用情况、使用者、仪器本身质量等诸因素所决定的，因此送校单位可根据实际使用情况自主决定复校时间间隔。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</w:pPr>
      <w:r>
        <w:br w:type="page"/>
      </w:r>
      <w:bookmarkStart w:id="102" w:name="_Toc50025894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ascii="黑体" w:hAnsi="黑体" w:eastAsia="黑体"/>
          <w:sz w:val="28"/>
          <w:szCs w:val="28"/>
        </w:rPr>
      </w:pPr>
      <w:bookmarkStart w:id="103" w:name="_Toc2806"/>
      <w:r>
        <w:rPr>
          <w:rFonts w:hint="eastAsia" w:ascii="黑体" w:hAnsi="黑体" w:eastAsia="黑体"/>
          <w:sz w:val="28"/>
          <w:szCs w:val="28"/>
        </w:rPr>
        <w:t>附录</w:t>
      </w:r>
      <w:r>
        <w:rPr>
          <w:rFonts w:hint="eastAsia" w:ascii="Times New Roman" w:hAnsi="Times New Roman" w:eastAsia="黑体"/>
          <w:sz w:val="28"/>
          <w:szCs w:val="28"/>
        </w:rPr>
        <w:t>A</w:t>
      </w:r>
      <w:bookmarkEnd w:id="103"/>
      <w:r>
        <w:rPr>
          <w:rFonts w:ascii="黑体" w:hAnsi="黑体" w:eastAsia="黑体"/>
          <w:sz w:val="28"/>
          <w:szCs w:val="28"/>
        </w:rPr>
        <w:t xml:space="preserve"> 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outlineLvl w:val="9"/>
        <w:rPr>
          <w:rFonts w:ascii="黑体" w:eastAsia="黑体"/>
          <w:b w:val="0"/>
          <w:sz w:val="28"/>
          <w:szCs w:val="28"/>
        </w:rPr>
      </w:pPr>
      <w:bookmarkStart w:id="104" w:name="_Toc18788_WPSOffice_Level2"/>
      <w:bookmarkStart w:id="105" w:name="_Toc15031_WPSOffice_Level2"/>
      <w:r>
        <w:rPr>
          <w:rFonts w:hint="eastAsia" w:ascii="黑体" w:eastAsia="黑体"/>
          <w:b w:val="0"/>
          <w:sz w:val="28"/>
          <w:szCs w:val="28"/>
        </w:rPr>
        <w:t>校准原始记录参考格式</w:t>
      </w:r>
      <w:bookmarkEnd w:id="102"/>
      <w:bookmarkEnd w:id="104"/>
      <w:bookmarkEnd w:id="105"/>
    </w:p>
    <w:tbl>
      <w:tblPr>
        <w:tblStyle w:val="29"/>
        <w:tblW w:w="9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647"/>
        <w:gridCol w:w="1330"/>
        <w:gridCol w:w="1847"/>
        <w:gridCol w:w="208"/>
        <w:gridCol w:w="11"/>
        <w:gridCol w:w="1369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原始记录编号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证书编号</w:t>
            </w:r>
          </w:p>
        </w:tc>
        <w:tc>
          <w:tcPr>
            <w:tcW w:w="321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送校单位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校准依据</w:t>
            </w:r>
          </w:p>
        </w:tc>
        <w:tc>
          <w:tcPr>
            <w:tcW w:w="321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9967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被校设备信息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器具名称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出厂编号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型号/规格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设备编号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外观及通用</w:t>
            </w:r>
          </w:p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要求检查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制造厂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校准地点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环境条件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 xml:space="preserve">       ℃           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9967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测量标准信息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测量</w:t>
            </w:r>
            <w:r>
              <w:rPr>
                <w:rFonts w:ascii="Times New Roman" w:hAnsi="Times New Roman" w:eastAsiaTheme="minorEastAsia"/>
                <w:szCs w:val="21"/>
              </w:rPr>
              <w:t>标准名称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型号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编号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不确定度/               准确度等级/</w:t>
            </w:r>
          </w:p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最大允许误差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证书编号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校准结果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1外观及通用要求：</w:t>
      </w:r>
      <w:r>
        <w:rPr>
          <w:rFonts w:hint="eastAsia" w:ascii="Times New Roman" w:hAnsi="Times New Roman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绝缘电阻：</w:t>
      </w:r>
      <w:r>
        <w:rPr>
          <w:rFonts w:hint="eastAsia" w:ascii="Times New Roman" w:hAnsi="Times New Roman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Times New Roman" w:hAnsi="Times New Roman"/>
          <w:bCs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3示值误差：</w:t>
      </w:r>
      <w:r>
        <w:rPr>
          <w:rFonts w:hint="eastAsia" w:ascii="Times New Roman" w:hAnsi="Times New Roman"/>
          <w:bCs/>
          <w:i w:val="0"/>
          <w:iCs w:val="0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Cs/>
          <w:i w:val="0"/>
          <w:iCs w:val="0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Times New Roman" w:hAnsi="Times New Roman"/>
          <w:bCs/>
          <w:i w:val="0"/>
          <w:iCs w:val="0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/>
          <w:bCs/>
          <w:i w:val="0"/>
          <w:iCs w:val="0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tbl>
      <w:tblPr>
        <w:tblStyle w:val="30"/>
        <w:tblW w:w="100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255"/>
        <w:gridCol w:w="1255"/>
        <w:gridCol w:w="1256"/>
        <w:gridCol w:w="1256"/>
        <w:gridCol w:w="1259"/>
        <w:gridCol w:w="1256"/>
        <w:gridCol w:w="12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8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标准物质编号：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元素</w:t>
            </w:r>
          </w:p>
        </w:tc>
        <w:tc>
          <w:tcPr>
            <w:tcW w:w="12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波长</w:t>
            </w:r>
            <w:r>
              <w:rPr>
                <w:rFonts w:hint="eastAsia" w:ascii="Times New Roman" w:hAnsi="Times New Roman"/>
                <w:bCs/>
                <w:szCs w:val="21"/>
              </w:rPr>
              <w:t>/</w:t>
            </w:r>
            <w:r>
              <w:rPr>
                <w:rFonts w:ascii="Times New Roman" w:hAnsi="Times New Roman"/>
                <w:bCs/>
                <w:szCs w:val="21"/>
              </w:rPr>
              <w:t>nm</w:t>
            </w:r>
          </w:p>
        </w:tc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标准值</w:t>
            </w:r>
            <w:r>
              <w:rPr>
                <w:rFonts w:hint="eastAsia" w:ascii="Times New Roman" w:hAnsi="Times New Roman"/>
                <w:bCs/>
                <w:szCs w:val="21"/>
              </w:rPr>
              <w:t>/</w:t>
            </w:r>
            <w:r>
              <w:rPr>
                <w:rFonts w:ascii="Times New Roman" w:hAnsi="Times New Roman"/>
                <w:bCs/>
                <w:szCs w:val="21"/>
              </w:rPr>
              <w:t>%</w:t>
            </w:r>
          </w:p>
        </w:tc>
        <w:tc>
          <w:tcPr>
            <w:tcW w:w="377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实测值</w:t>
            </w:r>
            <w:r>
              <w:rPr>
                <w:rFonts w:hint="eastAsia"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平均值/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12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示值误差/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106" w:name="_Toc5010_WPSOffice_Level2"/>
      <w:r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4重复性</w:t>
      </w:r>
    </w:p>
    <w:tbl>
      <w:tblPr>
        <w:tblStyle w:val="30"/>
        <w:tblW w:w="100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992"/>
        <w:gridCol w:w="830"/>
        <w:gridCol w:w="830"/>
        <w:gridCol w:w="830"/>
        <w:gridCol w:w="831"/>
        <w:gridCol w:w="830"/>
        <w:gridCol w:w="830"/>
        <w:gridCol w:w="831"/>
        <w:gridCol w:w="823"/>
        <w:gridCol w:w="824"/>
        <w:gridCol w:w="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7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eastAsia="黑体"/>
                <w:spacing w:val="40"/>
                <w:szCs w:val="21"/>
              </w:rPr>
              <w:br w:type="page"/>
            </w: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元素</w:t>
            </w:r>
          </w:p>
        </w:tc>
        <w:tc>
          <w:tcPr>
            <w:tcW w:w="99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波长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nm</w:t>
            </w:r>
          </w:p>
        </w:tc>
        <w:tc>
          <w:tcPr>
            <w:tcW w:w="581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测试结果</w:t>
            </w:r>
            <w:r>
              <w:rPr>
                <w:rFonts w:hint="eastAsia" w:ascii="Times New Roman" w:hAnsi="Times New Roman"/>
                <w:szCs w:val="21"/>
              </w:rPr>
              <w:t>/%</w:t>
            </w:r>
          </w:p>
        </w:tc>
        <w:tc>
          <w:tcPr>
            <w:tcW w:w="8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标准值</w:t>
            </w:r>
            <w:r>
              <w:rPr>
                <w:rFonts w:hint="eastAsia"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8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测量值</w:t>
            </w:r>
            <w:r>
              <w:rPr>
                <w:rFonts w:hint="eastAsia"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82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重复性</w:t>
            </w:r>
            <w:r>
              <w:rPr>
                <w:rFonts w:hint="eastAsia"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</w:t>
            </w: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</w:t>
            </w:r>
          </w:p>
        </w:tc>
        <w:tc>
          <w:tcPr>
            <w:tcW w:w="83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</w:t>
            </w:r>
          </w:p>
        </w:tc>
        <w:tc>
          <w:tcPr>
            <w:tcW w:w="8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</w:t>
            </w: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7</w:t>
            </w:r>
          </w:p>
        </w:tc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8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稳定</w:t>
      </w:r>
      <w:r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性</w:t>
      </w:r>
    </w:p>
    <w:tbl>
      <w:tblPr>
        <w:tblStyle w:val="30"/>
        <w:tblW w:w="100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992"/>
        <w:gridCol w:w="1039"/>
        <w:gridCol w:w="1040"/>
        <w:gridCol w:w="1039"/>
        <w:gridCol w:w="1040"/>
        <w:gridCol w:w="1039"/>
        <w:gridCol w:w="1040"/>
        <w:gridCol w:w="992"/>
        <w:gridCol w:w="1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7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eastAsia="黑体"/>
                <w:spacing w:val="40"/>
                <w:szCs w:val="21"/>
              </w:rPr>
              <w:br w:type="page"/>
            </w: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元素</w:t>
            </w:r>
          </w:p>
        </w:tc>
        <w:tc>
          <w:tcPr>
            <w:tcW w:w="99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波长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nm</w:t>
            </w:r>
          </w:p>
        </w:tc>
        <w:tc>
          <w:tcPr>
            <w:tcW w:w="623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测试结果</w:t>
            </w:r>
            <w:r>
              <w:rPr>
                <w:rFonts w:hint="eastAsia" w:ascii="Times New Roman" w:hAnsi="Times New Roman"/>
                <w:szCs w:val="21"/>
              </w:rPr>
              <w:t>/%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测量均值</w:t>
            </w:r>
            <w:r>
              <w:rPr>
                <w:rFonts w:hint="eastAsia"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105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稳定性/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</w:t>
            </w: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</w:t>
            </w: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</w:t>
            </w: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5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校准员： 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 xml:space="preserve">              </w:t>
      </w:r>
      <w:r>
        <w:rPr>
          <w:rFonts w:hint="eastAsia"/>
          <w:sz w:val="21"/>
          <w:szCs w:val="21"/>
          <w:lang w:val="en-US" w:eastAsia="zh-CN"/>
        </w:rPr>
        <w:t xml:space="preserve">     </w:t>
      </w:r>
      <w:r>
        <w:rPr>
          <w:rFonts w:hint="eastAsia"/>
          <w:sz w:val="21"/>
          <w:szCs w:val="21"/>
        </w:rPr>
        <w:t xml:space="preserve">   校验员：</w:t>
      </w:r>
      <w:bookmarkEnd w:id="106"/>
      <w:r>
        <w:rPr>
          <w:rFonts w:hint="eastAsia"/>
          <w:sz w:val="21"/>
          <w:szCs w:val="21"/>
        </w:rPr>
        <w:t xml:space="preserve">    </w:t>
      </w: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 xml:space="preserve">               校准日期：   年   月   日  </w:t>
      </w:r>
    </w:p>
    <w:p>
      <w:pPr>
        <w:widowControl/>
        <w:jc w:val="left"/>
        <w:rPr>
          <w:rFonts w:ascii="黑体" w:hAnsi="黑体" w:eastAsia="黑体" w:cs="黑体"/>
          <w:sz w:val="28"/>
          <w:szCs w:val="28"/>
        </w:rPr>
      </w:pPr>
      <w:bookmarkStart w:id="107" w:name="_Toc15057"/>
      <w:bookmarkStart w:id="108" w:name="_Toc500258950"/>
      <w:r>
        <w:rPr>
          <w:rFonts w:ascii="黑体" w:hAnsi="黑体" w:eastAsia="黑体" w:cs="黑体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ascii="黑体" w:hAnsi="黑体" w:eastAsia="黑体" w:cs="黑体"/>
          <w:sz w:val="28"/>
          <w:szCs w:val="28"/>
        </w:rPr>
      </w:pPr>
      <w:bookmarkStart w:id="109" w:name="_Toc20787"/>
      <w:r>
        <w:rPr>
          <w:rFonts w:hint="eastAsia" w:ascii="黑体" w:hAnsi="黑体" w:eastAsia="黑体" w:cs="黑体"/>
          <w:sz w:val="28"/>
          <w:szCs w:val="28"/>
        </w:rPr>
        <w:t>附录</w:t>
      </w:r>
      <w:bookmarkEnd w:id="107"/>
      <w:r>
        <w:rPr>
          <w:rFonts w:hint="eastAsia" w:ascii="Times New Roman" w:hAnsi="Times New Roman" w:eastAsia="黑体"/>
          <w:sz w:val="28"/>
          <w:szCs w:val="28"/>
        </w:rPr>
        <w:t>B</w:t>
      </w:r>
      <w:bookmarkEnd w:id="109"/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outlineLvl w:val="9"/>
        <w:rPr>
          <w:rFonts w:ascii="黑体" w:eastAsia="黑体"/>
          <w:b w:val="0"/>
          <w:sz w:val="28"/>
          <w:szCs w:val="28"/>
        </w:rPr>
      </w:pPr>
      <w:r>
        <w:rPr>
          <w:rFonts w:hint="eastAsia" w:ascii="黑体" w:eastAsia="黑体"/>
          <w:b w:val="0"/>
          <w:sz w:val="28"/>
          <w:szCs w:val="28"/>
        </w:rPr>
        <w:t>校准证书内页参考格式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校准证书编号：</w:t>
      </w:r>
      <w:r>
        <w:rPr>
          <w:rFonts w:asciiTheme="minorEastAsia" w:hAnsiTheme="minorEastAsia" w:eastAsiaTheme="minorEastAsia"/>
          <w:sz w:val="24"/>
        </w:rPr>
        <w:t>××××</w:t>
      </w:r>
    </w:p>
    <w:tbl>
      <w:tblPr>
        <w:tblStyle w:val="30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3858"/>
        <w:gridCol w:w="1390"/>
        <w:gridCol w:w="3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szCs w:val="21"/>
              </w:rPr>
              <w:t>校准数据/结果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Cs w:val="21"/>
              </w:rPr>
              <w:t>校准依据</w:t>
            </w:r>
          </w:p>
        </w:tc>
        <w:tc>
          <w:tcPr>
            <w:tcW w:w="2422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校准</w:t>
            </w:r>
            <w:r>
              <w:rPr>
                <w:rFonts w:ascii="Times New Roman" w:hAnsi="Times New Roman"/>
                <w:szCs w:val="21"/>
              </w:rPr>
              <w:t>条件</w:t>
            </w:r>
          </w:p>
        </w:tc>
        <w:tc>
          <w:tcPr>
            <w:tcW w:w="2422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15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校准项目</w:t>
            </w:r>
          </w:p>
        </w:tc>
        <w:tc>
          <w:tcPr>
            <w:tcW w:w="2422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校准结果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15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外观及通用要求</w:t>
            </w:r>
          </w:p>
        </w:tc>
        <w:tc>
          <w:tcPr>
            <w:tcW w:w="242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15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绝缘电阻</w:t>
            </w:r>
          </w:p>
        </w:tc>
        <w:tc>
          <w:tcPr>
            <w:tcW w:w="242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15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示值误差</w:t>
            </w:r>
          </w:p>
        </w:tc>
        <w:tc>
          <w:tcPr>
            <w:tcW w:w="242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6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15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重复性</w:t>
            </w:r>
          </w:p>
        </w:tc>
        <w:tc>
          <w:tcPr>
            <w:tcW w:w="726" w:type="pct"/>
            <w:vAlign w:val="center"/>
          </w:tcPr>
          <w:p>
            <w:pPr>
              <w:rPr>
                <w:rFonts w:ascii="Times New Roman" w:hAnsi="Times New Roman"/>
                <w:i/>
                <w:color w:val="auto"/>
                <w:szCs w:val="21"/>
              </w:rPr>
            </w:pPr>
          </w:p>
        </w:tc>
        <w:tc>
          <w:tcPr>
            <w:tcW w:w="169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15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稳定性</w:t>
            </w:r>
          </w:p>
        </w:tc>
        <w:tc>
          <w:tcPr>
            <w:tcW w:w="726" w:type="pct"/>
            <w:vAlign w:val="center"/>
          </w:tcPr>
          <w:p>
            <w:pPr>
              <w:rPr>
                <w:rFonts w:ascii="Times New Roman" w:hAnsi="Times New Roman"/>
                <w:i/>
                <w:color w:val="auto"/>
                <w:szCs w:val="21"/>
              </w:rPr>
            </w:pPr>
          </w:p>
        </w:tc>
        <w:tc>
          <w:tcPr>
            <w:tcW w:w="169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/>
                <w:bCs/>
                <w:color w:val="auto"/>
                <w:szCs w:val="21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测量</w:t>
            </w:r>
            <w:r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不确定度</w:t>
            </w:r>
          </w:p>
        </w:tc>
        <w:tc>
          <w:tcPr>
            <w:tcW w:w="72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auto"/>
                <w:szCs w:val="21"/>
              </w:rPr>
            </w:pPr>
          </w:p>
        </w:tc>
        <w:tc>
          <w:tcPr>
            <w:tcW w:w="169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/>
                <w:bCs/>
                <w:i/>
                <w:color w:val="auto"/>
                <w:szCs w:val="21"/>
              </w:rPr>
              <w:t>U</w:t>
            </w:r>
            <w:r>
              <w:rPr>
                <w:rFonts w:ascii="Times New Roman" w:hAnsi="Times New Roman"/>
                <w:bCs/>
                <w:color w:val="auto"/>
                <w:szCs w:val="21"/>
              </w:rPr>
              <w:t>=   %</w:t>
            </w:r>
            <w:r>
              <w:rPr>
                <w:rFonts w:hint="eastAsia" w:ascii="Times New Roman" w:hAnsi="Times New Roman"/>
                <w:bCs/>
                <w:color w:val="auto"/>
                <w:szCs w:val="21"/>
              </w:rPr>
              <w:t>，</w:t>
            </w:r>
            <w:r>
              <w:rPr>
                <w:rFonts w:ascii="Times New Roman" w:hAnsi="Times New Roman"/>
                <w:bCs/>
                <w:i/>
                <w:color w:val="auto"/>
                <w:szCs w:val="21"/>
              </w:rPr>
              <w:t>k</w:t>
            </w:r>
            <w:r>
              <w:rPr>
                <w:rFonts w:ascii="Times New Roman" w:hAnsi="Times New Roman"/>
                <w:bCs/>
                <w:color w:val="auto"/>
                <w:szCs w:val="21"/>
              </w:rPr>
              <w:t>=2</w:t>
            </w:r>
          </w:p>
        </w:tc>
      </w:tr>
      <w:bookmarkEnd w:id="108"/>
    </w:tbl>
    <w:p>
      <w:pPr>
        <w:spacing w:line="360" w:lineRule="auto"/>
        <w:ind w:left="630" w:leftChars="300"/>
        <w:jc w:val="center"/>
        <w:rPr>
          <w:rFonts w:ascii="Times New Roman" w:hAnsi="Times New Roman"/>
          <w:color w:val="000000"/>
          <w:sz w:val="24"/>
        </w:rPr>
      </w:pPr>
    </w:p>
    <w:p>
      <w:pPr>
        <w:widowControl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ascii="黑体" w:eastAsia="黑体"/>
          <w:kern w:val="0"/>
          <w:sz w:val="28"/>
          <w:szCs w:val="28"/>
        </w:rPr>
      </w:pPr>
      <w:bookmarkStart w:id="110" w:name="_Toc7454"/>
      <w:r>
        <w:rPr>
          <w:rFonts w:hint="eastAsia" w:ascii="黑体" w:eastAsia="黑体"/>
          <w:kern w:val="0"/>
          <w:sz w:val="28"/>
          <w:szCs w:val="28"/>
        </w:rPr>
        <w:t>附录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C</w:t>
      </w:r>
      <w:bookmarkEnd w:id="110"/>
      <w:r>
        <w:rPr>
          <w:rFonts w:hint="eastAsia" w:ascii="黑体" w:eastAsia="黑体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ascii="黑体" w:hAnsi="Adobe 黑体 Std R" w:eastAsia="黑体"/>
          <w:bCs/>
          <w:sz w:val="28"/>
          <w:szCs w:val="28"/>
        </w:rPr>
      </w:pPr>
      <w:bookmarkStart w:id="111" w:name="_Toc20189_WPSOffice_Level1"/>
      <w:bookmarkStart w:id="112" w:name="_Toc23687_WPSOffice_Level1"/>
      <w:r>
        <w:rPr>
          <w:rFonts w:hint="eastAsia" w:ascii="黑体" w:hAnsi="Adobe 黑体 Std R" w:eastAsia="黑体"/>
          <w:bCs/>
          <w:sz w:val="28"/>
          <w:szCs w:val="28"/>
        </w:rPr>
        <w:t>直流电弧-原子发射光谱仪示值误差不确定度评定</w:t>
      </w:r>
      <w:bookmarkEnd w:id="111"/>
      <w:bookmarkEnd w:id="112"/>
      <w:r>
        <w:rPr>
          <w:rFonts w:hint="eastAsia" w:ascii="黑体" w:hAnsi="Adobe 黑体 Std R" w:eastAsia="黑体"/>
          <w:bCs/>
          <w:sz w:val="28"/>
          <w:szCs w:val="28"/>
        </w:rPr>
        <w:t>示例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left="270" w:hanging="270"/>
        <w:textAlignment w:val="auto"/>
        <w:outlineLvl w:val="9"/>
        <w:rPr>
          <w:rFonts w:ascii="黑体" w:eastAsia="黑体"/>
          <w:kern w:val="0"/>
          <w:sz w:val="24"/>
        </w:rPr>
      </w:pPr>
      <w:bookmarkStart w:id="113" w:name="_Toc828_WPSOffice_Level1"/>
      <w:bookmarkStart w:id="114" w:name="_Toc27885_WPSOffice_Level1"/>
      <w:r>
        <w:rPr>
          <w:rFonts w:hint="eastAsia" w:ascii="Times New Roman" w:hAnsi="Times New Roman" w:eastAsia="黑体"/>
          <w:kern w:val="0"/>
          <w:sz w:val="24"/>
        </w:rPr>
        <w:t>C</w:t>
      </w:r>
      <w:r>
        <w:rPr>
          <w:rFonts w:ascii="Times New Roman" w:hAnsi="Times New Roman" w:eastAsia="黑体"/>
          <w:kern w:val="0"/>
          <w:sz w:val="24"/>
        </w:rPr>
        <w:t>.1</w:t>
      </w:r>
      <w:r>
        <w:rPr>
          <w:rFonts w:hint="eastAsia" w:ascii="黑体" w:eastAsia="黑体"/>
          <w:kern w:val="0"/>
          <w:sz w:val="24"/>
        </w:rPr>
        <w:t xml:space="preserve"> 概述</w:t>
      </w:r>
      <w:bookmarkEnd w:id="113"/>
      <w:bookmarkEnd w:id="114"/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sz w:val="24"/>
        </w:rPr>
      </w:pPr>
      <w:r>
        <w:rPr>
          <w:sz w:val="24"/>
        </w:rPr>
        <w:t>本附录以</w:t>
      </w:r>
      <w:r>
        <w:rPr>
          <w:rFonts w:hint="eastAsia"/>
          <w:sz w:val="24"/>
        </w:rPr>
        <w:t>直流电弧-原子发射光谱仪示值误差为示例，</w:t>
      </w:r>
      <w:r>
        <w:rPr>
          <w:sz w:val="24"/>
        </w:rPr>
        <w:t>对其进行测量不确定度评定。其他校准项目可参照本附录作类似评定。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360" w:lineRule="auto"/>
        <w:textAlignment w:val="auto"/>
        <w:outlineLvl w:val="9"/>
        <w:rPr>
          <w:rFonts w:asciiTheme="minorEastAsia" w:hAnsiTheme="minorEastAsia" w:eastAsiaTheme="minorEastAsia"/>
          <w:sz w:val="24"/>
        </w:rPr>
      </w:pPr>
      <w:bookmarkStart w:id="115" w:name="_Toc23440_WPSOffice_Level1"/>
      <w:r>
        <w:rPr>
          <w:rFonts w:hint="eastAsia" w:ascii="Times New Roman" w:hAnsi="Times New Roman" w:eastAsia="黑体"/>
          <w:kern w:val="0"/>
          <w:sz w:val="24"/>
        </w:rPr>
        <w:t>C</w:t>
      </w:r>
      <w:r>
        <w:rPr>
          <w:rFonts w:ascii="Times New Roman" w:hAnsi="Times New Roman" w:eastAsia="黑体"/>
          <w:kern w:val="0"/>
          <w:sz w:val="24"/>
        </w:rPr>
        <w:t>.1.1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测量依据</w:t>
      </w:r>
      <w:bookmarkEnd w:id="115"/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JJF(有色金属) XXXX—2024《</w:t>
      </w:r>
      <w:r>
        <w:rPr>
          <w:sz w:val="24"/>
        </w:rPr>
        <w:t>直流电弧</w:t>
      </w:r>
      <w:r>
        <w:rPr>
          <w:rFonts w:hint="eastAsia"/>
          <w:sz w:val="24"/>
        </w:rPr>
        <w:t>-原子发射光谱仪校准规范</w:t>
      </w:r>
      <w:r>
        <w:rPr>
          <w:rFonts w:ascii="Times New Roman" w:hAnsi="Times New Roman"/>
          <w:sz w:val="24"/>
        </w:rPr>
        <w:t>》。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00" w:lineRule="exact"/>
        <w:textAlignment w:val="auto"/>
        <w:outlineLvl w:val="9"/>
        <w:rPr>
          <w:sz w:val="24"/>
        </w:rPr>
      </w:pPr>
      <w:r>
        <w:rPr>
          <w:rFonts w:hint="eastAsia" w:ascii="Times New Roman" w:hAnsi="Times New Roman" w:eastAsia="黑体"/>
          <w:kern w:val="0"/>
          <w:sz w:val="24"/>
        </w:rPr>
        <w:t>C</w:t>
      </w:r>
      <w:r>
        <w:rPr>
          <w:rFonts w:ascii="Times New Roman" w:hAnsi="Times New Roman" w:eastAsia="黑体"/>
          <w:kern w:val="0"/>
          <w:sz w:val="24"/>
        </w:rPr>
        <w:t>.1.2</w:t>
      </w:r>
      <w:r>
        <w:rPr>
          <w:rFonts w:asciiTheme="minorEastAsia" w:hAnsiTheme="minorEastAsia" w:eastAsiaTheme="minorEastAsia"/>
          <w:sz w:val="24"/>
        </w:rPr>
        <w:t xml:space="preserve"> 环境条件：</w:t>
      </w:r>
      <w:r>
        <w:rPr>
          <w:rFonts w:ascii="Times New Roman" w:hAnsi="Times New Roman" w:eastAsiaTheme="minorEastAsia"/>
          <w:sz w:val="24"/>
        </w:rPr>
        <w:t>（10～30）℃，相对湿度</w:t>
      </w:r>
      <w:r>
        <w:rPr>
          <w:rFonts w:asciiTheme="minorEastAsia" w:hAnsiTheme="minorEastAsia" w:eastAsiaTheme="minorEastAsia"/>
          <w:sz w:val="24"/>
        </w:rPr>
        <w:t>≤</w:t>
      </w:r>
      <w:r>
        <w:rPr>
          <w:sz w:val="24"/>
        </w:rPr>
        <w:t>80</w:t>
      </w:r>
      <w:r>
        <w:rPr>
          <w:rFonts w:ascii="Times New Roman" w:hAnsi="Times New Roman" w:eastAsiaTheme="minorEastAsia"/>
          <w:sz w:val="24"/>
        </w:rPr>
        <w:t>%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/>
          <w:sz w:val="24"/>
        </w:rPr>
      </w:pPr>
      <w:bookmarkStart w:id="116" w:name="_Toc21674_WPSOffice_Level1"/>
      <w:r>
        <w:rPr>
          <w:rFonts w:hint="eastAsia" w:ascii="Times New Roman" w:hAnsi="Times New Roman" w:eastAsia="黑体"/>
          <w:kern w:val="0"/>
          <w:sz w:val="24"/>
        </w:rPr>
        <w:t>C</w:t>
      </w:r>
      <w:r>
        <w:rPr>
          <w:rFonts w:ascii="Times New Roman" w:hAnsi="Times New Roman" w:eastAsia="黑体"/>
          <w:kern w:val="0"/>
          <w:sz w:val="24"/>
        </w:rPr>
        <w:t>.1.3</w:t>
      </w:r>
      <w:r>
        <w:rPr>
          <w:rFonts w:asciiTheme="minorEastAsia" w:hAnsiTheme="minorEastAsia" w:eastAsiaTheme="minorEastAsia"/>
          <w:sz w:val="24"/>
        </w:rPr>
        <w:t xml:space="preserve"> </w:t>
      </w:r>
      <w:bookmarkEnd w:id="116"/>
      <w:r>
        <w:rPr>
          <w:rFonts w:asciiTheme="minorEastAsia" w:hAnsiTheme="minorEastAsia" w:eastAsiaTheme="minorEastAsia"/>
          <w:sz w:val="24"/>
        </w:rPr>
        <w:t>测量标准：三氧化钨标准样品</w:t>
      </w:r>
      <w:r>
        <w:rPr>
          <w:sz w:val="24"/>
        </w:rPr>
        <w:t>，不确定度</w:t>
      </w:r>
      <w:r>
        <w:rPr>
          <w:rFonts w:ascii="Times New Roman" w:hAnsi="Times New Roman"/>
          <w:i/>
          <w:sz w:val="24"/>
        </w:rPr>
        <w:t>U</w:t>
      </w:r>
      <w:r>
        <w:rPr>
          <w:rFonts w:ascii="Times New Roman" w:hAnsi="Times New Roman"/>
          <w:sz w:val="24"/>
          <w:vertAlign w:val="subscript"/>
        </w:rPr>
        <w:t>rel</w:t>
      </w:r>
      <w:r>
        <w:rPr>
          <w:rFonts w:ascii="Times New Roman" w:hAnsi="Times New Roman"/>
          <w:sz w:val="24"/>
        </w:rPr>
        <w:t>(Cu)=0.041%。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360" w:lineRule="auto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="Times New Roman" w:hAnsi="Times New Roman" w:eastAsia="黑体"/>
          <w:kern w:val="0"/>
          <w:sz w:val="24"/>
        </w:rPr>
        <w:t>C</w:t>
      </w:r>
      <w:r>
        <w:rPr>
          <w:rFonts w:ascii="Times New Roman" w:hAnsi="Times New Roman" w:eastAsia="黑体"/>
          <w:kern w:val="0"/>
          <w:sz w:val="24"/>
        </w:rPr>
        <w:t>.1.4</w:t>
      </w:r>
      <w:r>
        <w:rPr>
          <w:rFonts w:asciiTheme="minorEastAsia" w:hAnsiTheme="minorEastAsia" w:eastAsiaTheme="minorEastAsia"/>
          <w:sz w:val="24"/>
        </w:rPr>
        <w:t xml:space="preserve"> 被测对象：</w:t>
      </w:r>
      <w:r>
        <w:rPr>
          <w:sz w:val="24"/>
        </w:rPr>
        <w:t>直流电弧</w:t>
      </w:r>
      <w:r>
        <w:rPr>
          <w:rFonts w:hint="eastAsia"/>
          <w:sz w:val="24"/>
        </w:rPr>
        <w:t>-原子发射光谱仪</w:t>
      </w:r>
      <w:r>
        <w:rPr>
          <w:rFonts w:ascii="Times New Roman" w:hAnsi="Times New Roman"/>
          <w:sz w:val="24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eastAsiaTheme="minorEastAsia"/>
          <w:sz w:val="24"/>
        </w:rPr>
      </w:pPr>
      <w:bookmarkStart w:id="117" w:name="_Toc27849_WPSOffice_Level1"/>
      <w:r>
        <w:rPr>
          <w:rFonts w:hint="eastAsia" w:ascii="Times New Roman" w:hAnsi="Times New Roman" w:eastAsia="黑体"/>
          <w:kern w:val="0"/>
          <w:sz w:val="24"/>
        </w:rPr>
        <w:t>C</w:t>
      </w:r>
      <w:r>
        <w:rPr>
          <w:rFonts w:ascii="Times New Roman" w:hAnsi="Times New Roman" w:eastAsia="黑体"/>
          <w:kern w:val="0"/>
          <w:sz w:val="24"/>
        </w:rPr>
        <w:t>.1.5</w:t>
      </w:r>
      <w:r>
        <w:rPr>
          <w:rFonts w:ascii="Times New Roman" w:hAnsi="Times New Roman" w:eastAsiaTheme="minorEastAsia"/>
          <w:sz w:val="24"/>
        </w:rPr>
        <w:t xml:space="preserve"> 测量</w:t>
      </w:r>
      <w:bookmarkEnd w:id="117"/>
      <w:r>
        <w:rPr>
          <w:rFonts w:ascii="Times New Roman" w:hAnsi="Times New Roman" w:eastAsiaTheme="minorEastAsia"/>
          <w:sz w:val="24"/>
        </w:rPr>
        <w:t>过程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420" w:lineRule="atLeast"/>
        <w:ind w:firstLine="480" w:firstLineChars="200"/>
        <w:textAlignment w:val="auto"/>
        <w:outlineLvl w:val="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仪器调整至工作状态并校准后，根据规范中规定，分别选用合适的光谱分析标准物质，连续测量3次。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left="272" w:hanging="272"/>
        <w:textAlignment w:val="auto"/>
        <w:outlineLvl w:val="9"/>
        <w:rPr>
          <w:rFonts w:ascii="黑体" w:eastAsia="黑体"/>
          <w:kern w:val="0"/>
          <w:sz w:val="24"/>
        </w:rPr>
      </w:pPr>
      <w:bookmarkStart w:id="118" w:name="_Toc15639_WPSOffice_Level1"/>
      <w:r>
        <w:rPr>
          <w:rFonts w:hint="eastAsia" w:ascii="Times New Roman" w:hAnsi="Times New Roman" w:eastAsia="黑体"/>
          <w:kern w:val="0"/>
          <w:sz w:val="24"/>
        </w:rPr>
        <w:t>C</w:t>
      </w:r>
      <w:r>
        <w:rPr>
          <w:rFonts w:ascii="Times New Roman" w:hAnsi="Times New Roman" w:eastAsia="黑体"/>
          <w:kern w:val="0"/>
          <w:sz w:val="24"/>
        </w:rPr>
        <w:t xml:space="preserve">.2 </w:t>
      </w:r>
      <w:r>
        <w:rPr>
          <w:rFonts w:hint="eastAsia" w:ascii="黑体" w:eastAsia="黑体"/>
          <w:kern w:val="0"/>
          <w:sz w:val="24"/>
        </w:rPr>
        <w:t>测量</w:t>
      </w:r>
      <w:r>
        <w:rPr>
          <w:rFonts w:ascii="黑体" w:eastAsia="黑体"/>
          <w:kern w:val="0"/>
          <w:sz w:val="24"/>
        </w:rPr>
        <w:t>模型</w:t>
      </w:r>
      <w:r>
        <w:rPr>
          <w:rFonts w:hint="eastAsia" w:ascii="黑体" w:eastAsia="黑体"/>
          <w:kern w:val="0"/>
          <w:sz w:val="24"/>
        </w:rPr>
        <w:t>及不确定度来源分析</w:t>
      </w:r>
      <w:bookmarkEnd w:id="118"/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360" w:lineRule="auto"/>
        <w:textAlignment w:val="auto"/>
        <w:outlineLvl w:val="9"/>
        <w:rPr>
          <w:rFonts w:asciiTheme="minorEastAsia" w:hAnsiTheme="minorEastAsia" w:eastAsiaTheme="minorEastAsia"/>
          <w:sz w:val="24"/>
        </w:rPr>
      </w:pPr>
      <w:bookmarkStart w:id="119" w:name="_Toc22872_WPSOffice_Level1"/>
      <w:r>
        <w:rPr>
          <w:rFonts w:hint="eastAsia" w:ascii="Times New Roman" w:hAnsi="Times New Roman" w:eastAsia="黑体"/>
          <w:kern w:val="0"/>
          <w:sz w:val="24"/>
        </w:rPr>
        <w:t>C</w:t>
      </w:r>
      <w:r>
        <w:rPr>
          <w:rFonts w:ascii="Times New Roman" w:hAnsi="Times New Roman" w:eastAsia="黑体"/>
          <w:kern w:val="0"/>
          <w:sz w:val="24"/>
        </w:rPr>
        <w:t>.2.1</w:t>
      </w:r>
      <w:r>
        <w:rPr>
          <w:rFonts w:hint="eastAsia" w:asciiTheme="minorEastAsia" w:hAnsiTheme="minorEastAsia" w:eastAsiaTheme="minorEastAsia"/>
          <w:sz w:val="24"/>
        </w:rPr>
        <w:t xml:space="preserve"> 测量模型</w:t>
      </w:r>
      <w:bookmarkEnd w:id="119"/>
      <w:bookmarkStart w:id="120" w:name="_Toc6018_WPSOffice_Level1"/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sz w:val="24"/>
        </w:rPr>
      </w:pPr>
      <w:r>
        <w:rPr>
          <w:sz w:val="24"/>
        </w:rPr>
        <w:t>被校准</w:t>
      </w:r>
      <w:r>
        <w:rPr>
          <w:rFonts w:hint="eastAsia"/>
          <w:sz w:val="24"/>
        </w:rPr>
        <w:t>设备的示值误差的测量模型为：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360" w:lineRule="auto"/>
        <w:jc w:val="right"/>
        <w:textAlignment w:val="auto"/>
        <w:outlineLvl w:val="9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eastAsiaTheme="minorEastAsia"/>
          <w:color w:val="000000"/>
          <w:kern w:val="0"/>
          <w:sz w:val="24"/>
        </w:rPr>
        <w:t xml:space="preserve">             </w:t>
      </w:r>
      <m:oMath>
        <m:r>
          <m:rPr>
            <m:nor/>
          </m:rPr>
          <w:rPr>
            <w:rFonts w:ascii="Times New Roman" w:hAnsi="Times New Roman"/>
            <w:i/>
            <w:color w:val="000000"/>
            <w:kern w:val="0"/>
            <w:sz w:val="24"/>
          </w:rPr>
          <m:t>Δ</m:t>
        </m:r>
        <m:r>
          <m:rPr>
            <m:nor/>
          </m:rPr>
          <w:rPr>
            <w:rFonts w:ascii="Cambria Math" w:hAnsi="Cambria Math"/>
            <w:i/>
            <w:color w:val="000000"/>
            <w:kern w:val="0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kern w:val="0"/>
                        <w:sz w:val="24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color w:val="000000"/>
                        <w:kern w:val="0"/>
                        <w:sz w:val="24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kern w:val="0"/>
                        <w:sz w:val="24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color w:val="000000"/>
                        <w:kern w:val="0"/>
                        <w:sz w:val="24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kern w:val="0"/>
                        <w:sz w:val="24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e>
            </m:acc>
            <m:r>
              <m:rPr/>
              <w:rPr>
                <w:rFonts w:ascii="Cambria Math" w:hAnsi="Cambria Math"/>
                <w:color w:val="000000"/>
                <w:kern w:val="0"/>
                <w:sz w:val="24"/>
              </w:rPr>
              <m:t>−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s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ub>
            </m:sSub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s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ub>
            </m:sSub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den>
        </m:f>
        <m:r>
          <m:rPr>
            <m:nor/>
          </m:rPr>
          <w:rPr>
            <w:rFonts w:ascii="Times New Roman" w:hAnsi="Times New Roman"/>
            <w:i/>
            <w:color w:val="000000"/>
            <w:kern w:val="0"/>
            <w:sz w:val="24"/>
          </w:rPr>
          <m:t xml:space="preserve"> </m:t>
        </m:r>
      </m:oMath>
      <w:r>
        <w:rPr>
          <w:rFonts w:ascii="Times New Roman" w:hAnsi="Times New Roman"/>
          <w:color w:val="000000"/>
          <w:kern w:val="0"/>
          <w:sz w:val="24"/>
        </w:rPr>
        <w:t xml:space="preserve">                             </w:t>
      </w:r>
      <w:r>
        <w:rPr>
          <w:rFonts w:ascii="Times New Roman" w:hAnsi="Times New Roman"/>
          <w:sz w:val="24"/>
        </w:rPr>
        <w:t>（</w:t>
      </w:r>
      <w:r>
        <w:rPr>
          <w:rFonts w:hint="eastAsia"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.1）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/>
          <w:color w:val="000000"/>
          <w:kern w:val="0"/>
          <w:sz w:val="24"/>
          <w:lang w:eastAsia="zh-CN"/>
        </w:rPr>
      </w:pPr>
      <w:r>
        <w:rPr>
          <w:rFonts w:ascii="Times New Roman" w:hAnsi="Times New Roman"/>
          <w:color w:val="000000"/>
          <w:kern w:val="0"/>
          <w:sz w:val="24"/>
        </w:rPr>
        <w:t>式中</w:t>
      </w:r>
      <w:r>
        <w:rPr>
          <w:rFonts w:hint="eastAsia"/>
          <w:color w:val="000000"/>
          <w:kern w:val="0"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i/>
          <w:color w:val="000000"/>
          <w:kern w:val="0"/>
          <w:sz w:val="24"/>
        </w:rPr>
        <w:t xml:space="preserve">Δ </w:t>
      </w:r>
      <w:r>
        <w:rPr>
          <w:rFonts w:ascii="Times New Roman" w:hAnsi="Times New Roman"/>
          <w:color w:val="000000"/>
          <w:kern w:val="0"/>
          <w:sz w:val="24"/>
        </w:rPr>
        <w:t>———各点示值误差；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ascii="Times New Roman" w:hAnsi="Times New Roman"/>
          <w:kern w:val="0"/>
          <w:sz w:val="24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i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ub>
            </m:sSub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e>
        </m:acc>
      </m:oMath>
      <w:r>
        <w:rPr>
          <w:rFonts w:ascii="Times New Roman" w:hAnsi="Times New Roman"/>
          <w:color w:val="000000"/>
          <w:kern w:val="0"/>
          <w:sz w:val="24"/>
        </w:rPr>
        <w:t>———各点实测平均值（质量分数），</w:t>
      </w:r>
      <w:r>
        <w:rPr>
          <w:rFonts w:hint="eastAsia" w:ascii="Times New Roman" w:hAnsi="Times New Roman"/>
          <w:color w:val="000000"/>
          <w:kern w:val="0"/>
          <w:sz w:val="24"/>
        </w:rPr>
        <w:t>%</w:t>
      </w:r>
      <w:r>
        <w:rPr>
          <w:rFonts w:ascii="Times New Roman" w:hAnsi="Times New Roman"/>
          <w:color w:val="000000"/>
          <w:kern w:val="0"/>
          <w:sz w:val="24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i/>
          <w:color w:val="000000"/>
          <w:kern w:val="0"/>
          <w:sz w:val="24"/>
        </w:rPr>
        <w:t>X</w:t>
      </w:r>
      <w:r>
        <w:rPr>
          <w:rFonts w:ascii="Times New Roman" w:hAnsi="Times New Roman"/>
          <w:color w:val="000000"/>
          <w:kern w:val="0"/>
          <w:sz w:val="24"/>
          <w:vertAlign w:val="subscript"/>
        </w:rPr>
        <w:t>s</w:t>
      </w:r>
      <w:r>
        <w:rPr>
          <w:rFonts w:ascii="Times New Roman" w:hAnsi="Times New Roman"/>
          <w:color w:val="000000"/>
          <w:kern w:val="0"/>
          <w:sz w:val="24"/>
        </w:rPr>
        <w:t xml:space="preserve"> ———各点标准值（质量分数），</w:t>
      </w:r>
      <w:r>
        <w:rPr>
          <w:rFonts w:hint="eastAsia" w:ascii="Times New Roman" w:hAnsi="Times New Roman"/>
          <w:color w:val="000000"/>
          <w:kern w:val="0"/>
          <w:sz w:val="24"/>
        </w:rPr>
        <w:t>%</w:t>
      </w:r>
      <w:r>
        <w:rPr>
          <w:rFonts w:ascii="Times New Roman" w:hAnsi="Times New Roman"/>
          <w:color w:val="000000"/>
          <w:kern w:val="0"/>
          <w:sz w:val="24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360" w:lineRule="auto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ascii="Times New Roman" w:hAnsi="Times New Roman" w:eastAsia="黑体"/>
          <w:kern w:val="0"/>
          <w:sz w:val="24"/>
        </w:rPr>
        <w:t>C.2.2</w:t>
      </w:r>
      <w:r>
        <w:rPr>
          <w:rFonts w:hint="eastAsia" w:ascii="Times New Roman" w:hAnsi="Times New Roman" w:eastAsia="黑体"/>
          <w:kern w:val="0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测量结果不确定度的主要来源</w:t>
      </w:r>
      <w:r>
        <w:rPr>
          <w:rFonts w:hint="eastAsia" w:asciiTheme="minorEastAsia" w:hAnsiTheme="minorEastAsia" w:eastAsiaTheme="minorEastAsia"/>
          <w:sz w:val="24"/>
        </w:rPr>
        <w:t>分析</w:t>
      </w:r>
      <w:bookmarkEnd w:id="120"/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ascii="Times New Roman" w:hAnsi="Times New Roman"/>
          <w:color w:val="000000"/>
          <w:sz w:val="24"/>
        </w:rPr>
      </w:pPr>
      <w:r>
        <w:rPr>
          <w:color w:val="000000"/>
          <w:sz w:val="24"/>
        </w:rPr>
        <w:t>根据测量模型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示值误差的标准不确定度将取决于所有随机因素引起被校示值</w:t>
      </w:r>
      <w:r>
        <w:rPr>
          <w:rFonts w:hint="eastAsia" w:ascii="Times New Roman" w:hAnsi="Times New Roman"/>
          <w:i/>
          <w:color w:val="000000"/>
          <w:sz w:val="24"/>
        </w:rPr>
        <w:t>X</w:t>
      </w:r>
      <w:r>
        <w:rPr>
          <w:color w:val="000000"/>
          <w:sz w:val="24"/>
        </w:rPr>
        <w:t>的标准不确定度</w:t>
      </w:r>
      <w:r>
        <w:rPr>
          <w:rFonts w:ascii="Times New Roman" w:hAnsi="Times New Roman"/>
          <w:i/>
          <w:color w:val="000000"/>
          <w:sz w:val="24"/>
        </w:rPr>
        <w:t>u</w:t>
      </w:r>
      <w:r>
        <w:rPr>
          <w:rFonts w:ascii="Times New Roman" w:hAnsi="Times New Roman"/>
          <w:color w:val="000000"/>
          <w:sz w:val="24"/>
        </w:rPr>
        <w:t>(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i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ub>
            </m:sSub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e>
        </m:acc>
      </m:oMath>
      <w:r>
        <w:rPr>
          <w:rFonts w:ascii="Times New Roman" w:hAnsi="Times New Roman"/>
          <w:color w:val="000000"/>
          <w:sz w:val="24"/>
        </w:rPr>
        <w:t>)和标准物质定值不准引入的标准不确定度</w:t>
      </w:r>
      <w:r>
        <w:rPr>
          <w:rFonts w:ascii="Times New Roman" w:hAnsi="Times New Roman"/>
          <w:i/>
          <w:color w:val="000000"/>
          <w:sz w:val="24"/>
        </w:rPr>
        <w:t>u</w:t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i/>
          <w:color w:val="000000"/>
          <w:kern w:val="0"/>
          <w:sz w:val="24"/>
        </w:rPr>
        <w:t>X</w:t>
      </w:r>
      <w:r>
        <w:rPr>
          <w:rFonts w:ascii="Times New Roman" w:hAnsi="Times New Roman"/>
          <w:color w:val="000000"/>
          <w:kern w:val="0"/>
          <w:sz w:val="24"/>
          <w:vertAlign w:val="subscript"/>
        </w:rPr>
        <w:t>s</w:t>
      </w:r>
      <w:r>
        <w:rPr>
          <w:rFonts w:ascii="Times New Roman" w:hAnsi="Times New Roman"/>
          <w:color w:val="000000"/>
          <w:sz w:val="24"/>
        </w:rPr>
        <w:t>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left="272" w:hanging="272"/>
        <w:textAlignment w:val="auto"/>
        <w:outlineLvl w:val="9"/>
        <w:rPr>
          <w:rFonts w:ascii="Times New Roman" w:hAnsi="Times New Roman" w:eastAsia="黑体"/>
          <w:kern w:val="0"/>
          <w:sz w:val="24"/>
        </w:rPr>
      </w:pPr>
      <w:bookmarkStart w:id="121" w:name="_Toc17306_WPSOffice_Level1"/>
      <w:r>
        <w:rPr>
          <w:rFonts w:hint="eastAsia" w:ascii="Times New Roman" w:hAnsi="Times New Roman" w:eastAsia="黑体"/>
          <w:kern w:val="0"/>
          <w:sz w:val="24"/>
        </w:rPr>
        <w:t>C</w:t>
      </w:r>
      <w:r>
        <w:rPr>
          <w:rFonts w:ascii="Times New Roman" w:hAnsi="Times New Roman" w:eastAsia="黑体"/>
          <w:kern w:val="0"/>
          <w:sz w:val="24"/>
        </w:rPr>
        <w:t>.3 标准不确定度的计算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eastAsiaTheme="minorEastAsia"/>
          <w:kern w:val="0"/>
          <w:sz w:val="24"/>
        </w:rPr>
      </w:pPr>
      <w:r>
        <w:rPr>
          <w:rFonts w:ascii="Times New Roman" w:hAnsi="Times New Roman" w:eastAsiaTheme="minorEastAsia"/>
          <w:kern w:val="0"/>
          <w:sz w:val="24"/>
        </w:rPr>
        <w:t>C.3.1被测标准物质重复性的标准不确定度</w:t>
      </w:r>
      <w:r>
        <w:rPr>
          <w:rFonts w:ascii="Times New Roman" w:hAnsi="Times New Roman" w:eastAsiaTheme="minorEastAsia"/>
          <w:i/>
          <w:color w:val="000000"/>
          <w:sz w:val="24"/>
        </w:rPr>
        <w:t>u</w:t>
      </w:r>
      <w:r>
        <w:rPr>
          <w:rFonts w:ascii="Times New Roman" w:hAnsi="Times New Roman" w:eastAsiaTheme="minorEastAsia"/>
          <w:color w:val="000000"/>
          <w:sz w:val="24"/>
        </w:rPr>
        <w:t>(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i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ub>
            </m:sSub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e>
        </m:acc>
      </m:oMath>
      <w:r>
        <w:rPr>
          <w:rFonts w:ascii="Times New Roman" w:hAnsi="Times New Roman" w:eastAsiaTheme="minorEastAsia"/>
          <w:color w:val="000000"/>
          <w:sz w:val="24"/>
        </w:rPr>
        <w:t>)</w:t>
      </w:r>
      <w:r>
        <w:rPr>
          <w:rFonts w:ascii="Times New Roman" w:hAnsi="Times New Roman" w:eastAsiaTheme="minorEastAsia"/>
          <w:kern w:val="0"/>
          <w:sz w:val="24"/>
        </w:rPr>
        <w:t>的评定</w:t>
      </w:r>
      <w:bookmarkEnd w:id="121"/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ascii="Times New Roman" w:hAnsi="Times New Roman"/>
          <w:color w:val="000000"/>
          <w:sz w:val="24"/>
        </w:rPr>
      </w:pPr>
      <w:bookmarkStart w:id="122" w:name="_Toc13805_WPSOffice_Level1"/>
      <w:r>
        <w:rPr>
          <w:rFonts w:ascii="Times New Roman" w:hAnsi="Times New Roman"/>
          <w:color w:val="000000"/>
          <w:sz w:val="24"/>
        </w:rPr>
        <w:t>采用A类评定方法，选择有色金属标准物质YSS104-2020（</w:t>
      </w:r>
      <w:r>
        <w:rPr>
          <w:rFonts w:hint="eastAsia" w:ascii="Times New Roman" w:hAnsi="Times New Roman"/>
          <w:color w:val="000000"/>
          <w:sz w:val="24"/>
        </w:rPr>
        <w:t>C</w:t>
      </w:r>
      <w:r>
        <w:rPr>
          <w:rFonts w:ascii="Times New Roman" w:hAnsi="Times New Roman"/>
          <w:color w:val="000000"/>
          <w:sz w:val="24"/>
        </w:rPr>
        <w:t>u：</w:t>
      </w:r>
      <w:r>
        <w:rPr>
          <w:rFonts w:hint="eastAsia" w:ascii="Times New Roman" w:hAnsi="Times New Roman"/>
          <w:color w:val="000000"/>
          <w:sz w:val="24"/>
        </w:rPr>
        <w:t>0</w:t>
      </w:r>
      <w:r>
        <w:rPr>
          <w:rFonts w:ascii="Times New Roman" w:hAnsi="Times New Roman"/>
          <w:color w:val="000000"/>
          <w:sz w:val="24"/>
        </w:rPr>
        <w:t>.041%）</w:t>
      </w:r>
      <w:r>
        <w:rPr>
          <w:rFonts w:hint="eastAsia" w:ascii="Times New Roman" w:hAnsi="Times New Roman"/>
          <w:color w:val="000000"/>
          <w:sz w:val="24"/>
        </w:rPr>
        <w:t>，直流电弧光谱仪对</w:t>
      </w:r>
      <w:r>
        <w:rPr>
          <w:rFonts w:ascii="Times New Roman" w:hAnsi="Times New Roman"/>
          <w:color w:val="000000"/>
          <w:sz w:val="24"/>
        </w:rPr>
        <w:t>连续重复测量10次</w:t>
      </w:r>
      <w:r>
        <w:rPr>
          <w:rFonts w:hint="eastAsia" w:ascii="Times New Roman" w:hAnsi="Times New Roman"/>
          <w:color w:val="000000"/>
          <w:sz w:val="24"/>
        </w:rPr>
        <w:t>，</w:t>
      </w:r>
      <w:r>
        <w:rPr>
          <w:rFonts w:ascii="Times New Roman" w:hAnsi="Times New Roman"/>
          <w:color w:val="000000"/>
          <w:sz w:val="24"/>
        </w:rPr>
        <w:t>具体测量数据见表</w:t>
      </w:r>
      <w:r>
        <w:rPr>
          <w:rFonts w:hint="eastAsia" w:ascii="Times New Roman" w:hAnsi="Times New Roman"/>
          <w:color w:val="000000"/>
          <w:sz w:val="24"/>
        </w:rPr>
        <w:t>C</w:t>
      </w:r>
      <w:r>
        <w:rPr>
          <w:rFonts w:ascii="Times New Roman" w:hAnsi="Times New Roman"/>
          <w:color w:val="000000"/>
          <w:sz w:val="24"/>
        </w:rPr>
        <w:t>.1。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jc w:val="right"/>
        <w:textAlignment w:val="auto"/>
        <w:outlineLvl w:val="9"/>
        <w:rPr>
          <w:rFonts w:eastAsia="黑体"/>
          <w:kern w:val="0"/>
        </w:rPr>
      </w:pPr>
      <w:r>
        <w:rPr>
          <w:rFonts w:hint="eastAsia" w:eastAsia="黑体"/>
          <w:kern w:val="0"/>
        </w:rPr>
        <w:t xml:space="preserve">表C.1 </w:t>
      </w:r>
      <w:r>
        <w:rPr>
          <w:rFonts w:hint="eastAsia" w:eastAsia="黑体"/>
          <w:kern w:val="0"/>
          <w:lang w:val="en-US" w:eastAsia="zh-CN"/>
        </w:rPr>
        <w:t xml:space="preserve"> </w:t>
      </w:r>
      <w:r>
        <w:rPr>
          <w:rFonts w:eastAsia="黑体"/>
          <w:kern w:val="0"/>
        </w:rPr>
        <w:t>测量值及计算结果表</w:t>
      </w:r>
      <w:r>
        <w:rPr>
          <w:rFonts w:hint="eastAsia" w:eastAsia="黑体"/>
          <w:kern w:val="0"/>
        </w:rPr>
        <w:t xml:space="preserve">                        % </w:t>
      </w:r>
      <w:r>
        <w:rPr>
          <w:rFonts w:hint="eastAsia" w:eastAsia="黑体"/>
          <w:kern w:val="0"/>
          <w:lang w:val="en-US" w:eastAsia="zh-CN"/>
        </w:rPr>
        <w:t xml:space="preserve">  </w:t>
      </w:r>
      <w:r>
        <w:rPr>
          <w:rFonts w:hint="eastAsia" w:eastAsia="黑体"/>
          <w:kern w:val="0"/>
        </w:rPr>
        <w:t xml:space="preserve"> </w:t>
      </w:r>
    </w:p>
    <w:tbl>
      <w:tblPr>
        <w:tblStyle w:val="29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794"/>
        <w:gridCol w:w="840"/>
        <w:gridCol w:w="840"/>
        <w:gridCol w:w="840"/>
        <w:gridCol w:w="840"/>
        <w:gridCol w:w="840"/>
        <w:gridCol w:w="840"/>
        <w:gridCol w:w="840"/>
        <w:gridCol w:w="840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53" w:after="120"/>
              <w:jc w:val="center"/>
              <w:textAlignment w:val="auto"/>
              <w:outlineLvl w:val="9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组数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53" w:after="120"/>
              <w:jc w:val="center"/>
              <w:textAlignment w:val="auto"/>
              <w:outlineLvl w:val="9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53" w:after="120"/>
              <w:jc w:val="center"/>
              <w:textAlignment w:val="auto"/>
              <w:outlineLvl w:val="9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53" w:after="120"/>
              <w:jc w:val="center"/>
              <w:textAlignment w:val="auto"/>
              <w:outlineLvl w:val="9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53" w:after="120"/>
              <w:jc w:val="center"/>
              <w:textAlignment w:val="auto"/>
              <w:outlineLvl w:val="9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4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53" w:after="120"/>
              <w:jc w:val="center"/>
              <w:textAlignment w:val="auto"/>
              <w:outlineLvl w:val="9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5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53" w:after="120"/>
              <w:jc w:val="center"/>
              <w:textAlignment w:val="auto"/>
              <w:outlineLvl w:val="9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6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53" w:after="120"/>
              <w:jc w:val="center"/>
              <w:textAlignment w:val="auto"/>
              <w:outlineLvl w:val="9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7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53" w:after="120"/>
              <w:jc w:val="center"/>
              <w:textAlignment w:val="auto"/>
              <w:outlineLvl w:val="9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8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53" w:after="120"/>
              <w:jc w:val="center"/>
              <w:textAlignment w:val="auto"/>
              <w:outlineLvl w:val="9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9</w:t>
            </w: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53" w:after="120"/>
              <w:jc w:val="center"/>
              <w:textAlignment w:val="auto"/>
              <w:outlineLvl w:val="9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53" w:after="120"/>
              <w:jc w:val="center"/>
              <w:textAlignment w:val="auto"/>
              <w:outlineLvl w:val="9"/>
              <w:rPr>
                <w:rFonts w:ascii="Times New Roman" w:hAnsi="Times New Roman" w:eastAsiaTheme="minorEastAsia"/>
                <w:szCs w:val="21"/>
              </w:rPr>
            </w:pPr>
            <w:bookmarkStart w:id="123" w:name="OLE_LINK1" w:colFirst="1" w:colLast="10"/>
            <w:r>
              <w:rPr>
                <w:rFonts w:ascii="Times New Roman" w:hAnsi="Times New Roman" w:eastAsiaTheme="minorEastAsia"/>
                <w:szCs w:val="21"/>
              </w:rPr>
              <w:t>测量值</w:t>
            </w:r>
          </w:p>
        </w:tc>
        <w:tc>
          <w:tcPr>
            <w:tcW w:w="794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53" w:after="120"/>
              <w:jc w:val="center"/>
              <w:textAlignment w:val="auto"/>
              <w:outlineLvl w:val="9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</w:t>
            </w:r>
            <w:r>
              <w:rPr>
                <w:rFonts w:ascii="Times New Roman" w:hAnsi="Times New Roman" w:eastAsiaTheme="minorEastAsia"/>
                <w:szCs w:val="21"/>
              </w:rPr>
              <w:t>.045</w:t>
            </w: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53" w:after="120"/>
              <w:jc w:val="center"/>
              <w:textAlignment w:val="auto"/>
              <w:outlineLvl w:val="9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</w:t>
            </w:r>
            <w:r>
              <w:rPr>
                <w:rFonts w:ascii="Times New Roman" w:hAnsi="Times New Roman" w:eastAsiaTheme="minorEastAsia"/>
                <w:szCs w:val="21"/>
              </w:rPr>
              <w:t>.037</w:t>
            </w: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53" w:after="120"/>
              <w:jc w:val="center"/>
              <w:textAlignment w:val="auto"/>
              <w:outlineLvl w:val="9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</w:t>
            </w:r>
            <w:r>
              <w:rPr>
                <w:rFonts w:ascii="Times New Roman" w:hAnsi="Times New Roman" w:eastAsiaTheme="minorEastAsia"/>
                <w:szCs w:val="21"/>
              </w:rPr>
              <w:t>.043</w:t>
            </w: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53" w:after="120"/>
              <w:jc w:val="center"/>
              <w:textAlignment w:val="auto"/>
              <w:outlineLvl w:val="9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</w:t>
            </w:r>
            <w:r>
              <w:rPr>
                <w:rFonts w:ascii="Times New Roman" w:hAnsi="Times New Roman" w:eastAsiaTheme="minorEastAsia"/>
                <w:szCs w:val="21"/>
              </w:rPr>
              <w:t>.041</w:t>
            </w: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53" w:after="120"/>
              <w:jc w:val="center"/>
              <w:textAlignment w:val="auto"/>
              <w:outlineLvl w:val="9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</w:t>
            </w:r>
            <w:r>
              <w:rPr>
                <w:rFonts w:ascii="Times New Roman" w:hAnsi="Times New Roman" w:eastAsiaTheme="minorEastAsia"/>
                <w:szCs w:val="21"/>
              </w:rPr>
              <w:t>.044</w:t>
            </w: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53" w:after="120"/>
              <w:jc w:val="center"/>
              <w:textAlignment w:val="auto"/>
              <w:outlineLvl w:val="9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</w:t>
            </w:r>
            <w:r>
              <w:rPr>
                <w:rFonts w:ascii="Times New Roman" w:hAnsi="Times New Roman" w:eastAsiaTheme="minorEastAsia"/>
                <w:szCs w:val="21"/>
              </w:rPr>
              <w:t>.040</w:t>
            </w: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53" w:after="120"/>
              <w:jc w:val="center"/>
              <w:textAlignment w:val="auto"/>
              <w:outlineLvl w:val="9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</w:t>
            </w:r>
            <w:r>
              <w:rPr>
                <w:rFonts w:ascii="Times New Roman" w:hAnsi="Times New Roman" w:eastAsiaTheme="minorEastAsia"/>
                <w:szCs w:val="21"/>
              </w:rPr>
              <w:t>.042</w:t>
            </w: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53" w:after="120"/>
              <w:jc w:val="center"/>
              <w:textAlignment w:val="auto"/>
              <w:outlineLvl w:val="9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</w:t>
            </w:r>
            <w:r>
              <w:rPr>
                <w:rFonts w:ascii="Times New Roman" w:hAnsi="Times New Roman" w:eastAsiaTheme="minorEastAsia"/>
                <w:szCs w:val="21"/>
              </w:rPr>
              <w:t>.043</w:t>
            </w: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53" w:after="120"/>
              <w:jc w:val="center"/>
              <w:textAlignment w:val="auto"/>
              <w:outlineLvl w:val="9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</w:t>
            </w:r>
            <w:r>
              <w:rPr>
                <w:rFonts w:ascii="Times New Roman" w:hAnsi="Times New Roman" w:eastAsiaTheme="minorEastAsia"/>
                <w:szCs w:val="21"/>
              </w:rPr>
              <w:t>.038</w:t>
            </w:r>
          </w:p>
        </w:tc>
        <w:tc>
          <w:tcPr>
            <w:tcW w:w="874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="53" w:after="120"/>
              <w:jc w:val="center"/>
              <w:textAlignment w:val="auto"/>
              <w:outlineLvl w:val="9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</w:t>
            </w:r>
            <w:r>
              <w:rPr>
                <w:rFonts w:ascii="Times New Roman" w:hAnsi="Times New Roman" w:eastAsiaTheme="minorEastAsia"/>
                <w:szCs w:val="21"/>
              </w:rPr>
              <w:t>.041</w:t>
            </w:r>
          </w:p>
        </w:tc>
      </w:tr>
      <w:bookmarkEnd w:id="12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98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20" w:lineRule="atLeast"/>
              <w:jc w:val="center"/>
              <w:textAlignment w:val="auto"/>
              <w:outlineLvl w:val="9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平均值</w:t>
            </w:r>
          </w:p>
        </w:tc>
        <w:tc>
          <w:tcPr>
            <w:tcW w:w="8388" w:type="dxa"/>
            <w:gridSpan w:val="10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20" w:lineRule="atLeast"/>
              <w:jc w:val="center"/>
              <w:textAlignment w:val="auto"/>
              <w:outlineLvl w:val="9"/>
              <w:rPr>
                <w:rFonts w:ascii="Times New Roman" w:hAnsi="Times New Roman" w:eastAsiaTheme="minorEastAsia"/>
                <w:szCs w:val="21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kern w:val="0"/>
                      <w:sz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kern w:val="0"/>
                          <w:sz w:val="24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  <w:color w:val="000000"/>
                          <w:kern w:val="0"/>
                          <w:sz w:val="24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kern w:val="0"/>
                          <w:sz w:val="24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/>
                          <w:color w:val="000000"/>
                          <w:kern w:val="0"/>
                          <w:sz w:val="24"/>
                        </w:rPr>
                        <m:t>i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kern w:val="0"/>
                          <w:sz w:val="24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  <w:i/>
                      <w:color w:val="000000"/>
                      <w:kern w:val="0"/>
                      <w:sz w:val="24"/>
                    </w:rPr>
                  </m:ctrlPr>
                </m:e>
              </m:acc>
              <m:r>
                <m:rPr/>
                <w:rPr>
                  <w:rFonts w:ascii="Cambria Math" w:hAnsi="Cambria Math" w:eastAsiaTheme="minorEastAsia"/>
                  <w:color w:val="000000"/>
                  <w:szCs w:val="21"/>
                </w:rPr>
                <m:t>=</m:t>
              </m:r>
            </m:oMath>
            <w:r>
              <w:rPr>
                <w:rFonts w:ascii="Times New Roman" w:hAnsi="Times New Roman" w:eastAsiaTheme="minorEastAsia"/>
                <w:szCs w:val="21"/>
              </w:rPr>
              <w:t>0.041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8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平均标准偏差</w:t>
            </w:r>
          </w:p>
        </w:tc>
        <w:tc>
          <w:tcPr>
            <w:tcW w:w="8388" w:type="dxa"/>
            <w:gridSpan w:val="10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20" w:lineRule="atLeast"/>
              <w:jc w:val="center"/>
              <w:textAlignment w:val="auto"/>
              <w:outlineLvl w:val="9"/>
              <w:rPr>
                <w:rFonts w:ascii="Times New Roman" w:hAnsi="Times New Roman" w:eastAsiaTheme="minorEastAsia"/>
                <w:i/>
                <w:szCs w:val="21"/>
              </w:rPr>
            </w:pPr>
            <w: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2158365</wp:posOffset>
                  </wp:positionH>
                  <wp:positionV relativeFrom="paragraph">
                    <wp:posOffset>93980</wp:posOffset>
                  </wp:positionV>
                  <wp:extent cx="866140" cy="659130"/>
                  <wp:effectExtent l="0" t="0" r="0" b="0"/>
                  <wp:wrapNone/>
                  <wp:docPr id="9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14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20" w:lineRule="atLeast"/>
              <w:ind w:firstLine="2730" w:firstLineChars="1300"/>
              <w:textAlignment w:val="auto"/>
              <w:outlineLvl w:val="9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i/>
                <w:szCs w:val="21"/>
              </w:rPr>
              <w:t>s</w:t>
            </w:r>
            <w:r>
              <w:rPr>
                <w:rFonts w:ascii="Times New Roman" w:hAnsi="Times New Roman" w:eastAsiaTheme="minorEastAsia"/>
                <w:szCs w:val="21"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kern w:val="0"/>
                      <w:sz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kern w:val="0"/>
                          <w:sz w:val="24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  <w:color w:val="000000"/>
                          <w:kern w:val="0"/>
                          <w:sz w:val="24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kern w:val="0"/>
                          <w:sz w:val="24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/>
                          <w:color w:val="000000"/>
                          <w:kern w:val="0"/>
                          <w:sz w:val="24"/>
                        </w:rPr>
                        <m:t>i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kern w:val="0"/>
                          <w:sz w:val="24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  <w:i/>
                      <w:color w:val="000000"/>
                      <w:kern w:val="0"/>
                      <w:sz w:val="24"/>
                    </w:rPr>
                  </m:ctrlPr>
                </m:e>
              </m:acc>
            </m:oMath>
            <w:r>
              <w:rPr>
                <w:rFonts w:ascii="Times New Roman" w:hAnsi="Times New Roman" w:eastAsiaTheme="minorEastAsia"/>
                <w:szCs w:val="21"/>
              </w:rPr>
              <w:t>)</w:t>
            </w:r>
            <w:r>
              <w:rPr>
                <w:rFonts w:ascii="Times New Roman" w:hAnsi="Times New Roman" w:eastAsiaTheme="minorEastAsia"/>
                <w:szCs w:val="21"/>
              </w:rPr>
              <w:fldChar w:fldCharType="begin"/>
            </w:r>
            <w:r>
              <w:rPr>
                <w:rFonts w:ascii="Times New Roman" w:hAnsi="Times New Roman" w:eastAsiaTheme="minorEastAsia"/>
                <w:szCs w:val="21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eastAsiaTheme="minorEastAsia"/>
                  <w:w w:val="110"/>
                  <w:kern w:val="0"/>
                  <w:szCs w:val="21"/>
                  <w:lang w:eastAsia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eastAsiaTheme="minorEastAsia"/>
                  <w:color w:val="000000"/>
                  <w:kern w:val="0"/>
                  <w:szCs w:val="21"/>
                </w:rPr>
                <m:t xml:space="preserve">=</m:t>
              </m:r>
              <m:rad>
                <m:radPr>
                  <m:degHide m:val="1"/>
                  <m:ctrlPr>
                    <w:rPr>
                      <w:rFonts w:ascii="Cambria Math" w:hAnsi="Cambria Math" w:eastAsiaTheme="minorEastAsia"/>
                      <w:i/>
                      <w:color w:val="000000"/>
                      <w:kern w:val="0"/>
                      <w:szCs w:val="21"/>
                    </w:rPr>
                  </m:ctrlPr>
                </m:radPr>
                <m:deg>
                  <m:ctrlPr>
                    <w:rPr>
                      <w:rFonts w:ascii="Cambria Math" w:hAnsi="Cambria Math" w:eastAsiaTheme="minorEastAsia"/>
                      <w:i/>
                      <w:color w:val="000000"/>
                      <w:kern w:val="0"/>
                      <w:szCs w:val="21"/>
                    </w:rPr>
                  </m:ctrlPr>
                </m:deg>
                <m:e>
                  <m:f>
                    <m:fPr>
                      <m:ctrlPr>
                        <w:rPr>
                          <w:rFonts w:ascii="Cambria Math" w:hAnsi="Cambria Math" w:eastAsiaTheme="minorEastAsia"/>
                          <w:i/>
                          <w:color w:val="000000"/>
                          <w:kern w:val="0"/>
                          <w:szCs w:val="21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 w:eastAsiaTheme="minorEastAsia"/>
                              <w:i/>
                              <w:color w:val="000000"/>
                              <w:kern w:val="0"/>
                              <w:szCs w:val="21"/>
                            </w:rPr>
                          </m:ctrlPr>
                        </m:naryPr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eastAsiaTheme="minorEastAsia"/>
                              <w:color w:val="000000"/>
                              <w:kern w:val="0"/>
                              <w:szCs w:val="21"/>
                            </w:rPr>
                            <m:t xml:space="preserve">i=1</m:t>
                          </m:r>
                          <m:ctrlPr>
                            <w:rPr>
                              <w:rFonts w:ascii="Cambria Math" w:hAnsi="Cambria Math" w:eastAsiaTheme="minorEastAsia"/>
                              <w:i/>
                              <w:color w:val="000000"/>
                              <w:kern w:val="0"/>
                              <w:szCs w:val="21"/>
                            </w:rPr>
                          </m:ctrlP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eastAsiaTheme="minorEastAsia"/>
                              <w:color w:val="000000"/>
                              <w:kern w:val="0"/>
                              <w:szCs w:val="21"/>
                            </w:rPr>
                            <m:t xml:space="preserve">n</m:t>
                          </m:r>
                          <m:ctrlPr>
                            <w:rPr>
                              <w:rFonts w:ascii="Cambria Math" w:hAnsi="Cambria Math" w:eastAsiaTheme="minorEastAsia"/>
                              <w:i/>
                              <w:color w:val="000000"/>
                              <w:kern w:val="0"/>
                              <w:szCs w:val="21"/>
                            </w:rPr>
                          </m:ctrlP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 w:eastAsiaTheme="minorEastAsia"/>
                                  <w:i/>
                                  <w:color w:val="000000"/>
                                  <w:kern w:val="0"/>
                                  <w:szCs w:val="21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eastAsiaTheme="minor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eastAsiaTheme="minorEastAsia"/>
                                          <w:i/>
                                          <w:color w:val="000000"/>
                                          <w:kern w:val="0"/>
                                          <w:szCs w:val="21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eastAsiaTheme="minorEastAsia"/>
                                          <w:color w:val="000000"/>
                                          <w:kern w:val="0"/>
                                          <w:szCs w:val="21"/>
                                        </w:rPr>
                                        <m:t xml:space="preserve">t</m:t>
                                      </m:r>
                                      <m:ctrlPr>
                                        <w:rPr>
                                          <w:rFonts w:ascii="Cambria Math" w:hAnsi="Cambria Math" w:eastAsiaTheme="minorEastAsia"/>
                                          <w:i/>
                                          <w:color w:val="000000"/>
                                          <w:kern w:val="0"/>
                                          <w:szCs w:val="21"/>
                                        </w:rPr>
                                      </m:ctrlP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eastAsiaTheme="minorEastAsia"/>
                                          <w:color w:val="000000"/>
                                          <w:kern w:val="0"/>
                                          <w:szCs w:val="21"/>
                                        </w:rPr>
                                        <m:t xml:space="preserve">maxi</m:t>
                                      </m:r>
                                      <m:ctrlPr>
                                        <w:rPr>
                                          <w:rFonts w:ascii="Cambria Math" w:hAnsi="Cambria Math" w:eastAsiaTheme="minorEastAsia"/>
                                          <w:i/>
                                          <w:color w:val="000000"/>
                                          <w:kern w:val="0"/>
                                          <w:szCs w:val="21"/>
                                        </w:rPr>
                                      </m:ctrlP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eastAsiaTheme="minorEastAsia"/>
                                      <w:color w:val="000000"/>
                                      <w:kern w:val="0"/>
                                      <w:szCs w:val="21"/>
                                    </w:rPr>
                                    <m:t xml:space="preserve">−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eastAsiaTheme="minorEastAsia"/>
                                          <w:i/>
                                          <w:color w:val="000000"/>
                                          <w:kern w:val="0"/>
                                          <w:szCs w:val="21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eastAsiaTheme="minorEastAsia"/>
                                          <w:color w:val="000000"/>
                                          <w:kern w:val="0"/>
                                          <w:szCs w:val="21"/>
                                        </w:rPr>
                                        <m:t xml:space="preserve">t</m:t>
                                      </m:r>
                                      <m:ctrlPr>
                                        <w:rPr>
                                          <w:rFonts w:ascii="Cambria Math" w:hAnsi="Cambria Math" w:eastAsiaTheme="minorEastAsia"/>
                                          <w:i/>
                                          <w:color w:val="000000"/>
                                          <w:kern w:val="0"/>
                                          <w:szCs w:val="21"/>
                                        </w:rPr>
                                      </m:ctrlP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eastAsiaTheme="minorEastAsia"/>
                                          <w:color w:val="000000"/>
                                          <w:kern w:val="0"/>
                                          <w:szCs w:val="21"/>
                                        </w:rPr>
                                        <m:t xml:space="preserve">m</m:t>
                                      </m:r>
                                      <m:ctrlPr>
                                        <w:rPr>
                                          <w:rFonts w:ascii="Cambria Math" w:hAnsi="Cambria Math" w:eastAsiaTheme="minorEastAsia"/>
                                          <w:i/>
                                          <w:color w:val="000000"/>
                                          <w:kern w:val="0"/>
                                          <w:szCs w:val="21"/>
                                        </w:rPr>
                                      </m:ctrlPr>
                                    </m:sub>
                                  </m:sSub>
                                  <m:ctrlPr>
                                    <w:rPr>
                                      <w:rFonts w:ascii="Cambria Math" w:hAnsi="Cambria Math" w:eastAsiaTheme="minorEastAsia"/>
                                      <w:i/>
                                      <w:color w:val="000000"/>
                                      <w:kern w:val="0"/>
                                      <w:szCs w:val="21"/>
                                    </w:rPr>
                                  </m:ctrlPr>
                                </m:e>
                              </m:d>
                              <m:ctrlPr>
                                <w:rPr>
                                  <w:rFonts w:ascii="Cambria Math" w:hAnsi="Cambria Math" w:eastAsiaTheme="minorEastAsia"/>
                                  <w:i/>
                                  <w:color w:val="000000"/>
                                  <w:kern w:val="0"/>
                                  <w:szCs w:val="21"/>
                                </w:rPr>
                              </m:ctrlP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eastAsiaTheme="minorEastAsia"/>
                                  <w:color w:val="000000"/>
                                  <w:kern w:val="0"/>
                                  <w:szCs w:val="21"/>
                                </w:rPr>
                                <m:t xml:space="preserve">2</m:t>
                              </m:r>
                              <m:ctrlPr>
                                <w:rPr>
                                  <w:rFonts w:ascii="Cambria Math" w:hAnsi="Cambria Math" w:eastAsiaTheme="minorEastAsia"/>
                                  <w:i/>
                                  <w:color w:val="000000"/>
                                  <w:kern w:val="0"/>
                                  <w:szCs w:val="21"/>
                                </w:rPr>
                              </m:ctrlPr>
                            </m:sup>
                          </m:sSup>
                          <m:ctrlPr>
                            <w:rPr>
                              <w:rFonts w:ascii="Cambria Math" w:hAnsi="Cambria Math" w:eastAsiaTheme="minorEastAsia"/>
                              <w:i/>
                              <w:color w:val="000000"/>
                              <w:kern w:val="0"/>
                              <w:szCs w:val="21"/>
                            </w:rPr>
                          </m:ctrlPr>
                        </m:e>
                      </m:nary>
                      <m:ctrlPr>
                        <w:rPr>
                          <w:rFonts w:ascii="Cambria Math" w:hAnsi="Cambria Math" w:eastAsiaTheme="minorEastAsia"/>
                          <w:i/>
                          <w:color w:val="000000"/>
                          <w:kern w:val="0"/>
                          <w:szCs w:val="21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color w:val="000000"/>
                          <w:kern w:val="0"/>
                          <w:szCs w:val="21"/>
                        </w:rPr>
                        <m:t xml:space="preserve">n−1</m:t>
                      </m:r>
                      <m:ctrlPr>
                        <w:rPr>
                          <w:rFonts w:ascii="Cambria Math" w:hAnsi="Cambria Math" w:eastAsiaTheme="minorEastAsia"/>
                          <w:i/>
                          <w:color w:val="000000"/>
                          <w:kern w:val="0"/>
                          <w:szCs w:val="21"/>
                        </w:rPr>
                      </m:ctrlPr>
                    </m:den>
                  </m:f>
                  <m:ctrlPr>
                    <w:rPr>
                      <w:rFonts w:ascii="Cambria Math" w:hAnsi="Cambria Math" w:eastAsiaTheme="minorEastAsia"/>
                      <w:i/>
                      <w:color w:val="000000"/>
                      <w:kern w:val="0"/>
                      <w:szCs w:val="21"/>
                    </w:rPr>
                  </m:ctrlPr>
                </m:e>
              </m:rad>
            </m:oMath>
            <w:r>
              <w:rPr>
                <w:rFonts w:ascii="Times New Roman" w:hAnsi="Times New Roman" w:eastAsiaTheme="minorEastAsia"/>
                <w:szCs w:val="21"/>
              </w:rPr>
              <w:instrText xml:space="preserve"> </w:instrText>
            </w:r>
            <w:r>
              <w:rPr>
                <w:rFonts w:ascii="Times New Roman" w:hAnsi="Times New Roman" w:eastAsiaTheme="minorEastAsia"/>
                <w:szCs w:val="21"/>
              </w:rPr>
              <w:fldChar w:fldCharType="end"/>
            </w:r>
            <w:r>
              <w:rPr>
                <w:rFonts w:ascii="Times New Roman" w:hAnsi="Times New Roman" w:eastAsiaTheme="minorEastAsia"/>
                <w:szCs w:val="21"/>
              </w:rPr>
              <w:t>=</w:t>
            </w:r>
            <w:r>
              <w:rPr>
                <w:rFonts w:hint="eastAsia" w:ascii="Times New Roman" w:hAnsi="Times New Roman" w:eastAsiaTheme="minorEastAsia"/>
                <w:szCs w:val="21"/>
              </w:rPr>
              <w:t xml:space="preserve">             =</w:t>
            </w:r>
            <w:r>
              <w:rPr>
                <w:rFonts w:ascii="Times New Roman" w:hAnsi="Times New Roman" w:eastAsiaTheme="minorEastAsia"/>
                <w:szCs w:val="21"/>
              </w:rPr>
              <w:t>0.003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420" w:lineRule="atLeast"/>
        <w:ind w:firstLine="480" w:firstLineChars="200"/>
        <w:jc w:val="left"/>
        <w:textAlignment w:val="auto"/>
        <w:outlineLvl w:val="9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实际测量取</w:t>
      </w:r>
      <w:r>
        <w:rPr>
          <w:rFonts w:ascii="Times New Roman" w:hAnsi="Times New Roman" w:eastAsiaTheme="majorEastAsia"/>
          <w:sz w:val="24"/>
        </w:rPr>
        <w:t>1</w:t>
      </w:r>
      <w:r>
        <w:rPr>
          <w:rFonts w:hint="eastAsia" w:asciiTheme="majorEastAsia" w:hAnsiTheme="majorEastAsia" w:eastAsiaTheme="majorEastAsia"/>
          <w:sz w:val="24"/>
        </w:rPr>
        <w:t>次读数平均值作为测量结果，则：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420" w:lineRule="atLeast"/>
        <w:ind w:firstLine="480" w:firstLineChars="200"/>
        <w:jc w:val="center"/>
        <w:textAlignment w:val="auto"/>
        <w:outlineLvl w:val="9"/>
        <w:rPr>
          <w:rFonts w:ascii="Times New Roman" w:hAnsi="Times New Roman" w:eastAsiaTheme="majorEastAsia"/>
          <w:i/>
          <w:spacing w:val="-4"/>
        </w:rPr>
      </w:pPr>
      <m:oMath>
        <m:r>
          <m:rPr>
            <m:nor/>
          </m:rPr>
          <w:rPr>
            <w:rFonts w:ascii="Times New Roman" w:hAnsi="Times New Roman" w:eastAsiaTheme="minorEastAsia"/>
            <w:i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u</m:t>
        </m:r>
        <m:r>
          <m:rPr>
            <m:nor/>
            <m:sty m:val="p"/>
          </m:rPr>
          <w:rPr>
            <w:rFonts w:ascii="Times New Roman" w:hAnsi="Times New Roman" w:eastAsiaTheme="minorEastAsia"/>
            <w:b w:val="0"/>
            <w:i w:val="0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(</m:t>
        </m:r>
        <m:acc>
          <m:accPr>
            <m:chr m:val="̅"/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000000"/>
                    <w:kern w:val="0"/>
                    <w:sz w:val="24"/>
                  </w:rPr>
                  <m:t>i</m:t>
                </m:r>
                <m:ctrlPr>
                  <w:rPr>
                    <w:rFonts w:ascii="Cambria Math" w:hAnsi="Cambria Math"/>
                    <w:i/>
                    <w:color w:val="000000"/>
                    <w:kern w:val="0"/>
                    <w:sz w:val="24"/>
                  </w:rPr>
                </m:ctrlPr>
              </m:sub>
            </m:sSub>
            <m:ctrlPr>
              <w:rPr>
                <w:rFonts w:ascii="Cambria Math" w:hAnsi="Cambria Math"/>
                <w:i/>
                <w:color w:val="000000"/>
                <w:kern w:val="0"/>
                <w:sz w:val="24"/>
              </w:rPr>
            </m:ctrlPr>
          </m:e>
        </m:acc>
        <m:r>
          <m:rPr>
            <m:nor/>
            <m:sty m:val="p"/>
          </m:rPr>
          <w:rPr>
            <w:rFonts w:ascii="Times New Roman" w:hAnsi="Times New Roman"/>
            <w:b w:val="0"/>
            <w:i w:val="0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)</m:t>
        </m:r>
        <m:r>
          <m:rPr>
            <m:nor/>
            <m:sty m:val="p"/>
          </m:rPr>
          <w:rPr>
            <w:rFonts w:hint="eastAsia" w:ascii="Cambria Math" w:hAnsi="Times New Roman"/>
            <w:b w:val="0"/>
            <w:i w:val="0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 xml:space="preserve"> </m:t>
        </m:r>
      </m:oMath>
      <w:r>
        <w:rPr>
          <w:rFonts w:hint="eastAsia" w:asciiTheme="majorEastAsia" w:hAnsiTheme="majorEastAsia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 w:eastAsiaTheme="majorEastAsia"/>
          <w:sz w:val="24"/>
        </w:rPr>
        <w:t>0.003%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360" w:lineRule="auto"/>
        <w:textAlignment w:val="auto"/>
        <w:outlineLvl w:val="9"/>
        <w:rPr>
          <w:rFonts w:asciiTheme="majorEastAsia" w:hAnsiTheme="majorEastAsia" w:eastAsiaTheme="majorEastAsia"/>
          <w:w w:val="105"/>
          <w:sz w:val="24"/>
        </w:rPr>
      </w:pPr>
      <w:r>
        <w:rPr>
          <w:rFonts w:hint="eastAsia" w:ascii="Times New Roman" w:hAnsi="Times New Roman" w:eastAsia="黑体"/>
          <w:kern w:val="0"/>
          <w:sz w:val="24"/>
        </w:rPr>
        <w:t>C.</w:t>
      </w:r>
      <w:r>
        <w:rPr>
          <w:rFonts w:ascii="Times New Roman" w:hAnsi="Times New Roman" w:eastAsia="黑体"/>
          <w:kern w:val="0"/>
          <w:sz w:val="24"/>
        </w:rPr>
        <w:t>3.</w:t>
      </w:r>
      <w:r>
        <w:rPr>
          <w:rFonts w:hint="eastAsia" w:ascii="Times New Roman" w:hAnsi="Times New Roman" w:eastAsia="黑体"/>
          <w:kern w:val="0"/>
          <w:sz w:val="24"/>
        </w:rPr>
        <w:t>2</w:t>
      </w:r>
      <w:r>
        <w:rPr>
          <w:rFonts w:ascii="Times New Roman" w:hAnsi="Times New Roman" w:eastAsia="黑体"/>
          <w:kern w:val="0"/>
          <w:sz w:val="24"/>
        </w:rPr>
        <w:t xml:space="preserve"> </w:t>
      </w:r>
      <w:r>
        <w:rPr>
          <w:rFonts w:hint="eastAsia" w:ascii="Times New Roman" w:hAnsi="Times New Roman" w:eastAsiaTheme="majorEastAsia"/>
          <w:sz w:val="24"/>
        </w:rPr>
        <w:t>标准物质定值</w:t>
      </w:r>
      <w:r>
        <w:rPr>
          <w:rFonts w:hint="eastAsia" w:asciiTheme="majorEastAsia" w:hAnsiTheme="majorEastAsia" w:eastAsiaTheme="majorEastAsia"/>
          <w:sz w:val="24"/>
        </w:rPr>
        <w:t>引入的</w:t>
      </w:r>
      <w:r>
        <w:rPr>
          <w:rFonts w:asciiTheme="majorEastAsia" w:hAnsiTheme="majorEastAsia" w:eastAsiaTheme="majorEastAsia"/>
          <w:w w:val="105"/>
          <w:sz w:val="24"/>
        </w:rPr>
        <w:t>不确定度</w:t>
      </w:r>
      <m:oMath>
        <m:r>
          <m:rPr>
            <m:nor/>
          </m:rPr>
          <w:rPr>
            <w:rFonts w:ascii="Times New Roman" w:hAnsi="Times New Roman" w:eastAsiaTheme="minorEastAsia"/>
            <w:i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u</m:t>
        </m:r>
        <m:r>
          <m:rPr>
            <m:nor/>
            <m:sty m:val="p"/>
          </m:rPr>
          <w:rPr>
            <w:rFonts w:ascii="Times New Roman" w:hAnsi="Times New Roman" w:eastAsiaTheme="minorEastAsia"/>
            <w:b w:val="0"/>
            <w:i w:val="0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(</m:t>
        </m:r>
        <m:r>
          <m:rPr>
            <m:nor/>
          </m:rPr>
          <w:rPr>
            <w:rFonts w:ascii="Times New Roman" w:hAnsi="Times New Roman"/>
            <w:i/>
            <w:color w:val="000000"/>
            <w:kern w:val="0"/>
            <w:sz w:val="24"/>
          </w:rPr>
          <m:t>X</m:t>
        </m:r>
        <m:r>
          <m:rPr>
            <m:nor/>
            <m:sty m:val="p"/>
          </m:rPr>
          <w:rPr>
            <w:rFonts w:ascii="Times New Roman" w:hAnsi="Times New Roman"/>
            <w:b w:val="0"/>
            <w:i w:val="0"/>
            <w:color w:val="000000"/>
            <w:kern w:val="0"/>
            <w:sz w:val="24"/>
            <w:vertAlign w:val="subscript"/>
          </w:rPr>
          <m:t>s</m:t>
        </m:r>
        <m:r>
          <m:rPr>
            <m:nor/>
            <m:sty m:val="p"/>
          </m:rPr>
          <w:rPr>
            <w:rFonts w:ascii="Times New Roman" w:hAnsi="Times New Roman"/>
            <w:b w:val="0"/>
            <w:i w:val="0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)</m:t>
        </m:r>
      </m:oMath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ascii="Times New Roman" w:hAnsi="Times New Roman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标准物质定值的不确定度,可以通过相应标准物质证书获得。本规范规定标准物质的扩展不确定度</w:t>
      </w:r>
      <w:r>
        <w:rPr>
          <w:rFonts w:ascii="Times New Roman" w:hAnsi="Times New Roman" w:eastAsiaTheme="majorEastAsia"/>
          <w:i/>
          <w:sz w:val="24"/>
        </w:rPr>
        <w:t>U</w:t>
      </w:r>
      <w:r>
        <w:rPr>
          <w:rFonts w:ascii="Times New Roman" w:hAnsi="Times New Roman" w:eastAsiaTheme="majorEastAsia"/>
          <w:sz w:val="24"/>
          <w:vertAlign w:val="subscript"/>
        </w:rPr>
        <w:t>rel</w:t>
      </w:r>
      <w:r>
        <w:rPr>
          <w:rFonts w:ascii="Times New Roman" w:hAnsi="Times New Roman" w:eastAsiaTheme="minorEastAsia"/>
          <w:sz w:val="24"/>
        </w:rPr>
        <w:t>=0.002</w:t>
      </w:r>
      <w:r>
        <w:rPr>
          <w:rFonts w:ascii="Times New Roman" w:hAnsi="Times New Roman" w:eastAsiaTheme="majorEastAsia"/>
          <w:sz w:val="24"/>
        </w:rPr>
        <w:t>(</w:t>
      </w:r>
      <w:r>
        <w:rPr>
          <w:rFonts w:ascii="Times New Roman" w:hAnsi="Times New Roman" w:eastAsiaTheme="majorEastAsia"/>
          <w:i/>
          <w:sz w:val="24"/>
        </w:rPr>
        <w:t>k</w:t>
      </w:r>
      <w:r>
        <w:rPr>
          <w:rFonts w:ascii="Times New Roman" w:hAnsi="Times New Roman" w:eastAsiaTheme="majorEastAsia"/>
          <w:sz w:val="24"/>
        </w:rPr>
        <w:t>=2)，</w:t>
      </w:r>
      <w:r>
        <w:rPr>
          <w:rFonts w:hint="eastAsia" w:eastAsiaTheme="majorEastAsia"/>
          <w:sz w:val="24"/>
          <w:lang w:val="en-US" w:eastAsia="zh-CN"/>
        </w:rPr>
        <w:t>则</w:t>
      </w:r>
      <w:r>
        <w:rPr>
          <w:rFonts w:hint="eastAsia" w:ascii="Times New Roman" w:hAnsi="Times New Roman" w:eastAsiaTheme="majorEastAsia"/>
          <w:sz w:val="24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360" w:lineRule="auto"/>
        <w:ind w:firstLine="1920" w:firstLineChars="800"/>
        <w:jc w:val="left"/>
        <w:textAlignment w:val="auto"/>
        <w:outlineLvl w:val="9"/>
        <w:rPr>
          <w:rFonts w:ascii="Times New Roman" w:hAnsi="Times New Roman" w:eastAsiaTheme="majorEastAsia"/>
          <w:sz w:val="24"/>
        </w:rPr>
      </w:pPr>
      <w:r>
        <w:rPr>
          <w:rFonts w:ascii="Times New Roman" w:hAnsi="Times New Roman" w:eastAsiaTheme="majorEastAsia"/>
          <w:i/>
          <w:sz w:val="24"/>
        </w:rPr>
        <w:t>u</w:t>
      </w:r>
      <w:r>
        <w:rPr>
          <w:rFonts w:ascii="Times New Roman" w:hAnsi="Times New Roman" w:eastAsiaTheme="majorEastAsia"/>
          <w:sz w:val="24"/>
        </w:rPr>
        <w:t>(</w:t>
      </w:r>
      <m:oMath>
        <m:r>
          <m:rPr>
            <m:nor/>
          </m:rPr>
          <w:rPr>
            <w:rFonts w:ascii="Times New Roman" w:hAnsi="Times New Roman"/>
            <w:i/>
            <w:color w:val="000000"/>
            <w:kern w:val="0"/>
            <w:sz w:val="24"/>
          </w:rPr>
          <m:t>X</m:t>
        </m:r>
        <m:r>
          <m:rPr>
            <m:nor/>
            <m:sty m:val="p"/>
          </m:rPr>
          <w:rPr>
            <w:rFonts w:ascii="Times New Roman" w:hAnsi="Times New Roman"/>
            <w:b w:val="0"/>
            <w:i w:val="0"/>
            <w:color w:val="000000"/>
            <w:kern w:val="0"/>
            <w:sz w:val="24"/>
            <w:vertAlign w:val="subscript"/>
          </w:rPr>
          <m:t>s</m:t>
        </m:r>
      </m:oMath>
      <w:r>
        <w:rPr>
          <w:rFonts w:ascii="Times New Roman" w:hAnsi="Times New Roman" w:eastAsiaTheme="majorEastAsia"/>
          <w:sz w:val="24"/>
        </w:rPr>
        <w:t>)= (</w:t>
      </w:r>
      <m:oMath>
        <m:r>
          <m:rPr>
            <m:nor/>
          </m:rPr>
          <w:rPr>
            <w:rFonts w:ascii="Times New Roman" w:hAnsi="Times New Roman"/>
            <w:i/>
            <w:color w:val="000000"/>
            <w:kern w:val="0"/>
            <w:sz w:val="24"/>
          </w:rPr>
          <m:t>X</m:t>
        </m:r>
        <m:r>
          <m:rPr>
            <m:nor/>
            <m:sty m:val="p"/>
          </m:rPr>
          <w:rPr>
            <w:rFonts w:ascii="Times New Roman" w:hAnsi="Times New Roman"/>
            <w:b w:val="0"/>
            <w:i w:val="0"/>
            <w:color w:val="000000"/>
            <w:kern w:val="0"/>
            <w:sz w:val="24"/>
            <w:vertAlign w:val="subscript"/>
          </w:rPr>
          <m:t>s</m:t>
        </m:r>
      </m:oMath>
      <w:r>
        <w:rPr>
          <w:rFonts w:ascii="Times New Roman" w:hAnsi="Times New Roman" w:eastAsiaTheme="majorEastAsia"/>
          <w:sz w:val="24"/>
        </w:rPr>
        <w:t xml:space="preserve"> × </w:t>
      </w:r>
      <w:r>
        <w:rPr>
          <w:rFonts w:ascii="Times New Roman" w:hAnsi="Times New Roman" w:eastAsiaTheme="majorEastAsia"/>
          <w:i/>
          <w:sz w:val="24"/>
        </w:rPr>
        <w:t>U</w:t>
      </w:r>
      <w:r>
        <w:rPr>
          <w:rFonts w:ascii="Times New Roman" w:hAnsi="Times New Roman" w:eastAsiaTheme="majorEastAsia"/>
          <w:sz w:val="24"/>
          <w:vertAlign w:val="subscript"/>
        </w:rPr>
        <w:t>rel</w:t>
      </w:r>
      <w:r>
        <w:rPr>
          <w:rFonts w:ascii="Times New Roman" w:hAnsi="Times New Roman" w:eastAsiaTheme="majorEastAsia"/>
          <w:sz w:val="24"/>
        </w:rPr>
        <w:t xml:space="preserve">)/ </w:t>
      </w:r>
      <w:r>
        <w:rPr>
          <w:rFonts w:ascii="Times New Roman" w:hAnsi="Times New Roman" w:eastAsiaTheme="majorEastAsia"/>
          <w:i/>
          <w:sz w:val="24"/>
        </w:rPr>
        <w:t>k</w:t>
      </w:r>
      <w:r>
        <w:rPr>
          <w:rFonts w:ascii="Times New Roman" w:hAnsi="Times New Roman" w:eastAsiaTheme="majorEastAsia"/>
          <w:sz w:val="24"/>
        </w:rPr>
        <w:t>=(0.041%×0.002%)/2=0.00004%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360" w:lineRule="auto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C</w:t>
      </w:r>
      <w:r>
        <w:rPr>
          <w:rFonts w:ascii="Times New Roman" w:hAnsi="Times New Roman"/>
          <w:color w:val="000000"/>
          <w:sz w:val="24"/>
        </w:rPr>
        <w:t>.3.</w:t>
      </w:r>
      <w:r>
        <w:rPr>
          <w:rFonts w:hint="eastAsia" w:ascii="Times New Roman" w:hAnsi="Times New Roman"/>
          <w:color w:val="000000"/>
          <w:sz w:val="24"/>
        </w:rPr>
        <w:t xml:space="preserve">3 </w:t>
      </w:r>
      <m:oMath>
        <m:sSub>
          <m:sSubPr>
            <m:ctrlPr>
              <w:rPr>
                <w:rFonts w:ascii="Cambria Math" w:hAnsi="Cambria Math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>
                <m:nor/>
                <m:sty m:val="p"/>
              </m:rPr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∆</m:t>
            </m:r>
            <m:ctrlPr>
              <w:rPr>
                <w:rFonts w:ascii="Cambria Math" w:hAnsi="Cambria Math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nor/>
                <m:sty m:val="p"/>
              </m:rPr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-</m:t>
            </m:r>
            <m:ctrlPr>
              <w:rPr>
                <w:rFonts w:ascii="Cambria Math" w:hAnsi="Cambria Math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asciiTheme="minorEastAsia" w:hAnsiTheme="minorEastAsia" w:eastAsiaTheme="minorEastAsia"/>
          <w:sz w:val="24"/>
        </w:rPr>
        <w:t>合成标准不确定度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360" w:lineRule="auto"/>
        <w:jc w:val="center"/>
        <w:textAlignment w:val="auto"/>
        <w:outlineLvl w:val="9"/>
        <w:rPr>
          <w:rFonts w:ascii="Times New Roman" w:hAnsi="Times New Roman"/>
          <w:color w:val="000000"/>
          <w:sz w:val="24"/>
        </w:rPr>
      </w:pPr>
      <m:oMath>
        <m:sSub>
          <m:sSubPr>
            <m:ctrlPr>
              <w:rPr>
                <w:rFonts w:ascii="Cambria Math" w:hAnsi="Cambria Math" w:eastAsiaTheme="minorEastAsia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>
                <m:nor/>
              </m:rPr>
              <w:rPr>
                <w:rFonts w:ascii="Times New Roman" w:hAnsi="Times New Roman" w:eastAsiaTheme="minorEastAsia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u</m:t>
            </m:r>
            <m:ctrlPr>
              <w:rPr>
                <w:rFonts w:ascii="Cambria Math" w:hAnsi="Cambria Math" w:eastAsiaTheme="minorEastAsia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nor/>
                <m:sty m:val="p"/>
              </m:rPr>
              <w:rPr>
                <w:rFonts w:ascii="Times New Roman" w:hAnsi="Times New Roman" w:eastAsiaTheme="minorEastAsia"/>
                <w:b w:val="0"/>
                <w:i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Theme="minorEastAsia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sSub>
          <m:sSubPr>
            <m:ctrlPr>
              <w:rPr>
                <w:rFonts w:ascii="Cambria Math" w:hAnsi="Cambria Math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>
                <m:nor/>
                <m:sty m:val="p"/>
              </m:rPr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(∆</m:t>
            </m:r>
            <m:ctrlPr>
              <w:rPr>
                <w:rFonts w:ascii="Cambria Math" w:hAnsi="Cambria Math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nor/>
                <m:sty m:val="p"/>
              </m:rPr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-</m:t>
            </m:r>
            <m:ctrlPr>
              <w:rPr>
                <w:rFonts w:ascii="Cambria Math" w:hAnsi="Cambria Math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nor/>
            <m:sty m:val="p"/>
          </m:rPr>
          <w:rPr>
            <w:rFonts w:ascii="Times New Roman" w:hAnsi="Times New Roman"/>
            <w:b w:val="0"/>
            <w:i w:val="0"/>
            <w:sz w:val="24"/>
          </w:rPr>
          <m:t>)</m:t>
        </m:r>
        <m:r>
          <m:rPr>
            <m:nor/>
            <m:sty m:val="p"/>
          </m:rPr>
          <w:rPr>
            <w:rFonts w:ascii="Times New Roman" w:hAnsi="Times New Roman"/>
            <w:b w:val="0"/>
            <w:i w:val="0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m:t>u</m:t>
                </m: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p>
                <m:r>
                  <m:rPr>
                    <m:nor/>
                    <m:sty m:val="p"/>
                  </m:rPr>
                  <w:rPr>
                    <w:rFonts w:ascii="Times New Roman" w:hAnsi="Times New Roman"/>
                    <w:b w:val="0"/>
                    <w:i w:val="0"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color w:val="000000"/>
                        <w:kern w:val="0"/>
                        <w:sz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kern w:val="0"/>
                            <w:sz w:val="24"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 w:hAnsi="Cambria Math"/>
                            <w:color w:val="000000"/>
                            <w:kern w:val="0"/>
                            <w:sz w:val="24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  <w:color w:val="000000"/>
                            <w:kern w:val="0"/>
                            <w:sz w:val="24"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 w:hAnsi="Cambria Math"/>
                            <w:color w:val="000000"/>
                            <w:kern w:val="0"/>
                            <w:sz w:val="24"/>
                          </w:rPr>
                          <m:t>i</m:t>
                        </m:r>
                        <m:ctrlPr>
                          <w:rPr>
                            <w:rFonts w:ascii="Cambria Math" w:hAnsi="Cambria Math"/>
                            <w:i/>
                            <w:color w:val="000000"/>
                            <w:kern w:val="0"/>
                            <w:sz w:val="24"/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  <w:color w:val="000000"/>
                        <w:kern w:val="0"/>
                        <w:sz w:val="24"/>
                      </w:rPr>
                    </m:ctrlPr>
                  </m:e>
                </m:acc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d>
            <m:r>
              <m:rPr>
                <m:nor/>
                <m:sty m:val="p"/>
              </m:rPr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+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m:t>u</m:t>
                </m: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p>
                <m:r>
                  <m:rPr>
                    <m:nor/>
                    <m:sty m:val="p"/>
                  </m:rPr>
                  <w:rPr>
                    <w:rFonts w:ascii="Times New Roman" w:hAnsi="Times New Roman"/>
                    <w:b w:val="0"/>
                    <w:i w:val="0"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Pr>
              <m:e>
                <m:r>
                  <m:rPr>
                    <m:nor/>
                  </m:rPr>
                  <w:rPr>
                    <w:rFonts w:ascii="Times New Roman" w:hAnsi="Times New Roman"/>
                    <w:i/>
                    <w:color w:val="000000"/>
                    <w:kern w:val="0"/>
                    <w:sz w:val="24"/>
                  </w:rPr>
                  <m:t>X</m:t>
                </m:r>
                <m:r>
                  <m:rPr>
                    <m:nor/>
                    <m:sty m:val="p"/>
                  </m:rPr>
                  <w:rPr>
                    <w:rFonts w:ascii="Times New Roman" w:hAnsi="Times New Roman"/>
                    <w:b w:val="0"/>
                    <w:i w:val="0"/>
                    <w:color w:val="000000"/>
                    <w:kern w:val="0"/>
                    <w:sz w:val="24"/>
                    <w:vertAlign w:val="subscript"/>
                  </w:rPr>
                  <m:t>s</m:t>
                </m: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d>
            <m:ctrlPr>
              <w:rPr>
                <w:rFonts w:ascii="Cambria Math" w:hAnsi="Cambria Math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</m:rad>
        <m:r>
          <m:rPr>
            <m:nor/>
            <m:sty m:val="p"/>
          </m:rPr>
          <w:rPr>
            <w:rFonts w:ascii="Times New Roman" w:hAnsi="Times New Roman"/>
            <w:b w:val="0"/>
            <w:i w:val="0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pPr>
              <m:e>
                <m:r>
                  <m:rPr>
                    <m:nor/>
                    <m:sty m:val="p"/>
                  </m:rPr>
                  <w:rPr>
                    <w:rFonts w:ascii="Times New Roman" w:hAnsi="Times New Roman"/>
                    <w:b w:val="0"/>
                    <w:i w:val="0"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m:t>0.003</m:t>
                </m: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p>
                <m:r>
                  <m:rPr>
                    <m:nor/>
                    <m:sty m:val="p"/>
                  </m:rPr>
                  <w:rPr>
                    <w:rFonts w:ascii="Times New Roman" w:hAnsi="Times New Roman"/>
                    <w:b w:val="0"/>
                    <w:i w:val="0"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p>
            <m:r>
              <m:rPr>
                <m:nor/>
                <m:sty m:val="p"/>
              </m:rPr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+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pPr>
              <m:e>
                <m:r>
                  <m:rPr>
                    <m:nor/>
                    <m:sty m:val="p"/>
                  </m:rPr>
                  <w:rPr>
                    <w:rFonts w:ascii="Times New Roman" w:hAnsi="Times New Roman"/>
                    <w:b w:val="0"/>
                    <w:i w:val="0"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m:t>0.00004</m:t>
                </m: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p>
                <m:r>
                  <m:rPr>
                    <m:nor/>
                    <m:sty m:val="p"/>
                  </m:rPr>
                  <w:rPr>
                    <w:rFonts w:ascii="Times New Roman" w:hAnsi="Times New Roman"/>
                    <w:b w:val="0"/>
                    <w:i w:val="0"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p>
            <m:ctrlPr>
              <w:rPr>
                <w:rFonts w:ascii="Cambria Math" w:hAnsi="Cambria Math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</m:rad>
        <m:r>
          <m:rPr/>
          <w:rPr>
            <w:rFonts w:ascii="Cambria Math" w:hAnsi="Cambria Math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=</m:t>
        </m:r>
      </m:oMath>
      <w:r>
        <w:rPr>
          <w:rFonts w:ascii="Times New Roman" w:hAnsi="Times New Roman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0.003%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eastAsia="黑体"/>
          <w:kern w:val="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C</w:t>
      </w:r>
      <w:r>
        <w:rPr>
          <w:rFonts w:ascii="Times New Roman" w:hAnsi="Times New Roman"/>
          <w:color w:val="000000"/>
          <w:sz w:val="24"/>
        </w:rPr>
        <w:t>.3.</w:t>
      </w:r>
      <w:r>
        <w:rPr>
          <w:rFonts w:hint="eastAsia" w:ascii="Times New Roman" w:hAnsi="Times New Roman"/>
          <w:color w:val="000000"/>
          <w:sz w:val="24"/>
        </w:rPr>
        <w:t>4 示值误差</w:t>
      </w:r>
      <w:r>
        <w:rPr>
          <w:rFonts w:ascii="Times New Roman" w:hAnsi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测量结果的扩展</w:t>
      </w:r>
      <w:r>
        <w:rPr>
          <w:rFonts w:asciiTheme="minorEastAsia" w:hAnsiTheme="minorEastAsia" w:eastAsiaTheme="minorEastAsia"/>
          <w:sz w:val="24"/>
        </w:rPr>
        <w:t>不确定度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取</w:t>
      </w:r>
      <w:r>
        <w:rPr>
          <w:rFonts w:hint="eastAsia" w:ascii="Times New Roman" w:hAnsi="Times New Roman"/>
          <w:i/>
          <w:color w:val="000000"/>
          <w:sz w:val="24"/>
        </w:rPr>
        <w:t>k</w:t>
      </w:r>
      <w:r>
        <w:rPr>
          <w:rFonts w:hint="eastAsia" w:ascii="Times New Roman" w:hAnsi="Times New Roman"/>
          <w:color w:val="000000"/>
          <w:sz w:val="24"/>
        </w:rPr>
        <w:t>=2，则：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360" w:lineRule="auto"/>
        <w:jc w:val="center"/>
        <w:textAlignment w:val="auto"/>
        <w:outlineLvl w:val="9"/>
        <w:rPr>
          <w:rFonts w:ascii="Times New Roman" w:hAnsi="Times New Roman"/>
          <w:sz w:val="24"/>
        </w:rPr>
      </w:pPr>
      <m:oMath>
        <m:r>
          <m:rPr>
            <m:nor/>
          </m:rPr>
          <w:rPr>
            <w:rFonts w:ascii="Times New Roman" w:hAnsi="Times New Roman"/>
            <w:i/>
            <w:color w:val="000000"/>
            <w:sz w:val="24"/>
          </w:rPr>
          <m:t>U</m:t>
        </m:r>
        <m:r>
          <m:rPr>
            <m:nor/>
            <m:sty m:val="p"/>
          </m:rPr>
          <w:rPr>
            <w:rFonts w:ascii="Times New Roman" w:hAnsi="Times New Roman"/>
            <w:b w:val="0"/>
            <w:i w:val="0"/>
            <w:color w:val="000000"/>
            <w:sz w:val="24"/>
          </w:rPr>
          <m:t>=</m:t>
        </m:r>
        <m:r>
          <m:rPr>
            <m:nor/>
          </m:rPr>
          <w:rPr>
            <w:rFonts w:ascii="Times New Roman" w:hAnsi="Times New Roman"/>
            <w:i/>
            <w:color w:val="000000"/>
            <w:sz w:val="24"/>
          </w:rPr>
          <m:t>k</m:t>
        </m:r>
        <m:sSub>
          <m:sSubPr>
            <m:ctrlPr>
              <w:rPr>
                <w:rFonts w:ascii="Cambria Math" w:hAnsi="Cambria Math" w:eastAsiaTheme="minorEastAsia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>
                <m:nor/>
              </m:rPr>
              <w:rPr>
                <w:rFonts w:ascii="Times New Roman" w:hAnsi="Times New Roman" w:eastAsiaTheme="minorEastAsia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u</m:t>
            </m:r>
            <m:ctrlPr>
              <w:rPr>
                <w:rFonts w:ascii="Cambria Math" w:hAnsi="Cambria Math" w:eastAsiaTheme="minorEastAsia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nor/>
                <m:sty m:val="p"/>
              </m:rPr>
              <w:rPr>
                <w:rFonts w:ascii="Times New Roman" w:hAnsi="Times New Roman" w:eastAsiaTheme="minorEastAsia"/>
                <w:b w:val="0"/>
                <w:i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Theme="minorEastAsia"/>
                <w:bCs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sSub>
          <m:sSubPr>
            <m:ctrlPr>
              <w:rPr>
                <w:rFonts w:ascii="Cambria Math" w:hAnsi="Cambria Math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>
                <m:nor/>
                <m:sty m:val="p"/>
              </m:rPr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(</m:t>
            </m:r>
            <m:r>
              <m:rPr>
                <m:nor/>
              </m:rPr>
              <w:rPr>
                <w:rFonts w:ascii="Times New Roman" w:hAnsi="Times New Roman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∆</m:t>
            </m:r>
            <m:ctrlPr>
              <w:rPr>
                <w:rFonts w:ascii="Cambria Math" w:hAnsi="Cambria Math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nor/>
                <m:sty m:val="p"/>
              </m:rPr>
              <w:rPr>
                <w:rFonts w:hint="eastAsia" w:ascii="Times New Roman" w:hAnsi="Times New Roman"/>
                <w:b w:val="0"/>
                <w:i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:t>-</m:t>
            </m:r>
            <m:ctrlPr>
              <w:rPr>
                <w:rFonts w:ascii="Cambria Math" w:hAnsi="Cambria Math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nor/>
            <m:sty m:val="p"/>
          </m:rPr>
          <w:rPr>
            <w:rFonts w:ascii="Times New Roman" w:hAnsi="Times New Roman"/>
            <w:b w:val="0"/>
            <w:i w:val="0"/>
            <w:sz w:val="24"/>
          </w:rPr>
          <m:t>)=2×0.003%=</m:t>
        </m:r>
      </m:oMath>
      <w:r>
        <w:rPr>
          <w:rFonts w:hint="eastAsia"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.00</w:t>
      </w:r>
      <w:bookmarkEnd w:id="122"/>
      <w:r>
        <w:rPr>
          <w:rFonts w:ascii="Times New Roman" w:hAnsi="Times New Roman"/>
          <w:sz w:val="24"/>
        </w:rPr>
        <w:t>6%</w:t>
      </w:r>
    </w:p>
    <w:p>
      <w:pPr>
        <w:widowControl/>
        <w:jc w:val="left"/>
        <w:rPr>
          <w:rFonts w:cstheme="minorHAnsi"/>
          <w:sz w:val="24"/>
        </w:rPr>
      </w:pPr>
      <w:r>
        <w:rPr>
          <w:rFonts w:cstheme="minorHAnsi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1913890</wp:posOffset>
                </wp:positionH>
                <wp:positionV relativeFrom="paragraph">
                  <wp:posOffset>184150</wp:posOffset>
                </wp:positionV>
                <wp:extent cx="2143125" cy="3810"/>
                <wp:effectExtent l="0" t="0" r="10160" b="342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2876" cy="39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0.7pt;margin-top:14.5pt;height:0.3pt;width:168.75pt;z-index:251676672;mso-width-relative:page;mso-height-relative:page;" filled="f" stroked="t" coordsize="21600,21600" o:gfxdata="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ebratcAAAAJAQAADwAAAAAAAAABACAAAAAiAAAAZHJzL2Rvd25yZXYueG1sUEsBAhQA&#10;FAAAAAgAh07iQMAuGNbzAQAA1gMAAA4AAAAAAAAAAQAgAAAAJgEAAGRycy9lMm9Eb2MueG1sUEsF&#10;BgAAAAAGAAYAWQEAAIs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16" w:type="default"/>
      <w:pgSz w:w="11907" w:h="16839"/>
      <w:pgMar w:top="1417" w:right="1134" w:bottom="1134" w:left="1417" w:header="1021" w:footer="737" w:gutter="0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A17CB6-3923-4112-A015-3BF4132E69F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2EA995F-403A-4780-8FFA-74A4CB6A269A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CEA47B2-F267-4CC3-9BB6-65DDFD2D1D8F}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  <w:embedRegular r:id="rId4" w:fontKey="{6BA5BBAE-FAF4-4383-BF39-41FD7552716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D05D78B2-A538-4E41-BC55-43042452EFE3}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  <w:embedRegular r:id="rId6" w:fontKey="{8705E2A9-066B-47EB-8963-C8A0172532DA}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0" w:usb3="00000000" w:csb0="00060007" w:csb1="00000000"/>
    <w:embedRegular r:id="rId7" w:fontKey="{F3BBD8DA-E0ED-4143-88D8-780644F229BA}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  <w:embedRegular r:id="rId8" w:fontKey="{D4539B61-35D9-4CDB-9B23-92F92E5EF957}"/>
  </w:font>
  <w:font w:name="FZS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9" w:fontKey="{6926B205-EB9F-4C83-B113-3F0AD48443B0}"/>
  </w:font>
  <w:font w:name="E-BZ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10" w:fontKey="{C0567EB3-B1E1-4512-B3E3-80408E9F0EA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9"/>
      <w:rPr>
        <w:rStyle w:val="33"/>
      </w:rPr>
    </w:pPr>
    <w:r>
      <w:fldChar w:fldCharType="begin"/>
    </w:r>
    <w:r>
      <w:rPr>
        <w:rStyle w:val="33"/>
      </w:rPr>
      <w:instrText xml:space="preserve">PAGE  </w:instrText>
    </w:r>
    <w:r>
      <w:fldChar w:fldCharType="separate"/>
    </w:r>
    <w:r>
      <w:rPr>
        <w:rStyle w:val="33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1"/>
      <w:rPr>
        <w:rStyle w:val="33"/>
      </w:rPr>
    </w:pPr>
    <w:r>
      <w:fldChar w:fldCharType="begin"/>
    </w:r>
    <w:r>
      <w:rPr>
        <w:rStyle w:val="33"/>
      </w:rPr>
      <w:instrText xml:space="preserve">PAGE 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right="360"/>
      <w:rPr>
        <w:rStyle w:val="33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center" w:y="1"/>
      <w:rPr>
        <w:rStyle w:val="33"/>
      </w:rPr>
    </w:pPr>
    <w:r>
      <w:fldChar w:fldCharType="begin"/>
    </w:r>
    <w:r>
      <w:rPr>
        <w:rStyle w:val="33"/>
      </w:rPr>
      <w:instrText xml:space="preserve">PAGE  </w:instrText>
    </w:r>
    <w:r>
      <w:fldChar w:fldCharType="separate"/>
    </w:r>
    <w:r>
      <w:rPr>
        <w:rStyle w:val="33"/>
      </w:rPr>
      <w:t>II</w:t>
    </w:r>
    <w:r>
      <w:fldChar w:fldCharType="end"/>
    </w:r>
  </w:p>
  <w:p>
    <w:pPr>
      <w:pStyle w:val="81"/>
      <w:ind w:right="360"/>
      <w:rPr>
        <w:rStyle w:val="33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rPr>
        <w:rStyle w:val="33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tabs>
        <w:tab w:val="left" w:pos="436"/>
        <w:tab w:val="right" w:pos="9475"/>
      </w:tabs>
      <w:rPr>
        <w:rStyle w:val="33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27940</wp:posOffset>
              </wp:positionV>
              <wp:extent cx="76200" cy="131445"/>
              <wp:effectExtent l="0" t="0" r="4445" b="1905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7"/>
                            <w:jc w:val="right"/>
                            <w:textAlignment w:val="bottom"/>
                            <w:rPr>
                              <w:rStyle w:val="3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3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33"/>
                            </w:rP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2pt;height:10.35pt;width:6pt;mso-position-horizontal:inside;mso-position-horizontal-relative:margin;mso-wrap-style:none;z-index:251662336;mso-width-relative:page;mso-height-relative:page;" filled="f" stroked="f" coordsize="21600,21600" o:gfxdata="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LOiJNAAAAAEAQAADwAAAAAAAAABACAAAAAiAAAAZHJzL2Rv&#10;d25yZXYueG1sUEsBAhQAFAAAAAgAh07iQGqdCNEJAgAAAwQAAA4AAAAAAAAAAQAgAAAAHw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jc w:val="right"/>
                      <w:textAlignment w:val="bottom"/>
                      <w:rPr>
                        <w:rStyle w:val="33"/>
                      </w:rPr>
                    </w:pPr>
                    <w:r>
                      <w:fldChar w:fldCharType="begin"/>
                    </w:r>
                    <w:r>
                      <w:rPr>
                        <w:rStyle w:val="3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33"/>
                      </w:rPr>
                      <w:t>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33"/>
        <w:rFonts w:hint="eastAsia"/>
      </w:rPr>
      <w:tab/>
    </w:r>
    <w:r>
      <w:rPr>
        <w:rStyle w:val="33"/>
        <w:rFonts w:hint="eastAsia"/>
      </w:rPr>
      <w:tab/>
    </w:r>
    <w:r>
      <w:rPr>
        <w:rStyle w:val="33"/>
        <w:rFonts w:hint="eastAsia"/>
      </w:rPr>
      <w:tab/>
    </w:r>
    <w:r>
      <w:rPr>
        <w:rStyle w:val="33"/>
        <w:rFonts w:hint="eastAsia"/>
      </w:rP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9000" w:firstLineChars="5000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6776720</wp:posOffset>
              </wp:positionH>
              <wp:positionV relativeFrom="paragraph">
                <wp:posOffset>-41275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33.6pt;margin-top:-3.25pt;height:144pt;width:144pt;mso-position-horizontal-relative:margin;mso-wrap-style:none;z-index:251664384;mso-width-relative:page;mso-height-relative:page;" filled="f" stroked="f" coordsize="21600,21600" o:gfxdata="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H8FgF2AAAAAwBAAAPAAAAAAAAAAEAIAAAACIAAABkcnMvZG93bnJldi54bWxQSwECFAAU&#10;AAAACACHTuJAyt3XDCoCAABXBAAADgAAAAAAAAABACAAAAAn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8994775</wp:posOffset>
              </wp:positionH>
              <wp:positionV relativeFrom="paragraph">
                <wp:posOffset>-41275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08.25pt;margin-top:-3.25pt;height:144pt;width:144pt;mso-position-horizontal-relative:margin;mso-wrap-style:none;z-index:251663360;mso-width-relative:page;mso-height-relative:page;" filled="f" stroked="f" coordsize="21600,21600" o:gfxdata="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rpuLnYAAAADAEAAA8AAAAAAAAAAQAgAAAAIgAAAGRycy9kb3ducmV2LnhtbFBLAQIU&#10;ABQAAAAIAIdO4kBiydc/LAIAAFcEAAAOAAAAAAAAAAEAIAAAACc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0"/>
    </w:pPr>
    <w:r>
      <w:t>JB/T 4278.1—××××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5"/>
    </w:pPr>
    <w:r>
      <w:t>JB/T 4278.1—××××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0"/>
    </w:pPr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0"/>
      <w:jc w:val="center"/>
      <w:rPr>
        <w:b/>
        <w:bCs/>
        <w:sz w:val="24"/>
      </w:rPr>
    </w:pPr>
    <w:r>
      <w:rPr>
        <w:b/>
        <w:bCs/>
        <w:sz w:val="24"/>
      </w:rPr>
      <w:t>J</w:t>
    </w:r>
    <w:r>
      <w:rPr>
        <w:rFonts w:hint="eastAsia"/>
        <w:b/>
        <w:bCs/>
        <w:sz w:val="24"/>
      </w:rPr>
      <w:t>J</w:t>
    </w:r>
    <w:r>
      <w:rPr>
        <w:rFonts w:hint="eastAsia"/>
        <w:b/>
        <w:bCs/>
        <w:color w:val="000000"/>
        <w:sz w:val="24"/>
      </w:rPr>
      <w:t>F</w:t>
    </w:r>
    <w:r>
      <w:rPr>
        <w:rFonts w:hint="eastAsia"/>
        <w:b/>
        <w:bCs/>
      </w:rPr>
      <w:t>（有色金属）XXXX—XXXX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14605" t="8890" r="13970" b="10160"/>
              <wp:wrapNone/>
              <wp:docPr id="18" name="直接连接符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0.05pt;height:0pt;width:468pt;z-index:251659264;mso-width-relative:page;mso-height-relative:page;" filled="f" stroked="t" coordsize="21600,21600" o:gfxdata="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tRZVtEAAAACAQAA&#10;DwAAAAAAAAABACAAAAAiAAAAZHJzL2Rvd25yZXYueG1sUEsBAhQAFAAAAAgAh07iQIZ5fO3nAQAA&#10;uwMAAA4AAAAAAAAAAQAgAAAAIAEAAGRycy9lMm9Eb2MueG1sUEsFBgAAAAAGAAYAWQEAAHkFAAAA&#10;AA=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0"/>
      <w:jc w:val="center"/>
    </w:pPr>
    <w:r>
      <w:t>J</w:t>
    </w:r>
    <w:r>
      <w:rPr>
        <w:rFonts w:hint="eastAsia"/>
      </w:rPr>
      <w:t>JF</w:t>
    </w:r>
    <w:r>
      <w:t xml:space="preserve"> ××××—××××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0"/>
      <w:jc w:val="center"/>
      <w:rPr>
        <w:b/>
        <w:bCs/>
        <w:sz w:val="24"/>
      </w:rPr>
    </w:pPr>
    <w:r>
      <w:rPr>
        <w:b/>
        <w:bCs/>
        <w:sz w:val="24"/>
      </w:rPr>
      <w:t>J</w:t>
    </w:r>
    <w:r>
      <w:rPr>
        <w:rFonts w:hint="eastAsia"/>
        <w:b/>
        <w:bCs/>
        <w:sz w:val="24"/>
      </w:rPr>
      <w:t>JFX</w:t>
    </w:r>
    <w:r>
      <w:rPr>
        <w:rFonts w:hint="eastAsia"/>
        <w:b/>
        <w:bCs/>
      </w:rPr>
      <w:t>（机械）</w:t>
    </w:r>
    <w:r>
      <w:rPr>
        <w:rFonts w:hint="eastAsia"/>
        <w:b/>
        <w:bCs/>
        <w:sz w:val="24"/>
      </w:rPr>
      <w:t>0001-2018</w:t>
    </w:r>
  </w:p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9525" t="10160" r="9525" b="8890"/>
              <wp:wrapNone/>
              <wp:docPr id="17" name="直接连接符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0.05pt;height:0pt;width:468pt;z-index:251660288;mso-width-relative:page;mso-height-relative:page;" filled="f" stroked="t" coordsize="21600,21600" o:gfxdata="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tRZVtEAAAACAQAA&#10;DwAAAAAAAAABACAAAAAiAAAAZHJzL2Rvd25yZXYueG1sUEsBAhQAFAAAAAgAh07iQBcEpnvnAQAA&#10;uwMAAA4AAAAAAAAAAQAgAAAAIAEAAGRycy9lMm9Eb2MueG1sUEsFBgAAAAAGAAYAWQEAAHkFAAAA&#10;AA=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0"/>
      <w:jc w:val="center"/>
      <w:rPr>
        <w:b/>
        <w:bCs/>
        <w:sz w:val="24"/>
      </w:rPr>
    </w:pPr>
    <w:r>
      <w:rPr>
        <w:b/>
        <w:bCs/>
        <w:sz w:val="24"/>
      </w:rPr>
      <w:t>J</w:t>
    </w:r>
    <w:r>
      <w:rPr>
        <w:rFonts w:hint="eastAsia"/>
        <w:b/>
        <w:bCs/>
        <w:sz w:val="24"/>
      </w:rPr>
      <w:t>J</w:t>
    </w:r>
    <w:r>
      <w:rPr>
        <w:rFonts w:hint="eastAsia"/>
        <w:b/>
        <w:bCs/>
        <w:color w:val="000000"/>
        <w:sz w:val="24"/>
      </w:rPr>
      <w:t>F</w:t>
    </w:r>
    <w:r>
      <w:rPr>
        <w:rFonts w:hint="eastAsia"/>
        <w:b/>
        <w:bCs/>
      </w:rPr>
      <w:t>（有色金属）XXXX—XXXX</w:t>
    </w:r>
  </w:p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14605" t="12065" r="13970" b="6985"/>
              <wp:wrapNone/>
              <wp:docPr id="16" name="直接连接符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0.05pt;height:0pt;width:468pt;z-index:251661312;mso-width-relative:page;mso-height-relative:page;" filled="f" stroked="t" coordsize="21600,21600" o:gfxdata="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LUWVbRAAAAAgEA&#10;AA8AAAAAAAAAAQAgAAAAIgAAAGRycy9kb3ducmV2LnhtbFBLAQIUABQAAAAIAIdO4kCraGHX6AEA&#10;ALsDAAAOAAAAAAAAAAEAIAAAACABAABkcnMvZTJvRG9jLnhtbFBLBQYAAAAABgAGAFkBAAB6BQAA&#10;AAA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6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4MDA3N2M4ZjNjZmQxMWU2YWM4YmQ1ODcwZTEyZjcifQ=="/>
  </w:docVars>
  <w:rsids>
    <w:rsidRoot w:val="00172A27"/>
    <w:rsid w:val="00005660"/>
    <w:rsid w:val="000060BE"/>
    <w:rsid w:val="000128EC"/>
    <w:rsid w:val="00020676"/>
    <w:rsid w:val="00024BA5"/>
    <w:rsid w:val="000264CC"/>
    <w:rsid w:val="00035177"/>
    <w:rsid w:val="00036037"/>
    <w:rsid w:val="0003690A"/>
    <w:rsid w:val="00055F39"/>
    <w:rsid w:val="00060B7D"/>
    <w:rsid w:val="00066708"/>
    <w:rsid w:val="00067515"/>
    <w:rsid w:val="000741AD"/>
    <w:rsid w:val="000760C1"/>
    <w:rsid w:val="00086071"/>
    <w:rsid w:val="00086B2C"/>
    <w:rsid w:val="00087499"/>
    <w:rsid w:val="00087EFC"/>
    <w:rsid w:val="000921DD"/>
    <w:rsid w:val="00094526"/>
    <w:rsid w:val="000A146E"/>
    <w:rsid w:val="000A1F8C"/>
    <w:rsid w:val="000A798B"/>
    <w:rsid w:val="000B4D11"/>
    <w:rsid w:val="000C30CE"/>
    <w:rsid w:val="000C70F2"/>
    <w:rsid w:val="000D00BD"/>
    <w:rsid w:val="000D06C8"/>
    <w:rsid w:val="000D4D7C"/>
    <w:rsid w:val="000E4D17"/>
    <w:rsid w:val="000E5E8E"/>
    <w:rsid w:val="001004A7"/>
    <w:rsid w:val="00103908"/>
    <w:rsid w:val="00114382"/>
    <w:rsid w:val="00114971"/>
    <w:rsid w:val="00121A46"/>
    <w:rsid w:val="00122EA2"/>
    <w:rsid w:val="00125F0E"/>
    <w:rsid w:val="0012614A"/>
    <w:rsid w:val="00131566"/>
    <w:rsid w:val="00134E2A"/>
    <w:rsid w:val="00137428"/>
    <w:rsid w:val="0014112B"/>
    <w:rsid w:val="001446BC"/>
    <w:rsid w:val="00161C2D"/>
    <w:rsid w:val="00162BB6"/>
    <w:rsid w:val="00172A27"/>
    <w:rsid w:val="00176001"/>
    <w:rsid w:val="001809C1"/>
    <w:rsid w:val="00183D86"/>
    <w:rsid w:val="00185F37"/>
    <w:rsid w:val="00190538"/>
    <w:rsid w:val="0019170F"/>
    <w:rsid w:val="001A18B1"/>
    <w:rsid w:val="001A3087"/>
    <w:rsid w:val="001B280A"/>
    <w:rsid w:val="001B47DD"/>
    <w:rsid w:val="001C19DC"/>
    <w:rsid w:val="001C28D7"/>
    <w:rsid w:val="001C505F"/>
    <w:rsid w:val="001C5AC8"/>
    <w:rsid w:val="001D0E10"/>
    <w:rsid w:val="001D2312"/>
    <w:rsid w:val="001D2313"/>
    <w:rsid w:val="001E1376"/>
    <w:rsid w:val="001E601C"/>
    <w:rsid w:val="001E6493"/>
    <w:rsid w:val="001E6553"/>
    <w:rsid w:val="001E7DBA"/>
    <w:rsid w:val="001F0FB6"/>
    <w:rsid w:val="001F16CC"/>
    <w:rsid w:val="001F17F7"/>
    <w:rsid w:val="001F613F"/>
    <w:rsid w:val="00203C58"/>
    <w:rsid w:val="002053AA"/>
    <w:rsid w:val="00205784"/>
    <w:rsid w:val="00205982"/>
    <w:rsid w:val="00205CA6"/>
    <w:rsid w:val="00206C80"/>
    <w:rsid w:val="002113D1"/>
    <w:rsid w:val="00212E9B"/>
    <w:rsid w:val="00216426"/>
    <w:rsid w:val="00222D47"/>
    <w:rsid w:val="002363C5"/>
    <w:rsid w:val="00244D37"/>
    <w:rsid w:val="00244F30"/>
    <w:rsid w:val="00245095"/>
    <w:rsid w:val="0024559B"/>
    <w:rsid w:val="00260496"/>
    <w:rsid w:val="00260610"/>
    <w:rsid w:val="002704D5"/>
    <w:rsid w:val="00270887"/>
    <w:rsid w:val="0027250E"/>
    <w:rsid w:val="00273581"/>
    <w:rsid w:val="00273620"/>
    <w:rsid w:val="002800D4"/>
    <w:rsid w:val="00282686"/>
    <w:rsid w:val="002836C6"/>
    <w:rsid w:val="002839E2"/>
    <w:rsid w:val="00286B8B"/>
    <w:rsid w:val="0028796A"/>
    <w:rsid w:val="002A0268"/>
    <w:rsid w:val="002A1772"/>
    <w:rsid w:val="002B335D"/>
    <w:rsid w:val="002B43E3"/>
    <w:rsid w:val="002B46BB"/>
    <w:rsid w:val="002C2757"/>
    <w:rsid w:val="002C27F8"/>
    <w:rsid w:val="002C5B1D"/>
    <w:rsid w:val="002D4BB1"/>
    <w:rsid w:val="002D6146"/>
    <w:rsid w:val="002D664E"/>
    <w:rsid w:val="002D73C3"/>
    <w:rsid w:val="002E64F6"/>
    <w:rsid w:val="002E6982"/>
    <w:rsid w:val="002F069E"/>
    <w:rsid w:val="002F1F47"/>
    <w:rsid w:val="002F36E4"/>
    <w:rsid w:val="00301B6B"/>
    <w:rsid w:val="00303E14"/>
    <w:rsid w:val="0030467B"/>
    <w:rsid w:val="00310AD9"/>
    <w:rsid w:val="00312E30"/>
    <w:rsid w:val="003148AD"/>
    <w:rsid w:val="003167A6"/>
    <w:rsid w:val="00317D22"/>
    <w:rsid w:val="00321A89"/>
    <w:rsid w:val="003242FA"/>
    <w:rsid w:val="00325571"/>
    <w:rsid w:val="00331646"/>
    <w:rsid w:val="0034015F"/>
    <w:rsid w:val="00340C94"/>
    <w:rsid w:val="0034402C"/>
    <w:rsid w:val="00347C96"/>
    <w:rsid w:val="00347DDE"/>
    <w:rsid w:val="0035228E"/>
    <w:rsid w:val="00357398"/>
    <w:rsid w:val="0036425D"/>
    <w:rsid w:val="0037368A"/>
    <w:rsid w:val="00380C68"/>
    <w:rsid w:val="00381F51"/>
    <w:rsid w:val="00383B71"/>
    <w:rsid w:val="00391912"/>
    <w:rsid w:val="00394E81"/>
    <w:rsid w:val="003A06DF"/>
    <w:rsid w:val="003A1D92"/>
    <w:rsid w:val="003A1FDE"/>
    <w:rsid w:val="003A2EE7"/>
    <w:rsid w:val="003A46D6"/>
    <w:rsid w:val="003B001E"/>
    <w:rsid w:val="003B25FB"/>
    <w:rsid w:val="003B2A51"/>
    <w:rsid w:val="003C0E22"/>
    <w:rsid w:val="003C2299"/>
    <w:rsid w:val="003C4D2B"/>
    <w:rsid w:val="003C557D"/>
    <w:rsid w:val="003C70B7"/>
    <w:rsid w:val="003C7A85"/>
    <w:rsid w:val="003D1181"/>
    <w:rsid w:val="003D3EB7"/>
    <w:rsid w:val="003D6CEA"/>
    <w:rsid w:val="003E554F"/>
    <w:rsid w:val="003F2926"/>
    <w:rsid w:val="003F5B97"/>
    <w:rsid w:val="0040495E"/>
    <w:rsid w:val="004058C0"/>
    <w:rsid w:val="00420BC8"/>
    <w:rsid w:val="0042483D"/>
    <w:rsid w:val="00425B43"/>
    <w:rsid w:val="0043667A"/>
    <w:rsid w:val="00440E29"/>
    <w:rsid w:val="00445EC4"/>
    <w:rsid w:val="00446873"/>
    <w:rsid w:val="0044688F"/>
    <w:rsid w:val="00452343"/>
    <w:rsid w:val="004545AC"/>
    <w:rsid w:val="00462C6C"/>
    <w:rsid w:val="00464D30"/>
    <w:rsid w:val="004674EE"/>
    <w:rsid w:val="00476079"/>
    <w:rsid w:val="00477408"/>
    <w:rsid w:val="00481203"/>
    <w:rsid w:val="00483BDC"/>
    <w:rsid w:val="00490F76"/>
    <w:rsid w:val="00491422"/>
    <w:rsid w:val="004915FE"/>
    <w:rsid w:val="004962CE"/>
    <w:rsid w:val="004A2B93"/>
    <w:rsid w:val="004A32BC"/>
    <w:rsid w:val="004A3F9C"/>
    <w:rsid w:val="004A42E9"/>
    <w:rsid w:val="004A72E2"/>
    <w:rsid w:val="004B14C2"/>
    <w:rsid w:val="004B35D2"/>
    <w:rsid w:val="004D02F0"/>
    <w:rsid w:val="004D15DE"/>
    <w:rsid w:val="004D1BAF"/>
    <w:rsid w:val="004D366B"/>
    <w:rsid w:val="004E41E5"/>
    <w:rsid w:val="004E6320"/>
    <w:rsid w:val="004F1B52"/>
    <w:rsid w:val="004F3E55"/>
    <w:rsid w:val="004F4975"/>
    <w:rsid w:val="004F7CB1"/>
    <w:rsid w:val="005029F8"/>
    <w:rsid w:val="00514EB4"/>
    <w:rsid w:val="00521965"/>
    <w:rsid w:val="005247DA"/>
    <w:rsid w:val="00534EA4"/>
    <w:rsid w:val="005358D1"/>
    <w:rsid w:val="0053627F"/>
    <w:rsid w:val="00552494"/>
    <w:rsid w:val="005607E6"/>
    <w:rsid w:val="00562EE5"/>
    <w:rsid w:val="00565788"/>
    <w:rsid w:val="0056668C"/>
    <w:rsid w:val="00571685"/>
    <w:rsid w:val="00574C16"/>
    <w:rsid w:val="00575505"/>
    <w:rsid w:val="00581200"/>
    <w:rsid w:val="0058269B"/>
    <w:rsid w:val="00586D52"/>
    <w:rsid w:val="0059375D"/>
    <w:rsid w:val="00597774"/>
    <w:rsid w:val="005A1113"/>
    <w:rsid w:val="005A1212"/>
    <w:rsid w:val="005B6AC7"/>
    <w:rsid w:val="005B73E9"/>
    <w:rsid w:val="005B7E92"/>
    <w:rsid w:val="005C04F7"/>
    <w:rsid w:val="005C0BB8"/>
    <w:rsid w:val="005C2690"/>
    <w:rsid w:val="005C4E47"/>
    <w:rsid w:val="005C5178"/>
    <w:rsid w:val="005C5401"/>
    <w:rsid w:val="005C7DB7"/>
    <w:rsid w:val="005E15DE"/>
    <w:rsid w:val="005E293D"/>
    <w:rsid w:val="005E3C99"/>
    <w:rsid w:val="005F1A0D"/>
    <w:rsid w:val="005F2CD2"/>
    <w:rsid w:val="005F330D"/>
    <w:rsid w:val="00602D10"/>
    <w:rsid w:val="006044EB"/>
    <w:rsid w:val="006047BC"/>
    <w:rsid w:val="00604834"/>
    <w:rsid w:val="00605CA1"/>
    <w:rsid w:val="00611911"/>
    <w:rsid w:val="00614405"/>
    <w:rsid w:val="00615883"/>
    <w:rsid w:val="00620EC3"/>
    <w:rsid w:val="00620FD7"/>
    <w:rsid w:val="0062340E"/>
    <w:rsid w:val="006243B1"/>
    <w:rsid w:val="00636948"/>
    <w:rsid w:val="006428E3"/>
    <w:rsid w:val="00645063"/>
    <w:rsid w:val="0064638E"/>
    <w:rsid w:val="00651781"/>
    <w:rsid w:val="00656B8F"/>
    <w:rsid w:val="006627AD"/>
    <w:rsid w:val="0066657E"/>
    <w:rsid w:val="00671CFF"/>
    <w:rsid w:val="00677209"/>
    <w:rsid w:val="00677D18"/>
    <w:rsid w:val="0068418A"/>
    <w:rsid w:val="006901A3"/>
    <w:rsid w:val="00690FC2"/>
    <w:rsid w:val="00691242"/>
    <w:rsid w:val="00691642"/>
    <w:rsid w:val="006949A8"/>
    <w:rsid w:val="00696FDF"/>
    <w:rsid w:val="00697058"/>
    <w:rsid w:val="006A5183"/>
    <w:rsid w:val="006A747C"/>
    <w:rsid w:val="006B0A97"/>
    <w:rsid w:val="006B2DC4"/>
    <w:rsid w:val="006B3F59"/>
    <w:rsid w:val="006B7321"/>
    <w:rsid w:val="006C005B"/>
    <w:rsid w:val="006C0815"/>
    <w:rsid w:val="006C7CF9"/>
    <w:rsid w:val="006D0C70"/>
    <w:rsid w:val="006D19D2"/>
    <w:rsid w:val="006D1B5D"/>
    <w:rsid w:val="006D5358"/>
    <w:rsid w:val="006D598F"/>
    <w:rsid w:val="006D61E0"/>
    <w:rsid w:val="006F21A3"/>
    <w:rsid w:val="006F2767"/>
    <w:rsid w:val="006F2F01"/>
    <w:rsid w:val="006F5578"/>
    <w:rsid w:val="006F631F"/>
    <w:rsid w:val="007013EF"/>
    <w:rsid w:val="0070320B"/>
    <w:rsid w:val="00703C12"/>
    <w:rsid w:val="00704BA8"/>
    <w:rsid w:val="00705BEA"/>
    <w:rsid w:val="00710447"/>
    <w:rsid w:val="00717456"/>
    <w:rsid w:val="00720CEE"/>
    <w:rsid w:val="007221D1"/>
    <w:rsid w:val="00722B09"/>
    <w:rsid w:val="00724193"/>
    <w:rsid w:val="00730181"/>
    <w:rsid w:val="00732623"/>
    <w:rsid w:val="00732B97"/>
    <w:rsid w:val="00733EA7"/>
    <w:rsid w:val="00740153"/>
    <w:rsid w:val="00742891"/>
    <w:rsid w:val="0074448D"/>
    <w:rsid w:val="00745042"/>
    <w:rsid w:val="00745467"/>
    <w:rsid w:val="00750C92"/>
    <w:rsid w:val="00751901"/>
    <w:rsid w:val="00752AA0"/>
    <w:rsid w:val="00757961"/>
    <w:rsid w:val="00757F2E"/>
    <w:rsid w:val="007601DB"/>
    <w:rsid w:val="0076492E"/>
    <w:rsid w:val="00764FF0"/>
    <w:rsid w:val="0076505C"/>
    <w:rsid w:val="007727CE"/>
    <w:rsid w:val="00777748"/>
    <w:rsid w:val="007815BC"/>
    <w:rsid w:val="00782C07"/>
    <w:rsid w:val="00783498"/>
    <w:rsid w:val="00784A93"/>
    <w:rsid w:val="00784DCC"/>
    <w:rsid w:val="00787D8B"/>
    <w:rsid w:val="00790A41"/>
    <w:rsid w:val="00791BC9"/>
    <w:rsid w:val="00795325"/>
    <w:rsid w:val="007A4451"/>
    <w:rsid w:val="007A62F7"/>
    <w:rsid w:val="007A6849"/>
    <w:rsid w:val="007D335A"/>
    <w:rsid w:val="007D3886"/>
    <w:rsid w:val="007D3A7E"/>
    <w:rsid w:val="007E407A"/>
    <w:rsid w:val="007E654F"/>
    <w:rsid w:val="007F1915"/>
    <w:rsid w:val="007F33B8"/>
    <w:rsid w:val="0080197C"/>
    <w:rsid w:val="00803819"/>
    <w:rsid w:val="00805154"/>
    <w:rsid w:val="00805F2E"/>
    <w:rsid w:val="00807481"/>
    <w:rsid w:val="00810413"/>
    <w:rsid w:val="00810F8B"/>
    <w:rsid w:val="00811C52"/>
    <w:rsid w:val="00820341"/>
    <w:rsid w:val="008221D2"/>
    <w:rsid w:val="008317CF"/>
    <w:rsid w:val="0083232C"/>
    <w:rsid w:val="0083585C"/>
    <w:rsid w:val="00836011"/>
    <w:rsid w:val="00837368"/>
    <w:rsid w:val="00840763"/>
    <w:rsid w:val="0084081B"/>
    <w:rsid w:val="00847FAE"/>
    <w:rsid w:val="00853218"/>
    <w:rsid w:val="00862C99"/>
    <w:rsid w:val="00864215"/>
    <w:rsid w:val="00866052"/>
    <w:rsid w:val="00866433"/>
    <w:rsid w:val="008670CC"/>
    <w:rsid w:val="00867FF1"/>
    <w:rsid w:val="0088275F"/>
    <w:rsid w:val="008900C1"/>
    <w:rsid w:val="00892BDB"/>
    <w:rsid w:val="0089672D"/>
    <w:rsid w:val="00896A3D"/>
    <w:rsid w:val="008972D5"/>
    <w:rsid w:val="00897827"/>
    <w:rsid w:val="008A21D6"/>
    <w:rsid w:val="008A22D6"/>
    <w:rsid w:val="008B10A1"/>
    <w:rsid w:val="008B4097"/>
    <w:rsid w:val="008C0868"/>
    <w:rsid w:val="008C0F1D"/>
    <w:rsid w:val="008C1801"/>
    <w:rsid w:val="008C2AE2"/>
    <w:rsid w:val="008D5508"/>
    <w:rsid w:val="008E2141"/>
    <w:rsid w:val="008E3A8D"/>
    <w:rsid w:val="008F20A3"/>
    <w:rsid w:val="00914481"/>
    <w:rsid w:val="00921A41"/>
    <w:rsid w:val="009255F3"/>
    <w:rsid w:val="00926995"/>
    <w:rsid w:val="009339FB"/>
    <w:rsid w:val="009364EC"/>
    <w:rsid w:val="0094360E"/>
    <w:rsid w:val="00946B3C"/>
    <w:rsid w:val="00952156"/>
    <w:rsid w:val="00954D82"/>
    <w:rsid w:val="00967BE2"/>
    <w:rsid w:val="0097610F"/>
    <w:rsid w:val="00976E1F"/>
    <w:rsid w:val="00997BC4"/>
    <w:rsid w:val="009A173C"/>
    <w:rsid w:val="009A34F3"/>
    <w:rsid w:val="009B647E"/>
    <w:rsid w:val="009B70D4"/>
    <w:rsid w:val="009C1247"/>
    <w:rsid w:val="009C281F"/>
    <w:rsid w:val="009C2DA3"/>
    <w:rsid w:val="009D5BBB"/>
    <w:rsid w:val="009D7A63"/>
    <w:rsid w:val="009D7C36"/>
    <w:rsid w:val="009E0259"/>
    <w:rsid w:val="009E12A2"/>
    <w:rsid w:val="009E4DE3"/>
    <w:rsid w:val="009E78B5"/>
    <w:rsid w:val="009F1152"/>
    <w:rsid w:val="009F287B"/>
    <w:rsid w:val="009F5EE8"/>
    <w:rsid w:val="00A02AF8"/>
    <w:rsid w:val="00A10FDA"/>
    <w:rsid w:val="00A11604"/>
    <w:rsid w:val="00A11E22"/>
    <w:rsid w:val="00A13AEB"/>
    <w:rsid w:val="00A15B66"/>
    <w:rsid w:val="00A172BD"/>
    <w:rsid w:val="00A17CC6"/>
    <w:rsid w:val="00A31959"/>
    <w:rsid w:val="00A42B1B"/>
    <w:rsid w:val="00A44EAC"/>
    <w:rsid w:val="00A461B9"/>
    <w:rsid w:val="00A46ACD"/>
    <w:rsid w:val="00A4729C"/>
    <w:rsid w:val="00A5023F"/>
    <w:rsid w:val="00A5154A"/>
    <w:rsid w:val="00A577FC"/>
    <w:rsid w:val="00A63487"/>
    <w:rsid w:val="00A66108"/>
    <w:rsid w:val="00A66218"/>
    <w:rsid w:val="00A70847"/>
    <w:rsid w:val="00A736DC"/>
    <w:rsid w:val="00A74335"/>
    <w:rsid w:val="00A77DAA"/>
    <w:rsid w:val="00A82385"/>
    <w:rsid w:val="00A834A8"/>
    <w:rsid w:val="00A90D81"/>
    <w:rsid w:val="00A93346"/>
    <w:rsid w:val="00A964AA"/>
    <w:rsid w:val="00AB091C"/>
    <w:rsid w:val="00AB3F7F"/>
    <w:rsid w:val="00AC13FE"/>
    <w:rsid w:val="00AC5502"/>
    <w:rsid w:val="00AC5AD6"/>
    <w:rsid w:val="00AC646C"/>
    <w:rsid w:val="00AD742E"/>
    <w:rsid w:val="00AD78AE"/>
    <w:rsid w:val="00AE1744"/>
    <w:rsid w:val="00AE24B4"/>
    <w:rsid w:val="00AE3A75"/>
    <w:rsid w:val="00AE40B8"/>
    <w:rsid w:val="00AE533B"/>
    <w:rsid w:val="00AF2563"/>
    <w:rsid w:val="00AF26C3"/>
    <w:rsid w:val="00AF5F53"/>
    <w:rsid w:val="00AF6149"/>
    <w:rsid w:val="00B04DA9"/>
    <w:rsid w:val="00B05BEB"/>
    <w:rsid w:val="00B0681E"/>
    <w:rsid w:val="00B17F66"/>
    <w:rsid w:val="00B33DDE"/>
    <w:rsid w:val="00B360DF"/>
    <w:rsid w:val="00B37340"/>
    <w:rsid w:val="00B43BD0"/>
    <w:rsid w:val="00B55F59"/>
    <w:rsid w:val="00B6269D"/>
    <w:rsid w:val="00B670F7"/>
    <w:rsid w:val="00B815C3"/>
    <w:rsid w:val="00B82183"/>
    <w:rsid w:val="00B85A70"/>
    <w:rsid w:val="00B93C9B"/>
    <w:rsid w:val="00B95F54"/>
    <w:rsid w:val="00BA6B2C"/>
    <w:rsid w:val="00BB41EE"/>
    <w:rsid w:val="00BD1BD6"/>
    <w:rsid w:val="00BD37F3"/>
    <w:rsid w:val="00BE17E6"/>
    <w:rsid w:val="00BF2438"/>
    <w:rsid w:val="00BF6117"/>
    <w:rsid w:val="00BF66ED"/>
    <w:rsid w:val="00C0193E"/>
    <w:rsid w:val="00C10BF9"/>
    <w:rsid w:val="00C15406"/>
    <w:rsid w:val="00C15BC2"/>
    <w:rsid w:val="00C16843"/>
    <w:rsid w:val="00C16AC1"/>
    <w:rsid w:val="00C171A8"/>
    <w:rsid w:val="00C17F94"/>
    <w:rsid w:val="00C20917"/>
    <w:rsid w:val="00C2420D"/>
    <w:rsid w:val="00C273A7"/>
    <w:rsid w:val="00C33B70"/>
    <w:rsid w:val="00C33D79"/>
    <w:rsid w:val="00C37B49"/>
    <w:rsid w:val="00C41AD6"/>
    <w:rsid w:val="00C461E6"/>
    <w:rsid w:val="00C503B8"/>
    <w:rsid w:val="00C70FC0"/>
    <w:rsid w:val="00C73D40"/>
    <w:rsid w:val="00C756E0"/>
    <w:rsid w:val="00C8042C"/>
    <w:rsid w:val="00C84E24"/>
    <w:rsid w:val="00C85378"/>
    <w:rsid w:val="00C922F8"/>
    <w:rsid w:val="00CA06B7"/>
    <w:rsid w:val="00CA7BFC"/>
    <w:rsid w:val="00CB039D"/>
    <w:rsid w:val="00CB20CE"/>
    <w:rsid w:val="00CB5A37"/>
    <w:rsid w:val="00CC2C3B"/>
    <w:rsid w:val="00CC5097"/>
    <w:rsid w:val="00CC5A76"/>
    <w:rsid w:val="00CC5ABE"/>
    <w:rsid w:val="00CC67D7"/>
    <w:rsid w:val="00CC7768"/>
    <w:rsid w:val="00CD0E81"/>
    <w:rsid w:val="00CD21D9"/>
    <w:rsid w:val="00CD3199"/>
    <w:rsid w:val="00CD39CD"/>
    <w:rsid w:val="00CD4A3C"/>
    <w:rsid w:val="00CF17CF"/>
    <w:rsid w:val="00CF1B8D"/>
    <w:rsid w:val="00CF1F65"/>
    <w:rsid w:val="00CF3CAF"/>
    <w:rsid w:val="00CF5530"/>
    <w:rsid w:val="00CF668B"/>
    <w:rsid w:val="00D04A73"/>
    <w:rsid w:val="00D06C16"/>
    <w:rsid w:val="00D07ABE"/>
    <w:rsid w:val="00D103B8"/>
    <w:rsid w:val="00D10B89"/>
    <w:rsid w:val="00D11D4A"/>
    <w:rsid w:val="00D14579"/>
    <w:rsid w:val="00D14B60"/>
    <w:rsid w:val="00D16B5B"/>
    <w:rsid w:val="00D27124"/>
    <w:rsid w:val="00D32329"/>
    <w:rsid w:val="00D37BF3"/>
    <w:rsid w:val="00D41A67"/>
    <w:rsid w:val="00D43B15"/>
    <w:rsid w:val="00D43FD0"/>
    <w:rsid w:val="00D6558C"/>
    <w:rsid w:val="00D668CD"/>
    <w:rsid w:val="00D66CB4"/>
    <w:rsid w:val="00D70C2E"/>
    <w:rsid w:val="00D73BBA"/>
    <w:rsid w:val="00D77713"/>
    <w:rsid w:val="00D82956"/>
    <w:rsid w:val="00D84163"/>
    <w:rsid w:val="00D90C0C"/>
    <w:rsid w:val="00D91FAE"/>
    <w:rsid w:val="00DA3E40"/>
    <w:rsid w:val="00DA5EA3"/>
    <w:rsid w:val="00DB2F09"/>
    <w:rsid w:val="00DB6AB8"/>
    <w:rsid w:val="00DC252C"/>
    <w:rsid w:val="00DC3BA3"/>
    <w:rsid w:val="00DC48BF"/>
    <w:rsid w:val="00DD6A3B"/>
    <w:rsid w:val="00DE3A77"/>
    <w:rsid w:val="00DE4B57"/>
    <w:rsid w:val="00DE7C7A"/>
    <w:rsid w:val="00DF624B"/>
    <w:rsid w:val="00DF64EA"/>
    <w:rsid w:val="00E0108E"/>
    <w:rsid w:val="00E01186"/>
    <w:rsid w:val="00E073D4"/>
    <w:rsid w:val="00E07552"/>
    <w:rsid w:val="00E154B0"/>
    <w:rsid w:val="00E163C2"/>
    <w:rsid w:val="00E17B81"/>
    <w:rsid w:val="00E31475"/>
    <w:rsid w:val="00E340D3"/>
    <w:rsid w:val="00E365A8"/>
    <w:rsid w:val="00E37F8B"/>
    <w:rsid w:val="00E406A1"/>
    <w:rsid w:val="00E44009"/>
    <w:rsid w:val="00E575B2"/>
    <w:rsid w:val="00E63D6E"/>
    <w:rsid w:val="00E70D52"/>
    <w:rsid w:val="00E75037"/>
    <w:rsid w:val="00E763FE"/>
    <w:rsid w:val="00E803A8"/>
    <w:rsid w:val="00E8093C"/>
    <w:rsid w:val="00E81240"/>
    <w:rsid w:val="00E815FD"/>
    <w:rsid w:val="00E817BB"/>
    <w:rsid w:val="00E82B31"/>
    <w:rsid w:val="00E8633B"/>
    <w:rsid w:val="00E91541"/>
    <w:rsid w:val="00E915DC"/>
    <w:rsid w:val="00E928D1"/>
    <w:rsid w:val="00E92EE1"/>
    <w:rsid w:val="00EB0D9D"/>
    <w:rsid w:val="00EB355A"/>
    <w:rsid w:val="00EC1992"/>
    <w:rsid w:val="00ED09F9"/>
    <w:rsid w:val="00EE0BF7"/>
    <w:rsid w:val="00EE1EF1"/>
    <w:rsid w:val="00EE4DB7"/>
    <w:rsid w:val="00EE59AE"/>
    <w:rsid w:val="00EF1B7E"/>
    <w:rsid w:val="00EF1C04"/>
    <w:rsid w:val="00EF7A53"/>
    <w:rsid w:val="00EF7ABB"/>
    <w:rsid w:val="00F069D5"/>
    <w:rsid w:val="00F106BD"/>
    <w:rsid w:val="00F31CBB"/>
    <w:rsid w:val="00F33C5B"/>
    <w:rsid w:val="00F56B75"/>
    <w:rsid w:val="00F56D6B"/>
    <w:rsid w:val="00F67583"/>
    <w:rsid w:val="00F72077"/>
    <w:rsid w:val="00F7505E"/>
    <w:rsid w:val="00F75A18"/>
    <w:rsid w:val="00F77A6B"/>
    <w:rsid w:val="00F810DE"/>
    <w:rsid w:val="00F81618"/>
    <w:rsid w:val="00F83158"/>
    <w:rsid w:val="00F8568B"/>
    <w:rsid w:val="00F91475"/>
    <w:rsid w:val="00F923E1"/>
    <w:rsid w:val="00F94D01"/>
    <w:rsid w:val="00F96BED"/>
    <w:rsid w:val="00FB0ED6"/>
    <w:rsid w:val="00FC0650"/>
    <w:rsid w:val="00FC1BDC"/>
    <w:rsid w:val="00FC4457"/>
    <w:rsid w:val="00FC6320"/>
    <w:rsid w:val="00FD3AA3"/>
    <w:rsid w:val="00FD5995"/>
    <w:rsid w:val="00FE3646"/>
    <w:rsid w:val="00FE40DD"/>
    <w:rsid w:val="00FE4558"/>
    <w:rsid w:val="00FF3781"/>
    <w:rsid w:val="01EB49C8"/>
    <w:rsid w:val="02C170CB"/>
    <w:rsid w:val="02F254D6"/>
    <w:rsid w:val="04983765"/>
    <w:rsid w:val="07E44D1E"/>
    <w:rsid w:val="08902604"/>
    <w:rsid w:val="08D90FCC"/>
    <w:rsid w:val="0AAE1D4D"/>
    <w:rsid w:val="0B10213F"/>
    <w:rsid w:val="0BC02EA4"/>
    <w:rsid w:val="0C1B31D9"/>
    <w:rsid w:val="0C4F5D80"/>
    <w:rsid w:val="128D346E"/>
    <w:rsid w:val="13545D39"/>
    <w:rsid w:val="136D3EEE"/>
    <w:rsid w:val="139E2979"/>
    <w:rsid w:val="14370DE7"/>
    <w:rsid w:val="157A7AAE"/>
    <w:rsid w:val="15DD404A"/>
    <w:rsid w:val="1634092F"/>
    <w:rsid w:val="165B2217"/>
    <w:rsid w:val="169126CD"/>
    <w:rsid w:val="16AF4D5F"/>
    <w:rsid w:val="16CE50F1"/>
    <w:rsid w:val="17197CFF"/>
    <w:rsid w:val="183D24A6"/>
    <w:rsid w:val="1BDB7D1A"/>
    <w:rsid w:val="1C816220"/>
    <w:rsid w:val="1D0F54FE"/>
    <w:rsid w:val="1DA00D46"/>
    <w:rsid w:val="1E2E70D7"/>
    <w:rsid w:val="1E5B78DA"/>
    <w:rsid w:val="1ECD7650"/>
    <w:rsid w:val="1F2C1838"/>
    <w:rsid w:val="1FD442EC"/>
    <w:rsid w:val="22462CF1"/>
    <w:rsid w:val="2296086F"/>
    <w:rsid w:val="22A42C1D"/>
    <w:rsid w:val="234719DD"/>
    <w:rsid w:val="23597434"/>
    <w:rsid w:val="235D0A20"/>
    <w:rsid w:val="23F70746"/>
    <w:rsid w:val="249F6628"/>
    <w:rsid w:val="25220FF5"/>
    <w:rsid w:val="25A009D5"/>
    <w:rsid w:val="25D86356"/>
    <w:rsid w:val="262140CD"/>
    <w:rsid w:val="27047A51"/>
    <w:rsid w:val="2B2535DF"/>
    <w:rsid w:val="2BE813BF"/>
    <w:rsid w:val="2C4111FB"/>
    <w:rsid w:val="2D697938"/>
    <w:rsid w:val="2DC84F02"/>
    <w:rsid w:val="2E4C168F"/>
    <w:rsid w:val="2EB321E0"/>
    <w:rsid w:val="2F305B22"/>
    <w:rsid w:val="2F3C6DC2"/>
    <w:rsid w:val="2F490347"/>
    <w:rsid w:val="2F5E3398"/>
    <w:rsid w:val="2F8F0DE5"/>
    <w:rsid w:val="30F9673D"/>
    <w:rsid w:val="31306B17"/>
    <w:rsid w:val="31EF3881"/>
    <w:rsid w:val="32542C88"/>
    <w:rsid w:val="32AA2ECF"/>
    <w:rsid w:val="36C24BE4"/>
    <w:rsid w:val="377E223D"/>
    <w:rsid w:val="38181BF3"/>
    <w:rsid w:val="385B51EE"/>
    <w:rsid w:val="389A04AB"/>
    <w:rsid w:val="38AE337D"/>
    <w:rsid w:val="39AB195F"/>
    <w:rsid w:val="3A1C7386"/>
    <w:rsid w:val="3BAE161E"/>
    <w:rsid w:val="3C297D8D"/>
    <w:rsid w:val="3D3611C3"/>
    <w:rsid w:val="3F15388C"/>
    <w:rsid w:val="40DE086C"/>
    <w:rsid w:val="41A66FF2"/>
    <w:rsid w:val="42C45840"/>
    <w:rsid w:val="45941E41"/>
    <w:rsid w:val="469B4984"/>
    <w:rsid w:val="474B6220"/>
    <w:rsid w:val="4C4722B4"/>
    <w:rsid w:val="4C7336B6"/>
    <w:rsid w:val="4CCA3F14"/>
    <w:rsid w:val="4D2E0486"/>
    <w:rsid w:val="501F49FD"/>
    <w:rsid w:val="50502E09"/>
    <w:rsid w:val="51695F30"/>
    <w:rsid w:val="51872F2C"/>
    <w:rsid w:val="530644F0"/>
    <w:rsid w:val="54FA281B"/>
    <w:rsid w:val="55352F21"/>
    <w:rsid w:val="563A4AEF"/>
    <w:rsid w:val="56CF5E33"/>
    <w:rsid w:val="5765537C"/>
    <w:rsid w:val="576B0A8F"/>
    <w:rsid w:val="57C71C02"/>
    <w:rsid w:val="582E3A30"/>
    <w:rsid w:val="58A91308"/>
    <w:rsid w:val="590F2782"/>
    <w:rsid w:val="5A571431"/>
    <w:rsid w:val="5AA36DA0"/>
    <w:rsid w:val="5AD9394C"/>
    <w:rsid w:val="5AF440A1"/>
    <w:rsid w:val="5B024F63"/>
    <w:rsid w:val="5CC91F79"/>
    <w:rsid w:val="61D27EB7"/>
    <w:rsid w:val="634736C9"/>
    <w:rsid w:val="635A570C"/>
    <w:rsid w:val="64231D53"/>
    <w:rsid w:val="644B0992"/>
    <w:rsid w:val="651B533C"/>
    <w:rsid w:val="66480D17"/>
    <w:rsid w:val="66943E35"/>
    <w:rsid w:val="66C63FC5"/>
    <w:rsid w:val="67A54F4C"/>
    <w:rsid w:val="67B82F47"/>
    <w:rsid w:val="67E525A9"/>
    <w:rsid w:val="67E75F5F"/>
    <w:rsid w:val="68504B69"/>
    <w:rsid w:val="68EE5593"/>
    <w:rsid w:val="69074B34"/>
    <w:rsid w:val="6AB76B7F"/>
    <w:rsid w:val="6AE471E3"/>
    <w:rsid w:val="6B73086C"/>
    <w:rsid w:val="6C105C86"/>
    <w:rsid w:val="6C747E3A"/>
    <w:rsid w:val="6CDC0A25"/>
    <w:rsid w:val="6CED3A62"/>
    <w:rsid w:val="6D31792B"/>
    <w:rsid w:val="6E103CBF"/>
    <w:rsid w:val="6E531FEA"/>
    <w:rsid w:val="6E8E4DD0"/>
    <w:rsid w:val="6FF60E7F"/>
    <w:rsid w:val="6FFA4EE7"/>
    <w:rsid w:val="71963B10"/>
    <w:rsid w:val="720F0CFE"/>
    <w:rsid w:val="72A8740E"/>
    <w:rsid w:val="72FE09AD"/>
    <w:rsid w:val="72FF3793"/>
    <w:rsid w:val="7384143C"/>
    <w:rsid w:val="73B940A9"/>
    <w:rsid w:val="73FA1832"/>
    <w:rsid w:val="7480515F"/>
    <w:rsid w:val="75D91FC6"/>
    <w:rsid w:val="760663A6"/>
    <w:rsid w:val="76153EC6"/>
    <w:rsid w:val="76B5221B"/>
    <w:rsid w:val="773921DD"/>
    <w:rsid w:val="77A447C9"/>
    <w:rsid w:val="77CC7A4A"/>
    <w:rsid w:val="77D540BF"/>
    <w:rsid w:val="78A6284A"/>
    <w:rsid w:val="79DD048C"/>
    <w:rsid w:val="7BB639E5"/>
    <w:rsid w:val="7CD77328"/>
    <w:rsid w:val="7DE44A0D"/>
    <w:rsid w:val="7F055799"/>
    <w:rsid w:val="7F3124E8"/>
    <w:rsid w:val="7FE2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qFormat="1" w:unhideWhenUsed="0" w:uiPriority="0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42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autoRedefine/>
    <w:semiHidden/>
    <w:qFormat/>
    <w:uiPriority w:val="0"/>
    <w:pPr>
      <w:ind w:left="1050"/>
      <w:jc w:val="left"/>
    </w:pPr>
  </w:style>
  <w:style w:type="paragraph" w:styleId="6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7">
    <w:name w:val="Document Map"/>
    <w:basedOn w:val="1"/>
    <w:link w:val="93"/>
    <w:autoRedefine/>
    <w:semiHidden/>
    <w:qFormat/>
    <w:uiPriority w:val="0"/>
    <w:pPr>
      <w:shd w:val="clear" w:color="auto" w:fill="000080"/>
    </w:pPr>
  </w:style>
  <w:style w:type="paragraph" w:styleId="8">
    <w:name w:val="annotation text"/>
    <w:basedOn w:val="1"/>
    <w:link w:val="49"/>
    <w:autoRedefine/>
    <w:qFormat/>
    <w:uiPriority w:val="0"/>
    <w:pPr>
      <w:jc w:val="left"/>
    </w:pPr>
  </w:style>
  <w:style w:type="paragraph" w:styleId="9">
    <w:name w:val="Body Text"/>
    <w:basedOn w:val="1"/>
    <w:link w:val="89"/>
    <w:autoRedefine/>
    <w:unhideWhenUsed/>
    <w:qFormat/>
    <w:uiPriority w:val="0"/>
    <w:pPr>
      <w:spacing w:after="120"/>
    </w:pPr>
    <w:rPr>
      <w:sz w:val="24"/>
      <w:szCs w:val="21"/>
    </w:rPr>
  </w:style>
  <w:style w:type="paragraph" w:styleId="10">
    <w:name w:val="Body Text Indent"/>
    <w:basedOn w:val="1"/>
    <w:link w:val="47"/>
    <w:autoRedefine/>
    <w:qFormat/>
    <w:uiPriority w:val="0"/>
    <w:pPr>
      <w:spacing w:after="120"/>
      <w:ind w:left="420" w:leftChars="200"/>
    </w:pPr>
  </w:style>
  <w:style w:type="paragraph" w:styleId="11">
    <w:name w:val="toc 5"/>
    <w:basedOn w:val="1"/>
    <w:next w:val="1"/>
    <w:autoRedefine/>
    <w:semiHidden/>
    <w:qFormat/>
    <w:uiPriority w:val="0"/>
    <w:pPr>
      <w:ind w:left="630"/>
      <w:jc w:val="left"/>
    </w:pPr>
  </w:style>
  <w:style w:type="paragraph" w:styleId="12">
    <w:name w:val="toc 3"/>
    <w:basedOn w:val="1"/>
    <w:next w:val="1"/>
    <w:autoRedefine/>
    <w:qFormat/>
    <w:uiPriority w:val="0"/>
    <w:pPr>
      <w:tabs>
        <w:tab w:val="right" w:leader="dot" w:pos="9345"/>
      </w:tabs>
      <w:spacing w:line="440" w:lineRule="exact"/>
      <w:ind w:left="210" w:leftChars="100"/>
      <w:jc w:val="left"/>
    </w:pPr>
    <w:rPr>
      <w:rFonts w:ascii="宋体" w:hAnsi="宋体"/>
      <w:color w:val="FF0000"/>
      <w:sz w:val="24"/>
    </w:rPr>
  </w:style>
  <w:style w:type="paragraph" w:styleId="13">
    <w:name w:val="toc 8"/>
    <w:basedOn w:val="1"/>
    <w:next w:val="1"/>
    <w:autoRedefine/>
    <w:semiHidden/>
    <w:qFormat/>
    <w:uiPriority w:val="0"/>
    <w:pPr>
      <w:ind w:left="1260"/>
      <w:jc w:val="left"/>
    </w:pPr>
  </w:style>
  <w:style w:type="paragraph" w:styleId="14">
    <w:name w:val="Date"/>
    <w:basedOn w:val="1"/>
    <w:next w:val="1"/>
    <w:link w:val="88"/>
    <w:autoRedefine/>
    <w:unhideWhenUsed/>
    <w:qFormat/>
    <w:uiPriority w:val="0"/>
    <w:pPr>
      <w:ind w:left="100" w:leftChars="2500"/>
    </w:pPr>
  </w:style>
  <w:style w:type="paragraph" w:styleId="15">
    <w:name w:val="Body Text Indent 2"/>
    <w:basedOn w:val="1"/>
    <w:autoRedefine/>
    <w:qFormat/>
    <w:uiPriority w:val="0"/>
    <w:pPr>
      <w:ind w:firstLine="600" w:firstLineChars="200"/>
      <w:jc w:val="left"/>
    </w:pPr>
    <w:rPr>
      <w:sz w:val="30"/>
      <w:szCs w:val="30"/>
    </w:rPr>
  </w:style>
  <w:style w:type="paragraph" w:styleId="16">
    <w:name w:val="Balloon Text"/>
    <w:basedOn w:val="1"/>
    <w:link w:val="46"/>
    <w:autoRedefine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17">
    <w:name w:val="footer"/>
    <w:basedOn w:val="1"/>
    <w:link w:val="3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3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next w:val="1"/>
    <w:autoRedefine/>
    <w:qFormat/>
    <w:uiPriority w:val="0"/>
    <w:pPr>
      <w:widowControl w:val="0"/>
      <w:tabs>
        <w:tab w:val="right" w:leader="dot" w:pos="9345"/>
      </w:tabs>
      <w:spacing w:before="360"/>
    </w:pPr>
    <w:rPr>
      <w:rFonts w:ascii="Arial" w:hAnsi="Arial" w:eastAsia="宋体" w:cs="Times New Roman"/>
      <w:bCs/>
      <w:caps/>
      <w:kern w:val="2"/>
      <w:sz w:val="21"/>
      <w:szCs w:val="21"/>
      <w:lang w:val="en-US" w:eastAsia="zh-CN" w:bidi="ar-SA"/>
    </w:rPr>
  </w:style>
  <w:style w:type="paragraph" w:styleId="20">
    <w:name w:val="toc 4"/>
    <w:basedOn w:val="12"/>
    <w:next w:val="1"/>
    <w:autoRedefine/>
    <w:semiHidden/>
    <w:qFormat/>
    <w:uiPriority w:val="0"/>
    <w:pPr>
      <w:ind w:left="420"/>
    </w:pPr>
  </w:style>
  <w:style w:type="paragraph" w:styleId="21">
    <w:name w:val="footnote text"/>
    <w:basedOn w:val="1"/>
    <w:link w:val="44"/>
    <w:autoRedefine/>
    <w:qFormat/>
    <w:uiPriority w:val="0"/>
    <w:pPr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22">
    <w:name w:val="toc 6"/>
    <w:basedOn w:val="1"/>
    <w:next w:val="1"/>
    <w:autoRedefine/>
    <w:semiHidden/>
    <w:qFormat/>
    <w:uiPriority w:val="0"/>
    <w:pPr>
      <w:ind w:left="840"/>
      <w:jc w:val="left"/>
    </w:pPr>
  </w:style>
  <w:style w:type="paragraph" w:styleId="23">
    <w:name w:val="table of figures"/>
    <w:basedOn w:val="1"/>
    <w:next w:val="1"/>
    <w:autoRedefine/>
    <w:semiHidden/>
    <w:qFormat/>
    <w:uiPriority w:val="0"/>
    <w:pPr>
      <w:ind w:left="200" w:leftChars="200" w:hanging="200" w:hangingChars="200"/>
    </w:pPr>
  </w:style>
  <w:style w:type="paragraph" w:styleId="24">
    <w:name w:val="toc 2"/>
    <w:basedOn w:val="1"/>
    <w:next w:val="1"/>
    <w:autoRedefine/>
    <w:qFormat/>
    <w:uiPriority w:val="0"/>
    <w:pPr>
      <w:tabs>
        <w:tab w:val="right" w:leader="dot" w:pos="9345"/>
      </w:tabs>
      <w:adjustRightInd w:val="0"/>
      <w:snapToGrid w:val="0"/>
      <w:spacing w:line="440" w:lineRule="exact"/>
      <w:jc w:val="center"/>
    </w:pPr>
    <w:rPr>
      <w:rFonts w:hAnsi="宋体"/>
      <w:bCs/>
    </w:rPr>
  </w:style>
  <w:style w:type="paragraph" w:styleId="25">
    <w:name w:val="toc 9"/>
    <w:basedOn w:val="1"/>
    <w:next w:val="1"/>
    <w:autoRedefine/>
    <w:semiHidden/>
    <w:qFormat/>
    <w:uiPriority w:val="0"/>
    <w:pPr>
      <w:ind w:left="1470"/>
      <w:jc w:val="left"/>
    </w:pPr>
  </w:style>
  <w:style w:type="paragraph" w:styleId="26">
    <w:name w:val="Normal (Web)"/>
    <w:basedOn w:val="1"/>
    <w:autoRedefine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7">
    <w:name w:val="Title"/>
    <w:basedOn w:val="1"/>
    <w:next w:val="1"/>
    <w:link w:val="43"/>
    <w:autoRedefine/>
    <w:qFormat/>
    <w:uiPriority w:val="0"/>
    <w:pPr>
      <w:spacing w:before="240" w:after="60"/>
      <w:jc w:val="center"/>
    </w:pPr>
    <w:rPr>
      <w:rFonts w:ascii="Cambria" w:hAnsi="Cambria" w:eastAsiaTheme="minorEastAsia"/>
      <w:sz w:val="32"/>
      <w:szCs w:val="32"/>
    </w:rPr>
  </w:style>
  <w:style w:type="paragraph" w:styleId="28">
    <w:name w:val="annotation subject"/>
    <w:basedOn w:val="8"/>
    <w:next w:val="8"/>
    <w:link w:val="94"/>
    <w:autoRedefine/>
    <w:semiHidden/>
    <w:qFormat/>
    <w:uiPriority w:val="0"/>
    <w:rPr>
      <w:b/>
      <w:bCs/>
    </w:rPr>
  </w:style>
  <w:style w:type="table" w:styleId="30">
    <w:name w:val="Table Grid"/>
    <w:basedOn w:val="29"/>
    <w:autoRedefine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autoRedefine/>
    <w:qFormat/>
    <w:uiPriority w:val="22"/>
    <w:rPr>
      <w:b/>
      <w:bCs/>
    </w:rPr>
  </w:style>
  <w:style w:type="character" w:styleId="33">
    <w:name w:val="page number"/>
    <w:autoRedefine/>
    <w:qFormat/>
    <w:uiPriority w:val="0"/>
    <w:rPr>
      <w:rFonts w:ascii="Times New Roman" w:hAnsi="Times New Roman" w:eastAsia="宋体"/>
      <w:sz w:val="18"/>
    </w:rPr>
  </w:style>
  <w:style w:type="character" w:styleId="34">
    <w:name w:val="FollowedHyperlink"/>
    <w:basedOn w:val="31"/>
    <w:autoRedefine/>
    <w:qFormat/>
    <w:uiPriority w:val="0"/>
    <w:rPr>
      <w:color w:val="800080"/>
      <w:u w:val="single"/>
    </w:rPr>
  </w:style>
  <w:style w:type="character" w:styleId="35">
    <w:name w:val="Hyperlink"/>
    <w:autoRedefine/>
    <w:qFormat/>
    <w:uiPriority w:val="0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36">
    <w:name w:val="annotation reference"/>
    <w:basedOn w:val="31"/>
    <w:autoRedefine/>
    <w:semiHidden/>
    <w:qFormat/>
    <w:uiPriority w:val="0"/>
    <w:rPr>
      <w:sz w:val="21"/>
      <w:szCs w:val="21"/>
    </w:rPr>
  </w:style>
  <w:style w:type="character" w:styleId="37">
    <w:name w:val="footnote reference"/>
    <w:autoRedefine/>
    <w:qFormat/>
    <w:uiPriority w:val="0"/>
    <w:rPr>
      <w:vertAlign w:val="superscript"/>
    </w:rPr>
  </w:style>
  <w:style w:type="character" w:customStyle="1" w:styleId="38">
    <w:name w:val="页眉 Char"/>
    <w:basedOn w:val="31"/>
    <w:link w:val="18"/>
    <w:autoRedefine/>
    <w:qFormat/>
    <w:uiPriority w:val="99"/>
    <w:rPr>
      <w:sz w:val="18"/>
      <w:szCs w:val="18"/>
    </w:rPr>
  </w:style>
  <w:style w:type="character" w:customStyle="1" w:styleId="39">
    <w:name w:val="页脚 Char"/>
    <w:basedOn w:val="31"/>
    <w:link w:val="17"/>
    <w:autoRedefine/>
    <w:qFormat/>
    <w:uiPriority w:val="99"/>
    <w:rPr>
      <w:sz w:val="18"/>
      <w:szCs w:val="18"/>
    </w:rPr>
  </w:style>
  <w:style w:type="character" w:customStyle="1" w:styleId="40">
    <w:name w:val="标题 1 Char"/>
    <w:basedOn w:val="31"/>
    <w:link w:val="2"/>
    <w:autoRedefine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41">
    <w:name w:val="标题 2 Char"/>
    <w:basedOn w:val="31"/>
    <w:link w:val="3"/>
    <w:autoRedefine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42">
    <w:name w:val="标题 3 Char"/>
    <w:basedOn w:val="31"/>
    <w:link w:val="4"/>
    <w:autoRedefine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43">
    <w:name w:val="标题 Char"/>
    <w:link w:val="27"/>
    <w:autoRedefine/>
    <w:qFormat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44">
    <w:name w:val="脚注文本 Char"/>
    <w:link w:val="21"/>
    <w:autoRedefine/>
    <w:qFormat/>
    <w:uiPriority w:val="0"/>
    <w:rPr>
      <w:sz w:val="18"/>
      <w:szCs w:val="18"/>
    </w:rPr>
  </w:style>
  <w:style w:type="character" w:customStyle="1" w:styleId="45">
    <w:name w:val="未处理的提及"/>
    <w:autoRedefine/>
    <w:unhideWhenUsed/>
    <w:qFormat/>
    <w:uiPriority w:val="99"/>
    <w:rPr>
      <w:color w:val="605E5C"/>
      <w:shd w:val="clear" w:color="auto" w:fill="E1DFDD"/>
    </w:rPr>
  </w:style>
  <w:style w:type="character" w:customStyle="1" w:styleId="46">
    <w:name w:val="批注框文本 Char"/>
    <w:link w:val="16"/>
    <w:autoRedefine/>
    <w:qFormat/>
    <w:uiPriority w:val="0"/>
    <w:rPr>
      <w:sz w:val="18"/>
      <w:szCs w:val="18"/>
    </w:rPr>
  </w:style>
  <w:style w:type="character" w:customStyle="1" w:styleId="47">
    <w:name w:val="正文文本缩进 Char"/>
    <w:basedOn w:val="31"/>
    <w:link w:val="10"/>
    <w:autoRedefine/>
    <w:qFormat/>
    <w:uiPriority w:val="0"/>
    <w:rPr>
      <w:rFonts w:ascii="Calibri" w:hAnsi="Calibri" w:eastAsia="宋体" w:cs="Times New Roman"/>
      <w:szCs w:val="24"/>
    </w:rPr>
  </w:style>
  <w:style w:type="paragraph" w:customStyle="1" w:styleId="48">
    <w:name w:val="前言、引言标题"/>
    <w:next w:val="1"/>
    <w:autoRedefine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Calibri" w:eastAsia="黑体" w:cs="Times New Roman"/>
      <w:sz w:val="32"/>
      <w:lang w:val="en-US" w:eastAsia="zh-CN" w:bidi="ar-SA"/>
    </w:rPr>
  </w:style>
  <w:style w:type="character" w:customStyle="1" w:styleId="49">
    <w:name w:val="批注文字 Char"/>
    <w:basedOn w:val="31"/>
    <w:link w:val="8"/>
    <w:autoRedefine/>
    <w:qFormat/>
    <w:uiPriority w:val="0"/>
    <w:rPr>
      <w:rFonts w:ascii="Calibri" w:hAnsi="Calibri" w:eastAsia="宋体" w:cs="Times New Roman"/>
      <w:szCs w:val="24"/>
    </w:rPr>
  </w:style>
  <w:style w:type="paragraph" w:customStyle="1" w:styleId="50">
    <w:name w:val="封面标准名称"/>
    <w:autoRedefine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Calibri" w:eastAsia="黑体" w:cs="Times New Roman"/>
      <w:sz w:val="52"/>
      <w:lang w:val="en-US" w:eastAsia="zh-CN" w:bidi="ar-SA"/>
    </w:rPr>
  </w:style>
  <w:style w:type="paragraph" w:customStyle="1" w:styleId="51">
    <w:name w:val="三级条标题"/>
    <w:basedOn w:val="52"/>
    <w:next w:val="55"/>
    <w:autoRedefine/>
    <w:qFormat/>
    <w:uiPriority w:val="0"/>
    <w:pPr>
      <w:outlineLvl w:val="4"/>
    </w:pPr>
  </w:style>
  <w:style w:type="paragraph" w:customStyle="1" w:styleId="52">
    <w:name w:val="二级条标题"/>
    <w:basedOn w:val="53"/>
    <w:next w:val="55"/>
    <w:autoRedefine/>
    <w:qFormat/>
    <w:uiPriority w:val="0"/>
    <w:pPr>
      <w:outlineLvl w:val="3"/>
    </w:pPr>
  </w:style>
  <w:style w:type="paragraph" w:customStyle="1" w:styleId="53">
    <w:name w:val="一级条标题"/>
    <w:basedOn w:val="54"/>
    <w:next w:val="55"/>
    <w:autoRedefine/>
    <w:qFormat/>
    <w:uiPriority w:val="0"/>
    <w:pPr>
      <w:spacing w:before="0" w:beforeLines="0" w:after="0" w:afterLines="0"/>
      <w:ind w:left="512" w:firstLine="0"/>
      <w:outlineLvl w:val="2"/>
    </w:pPr>
  </w:style>
  <w:style w:type="paragraph" w:customStyle="1" w:styleId="54">
    <w:name w:val="章标题"/>
    <w:next w:val="55"/>
    <w:autoRedefine/>
    <w:qFormat/>
    <w:uiPriority w:val="0"/>
    <w:pPr>
      <w:spacing w:before="50" w:beforeLines="50" w:after="50" w:afterLines="50"/>
      <w:ind w:left="270" w:hanging="270"/>
      <w:jc w:val="both"/>
      <w:outlineLvl w:val="1"/>
    </w:pPr>
    <w:rPr>
      <w:rFonts w:ascii="黑体" w:hAnsi="Calibri" w:eastAsia="黑体" w:cs="Times New Roman"/>
      <w:sz w:val="21"/>
      <w:lang w:val="en-US" w:eastAsia="zh-CN" w:bidi="ar-SA"/>
    </w:rPr>
  </w:style>
  <w:style w:type="paragraph" w:customStyle="1" w:styleId="55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character" w:customStyle="1" w:styleId="56">
    <w:name w:val="批注框文本 Char1"/>
    <w:basedOn w:val="31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7">
    <w:name w:val="脚注文本 Char1"/>
    <w:basedOn w:val="31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8">
    <w:name w:val="标题 Char1"/>
    <w:basedOn w:val="31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59">
    <w:name w:val="默认段落字体 Para Char Char Char Char Char Char Char Char Char Char"/>
    <w:basedOn w:val="1"/>
    <w:autoRedefine/>
    <w:qFormat/>
    <w:uiPriority w:val="0"/>
  </w:style>
  <w:style w:type="paragraph" w:customStyle="1" w:styleId="60">
    <w:name w:val="其他发布部门"/>
    <w:basedOn w:val="1"/>
    <w:autoRedefine/>
    <w:qFormat/>
    <w:uiPriority w:val="0"/>
    <w:pPr>
      <w:framePr w:w="7433" w:h="585" w:hRule="exact" w:hSpace="180" w:vSpace="180" w:wrap="around" w:vAnchor="margin" w:hAnchor="margin" w:xAlign="center" w:y="14401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paragraph" w:customStyle="1" w:styleId="61">
    <w:name w:val="封面标准英文名称"/>
    <w:autoRedefine/>
    <w:qFormat/>
    <w:uiPriority w:val="0"/>
    <w:pPr>
      <w:widowControl w:val="0"/>
      <w:spacing w:before="370" w:line="400" w:lineRule="exact"/>
      <w:jc w:val="center"/>
    </w:pPr>
    <w:rPr>
      <w:rFonts w:ascii="Calibri" w:hAnsi="Calibri" w:eastAsia="宋体" w:cs="Times New Roman"/>
      <w:sz w:val="28"/>
      <w:lang w:val="en-US" w:eastAsia="zh-CN" w:bidi="ar-SA"/>
    </w:rPr>
  </w:style>
  <w:style w:type="paragraph" w:customStyle="1" w:styleId="62">
    <w:name w:val="封面标准文稿编辑信息"/>
    <w:autoRedefine/>
    <w:qFormat/>
    <w:uiPriority w:val="0"/>
    <w:pPr>
      <w:spacing w:before="180" w:line="180" w:lineRule="exact"/>
      <w:jc w:val="center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63">
    <w:name w:val="WPSOffice手动目录 1"/>
    <w:autoRedefine/>
    <w:qFormat/>
    <w:uiPriority w:val="0"/>
    <w:rPr>
      <w:rFonts w:ascii="Calibri" w:hAnsi="Calibri" w:eastAsia="宋体" w:cs="Times New Roman"/>
      <w:lang w:val="en-US" w:eastAsia="zh-CN" w:bidi="ar-SA"/>
    </w:rPr>
  </w:style>
  <w:style w:type="paragraph" w:customStyle="1" w:styleId="64">
    <w:name w:val="发布日期"/>
    <w:autoRedefine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Calibri" w:hAnsi="Calibri" w:eastAsia="黑体" w:cs="Times New Roman"/>
      <w:sz w:val="28"/>
      <w:lang w:val="en-US" w:eastAsia="zh-CN" w:bidi="ar-SA"/>
    </w:rPr>
  </w:style>
  <w:style w:type="paragraph" w:customStyle="1" w:styleId="65">
    <w:name w:val="1"/>
    <w:basedOn w:val="1"/>
    <w:next w:val="10"/>
    <w:autoRedefine/>
    <w:qFormat/>
    <w:uiPriority w:val="0"/>
    <w:pPr>
      <w:adjustRightInd w:val="0"/>
      <w:spacing w:line="360" w:lineRule="auto"/>
      <w:ind w:firstLine="480" w:firstLineChars="200"/>
      <w:textAlignment w:val="baseline"/>
      <w:outlineLvl w:val="0"/>
    </w:pPr>
    <w:rPr>
      <w:kern w:val="0"/>
      <w:sz w:val="24"/>
      <w:szCs w:val="20"/>
    </w:rPr>
  </w:style>
  <w:style w:type="paragraph" w:customStyle="1" w:styleId="66">
    <w:name w:val="封面正文"/>
    <w:autoRedefine/>
    <w:qFormat/>
    <w:uiPriority w:val="0"/>
    <w:pPr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67">
    <w:name w:val="封面标准文稿类别"/>
    <w:autoRedefine/>
    <w:qFormat/>
    <w:uiPriority w:val="0"/>
    <w:pPr>
      <w:spacing w:before="440" w:line="400" w:lineRule="exact"/>
      <w:jc w:val="center"/>
    </w:pPr>
    <w:rPr>
      <w:rFonts w:ascii="宋体" w:hAnsi="Calibri" w:eastAsia="宋体" w:cs="Times New Roman"/>
      <w:sz w:val="24"/>
      <w:lang w:val="en-US" w:eastAsia="zh-CN" w:bidi="ar-SA"/>
    </w:rPr>
  </w:style>
  <w:style w:type="paragraph" w:customStyle="1" w:styleId="68">
    <w:name w:val="Char Char"/>
    <w:basedOn w:val="1"/>
    <w:autoRedefine/>
    <w:qFormat/>
    <w:uiPriority w:val="0"/>
  </w:style>
  <w:style w:type="paragraph" w:customStyle="1" w:styleId="69">
    <w:name w:val="标准标志"/>
    <w:next w:val="1"/>
    <w:autoRedefine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Calibri" w:hAnsi="Calibri" w:eastAsia="宋体" w:cs="Times New Roman"/>
      <w:b/>
      <w:w w:val="130"/>
      <w:sz w:val="96"/>
      <w:lang w:val="en-US" w:eastAsia="zh-CN" w:bidi="ar-SA"/>
    </w:rPr>
  </w:style>
  <w:style w:type="paragraph" w:customStyle="1" w:styleId="70">
    <w:name w:val="标准书眉_奇数页"/>
    <w:next w:val="1"/>
    <w:autoRedefine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71">
    <w:name w:val="五级条标题"/>
    <w:basedOn w:val="72"/>
    <w:next w:val="55"/>
    <w:autoRedefine/>
    <w:qFormat/>
    <w:uiPriority w:val="0"/>
    <w:pPr>
      <w:outlineLvl w:val="6"/>
    </w:pPr>
  </w:style>
  <w:style w:type="paragraph" w:customStyle="1" w:styleId="72">
    <w:name w:val="四级条标题"/>
    <w:basedOn w:val="51"/>
    <w:next w:val="55"/>
    <w:autoRedefine/>
    <w:qFormat/>
    <w:uiPriority w:val="0"/>
    <w:pPr>
      <w:outlineLvl w:val="5"/>
    </w:pPr>
  </w:style>
  <w:style w:type="paragraph" w:customStyle="1" w:styleId="73">
    <w:name w:val="目次、索引正文"/>
    <w:autoRedefine/>
    <w:qFormat/>
    <w:uiPriority w:val="0"/>
    <w:pPr>
      <w:spacing w:line="320" w:lineRule="exact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74">
    <w:name w:val="WPSOffice手动目录 2"/>
    <w:autoRedefine/>
    <w:qFormat/>
    <w:uiPriority w:val="0"/>
    <w:pPr>
      <w:ind w:left="200" w:leftChars="200"/>
    </w:pPr>
    <w:rPr>
      <w:rFonts w:ascii="Calibri" w:hAnsi="Calibri" w:eastAsia="宋体" w:cs="Times New Roman"/>
      <w:lang w:val="en-US" w:eastAsia="zh-CN" w:bidi="ar-SA"/>
    </w:rPr>
  </w:style>
  <w:style w:type="paragraph" w:customStyle="1" w:styleId="75">
    <w:name w:val="封面标准号2"/>
    <w:basedOn w:val="1"/>
    <w:autoRedefine/>
    <w:qFormat/>
    <w:uiPriority w:val="0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styleId="7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77">
    <w:name w:val="实施日期"/>
    <w:basedOn w:val="64"/>
    <w:autoRedefine/>
    <w:qFormat/>
    <w:uiPriority w:val="0"/>
    <w:pPr>
      <w:framePr w:hSpace="0" w:wrap="around" w:xAlign="right"/>
      <w:jc w:val="right"/>
    </w:pPr>
  </w:style>
  <w:style w:type="paragraph" w:customStyle="1" w:styleId="78">
    <w:name w:val="封面一致性程度标识"/>
    <w:autoRedefine/>
    <w:qFormat/>
    <w:uiPriority w:val="0"/>
    <w:pPr>
      <w:spacing w:before="440" w:line="400" w:lineRule="exact"/>
      <w:jc w:val="center"/>
    </w:pPr>
    <w:rPr>
      <w:rFonts w:ascii="宋体" w:hAnsi="Calibri" w:eastAsia="宋体" w:cs="Times New Roman"/>
      <w:sz w:val="28"/>
      <w:lang w:val="en-US" w:eastAsia="zh-CN" w:bidi="ar-SA"/>
    </w:rPr>
  </w:style>
  <w:style w:type="paragraph" w:customStyle="1" w:styleId="79">
    <w:name w:val="标准书脚_奇数页"/>
    <w:autoRedefine/>
    <w:qFormat/>
    <w:uiPriority w:val="0"/>
    <w:pPr>
      <w:spacing w:before="120"/>
      <w:jc w:val="right"/>
    </w:pPr>
    <w:rPr>
      <w:rFonts w:ascii="Calibri" w:hAnsi="Calibri" w:eastAsia="宋体" w:cs="Times New Roman"/>
      <w:sz w:val="18"/>
      <w:lang w:val="en-US" w:eastAsia="zh-CN" w:bidi="ar-SA"/>
    </w:rPr>
  </w:style>
  <w:style w:type="paragraph" w:customStyle="1" w:styleId="80">
    <w:name w:val="标准书眉一"/>
    <w:autoRedefine/>
    <w:qFormat/>
    <w:uiPriority w:val="0"/>
    <w:pPr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81">
    <w:name w:val="标准书脚_偶数页"/>
    <w:autoRedefine/>
    <w:qFormat/>
    <w:uiPriority w:val="0"/>
    <w:pPr>
      <w:spacing w:before="120"/>
    </w:pPr>
    <w:rPr>
      <w:rFonts w:ascii="Calibri" w:hAnsi="Calibri" w:eastAsia="宋体" w:cs="Times New Roman"/>
      <w:sz w:val="18"/>
      <w:lang w:val="en-US" w:eastAsia="zh-CN" w:bidi="ar-SA"/>
    </w:rPr>
  </w:style>
  <w:style w:type="paragraph" w:customStyle="1" w:styleId="82">
    <w:name w:val="Char"/>
    <w:basedOn w:val="1"/>
    <w:autoRedefine/>
    <w:qFormat/>
    <w:uiPriority w:val="0"/>
    <w:pPr>
      <w:adjustRightInd w:val="0"/>
      <w:snapToGrid w:val="0"/>
      <w:ind w:firstLine="200" w:firstLineChars="200"/>
    </w:pPr>
    <w:rPr>
      <w:rFonts w:ascii="Tahoma" w:hAnsi="Tahoma" w:eastAsia="仿宋_GB2312"/>
      <w:snapToGrid w:val="0"/>
      <w:kern w:val="0"/>
      <w:sz w:val="24"/>
      <w:szCs w:val="20"/>
    </w:rPr>
  </w:style>
  <w:style w:type="paragraph" w:customStyle="1" w:styleId="83">
    <w:name w:val="其他标准称谓"/>
    <w:autoRedefine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84">
    <w:name w:val="目次、标准名称标题"/>
    <w:basedOn w:val="48"/>
    <w:next w:val="55"/>
    <w:autoRedefine/>
    <w:qFormat/>
    <w:uiPriority w:val="0"/>
    <w:pPr>
      <w:spacing w:line="460" w:lineRule="exact"/>
    </w:pPr>
  </w:style>
  <w:style w:type="paragraph" w:customStyle="1" w:styleId="85">
    <w:name w:val="标准书眉_偶数页"/>
    <w:basedOn w:val="70"/>
    <w:next w:val="1"/>
    <w:autoRedefine/>
    <w:qFormat/>
    <w:uiPriority w:val="0"/>
    <w:pPr>
      <w:jc w:val="left"/>
    </w:pPr>
  </w:style>
  <w:style w:type="table" w:customStyle="1" w:styleId="86">
    <w:name w:val="网格型1"/>
    <w:basedOn w:val="29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7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 w:bidi="en-US"/>
    </w:rPr>
  </w:style>
  <w:style w:type="character" w:customStyle="1" w:styleId="88">
    <w:name w:val="日期 Char"/>
    <w:basedOn w:val="31"/>
    <w:link w:val="14"/>
    <w:autoRedefine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89">
    <w:name w:val="正文文本 Char"/>
    <w:basedOn w:val="31"/>
    <w:link w:val="9"/>
    <w:autoRedefine/>
    <w:qFormat/>
    <w:uiPriority w:val="0"/>
    <w:rPr>
      <w:rFonts w:ascii="Times New Roman" w:hAnsi="Times New Roman" w:eastAsia="宋体" w:cs="Times New Roman"/>
      <w:sz w:val="24"/>
      <w:szCs w:val="21"/>
    </w:rPr>
  </w:style>
  <w:style w:type="character" w:styleId="90">
    <w:name w:val="Placeholder Text"/>
    <w:basedOn w:val="31"/>
    <w:autoRedefine/>
    <w:semiHidden/>
    <w:qFormat/>
    <w:uiPriority w:val="99"/>
    <w:rPr>
      <w:color w:val="808080"/>
    </w:rPr>
  </w:style>
  <w:style w:type="table" w:customStyle="1" w:styleId="91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2">
    <w:name w:val="标题 21"/>
    <w:basedOn w:val="1"/>
    <w:autoRedefine/>
    <w:qFormat/>
    <w:uiPriority w:val="1"/>
    <w:pPr>
      <w:autoSpaceDE w:val="0"/>
      <w:autoSpaceDN w:val="0"/>
      <w:ind w:left="216"/>
      <w:jc w:val="left"/>
      <w:outlineLvl w:val="2"/>
    </w:pPr>
    <w:rPr>
      <w:rFonts w:eastAsia="Times New Roman"/>
      <w:kern w:val="0"/>
      <w:sz w:val="28"/>
      <w:szCs w:val="28"/>
      <w:lang w:eastAsia="en-US" w:bidi="en-US"/>
    </w:rPr>
  </w:style>
  <w:style w:type="character" w:customStyle="1" w:styleId="93">
    <w:name w:val="文档结构图 Char"/>
    <w:basedOn w:val="31"/>
    <w:link w:val="7"/>
    <w:autoRedefine/>
    <w:semiHidden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94">
    <w:name w:val="批注主题 Char"/>
    <w:basedOn w:val="49"/>
    <w:link w:val="28"/>
    <w:autoRedefine/>
    <w:semiHidden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paragraph" w:customStyle="1" w:styleId="95">
    <w:name w:val="dir1"/>
    <w:basedOn w:val="1"/>
    <w:autoRedefine/>
    <w:qFormat/>
    <w:uiPriority w:val="0"/>
    <w:pPr>
      <w:spacing w:line="500" w:lineRule="exact"/>
    </w:pPr>
    <w:rPr>
      <w:rFonts w:ascii="黑体" w:eastAsia="黑体"/>
      <w:b/>
      <w:color w:val="000000"/>
      <w:kern w:val="0"/>
      <w:sz w:val="24"/>
    </w:rPr>
  </w:style>
  <w:style w:type="paragraph" w:customStyle="1" w:styleId="96">
    <w:name w:val="dir2"/>
    <w:basedOn w:val="1"/>
    <w:autoRedefine/>
    <w:qFormat/>
    <w:uiPriority w:val="0"/>
    <w:pPr>
      <w:spacing w:line="500" w:lineRule="exact"/>
      <w:ind w:left="220"/>
    </w:pPr>
    <w:rPr>
      <w:rFonts w:ascii="宋体"/>
      <w:color w:val="000000"/>
      <w:spacing w:val="25"/>
      <w:kern w:val="0"/>
      <w:sz w:val="24"/>
    </w:rPr>
  </w:style>
  <w:style w:type="paragraph" w:customStyle="1" w:styleId="97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8">
    <w:name w:val="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99">
    <w:name w:val="Char2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customXml" Target="../customXml/item1.xml"/><Relationship Id="rId20" Type="http://schemas.openxmlformats.org/officeDocument/2006/relationships/image" Target="media/image3.wmf"/><Relationship Id="rId2" Type="http://schemas.openxmlformats.org/officeDocument/2006/relationships/settings" Target="settings.xml"/><Relationship Id="rId19" Type="http://schemas.openxmlformats.org/officeDocument/2006/relationships/image" Target="media/image2.emf"/><Relationship Id="rId18" Type="http://schemas.openxmlformats.org/officeDocument/2006/relationships/image" Target="media/image1.png"/><Relationship Id="rId17" Type="http://schemas.openxmlformats.org/officeDocument/2006/relationships/theme" Target="theme/theme1.xml"/><Relationship Id="rId16" Type="http://schemas.openxmlformats.org/officeDocument/2006/relationships/footer" Target="footer7.xml"/><Relationship Id="rId15" Type="http://schemas.openxmlformats.org/officeDocument/2006/relationships/footer" Target="footer6.xml"/><Relationship Id="rId14" Type="http://schemas.openxmlformats.org/officeDocument/2006/relationships/header" Target="header7.xml"/><Relationship Id="rId13" Type="http://schemas.openxmlformats.org/officeDocument/2006/relationships/footer" Target="footer5.xml"/><Relationship Id="rId12" Type="http://schemas.openxmlformats.org/officeDocument/2006/relationships/header" Target="header6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968B82-902E-4595-BE57-F709B8F85C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pc</Company>
  <Pages>14</Pages>
  <Words>1597</Words>
  <Characters>9107</Characters>
  <Lines>75</Lines>
  <Paragraphs>21</Paragraphs>
  <TotalTime>0</TotalTime>
  <ScaleCrop>false</ScaleCrop>
  <LinksUpToDate>false</LinksUpToDate>
  <CharactersWithSpaces>10683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2024-02-07T01:31:00Z</dcterms:created>
  <dc:creator>yuzeli</dc:creator>
  <cp:lastModifiedBy>喆@瑶爸</cp:lastModifiedBy>
  <cp:lastPrinted>2023-01-12T08:08:00Z</cp:lastPrinted>
  <dcterms:modified xsi:type="dcterms:W3CDTF">2024-04-16T06:45:42Z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6C37A3D3FC70456B8F5123868356BFF6</vt:lpwstr>
  </property>
</Properties>
</file>