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E6" w:rsidRDefault="003C49BC">
      <w:pPr>
        <w:spacing w:line="360" w:lineRule="auto"/>
        <w:jc w:val="center"/>
        <w:rPr>
          <w:rFonts w:ascii="黑体" w:eastAsia="黑体"/>
          <w:bCs/>
          <w:sz w:val="24"/>
        </w:rPr>
      </w:pPr>
      <w:r>
        <w:rPr>
          <w:rFonts w:ascii="黑体" w:eastAsia="黑体"/>
          <w:bCs/>
          <w:sz w:val="24"/>
        </w:rPr>
        <w:t>JJF</w:t>
      </w:r>
      <w:r>
        <w:rPr>
          <w:rFonts w:ascii="黑体" w:eastAsia="黑体" w:hint="eastAsia"/>
          <w:bCs/>
          <w:sz w:val="24"/>
        </w:rPr>
        <w:t>（有色金属）01</w:t>
      </w:r>
      <w:r w:rsidR="00436722">
        <w:rPr>
          <w:rFonts w:ascii="黑体" w:eastAsia="黑体" w:hint="eastAsia"/>
          <w:bCs/>
          <w:sz w:val="24"/>
        </w:rPr>
        <w:t>9</w:t>
      </w:r>
      <w:r>
        <w:rPr>
          <w:rFonts w:ascii="黑体" w:eastAsia="黑体" w:hint="eastAsia"/>
          <w:bCs/>
          <w:sz w:val="24"/>
        </w:rPr>
        <w:t>-202</w:t>
      </w:r>
      <w:r w:rsidR="00436722">
        <w:rPr>
          <w:rFonts w:ascii="黑体" w:eastAsia="黑体" w:hint="eastAsia"/>
          <w:bCs/>
          <w:sz w:val="24"/>
        </w:rPr>
        <w:t>3</w:t>
      </w:r>
      <w:r>
        <w:rPr>
          <w:rFonts w:ascii="黑体" w:eastAsia="黑体" w:hint="eastAsia"/>
          <w:bCs/>
          <w:sz w:val="24"/>
        </w:rPr>
        <w:t>《</w:t>
      </w:r>
      <w:r w:rsidR="00436722">
        <w:rPr>
          <w:rFonts w:ascii="黑体" w:eastAsia="黑体" w:hint="eastAsia"/>
          <w:bCs/>
          <w:sz w:val="24"/>
        </w:rPr>
        <w:t>烷基汞分析仪</w:t>
      </w:r>
      <w:bookmarkStart w:id="0" w:name="_GoBack"/>
      <w:bookmarkEnd w:id="0"/>
      <w:r>
        <w:rPr>
          <w:rFonts w:ascii="黑体" w:eastAsia="黑体" w:hint="eastAsia"/>
          <w:bCs/>
          <w:sz w:val="24"/>
        </w:rPr>
        <w:t>校准规范》</w:t>
      </w:r>
    </w:p>
    <w:p w:rsidR="006525E6" w:rsidRDefault="003C49BC">
      <w:pPr>
        <w:spacing w:line="360" w:lineRule="auto"/>
        <w:jc w:val="center"/>
        <w:rPr>
          <w:rFonts w:ascii="黑体" w:eastAsia="黑体"/>
          <w:bCs/>
          <w:sz w:val="24"/>
        </w:rPr>
      </w:pPr>
      <w:r>
        <w:rPr>
          <w:rFonts w:ascii="黑体" w:eastAsia="黑体" w:hint="eastAsia"/>
          <w:bCs/>
          <w:sz w:val="24"/>
        </w:rPr>
        <w:t>行业计量技术规范编制说明</w:t>
      </w:r>
    </w:p>
    <w:p w:rsidR="006525E6" w:rsidRDefault="003C49BC">
      <w:pPr>
        <w:spacing w:line="360" w:lineRule="auto"/>
        <w:rPr>
          <w:rFonts w:ascii="黑体" w:eastAsia="黑体" w:hAnsi="宋体"/>
          <w:bCs/>
          <w:szCs w:val="21"/>
        </w:rPr>
      </w:pPr>
      <w:r>
        <w:rPr>
          <w:rFonts w:ascii="黑体" w:eastAsia="黑体" w:hAnsi="宋体" w:hint="eastAsia"/>
          <w:bCs/>
          <w:szCs w:val="21"/>
        </w:rPr>
        <w:t>一、工作简况</w:t>
      </w:r>
    </w:p>
    <w:p w:rsidR="006525E6" w:rsidRDefault="003C49BC">
      <w:pPr>
        <w:spacing w:line="360" w:lineRule="auto"/>
        <w:rPr>
          <w:rFonts w:hAnsi="宋体"/>
          <w:bCs/>
          <w:szCs w:val="21"/>
        </w:rPr>
      </w:pPr>
      <w:r>
        <w:rPr>
          <w:rFonts w:ascii="黑体" w:eastAsia="黑体"/>
          <w:bCs/>
          <w:szCs w:val="21"/>
        </w:rPr>
        <w:t>1</w:t>
      </w:r>
      <w:r>
        <w:rPr>
          <w:rFonts w:ascii="黑体" w:eastAsia="黑体" w:hint="eastAsia"/>
          <w:bCs/>
          <w:szCs w:val="21"/>
        </w:rPr>
        <w:t>.1</w:t>
      </w:r>
      <w:r>
        <w:rPr>
          <w:rFonts w:ascii="黑体" w:eastAsia="黑体" w:hAnsi="宋体" w:hint="eastAsia"/>
          <w:bCs/>
          <w:szCs w:val="21"/>
        </w:rPr>
        <w:t>立项目的</w:t>
      </w:r>
    </w:p>
    <w:p w:rsidR="003E1E2F" w:rsidRDefault="003E1E2F" w:rsidP="003E1E2F">
      <w:pPr>
        <w:spacing w:line="360" w:lineRule="auto"/>
        <w:ind w:firstLineChars="200" w:firstLine="420"/>
      </w:pPr>
      <w:r>
        <w:t>汞是一种剧毒易致癌物质，在自然界主要以无机汞、有机汞、元素汞三种化学形态存在，无机汞在迁移转化过程中通过生物作用生成相应的烷基汞。甲基汞化合物具有致癌性，且乙基汞化合物具有强毒性，广泛存在于大气环境、水环境及土壤环境中。</w:t>
      </w:r>
    </w:p>
    <w:p w:rsidR="003E1E2F" w:rsidRDefault="003E1E2F" w:rsidP="003E1E2F">
      <w:pPr>
        <w:spacing w:line="360" w:lineRule="auto"/>
        <w:ind w:firstLineChars="200" w:firstLine="420"/>
      </w:pPr>
      <w:r>
        <w:t>目前，国家生态环境部发布水质烷基</w:t>
      </w:r>
      <w:proofErr w:type="gramStart"/>
      <w:r>
        <w:t>汞分析</w:t>
      </w:r>
      <w:proofErr w:type="gramEnd"/>
      <w:r>
        <w:t>新标准</w:t>
      </w:r>
      <w:r>
        <w:t>——</w:t>
      </w:r>
      <w:r>
        <w:t>《水质</w:t>
      </w:r>
      <w:r>
        <w:t xml:space="preserve"> </w:t>
      </w:r>
      <w:r>
        <w:t>烷基汞的测定</w:t>
      </w:r>
      <w:r>
        <w:t xml:space="preserve"> </w:t>
      </w:r>
      <w:r>
        <w:t>吹扫捕集</w:t>
      </w:r>
      <w:r>
        <w:t>/</w:t>
      </w:r>
      <w:r>
        <w:t>气相色谱</w:t>
      </w:r>
      <w:r>
        <w:t>-</w:t>
      </w:r>
      <w:r>
        <w:t>冷原子荧光光谱法》（</w:t>
      </w:r>
      <w:r>
        <w:t>HJ 977-2018</w:t>
      </w:r>
      <w:r>
        <w:t>）普遍被环保、污水处理厂、海关等机构采用，在此背景下，烷基</w:t>
      </w:r>
      <w:proofErr w:type="gramStart"/>
      <w:r>
        <w:t>汞分析</w:t>
      </w:r>
      <w:proofErr w:type="gramEnd"/>
      <w:r>
        <w:t>仪也成为了检测实验室的首选。</w:t>
      </w:r>
    </w:p>
    <w:p w:rsidR="003E1E2F" w:rsidRDefault="003E1E2F" w:rsidP="003E1E2F">
      <w:pPr>
        <w:spacing w:line="360" w:lineRule="auto"/>
        <w:ind w:firstLineChars="200" w:firstLine="420"/>
      </w:pPr>
      <w:r>
        <w:t>烷基</w:t>
      </w:r>
      <w:proofErr w:type="gramStart"/>
      <w:r>
        <w:t>汞分析</w:t>
      </w:r>
      <w:proofErr w:type="gramEnd"/>
      <w:r>
        <w:t>仪是将液体中的烷基</w:t>
      </w:r>
      <w:proofErr w:type="gramStart"/>
      <w:r>
        <w:t>汞进行</w:t>
      </w:r>
      <w:proofErr w:type="gramEnd"/>
      <w:r>
        <w:t>吹扫并通过捕集</w:t>
      </w:r>
      <w:proofErr w:type="gramStart"/>
      <w:r>
        <w:t>阱</w:t>
      </w:r>
      <w:proofErr w:type="gramEnd"/>
      <w:r>
        <w:t>富集，然后对捕集</w:t>
      </w:r>
      <w:proofErr w:type="gramStart"/>
      <w:r>
        <w:t>阱</w:t>
      </w:r>
      <w:proofErr w:type="gramEnd"/>
      <w:r>
        <w:t>进行快速加热，</w:t>
      </w:r>
      <w:proofErr w:type="gramStart"/>
      <w:r>
        <w:t>烷基汞被解析</w:t>
      </w:r>
      <w:proofErr w:type="gramEnd"/>
      <w:r>
        <w:t>随载气进入气相色谱进行分离和高温裂解还原，后通过冷原子荧光检测器，检测烷基汞的含量。近几年，采购烷基汞仪器台数大幅增长，随着其他相关标准的陆续实施，烷基汞的检测分析仪器市场迎来更多的需求</w:t>
      </w:r>
      <w:r>
        <w:rPr>
          <w:rFonts w:hint="eastAsia"/>
        </w:rPr>
        <w:t>。</w:t>
      </w:r>
    </w:p>
    <w:p w:rsidR="003E1E2F" w:rsidRDefault="003E1E2F" w:rsidP="003E1E2F">
      <w:pPr>
        <w:spacing w:line="360" w:lineRule="auto"/>
        <w:ind w:firstLineChars="200" w:firstLine="420"/>
      </w:pPr>
      <w:r>
        <w:t>国内针对烷基</w:t>
      </w:r>
      <w:proofErr w:type="gramStart"/>
      <w:r>
        <w:t>汞分析</w:t>
      </w:r>
      <w:proofErr w:type="gramEnd"/>
      <w:r>
        <w:t>仪的计量标准却仍处于空白状态，缺少相应的国家或行业烷基</w:t>
      </w:r>
      <w:proofErr w:type="gramStart"/>
      <w:r>
        <w:t>汞分析</w:t>
      </w:r>
      <w:proofErr w:type="gramEnd"/>
      <w:r>
        <w:t>仪计量检定规程、规范及标准，仅北京、贵州发布了相应的地方校准规范，</w:t>
      </w:r>
      <w:r>
        <w:rPr>
          <w:rFonts w:hint="eastAsia"/>
        </w:rPr>
        <w:t>其中计量特性不完全适应相应检测标准，并且地方校准规范受制于地方限制，</w:t>
      </w:r>
      <w:r>
        <w:t>不</w:t>
      </w:r>
      <w:r>
        <w:rPr>
          <w:rFonts w:hint="eastAsia"/>
        </w:rPr>
        <w:t>能普遍</w:t>
      </w:r>
      <w:r>
        <w:t>适用于有色金属检测行业。</w:t>
      </w:r>
      <w:r>
        <w:rPr>
          <w:rFonts w:hint="eastAsia"/>
        </w:rPr>
        <w:t>其余地方</w:t>
      </w:r>
      <w:r>
        <w:t>只能参照</w:t>
      </w:r>
      <w:r>
        <w:t>JJG 548-2018</w:t>
      </w:r>
      <w:r>
        <w:t>《测汞仪》检定规程、</w:t>
      </w:r>
      <w:r>
        <w:t xml:space="preserve">JJG 700-2016 </w:t>
      </w:r>
      <w:r>
        <w:t>《气相色谱仪》检定规程等对设备进行校准。但是，无论是仪器原理、适用范围，还是分析过程中涉及的标准物质等检测条件，烷基</w:t>
      </w:r>
      <w:proofErr w:type="gramStart"/>
      <w:r>
        <w:t>汞分析</w:t>
      </w:r>
      <w:proofErr w:type="gramEnd"/>
      <w:r>
        <w:t>仪均与上述规程具有较大差异。</w:t>
      </w:r>
    </w:p>
    <w:p w:rsidR="003E1E2F" w:rsidRPr="003E1E2F" w:rsidRDefault="003E1E2F" w:rsidP="003E1E2F">
      <w:pPr>
        <w:spacing w:line="360" w:lineRule="auto"/>
        <w:ind w:firstLineChars="200" w:firstLine="420"/>
        <w:rPr>
          <w:rFonts w:hAnsi="宋体"/>
          <w:bCs/>
          <w:szCs w:val="21"/>
        </w:rPr>
      </w:pPr>
      <w:r>
        <w:t>所提出的《烷基汞分析仪校准规范》的制定，能够满足</w:t>
      </w:r>
      <w:r>
        <w:rPr>
          <w:rFonts w:hint="eastAsia"/>
        </w:rPr>
        <w:t>有色金属产业环境检测使用的</w:t>
      </w:r>
      <w:r>
        <w:t>烷基</w:t>
      </w:r>
      <w:proofErr w:type="gramStart"/>
      <w:r>
        <w:t>汞分析</w:t>
      </w:r>
      <w:proofErr w:type="gramEnd"/>
      <w:r>
        <w:t>仪溯源需求，为环境中烷基</w:t>
      </w:r>
      <w:proofErr w:type="gramStart"/>
      <w:r>
        <w:t>汞分析</w:t>
      </w:r>
      <w:proofErr w:type="gramEnd"/>
      <w:r>
        <w:t>质量提供计量保证。</w:t>
      </w:r>
    </w:p>
    <w:p w:rsidR="006525E6" w:rsidRDefault="003C49BC">
      <w:pPr>
        <w:spacing w:line="360" w:lineRule="auto"/>
        <w:rPr>
          <w:rFonts w:ascii="黑体" w:eastAsia="黑体"/>
          <w:bCs/>
          <w:szCs w:val="21"/>
        </w:rPr>
      </w:pPr>
      <w:r>
        <w:rPr>
          <w:rFonts w:ascii="黑体" w:eastAsia="黑体"/>
          <w:bCs/>
          <w:szCs w:val="21"/>
        </w:rPr>
        <w:t>1</w:t>
      </w:r>
      <w:r>
        <w:rPr>
          <w:rFonts w:ascii="黑体" w:eastAsia="黑体" w:hint="eastAsia"/>
          <w:bCs/>
          <w:szCs w:val="21"/>
        </w:rPr>
        <w:t>.2</w:t>
      </w:r>
      <w:r>
        <w:rPr>
          <w:rFonts w:ascii="黑体" w:eastAsia="黑体" w:hAnsi="宋体" w:hint="eastAsia"/>
          <w:bCs/>
          <w:szCs w:val="21"/>
        </w:rPr>
        <w:t>任务来源</w:t>
      </w:r>
    </w:p>
    <w:p w:rsidR="006525E6" w:rsidRDefault="003C49BC">
      <w:pPr>
        <w:pStyle w:val="21"/>
        <w:spacing w:after="0" w:line="360" w:lineRule="auto"/>
        <w:ind w:firstLineChars="200" w:firstLine="420"/>
        <w:rPr>
          <w:rFonts w:hAnsi="宋体"/>
          <w:bCs/>
          <w:szCs w:val="21"/>
        </w:rPr>
      </w:pPr>
      <w:r w:rsidRPr="003E1E2F">
        <w:rPr>
          <w:rFonts w:hAnsi="宋体" w:hint="eastAsia"/>
          <w:bCs/>
          <w:szCs w:val="21"/>
        </w:rPr>
        <w:t>根据工业和信息化部《关于印发</w:t>
      </w:r>
      <w:r w:rsidRPr="003E1E2F">
        <w:rPr>
          <w:rFonts w:hAnsi="宋体" w:hint="eastAsia"/>
          <w:bCs/>
          <w:szCs w:val="21"/>
        </w:rPr>
        <w:t>2022</w:t>
      </w:r>
      <w:r w:rsidRPr="003E1E2F">
        <w:rPr>
          <w:rFonts w:hAnsi="宋体" w:hint="eastAsia"/>
          <w:bCs/>
          <w:szCs w:val="21"/>
        </w:rPr>
        <w:t>年行业计量技术规范制修订计划的通知》（工厅科［</w:t>
      </w:r>
      <w:r w:rsidRPr="003E1E2F">
        <w:rPr>
          <w:rFonts w:hAnsi="宋体" w:hint="eastAsia"/>
          <w:bCs/>
          <w:szCs w:val="21"/>
        </w:rPr>
        <w:t>202</w:t>
      </w:r>
      <w:r w:rsidR="003E1E2F">
        <w:rPr>
          <w:rFonts w:hAnsi="宋体" w:hint="eastAsia"/>
          <w:bCs/>
          <w:szCs w:val="21"/>
        </w:rPr>
        <w:t>3</w:t>
      </w:r>
      <w:r w:rsidRPr="003E1E2F">
        <w:rPr>
          <w:rFonts w:hAnsi="宋体" w:hint="eastAsia"/>
          <w:bCs/>
          <w:szCs w:val="21"/>
        </w:rPr>
        <w:t>］</w:t>
      </w:r>
      <w:r w:rsidRPr="003E1E2F">
        <w:rPr>
          <w:rFonts w:hAnsi="宋体" w:hint="eastAsia"/>
          <w:bCs/>
          <w:szCs w:val="21"/>
        </w:rPr>
        <w:t>4</w:t>
      </w:r>
      <w:r w:rsidR="003E1E2F">
        <w:rPr>
          <w:rFonts w:hAnsi="宋体" w:hint="eastAsia"/>
          <w:bCs/>
          <w:szCs w:val="21"/>
        </w:rPr>
        <w:t>76</w:t>
      </w:r>
      <w:r w:rsidRPr="003E1E2F">
        <w:rPr>
          <w:rFonts w:hAnsi="宋体" w:hint="eastAsia"/>
          <w:bCs/>
          <w:szCs w:val="21"/>
        </w:rPr>
        <w:t>号）文的要求，行业计量技术规范《</w:t>
      </w:r>
      <w:r w:rsidR="00436722">
        <w:rPr>
          <w:rFonts w:hAnsi="宋体" w:hint="eastAsia"/>
          <w:bCs/>
          <w:szCs w:val="21"/>
        </w:rPr>
        <w:t>烷基汞分析仪</w:t>
      </w:r>
      <w:r w:rsidRPr="003E1E2F">
        <w:rPr>
          <w:rFonts w:hAnsi="宋体" w:hint="eastAsia"/>
          <w:bCs/>
          <w:szCs w:val="21"/>
        </w:rPr>
        <w:t>校准规范》由</w:t>
      </w:r>
      <w:r w:rsidRPr="003E1E2F">
        <w:rPr>
          <w:rFonts w:hint="eastAsia"/>
          <w:szCs w:val="21"/>
        </w:rPr>
        <w:t>西安汉唐分析检测有限公司</w:t>
      </w:r>
      <w:r w:rsidRPr="003E1E2F">
        <w:rPr>
          <w:rFonts w:hAnsi="宋体" w:hint="eastAsia"/>
          <w:bCs/>
          <w:szCs w:val="21"/>
        </w:rPr>
        <w:t>负责起草。该项目计划编号为</w:t>
      </w:r>
      <w:r w:rsidRPr="003E1E2F">
        <w:rPr>
          <w:rFonts w:hAnsi="宋体"/>
          <w:bCs/>
          <w:szCs w:val="21"/>
        </w:rPr>
        <w:t>JJF</w:t>
      </w:r>
      <w:r w:rsidRPr="003E1E2F">
        <w:rPr>
          <w:rFonts w:hAnsi="宋体" w:hint="eastAsia"/>
          <w:bCs/>
          <w:szCs w:val="21"/>
        </w:rPr>
        <w:t>（有色金属）</w:t>
      </w:r>
      <w:r w:rsidRPr="003E1E2F">
        <w:rPr>
          <w:rFonts w:hAnsi="宋体" w:hint="eastAsia"/>
          <w:bCs/>
          <w:szCs w:val="21"/>
        </w:rPr>
        <w:t>01</w:t>
      </w:r>
      <w:r w:rsidR="003E1E2F" w:rsidRPr="003E1E2F">
        <w:rPr>
          <w:rFonts w:hAnsi="宋体" w:hint="eastAsia"/>
          <w:bCs/>
          <w:szCs w:val="21"/>
        </w:rPr>
        <w:t>9</w:t>
      </w:r>
      <w:r w:rsidRPr="003E1E2F">
        <w:rPr>
          <w:rFonts w:hAnsi="宋体" w:hint="eastAsia"/>
          <w:bCs/>
          <w:szCs w:val="21"/>
        </w:rPr>
        <w:t>-2</w:t>
      </w:r>
      <w:r w:rsidRPr="003E1E2F">
        <w:rPr>
          <w:rFonts w:hAnsi="宋体"/>
          <w:bCs/>
          <w:szCs w:val="21"/>
        </w:rPr>
        <w:t>02</w:t>
      </w:r>
      <w:r w:rsidR="003E1E2F" w:rsidRPr="003E1E2F">
        <w:rPr>
          <w:rFonts w:hAnsi="宋体" w:hint="eastAsia"/>
          <w:bCs/>
          <w:szCs w:val="21"/>
        </w:rPr>
        <w:t>3</w:t>
      </w:r>
      <w:r w:rsidRPr="003E1E2F">
        <w:rPr>
          <w:rFonts w:hAnsi="宋体" w:hint="eastAsia"/>
          <w:bCs/>
          <w:szCs w:val="21"/>
        </w:rPr>
        <w:t>，按计划要求，本计量规范应于</w:t>
      </w:r>
      <w:r w:rsidRPr="003E1E2F">
        <w:rPr>
          <w:rFonts w:hAnsi="宋体"/>
          <w:bCs/>
          <w:szCs w:val="21"/>
        </w:rPr>
        <w:t>202</w:t>
      </w:r>
      <w:r w:rsidRPr="003E1E2F">
        <w:rPr>
          <w:rFonts w:hAnsi="宋体" w:hint="eastAsia"/>
          <w:bCs/>
          <w:szCs w:val="21"/>
        </w:rPr>
        <w:t>4</w:t>
      </w:r>
      <w:r w:rsidRPr="003E1E2F">
        <w:rPr>
          <w:rFonts w:hAnsi="宋体" w:hint="eastAsia"/>
          <w:bCs/>
          <w:szCs w:val="21"/>
        </w:rPr>
        <w:t>年完成。</w:t>
      </w:r>
    </w:p>
    <w:p w:rsidR="006525E6" w:rsidRDefault="003C49BC">
      <w:pPr>
        <w:pStyle w:val="21"/>
        <w:spacing w:after="0" w:line="360" w:lineRule="auto"/>
        <w:rPr>
          <w:rFonts w:ascii="黑体" w:eastAsia="黑体" w:hAnsi="宋体"/>
          <w:bCs/>
          <w:szCs w:val="21"/>
        </w:rPr>
      </w:pPr>
      <w:r>
        <w:rPr>
          <w:rFonts w:ascii="黑体" w:eastAsia="黑体" w:hAnsi="宋体"/>
          <w:bCs/>
          <w:szCs w:val="21"/>
        </w:rPr>
        <w:t>1.</w:t>
      </w:r>
      <w:r>
        <w:rPr>
          <w:rFonts w:ascii="黑体" w:eastAsia="黑体" w:hAnsi="宋体" w:hint="eastAsia"/>
          <w:bCs/>
          <w:szCs w:val="21"/>
        </w:rPr>
        <w:t>3承担单位情况</w:t>
      </w:r>
    </w:p>
    <w:p w:rsidR="006525E6" w:rsidRDefault="003C49BC">
      <w:pPr>
        <w:spacing w:line="360" w:lineRule="auto"/>
        <w:ind w:firstLineChars="200" w:firstLine="420"/>
        <w:rPr>
          <w:szCs w:val="21"/>
        </w:rPr>
      </w:pPr>
      <w:r>
        <w:rPr>
          <w:rFonts w:hint="eastAsia"/>
          <w:szCs w:val="21"/>
        </w:rPr>
        <w:t>西安汉唐分析检测有限公司是西北有色金属研究院</w:t>
      </w:r>
      <w:r>
        <w:rPr>
          <w:rFonts w:hint="eastAsia"/>
          <w:szCs w:val="21"/>
        </w:rPr>
        <w:t>(</w:t>
      </w:r>
      <w:r>
        <w:rPr>
          <w:rFonts w:hint="eastAsia"/>
          <w:szCs w:val="21"/>
        </w:rPr>
        <w:t>集团</w:t>
      </w:r>
      <w:r>
        <w:rPr>
          <w:rFonts w:hint="eastAsia"/>
          <w:szCs w:val="21"/>
        </w:rPr>
        <w:t>)</w:t>
      </w:r>
      <w:r>
        <w:rPr>
          <w:rFonts w:hint="eastAsia"/>
          <w:szCs w:val="21"/>
        </w:rPr>
        <w:t>控股子公司，属国有企业，主要从事有色产品的检测、可靠性评价、失效分析、质量评估、腐蚀性能及表面测试与表征、</w:t>
      </w:r>
      <w:r>
        <w:rPr>
          <w:rFonts w:hint="eastAsia"/>
          <w:szCs w:val="21"/>
        </w:rPr>
        <w:lastRenderedPageBreak/>
        <w:t>规范起草、检测方法的开发、标物的研制、设备的计量校准等。</w:t>
      </w:r>
    </w:p>
    <w:p w:rsidR="006525E6" w:rsidRDefault="003C49BC">
      <w:pPr>
        <w:spacing w:line="360" w:lineRule="auto"/>
        <w:ind w:firstLineChars="200" w:firstLine="420"/>
        <w:rPr>
          <w:szCs w:val="21"/>
        </w:rPr>
      </w:pPr>
      <w:r>
        <w:rPr>
          <w:rFonts w:hint="eastAsia"/>
          <w:szCs w:val="21"/>
        </w:rPr>
        <w:t>公司于</w:t>
      </w:r>
      <w:r>
        <w:rPr>
          <w:rFonts w:hint="eastAsia"/>
          <w:szCs w:val="21"/>
        </w:rPr>
        <w:t>1985</w:t>
      </w:r>
      <w:r>
        <w:rPr>
          <w:rFonts w:hint="eastAsia"/>
          <w:szCs w:val="21"/>
        </w:rPr>
        <w:t>年被陕西省质监局授权为陕西省有色金属产品质量监督检验站。</w:t>
      </w:r>
      <w:r>
        <w:rPr>
          <w:rFonts w:hint="eastAsia"/>
          <w:szCs w:val="21"/>
        </w:rPr>
        <w:t>1987</w:t>
      </w:r>
      <w:r>
        <w:rPr>
          <w:rFonts w:hint="eastAsia"/>
          <w:szCs w:val="21"/>
        </w:rPr>
        <w:t>年被中国有色金属工业总公司授权为西北质量监督检验中心，先后被国家质检总局确定为钛及钛合金、铜及铜合金管材生产许可证检验工作实施单位；公司通过</w:t>
      </w:r>
      <w:r>
        <w:rPr>
          <w:rFonts w:hint="eastAsia"/>
          <w:szCs w:val="21"/>
        </w:rPr>
        <w:t>CNAS</w:t>
      </w:r>
      <w:r>
        <w:rPr>
          <w:rFonts w:hint="eastAsia"/>
          <w:szCs w:val="21"/>
        </w:rPr>
        <w:t>、</w:t>
      </w:r>
      <w:r>
        <w:rPr>
          <w:rFonts w:hint="eastAsia"/>
          <w:szCs w:val="21"/>
        </w:rPr>
        <w:t>CMA</w:t>
      </w:r>
      <w:r>
        <w:rPr>
          <w:rFonts w:hint="eastAsia"/>
          <w:szCs w:val="21"/>
        </w:rPr>
        <w:t>、国防</w:t>
      </w:r>
      <w:proofErr w:type="spellStart"/>
      <w:r>
        <w:rPr>
          <w:rFonts w:hint="eastAsia"/>
          <w:szCs w:val="21"/>
        </w:rPr>
        <w:t>DiLAC</w:t>
      </w:r>
      <w:proofErr w:type="spellEnd"/>
      <w:r>
        <w:rPr>
          <w:rFonts w:hint="eastAsia"/>
          <w:szCs w:val="21"/>
        </w:rPr>
        <w:t>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技术装备水平国内一流、国际先进，在我省优势产业稀有金属材料领域的检测能力和水平处于领先地位；先后承担了国家、省市多项重大课题，目前已建成国内唯一的核电堆芯材料分析检测平台、多层金属复合材料测试和评价平台、钛及钛合金专业检测平台。</w:t>
      </w:r>
    </w:p>
    <w:p w:rsidR="006525E6" w:rsidRDefault="003C49BC">
      <w:pPr>
        <w:spacing w:line="360" w:lineRule="auto"/>
        <w:ind w:firstLineChars="200" w:firstLine="420"/>
        <w:rPr>
          <w:szCs w:val="21"/>
        </w:rPr>
      </w:pPr>
      <w:r>
        <w:rPr>
          <w:rFonts w:hint="eastAsia"/>
          <w:szCs w:val="21"/>
        </w:rPr>
        <w:t>近</w:t>
      </w:r>
      <w:r>
        <w:rPr>
          <w:rFonts w:hint="eastAsia"/>
          <w:szCs w:val="21"/>
        </w:rPr>
        <w:t>10</w:t>
      </w:r>
      <w:r>
        <w:rPr>
          <w:rFonts w:hint="eastAsia"/>
          <w:szCs w:val="21"/>
        </w:rPr>
        <w:t>年起草有色金属国家</w:t>
      </w:r>
      <w:r>
        <w:rPr>
          <w:rFonts w:hint="eastAsia"/>
          <w:szCs w:val="21"/>
        </w:rPr>
        <w:t>/</w:t>
      </w:r>
      <w:r>
        <w:rPr>
          <w:rFonts w:hint="eastAsia"/>
          <w:szCs w:val="21"/>
        </w:rPr>
        <w:t>行业规范共</w:t>
      </w:r>
      <w:r>
        <w:rPr>
          <w:rFonts w:hint="eastAsia"/>
          <w:szCs w:val="21"/>
        </w:rPr>
        <w:t>80</w:t>
      </w:r>
      <w:r>
        <w:rPr>
          <w:rFonts w:hint="eastAsia"/>
          <w:szCs w:val="21"/>
        </w:rPr>
        <w:t>余项、发表论文</w:t>
      </w:r>
      <w:r>
        <w:rPr>
          <w:rFonts w:hint="eastAsia"/>
          <w:szCs w:val="21"/>
        </w:rPr>
        <w:t>120</w:t>
      </w:r>
      <w:r>
        <w:rPr>
          <w:rFonts w:hint="eastAsia"/>
          <w:szCs w:val="21"/>
        </w:rPr>
        <w:t>余篇、授权专利</w:t>
      </w:r>
      <w:r>
        <w:rPr>
          <w:rFonts w:hint="eastAsia"/>
          <w:szCs w:val="21"/>
        </w:rPr>
        <w:t>30</w:t>
      </w:r>
      <w:r>
        <w:rPr>
          <w:rFonts w:hint="eastAsia"/>
          <w:szCs w:val="21"/>
        </w:rPr>
        <w:t>余项。先后荣获中国有色金属工业一等奖、二等奖</w:t>
      </w:r>
      <w:r>
        <w:rPr>
          <w:rFonts w:hint="eastAsia"/>
          <w:szCs w:val="21"/>
        </w:rPr>
        <w:t>20</w:t>
      </w:r>
      <w:r>
        <w:rPr>
          <w:rFonts w:hint="eastAsia"/>
          <w:szCs w:val="21"/>
        </w:rPr>
        <w:t>余次。</w:t>
      </w:r>
    </w:p>
    <w:p w:rsidR="006525E6" w:rsidRDefault="003C49BC">
      <w:pPr>
        <w:pStyle w:val="21"/>
        <w:spacing w:after="0" w:line="360" w:lineRule="auto"/>
        <w:rPr>
          <w:szCs w:val="21"/>
        </w:rPr>
      </w:pPr>
      <w:r>
        <w:rPr>
          <w:rFonts w:hint="eastAsia"/>
          <w:szCs w:val="21"/>
        </w:rPr>
        <w:t>本单位积极组织编制组各次工作会议，开展相关的校准，有效组织参编单位多次对规范的各版《征求意见稿》进行认真的讨论和审议，提出大量有益的意见和建议，在编制组中发挥了牵头作用。</w:t>
      </w:r>
    </w:p>
    <w:p w:rsidR="006525E6" w:rsidRDefault="003C49BC">
      <w:pPr>
        <w:pStyle w:val="21"/>
        <w:spacing w:after="0" w:line="360" w:lineRule="auto"/>
        <w:rPr>
          <w:rFonts w:ascii="黑体" w:eastAsia="黑体"/>
          <w:bCs/>
          <w:szCs w:val="21"/>
        </w:rPr>
      </w:pPr>
      <w:r>
        <w:rPr>
          <w:rFonts w:ascii="黑体" w:eastAsia="黑体"/>
          <w:bCs/>
          <w:szCs w:val="21"/>
        </w:rPr>
        <w:t>1.</w:t>
      </w:r>
      <w:r>
        <w:rPr>
          <w:rFonts w:ascii="黑体" w:eastAsia="黑体" w:hint="eastAsia"/>
          <w:bCs/>
          <w:szCs w:val="21"/>
        </w:rPr>
        <w:t>4</w:t>
      </w:r>
      <w:r>
        <w:rPr>
          <w:rFonts w:ascii="黑体" w:eastAsia="黑体" w:hAnsi="宋体" w:hint="eastAsia"/>
          <w:bCs/>
          <w:szCs w:val="21"/>
        </w:rPr>
        <w:t>主要工作过程</w:t>
      </w:r>
    </w:p>
    <w:p w:rsidR="006525E6" w:rsidRDefault="003C49BC">
      <w:pPr>
        <w:spacing w:line="360" w:lineRule="auto"/>
        <w:ind w:firstLineChars="200" w:firstLine="420"/>
        <w:rPr>
          <w:bCs/>
        </w:rPr>
      </w:pPr>
      <w:r>
        <w:rPr>
          <w:rFonts w:hint="eastAsia"/>
          <w:bCs/>
        </w:rPr>
        <w:t>西安汉唐分析检测有限公司接到有色金属行业计量技术委员会转发下达的制定任务后，成立了计量规范编制组，对计量技术规范编写工作进行了部署和分工，制定了制定原则及计划工作。本项目主要工作过程经过了以下几个阶段：</w:t>
      </w:r>
    </w:p>
    <w:p w:rsidR="006525E6" w:rsidRDefault="00D652A6">
      <w:pPr>
        <w:spacing w:line="360" w:lineRule="auto"/>
        <w:ind w:firstLineChars="100" w:firstLine="210"/>
        <w:rPr>
          <w:bCs/>
        </w:rPr>
      </w:pPr>
      <w:r>
        <w:rPr>
          <w:rFonts w:hint="eastAsia"/>
          <w:bCs/>
        </w:rPr>
        <w:t>1</w:t>
      </w:r>
      <w:r>
        <w:rPr>
          <w:rFonts w:hint="eastAsia"/>
          <w:bCs/>
        </w:rPr>
        <w:t>）</w:t>
      </w:r>
      <w:r w:rsidR="003C49BC">
        <w:rPr>
          <w:bCs/>
        </w:rPr>
        <w:t>20</w:t>
      </w:r>
      <w:r w:rsidR="003C49BC">
        <w:rPr>
          <w:rFonts w:hint="eastAsia"/>
          <w:bCs/>
        </w:rPr>
        <w:t>2</w:t>
      </w:r>
      <w:r w:rsidR="00ED0D60">
        <w:rPr>
          <w:rFonts w:hint="eastAsia"/>
          <w:bCs/>
        </w:rPr>
        <w:t>3</w:t>
      </w:r>
      <w:r w:rsidR="003C49BC">
        <w:rPr>
          <w:rFonts w:hint="eastAsia"/>
          <w:bCs/>
        </w:rPr>
        <w:t>年</w:t>
      </w:r>
      <w:r w:rsidR="003C49BC">
        <w:rPr>
          <w:rFonts w:hint="eastAsia"/>
          <w:bCs/>
        </w:rPr>
        <w:t>8</w:t>
      </w:r>
      <w:r w:rsidR="003C49BC">
        <w:rPr>
          <w:rFonts w:hint="eastAsia"/>
          <w:bCs/>
        </w:rPr>
        <w:t>月成立了计量规范编制组，明确了编制组成员各自的工作内容和任务。</w:t>
      </w:r>
    </w:p>
    <w:p w:rsidR="006525E6" w:rsidRDefault="003C49BC" w:rsidP="00D404FF">
      <w:pPr>
        <w:spacing w:line="276" w:lineRule="auto"/>
        <w:rPr>
          <w:rFonts w:ascii="黑体" w:eastAsia="黑体"/>
          <w:bCs/>
          <w:color w:val="FF0000"/>
          <w:szCs w:val="21"/>
        </w:rPr>
      </w:pPr>
      <w:r>
        <w:rPr>
          <w:rFonts w:hint="eastAsia"/>
          <w:bCs/>
          <w:color w:val="000000"/>
          <w:szCs w:val="21"/>
        </w:rPr>
        <w:t>二、</w:t>
      </w:r>
      <w:r>
        <w:rPr>
          <w:rFonts w:ascii="黑体" w:eastAsia="黑体" w:hAnsi="宋体" w:hint="eastAsia"/>
          <w:bCs/>
          <w:szCs w:val="21"/>
        </w:rPr>
        <w:t>编制原则和依据</w:t>
      </w:r>
    </w:p>
    <w:p w:rsidR="006525E6" w:rsidRDefault="00D652A6" w:rsidP="00D404FF">
      <w:pPr>
        <w:pStyle w:val="21"/>
        <w:spacing w:after="0" w:line="276" w:lineRule="auto"/>
        <w:rPr>
          <w:rFonts w:ascii="黑体" w:eastAsia="黑体"/>
          <w:bCs/>
          <w:szCs w:val="21"/>
        </w:rPr>
      </w:pPr>
      <w:r>
        <w:rPr>
          <w:rFonts w:ascii="黑体" w:eastAsia="黑体" w:hint="eastAsia"/>
          <w:bCs/>
          <w:szCs w:val="21"/>
        </w:rPr>
        <w:t xml:space="preserve">1 </w:t>
      </w:r>
      <w:r w:rsidR="003C49BC">
        <w:rPr>
          <w:rFonts w:ascii="黑体" w:eastAsia="黑体" w:hAnsi="宋体" w:hint="eastAsia"/>
          <w:bCs/>
          <w:szCs w:val="21"/>
        </w:rPr>
        <w:t>规范编制原则</w:t>
      </w:r>
    </w:p>
    <w:p w:rsidR="006525E6" w:rsidRDefault="00D652A6" w:rsidP="00D404FF">
      <w:pPr>
        <w:pStyle w:val="af5"/>
        <w:spacing w:line="360" w:lineRule="auto"/>
        <w:ind w:firstLineChars="100" w:firstLine="210"/>
        <w:rPr>
          <w:rFonts w:ascii="Times New Roman"/>
          <w:kern w:val="2"/>
          <w:szCs w:val="21"/>
        </w:rPr>
      </w:pPr>
      <w:r>
        <w:rPr>
          <w:rFonts w:ascii="Times New Roman" w:hint="eastAsia"/>
          <w:kern w:val="2"/>
          <w:szCs w:val="21"/>
        </w:rPr>
        <w:t>1</w:t>
      </w:r>
      <w:r>
        <w:rPr>
          <w:rFonts w:ascii="Times New Roman" w:hint="eastAsia"/>
          <w:kern w:val="2"/>
          <w:szCs w:val="21"/>
        </w:rPr>
        <w:t>）</w:t>
      </w:r>
      <w:r w:rsidR="003C49BC">
        <w:rPr>
          <w:rFonts w:ascii="Times New Roman" w:hint="eastAsia"/>
          <w:kern w:val="2"/>
          <w:szCs w:val="21"/>
        </w:rPr>
        <w:t>本规范是以</w:t>
      </w:r>
      <w:r w:rsidR="003C49BC">
        <w:rPr>
          <w:rFonts w:ascii="Times New Roman"/>
          <w:kern w:val="2"/>
          <w:szCs w:val="21"/>
        </w:rPr>
        <w:t>JJF 1071-2010</w:t>
      </w:r>
      <w:r w:rsidR="003C49BC">
        <w:rPr>
          <w:rFonts w:ascii="Times New Roman" w:hint="eastAsia"/>
          <w:kern w:val="2"/>
          <w:szCs w:val="21"/>
        </w:rPr>
        <w:t>《国家计量校准规范编写规则》、</w:t>
      </w:r>
      <w:r w:rsidR="003C49BC">
        <w:rPr>
          <w:rFonts w:ascii="Times New Roman" w:hint="eastAsia"/>
          <w:kern w:val="2"/>
          <w:szCs w:val="21"/>
        </w:rPr>
        <w:t>JJF 1001-2011</w:t>
      </w:r>
      <w:r w:rsidR="003C49BC">
        <w:rPr>
          <w:rFonts w:ascii="Times New Roman" w:hint="eastAsia"/>
          <w:kern w:val="2"/>
          <w:szCs w:val="21"/>
        </w:rPr>
        <w:t>《通用计量术语及定义》和</w:t>
      </w:r>
      <w:r w:rsidR="003C49BC">
        <w:rPr>
          <w:rFonts w:ascii="Times New Roman" w:hint="eastAsia"/>
          <w:kern w:val="2"/>
          <w:szCs w:val="21"/>
        </w:rPr>
        <w:t>JJF 1059.1-2012</w:t>
      </w:r>
      <w:r w:rsidR="003C49BC">
        <w:rPr>
          <w:rFonts w:ascii="Times New Roman" w:hint="eastAsia"/>
          <w:kern w:val="2"/>
          <w:szCs w:val="21"/>
        </w:rPr>
        <w:t>《测量不确定度评定与表示》为基础性系列规范进行编写。</w:t>
      </w:r>
    </w:p>
    <w:p w:rsidR="00F92CE8" w:rsidRDefault="00F92CE8" w:rsidP="00F92CE8">
      <w:pPr>
        <w:spacing w:line="360" w:lineRule="auto"/>
        <w:ind w:firstLineChars="100" w:firstLine="210"/>
        <w:rPr>
          <w:szCs w:val="21"/>
        </w:rPr>
      </w:pPr>
      <w:r>
        <w:rPr>
          <w:rFonts w:hint="eastAsia"/>
          <w:szCs w:val="21"/>
        </w:rPr>
        <w:t>2</w:t>
      </w:r>
      <w:r>
        <w:rPr>
          <w:rFonts w:hint="eastAsia"/>
          <w:szCs w:val="21"/>
        </w:rPr>
        <w:t>）先进性：</w:t>
      </w:r>
      <w:r w:rsidRPr="00F92CE8">
        <w:rPr>
          <w:rFonts w:hint="eastAsia"/>
          <w:szCs w:val="21"/>
        </w:rPr>
        <w:t>我国暂未发布针对</w:t>
      </w:r>
      <w:r w:rsidR="00A249C1">
        <w:rPr>
          <w:rFonts w:hint="eastAsia"/>
          <w:szCs w:val="21"/>
        </w:rPr>
        <w:t>烷基</w:t>
      </w:r>
      <w:proofErr w:type="gramStart"/>
      <w:r w:rsidR="00A249C1">
        <w:rPr>
          <w:rFonts w:hint="eastAsia"/>
          <w:szCs w:val="21"/>
        </w:rPr>
        <w:t>汞分析</w:t>
      </w:r>
      <w:proofErr w:type="gramEnd"/>
      <w:r w:rsidR="00A249C1">
        <w:rPr>
          <w:rFonts w:hint="eastAsia"/>
          <w:szCs w:val="21"/>
        </w:rPr>
        <w:t>仪</w:t>
      </w:r>
      <w:r w:rsidRPr="00F92CE8">
        <w:rPr>
          <w:rFonts w:hint="eastAsia"/>
          <w:szCs w:val="21"/>
        </w:rPr>
        <w:t>的检定规程或校准规范</w:t>
      </w:r>
      <w:r>
        <w:rPr>
          <w:rFonts w:hint="eastAsia"/>
          <w:szCs w:val="21"/>
        </w:rPr>
        <w:t>，填补了</w:t>
      </w:r>
      <w:r w:rsidR="00A249C1">
        <w:rPr>
          <w:rFonts w:hint="eastAsia"/>
          <w:szCs w:val="21"/>
        </w:rPr>
        <w:t>烷基</w:t>
      </w:r>
      <w:proofErr w:type="gramStart"/>
      <w:r w:rsidR="00A249C1">
        <w:rPr>
          <w:rFonts w:hint="eastAsia"/>
          <w:szCs w:val="21"/>
        </w:rPr>
        <w:t>汞分析</w:t>
      </w:r>
      <w:proofErr w:type="gramEnd"/>
      <w:r w:rsidR="00A249C1">
        <w:rPr>
          <w:rFonts w:hint="eastAsia"/>
          <w:szCs w:val="21"/>
        </w:rPr>
        <w:t>仪</w:t>
      </w:r>
      <w:r>
        <w:rPr>
          <w:rFonts w:hint="eastAsia"/>
          <w:szCs w:val="21"/>
        </w:rPr>
        <w:t>校准的空白。</w:t>
      </w:r>
    </w:p>
    <w:p w:rsidR="006525E6" w:rsidRDefault="00D652A6" w:rsidP="00D404FF">
      <w:pPr>
        <w:spacing w:line="276" w:lineRule="auto"/>
        <w:rPr>
          <w:rFonts w:ascii="黑体" w:eastAsia="黑体" w:hAnsi="宋体"/>
          <w:bCs/>
          <w:szCs w:val="21"/>
        </w:rPr>
      </w:pPr>
      <w:r>
        <w:rPr>
          <w:rFonts w:ascii="黑体" w:eastAsia="黑体"/>
          <w:bCs/>
          <w:szCs w:val="21"/>
        </w:rPr>
        <w:t>2</w:t>
      </w:r>
      <w:r>
        <w:rPr>
          <w:rFonts w:ascii="黑体" w:eastAsia="黑体" w:hint="eastAsia"/>
          <w:bCs/>
          <w:szCs w:val="21"/>
        </w:rPr>
        <w:t xml:space="preserve"> </w:t>
      </w:r>
      <w:r w:rsidR="003C49BC">
        <w:rPr>
          <w:rFonts w:ascii="黑体" w:eastAsia="黑体" w:hAnsi="宋体" w:hint="eastAsia"/>
          <w:bCs/>
          <w:szCs w:val="21"/>
        </w:rPr>
        <w:t>制定规范主要内容的论据</w:t>
      </w:r>
    </w:p>
    <w:p w:rsidR="006525E6" w:rsidRDefault="00D652A6" w:rsidP="00D404FF">
      <w:pPr>
        <w:pStyle w:val="a0"/>
        <w:numPr>
          <w:ilvl w:val="0"/>
          <w:numId w:val="0"/>
        </w:numPr>
        <w:spacing w:beforeLines="0" w:afterLines="0" w:line="360" w:lineRule="auto"/>
        <w:rPr>
          <w:rFonts w:ascii="Times New Roman"/>
          <w:szCs w:val="21"/>
        </w:rPr>
      </w:pPr>
      <w:bookmarkStart w:id="1" w:name="_Toc193860027"/>
      <w:bookmarkStart w:id="2" w:name="_Toc500258929"/>
      <w:bookmarkStart w:id="3" w:name="_Toc23837_WPSOffice_Level1"/>
      <w:bookmarkStart w:id="4" w:name="_Toc193860177"/>
      <w:bookmarkStart w:id="5" w:name="_Toc193860208"/>
      <w:bookmarkStart w:id="6" w:name="_Toc464728964"/>
      <w:r>
        <w:rPr>
          <w:rFonts w:ascii="Times New Roman" w:hint="eastAsia"/>
          <w:szCs w:val="21"/>
        </w:rPr>
        <w:t>2.1</w:t>
      </w:r>
      <w:r w:rsidR="003C49BC">
        <w:rPr>
          <w:rFonts w:ascii="Times New Roman" w:hint="eastAsia"/>
          <w:szCs w:val="21"/>
        </w:rPr>
        <w:t>范围</w:t>
      </w:r>
      <w:bookmarkEnd w:id="1"/>
      <w:bookmarkEnd w:id="2"/>
      <w:bookmarkEnd w:id="3"/>
      <w:bookmarkEnd w:id="4"/>
      <w:bookmarkEnd w:id="5"/>
    </w:p>
    <w:p w:rsidR="00A249C1" w:rsidRPr="00A249C1" w:rsidRDefault="00A249C1" w:rsidP="00A249C1">
      <w:pPr>
        <w:spacing w:line="360" w:lineRule="auto"/>
        <w:ind w:firstLineChars="200" w:firstLine="420"/>
        <w:rPr>
          <w:szCs w:val="21"/>
        </w:rPr>
      </w:pPr>
      <w:bookmarkStart w:id="7" w:name="_Toc193860178"/>
      <w:bookmarkStart w:id="8" w:name="_Toc193860028"/>
      <w:bookmarkStart w:id="9" w:name="_Toc193860209"/>
      <w:bookmarkStart w:id="10" w:name="_Toc7848_WPSOffice_Level1"/>
      <w:bookmarkStart w:id="11" w:name="_Toc500258930"/>
      <w:r w:rsidRPr="00A249C1">
        <w:rPr>
          <w:rFonts w:hint="eastAsia"/>
          <w:szCs w:val="21"/>
        </w:rPr>
        <w:t>本规范适用于</w:t>
      </w:r>
      <w:r w:rsidRPr="00A249C1">
        <w:rPr>
          <w:szCs w:val="21"/>
        </w:rPr>
        <w:t>烷基</w:t>
      </w:r>
      <w:proofErr w:type="gramStart"/>
      <w:r w:rsidRPr="00A249C1">
        <w:rPr>
          <w:szCs w:val="21"/>
        </w:rPr>
        <w:t>汞分析</w:t>
      </w:r>
      <w:proofErr w:type="gramEnd"/>
      <w:r w:rsidRPr="00A249C1">
        <w:rPr>
          <w:szCs w:val="21"/>
        </w:rPr>
        <w:t>仪的校准。</w:t>
      </w:r>
    </w:p>
    <w:p w:rsidR="006525E6" w:rsidRDefault="003C49BC" w:rsidP="00D404FF">
      <w:pPr>
        <w:pStyle w:val="a0"/>
        <w:numPr>
          <w:ilvl w:val="0"/>
          <w:numId w:val="0"/>
        </w:numPr>
        <w:spacing w:beforeLines="0" w:afterLines="0" w:line="360" w:lineRule="auto"/>
        <w:rPr>
          <w:rFonts w:ascii="Times New Roman"/>
          <w:szCs w:val="21"/>
        </w:rPr>
      </w:pPr>
      <w:r>
        <w:rPr>
          <w:rFonts w:ascii="Times New Roman"/>
          <w:szCs w:val="21"/>
        </w:rPr>
        <w:lastRenderedPageBreak/>
        <w:t>2</w:t>
      </w:r>
      <w:r w:rsidR="00D652A6">
        <w:rPr>
          <w:rFonts w:ascii="Times New Roman" w:hint="eastAsia"/>
          <w:szCs w:val="21"/>
        </w:rPr>
        <w:t>.2</w:t>
      </w:r>
      <w:r>
        <w:rPr>
          <w:rFonts w:ascii="Times New Roman" w:hint="eastAsia"/>
          <w:szCs w:val="21"/>
        </w:rPr>
        <w:t>引用文</w:t>
      </w:r>
      <w:bookmarkEnd w:id="7"/>
      <w:bookmarkEnd w:id="8"/>
      <w:bookmarkEnd w:id="9"/>
      <w:r>
        <w:rPr>
          <w:rFonts w:ascii="Times New Roman" w:hint="eastAsia"/>
          <w:szCs w:val="21"/>
        </w:rPr>
        <w:t>件</w:t>
      </w:r>
      <w:bookmarkEnd w:id="10"/>
      <w:bookmarkEnd w:id="11"/>
    </w:p>
    <w:p w:rsidR="00A249C1" w:rsidRPr="00A249C1" w:rsidRDefault="003C49BC" w:rsidP="00A249C1">
      <w:pPr>
        <w:spacing w:line="360" w:lineRule="auto"/>
        <w:ind w:firstLineChars="200" w:firstLine="420"/>
        <w:rPr>
          <w:rFonts w:eastAsiaTheme="minorEastAsia"/>
          <w:szCs w:val="21"/>
        </w:rPr>
      </w:pPr>
      <w:bookmarkStart w:id="12" w:name="_Toc13054_WPSOffice_Level1"/>
      <w:bookmarkStart w:id="13" w:name="_Toc193860030"/>
      <w:bookmarkStart w:id="14" w:name="_Toc193619055"/>
      <w:bookmarkStart w:id="15" w:name="_Toc193618952"/>
      <w:bookmarkStart w:id="16" w:name="_Toc193860211"/>
      <w:bookmarkStart w:id="17" w:name="_Toc500258937"/>
      <w:bookmarkStart w:id="18" w:name="_Toc193860180"/>
      <w:bookmarkStart w:id="19" w:name="_Toc193619097"/>
      <w:r>
        <w:rPr>
          <w:rFonts w:eastAsiaTheme="minorEastAsia" w:hint="eastAsia"/>
          <w:szCs w:val="21"/>
        </w:rPr>
        <w:t>本规范主要引用</w:t>
      </w:r>
      <w:r w:rsidRPr="00D652A6">
        <w:rPr>
          <w:rFonts w:eastAsiaTheme="minorEastAsia"/>
          <w:szCs w:val="21"/>
        </w:rPr>
        <w:t>了</w:t>
      </w:r>
      <w:r w:rsidR="00A249C1">
        <w:rPr>
          <w:rFonts w:eastAsiaTheme="minorEastAsia"/>
          <w:szCs w:val="21"/>
        </w:rPr>
        <w:t>《</w:t>
      </w:r>
      <w:r w:rsidR="00A249C1" w:rsidRPr="00A249C1">
        <w:rPr>
          <w:rFonts w:eastAsiaTheme="minorEastAsia" w:hint="eastAsia"/>
          <w:szCs w:val="21"/>
        </w:rPr>
        <w:t>JJG 548-2018</w:t>
      </w:r>
      <w:r w:rsidR="00A249C1" w:rsidRPr="00A249C1">
        <w:rPr>
          <w:rFonts w:eastAsiaTheme="minorEastAsia" w:hint="eastAsia"/>
          <w:szCs w:val="21"/>
        </w:rPr>
        <w:t>测汞仪</w:t>
      </w:r>
      <w:r w:rsidR="00A249C1" w:rsidRPr="00A249C1">
        <w:rPr>
          <w:rFonts w:eastAsiaTheme="minorEastAsia" w:hint="eastAsia"/>
          <w:szCs w:val="21"/>
        </w:rPr>
        <w:t>检定规程》</w:t>
      </w:r>
      <w:r w:rsidR="00A249C1">
        <w:rPr>
          <w:rFonts w:eastAsiaTheme="minorEastAsia" w:hint="eastAsia"/>
          <w:szCs w:val="21"/>
        </w:rPr>
        <w:t>、《</w:t>
      </w:r>
      <w:r w:rsidR="00A249C1" w:rsidRPr="00A249C1">
        <w:rPr>
          <w:rFonts w:eastAsiaTheme="minorEastAsia" w:hint="eastAsia"/>
          <w:szCs w:val="21"/>
        </w:rPr>
        <w:t>JJG 700-2016</w:t>
      </w:r>
      <w:r w:rsidR="00A249C1" w:rsidRPr="00A249C1">
        <w:rPr>
          <w:rFonts w:eastAsiaTheme="minorEastAsia" w:hint="eastAsia"/>
          <w:szCs w:val="21"/>
        </w:rPr>
        <w:t>气相色谱仪</w:t>
      </w:r>
      <w:r w:rsidR="00A249C1" w:rsidRPr="00A249C1">
        <w:rPr>
          <w:rFonts w:eastAsiaTheme="minorEastAsia" w:hint="eastAsia"/>
          <w:szCs w:val="21"/>
        </w:rPr>
        <w:t>检定规程》</w:t>
      </w:r>
    </w:p>
    <w:p w:rsidR="006525E6" w:rsidRPr="00A249C1" w:rsidRDefault="00D652A6" w:rsidP="00A249C1">
      <w:pPr>
        <w:pStyle w:val="a0"/>
        <w:numPr>
          <w:ilvl w:val="0"/>
          <w:numId w:val="0"/>
        </w:numPr>
        <w:spacing w:beforeLines="0" w:afterLines="0" w:line="360" w:lineRule="auto"/>
        <w:rPr>
          <w:rFonts w:ascii="Times New Roman"/>
          <w:szCs w:val="21"/>
        </w:rPr>
      </w:pPr>
      <w:r w:rsidRPr="00A249C1">
        <w:rPr>
          <w:rFonts w:ascii="Times New Roman" w:hint="eastAsia"/>
          <w:szCs w:val="21"/>
        </w:rPr>
        <w:t>2</w:t>
      </w:r>
      <w:r w:rsidR="003C49BC" w:rsidRPr="00A249C1">
        <w:rPr>
          <w:rFonts w:ascii="Times New Roman" w:hint="eastAsia"/>
          <w:szCs w:val="21"/>
        </w:rPr>
        <w:t xml:space="preserve">.3 </w:t>
      </w:r>
      <w:r w:rsidR="003C49BC" w:rsidRPr="00A249C1">
        <w:rPr>
          <w:rFonts w:ascii="Times New Roman" w:hint="eastAsia"/>
          <w:szCs w:val="21"/>
        </w:rPr>
        <w:t>概述</w:t>
      </w:r>
      <w:bookmarkEnd w:id="12"/>
      <w:bookmarkEnd w:id="13"/>
      <w:bookmarkEnd w:id="14"/>
      <w:bookmarkEnd w:id="15"/>
      <w:bookmarkEnd w:id="16"/>
      <w:bookmarkEnd w:id="17"/>
      <w:bookmarkEnd w:id="18"/>
      <w:bookmarkEnd w:id="19"/>
    </w:p>
    <w:p w:rsidR="00A249C1" w:rsidRPr="00A249C1" w:rsidRDefault="00A249C1" w:rsidP="00A249C1">
      <w:pPr>
        <w:autoSpaceDE w:val="0"/>
        <w:autoSpaceDN w:val="0"/>
        <w:adjustRightInd w:val="0"/>
        <w:spacing w:line="440" w:lineRule="exact"/>
        <w:ind w:firstLineChars="200" w:firstLine="420"/>
        <w:rPr>
          <w:rFonts w:eastAsiaTheme="minorEastAsia"/>
          <w:szCs w:val="21"/>
        </w:rPr>
      </w:pPr>
      <w:bookmarkStart w:id="20" w:name="_Toc25829_WPSOffice_Level1"/>
      <w:r w:rsidRPr="00A249C1">
        <w:rPr>
          <w:rFonts w:eastAsiaTheme="minorEastAsia" w:hint="eastAsia"/>
          <w:szCs w:val="21"/>
        </w:rPr>
        <w:t>烷基</w:t>
      </w:r>
      <w:proofErr w:type="gramStart"/>
      <w:r w:rsidRPr="00A249C1">
        <w:rPr>
          <w:rFonts w:eastAsiaTheme="minorEastAsia" w:hint="eastAsia"/>
          <w:szCs w:val="21"/>
        </w:rPr>
        <w:t>汞分析仪用于</w:t>
      </w:r>
      <w:proofErr w:type="gramEnd"/>
      <w:r w:rsidRPr="00A249C1">
        <w:rPr>
          <w:rFonts w:eastAsiaTheme="minorEastAsia" w:hint="eastAsia"/>
          <w:szCs w:val="21"/>
        </w:rPr>
        <w:t>检测水质、水产品、食品及土壤中的烷基汞（甲基汞和乙基汞）。仪器主要由气路单元、进样单元、吹扫捕集单元、分离裂解单元、检测单元和数据处理单元组成。</w:t>
      </w:r>
    </w:p>
    <w:p w:rsidR="00520159" w:rsidRPr="00A249C1" w:rsidRDefault="00A249C1" w:rsidP="00A249C1">
      <w:pPr>
        <w:autoSpaceDE w:val="0"/>
        <w:autoSpaceDN w:val="0"/>
        <w:adjustRightInd w:val="0"/>
        <w:spacing w:line="440" w:lineRule="exact"/>
        <w:ind w:firstLineChars="200" w:firstLine="420"/>
        <w:rPr>
          <w:rFonts w:eastAsiaTheme="minorEastAsia"/>
          <w:szCs w:val="21"/>
        </w:rPr>
      </w:pPr>
      <w:r w:rsidRPr="00A249C1">
        <w:rPr>
          <w:rFonts w:eastAsiaTheme="minorEastAsia" w:hint="eastAsia"/>
          <w:szCs w:val="21"/>
        </w:rPr>
        <w:t>烷基</w:t>
      </w:r>
      <w:proofErr w:type="gramStart"/>
      <w:r w:rsidRPr="00A249C1">
        <w:rPr>
          <w:rFonts w:eastAsiaTheme="minorEastAsia" w:hint="eastAsia"/>
          <w:szCs w:val="21"/>
        </w:rPr>
        <w:t>汞分析</w:t>
      </w:r>
      <w:proofErr w:type="gramEnd"/>
      <w:r w:rsidRPr="00A249C1">
        <w:rPr>
          <w:rFonts w:eastAsiaTheme="minorEastAsia" w:hint="eastAsia"/>
          <w:szCs w:val="21"/>
        </w:rPr>
        <w:t>仪是将液体中的烷基</w:t>
      </w:r>
      <w:proofErr w:type="gramStart"/>
      <w:r w:rsidRPr="00A249C1">
        <w:rPr>
          <w:rFonts w:eastAsiaTheme="minorEastAsia" w:hint="eastAsia"/>
          <w:szCs w:val="21"/>
        </w:rPr>
        <w:t>汞进行</w:t>
      </w:r>
      <w:proofErr w:type="gramEnd"/>
      <w:r w:rsidRPr="00A249C1">
        <w:rPr>
          <w:rFonts w:eastAsiaTheme="minorEastAsia" w:hint="eastAsia"/>
          <w:szCs w:val="21"/>
        </w:rPr>
        <w:t>吹扫并通过捕集</w:t>
      </w:r>
      <w:proofErr w:type="gramStart"/>
      <w:r w:rsidRPr="00A249C1">
        <w:rPr>
          <w:rFonts w:eastAsiaTheme="minorEastAsia" w:hint="eastAsia"/>
          <w:szCs w:val="21"/>
        </w:rPr>
        <w:t>阱</w:t>
      </w:r>
      <w:proofErr w:type="gramEnd"/>
      <w:r w:rsidRPr="00A249C1">
        <w:rPr>
          <w:rFonts w:eastAsiaTheme="minorEastAsia" w:hint="eastAsia"/>
          <w:szCs w:val="21"/>
        </w:rPr>
        <w:t>富集，然后对捕集</w:t>
      </w:r>
      <w:proofErr w:type="gramStart"/>
      <w:r w:rsidRPr="00A249C1">
        <w:rPr>
          <w:rFonts w:eastAsiaTheme="minorEastAsia" w:hint="eastAsia"/>
          <w:szCs w:val="21"/>
        </w:rPr>
        <w:t>阱</w:t>
      </w:r>
      <w:proofErr w:type="gramEnd"/>
      <w:r w:rsidRPr="00A249C1">
        <w:rPr>
          <w:rFonts w:eastAsiaTheme="minorEastAsia" w:hint="eastAsia"/>
          <w:szCs w:val="21"/>
        </w:rPr>
        <w:t>进行快速加热，</w:t>
      </w:r>
      <w:proofErr w:type="gramStart"/>
      <w:r w:rsidRPr="00A249C1">
        <w:rPr>
          <w:rFonts w:eastAsiaTheme="minorEastAsia" w:hint="eastAsia"/>
          <w:szCs w:val="21"/>
        </w:rPr>
        <w:t>烷基汞被解析</w:t>
      </w:r>
      <w:proofErr w:type="gramEnd"/>
      <w:r w:rsidRPr="00A249C1">
        <w:rPr>
          <w:rFonts w:eastAsiaTheme="minorEastAsia" w:hint="eastAsia"/>
          <w:szCs w:val="21"/>
        </w:rPr>
        <w:t>随载气进入气相色谱进</w:t>
      </w:r>
      <w:r>
        <w:rPr>
          <w:rFonts w:eastAsiaTheme="minorEastAsia" w:hint="eastAsia"/>
          <w:szCs w:val="21"/>
        </w:rPr>
        <w:t>行分离和高温裂解还原，后通过冷原子荧光检测器，检测烷基汞的含量。</w:t>
      </w:r>
    </w:p>
    <w:p w:rsidR="00D652A6" w:rsidRPr="009C7B18" w:rsidRDefault="003C49BC"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4</w:t>
      </w:r>
      <w:r>
        <w:rPr>
          <w:rFonts w:ascii="Times New Roman" w:hint="eastAsia"/>
          <w:szCs w:val="21"/>
        </w:rPr>
        <w:t>计</w:t>
      </w:r>
      <w:r w:rsidRPr="009C7B18">
        <w:rPr>
          <w:rFonts w:ascii="Times New Roman" w:hint="eastAsia"/>
          <w:szCs w:val="21"/>
        </w:rPr>
        <w:t>量特性</w:t>
      </w:r>
    </w:p>
    <w:p w:rsidR="00A249C1" w:rsidRPr="00A249C1" w:rsidRDefault="00A249C1" w:rsidP="00A249C1">
      <w:pPr>
        <w:spacing w:line="360" w:lineRule="auto"/>
        <w:ind w:firstLineChars="200" w:firstLine="420"/>
        <w:rPr>
          <w:rFonts w:eastAsiaTheme="minorEastAsia"/>
          <w:szCs w:val="21"/>
        </w:rPr>
      </w:pPr>
      <w:r w:rsidRPr="00A249C1">
        <w:rPr>
          <w:rFonts w:eastAsiaTheme="minorEastAsia" w:hint="eastAsia"/>
          <w:szCs w:val="21"/>
        </w:rPr>
        <w:t>仪器各项计量性能指标见表</w:t>
      </w:r>
      <w:r w:rsidRPr="00A249C1">
        <w:rPr>
          <w:rFonts w:eastAsiaTheme="minorEastAsia" w:hint="eastAsia"/>
          <w:szCs w:val="21"/>
        </w:rPr>
        <w:t>1</w:t>
      </w:r>
      <w:r w:rsidRPr="00A249C1">
        <w:rPr>
          <w:rFonts w:eastAsiaTheme="minorEastAsia" w:hint="eastAsia"/>
          <w:szCs w:val="21"/>
        </w:rPr>
        <w:t>。</w:t>
      </w:r>
    </w:p>
    <w:p w:rsidR="00A249C1" w:rsidRPr="00A249C1" w:rsidRDefault="00A249C1" w:rsidP="00A249C1">
      <w:pPr>
        <w:spacing w:line="360" w:lineRule="auto"/>
        <w:ind w:firstLineChars="200" w:firstLine="420"/>
        <w:jc w:val="center"/>
        <w:rPr>
          <w:rFonts w:eastAsiaTheme="minorEastAsia"/>
          <w:szCs w:val="21"/>
        </w:rPr>
      </w:pPr>
      <w:r w:rsidRPr="00A249C1">
        <w:rPr>
          <w:rFonts w:eastAsiaTheme="minorEastAsia" w:hint="eastAsia"/>
          <w:szCs w:val="21"/>
        </w:rPr>
        <w:t>表</w:t>
      </w:r>
      <w:r w:rsidRPr="00A249C1">
        <w:rPr>
          <w:rFonts w:eastAsiaTheme="minorEastAsia" w:hint="eastAsia"/>
          <w:szCs w:val="21"/>
        </w:rPr>
        <w:t xml:space="preserve">1 </w:t>
      </w:r>
      <w:r w:rsidRPr="00A249C1">
        <w:rPr>
          <w:rFonts w:eastAsiaTheme="minorEastAsia" w:hint="eastAsia"/>
          <w:szCs w:val="21"/>
        </w:rPr>
        <w:t>计量特性</w:t>
      </w:r>
    </w:p>
    <w:tbl>
      <w:tblPr>
        <w:tblStyle w:val="af3"/>
        <w:tblpPr w:leftFromText="180" w:rightFromText="180" w:vertAnchor="text" w:horzAnchor="page" w:tblpXSpec="center" w:tblpY="123"/>
        <w:tblOverlap w:val="never"/>
        <w:tblW w:w="7108" w:type="dxa"/>
        <w:jc w:val="center"/>
        <w:tblLayout w:type="fixed"/>
        <w:tblLook w:val="04A0" w:firstRow="1" w:lastRow="0" w:firstColumn="1" w:lastColumn="0" w:noHBand="0" w:noVBand="1"/>
      </w:tblPr>
      <w:tblGrid>
        <w:gridCol w:w="3554"/>
        <w:gridCol w:w="3554"/>
      </w:tblGrid>
      <w:tr w:rsidR="00A249C1" w:rsidRPr="00A249C1" w:rsidTr="00052D18">
        <w:trPr>
          <w:trHeight w:val="360"/>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计量性能</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计量性能指标</w:t>
            </w:r>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线性误差</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±15%</w:t>
            </w:r>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甲基汞检出限</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 xml:space="preserve">≤0.9 </w:t>
            </w:r>
            <w:proofErr w:type="spellStart"/>
            <w:r w:rsidRPr="00A249C1">
              <w:rPr>
                <w:rFonts w:eastAsiaTheme="minorEastAsia"/>
                <w:szCs w:val="21"/>
              </w:rPr>
              <w:t>pg</w:t>
            </w:r>
            <w:proofErr w:type="spellEnd"/>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乙基汞检出限</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 xml:space="preserve">≤0.9 </w:t>
            </w:r>
            <w:proofErr w:type="spellStart"/>
            <w:r w:rsidRPr="00A249C1">
              <w:rPr>
                <w:rFonts w:eastAsiaTheme="minorEastAsia"/>
                <w:szCs w:val="21"/>
              </w:rPr>
              <w:t>pg</w:t>
            </w:r>
            <w:proofErr w:type="spellEnd"/>
          </w:p>
        </w:tc>
      </w:tr>
      <w:tr w:rsidR="00A249C1" w:rsidRPr="00A249C1" w:rsidTr="00052D18">
        <w:trPr>
          <w:trHeight w:val="372"/>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测量线性</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≥0.995</w:t>
            </w:r>
          </w:p>
        </w:tc>
      </w:tr>
      <w:tr w:rsidR="00A249C1" w:rsidRPr="00A249C1" w:rsidTr="00052D18">
        <w:trPr>
          <w:trHeight w:val="379"/>
          <w:jc w:val="center"/>
        </w:trPr>
        <w:tc>
          <w:tcPr>
            <w:tcW w:w="3554" w:type="dxa"/>
          </w:tcPr>
          <w:p w:rsidR="00A249C1" w:rsidRPr="00A249C1" w:rsidRDefault="00A249C1" w:rsidP="00052D18">
            <w:pPr>
              <w:jc w:val="center"/>
              <w:rPr>
                <w:rFonts w:eastAsiaTheme="minorEastAsia"/>
                <w:szCs w:val="21"/>
              </w:rPr>
            </w:pPr>
            <w:r w:rsidRPr="00A249C1">
              <w:rPr>
                <w:rFonts w:eastAsiaTheme="minorEastAsia"/>
                <w:szCs w:val="21"/>
              </w:rPr>
              <w:t>重复性</w:t>
            </w:r>
          </w:p>
        </w:tc>
        <w:tc>
          <w:tcPr>
            <w:tcW w:w="3554" w:type="dxa"/>
          </w:tcPr>
          <w:p w:rsidR="00A249C1" w:rsidRPr="00A249C1" w:rsidRDefault="00A249C1" w:rsidP="00052D18">
            <w:pPr>
              <w:jc w:val="center"/>
              <w:rPr>
                <w:rFonts w:eastAsiaTheme="minorEastAsia"/>
                <w:szCs w:val="21"/>
              </w:rPr>
            </w:pPr>
            <w:r w:rsidRPr="00A249C1">
              <w:rPr>
                <w:rFonts w:eastAsiaTheme="minorEastAsia"/>
                <w:szCs w:val="21"/>
              </w:rPr>
              <w:t>≤5%</w:t>
            </w:r>
          </w:p>
        </w:tc>
      </w:tr>
    </w:tbl>
    <w:p w:rsidR="00A249C1" w:rsidRDefault="00A249C1" w:rsidP="00D404FF">
      <w:pPr>
        <w:pStyle w:val="a0"/>
        <w:numPr>
          <w:ilvl w:val="0"/>
          <w:numId w:val="0"/>
        </w:numPr>
        <w:spacing w:before="156" w:after="156" w:line="276" w:lineRule="auto"/>
        <w:rPr>
          <w:rFonts w:ascii="Times New Roman" w:hint="eastAsia"/>
          <w:szCs w:val="21"/>
        </w:rPr>
      </w:pPr>
    </w:p>
    <w:p w:rsidR="00A249C1" w:rsidRDefault="00A249C1" w:rsidP="00D404FF">
      <w:pPr>
        <w:pStyle w:val="a0"/>
        <w:numPr>
          <w:ilvl w:val="0"/>
          <w:numId w:val="0"/>
        </w:numPr>
        <w:spacing w:before="156" w:after="156" w:line="276" w:lineRule="auto"/>
        <w:rPr>
          <w:rFonts w:ascii="Times New Roman" w:hint="eastAsia"/>
          <w:szCs w:val="21"/>
        </w:rPr>
      </w:pPr>
    </w:p>
    <w:p w:rsidR="00A249C1" w:rsidRDefault="00A249C1" w:rsidP="00D404FF">
      <w:pPr>
        <w:pStyle w:val="a0"/>
        <w:numPr>
          <w:ilvl w:val="0"/>
          <w:numId w:val="0"/>
        </w:numPr>
        <w:spacing w:before="156" w:after="156" w:line="276" w:lineRule="auto"/>
        <w:rPr>
          <w:rFonts w:ascii="Times New Roman" w:hint="eastAsia"/>
          <w:szCs w:val="21"/>
        </w:rPr>
      </w:pPr>
    </w:p>
    <w:p w:rsidR="00A249C1" w:rsidRDefault="00A249C1" w:rsidP="00D404FF">
      <w:pPr>
        <w:pStyle w:val="a0"/>
        <w:numPr>
          <w:ilvl w:val="0"/>
          <w:numId w:val="0"/>
        </w:numPr>
        <w:spacing w:before="156" w:after="156" w:line="276" w:lineRule="auto"/>
        <w:rPr>
          <w:rFonts w:ascii="Times New Roman" w:hint="eastAsia"/>
          <w:szCs w:val="21"/>
        </w:rPr>
      </w:pPr>
    </w:p>
    <w:p w:rsidR="00A249C1" w:rsidRDefault="00A249C1" w:rsidP="00D404FF">
      <w:pPr>
        <w:pStyle w:val="a0"/>
        <w:numPr>
          <w:ilvl w:val="0"/>
          <w:numId w:val="0"/>
        </w:numPr>
        <w:spacing w:before="156" w:after="156" w:line="276" w:lineRule="auto"/>
        <w:rPr>
          <w:rFonts w:ascii="Times New Roman" w:hint="eastAsia"/>
          <w:szCs w:val="21"/>
        </w:rPr>
      </w:pP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5</w:t>
      </w:r>
      <w:r w:rsidR="003C49BC">
        <w:rPr>
          <w:rFonts w:ascii="Times New Roman" w:hint="eastAsia"/>
          <w:szCs w:val="21"/>
        </w:rPr>
        <w:t>校准条件</w:t>
      </w:r>
      <w:bookmarkStart w:id="21" w:name="_Toc193860183"/>
      <w:bookmarkStart w:id="22" w:name="_Toc193860214"/>
      <w:bookmarkStart w:id="23" w:name="_Toc500258942"/>
      <w:bookmarkStart w:id="24" w:name="_Toc193860033"/>
      <w:bookmarkEnd w:id="20"/>
    </w:p>
    <w:p w:rsidR="00520159" w:rsidRPr="00A249C1" w:rsidRDefault="00D05A49" w:rsidP="00A249C1">
      <w:pPr>
        <w:spacing w:line="360" w:lineRule="auto"/>
        <w:ind w:firstLineChars="200" w:firstLine="420"/>
        <w:rPr>
          <w:szCs w:val="21"/>
        </w:rPr>
      </w:pPr>
      <w:bookmarkStart w:id="25" w:name="_Toc193618955"/>
      <w:bookmarkStart w:id="26" w:name="_Toc500258944"/>
      <w:bookmarkStart w:id="27" w:name="_Toc193860035"/>
      <w:bookmarkStart w:id="28" w:name="_Toc2741_WPSOffice_Level1"/>
      <w:bookmarkStart w:id="29" w:name="_Toc193619058"/>
      <w:bookmarkStart w:id="30" w:name="_Toc193860185"/>
      <w:bookmarkStart w:id="31" w:name="_Toc193619100"/>
      <w:bookmarkStart w:id="32" w:name="_Toc193860216"/>
      <w:bookmarkEnd w:id="21"/>
      <w:bookmarkEnd w:id="22"/>
      <w:bookmarkEnd w:id="23"/>
      <w:bookmarkEnd w:id="24"/>
      <w:r w:rsidRPr="00D05A49">
        <w:rPr>
          <w:rFonts w:hint="eastAsia"/>
          <w:szCs w:val="21"/>
        </w:rPr>
        <w:t>室温（</w:t>
      </w:r>
      <w:r w:rsidRPr="00D05A49">
        <w:rPr>
          <w:rFonts w:hint="eastAsia"/>
          <w:szCs w:val="21"/>
        </w:rPr>
        <w:t>20</w:t>
      </w:r>
      <w:r w:rsidRPr="00D05A49">
        <w:rPr>
          <w:rFonts w:hint="eastAsia"/>
          <w:szCs w:val="21"/>
        </w:rPr>
        <w:t>±</w:t>
      </w:r>
      <w:r w:rsidRPr="00D05A49">
        <w:rPr>
          <w:rFonts w:hint="eastAsia"/>
          <w:szCs w:val="21"/>
        </w:rPr>
        <w:t>5</w:t>
      </w:r>
      <w:r w:rsidRPr="00D05A49">
        <w:rPr>
          <w:rFonts w:hint="eastAsia"/>
          <w:szCs w:val="21"/>
        </w:rPr>
        <w:t>）℃，</w:t>
      </w:r>
      <w:r w:rsidR="00A249C1" w:rsidRPr="00A249C1">
        <w:rPr>
          <w:rFonts w:hint="eastAsia"/>
          <w:szCs w:val="21"/>
        </w:rPr>
        <w:t>相对湿度：不大于</w:t>
      </w:r>
      <w:r w:rsidR="00A249C1" w:rsidRPr="00A249C1">
        <w:rPr>
          <w:szCs w:val="21"/>
        </w:rPr>
        <w:t>8</w:t>
      </w:r>
      <w:r w:rsidR="00A249C1" w:rsidRPr="00A249C1">
        <w:rPr>
          <w:rFonts w:hint="eastAsia"/>
          <w:szCs w:val="21"/>
        </w:rPr>
        <w:t>0</w:t>
      </w:r>
      <w:r w:rsidR="00A249C1" w:rsidRPr="00A249C1">
        <w:rPr>
          <w:szCs w:val="21"/>
        </w:rPr>
        <w:t>%</w:t>
      </w:r>
      <w:r w:rsidR="00A249C1" w:rsidRPr="00A249C1">
        <w:rPr>
          <w:rFonts w:hint="eastAsia"/>
          <w:szCs w:val="21"/>
        </w:rPr>
        <w:t>。</w:t>
      </w:r>
    </w:p>
    <w:p w:rsidR="006525E6" w:rsidRDefault="00D05A49"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6</w:t>
      </w:r>
      <w:r w:rsidR="003C49BC">
        <w:rPr>
          <w:rFonts w:ascii="Times New Roman" w:hint="eastAsia"/>
          <w:szCs w:val="21"/>
        </w:rPr>
        <w:t>校准项目和校准方法</w:t>
      </w:r>
      <w:bookmarkEnd w:id="25"/>
      <w:bookmarkEnd w:id="26"/>
      <w:bookmarkEnd w:id="27"/>
      <w:bookmarkEnd w:id="28"/>
      <w:bookmarkEnd w:id="29"/>
      <w:bookmarkEnd w:id="30"/>
      <w:bookmarkEnd w:id="31"/>
      <w:bookmarkEnd w:id="32"/>
    </w:p>
    <w:p w:rsidR="00D05A49" w:rsidRDefault="00D05A49" w:rsidP="00D404FF">
      <w:pPr>
        <w:spacing w:line="360" w:lineRule="auto"/>
        <w:ind w:firstLineChars="200" w:firstLine="420"/>
        <w:rPr>
          <w:kern w:val="0"/>
          <w:szCs w:val="21"/>
        </w:rPr>
      </w:pPr>
      <w:bookmarkStart w:id="33" w:name="_Toc22718_WPSOffice_Level2"/>
      <w:bookmarkStart w:id="34" w:name="_Toc500258945"/>
      <w:bookmarkStart w:id="35" w:name="_Toc193860219"/>
      <w:bookmarkStart w:id="36" w:name="_Toc193860038"/>
      <w:bookmarkStart w:id="37" w:name="_Toc193619101"/>
      <w:bookmarkStart w:id="38" w:name="_Toc193860188"/>
      <w:bookmarkStart w:id="39" w:name="_Toc193619059"/>
      <w:bookmarkStart w:id="40" w:name="_Toc193618956"/>
      <w:bookmarkStart w:id="41" w:name="_Toc25466_WPSOffice_Level1"/>
      <w:bookmarkStart w:id="42" w:name="_Toc500258947"/>
      <w:r>
        <w:rPr>
          <w:rFonts w:hint="eastAsia"/>
          <w:kern w:val="0"/>
          <w:szCs w:val="21"/>
        </w:rPr>
        <w:t>校准项目主要为</w:t>
      </w:r>
      <w:r w:rsidR="001C27FB">
        <w:rPr>
          <w:rFonts w:hint="eastAsia"/>
          <w:kern w:val="0"/>
          <w:szCs w:val="21"/>
        </w:rPr>
        <w:t>线性误差、测量线性、检出限以及重复性。</w:t>
      </w:r>
    </w:p>
    <w:bookmarkEnd w:id="33"/>
    <w:bookmarkEnd w:id="34"/>
    <w:p w:rsidR="006525E6" w:rsidRDefault="006064DC" w:rsidP="00D404FF">
      <w:pPr>
        <w:pStyle w:val="a0"/>
        <w:numPr>
          <w:ilvl w:val="0"/>
          <w:numId w:val="0"/>
        </w:numPr>
        <w:spacing w:before="156" w:after="156" w:line="276" w:lineRule="auto"/>
        <w:rPr>
          <w:rFonts w:ascii="Times New Roman"/>
          <w:szCs w:val="21"/>
        </w:rPr>
      </w:pPr>
      <w:r>
        <w:rPr>
          <w:rFonts w:ascii="Times New Roman" w:hint="eastAsia"/>
          <w:szCs w:val="21"/>
        </w:rPr>
        <w:t>2.</w:t>
      </w:r>
      <w:r w:rsidR="00A249C1">
        <w:rPr>
          <w:rFonts w:ascii="Times New Roman" w:hint="eastAsia"/>
          <w:szCs w:val="21"/>
        </w:rPr>
        <w:t>7</w:t>
      </w:r>
      <w:r w:rsidR="003C49BC">
        <w:rPr>
          <w:rFonts w:ascii="Times New Roman" w:hint="eastAsia"/>
          <w:szCs w:val="21"/>
        </w:rPr>
        <w:t>校准结果</w:t>
      </w:r>
      <w:bookmarkEnd w:id="35"/>
      <w:bookmarkEnd w:id="36"/>
      <w:bookmarkEnd w:id="37"/>
      <w:bookmarkEnd w:id="38"/>
      <w:bookmarkEnd w:id="39"/>
      <w:bookmarkEnd w:id="40"/>
      <w:r w:rsidR="003C49BC">
        <w:rPr>
          <w:rFonts w:ascii="Times New Roman" w:hint="eastAsia"/>
          <w:szCs w:val="21"/>
        </w:rPr>
        <w:t>表达</w:t>
      </w:r>
      <w:bookmarkEnd w:id="41"/>
      <w:bookmarkEnd w:id="42"/>
    </w:p>
    <w:p w:rsidR="006525E6" w:rsidRDefault="003C49BC" w:rsidP="00D404FF">
      <w:pPr>
        <w:pStyle w:val="af5"/>
        <w:spacing w:line="276" w:lineRule="auto"/>
        <w:ind w:firstLine="420"/>
        <w:rPr>
          <w:rFonts w:ascii="Times New Roman" w:eastAsiaTheme="minorEastAsia"/>
          <w:kern w:val="2"/>
          <w:szCs w:val="21"/>
        </w:rPr>
      </w:pPr>
      <w:bookmarkStart w:id="43" w:name="_Toc193860040"/>
      <w:bookmarkStart w:id="44" w:name="_Toc193860220"/>
      <w:bookmarkStart w:id="45" w:name="_Toc14803_WPSOffice_Level1"/>
      <w:bookmarkStart w:id="46" w:name="_Toc5529"/>
      <w:bookmarkStart w:id="47" w:name="_Toc193860189"/>
      <w:bookmarkStart w:id="48" w:name="_Toc193860041"/>
      <w:r>
        <w:rPr>
          <w:rFonts w:ascii="Times New Roman" w:eastAsiaTheme="minorEastAsia" w:hint="eastAsia"/>
          <w:kern w:val="2"/>
          <w:szCs w:val="21"/>
        </w:rPr>
        <w:t>根据实验室环境要求、校准项目校准结果、测量不确定度评定结果等，按照推荐的校准报告格式，出具校准证书。</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t>2.</w:t>
      </w:r>
      <w:r w:rsidR="00A249C1">
        <w:rPr>
          <w:rFonts w:ascii="Times New Roman" w:hint="eastAsia"/>
          <w:szCs w:val="21"/>
        </w:rPr>
        <w:t>8</w:t>
      </w:r>
      <w:r w:rsidR="003C49BC">
        <w:rPr>
          <w:rFonts w:ascii="Times New Roman" w:hint="eastAsia"/>
          <w:szCs w:val="21"/>
        </w:rPr>
        <w:t>复校</w:t>
      </w:r>
      <w:bookmarkEnd w:id="43"/>
      <w:bookmarkEnd w:id="44"/>
      <w:bookmarkEnd w:id="45"/>
      <w:bookmarkEnd w:id="46"/>
      <w:bookmarkEnd w:id="47"/>
      <w:r w:rsidR="003C49BC">
        <w:rPr>
          <w:rFonts w:ascii="Times New Roman" w:hint="eastAsia"/>
          <w:szCs w:val="21"/>
        </w:rPr>
        <w:t>时间间隔</w:t>
      </w:r>
    </w:p>
    <w:bookmarkEnd w:id="48"/>
    <w:p w:rsidR="006064DC" w:rsidRPr="006064DC" w:rsidRDefault="006064DC" w:rsidP="00D404FF">
      <w:pPr>
        <w:pStyle w:val="af5"/>
        <w:spacing w:line="360" w:lineRule="auto"/>
        <w:ind w:firstLine="420"/>
        <w:rPr>
          <w:rFonts w:ascii="Times New Roman" w:eastAsiaTheme="minorEastAsia"/>
          <w:kern w:val="2"/>
          <w:szCs w:val="21"/>
        </w:rPr>
      </w:pPr>
      <w:r w:rsidRPr="006064DC">
        <w:rPr>
          <w:rFonts w:ascii="Times New Roman" w:eastAsiaTheme="minorEastAsia" w:hint="eastAsia"/>
          <w:kern w:val="2"/>
          <w:szCs w:val="21"/>
        </w:rPr>
        <w:t>可根据实际使用情况自主决定，建议复校时间间隔为</w:t>
      </w:r>
      <w:r w:rsidRPr="006064DC">
        <w:rPr>
          <w:rFonts w:ascii="Times New Roman" w:eastAsiaTheme="minorEastAsia"/>
          <w:kern w:val="2"/>
          <w:szCs w:val="21"/>
        </w:rPr>
        <w:t>1</w:t>
      </w:r>
      <w:r w:rsidRPr="006064DC">
        <w:rPr>
          <w:rFonts w:ascii="Times New Roman" w:eastAsiaTheme="minorEastAsia" w:hint="eastAsia"/>
          <w:kern w:val="2"/>
          <w:szCs w:val="21"/>
        </w:rPr>
        <w:t>年。</w:t>
      </w:r>
    </w:p>
    <w:p w:rsidR="006525E6" w:rsidRDefault="006064DC" w:rsidP="00D404FF">
      <w:pPr>
        <w:pStyle w:val="a0"/>
        <w:numPr>
          <w:ilvl w:val="0"/>
          <w:numId w:val="0"/>
        </w:numPr>
        <w:spacing w:before="156" w:after="156" w:line="360" w:lineRule="auto"/>
        <w:rPr>
          <w:rFonts w:ascii="Times New Roman"/>
          <w:szCs w:val="21"/>
        </w:rPr>
      </w:pPr>
      <w:r>
        <w:rPr>
          <w:rFonts w:ascii="Times New Roman" w:hint="eastAsia"/>
          <w:szCs w:val="21"/>
        </w:rPr>
        <w:lastRenderedPageBreak/>
        <w:t>2.</w:t>
      </w:r>
      <w:r w:rsidR="00A249C1">
        <w:rPr>
          <w:rFonts w:ascii="Times New Roman" w:hint="eastAsia"/>
          <w:szCs w:val="21"/>
        </w:rPr>
        <w:t>9</w:t>
      </w:r>
      <w:r w:rsidR="003C49BC">
        <w:rPr>
          <w:rFonts w:ascii="Times New Roman" w:hint="eastAsia"/>
          <w:szCs w:val="21"/>
        </w:rPr>
        <w:t>附录</w:t>
      </w:r>
    </w:p>
    <w:bookmarkEnd w:id="6"/>
    <w:p w:rsidR="006525E6" w:rsidRDefault="003C49BC" w:rsidP="00D404FF">
      <w:pPr>
        <w:pStyle w:val="af5"/>
        <w:spacing w:line="360" w:lineRule="auto"/>
        <w:ind w:firstLine="420"/>
        <w:rPr>
          <w:rFonts w:ascii="Times New Roman" w:eastAsiaTheme="minorEastAsia"/>
          <w:kern w:val="2"/>
          <w:szCs w:val="21"/>
        </w:rPr>
      </w:pPr>
      <w:r>
        <w:rPr>
          <w:rFonts w:ascii="Times New Roman" w:eastAsiaTheme="minorEastAsia" w:hint="eastAsia"/>
          <w:kern w:val="2"/>
          <w:szCs w:val="21"/>
        </w:rPr>
        <w:t>附录主要包含</w:t>
      </w:r>
      <w:r w:rsidR="001C27FB">
        <w:rPr>
          <w:rFonts w:ascii="Times New Roman" w:eastAsiaTheme="minorEastAsia" w:hint="eastAsia"/>
          <w:kern w:val="2"/>
          <w:szCs w:val="21"/>
        </w:rPr>
        <w:t>试剂和标准溶液配制方法、</w:t>
      </w:r>
      <w:r>
        <w:rPr>
          <w:rFonts w:ascii="Times New Roman" w:eastAsiaTheme="minorEastAsia" w:hint="eastAsia"/>
          <w:kern w:val="2"/>
          <w:szCs w:val="21"/>
        </w:rPr>
        <w:t>校准原始记录参考格式、校准证书内页参考格式、</w:t>
      </w:r>
      <w:r w:rsidR="001C27FB">
        <w:rPr>
          <w:rFonts w:ascii="Times New Roman" w:eastAsiaTheme="minorEastAsia" w:hint="eastAsia"/>
          <w:kern w:val="2"/>
          <w:szCs w:val="21"/>
        </w:rPr>
        <w:t>线性误差</w:t>
      </w:r>
      <w:r>
        <w:rPr>
          <w:rFonts w:ascii="Times New Roman" w:eastAsiaTheme="minorEastAsia" w:hint="eastAsia"/>
          <w:kern w:val="2"/>
          <w:szCs w:val="21"/>
        </w:rPr>
        <w:t>测量结果不确定度。</w:t>
      </w:r>
    </w:p>
    <w:p w:rsidR="006525E6" w:rsidRDefault="003C49BC" w:rsidP="00D404FF">
      <w:pPr>
        <w:adjustRightInd w:val="0"/>
        <w:spacing w:line="360" w:lineRule="auto"/>
        <w:rPr>
          <w:rFonts w:ascii="黑体" w:eastAsia="黑体" w:hAnsi="宋体"/>
          <w:bCs/>
          <w:szCs w:val="21"/>
        </w:rPr>
      </w:pPr>
      <w:r>
        <w:rPr>
          <w:rFonts w:ascii="黑体" w:eastAsia="黑体" w:hAnsi="宋体" w:hint="eastAsia"/>
          <w:bCs/>
          <w:szCs w:val="21"/>
        </w:rPr>
        <w:t>三、规范水平分析</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3.1</w:t>
      </w:r>
      <w:r>
        <w:rPr>
          <w:rFonts w:ascii="黑体" w:eastAsia="黑体" w:hAnsi="宋体" w:hint="eastAsia"/>
          <w:bCs/>
          <w:szCs w:val="21"/>
        </w:rPr>
        <w:t>采用国际标准及国外先进规范的程度</w:t>
      </w:r>
    </w:p>
    <w:p w:rsidR="006525E6" w:rsidRPr="001C27FB" w:rsidRDefault="003C49BC" w:rsidP="001C27FB">
      <w:pPr>
        <w:spacing w:line="360" w:lineRule="auto"/>
        <w:ind w:firstLineChars="200" w:firstLine="420"/>
        <w:rPr>
          <w:rFonts w:ascii="宋体" w:hAnsi="宋体"/>
          <w:bCs/>
          <w:szCs w:val="21"/>
        </w:rPr>
      </w:pPr>
      <w:r>
        <w:rPr>
          <w:rFonts w:ascii="宋体" w:hAnsi="宋体" w:hint="eastAsia"/>
          <w:bCs/>
          <w:szCs w:val="21"/>
        </w:rPr>
        <w:t>据查，</w:t>
      </w:r>
      <w:proofErr w:type="gramStart"/>
      <w:r w:rsidR="001C27FB">
        <w:rPr>
          <w:rFonts w:ascii="宋体" w:hAnsi="宋体" w:hint="eastAsia"/>
          <w:bCs/>
          <w:szCs w:val="21"/>
        </w:rPr>
        <w:t>目前内</w:t>
      </w:r>
      <w:proofErr w:type="gramEnd"/>
      <w:r w:rsidR="001C27FB" w:rsidRPr="001C27FB">
        <w:rPr>
          <w:rFonts w:ascii="宋体" w:hAnsi="宋体" w:hint="eastAsia"/>
          <w:bCs/>
          <w:szCs w:val="21"/>
        </w:rPr>
        <w:t>北京、贵州《烷基汞分析仪校准规范》，计量特性增加了“测量线性”，能够更好的适应检测标准的要求。</w:t>
      </w:r>
    </w:p>
    <w:p w:rsidR="006525E6" w:rsidRDefault="003C49BC" w:rsidP="00D404FF">
      <w:pPr>
        <w:adjustRightInd w:val="0"/>
        <w:spacing w:line="360" w:lineRule="auto"/>
        <w:rPr>
          <w:rFonts w:ascii="黑体" w:eastAsia="黑体" w:hAnsi="宋体"/>
          <w:bCs/>
          <w:szCs w:val="21"/>
        </w:rPr>
      </w:pPr>
      <w:r>
        <w:rPr>
          <w:rFonts w:ascii="黑体" w:eastAsia="黑体" w:hAnsi="宋体"/>
          <w:bCs/>
          <w:szCs w:val="21"/>
        </w:rPr>
        <w:t>3.2</w:t>
      </w:r>
      <w:r>
        <w:rPr>
          <w:rFonts w:ascii="黑体" w:eastAsia="黑体" w:hAnsi="宋体" w:hint="eastAsia"/>
          <w:bCs/>
          <w:szCs w:val="21"/>
        </w:rPr>
        <w:t>与国际及国外同类标准水平的对比分析</w:t>
      </w:r>
    </w:p>
    <w:p w:rsidR="00964023" w:rsidRDefault="00964023" w:rsidP="00964023">
      <w:pPr>
        <w:spacing w:line="360" w:lineRule="auto"/>
        <w:ind w:firstLineChars="200" w:firstLine="420"/>
        <w:rPr>
          <w:bCs/>
          <w:sz w:val="18"/>
        </w:rPr>
      </w:pPr>
      <w:r>
        <w:rPr>
          <w:rFonts w:ascii="宋体" w:hAnsi="宋体" w:hint="eastAsia"/>
          <w:bCs/>
          <w:szCs w:val="21"/>
        </w:rPr>
        <w:t>目前国外没有相关技术规范，本规范水平达到国外先进水平。</w:t>
      </w:r>
    </w:p>
    <w:p w:rsidR="006525E6" w:rsidRPr="00964023" w:rsidRDefault="003C49BC" w:rsidP="001C27FB">
      <w:pPr>
        <w:spacing w:line="360" w:lineRule="auto"/>
        <w:rPr>
          <w:rFonts w:ascii="黑体" w:eastAsia="黑体"/>
          <w:kern w:val="0"/>
          <w:szCs w:val="20"/>
        </w:rPr>
      </w:pPr>
      <w:r w:rsidRPr="00964023">
        <w:rPr>
          <w:rFonts w:ascii="黑体" w:eastAsia="黑体" w:hint="eastAsia"/>
          <w:kern w:val="0"/>
          <w:szCs w:val="20"/>
        </w:rPr>
        <w:t>四、与有关的现行法律、法规和强制性国家标准的关系</w:t>
      </w:r>
    </w:p>
    <w:p w:rsidR="006525E6" w:rsidRDefault="003C49BC" w:rsidP="00D404FF">
      <w:pPr>
        <w:pStyle w:val="af5"/>
        <w:spacing w:line="276" w:lineRule="auto"/>
        <w:ind w:firstLine="420"/>
      </w:pPr>
      <w:r>
        <w:rPr>
          <w:rFonts w:hint="eastAsia"/>
        </w:rPr>
        <w:t>本规范所引用的规程及规范均为我国现行有效的计量规程及规范，是本规范的一部分，引用这些规程及规范后，使本规范的要求与现行的相关法律、法规、规章及相关规程规范的关系不矛盾、不冲突，其相互关系非常协调。</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49" w:name="_Toc464728973"/>
      <w:r>
        <w:rPr>
          <w:rFonts w:hint="eastAsia"/>
        </w:rPr>
        <w:t>五、规范中涉及的专利或知识产权说明</w:t>
      </w:r>
      <w:bookmarkEnd w:id="49"/>
    </w:p>
    <w:p w:rsidR="006525E6" w:rsidRDefault="003C49BC" w:rsidP="00D404FF">
      <w:pPr>
        <w:pStyle w:val="af5"/>
        <w:spacing w:line="276" w:lineRule="auto"/>
        <w:ind w:firstLineChars="0"/>
        <w:contextualSpacing/>
        <w:rPr>
          <w:szCs w:val="21"/>
        </w:rPr>
      </w:pPr>
      <w:bookmarkStart w:id="50" w:name="_Toc464728974"/>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六、重大分歧意见的处理经过和依据</w:t>
      </w:r>
      <w:bookmarkEnd w:id="50"/>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t>七、规范作为强制性或推荐性国家（或行业）标准的建议</w:t>
      </w:r>
    </w:p>
    <w:p w:rsidR="006525E6" w:rsidRDefault="003C49BC" w:rsidP="00D404FF">
      <w:pPr>
        <w:adjustRightInd w:val="0"/>
        <w:spacing w:line="276" w:lineRule="auto"/>
        <w:ind w:firstLineChars="200" w:firstLine="420"/>
        <w:rPr>
          <w:rFonts w:hAnsi="宋体"/>
          <w:bCs/>
          <w:szCs w:val="21"/>
        </w:rPr>
      </w:pPr>
      <w:r>
        <w:rPr>
          <w:rFonts w:hAnsi="宋体" w:hint="eastAsia"/>
          <w:bCs/>
          <w:szCs w:val="21"/>
        </w:rPr>
        <w:t>建议本规范作为推荐性行业计量技术规范，供相关行业参考采用。</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1" w:name="_Toc464728976"/>
      <w:r>
        <w:rPr>
          <w:rFonts w:hint="eastAsia"/>
        </w:rPr>
        <w:t>八、贯彻规范的要求和措施建议</w:t>
      </w:r>
      <w:bookmarkEnd w:id="51"/>
    </w:p>
    <w:p w:rsidR="006525E6" w:rsidRDefault="003C49BC" w:rsidP="00D404FF">
      <w:pPr>
        <w:pStyle w:val="af5"/>
        <w:spacing w:line="276" w:lineRule="auto"/>
        <w:ind w:firstLine="420"/>
        <w:contextualSpacing/>
        <w:rPr>
          <w:rFonts w:ascii="Times New Roman" w:hAnsi="宋体"/>
          <w:bCs/>
          <w:kern w:val="2"/>
          <w:szCs w:val="21"/>
        </w:rPr>
      </w:pPr>
      <w:r>
        <w:rPr>
          <w:rFonts w:ascii="Times New Roman" w:hAnsi="宋体" w:hint="eastAsia"/>
          <w:bCs/>
          <w:kern w:val="2"/>
          <w:szCs w:val="21"/>
        </w:rPr>
        <w:t>本规范发布后，中国有色金属行业协会和有色金属行业计量技术委员会应加强本规范的宣传力度，促进各实验室以及计量技术机构对本规范的使用，以确保</w:t>
      </w:r>
      <w:r w:rsidR="001C27FB">
        <w:rPr>
          <w:rFonts w:ascii="Times New Roman" w:hAnsi="宋体" w:hint="eastAsia"/>
          <w:bCs/>
          <w:kern w:val="2"/>
          <w:szCs w:val="21"/>
        </w:rPr>
        <w:t>烷基</w:t>
      </w:r>
      <w:proofErr w:type="gramStart"/>
      <w:r w:rsidR="001C27FB">
        <w:rPr>
          <w:rFonts w:ascii="Times New Roman" w:hAnsi="宋体" w:hint="eastAsia"/>
          <w:bCs/>
          <w:kern w:val="2"/>
          <w:szCs w:val="21"/>
        </w:rPr>
        <w:t>汞分析</w:t>
      </w:r>
      <w:proofErr w:type="gramEnd"/>
      <w:r w:rsidR="001C27FB">
        <w:rPr>
          <w:rFonts w:ascii="Times New Roman" w:hAnsi="宋体" w:hint="eastAsia"/>
          <w:bCs/>
          <w:kern w:val="2"/>
          <w:szCs w:val="21"/>
        </w:rPr>
        <w:t>仪量值</w:t>
      </w:r>
      <w:r>
        <w:rPr>
          <w:rFonts w:ascii="Times New Roman" w:hAnsi="宋体" w:hint="eastAsia"/>
          <w:bCs/>
          <w:kern w:val="2"/>
          <w:szCs w:val="21"/>
        </w:rPr>
        <w:t>的准确，保障人民生产生活的安全，促进金属行业化工</w:t>
      </w:r>
      <w:r w:rsidR="001C27FB">
        <w:rPr>
          <w:rFonts w:ascii="Times New Roman" w:hAnsi="宋体" w:hint="eastAsia"/>
          <w:bCs/>
          <w:kern w:val="2"/>
          <w:szCs w:val="21"/>
        </w:rPr>
        <w:t>环保</w:t>
      </w:r>
      <w:r>
        <w:rPr>
          <w:rFonts w:ascii="Times New Roman" w:hAnsi="宋体" w:hint="eastAsia"/>
          <w:bCs/>
          <w:kern w:val="2"/>
          <w:szCs w:val="21"/>
        </w:rPr>
        <w:t>领域的发展。</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bookmarkStart w:id="52" w:name="_Toc464728977"/>
      <w:r>
        <w:rPr>
          <w:rFonts w:hint="eastAsia"/>
        </w:rPr>
        <w:t>九、废止现行有关规范的建议</w:t>
      </w:r>
      <w:bookmarkEnd w:id="52"/>
    </w:p>
    <w:p w:rsidR="006525E6" w:rsidRDefault="003C49BC" w:rsidP="00D404FF">
      <w:pPr>
        <w:pStyle w:val="af5"/>
        <w:spacing w:line="276" w:lineRule="auto"/>
        <w:ind w:firstLine="420"/>
        <w:contextualSpacing/>
        <w:rPr>
          <w:szCs w:val="21"/>
        </w:rPr>
      </w:pPr>
      <w:r>
        <w:rPr>
          <w:rFonts w:hint="eastAsia"/>
          <w:szCs w:val="21"/>
        </w:rPr>
        <w:t>（无）。</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int="eastAsia"/>
        </w:rPr>
        <w:lastRenderedPageBreak/>
        <w:t>十、预期效果</w:t>
      </w:r>
    </w:p>
    <w:p w:rsidR="006525E6" w:rsidRDefault="001C27FB" w:rsidP="00D404FF">
      <w:pPr>
        <w:pStyle w:val="af5"/>
        <w:spacing w:line="276" w:lineRule="auto"/>
        <w:ind w:firstLineChars="0"/>
        <w:contextualSpacing/>
        <w:rPr>
          <w:rFonts w:cs="宋体"/>
          <w:szCs w:val="21"/>
        </w:rPr>
      </w:pPr>
      <w:r>
        <w:rPr>
          <w:rFonts w:ascii="Times New Roman" w:hAnsi="宋体" w:hint="eastAsia"/>
          <w:bCs/>
          <w:kern w:val="2"/>
          <w:szCs w:val="21"/>
        </w:rPr>
        <w:t>烷基</w:t>
      </w:r>
      <w:proofErr w:type="gramStart"/>
      <w:r>
        <w:rPr>
          <w:rFonts w:ascii="Times New Roman" w:hAnsi="宋体" w:hint="eastAsia"/>
          <w:bCs/>
          <w:kern w:val="2"/>
          <w:szCs w:val="21"/>
        </w:rPr>
        <w:t>汞分析</w:t>
      </w:r>
      <w:proofErr w:type="gramEnd"/>
      <w:r>
        <w:rPr>
          <w:rFonts w:ascii="Times New Roman" w:hAnsi="宋体" w:hint="eastAsia"/>
          <w:bCs/>
          <w:kern w:val="2"/>
          <w:szCs w:val="21"/>
        </w:rPr>
        <w:t>仪</w:t>
      </w:r>
      <w:r w:rsidR="003C49BC">
        <w:rPr>
          <w:rFonts w:cs="宋体" w:hint="eastAsia"/>
          <w:szCs w:val="21"/>
        </w:rPr>
        <w:t>校准规范的制定，</w:t>
      </w:r>
      <w:r w:rsidR="003C49BC">
        <w:rPr>
          <w:rFonts w:cs="宋体" w:hint="eastAsia"/>
          <w:kern w:val="2"/>
          <w:szCs w:val="21"/>
        </w:rPr>
        <w:t>具有极大的经济效益和社会效益，填补了有色金属行业领域校准空白，能够很好的满足有色金属领域分析检测实验室对于</w:t>
      </w:r>
      <w:r>
        <w:rPr>
          <w:rFonts w:ascii="Times New Roman" w:hAnsi="宋体" w:hint="eastAsia"/>
          <w:bCs/>
          <w:kern w:val="2"/>
          <w:szCs w:val="21"/>
        </w:rPr>
        <w:t>烷基</w:t>
      </w:r>
      <w:proofErr w:type="gramStart"/>
      <w:r>
        <w:rPr>
          <w:rFonts w:ascii="Times New Roman" w:hAnsi="宋体" w:hint="eastAsia"/>
          <w:bCs/>
          <w:kern w:val="2"/>
          <w:szCs w:val="21"/>
        </w:rPr>
        <w:t>汞分析</w:t>
      </w:r>
      <w:proofErr w:type="gramEnd"/>
      <w:r>
        <w:rPr>
          <w:rFonts w:ascii="Times New Roman" w:hAnsi="宋体" w:hint="eastAsia"/>
          <w:bCs/>
          <w:kern w:val="2"/>
          <w:szCs w:val="21"/>
        </w:rPr>
        <w:t>仪</w:t>
      </w:r>
      <w:r w:rsidR="003C49BC">
        <w:rPr>
          <w:rFonts w:cs="宋体" w:hint="eastAsia"/>
          <w:kern w:val="2"/>
          <w:szCs w:val="21"/>
        </w:rPr>
        <w:t>的校准需求，进而保证试验结果的可信度，使得产品的安全性。</w:t>
      </w:r>
    </w:p>
    <w:p w:rsidR="006525E6" w:rsidRDefault="003C49BC" w:rsidP="00D404FF">
      <w:pPr>
        <w:pStyle w:val="afa"/>
        <w:tabs>
          <w:tab w:val="left" w:pos="426"/>
        </w:tabs>
        <w:spacing w:beforeLines="100" w:before="312" w:afterLines="100" w:after="312" w:line="276" w:lineRule="auto"/>
        <w:ind w:leftChars="-200" w:left="-420" w:firstLineChars="200" w:firstLine="420"/>
        <w:jc w:val="left"/>
      </w:pPr>
      <w:r>
        <w:rPr>
          <w:rFonts w:hAnsi="宋体" w:hint="eastAsia"/>
          <w:bCs/>
          <w:szCs w:val="21"/>
        </w:rPr>
        <w:t>十一、其他应予说明的事项</w:t>
      </w:r>
    </w:p>
    <w:p w:rsidR="006525E6" w:rsidRDefault="003C49BC" w:rsidP="00D404FF">
      <w:pPr>
        <w:pStyle w:val="af5"/>
        <w:spacing w:line="276" w:lineRule="auto"/>
        <w:ind w:firstLineChars="0"/>
        <w:contextualSpacing/>
        <w:rPr>
          <w:rFonts w:ascii="Times New Roman"/>
          <w:szCs w:val="21"/>
        </w:rPr>
      </w:pPr>
      <w:r>
        <w:rPr>
          <w:rFonts w:hint="eastAsia"/>
          <w:szCs w:val="21"/>
        </w:rPr>
        <w:t>（无）。</w:t>
      </w:r>
    </w:p>
    <w:p w:rsidR="006525E6" w:rsidRDefault="003C49BC" w:rsidP="00D404FF">
      <w:pPr>
        <w:spacing w:line="276" w:lineRule="auto"/>
        <w:jc w:val="right"/>
        <w:rPr>
          <w:rFonts w:asciiTheme="minorEastAsia" w:eastAsiaTheme="minorEastAsia" w:hAnsiTheme="minorEastAsia" w:cstheme="minorEastAsia"/>
          <w:bCs/>
          <w:szCs w:val="21"/>
        </w:rPr>
      </w:pPr>
      <w:r>
        <w:rPr>
          <w:rFonts w:ascii="黑体" w:eastAsia="黑体"/>
          <w:bCs/>
        </w:rPr>
        <w:t xml:space="preserve">         </w:t>
      </w:r>
      <w:r>
        <w:rPr>
          <w:rFonts w:ascii="黑体" w:eastAsia="黑体" w:hAnsi="黑体"/>
          <w:bCs/>
        </w:rPr>
        <w:t xml:space="preserve">     </w:t>
      </w:r>
      <w:r>
        <w:rPr>
          <w:rFonts w:asciiTheme="minorEastAsia" w:eastAsiaTheme="minorEastAsia" w:hAnsiTheme="minorEastAsia" w:cstheme="minorEastAsia" w:hint="eastAsia"/>
          <w:bCs/>
          <w:szCs w:val="21"/>
        </w:rPr>
        <w:t xml:space="preserve"> 《</w:t>
      </w:r>
      <w:r w:rsidR="001C27FB">
        <w:rPr>
          <w:rFonts w:asciiTheme="minorEastAsia" w:eastAsiaTheme="minorEastAsia" w:hAnsiTheme="minorEastAsia" w:cstheme="minorEastAsia" w:hint="eastAsia"/>
          <w:bCs/>
          <w:szCs w:val="21"/>
        </w:rPr>
        <w:t>烷基汞分析仪</w:t>
      </w:r>
      <w:r>
        <w:rPr>
          <w:rFonts w:asciiTheme="minorEastAsia" w:eastAsiaTheme="minorEastAsia" w:hAnsiTheme="minorEastAsia" w:cstheme="minorEastAsia" w:hint="eastAsia"/>
          <w:bCs/>
          <w:szCs w:val="21"/>
        </w:rPr>
        <w:t>校准规范</w:t>
      </w:r>
      <w:r>
        <w:rPr>
          <w:rFonts w:asciiTheme="minorEastAsia" w:eastAsiaTheme="minorEastAsia" w:hAnsiTheme="minorEastAsia" w:cstheme="minorEastAsia" w:hint="eastAsia"/>
          <w:bCs/>
          <w:kern w:val="0"/>
          <w:szCs w:val="21"/>
        </w:rPr>
        <w:t>》规范编制组</w:t>
      </w:r>
    </w:p>
    <w:p w:rsidR="006525E6" w:rsidRDefault="003C49BC">
      <w:pPr>
        <w:adjustRightInd w:val="0"/>
        <w:snapToGrid w:val="0"/>
        <w:spacing w:line="360" w:lineRule="auto"/>
        <w:ind w:right="105"/>
        <w:jc w:val="right"/>
        <w:textAlignment w:val="top"/>
        <w:rPr>
          <w:rFonts w:asciiTheme="minorEastAsia" w:eastAsiaTheme="minorEastAsia" w:hAnsiTheme="minorEastAsia" w:cstheme="minorEastAsia"/>
          <w:bCs/>
        </w:rPr>
      </w:pPr>
      <w:r>
        <w:rPr>
          <w:rFonts w:asciiTheme="minorEastAsia" w:eastAsiaTheme="minorEastAsia" w:hAnsiTheme="minorEastAsia" w:cstheme="minorEastAsia" w:hint="eastAsia"/>
          <w:bCs/>
        </w:rPr>
        <w:t>202</w:t>
      </w:r>
      <w:r w:rsidR="00520159">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年</w:t>
      </w:r>
      <w:r w:rsidR="00520159">
        <w:rPr>
          <w:rFonts w:asciiTheme="minorEastAsia" w:eastAsiaTheme="minorEastAsia" w:hAnsiTheme="minorEastAsia" w:cstheme="minorEastAsia" w:hint="eastAsia"/>
          <w:bCs/>
        </w:rPr>
        <w:t>4</w:t>
      </w:r>
      <w:r>
        <w:rPr>
          <w:rFonts w:asciiTheme="minorEastAsia" w:eastAsiaTheme="minorEastAsia" w:hAnsiTheme="minorEastAsia" w:cstheme="minorEastAsia" w:hint="eastAsia"/>
          <w:bCs/>
        </w:rPr>
        <w:t>月</w:t>
      </w:r>
      <w:r w:rsidR="00520159">
        <w:rPr>
          <w:rFonts w:asciiTheme="minorEastAsia" w:eastAsiaTheme="minorEastAsia" w:hAnsiTheme="minorEastAsia" w:cstheme="minorEastAsia" w:hint="eastAsia"/>
          <w:bCs/>
        </w:rPr>
        <w:t>3</w:t>
      </w:r>
      <w:r>
        <w:rPr>
          <w:rFonts w:asciiTheme="minorEastAsia" w:eastAsiaTheme="minorEastAsia" w:hAnsiTheme="minorEastAsia" w:cstheme="minorEastAsia" w:hint="eastAsia"/>
          <w:bCs/>
        </w:rPr>
        <w:t>日</w:t>
      </w:r>
    </w:p>
    <w:sectPr w:rsidR="006525E6">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D52" w:rsidRDefault="00CB7D52">
      <w:r>
        <w:separator/>
      </w:r>
    </w:p>
  </w:endnote>
  <w:endnote w:type="continuationSeparator" w:id="0">
    <w:p w:rsidR="00CB7D52" w:rsidRDefault="00CB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3C49BC">
    <w:pPr>
      <w:pStyle w:val="af"/>
      <w:jc w:val="center"/>
    </w:pPr>
    <w:r>
      <w:rPr>
        <w:noProof/>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436722">
                            <w:rPr>
                              <w:noProof/>
                            </w:rPr>
                            <w:t>1</w:t>
                          </w:r>
                          <w:r>
                            <w:fldChar w:fldCharType="end"/>
                          </w:r>
                          <w:r>
                            <w:t xml:space="preserve"> </w:t>
                          </w:r>
                          <w:r>
                            <w:t>页</w:t>
                          </w:r>
                          <w:r>
                            <w:t xml:space="preserve"> </w:t>
                          </w:r>
                          <w:r>
                            <w:t>共</w:t>
                          </w:r>
                          <w:r>
                            <w:t xml:space="preserve"> </w:t>
                          </w:r>
                          <w:r w:rsidR="00CB7D52">
                            <w:fldChar w:fldCharType="begin"/>
                          </w:r>
                          <w:r w:rsidR="00CB7D52">
                            <w:instrText xml:space="preserve"> NUMPAGES  \* MERGEFORMAT </w:instrText>
                          </w:r>
                          <w:r w:rsidR="00CB7D52">
                            <w:fldChar w:fldCharType="separate"/>
                          </w:r>
                          <w:r w:rsidR="00436722">
                            <w:rPr>
                              <w:noProof/>
                            </w:rPr>
                            <w:t>5</w:t>
                          </w:r>
                          <w:r w:rsidR="00CB7D52">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7.65pt;margin-top:-8.1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" filled="f" stroked="f" strokeweight=".5pt">
              <v:textbox style="mso-fit-shape-to-text:t" inset="0,0,0,0">
                <w:txbxContent>
                  <w:p w:rsidR="006525E6" w:rsidRDefault="003C49BC">
                    <w:pPr>
                      <w:pStyle w:val="af"/>
                      <w:jc w:val="center"/>
                    </w:pPr>
                    <w:r>
                      <w:t>第</w:t>
                    </w:r>
                    <w:r>
                      <w:t xml:space="preserve"> </w:t>
                    </w:r>
                    <w:r>
                      <w:fldChar w:fldCharType="begin"/>
                    </w:r>
                    <w:r>
                      <w:instrText xml:space="preserve"> PAGE  \* MERGEFORMAT </w:instrText>
                    </w:r>
                    <w:r>
                      <w:fldChar w:fldCharType="separate"/>
                    </w:r>
                    <w:r w:rsidR="00436722">
                      <w:rPr>
                        <w:noProof/>
                      </w:rPr>
                      <w:t>1</w:t>
                    </w:r>
                    <w:r>
                      <w:fldChar w:fldCharType="end"/>
                    </w:r>
                    <w:r>
                      <w:t xml:space="preserve"> </w:t>
                    </w:r>
                    <w:r>
                      <w:t>页</w:t>
                    </w:r>
                    <w:r>
                      <w:t xml:space="preserve"> </w:t>
                    </w:r>
                    <w:r>
                      <w:t>共</w:t>
                    </w:r>
                    <w:r>
                      <w:t xml:space="preserve"> </w:t>
                    </w:r>
                    <w:r w:rsidR="00CB7D52">
                      <w:fldChar w:fldCharType="begin"/>
                    </w:r>
                    <w:r w:rsidR="00CB7D52">
                      <w:instrText xml:space="preserve"> NUMPAGES  \* MERGEFORMAT </w:instrText>
                    </w:r>
                    <w:r w:rsidR="00CB7D52">
                      <w:fldChar w:fldCharType="separate"/>
                    </w:r>
                    <w:r w:rsidR="00436722">
                      <w:rPr>
                        <w:noProof/>
                      </w:rPr>
                      <w:t>5</w:t>
                    </w:r>
                    <w:r w:rsidR="00CB7D52">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D52" w:rsidRDefault="00CB7D52">
      <w:r>
        <w:separator/>
      </w:r>
    </w:p>
  </w:footnote>
  <w:footnote w:type="continuationSeparator" w:id="0">
    <w:p w:rsidR="00CB7D52" w:rsidRDefault="00CB7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E6" w:rsidRDefault="006525E6">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05479"/>
    <w:multiLevelType w:val="singleLevel"/>
    <w:tmpl w:val="A8705479"/>
    <w:lvl w:ilvl="0">
      <w:start w:val="1"/>
      <w:numFmt w:val="decimal"/>
      <w:suff w:val="space"/>
      <w:lvlText w:val="%1."/>
      <w:lvlJc w:val="left"/>
    </w:lvl>
  </w:abstractNum>
  <w:abstractNum w:abstractNumId="1">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mOWIzZmIyMGIwMjI4ZDdjMjEwNjA1ZWI0MDg5ODY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555F9"/>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7FB"/>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49BC"/>
    <w:rsid w:val="003C53BE"/>
    <w:rsid w:val="003C7B3E"/>
    <w:rsid w:val="003C7F9F"/>
    <w:rsid w:val="003D056A"/>
    <w:rsid w:val="003D1E1B"/>
    <w:rsid w:val="003D4705"/>
    <w:rsid w:val="003D6067"/>
    <w:rsid w:val="003D706F"/>
    <w:rsid w:val="003D7247"/>
    <w:rsid w:val="003E1E2F"/>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722"/>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0159"/>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064DC"/>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25E6"/>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7634B"/>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023"/>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C7B18"/>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49C1"/>
    <w:rsid w:val="00A27E01"/>
    <w:rsid w:val="00A33BBD"/>
    <w:rsid w:val="00A347A3"/>
    <w:rsid w:val="00A349E7"/>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1F8E"/>
    <w:rsid w:val="00CA381C"/>
    <w:rsid w:val="00CA3F07"/>
    <w:rsid w:val="00CB0CCE"/>
    <w:rsid w:val="00CB42F0"/>
    <w:rsid w:val="00CB51A3"/>
    <w:rsid w:val="00CB6203"/>
    <w:rsid w:val="00CB7D52"/>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5A49"/>
    <w:rsid w:val="00D06B0F"/>
    <w:rsid w:val="00D14155"/>
    <w:rsid w:val="00D15F81"/>
    <w:rsid w:val="00D16AC6"/>
    <w:rsid w:val="00D176EE"/>
    <w:rsid w:val="00D17820"/>
    <w:rsid w:val="00D17D36"/>
    <w:rsid w:val="00D20A65"/>
    <w:rsid w:val="00D2318E"/>
    <w:rsid w:val="00D237B9"/>
    <w:rsid w:val="00D23D5D"/>
    <w:rsid w:val="00D24C76"/>
    <w:rsid w:val="00D2695E"/>
    <w:rsid w:val="00D26EDF"/>
    <w:rsid w:val="00D27CA9"/>
    <w:rsid w:val="00D33B68"/>
    <w:rsid w:val="00D355C9"/>
    <w:rsid w:val="00D35A3A"/>
    <w:rsid w:val="00D36FF7"/>
    <w:rsid w:val="00D404FF"/>
    <w:rsid w:val="00D43454"/>
    <w:rsid w:val="00D43F68"/>
    <w:rsid w:val="00D50A0A"/>
    <w:rsid w:val="00D565D1"/>
    <w:rsid w:val="00D57533"/>
    <w:rsid w:val="00D57DFC"/>
    <w:rsid w:val="00D6076E"/>
    <w:rsid w:val="00D60771"/>
    <w:rsid w:val="00D614FE"/>
    <w:rsid w:val="00D6185B"/>
    <w:rsid w:val="00D64070"/>
    <w:rsid w:val="00D643CD"/>
    <w:rsid w:val="00D649DC"/>
    <w:rsid w:val="00D652A6"/>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E25AA"/>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0D60"/>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2CE8"/>
    <w:rsid w:val="00F94EDA"/>
    <w:rsid w:val="00F96197"/>
    <w:rsid w:val="00FA066E"/>
    <w:rsid w:val="00FA0A70"/>
    <w:rsid w:val="00FA36E2"/>
    <w:rsid w:val="00FA3917"/>
    <w:rsid w:val="00FA5CFF"/>
    <w:rsid w:val="00FB2969"/>
    <w:rsid w:val="00FB6236"/>
    <w:rsid w:val="00FB78B6"/>
    <w:rsid w:val="00FB79AF"/>
    <w:rsid w:val="00FC07CA"/>
    <w:rsid w:val="00FC1AE6"/>
    <w:rsid w:val="00FC3C4D"/>
    <w:rsid w:val="00FC3FF6"/>
    <w:rsid w:val="00FC7FC2"/>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54363E9"/>
    <w:rsid w:val="08AF79C5"/>
    <w:rsid w:val="09402D37"/>
    <w:rsid w:val="0B510E78"/>
    <w:rsid w:val="0C994C14"/>
    <w:rsid w:val="0D1C71DB"/>
    <w:rsid w:val="0D5112A8"/>
    <w:rsid w:val="0DB103FD"/>
    <w:rsid w:val="0DB62202"/>
    <w:rsid w:val="0EA01F2C"/>
    <w:rsid w:val="0ECD1618"/>
    <w:rsid w:val="0F046843"/>
    <w:rsid w:val="0F4960E8"/>
    <w:rsid w:val="0FD961E1"/>
    <w:rsid w:val="0FFC60A7"/>
    <w:rsid w:val="0FFD1EEF"/>
    <w:rsid w:val="11580B6C"/>
    <w:rsid w:val="115B55D4"/>
    <w:rsid w:val="126E7A09"/>
    <w:rsid w:val="13F10A99"/>
    <w:rsid w:val="14251CC4"/>
    <w:rsid w:val="14E223F3"/>
    <w:rsid w:val="154C457C"/>
    <w:rsid w:val="163F2D2D"/>
    <w:rsid w:val="181878E8"/>
    <w:rsid w:val="196656B5"/>
    <w:rsid w:val="19D813C6"/>
    <w:rsid w:val="1A7B17FC"/>
    <w:rsid w:val="1B3E222D"/>
    <w:rsid w:val="1DFD3AB5"/>
    <w:rsid w:val="236269FD"/>
    <w:rsid w:val="24500F51"/>
    <w:rsid w:val="264362D5"/>
    <w:rsid w:val="2B6A69EA"/>
    <w:rsid w:val="2F3F109E"/>
    <w:rsid w:val="31D30F8D"/>
    <w:rsid w:val="32CF2B4C"/>
    <w:rsid w:val="33A855B9"/>
    <w:rsid w:val="34915439"/>
    <w:rsid w:val="36294EFF"/>
    <w:rsid w:val="366B4F50"/>
    <w:rsid w:val="3A6A7A9F"/>
    <w:rsid w:val="3B506247"/>
    <w:rsid w:val="3C2D4B77"/>
    <w:rsid w:val="3C4804B8"/>
    <w:rsid w:val="3D540C00"/>
    <w:rsid w:val="3E4C126D"/>
    <w:rsid w:val="3FFB769C"/>
    <w:rsid w:val="424972B2"/>
    <w:rsid w:val="42CD2859"/>
    <w:rsid w:val="461756FA"/>
    <w:rsid w:val="46E43C6C"/>
    <w:rsid w:val="49ED573E"/>
    <w:rsid w:val="4B7142E8"/>
    <w:rsid w:val="4DF72F6D"/>
    <w:rsid w:val="519E65DF"/>
    <w:rsid w:val="51C34A47"/>
    <w:rsid w:val="55BF234C"/>
    <w:rsid w:val="55CC27F2"/>
    <w:rsid w:val="564A178B"/>
    <w:rsid w:val="57415D20"/>
    <w:rsid w:val="588B31DD"/>
    <w:rsid w:val="595F0132"/>
    <w:rsid w:val="5A8913F1"/>
    <w:rsid w:val="5B9F2DFD"/>
    <w:rsid w:val="5BBE3B49"/>
    <w:rsid w:val="5E361946"/>
    <w:rsid w:val="62C244A7"/>
    <w:rsid w:val="635C4B8E"/>
    <w:rsid w:val="645D0E2E"/>
    <w:rsid w:val="65F509DC"/>
    <w:rsid w:val="661E7DA3"/>
    <w:rsid w:val="66471C44"/>
    <w:rsid w:val="6AD2505B"/>
    <w:rsid w:val="6C0D48EE"/>
    <w:rsid w:val="6C715A3C"/>
    <w:rsid w:val="6CC25367"/>
    <w:rsid w:val="6D1337BB"/>
    <w:rsid w:val="6D4F6A9B"/>
    <w:rsid w:val="6EAB3BD4"/>
    <w:rsid w:val="6FE72B43"/>
    <w:rsid w:val="72BE258A"/>
    <w:rsid w:val="74145A7A"/>
    <w:rsid w:val="75411574"/>
    <w:rsid w:val="76657642"/>
    <w:rsid w:val="77266CAE"/>
    <w:rsid w:val="78CE66EC"/>
    <w:rsid w:val="7D6D5AB9"/>
    <w:rsid w:val="7E0D45A7"/>
    <w:rsid w:val="7ECD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semiHidden="0" w:qFormat="1"/>
    <w:lsdException w:name="Body Text First Indent 2" w:semiHidden="0" w:qFormat="1"/>
    <w:lsdException w:name="Note Heading" w:unhideWhenUsed="1"/>
    <w:lsdException w:name="Body Text 2" w:semiHidden="0" w:qFormat="1"/>
    <w:lsdException w:name="Body Text 3" w:unhideWhenUsed="1"/>
    <w:lsdException w:name="Body Text Indent 2" w:semiHidden="0" w:qFormat="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59" w:qFormat="1"/>
    <w:lsdException w:name="Table Theme"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pPr>
      <w:widowControl w:val="0"/>
      <w:jc w:val="both"/>
    </w:pPr>
    <w:rPr>
      <w:kern w:val="2"/>
      <w:sz w:val="21"/>
      <w:szCs w:val="24"/>
    </w:rPr>
  </w:style>
  <w:style w:type="paragraph" w:styleId="2">
    <w:name w:val="heading 2"/>
    <w:basedOn w:val="a6"/>
    <w:next w:val="a6"/>
    <w:link w:val="2Char"/>
    <w:uiPriority w:val="99"/>
    <w:qFormat/>
    <w:pPr>
      <w:keepNext/>
      <w:keepLines/>
      <w:spacing w:before="260" w:after="260" w:line="416" w:lineRule="auto"/>
      <w:outlineLvl w:val="1"/>
    </w:pPr>
    <w:rPr>
      <w:rFonts w:ascii="Arial" w:eastAsia="黑体" w:hAnsi="Arial"/>
      <w:b/>
      <w:bCs/>
      <w:sz w:val="32"/>
      <w:szCs w:val="3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uiPriority w:val="99"/>
    <w:semiHidden/>
    <w:qFormat/>
    <w:pPr>
      <w:jc w:val="left"/>
    </w:pPr>
  </w:style>
  <w:style w:type="paragraph" w:styleId="ab">
    <w:name w:val="Body Text"/>
    <w:basedOn w:val="a6"/>
    <w:link w:val="Char"/>
    <w:uiPriority w:val="99"/>
    <w:qFormat/>
    <w:pPr>
      <w:spacing w:after="120"/>
    </w:pPr>
  </w:style>
  <w:style w:type="paragraph" w:styleId="ac">
    <w:name w:val="Body Text Indent"/>
    <w:basedOn w:val="a6"/>
    <w:link w:val="Char0"/>
    <w:uiPriority w:val="99"/>
    <w:qFormat/>
    <w:pPr>
      <w:spacing w:after="120"/>
      <w:ind w:leftChars="200" w:left="420"/>
    </w:pPr>
  </w:style>
  <w:style w:type="paragraph" w:styleId="ad">
    <w:name w:val="Date"/>
    <w:basedOn w:val="a6"/>
    <w:next w:val="a6"/>
    <w:link w:val="Char1"/>
    <w:uiPriority w:val="99"/>
    <w:qFormat/>
    <w:pPr>
      <w:ind w:leftChars="2500" w:left="100"/>
    </w:pPr>
  </w:style>
  <w:style w:type="paragraph" w:styleId="20">
    <w:name w:val="Body Text Indent 2"/>
    <w:basedOn w:val="a6"/>
    <w:link w:val="2Char0"/>
    <w:uiPriority w:val="99"/>
    <w:qFormat/>
    <w:pPr>
      <w:spacing w:after="120" w:line="480" w:lineRule="auto"/>
      <w:ind w:leftChars="200" w:left="420"/>
    </w:pPr>
  </w:style>
  <w:style w:type="paragraph" w:styleId="ae">
    <w:name w:val="Balloon Text"/>
    <w:basedOn w:val="a6"/>
    <w:link w:val="Char2"/>
    <w:uiPriority w:val="99"/>
    <w:qFormat/>
    <w:rPr>
      <w:sz w:val="18"/>
      <w:szCs w:val="18"/>
    </w:rPr>
  </w:style>
  <w:style w:type="paragraph" w:styleId="af">
    <w:name w:val="footer"/>
    <w:basedOn w:val="a6"/>
    <w:link w:val="Char3"/>
    <w:uiPriority w:val="99"/>
    <w:qFormat/>
    <w:pPr>
      <w:tabs>
        <w:tab w:val="center" w:pos="4153"/>
        <w:tab w:val="right" w:pos="8306"/>
      </w:tabs>
      <w:snapToGrid w:val="0"/>
      <w:jc w:val="left"/>
    </w:pPr>
    <w:rPr>
      <w:sz w:val="18"/>
      <w:szCs w:val="18"/>
    </w:rPr>
  </w:style>
  <w:style w:type="paragraph" w:styleId="af0">
    <w:name w:val="header"/>
    <w:basedOn w:val="a6"/>
    <w:link w:val="Char4"/>
    <w:uiPriority w:val="99"/>
    <w:qFormat/>
    <w:pPr>
      <w:pBdr>
        <w:bottom w:val="single" w:sz="6" w:space="1" w:color="auto"/>
      </w:pBdr>
      <w:tabs>
        <w:tab w:val="center" w:pos="4153"/>
        <w:tab w:val="right" w:pos="8306"/>
      </w:tabs>
      <w:snapToGrid w:val="0"/>
      <w:jc w:val="center"/>
    </w:pPr>
    <w:rPr>
      <w:sz w:val="18"/>
      <w:szCs w:val="18"/>
    </w:rPr>
  </w:style>
  <w:style w:type="paragraph" w:styleId="21">
    <w:name w:val="Body Text 2"/>
    <w:basedOn w:val="a6"/>
    <w:link w:val="2Char1"/>
    <w:uiPriority w:val="99"/>
    <w:qFormat/>
    <w:pPr>
      <w:spacing w:after="120" w:line="480" w:lineRule="auto"/>
    </w:pPr>
  </w:style>
  <w:style w:type="paragraph" w:styleId="af1">
    <w:name w:val="Normal (Web)"/>
    <w:basedOn w:val="a6"/>
    <w:uiPriority w:val="99"/>
    <w:semiHidden/>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b"/>
    <w:link w:val="Char5"/>
    <w:uiPriority w:val="99"/>
    <w:qFormat/>
    <w:pPr>
      <w:ind w:firstLineChars="100" w:firstLine="420"/>
    </w:pPr>
  </w:style>
  <w:style w:type="paragraph" w:styleId="22">
    <w:name w:val="Body Text First Indent 2"/>
    <w:basedOn w:val="ac"/>
    <w:link w:val="2Char2"/>
    <w:uiPriority w:val="99"/>
    <w:qFormat/>
    <w:pPr>
      <w:ind w:firstLineChars="200" w:firstLine="420"/>
    </w:pPr>
  </w:style>
  <w:style w:type="table" w:styleId="af3">
    <w:name w:val="Table Grid"/>
    <w:basedOn w:val="a8"/>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annotation reference"/>
    <w:basedOn w:val="a7"/>
    <w:uiPriority w:val="99"/>
    <w:semiHidden/>
    <w:qFormat/>
    <w:rPr>
      <w:rFonts w:cs="Times New Roman"/>
      <w:sz w:val="21"/>
      <w:szCs w:val="21"/>
    </w:rPr>
  </w:style>
  <w:style w:type="character" w:customStyle="1" w:styleId="2Char">
    <w:name w:val="标题 2 Char"/>
    <w:basedOn w:val="a7"/>
    <w:link w:val="2"/>
    <w:uiPriority w:val="99"/>
    <w:qFormat/>
    <w:locked/>
    <w:rPr>
      <w:rFonts w:ascii="Arial" w:eastAsia="黑体" w:hAnsi="Arial" w:cs="Times New Roman"/>
      <w:b/>
      <w:bCs/>
      <w:kern w:val="2"/>
      <w:sz w:val="32"/>
      <w:szCs w:val="32"/>
    </w:rPr>
  </w:style>
  <w:style w:type="character" w:customStyle="1" w:styleId="Char1">
    <w:name w:val="日期 Char"/>
    <w:basedOn w:val="a7"/>
    <w:link w:val="ad"/>
    <w:uiPriority w:val="99"/>
    <w:qFormat/>
    <w:locked/>
    <w:rPr>
      <w:rFonts w:cs="Times New Roman"/>
      <w:kern w:val="2"/>
      <w:sz w:val="24"/>
      <w:szCs w:val="24"/>
    </w:rPr>
  </w:style>
  <w:style w:type="character" w:customStyle="1" w:styleId="Char2">
    <w:name w:val="批注框文本 Char"/>
    <w:basedOn w:val="a7"/>
    <w:link w:val="ae"/>
    <w:uiPriority w:val="99"/>
    <w:qFormat/>
    <w:locked/>
    <w:rPr>
      <w:rFonts w:cs="Times New Roman"/>
      <w:kern w:val="2"/>
      <w:sz w:val="18"/>
      <w:szCs w:val="18"/>
    </w:rPr>
  </w:style>
  <w:style w:type="character" w:customStyle="1" w:styleId="Char3">
    <w:name w:val="页脚 Char"/>
    <w:basedOn w:val="a7"/>
    <w:link w:val="af"/>
    <w:uiPriority w:val="99"/>
    <w:qFormat/>
    <w:locked/>
    <w:rPr>
      <w:rFonts w:cs="Times New Roman"/>
      <w:kern w:val="2"/>
      <w:sz w:val="18"/>
      <w:szCs w:val="18"/>
    </w:rPr>
  </w:style>
  <w:style w:type="character" w:customStyle="1" w:styleId="Char4">
    <w:name w:val="页眉 Char"/>
    <w:basedOn w:val="a7"/>
    <w:link w:val="af0"/>
    <w:uiPriority w:val="99"/>
    <w:semiHidden/>
    <w:qFormat/>
    <w:locked/>
    <w:rPr>
      <w:rFonts w:cs="Times New Roman"/>
      <w:sz w:val="18"/>
      <w:szCs w:val="18"/>
    </w:rPr>
  </w:style>
  <w:style w:type="character" w:customStyle="1" w:styleId="2Char1">
    <w:name w:val="正文文本 2 Char"/>
    <w:basedOn w:val="a7"/>
    <w:link w:val="21"/>
    <w:uiPriority w:val="99"/>
    <w:semiHidden/>
    <w:qFormat/>
    <w:locked/>
    <w:rPr>
      <w:rFonts w:cs="Times New Roman"/>
      <w:sz w:val="24"/>
      <w:szCs w:val="24"/>
    </w:rPr>
  </w:style>
  <w:style w:type="paragraph" w:customStyle="1" w:styleId="af5">
    <w:name w:val="段"/>
    <w:link w:val="Char6"/>
    <w:qFormat/>
    <w:pPr>
      <w:autoSpaceDE w:val="0"/>
      <w:autoSpaceDN w:val="0"/>
      <w:ind w:firstLineChars="200" w:firstLine="200"/>
      <w:jc w:val="both"/>
    </w:pPr>
    <w:rPr>
      <w:rFonts w:ascii="宋体"/>
      <w:sz w:val="21"/>
    </w:rPr>
  </w:style>
  <w:style w:type="character" w:customStyle="1" w:styleId="Char6">
    <w:name w:val="段 Char"/>
    <w:basedOn w:val="a7"/>
    <w:link w:val="af5"/>
    <w:uiPriority w:val="99"/>
    <w:qFormat/>
    <w:locked/>
    <w:rPr>
      <w:rFonts w:ascii="宋体" w:cs="Times New Roman"/>
      <w:sz w:val="21"/>
      <w:lang w:val="en-US" w:eastAsia="zh-CN" w:bidi="ar-SA"/>
    </w:rPr>
  </w:style>
  <w:style w:type="character" w:styleId="af6">
    <w:name w:val="Placeholder Text"/>
    <w:basedOn w:val="a7"/>
    <w:uiPriority w:val="99"/>
    <w:semiHidden/>
    <w:qFormat/>
    <w:rPr>
      <w:rFonts w:cs="Times New Roman"/>
      <w:color w:val="808080"/>
    </w:rPr>
  </w:style>
  <w:style w:type="paragraph" w:styleId="af7">
    <w:name w:val="List Paragraph"/>
    <w:basedOn w:val="a6"/>
    <w:uiPriority w:val="99"/>
    <w:qFormat/>
    <w:pPr>
      <w:ind w:firstLineChars="200" w:firstLine="420"/>
    </w:pPr>
  </w:style>
  <w:style w:type="paragraph" w:customStyle="1" w:styleId="a">
    <w:name w:val="前言、引言标题"/>
    <w:next w:val="a6"/>
    <w:uiPriority w:val="99"/>
    <w:qFormat/>
    <w:pPr>
      <w:numPr>
        <w:numId w:val="1"/>
      </w:numPr>
      <w:shd w:val="clear" w:color="FFFFFF" w:fill="FFFFFF"/>
      <w:spacing w:before="640" w:after="560"/>
      <w:jc w:val="center"/>
      <w:outlineLvl w:val="0"/>
    </w:pPr>
    <w:rPr>
      <w:rFonts w:ascii="黑体" w:eastAsia="黑体"/>
      <w:sz w:val="32"/>
    </w:rPr>
  </w:style>
  <w:style w:type="paragraph" w:customStyle="1" w:styleId="a0">
    <w:name w:val="章标题"/>
    <w:next w:val="af5"/>
    <w:qFormat/>
    <w:pPr>
      <w:numPr>
        <w:ilvl w:val="1"/>
        <w:numId w:val="1"/>
      </w:numPr>
      <w:spacing w:beforeLines="50" w:afterLines="50"/>
      <w:jc w:val="both"/>
      <w:outlineLvl w:val="1"/>
    </w:pPr>
    <w:rPr>
      <w:rFonts w:ascii="黑体" w:eastAsia="黑体"/>
    </w:rPr>
  </w:style>
  <w:style w:type="paragraph" w:customStyle="1" w:styleId="a1">
    <w:name w:val="一级条标题"/>
    <w:basedOn w:val="a0"/>
    <w:next w:val="af5"/>
    <w:link w:val="Char7"/>
    <w:uiPriority w:val="99"/>
    <w:qFormat/>
    <w:pPr>
      <w:numPr>
        <w:ilvl w:val="2"/>
      </w:numPr>
      <w:spacing w:beforeLines="0" w:afterLines="0"/>
      <w:outlineLvl w:val="2"/>
    </w:pPr>
    <w:rPr>
      <w:sz w:val="21"/>
    </w:rPr>
  </w:style>
  <w:style w:type="paragraph" w:customStyle="1" w:styleId="a2">
    <w:name w:val="二级条标题"/>
    <w:basedOn w:val="a1"/>
    <w:next w:val="af5"/>
    <w:uiPriority w:val="99"/>
    <w:qFormat/>
    <w:pPr>
      <w:numPr>
        <w:ilvl w:val="3"/>
      </w:numPr>
      <w:ind w:left="2310" w:hanging="420"/>
      <w:outlineLvl w:val="3"/>
    </w:pPr>
  </w:style>
  <w:style w:type="paragraph" w:customStyle="1" w:styleId="a3">
    <w:name w:val="三级条标题"/>
    <w:basedOn w:val="a2"/>
    <w:next w:val="af5"/>
    <w:uiPriority w:val="99"/>
    <w:qFormat/>
    <w:pPr>
      <w:numPr>
        <w:ilvl w:val="4"/>
      </w:numPr>
      <w:ind w:left="2730"/>
      <w:outlineLvl w:val="4"/>
    </w:pPr>
  </w:style>
  <w:style w:type="paragraph" w:customStyle="1" w:styleId="a4">
    <w:name w:val="四级条标题"/>
    <w:basedOn w:val="a3"/>
    <w:next w:val="af5"/>
    <w:uiPriority w:val="99"/>
    <w:qFormat/>
    <w:pPr>
      <w:numPr>
        <w:ilvl w:val="5"/>
      </w:numPr>
      <w:ind w:left="3150"/>
      <w:outlineLvl w:val="5"/>
    </w:pPr>
  </w:style>
  <w:style w:type="paragraph" w:customStyle="1" w:styleId="a5">
    <w:name w:val="五级条标题"/>
    <w:basedOn w:val="a4"/>
    <w:next w:val="af5"/>
    <w:uiPriority w:val="99"/>
    <w:qFormat/>
    <w:pPr>
      <w:numPr>
        <w:ilvl w:val="6"/>
      </w:numPr>
      <w:ind w:left="3570"/>
      <w:outlineLvl w:val="6"/>
    </w:pPr>
  </w:style>
  <w:style w:type="character" w:customStyle="1" w:styleId="Char7">
    <w:name w:val="一级条标题 Char"/>
    <w:link w:val="a1"/>
    <w:uiPriority w:val="99"/>
    <w:qFormat/>
    <w:locked/>
    <w:rPr>
      <w:rFonts w:ascii="黑体" w:eastAsia="黑体"/>
      <w:sz w:val="21"/>
      <w:lang w:val="en-US" w:eastAsia="zh-CN"/>
    </w:rPr>
  </w:style>
  <w:style w:type="character" w:customStyle="1" w:styleId="2Char0">
    <w:name w:val="正文文本缩进 2 Char"/>
    <w:basedOn w:val="a7"/>
    <w:link w:val="20"/>
    <w:uiPriority w:val="99"/>
    <w:semiHidden/>
    <w:qFormat/>
    <w:locked/>
    <w:rPr>
      <w:rFonts w:cs="Times New Roman"/>
      <w:sz w:val="24"/>
      <w:szCs w:val="24"/>
    </w:rPr>
  </w:style>
  <w:style w:type="character" w:customStyle="1" w:styleId="Char0">
    <w:name w:val="正文文本缩进 Char"/>
    <w:basedOn w:val="a7"/>
    <w:link w:val="ac"/>
    <w:uiPriority w:val="99"/>
    <w:semiHidden/>
    <w:qFormat/>
    <w:locked/>
    <w:rPr>
      <w:rFonts w:cs="Times New Roman"/>
      <w:sz w:val="24"/>
      <w:szCs w:val="24"/>
    </w:rPr>
  </w:style>
  <w:style w:type="character" w:customStyle="1" w:styleId="2Char2">
    <w:name w:val="正文首行缩进 2 Char"/>
    <w:basedOn w:val="Char0"/>
    <w:link w:val="22"/>
    <w:uiPriority w:val="99"/>
    <w:semiHidden/>
    <w:qFormat/>
    <w:locked/>
    <w:rPr>
      <w:rFonts w:cs="Times New Roman"/>
      <w:sz w:val="24"/>
      <w:szCs w:val="24"/>
    </w:rPr>
  </w:style>
  <w:style w:type="character" w:customStyle="1" w:styleId="Char">
    <w:name w:val="正文文本 Char"/>
    <w:basedOn w:val="a7"/>
    <w:link w:val="ab"/>
    <w:uiPriority w:val="99"/>
    <w:semiHidden/>
    <w:qFormat/>
    <w:locked/>
    <w:rPr>
      <w:rFonts w:cs="Times New Roman"/>
      <w:sz w:val="24"/>
      <w:szCs w:val="24"/>
    </w:rPr>
  </w:style>
  <w:style w:type="character" w:customStyle="1" w:styleId="Char5">
    <w:name w:val="正文首行缩进 Char"/>
    <w:basedOn w:val="Char"/>
    <w:link w:val="af2"/>
    <w:uiPriority w:val="99"/>
    <w:semiHidden/>
    <w:qFormat/>
    <w:locked/>
    <w:rPr>
      <w:rFonts w:cs="Times New Roman"/>
      <w:sz w:val="24"/>
      <w:szCs w:val="24"/>
    </w:rPr>
  </w:style>
  <w:style w:type="character" w:customStyle="1" w:styleId="af8">
    <w:name w:val="图题及表格"/>
    <w:basedOn w:val="a7"/>
    <w:qFormat/>
    <w:rPr>
      <w:rFonts w:ascii="Times New Roman" w:eastAsia="宋体" w:hAnsi="Times New Roman"/>
      <w:sz w:val="21"/>
    </w:rPr>
  </w:style>
  <w:style w:type="paragraph" w:customStyle="1" w:styleId="af9">
    <w:name w:val="封面标准名称"/>
    <w:qFormat/>
    <w:pPr>
      <w:widowControl w:val="0"/>
      <w:spacing w:line="680" w:lineRule="exact"/>
      <w:jc w:val="center"/>
      <w:textAlignment w:val="center"/>
    </w:pPr>
    <w:rPr>
      <w:rFonts w:ascii="黑体" w:eastAsia="黑体"/>
      <w:sz w:val="52"/>
    </w:rPr>
  </w:style>
  <w:style w:type="paragraph" w:customStyle="1" w:styleId="afa">
    <w:name w:val="参考文献、索引标题"/>
    <w:basedOn w:val="a"/>
    <w:next w:val="a6"/>
    <w:qFormat/>
    <w:pPr>
      <w:numPr>
        <w:numId w:val="0"/>
      </w:numPr>
      <w:spacing w:after="20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467</Words>
  <Characters>2665</Characters>
  <Application>Microsoft Office Word</Application>
  <DocSecurity>0</DocSecurity>
  <Lines>22</Lines>
  <Paragraphs>6</Paragraphs>
  <ScaleCrop>false</ScaleCrop>
  <Company>CHINA</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GB/T11105-2011《金属粉末-压坯的拉托拉试验》</dc:title>
  <dc:creator>USER</dc:creator>
  <cp:lastModifiedBy>计量校准</cp:lastModifiedBy>
  <cp:revision>7</cp:revision>
  <cp:lastPrinted>2013-05-26T06:25:00Z</cp:lastPrinted>
  <dcterms:created xsi:type="dcterms:W3CDTF">2024-04-11T04:50:00Z</dcterms:created>
  <dcterms:modified xsi:type="dcterms:W3CDTF">2024-04-11T04:58:00Z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2D4CEB8F29DD4C148491165E7BCF4C55_13</vt:lpwstr>
  </property>
</Properties>
</file>