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9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ICS  </w:t>
            </w:r>
          </w:p>
        </w:tc>
        <w:tc>
          <w:tcPr>
            <w:tcW w:w="8855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77.160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CCS  </w:t>
            </w:r>
          </w:p>
        </w:tc>
        <w:tc>
          <w:tcPr>
            <w:tcW w:w="8855" w:type="dxa"/>
          </w:tcPr>
          <w:tbl>
            <w:tblPr>
              <w:tblStyle w:val="29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113" w:type="dxa"/>
                </w:tblCellMar>
              </w:tblPrEx>
              <w:trPr>
                <w:trHeight w:val="1021" w:hRule="exact"/>
              </w:trPr>
              <w:tc>
                <w:tcPr>
                  <w:tcW w:w="9242" w:type="dxa"/>
                  <w:vAlign w:val="center"/>
                </w:tcPr>
                <w:p>
                  <w:pPr>
                    <w:pStyle w:val="51"/>
                    <w:framePr w:wrap="notBeside" w:vAnchor="page" w:hAnchor="page" w:x="1372" w:y="568"/>
                    <w:ind w:left="420" w:right="624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H 01</w:t>
            </w:r>
          </w:p>
        </w:tc>
      </w:tr>
    </w:tbl>
    <w:p>
      <w:pPr>
        <w:pStyle w:val="152"/>
        <w:framePr w:w="6413" w:hSpace="181" w:vSpace="181" w:wrap="around" w:vAnchor="page" w:hAnchor="page" w:xAlign="center" w:y="2269" w:anchorLock="1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团体标准</w:t>
      </w:r>
    </w:p>
    <w:p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60288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2"/>
        <w:framePr w:w="9639" w:h="6976" w:hRule="exact" w:hSpace="0" w:vSpace="0" w:wrap="around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>
      <w:pPr>
        <w:pStyle w:val="199"/>
        <w:framePr w:h="6974" w:hRule="exact" w:wrap="around" w:x="1419" w:anchorLock="1"/>
        <w:rPr>
          <w:highlight w:val="lightGray"/>
        </w:rPr>
      </w:pPr>
      <w:r>
        <w:rPr>
          <w:rFonts w:hint="eastAsia"/>
          <w:highlight w:val="lightGray"/>
          <w:lang w:val="en-US" w:eastAsia="zh-CN"/>
        </w:rPr>
        <w:t>电池级 碳酸钠</w:t>
      </w:r>
    </w:p>
    <w:p>
      <w:pPr>
        <w:framePr w:w="9639" w:h="6974" w:hRule="exact" w:wrap="around" w:vAnchor="page" w:hAnchor="page" w:x="1419" w:y="6408" w:anchorLock="1"/>
        <w:ind w:left="-1418"/>
        <w:rPr>
          <w:highlight w:val="lightGray"/>
        </w:rPr>
      </w:pPr>
    </w:p>
    <w:p>
      <w:pPr>
        <w:pStyle w:val="127"/>
        <w:framePr w:w="9639" w:h="6974" w:hRule="exact" w:wrap="around" w:vAnchor="page" w:hAnchor="page" w:x="1419" w:y="640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Times New Roman" w:hAnsi="Times New Roman" w:cs="Times New Roman" w:eastAsiaTheme="minorEastAsia"/>
          <w:b/>
          <w:highlight w:val="lightGray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lightGray"/>
          <w:shd w:val="clear" w:fill="FFFFFF"/>
        </w:rPr>
        <w:t>Battery grade sodium carbonate</w:t>
      </w:r>
    </w:p>
    <w:p>
      <w:pPr>
        <w:pStyle w:val="127"/>
        <w:framePr w:w="9639" w:h="6974" w:hRule="exact" w:wrap="around" w:vAnchor="page" w:hAnchor="page" w:x="1419" w:y="6408"/>
        <w:textAlignment w:val="bottom"/>
        <w:rPr>
          <w:rFonts w:ascii="黑体" w:hAnsi="黑体" w:eastAsia="黑体"/>
          <w:szCs w:val="28"/>
        </w:rPr>
      </w:pPr>
    </w:p>
    <w:p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>
      <w:pPr>
        <w:pStyle w:val="127"/>
        <w:framePr w:w="9639" w:h="6974" w:hRule="exact" w:wrap="around" w:vAnchor="page" w:hAnchor="page" w:x="1419" w:y="6408"/>
        <w:textAlignment w:val="bottom"/>
        <w:rPr>
          <w:rFonts w:eastAsia="黑体"/>
          <w:szCs w:val="28"/>
        </w:rPr>
      </w:pPr>
    </w:p>
    <w:p>
      <w:pPr>
        <w:pStyle w:val="127"/>
        <w:framePr w:w="9639" w:h="6974" w:hRule="exact" w:wrap="around" w:vAnchor="page" w:hAnchor="page" w:x="1419" w:y="6408"/>
        <w:spacing w:before="440" w:after="160"/>
        <w:textAlignment w:val="bottom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  <w:lang w:val="en-US" w:eastAsia="zh-CN"/>
        </w:rPr>
        <w:t>征求意见</w:t>
      </w:r>
      <w:r>
        <w:rPr>
          <w:rFonts w:hint="eastAsia"/>
          <w:sz w:val="24"/>
          <w:szCs w:val="28"/>
        </w:rPr>
        <w:t>稿）</w:t>
      </w:r>
    </w:p>
    <w:p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0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hint="eastAsia"/>
        </w:rPr>
        <w:t>发布</w:t>
      </w:r>
    </w:p>
    <w:p>
      <w:pPr>
        <w:pStyle w:val="196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4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hint="eastAsia"/>
        </w:rPr>
        <w:t>实施</w:t>
      </w:r>
    </w:p>
    <w:p>
      <w:pPr>
        <w:pStyle w:val="197"/>
        <w:framePr w:h="351" w:hRule="exact" w:x="1660" w:y="3671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6" w:name="文字1"/>
      <w:r>
        <w:instrText xml:space="preserve"> FORMTEXT </w:instrText>
      </w:r>
      <w:r>
        <w:fldChar w:fldCharType="separate"/>
      </w:r>
      <w:r>
        <w:t>CNIA</w:t>
      </w:r>
      <w:r>
        <w:fldChar w:fldCharType="end"/>
      </w:r>
      <w:bookmarkEnd w:id="6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7" w:name="NSTD_CODE_F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7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8" w:name="NSTD_CODE_B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8"/>
    </w:p>
    <w:p>
      <w:pPr>
        <w:rPr>
          <w:rFonts w:ascii="宋体" w:hAnsi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7611110</wp:posOffset>
                </wp:positionV>
                <wp:extent cx="781050" cy="390525"/>
                <wp:effectExtent l="0" t="0" r="0" b="952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25pt;margin-top:599.3pt;height:30.75pt;width:61.5pt;z-index:251663360;mso-width-relative:page;mso-height-relative:page;" filled="f" stroked="f" coordsize="21600,21600" o:gfxdata="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X/da9kAAAANAQAA&#10;DwAAAAAAAAABACAAAAAiAAAAZHJzL2Rvd25yZXYueG1sUEsBAhQAFAAAAAgAh07iQA1eZusYAgAA&#10;Fg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7414260</wp:posOffset>
                </wp:positionV>
                <wp:extent cx="2962275" cy="828675"/>
                <wp:effectExtent l="0" t="0" r="9525" b="952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中国有色金属工业协会</w:t>
                            </w:r>
                          </w:p>
                          <w:p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160" w:lineRule="atLeast"/>
                              <w:jc w:val="distribute"/>
                              <w:rPr>
                                <w:rFonts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中国有色金属学会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1pt;margin-top:583.8pt;height:65.25pt;width:233.25pt;z-index:251662336;mso-width-relative:page;mso-height-relative:page;" fillcolor="#FFFFFF" filled="t" stroked="f" coordsize="21600,21600" o:gfxdata="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3uoN72gAAAA0BAAAPAAAAAAAAAAEAIAAAACIAAABkcnMvZG93bnJldi54bWxQSwEC&#10;FAAUAAAACACHTuJAEdQVLysCAABABAAADgAAAAAAAAABACAAAAAp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中国有色金属工业协会</w:t>
                      </w:r>
                    </w:p>
                    <w:p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</w:p>
                    <w:p>
                      <w:pPr>
                        <w:spacing w:line="160" w:lineRule="atLeast"/>
                        <w:jc w:val="distribute"/>
                        <w:rPr>
                          <w:rFonts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中国有色金属学会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244"/>
        <w:rPr>
          <w:rFonts w:hint="default" w:ascii="Times New Roman" w:hAnsi="Times New Roman" w:cs="Times New Roman"/>
        </w:rPr>
      </w:pPr>
      <w:bookmarkStart w:id="9" w:name="BookMark2"/>
      <w:r>
        <w:rPr>
          <w:rFonts w:hint="default" w:ascii="Times New Roman" w:hAnsi="Times New Roman" w:cs="Times New Roman"/>
        </w:rPr>
        <w:t>前</w:t>
      </w:r>
      <w:bookmarkStart w:id="10" w:name="BKQY"/>
      <w:r>
        <w:rPr>
          <w:rFonts w:hint="default" w:ascii="Times New Roman" w:hAnsi="Times New Roman" w:cs="Times New Roman"/>
        </w:rPr>
        <w:t>  言</w:t>
      </w:r>
      <w:bookmarkEnd w:id="10"/>
    </w:p>
    <w:p>
      <w:pPr>
        <w:pStyle w:val="58"/>
        <w:ind w:firstLine="420"/>
      </w:pPr>
      <w:r>
        <w:rPr>
          <w:rFonts w:hint="eastAsia"/>
        </w:rPr>
        <w:t>本文件按照GB/T 1.1</w:t>
      </w:r>
      <w:r>
        <w:rPr>
          <w:rFonts w:hint="eastAsia"/>
          <w:lang w:eastAsia="zh-CN"/>
        </w:rPr>
        <w:t>—</w:t>
      </w:r>
      <w:r>
        <w:rPr>
          <w:rFonts w:hint="eastAsia"/>
        </w:rPr>
        <w:t>2020《标准化工作导则 第1部分：标准化文件的结构和起草规则》的规定起草。</w:t>
      </w:r>
    </w:p>
    <w:p>
      <w:pPr>
        <w:pStyle w:val="58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58"/>
        <w:ind w:firstLine="42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由工业和信息化部节能与综合利用司、中国有色金属工业协会提出。</w:t>
      </w:r>
    </w:p>
    <w:p>
      <w:pPr>
        <w:pStyle w:val="58"/>
        <w:ind w:firstLine="42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由全国有色金属标准化技术委员会（SAC/TC 243）归口。</w:t>
      </w:r>
    </w:p>
    <w:p>
      <w:pPr>
        <w:pStyle w:val="243"/>
        <w:ind w:firstLine="420" w:firstLineChars="200"/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起草单位：</w:t>
      </w:r>
      <w:r>
        <w:rPr>
          <w:rFonts w:hint="default" w:ascii="Times New Roman" w:hAnsi="Times New Roman" w:cs="Times New Roman"/>
          <w:szCs w:val="21"/>
        </w:rPr>
        <w:t>北京当升材料科技股份有限公司</w:t>
      </w:r>
      <w:r>
        <w:rPr>
          <w:rFonts w:hint="eastAsia" w:cs="Times New Roman"/>
          <w:szCs w:val="21"/>
          <w:lang w:eastAsia="zh-CN"/>
        </w:rPr>
        <w:t>、浙江爱科新材料有限公司、湖南海联三一小苏打有限公司、天津国安盟固利新材料科技股份有限公司、当升科技(常州)新材料科技有限公司、湖北万润新能源科技股份有限公司、宁波容百新能源材料科技股份有限公司、中伟新材料股份有限公司、格林美股份有限公司、湖南长远锂科股份有限公司、巴斯夫杉杉电池材料有限公司</w:t>
      </w:r>
      <w:r>
        <w:rPr>
          <w:rFonts w:hint="eastAsia" w:cs="Times New Roman"/>
          <w:szCs w:val="21"/>
          <w:lang w:val="en-US" w:eastAsia="zh-CN"/>
        </w:rPr>
        <w:t>等。</w:t>
      </w:r>
    </w:p>
    <w:p>
      <w:pPr>
        <w:pStyle w:val="58"/>
        <w:ind w:firstLine="420"/>
        <w:rPr>
          <w:rFonts w:hint="default"/>
          <w:lang w:val="en-US"/>
        </w:rPr>
        <w:sectPr>
          <w:headerReference r:id="rId10" w:type="default"/>
          <w:footerReference r:id="rId11" w:type="default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主要起草人：</w:t>
      </w:r>
      <w:r>
        <w:rPr>
          <w:rFonts w:hint="eastAsia"/>
          <w:lang w:val="en-US" w:eastAsia="zh-CN"/>
        </w:rPr>
        <w:t>陈彦彬、刘亚飞等</w:t>
      </w:r>
    </w:p>
    <w:p>
      <w:pPr>
        <w:pStyle w:val="245"/>
        <w:jc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电池级 碳酸钠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范围</w:t>
      </w:r>
    </w:p>
    <w:p>
      <w:pPr>
        <w:pStyle w:val="233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本标准规定了</w:t>
      </w:r>
      <w:r>
        <w:rPr>
          <w:rFonts w:hint="default" w:ascii="Times New Roman" w:hAnsi="Times New Roman" w:cs="Times New Roman"/>
          <w:lang w:val="en-US" w:eastAsia="zh-CN"/>
        </w:rPr>
        <w:t>电池级碳酸钠的要求、试验方法、检验规则、标志、包装、运输、贮存、</w:t>
      </w:r>
      <w:r>
        <w:rPr>
          <w:rFonts w:hint="eastAsia" w:ascii="宋体" w:hAnsi="宋体" w:eastAsia="宋体" w:cs="Times New Roman"/>
          <w:color w:val="auto"/>
          <w:kern w:val="0"/>
          <w:szCs w:val="21"/>
          <w:lang w:val="en-US" w:eastAsia="zh-CN"/>
        </w:rPr>
        <w:t>随行文件</w:t>
      </w:r>
      <w:r>
        <w:rPr>
          <w:rFonts w:ascii="宋体" w:hAnsi="宋体" w:eastAsia="宋体" w:cs="Times New Roman"/>
          <w:color w:val="auto"/>
          <w:kern w:val="0"/>
          <w:szCs w:val="21"/>
        </w:rPr>
        <w:t>及订货单内容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本标准适用于</w:t>
      </w:r>
      <w:r>
        <w:rPr>
          <w:rFonts w:hint="default" w:ascii="Times New Roman" w:hAnsi="Times New Roman" w:cs="Times New Roman"/>
          <w:lang w:val="en-US" w:eastAsia="zh-CN"/>
        </w:rPr>
        <w:t>以各种方法生产的电池级碳酸钠</w:t>
      </w:r>
      <w:r>
        <w:rPr>
          <w:rFonts w:hint="default" w:ascii="Times New Roman" w:hAnsi="Times New Roman" w:cs="Times New Roman"/>
        </w:rPr>
        <w:t>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规范性引用文件</w:t>
      </w:r>
    </w:p>
    <w:p>
      <w:pPr>
        <w:pStyle w:val="233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33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GB/T1479.1-2011  金属粉末 松装密度的测定 第1部分：漏斗法</w:t>
      </w:r>
    </w:p>
    <w:p>
      <w:pPr>
        <w:pStyle w:val="2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 6283  化工产品中水分含量的测定  卡尔·费休法（通用方法）</w:t>
      </w:r>
    </w:p>
    <w:p>
      <w:pPr>
        <w:pStyle w:val="233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GB8947-1998 复合塑料编织袋</w:t>
      </w:r>
    </w:p>
    <w:p>
      <w:pPr>
        <w:pStyle w:val="233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GB/T11064.1-2013 碳酸锂、单水氢氧化锂、氯化锂化学分析方法 第1部分：碳酸锂量的测定 酸碱滴定法</w:t>
      </w:r>
    </w:p>
    <w:p>
      <w:pPr>
        <w:pStyle w:val="2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 19077  粒度分布  激光衍射法</w:t>
      </w:r>
    </w:p>
    <w:p>
      <w:pPr>
        <w:pStyle w:val="2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>GB/T 41704-2022 锂离子电池正极材料检测方法 磁性异物含量和残余碱含量的测定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术语和定义</w:t>
      </w:r>
    </w:p>
    <w:p>
      <w:pPr>
        <w:pStyle w:val="233"/>
        <w:rPr>
          <w:rFonts w:hint="eastAsia" w:ascii="Times New Roman"/>
        </w:rPr>
      </w:pPr>
      <w:r>
        <w:rPr>
          <w:rFonts w:hint="eastAsia" w:ascii="Times New Roman"/>
        </w:rPr>
        <w:t>本文件没有需要界定的术语和定义。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要求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化学成分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产品的化学成分应符合表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的规定。</w:t>
      </w:r>
    </w:p>
    <w:tbl>
      <w:tblPr>
        <w:tblStyle w:val="28"/>
        <w:tblpPr w:leftFromText="180" w:rightFromText="180" w:vertAnchor="text" w:horzAnchor="page" w:tblpX="3694" w:tblpY="288"/>
        <w:tblOverlap w:val="never"/>
        <w:tblW w:w="4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175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元素种类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元素含量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主元素含量质量分数/%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＞98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杂质元素含量质量分数/%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K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Pb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</w:tr>
    </w:tbl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33"/>
        <w:jc w:val="center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46"/>
        <w:numPr>
          <w:ilvl w:val="0"/>
          <w:numId w:val="0"/>
        </w:numPr>
        <w:spacing w:before="156" w:after="156"/>
        <w:ind w:leftChars="-1012"/>
        <w:jc w:val="both"/>
        <w:rPr>
          <w:rFonts w:hint="default" w:ascii="Times New Roman" w:hAnsi="Times New Roman" w:cs="Times New Roman"/>
        </w:rPr>
      </w:pP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水分含量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产品中的水分含量应不大于0.</w:t>
      </w:r>
      <w:r>
        <w:rPr>
          <w:rFonts w:hint="default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</w:rPr>
        <w:t>%。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磁性异物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产品的磁性异物含量应不大</w:t>
      </w:r>
      <w:r>
        <w:rPr>
          <w:rFonts w:hint="default" w:ascii="Times New Roman" w:hAnsi="Times New Roman" w:cs="Times New Roman"/>
          <w:highlight w:val="none"/>
        </w:rPr>
        <w:t>于0.0</w:t>
      </w:r>
      <w:r>
        <w:rPr>
          <w:rFonts w:hint="eastAsia" w:ascii="Times New Roman" w:cs="Times New Roman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highlight w:val="none"/>
        </w:rPr>
        <w:t>00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  <w:r>
        <w:rPr>
          <w:rFonts w:hint="eastAsia" w:asci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%。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cs="Times New Roman"/>
          <w:color w:val="auto"/>
          <w:lang w:val="en-US" w:eastAsia="zh-CN"/>
        </w:rPr>
        <w:t>松装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密度</w:t>
      </w:r>
    </w:p>
    <w:p>
      <w:pPr>
        <w:pStyle w:val="23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t>产品的</w:t>
      </w:r>
      <w:r>
        <w:rPr>
          <w:rFonts w:hint="eastAsia" w:ascii="Times New Roman" w:cs="Times New Roman"/>
          <w:lang w:val="en-US" w:eastAsia="zh-CN"/>
        </w:rPr>
        <w:t>松装密度</w:t>
      </w:r>
      <w:r>
        <w:rPr>
          <w:rFonts w:hint="default" w:ascii="Times New Roman" w:hAnsi="Times New Roman" w:cs="Times New Roman"/>
        </w:rPr>
        <w:t>应不</w:t>
      </w:r>
      <w:r>
        <w:rPr>
          <w:rFonts w:hint="eastAsia" w:ascii="Times New Roman" w:cs="Times New Roman"/>
          <w:lang w:val="en-US" w:eastAsia="zh-CN"/>
        </w:rPr>
        <w:t>小</w:t>
      </w:r>
      <w:r>
        <w:rPr>
          <w:rFonts w:hint="default" w:ascii="Times New Roman" w:hAnsi="Times New Roman" w:cs="Times New Roman"/>
          <w:highlight w:val="none"/>
        </w:rPr>
        <w:t>于</w:t>
      </w:r>
      <w:r>
        <w:rPr>
          <w:rFonts w:hint="eastAsia" w:ascii="Times New Roman" w:cs="Times New Roman"/>
          <w:highlight w:val="none"/>
          <w:lang w:val="en-US" w:eastAsia="zh-CN"/>
        </w:rPr>
        <w:t>0.2 g/cm</w:t>
      </w:r>
      <w:r>
        <w:rPr>
          <w:rFonts w:hint="eastAsia" w:ascii="Times New Roman" w:cs="Times New Roman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>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粒度</w:t>
      </w:r>
    </w:p>
    <w:p>
      <w:pPr>
        <w:pStyle w:val="233"/>
        <w:rPr>
          <w:rFonts w:hint="eastAsia" w:asci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产品</w:t>
      </w:r>
      <w:r>
        <w:rPr>
          <w:rFonts w:hint="default" w:ascii="Times New Roman" w:hAnsi="Times New Roman" w:cs="Times New Roman"/>
          <w:lang w:val="en-US" w:eastAsia="zh-CN"/>
        </w:rPr>
        <w:t>的粒度分布应</w:t>
      </w:r>
      <w:r>
        <w:rPr>
          <w:rFonts w:hint="eastAsia" w:ascii="Times New Roman" w:cs="Times New Roman"/>
          <w:lang w:val="en-US" w:eastAsia="zh-CN"/>
        </w:rPr>
        <w:t>符合表2规定</w:t>
      </w:r>
    </w:p>
    <w:p>
      <w:pPr>
        <w:pStyle w:val="233"/>
        <w:jc w:val="center"/>
        <w:rPr>
          <w:rFonts w:hint="default" w:ascii="Times New Roman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表2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132"/>
        <w:gridCol w:w="1177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粒度分布</w:t>
            </w:r>
          </w:p>
        </w:tc>
        <w:tc>
          <w:tcPr>
            <w:tcW w:w="1132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cs="Times New Roman"/>
                <w:szCs w:val="18"/>
                <w:vertAlign w:val="subscript"/>
                <w:lang w:val="en-US" w:eastAsia="zh-CN"/>
              </w:rPr>
              <w:t>10</w:t>
            </w:r>
          </w:p>
        </w:tc>
        <w:tc>
          <w:tcPr>
            <w:tcW w:w="1177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cs="Times New Roman"/>
                <w:szCs w:val="18"/>
                <w:vertAlign w:val="subscript"/>
                <w:lang w:val="en-US" w:eastAsia="zh-CN"/>
              </w:rPr>
              <w:t>50</w:t>
            </w:r>
          </w:p>
        </w:tc>
        <w:tc>
          <w:tcPr>
            <w:tcW w:w="1209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Times New Roman" w:cs="Times New Roman"/>
                <w:szCs w:val="18"/>
                <w:vertAlign w:val="subscript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</w:tcPr>
          <w:p>
            <w:pPr>
              <w:pStyle w:val="233"/>
              <w:numPr>
                <w:ilvl w:val="0"/>
                <w:numId w:val="33"/>
              </w:numP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8"/>
                <w:vertAlign w:val="baseline"/>
                <w:lang w:val="en-US" w:eastAsia="zh-CN"/>
              </w:rPr>
              <w:t>μm</w:t>
            </w:r>
          </w:p>
        </w:tc>
        <w:tc>
          <w:tcPr>
            <w:tcW w:w="1132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＜10</w:t>
            </w:r>
          </w:p>
        </w:tc>
        <w:tc>
          <w:tcPr>
            <w:tcW w:w="1177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＜15</w:t>
            </w:r>
          </w:p>
        </w:tc>
        <w:tc>
          <w:tcPr>
            <w:tcW w:w="1209" w:type="dxa"/>
          </w:tcPr>
          <w:p>
            <w:pPr>
              <w:pStyle w:val="233"/>
              <w:numPr>
                <w:ilvl w:val="0"/>
                <w:numId w:val="33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cs="Times New Roman"/>
                <w:szCs w:val="18"/>
                <w:vertAlign w:val="baseline"/>
                <w:lang w:val="en-US" w:eastAsia="zh-CN"/>
              </w:rPr>
              <w:t>＜50</w:t>
            </w:r>
          </w:p>
        </w:tc>
      </w:tr>
    </w:tbl>
    <w:p>
      <w:pPr>
        <w:pStyle w:val="233"/>
        <w:rPr>
          <w:rFonts w:hint="eastAsia" w:ascii="Times New Roman" w:cs="Times New Roman"/>
          <w:lang w:val="en-US" w:eastAsia="zh-CN"/>
        </w:rPr>
      </w:pP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外观质量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产品外观应为</w:t>
      </w:r>
      <w:r>
        <w:rPr>
          <w:rFonts w:hint="default" w:ascii="Times New Roman" w:hAnsi="Times New Roman" w:cs="Times New Roman"/>
          <w:lang w:val="en-US" w:eastAsia="zh-CN"/>
        </w:rPr>
        <w:t>白色</w:t>
      </w:r>
      <w:r>
        <w:rPr>
          <w:rFonts w:hint="default" w:ascii="Times New Roman" w:hAnsi="Times New Roman" w:cs="Times New Roman"/>
        </w:rPr>
        <w:t>粉末，颜色均一，无结块，无夹杂物。</w:t>
      </w:r>
    </w:p>
    <w:p>
      <w:pPr>
        <w:pStyle w:val="234"/>
        <w:spacing w:before="312" w:after="312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试验方法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化学成分</w:t>
      </w:r>
    </w:p>
    <w:p>
      <w:pPr>
        <w:pStyle w:val="232"/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highlight w:val="none"/>
        </w:rPr>
        <w:t>产品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化学成分分析按照GB/T11064</w:t>
      </w:r>
      <w:r>
        <w:rPr>
          <w:rFonts w:hint="eastAsia" w:ascii="Times New Roman" w:cs="Times New Roman" w:eastAsiaTheme="minorEastAsia"/>
          <w:highlight w:val="none"/>
          <w:lang w:val="en-US" w:eastAsia="zh-CN"/>
        </w:rPr>
        <w:t>.1-2013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的规定进行。</w:t>
      </w:r>
      <w:r>
        <w:rPr>
          <w:rFonts w:hint="eastAsia" w:ascii="Times New Roman" w:cs="Times New Roman" w:eastAsiaTheme="minorEastAsia"/>
          <w:highlight w:val="none"/>
          <w:lang w:val="en-US" w:eastAsia="zh-CN"/>
        </w:rPr>
        <w:t>其他杂质元素含量的测定</w:t>
      </w:r>
      <w:r>
        <w:rPr>
          <w:rFonts w:hint="eastAsia" w:ascii="宋体" w:hAnsi="宋体" w:eastAsia="宋体" w:cs="宋体"/>
        </w:rPr>
        <w:t>按供需双方协商认可的方法进行。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水分含量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产品的水分测定按GB/T 628</w:t>
      </w:r>
      <w:r>
        <w:rPr>
          <w:rFonts w:hint="eastAsia" w:asci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的规定进行。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磁性异物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产品磁性异物含量的测定按</w:t>
      </w:r>
      <w:r>
        <w:rPr>
          <w:rFonts w:hint="eastAsia" w:ascii="Times New Roman"/>
          <w:color w:val="auto"/>
        </w:rPr>
        <w:t>GB/T 41704-2022</w:t>
      </w:r>
      <w:r>
        <w:rPr>
          <w:rFonts w:hint="default" w:ascii="Times New Roman" w:hAnsi="Times New Roman" w:cs="Times New Roman"/>
        </w:rPr>
        <w:t>的规定进行。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cs="Times New Roman"/>
          <w:color w:val="auto"/>
          <w:lang w:val="en-US" w:eastAsia="zh-CN"/>
        </w:rPr>
        <w:t>松装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密度</w:t>
      </w:r>
    </w:p>
    <w:p>
      <w:pPr>
        <w:pStyle w:val="233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cs="Times New Roman" w:eastAsiaTheme="minorEastAsia"/>
          <w:lang w:val="en-US" w:eastAsia="zh-CN"/>
        </w:rPr>
        <w:t>产品松装密度的测定按GB/T1479.1-2011的规定进行。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粒度</w:t>
      </w:r>
    </w:p>
    <w:p>
      <w:pPr>
        <w:pStyle w:val="233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/>
        </w:rPr>
        <w:t>产品</w:t>
      </w:r>
      <w:r>
        <w:rPr>
          <w:rFonts w:hint="default" w:ascii="Times New Roman" w:hAnsi="Times New Roman" w:cs="Times New Roman" w:eastAsiaTheme="minorEastAsia"/>
        </w:rPr>
        <w:t>粒度分布的测定按</w:t>
      </w:r>
      <w:r>
        <w:rPr>
          <w:rFonts w:hint="default" w:ascii="Times New Roman" w:hAnsi="Times New Roman" w:cs="Times New Roman"/>
        </w:rPr>
        <w:t>GB/T 19077的规定</w:t>
      </w:r>
      <w:r>
        <w:rPr>
          <w:rFonts w:hint="default" w:ascii="Times New Roman" w:hAnsi="Times New Roman" w:cs="Times New Roman" w:eastAsiaTheme="minorEastAsia"/>
        </w:rPr>
        <w:t>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外观质量</w:t>
      </w:r>
    </w:p>
    <w:p>
      <w:pPr>
        <w:pStyle w:val="23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产品的外观质量用</w:t>
      </w:r>
      <w:r>
        <w:rPr>
          <w:rFonts w:hint="eastAsia" w:ascii="Times New Roman" w:cs="Times New Roman"/>
          <w:lang w:val="en-US" w:eastAsia="zh-CN"/>
        </w:rPr>
        <w:t>目视检验法进行</w:t>
      </w:r>
      <w:r>
        <w:rPr>
          <w:rFonts w:hint="default" w:ascii="Times New Roman" w:hAnsi="Times New Roman" w:cs="Times New Roman"/>
        </w:rPr>
        <w:t>检查。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检验规则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检查和验收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产品应由供方进行检验，保证产品质量符合本标准及订货单</w:t>
      </w:r>
      <w:r>
        <w:rPr>
          <w:rFonts w:hint="eastAsia" w:ascii="Times New Roman" w:eastAsia="宋体" w:cs="Times New Roman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</w:rPr>
        <w:t>的规定，并填写</w:t>
      </w:r>
      <w:r>
        <w:rPr>
          <w:rFonts w:hint="eastAsia" w:ascii="Times New Roman" w:eastAsia="宋体" w:cs="Times New Roman"/>
          <w:lang w:val="en-US" w:eastAsia="zh-CN"/>
        </w:rPr>
        <w:t>随行文件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需方应对收到的产品按本标准进行检验，如检验结果与本标准及订货单</w:t>
      </w:r>
      <w:r>
        <w:rPr>
          <w:rFonts w:hint="eastAsia" w:ascii="Times New Roman" w:hAnsi="Times New Roman" w:eastAsia="宋体" w:cs="Times New Roman"/>
          <w:lang w:val="en-US" w:eastAsia="zh-CN"/>
        </w:rPr>
        <w:t>内容</w:t>
      </w:r>
      <w:r>
        <w:rPr>
          <w:rFonts w:hint="default" w:ascii="Times New Roman" w:hAnsi="Times New Roman" w:eastAsia="宋体" w:cs="Times New Roman"/>
        </w:rPr>
        <w:t>的规定不符时，应在收到产品之日起一个月内向供方提出，由供需双方协商解决。如需仲裁，仲裁取样由供需双方共同进行。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</w:rPr>
        <w:t>组批</w:t>
      </w:r>
    </w:p>
    <w:p>
      <w:pPr>
        <w:pStyle w:val="233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产品应成批提交验收</w:t>
      </w:r>
      <w:r>
        <w:rPr>
          <w:rFonts w:hint="default" w:ascii="Times New Roman" w:hAnsi="Times New Roman" w:cs="Times New Roman"/>
          <w:color w:val="auto"/>
          <w:highlight w:val="none"/>
        </w:rPr>
        <w:t>，每批由同一种类的产品混合均匀组成，</w:t>
      </w:r>
      <w:r>
        <w:rPr>
          <w:rFonts w:hint="default" w:ascii="Times New Roman" w:hAnsi="Times New Roman" w:cs="Times New Roman"/>
          <w:color w:val="auto"/>
        </w:rPr>
        <w:t>每批重量不超过5t。</w:t>
      </w:r>
      <w:r>
        <w:rPr>
          <w:rFonts w:hint="default" w:ascii="Times New Roman" w:hAnsi="Times New Roman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每批产品的净重为2-10</w:t>
      </w:r>
      <w:r>
        <w:rPr>
          <w:rFonts w:hint="eastAsia" w:ascii="Times New Roman" w:cs="Times New Roman"/>
          <w:color w:val="auto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t>需方有特殊要求时，双方可协商确定。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检验项目及取样</w:t>
      </w:r>
    </w:p>
    <w:p>
      <w:pPr>
        <w:pStyle w:val="235"/>
        <w:numPr>
          <w:ilvl w:val="0"/>
          <w:numId w:val="0"/>
        </w:numPr>
        <w:spacing w:beforeLines="0" w:afterLines="0"/>
        <w:ind w:firstLine="420"/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产品检验项目及取样</w:t>
      </w:r>
      <w:r>
        <w:rPr>
          <w:rFonts w:hint="default" w:ascii="Times New Roman" w:hAnsi="Times New Roman" w:cs="Times New Roman" w:eastAsiaTheme="minorEastAsia"/>
          <w:lang w:val="en-US" w:eastAsia="zh-CN"/>
        </w:rPr>
        <w:t>数量</w:t>
      </w:r>
      <w:r>
        <w:rPr>
          <w:rFonts w:hint="default" w:ascii="Times New Roman" w:hAnsi="Times New Roman" w:cs="Times New Roman" w:eastAsiaTheme="minorEastAsia"/>
        </w:rPr>
        <w:t>见表</w:t>
      </w:r>
      <w:r>
        <w:rPr>
          <w:rFonts w:hint="eastAsia" w:ascii="Times New Roman" w:cs="Times New Roman" w:eastAsiaTheme="minorEastAsia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235"/>
        <w:numPr>
          <w:ilvl w:val="0"/>
          <w:numId w:val="0"/>
        </w:numPr>
        <w:spacing w:beforeLines="0" w:afterLines="0"/>
        <w:ind w:firstLine="420"/>
        <w:jc w:val="center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cs="Times New Roman"/>
          <w:lang w:val="en-US" w:eastAsia="zh-CN"/>
        </w:rPr>
        <w:t>表3</w:t>
      </w:r>
    </w:p>
    <w:tbl>
      <w:tblPr>
        <w:tblStyle w:val="28"/>
        <w:tblW w:w="8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73"/>
        <w:gridCol w:w="1773"/>
        <w:gridCol w:w="1476"/>
        <w:gridCol w:w="18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取样规定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取样数量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要求的章条号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试验方法的章条号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化学成分</w:t>
            </w:r>
          </w:p>
        </w:tc>
        <w:tc>
          <w:tcPr>
            <w:tcW w:w="177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按GB/T6678-2003中7.6的规定，采用不锈钢或硬聚氯乙烯取样器，取样管沿袋中心插至袋2/3处，所取样品混匀后用四分法缩分至约200g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水分含量</w:t>
            </w:r>
          </w:p>
        </w:tc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磁性异物</w:t>
            </w:r>
          </w:p>
        </w:tc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4.3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松装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密度</w:t>
            </w:r>
          </w:p>
        </w:tc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粒度</w:t>
            </w:r>
          </w:p>
        </w:tc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每批1份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4.5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177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逐桶（袋）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</w:tr>
    </w:tbl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检验结果的判定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产品的化学成分</w:t>
      </w:r>
      <w:r>
        <w:rPr>
          <w:rFonts w:hint="default" w:ascii="Times New Roman" w:hAnsi="Times New Roman" w:eastAsia="宋体" w:cs="Times New Roman"/>
          <w:lang w:val="en-US" w:eastAsia="zh-CN"/>
        </w:rPr>
        <w:t>检验结果不合格时，则从同一批产品中加倍取样，对不合格项目进行重复检验，如仍有一个检验结果不合格时，则判该批为不合格。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产品的</w:t>
      </w:r>
      <w:r>
        <w:rPr>
          <w:rFonts w:hint="default" w:ascii="Times New Roman" w:hAnsi="Times New Roman" w:eastAsia="宋体" w:cs="Times New Roman"/>
          <w:lang w:val="en-US" w:eastAsia="zh-CN"/>
        </w:rPr>
        <w:t>外观质量检验结果不合格时，则从同一批产品中加倍取样，对不合格项目进行重复检验，如仍有一个检验结果不合格时，则判该批为不合格。</w:t>
      </w:r>
    </w:p>
    <w:p>
      <w:pPr>
        <w:pStyle w:val="235"/>
        <w:spacing w:beforeLines="0" w:afterLines="0"/>
        <w:jc w:val="both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宋体" w:cs="Times New Roman"/>
        </w:rPr>
        <w:t>产品的</w:t>
      </w:r>
      <w:r>
        <w:rPr>
          <w:rFonts w:hint="default" w:ascii="Times New Roman" w:hAnsi="Times New Roman" w:eastAsia="宋体" w:cs="Times New Roman"/>
          <w:lang w:val="en-US" w:eastAsia="zh-CN"/>
        </w:rPr>
        <w:t>磁性异物检验结果不合格时，则从同一批产品中加倍取样，对不合格项目进行重复检验，如仍有一个检验结果不合格时，则判该批为不合格。</w:t>
      </w:r>
    </w:p>
    <w:p>
      <w:pPr>
        <w:pStyle w:val="235"/>
        <w:spacing w:beforeLines="0" w:afterLines="0"/>
        <w:jc w:val="both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产品的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水分</w:t>
      </w:r>
      <w:r>
        <w:rPr>
          <w:rFonts w:hint="default" w:ascii="Times New Roman" w:hAnsi="Times New Roman" w:eastAsia="宋体" w:cs="Times New Roman"/>
          <w:color w:val="auto"/>
        </w:rPr>
        <w:t>不合格</w:t>
      </w:r>
      <w:r>
        <w:rPr>
          <w:rFonts w:hint="eastAsia" w:ascii="Times New Roman" w:eastAsia="宋体" w:cs="Times New Roman"/>
          <w:color w:val="auto"/>
          <w:lang w:val="en-US" w:eastAsia="zh-CN"/>
        </w:rPr>
        <w:t>时</w:t>
      </w:r>
      <w:r>
        <w:rPr>
          <w:rFonts w:hint="default" w:ascii="Times New Roman" w:hAnsi="Times New Roman" w:eastAsia="宋体" w:cs="Times New Roman"/>
          <w:color w:val="auto"/>
        </w:rPr>
        <w:t>，判该桶（袋）产品不合格。</w:t>
      </w:r>
    </w:p>
    <w:p>
      <w:pPr>
        <w:pStyle w:val="235"/>
        <w:spacing w:beforeLines="0" w:afterLines="0"/>
        <w:jc w:val="both"/>
        <w:rPr>
          <w:rFonts w:hint="default"/>
        </w:rPr>
      </w:pPr>
      <w:r>
        <w:rPr>
          <w:rFonts w:hint="default" w:ascii="Times New Roman" w:hAnsi="Times New Roman" w:eastAsia="宋体" w:cs="Times New Roman"/>
          <w:color w:val="auto"/>
        </w:rPr>
        <w:t>产品的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粒度</w:t>
      </w:r>
      <w:r>
        <w:rPr>
          <w:rFonts w:hint="default" w:ascii="Times New Roman" w:hAnsi="Times New Roman" w:eastAsia="宋体" w:cs="Times New Roman"/>
          <w:color w:val="auto"/>
        </w:rPr>
        <w:t>不合格</w:t>
      </w:r>
      <w:r>
        <w:rPr>
          <w:rFonts w:hint="eastAsia" w:ascii="Times New Roman" w:eastAsia="宋体" w:cs="Times New Roman"/>
          <w:color w:val="auto"/>
          <w:lang w:val="en-US" w:eastAsia="zh-CN"/>
        </w:rPr>
        <w:t>时</w:t>
      </w:r>
      <w:r>
        <w:rPr>
          <w:rFonts w:hint="default" w:ascii="Times New Roman" w:hAnsi="Times New Roman" w:eastAsia="宋体" w:cs="Times New Roman"/>
          <w:color w:val="auto"/>
        </w:rPr>
        <w:t>，判该桶（袋）产品不合格。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标志、包装、运输、贮存与</w:t>
      </w:r>
      <w:r>
        <w:rPr>
          <w:rFonts w:hint="eastAsia" w:ascii="Times New Roman" w:cs="Times New Roman"/>
          <w:lang w:val="en-US" w:eastAsia="zh-CN"/>
        </w:rPr>
        <w:t>随行文件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标志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产品外包装应有商标以及标签，其上标明：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a）供方名称和地址；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b）产品名称；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c）种类；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d）批号；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e）净重；</w:t>
      </w:r>
    </w:p>
    <w:p>
      <w:pPr>
        <w:tabs>
          <w:tab w:val="left" w:pos="8222"/>
        </w:tabs>
        <w:ind w:right="85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    f）防潮字样或标志；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g）本文件编号；</w:t>
      </w:r>
    </w:p>
    <w:p>
      <w:pPr>
        <w:tabs>
          <w:tab w:val="left" w:pos="8222"/>
        </w:tabs>
        <w:ind w:right="85" w:firstLine="420" w:firstLineChars="200"/>
        <w:jc w:val="lef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h）生产日期。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包装</w:t>
      </w:r>
    </w:p>
    <w:p>
      <w:pPr>
        <w:pStyle w:val="238"/>
        <w:numPr>
          <w:ilvl w:val="0"/>
          <w:numId w:val="0"/>
        </w:numPr>
        <w:spacing w:beforeLines="0" w:afterLines="0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产品</w:t>
      </w:r>
      <w:r>
        <w:rPr>
          <w:rFonts w:hint="eastAsia" w:ascii="Times New Roman" w:eastAsia="宋体" w:cs="Times New Roman"/>
          <w:lang w:val="en-US" w:eastAsia="zh-CN"/>
        </w:rPr>
        <w:t>内包装</w:t>
      </w:r>
      <w:r>
        <w:rPr>
          <w:rFonts w:hint="default" w:ascii="Times New Roman" w:hAnsi="Times New Roman" w:eastAsia="宋体" w:cs="Times New Roman"/>
          <w:lang w:val="en-US" w:eastAsia="zh-CN"/>
        </w:rPr>
        <w:t>采用塑料薄膜袋，外</w:t>
      </w:r>
      <w:r>
        <w:rPr>
          <w:rFonts w:hint="eastAsia" w:ascii="Times New Roman" w:eastAsia="宋体" w:cs="Times New Roman"/>
          <w:lang w:val="en-US" w:eastAsia="zh-CN"/>
        </w:rPr>
        <w:t>包装采用</w:t>
      </w:r>
      <w:r>
        <w:rPr>
          <w:rFonts w:hint="default" w:ascii="Times New Roman" w:hAnsi="Times New Roman" w:cs="Times New Roman"/>
          <w:lang w:val="en-US" w:eastAsia="zh-CN"/>
        </w:rPr>
        <w:t>GB8947</w:t>
      </w:r>
      <w:r>
        <w:rPr>
          <w:rFonts w:hint="eastAsia" w:ascii="Times New Roman" w:cs="Times New Roman"/>
          <w:lang w:val="en-US" w:eastAsia="zh-CN"/>
        </w:rPr>
        <w:t>-1998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复合塑料编织袋</w:t>
      </w:r>
      <w:r>
        <w:rPr>
          <w:rFonts w:hint="default" w:ascii="Times New Roman" w:hAnsi="Times New Roman" w:eastAsia="宋体" w:cs="Times New Roman"/>
          <w:lang w:val="en-US" w:eastAsia="zh-CN"/>
        </w:rPr>
        <w:t>。内袋扎口或热合，外袋缝口牢固。每袋净重根据客户要求执行。</w:t>
      </w:r>
    </w:p>
    <w:p>
      <w:pPr>
        <w:pStyle w:val="232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运输和贮存</w:t>
      </w:r>
    </w:p>
    <w:p>
      <w:pPr>
        <w:pStyle w:val="235"/>
        <w:spacing w:before="156" w:after="156"/>
        <w:rPr>
          <w:rFonts w:hint="default" w:ascii="Times New Roman" w:hAnsi="Times New Roman" w:eastAsia="宋体" w:cs="Times New Roman"/>
          <w:b w:val="0"/>
          <w:bCs w:val="0"/>
        </w:rPr>
      </w:pPr>
      <w:r>
        <w:rPr>
          <w:rFonts w:hint="default" w:ascii="Times New Roman" w:hAnsi="Times New Roman" w:eastAsia="宋体" w:cs="Times New Roman"/>
          <w:b w:val="0"/>
          <w:bCs w:val="0"/>
        </w:rPr>
        <w:t>产品在运输过程中应避免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与酸接触，搬运时应防止包装袋破损，并注意防潮</w:t>
      </w:r>
      <w:r>
        <w:rPr>
          <w:rFonts w:hint="default" w:ascii="Times New Roman" w:hAnsi="Times New Roman" w:eastAsia="宋体" w:cs="Times New Roman"/>
          <w:b w:val="0"/>
          <w:bCs w:val="0"/>
        </w:rPr>
        <w:t>。</w:t>
      </w:r>
    </w:p>
    <w:p>
      <w:pPr>
        <w:pStyle w:val="235"/>
        <w:spacing w:before="156" w:after="15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产品</w:t>
      </w:r>
      <w:r>
        <w:rPr>
          <w:rFonts w:hint="default" w:ascii="Times New Roman" w:hAnsi="Times New Roman" w:eastAsia="宋体" w:cs="Times New Roman"/>
          <w:lang w:val="en-US" w:eastAsia="zh-CN"/>
        </w:rPr>
        <w:t>应贮于干燥、无酸腐蚀气氛中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pStyle w:val="232"/>
        <w:spacing w:before="156" w:after="156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cs="Times New Roman"/>
          <w:highlight w:val="none"/>
          <w:lang w:val="en-US" w:eastAsia="zh-CN"/>
        </w:rPr>
        <w:t>随行文件</w:t>
      </w:r>
    </w:p>
    <w:p>
      <w:pPr>
        <w:widowControl/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每批产品应附有随行文件，</w:t>
      </w: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其中除应包括供方信息、产品信息、本文件编号、出厂日期或生产日期外，还宜包括：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 xml:space="preserve">a） 产品质量保证书，内容如下： 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 xml:space="preserve">· 产品的主要性能及技术参数； 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· 产品特点（包括制备工艺及原材料的特点）；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· 带供方技术监督部门检印的各项分析检验结果或结论。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b）产品合格证：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 xml:space="preserve">· 检验项目及结果或检验结论； 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 xml:space="preserve">· 批号； 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· 生产日期；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· 检验日期；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 xml:space="preserve">· 检验员签名或盖章； 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 xml:space="preserve">· 包装、贮存要求； </w:t>
      </w:r>
    </w:p>
    <w:p>
      <w:pPr>
        <w:widowControl/>
        <w:ind w:left="418" w:leftChars="199"/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kern w:val="0"/>
          <w:szCs w:val="21"/>
          <w:lang w:bidi="ar"/>
        </w:rPr>
        <w:t>c） 其他。</w:t>
      </w:r>
    </w:p>
    <w:p>
      <w:pPr>
        <w:pStyle w:val="234"/>
        <w:spacing w:before="312" w:after="31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订货单内容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订购本文件所列产品的订货单应包括以下内容：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a）产品名称；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b）种类；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c）批号；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d）数量；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e）化学成分及物理性能的特殊要求；</w:t>
      </w:r>
    </w:p>
    <w:p>
      <w:pPr>
        <w:tabs>
          <w:tab w:val="left" w:pos="8222"/>
        </w:tabs>
        <w:ind w:firstLine="420" w:firstLineChars="200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 xml:space="preserve">f）本文件编号； </w:t>
      </w:r>
    </w:p>
    <w:p>
      <w:pPr>
        <w:tabs>
          <w:tab w:val="left" w:pos="8222"/>
        </w:tabs>
        <w:ind w:firstLine="420" w:firstLineChars="200"/>
      </w:pPr>
      <w:r>
        <w:rPr>
          <w:rFonts w:hint="default" w:ascii="Times New Roman" w:hAnsi="Times New Roman" w:eastAsia="宋体" w:cs="Times New Roman"/>
          <w:kern w:val="0"/>
          <w:szCs w:val="21"/>
        </w:rPr>
        <w:t>g）其他。</w:t>
      </w:r>
      <w:bookmarkEnd w:id="9"/>
      <w:bookmarkStart w:id="11" w:name="BookMark4"/>
      <w:sdt>
        <w:sdtPr>
          <w:tag w:val="NEW_STAND_NAME"/>
          <w:id w:val="595910757"/>
          <w:lock w:val="sdtLocked"/>
          <w:placeholder>
            <w:docPart w:val="82F1D4E832D84B4C85A2554750C8CE41"/>
          </w:placeholder>
          <w:showingPlcHdr/>
        </w:sdtPr>
        <w:sdtContent>
          <w:bookmarkStart w:id="12" w:name="NEW_STAND_NAME"/>
          <w:r>
            <w:rPr>
              <w:rStyle w:val="188"/>
              <w:rFonts w:hint="eastAsia"/>
            </w:rPr>
            <w:t>单击或点击此处输入文字。</w:t>
          </w:r>
        </w:sdtContent>
      </w:sdt>
      <w:bookmarkEnd w:id="11"/>
      <w:bookmarkEnd w:id="12"/>
      <w:bookmarkStart w:id="13" w:name="_GoBack"/>
      <w:bookmarkEnd w:id="13"/>
    </w:p>
    <w:sectPr>
      <w:headerReference r:id="rId12" w:type="default"/>
      <w:footerReference r:id="rId13" w:type="default"/>
      <w:pgSz w:w="11906" w:h="16838"/>
      <w:pgMar w:top="1928" w:right="1134" w:bottom="1134" w:left="1134" w:header="1418" w:footer="1134" w:gutter="284"/>
      <w:pgNumType w:fmt="decimal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4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4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T/CNIA 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T/CNIA XXXX—XXXX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181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8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0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1">
    <w:nsid w:val="1FC91163"/>
    <w:multiLevelType w:val="multilevel"/>
    <w:tmpl w:val="1FC91163"/>
    <w:lvl w:ilvl="0" w:tentative="0">
      <w:start w:val="1"/>
      <w:numFmt w:val="decimal"/>
      <w:pStyle w:val="23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3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3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3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7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9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3">
    <w:nsid w:val="646260FA"/>
    <w:multiLevelType w:val="multilevel"/>
    <w:tmpl w:val="646260FA"/>
    <w:lvl w:ilvl="0" w:tentative="0">
      <w:start w:val="1"/>
      <w:numFmt w:val="decimal"/>
      <w:pStyle w:val="246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5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7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0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1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2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9"/>
  </w:num>
  <w:num w:numId="3">
    <w:abstractNumId w:val="5"/>
  </w:num>
  <w:num w:numId="4">
    <w:abstractNumId w:val="25"/>
  </w:num>
  <w:num w:numId="5">
    <w:abstractNumId w:val="20"/>
  </w:num>
  <w:num w:numId="6">
    <w:abstractNumId w:val="15"/>
  </w:num>
  <w:num w:numId="7">
    <w:abstractNumId w:val="9"/>
  </w:num>
  <w:num w:numId="8">
    <w:abstractNumId w:val="3"/>
  </w:num>
  <w:num w:numId="9">
    <w:abstractNumId w:val="10"/>
  </w:num>
  <w:num w:numId="10">
    <w:abstractNumId w:val="18"/>
  </w:num>
  <w:num w:numId="11">
    <w:abstractNumId w:val="27"/>
  </w:num>
  <w:num w:numId="12">
    <w:abstractNumId w:val="13"/>
  </w:num>
  <w:num w:numId="13">
    <w:abstractNumId w:val="14"/>
  </w:num>
  <w:num w:numId="14">
    <w:abstractNumId w:val="8"/>
  </w:num>
  <w:num w:numId="15">
    <w:abstractNumId w:val="21"/>
  </w:num>
  <w:num w:numId="16">
    <w:abstractNumId w:val="23"/>
  </w:num>
  <w:num w:numId="17">
    <w:abstractNumId w:val="19"/>
  </w:num>
  <w:num w:numId="18">
    <w:abstractNumId w:val="31"/>
  </w:num>
  <w:num w:numId="19">
    <w:abstractNumId w:val="17"/>
  </w:num>
  <w:num w:numId="20">
    <w:abstractNumId w:val="1"/>
  </w:num>
  <w:num w:numId="21">
    <w:abstractNumId w:val="12"/>
  </w:num>
  <w:num w:numId="22">
    <w:abstractNumId w:val="32"/>
  </w:num>
  <w:num w:numId="23">
    <w:abstractNumId w:val="22"/>
  </w:num>
  <w:num w:numId="24">
    <w:abstractNumId w:val="6"/>
  </w:num>
  <w:num w:numId="25">
    <w:abstractNumId w:val="28"/>
  </w:num>
  <w:num w:numId="26">
    <w:abstractNumId w:val="30"/>
  </w:num>
  <w:num w:numId="27">
    <w:abstractNumId w:val="2"/>
  </w:num>
  <w:num w:numId="28">
    <w:abstractNumId w:val="4"/>
  </w:num>
  <w:num w:numId="29">
    <w:abstractNumId w:val="16"/>
  </w:num>
  <w:num w:numId="30">
    <w:abstractNumId w:val="26"/>
  </w:num>
  <w:num w:numId="31">
    <w:abstractNumId w:val="24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wYjI3YmE1NWQ1NWI1YmMwNDQzNTlkMzk4ZWJjMGMifQ=="/>
  </w:docVars>
  <w:rsids>
    <w:rsidRoot w:val="00FE503B"/>
    <w:rsid w:val="0000040A"/>
    <w:rsid w:val="00000A94"/>
    <w:rsid w:val="00001972"/>
    <w:rsid w:val="00001D9A"/>
    <w:rsid w:val="000032DE"/>
    <w:rsid w:val="00005BE9"/>
    <w:rsid w:val="00007562"/>
    <w:rsid w:val="00007B3A"/>
    <w:rsid w:val="000107E0"/>
    <w:rsid w:val="00011FDE"/>
    <w:rsid w:val="00012FFD"/>
    <w:rsid w:val="00014162"/>
    <w:rsid w:val="00014340"/>
    <w:rsid w:val="00016A9C"/>
    <w:rsid w:val="0001723C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1CFC"/>
    <w:rsid w:val="00073C8C"/>
    <w:rsid w:val="00074396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58CD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5AE9"/>
    <w:rsid w:val="000E6FD7"/>
    <w:rsid w:val="000E7144"/>
    <w:rsid w:val="000F06E1"/>
    <w:rsid w:val="000F0E3C"/>
    <w:rsid w:val="000F19D5"/>
    <w:rsid w:val="000F278C"/>
    <w:rsid w:val="000F4050"/>
    <w:rsid w:val="000F4AEA"/>
    <w:rsid w:val="000F67E9"/>
    <w:rsid w:val="00104926"/>
    <w:rsid w:val="0011236B"/>
    <w:rsid w:val="00113B1E"/>
    <w:rsid w:val="0011711C"/>
    <w:rsid w:val="00124E4F"/>
    <w:rsid w:val="001260B7"/>
    <w:rsid w:val="001265CB"/>
    <w:rsid w:val="001321C6"/>
    <w:rsid w:val="001325C4"/>
    <w:rsid w:val="00133010"/>
    <w:rsid w:val="001333A2"/>
    <w:rsid w:val="001338EE"/>
    <w:rsid w:val="00133AAE"/>
    <w:rsid w:val="00133DE7"/>
    <w:rsid w:val="0013465D"/>
    <w:rsid w:val="00135323"/>
    <w:rsid w:val="001356C4"/>
    <w:rsid w:val="00137565"/>
    <w:rsid w:val="00141114"/>
    <w:rsid w:val="00142969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0367"/>
    <w:rsid w:val="001852C9"/>
    <w:rsid w:val="00187A0B"/>
    <w:rsid w:val="00190087"/>
    <w:rsid w:val="001913C4"/>
    <w:rsid w:val="0019348F"/>
    <w:rsid w:val="00193A07"/>
    <w:rsid w:val="00194C95"/>
    <w:rsid w:val="00195C34"/>
    <w:rsid w:val="00196EF5"/>
    <w:rsid w:val="001A04E9"/>
    <w:rsid w:val="001A1A53"/>
    <w:rsid w:val="001A234A"/>
    <w:rsid w:val="001A29D8"/>
    <w:rsid w:val="001A4CF3"/>
    <w:rsid w:val="001A6696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3AB7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15ADD"/>
    <w:rsid w:val="002204BB"/>
    <w:rsid w:val="00221B79"/>
    <w:rsid w:val="00221C6B"/>
    <w:rsid w:val="00221D72"/>
    <w:rsid w:val="002253A1"/>
    <w:rsid w:val="00225CF8"/>
    <w:rsid w:val="0022794E"/>
    <w:rsid w:val="00233D64"/>
    <w:rsid w:val="0023482A"/>
    <w:rsid w:val="002359CB"/>
    <w:rsid w:val="00241A19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0DA"/>
    <w:rsid w:val="00262696"/>
    <w:rsid w:val="00263D25"/>
    <w:rsid w:val="002643C3"/>
    <w:rsid w:val="00264A0C"/>
    <w:rsid w:val="00266182"/>
    <w:rsid w:val="00266EEB"/>
    <w:rsid w:val="00267EF4"/>
    <w:rsid w:val="00270CB8"/>
    <w:rsid w:val="00270CCC"/>
    <w:rsid w:val="00272B08"/>
    <w:rsid w:val="00281BB8"/>
    <w:rsid w:val="00281CFF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6B00"/>
    <w:rsid w:val="002A757F"/>
    <w:rsid w:val="002A7F44"/>
    <w:rsid w:val="002B0C40"/>
    <w:rsid w:val="002B1966"/>
    <w:rsid w:val="002B2FF6"/>
    <w:rsid w:val="002B4508"/>
    <w:rsid w:val="002B5779"/>
    <w:rsid w:val="002B7332"/>
    <w:rsid w:val="002B7F51"/>
    <w:rsid w:val="002C09E7"/>
    <w:rsid w:val="002C1E06"/>
    <w:rsid w:val="002C3F07"/>
    <w:rsid w:val="002C5278"/>
    <w:rsid w:val="002C7167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3FF"/>
    <w:rsid w:val="00302F5F"/>
    <w:rsid w:val="0030441D"/>
    <w:rsid w:val="003056DE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2C83"/>
    <w:rsid w:val="00352F1A"/>
    <w:rsid w:val="003574B6"/>
    <w:rsid w:val="0036107C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37A"/>
    <w:rsid w:val="00392AD7"/>
    <w:rsid w:val="003938D9"/>
    <w:rsid w:val="00394376"/>
    <w:rsid w:val="003943FF"/>
    <w:rsid w:val="003974EB"/>
    <w:rsid w:val="00397CC5"/>
    <w:rsid w:val="003A11D1"/>
    <w:rsid w:val="003A1582"/>
    <w:rsid w:val="003A3D9C"/>
    <w:rsid w:val="003A4077"/>
    <w:rsid w:val="003A4AA7"/>
    <w:rsid w:val="003B09AD"/>
    <w:rsid w:val="003B1F18"/>
    <w:rsid w:val="003B5BF0"/>
    <w:rsid w:val="003B60BF"/>
    <w:rsid w:val="003B6BE3"/>
    <w:rsid w:val="003C010C"/>
    <w:rsid w:val="003C0A6C"/>
    <w:rsid w:val="003C14F8"/>
    <w:rsid w:val="003C5226"/>
    <w:rsid w:val="003C5A43"/>
    <w:rsid w:val="003D0519"/>
    <w:rsid w:val="003D0FF6"/>
    <w:rsid w:val="003D262C"/>
    <w:rsid w:val="003D6D61"/>
    <w:rsid w:val="003E019F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3D1F"/>
    <w:rsid w:val="00404869"/>
    <w:rsid w:val="00404D84"/>
    <w:rsid w:val="00405884"/>
    <w:rsid w:val="00407D39"/>
    <w:rsid w:val="0041477A"/>
    <w:rsid w:val="004167A3"/>
    <w:rsid w:val="0041771D"/>
    <w:rsid w:val="00431179"/>
    <w:rsid w:val="00432BCF"/>
    <w:rsid w:val="00432DAA"/>
    <w:rsid w:val="00434305"/>
    <w:rsid w:val="00435AE2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078"/>
    <w:rsid w:val="00470775"/>
    <w:rsid w:val="00472527"/>
    <w:rsid w:val="004746B1"/>
    <w:rsid w:val="0047583F"/>
    <w:rsid w:val="00475DE8"/>
    <w:rsid w:val="00480F74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BA8"/>
    <w:rsid w:val="004A4B57"/>
    <w:rsid w:val="004A63FA"/>
    <w:rsid w:val="004A6A3D"/>
    <w:rsid w:val="004A6B75"/>
    <w:rsid w:val="004B0272"/>
    <w:rsid w:val="004B2701"/>
    <w:rsid w:val="004B2E1B"/>
    <w:rsid w:val="004B3AA8"/>
    <w:rsid w:val="004B3E93"/>
    <w:rsid w:val="004C1FBC"/>
    <w:rsid w:val="004C25A2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2B0"/>
    <w:rsid w:val="004E67C0"/>
    <w:rsid w:val="004F391A"/>
    <w:rsid w:val="004F3CFB"/>
    <w:rsid w:val="004F6456"/>
    <w:rsid w:val="004F696E"/>
    <w:rsid w:val="004F6C71"/>
    <w:rsid w:val="00501139"/>
    <w:rsid w:val="0050363E"/>
    <w:rsid w:val="0050377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1E19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55EF3"/>
    <w:rsid w:val="00561475"/>
    <w:rsid w:val="00562308"/>
    <w:rsid w:val="00562DB3"/>
    <w:rsid w:val="0056487B"/>
    <w:rsid w:val="00564FB9"/>
    <w:rsid w:val="00573D9E"/>
    <w:rsid w:val="0057414C"/>
    <w:rsid w:val="005801E3"/>
    <w:rsid w:val="00581802"/>
    <w:rsid w:val="005836A8"/>
    <w:rsid w:val="0058409C"/>
    <w:rsid w:val="00584262"/>
    <w:rsid w:val="00586630"/>
    <w:rsid w:val="00587108"/>
    <w:rsid w:val="00587ADD"/>
    <w:rsid w:val="00593A49"/>
    <w:rsid w:val="00596160"/>
    <w:rsid w:val="005966E2"/>
    <w:rsid w:val="00597007"/>
    <w:rsid w:val="005A0966"/>
    <w:rsid w:val="005A11B7"/>
    <w:rsid w:val="005A260B"/>
    <w:rsid w:val="005A4A1B"/>
    <w:rsid w:val="005A62E4"/>
    <w:rsid w:val="005A6390"/>
    <w:rsid w:val="005A7830"/>
    <w:rsid w:val="005A7FCE"/>
    <w:rsid w:val="005B0F3F"/>
    <w:rsid w:val="005B191C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2D0"/>
    <w:rsid w:val="005D0C75"/>
    <w:rsid w:val="005D4171"/>
    <w:rsid w:val="005D6A95"/>
    <w:rsid w:val="005D6B2C"/>
    <w:rsid w:val="005D6D9C"/>
    <w:rsid w:val="005D740A"/>
    <w:rsid w:val="005E0282"/>
    <w:rsid w:val="005E2335"/>
    <w:rsid w:val="005E34CA"/>
    <w:rsid w:val="005E3C18"/>
    <w:rsid w:val="005E4250"/>
    <w:rsid w:val="005E6812"/>
    <w:rsid w:val="005E7881"/>
    <w:rsid w:val="005E78E0"/>
    <w:rsid w:val="005F0D9C"/>
    <w:rsid w:val="005F284E"/>
    <w:rsid w:val="005F435E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111"/>
    <w:rsid w:val="0066455A"/>
    <w:rsid w:val="006646F1"/>
    <w:rsid w:val="00664929"/>
    <w:rsid w:val="00664F62"/>
    <w:rsid w:val="006655E1"/>
    <w:rsid w:val="00672060"/>
    <w:rsid w:val="00672BFD"/>
    <w:rsid w:val="006770F4"/>
    <w:rsid w:val="00677A84"/>
    <w:rsid w:val="0068026D"/>
    <w:rsid w:val="00680A27"/>
    <w:rsid w:val="0068119C"/>
    <w:rsid w:val="006816A4"/>
    <w:rsid w:val="006819B8"/>
    <w:rsid w:val="00682F49"/>
    <w:rsid w:val="006840A6"/>
    <w:rsid w:val="0068485B"/>
    <w:rsid w:val="006850CD"/>
    <w:rsid w:val="00685AAB"/>
    <w:rsid w:val="006A07AA"/>
    <w:rsid w:val="006A25E5"/>
    <w:rsid w:val="006A2B46"/>
    <w:rsid w:val="006A336D"/>
    <w:rsid w:val="006A37B9"/>
    <w:rsid w:val="006A5561"/>
    <w:rsid w:val="006B165D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158E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E1B"/>
    <w:rsid w:val="00725949"/>
    <w:rsid w:val="00727FA2"/>
    <w:rsid w:val="007322D9"/>
    <w:rsid w:val="00732BC0"/>
    <w:rsid w:val="007364E7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77D20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5D3A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6F26"/>
    <w:rsid w:val="007D76BD"/>
    <w:rsid w:val="007E0710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05272"/>
    <w:rsid w:val="008061F2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D19"/>
    <w:rsid w:val="00823303"/>
    <w:rsid w:val="008233B2"/>
    <w:rsid w:val="00823A9F"/>
    <w:rsid w:val="00823C85"/>
    <w:rsid w:val="00825138"/>
    <w:rsid w:val="00825571"/>
    <w:rsid w:val="008269DD"/>
    <w:rsid w:val="00830621"/>
    <w:rsid w:val="0083348C"/>
    <w:rsid w:val="008373D3"/>
    <w:rsid w:val="00840617"/>
    <w:rsid w:val="00840F84"/>
    <w:rsid w:val="00842A47"/>
    <w:rsid w:val="00843C13"/>
    <w:rsid w:val="00843DEF"/>
    <w:rsid w:val="008454F8"/>
    <w:rsid w:val="00847AA5"/>
    <w:rsid w:val="008506E6"/>
    <w:rsid w:val="0085173A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9D7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73B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2732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06D9D"/>
    <w:rsid w:val="00911BE5"/>
    <w:rsid w:val="00913CA9"/>
    <w:rsid w:val="009145AE"/>
    <w:rsid w:val="009146CE"/>
    <w:rsid w:val="00914CA7"/>
    <w:rsid w:val="00915C3E"/>
    <w:rsid w:val="009161A8"/>
    <w:rsid w:val="00917549"/>
    <w:rsid w:val="009245AE"/>
    <w:rsid w:val="009245F5"/>
    <w:rsid w:val="009249EC"/>
    <w:rsid w:val="00925AD2"/>
    <w:rsid w:val="009273B3"/>
    <w:rsid w:val="009305B5"/>
    <w:rsid w:val="009378DD"/>
    <w:rsid w:val="009429D5"/>
    <w:rsid w:val="00942BF1"/>
    <w:rsid w:val="00945180"/>
    <w:rsid w:val="00945428"/>
    <w:rsid w:val="0094607B"/>
    <w:rsid w:val="00953604"/>
    <w:rsid w:val="0095496B"/>
    <w:rsid w:val="00960F1E"/>
    <w:rsid w:val="009610DC"/>
    <w:rsid w:val="00961490"/>
    <w:rsid w:val="0096381A"/>
    <w:rsid w:val="00963B78"/>
    <w:rsid w:val="00965E04"/>
    <w:rsid w:val="009674AD"/>
    <w:rsid w:val="00970CDC"/>
    <w:rsid w:val="009716EB"/>
    <w:rsid w:val="009756D8"/>
    <w:rsid w:val="00975727"/>
    <w:rsid w:val="00977010"/>
    <w:rsid w:val="00977D02"/>
    <w:rsid w:val="00977FF9"/>
    <w:rsid w:val="009809BB"/>
    <w:rsid w:val="0098364B"/>
    <w:rsid w:val="0098678F"/>
    <w:rsid w:val="009908A3"/>
    <w:rsid w:val="009911AF"/>
    <w:rsid w:val="00991875"/>
    <w:rsid w:val="00991F92"/>
    <w:rsid w:val="009926A4"/>
    <w:rsid w:val="00992985"/>
    <w:rsid w:val="009930EF"/>
    <w:rsid w:val="00993889"/>
    <w:rsid w:val="00995107"/>
    <w:rsid w:val="0099551B"/>
    <w:rsid w:val="00996BD2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C2573"/>
    <w:rsid w:val="009C27F1"/>
    <w:rsid w:val="009C3152"/>
    <w:rsid w:val="009C3257"/>
    <w:rsid w:val="009C4CFA"/>
    <w:rsid w:val="009C5070"/>
    <w:rsid w:val="009D112C"/>
    <w:rsid w:val="009D1385"/>
    <w:rsid w:val="009D47FA"/>
    <w:rsid w:val="009D4C5B"/>
    <w:rsid w:val="009D50D2"/>
    <w:rsid w:val="009D6BCA"/>
    <w:rsid w:val="009E072F"/>
    <w:rsid w:val="009E0F62"/>
    <w:rsid w:val="009E4A58"/>
    <w:rsid w:val="009E5705"/>
    <w:rsid w:val="009E5A2D"/>
    <w:rsid w:val="009E5AB2"/>
    <w:rsid w:val="009E6219"/>
    <w:rsid w:val="009F03B3"/>
    <w:rsid w:val="009F594F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3C67"/>
    <w:rsid w:val="00A3597D"/>
    <w:rsid w:val="00A35F5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6AAA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2D5C"/>
    <w:rsid w:val="00AD4126"/>
    <w:rsid w:val="00AD421C"/>
    <w:rsid w:val="00AD44FA"/>
    <w:rsid w:val="00AE070A"/>
    <w:rsid w:val="00AE101C"/>
    <w:rsid w:val="00AE2A69"/>
    <w:rsid w:val="00AE37E5"/>
    <w:rsid w:val="00AE5EB4"/>
    <w:rsid w:val="00AF0C18"/>
    <w:rsid w:val="00AF47C5"/>
    <w:rsid w:val="00AF5398"/>
    <w:rsid w:val="00B013FE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0CE8"/>
    <w:rsid w:val="00B4346D"/>
    <w:rsid w:val="00B440F4"/>
    <w:rsid w:val="00B447A5"/>
    <w:rsid w:val="00B4654C"/>
    <w:rsid w:val="00B47293"/>
    <w:rsid w:val="00B47E32"/>
    <w:rsid w:val="00B50E50"/>
    <w:rsid w:val="00B52120"/>
    <w:rsid w:val="00B54ABC"/>
    <w:rsid w:val="00B56FBE"/>
    <w:rsid w:val="00B60ACF"/>
    <w:rsid w:val="00B62B58"/>
    <w:rsid w:val="00B65149"/>
    <w:rsid w:val="00B66567"/>
    <w:rsid w:val="00B66E04"/>
    <w:rsid w:val="00B66F52"/>
    <w:rsid w:val="00B66FE5"/>
    <w:rsid w:val="00B7181B"/>
    <w:rsid w:val="00B724C4"/>
    <w:rsid w:val="00B72880"/>
    <w:rsid w:val="00B758BF"/>
    <w:rsid w:val="00B766F5"/>
    <w:rsid w:val="00B77EC8"/>
    <w:rsid w:val="00B827A6"/>
    <w:rsid w:val="00B831CE"/>
    <w:rsid w:val="00B844D4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63A6"/>
    <w:rsid w:val="00BA7C9A"/>
    <w:rsid w:val="00BB5F8F"/>
    <w:rsid w:val="00BB657A"/>
    <w:rsid w:val="00BC1A4E"/>
    <w:rsid w:val="00BC5C9F"/>
    <w:rsid w:val="00BC5DC7"/>
    <w:rsid w:val="00BC6B8B"/>
    <w:rsid w:val="00BC73D8"/>
    <w:rsid w:val="00BD3ADD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23E3"/>
    <w:rsid w:val="00C44BF5"/>
    <w:rsid w:val="00C521D6"/>
    <w:rsid w:val="00C55232"/>
    <w:rsid w:val="00C553A4"/>
    <w:rsid w:val="00C55A06"/>
    <w:rsid w:val="00C55D03"/>
    <w:rsid w:val="00C601BC"/>
    <w:rsid w:val="00C624DD"/>
    <w:rsid w:val="00C6329F"/>
    <w:rsid w:val="00C63340"/>
    <w:rsid w:val="00C643F9"/>
    <w:rsid w:val="00C64E95"/>
    <w:rsid w:val="00C71372"/>
    <w:rsid w:val="00C72410"/>
    <w:rsid w:val="00C7287F"/>
    <w:rsid w:val="00C80CB8"/>
    <w:rsid w:val="00C81155"/>
    <w:rsid w:val="00C819F8"/>
    <w:rsid w:val="00C8248C"/>
    <w:rsid w:val="00C84E33"/>
    <w:rsid w:val="00C86D6F"/>
    <w:rsid w:val="00C87D9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7936"/>
    <w:rsid w:val="00CE0C4F"/>
    <w:rsid w:val="00CE30EA"/>
    <w:rsid w:val="00CF0350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4563"/>
    <w:rsid w:val="00D06AB1"/>
    <w:rsid w:val="00D06FC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5F72"/>
    <w:rsid w:val="00D77031"/>
    <w:rsid w:val="00D84941"/>
    <w:rsid w:val="00D84FA1"/>
    <w:rsid w:val="00D851F0"/>
    <w:rsid w:val="00D86DB7"/>
    <w:rsid w:val="00D87BF5"/>
    <w:rsid w:val="00D90721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6F54"/>
    <w:rsid w:val="00DB73F7"/>
    <w:rsid w:val="00DC0321"/>
    <w:rsid w:val="00DC20BB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4D4"/>
    <w:rsid w:val="00DD57EE"/>
    <w:rsid w:val="00DD6BCC"/>
    <w:rsid w:val="00DE0A4B"/>
    <w:rsid w:val="00DE2410"/>
    <w:rsid w:val="00DE2939"/>
    <w:rsid w:val="00DE59DB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FF9"/>
    <w:rsid w:val="00E635D6"/>
    <w:rsid w:val="00E639BC"/>
    <w:rsid w:val="00E664CC"/>
    <w:rsid w:val="00E70388"/>
    <w:rsid w:val="00E70F92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32D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31ED"/>
    <w:rsid w:val="00EB4C72"/>
    <w:rsid w:val="00EB5EDF"/>
    <w:rsid w:val="00EB60FE"/>
    <w:rsid w:val="00EB6611"/>
    <w:rsid w:val="00EB6E91"/>
    <w:rsid w:val="00EB74DB"/>
    <w:rsid w:val="00EC5359"/>
    <w:rsid w:val="00EC562A"/>
    <w:rsid w:val="00ED067A"/>
    <w:rsid w:val="00ED08FD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16F00"/>
    <w:rsid w:val="00F205B3"/>
    <w:rsid w:val="00F25BB6"/>
    <w:rsid w:val="00F26B7E"/>
    <w:rsid w:val="00F27A3B"/>
    <w:rsid w:val="00F32780"/>
    <w:rsid w:val="00F33817"/>
    <w:rsid w:val="00F3668D"/>
    <w:rsid w:val="00F420D5"/>
    <w:rsid w:val="00F44346"/>
    <w:rsid w:val="00F451EA"/>
    <w:rsid w:val="00F45447"/>
    <w:rsid w:val="00F456C6"/>
    <w:rsid w:val="00F4577B"/>
    <w:rsid w:val="00F46496"/>
    <w:rsid w:val="00F474D0"/>
    <w:rsid w:val="00F50179"/>
    <w:rsid w:val="00F509A5"/>
    <w:rsid w:val="00F515EE"/>
    <w:rsid w:val="00F56511"/>
    <w:rsid w:val="00F6045A"/>
    <w:rsid w:val="00F60B39"/>
    <w:rsid w:val="00F6194E"/>
    <w:rsid w:val="00F623AC"/>
    <w:rsid w:val="00F6412A"/>
    <w:rsid w:val="00F65893"/>
    <w:rsid w:val="00F66A4A"/>
    <w:rsid w:val="00F71E22"/>
    <w:rsid w:val="00F72142"/>
    <w:rsid w:val="00F72AE7"/>
    <w:rsid w:val="00F73613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03B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48D178B"/>
    <w:rsid w:val="096C0566"/>
    <w:rsid w:val="0CCE1629"/>
    <w:rsid w:val="0FE32D76"/>
    <w:rsid w:val="10A5002C"/>
    <w:rsid w:val="14660473"/>
    <w:rsid w:val="18542E34"/>
    <w:rsid w:val="19061883"/>
    <w:rsid w:val="1DB26D50"/>
    <w:rsid w:val="21771570"/>
    <w:rsid w:val="2EF37D5C"/>
    <w:rsid w:val="345D2848"/>
    <w:rsid w:val="44286411"/>
    <w:rsid w:val="4493170D"/>
    <w:rsid w:val="46F44B95"/>
    <w:rsid w:val="4B455743"/>
    <w:rsid w:val="4DDE1EAC"/>
    <w:rsid w:val="4FD60B27"/>
    <w:rsid w:val="50377F99"/>
    <w:rsid w:val="598220BE"/>
    <w:rsid w:val="5F5E109E"/>
    <w:rsid w:val="62A72D5C"/>
    <w:rsid w:val="62C260A8"/>
    <w:rsid w:val="651E7C3A"/>
    <w:rsid w:val="67076949"/>
    <w:rsid w:val="6744501E"/>
    <w:rsid w:val="74CC496A"/>
    <w:rsid w:val="782603F5"/>
    <w:rsid w:val="786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qFormat="1"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8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autoRedefine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oc 9"/>
    <w:basedOn w:val="1"/>
    <w:next w:val="1"/>
    <w:autoRedefine/>
    <w:semiHidden/>
    <w:unhideWhenUsed/>
    <w:qFormat/>
    <w:uiPriority w:val="0"/>
    <w:pPr>
      <w:ind w:left="3360" w:leftChars="1600"/>
    </w:pPr>
  </w:style>
  <w:style w:type="paragraph" w:styleId="26">
    <w:name w:val="Normal (Web)"/>
    <w:basedOn w:val="1"/>
    <w:semiHidden/>
    <w:unhideWhenUsed/>
    <w:qFormat/>
    <w:uiPriority w:val="99"/>
    <w:pPr>
      <w:adjustRightInd/>
      <w:spacing w:line="240" w:lineRule="auto"/>
    </w:pPr>
    <w:rPr>
      <w:rFonts w:ascii="Times New Roman" w:hAnsi="Times New Roman"/>
      <w:sz w:val="24"/>
      <w:szCs w:val="24"/>
    </w:rPr>
  </w:style>
  <w:style w:type="paragraph" w:styleId="27">
    <w:name w:val="Title"/>
    <w:basedOn w:val="1"/>
    <w:link w:val="50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qFormat/>
    <w:uiPriority w:val="0"/>
    <w:rPr>
      <w:rFonts w:ascii="宋体" w:hAnsi="Times New Roman" w:eastAsia="宋体"/>
      <w:sz w:val="18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5">
    <w:name w:val="footnote reference"/>
    <w:autoRedefine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6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字符"/>
    <w:link w:val="5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字符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6">
    <w:name w:val="页脚 字符"/>
    <w:link w:val="17"/>
    <w:autoRedefine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字符"/>
    <w:link w:val="16"/>
    <w:autoRedefine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next w:val="1"/>
    <w:link w:val="49"/>
    <w:autoRedefine/>
    <w:qFormat/>
    <w:uiPriority w:val="29"/>
    <w:rPr>
      <w:i/>
      <w:iCs/>
      <w:color w:val="000000"/>
    </w:rPr>
  </w:style>
  <w:style w:type="character" w:customStyle="1" w:styleId="49">
    <w:name w:val="引用 字符"/>
    <w:link w:val="48"/>
    <w:autoRedefine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字符"/>
    <w:link w:val="27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next w:val="1"/>
    <w:autoRedefine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autoRedefine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autoRedefine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next w:val="58"/>
    <w:autoRedefine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autoRedefine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autoRedefine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next w:val="1"/>
    <w:autoRedefine/>
    <w:qFormat/>
    <w:uiPriority w:val="0"/>
    <w:pPr>
      <w:jc w:val="left"/>
    </w:p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autoRedefine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next w:val="58"/>
    <w:autoRedefine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autoRedefine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next w:val="61"/>
    <w:autoRedefine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autoRedefine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autoRedefine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autoRedefine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autoRedefine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autoRedefine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next w:val="58"/>
    <w:autoRedefine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next w:val="58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next w:val="58"/>
    <w:autoRedefine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next w:val="5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2">
    <w:name w:val="标准文件_附录公式"/>
    <w:basedOn w:val="57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next w:val="58"/>
    <w:autoRedefine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next w:val="58"/>
    <w:autoRedefine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next w:val="58"/>
    <w:autoRedefine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next w:val="58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next w:val="13"/>
    <w:autoRedefine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字符"/>
    <w:link w:val="13"/>
    <w:autoRedefine/>
    <w:qFormat/>
    <w:uiPriority w:val="0"/>
    <w:rPr>
      <w:kern w:val="2"/>
      <w:sz w:val="21"/>
      <w:szCs w:val="21"/>
    </w:rPr>
  </w:style>
  <w:style w:type="paragraph" w:customStyle="1" w:styleId="89">
    <w:name w:val="标准文件_附录章标题"/>
    <w:next w:val="58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next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next w:val="1"/>
    <w:autoRedefine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next w:val="58"/>
    <w:autoRedefine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autoRedefine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autoRedefine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next w:val="58"/>
    <w:autoRedefine/>
    <w:qFormat/>
    <w:uiPriority w:val="0"/>
    <w:pPr>
      <w:widowControl/>
      <w:numPr>
        <w:ilvl w:val="4"/>
      </w:numPr>
      <w:outlineLvl w:val="3"/>
    </w:pPr>
  </w:style>
  <w:style w:type="character" w:customStyle="1" w:styleId="97">
    <w:name w:val="Subtle Reference"/>
    <w:qFormat/>
    <w:uiPriority w:val="31"/>
    <w:rPr>
      <w:smallCaps/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next w:val="58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next w:val="58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next w:val="58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next w:val="58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next w:val="5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next w:val="58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next w:val="58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next w:val="58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next w:val="58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next w:val="58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next w:val="58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basedOn w:val="124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next w:val="58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next w:val="58"/>
    <w:qFormat/>
    <w:uiPriority w:val="0"/>
    <w:pPr>
      <w:outlineLvl w:val="4"/>
    </w:pPr>
  </w:style>
  <w:style w:type="paragraph" w:customStyle="1" w:styleId="132">
    <w:name w:val="附录四级无标题条"/>
    <w:basedOn w:val="131"/>
    <w:next w:val="58"/>
    <w:qFormat/>
    <w:uiPriority w:val="0"/>
    <w:pPr>
      <w:outlineLvl w:val="5"/>
    </w:pPr>
  </w:style>
  <w:style w:type="paragraph" w:customStyle="1" w:styleId="133">
    <w:name w:val="附录图"/>
    <w:next w:val="58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next w:val="58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next w:val="58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hSpace="0"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next w:val="58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next w:val="58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next w:val="58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next w:val="58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next w:val="58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next w:val="58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next w:val="184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autoRedefine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next w:val="184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next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30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next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30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next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next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next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next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next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next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next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next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next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next w:val="58"/>
    <w:qFormat/>
    <w:uiPriority w:val="0"/>
    <w:rPr>
      <w:rFonts w:hAnsi="黑体"/>
    </w:rPr>
  </w:style>
  <w:style w:type="paragraph" w:customStyle="1" w:styleId="224">
    <w:name w:val="标准文件_脚注内容"/>
    <w:basedOn w:val="58"/>
    <w:autoRedefine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next w:val="58"/>
    <w:qFormat/>
    <w:uiPriority w:val="0"/>
  </w:style>
  <w:style w:type="paragraph" w:customStyle="1" w:styleId="226">
    <w:name w:val="标准文件_术语条二"/>
    <w:basedOn w:val="167"/>
    <w:next w:val="58"/>
    <w:autoRedefine/>
    <w:qFormat/>
    <w:uiPriority w:val="0"/>
  </w:style>
  <w:style w:type="paragraph" w:customStyle="1" w:styleId="227">
    <w:name w:val="标准文件_术语条三"/>
    <w:basedOn w:val="166"/>
    <w:next w:val="58"/>
    <w:autoRedefine/>
    <w:qFormat/>
    <w:uiPriority w:val="0"/>
  </w:style>
  <w:style w:type="paragraph" w:customStyle="1" w:styleId="228">
    <w:name w:val="标准文件_术语条四"/>
    <w:basedOn w:val="169"/>
    <w:next w:val="58"/>
    <w:autoRedefine/>
    <w:qFormat/>
    <w:uiPriority w:val="0"/>
  </w:style>
  <w:style w:type="paragraph" w:customStyle="1" w:styleId="229">
    <w:name w:val="标准文件_术语条五"/>
    <w:basedOn w:val="165"/>
    <w:next w:val="58"/>
    <w:autoRedefine/>
    <w:qFormat/>
    <w:uiPriority w:val="0"/>
  </w:style>
  <w:style w:type="paragraph" w:customStyle="1" w:styleId="2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30"/>
    <w:autoRedefine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一级条标题"/>
    <w:next w:val="233"/>
    <w:qFormat/>
    <w:uiPriority w:val="0"/>
    <w:pPr>
      <w:numPr>
        <w:ilvl w:val="1"/>
        <w:numId w:val="3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4">
    <w:name w:val="章标题"/>
    <w:next w:val="233"/>
    <w:qFormat/>
    <w:uiPriority w:val="0"/>
    <w:pPr>
      <w:numPr>
        <w:ilvl w:val="0"/>
        <w:numId w:val="3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5">
    <w:name w:val="二级条标题"/>
    <w:basedOn w:val="232"/>
    <w:next w:val="233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36">
    <w:name w:val="三级条标题"/>
    <w:basedOn w:val="235"/>
    <w:next w:val="233"/>
    <w:qFormat/>
    <w:uiPriority w:val="0"/>
    <w:pPr>
      <w:numPr>
        <w:ilvl w:val="3"/>
      </w:numPr>
      <w:outlineLvl w:val="4"/>
    </w:pPr>
  </w:style>
  <w:style w:type="paragraph" w:customStyle="1" w:styleId="237">
    <w:name w:val="数字编号列项（二级）"/>
    <w:qFormat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8">
    <w:name w:val="四级条标题"/>
    <w:basedOn w:val="236"/>
    <w:next w:val="233"/>
    <w:qFormat/>
    <w:uiPriority w:val="0"/>
    <w:pPr>
      <w:numPr>
        <w:ilvl w:val="4"/>
      </w:numPr>
      <w:outlineLvl w:val="5"/>
    </w:pPr>
  </w:style>
  <w:style w:type="paragraph" w:customStyle="1" w:styleId="239">
    <w:name w:val="五级条标题"/>
    <w:basedOn w:val="238"/>
    <w:next w:val="1"/>
    <w:qFormat/>
    <w:uiPriority w:val="0"/>
    <w:pPr>
      <w:numPr>
        <w:ilvl w:val="5"/>
      </w:numPr>
      <w:outlineLvl w:val="6"/>
    </w:pPr>
  </w:style>
  <w:style w:type="paragraph" w:customStyle="1" w:styleId="240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1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3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4">
    <w:name w:val="前言、引言标题"/>
    <w:next w:val="23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45">
    <w:name w:val="目次、标准名称标题"/>
    <w:basedOn w:val="1"/>
    <w:next w:val="233"/>
    <w:autoRedefine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46">
    <w:name w:val="正文表标题"/>
    <w:next w:val="233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7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48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2F1D4E832D84B4C85A2554750C8CE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C65C45-9A94-4CA7-8631-25804E695DAC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97"/>
    <w:rsid w:val="000A6F02"/>
    <w:rsid w:val="000D6F3B"/>
    <w:rsid w:val="000E2C62"/>
    <w:rsid w:val="00235771"/>
    <w:rsid w:val="00515B4A"/>
    <w:rsid w:val="0055071D"/>
    <w:rsid w:val="00615230"/>
    <w:rsid w:val="00617FF2"/>
    <w:rsid w:val="007525A5"/>
    <w:rsid w:val="00755B49"/>
    <w:rsid w:val="007F3BC8"/>
    <w:rsid w:val="00930DCB"/>
    <w:rsid w:val="00AD7C7F"/>
    <w:rsid w:val="00B165E7"/>
    <w:rsid w:val="00BB2A18"/>
    <w:rsid w:val="00D16473"/>
    <w:rsid w:val="00D7046B"/>
    <w:rsid w:val="00DE148A"/>
    <w:rsid w:val="00DF3497"/>
    <w:rsid w:val="00E644D7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82F1D4E832D84B4C85A2554750C8CE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ECAEDD577F34EF4A12516526155E8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522E61E8A584F38A3F315B4DC8BE89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FC724-CA93-462C-9DF0-714B0B98E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团体标准.dotx</Template>
  <Company>PCMI</Company>
  <Pages>1</Pages>
  <Words>2604</Words>
  <Characters>14845</Characters>
  <Lines>123</Lines>
  <Paragraphs>34</Paragraphs>
  <TotalTime>4</TotalTime>
  <ScaleCrop>false</ScaleCrop>
  <LinksUpToDate>false</LinksUpToDate>
  <CharactersWithSpaces>17415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2023-09-18T06:27:00Z</dcterms:created>
  <dc:creator>万思成</dc:creator>
  <dc:description>&lt;config cover="true" show_menu="true" version="1.0.0" doctype="SDKXY"&gt;_x000d_
&lt;/config&gt;</dc:description>
  <cp:lastModifiedBy>WangSJ</cp:lastModifiedBy>
  <cp:lastPrinted>2023-07-15T01:09:00Z</cp:lastPrinted>
  <dcterms:modified xsi:type="dcterms:W3CDTF">2024-04-02T07:32:53Z</dcterms:modified>
  <dc:title>团体标准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2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2052-12.1.0.16417</vt:lpwstr>
  </property>
  <property fmtid="{D5CDD505-2E9C-101B-9397-08002B2CF9AE}" pid="15" name="ICV">
    <vt:lpwstr>C47A2C35C63B46FF9DE1684E6A785A9A_13</vt:lpwstr>
  </property>
</Properties>
</file>