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58"/>
      </w:pPr>
      <w:bookmarkStart w:id="0" w:name="SectionMark0"/>
      <w:r>
        <w:drawing>
          <wp:anchor distT="0" distB="0" distL="114300" distR="114300" simplePos="0" relativeHeight="251668480" behindDoc="0" locked="0" layoutInCell="1" allowOverlap="1">
            <wp:simplePos x="0" y="0"/>
            <wp:positionH relativeFrom="column">
              <wp:posOffset>4395470</wp:posOffset>
            </wp:positionH>
            <wp:positionV relativeFrom="paragraph">
              <wp:posOffset>144780</wp:posOffset>
            </wp:positionV>
            <wp:extent cx="1441450" cy="828675"/>
            <wp:effectExtent l="19050" t="0" r="6350" b="0"/>
            <wp:wrapSquare wrapText="bothSides"/>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pic:cNvPicPr>
                      <a:picLocks noChangeAspect="1" noChangeArrowheads="1"/>
                    </pic:cNvPicPr>
                  </pic:nvPicPr>
                  <pic:blipFill>
                    <a:blip r:embed="rId12" cstate="print"/>
                    <a:srcRect/>
                    <a:stretch>
                      <a:fillRect/>
                    </a:stretch>
                  </pic:blipFill>
                  <pic:spPr>
                    <a:xfrm>
                      <a:off x="0" y="0"/>
                      <a:ext cx="1441450" cy="828675"/>
                    </a:xfrm>
                    <a:prstGeom prst="rect">
                      <a:avLst/>
                    </a:prstGeom>
                    <a:noFill/>
                    <a:ln w="9525">
                      <a:noFill/>
                      <a:miter lim="800000"/>
                      <a:headEnd/>
                      <a:tailEnd/>
                    </a:ln>
                  </pic:spPr>
                </pic:pic>
              </a:graphicData>
            </a:graphic>
          </wp:anchor>
        </w:drawing>
      </w:r>
      <w:r>
        <w:t>【】‘</w:t>
      </w:r>
    </w:p>
    <w:p>
      <w:pPr>
        <w:pStyle w:val="58"/>
        <w:tabs>
          <w:tab w:val="left" w:pos="8260"/>
        </w:tabs>
      </w:pPr>
      <w:r>
        <w:tab/>
      </w:r>
      <w:r>
        <mc:AlternateContent>
          <mc:Choice Requires="wps">
            <w:drawing>
              <wp:anchor distT="0" distB="0" distL="114300" distR="114300" simplePos="0" relativeHeight="251666432" behindDoc="0" locked="0" layoutInCell="1" allowOverlap="1">
                <wp:simplePos x="0" y="0"/>
                <wp:positionH relativeFrom="column">
                  <wp:posOffset>19050</wp:posOffset>
                </wp:positionH>
                <wp:positionV relativeFrom="paragraph">
                  <wp:posOffset>8604250</wp:posOffset>
                </wp:positionV>
                <wp:extent cx="6121400" cy="635"/>
                <wp:effectExtent l="0" t="0" r="0" b="0"/>
                <wp:wrapNone/>
                <wp:docPr id="9" name="直线 2"/>
                <wp:cNvGraphicFramePr/>
                <a:graphic xmlns:a="http://schemas.openxmlformats.org/drawingml/2006/main">
                  <a:graphicData uri="http://schemas.microsoft.com/office/word/2010/wordprocessingShape">
                    <wps:wsp>
                      <wps:cNvCnPr/>
                      <wps:spPr>
                        <a:xfrm>
                          <a:off x="0" y="0"/>
                          <a:ext cx="6121400" cy="635"/>
                        </a:xfrm>
                        <a:prstGeom prst="line">
                          <a:avLst/>
                        </a:prstGeom>
                        <a:ln w="19050" cap="flat" cmpd="sng">
                          <a:solidFill>
                            <a:srgbClr val="000000"/>
                          </a:solidFill>
                          <a:prstDash val="solid"/>
                          <a:headEnd type="none" w="med" len="med"/>
                          <a:tailEnd type="none" w="med" len="med"/>
                        </a:ln>
                      </wps:spPr>
                      <wps:bodyPr/>
                    </wps:wsp>
                  </a:graphicData>
                </a:graphic>
              </wp:anchor>
            </w:drawing>
          </mc:Choice>
          <mc:Fallback>
            <w:pict>
              <v:line id="直线 2" o:spid="_x0000_s1026" o:spt="20" style="position:absolute;left:0pt;margin-left:1.5pt;margin-top:677.5pt;height:0.05pt;width:482pt;z-index:251666432;mso-width-relative:page;mso-height-relative:page;" filled="f" stroked="t" coordsize="21600,21600" o:gfxdata="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P99nS9UAAAALAQAADwAA&#10;AAAAAAABACAAAAAiAAAAZHJzL2Rvd25yZXYueG1sUEsBAhQAFAAAAAgAh07iQLBDuLfgAQAA0gMA&#10;AA4AAAAAAAAAAQAgAAAAJAEAAGRycy9lMm9Eb2MueG1sUEsFBgAAAAAGAAYAWQEAAHYFAAAAAA==&#10;">
                <v:fill on="f" focussize="0,0"/>
                <v:stroke weight="1.5pt" color="#000000" joinstyle="round"/>
                <v:imagedata o:title=""/>
                <o:lock v:ext="edit" aspectratio="f"/>
              </v:line>
            </w:pict>
          </mc:Fallback>
        </mc:AlternateContent>
      </w:r>
      <w:r>
        <mc:AlternateContent>
          <mc:Choice Requires="wps">
            <w:drawing>
              <wp:anchor distT="0" distB="0" distL="114300" distR="114300" simplePos="0" relativeHeight="251665408" behindDoc="0" locked="0" layoutInCell="1" allowOverlap="1">
                <wp:simplePos x="0" y="0"/>
                <wp:positionH relativeFrom="column">
                  <wp:posOffset>0</wp:posOffset>
                </wp:positionH>
                <wp:positionV relativeFrom="paragraph">
                  <wp:posOffset>2273300</wp:posOffset>
                </wp:positionV>
                <wp:extent cx="6121400" cy="635"/>
                <wp:effectExtent l="0" t="0" r="0" b="0"/>
                <wp:wrapNone/>
                <wp:docPr id="8" name="直线 5"/>
                <wp:cNvGraphicFramePr/>
                <a:graphic xmlns:a="http://schemas.openxmlformats.org/drawingml/2006/main">
                  <a:graphicData uri="http://schemas.microsoft.com/office/word/2010/wordprocessingShape">
                    <wps:wsp>
                      <wps:cNvCnPr/>
                      <wps:spPr>
                        <a:xfrm>
                          <a:off x="0" y="0"/>
                          <a:ext cx="6121400" cy="635"/>
                        </a:xfrm>
                        <a:prstGeom prst="line">
                          <a:avLst/>
                        </a:prstGeom>
                        <a:ln w="19050" cap="flat" cmpd="sng">
                          <a:solidFill>
                            <a:srgbClr val="000000"/>
                          </a:solidFill>
                          <a:prstDash val="solid"/>
                          <a:headEnd type="none" w="med" len="med"/>
                          <a:tailEnd type="none" w="med" len="med"/>
                        </a:ln>
                      </wps:spPr>
                      <wps:bodyPr/>
                    </wps:wsp>
                  </a:graphicData>
                </a:graphic>
              </wp:anchor>
            </w:drawing>
          </mc:Choice>
          <mc:Fallback>
            <w:pict>
              <v:line id="直线 5" o:spid="_x0000_s1026" o:spt="20" style="position:absolute;left:0pt;margin-left:0pt;margin-top:179pt;height:0.05pt;width:482pt;z-index:251665408;mso-width-relative:page;mso-height-relative:page;" filled="f" stroked="t" coordsize="21600,21600" o:gfxdata="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E1VZ07UAAAACAEAAA8A&#10;AAAAAAAAAQAgAAAAIgAAAGRycy9kb3ducmV2LnhtbFBLAQIUABQAAAAIAIdO4kDTAynO4gEAANID&#10;AAAOAAAAAAAAAAEAIAAAACMBAABkcnMvZTJvRG9jLnhtbFBLBQYAAAAABgAGAFkBAAB3BQAAAAA=&#10;">
                <v:fill on="f" focussize="0,0"/>
                <v:stroke weight="1.5pt" color="#000000" joinstyle="round"/>
                <v:imagedata o:title=""/>
                <o:lock v:ext="edit" aspectratio="f"/>
              </v:line>
            </w:pict>
          </mc:Fallback>
        </mc:AlternateContent>
      </w:r>
      <w:r>
        <mc:AlternateContent>
          <mc:Choice Requires="wps">
            <w:drawing>
              <wp:anchor distT="0" distB="0" distL="114300" distR="114300" simplePos="0" relativeHeight="251664384" behindDoc="0" locked="1" layoutInCell="1" allowOverlap="1">
                <wp:simplePos x="0" y="0"/>
                <wp:positionH relativeFrom="margin">
                  <wp:posOffset>4084320</wp:posOffset>
                </wp:positionH>
                <wp:positionV relativeFrom="margin">
                  <wp:posOffset>8402320</wp:posOffset>
                </wp:positionV>
                <wp:extent cx="2019300" cy="312420"/>
                <wp:effectExtent l="0" t="0" r="0" b="11430"/>
                <wp:wrapNone/>
                <wp:docPr id="7" name="fmFrame6"/>
                <wp:cNvGraphicFramePr/>
                <a:graphic xmlns:a="http://schemas.openxmlformats.org/drawingml/2006/main">
                  <a:graphicData uri="http://schemas.microsoft.com/office/word/2010/wordprocessingShape">
                    <wps:wsp>
                      <wps:cNvSpPr txBox="1"/>
                      <wps:spPr>
                        <a:xfrm>
                          <a:off x="0" y="0"/>
                          <a:ext cx="2019300" cy="312420"/>
                        </a:xfrm>
                        <a:prstGeom prst="rect">
                          <a:avLst/>
                        </a:prstGeom>
                        <a:solidFill>
                          <a:srgbClr val="FFFFFF"/>
                        </a:solidFill>
                        <a:ln>
                          <a:noFill/>
                        </a:ln>
                      </wps:spPr>
                      <wps:txbx>
                        <w:txbxContent>
                          <w:p>
                            <w:pPr>
                              <w:pStyle w:val="28"/>
                              <w:ind w:firstLine="1120" w:firstLineChars="400"/>
                              <w:jc w:val="both"/>
                            </w:pPr>
                            <w:r>
                              <w:t>20××-××-××实施</w:t>
                            </w:r>
                          </w:p>
                          <w:p/>
                        </w:txbxContent>
                      </wps:txbx>
                      <wps:bodyPr lIns="0" tIns="0" rIns="0" bIns="0" upright="1"/>
                    </wps:wsp>
                  </a:graphicData>
                </a:graphic>
              </wp:anchor>
            </w:drawing>
          </mc:Choice>
          <mc:Fallback>
            <w:pict>
              <v:shape id="fmFrame6" o:spid="_x0000_s1026" o:spt="202" type="#_x0000_t202" style="position:absolute;left:0pt;margin-left:321.6pt;margin-top:661.6pt;height:24.6pt;width:159pt;mso-position-horizontal-relative:margin;mso-position-vertical-relative:margin;z-index:251664384;mso-width-relative:page;mso-height-relative:page;" fillcolor="#FFFFFF" filled="t" stroked="f" coordsize="21600,21600" o:gfxdata="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qgASw9kAAAANAQAADwAAAAAAAAABACAAAAAiAAAAZHJzL2Rvd25yZXYueG1s&#10;UEsBAhQAFAAAAAgAh07iQJFKnkW+AQAAmAMAAA4AAAAAAAAAAQAgAAAAKAEAAGRycy9lMm9Eb2Mu&#10;eG1sUEsFBgAAAAAGAAYAWQEAAFgFAAAAAA==&#10;">
                <v:fill on="t" focussize="0,0"/>
                <v:stroke on="f"/>
                <v:imagedata o:title=""/>
                <o:lock v:ext="edit" aspectratio="f"/>
                <v:textbox inset="0mm,0mm,0mm,0mm">
                  <w:txbxContent>
                    <w:p>
                      <w:pPr>
                        <w:pStyle w:val="28"/>
                        <w:ind w:firstLine="1120" w:firstLineChars="400"/>
                        <w:jc w:val="both"/>
                      </w:pPr>
                      <w:r>
                        <w:t>20××-××-××实施</w:t>
                      </w:r>
                    </w:p>
                    <w:p/>
                  </w:txbxContent>
                </v:textbox>
                <w10:anchorlock/>
              </v:shape>
            </w:pict>
          </mc:Fallback>
        </mc:AlternateContent>
      </w:r>
      <w:r>
        <mc:AlternateContent>
          <mc:Choice Requires="wps">
            <w:drawing>
              <wp:anchor distT="0" distB="0" distL="114300" distR="114300" simplePos="0" relativeHeight="251663360" behindDoc="0" locked="1" layoutInCell="1" allowOverlap="1">
                <wp:simplePos x="0" y="0"/>
                <wp:positionH relativeFrom="margin">
                  <wp:posOffset>36830</wp:posOffset>
                </wp:positionH>
                <wp:positionV relativeFrom="margin">
                  <wp:posOffset>8395970</wp:posOffset>
                </wp:positionV>
                <wp:extent cx="2019300" cy="312420"/>
                <wp:effectExtent l="0" t="0" r="0" b="11430"/>
                <wp:wrapNone/>
                <wp:docPr id="5" name="fmFrame5"/>
                <wp:cNvGraphicFramePr/>
                <a:graphic xmlns:a="http://schemas.openxmlformats.org/drawingml/2006/main">
                  <a:graphicData uri="http://schemas.microsoft.com/office/word/2010/wordprocessingShape">
                    <wps:wsp>
                      <wps:cNvSpPr txBox="1"/>
                      <wps:spPr>
                        <a:xfrm>
                          <a:off x="0" y="0"/>
                          <a:ext cx="2019300" cy="312420"/>
                        </a:xfrm>
                        <a:prstGeom prst="rect">
                          <a:avLst/>
                        </a:prstGeom>
                        <a:solidFill>
                          <a:srgbClr val="FFFFFF"/>
                        </a:solidFill>
                        <a:ln>
                          <a:noFill/>
                        </a:ln>
                      </wps:spPr>
                      <wps:txbx>
                        <w:txbxContent>
                          <w:p>
                            <w:pPr>
                              <w:pStyle w:val="29"/>
                            </w:pPr>
                            <w:r>
                              <w:t>20××-××-××发布</w:t>
                            </w:r>
                          </w:p>
                          <w:p/>
                        </w:txbxContent>
                      </wps:txbx>
                      <wps:bodyPr lIns="0" tIns="0" rIns="0" bIns="0" upright="1"/>
                    </wps:wsp>
                  </a:graphicData>
                </a:graphic>
              </wp:anchor>
            </w:drawing>
          </mc:Choice>
          <mc:Fallback>
            <w:pict>
              <v:shape id="fmFrame5" o:spid="_x0000_s1026" o:spt="202" type="#_x0000_t202" style="position:absolute;left:0pt;margin-left:2.9pt;margin-top:661.1pt;height:24.6pt;width:159pt;mso-position-horizontal-relative:margin;mso-position-vertical-relative:margin;z-index:251663360;mso-width-relative:page;mso-height-relative:page;" fillcolor="#FFFFFF" filled="t" stroked="f" coordsize="21600,21600" o:gfxdata="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BEOd2z2AAAAAsBAAAPAAAAAAAAAAEAIAAAACIAAABkcnMvZG93bnJldi54bWxQ&#10;SwECFAAUAAAACACHTuJA+h4SHr4BAACYAwAADgAAAAAAAAABACAAAAAnAQAAZHJzL2Uyb0RvYy54&#10;bWxQSwUGAAAAAAYABgBZAQAAVwUAAAAA&#10;">
                <v:fill on="t" focussize="0,0"/>
                <v:stroke on="f"/>
                <v:imagedata o:title=""/>
                <o:lock v:ext="edit" aspectratio="f"/>
                <v:textbox inset="0mm,0mm,0mm,0mm">
                  <w:txbxContent>
                    <w:p>
                      <w:pPr>
                        <w:pStyle w:val="29"/>
                      </w:pPr>
                      <w:r>
                        <w:t>20××-××-××发布</w:t>
                      </w:r>
                    </w:p>
                    <w:p/>
                  </w:txbxContent>
                </v:textbox>
                <w10:anchorlock/>
              </v:shape>
            </w:pict>
          </mc:Fallback>
        </mc:AlternateContent>
      </w:r>
      <w:r>
        <mc:AlternateContent>
          <mc:Choice Requires="wps">
            <w:drawing>
              <wp:anchor distT="0" distB="0" distL="114300" distR="114300" simplePos="0" relativeHeight="251662336" behindDoc="0" locked="1" layoutInCell="1" allowOverlap="1">
                <wp:simplePos x="0" y="0"/>
                <wp:positionH relativeFrom="margin">
                  <wp:posOffset>0</wp:posOffset>
                </wp:positionH>
                <wp:positionV relativeFrom="margin">
                  <wp:posOffset>3635375</wp:posOffset>
                </wp:positionV>
                <wp:extent cx="5969000" cy="4681220"/>
                <wp:effectExtent l="0" t="0" r="12700" b="5080"/>
                <wp:wrapNone/>
                <wp:docPr id="4" name="fmFrame4"/>
                <wp:cNvGraphicFramePr/>
                <a:graphic xmlns:a="http://schemas.openxmlformats.org/drawingml/2006/main">
                  <a:graphicData uri="http://schemas.microsoft.com/office/word/2010/wordprocessingShape">
                    <wps:wsp>
                      <wps:cNvSpPr txBox="1"/>
                      <wps:spPr>
                        <a:xfrm>
                          <a:off x="0" y="0"/>
                          <a:ext cx="5969000" cy="4681220"/>
                        </a:xfrm>
                        <a:prstGeom prst="rect">
                          <a:avLst/>
                        </a:prstGeom>
                        <a:solidFill>
                          <a:srgbClr val="FFFFFF"/>
                        </a:solidFill>
                        <a:ln>
                          <a:noFill/>
                        </a:ln>
                      </wps:spPr>
                      <wps:txbx>
                        <w:txbxContent>
                          <w:p>
                            <w:pPr>
                              <w:pStyle w:val="13"/>
                              <w:spacing w:after="0" w:line="240" w:lineRule="auto"/>
                              <w:ind w:left="0" w:firstLine="0"/>
                              <w:jc w:val="center"/>
                              <w:rPr>
                                <w:rFonts w:ascii="黑体" w:hAnsi="黑体" w:eastAsia="黑体" w:cs="Times New Roman"/>
                                <w:sz w:val="52"/>
                              </w:rPr>
                            </w:pPr>
                          </w:p>
                          <w:p>
                            <w:pPr>
                              <w:pStyle w:val="13"/>
                              <w:spacing w:after="0" w:line="240" w:lineRule="auto"/>
                              <w:ind w:left="0" w:firstLine="0"/>
                              <w:jc w:val="center"/>
                              <w:rPr>
                                <w:rFonts w:ascii="黑体" w:hAnsi="黑体" w:eastAsia="黑体" w:cs="Times New Roman"/>
                                <w:sz w:val="52"/>
                              </w:rPr>
                            </w:pPr>
                            <w:r>
                              <w:rPr>
                                <w:rFonts w:hint="eastAsia" w:ascii="黑体" w:hAnsi="黑体" w:eastAsia="黑体" w:cs="Times New Roman"/>
                                <w:sz w:val="52"/>
                              </w:rPr>
                              <w:t>钠离子电池用正极材料 铜铁锰酸钠</w:t>
                            </w:r>
                          </w:p>
                          <w:p>
                            <w:pPr>
                              <w:pStyle w:val="45"/>
                              <w:spacing w:before="0" w:line="240" w:lineRule="atLeast"/>
                              <w:rPr>
                                <w:rFonts w:hint="eastAsia" w:ascii="黑体" w:hAnsi="黑体" w:eastAsia="黑体" w:cs="黑体"/>
                                <w:kern w:val="2"/>
                                <w:szCs w:val="28"/>
                              </w:rPr>
                            </w:pPr>
                            <w:r>
                              <w:rPr>
                                <w:rFonts w:hint="eastAsia" w:ascii="黑体" w:hAnsi="黑体" w:eastAsia="黑体" w:cs="黑体"/>
                                <w:kern w:val="2"/>
                                <w:szCs w:val="28"/>
                              </w:rPr>
                              <w:t xml:space="preserve">  Sodium copper-iron manganate for cathode material for sodium-ion batteries</w:t>
                            </w:r>
                          </w:p>
                          <w:p>
                            <w:pPr>
                              <w:pStyle w:val="45"/>
                              <w:spacing w:before="0" w:line="240" w:lineRule="atLeast"/>
                              <w:rPr>
                                <w:rFonts w:hint="eastAsia" w:ascii="黑体" w:hAnsi="黑体" w:eastAsia="黑体" w:cs="黑体"/>
                                <w:kern w:val="2"/>
                                <w:szCs w:val="28"/>
                              </w:rPr>
                            </w:pPr>
                          </w:p>
                          <w:p>
                            <w:pPr>
                              <w:pStyle w:val="45"/>
                              <w:spacing w:before="0" w:line="240" w:lineRule="atLeast"/>
                              <w:rPr>
                                <w:rFonts w:hint="default" w:ascii="黑体" w:hAnsi="黑体" w:eastAsia="黑体" w:cs="黑体"/>
                                <w:kern w:val="2"/>
                                <w:szCs w:val="28"/>
                                <w:lang w:val="en-US" w:eastAsia="zh-CN"/>
                              </w:rPr>
                            </w:pPr>
                            <w:r>
                              <w:rPr>
                                <w:rFonts w:hint="eastAsia" w:ascii="黑体" w:hAnsi="黑体" w:eastAsia="黑体" w:cs="黑体"/>
                                <w:kern w:val="2"/>
                                <w:szCs w:val="28"/>
                                <w:lang w:val="en-US" w:eastAsia="zh-CN"/>
                              </w:rPr>
                              <w:t>（讨论稿）</w:t>
                            </w:r>
                          </w:p>
                          <w:p>
                            <w:pPr>
                              <w:pStyle w:val="45"/>
                              <w:spacing w:before="0" w:line="240" w:lineRule="atLeast"/>
                              <w:rPr>
                                <w:rFonts w:ascii="黑体" w:hAnsi="黑体" w:eastAsia="黑体" w:cs="黑体"/>
                                <w:color w:val="FF0000"/>
                                <w:kern w:val="2"/>
                                <w:szCs w:val="28"/>
                              </w:rPr>
                            </w:pPr>
                          </w:p>
                        </w:txbxContent>
                      </wps:txbx>
                      <wps:bodyPr lIns="0" tIns="0" rIns="0" bIns="0" upright="1"/>
                    </wps:wsp>
                  </a:graphicData>
                </a:graphic>
              </wp:anchor>
            </w:drawing>
          </mc:Choice>
          <mc:Fallback>
            <w:pict>
              <v:shape id="fmFrame4" o:spid="_x0000_s1026" o:spt="202" type="#_x0000_t202" style="position:absolute;left:0pt;margin-left:0pt;margin-top:286.25pt;height:368.6pt;width:470pt;mso-position-horizontal-relative:margin;mso-position-vertical-relative:margin;z-index:251662336;mso-width-relative:page;mso-height-relative:page;" fillcolor="#FFFFFF" filled="t" stroked="f" coordsize="21600,21600" o:gfxdata="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FRXn3HYAAAACQEAAA8AAAAAAAAAAQAgAAAAIgAAAGRycy9kb3ducmV2Lnht&#10;bFBLAQIUABQAAAAIAIdO4kCQVHPswAEAAJkDAAAOAAAAAAAAAAEAIAAAACcBAABkcnMvZTJvRG9j&#10;LnhtbFBLBQYAAAAABgAGAFkBAABZBQAAAAA=&#10;">
                <v:fill on="t" focussize="0,0"/>
                <v:stroke on="f"/>
                <v:imagedata o:title=""/>
                <o:lock v:ext="edit" aspectratio="f"/>
                <v:textbox inset="0mm,0mm,0mm,0mm">
                  <w:txbxContent>
                    <w:p>
                      <w:pPr>
                        <w:pStyle w:val="13"/>
                        <w:spacing w:after="0" w:line="240" w:lineRule="auto"/>
                        <w:ind w:left="0" w:firstLine="0"/>
                        <w:jc w:val="center"/>
                        <w:rPr>
                          <w:rFonts w:ascii="黑体" w:hAnsi="黑体" w:eastAsia="黑体" w:cs="Times New Roman"/>
                          <w:sz w:val="52"/>
                        </w:rPr>
                      </w:pPr>
                    </w:p>
                    <w:p>
                      <w:pPr>
                        <w:pStyle w:val="13"/>
                        <w:spacing w:after="0" w:line="240" w:lineRule="auto"/>
                        <w:ind w:left="0" w:firstLine="0"/>
                        <w:jc w:val="center"/>
                        <w:rPr>
                          <w:rFonts w:ascii="黑体" w:hAnsi="黑体" w:eastAsia="黑体" w:cs="Times New Roman"/>
                          <w:sz w:val="52"/>
                        </w:rPr>
                      </w:pPr>
                      <w:r>
                        <w:rPr>
                          <w:rFonts w:hint="eastAsia" w:ascii="黑体" w:hAnsi="黑体" w:eastAsia="黑体" w:cs="Times New Roman"/>
                          <w:sz w:val="52"/>
                        </w:rPr>
                        <w:t>钠离子电池用正极材料 铜铁锰酸钠</w:t>
                      </w:r>
                    </w:p>
                    <w:p>
                      <w:pPr>
                        <w:pStyle w:val="45"/>
                        <w:spacing w:before="0" w:line="240" w:lineRule="atLeast"/>
                        <w:rPr>
                          <w:rFonts w:hint="eastAsia" w:ascii="黑体" w:hAnsi="黑体" w:eastAsia="黑体" w:cs="黑体"/>
                          <w:kern w:val="2"/>
                          <w:szCs w:val="28"/>
                        </w:rPr>
                      </w:pPr>
                      <w:r>
                        <w:rPr>
                          <w:rFonts w:hint="eastAsia" w:ascii="黑体" w:hAnsi="黑体" w:eastAsia="黑体" w:cs="黑体"/>
                          <w:kern w:val="2"/>
                          <w:szCs w:val="28"/>
                        </w:rPr>
                        <w:t xml:space="preserve">  Sodium copper-iron manganate for cathode material for sodium-ion batteries</w:t>
                      </w:r>
                    </w:p>
                    <w:p>
                      <w:pPr>
                        <w:pStyle w:val="45"/>
                        <w:spacing w:before="0" w:line="240" w:lineRule="atLeast"/>
                        <w:rPr>
                          <w:rFonts w:hint="eastAsia" w:ascii="黑体" w:hAnsi="黑体" w:eastAsia="黑体" w:cs="黑体"/>
                          <w:kern w:val="2"/>
                          <w:szCs w:val="28"/>
                        </w:rPr>
                      </w:pPr>
                    </w:p>
                    <w:p>
                      <w:pPr>
                        <w:pStyle w:val="45"/>
                        <w:spacing w:before="0" w:line="240" w:lineRule="atLeast"/>
                        <w:rPr>
                          <w:rFonts w:hint="default" w:ascii="黑体" w:hAnsi="黑体" w:eastAsia="黑体" w:cs="黑体"/>
                          <w:kern w:val="2"/>
                          <w:szCs w:val="28"/>
                          <w:lang w:val="en-US" w:eastAsia="zh-CN"/>
                        </w:rPr>
                      </w:pPr>
                      <w:r>
                        <w:rPr>
                          <w:rFonts w:hint="eastAsia" w:ascii="黑体" w:hAnsi="黑体" w:eastAsia="黑体" w:cs="黑体"/>
                          <w:kern w:val="2"/>
                          <w:szCs w:val="28"/>
                          <w:lang w:val="en-US" w:eastAsia="zh-CN"/>
                        </w:rPr>
                        <w:t>（讨论稿）</w:t>
                      </w:r>
                    </w:p>
                    <w:p>
                      <w:pPr>
                        <w:pStyle w:val="45"/>
                        <w:spacing w:before="0" w:line="240" w:lineRule="atLeast"/>
                        <w:rPr>
                          <w:rFonts w:ascii="黑体" w:hAnsi="黑体" w:eastAsia="黑体" w:cs="黑体"/>
                          <w:color w:val="FF0000"/>
                          <w:kern w:val="2"/>
                          <w:szCs w:val="28"/>
                        </w:rPr>
                      </w:pPr>
                    </w:p>
                  </w:txbxContent>
                </v:textbox>
                <w10:anchorlock/>
              </v:shape>
            </w:pict>
          </mc:Fallback>
        </mc:AlternateContent>
      </w:r>
      <w:r>
        <mc:AlternateContent>
          <mc:Choice Requires="wps">
            <w:drawing>
              <wp:anchor distT="0" distB="0" distL="114300" distR="114300" simplePos="0" relativeHeight="251661312" behindDoc="0" locked="1" layoutInCell="1" allowOverlap="1">
                <wp:simplePos x="0" y="0"/>
                <wp:positionH relativeFrom="margin">
                  <wp:posOffset>0</wp:posOffset>
                </wp:positionH>
                <wp:positionV relativeFrom="margin">
                  <wp:posOffset>1772285</wp:posOffset>
                </wp:positionV>
                <wp:extent cx="5862320" cy="581025"/>
                <wp:effectExtent l="0" t="0" r="5080" b="9525"/>
                <wp:wrapNone/>
                <wp:docPr id="3" name="fmFrame3"/>
                <wp:cNvGraphicFramePr/>
                <a:graphic xmlns:a="http://schemas.openxmlformats.org/drawingml/2006/main">
                  <a:graphicData uri="http://schemas.microsoft.com/office/word/2010/wordprocessingShape">
                    <wps:wsp>
                      <wps:cNvSpPr txBox="1"/>
                      <wps:spPr>
                        <a:xfrm>
                          <a:off x="0" y="0"/>
                          <a:ext cx="5862320" cy="581025"/>
                        </a:xfrm>
                        <a:prstGeom prst="rect">
                          <a:avLst/>
                        </a:prstGeom>
                        <a:solidFill>
                          <a:srgbClr val="FFFFFF"/>
                        </a:solidFill>
                        <a:ln>
                          <a:noFill/>
                        </a:ln>
                      </wps:spPr>
                      <wps:txbx>
                        <w:txbxContent>
                          <w:p>
                            <w:pPr>
                              <w:pStyle w:val="56"/>
                              <w:spacing w:before="0" w:beforeAutospacing="0" w:after="0" w:afterAutospacing="0"/>
                              <w:ind w:right="210"/>
                              <w:rPr>
                                <w:rFonts w:eastAsia="黑体"/>
                              </w:rPr>
                            </w:pPr>
                            <w:bookmarkStart w:id="8" w:name="OLE_LINK5"/>
                            <w:bookmarkStart w:id="9" w:name="OLE_LINK6"/>
                            <w:r>
                              <w:rPr>
                                <w:rFonts w:hint="eastAsia"/>
                              </w:rPr>
                              <w:t>YS</w:t>
                            </w:r>
                            <w:r>
                              <w:t xml:space="preserve">/T </w:t>
                            </w:r>
                            <w:r>
                              <w:rPr>
                                <w:rFonts w:hint="eastAsia"/>
                              </w:rPr>
                              <w:t>XXX—</w:t>
                            </w:r>
                            <w:r>
                              <w:t>20</w:t>
                            </w:r>
                            <w:bookmarkEnd w:id="8"/>
                            <w:bookmarkEnd w:id="9"/>
                            <w:r>
                              <w:rPr>
                                <w:rFonts w:hint="eastAsia"/>
                              </w:rPr>
                              <w:t>XX</w:t>
                            </w:r>
                          </w:p>
                          <w:p>
                            <w:pPr>
                              <w:pStyle w:val="56"/>
                              <w:spacing w:before="0" w:beforeAutospacing="0" w:after="0" w:afterAutospacing="0"/>
                              <w:rPr>
                                <w:rFonts w:eastAsia="黑体"/>
                              </w:rPr>
                            </w:pPr>
                          </w:p>
                          <w:p>
                            <w:pPr>
                              <w:pStyle w:val="56"/>
                              <w:rPr>
                                <w:rFonts w:eastAsia="黑体"/>
                              </w:rPr>
                            </w:pPr>
                          </w:p>
                          <w:p>
                            <w:pPr>
                              <w:pStyle w:val="56"/>
                              <w:rPr>
                                <w:rFonts w:eastAsia="黑体"/>
                              </w:rPr>
                            </w:pPr>
                          </w:p>
                          <w:p>
                            <w:pPr>
                              <w:pStyle w:val="56"/>
                              <w:rPr>
                                <w:rFonts w:eastAsia="黑体"/>
                              </w:rPr>
                            </w:pPr>
                          </w:p>
                          <w:p>
                            <w:pPr>
                              <w:pStyle w:val="56"/>
                              <w:rPr>
                                <w:rFonts w:eastAsia="黑体"/>
                              </w:rPr>
                            </w:pPr>
                            <w:r>
                              <w:rPr>
                                <w:rFonts w:eastAsia="黑体"/>
                              </w:rPr>
                              <w:t xml:space="preserve">    </w:t>
                            </w:r>
                          </w:p>
                          <w:p>
                            <w:pPr>
                              <w:pStyle w:val="56"/>
                              <w:rPr>
                                <w:rFonts w:eastAsia="黑体"/>
                              </w:rPr>
                            </w:pPr>
                          </w:p>
                        </w:txbxContent>
                      </wps:txbx>
                      <wps:bodyPr lIns="0" tIns="0" rIns="0" bIns="0" upright="1"/>
                    </wps:wsp>
                  </a:graphicData>
                </a:graphic>
              </wp:anchor>
            </w:drawing>
          </mc:Choice>
          <mc:Fallback>
            <w:pict>
              <v:shape id="fmFrame3" o:spid="_x0000_s1026" o:spt="202" type="#_x0000_t202" style="position:absolute;left:0pt;margin-left:0pt;margin-top:139.55pt;height:45.75pt;width:461.6pt;mso-position-horizontal-relative:margin;mso-position-vertical-relative:margin;z-index:251661312;mso-width-relative:page;mso-height-relative:page;" fillcolor="#FFFFFF" filled="t" stroked="f" coordsize="21600,21600" o:gfxdata="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H39uRnYAAAACAEAAA8AAAAAAAAAAQAgAAAAIgAAAGRycy9kb3ducmV2LnhtbFBL&#10;AQIUABQAAAAIAIdO4kBQ0F3EvQEAAJgDAAAOAAAAAAAAAAEAIAAAACcBAABkcnMvZTJvRG9jLnht&#10;bFBLBQYAAAAABgAGAFkBAABWBQAAAAA=&#10;">
                <v:fill on="t" focussize="0,0"/>
                <v:stroke on="f"/>
                <v:imagedata o:title=""/>
                <o:lock v:ext="edit" aspectratio="f"/>
                <v:textbox inset="0mm,0mm,0mm,0mm">
                  <w:txbxContent>
                    <w:p>
                      <w:pPr>
                        <w:pStyle w:val="56"/>
                        <w:spacing w:before="0" w:beforeAutospacing="0" w:after="0" w:afterAutospacing="0"/>
                        <w:ind w:right="210"/>
                        <w:rPr>
                          <w:rFonts w:eastAsia="黑体"/>
                        </w:rPr>
                      </w:pPr>
                      <w:bookmarkStart w:id="8" w:name="OLE_LINK5"/>
                      <w:bookmarkStart w:id="9" w:name="OLE_LINK6"/>
                      <w:r>
                        <w:rPr>
                          <w:rFonts w:hint="eastAsia"/>
                        </w:rPr>
                        <w:t>YS</w:t>
                      </w:r>
                      <w:r>
                        <w:t xml:space="preserve">/T </w:t>
                      </w:r>
                      <w:r>
                        <w:rPr>
                          <w:rFonts w:hint="eastAsia"/>
                        </w:rPr>
                        <w:t>XXX—</w:t>
                      </w:r>
                      <w:r>
                        <w:t>20</w:t>
                      </w:r>
                      <w:bookmarkEnd w:id="8"/>
                      <w:bookmarkEnd w:id="9"/>
                      <w:r>
                        <w:rPr>
                          <w:rFonts w:hint="eastAsia"/>
                        </w:rPr>
                        <w:t>XX</w:t>
                      </w:r>
                    </w:p>
                    <w:p>
                      <w:pPr>
                        <w:pStyle w:val="56"/>
                        <w:spacing w:before="0" w:beforeAutospacing="0" w:after="0" w:afterAutospacing="0"/>
                        <w:rPr>
                          <w:rFonts w:eastAsia="黑体"/>
                        </w:rPr>
                      </w:pPr>
                    </w:p>
                    <w:p>
                      <w:pPr>
                        <w:pStyle w:val="56"/>
                        <w:rPr>
                          <w:rFonts w:eastAsia="黑体"/>
                        </w:rPr>
                      </w:pPr>
                    </w:p>
                    <w:p>
                      <w:pPr>
                        <w:pStyle w:val="56"/>
                        <w:rPr>
                          <w:rFonts w:eastAsia="黑体"/>
                        </w:rPr>
                      </w:pPr>
                    </w:p>
                    <w:p>
                      <w:pPr>
                        <w:pStyle w:val="56"/>
                        <w:rPr>
                          <w:rFonts w:eastAsia="黑体"/>
                        </w:rPr>
                      </w:pPr>
                    </w:p>
                    <w:p>
                      <w:pPr>
                        <w:pStyle w:val="56"/>
                        <w:rPr>
                          <w:rFonts w:eastAsia="黑体"/>
                        </w:rPr>
                      </w:pPr>
                      <w:r>
                        <w:rPr>
                          <w:rFonts w:eastAsia="黑体"/>
                        </w:rPr>
                        <w:t xml:space="preserve">    </w:t>
                      </w:r>
                    </w:p>
                    <w:p>
                      <w:pPr>
                        <w:pStyle w:val="56"/>
                        <w:rPr>
                          <w:rFonts w:eastAsia="黑体"/>
                        </w:rPr>
                      </w:pPr>
                    </w:p>
                  </w:txbxContent>
                </v:textbox>
                <w10:anchorlock/>
              </v:shape>
            </w:pict>
          </mc:Fallback>
        </mc:AlternateContent>
      </w:r>
      <w:r>
        <mc:AlternateContent>
          <mc:Choice Requires="wps">
            <w:drawing>
              <wp:anchor distT="0" distB="0" distL="114300" distR="114300" simplePos="0" relativeHeight="251660288" behindDoc="0" locked="1" layoutInCell="1" allowOverlap="1">
                <wp:simplePos x="0" y="0"/>
                <wp:positionH relativeFrom="margin">
                  <wp:posOffset>0</wp:posOffset>
                </wp:positionH>
                <wp:positionV relativeFrom="margin">
                  <wp:posOffset>1010920</wp:posOffset>
                </wp:positionV>
                <wp:extent cx="6120130" cy="457835"/>
                <wp:effectExtent l="0" t="0" r="13970" b="18415"/>
                <wp:wrapNone/>
                <wp:docPr id="2" name="fmFrame2"/>
                <wp:cNvGraphicFramePr/>
                <a:graphic xmlns:a="http://schemas.openxmlformats.org/drawingml/2006/main">
                  <a:graphicData uri="http://schemas.microsoft.com/office/word/2010/wordprocessingShape">
                    <wps:wsp>
                      <wps:cNvSpPr txBox="1"/>
                      <wps:spPr>
                        <a:xfrm>
                          <a:off x="0" y="0"/>
                          <a:ext cx="6120130" cy="457835"/>
                        </a:xfrm>
                        <a:prstGeom prst="rect">
                          <a:avLst/>
                        </a:prstGeom>
                        <a:solidFill>
                          <a:srgbClr val="FFFFFF"/>
                        </a:solidFill>
                        <a:ln>
                          <a:noFill/>
                        </a:ln>
                      </wps:spPr>
                      <wps:txbx>
                        <w:txbxContent>
                          <w:p>
                            <w:pPr>
                              <w:jc w:val="center"/>
                              <w:rPr>
                                <w:rFonts w:ascii="宋体"/>
                                <w:b/>
                                <w:spacing w:val="20"/>
                                <w:w w:val="148"/>
                                <w:kern w:val="0"/>
                                <w:sz w:val="36"/>
                                <w:szCs w:val="36"/>
                              </w:rPr>
                            </w:pPr>
                            <w:r>
                              <w:rPr>
                                <w:rFonts w:hint="eastAsia" w:ascii="宋体"/>
                                <w:b/>
                                <w:spacing w:val="20"/>
                                <w:w w:val="148"/>
                                <w:kern w:val="0"/>
                                <w:sz w:val="36"/>
                                <w:szCs w:val="36"/>
                              </w:rPr>
                              <w:t>中华人民共和国有色金属行业标准</w:t>
                            </w:r>
                          </w:p>
                          <w:p>
                            <w:pPr>
                              <w:jc w:val="center"/>
                              <w:rPr>
                                <w:sz w:val="36"/>
                                <w:szCs w:val="36"/>
                              </w:rPr>
                            </w:pPr>
                          </w:p>
                        </w:txbxContent>
                      </wps:txbx>
                      <wps:bodyPr lIns="0" tIns="0" rIns="0" bIns="0" upright="1"/>
                    </wps:wsp>
                  </a:graphicData>
                </a:graphic>
              </wp:anchor>
            </w:drawing>
          </mc:Choice>
          <mc:Fallback>
            <w:pict>
              <v:shape id="fmFrame2" o:spid="_x0000_s1026" o:spt="202" type="#_x0000_t202" style="position:absolute;left:0pt;margin-left:0pt;margin-top:79.6pt;height:36.05pt;width:481.9pt;mso-position-horizontal-relative:margin;mso-position-vertical-relative:margin;z-index:251660288;mso-width-relative:page;mso-height-relative:page;" fillcolor="#FFFFFF" filled="t" stroked="f" coordsize="21600,21600" o:gfxdata="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yLQ1V1wAAAAgBAAAPAAAAAAAAAAEAIAAAACIAAABkcnMvZG93bnJldi54bWxQSwEC&#10;FAAUAAAACACHTuJAZ5Pi6rwBAACYAwAADgAAAAAAAAABACAAAAAmAQAAZHJzL2Uyb0RvYy54bWxQ&#10;SwUGAAAAAAYABgBZAQAAVAUAAAAA&#10;">
                <v:fill on="t" focussize="0,0"/>
                <v:stroke on="f"/>
                <v:imagedata o:title=""/>
                <o:lock v:ext="edit" aspectratio="f"/>
                <v:textbox inset="0mm,0mm,0mm,0mm">
                  <w:txbxContent>
                    <w:p>
                      <w:pPr>
                        <w:jc w:val="center"/>
                        <w:rPr>
                          <w:rFonts w:ascii="宋体"/>
                          <w:b/>
                          <w:spacing w:val="20"/>
                          <w:w w:val="148"/>
                          <w:kern w:val="0"/>
                          <w:sz w:val="36"/>
                          <w:szCs w:val="36"/>
                        </w:rPr>
                      </w:pPr>
                      <w:r>
                        <w:rPr>
                          <w:rFonts w:hint="eastAsia" w:ascii="宋体"/>
                          <w:b/>
                          <w:spacing w:val="20"/>
                          <w:w w:val="148"/>
                          <w:kern w:val="0"/>
                          <w:sz w:val="36"/>
                          <w:szCs w:val="36"/>
                        </w:rPr>
                        <w:t>中华人民共和国有色金属行业标准</w:t>
                      </w:r>
                    </w:p>
                    <w:p>
                      <w:pPr>
                        <w:jc w:val="center"/>
                        <w:rPr>
                          <w:sz w:val="36"/>
                          <w:szCs w:val="36"/>
                        </w:rPr>
                      </w:pPr>
                    </w:p>
                  </w:txbxContent>
                </v:textbox>
                <w10:anchorlock/>
              </v:shape>
            </w:pict>
          </mc:Fallback>
        </mc:AlternateContent>
      </w:r>
      <w:r>
        <mc:AlternateContent>
          <mc:Choice Requires="wps">
            <w:drawing>
              <wp:anchor distT="0" distB="0" distL="114300" distR="114300" simplePos="0" relativeHeight="251659264" behindDoc="0" locked="1" layoutInCell="1" allowOverlap="1">
                <wp:simplePos x="0" y="0"/>
                <wp:positionH relativeFrom="margin">
                  <wp:posOffset>0</wp:posOffset>
                </wp:positionH>
                <wp:positionV relativeFrom="margin">
                  <wp:posOffset>0</wp:posOffset>
                </wp:positionV>
                <wp:extent cx="2528570" cy="657860"/>
                <wp:effectExtent l="0" t="0" r="5080" b="8890"/>
                <wp:wrapNone/>
                <wp:docPr id="1" name="fmFrame1"/>
                <wp:cNvGraphicFramePr/>
                <a:graphic xmlns:a="http://schemas.openxmlformats.org/drawingml/2006/main">
                  <a:graphicData uri="http://schemas.microsoft.com/office/word/2010/wordprocessingShape">
                    <wps:wsp>
                      <wps:cNvSpPr txBox="1"/>
                      <wps:spPr>
                        <a:xfrm>
                          <a:off x="0" y="0"/>
                          <a:ext cx="2528570" cy="657860"/>
                        </a:xfrm>
                        <a:prstGeom prst="rect">
                          <a:avLst/>
                        </a:prstGeom>
                        <a:solidFill>
                          <a:srgbClr val="FFFFFF"/>
                        </a:solidFill>
                        <a:ln>
                          <a:noFill/>
                        </a:ln>
                      </wps:spPr>
                      <wps:txbx>
                        <w:txbxContent>
                          <w:p>
                            <w:pPr>
                              <w:rPr>
                                <w:rFonts w:eastAsia="黑体"/>
                              </w:rPr>
                            </w:pPr>
                            <w:r>
                              <w:rPr>
                                <w:rFonts w:eastAsia="黑体"/>
                              </w:rPr>
                              <w:t>ICS 77.1</w:t>
                            </w:r>
                            <w:r>
                              <w:rPr>
                                <w:rFonts w:hint="eastAsia" w:eastAsia="黑体"/>
                              </w:rPr>
                              <w:t>50</w:t>
                            </w:r>
                            <w:r>
                              <w:rPr>
                                <w:rFonts w:eastAsia="黑体"/>
                              </w:rPr>
                              <w:t>.</w:t>
                            </w:r>
                            <w:r>
                              <w:rPr>
                                <w:rFonts w:hint="eastAsia" w:eastAsia="黑体"/>
                              </w:rPr>
                              <w:t>20</w:t>
                            </w:r>
                          </w:p>
                          <w:p>
                            <w:pPr>
                              <w:rPr>
                                <w:rFonts w:eastAsia="黑体"/>
                              </w:rPr>
                            </w:pPr>
                            <w:r>
                              <w:rPr>
                                <w:rFonts w:eastAsia="黑体"/>
                                <w:szCs w:val="21"/>
                              </w:rPr>
                              <w:t xml:space="preserve">CCS </w:t>
                            </w:r>
                            <w:r>
                              <w:rPr>
                                <w:rFonts w:eastAsia="黑体"/>
                              </w:rPr>
                              <w:t>H</w:t>
                            </w:r>
                            <w:r>
                              <w:rPr>
                                <w:rFonts w:hint="eastAsia" w:eastAsia="黑体"/>
                              </w:rPr>
                              <w:t>62</w:t>
                            </w:r>
                          </w:p>
                        </w:txbxContent>
                      </wps:txbx>
                      <wps:bodyPr lIns="0" tIns="0" rIns="0" bIns="0" upright="1"/>
                    </wps:wsp>
                  </a:graphicData>
                </a:graphic>
              </wp:anchor>
            </w:drawing>
          </mc:Choice>
          <mc:Fallback>
            <w:pict>
              <v:shape id="fmFrame1" o:spid="_x0000_s1026" o:spt="202" type="#_x0000_t202" style="position:absolute;left:0pt;margin-left:0pt;margin-top:0pt;height:51.8pt;width:199.1pt;mso-position-horizontal-relative:margin;mso-position-vertical-relative:margin;z-index:251659264;mso-width-relative:page;mso-height-relative:page;" fillcolor="#FFFFFF" filled="t" stroked="f" coordsize="21600,21600" o:gfxdata="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BjtN1h1QAAAAUBAAAPAAAAAAAAAAEAIAAAACIAAABkcnMvZG93bnJldi54bWxQSwEC&#10;FAAUAAAACACHTuJAdG54z74BAACYAwAADgAAAAAAAAABACAAAAAkAQAAZHJzL2Uyb0RvYy54bWxQ&#10;SwUGAAAAAAYABgBZAQAAVAUAAAAA&#10;">
                <v:fill on="t" focussize="0,0"/>
                <v:stroke on="f"/>
                <v:imagedata o:title=""/>
                <o:lock v:ext="edit" aspectratio="f"/>
                <v:textbox inset="0mm,0mm,0mm,0mm">
                  <w:txbxContent>
                    <w:p>
                      <w:pPr>
                        <w:rPr>
                          <w:rFonts w:eastAsia="黑体"/>
                        </w:rPr>
                      </w:pPr>
                      <w:r>
                        <w:rPr>
                          <w:rFonts w:eastAsia="黑体"/>
                        </w:rPr>
                        <w:t>ICS 77.1</w:t>
                      </w:r>
                      <w:r>
                        <w:rPr>
                          <w:rFonts w:hint="eastAsia" w:eastAsia="黑体"/>
                        </w:rPr>
                        <w:t>50</w:t>
                      </w:r>
                      <w:r>
                        <w:rPr>
                          <w:rFonts w:eastAsia="黑体"/>
                        </w:rPr>
                        <w:t>.</w:t>
                      </w:r>
                      <w:r>
                        <w:rPr>
                          <w:rFonts w:hint="eastAsia" w:eastAsia="黑体"/>
                        </w:rPr>
                        <w:t>20</w:t>
                      </w:r>
                    </w:p>
                    <w:p>
                      <w:pPr>
                        <w:rPr>
                          <w:rFonts w:eastAsia="黑体"/>
                        </w:rPr>
                      </w:pPr>
                      <w:r>
                        <w:rPr>
                          <w:rFonts w:eastAsia="黑体"/>
                          <w:szCs w:val="21"/>
                        </w:rPr>
                        <w:t xml:space="preserve">CCS </w:t>
                      </w:r>
                      <w:r>
                        <w:rPr>
                          <w:rFonts w:eastAsia="黑体"/>
                        </w:rPr>
                        <w:t>H</w:t>
                      </w:r>
                      <w:r>
                        <w:rPr>
                          <w:rFonts w:hint="eastAsia" w:eastAsia="黑体"/>
                        </w:rPr>
                        <w:t>62</w:t>
                      </w:r>
                    </w:p>
                  </w:txbxContent>
                </v:textbox>
                <w10:anchorlock/>
              </v:shape>
            </w:pict>
          </mc:Fallback>
        </mc:AlternateContent>
      </w:r>
    </w:p>
    <w:p>
      <w:pPr>
        <w:pStyle w:val="58"/>
        <w:tabs>
          <w:tab w:val="left" w:pos="8260"/>
        </w:tabs>
      </w:pPr>
      <w:r>
        <w:t>T</w:t>
      </w:r>
    </w:p>
    <w:p>
      <w:pPr>
        <w:pStyle w:val="58"/>
        <w:sectPr>
          <w:headerReference r:id="rId5" w:type="first"/>
          <w:footerReference r:id="rId8" w:type="first"/>
          <w:headerReference r:id="rId3" w:type="default"/>
          <w:footerReference r:id="rId6" w:type="default"/>
          <w:headerReference r:id="rId4" w:type="even"/>
          <w:footerReference r:id="rId7" w:type="even"/>
          <w:pgSz w:w="11907" w:h="16839"/>
          <w:pgMar w:top="567" w:right="851" w:bottom="1361" w:left="1418" w:header="0" w:footer="0" w:gutter="0"/>
          <w:pgNumType w:fmt="upperRoman" w:start="1"/>
          <w:cols w:space="720" w:num="1"/>
          <w:titlePg/>
          <w:docGrid w:type="lines" w:linePitch="312" w:charSpace="0"/>
        </w:sectPr>
      </w:pPr>
      <w:r>
        <mc:AlternateContent>
          <mc:Choice Requires="wps">
            <w:drawing>
              <wp:anchor distT="0" distB="0" distL="114300" distR="114300" simplePos="0" relativeHeight="251667456" behindDoc="0" locked="0" layoutInCell="1" allowOverlap="1">
                <wp:simplePos x="0" y="0"/>
                <wp:positionH relativeFrom="column">
                  <wp:posOffset>481965</wp:posOffset>
                </wp:positionH>
                <wp:positionV relativeFrom="paragraph">
                  <wp:posOffset>8380095</wp:posOffset>
                </wp:positionV>
                <wp:extent cx="5047615" cy="440690"/>
                <wp:effectExtent l="5080" t="4445" r="14605" b="12065"/>
                <wp:wrapNone/>
                <wp:docPr id="11" name="文本框 26"/>
                <wp:cNvGraphicFramePr/>
                <a:graphic xmlns:a="http://schemas.openxmlformats.org/drawingml/2006/main">
                  <a:graphicData uri="http://schemas.microsoft.com/office/word/2010/wordprocessingShape">
                    <wps:wsp>
                      <wps:cNvSpPr txBox="1"/>
                      <wps:spPr>
                        <a:xfrm>
                          <a:off x="0" y="0"/>
                          <a:ext cx="5047615" cy="440690"/>
                        </a:xfrm>
                        <a:prstGeom prst="rect">
                          <a:avLst/>
                        </a:prstGeom>
                        <a:solidFill>
                          <a:srgbClr val="FFFFFF">
                            <a:alpha val="0"/>
                          </a:srgbClr>
                        </a:solidFill>
                        <a:ln w="9525" cap="flat" cmpd="sng">
                          <a:solidFill>
                            <a:srgbClr val="FFFFFF"/>
                          </a:solidFill>
                          <a:prstDash val="solid"/>
                          <a:miter/>
                          <a:headEnd type="none" w="med" len="med"/>
                          <a:tailEnd type="none" w="med" len="med"/>
                        </a:ln>
                      </wps:spPr>
                      <wps:txbx>
                        <w:txbxContent>
                          <w:p>
                            <w:pPr>
                              <w:pStyle w:val="58"/>
                              <w:widowControl w:val="0"/>
                              <w:spacing w:line="240" w:lineRule="atLeast"/>
                              <w:jc w:val="distribute"/>
                              <w:rPr>
                                <w:rFonts w:ascii="黑体" w:hAnsi="黑体" w:eastAsia="黑体"/>
                                <w:color w:val="000000"/>
                                <w:sz w:val="28"/>
                                <w:szCs w:val="28"/>
                              </w:rPr>
                            </w:pPr>
                            <w:r>
                              <w:rPr>
                                <w:rFonts w:hint="eastAsia"/>
                                <w:b/>
                                <w:color w:val="000000"/>
                                <w:sz w:val="36"/>
                                <w:szCs w:val="36"/>
                              </w:rPr>
                              <w:t xml:space="preserve">中华人民共和国工业和信息化部 </w:t>
                            </w:r>
                            <w:r>
                              <w:rPr>
                                <w:rFonts w:ascii="黑体" w:hAnsi="黑体" w:eastAsia="黑体"/>
                                <w:color w:val="000000"/>
                                <w:sz w:val="28"/>
                                <w:szCs w:val="28"/>
                              </w:rPr>
                              <w:t>发布</w:t>
                            </w:r>
                          </w:p>
                          <w:p>
                            <w:pPr>
                              <w:spacing w:line="340" w:lineRule="exact"/>
                              <w:rPr>
                                <w:b/>
                                <w:color w:val="000000"/>
                                <w:sz w:val="36"/>
                                <w:szCs w:val="36"/>
                              </w:rPr>
                            </w:pPr>
                          </w:p>
                        </w:txbxContent>
                      </wps:txbx>
                      <wps:bodyPr upright="1"/>
                    </wps:wsp>
                  </a:graphicData>
                </a:graphic>
              </wp:anchor>
            </w:drawing>
          </mc:Choice>
          <mc:Fallback>
            <w:pict>
              <v:shape id="文本框 26" o:spid="_x0000_s1026" o:spt="202" type="#_x0000_t202" style="position:absolute;left:0pt;margin-left:37.95pt;margin-top:659.85pt;height:34.7pt;width:397.45pt;z-index:251667456;mso-width-relative:page;mso-height-relative:page;" fillcolor="#FFFFFF" filled="t" stroked="t" coordsize="21600,21600" o:gfxdata="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PlB7vNkAAAAMAQAA&#10;DwAAAAAAAAABACAAAAAiAAAAZHJzL2Rvd25yZXYueG1sUEsBAhQAFAAAAAgAh07iQG5osUkYAgAA&#10;VQQAAA4AAAAAAAAAAQAgAAAAKAEAAGRycy9lMm9Eb2MueG1sUEsFBgAAAAAGAAYAWQEAALIFAAAA&#10;AA==&#10;">
                <v:fill on="t" opacity="0f" focussize="0,0"/>
                <v:stroke color="#FFFFFF" joinstyle="miter"/>
                <v:imagedata o:title=""/>
                <o:lock v:ext="edit" aspectratio="f"/>
                <v:textbox>
                  <w:txbxContent>
                    <w:p>
                      <w:pPr>
                        <w:pStyle w:val="58"/>
                        <w:widowControl w:val="0"/>
                        <w:spacing w:line="240" w:lineRule="atLeast"/>
                        <w:jc w:val="distribute"/>
                        <w:rPr>
                          <w:rFonts w:ascii="黑体" w:hAnsi="黑体" w:eastAsia="黑体"/>
                          <w:color w:val="000000"/>
                          <w:sz w:val="28"/>
                          <w:szCs w:val="28"/>
                        </w:rPr>
                      </w:pPr>
                      <w:r>
                        <w:rPr>
                          <w:rFonts w:hint="eastAsia"/>
                          <w:b/>
                          <w:color w:val="000000"/>
                          <w:sz w:val="36"/>
                          <w:szCs w:val="36"/>
                        </w:rPr>
                        <w:t xml:space="preserve">中华人民共和国工业和信息化部 </w:t>
                      </w:r>
                      <w:r>
                        <w:rPr>
                          <w:rFonts w:ascii="黑体" w:hAnsi="黑体" w:eastAsia="黑体"/>
                          <w:color w:val="000000"/>
                          <w:sz w:val="28"/>
                          <w:szCs w:val="28"/>
                        </w:rPr>
                        <w:t>发布</w:t>
                      </w:r>
                    </w:p>
                    <w:p>
                      <w:pPr>
                        <w:spacing w:line="340" w:lineRule="exact"/>
                        <w:rPr>
                          <w:b/>
                          <w:color w:val="000000"/>
                          <w:sz w:val="36"/>
                          <w:szCs w:val="36"/>
                        </w:rPr>
                      </w:pPr>
                    </w:p>
                  </w:txbxContent>
                </v:textbox>
              </v:shape>
            </w:pict>
          </mc:Fallback>
        </mc:AlternateContent>
      </w:r>
    </w:p>
    <w:bookmarkEnd w:id="0"/>
    <w:p>
      <w:pPr>
        <w:pStyle w:val="32"/>
        <w:spacing w:before="640" w:after="560"/>
        <w:ind w:firstLine="0" w:firstLineChars="0"/>
        <w:jc w:val="center"/>
        <w:rPr>
          <w:rFonts w:ascii="Times New Roman"/>
          <w:szCs w:val="21"/>
        </w:rPr>
      </w:pPr>
      <w:bookmarkStart w:id="1" w:name="SectionMark2"/>
      <w:r>
        <w:rPr>
          <w:rFonts w:ascii="Times New Roman" w:eastAsia="黑体"/>
          <w:sz w:val="32"/>
          <w:szCs w:val="32"/>
        </w:rPr>
        <w:t>前  言</w:t>
      </w:r>
    </w:p>
    <w:p>
      <w:pPr>
        <w:ind w:firstLine="420" w:firstLineChars="200"/>
        <w:rPr>
          <w:szCs w:val="21"/>
        </w:rPr>
      </w:pPr>
      <w:r>
        <w:rPr>
          <w:szCs w:val="21"/>
        </w:rPr>
        <w:t>本文件按照GB/T 1.1-2020《标准化工作导则 第1部分：标准化文件的结构和起草规则》</w:t>
      </w:r>
      <w:r>
        <w:rPr>
          <w:rFonts w:hint="eastAsia"/>
          <w:szCs w:val="21"/>
        </w:rPr>
        <w:t>给出</w:t>
      </w:r>
      <w:r>
        <w:rPr>
          <w:szCs w:val="21"/>
        </w:rPr>
        <w:t>的规</w:t>
      </w:r>
      <w:r>
        <w:rPr>
          <w:rFonts w:hint="eastAsia"/>
          <w:szCs w:val="21"/>
        </w:rPr>
        <w:t>则</w:t>
      </w:r>
      <w:r>
        <w:rPr>
          <w:szCs w:val="21"/>
        </w:rPr>
        <w:t>起草。</w:t>
      </w:r>
    </w:p>
    <w:p>
      <w:pPr>
        <w:pStyle w:val="32"/>
        <w:ind w:firstLine="420"/>
        <w:rPr>
          <w:rFonts w:ascii="Times New Roman"/>
          <w:color w:val="FF0000"/>
          <w:kern w:val="2"/>
          <w:szCs w:val="24"/>
        </w:rPr>
      </w:pPr>
      <w:r>
        <w:rPr>
          <w:rFonts w:ascii="Times New Roman"/>
        </w:rPr>
        <w:t>请注意本文件的某些内容可能涉及专利。本文件的发布机构不承担识别专利的责任</w:t>
      </w:r>
      <w:r>
        <w:rPr>
          <w:rFonts w:ascii="Times New Roman"/>
          <w:kern w:val="2"/>
          <w:szCs w:val="24"/>
        </w:rPr>
        <w:t>。</w:t>
      </w:r>
    </w:p>
    <w:p>
      <w:pPr>
        <w:pStyle w:val="32"/>
        <w:ind w:firstLine="420"/>
        <w:rPr>
          <w:rFonts w:ascii="Times New Roman"/>
        </w:rPr>
      </w:pPr>
      <w:r>
        <w:rPr>
          <w:rFonts w:ascii="Times New Roman"/>
        </w:rPr>
        <w:t>本</w:t>
      </w:r>
      <w:r>
        <w:rPr>
          <w:rFonts w:ascii="Times New Roman"/>
          <w:szCs w:val="21"/>
        </w:rPr>
        <w:t>文件</w:t>
      </w:r>
      <w:r>
        <w:rPr>
          <w:rFonts w:ascii="Times New Roman"/>
        </w:rPr>
        <w:t>由全国有色金属标准化技术委员会（SAC/TC243）</w:t>
      </w:r>
      <w:r>
        <w:rPr>
          <w:rFonts w:hint="eastAsia" w:ascii="Times New Roman"/>
        </w:rPr>
        <w:t>提出并</w:t>
      </w:r>
      <w:r>
        <w:rPr>
          <w:rFonts w:ascii="Times New Roman"/>
        </w:rPr>
        <w:t>归口。</w:t>
      </w:r>
    </w:p>
    <w:p>
      <w:pPr>
        <w:pStyle w:val="32"/>
        <w:ind w:firstLine="420"/>
        <w:rPr>
          <w:rFonts w:hint="eastAsia" w:ascii="Times New Roman" w:eastAsia="宋体"/>
          <w:kern w:val="2"/>
          <w:szCs w:val="24"/>
          <w:lang w:val="en-US" w:eastAsia="zh-CN"/>
        </w:rPr>
      </w:pPr>
      <w:r>
        <w:rPr>
          <w:rFonts w:ascii="Times New Roman"/>
          <w:kern w:val="2"/>
          <w:szCs w:val="24"/>
        </w:rPr>
        <w:t>本文件起草单位：</w:t>
      </w:r>
      <w:r>
        <w:rPr>
          <w:rFonts w:hint="eastAsia" w:ascii="Times New Roman"/>
          <w:kern w:val="2"/>
          <w:szCs w:val="24"/>
          <w:lang w:val="en-US" w:eastAsia="zh-CN"/>
        </w:rPr>
        <w:t>天津巴莫科技有限责任公司</w:t>
      </w:r>
    </w:p>
    <w:p>
      <w:pPr>
        <w:ind w:firstLine="420" w:firstLineChars="200"/>
        <w:rPr>
          <w:szCs w:val="21"/>
        </w:rPr>
        <w:sectPr>
          <w:footerReference r:id="rId9" w:type="default"/>
          <w:pgSz w:w="11907" w:h="16839"/>
          <w:pgMar w:top="1418" w:right="1134" w:bottom="1134" w:left="1418" w:header="1418" w:footer="851" w:gutter="0"/>
          <w:cols w:space="720" w:num="1"/>
          <w:docGrid w:type="lines" w:linePitch="312" w:charSpace="0"/>
        </w:sectPr>
      </w:pPr>
      <w:r>
        <w:rPr>
          <w:szCs w:val="21"/>
        </w:rPr>
        <w:t>本文件主要起草人：</w:t>
      </w:r>
      <w:bookmarkEnd w:id="1"/>
      <w:bookmarkStart w:id="2" w:name="SectionMark4"/>
    </w:p>
    <w:p>
      <w:pPr>
        <w:pStyle w:val="46"/>
        <w:spacing w:line="240" w:lineRule="auto"/>
        <w:outlineLvl w:val="9"/>
        <w:rPr>
          <w:rFonts w:hAnsi="黑体" w:cs="黑体"/>
        </w:rPr>
      </w:pPr>
      <w:bookmarkStart w:id="3" w:name="_Toc55210702"/>
      <w:bookmarkStart w:id="4" w:name="_Toc65050653"/>
      <w:r>
        <w:rPr>
          <w:rFonts w:hint="eastAsia"/>
        </w:rPr>
        <w:t>钠离子电池用正极材料 铜铁锰酸钠</w:t>
      </w:r>
    </w:p>
    <w:p>
      <w:pPr>
        <w:pStyle w:val="42"/>
        <w:numPr>
          <w:ilvl w:val="0"/>
          <w:numId w:val="2"/>
        </w:numPr>
        <w:tabs>
          <w:tab w:val="clear" w:pos="0"/>
        </w:tabs>
        <w:spacing w:before="312" w:beforeLines="100" w:after="312" w:afterLines="100"/>
        <w:ind w:left="425" w:leftChars="0" w:hanging="425" w:firstLineChars="0"/>
        <w:rPr>
          <w:rFonts w:hAnsi="黑体" w:cs="黑体"/>
        </w:rPr>
      </w:pPr>
      <w:r>
        <w:rPr>
          <w:rFonts w:hint="eastAsia" w:hAnsi="黑体" w:cs="黑体"/>
          <w:lang w:val="en-US" w:eastAsia="zh-CN"/>
        </w:rPr>
        <w:t xml:space="preserve"> </w:t>
      </w:r>
      <w:r>
        <w:rPr>
          <w:rFonts w:hint="eastAsia" w:hAnsi="黑体" w:cs="黑体"/>
        </w:rPr>
        <w:t>范围</w:t>
      </w:r>
      <w:bookmarkEnd w:id="3"/>
      <w:bookmarkEnd w:id="4"/>
    </w:p>
    <w:p>
      <w:pPr>
        <w:ind w:firstLine="420" w:firstLineChars="200"/>
      </w:pPr>
      <w:bookmarkStart w:id="5" w:name="_Hlk72328930"/>
      <w:r>
        <w:rPr>
          <w:rFonts w:hint="eastAsia"/>
        </w:rPr>
        <w:t>本文件规定了铜铁锰酸钠正极材料</w:t>
      </w:r>
      <w:r>
        <w:rPr>
          <w:rFonts w:hint="eastAsia"/>
          <w:lang w:val="en-US" w:eastAsia="zh-CN"/>
        </w:rPr>
        <w:t>的</w:t>
      </w:r>
      <w:r>
        <w:rPr>
          <w:rFonts w:hint="eastAsia"/>
        </w:rPr>
        <w:t>要求、试验方法、检验规则、标志、运输、贮存、随行文件及订货单内容。</w:t>
      </w:r>
    </w:p>
    <w:bookmarkEnd w:id="5"/>
    <w:p>
      <w:pPr>
        <w:pStyle w:val="32"/>
        <w:ind w:firstLine="420"/>
      </w:pPr>
      <w:r>
        <w:rPr>
          <w:rFonts w:hint="eastAsia"/>
        </w:rPr>
        <w:t>本文件适用于钠离子电池用正极材料铜铁锰酸钠。</w:t>
      </w:r>
    </w:p>
    <w:p>
      <w:pPr>
        <w:pStyle w:val="42"/>
        <w:numPr>
          <w:ilvl w:val="0"/>
          <w:numId w:val="2"/>
        </w:numPr>
        <w:tabs>
          <w:tab w:val="clear" w:pos="0"/>
        </w:tabs>
        <w:spacing w:before="312" w:beforeLines="100" w:after="312" w:afterLines="100"/>
        <w:ind w:left="425" w:leftChars="0" w:hanging="425" w:firstLineChars="0"/>
        <w:rPr>
          <w:rFonts w:hAnsi="黑体" w:cs="黑体"/>
          <w:bCs/>
        </w:rPr>
      </w:pPr>
      <w:r>
        <w:rPr>
          <w:rFonts w:hint="eastAsia" w:hAnsi="黑体" w:cs="黑体"/>
          <w:lang w:val="en-US" w:eastAsia="zh-CN"/>
        </w:rPr>
        <w:t xml:space="preserve"> </w:t>
      </w:r>
      <w:r>
        <w:rPr>
          <w:rFonts w:hint="eastAsia" w:hAnsi="黑体" w:cs="黑体"/>
        </w:rPr>
        <w:t>规范性引用文件</w:t>
      </w:r>
    </w:p>
    <w:p>
      <w:pPr>
        <w:ind w:firstLine="420" w:firstLineChars="20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p>
      <w:pPr>
        <w:ind w:firstLine="420" w:firstLineChars="200"/>
        <w:rPr>
          <w:rFonts w:hint="eastAsia"/>
        </w:rPr>
      </w:pPr>
      <w:r>
        <w:rPr>
          <w:rFonts w:hint="eastAsia"/>
        </w:rPr>
        <w:t>GB/T 1506  锰矿石 锰含量的测定 电位滴定法和硫酸亚铁铵滴定法</w:t>
      </w:r>
    </w:p>
    <w:p>
      <w:pPr>
        <w:ind w:firstLine="420" w:firstLineChars="200"/>
        <w:rPr>
          <w:rFonts w:hint="eastAsia"/>
        </w:rPr>
      </w:pPr>
      <w:r>
        <w:rPr>
          <w:rFonts w:hint="eastAsia"/>
        </w:rPr>
        <w:t>GB/T 3884.1  铜精矿化学分析方法 第1部分：铜量的测定 碘量法</w:t>
      </w:r>
    </w:p>
    <w:p>
      <w:pPr>
        <w:ind w:firstLine="420" w:firstLineChars="200"/>
        <w:rPr>
          <w:rFonts w:hint="eastAsia"/>
        </w:rPr>
      </w:pPr>
      <w:r>
        <w:rPr>
          <w:rFonts w:hint="eastAsia"/>
        </w:rPr>
        <w:t>GB/T 5162  金属粉末 振实密度的测定</w:t>
      </w:r>
    </w:p>
    <w:p>
      <w:pPr>
        <w:ind w:firstLine="420" w:firstLineChars="200"/>
        <w:rPr>
          <w:rFonts w:hint="eastAsia"/>
        </w:rPr>
      </w:pPr>
      <w:r>
        <w:rPr>
          <w:rFonts w:hint="eastAsia"/>
        </w:rPr>
        <w:t>GB/T 6283  化工产品中水分含量的测定 卡尔•费休法（通用方法）</w:t>
      </w:r>
    </w:p>
    <w:p>
      <w:pPr>
        <w:ind w:firstLine="420" w:firstLineChars="200"/>
        <w:rPr>
          <w:rFonts w:hint="eastAsia"/>
        </w:rPr>
      </w:pPr>
      <w:r>
        <w:rPr>
          <w:rFonts w:hint="eastAsia"/>
        </w:rPr>
        <w:t>GB/T 6730.70  铁矿石 全铁含量的测定 氯化亚锡还原滴定法</w:t>
      </w:r>
    </w:p>
    <w:p>
      <w:pPr>
        <w:ind w:firstLine="420" w:firstLineChars="200"/>
        <w:rPr>
          <w:rFonts w:hint="eastAsia"/>
        </w:rPr>
      </w:pPr>
      <w:r>
        <w:rPr>
          <w:rFonts w:hint="eastAsia"/>
        </w:rPr>
        <w:t>GB/T 9724  化学试剂 pH值测定通则</w:t>
      </w:r>
    </w:p>
    <w:p>
      <w:pPr>
        <w:ind w:firstLine="420" w:firstLineChars="200"/>
        <w:rPr>
          <w:rFonts w:hint="eastAsia"/>
        </w:rPr>
      </w:pPr>
      <w:r>
        <w:rPr>
          <w:rFonts w:hint="eastAsia"/>
        </w:rPr>
        <w:t>GB/T 19077  粒度分析 激光衍射法</w:t>
      </w:r>
    </w:p>
    <w:p>
      <w:pPr>
        <w:ind w:firstLine="420" w:firstLineChars="200"/>
        <w:rPr>
          <w:rFonts w:hint="eastAsia"/>
        </w:rPr>
      </w:pPr>
      <w:r>
        <w:rPr>
          <w:rFonts w:hint="eastAsia"/>
        </w:rPr>
        <w:t>GB/T 19587  气体吸附BET法测定固态物质比表面积</w:t>
      </w:r>
    </w:p>
    <w:p>
      <w:pPr>
        <w:ind w:firstLine="420" w:firstLineChars="200"/>
        <w:rPr>
          <w:rFonts w:hint="eastAsia"/>
        </w:rPr>
      </w:pPr>
      <w:r>
        <w:rPr>
          <w:rFonts w:hint="eastAsia"/>
        </w:rPr>
        <w:t>GB/T 23365  钴酸锂电化学性能测试 首次放电比容量及首次充放电效率测试方法</w:t>
      </w:r>
    </w:p>
    <w:p>
      <w:pPr>
        <w:ind w:firstLine="420" w:firstLineChars="200"/>
        <w:rPr>
          <w:rFonts w:hint="eastAsia"/>
        </w:rPr>
      </w:pPr>
      <w:r>
        <w:rPr>
          <w:rFonts w:hint="eastAsia"/>
        </w:rPr>
        <w:t>GB/T 24533  锂离子电池石墨类负极材料</w:t>
      </w:r>
    </w:p>
    <w:p>
      <w:pPr>
        <w:ind w:firstLine="420" w:firstLineChars="200"/>
        <w:rPr>
          <w:rFonts w:hint="eastAsia"/>
        </w:rPr>
      </w:pPr>
      <w:r>
        <w:rPr>
          <w:rFonts w:hint="eastAsia"/>
        </w:rPr>
        <w:t>GB/T39861  锰酸锂电化学性能测试 放电平台容量比率及循环寿命测试方法</w:t>
      </w:r>
    </w:p>
    <w:p>
      <w:pPr>
        <w:ind w:firstLine="420" w:firstLineChars="200"/>
        <w:rPr>
          <w:rFonts w:hint="eastAsia"/>
        </w:rPr>
      </w:pPr>
      <w:r>
        <w:rPr>
          <w:rFonts w:hint="eastAsia"/>
        </w:rPr>
        <w:t>GB/T 41704  锂离子电池正极材料检测方法 磁性异物含量和残余碱含量的测定</w:t>
      </w:r>
    </w:p>
    <w:p>
      <w:pPr>
        <w:ind w:firstLine="420" w:firstLineChars="200"/>
        <w:rPr>
          <w:rFonts w:hint="eastAsia"/>
        </w:rPr>
      </w:pPr>
      <w:r>
        <w:rPr>
          <w:rFonts w:hint="eastAsia"/>
        </w:rPr>
        <w:t>YS/T 928.2  镍、钴、锰三元素氢氧化物化学分析方法 第2部分：镍量的测定 丁二酮肟重量法</w:t>
      </w:r>
    </w:p>
    <w:p>
      <w:pPr>
        <w:ind w:firstLine="420" w:firstLineChars="200"/>
        <w:rPr>
          <w:rFonts w:hint="eastAsia"/>
        </w:rPr>
      </w:pPr>
      <w:r>
        <w:rPr>
          <w:rFonts w:hint="eastAsia"/>
        </w:rPr>
        <w:t>YS/T 928.4  镍、钴、锰三元素氢氧化物化学分析方法 第4部分：铁、钙、镁、铜、锌、硅、铝、钠量的测定 电感耦合等离子体原子发射光谱法</w:t>
      </w:r>
    </w:p>
    <w:p>
      <w:pPr>
        <w:ind w:firstLine="420" w:firstLineChars="200"/>
        <w:rPr>
          <w:rFonts w:hint="eastAsia"/>
        </w:rPr>
      </w:pPr>
      <w:r>
        <w:rPr>
          <w:rFonts w:hint="eastAsia"/>
        </w:rPr>
        <w:t>HG/T 4506  工业氢氧化钴</w:t>
      </w:r>
    </w:p>
    <w:p>
      <w:pPr>
        <w:ind w:firstLine="420" w:firstLineChars="200"/>
      </w:pPr>
      <w:r>
        <w:rPr>
          <w:rFonts w:hint="eastAsia"/>
        </w:rPr>
        <w:t>HG/T 4826  工业碱式氯化铜</w:t>
      </w:r>
    </w:p>
    <w:p>
      <w:pPr>
        <w:pStyle w:val="42"/>
        <w:numPr>
          <w:ilvl w:val="0"/>
          <w:numId w:val="2"/>
        </w:numPr>
        <w:tabs>
          <w:tab w:val="clear" w:pos="0"/>
        </w:tabs>
        <w:spacing w:before="312" w:beforeLines="100" w:after="312" w:afterLines="100"/>
        <w:ind w:left="425" w:leftChars="0" w:hanging="425" w:firstLineChars="0"/>
        <w:rPr>
          <w:rFonts w:hint="eastAsia" w:hAnsi="黑体" w:cs="黑体"/>
        </w:rPr>
      </w:pPr>
      <w:r>
        <w:rPr>
          <w:rFonts w:hint="eastAsia" w:hAnsi="黑体" w:cs="黑体"/>
          <w:lang w:val="en-US" w:eastAsia="zh-CN"/>
        </w:rPr>
        <w:t xml:space="preserve"> </w:t>
      </w:r>
      <w:r>
        <w:rPr>
          <w:rFonts w:hint="eastAsia" w:hAnsi="黑体" w:cs="黑体"/>
        </w:rPr>
        <w:t>术语和定义</w:t>
      </w:r>
    </w:p>
    <w:p>
      <w:pPr>
        <w:spacing w:before="312" w:beforeLines="100" w:after="312" w:afterLines="100"/>
        <w:ind w:firstLine="420" w:firstLineChars="200"/>
        <w:rPr>
          <w:rFonts w:ascii="黑体" w:hAnsi="黑体" w:eastAsia="黑体" w:cs="黑体"/>
          <w:bCs/>
        </w:rPr>
      </w:pPr>
      <w:r>
        <w:rPr>
          <w:rFonts w:hint="eastAsia" w:ascii="宋体" w:hAnsi="宋体" w:cs="宋体"/>
        </w:rPr>
        <w:t>本文件没有需要界定的术语和定义。</w:t>
      </w:r>
    </w:p>
    <w:p>
      <w:pPr>
        <w:pStyle w:val="42"/>
        <w:numPr>
          <w:ilvl w:val="0"/>
          <w:numId w:val="2"/>
        </w:numPr>
        <w:tabs>
          <w:tab w:val="clear" w:pos="0"/>
        </w:tabs>
        <w:spacing w:before="312" w:beforeLines="100" w:after="312" w:afterLines="100"/>
        <w:ind w:left="425" w:leftChars="0" w:hanging="425" w:firstLineChars="0"/>
        <w:rPr>
          <w:rFonts w:hint="eastAsia" w:hAnsi="黑体" w:cs="黑体"/>
        </w:rPr>
      </w:pPr>
      <w:r>
        <w:rPr>
          <w:rFonts w:hint="eastAsia" w:hAnsi="黑体" w:cs="黑体"/>
          <w:lang w:val="en-US" w:eastAsia="zh-CN"/>
        </w:rPr>
        <w:t xml:space="preserve"> </w:t>
      </w:r>
      <w:r>
        <w:rPr>
          <w:rFonts w:hint="eastAsia" w:hAnsi="黑体" w:cs="黑体"/>
        </w:rPr>
        <w:t>要求</w:t>
      </w:r>
    </w:p>
    <w:p>
      <w:pPr>
        <w:pStyle w:val="42"/>
        <w:numPr>
          <w:ilvl w:val="0"/>
          <w:numId w:val="0"/>
        </w:numPr>
        <w:spacing w:before="312" w:beforeLines="100" w:after="312" w:afterLines="100"/>
        <w:ind w:leftChars="0"/>
        <w:rPr>
          <w:rFonts w:hint="eastAsia" w:hAnsi="黑体" w:cs="黑体"/>
        </w:rPr>
      </w:pPr>
      <w:r>
        <w:rPr>
          <w:rFonts w:hint="eastAsia" w:hAnsi="黑体" w:cs="黑体"/>
          <w:lang w:val="en-US" w:eastAsia="zh-CN"/>
        </w:rPr>
        <w:t xml:space="preserve">4.1  </w:t>
      </w:r>
      <w:r>
        <w:rPr>
          <w:rFonts w:hint="eastAsia" w:hAnsi="黑体" w:cs="黑体"/>
        </w:rPr>
        <w:t>化学成分</w:t>
      </w:r>
    </w:p>
    <w:p>
      <w:pPr>
        <w:pStyle w:val="42"/>
        <w:keepNext w:val="0"/>
        <w:keepLines w:val="0"/>
        <w:pageBreakBefore w:val="0"/>
        <w:widowControl/>
        <w:kinsoku/>
        <w:wordWrap/>
        <w:overflowPunct/>
        <w:topLinePunct w:val="0"/>
        <w:autoSpaceDE/>
        <w:autoSpaceDN/>
        <w:bidi w:val="0"/>
        <w:adjustRightInd/>
        <w:snapToGrid/>
        <w:spacing w:before="157" w:beforeLines="50" w:after="157" w:afterLines="50"/>
        <w:textAlignment w:val="auto"/>
        <w:outlineLvl w:val="9"/>
        <w:rPr>
          <w:rFonts w:hAnsi="黑体" w:cs="黑体"/>
          <w:szCs w:val="21"/>
        </w:rPr>
      </w:pPr>
      <w:r>
        <w:rPr>
          <w:rFonts w:hint="eastAsia" w:hAnsi="黑体" w:cs="黑体"/>
          <w:szCs w:val="21"/>
        </w:rPr>
        <w:t>4.1.1</w:t>
      </w:r>
      <w:r>
        <w:rPr>
          <w:rFonts w:hint="eastAsia" w:hAnsi="黑体" w:cs="黑体"/>
          <w:szCs w:val="21"/>
          <w:lang w:val="en-US" w:eastAsia="zh-CN"/>
        </w:rPr>
        <w:t xml:space="preserve">  </w:t>
      </w:r>
      <w:r>
        <w:rPr>
          <w:rFonts w:hint="eastAsia" w:hAnsi="黑体" w:cs="黑体"/>
          <w:szCs w:val="21"/>
        </w:rPr>
        <w:t>产品主含量</w:t>
      </w:r>
    </w:p>
    <w:p>
      <w:pPr>
        <w:pStyle w:val="42"/>
        <w:spacing w:beforeLines="0" w:afterLines="0"/>
        <w:ind w:firstLine="420" w:firstLineChars="200"/>
        <w:outlineLvl w:val="9"/>
        <w:rPr>
          <w:rFonts w:hint="eastAsia" w:ascii="Times New Roman" w:eastAsiaTheme="minorEastAsia"/>
          <w:kern w:val="2"/>
        </w:rPr>
      </w:pPr>
      <w:r>
        <w:rPr>
          <w:rFonts w:hint="eastAsia" w:ascii="Times New Roman" w:eastAsiaTheme="minorEastAsia"/>
          <w:kern w:val="2"/>
        </w:rPr>
        <w:t>产品的</w:t>
      </w:r>
      <w:r>
        <w:rPr>
          <w:rFonts w:hint="eastAsia" w:ascii="Times New Roman" w:eastAsiaTheme="minorEastAsia"/>
          <w:kern w:val="2"/>
          <w:lang w:val="en-US" w:eastAsia="zh-CN"/>
        </w:rPr>
        <w:t>主要元素</w:t>
      </w:r>
      <w:r>
        <w:rPr>
          <w:rFonts w:hint="eastAsia" w:ascii="Times New Roman" w:eastAsiaTheme="minorEastAsia"/>
          <w:kern w:val="2"/>
        </w:rPr>
        <w:t>含量应符合表1的规定。</w:t>
      </w:r>
    </w:p>
    <w:p>
      <w:pPr>
        <w:pStyle w:val="32"/>
        <w:spacing w:before="156" w:beforeLines="50" w:after="156" w:afterLines="50"/>
        <w:ind w:firstLine="0" w:firstLineChars="0"/>
        <w:jc w:val="center"/>
        <w:outlineLvl w:val="1"/>
        <w:rPr>
          <w:rFonts w:hint="eastAsia"/>
        </w:rPr>
      </w:pPr>
      <w:r>
        <w:rPr>
          <w:rFonts w:hint="eastAsia" w:ascii="黑体" w:hAnsi="黑体" w:eastAsia="黑体" w:cs="黑体"/>
          <w:szCs w:val="21"/>
        </w:rPr>
        <w:t>表1</w:t>
      </w:r>
      <w:r>
        <w:rPr>
          <w:rFonts w:hint="eastAsia" w:ascii="黑体" w:hAnsi="黑体" w:eastAsia="黑体" w:cs="黑体"/>
          <w:szCs w:val="21"/>
          <w:lang w:val="en-US" w:eastAsia="zh-CN"/>
        </w:rPr>
        <w:t xml:space="preserve"> 产品的主元素含量</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90"/>
        <w:gridCol w:w="3190"/>
        <w:gridCol w:w="31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80" w:type="dxa"/>
            <w:gridSpan w:val="2"/>
          </w:tcPr>
          <w:p>
            <w:pPr>
              <w:jc w:val="center"/>
              <w:rPr>
                <w:rFonts w:hint="default" w:ascii="Times New Roman" w:hAnsi="Times New Roman" w:cs="Times New Roman" w:eastAsiaTheme="minorEastAsia"/>
              </w:rPr>
            </w:pPr>
            <w:r>
              <w:rPr>
                <w:rFonts w:hint="default" w:ascii="Times New Roman" w:hAnsi="Times New Roman" w:cs="Times New Roman" w:eastAsiaTheme="minorEastAsia"/>
              </w:rPr>
              <w:t>化学成分</w:t>
            </w:r>
          </w:p>
        </w:tc>
        <w:tc>
          <w:tcPr>
            <w:tcW w:w="3191" w:type="dxa"/>
          </w:tcPr>
          <w:p>
            <w:pPr>
              <w:jc w:val="center"/>
              <w:rPr>
                <w:rFonts w:hint="default" w:ascii="Times New Roman" w:hAnsi="Times New Roman" w:cs="Times New Roman" w:eastAsiaTheme="minorEastAsia"/>
              </w:rPr>
            </w:pPr>
            <w:r>
              <w:rPr>
                <w:rFonts w:hint="default" w:ascii="Times New Roman" w:hAnsi="Times New Roman" w:cs="Times New Roman" w:eastAsiaTheme="minorEastAsia"/>
              </w:rPr>
              <w:t>含量，质量分数/%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90" w:type="dxa"/>
            <w:vMerge w:val="restart"/>
            <w:vAlign w:val="center"/>
          </w:tcPr>
          <w:p>
            <w:pPr>
              <w:jc w:val="center"/>
              <w:rPr>
                <w:rFonts w:hint="default" w:ascii="Times New Roman" w:hAnsi="Times New Roman" w:cs="Times New Roman" w:eastAsiaTheme="minorEastAsia"/>
                <w:lang w:val="en-US" w:eastAsia="zh-CN"/>
              </w:rPr>
            </w:pPr>
            <w:r>
              <w:rPr>
                <w:rFonts w:hint="eastAsia" w:cs="Times New Roman" w:eastAsiaTheme="minorEastAsia"/>
                <w:lang w:val="en-US" w:eastAsia="zh-CN"/>
              </w:rPr>
              <w:t>主元素含量</w:t>
            </w:r>
          </w:p>
        </w:tc>
        <w:tc>
          <w:tcPr>
            <w:tcW w:w="3190" w:type="dxa"/>
            <w:vAlign w:val="center"/>
          </w:tcPr>
          <w:p>
            <w:pPr>
              <w:keepNext w:val="0"/>
              <w:keepLines w:val="0"/>
              <w:widowControl/>
              <w:suppressLineNumbers w:val="0"/>
              <w:jc w:val="center"/>
              <w:textAlignment w:val="center"/>
              <w:rPr>
                <w:rFonts w:hint="default" w:ascii="Times New Roman" w:hAnsi="Times New Roman" w:eastAsia="宋体" w:cs="Times New Roman"/>
                <w:kern w:val="2"/>
                <w:sz w:val="21"/>
                <w:szCs w:val="21"/>
                <w:lang w:val="en-US" w:eastAsia="zh-CN" w:bidi="ar-SA"/>
              </w:rPr>
            </w:pPr>
            <w:r>
              <w:rPr>
                <w:rFonts w:hint="eastAsia" w:cs="Times New Roman"/>
                <w:i w:val="0"/>
                <w:iCs w:val="0"/>
                <w:color w:val="000000"/>
                <w:kern w:val="0"/>
                <w:sz w:val="22"/>
                <w:szCs w:val="22"/>
                <w:u w:val="none"/>
                <w:lang w:val="en-US" w:eastAsia="zh-CN" w:bidi="ar"/>
              </w:rPr>
              <w:t>铜</w:t>
            </w:r>
            <w:r>
              <w:rPr>
                <w:rFonts w:hint="default" w:ascii="Times New Roman" w:hAnsi="Times New Roman" w:eastAsia="宋体" w:cs="Times New Roman"/>
                <w:i w:val="0"/>
                <w:iCs w:val="0"/>
                <w:color w:val="000000"/>
                <w:kern w:val="0"/>
                <w:sz w:val="22"/>
                <w:szCs w:val="22"/>
                <w:u w:val="none"/>
                <w:lang w:val="en-US" w:eastAsia="zh-CN" w:bidi="ar"/>
              </w:rPr>
              <w:t>Cu</w:t>
            </w:r>
          </w:p>
        </w:tc>
        <w:tc>
          <w:tcPr>
            <w:tcW w:w="3191" w:type="dxa"/>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iCs w:val="0"/>
                <w:color w:val="000000"/>
                <w:kern w:val="0"/>
                <w:sz w:val="22"/>
                <w:szCs w:val="22"/>
                <w:u w:val="none"/>
                <w:lang w:val="en-US" w:eastAsia="zh-CN" w:bidi="ar"/>
              </w:rPr>
              <w:t>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90" w:type="dxa"/>
            <w:vMerge w:val="continue"/>
          </w:tcPr>
          <w:p>
            <w:pPr>
              <w:rPr>
                <w:rFonts w:hint="default" w:ascii="Times New Roman" w:hAnsi="Times New Roman" w:cs="Times New Roman" w:eastAsiaTheme="minorEastAsia"/>
              </w:rPr>
            </w:pPr>
          </w:p>
        </w:tc>
        <w:tc>
          <w:tcPr>
            <w:tcW w:w="3190" w:type="dxa"/>
            <w:vAlign w:val="center"/>
          </w:tcPr>
          <w:p>
            <w:pPr>
              <w:keepNext w:val="0"/>
              <w:keepLines w:val="0"/>
              <w:widowControl/>
              <w:suppressLineNumbers w:val="0"/>
              <w:jc w:val="center"/>
              <w:textAlignment w:val="center"/>
              <w:rPr>
                <w:rFonts w:hint="default" w:ascii="Times New Roman" w:hAnsi="Times New Roman" w:eastAsia="宋体" w:cs="Times New Roman"/>
                <w:kern w:val="2"/>
                <w:sz w:val="21"/>
                <w:szCs w:val="21"/>
                <w:lang w:val="en-US" w:eastAsia="zh-CN" w:bidi="ar-SA"/>
              </w:rPr>
            </w:pPr>
            <w:r>
              <w:rPr>
                <w:rFonts w:hint="eastAsia" w:cs="Times New Roman"/>
                <w:i w:val="0"/>
                <w:iCs w:val="0"/>
                <w:color w:val="000000"/>
                <w:kern w:val="0"/>
                <w:sz w:val="22"/>
                <w:szCs w:val="22"/>
                <w:u w:val="none"/>
                <w:lang w:val="en-US" w:eastAsia="zh-CN" w:bidi="ar"/>
              </w:rPr>
              <w:t>铁</w:t>
            </w:r>
            <w:r>
              <w:rPr>
                <w:rFonts w:hint="default" w:ascii="Times New Roman" w:hAnsi="Times New Roman" w:eastAsia="宋体" w:cs="Times New Roman"/>
                <w:i w:val="0"/>
                <w:iCs w:val="0"/>
                <w:color w:val="000000"/>
                <w:kern w:val="0"/>
                <w:sz w:val="22"/>
                <w:szCs w:val="22"/>
                <w:u w:val="none"/>
                <w:lang w:val="en-US" w:eastAsia="zh-CN" w:bidi="ar"/>
              </w:rPr>
              <w:t>Fe</w:t>
            </w:r>
          </w:p>
        </w:tc>
        <w:tc>
          <w:tcPr>
            <w:tcW w:w="3191" w:type="dxa"/>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iCs w:val="0"/>
                <w:color w:val="000000"/>
                <w:kern w:val="0"/>
                <w:sz w:val="22"/>
                <w:szCs w:val="22"/>
                <w:u w:val="none"/>
                <w:lang w:val="en-US" w:eastAsia="zh-CN" w:bidi="ar"/>
              </w:rPr>
              <w:t>8</w:t>
            </w:r>
            <w:r>
              <w:rPr>
                <w:rFonts w:hint="eastAsia" w:cs="Times New Roman"/>
                <w:i w:val="0"/>
                <w:iCs w:val="0"/>
                <w:color w:val="000000"/>
                <w:kern w:val="0"/>
                <w:sz w:val="22"/>
                <w:szCs w:val="22"/>
                <w:u w:val="none"/>
                <w:lang w:val="en-US" w:eastAsia="zh-CN" w:bidi="ar"/>
              </w:rPr>
              <w:t>.0</w:t>
            </w:r>
            <w:r>
              <w:rPr>
                <w:rFonts w:hint="default" w:ascii="Times New Roman" w:hAnsi="Times New Roman" w:eastAsia="宋体" w:cs="Times New Roman"/>
                <w:i w:val="0"/>
                <w:iCs w:val="0"/>
                <w:color w:val="000000"/>
                <w:kern w:val="0"/>
                <w:sz w:val="22"/>
                <w:szCs w:val="22"/>
                <w:u w:val="none"/>
                <w:lang w:val="en-US" w:eastAsia="zh-CN" w:bidi="ar"/>
              </w:rPr>
              <w:t>~18.8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90" w:type="dxa"/>
            <w:vMerge w:val="continue"/>
          </w:tcPr>
          <w:p>
            <w:pPr>
              <w:rPr>
                <w:rFonts w:hint="default" w:ascii="Times New Roman" w:hAnsi="Times New Roman" w:cs="Times New Roman" w:eastAsiaTheme="minorEastAsia"/>
              </w:rPr>
            </w:pPr>
          </w:p>
        </w:tc>
        <w:tc>
          <w:tcPr>
            <w:tcW w:w="3190" w:type="dxa"/>
            <w:vAlign w:val="center"/>
          </w:tcPr>
          <w:p>
            <w:pPr>
              <w:keepNext w:val="0"/>
              <w:keepLines w:val="0"/>
              <w:widowControl/>
              <w:suppressLineNumbers w:val="0"/>
              <w:jc w:val="center"/>
              <w:textAlignment w:val="center"/>
              <w:rPr>
                <w:rFonts w:hint="default" w:ascii="Times New Roman" w:hAnsi="Times New Roman" w:eastAsia="宋体" w:cs="Times New Roman"/>
                <w:kern w:val="2"/>
                <w:sz w:val="21"/>
                <w:szCs w:val="21"/>
                <w:lang w:val="en-US" w:eastAsia="zh-CN" w:bidi="ar-SA"/>
              </w:rPr>
            </w:pPr>
            <w:r>
              <w:rPr>
                <w:rFonts w:hint="eastAsia" w:cs="Times New Roman"/>
                <w:i w:val="0"/>
                <w:iCs w:val="0"/>
                <w:color w:val="000000"/>
                <w:kern w:val="0"/>
                <w:sz w:val="22"/>
                <w:szCs w:val="22"/>
                <w:u w:val="none"/>
                <w:lang w:val="en-US" w:eastAsia="zh-CN" w:bidi="ar"/>
              </w:rPr>
              <w:t>锰</w:t>
            </w:r>
            <w:r>
              <w:rPr>
                <w:rFonts w:hint="default" w:ascii="Times New Roman" w:hAnsi="Times New Roman" w:eastAsia="宋体" w:cs="Times New Roman"/>
                <w:i w:val="0"/>
                <w:iCs w:val="0"/>
                <w:color w:val="000000"/>
                <w:kern w:val="0"/>
                <w:sz w:val="22"/>
                <w:szCs w:val="22"/>
                <w:u w:val="none"/>
                <w:lang w:val="en-US" w:eastAsia="zh-CN" w:bidi="ar"/>
              </w:rPr>
              <w:t>Mn</w:t>
            </w:r>
          </w:p>
        </w:tc>
        <w:tc>
          <w:tcPr>
            <w:tcW w:w="3191" w:type="dxa"/>
            <w:vAlign w:val="center"/>
          </w:tcPr>
          <w:p>
            <w:pPr>
              <w:keepNext w:val="0"/>
              <w:keepLines w:val="0"/>
              <w:widowControl/>
              <w:suppressLineNumbers w:val="0"/>
              <w:jc w:val="center"/>
              <w:textAlignment w:val="center"/>
              <w:rPr>
                <w:rFonts w:hint="default" w:ascii="Times New Roman" w:hAnsi="Times New Roman" w:eastAsia="宋体" w:cs="Times New Roman"/>
                <w:sz w:val="21"/>
                <w:szCs w:val="21"/>
                <w:lang w:val="en-US"/>
              </w:rPr>
            </w:pPr>
            <w:r>
              <w:rPr>
                <w:rFonts w:hint="default" w:ascii="Times New Roman" w:hAnsi="Times New Roman" w:eastAsia="宋体" w:cs="Times New Roman"/>
                <w:i w:val="0"/>
                <w:iCs w:val="0"/>
                <w:color w:val="000000"/>
                <w:kern w:val="0"/>
                <w:sz w:val="22"/>
                <w:szCs w:val="22"/>
                <w:u w:val="none"/>
                <w:lang w:val="en-US" w:eastAsia="zh-CN" w:bidi="ar"/>
              </w:rPr>
              <w:t>15.5~26</w:t>
            </w:r>
            <w:r>
              <w:rPr>
                <w:rFonts w:hint="eastAsia" w:cs="Times New Roman"/>
                <w:i w:val="0"/>
                <w:iCs w:val="0"/>
                <w:color w:val="000000"/>
                <w:kern w:val="0"/>
                <w:sz w:val="22"/>
                <w:szCs w:val="22"/>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90" w:type="dxa"/>
            <w:vMerge w:val="continue"/>
          </w:tcPr>
          <w:p>
            <w:pPr>
              <w:rPr>
                <w:rFonts w:hint="default" w:ascii="Times New Roman" w:hAnsi="Times New Roman" w:cs="Times New Roman" w:eastAsiaTheme="minorEastAsia"/>
              </w:rPr>
            </w:pPr>
          </w:p>
        </w:tc>
        <w:tc>
          <w:tcPr>
            <w:tcW w:w="3190" w:type="dxa"/>
            <w:vAlign w:val="center"/>
          </w:tcPr>
          <w:p>
            <w:pPr>
              <w:keepNext w:val="0"/>
              <w:keepLines w:val="0"/>
              <w:widowControl/>
              <w:suppressLineNumbers w:val="0"/>
              <w:jc w:val="center"/>
              <w:textAlignment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Cu</w:t>
            </w:r>
            <w:r>
              <w:rPr>
                <w:rFonts w:hint="eastAsia" w:cs="Times New Roman"/>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Fe</w:t>
            </w:r>
            <w:r>
              <w:rPr>
                <w:rFonts w:hint="eastAsia" w:cs="Times New Roman"/>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Mn</w:t>
            </w:r>
          </w:p>
        </w:tc>
        <w:tc>
          <w:tcPr>
            <w:tcW w:w="3191" w:type="dxa"/>
            <w:vAlign w:val="top"/>
          </w:tcPr>
          <w:p>
            <w:pPr>
              <w:jc w:val="center"/>
              <w:rPr>
                <w:rFonts w:hint="default" w:ascii="Times New Roman" w:hAnsi="Times New Roman" w:eastAsia="宋体" w:cs="Times New Roman"/>
                <w:sz w:val="21"/>
                <w:szCs w:val="21"/>
              </w:rPr>
            </w:pPr>
            <w:r>
              <w:rPr>
                <w:rFonts w:hint="eastAsia" w:cs="Times New Roman"/>
                <w:i w:val="0"/>
                <w:color w:val="000000"/>
                <w:kern w:val="0"/>
                <w:sz w:val="21"/>
                <w:szCs w:val="21"/>
                <w:u w:val="none"/>
                <w:lang w:val="en-US" w:eastAsia="zh-CN" w:bidi="ar"/>
              </w:rPr>
              <w:t>23.0</w:t>
            </w:r>
            <w:bookmarkStart w:id="10" w:name="_GoBack"/>
            <w:bookmarkEnd w:id="10"/>
            <w:r>
              <w:rPr>
                <w:rFonts w:hint="eastAsia" w:cs="Times New Roman"/>
                <w:i w:val="0"/>
                <w:color w:val="000000"/>
                <w:kern w:val="0"/>
                <w:sz w:val="21"/>
                <w:szCs w:val="21"/>
                <w:u w:val="none"/>
                <w:lang w:val="en-US" w:eastAsia="zh-CN" w:bidi="ar"/>
              </w:rPr>
              <w:t>~44.8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90" w:type="dxa"/>
            <w:vMerge w:val="continue"/>
          </w:tcPr>
          <w:p>
            <w:pPr>
              <w:rPr>
                <w:rFonts w:hint="default" w:ascii="Times New Roman" w:hAnsi="Times New Roman" w:cs="Times New Roman" w:eastAsiaTheme="minorEastAsia"/>
              </w:rPr>
            </w:pPr>
          </w:p>
        </w:tc>
        <w:tc>
          <w:tcPr>
            <w:tcW w:w="3190" w:type="dxa"/>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iCs w:val="0"/>
                <w:color w:val="000000"/>
                <w:kern w:val="0"/>
                <w:sz w:val="22"/>
                <w:szCs w:val="22"/>
                <w:u w:val="none"/>
                <w:lang w:val="en-US" w:eastAsia="zh-CN" w:bidi="ar"/>
              </w:rPr>
              <w:t>Na</w:t>
            </w:r>
          </w:p>
        </w:tc>
        <w:tc>
          <w:tcPr>
            <w:tcW w:w="3191" w:type="dxa"/>
            <w:vAlign w:val="top"/>
          </w:tcPr>
          <w:p>
            <w:pPr>
              <w:jc w:val="center"/>
              <w:rPr>
                <w:rFonts w:hint="default" w:ascii="Times New Roman" w:hAnsi="Times New Roman" w:eastAsia="宋体" w:cs="Times New Roman"/>
                <w:sz w:val="21"/>
                <w:szCs w:val="21"/>
              </w:rPr>
            </w:pPr>
            <w:r>
              <w:rPr>
                <w:rFonts w:hint="eastAsia" w:cs="Times New Roman"/>
                <w:i w:val="0"/>
                <w:color w:val="000000"/>
                <w:kern w:val="0"/>
                <w:sz w:val="21"/>
                <w:szCs w:val="21"/>
                <w:u w:val="none"/>
                <w:lang w:val="en-US" w:eastAsia="zh-CN" w:bidi="ar"/>
              </w:rPr>
              <w:t>17~23</w:t>
            </w:r>
          </w:p>
        </w:tc>
      </w:tr>
    </w:tbl>
    <w:p>
      <w:pPr>
        <w:pStyle w:val="32"/>
      </w:pPr>
    </w:p>
    <w:p>
      <w:pPr>
        <w:pStyle w:val="42"/>
        <w:keepNext w:val="0"/>
        <w:keepLines w:val="0"/>
        <w:pageBreakBefore w:val="0"/>
        <w:widowControl/>
        <w:kinsoku/>
        <w:wordWrap/>
        <w:overflowPunct/>
        <w:topLinePunct w:val="0"/>
        <w:autoSpaceDE/>
        <w:autoSpaceDN/>
        <w:bidi w:val="0"/>
        <w:adjustRightInd/>
        <w:snapToGrid/>
        <w:spacing w:before="157" w:beforeLines="50" w:after="157" w:afterLines="50"/>
        <w:textAlignment w:val="auto"/>
        <w:outlineLvl w:val="9"/>
        <w:rPr>
          <w:rFonts w:hint="eastAsia" w:hAnsi="黑体" w:cs="黑体"/>
          <w:szCs w:val="21"/>
        </w:rPr>
      </w:pPr>
      <w:r>
        <w:rPr>
          <w:rFonts w:hint="eastAsia" w:hAnsi="黑体" w:cs="黑体"/>
          <w:szCs w:val="21"/>
        </w:rPr>
        <w:t xml:space="preserve">4.1.2  </w:t>
      </w:r>
      <w:r>
        <w:rPr>
          <w:rFonts w:hint="eastAsia" w:hAnsi="黑体" w:cs="黑体"/>
          <w:szCs w:val="21"/>
          <w:lang w:val="en-US" w:eastAsia="zh-CN"/>
        </w:rPr>
        <w:t>其他元素</w:t>
      </w:r>
      <w:r>
        <w:rPr>
          <w:rFonts w:hint="eastAsia" w:hAnsi="黑体" w:cs="黑体"/>
          <w:szCs w:val="21"/>
        </w:rPr>
        <w:t>含量</w:t>
      </w:r>
    </w:p>
    <w:p>
      <w:pPr>
        <w:pStyle w:val="42"/>
        <w:spacing w:beforeLines="0" w:afterLines="0"/>
        <w:ind w:firstLine="420" w:firstLineChars="200"/>
        <w:outlineLvl w:val="9"/>
        <w:rPr>
          <w:rFonts w:ascii="Times New Roman" w:eastAsiaTheme="minorEastAsia"/>
          <w:kern w:val="2"/>
        </w:rPr>
      </w:pPr>
      <w:r>
        <w:rPr>
          <w:rFonts w:hint="eastAsia" w:ascii="Times New Roman" w:eastAsiaTheme="minorEastAsia"/>
          <w:kern w:val="2"/>
        </w:rPr>
        <w:t>产品的</w:t>
      </w:r>
      <w:r>
        <w:rPr>
          <w:rFonts w:hint="eastAsia" w:ascii="Times New Roman" w:eastAsiaTheme="minorEastAsia"/>
          <w:kern w:val="2"/>
          <w:lang w:val="en-US" w:eastAsia="zh-CN"/>
        </w:rPr>
        <w:t>其他元素</w:t>
      </w:r>
      <w:r>
        <w:rPr>
          <w:rFonts w:hint="eastAsia" w:ascii="Times New Roman" w:eastAsiaTheme="minorEastAsia"/>
          <w:kern w:val="2"/>
        </w:rPr>
        <w:t>含量应符合表</w:t>
      </w:r>
      <w:r>
        <w:rPr>
          <w:rFonts w:hint="eastAsia" w:ascii="Times New Roman" w:eastAsiaTheme="minorEastAsia"/>
          <w:kern w:val="2"/>
          <w:lang w:val="en-US" w:eastAsia="zh-CN"/>
        </w:rPr>
        <w:t>2</w:t>
      </w:r>
      <w:r>
        <w:rPr>
          <w:rFonts w:hint="eastAsia" w:ascii="Times New Roman" w:eastAsiaTheme="minorEastAsia"/>
          <w:kern w:val="2"/>
        </w:rPr>
        <w:t>的规定。</w:t>
      </w:r>
    </w:p>
    <w:p>
      <w:pPr>
        <w:pStyle w:val="32"/>
        <w:spacing w:before="156" w:beforeLines="50" w:after="156" w:afterLines="50"/>
        <w:ind w:firstLine="0" w:firstLineChars="0"/>
        <w:jc w:val="center"/>
        <w:outlineLvl w:val="1"/>
        <w:rPr>
          <w:rFonts w:hint="default" w:ascii="黑体" w:hAnsi="黑体" w:eastAsia="黑体" w:cs="黑体"/>
          <w:szCs w:val="21"/>
          <w:lang w:val="en-US" w:eastAsia="zh-CN"/>
        </w:rPr>
      </w:pPr>
      <w:r>
        <w:rPr>
          <w:rFonts w:hint="eastAsia" w:ascii="黑体" w:hAnsi="黑体" w:eastAsia="黑体" w:cs="黑体"/>
          <w:szCs w:val="21"/>
        </w:rPr>
        <w:t>表</w:t>
      </w:r>
      <w:r>
        <w:rPr>
          <w:rFonts w:hint="eastAsia" w:ascii="黑体" w:hAnsi="黑体" w:eastAsia="黑体" w:cs="黑体"/>
          <w:szCs w:val="21"/>
          <w:lang w:val="en-US" w:eastAsia="zh-CN"/>
        </w:rPr>
        <w:t>2 产品其他元素含量</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90"/>
        <w:gridCol w:w="3190"/>
        <w:gridCol w:w="31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80" w:type="dxa"/>
            <w:gridSpan w:val="2"/>
          </w:tcPr>
          <w:p>
            <w:pPr>
              <w:jc w:val="center"/>
              <w:rPr>
                <w:rFonts w:hint="default" w:ascii="Times New Roman" w:hAnsi="Times New Roman" w:cs="Times New Roman" w:eastAsiaTheme="minorEastAsia"/>
              </w:rPr>
            </w:pPr>
            <w:r>
              <w:rPr>
                <w:rFonts w:hint="default" w:ascii="Times New Roman" w:hAnsi="Times New Roman" w:cs="Times New Roman" w:eastAsiaTheme="minorEastAsia"/>
              </w:rPr>
              <w:t>化学成分</w:t>
            </w:r>
          </w:p>
        </w:tc>
        <w:tc>
          <w:tcPr>
            <w:tcW w:w="3191" w:type="dxa"/>
          </w:tcPr>
          <w:p>
            <w:pPr>
              <w:jc w:val="center"/>
              <w:rPr>
                <w:rFonts w:hint="default" w:ascii="Times New Roman" w:hAnsi="Times New Roman" w:cs="Times New Roman" w:eastAsiaTheme="minorEastAsia"/>
              </w:rPr>
            </w:pPr>
            <w:r>
              <w:rPr>
                <w:rFonts w:hint="default" w:ascii="Times New Roman" w:hAnsi="Times New Roman" w:cs="Times New Roman" w:eastAsiaTheme="minorEastAsia"/>
              </w:rPr>
              <w:t>含量，质量分数/%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90" w:type="dxa"/>
            <w:vMerge w:val="restart"/>
            <w:vAlign w:val="center"/>
          </w:tcPr>
          <w:p>
            <w:pPr>
              <w:jc w:val="center"/>
              <w:rPr>
                <w:rFonts w:hint="default" w:ascii="Times New Roman" w:hAnsi="Times New Roman" w:cs="Times New Roman" w:eastAsiaTheme="minorEastAsia"/>
                <w:lang w:val="en-US" w:eastAsia="zh-CN"/>
              </w:rPr>
            </w:pPr>
            <w:r>
              <w:rPr>
                <w:rFonts w:hint="eastAsia" w:cs="Times New Roman" w:eastAsiaTheme="minorEastAsia"/>
                <w:lang w:val="en-US" w:eastAsia="zh-CN"/>
              </w:rPr>
              <w:t>其他元素含量</w:t>
            </w:r>
          </w:p>
        </w:tc>
        <w:tc>
          <w:tcPr>
            <w:tcW w:w="3190" w:type="dxa"/>
            <w:vAlign w:val="center"/>
          </w:tcPr>
          <w:p>
            <w:pPr>
              <w:widowControl/>
              <w:jc w:val="center"/>
              <w:textAlignment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镉（Cd）</w:t>
            </w:r>
          </w:p>
        </w:tc>
        <w:tc>
          <w:tcPr>
            <w:tcW w:w="3191" w:type="dxa"/>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iCs w:val="0"/>
                <w:color w:val="000000"/>
                <w:kern w:val="0"/>
                <w:sz w:val="22"/>
                <w:szCs w:val="22"/>
                <w:u w:val="none"/>
                <w:lang w:val="en-US" w:eastAsia="zh-CN" w:bidi="ar"/>
              </w:rPr>
              <w:t>≤0.02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90" w:type="dxa"/>
            <w:vMerge w:val="continue"/>
          </w:tcPr>
          <w:p>
            <w:pPr>
              <w:rPr>
                <w:rFonts w:hint="default" w:ascii="Times New Roman" w:hAnsi="Times New Roman" w:cs="Times New Roman" w:eastAsiaTheme="minorEastAsia"/>
              </w:rPr>
            </w:pPr>
          </w:p>
        </w:tc>
        <w:tc>
          <w:tcPr>
            <w:tcW w:w="3190" w:type="dxa"/>
            <w:vAlign w:val="center"/>
          </w:tcPr>
          <w:p>
            <w:pPr>
              <w:widowControl/>
              <w:jc w:val="center"/>
              <w:textAlignment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铬（Cr）</w:t>
            </w:r>
          </w:p>
        </w:tc>
        <w:tc>
          <w:tcPr>
            <w:tcW w:w="3191" w:type="dxa"/>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iCs w:val="0"/>
                <w:color w:val="000000"/>
                <w:kern w:val="0"/>
                <w:sz w:val="22"/>
                <w:szCs w:val="22"/>
                <w:u w:val="none"/>
                <w:lang w:val="en-US" w:eastAsia="zh-CN" w:bidi="ar"/>
              </w:rPr>
              <w:t>≤0.02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90" w:type="dxa"/>
            <w:vMerge w:val="continue"/>
          </w:tcPr>
          <w:p>
            <w:pPr>
              <w:rPr>
                <w:rFonts w:hint="default" w:ascii="Times New Roman" w:hAnsi="Times New Roman" w:cs="Times New Roman" w:eastAsiaTheme="minorEastAsia"/>
              </w:rPr>
            </w:pPr>
          </w:p>
        </w:tc>
        <w:tc>
          <w:tcPr>
            <w:tcW w:w="3190" w:type="dxa"/>
            <w:vAlign w:val="center"/>
          </w:tcPr>
          <w:p>
            <w:pPr>
              <w:widowControl/>
              <w:jc w:val="center"/>
              <w:textAlignment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铅（Pb）</w:t>
            </w:r>
          </w:p>
        </w:tc>
        <w:tc>
          <w:tcPr>
            <w:tcW w:w="3191" w:type="dxa"/>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iCs w:val="0"/>
                <w:color w:val="000000"/>
                <w:kern w:val="0"/>
                <w:sz w:val="22"/>
                <w:szCs w:val="22"/>
                <w:u w:val="none"/>
                <w:lang w:val="en-US" w:eastAsia="zh-CN" w:bidi="ar"/>
              </w:rPr>
              <w:t>≤0.02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90" w:type="dxa"/>
            <w:vMerge w:val="continue"/>
          </w:tcPr>
          <w:p>
            <w:pPr>
              <w:rPr>
                <w:rFonts w:hint="default" w:ascii="Times New Roman" w:hAnsi="Times New Roman" w:cs="Times New Roman" w:eastAsiaTheme="minorEastAsia"/>
              </w:rPr>
            </w:pPr>
          </w:p>
        </w:tc>
        <w:tc>
          <w:tcPr>
            <w:tcW w:w="3190" w:type="dxa"/>
            <w:vAlign w:val="center"/>
          </w:tcPr>
          <w:p>
            <w:pPr>
              <w:widowControl/>
              <w:jc w:val="center"/>
              <w:textAlignment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硅（Si）</w:t>
            </w:r>
          </w:p>
        </w:tc>
        <w:tc>
          <w:tcPr>
            <w:tcW w:w="3191" w:type="dxa"/>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iCs w:val="0"/>
                <w:color w:val="000000"/>
                <w:kern w:val="0"/>
                <w:sz w:val="22"/>
                <w:szCs w:val="22"/>
                <w:u w:val="none"/>
                <w:lang w:val="en-US" w:eastAsia="zh-CN" w:bidi="ar"/>
              </w:rPr>
              <w:t>≤0.02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90" w:type="dxa"/>
            <w:vMerge w:val="continue"/>
          </w:tcPr>
          <w:p>
            <w:pPr>
              <w:rPr>
                <w:rFonts w:hint="default" w:ascii="Times New Roman" w:hAnsi="Times New Roman" w:cs="Times New Roman" w:eastAsiaTheme="minorEastAsia"/>
              </w:rPr>
            </w:pPr>
          </w:p>
        </w:tc>
        <w:tc>
          <w:tcPr>
            <w:tcW w:w="3190" w:type="dxa"/>
            <w:vAlign w:val="center"/>
          </w:tcPr>
          <w:p>
            <w:pPr>
              <w:widowControl/>
              <w:jc w:val="center"/>
              <w:textAlignment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硫（S）</w:t>
            </w:r>
          </w:p>
        </w:tc>
        <w:tc>
          <w:tcPr>
            <w:tcW w:w="3191" w:type="dxa"/>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iCs w:val="0"/>
                <w:color w:val="000000"/>
                <w:kern w:val="0"/>
                <w:sz w:val="22"/>
                <w:szCs w:val="22"/>
                <w:u w:val="none"/>
                <w:lang w:val="en-US" w:eastAsia="zh-CN" w:bidi="ar"/>
              </w:rPr>
              <w:t>≤0.02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90" w:type="dxa"/>
            <w:vMerge w:val="continue"/>
          </w:tcPr>
          <w:p>
            <w:pPr>
              <w:rPr>
                <w:rFonts w:hint="default" w:ascii="Times New Roman" w:hAnsi="Times New Roman" w:cs="Times New Roman" w:eastAsiaTheme="minorEastAsia"/>
              </w:rPr>
            </w:pPr>
          </w:p>
        </w:tc>
        <w:tc>
          <w:tcPr>
            <w:tcW w:w="3190" w:type="dxa"/>
            <w:vAlign w:val="center"/>
          </w:tcPr>
          <w:p>
            <w:pPr>
              <w:widowControl/>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氯（Cl</w:t>
            </w:r>
            <w:r>
              <w:rPr>
                <w:rFonts w:hint="default" w:ascii="Times New Roman" w:hAnsi="Times New Roman" w:eastAsia="宋体" w:cs="Times New Roman"/>
                <w:sz w:val="21"/>
                <w:szCs w:val="21"/>
                <w:vertAlign w:val="superscript"/>
              </w:rPr>
              <w:t>-</w:t>
            </w:r>
            <w:r>
              <w:rPr>
                <w:rFonts w:hint="default" w:ascii="Times New Roman" w:hAnsi="Times New Roman" w:eastAsia="宋体" w:cs="Times New Roman"/>
                <w:sz w:val="21"/>
                <w:szCs w:val="21"/>
              </w:rPr>
              <w:t>）</w:t>
            </w:r>
          </w:p>
        </w:tc>
        <w:tc>
          <w:tcPr>
            <w:tcW w:w="3191" w:type="dxa"/>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iCs w:val="0"/>
                <w:color w:val="000000"/>
                <w:kern w:val="0"/>
                <w:sz w:val="22"/>
                <w:szCs w:val="22"/>
                <w:u w:val="none"/>
                <w:lang w:val="en-US" w:eastAsia="zh-CN" w:bidi="ar"/>
              </w:rPr>
              <w:t>≤0.25</w:t>
            </w:r>
          </w:p>
        </w:tc>
      </w:tr>
    </w:tbl>
    <w:p>
      <w:pPr>
        <w:pStyle w:val="42"/>
        <w:numPr>
          <w:ilvl w:val="0"/>
          <w:numId w:val="0"/>
        </w:numPr>
        <w:spacing w:before="312" w:beforeLines="100" w:after="312" w:afterLines="100"/>
        <w:ind w:leftChars="0"/>
        <w:rPr>
          <w:rFonts w:hint="eastAsia" w:hAnsi="黑体" w:cs="黑体"/>
          <w:lang w:val="en-US" w:eastAsia="zh-CN"/>
        </w:rPr>
      </w:pPr>
      <w:r>
        <w:rPr>
          <w:rFonts w:hint="eastAsia" w:hAnsi="黑体" w:cs="黑体"/>
          <w:lang w:val="en-US" w:eastAsia="zh-CN"/>
        </w:rPr>
        <w:t>4.2  水分含量</w:t>
      </w:r>
    </w:p>
    <w:p>
      <w:pPr>
        <w:pStyle w:val="32"/>
        <w:spacing w:before="156" w:beforeLines="50" w:after="156" w:afterLines="50"/>
        <w:ind w:firstLine="420" w:firstLineChars="200"/>
        <w:outlineLvl w:val="1"/>
        <w:rPr>
          <w:rFonts w:hint="eastAsia" w:ascii="Times New Roman"/>
          <w:kern w:val="2"/>
          <w:szCs w:val="24"/>
          <w:highlight w:val="none"/>
        </w:rPr>
      </w:pPr>
      <w:r>
        <w:rPr>
          <w:rFonts w:hint="eastAsia" w:ascii="Times New Roman"/>
          <w:kern w:val="2"/>
          <w:szCs w:val="24"/>
          <w:highlight w:val="none"/>
        </w:rPr>
        <w:t>产品的水分含量应不大于</w:t>
      </w:r>
      <w:r>
        <w:rPr>
          <w:rFonts w:hint="eastAsia" w:ascii="Times New Roman"/>
          <w:kern w:val="2"/>
          <w:szCs w:val="24"/>
          <w:highlight w:val="none"/>
          <w:lang w:val="en-US" w:eastAsia="zh-CN"/>
        </w:rPr>
        <w:t>0.5</w:t>
      </w:r>
      <w:r>
        <w:rPr>
          <w:rFonts w:hint="eastAsia" w:ascii="Times New Roman"/>
          <w:kern w:val="2"/>
          <w:szCs w:val="24"/>
          <w:highlight w:val="none"/>
        </w:rPr>
        <w:t>%。</w:t>
      </w:r>
    </w:p>
    <w:p>
      <w:pPr>
        <w:pStyle w:val="42"/>
        <w:numPr>
          <w:ilvl w:val="0"/>
          <w:numId w:val="0"/>
        </w:numPr>
        <w:spacing w:before="312" w:beforeLines="100" w:after="312" w:afterLines="100"/>
        <w:ind w:leftChars="0"/>
        <w:rPr>
          <w:rFonts w:hint="eastAsia" w:hAnsi="黑体" w:cs="黑体"/>
          <w:highlight w:val="none"/>
          <w:lang w:val="en-US" w:eastAsia="zh-CN"/>
        </w:rPr>
      </w:pPr>
      <w:r>
        <w:rPr>
          <w:rFonts w:hint="eastAsia" w:hAnsi="黑体" w:cs="黑体"/>
          <w:highlight w:val="none"/>
          <w:lang w:val="en-US" w:eastAsia="zh-CN"/>
        </w:rPr>
        <w:t>4.3  外观质量</w:t>
      </w:r>
    </w:p>
    <w:p>
      <w:pPr>
        <w:pStyle w:val="32"/>
        <w:tabs>
          <w:tab w:val="center" w:pos="4201"/>
          <w:tab w:val="right" w:leader="dot" w:pos="9298"/>
        </w:tabs>
        <w:ind w:firstLine="420"/>
        <w:rPr>
          <w:rFonts w:ascii="Times New Roman" w:eastAsia="黑体"/>
          <w:szCs w:val="21"/>
          <w:highlight w:val="none"/>
        </w:rPr>
      </w:pPr>
      <w:r>
        <w:rPr>
          <w:rFonts w:hint="eastAsia" w:ascii="Times New Roman"/>
          <w:kern w:val="2"/>
          <w:szCs w:val="24"/>
          <w:highlight w:val="none"/>
        </w:rPr>
        <w:t>产品应为</w:t>
      </w:r>
      <w:r>
        <w:rPr>
          <w:rFonts w:hint="eastAsia" w:ascii="Times New Roman"/>
          <w:kern w:val="2"/>
          <w:szCs w:val="24"/>
          <w:highlight w:val="none"/>
          <w:lang w:val="en-US" w:eastAsia="zh-CN"/>
        </w:rPr>
        <w:t>灰黑色粉末</w:t>
      </w:r>
      <w:r>
        <w:rPr>
          <w:rFonts w:ascii="Times New Roman"/>
          <w:kern w:val="2"/>
          <w:szCs w:val="24"/>
          <w:highlight w:val="none"/>
        </w:rPr>
        <w:t>，颜色均匀，无团聚结块，无杂物。</w:t>
      </w:r>
    </w:p>
    <w:p>
      <w:pPr>
        <w:pStyle w:val="42"/>
        <w:numPr>
          <w:ilvl w:val="0"/>
          <w:numId w:val="0"/>
        </w:numPr>
        <w:spacing w:before="312" w:beforeLines="100" w:after="312" w:afterLines="100"/>
        <w:ind w:leftChars="0"/>
        <w:rPr>
          <w:rFonts w:hint="eastAsia" w:hAnsi="黑体" w:cs="黑体"/>
          <w:highlight w:val="none"/>
          <w:lang w:val="en-US" w:eastAsia="zh-CN"/>
        </w:rPr>
      </w:pPr>
      <w:r>
        <w:rPr>
          <w:rFonts w:hint="eastAsia" w:hAnsi="黑体" w:cs="黑体"/>
          <w:highlight w:val="none"/>
          <w:lang w:val="en-US" w:eastAsia="zh-CN"/>
        </w:rPr>
        <w:t>4.4  晶体结构</w:t>
      </w:r>
    </w:p>
    <w:p>
      <w:pPr>
        <w:pStyle w:val="32"/>
        <w:spacing w:before="156" w:beforeLines="50" w:after="156" w:afterLines="50"/>
        <w:ind w:firstLine="420" w:firstLineChars="200"/>
        <w:outlineLvl w:val="1"/>
        <w:rPr>
          <w:rFonts w:hint="eastAsia" w:hAnsi="黑体" w:cs="黑体"/>
          <w:highlight w:val="none"/>
          <w:lang w:val="en-US" w:eastAsia="zh-CN"/>
        </w:rPr>
      </w:pPr>
      <w:r>
        <w:rPr>
          <w:rFonts w:hint="eastAsia" w:ascii="Times New Roman"/>
          <w:color w:val="auto"/>
          <w:kern w:val="2"/>
          <w:szCs w:val="28"/>
          <w:highlight w:val="none"/>
        </w:rPr>
        <w:t>产品的晶体结构应符合JCPDS标准（</w:t>
      </w:r>
      <w:r>
        <w:rPr>
          <w:rFonts w:hint="eastAsia" w:ascii="Times New Roman"/>
          <w:color w:val="auto"/>
          <w:kern w:val="2"/>
          <w:szCs w:val="28"/>
          <w:highlight w:val="yellow"/>
        </w:rPr>
        <w:t>5</w:t>
      </w:r>
      <w:r>
        <w:rPr>
          <w:rFonts w:ascii="Times New Roman"/>
          <w:color w:val="auto"/>
          <w:kern w:val="2"/>
          <w:szCs w:val="28"/>
          <w:highlight w:val="yellow"/>
        </w:rPr>
        <w:t>4-0887</w:t>
      </w:r>
      <w:r>
        <w:rPr>
          <w:rFonts w:hint="eastAsia" w:ascii="Times New Roman"/>
          <w:color w:val="auto"/>
          <w:kern w:val="2"/>
          <w:szCs w:val="28"/>
          <w:highlight w:val="none"/>
        </w:rPr>
        <w:t>）</w:t>
      </w:r>
    </w:p>
    <w:p>
      <w:pPr>
        <w:pStyle w:val="42"/>
        <w:keepNext w:val="0"/>
        <w:keepLines w:val="0"/>
        <w:pageBreakBefore w:val="0"/>
        <w:widowControl/>
        <w:kinsoku/>
        <w:wordWrap/>
        <w:overflowPunct/>
        <w:topLinePunct w:val="0"/>
        <w:autoSpaceDE/>
        <w:autoSpaceDN/>
        <w:bidi w:val="0"/>
        <w:adjustRightInd/>
        <w:snapToGrid/>
        <w:spacing w:before="157" w:beforeLines="50" w:after="157" w:afterLines="50"/>
        <w:textAlignment w:val="auto"/>
        <w:outlineLvl w:val="9"/>
        <w:rPr>
          <w:rFonts w:hint="eastAsia" w:hAnsi="黑体" w:cs="黑体"/>
          <w:szCs w:val="21"/>
          <w:highlight w:val="none"/>
          <w:lang w:val="en-US" w:eastAsia="zh-CN"/>
        </w:rPr>
      </w:pPr>
      <w:r>
        <w:rPr>
          <w:rFonts w:hint="eastAsia" w:hAnsi="黑体" w:cs="黑体"/>
          <w:szCs w:val="21"/>
          <w:highlight w:val="none"/>
        </w:rPr>
        <w:t>4.</w:t>
      </w:r>
      <w:r>
        <w:rPr>
          <w:rFonts w:hint="eastAsia" w:hAnsi="黑体" w:cs="黑体"/>
          <w:szCs w:val="21"/>
          <w:highlight w:val="none"/>
          <w:lang w:val="en-US" w:eastAsia="zh-CN"/>
        </w:rPr>
        <w:t>5</w:t>
      </w:r>
      <w:r>
        <w:rPr>
          <w:rFonts w:hint="eastAsia" w:hAnsi="黑体" w:cs="黑体"/>
          <w:szCs w:val="21"/>
          <w:highlight w:val="none"/>
        </w:rPr>
        <w:t xml:space="preserve"> </w:t>
      </w:r>
      <w:r>
        <w:rPr>
          <w:rFonts w:hint="eastAsia" w:hAnsi="黑体" w:cs="黑体"/>
          <w:szCs w:val="21"/>
          <w:highlight w:val="none"/>
          <w:lang w:val="en-US" w:eastAsia="zh-CN"/>
        </w:rPr>
        <w:t xml:space="preserve"> 磁性异物</w:t>
      </w:r>
    </w:p>
    <w:p>
      <w:pPr>
        <w:pStyle w:val="32"/>
        <w:spacing w:before="156" w:beforeLines="50" w:after="156" w:afterLines="50"/>
        <w:ind w:firstLine="420" w:firstLineChars="200"/>
        <w:outlineLvl w:val="1"/>
        <w:rPr>
          <w:rFonts w:hint="eastAsia" w:ascii="Times New Roman" w:eastAsia="黑体"/>
          <w:color w:val="auto"/>
          <w:szCs w:val="21"/>
          <w:highlight w:val="none"/>
          <w:lang w:val="en-US" w:eastAsia="zh-CN"/>
        </w:rPr>
      </w:pPr>
      <w:r>
        <w:rPr>
          <w:rFonts w:hint="eastAsia" w:ascii="Times New Roman" w:cs="Times New Roman"/>
          <w:sz w:val="21"/>
          <w:szCs w:val="21"/>
          <w:highlight w:val="none"/>
          <w:lang w:val="en-US" w:eastAsia="zh-CN"/>
        </w:rPr>
        <w:t>产品</w:t>
      </w:r>
      <w:r>
        <w:rPr>
          <w:rFonts w:hint="eastAsia" w:ascii="Times New Roman" w:hAnsi="Times New Roman" w:eastAsia="宋体" w:cs="Times New Roman"/>
          <w:sz w:val="21"/>
          <w:szCs w:val="21"/>
          <w:highlight w:val="none"/>
        </w:rPr>
        <w:t>中磁性异物含量应不大于</w:t>
      </w:r>
      <w:r>
        <w:rPr>
          <w:rFonts w:hint="eastAsia" w:ascii="Times New Roman" w:cs="Times New Roman"/>
          <w:sz w:val="21"/>
          <w:szCs w:val="21"/>
          <w:highlight w:val="none"/>
          <w:lang w:val="en-US" w:eastAsia="zh-CN"/>
        </w:rPr>
        <w:t>300ppb</w:t>
      </w:r>
      <w:r>
        <w:rPr>
          <w:rFonts w:hint="eastAsia" w:ascii="Times New Roman" w:hAnsi="Times New Roman" w:eastAsia="宋体" w:cs="Times New Roman"/>
          <w:sz w:val="21"/>
          <w:szCs w:val="21"/>
          <w:highlight w:val="none"/>
          <w:lang w:eastAsia="zh-CN"/>
        </w:rPr>
        <w:t>。</w:t>
      </w:r>
    </w:p>
    <w:p>
      <w:pPr>
        <w:pStyle w:val="42"/>
        <w:keepNext w:val="0"/>
        <w:keepLines w:val="0"/>
        <w:pageBreakBefore w:val="0"/>
        <w:widowControl/>
        <w:kinsoku/>
        <w:wordWrap/>
        <w:overflowPunct/>
        <w:topLinePunct w:val="0"/>
        <w:autoSpaceDE/>
        <w:autoSpaceDN/>
        <w:bidi w:val="0"/>
        <w:adjustRightInd/>
        <w:snapToGrid/>
        <w:spacing w:before="157" w:beforeLines="50" w:after="157" w:afterLines="50"/>
        <w:textAlignment w:val="auto"/>
        <w:outlineLvl w:val="9"/>
        <w:rPr>
          <w:rFonts w:hint="eastAsia" w:hAnsi="黑体" w:cs="黑体"/>
          <w:szCs w:val="21"/>
          <w:highlight w:val="none"/>
          <w:lang w:val="en-US" w:eastAsia="zh-CN"/>
        </w:rPr>
      </w:pPr>
      <w:r>
        <w:rPr>
          <w:rFonts w:hint="eastAsia" w:hAnsi="黑体" w:cs="黑体"/>
          <w:szCs w:val="21"/>
          <w:highlight w:val="none"/>
        </w:rPr>
        <w:t>4.</w:t>
      </w:r>
      <w:r>
        <w:rPr>
          <w:rFonts w:hint="eastAsia" w:hAnsi="黑体" w:cs="黑体"/>
          <w:szCs w:val="21"/>
          <w:highlight w:val="none"/>
          <w:lang w:val="en-US" w:eastAsia="zh-CN"/>
        </w:rPr>
        <w:t>6</w:t>
      </w:r>
      <w:r>
        <w:rPr>
          <w:rFonts w:hint="eastAsia" w:hAnsi="黑体" w:cs="黑体"/>
          <w:szCs w:val="21"/>
          <w:highlight w:val="none"/>
        </w:rPr>
        <w:t xml:space="preserve"> </w:t>
      </w:r>
      <w:r>
        <w:rPr>
          <w:rFonts w:hint="eastAsia" w:hAnsi="黑体" w:cs="黑体"/>
          <w:szCs w:val="21"/>
          <w:highlight w:val="none"/>
          <w:lang w:val="en-US" w:eastAsia="zh-CN"/>
        </w:rPr>
        <w:t xml:space="preserve"> 残余钠</w:t>
      </w:r>
    </w:p>
    <w:p>
      <w:pPr>
        <w:pStyle w:val="32"/>
        <w:spacing w:before="156" w:beforeLines="50" w:after="156" w:afterLines="50"/>
        <w:ind w:firstLine="420" w:firstLineChars="200"/>
        <w:outlineLvl w:val="1"/>
        <w:rPr>
          <w:rFonts w:hint="eastAsia" w:ascii="Times New Roman" w:eastAsia="黑体"/>
          <w:color w:val="auto"/>
          <w:szCs w:val="21"/>
          <w:highlight w:val="none"/>
          <w:lang w:val="en-US" w:eastAsia="zh-CN"/>
        </w:rPr>
      </w:pPr>
      <w:r>
        <w:rPr>
          <w:rFonts w:hint="eastAsia" w:ascii="Times New Roman" w:cs="Times New Roman"/>
          <w:sz w:val="21"/>
          <w:szCs w:val="21"/>
          <w:highlight w:val="none"/>
          <w:lang w:val="en-US" w:eastAsia="zh-CN"/>
        </w:rPr>
        <w:t>产品</w:t>
      </w:r>
      <w:r>
        <w:rPr>
          <w:rFonts w:hint="eastAsia" w:ascii="Times New Roman" w:hAnsi="Times New Roman" w:eastAsia="宋体" w:cs="Times New Roman"/>
          <w:sz w:val="21"/>
          <w:szCs w:val="21"/>
          <w:highlight w:val="none"/>
        </w:rPr>
        <w:t>中</w:t>
      </w:r>
      <w:r>
        <w:rPr>
          <w:rFonts w:hint="eastAsia" w:ascii="Times New Roman" w:hAnsi="Times New Roman" w:eastAsia="宋体" w:cs="Times New Roman"/>
          <w:sz w:val="21"/>
          <w:szCs w:val="21"/>
          <w:highlight w:val="none"/>
          <w:lang w:val="en-US" w:eastAsia="zh-CN"/>
        </w:rPr>
        <w:t>残余钠</w:t>
      </w:r>
      <w:r>
        <w:rPr>
          <w:rFonts w:hint="eastAsia" w:ascii="Times New Roman" w:hAnsi="Times New Roman" w:eastAsia="宋体" w:cs="Times New Roman"/>
          <w:sz w:val="21"/>
          <w:szCs w:val="21"/>
          <w:highlight w:val="none"/>
        </w:rPr>
        <w:t>含量应</w:t>
      </w:r>
      <w:r>
        <w:rPr>
          <w:rFonts w:hint="eastAsia" w:ascii="Times New Roman" w:hAnsi="Times New Roman" w:eastAsia="宋体" w:cs="Times New Roman"/>
          <w:sz w:val="21"/>
          <w:szCs w:val="21"/>
          <w:highlight w:val="none"/>
          <w:lang w:val="en-US" w:eastAsia="zh-CN"/>
        </w:rPr>
        <w:t>不大于</w:t>
      </w:r>
      <w:r>
        <w:rPr>
          <w:rFonts w:hint="eastAsia" w:ascii="Times New Roman" w:cs="Times New Roman"/>
          <w:sz w:val="21"/>
          <w:szCs w:val="21"/>
          <w:highlight w:val="none"/>
          <w:lang w:val="en-US" w:eastAsia="zh-CN"/>
        </w:rPr>
        <w:t>2</w:t>
      </w:r>
      <w:r>
        <w:rPr>
          <w:rFonts w:hint="eastAsia" w:ascii="Times New Roman" w:hAnsi="Times New Roman" w:eastAsia="宋体" w:cs="Times New Roman"/>
          <w:sz w:val="21"/>
          <w:szCs w:val="21"/>
          <w:highlight w:val="none"/>
          <w:lang w:val="en-US" w:eastAsia="zh-CN"/>
        </w:rPr>
        <w:t>%</w:t>
      </w:r>
      <w:r>
        <w:rPr>
          <w:rFonts w:hint="eastAsia" w:ascii="Times New Roman" w:hAnsi="Times New Roman" w:eastAsia="宋体" w:cs="Times New Roman"/>
          <w:sz w:val="21"/>
          <w:szCs w:val="21"/>
          <w:highlight w:val="none"/>
        </w:rPr>
        <w:t>。</w:t>
      </w:r>
    </w:p>
    <w:p>
      <w:pPr>
        <w:pStyle w:val="42"/>
        <w:keepNext w:val="0"/>
        <w:keepLines w:val="0"/>
        <w:pageBreakBefore w:val="0"/>
        <w:widowControl/>
        <w:kinsoku/>
        <w:wordWrap/>
        <w:overflowPunct/>
        <w:topLinePunct w:val="0"/>
        <w:autoSpaceDE/>
        <w:autoSpaceDN/>
        <w:bidi w:val="0"/>
        <w:adjustRightInd/>
        <w:snapToGrid/>
        <w:spacing w:before="157" w:beforeLines="50" w:after="157" w:afterLines="50"/>
        <w:textAlignment w:val="auto"/>
        <w:outlineLvl w:val="9"/>
        <w:rPr>
          <w:rFonts w:hint="eastAsia" w:hAnsi="黑体" w:cs="黑体"/>
          <w:szCs w:val="21"/>
          <w:highlight w:val="none"/>
          <w:lang w:val="en-US" w:eastAsia="zh-CN"/>
        </w:rPr>
      </w:pPr>
      <w:r>
        <w:rPr>
          <w:rFonts w:hint="eastAsia" w:hAnsi="黑体" w:cs="黑体"/>
          <w:szCs w:val="21"/>
          <w:highlight w:val="none"/>
        </w:rPr>
        <w:t>4.</w:t>
      </w:r>
      <w:r>
        <w:rPr>
          <w:rFonts w:hint="eastAsia" w:hAnsi="黑体" w:cs="黑体"/>
          <w:szCs w:val="21"/>
          <w:highlight w:val="none"/>
          <w:lang w:val="en-US" w:eastAsia="zh-CN"/>
        </w:rPr>
        <w:t>7</w:t>
      </w:r>
      <w:r>
        <w:rPr>
          <w:rFonts w:hint="eastAsia" w:hAnsi="黑体" w:cs="黑体"/>
          <w:szCs w:val="21"/>
          <w:highlight w:val="none"/>
        </w:rPr>
        <w:t xml:space="preserve"> </w:t>
      </w:r>
      <w:r>
        <w:rPr>
          <w:rFonts w:hint="eastAsia" w:hAnsi="黑体" w:cs="黑体"/>
          <w:szCs w:val="21"/>
          <w:highlight w:val="none"/>
          <w:lang w:val="en-US" w:eastAsia="zh-CN"/>
        </w:rPr>
        <w:t xml:space="preserve"> 振实密度</w:t>
      </w:r>
    </w:p>
    <w:p>
      <w:pPr>
        <w:pStyle w:val="32"/>
        <w:tabs>
          <w:tab w:val="center" w:pos="4201"/>
          <w:tab w:val="right" w:leader="dot" w:pos="9298"/>
        </w:tabs>
        <w:ind w:firstLine="420"/>
        <w:rPr>
          <w:rFonts w:ascii="Times New Roman"/>
          <w:color w:val="auto"/>
          <w:kern w:val="2"/>
          <w:szCs w:val="24"/>
          <w:highlight w:val="none"/>
        </w:rPr>
      </w:pPr>
      <w:r>
        <w:rPr>
          <w:rFonts w:hint="eastAsia" w:ascii="Times New Roman"/>
          <w:color w:val="auto"/>
          <w:kern w:val="2"/>
          <w:szCs w:val="24"/>
          <w:highlight w:val="none"/>
          <w:lang w:val="en-US" w:eastAsia="zh-CN"/>
        </w:rPr>
        <w:t>产品的</w:t>
      </w:r>
      <w:r>
        <w:rPr>
          <w:rFonts w:ascii="Times New Roman"/>
          <w:color w:val="auto"/>
          <w:kern w:val="2"/>
          <w:szCs w:val="24"/>
          <w:highlight w:val="none"/>
        </w:rPr>
        <w:t>振实密度应</w:t>
      </w:r>
      <w:r>
        <w:rPr>
          <w:rFonts w:hint="eastAsia"/>
          <w:color w:val="auto"/>
          <w:sz w:val="21"/>
          <w:szCs w:val="21"/>
          <w:highlight w:val="none"/>
          <w:lang w:val="en-US" w:eastAsia="zh-CN"/>
        </w:rPr>
        <w:t>不小于</w:t>
      </w:r>
      <w:r>
        <w:rPr>
          <w:rFonts w:hint="default" w:ascii="Times New Roman" w:hAnsi="Times New Roman" w:cs="Times New Roman"/>
          <w:color w:val="auto"/>
          <w:kern w:val="2"/>
          <w:sz w:val="21"/>
          <w:szCs w:val="21"/>
          <w:highlight w:val="none"/>
          <w:lang w:val="en-US" w:eastAsia="zh-CN"/>
        </w:rPr>
        <w:t>1.5</w:t>
      </w:r>
      <w:r>
        <w:rPr>
          <w:rFonts w:hint="default" w:ascii="Times New Roman" w:hAnsi="Times New Roman" w:cs="Times New Roman"/>
          <w:color w:val="auto"/>
          <w:kern w:val="2"/>
          <w:sz w:val="21"/>
          <w:szCs w:val="21"/>
          <w:highlight w:val="none"/>
        </w:rPr>
        <w:t>g/c</w:t>
      </w:r>
      <w:r>
        <w:rPr>
          <w:rFonts w:ascii="Times New Roman"/>
          <w:color w:val="auto"/>
          <w:kern w:val="2"/>
          <w:sz w:val="21"/>
          <w:szCs w:val="21"/>
          <w:highlight w:val="none"/>
        </w:rPr>
        <w:t>m</w:t>
      </w:r>
      <w:r>
        <w:rPr>
          <w:rFonts w:ascii="Times New Roman"/>
          <w:color w:val="auto"/>
          <w:kern w:val="2"/>
          <w:sz w:val="21"/>
          <w:szCs w:val="21"/>
          <w:highlight w:val="none"/>
          <w:vertAlign w:val="superscript"/>
        </w:rPr>
        <w:t>3</w:t>
      </w:r>
      <w:r>
        <w:rPr>
          <w:rFonts w:ascii="Times New Roman"/>
          <w:color w:val="auto"/>
          <w:kern w:val="2"/>
          <w:szCs w:val="24"/>
          <w:highlight w:val="none"/>
        </w:rPr>
        <w:t>。</w:t>
      </w:r>
    </w:p>
    <w:p>
      <w:pPr>
        <w:pStyle w:val="42"/>
        <w:keepNext w:val="0"/>
        <w:keepLines w:val="0"/>
        <w:pageBreakBefore w:val="0"/>
        <w:widowControl/>
        <w:kinsoku/>
        <w:wordWrap/>
        <w:overflowPunct/>
        <w:topLinePunct w:val="0"/>
        <w:autoSpaceDE/>
        <w:autoSpaceDN/>
        <w:bidi w:val="0"/>
        <w:adjustRightInd/>
        <w:snapToGrid/>
        <w:spacing w:before="157" w:beforeLines="50" w:after="157" w:afterLines="50"/>
        <w:textAlignment w:val="auto"/>
        <w:outlineLvl w:val="9"/>
        <w:rPr>
          <w:rFonts w:hint="eastAsia" w:hAnsi="黑体" w:cs="黑体"/>
          <w:szCs w:val="21"/>
          <w:highlight w:val="none"/>
        </w:rPr>
      </w:pPr>
      <w:r>
        <w:rPr>
          <w:rFonts w:hint="eastAsia" w:hAnsi="黑体" w:cs="黑体"/>
          <w:szCs w:val="21"/>
          <w:highlight w:val="none"/>
        </w:rPr>
        <w:t>4.</w:t>
      </w:r>
      <w:r>
        <w:rPr>
          <w:rFonts w:hint="eastAsia" w:hAnsi="黑体" w:cs="黑体"/>
          <w:szCs w:val="21"/>
          <w:highlight w:val="none"/>
          <w:lang w:val="en-US" w:eastAsia="zh-CN"/>
        </w:rPr>
        <w:t>8</w:t>
      </w:r>
      <w:r>
        <w:rPr>
          <w:rFonts w:hint="eastAsia" w:hAnsi="黑体" w:cs="黑体"/>
          <w:szCs w:val="21"/>
          <w:highlight w:val="none"/>
        </w:rPr>
        <w:t xml:space="preserve"> </w:t>
      </w:r>
      <w:r>
        <w:rPr>
          <w:rFonts w:hint="eastAsia" w:hAnsi="黑体" w:cs="黑体"/>
          <w:szCs w:val="21"/>
          <w:highlight w:val="none"/>
          <w:lang w:val="en-US" w:eastAsia="zh-CN"/>
        </w:rPr>
        <w:t xml:space="preserve"> </w:t>
      </w:r>
      <w:r>
        <w:rPr>
          <w:rFonts w:hint="eastAsia" w:hAnsi="黑体" w:cs="黑体"/>
          <w:szCs w:val="21"/>
          <w:highlight w:val="none"/>
        </w:rPr>
        <w:t>粒度分布</w:t>
      </w:r>
    </w:p>
    <w:p>
      <w:pPr>
        <w:pStyle w:val="32"/>
        <w:tabs>
          <w:tab w:val="center" w:pos="4201"/>
          <w:tab w:val="right" w:leader="dot" w:pos="9298"/>
        </w:tabs>
        <w:ind w:firstLine="420"/>
        <w:rPr>
          <w:rFonts w:ascii="Times New Roman"/>
          <w:color w:val="auto"/>
          <w:kern w:val="2"/>
          <w:szCs w:val="24"/>
          <w:highlight w:val="none"/>
        </w:rPr>
      </w:pPr>
      <w:r>
        <w:rPr>
          <w:rFonts w:hint="eastAsia" w:ascii="Times New Roman"/>
          <w:color w:val="auto"/>
          <w:kern w:val="2"/>
          <w:szCs w:val="24"/>
          <w:highlight w:val="none"/>
        </w:rPr>
        <w:t>产品的粒度分布应符合正态分布，体积分布的D50应为</w:t>
      </w:r>
      <w:r>
        <w:rPr>
          <w:rFonts w:hint="eastAsia" w:ascii="Times New Roman" w:cs="Times New Roman"/>
          <w:color w:val="auto"/>
          <w:kern w:val="2"/>
          <w:szCs w:val="24"/>
          <w:highlight w:val="none"/>
          <w:lang w:val="en-US" w:eastAsia="zh-CN"/>
        </w:rPr>
        <w:t>3</w:t>
      </w:r>
      <w:r>
        <w:rPr>
          <w:rFonts w:hint="default" w:ascii="Times New Roman" w:hAnsi="Times New Roman" w:cs="Times New Roman"/>
          <w:color w:val="auto"/>
          <w:kern w:val="2"/>
          <w:szCs w:val="24"/>
          <w:highlight w:val="none"/>
        </w:rPr>
        <w:t>μm~15μm</w:t>
      </w:r>
      <w:r>
        <w:rPr>
          <w:rFonts w:hint="eastAsia" w:ascii="Times New Roman"/>
          <w:color w:val="auto"/>
          <w:kern w:val="2"/>
          <w:szCs w:val="24"/>
          <w:highlight w:val="none"/>
        </w:rPr>
        <w:t>。</w:t>
      </w:r>
    </w:p>
    <w:p>
      <w:pPr>
        <w:pStyle w:val="42"/>
        <w:keepNext w:val="0"/>
        <w:keepLines w:val="0"/>
        <w:pageBreakBefore w:val="0"/>
        <w:widowControl/>
        <w:kinsoku/>
        <w:wordWrap/>
        <w:overflowPunct/>
        <w:topLinePunct w:val="0"/>
        <w:autoSpaceDE/>
        <w:autoSpaceDN/>
        <w:bidi w:val="0"/>
        <w:adjustRightInd/>
        <w:snapToGrid/>
        <w:spacing w:before="157" w:beforeLines="50" w:after="157" w:afterLines="50"/>
        <w:textAlignment w:val="auto"/>
        <w:outlineLvl w:val="9"/>
        <w:rPr>
          <w:rFonts w:hint="eastAsia" w:hAnsi="黑体" w:cs="黑体"/>
          <w:szCs w:val="21"/>
          <w:highlight w:val="none"/>
        </w:rPr>
      </w:pPr>
      <w:r>
        <w:rPr>
          <w:rFonts w:hint="eastAsia" w:hAnsi="黑体" w:cs="黑体"/>
          <w:szCs w:val="21"/>
          <w:highlight w:val="none"/>
        </w:rPr>
        <w:t>4.</w:t>
      </w:r>
      <w:r>
        <w:rPr>
          <w:rFonts w:hint="eastAsia" w:hAnsi="黑体" w:cs="黑体"/>
          <w:szCs w:val="21"/>
          <w:highlight w:val="none"/>
          <w:lang w:val="en-US" w:eastAsia="zh-CN"/>
        </w:rPr>
        <w:t>9</w:t>
      </w:r>
      <w:r>
        <w:rPr>
          <w:rFonts w:hint="eastAsia" w:hAnsi="黑体" w:cs="黑体"/>
          <w:szCs w:val="21"/>
          <w:highlight w:val="none"/>
        </w:rPr>
        <w:t xml:space="preserve"> </w:t>
      </w:r>
      <w:r>
        <w:rPr>
          <w:rFonts w:hint="eastAsia" w:hAnsi="黑体" w:cs="黑体"/>
          <w:szCs w:val="21"/>
          <w:highlight w:val="none"/>
          <w:lang w:val="en-US" w:eastAsia="zh-CN"/>
        </w:rPr>
        <w:t xml:space="preserve"> </w:t>
      </w:r>
      <w:r>
        <w:rPr>
          <w:rFonts w:hint="eastAsia" w:hAnsi="黑体" w:cs="黑体"/>
          <w:szCs w:val="21"/>
          <w:highlight w:val="none"/>
        </w:rPr>
        <w:t>比表面积</w:t>
      </w:r>
    </w:p>
    <w:p>
      <w:pPr>
        <w:pStyle w:val="32"/>
        <w:tabs>
          <w:tab w:val="center" w:pos="4201"/>
          <w:tab w:val="right" w:leader="dot" w:pos="9298"/>
        </w:tabs>
        <w:ind w:firstLine="420"/>
        <w:rPr>
          <w:rFonts w:ascii="Times New Roman"/>
          <w:color w:val="auto"/>
          <w:kern w:val="2"/>
          <w:szCs w:val="24"/>
          <w:highlight w:val="none"/>
        </w:rPr>
      </w:pPr>
      <w:r>
        <w:rPr>
          <w:rFonts w:hint="eastAsia" w:ascii="Times New Roman"/>
          <w:color w:val="auto"/>
          <w:kern w:val="2"/>
          <w:szCs w:val="24"/>
          <w:highlight w:val="none"/>
          <w:lang w:val="en-US" w:eastAsia="zh-CN"/>
        </w:rPr>
        <w:t>产品的</w:t>
      </w:r>
      <w:r>
        <w:rPr>
          <w:rFonts w:hint="eastAsia" w:ascii="Times New Roman"/>
          <w:color w:val="auto"/>
          <w:kern w:val="2"/>
          <w:szCs w:val="24"/>
          <w:highlight w:val="none"/>
        </w:rPr>
        <w:t>比表面积应不大于</w:t>
      </w:r>
      <w:r>
        <w:rPr>
          <w:rFonts w:ascii="Times New Roman"/>
          <w:color w:val="auto"/>
          <w:kern w:val="2"/>
          <w:szCs w:val="24"/>
          <w:highlight w:val="none"/>
        </w:rPr>
        <w:t>3m</w:t>
      </w:r>
      <w:r>
        <w:rPr>
          <w:rFonts w:ascii="Times New Roman"/>
          <w:color w:val="auto"/>
          <w:kern w:val="2"/>
          <w:szCs w:val="24"/>
          <w:highlight w:val="none"/>
          <w:vertAlign w:val="superscript"/>
        </w:rPr>
        <w:t>2</w:t>
      </w:r>
      <w:r>
        <w:rPr>
          <w:rFonts w:ascii="Times New Roman"/>
          <w:color w:val="auto"/>
          <w:kern w:val="2"/>
          <w:szCs w:val="24"/>
          <w:highlight w:val="none"/>
        </w:rPr>
        <w:t>/g。</w:t>
      </w:r>
    </w:p>
    <w:p>
      <w:pPr>
        <w:pStyle w:val="42"/>
        <w:keepNext w:val="0"/>
        <w:keepLines w:val="0"/>
        <w:pageBreakBefore w:val="0"/>
        <w:widowControl/>
        <w:kinsoku/>
        <w:wordWrap/>
        <w:overflowPunct/>
        <w:topLinePunct w:val="0"/>
        <w:autoSpaceDE/>
        <w:autoSpaceDN/>
        <w:bidi w:val="0"/>
        <w:adjustRightInd/>
        <w:snapToGrid/>
        <w:spacing w:before="157" w:beforeLines="50" w:after="157" w:afterLines="50"/>
        <w:textAlignment w:val="auto"/>
        <w:outlineLvl w:val="9"/>
        <w:rPr>
          <w:rFonts w:hint="default" w:hAnsi="黑体" w:cs="黑体"/>
          <w:szCs w:val="21"/>
          <w:highlight w:val="none"/>
          <w:lang w:val="en-US" w:eastAsia="zh-CN"/>
        </w:rPr>
      </w:pPr>
      <w:r>
        <w:rPr>
          <w:rFonts w:hint="eastAsia" w:hAnsi="黑体" w:cs="黑体"/>
          <w:szCs w:val="21"/>
          <w:highlight w:val="none"/>
        </w:rPr>
        <w:t>4.</w:t>
      </w:r>
      <w:r>
        <w:rPr>
          <w:rFonts w:hint="eastAsia" w:hAnsi="黑体" w:cs="黑体"/>
          <w:szCs w:val="21"/>
          <w:highlight w:val="none"/>
          <w:lang w:val="en-US" w:eastAsia="zh-CN"/>
        </w:rPr>
        <w:t xml:space="preserve">10 </w:t>
      </w:r>
      <w:r>
        <w:rPr>
          <w:rFonts w:hint="eastAsia" w:hAnsi="黑体" w:cs="黑体"/>
          <w:szCs w:val="21"/>
          <w:highlight w:val="none"/>
        </w:rPr>
        <w:t xml:space="preserve"> </w:t>
      </w:r>
      <w:r>
        <w:rPr>
          <w:rFonts w:hint="eastAsia" w:hAnsi="黑体" w:cs="黑体"/>
          <w:szCs w:val="21"/>
          <w:highlight w:val="none"/>
          <w:lang w:val="en-US" w:eastAsia="zh-CN"/>
        </w:rPr>
        <w:t>pH值</w:t>
      </w:r>
    </w:p>
    <w:p>
      <w:pPr>
        <w:pStyle w:val="32"/>
        <w:spacing w:before="156" w:beforeLines="50" w:after="156" w:afterLines="50"/>
        <w:ind w:firstLine="420"/>
        <w:outlineLvl w:val="1"/>
        <w:rPr>
          <w:rFonts w:hint="eastAsia" w:ascii="Times New Roman" w:eastAsia="宋体"/>
          <w:color w:val="auto"/>
          <w:kern w:val="2"/>
          <w:szCs w:val="24"/>
          <w:highlight w:val="none"/>
          <w:lang w:eastAsia="zh-CN"/>
        </w:rPr>
      </w:pPr>
      <w:r>
        <w:rPr>
          <w:rFonts w:hint="default" w:ascii="Times New Roman" w:hAnsi="Times New Roman" w:cs="Times New Roman"/>
          <w:color w:val="auto"/>
          <w:highlight w:val="none"/>
        </w:rPr>
        <w:t>产品在规定条件下pH值不大于13</w:t>
      </w:r>
      <w:r>
        <w:rPr>
          <w:rFonts w:hint="default" w:ascii="Times New Roman" w:hAnsi="Times New Roman" w:cs="Times New Roman"/>
          <w:color w:val="auto"/>
          <w:highlight w:val="none"/>
          <w:lang w:eastAsia="zh-CN"/>
        </w:rPr>
        <w:t>。</w:t>
      </w:r>
    </w:p>
    <w:p>
      <w:pPr>
        <w:pStyle w:val="42"/>
        <w:keepNext w:val="0"/>
        <w:keepLines w:val="0"/>
        <w:pageBreakBefore w:val="0"/>
        <w:widowControl/>
        <w:kinsoku/>
        <w:wordWrap/>
        <w:overflowPunct/>
        <w:topLinePunct w:val="0"/>
        <w:autoSpaceDE/>
        <w:autoSpaceDN/>
        <w:bidi w:val="0"/>
        <w:adjustRightInd/>
        <w:snapToGrid/>
        <w:spacing w:before="157" w:beforeLines="50" w:after="157" w:afterLines="50"/>
        <w:textAlignment w:val="auto"/>
        <w:outlineLvl w:val="9"/>
        <w:rPr>
          <w:rFonts w:hint="eastAsia" w:hAnsi="黑体" w:cs="黑体"/>
          <w:szCs w:val="21"/>
          <w:highlight w:val="none"/>
        </w:rPr>
      </w:pPr>
      <w:r>
        <w:rPr>
          <w:rFonts w:hint="eastAsia" w:hAnsi="黑体" w:cs="黑体"/>
          <w:szCs w:val="21"/>
          <w:highlight w:val="none"/>
        </w:rPr>
        <w:t>4.</w:t>
      </w:r>
      <w:r>
        <w:rPr>
          <w:rFonts w:hint="eastAsia" w:hAnsi="黑体" w:cs="黑体"/>
          <w:szCs w:val="21"/>
          <w:highlight w:val="none"/>
          <w:lang w:val="en-US" w:eastAsia="zh-CN"/>
        </w:rPr>
        <w:t xml:space="preserve">11 </w:t>
      </w:r>
      <w:r>
        <w:rPr>
          <w:rFonts w:hint="eastAsia" w:hAnsi="黑体" w:cs="黑体"/>
          <w:szCs w:val="21"/>
          <w:highlight w:val="none"/>
        </w:rPr>
        <w:t xml:space="preserve"> 电化学性能</w:t>
      </w:r>
    </w:p>
    <w:p>
      <w:pPr>
        <w:pStyle w:val="42"/>
        <w:keepNext w:val="0"/>
        <w:keepLines w:val="0"/>
        <w:pageBreakBefore w:val="0"/>
        <w:widowControl/>
        <w:kinsoku/>
        <w:wordWrap/>
        <w:overflowPunct/>
        <w:topLinePunct w:val="0"/>
        <w:autoSpaceDE/>
        <w:autoSpaceDN/>
        <w:bidi w:val="0"/>
        <w:adjustRightInd/>
        <w:snapToGrid/>
        <w:spacing w:before="157" w:beforeLines="50" w:after="157" w:afterLines="50"/>
        <w:textAlignment w:val="auto"/>
        <w:outlineLvl w:val="9"/>
        <w:rPr>
          <w:rFonts w:hint="eastAsia" w:hAnsi="黑体" w:cs="黑体"/>
          <w:szCs w:val="21"/>
          <w:highlight w:val="none"/>
        </w:rPr>
      </w:pPr>
      <w:r>
        <w:rPr>
          <w:rFonts w:hint="eastAsia" w:hAnsi="黑体" w:cs="黑体"/>
          <w:szCs w:val="21"/>
          <w:highlight w:val="none"/>
        </w:rPr>
        <w:t>4.</w:t>
      </w:r>
      <w:r>
        <w:rPr>
          <w:rFonts w:hint="eastAsia" w:hAnsi="黑体" w:cs="黑体"/>
          <w:szCs w:val="21"/>
          <w:highlight w:val="none"/>
          <w:lang w:val="en-US" w:eastAsia="zh-CN"/>
        </w:rPr>
        <w:t>11</w:t>
      </w:r>
      <w:r>
        <w:rPr>
          <w:rFonts w:hint="eastAsia" w:hAnsi="黑体" w:cs="黑体"/>
          <w:szCs w:val="21"/>
          <w:highlight w:val="none"/>
        </w:rPr>
        <w:t xml:space="preserve">.1 </w:t>
      </w:r>
      <w:r>
        <w:rPr>
          <w:rFonts w:hint="eastAsia" w:hAnsi="黑体" w:cs="黑体"/>
          <w:szCs w:val="21"/>
          <w:highlight w:val="none"/>
          <w:lang w:val="en-US" w:eastAsia="zh-CN"/>
        </w:rPr>
        <w:t xml:space="preserve"> </w:t>
      </w:r>
      <w:r>
        <w:rPr>
          <w:rFonts w:hint="eastAsia" w:hAnsi="黑体" w:cs="黑体"/>
          <w:szCs w:val="21"/>
          <w:highlight w:val="none"/>
        </w:rPr>
        <w:t>首次放电比容量</w:t>
      </w:r>
    </w:p>
    <w:p>
      <w:pPr>
        <w:pStyle w:val="2"/>
        <w:spacing w:line="360" w:lineRule="auto"/>
        <w:ind w:firstLine="420" w:firstLineChars="200"/>
        <w:rPr>
          <w:rFonts w:hint="default" w:ascii="Times New Roman" w:hAnsi="Times New Roman" w:eastAsia="黑体" w:cs="Times New Roman"/>
          <w:color w:val="auto"/>
          <w:szCs w:val="21"/>
          <w:highlight w:val="none"/>
        </w:rPr>
      </w:pPr>
      <w:r>
        <w:rPr>
          <w:rFonts w:hint="default" w:ascii="Times New Roman" w:hAnsi="Times New Roman" w:cs="Times New Roman"/>
        </w:rPr>
        <w:t>产品在电压范围</w:t>
      </w:r>
      <w:r>
        <w:rPr>
          <w:rFonts w:hint="default" w:ascii="Times New Roman" w:hAnsi="Times New Roman" w:cs="Times New Roman"/>
          <w:highlight w:val="none"/>
        </w:rPr>
        <w:t>2 V</w:t>
      </w:r>
      <w:r>
        <w:rPr>
          <w:rFonts w:hint="default" w:ascii="Times New Roman" w:hAnsi="Times New Roman" w:cs="Times New Roman"/>
          <w:szCs w:val="21"/>
          <w:highlight w:val="none"/>
        </w:rPr>
        <w:t>～4 V，</w:t>
      </w:r>
      <w:r>
        <w:rPr>
          <w:rFonts w:hint="default" w:ascii="Times New Roman" w:hAnsi="Times New Roman" w:cs="Times New Roman"/>
          <w:highlight w:val="none"/>
        </w:rPr>
        <w:t>0.1C充放电倍率条件下</w:t>
      </w:r>
      <w:r>
        <w:rPr>
          <w:rFonts w:hint="default" w:ascii="Times New Roman" w:hAnsi="Times New Roman" w:cs="Times New Roman"/>
          <w:color w:val="auto"/>
          <w:highlight w:val="none"/>
        </w:rPr>
        <w:t>的首次放电比容量应不小于1</w:t>
      </w:r>
      <w:r>
        <w:rPr>
          <w:rFonts w:hint="eastAsia" w:ascii="Times New Roman" w:hAnsi="Times New Roman" w:cs="Times New Roman"/>
          <w:color w:val="auto"/>
          <w:highlight w:val="none"/>
          <w:lang w:val="en-US" w:eastAsia="zh-CN"/>
        </w:rPr>
        <w:t>1</w:t>
      </w:r>
      <w:r>
        <w:rPr>
          <w:rFonts w:hint="default" w:ascii="Times New Roman" w:hAnsi="Times New Roman" w:cs="Times New Roman"/>
          <w:color w:val="auto"/>
          <w:highlight w:val="none"/>
        </w:rPr>
        <w:t>0mAh/g。</w:t>
      </w:r>
    </w:p>
    <w:p>
      <w:pPr>
        <w:pStyle w:val="42"/>
        <w:keepNext w:val="0"/>
        <w:keepLines w:val="0"/>
        <w:pageBreakBefore w:val="0"/>
        <w:widowControl/>
        <w:kinsoku/>
        <w:wordWrap/>
        <w:overflowPunct/>
        <w:topLinePunct w:val="0"/>
        <w:autoSpaceDE/>
        <w:autoSpaceDN/>
        <w:bidi w:val="0"/>
        <w:adjustRightInd/>
        <w:snapToGrid/>
        <w:spacing w:before="157" w:beforeLines="50" w:after="157" w:afterLines="50"/>
        <w:textAlignment w:val="auto"/>
        <w:outlineLvl w:val="9"/>
        <w:rPr>
          <w:rFonts w:hint="eastAsia" w:hAnsi="黑体" w:cs="黑体"/>
          <w:szCs w:val="21"/>
          <w:highlight w:val="none"/>
        </w:rPr>
      </w:pPr>
      <w:r>
        <w:rPr>
          <w:rFonts w:hint="eastAsia" w:hAnsi="黑体" w:cs="黑体"/>
          <w:szCs w:val="21"/>
          <w:highlight w:val="none"/>
        </w:rPr>
        <w:t>4.</w:t>
      </w:r>
      <w:r>
        <w:rPr>
          <w:rFonts w:hint="eastAsia" w:hAnsi="黑体" w:cs="黑体"/>
          <w:szCs w:val="21"/>
          <w:highlight w:val="none"/>
          <w:lang w:val="en-US" w:eastAsia="zh-CN"/>
        </w:rPr>
        <w:t>11</w:t>
      </w:r>
      <w:r>
        <w:rPr>
          <w:rFonts w:hint="eastAsia" w:hAnsi="黑体" w:cs="黑体"/>
          <w:szCs w:val="21"/>
          <w:highlight w:val="none"/>
        </w:rPr>
        <w:t>.2</w:t>
      </w:r>
      <w:r>
        <w:rPr>
          <w:rFonts w:hint="eastAsia" w:hAnsi="黑体" w:cs="黑体"/>
          <w:szCs w:val="21"/>
          <w:highlight w:val="none"/>
          <w:lang w:val="en-US" w:eastAsia="zh-CN"/>
        </w:rPr>
        <w:t xml:space="preserve"> </w:t>
      </w:r>
      <w:r>
        <w:rPr>
          <w:rFonts w:hint="eastAsia" w:hAnsi="黑体" w:cs="黑体"/>
          <w:szCs w:val="21"/>
          <w:highlight w:val="none"/>
        </w:rPr>
        <w:t xml:space="preserve"> 首次充放电效率</w:t>
      </w:r>
    </w:p>
    <w:p>
      <w:pPr>
        <w:pStyle w:val="2"/>
        <w:spacing w:line="360" w:lineRule="auto"/>
        <w:ind w:firstLine="420" w:firstLineChars="200"/>
        <w:rPr>
          <w:rFonts w:hint="default" w:ascii="Times New Roman" w:hAnsi="Times New Roman" w:eastAsia="黑体" w:cs="Times New Roman"/>
          <w:color w:val="auto"/>
          <w:szCs w:val="21"/>
          <w:highlight w:val="none"/>
        </w:rPr>
      </w:pPr>
      <w:r>
        <w:rPr>
          <w:rFonts w:hint="default" w:ascii="Times New Roman" w:hAnsi="Times New Roman" w:cs="Times New Roman"/>
        </w:rPr>
        <w:t>产品在电压范围</w:t>
      </w:r>
      <w:r>
        <w:rPr>
          <w:rFonts w:hint="default" w:ascii="Times New Roman" w:hAnsi="Times New Roman" w:cs="Times New Roman"/>
          <w:highlight w:val="none"/>
        </w:rPr>
        <w:t>2 V</w:t>
      </w:r>
      <w:r>
        <w:rPr>
          <w:rFonts w:hint="default" w:ascii="Times New Roman" w:hAnsi="Times New Roman" w:cs="Times New Roman"/>
          <w:szCs w:val="21"/>
          <w:highlight w:val="none"/>
        </w:rPr>
        <w:t>～4 V，</w:t>
      </w:r>
      <w:r>
        <w:rPr>
          <w:rFonts w:hint="default" w:ascii="Times New Roman" w:hAnsi="Times New Roman" w:cs="Times New Roman"/>
          <w:highlight w:val="none"/>
        </w:rPr>
        <w:t>0.1C充放电倍率条件下</w:t>
      </w:r>
      <w:r>
        <w:rPr>
          <w:rFonts w:hint="default" w:ascii="Times New Roman" w:hAnsi="Times New Roman" w:cs="Times New Roman"/>
          <w:color w:val="auto"/>
          <w:highlight w:val="none"/>
        </w:rPr>
        <w:t>的首次充放电效率应不小于8</w:t>
      </w:r>
      <w:r>
        <w:rPr>
          <w:rFonts w:hint="eastAsia" w:ascii="Times New Roman" w:hAnsi="Times New Roman" w:cs="Times New Roman"/>
          <w:color w:val="auto"/>
          <w:highlight w:val="none"/>
          <w:lang w:val="en-US" w:eastAsia="zh-CN"/>
        </w:rPr>
        <w:t>5</w:t>
      </w:r>
      <w:r>
        <w:rPr>
          <w:rFonts w:hint="default" w:ascii="Times New Roman" w:hAnsi="Times New Roman" w:cs="Times New Roman"/>
          <w:color w:val="auto"/>
          <w:highlight w:val="none"/>
        </w:rPr>
        <w:t>%。</w:t>
      </w:r>
    </w:p>
    <w:p>
      <w:pPr>
        <w:pStyle w:val="42"/>
        <w:keepNext w:val="0"/>
        <w:keepLines w:val="0"/>
        <w:pageBreakBefore w:val="0"/>
        <w:widowControl/>
        <w:kinsoku/>
        <w:wordWrap/>
        <w:overflowPunct/>
        <w:topLinePunct w:val="0"/>
        <w:autoSpaceDE/>
        <w:autoSpaceDN/>
        <w:bidi w:val="0"/>
        <w:adjustRightInd/>
        <w:snapToGrid/>
        <w:spacing w:before="157" w:beforeLines="50" w:after="157" w:afterLines="50"/>
        <w:textAlignment w:val="auto"/>
        <w:outlineLvl w:val="9"/>
        <w:rPr>
          <w:rFonts w:hint="default" w:hAnsi="黑体" w:cs="黑体"/>
          <w:szCs w:val="21"/>
          <w:highlight w:val="none"/>
        </w:rPr>
      </w:pPr>
      <w:r>
        <w:rPr>
          <w:rFonts w:hint="default" w:hAnsi="黑体" w:cs="黑体"/>
          <w:szCs w:val="21"/>
          <w:highlight w:val="none"/>
        </w:rPr>
        <w:t>4.</w:t>
      </w:r>
      <w:r>
        <w:rPr>
          <w:rFonts w:hint="eastAsia" w:hAnsi="黑体" w:cs="黑体"/>
          <w:szCs w:val="21"/>
          <w:highlight w:val="none"/>
          <w:lang w:val="en-US" w:eastAsia="zh-CN"/>
        </w:rPr>
        <w:t>11</w:t>
      </w:r>
      <w:r>
        <w:rPr>
          <w:rFonts w:hint="default" w:hAnsi="黑体" w:cs="黑体"/>
          <w:szCs w:val="21"/>
          <w:highlight w:val="none"/>
        </w:rPr>
        <w:t>.3</w:t>
      </w:r>
      <w:r>
        <w:rPr>
          <w:rFonts w:hint="eastAsia" w:hAnsi="黑体" w:cs="黑体"/>
          <w:szCs w:val="21"/>
          <w:highlight w:val="none"/>
          <w:lang w:val="en-US" w:eastAsia="zh-CN"/>
        </w:rPr>
        <w:t xml:space="preserve"> </w:t>
      </w:r>
      <w:r>
        <w:rPr>
          <w:rFonts w:hint="default" w:hAnsi="黑体" w:cs="黑体"/>
          <w:szCs w:val="21"/>
          <w:highlight w:val="none"/>
        </w:rPr>
        <w:t xml:space="preserve"> 循环寿命</w:t>
      </w:r>
    </w:p>
    <w:p>
      <w:pPr>
        <w:pStyle w:val="32"/>
        <w:tabs>
          <w:tab w:val="center" w:pos="4201"/>
          <w:tab w:val="right" w:leader="dot" w:pos="9298"/>
        </w:tabs>
        <w:ind w:firstLine="420"/>
        <w:rPr>
          <w:rFonts w:hint="default" w:ascii="Times New Roman" w:hAnsi="Times New Roman" w:eastAsia="黑体" w:cs="Times New Roman"/>
          <w:color w:val="auto"/>
          <w:szCs w:val="21"/>
          <w:highlight w:val="none"/>
        </w:rPr>
      </w:pPr>
      <w:r>
        <w:rPr>
          <w:rFonts w:hint="eastAsia" w:ascii="Times New Roman" w:hAnsi="Times New Roman" w:cs="Times New Roman"/>
        </w:rPr>
        <w:t>产品在电压范围2</w:t>
      </w:r>
      <w:r>
        <w:rPr>
          <w:rFonts w:hint="default" w:ascii="Times New Roman" w:hAnsi="Times New Roman" w:cs="Times New Roman"/>
        </w:rPr>
        <w:t xml:space="preserve"> </w:t>
      </w:r>
      <w:r>
        <w:rPr>
          <w:rFonts w:hint="eastAsia" w:ascii="Times New Roman" w:hAnsi="Times New Roman" w:cs="Times New Roman"/>
        </w:rPr>
        <w:t>V～4</w:t>
      </w:r>
      <w:r>
        <w:rPr>
          <w:rFonts w:hint="default" w:ascii="Times New Roman" w:hAnsi="Times New Roman" w:cs="Times New Roman"/>
        </w:rPr>
        <w:t xml:space="preserve"> </w:t>
      </w:r>
      <w:r>
        <w:rPr>
          <w:rFonts w:hint="eastAsia" w:ascii="Times New Roman" w:hAnsi="Times New Roman" w:cs="Times New Roman"/>
        </w:rPr>
        <w:t>V，</w:t>
      </w:r>
      <w:r>
        <w:rPr>
          <w:rFonts w:hint="default" w:ascii="Times New Roman" w:hAnsi="Times New Roman" w:cs="Times New Roman"/>
        </w:rPr>
        <w:t>1C</w:t>
      </w:r>
      <w:r>
        <w:rPr>
          <w:rFonts w:hint="eastAsia" w:ascii="Times New Roman" w:hAnsi="Times New Roman" w:cs="Times New Roman"/>
        </w:rPr>
        <w:t>充放电倍率条件下，</w:t>
      </w:r>
      <w:r>
        <w:rPr>
          <w:rFonts w:hint="default" w:ascii="Times New Roman" w:hAnsi="Times New Roman" w:cs="Times New Roman"/>
          <w:color w:val="auto"/>
          <w:highlight w:val="none"/>
        </w:rPr>
        <w:t>放电容量达到首次放电容量的</w:t>
      </w:r>
      <w:r>
        <w:rPr>
          <w:rFonts w:hint="default" w:ascii="Times New Roman" w:hAnsi="Times New Roman" w:eastAsia="宋体" w:cs="Times New Roman"/>
          <w:color w:val="auto"/>
          <w:kern w:val="2"/>
          <w:sz w:val="21"/>
          <w:szCs w:val="24"/>
          <w:highlight w:val="none"/>
          <w:lang w:val="en-US" w:eastAsia="zh-CN" w:bidi="ar-SA"/>
        </w:rPr>
        <w:t>80%</w:t>
      </w:r>
      <w:r>
        <w:rPr>
          <w:rFonts w:hint="default" w:ascii="Times New Roman" w:hAnsi="Times New Roman" w:cs="Times New Roman"/>
          <w:color w:val="auto"/>
          <w:highlight w:val="none"/>
        </w:rPr>
        <w:t>时，循环次数应不低于</w:t>
      </w:r>
      <w:r>
        <w:rPr>
          <w:rFonts w:hint="eastAsia" w:ascii="Times New Roman" w:cs="Times New Roman"/>
          <w:color w:val="auto"/>
          <w:kern w:val="2"/>
          <w:sz w:val="21"/>
          <w:szCs w:val="24"/>
          <w:highlight w:val="none"/>
          <w:lang w:val="en-US" w:eastAsia="zh-CN" w:bidi="ar-SA"/>
        </w:rPr>
        <w:t>3</w:t>
      </w:r>
      <w:r>
        <w:rPr>
          <w:rFonts w:hint="default" w:ascii="Times New Roman" w:hAnsi="Times New Roman" w:eastAsia="宋体" w:cs="Times New Roman"/>
          <w:color w:val="auto"/>
          <w:kern w:val="2"/>
          <w:sz w:val="21"/>
          <w:szCs w:val="24"/>
          <w:highlight w:val="none"/>
          <w:lang w:val="en-US" w:eastAsia="zh-CN" w:bidi="ar-SA"/>
        </w:rPr>
        <w:t>00</w:t>
      </w:r>
      <w:r>
        <w:rPr>
          <w:rFonts w:hint="default" w:ascii="Times New Roman" w:hAnsi="Times New Roman" w:cs="Times New Roman"/>
          <w:color w:val="auto"/>
          <w:highlight w:val="none"/>
        </w:rPr>
        <w:t>次。</w:t>
      </w:r>
    </w:p>
    <w:p>
      <w:pPr>
        <w:pStyle w:val="42"/>
        <w:spacing w:before="312" w:beforeLines="100" w:after="312" w:afterLines="100"/>
        <w:rPr>
          <w:highlight w:val="none"/>
        </w:rPr>
      </w:pPr>
      <w:r>
        <w:rPr>
          <w:rFonts w:hint="eastAsia" w:hAnsi="黑体" w:cs="黑体"/>
          <w:bCs/>
          <w:highlight w:val="none"/>
        </w:rPr>
        <w:t>5  试验方法</w:t>
      </w:r>
    </w:p>
    <w:p>
      <w:pPr>
        <w:pStyle w:val="32"/>
        <w:spacing w:before="156" w:beforeLines="50" w:after="156" w:afterLines="50"/>
        <w:ind w:firstLine="0" w:firstLineChars="0"/>
        <w:outlineLvl w:val="1"/>
        <w:rPr>
          <w:rFonts w:ascii="黑体" w:hAnsi="黑体" w:eastAsia="黑体" w:cs="黑体"/>
          <w:kern w:val="2"/>
          <w:szCs w:val="21"/>
          <w:highlight w:val="none"/>
        </w:rPr>
      </w:pPr>
      <w:r>
        <w:rPr>
          <w:rFonts w:hint="eastAsia" w:ascii="黑体" w:hAnsi="黑体" w:eastAsia="黑体" w:cs="黑体"/>
          <w:kern w:val="2"/>
          <w:szCs w:val="21"/>
          <w:highlight w:val="none"/>
        </w:rPr>
        <w:t xml:space="preserve">5.1 </w:t>
      </w:r>
      <w:r>
        <w:rPr>
          <w:rFonts w:hint="eastAsia" w:ascii="黑体" w:hAnsi="黑体" w:eastAsia="黑体" w:cs="黑体"/>
          <w:kern w:val="2"/>
          <w:szCs w:val="21"/>
          <w:highlight w:val="none"/>
          <w:lang w:val="en-US" w:eastAsia="zh-CN"/>
        </w:rPr>
        <w:t xml:space="preserve"> </w:t>
      </w:r>
      <w:r>
        <w:rPr>
          <w:rFonts w:hint="eastAsia" w:ascii="黑体" w:hAnsi="黑体" w:eastAsia="黑体" w:cs="黑体"/>
          <w:kern w:val="2"/>
          <w:szCs w:val="21"/>
          <w:highlight w:val="none"/>
        </w:rPr>
        <w:t>化学成分测定</w:t>
      </w:r>
    </w:p>
    <w:p>
      <w:pPr>
        <w:pStyle w:val="2"/>
        <w:keepNext w:val="0"/>
        <w:keepLines w:val="0"/>
        <w:pageBreakBefore w:val="0"/>
        <w:widowControl w:val="0"/>
        <w:kinsoku/>
        <w:wordWrap/>
        <w:overflowPunct/>
        <w:topLinePunct w:val="0"/>
        <w:autoSpaceDE/>
        <w:autoSpaceDN/>
        <w:bidi w:val="0"/>
        <w:adjustRightInd/>
        <w:snapToGrid w:val="0"/>
        <w:spacing w:line="269" w:lineRule="auto"/>
        <w:ind w:firstLine="420" w:firstLineChars="200"/>
        <w:textAlignment w:val="auto"/>
        <w:rPr>
          <w:rFonts w:hint="eastAsia" w:ascii="Times New Roman" w:hAnsi="Times New Roman"/>
          <w:szCs w:val="21"/>
          <w:highlight w:val="none"/>
        </w:rPr>
      </w:pPr>
      <w:r>
        <w:rPr>
          <w:rFonts w:hint="eastAsia" w:ascii="Times New Roman" w:hAnsi="Times New Roman"/>
          <w:szCs w:val="21"/>
          <w:highlight w:val="none"/>
        </w:rPr>
        <w:t>产品中锰含量的测定按照GB/T 1506的规定执行。</w:t>
      </w:r>
    </w:p>
    <w:p>
      <w:pPr>
        <w:pStyle w:val="2"/>
        <w:keepNext w:val="0"/>
        <w:keepLines w:val="0"/>
        <w:pageBreakBefore w:val="0"/>
        <w:widowControl w:val="0"/>
        <w:kinsoku/>
        <w:wordWrap/>
        <w:overflowPunct/>
        <w:topLinePunct w:val="0"/>
        <w:autoSpaceDE/>
        <w:autoSpaceDN/>
        <w:bidi w:val="0"/>
        <w:adjustRightInd/>
        <w:snapToGrid w:val="0"/>
        <w:spacing w:line="269" w:lineRule="auto"/>
        <w:ind w:firstLine="420" w:firstLineChars="200"/>
        <w:textAlignment w:val="auto"/>
        <w:rPr>
          <w:rFonts w:hint="eastAsia" w:ascii="Times New Roman" w:hAnsi="Times New Roman"/>
          <w:szCs w:val="21"/>
          <w:highlight w:val="none"/>
        </w:rPr>
      </w:pPr>
      <w:r>
        <w:rPr>
          <w:rFonts w:hint="eastAsia" w:ascii="Times New Roman" w:hAnsi="Times New Roman"/>
          <w:szCs w:val="21"/>
          <w:highlight w:val="none"/>
        </w:rPr>
        <w:t>产品中铜含量的测定按照GB/T 3884.1的规定执行。</w:t>
      </w:r>
    </w:p>
    <w:p>
      <w:pPr>
        <w:pStyle w:val="2"/>
        <w:keepNext w:val="0"/>
        <w:keepLines w:val="0"/>
        <w:pageBreakBefore w:val="0"/>
        <w:widowControl w:val="0"/>
        <w:kinsoku/>
        <w:wordWrap/>
        <w:overflowPunct/>
        <w:topLinePunct w:val="0"/>
        <w:autoSpaceDE/>
        <w:autoSpaceDN/>
        <w:bidi w:val="0"/>
        <w:adjustRightInd/>
        <w:snapToGrid w:val="0"/>
        <w:spacing w:line="269" w:lineRule="auto"/>
        <w:ind w:firstLine="420" w:firstLineChars="200"/>
        <w:textAlignment w:val="auto"/>
        <w:rPr>
          <w:rFonts w:hint="eastAsia" w:ascii="Times New Roman" w:hAnsi="Times New Roman"/>
          <w:szCs w:val="21"/>
          <w:highlight w:val="none"/>
        </w:rPr>
      </w:pPr>
      <w:r>
        <w:rPr>
          <w:rFonts w:hint="eastAsia" w:ascii="Times New Roman" w:hAnsi="Times New Roman"/>
          <w:szCs w:val="21"/>
          <w:highlight w:val="none"/>
        </w:rPr>
        <w:t>产品中铁含量的测定按照GB/T 6730.70的规定执行。</w:t>
      </w:r>
    </w:p>
    <w:p>
      <w:pPr>
        <w:pStyle w:val="2"/>
        <w:keepNext w:val="0"/>
        <w:keepLines w:val="0"/>
        <w:pageBreakBefore w:val="0"/>
        <w:widowControl w:val="0"/>
        <w:kinsoku/>
        <w:wordWrap/>
        <w:overflowPunct/>
        <w:topLinePunct w:val="0"/>
        <w:autoSpaceDE/>
        <w:autoSpaceDN/>
        <w:bidi w:val="0"/>
        <w:adjustRightInd/>
        <w:snapToGrid w:val="0"/>
        <w:spacing w:line="269" w:lineRule="auto"/>
        <w:ind w:firstLine="420" w:firstLineChars="200"/>
        <w:textAlignment w:val="auto"/>
        <w:rPr>
          <w:rFonts w:hint="eastAsia" w:ascii="Times New Roman" w:hAnsi="Times New Roman"/>
          <w:szCs w:val="21"/>
          <w:highlight w:val="none"/>
        </w:rPr>
      </w:pPr>
      <w:r>
        <w:rPr>
          <w:rFonts w:hint="eastAsia" w:ascii="Times New Roman" w:hAnsi="Times New Roman"/>
          <w:szCs w:val="21"/>
          <w:highlight w:val="none"/>
        </w:rPr>
        <w:t>产品中硫含量的测定按照GB/T 24533中附录J的规定执行。</w:t>
      </w:r>
    </w:p>
    <w:p>
      <w:pPr>
        <w:pStyle w:val="2"/>
        <w:keepNext w:val="0"/>
        <w:keepLines w:val="0"/>
        <w:pageBreakBefore w:val="0"/>
        <w:widowControl w:val="0"/>
        <w:kinsoku/>
        <w:wordWrap/>
        <w:overflowPunct/>
        <w:topLinePunct w:val="0"/>
        <w:autoSpaceDE/>
        <w:autoSpaceDN/>
        <w:bidi w:val="0"/>
        <w:adjustRightInd/>
        <w:snapToGrid w:val="0"/>
        <w:spacing w:line="269" w:lineRule="auto"/>
        <w:ind w:firstLine="420" w:firstLineChars="200"/>
        <w:textAlignment w:val="auto"/>
        <w:rPr>
          <w:rFonts w:hint="eastAsia" w:ascii="Times New Roman" w:hAnsi="Times New Roman"/>
          <w:szCs w:val="21"/>
          <w:highlight w:val="none"/>
        </w:rPr>
      </w:pPr>
      <w:r>
        <w:rPr>
          <w:rFonts w:hint="eastAsia" w:ascii="Times New Roman" w:hAnsi="Times New Roman"/>
          <w:szCs w:val="21"/>
          <w:highlight w:val="none"/>
        </w:rPr>
        <w:t>产品中其他元素，例如：钠、钙、镁、锌、硅含量的测定按照YS/T928执行。</w:t>
      </w:r>
    </w:p>
    <w:p>
      <w:pPr>
        <w:pStyle w:val="2"/>
        <w:keepNext w:val="0"/>
        <w:keepLines w:val="0"/>
        <w:pageBreakBefore w:val="0"/>
        <w:widowControl w:val="0"/>
        <w:kinsoku/>
        <w:wordWrap/>
        <w:overflowPunct/>
        <w:topLinePunct w:val="0"/>
        <w:autoSpaceDE/>
        <w:autoSpaceDN/>
        <w:bidi w:val="0"/>
        <w:adjustRightInd/>
        <w:snapToGrid w:val="0"/>
        <w:spacing w:line="269" w:lineRule="auto"/>
        <w:ind w:firstLine="420" w:firstLineChars="200"/>
        <w:textAlignment w:val="auto"/>
        <w:rPr>
          <w:rFonts w:hint="eastAsia" w:ascii="Times New Roman" w:hAnsi="Times New Roman"/>
          <w:szCs w:val="21"/>
          <w:highlight w:val="none"/>
        </w:rPr>
      </w:pPr>
      <w:r>
        <w:rPr>
          <w:rFonts w:hint="eastAsia" w:ascii="Times New Roman" w:hAnsi="Times New Roman"/>
          <w:szCs w:val="21"/>
          <w:highlight w:val="none"/>
        </w:rPr>
        <w:t>产品中氯离子含量的测定按照HG/T 4506中6.9的规定执行。</w:t>
      </w:r>
    </w:p>
    <w:p>
      <w:pPr>
        <w:pStyle w:val="2"/>
        <w:keepNext w:val="0"/>
        <w:keepLines w:val="0"/>
        <w:pageBreakBefore w:val="0"/>
        <w:widowControl w:val="0"/>
        <w:kinsoku/>
        <w:wordWrap/>
        <w:overflowPunct/>
        <w:topLinePunct w:val="0"/>
        <w:autoSpaceDE/>
        <w:autoSpaceDN/>
        <w:bidi w:val="0"/>
        <w:adjustRightInd/>
        <w:snapToGrid w:val="0"/>
        <w:spacing w:line="269" w:lineRule="auto"/>
        <w:ind w:firstLine="420" w:firstLineChars="200"/>
        <w:textAlignment w:val="auto"/>
        <w:rPr>
          <w:rFonts w:ascii="Times New Roman" w:hAnsi="Times New Roman"/>
          <w:szCs w:val="21"/>
          <w:highlight w:val="none"/>
        </w:rPr>
      </w:pPr>
      <w:r>
        <w:rPr>
          <w:rFonts w:hint="eastAsia" w:ascii="Times New Roman" w:hAnsi="Times New Roman"/>
          <w:szCs w:val="21"/>
          <w:highlight w:val="none"/>
        </w:rPr>
        <w:t>产品中铅、镉、铬含量的测定按照HG/T 4826中5.2.2的规定执行。</w:t>
      </w:r>
    </w:p>
    <w:p>
      <w:pPr>
        <w:pStyle w:val="32"/>
        <w:spacing w:before="156" w:beforeLines="50" w:after="156" w:afterLines="50"/>
        <w:ind w:firstLine="0" w:firstLineChars="0"/>
        <w:outlineLvl w:val="1"/>
        <w:rPr>
          <w:rFonts w:hint="eastAsia" w:ascii="黑体" w:hAnsi="黑体" w:eastAsia="黑体" w:cs="黑体"/>
          <w:kern w:val="2"/>
          <w:szCs w:val="21"/>
          <w:highlight w:val="none"/>
        </w:rPr>
      </w:pPr>
      <w:r>
        <w:rPr>
          <w:rFonts w:hint="eastAsia" w:ascii="黑体" w:hAnsi="黑体" w:eastAsia="黑体" w:cs="黑体"/>
          <w:kern w:val="2"/>
          <w:szCs w:val="21"/>
          <w:highlight w:val="none"/>
          <w:lang w:val="en-US" w:eastAsia="zh-CN"/>
        </w:rPr>
        <w:t xml:space="preserve">5.2  </w:t>
      </w:r>
      <w:r>
        <w:rPr>
          <w:rFonts w:hint="eastAsia" w:ascii="黑体" w:hAnsi="黑体" w:eastAsia="黑体" w:cs="黑体"/>
          <w:kern w:val="2"/>
          <w:szCs w:val="21"/>
          <w:highlight w:val="none"/>
        </w:rPr>
        <w:t>水分含量</w:t>
      </w:r>
    </w:p>
    <w:p>
      <w:pPr>
        <w:pStyle w:val="79"/>
        <w:numPr>
          <w:ilvl w:val="0"/>
          <w:numId w:val="0"/>
        </w:numPr>
        <w:spacing w:before="156" w:beforeLines="50" w:after="156" w:afterLines="50"/>
        <w:ind w:leftChars="0" w:firstLine="420" w:firstLineChars="200"/>
        <w:outlineLvl w:val="2"/>
        <w:rPr>
          <w:rFonts w:hint="eastAsia" w:ascii="Times New Roman" w:hAnsi="Times New Roman" w:eastAsia="宋体" w:cs="Times New Roman"/>
          <w:szCs w:val="28"/>
          <w:highlight w:val="none"/>
        </w:rPr>
      </w:pPr>
      <w:r>
        <w:rPr>
          <w:rFonts w:hint="eastAsia" w:ascii="Times New Roman" w:hAnsi="Times New Roman" w:eastAsia="宋体" w:cs="Times New Roman"/>
          <w:szCs w:val="28"/>
          <w:highlight w:val="none"/>
        </w:rPr>
        <w:t>产品水分含量的测定按GB/T 6283的规定进行。</w:t>
      </w:r>
    </w:p>
    <w:p>
      <w:pPr>
        <w:pStyle w:val="32"/>
        <w:spacing w:before="156" w:beforeLines="50" w:after="156" w:afterLines="50"/>
        <w:ind w:firstLine="0" w:firstLineChars="0"/>
        <w:outlineLvl w:val="1"/>
        <w:rPr>
          <w:rFonts w:hint="eastAsia" w:ascii="黑体" w:hAnsi="黑体" w:eastAsia="黑体" w:cs="黑体"/>
          <w:kern w:val="2"/>
          <w:szCs w:val="21"/>
          <w:highlight w:val="none"/>
        </w:rPr>
      </w:pPr>
      <w:r>
        <w:rPr>
          <w:rFonts w:hint="eastAsia" w:ascii="黑体" w:hAnsi="黑体" w:eastAsia="黑体" w:cs="黑体"/>
          <w:kern w:val="2"/>
          <w:szCs w:val="21"/>
          <w:highlight w:val="none"/>
          <w:lang w:val="en-US" w:eastAsia="zh-CN"/>
        </w:rPr>
        <w:t>5.3</w:t>
      </w:r>
      <w:r>
        <w:rPr>
          <w:rFonts w:hint="eastAsia" w:ascii="黑体" w:hAnsi="黑体" w:eastAsia="黑体" w:cs="黑体"/>
          <w:kern w:val="2"/>
          <w:szCs w:val="21"/>
          <w:highlight w:val="none"/>
        </w:rPr>
        <w:t xml:space="preserve"> </w:t>
      </w:r>
      <w:r>
        <w:rPr>
          <w:rFonts w:hint="eastAsia" w:ascii="黑体" w:hAnsi="黑体" w:eastAsia="黑体" w:cs="黑体"/>
          <w:kern w:val="2"/>
          <w:szCs w:val="21"/>
          <w:highlight w:val="none"/>
          <w:lang w:val="en-US" w:eastAsia="zh-CN"/>
        </w:rPr>
        <w:t xml:space="preserve"> </w:t>
      </w:r>
      <w:r>
        <w:rPr>
          <w:rFonts w:hint="eastAsia" w:ascii="黑体" w:hAnsi="黑体" w:eastAsia="黑体" w:cs="黑体"/>
          <w:kern w:val="2"/>
          <w:szCs w:val="21"/>
          <w:highlight w:val="none"/>
        </w:rPr>
        <w:t>外观质量</w:t>
      </w:r>
    </w:p>
    <w:p>
      <w:pPr>
        <w:ind w:firstLine="420" w:firstLineChars="200"/>
        <w:jc w:val="both"/>
        <w:rPr>
          <w:sz w:val="21"/>
          <w:szCs w:val="21"/>
          <w:highlight w:val="none"/>
        </w:rPr>
      </w:pPr>
      <w:r>
        <w:rPr>
          <w:rFonts w:hint="eastAsia"/>
          <w:sz w:val="21"/>
          <w:szCs w:val="21"/>
          <w:highlight w:val="none"/>
        </w:rPr>
        <w:t>产品的外观用目视检查。</w:t>
      </w:r>
    </w:p>
    <w:p>
      <w:pPr>
        <w:pStyle w:val="32"/>
        <w:spacing w:before="156" w:beforeLines="50" w:after="156" w:afterLines="50"/>
        <w:ind w:firstLine="0" w:firstLineChars="0"/>
        <w:outlineLvl w:val="1"/>
        <w:rPr>
          <w:rFonts w:hint="eastAsia" w:ascii="黑体" w:hAnsi="黑体" w:eastAsia="黑体" w:cs="黑体"/>
          <w:kern w:val="2"/>
          <w:szCs w:val="21"/>
          <w:highlight w:val="none"/>
        </w:rPr>
      </w:pPr>
      <w:r>
        <w:rPr>
          <w:rFonts w:hint="eastAsia" w:ascii="黑体" w:hAnsi="黑体" w:eastAsia="黑体" w:cs="黑体"/>
          <w:kern w:val="2"/>
          <w:szCs w:val="21"/>
          <w:highlight w:val="none"/>
          <w:lang w:val="en-US" w:eastAsia="zh-CN"/>
        </w:rPr>
        <w:t>5.4  晶体结构</w:t>
      </w:r>
    </w:p>
    <w:p>
      <w:pPr>
        <w:pStyle w:val="79"/>
        <w:numPr>
          <w:ilvl w:val="0"/>
          <w:numId w:val="0"/>
        </w:numPr>
        <w:spacing w:before="156" w:beforeLines="50" w:after="156" w:afterLines="50"/>
        <w:ind w:leftChars="0" w:firstLine="420" w:firstLineChars="200"/>
        <w:outlineLvl w:val="2"/>
        <w:rPr>
          <w:rFonts w:hint="eastAsia" w:ascii="Times New Roman"/>
          <w:szCs w:val="28"/>
          <w:highlight w:val="none"/>
        </w:rPr>
      </w:pPr>
      <w:r>
        <w:rPr>
          <w:rFonts w:hint="eastAsia" w:ascii="Times New Roman"/>
          <w:szCs w:val="28"/>
          <w:highlight w:val="none"/>
        </w:rPr>
        <w:t>产品的晶体结构用X射线粉末衍射仪检测。</w:t>
      </w:r>
    </w:p>
    <w:p>
      <w:pPr>
        <w:pStyle w:val="42"/>
        <w:keepNext w:val="0"/>
        <w:keepLines w:val="0"/>
        <w:pageBreakBefore w:val="0"/>
        <w:widowControl/>
        <w:kinsoku/>
        <w:wordWrap/>
        <w:overflowPunct/>
        <w:topLinePunct w:val="0"/>
        <w:autoSpaceDE/>
        <w:autoSpaceDN/>
        <w:bidi w:val="0"/>
        <w:adjustRightInd/>
        <w:snapToGrid/>
        <w:spacing w:before="157" w:beforeLines="50" w:after="157" w:afterLines="50"/>
        <w:textAlignment w:val="auto"/>
        <w:outlineLvl w:val="9"/>
        <w:rPr>
          <w:rFonts w:hint="eastAsia" w:hAnsi="黑体" w:cs="黑体"/>
          <w:szCs w:val="21"/>
          <w:highlight w:val="none"/>
        </w:rPr>
      </w:pPr>
      <w:r>
        <w:rPr>
          <w:rFonts w:hint="eastAsia" w:hAnsi="黑体" w:cs="黑体"/>
          <w:szCs w:val="21"/>
          <w:highlight w:val="none"/>
          <w:lang w:val="en-US" w:eastAsia="zh-CN"/>
        </w:rPr>
        <w:t>5.5  磁性异物</w:t>
      </w:r>
    </w:p>
    <w:p>
      <w:pPr>
        <w:pStyle w:val="79"/>
        <w:numPr>
          <w:ilvl w:val="0"/>
          <w:numId w:val="0"/>
        </w:numPr>
        <w:spacing w:before="156" w:beforeLines="50" w:after="156" w:afterLines="50"/>
        <w:ind w:leftChars="0" w:firstLine="420" w:firstLineChars="200"/>
        <w:outlineLvl w:val="2"/>
        <w:rPr>
          <w:rFonts w:hint="default" w:ascii="Times New Roman" w:hAnsi="Times New Roman" w:eastAsia="宋体" w:cs="Times New Roman"/>
          <w:szCs w:val="28"/>
          <w:highlight w:val="none"/>
          <w:lang w:val="en-US"/>
        </w:rPr>
      </w:pPr>
      <w:r>
        <w:rPr>
          <w:rFonts w:hint="eastAsia"/>
          <w:sz w:val="21"/>
          <w:szCs w:val="21"/>
          <w:highlight w:val="none"/>
        </w:rPr>
        <w:t>产品</w:t>
      </w:r>
      <w:r>
        <w:rPr>
          <w:rFonts w:hint="eastAsia" w:ascii="Times New Roman" w:hAnsi="Times New Roman" w:eastAsia="宋体" w:cs="Times New Roman"/>
          <w:szCs w:val="28"/>
          <w:highlight w:val="none"/>
          <w:lang w:val="en-US" w:eastAsia="zh-CN"/>
        </w:rPr>
        <w:t>中磁性异物</w:t>
      </w:r>
      <w:r>
        <w:rPr>
          <w:rFonts w:hint="eastAsia" w:cs="Times New Roman"/>
          <w:szCs w:val="28"/>
          <w:highlight w:val="none"/>
          <w:lang w:val="en-US" w:eastAsia="zh-CN"/>
        </w:rPr>
        <w:t>的测定按</w:t>
      </w:r>
      <w:r>
        <w:rPr>
          <w:rFonts w:hint="eastAsia" w:ascii="Times New Roman" w:hAnsi="Times New Roman" w:eastAsia="宋体" w:cs="Times New Roman"/>
          <w:szCs w:val="28"/>
          <w:highlight w:val="none"/>
          <w:lang w:val="en-US" w:eastAsia="zh-CN"/>
        </w:rPr>
        <w:t>GB/T 41704的</w:t>
      </w:r>
      <w:r>
        <w:rPr>
          <w:rFonts w:hint="eastAsia" w:cs="Times New Roman"/>
          <w:szCs w:val="28"/>
          <w:highlight w:val="none"/>
          <w:lang w:val="en-US" w:eastAsia="zh-CN"/>
        </w:rPr>
        <w:t>规定进行</w:t>
      </w:r>
      <w:r>
        <w:rPr>
          <w:rFonts w:hint="eastAsia" w:ascii="Times New Roman" w:hAnsi="Times New Roman" w:eastAsia="宋体" w:cs="Times New Roman"/>
          <w:szCs w:val="28"/>
          <w:highlight w:val="none"/>
          <w:lang w:val="en-US" w:eastAsia="zh-CN"/>
        </w:rPr>
        <w:t>。</w:t>
      </w:r>
    </w:p>
    <w:p>
      <w:pPr>
        <w:pStyle w:val="42"/>
        <w:keepNext w:val="0"/>
        <w:keepLines w:val="0"/>
        <w:pageBreakBefore w:val="0"/>
        <w:widowControl/>
        <w:kinsoku/>
        <w:wordWrap/>
        <w:overflowPunct/>
        <w:topLinePunct w:val="0"/>
        <w:autoSpaceDE/>
        <w:autoSpaceDN/>
        <w:bidi w:val="0"/>
        <w:adjustRightInd/>
        <w:snapToGrid/>
        <w:spacing w:before="157" w:beforeLines="50" w:after="157" w:afterLines="50"/>
        <w:textAlignment w:val="auto"/>
        <w:outlineLvl w:val="9"/>
        <w:rPr>
          <w:rFonts w:hint="eastAsia" w:hAnsi="黑体" w:cs="黑体"/>
          <w:szCs w:val="21"/>
          <w:highlight w:val="none"/>
        </w:rPr>
      </w:pPr>
      <w:r>
        <w:rPr>
          <w:rFonts w:hint="eastAsia" w:hAnsi="黑体" w:cs="黑体"/>
          <w:szCs w:val="21"/>
          <w:highlight w:val="none"/>
          <w:lang w:val="en-US" w:eastAsia="zh-CN"/>
        </w:rPr>
        <w:t>5.6  残余钠</w:t>
      </w:r>
    </w:p>
    <w:p>
      <w:pPr>
        <w:pStyle w:val="79"/>
        <w:numPr>
          <w:ilvl w:val="0"/>
          <w:numId w:val="0"/>
        </w:numPr>
        <w:spacing w:before="156" w:beforeLines="50" w:after="156" w:afterLines="50"/>
        <w:ind w:leftChars="0" w:firstLine="420" w:firstLineChars="200"/>
        <w:outlineLvl w:val="2"/>
        <w:rPr>
          <w:b/>
          <w:bCs/>
          <w:szCs w:val="21"/>
          <w:highlight w:val="none"/>
        </w:rPr>
      </w:pPr>
      <w:r>
        <w:rPr>
          <w:rFonts w:hint="eastAsia" w:ascii="Times New Roman" w:hAnsi="Times New Roman" w:eastAsia="宋体" w:cs="Times New Roman"/>
          <w:szCs w:val="28"/>
          <w:highlight w:val="none"/>
          <w:lang w:val="en-US" w:eastAsia="zh-CN"/>
        </w:rPr>
        <w:t>产品中</w:t>
      </w:r>
      <w:r>
        <w:rPr>
          <w:rFonts w:hint="eastAsia" w:cs="Times New Roman"/>
          <w:szCs w:val="28"/>
          <w:highlight w:val="none"/>
          <w:lang w:val="en-US" w:eastAsia="zh-CN"/>
        </w:rPr>
        <w:t>残余钠的测定按</w:t>
      </w:r>
      <w:r>
        <w:rPr>
          <w:rFonts w:hint="eastAsia" w:ascii="Times New Roman" w:hAnsi="Times New Roman" w:eastAsia="宋体" w:cs="Times New Roman"/>
          <w:szCs w:val="28"/>
          <w:highlight w:val="none"/>
          <w:lang w:val="en-US" w:eastAsia="zh-CN"/>
        </w:rPr>
        <w:t>GB/T 41704的</w:t>
      </w:r>
      <w:r>
        <w:rPr>
          <w:rFonts w:hint="eastAsia" w:cs="Times New Roman"/>
          <w:szCs w:val="28"/>
          <w:highlight w:val="none"/>
          <w:lang w:val="en-US" w:eastAsia="zh-CN"/>
        </w:rPr>
        <w:t>规定进行</w:t>
      </w:r>
      <w:r>
        <w:rPr>
          <w:rFonts w:hint="eastAsia" w:ascii="Times New Roman" w:hAnsi="Times New Roman" w:eastAsia="宋体" w:cs="Times New Roman"/>
          <w:szCs w:val="28"/>
          <w:highlight w:val="none"/>
          <w:lang w:val="en-US" w:eastAsia="zh-CN"/>
        </w:rPr>
        <w:t>。</w:t>
      </w:r>
    </w:p>
    <w:p>
      <w:pPr>
        <w:pStyle w:val="42"/>
        <w:keepNext w:val="0"/>
        <w:keepLines w:val="0"/>
        <w:pageBreakBefore w:val="0"/>
        <w:widowControl/>
        <w:kinsoku/>
        <w:wordWrap/>
        <w:overflowPunct/>
        <w:topLinePunct w:val="0"/>
        <w:autoSpaceDE/>
        <w:autoSpaceDN/>
        <w:bidi w:val="0"/>
        <w:adjustRightInd/>
        <w:snapToGrid/>
        <w:spacing w:before="157" w:beforeLines="50" w:after="157" w:afterLines="50"/>
        <w:textAlignment w:val="auto"/>
        <w:outlineLvl w:val="9"/>
        <w:rPr>
          <w:rFonts w:hint="eastAsia" w:hAnsi="黑体" w:cs="黑体"/>
          <w:szCs w:val="21"/>
          <w:highlight w:val="none"/>
        </w:rPr>
      </w:pPr>
      <w:r>
        <w:rPr>
          <w:rFonts w:hint="eastAsia" w:hAnsi="黑体" w:cs="黑体"/>
          <w:szCs w:val="21"/>
          <w:highlight w:val="none"/>
          <w:lang w:val="en-US" w:eastAsia="zh-CN"/>
        </w:rPr>
        <w:t>5.7  振实</w:t>
      </w:r>
      <w:r>
        <w:rPr>
          <w:rFonts w:hint="eastAsia" w:hAnsi="黑体" w:cs="黑体"/>
          <w:szCs w:val="21"/>
          <w:highlight w:val="none"/>
        </w:rPr>
        <w:t>密度</w:t>
      </w:r>
    </w:p>
    <w:p>
      <w:pPr>
        <w:ind w:firstLine="420" w:firstLineChars="200"/>
        <w:jc w:val="both"/>
        <w:rPr>
          <w:sz w:val="21"/>
          <w:szCs w:val="21"/>
          <w:highlight w:val="none"/>
        </w:rPr>
      </w:pPr>
      <w:r>
        <w:rPr>
          <w:rFonts w:hint="eastAsia"/>
          <w:sz w:val="21"/>
          <w:szCs w:val="21"/>
          <w:highlight w:val="none"/>
        </w:rPr>
        <w:t>产品压实密度的测定按GB/T 5162的规定进行。</w:t>
      </w:r>
    </w:p>
    <w:p>
      <w:pPr>
        <w:pStyle w:val="42"/>
        <w:keepNext w:val="0"/>
        <w:keepLines w:val="0"/>
        <w:pageBreakBefore w:val="0"/>
        <w:widowControl/>
        <w:kinsoku/>
        <w:wordWrap/>
        <w:overflowPunct/>
        <w:topLinePunct w:val="0"/>
        <w:autoSpaceDE/>
        <w:autoSpaceDN/>
        <w:bidi w:val="0"/>
        <w:adjustRightInd/>
        <w:snapToGrid/>
        <w:spacing w:before="157" w:beforeLines="50" w:after="157" w:afterLines="50"/>
        <w:textAlignment w:val="auto"/>
        <w:outlineLvl w:val="9"/>
        <w:rPr>
          <w:rFonts w:hint="eastAsia" w:hAnsi="黑体" w:cs="黑体"/>
          <w:szCs w:val="21"/>
          <w:highlight w:val="none"/>
        </w:rPr>
      </w:pPr>
      <w:r>
        <w:rPr>
          <w:rFonts w:hint="eastAsia" w:hAnsi="黑体" w:cs="黑体"/>
          <w:szCs w:val="21"/>
          <w:highlight w:val="none"/>
          <w:lang w:val="en-US" w:eastAsia="zh-CN"/>
        </w:rPr>
        <w:t xml:space="preserve">5.8  </w:t>
      </w:r>
      <w:r>
        <w:rPr>
          <w:rFonts w:hint="eastAsia" w:hAnsi="黑体" w:cs="黑体"/>
          <w:szCs w:val="21"/>
          <w:highlight w:val="none"/>
        </w:rPr>
        <w:t>粒度分布</w:t>
      </w:r>
    </w:p>
    <w:p>
      <w:pPr>
        <w:ind w:firstLine="420" w:firstLineChars="200"/>
        <w:jc w:val="both"/>
        <w:rPr>
          <w:sz w:val="21"/>
          <w:szCs w:val="21"/>
          <w:highlight w:val="none"/>
        </w:rPr>
      </w:pPr>
      <w:r>
        <w:rPr>
          <w:rFonts w:hint="eastAsia"/>
          <w:sz w:val="21"/>
          <w:szCs w:val="21"/>
          <w:highlight w:val="none"/>
        </w:rPr>
        <w:t>产品粒度分布的测定按GB/T 19077的规定进行。</w:t>
      </w:r>
    </w:p>
    <w:p>
      <w:pPr>
        <w:pStyle w:val="42"/>
        <w:keepNext w:val="0"/>
        <w:keepLines w:val="0"/>
        <w:pageBreakBefore w:val="0"/>
        <w:widowControl/>
        <w:kinsoku/>
        <w:wordWrap/>
        <w:overflowPunct/>
        <w:topLinePunct w:val="0"/>
        <w:autoSpaceDE/>
        <w:autoSpaceDN/>
        <w:bidi w:val="0"/>
        <w:adjustRightInd/>
        <w:snapToGrid/>
        <w:spacing w:before="157" w:beforeLines="50" w:after="157" w:afterLines="50"/>
        <w:textAlignment w:val="auto"/>
        <w:outlineLvl w:val="9"/>
        <w:rPr>
          <w:rFonts w:hint="eastAsia" w:hAnsi="黑体" w:cs="黑体"/>
          <w:szCs w:val="21"/>
          <w:highlight w:val="none"/>
        </w:rPr>
      </w:pPr>
      <w:r>
        <w:rPr>
          <w:rFonts w:hint="eastAsia" w:hAnsi="黑体" w:cs="黑体"/>
          <w:szCs w:val="21"/>
          <w:highlight w:val="none"/>
          <w:lang w:val="en-US" w:eastAsia="zh-CN"/>
        </w:rPr>
        <w:t xml:space="preserve">5.9  </w:t>
      </w:r>
      <w:r>
        <w:rPr>
          <w:rFonts w:hint="eastAsia" w:hAnsi="黑体" w:cs="黑体"/>
          <w:szCs w:val="21"/>
          <w:highlight w:val="none"/>
        </w:rPr>
        <w:t>比表面积</w:t>
      </w:r>
    </w:p>
    <w:p>
      <w:pPr>
        <w:ind w:firstLine="420" w:firstLineChars="200"/>
        <w:jc w:val="both"/>
        <w:rPr>
          <w:sz w:val="21"/>
          <w:szCs w:val="21"/>
          <w:highlight w:val="none"/>
        </w:rPr>
      </w:pPr>
      <w:r>
        <w:rPr>
          <w:rFonts w:hint="eastAsia"/>
          <w:sz w:val="21"/>
          <w:szCs w:val="21"/>
          <w:highlight w:val="none"/>
        </w:rPr>
        <w:t>产品比表面积的测定按GB/T 19587的规定进行。</w:t>
      </w:r>
    </w:p>
    <w:p>
      <w:pPr>
        <w:pStyle w:val="42"/>
        <w:keepNext w:val="0"/>
        <w:keepLines w:val="0"/>
        <w:pageBreakBefore w:val="0"/>
        <w:widowControl/>
        <w:kinsoku/>
        <w:wordWrap/>
        <w:overflowPunct/>
        <w:topLinePunct w:val="0"/>
        <w:autoSpaceDE/>
        <w:autoSpaceDN/>
        <w:bidi w:val="0"/>
        <w:adjustRightInd/>
        <w:snapToGrid/>
        <w:spacing w:before="157" w:beforeLines="50" w:after="157" w:afterLines="50"/>
        <w:textAlignment w:val="auto"/>
        <w:outlineLvl w:val="9"/>
        <w:rPr>
          <w:rFonts w:hint="eastAsia" w:hAnsi="黑体" w:cs="黑体"/>
          <w:szCs w:val="21"/>
          <w:highlight w:val="none"/>
        </w:rPr>
      </w:pPr>
      <w:r>
        <w:rPr>
          <w:rFonts w:hint="eastAsia" w:hAnsi="黑体" w:cs="黑体"/>
          <w:szCs w:val="21"/>
          <w:highlight w:val="none"/>
          <w:lang w:val="en-US" w:eastAsia="zh-CN"/>
        </w:rPr>
        <w:t xml:space="preserve">5.10  </w:t>
      </w:r>
      <w:r>
        <w:rPr>
          <w:rFonts w:hint="eastAsia" w:hAnsi="黑体" w:cs="黑体"/>
          <w:szCs w:val="21"/>
          <w:highlight w:val="none"/>
        </w:rPr>
        <w:t>pH值</w:t>
      </w:r>
    </w:p>
    <w:p>
      <w:pPr>
        <w:ind w:firstLine="420" w:firstLineChars="200"/>
        <w:jc w:val="both"/>
        <w:rPr>
          <w:rFonts w:hint="eastAsia" w:ascii="Times New Roman" w:eastAsia="黑体"/>
          <w:szCs w:val="21"/>
          <w:highlight w:val="none"/>
        </w:rPr>
      </w:pPr>
      <w:r>
        <w:rPr>
          <w:rFonts w:hint="eastAsia"/>
          <w:sz w:val="21"/>
          <w:szCs w:val="21"/>
          <w:highlight w:val="none"/>
        </w:rPr>
        <w:t>产品pH值的测定按</w:t>
      </w:r>
      <w:r>
        <w:rPr>
          <w:rFonts w:hint="eastAsia"/>
        </w:rPr>
        <w:t>GB/T 9724</w:t>
      </w:r>
      <w:r>
        <w:rPr>
          <w:rFonts w:hint="eastAsia"/>
          <w:sz w:val="21"/>
          <w:szCs w:val="21"/>
          <w:highlight w:val="none"/>
        </w:rPr>
        <w:t>的规定进行。</w:t>
      </w:r>
    </w:p>
    <w:p>
      <w:pPr>
        <w:pStyle w:val="32"/>
        <w:keepNext w:val="0"/>
        <w:keepLines w:val="0"/>
        <w:pageBreakBefore w:val="0"/>
        <w:widowControl/>
        <w:kinsoku/>
        <w:wordWrap/>
        <w:overflowPunct/>
        <w:topLinePunct w:val="0"/>
        <w:autoSpaceDE w:val="0"/>
        <w:autoSpaceDN w:val="0"/>
        <w:bidi w:val="0"/>
        <w:adjustRightInd/>
        <w:snapToGrid/>
        <w:spacing w:before="156" w:beforeLines="50" w:after="156" w:afterLines="50"/>
        <w:ind w:firstLine="0" w:firstLineChars="0"/>
        <w:textAlignment w:val="auto"/>
        <w:outlineLvl w:val="1"/>
        <w:rPr>
          <w:rFonts w:hint="default" w:ascii="黑体" w:hAnsi="黑体" w:eastAsia="黑体" w:cs="黑体"/>
          <w:kern w:val="2"/>
          <w:szCs w:val="21"/>
          <w:highlight w:val="none"/>
          <w:lang w:val="en-US" w:eastAsia="zh-CN"/>
        </w:rPr>
      </w:pPr>
      <w:r>
        <w:rPr>
          <w:rFonts w:hint="eastAsia" w:ascii="黑体" w:hAnsi="黑体" w:eastAsia="黑体" w:cs="黑体"/>
          <w:kern w:val="2"/>
          <w:szCs w:val="21"/>
          <w:highlight w:val="none"/>
          <w:lang w:val="en-US" w:eastAsia="zh-CN"/>
        </w:rPr>
        <w:t>5.11  电化学性能</w:t>
      </w:r>
    </w:p>
    <w:p>
      <w:pPr>
        <w:pStyle w:val="42"/>
        <w:keepNext w:val="0"/>
        <w:keepLines w:val="0"/>
        <w:pageBreakBefore w:val="0"/>
        <w:widowControl/>
        <w:kinsoku/>
        <w:wordWrap/>
        <w:overflowPunct/>
        <w:topLinePunct w:val="0"/>
        <w:autoSpaceDE/>
        <w:autoSpaceDN/>
        <w:bidi w:val="0"/>
        <w:adjustRightInd/>
        <w:snapToGrid/>
        <w:spacing w:before="157" w:beforeLines="50" w:after="157" w:afterLines="50"/>
        <w:textAlignment w:val="auto"/>
        <w:outlineLvl w:val="9"/>
        <w:rPr>
          <w:rFonts w:hint="eastAsia" w:hAnsi="黑体" w:cs="黑体"/>
          <w:szCs w:val="21"/>
          <w:highlight w:val="none"/>
          <w:lang w:val="en-US" w:eastAsia="zh-CN"/>
        </w:rPr>
      </w:pPr>
      <w:r>
        <w:rPr>
          <w:rFonts w:hint="eastAsia" w:hAnsi="黑体" w:cs="黑体"/>
          <w:szCs w:val="21"/>
          <w:highlight w:val="none"/>
          <w:lang w:val="en-US" w:eastAsia="zh-CN"/>
        </w:rPr>
        <w:t>5.11.1  首次放电比容量</w:t>
      </w:r>
    </w:p>
    <w:p>
      <w:pPr>
        <w:pStyle w:val="79"/>
        <w:numPr>
          <w:ilvl w:val="0"/>
          <w:numId w:val="0"/>
        </w:numPr>
        <w:spacing w:before="156" w:beforeLines="50" w:after="156" w:afterLines="50"/>
        <w:ind w:leftChars="0" w:firstLine="420" w:firstLineChars="200"/>
        <w:outlineLvl w:val="2"/>
        <w:rPr>
          <w:rFonts w:hint="eastAsia" w:ascii="Times New Roman" w:eastAsia="黑体"/>
          <w:szCs w:val="21"/>
          <w:highlight w:val="none"/>
        </w:rPr>
      </w:pPr>
      <w:r>
        <w:rPr>
          <w:rFonts w:hint="eastAsia" w:ascii="Times New Roman"/>
          <w:highlight w:val="none"/>
          <w:lang w:val="en-US" w:eastAsia="zh-CN"/>
        </w:rPr>
        <w:t>产品的首次充电比容量的测定按GB/T 23365规定进行。</w:t>
      </w:r>
    </w:p>
    <w:p>
      <w:pPr>
        <w:pStyle w:val="42"/>
        <w:keepNext w:val="0"/>
        <w:keepLines w:val="0"/>
        <w:pageBreakBefore w:val="0"/>
        <w:widowControl/>
        <w:kinsoku/>
        <w:wordWrap/>
        <w:overflowPunct/>
        <w:topLinePunct w:val="0"/>
        <w:autoSpaceDE/>
        <w:autoSpaceDN/>
        <w:bidi w:val="0"/>
        <w:adjustRightInd/>
        <w:snapToGrid/>
        <w:spacing w:before="157" w:beforeLines="50" w:after="157" w:afterLines="50"/>
        <w:textAlignment w:val="auto"/>
        <w:outlineLvl w:val="9"/>
        <w:rPr>
          <w:rFonts w:hint="eastAsia" w:hAnsi="黑体" w:cs="黑体"/>
          <w:szCs w:val="21"/>
          <w:highlight w:val="none"/>
          <w:lang w:val="en-US" w:eastAsia="zh-CN"/>
        </w:rPr>
      </w:pPr>
      <w:r>
        <w:rPr>
          <w:rFonts w:hint="eastAsia" w:hAnsi="黑体" w:cs="黑体"/>
          <w:szCs w:val="21"/>
          <w:highlight w:val="none"/>
          <w:lang w:val="en-US" w:eastAsia="zh-CN"/>
        </w:rPr>
        <w:t>5.11.2  首次充放电效率</w:t>
      </w:r>
    </w:p>
    <w:p>
      <w:pPr>
        <w:pStyle w:val="32"/>
        <w:keepNext w:val="0"/>
        <w:keepLines w:val="0"/>
        <w:pageBreakBefore w:val="0"/>
        <w:widowControl/>
        <w:kinsoku/>
        <w:wordWrap/>
        <w:overflowPunct/>
        <w:topLinePunct w:val="0"/>
        <w:autoSpaceDE w:val="0"/>
        <w:autoSpaceDN w:val="0"/>
        <w:bidi w:val="0"/>
        <w:adjustRightInd/>
        <w:snapToGrid/>
        <w:ind w:firstLine="420" w:firstLineChars="200"/>
        <w:textAlignment w:val="auto"/>
        <w:rPr>
          <w:rFonts w:hint="eastAsia" w:ascii="Times New Roman" w:eastAsia="黑体"/>
          <w:szCs w:val="21"/>
          <w:highlight w:val="none"/>
        </w:rPr>
      </w:pPr>
      <w:r>
        <w:rPr>
          <w:rFonts w:hint="eastAsia" w:ascii="Times New Roman"/>
          <w:highlight w:val="none"/>
          <w:lang w:val="en-US" w:eastAsia="zh-CN"/>
        </w:rPr>
        <w:t>产品的首次充电比容量的测定按GB/T 23365规定进行。</w:t>
      </w:r>
    </w:p>
    <w:p>
      <w:pPr>
        <w:pStyle w:val="42"/>
        <w:keepNext w:val="0"/>
        <w:keepLines w:val="0"/>
        <w:pageBreakBefore w:val="0"/>
        <w:widowControl/>
        <w:kinsoku/>
        <w:wordWrap/>
        <w:overflowPunct/>
        <w:topLinePunct w:val="0"/>
        <w:autoSpaceDE/>
        <w:autoSpaceDN/>
        <w:bidi w:val="0"/>
        <w:adjustRightInd/>
        <w:snapToGrid/>
        <w:spacing w:before="157" w:beforeLines="50" w:after="157" w:afterLines="50"/>
        <w:textAlignment w:val="auto"/>
        <w:outlineLvl w:val="9"/>
        <w:rPr>
          <w:rFonts w:hint="eastAsia" w:hAnsi="黑体" w:cs="黑体"/>
          <w:szCs w:val="21"/>
          <w:highlight w:val="none"/>
          <w:lang w:val="en-US" w:eastAsia="zh-CN"/>
        </w:rPr>
      </w:pPr>
      <w:r>
        <w:rPr>
          <w:rFonts w:hint="eastAsia" w:hAnsi="黑体" w:cs="黑体"/>
          <w:szCs w:val="21"/>
          <w:highlight w:val="none"/>
          <w:lang w:val="en-US" w:eastAsia="zh-CN"/>
        </w:rPr>
        <w:t>5.11.3  循环寿命</w:t>
      </w:r>
    </w:p>
    <w:p>
      <w:pPr>
        <w:pStyle w:val="32"/>
        <w:keepNext w:val="0"/>
        <w:keepLines w:val="0"/>
        <w:pageBreakBefore w:val="0"/>
        <w:widowControl/>
        <w:kinsoku/>
        <w:wordWrap/>
        <w:overflowPunct/>
        <w:topLinePunct w:val="0"/>
        <w:autoSpaceDE w:val="0"/>
        <w:autoSpaceDN w:val="0"/>
        <w:bidi w:val="0"/>
        <w:adjustRightInd/>
        <w:snapToGrid/>
        <w:ind w:firstLine="420" w:firstLineChars="200"/>
        <w:textAlignment w:val="auto"/>
        <w:rPr>
          <w:rFonts w:hint="eastAsia" w:ascii="Times New Roman" w:hAnsi="Times New Roman" w:cs="Times New Roman"/>
          <w:highlight w:val="none"/>
          <w:lang w:val="en-US" w:eastAsia="zh-CN"/>
        </w:rPr>
      </w:pPr>
      <w:r>
        <w:rPr>
          <w:rFonts w:hint="eastAsia" w:ascii="Times New Roman" w:hAnsi="Times New Roman" w:cs="Times New Roman"/>
          <w:highlight w:val="none"/>
          <w:lang w:val="en-US" w:eastAsia="zh-CN"/>
        </w:rPr>
        <w:t>产品的循环寿命的测定按GB/T39861规定进行。</w:t>
      </w:r>
    </w:p>
    <w:p>
      <w:pPr>
        <w:pStyle w:val="42"/>
        <w:spacing w:before="312" w:beforeLines="100" w:after="312" w:afterLines="100"/>
        <w:rPr>
          <w:rFonts w:hAnsi="黑体" w:cs="黑体"/>
          <w:bCs/>
          <w:highlight w:val="none"/>
        </w:rPr>
      </w:pPr>
      <w:r>
        <w:rPr>
          <w:rFonts w:hint="eastAsia" w:hAnsi="黑体" w:cs="黑体"/>
          <w:bCs/>
          <w:highlight w:val="none"/>
        </w:rPr>
        <w:t xml:space="preserve">6 </w:t>
      </w:r>
      <w:r>
        <w:rPr>
          <w:rFonts w:hint="eastAsia" w:hAnsi="黑体" w:cs="黑体"/>
          <w:bCs/>
          <w:highlight w:val="none"/>
          <w:lang w:val="en-US" w:eastAsia="zh-CN"/>
        </w:rPr>
        <w:t xml:space="preserve"> </w:t>
      </w:r>
      <w:r>
        <w:rPr>
          <w:rFonts w:hint="eastAsia" w:hAnsi="黑体" w:cs="黑体"/>
          <w:bCs/>
          <w:highlight w:val="none"/>
        </w:rPr>
        <w:t>检验规则</w:t>
      </w:r>
    </w:p>
    <w:p>
      <w:pPr>
        <w:pStyle w:val="32"/>
        <w:spacing w:before="156" w:beforeLines="50" w:after="156" w:afterLines="50"/>
        <w:ind w:firstLine="0" w:firstLineChars="0"/>
        <w:outlineLvl w:val="1"/>
        <w:rPr>
          <w:rFonts w:hint="eastAsia" w:ascii="黑体" w:hAnsi="黑体" w:eastAsia="黑体" w:cs="黑体"/>
          <w:kern w:val="2"/>
          <w:szCs w:val="21"/>
          <w:highlight w:val="none"/>
        </w:rPr>
      </w:pPr>
      <w:r>
        <w:rPr>
          <w:rFonts w:hint="eastAsia" w:ascii="黑体" w:hAnsi="黑体" w:eastAsia="黑体" w:cs="黑体"/>
          <w:kern w:val="2"/>
          <w:szCs w:val="21"/>
          <w:highlight w:val="none"/>
        </w:rPr>
        <w:t xml:space="preserve">6.1 </w:t>
      </w:r>
      <w:r>
        <w:rPr>
          <w:rFonts w:hint="eastAsia" w:ascii="黑体" w:hAnsi="黑体" w:eastAsia="黑体" w:cs="黑体"/>
          <w:kern w:val="2"/>
          <w:szCs w:val="21"/>
          <w:highlight w:val="none"/>
          <w:lang w:val="en-US" w:eastAsia="zh-CN"/>
        </w:rPr>
        <w:t xml:space="preserve"> </w:t>
      </w:r>
      <w:r>
        <w:rPr>
          <w:rFonts w:hint="eastAsia" w:ascii="黑体" w:hAnsi="黑体" w:eastAsia="黑体" w:cs="黑体"/>
          <w:kern w:val="2"/>
          <w:szCs w:val="21"/>
          <w:highlight w:val="none"/>
        </w:rPr>
        <w:t>检查和验收</w:t>
      </w:r>
    </w:p>
    <w:p>
      <w:pPr>
        <w:pStyle w:val="32"/>
        <w:ind w:firstLine="0" w:firstLineChars="0"/>
        <w:rPr>
          <w:rFonts w:ascii="Times New Roman"/>
          <w:highlight w:val="none"/>
        </w:rPr>
      </w:pPr>
      <w:r>
        <w:rPr>
          <w:rFonts w:hint="eastAsia" w:ascii="黑体" w:hAnsi="黑体" w:eastAsia="黑体" w:cs="黑体"/>
          <w:szCs w:val="21"/>
          <w:highlight w:val="none"/>
        </w:rPr>
        <w:t xml:space="preserve">6.1.1 </w:t>
      </w:r>
      <w:r>
        <w:rPr>
          <w:rFonts w:hint="eastAsia" w:ascii="Times New Roman" w:eastAsia="黑体"/>
          <w:highlight w:val="none"/>
        </w:rPr>
        <w:t xml:space="preserve"> </w:t>
      </w:r>
      <w:r>
        <w:rPr>
          <w:rFonts w:ascii="Times New Roman"/>
          <w:highlight w:val="none"/>
        </w:rPr>
        <w:t>产品由供方进行检验，保证产品质量符合本</w:t>
      </w:r>
      <w:r>
        <w:rPr>
          <w:rFonts w:hint="eastAsia" w:ascii="Times New Roman"/>
          <w:highlight w:val="none"/>
        </w:rPr>
        <w:t>文件及订货单</w:t>
      </w:r>
      <w:r>
        <w:rPr>
          <w:rFonts w:ascii="Times New Roman"/>
          <w:highlight w:val="none"/>
        </w:rPr>
        <w:t>的规定。</w:t>
      </w:r>
    </w:p>
    <w:p>
      <w:pPr>
        <w:pStyle w:val="32"/>
        <w:ind w:firstLine="0" w:firstLineChars="0"/>
        <w:rPr>
          <w:rFonts w:ascii="Times New Roman" w:eastAsia="黑体"/>
          <w:szCs w:val="21"/>
        </w:rPr>
      </w:pPr>
      <w:r>
        <w:rPr>
          <w:rFonts w:hint="eastAsia" w:ascii="黑体" w:hAnsi="黑体" w:eastAsia="黑体" w:cs="黑体"/>
          <w:szCs w:val="21"/>
          <w:highlight w:val="none"/>
        </w:rPr>
        <w:t xml:space="preserve">6.1.2 </w:t>
      </w:r>
      <w:r>
        <w:rPr>
          <w:rFonts w:hint="eastAsia" w:ascii="Times New Roman"/>
          <w:highlight w:val="none"/>
        </w:rPr>
        <w:t xml:space="preserve"> </w:t>
      </w:r>
      <w:r>
        <w:rPr>
          <w:rFonts w:ascii="Times New Roman"/>
          <w:highlight w:val="none"/>
        </w:rPr>
        <w:t>需方</w:t>
      </w:r>
      <w:r>
        <w:rPr>
          <w:rFonts w:hint="eastAsia" w:ascii="Times New Roman"/>
          <w:highlight w:val="none"/>
        </w:rPr>
        <w:t>可</w:t>
      </w:r>
      <w:r>
        <w:rPr>
          <w:rFonts w:ascii="Times New Roman"/>
          <w:highlight w:val="none"/>
        </w:rPr>
        <w:t>对收到的产品按本</w:t>
      </w:r>
      <w:r>
        <w:rPr>
          <w:rFonts w:hint="eastAsia" w:ascii="Times New Roman"/>
          <w:highlight w:val="none"/>
        </w:rPr>
        <w:t>文件</w:t>
      </w:r>
      <w:r>
        <w:rPr>
          <w:rFonts w:ascii="Times New Roman"/>
          <w:highlight w:val="none"/>
        </w:rPr>
        <w:t>的规定进行检验，</w:t>
      </w:r>
      <w:r>
        <w:rPr>
          <w:rFonts w:hint="eastAsia" w:ascii="Times New Roman"/>
          <w:highlight w:val="none"/>
        </w:rPr>
        <w:t>如</w:t>
      </w:r>
      <w:r>
        <w:rPr>
          <w:rFonts w:ascii="Times New Roman"/>
          <w:highlight w:val="none"/>
        </w:rPr>
        <w:t>检验结果与本</w:t>
      </w:r>
      <w:r>
        <w:rPr>
          <w:rFonts w:hint="eastAsia" w:ascii="Times New Roman"/>
          <w:highlight w:val="none"/>
        </w:rPr>
        <w:t>文件及订货单</w:t>
      </w:r>
      <w:r>
        <w:rPr>
          <w:rFonts w:ascii="Times New Roman"/>
          <w:highlight w:val="none"/>
        </w:rPr>
        <w:t>的规定不符时，应</w:t>
      </w:r>
      <w:r>
        <w:rPr>
          <w:rFonts w:hint="eastAsia" w:ascii="Times New Roman"/>
          <w:highlight w:val="none"/>
        </w:rPr>
        <w:t>以书面形式</w:t>
      </w:r>
      <w:r>
        <w:rPr>
          <w:rFonts w:ascii="Times New Roman"/>
          <w:highlight w:val="none"/>
        </w:rPr>
        <w:t>向供方提出，由供需双方协商解决。</w:t>
      </w:r>
      <w:r>
        <w:rPr>
          <w:rFonts w:hint="eastAsia" w:ascii="Times New Roman"/>
          <w:highlight w:val="none"/>
        </w:rPr>
        <w:t>属于外观质量的异议，应在收到产品之日起30 d内提出。</w:t>
      </w:r>
      <w:r>
        <w:rPr>
          <w:rFonts w:ascii="Times New Roman"/>
          <w:highlight w:val="none"/>
        </w:rPr>
        <w:t>如需仲裁，</w:t>
      </w:r>
      <w:r>
        <w:rPr>
          <w:rFonts w:hint="eastAsia" w:ascii="Times New Roman"/>
          <w:highlight w:val="none"/>
        </w:rPr>
        <w:t>应</w:t>
      </w:r>
      <w:r>
        <w:rPr>
          <w:rFonts w:ascii="Times New Roman"/>
          <w:highlight w:val="none"/>
        </w:rPr>
        <w:t>由供需双方</w:t>
      </w:r>
      <w:r>
        <w:rPr>
          <w:rFonts w:hint="eastAsia" w:ascii="Times New Roman"/>
          <w:highlight w:val="none"/>
        </w:rPr>
        <w:t>在需方共同取样或协商</w:t>
      </w:r>
      <w:r>
        <w:rPr>
          <w:rFonts w:hint="eastAsia" w:ascii="Times New Roman"/>
        </w:rPr>
        <w:t>解决</w:t>
      </w:r>
      <w:r>
        <w:rPr>
          <w:rFonts w:ascii="Times New Roman"/>
        </w:rPr>
        <w:t>。</w:t>
      </w:r>
    </w:p>
    <w:p>
      <w:pPr>
        <w:pStyle w:val="32"/>
        <w:spacing w:before="156" w:beforeLines="50" w:after="156" w:afterLines="50"/>
        <w:ind w:firstLine="0" w:firstLineChars="0"/>
        <w:outlineLvl w:val="1"/>
        <w:rPr>
          <w:rFonts w:hint="eastAsia" w:ascii="黑体" w:hAnsi="黑体" w:eastAsia="黑体" w:cs="黑体"/>
          <w:kern w:val="2"/>
          <w:szCs w:val="21"/>
        </w:rPr>
      </w:pPr>
      <w:r>
        <w:rPr>
          <w:rFonts w:hint="eastAsia" w:ascii="黑体" w:hAnsi="黑体" w:eastAsia="黑体" w:cs="黑体"/>
          <w:kern w:val="2"/>
          <w:szCs w:val="21"/>
        </w:rPr>
        <w:t>6.2  组批</w:t>
      </w:r>
    </w:p>
    <w:p>
      <w:pPr>
        <w:widowControl/>
        <w:ind w:firstLine="420" w:firstLineChars="200"/>
        <w:jc w:val="left"/>
        <w:outlineLvl w:val="2"/>
        <w:rPr>
          <w:kern w:val="0"/>
        </w:rPr>
      </w:pPr>
      <w:r>
        <w:rPr>
          <w:kern w:val="0"/>
        </w:rPr>
        <w:t>生产企业用相同材料，基本相同的生产条件，连续生产或同一班组生产的</w:t>
      </w:r>
      <w:r>
        <w:rPr>
          <w:rFonts w:hint="eastAsia"/>
          <w:kern w:val="0"/>
        </w:rPr>
        <w:t>铜铁锰</w:t>
      </w:r>
      <w:r>
        <w:rPr>
          <w:rFonts w:hint="eastAsia"/>
          <w:kern w:val="0"/>
          <w:lang w:val="en-US" w:eastAsia="zh-CN"/>
        </w:rPr>
        <w:t>三</w:t>
      </w:r>
      <w:r>
        <w:rPr>
          <w:rFonts w:hint="eastAsia"/>
          <w:kern w:val="0"/>
        </w:rPr>
        <w:t>元素正极材料</w:t>
      </w:r>
      <w:r>
        <w:rPr>
          <w:kern w:val="0"/>
        </w:rPr>
        <w:t>为一批。每批产品不超过</w:t>
      </w:r>
      <w:r>
        <w:rPr>
          <w:rFonts w:hint="eastAsia"/>
          <w:color w:val="auto"/>
          <w:kern w:val="0"/>
        </w:rPr>
        <w:t>50t</w:t>
      </w:r>
      <w:r>
        <w:rPr>
          <w:color w:val="auto"/>
          <w:kern w:val="0"/>
        </w:rPr>
        <w:t>。</w:t>
      </w:r>
    </w:p>
    <w:p>
      <w:pPr>
        <w:pStyle w:val="32"/>
        <w:spacing w:before="156" w:beforeLines="50" w:after="156" w:afterLines="50"/>
        <w:ind w:firstLine="0" w:firstLineChars="0"/>
        <w:outlineLvl w:val="1"/>
        <w:rPr>
          <w:rFonts w:hint="eastAsia" w:ascii="黑体" w:hAnsi="黑体" w:eastAsia="黑体" w:cs="黑体"/>
          <w:kern w:val="2"/>
          <w:szCs w:val="21"/>
        </w:rPr>
      </w:pPr>
      <w:r>
        <w:rPr>
          <w:rFonts w:hint="eastAsia" w:ascii="黑体" w:hAnsi="黑体" w:eastAsia="黑体" w:cs="黑体"/>
          <w:kern w:val="2"/>
          <w:szCs w:val="21"/>
        </w:rPr>
        <w:t>6.3  检测项目和取样</w:t>
      </w:r>
    </w:p>
    <w:p>
      <w:pPr>
        <w:pStyle w:val="32"/>
        <w:ind w:firstLine="420" w:firstLineChars="0"/>
        <w:jc w:val="left"/>
        <w:rPr>
          <w:rFonts w:ascii="黑体" w:hAnsi="黑体" w:eastAsia="黑体" w:cs="黑体"/>
          <w:sz w:val="18"/>
          <w:szCs w:val="18"/>
        </w:rPr>
      </w:pPr>
      <w:r>
        <w:rPr>
          <w:rFonts w:hint="eastAsia" w:ascii="Times New Roman"/>
        </w:rPr>
        <w:t>每批产品出厂前应进行检验，产品的取样项目和取样方法应符合表</w:t>
      </w:r>
      <w:r>
        <w:rPr>
          <w:rFonts w:hint="eastAsia" w:ascii="Times New Roman"/>
          <w:lang w:val="en-US" w:eastAsia="zh-CN"/>
        </w:rPr>
        <w:t>3</w:t>
      </w:r>
      <w:r>
        <w:rPr>
          <w:rFonts w:hint="eastAsia" w:ascii="Times New Roman"/>
        </w:rPr>
        <w:t>的规定。</w:t>
      </w:r>
    </w:p>
    <w:p>
      <w:pPr>
        <w:pStyle w:val="32"/>
        <w:spacing w:before="156" w:beforeLines="50" w:after="156" w:afterLines="50"/>
        <w:ind w:firstLine="0" w:firstLineChars="0"/>
        <w:jc w:val="center"/>
        <w:rPr>
          <w:rFonts w:ascii="黑体" w:hAnsi="黑体" w:eastAsia="黑体" w:cs="黑体"/>
          <w:sz w:val="21"/>
          <w:szCs w:val="21"/>
        </w:rPr>
      </w:pPr>
      <w:r>
        <w:rPr>
          <w:rFonts w:hint="eastAsia" w:ascii="黑体" w:hAnsi="黑体" w:eastAsia="黑体" w:cs="黑体"/>
          <w:sz w:val="21"/>
          <w:szCs w:val="21"/>
        </w:rPr>
        <w:t xml:space="preserve">表 </w:t>
      </w:r>
      <w:r>
        <w:rPr>
          <w:rFonts w:hint="eastAsia" w:ascii="黑体" w:hAnsi="黑体" w:eastAsia="黑体" w:cs="黑体"/>
          <w:sz w:val="21"/>
          <w:szCs w:val="21"/>
          <w:lang w:val="en-US" w:eastAsia="zh-CN"/>
        </w:rPr>
        <w:t>3</w:t>
      </w:r>
      <w:r>
        <w:rPr>
          <w:rFonts w:hint="eastAsia" w:ascii="黑体" w:hAnsi="黑体" w:eastAsia="黑体" w:cs="黑体"/>
          <w:sz w:val="21"/>
          <w:szCs w:val="21"/>
        </w:rPr>
        <w:t xml:space="preserve">  检验项目</w:t>
      </w:r>
    </w:p>
    <w:tbl>
      <w:tblPr>
        <w:tblStyle w:val="16"/>
        <w:tblW w:w="95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4"/>
        <w:gridCol w:w="1914"/>
        <w:gridCol w:w="1914"/>
        <w:gridCol w:w="1916"/>
        <w:gridCol w:w="19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914" w:type="dxa"/>
            <w:vAlign w:val="center"/>
          </w:tcPr>
          <w:p>
            <w:pPr>
              <w:pStyle w:val="32"/>
              <w:ind w:firstLine="0" w:firstLineChars="0"/>
              <w:jc w:val="center"/>
              <w:rPr>
                <w:rFonts w:ascii="Times New Roman"/>
                <w:bCs/>
                <w:sz w:val="21"/>
                <w:szCs w:val="21"/>
              </w:rPr>
            </w:pPr>
            <w:r>
              <w:rPr>
                <w:rFonts w:ascii="Times New Roman"/>
                <w:bCs/>
                <w:sz w:val="21"/>
                <w:szCs w:val="21"/>
              </w:rPr>
              <w:t>检验项目</w:t>
            </w:r>
          </w:p>
        </w:tc>
        <w:tc>
          <w:tcPr>
            <w:tcW w:w="1914" w:type="dxa"/>
            <w:vAlign w:val="center"/>
          </w:tcPr>
          <w:p>
            <w:pPr>
              <w:pStyle w:val="32"/>
              <w:ind w:firstLine="0" w:firstLineChars="0"/>
              <w:jc w:val="center"/>
              <w:rPr>
                <w:rFonts w:ascii="Times New Roman"/>
                <w:bCs/>
                <w:sz w:val="21"/>
                <w:szCs w:val="21"/>
              </w:rPr>
            </w:pPr>
            <w:r>
              <w:rPr>
                <w:rFonts w:hint="eastAsia" w:ascii="Times New Roman"/>
                <w:bCs/>
                <w:sz w:val="21"/>
                <w:szCs w:val="21"/>
              </w:rPr>
              <w:t>取样数量</w:t>
            </w:r>
          </w:p>
        </w:tc>
        <w:tc>
          <w:tcPr>
            <w:tcW w:w="1914" w:type="dxa"/>
            <w:vAlign w:val="center"/>
          </w:tcPr>
          <w:p>
            <w:pPr>
              <w:pStyle w:val="32"/>
              <w:ind w:firstLine="0" w:firstLineChars="0"/>
              <w:jc w:val="center"/>
              <w:rPr>
                <w:rFonts w:ascii="Times New Roman"/>
                <w:bCs/>
                <w:sz w:val="21"/>
                <w:szCs w:val="21"/>
              </w:rPr>
            </w:pPr>
            <w:r>
              <w:rPr>
                <w:rFonts w:ascii="Times New Roman"/>
                <w:bCs/>
                <w:sz w:val="21"/>
                <w:szCs w:val="21"/>
              </w:rPr>
              <w:t>要求章节号</w:t>
            </w:r>
          </w:p>
        </w:tc>
        <w:tc>
          <w:tcPr>
            <w:tcW w:w="1916" w:type="dxa"/>
            <w:vAlign w:val="center"/>
          </w:tcPr>
          <w:p>
            <w:pPr>
              <w:pStyle w:val="32"/>
              <w:ind w:firstLine="0" w:firstLineChars="0"/>
              <w:jc w:val="center"/>
              <w:rPr>
                <w:rFonts w:ascii="Times New Roman"/>
                <w:bCs/>
                <w:sz w:val="21"/>
                <w:szCs w:val="21"/>
              </w:rPr>
            </w:pPr>
            <w:r>
              <w:rPr>
                <w:rFonts w:ascii="Times New Roman"/>
                <w:bCs/>
                <w:sz w:val="21"/>
                <w:szCs w:val="21"/>
              </w:rPr>
              <w:t>试验方法章节号</w:t>
            </w:r>
          </w:p>
        </w:tc>
        <w:tc>
          <w:tcPr>
            <w:tcW w:w="1916" w:type="dxa"/>
            <w:vAlign w:val="center"/>
          </w:tcPr>
          <w:p>
            <w:pPr>
              <w:pStyle w:val="32"/>
              <w:ind w:firstLine="0" w:firstLineChars="0"/>
              <w:jc w:val="center"/>
              <w:rPr>
                <w:rFonts w:ascii="Times New Roman"/>
                <w:bCs/>
                <w:sz w:val="21"/>
                <w:szCs w:val="21"/>
              </w:rPr>
            </w:pPr>
            <w:r>
              <w:rPr>
                <w:rFonts w:hint="eastAsia" w:ascii="Times New Roman"/>
                <w:bCs/>
                <w:sz w:val="21"/>
                <w:szCs w:val="21"/>
              </w:rPr>
              <w:t>检验类别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1914" w:type="dxa"/>
            <w:vAlign w:val="center"/>
          </w:tcPr>
          <w:p>
            <w:pPr>
              <w:pStyle w:val="32"/>
              <w:ind w:firstLine="0" w:firstLineChars="0"/>
              <w:jc w:val="center"/>
              <w:rPr>
                <w:rFonts w:ascii="Times New Roman"/>
                <w:bCs/>
                <w:sz w:val="21"/>
                <w:szCs w:val="21"/>
              </w:rPr>
            </w:pPr>
            <w:r>
              <w:rPr>
                <w:rFonts w:ascii="Times New Roman"/>
                <w:bCs/>
                <w:sz w:val="21"/>
                <w:szCs w:val="21"/>
              </w:rPr>
              <w:t>化学成分</w:t>
            </w:r>
          </w:p>
        </w:tc>
        <w:tc>
          <w:tcPr>
            <w:tcW w:w="1914" w:type="dxa"/>
            <w:vMerge w:val="restart"/>
            <w:vAlign w:val="center"/>
          </w:tcPr>
          <w:p>
            <w:pPr>
              <w:jc w:val="center"/>
              <w:rPr>
                <w:sz w:val="21"/>
                <w:szCs w:val="21"/>
              </w:rPr>
            </w:pPr>
            <w:r>
              <w:rPr>
                <w:rFonts w:hint="eastAsia"/>
                <w:sz w:val="21"/>
                <w:szCs w:val="21"/>
              </w:rPr>
              <w:t>每批1份</w:t>
            </w:r>
          </w:p>
        </w:tc>
        <w:tc>
          <w:tcPr>
            <w:tcW w:w="1914" w:type="dxa"/>
            <w:vAlign w:val="center"/>
          </w:tcPr>
          <w:p>
            <w:pPr>
              <w:pStyle w:val="32"/>
              <w:ind w:firstLine="0" w:firstLineChars="0"/>
              <w:jc w:val="center"/>
              <w:rPr>
                <w:rFonts w:ascii="Times New Roman"/>
                <w:bCs/>
                <w:sz w:val="21"/>
                <w:szCs w:val="21"/>
              </w:rPr>
            </w:pPr>
            <w:r>
              <w:rPr>
                <w:rFonts w:hint="eastAsia" w:ascii="Times New Roman"/>
                <w:bCs/>
                <w:sz w:val="21"/>
                <w:szCs w:val="21"/>
              </w:rPr>
              <w:t>4</w:t>
            </w:r>
            <w:r>
              <w:rPr>
                <w:rFonts w:ascii="Times New Roman"/>
                <w:bCs/>
                <w:sz w:val="21"/>
                <w:szCs w:val="21"/>
              </w:rPr>
              <w:t>.1</w:t>
            </w:r>
          </w:p>
        </w:tc>
        <w:tc>
          <w:tcPr>
            <w:tcW w:w="1916" w:type="dxa"/>
            <w:vAlign w:val="center"/>
          </w:tcPr>
          <w:p>
            <w:pPr>
              <w:pStyle w:val="32"/>
              <w:ind w:firstLine="0" w:firstLineChars="0"/>
              <w:jc w:val="center"/>
              <w:rPr>
                <w:rFonts w:ascii="Times New Roman"/>
                <w:bCs/>
                <w:sz w:val="21"/>
                <w:szCs w:val="21"/>
              </w:rPr>
            </w:pPr>
            <w:r>
              <w:rPr>
                <w:rFonts w:hint="eastAsia" w:ascii="Times New Roman"/>
                <w:bCs/>
                <w:sz w:val="21"/>
                <w:szCs w:val="21"/>
              </w:rPr>
              <w:t>5</w:t>
            </w:r>
            <w:r>
              <w:rPr>
                <w:rFonts w:ascii="Times New Roman"/>
                <w:bCs/>
                <w:sz w:val="21"/>
                <w:szCs w:val="21"/>
              </w:rPr>
              <w:t>.1</w:t>
            </w:r>
          </w:p>
        </w:tc>
        <w:tc>
          <w:tcPr>
            <w:tcW w:w="1916" w:type="dxa"/>
            <w:vMerge w:val="restart"/>
            <w:vAlign w:val="center"/>
          </w:tcPr>
          <w:p>
            <w:pPr>
              <w:pStyle w:val="32"/>
              <w:ind w:firstLine="0" w:firstLineChars="0"/>
              <w:jc w:val="center"/>
              <w:rPr>
                <w:rFonts w:ascii="Times New Roman"/>
                <w:bCs/>
                <w:sz w:val="21"/>
                <w:szCs w:val="21"/>
              </w:rPr>
            </w:pPr>
            <w:r>
              <w:rPr>
                <w:rFonts w:hint="eastAsia" w:ascii="Times New Roman"/>
                <w:bCs/>
                <w:sz w:val="21"/>
                <w:szCs w:val="21"/>
              </w:rPr>
              <w:t>逐批检验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1914" w:type="dxa"/>
            <w:vAlign w:val="center"/>
          </w:tcPr>
          <w:p>
            <w:pPr>
              <w:pStyle w:val="32"/>
              <w:ind w:firstLine="0" w:firstLineChars="0"/>
              <w:jc w:val="center"/>
              <w:rPr>
                <w:rFonts w:ascii="Times New Roman"/>
                <w:bCs/>
                <w:sz w:val="21"/>
                <w:szCs w:val="21"/>
              </w:rPr>
            </w:pPr>
            <w:r>
              <w:rPr>
                <w:rFonts w:ascii="Times New Roman"/>
                <w:bCs/>
                <w:sz w:val="21"/>
                <w:szCs w:val="21"/>
              </w:rPr>
              <w:t>水分</w:t>
            </w:r>
          </w:p>
        </w:tc>
        <w:tc>
          <w:tcPr>
            <w:tcW w:w="1914" w:type="dxa"/>
            <w:vMerge w:val="continue"/>
            <w:vAlign w:val="center"/>
          </w:tcPr>
          <w:p>
            <w:pPr>
              <w:jc w:val="center"/>
              <w:rPr>
                <w:bCs/>
                <w:color w:val="FF0000"/>
                <w:sz w:val="21"/>
                <w:szCs w:val="21"/>
                <w:highlight w:val="green"/>
              </w:rPr>
            </w:pPr>
          </w:p>
        </w:tc>
        <w:tc>
          <w:tcPr>
            <w:tcW w:w="1914" w:type="dxa"/>
            <w:vAlign w:val="center"/>
          </w:tcPr>
          <w:p>
            <w:pPr>
              <w:pStyle w:val="32"/>
              <w:ind w:firstLine="0" w:firstLineChars="0"/>
              <w:jc w:val="center"/>
              <w:rPr>
                <w:rFonts w:ascii="Times New Roman"/>
                <w:bCs/>
                <w:sz w:val="21"/>
                <w:szCs w:val="21"/>
              </w:rPr>
            </w:pPr>
            <w:r>
              <w:rPr>
                <w:rFonts w:hint="eastAsia" w:ascii="Times New Roman"/>
                <w:bCs/>
                <w:sz w:val="21"/>
                <w:szCs w:val="21"/>
              </w:rPr>
              <w:t>4</w:t>
            </w:r>
            <w:r>
              <w:rPr>
                <w:rFonts w:ascii="Times New Roman"/>
                <w:bCs/>
                <w:sz w:val="21"/>
                <w:szCs w:val="21"/>
              </w:rPr>
              <w:t>.2</w:t>
            </w:r>
          </w:p>
        </w:tc>
        <w:tc>
          <w:tcPr>
            <w:tcW w:w="1916" w:type="dxa"/>
            <w:vAlign w:val="center"/>
          </w:tcPr>
          <w:p>
            <w:pPr>
              <w:pStyle w:val="32"/>
              <w:ind w:firstLine="0" w:firstLineChars="0"/>
              <w:jc w:val="center"/>
              <w:rPr>
                <w:rFonts w:ascii="Times New Roman"/>
                <w:bCs/>
                <w:sz w:val="21"/>
                <w:szCs w:val="21"/>
              </w:rPr>
            </w:pPr>
            <w:r>
              <w:rPr>
                <w:rFonts w:hint="eastAsia" w:ascii="Times New Roman"/>
                <w:bCs/>
                <w:sz w:val="21"/>
                <w:szCs w:val="21"/>
              </w:rPr>
              <w:t>5</w:t>
            </w:r>
            <w:r>
              <w:rPr>
                <w:rFonts w:ascii="Times New Roman"/>
                <w:bCs/>
                <w:sz w:val="21"/>
                <w:szCs w:val="21"/>
              </w:rPr>
              <w:t>.2</w:t>
            </w:r>
          </w:p>
        </w:tc>
        <w:tc>
          <w:tcPr>
            <w:tcW w:w="1916" w:type="dxa"/>
            <w:vMerge w:val="continue"/>
            <w:vAlign w:val="center"/>
          </w:tcPr>
          <w:p>
            <w:pPr>
              <w:pStyle w:val="32"/>
              <w:ind w:firstLine="0" w:firstLineChars="0"/>
              <w:jc w:val="center"/>
              <w:rPr>
                <w:rFonts w:ascii="Times New Roman"/>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1914" w:type="dxa"/>
            <w:vAlign w:val="center"/>
          </w:tcPr>
          <w:p>
            <w:pPr>
              <w:pStyle w:val="32"/>
              <w:ind w:firstLine="0" w:firstLineChars="0"/>
              <w:jc w:val="center"/>
              <w:rPr>
                <w:rFonts w:ascii="Times New Roman"/>
                <w:bCs/>
                <w:sz w:val="21"/>
                <w:szCs w:val="21"/>
              </w:rPr>
            </w:pPr>
            <w:r>
              <w:rPr>
                <w:rFonts w:hint="eastAsia" w:ascii="Times New Roman"/>
                <w:bCs/>
                <w:sz w:val="21"/>
                <w:szCs w:val="21"/>
              </w:rPr>
              <w:t>外观质量</w:t>
            </w:r>
          </w:p>
        </w:tc>
        <w:tc>
          <w:tcPr>
            <w:tcW w:w="1914" w:type="dxa"/>
            <w:vAlign w:val="center"/>
          </w:tcPr>
          <w:p>
            <w:pPr>
              <w:jc w:val="center"/>
              <w:rPr>
                <w:bCs/>
                <w:color w:val="FF0000"/>
                <w:sz w:val="21"/>
                <w:szCs w:val="21"/>
                <w:highlight w:val="green"/>
              </w:rPr>
            </w:pPr>
            <w:r>
              <w:rPr>
                <w:rFonts w:hint="eastAsia"/>
                <w:sz w:val="21"/>
                <w:szCs w:val="21"/>
              </w:rPr>
              <w:t>逐袋</w:t>
            </w:r>
          </w:p>
        </w:tc>
        <w:tc>
          <w:tcPr>
            <w:tcW w:w="1914" w:type="dxa"/>
            <w:vAlign w:val="center"/>
          </w:tcPr>
          <w:p>
            <w:pPr>
              <w:pStyle w:val="32"/>
              <w:ind w:firstLine="0" w:firstLineChars="0"/>
              <w:jc w:val="center"/>
              <w:rPr>
                <w:rFonts w:ascii="Times New Roman"/>
                <w:bCs/>
                <w:sz w:val="21"/>
                <w:szCs w:val="21"/>
              </w:rPr>
            </w:pPr>
            <w:r>
              <w:rPr>
                <w:rFonts w:hint="eastAsia" w:ascii="Times New Roman"/>
                <w:bCs/>
                <w:sz w:val="21"/>
                <w:szCs w:val="21"/>
              </w:rPr>
              <w:t>4</w:t>
            </w:r>
            <w:r>
              <w:rPr>
                <w:rFonts w:ascii="Times New Roman"/>
                <w:bCs/>
                <w:sz w:val="21"/>
                <w:szCs w:val="21"/>
              </w:rPr>
              <w:t>.</w:t>
            </w:r>
            <w:r>
              <w:rPr>
                <w:rFonts w:hint="eastAsia" w:ascii="Times New Roman"/>
                <w:bCs/>
                <w:sz w:val="21"/>
                <w:szCs w:val="21"/>
              </w:rPr>
              <w:t>3</w:t>
            </w:r>
          </w:p>
        </w:tc>
        <w:tc>
          <w:tcPr>
            <w:tcW w:w="1916" w:type="dxa"/>
            <w:vAlign w:val="center"/>
          </w:tcPr>
          <w:p>
            <w:pPr>
              <w:pStyle w:val="32"/>
              <w:ind w:firstLine="0" w:firstLineChars="0"/>
              <w:jc w:val="center"/>
              <w:rPr>
                <w:rFonts w:ascii="Times New Roman"/>
                <w:bCs/>
                <w:sz w:val="21"/>
                <w:szCs w:val="21"/>
              </w:rPr>
            </w:pPr>
            <w:r>
              <w:rPr>
                <w:rFonts w:hint="eastAsia" w:ascii="Times New Roman"/>
                <w:bCs/>
                <w:sz w:val="21"/>
                <w:szCs w:val="21"/>
              </w:rPr>
              <w:t>5</w:t>
            </w:r>
            <w:r>
              <w:rPr>
                <w:rFonts w:ascii="Times New Roman"/>
                <w:bCs/>
                <w:sz w:val="21"/>
                <w:szCs w:val="21"/>
              </w:rPr>
              <w:t>.</w:t>
            </w:r>
            <w:r>
              <w:rPr>
                <w:rFonts w:hint="eastAsia" w:ascii="Times New Roman"/>
                <w:bCs/>
                <w:sz w:val="21"/>
                <w:szCs w:val="21"/>
              </w:rPr>
              <w:t>3</w:t>
            </w:r>
          </w:p>
        </w:tc>
        <w:tc>
          <w:tcPr>
            <w:tcW w:w="1916" w:type="dxa"/>
            <w:vMerge w:val="continue"/>
            <w:vAlign w:val="center"/>
          </w:tcPr>
          <w:p>
            <w:pPr>
              <w:pStyle w:val="32"/>
              <w:ind w:firstLine="0" w:firstLineChars="0"/>
              <w:jc w:val="center"/>
              <w:rPr>
                <w:rFonts w:ascii="Times New Roman"/>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1914" w:type="dxa"/>
            <w:vAlign w:val="center"/>
          </w:tcPr>
          <w:p>
            <w:pPr>
              <w:pStyle w:val="32"/>
              <w:ind w:firstLine="0" w:firstLineChars="0"/>
              <w:jc w:val="center"/>
              <w:rPr>
                <w:rFonts w:hint="eastAsia" w:ascii="Times New Roman" w:eastAsia="宋体"/>
                <w:bCs/>
                <w:sz w:val="21"/>
                <w:szCs w:val="21"/>
                <w:lang w:val="en-US" w:eastAsia="zh-CN"/>
              </w:rPr>
            </w:pPr>
            <w:r>
              <w:rPr>
                <w:rFonts w:hint="eastAsia" w:ascii="Times New Roman"/>
                <w:bCs/>
                <w:sz w:val="21"/>
                <w:szCs w:val="21"/>
                <w:lang w:val="en-US" w:eastAsia="zh-CN"/>
              </w:rPr>
              <w:t>磁性异物</w:t>
            </w:r>
          </w:p>
        </w:tc>
        <w:tc>
          <w:tcPr>
            <w:tcW w:w="1914" w:type="dxa"/>
            <w:vAlign w:val="center"/>
          </w:tcPr>
          <w:p>
            <w:pPr>
              <w:jc w:val="center"/>
              <w:rPr>
                <w:rFonts w:hint="eastAsia"/>
                <w:sz w:val="21"/>
                <w:szCs w:val="21"/>
              </w:rPr>
            </w:pPr>
            <w:r>
              <w:rPr>
                <w:rFonts w:hint="eastAsia"/>
                <w:sz w:val="21"/>
                <w:szCs w:val="21"/>
              </w:rPr>
              <w:t>每批</w:t>
            </w:r>
            <w:r>
              <w:rPr>
                <w:rFonts w:hint="eastAsia"/>
                <w:sz w:val="21"/>
                <w:szCs w:val="21"/>
                <w:lang w:val="en-US" w:eastAsia="zh-CN"/>
              </w:rPr>
              <w:t>3</w:t>
            </w:r>
            <w:r>
              <w:rPr>
                <w:rFonts w:hint="eastAsia"/>
                <w:sz w:val="21"/>
                <w:szCs w:val="21"/>
              </w:rPr>
              <w:t>份</w:t>
            </w:r>
          </w:p>
        </w:tc>
        <w:tc>
          <w:tcPr>
            <w:tcW w:w="1914" w:type="dxa"/>
            <w:vAlign w:val="center"/>
          </w:tcPr>
          <w:p>
            <w:pPr>
              <w:pStyle w:val="32"/>
              <w:ind w:firstLine="0" w:firstLineChars="0"/>
              <w:jc w:val="center"/>
              <w:rPr>
                <w:rFonts w:hint="default" w:ascii="Times New Roman"/>
                <w:bCs/>
                <w:sz w:val="21"/>
                <w:szCs w:val="21"/>
                <w:lang w:val="en-US" w:eastAsia="zh-CN"/>
              </w:rPr>
            </w:pPr>
            <w:r>
              <w:rPr>
                <w:rFonts w:hint="eastAsia" w:ascii="Times New Roman"/>
                <w:bCs/>
                <w:sz w:val="21"/>
                <w:szCs w:val="21"/>
                <w:lang w:val="en-US" w:eastAsia="zh-CN"/>
              </w:rPr>
              <w:t>4.5</w:t>
            </w:r>
          </w:p>
        </w:tc>
        <w:tc>
          <w:tcPr>
            <w:tcW w:w="1916" w:type="dxa"/>
            <w:vAlign w:val="center"/>
          </w:tcPr>
          <w:p>
            <w:pPr>
              <w:pStyle w:val="32"/>
              <w:ind w:firstLine="0" w:firstLineChars="0"/>
              <w:jc w:val="center"/>
              <w:rPr>
                <w:rFonts w:hint="default" w:ascii="Times New Roman"/>
                <w:bCs/>
                <w:sz w:val="21"/>
                <w:szCs w:val="21"/>
                <w:lang w:val="en-US" w:eastAsia="zh-CN"/>
              </w:rPr>
            </w:pPr>
            <w:r>
              <w:rPr>
                <w:rFonts w:hint="eastAsia" w:ascii="Times New Roman"/>
                <w:bCs/>
                <w:sz w:val="21"/>
                <w:szCs w:val="21"/>
                <w:lang w:val="en-US" w:eastAsia="zh-CN"/>
              </w:rPr>
              <w:t>5.5</w:t>
            </w:r>
          </w:p>
        </w:tc>
        <w:tc>
          <w:tcPr>
            <w:tcW w:w="1916" w:type="dxa"/>
            <w:vMerge w:val="continue"/>
            <w:vAlign w:val="center"/>
          </w:tcPr>
          <w:p>
            <w:pPr>
              <w:pStyle w:val="32"/>
              <w:ind w:firstLine="0" w:firstLineChars="0"/>
              <w:jc w:val="center"/>
              <w:rPr>
                <w:rFonts w:ascii="Times New Roman"/>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1914" w:type="dxa"/>
            <w:vAlign w:val="center"/>
          </w:tcPr>
          <w:p>
            <w:pPr>
              <w:pStyle w:val="32"/>
              <w:ind w:firstLine="0" w:firstLineChars="0"/>
              <w:jc w:val="center"/>
              <w:rPr>
                <w:rFonts w:hint="eastAsia" w:ascii="Times New Roman" w:eastAsia="宋体"/>
                <w:bCs/>
                <w:sz w:val="21"/>
                <w:szCs w:val="21"/>
                <w:lang w:val="en-US" w:eastAsia="zh-CN"/>
              </w:rPr>
            </w:pPr>
            <w:r>
              <w:rPr>
                <w:rFonts w:hint="eastAsia" w:ascii="Times New Roman"/>
                <w:bCs/>
                <w:sz w:val="21"/>
                <w:szCs w:val="21"/>
                <w:lang w:val="en-US" w:eastAsia="zh-CN"/>
              </w:rPr>
              <w:t>残余钠</w:t>
            </w:r>
          </w:p>
        </w:tc>
        <w:tc>
          <w:tcPr>
            <w:tcW w:w="1914" w:type="dxa"/>
            <w:vAlign w:val="center"/>
          </w:tcPr>
          <w:p>
            <w:pPr>
              <w:jc w:val="center"/>
              <w:rPr>
                <w:rFonts w:hint="eastAsia"/>
                <w:sz w:val="21"/>
                <w:szCs w:val="21"/>
              </w:rPr>
            </w:pPr>
            <w:r>
              <w:rPr>
                <w:rFonts w:hint="eastAsia"/>
                <w:sz w:val="21"/>
                <w:szCs w:val="21"/>
              </w:rPr>
              <w:t>每批</w:t>
            </w:r>
            <w:r>
              <w:rPr>
                <w:rFonts w:hint="eastAsia"/>
                <w:sz w:val="21"/>
                <w:szCs w:val="21"/>
                <w:lang w:val="en-US" w:eastAsia="zh-CN"/>
              </w:rPr>
              <w:t>3</w:t>
            </w:r>
            <w:r>
              <w:rPr>
                <w:rFonts w:hint="eastAsia"/>
                <w:sz w:val="21"/>
                <w:szCs w:val="21"/>
              </w:rPr>
              <w:t>份</w:t>
            </w:r>
          </w:p>
        </w:tc>
        <w:tc>
          <w:tcPr>
            <w:tcW w:w="1914" w:type="dxa"/>
            <w:vAlign w:val="center"/>
          </w:tcPr>
          <w:p>
            <w:pPr>
              <w:pStyle w:val="32"/>
              <w:ind w:firstLine="0" w:firstLineChars="0"/>
              <w:jc w:val="center"/>
              <w:rPr>
                <w:rFonts w:hint="default" w:ascii="Times New Roman"/>
                <w:bCs/>
                <w:sz w:val="21"/>
                <w:szCs w:val="21"/>
                <w:lang w:val="en-US" w:eastAsia="zh-CN"/>
              </w:rPr>
            </w:pPr>
            <w:r>
              <w:rPr>
                <w:rFonts w:hint="eastAsia" w:ascii="Times New Roman"/>
                <w:bCs/>
                <w:sz w:val="21"/>
                <w:szCs w:val="21"/>
                <w:lang w:val="en-US" w:eastAsia="zh-CN"/>
              </w:rPr>
              <w:t>4.6</w:t>
            </w:r>
          </w:p>
        </w:tc>
        <w:tc>
          <w:tcPr>
            <w:tcW w:w="1916" w:type="dxa"/>
            <w:vAlign w:val="center"/>
          </w:tcPr>
          <w:p>
            <w:pPr>
              <w:pStyle w:val="32"/>
              <w:ind w:firstLine="0" w:firstLineChars="0"/>
              <w:jc w:val="center"/>
              <w:rPr>
                <w:rFonts w:hint="default" w:ascii="Times New Roman"/>
                <w:bCs/>
                <w:sz w:val="21"/>
                <w:szCs w:val="21"/>
                <w:lang w:val="en-US" w:eastAsia="zh-CN"/>
              </w:rPr>
            </w:pPr>
            <w:r>
              <w:rPr>
                <w:rFonts w:hint="eastAsia" w:ascii="Times New Roman"/>
                <w:bCs/>
                <w:sz w:val="21"/>
                <w:szCs w:val="21"/>
                <w:lang w:val="en-US" w:eastAsia="zh-CN"/>
              </w:rPr>
              <w:t>5.6</w:t>
            </w:r>
          </w:p>
        </w:tc>
        <w:tc>
          <w:tcPr>
            <w:tcW w:w="1916" w:type="dxa"/>
            <w:vMerge w:val="continue"/>
            <w:vAlign w:val="center"/>
          </w:tcPr>
          <w:p>
            <w:pPr>
              <w:pStyle w:val="32"/>
              <w:ind w:firstLine="0" w:firstLineChars="0"/>
              <w:jc w:val="center"/>
              <w:rPr>
                <w:rFonts w:ascii="Times New Roman"/>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1914" w:type="dxa"/>
            <w:vAlign w:val="center"/>
          </w:tcPr>
          <w:p>
            <w:pPr>
              <w:pStyle w:val="32"/>
              <w:ind w:firstLine="0" w:firstLineChars="0"/>
              <w:jc w:val="center"/>
              <w:rPr>
                <w:rFonts w:ascii="Times New Roman"/>
                <w:bCs/>
                <w:sz w:val="21"/>
                <w:szCs w:val="21"/>
              </w:rPr>
            </w:pPr>
            <w:r>
              <w:rPr>
                <w:rFonts w:hint="eastAsia" w:ascii="Times New Roman"/>
                <w:bCs/>
                <w:sz w:val="21"/>
                <w:szCs w:val="21"/>
              </w:rPr>
              <w:t>振实密度</w:t>
            </w:r>
          </w:p>
        </w:tc>
        <w:tc>
          <w:tcPr>
            <w:tcW w:w="1914" w:type="dxa"/>
            <w:vAlign w:val="center"/>
          </w:tcPr>
          <w:p>
            <w:pPr>
              <w:jc w:val="center"/>
              <w:rPr>
                <w:sz w:val="21"/>
                <w:szCs w:val="21"/>
              </w:rPr>
            </w:pPr>
            <w:r>
              <w:rPr>
                <w:rFonts w:hint="eastAsia"/>
                <w:sz w:val="21"/>
                <w:szCs w:val="21"/>
              </w:rPr>
              <w:t>每批3份</w:t>
            </w:r>
          </w:p>
        </w:tc>
        <w:tc>
          <w:tcPr>
            <w:tcW w:w="1914" w:type="dxa"/>
            <w:vAlign w:val="center"/>
          </w:tcPr>
          <w:p>
            <w:pPr>
              <w:pStyle w:val="32"/>
              <w:ind w:firstLine="0" w:firstLineChars="0"/>
              <w:jc w:val="center"/>
              <w:rPr>
                <w:rFonts w:hint="default" w:ascii="Times New Roman" w:eastAsia="宋体"/>
                <w:bCs/>
                <w:sz w:val="21"/>
                <w:szCs w:val="21"/>
                <w:lang w:val="en-US" w:eastAsia="zh-CN"/>
              </w:rPr>
            </w:pPr>
            <w:r>
              <w:rPr>
                <w:rFonts w:hint="eastAsia" w:ascii="Times New Roman"/>
                <w:bCs/>
                <w:sz w:val="21"/>
                <w:szCs w:val="21"/>
                <w:lang w:val="en-US" w:eastAsia="zh-CN"/>
              </w:rPr>
              <w:t>4.7</w:t>
            </w:r>
          </w:p>
        </w:tc>
        <w:tc>
          <w:tcPr>
            <w:tcW w:w="1916" w:type="dxa"/>
            <w:vAlign w:val="center"/>
          </w:tcPr>
          <w:p>
            <w:pPr>
              <w:pStyle w:val="32"/>
              <w:ind w:firstLine="0" w:firstLineChars="0"/>
              <w:jc w:val="center"/>
              <w:rPr>
                <w:rFonts w:hint="default" w:ascii="Times New Roman" w:eastAsia="宋体"/>
                <w:bCs/>
                <w:sz w:val="21"/>
                <w:szCs w:val="21"/>
                <w:lang w:val="en-US" w:eastAsia="zh-CN"/>
              </w:rPr>
            </w:pPr>
            <w:r>
              <w:rPr>
                <w:rFonts w:hint="eastAsia" w:ascii="Times New Roman"/>
                <w:bCs/>
                <w:sz w:val="21"/>
                <w:szCs w:val="21"/>
                <w:lang w:val="en-US" w:eastAsia="zh-CN"/>
              </w:rPr>
              <w:t>5.7</w:t>
            </w:r>
          </w:p>
        </w:tc>
        <w:tc>
          <w:tcPr>
            <w:tcW w:w="1916" w:type="dxa"/>
            <w:vMerge w:val="continue"/>
            <w:vAlign w:val="center"/>
          </w:tcPr>
          <w:p>
            <w:pPr>
              <w:pStyle w:val="32"/>
              <w:ind w:firstLine="0" w:firstLineChars="0"/>
              <w:jc w:val="center"/>
              <w:rPr>
                <w:rFonts w:ascii="Times New Roman"/>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1914" w:type="dxa"/>
            <w:vAlign w:val="center"/>
          </w:tcPr>
          <w:p>
            <w:pPr>
              <w:pStyle w:val="32"/>
              <w:ind w:firstLine="0" w:firstLineChars="0"/>
              <w:jc w:val="center"/>
              <w:rPr>
                <w:rFonts w:ascii="Times New Roman"/>
                <w:bCs/>
                <w:sz w:val="21"/>
                <w:szCs w:val="21"/>
              </w:rPr>
            </w:pPr>
            <w:r>
              <w:rPr>
                <w:rFonts w:ascii="Times New Roman"/>
                <w:bCs/>
                <w:sz w:val="21"/>
                <w:szCs w:val="21"/>
              </w:rPr>
              <w:t>粒度分布</w:t>
            </w:r>
          </w:p>
        </w:tc>
        <w:tc>
          <w:tcPr>
            <w:tcW w:w="1914" w:type="dxa"/>
            <w:vAlign w:val="center"/>
          </w:tcPr>
          <w:p>
            <w:pPr>
              <w:jc w:val="center"/>
              <w:rPr>
                <w:sz w:val="21"/>
                <w:szCs w:val="21"/>
              </w:rPr>
            </w:pPr>
            <w:r>
              <w:rPr>
                <w:rFonts w:hint="eastAsia"/>
                <w:sz w:val="21"/>
                <w:szCs w:val="21"/>
              </w:rPr>
              <w:t>每批5份</w:t>
            </w:r>
          </w:p>
        </w:tc>
        <w:tc>
          <w:tcPr>
            <w:tcW w:w="1914" w:type="dxa"/>
            <w:vAlign w:val="center"/>
          </w:tcPr>
          <w:p>
            <w:pPr>
              <w:pStyle w:val="32"/>
              <w:ind w:firstLine="0" w:firstLineChars="0"/>
              <w:jc w:val="center"/>
              <w:rPr>
                <w:rFonts w:hint="default" w:ascii="Times New Roman" w:eastAsia="宋体"/>
                <w:bCs/>
                <w:sz w:val="21"/>
                <w:szCs w:val="21"/>
                <w:lang w:val="en-US" w:eastAsia="zh-CN"/>
              </w:rPr>
            </w:pPr>
            <w:r>
              <w:rPr>
                <w:rFonts w:hint="eastAsia" w:ascii="Times New Roman"/>
                <w:bCs/>
                <w:sz w:val="21"/>
                <w:szCs w:val="21"/>
                <w:lang w:val="en-US" w:eastAsia="zh-CN"/>
              </w:rPr>
              <w:t>4.8</w:t>
            </w:r>
          </w:p>
        </w:tc>
        <w:tc>
          <w:tcPr>
            <w:tcW w:w="1916" w:type="dxa"/>
            <w:vAlign w:val="center"/>
          </w:tcPr>
          <w:p>
            <w:pPr>
              <w:pStyle w:val="32"/>
              <w:ind w:firstLine="0" w:firstLineChars="0"/>
              <w:jc w:val="center"/>
              <w:rPr>
                <w:rFonts w:hint="default" w:ascii="Times New Roman" w:eastAsia="宋体"/>
                <w:bCs/>
                <w:kern w:val="2"/>
                <w:sz w:val="21"/>
                <w:szCs w:val="21"/>
                <w:lang w:val="en-US" w:eastAsia="zh-CN"/>
              </w:rPr>
            </w:pPr>
            <w:r>
              <w:rPr>
                <w:rFonts w:hint="eastAsia" w:ascii="Times New Roman"/>
                <w:bCs/>
                <w:sz w:val="21"/>
                <w:szCs w:val="21"/>
                <w:lang w:val="en-US" w:eastAsia="zh-CN"/>
              </w:rPr>
              <w:t>5.8</w:t>
            </w:r>
          </w:p>
        </w:tc>
        <w:tc>
          <w:tcPr>
            <w:tcW w:w="1916" w:type="dxa"/>
            <w:vMerge w:val="continue"/>
            <w:vAlign w:val="center"/>
          </w:tcPr>
          <w:p>
            <w:pPr>
              <w:pStyle w:val="32"/>
              <w:ind w:firstLine="0" w:firstLineChars="0"/>
              <w:jc w:val="center"/>
              <w:rPr>
                <w:rFonts w:ascii="Times New Roman"/>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1914" w:type="dxa"/>
            <w:vAlign w:val="center"/>
          </w:tcPr>
          <w:p>
            <w:pPr>
              <w:pStyle w:val="32"/>
              <w:ind w:firstLine="0" w:firstLineChars="0"/>
              <w:jc w:val="center"/>
              <w:rPr>
                <w:rFonts w:ascii="Times New Roman"/>
                <w:bCs/>
                <w:sz w:val="21"/>
                <w:szCs w:val="21"/>
              </w:rPr>
            </w:pPr>
            <w:r>
              <w:rPr>
                <w:rFonts w:ascii="Times New Roman"/>
                <w:bCs/>
                <w:sz w:val="21"/>
                <w:szCs w:val="21"/>
              </w:rPr>
              <w:t>比表面积</w:t>
            </w:r>
          </w:p>
        </w:tc>
        <w:tc>
          <w:tcPr>
            <w:tcW w:w="1914" w:type="dxa"/>
            <w:vAlign w:val="center"/>
          </w:tcPr>
          <w:p>
            <w:pPr>
              <w:jc w:val="center"/>
              <w:rPr>
                <w:sz w:val="21"/>
                <w:szCs w:val="21"/>
              </w:rPr>
            </w:pPr>
            <w:r>
              <w:rPr>
                <w:rFonts w:hint="eastAsia"/>
                <w:sz w:val="21"/>
                <w:szCs w:val="21"/>
              </w:rPr>
              <w:t>每批3份</w:t>
            </w:r>
          </w:p>
        </w:tc>
        <w:tc>
          <w:tcPr>
            <w:tcW w:w="1914" w:type="dxa"/>
            <w:vAlign w:val="center"/>
          </w:tcPr>
          <w:p>
            <w:pPr>
              <w:pStyle w:val="32"/>
              <w:ind w:firstLine="0" w:firstLineChars="0"/>
              <w:jc w:val="center"/>
              <w:rPr>
                <w:rFonts w:hint="default" w:ascii="Times New Roman" w:eastAsia="宋体"/>
                <w:bCs/>
                <w:sz w:val="21"/>
                <w:szCs w:val="21"/>
                <w:lang w:val="en-US" w:eastAsia="zh-CN"/>
              </w:rPr>
            </w:pPr>
            <w:r>
              <w:rPr>
                <w:rFonts w:hint="eastAsia" w:ascii="Times New Roman"/>
                <w:bCs/>
                <w:sz w:val="21"/>
                <w:szCs w:val="21"/>
                <w:lang w:val="en-US" w:eastAsia="zh-CN"/>
              </w:rPr>
              <w:t>4.9</w:t>
            </w:r>
          </w:p>
        </w:tc>
        <w:tc>
          <w:tcPr>
            <w:tcW w:w="1916" w:type="dxa"/>
            <w:vAlign w:val="center"/>
          </w:tcPr>
          <w:p>
            <w:pPr>
              <w:pStyle w:val="32"/>
              <w:ind w:firstLine="0" w:firstLineChars="0"/>
              <w:jc w:val="center"/>
              <w:rPr>
                <w:rFonts w:hint="default" w:ascii="Times New Roman" w:eastAsia="宋体"/>
                <w:bCs/>
                <w:sz w:val="21"/>
                <w:szCs w:val="21"/>
                <w:lang w:val="en-US" w:eastAsia="zh-CN"/>
              </w:rPr>
            </w:pPr>
            <w:r>
              <w:rPr>
                <w:rFonts w:hint="eastAsia" w:ascii="Times New Roman"/>
                <w:bCs/>
                <w:sz w:val="21"/>
                <w:szCs w:val="21"/>
                <w:lang w:val="en-US" w:eastAsia="zh-CN"/>
              </w:rPr>
              <w:t>5.9</w:t>
            </w:r>
          </w:p>
        </w:tc>
        <w:tc>
          <w:tcPr>
            <w:tcW w:w="1916" w:type="dxa"/>
            <w:vMerge w:val="continue"/>
            <w:vAlign w:val="center"/>
          </w:tcPr>
          <w:p>
            <w:pPr>
              <w:pStyle w:val="32"/>
              <w:ind w:firstLine="0" w:firstLineChars="0"/>
              <w:jc w:val="center"/>
              <w:rPr>
                <w:rFonts w:ascii="Times New Roman"/>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1914" w:type="dxa"/>
            <w:vAlign w:val="center"/>
          </w:tcPr>
          <w:p>
            <w:pPr>
              <w:pStyle w:val="32"/>
              <w:ind w:firstLine="0" w:firstLineChars="0"/>
              <w:jc w:val="center"/>
              <w:rPr>
                <w:rFonts w:hint="eastAsia" w:ascii="Times New Roman" w:hAnsi="Times New Roman" w:eastAsia="宋体" w:cs="Times New Roman"/>
                <w:bCs/>
                <w:sz w:val="21"/>
                <w:szCs w:val="21"/>
                <w:lang w:val="en-US" w:eastAsia="zh-CN" w:bidi="ar-SA"/>
              </w:rPr>
            </w:pPr>
            <w:r>
              <w:rPr>
                <w:rFonts w:hint="eastAsia" w:ascii="Times New Roman"/>
                <w:bCs/>
                <w:sz w:val="21"/>
                <w:szCs w:val="21"/>
              </w:rPr>
              <w:t>pH值</w:t>
            </w:r>
          </w:p>
        </w:tc>
        <w:tc>
          <w:tcPr>
            <w:tcW w:w="1914" w:type="dxa"/>
            <w:vAlign w:val="center"/>
          </w:tcPr>
          <w:p>
            <w:pPr>
              <w:jc w:val="center"/>
              <w:rPr>
                <w:sz w:val="21"/>
                <w:szCs w:val="21"/>
              </w:rPr>
            </w:pPr>
            <w:r>
              <w:rPr>
                <w:rFonts w:hint="eastAsia"/>
                <w:sz w:val="21"/>
                <w:szCs w:val="21"/>
              </w:rPr>
              <w:t>每批2份</w:t>
            </w:r>
          </w:p>
        </w:tc>
        <w:tc>
          <w:tcPr>
            <w:tcW w:w="1914" w:type="dxa"/>
            <w:vAlign w:val="center"/>
          </w:tcPr>
          <w:p>
            <w:pPr>
              <w:pStyle w:val="32"/>
              <w:ind w:firstLine="0" w:firstLineChars="0"/>
              <w:jc w:val="center"/>
              <w:rPr>
                <w:rFonts w:hint="eastAsia" w:ascii="Times New Roman" w:hAnsi="Times New Roman" w:eastAsia="宋体" w:cs="Times New Roman"/>
                <w:bCs/>
                <w:sz w:val="21"/>
                <w:szCs w:val="21"/>
                <w:lang w:val="en-US" w:eastAsia="zh-CN" w:bidi="ar-SA"/>
              </w:rPr>
            </w:pPr>
            <w:r>
              <w:rPr>
                <w:rFonts w:hint="eastAsia" w:ascii="Times New Roman"/>
                <w:bCs/>
                <w:sz w:val="21"/>
                <w:szCs w:val="21"/>
                <w:lang w:val="en-US" w:eastAsia="zh-CN"/>
              </w:rPr>
              <w:t>4.10</w:t>
            </w:r>
          </w:p>
        </w:tc>
        <w:tc>
          <w:tcPr>
            <w:tcW w:w="1916" w:type="dxa"/>
            <w:vAlign w:val="center"/>
          </w:tcPr>
          <w:p>
            <w:pPr>
              <w:pStyle w:val="32"/>
              <w:ind w:firstLine="0" w:firstLineChars="0"/>
              <w:jc w:val="center"/>
              <w:rPr>
                <w:rFonts w:hint="eastAsia" w:ascii="Times New Roman" w:hAnsi="Times New Roman" w:eastAsia="宋体" w:cs="Times New Roman"/>
                <w:bCs/>
                <w:sz w:val="21"/>
                <w:szCs w:val="21"/>
                <w:lang w:val="en-US" w:eastAsia="zh-CN" w:bidi="ar-SA"/>
              </w:rPr>
            </w:pPr>
            <w:r>
              <w:rPr>
                <w:rFonts w:hint="eastAsia" w:ascii="Times New Roman"/>
                <w:bCs/>
                <w:sz w:val="21"/>
                <w:szCs w:val="21"/>
                <w:lang w:val="en-US" w:eastAsia="zh-CN"/>
              </w:rPr>
              <w:t>5.10</w:t>
            </w:r>
          </w:p>
        </w:tc>
        <w:tc>
          <w:tcPr>
            <w:tcW w:w="1916" w:type="dxa"/>
            <w:vMerge w:val="continue"/>
            <w:vAlign w:val="center"/>
          </w:tcPr>
          <w:p>
            <w:pPr>
              <w:pStyle w:val="32"/>
              <w:ind w:firstLine="0" w:firstLineChars="0"/>
              <w:jc w:val="center"/>
              <w:rPr>
                <w:rFonts w:ascii="Times New Roman"/>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1914" w:type="dxa"/>
            <w:vAlign w:val="center"/>
          </w:tcPr>
          <w:p>
            <w:pPr>
              <w:pStyle w:val="32"/>
              <w:ind w:firstLine="0" w:firstLineChars="0"/>
              <w:jc w:val="center"/>
              <w:rPr>
                <w:rFonts w:ascii="Times New Roman"/>
                <w:bCs/>
                <w:sz w:val="21"/>
                <w:szCs w:val="21"/>
              </w:rPr>
            </w:pPr>
            <w:r>
              <w:rPr>
                <w:rFonts w:hint="eastAsia" w:ascii="Times New Roman"/>
                <w:bCs/>
                <w:sz w:val="21"/>
                <w:szCs w:val="21"/>
              </w:rPr>
              <w:t>首次放电比容量</w:t>
            </w:r>
          </w:p>
        </w:tc>
        <w:tc>
          <w:tcPr>
            <w:tcW w:w="1914" w:type="dxa"/>
            <w:vMerge w:val="restart"/>
            <w:vAlign w:val="center"/>
          </w:tcPr>
          <w:p>
            <w:pPr>
              <w:jc w:val="center"/>
              <w:rPr>
                <w:sz w:val="21"/>
                <w:szCs w:val="21"/>
              </w:rPr>
            </w:pPr>
            <w:r>
              <w:rPr>
                <w:rFonts w:hint="eastAsia"/>
                <w:sz w:val="21"/>
                <w:szCs w:val="21"/>
              </w:rPr>
              <w:t>每批2份</w:t>
            </w:r>
          </w:p>
        </w:tc>
        <w:tc>
          <w:tcPr>
            <w:tcW w:w="1914" w:type="dxa"/>
            <w:vAlign w:val="center"/>
          </w:tcPr>
          <w:p>
            <w:pPr>
              <w:pStyle w:val="32"/>
              <w:ind w:firstLine="0" w:firstLineChars="0"/>
              <w:jc w:val="center"/>
              <w:rPr>
                <w:rFonts w:hint="default" w:ascii="Times New Roman" w:eastAsia="宋体"/>
                <w:bCs/>
                <w:sz w:val="21"/>
                <w:szCs w:val="21"/>
                <w:lang w:val="en-US" w:eastAsia="zh-CN"/>
              </w:rPr>
            </w:pPr>
            <w:r>
              <w:rPr>
                <w:rFonts w:hint="eastAsia" w:ascii="Times New Roman"/>
                <w:bCs/>
                <w:sz w:val="21"/>
                <w:szCs w:val="21"/>
                <w:lang w:val="en-US" w:eastAsia="zh-CN"/>
              </w:rPr>
              <w:t>4.11.1</w:t>
            </w:r>
          </w:p>
        </w:tc>
        <w:tc>
          <w:tcPr>
            <w:tcW w:w="1916" w:type="dxa"/>
            <w:vAlign w:val="center"/>
          </w:tcPr>
          <w:p>
            <w:pPr>
              <w:pStyle w:val="32"/>
              <w:ind w:firstLine="0" w:firstLineChars="0"/>
              <w:jc w:val="center"/>
              <w:rPr>
                <w:rFonts w:ascii="Times New Roman"/>
                <w:bCs/>
                <w:sz w:val="21"/>
                <w:szCs w:val="21"/>
              </w:rPr>
            </w:pPr>
            <w:r>
              <w:rPr>
                <w:rFonts w:hint="eastAsia" w:ascii="Times New Roman"/>
                <w:bCs/>
                <w:sz w:val="21"/>
                <w:szCs w:val="21"/>
              </w:rPr>
              <w:t>5.</w:t>
            </w:r>
            <w:r>
              <w:rPr>
                <w:rFonts w:hint="eastAsia" w:ascii="Times New Roman"/>
                <w:bCs/>
                <w:sz w:val="21"/>
                <w:szCs w:val="21"/>
                <w:lang w:val="en-US" w:eastAsia="zh-CN"/>
              </w:rPr>
              <w:t>11</w:t>
            </w:r>
            <w:r>
              <w:rPr>
                <w:rFonts w:hint="eastAsia" w:ascii="Times New Roman"/>
                <w:bCs/>
                <w:sz w:val="21"/>
                <w:szCs w:val="21"/>
              </w:rPr>
              <w:t>.1</w:t>
            </w:r>
          </w:p>
        </w:tc>
        <w:tc>
          <w:tcPr>
            <w:tcW w:w="1916" w:type="dxa"/>
            <w:vMerge w:val="restart"/>
            <w:vAlign w:val="center"/>
          </w:tcPr>
          <w:p>
            <w:pPr>
              <w:pStyle w:val="32"/>
              <w:ind w:firstLine="0" w:firstLineChars="0"/>
              <w:jc w:val="center"/>
              <w:rPr>
                <w:rFonts w:ascii="Times New Roman"/>
                <w:bCs/>
                <w:sz w:val="21"/>
                <w:szCs w:val="21"/>
              </w:rPr>
            </w:pPr>
            <w:r>
              <w:rPr>
                <w:rFonts w:hint="eastAsia" w:ascii="Times New Roman"/>
                <w:bCs/>
                <w:sz w:val="21"/>
                <w:szCs w:val="21"/>
              </w:rPr>
              <w:t>周期检验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1914" w:type="dxa"/>
            <w:vAlign w:val="center"/>
          </w:tcPr>
          <w:p>
            <w:pPr>
              <w:pStyle w:val="32"/>
              <w:ind w:firstLine="0" w:firstLineChars="0"/>
              <w:jc w:val="center"/>
              <w:rPr>
                <w:rFonts w:ascii="Times New Roman"/>
                <w:bCs/>
                <w:sz w:val="21"/>
                <w:szCs w:val="21"/>
              </w:rPr>
            </w:pPr>
            <w:r>
              <w:rPr>
                <w:rFonts w:hint="eastAsia" w:ascii="Times New Roman"/>
                <w:bCs/>
                <w:sz w:val="21"/>
                <w:szCs w:val="21"/>
              </w:rPr>
              <w:t>首次充放电效率</w:t>
            </w:r>
          </w:p>
        </w:tc>
        <w:tc>
          <w:tcPr>
            <w:tcW w:w="1914" w:type="dxa"/>
            <w:vMerge w:val="continue"/>
            <w:vAlign w:val="center"/>
          </w:tcPr>
          <w:p>
            <w:pPr>
              <w:jc w:val="center"/>
              <w:rPr>
                <w:sz w:val="21"/>
                <w:szCs w:val="21"/>
              </w:rPr>
            </w:pPr>
          </w:p>
        </w:tc>
        <w:tc>
          <w:tcPr>
            <w:tcW w:w="1914" w:type="dxa"/>
            <w:vAlign w:val="center"/>
          </w:tcPr>
          <w:p>
            <w:pPr>
              <w:pStyle w:val="32"/>
              <w:ind w:firstLine="0" w:firstLineChars="0"/>
              <w:jc w:val="center"/>
              <w:rPr>
                <w:rFonts w:hint="default" w:ascii="Times New Roman" w:eastAsia="宋体"/>
                <w:bCs/>
                <w:sz w:val="21"/>
                <w:szCs w:val="21"/>
                <w:lang w:val="en-US" w:eastAsia="zh-CN"/>
              </w:rPr>
            </w:pPr>
            <w:r>
              <w:rPr>
                <w:rFonts w:hint="eastAsia" w:ascii="Times New Roman"/>
                <w:bCs/>
                <w:sz w:val="21"/>
                <w:szCs w:val="21"/>
                <w:lang w:val="en-US" w:eastAsia="zh-CN"/>
              </w:rPr>
              <w:t>4.11.2</w:t>
            </w:r>
          </w:p>
        </w:tc>
        <w:tc>
          <w:tcPr>
            <w:tcW w:w="1916" w:type="dxa"/>
            <w:vAlign w:val="center"/>
          </w:tcPr>
          <w:p>
            <w:pPr>
              <w:pStyle w:val="32"/>
              <w:ind w:firstLine="0" w:firstLineChars="0"/>
              <w:jc w:val="center"/>
              <w:rPr>
                <w:rFonts w:ascii="Times New Roman"/>
                <w:bCs/>
                <w:sz w:val="21"/>
                <w:szCs w:val="21"/>
              </w:rPr>
            </w:pPr>
            <w:r>
              <w:rPr>
                <w:rFonts w:hint="eastAsia" w:ascii="Times New Roman"/>
                <w:bCs/>
                <w:sz w:val="21"/>
                <w:szCs w:val="21"/>
              </w:rPr>
              <w:t>5.</w:t>
            </w:r>
            <w:r>
              <w:rPr>
                <w:rFonts w:hint="eastAsia" w:ascii="Times New Roman"/>
                <w:bCs/>
                <w:sz w:val="21"/>
                <w:szCs w:val="21"/>
                <w:lang w:val="en-US" w:eastAsia="zh-CN"/>
              </w:rPr>
              <w:t>11</w:t>
            </w:r>
            <w:r>
              <w:rPr>
                <w:rFonts w:hint="eastAsia" w:ascii="Times New Roman"/>
                <w:bCs/>
                <w:sz w:val="21"/>
                <w:szCs w:val="21"/>
              </w:rPr>
              <w:t>.2</w:t>
            </w:r>
          </w:p>
        </w:tc>
        <w:tc>
          <w:tcPr>
            <w:tcW w:w="1916" w:type="dxa"/>
            <w:vMerge w:val="continue"/>
            <w:vAlign w:val="center"/>
          </w:tcPr>
          <w:p>
            <w:pPr>
              <w:pStyle w:val="32"/>
              <w:ind w:firstLine="0" w:firstLineChars="0"/>
              <w:jc w:val="center"/>
              <w:rPr>
                <w:rFonts w:ascii="Times New Roman"/>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1914" w:type="dxa"/>
            <w:vAlign w:val="center"/>
          </w:tcPr>
          <w:p>
            <w:pPr>
              <w:pStyle w:val="32"/>
              <w:ind w:firstLine="0" w:firstLineChars="0"/>
              <w:jc w:val="center"/>
              <w:rPr>
                <w:rFonts w:ascii="Times New Roman"/>
                <w:bCs/>
                <w:sz w:val="21"/>
                <w:szCs w:val="21"/>
              </w:rPr>
            </w:pPr>
            <w:r>
              <w:rPr>
                <w:rFonts w:hint="eastAsia" w:ascii="Times New Roman"/>
                <w:bCs/>
                <w:sz w:val="21"/>
                <w:szCs w:val="21"/>
              </w:rPr>
              <w:t>循环寿命</w:t>
            </w:r>
          </w:p>
        </w:tc>
        <w:tc>
          <w:tcPr>
            <w:tcW w:w="1914" w:type="dxa"/>
            <w:vMerge w:val="continue"/>
            <w:vAlign w:val="center"/>
          </w:tcPr>
          <w:p>
            <w:pPr>
              <w:jc w:val="center"/>
              <w:rPr>
                <w:sz w:val="21"/>
                <w:szCs w:val="21"/>
              </w:rPr>
            </w:pPr>
          </w:p>
        </w:tc>
        <w:tc>
          <w:tcPr>
            <w:tcW w:w="1914" w:type="dxa"/>
            <w:vAlign w:val="center"/>
          </w:tcPr>
          <w:p>
            <w:pPr>
              <w:pStyle w:val="32"/>
              <w:ind w:firstLine="0" w:firstLineChars="0"/>
              <w:jc w:val="center"/>
              <w:rPr>
                <w:rFonts w:hint="default" w:ascii="Times New Roman" w:eastAsia="宋体"/>
                <w:bCs/>
                <w:sz w:val="21"/>
                <w:szCs w:val="21"/>
                <w:lang w:val="en-US" w:eastAsia="zh-CN"/>
              </w:rPr>
            </w:pPr>
            <w:r>
              <w:rPr>
                <w:rFonts w:hint="eastAsia" w:ascii="Times New Roman"/>
                <w:bCs/>
                <w:sz w:val="21"/>
                <w:szCs w:val="21"/>
                <w:lang w:val="en-US" w:eastAsia="zh-CN"/>
              </w:rPr>
              <w:t>4.11.3</w:t>
            </w:r>
          </w:p>
        </w:tc>
        <w:tc>
          <w:tcPr>
            <w:tcW w:w="1916" w:type="dxa"/>
            <w:vAlign w:val="center"/>
          </w:tcPr>
          <w:p>
            <w:pPr>
              <w:pStyle w:val="32"/>
              <w:ind w:firstLine="0" w:firstLineChars="0"/>
              <w:jc w:val="center"/>
              <w:rPr>
                <w:rFonts w:ascii="Times New Roman"/>
                <w:bCs/>
                <w:sz w:val="21"/>
                <w:szCs w:val="21"/>
              </w:rPr>
            </w:pPr>
            <w:r>
              <w:rPr>
                <w:rFonts w:hint="eastAsia" w:ascii="Times New Roman"/>
                <w:bCs/>
                <w:sz w:val="21"/>
                <w:szCs w:val="21"/>
              </w:rPr>
              <w:t>5.</w:t>
            </w:r>
            <w:r>
              <w:rPr>
                <w:rFonts w:hint="eastAsia" w:ascii="Times New Roman"/>
                <w:bCs/>
                <w:sz w:val="21"/>
                <w:szCs w:val="21"/>
                <w:lang w:val="en-US" w:eastAsia="zh-CN"/>
              </w:rPr>
              <w:t>11</w:t>
            </w:r>
            <w:r>
              <w:rPr>
                <w:rFonts w:hint="eastAsia" w:ascii="Times New Roman"/>
                <w:bCs/>
                <w:sz w:val="21"/>
                <w:szCs w:val="21"/>
              </w:rPr>
              <w:t>.3</w:t>
            </w:r>
          </w:p>
        </w:tc>
        <w:tc>
          <w:tcPr>
            <w:tcW w:w="1916" w:type="dxa"/>
            <w:vMerge w:val="continue"/>
            <w:vAlign w:val="center"/>
          </w:tcPr>
          <w:p>
            <w:pPr>
              <w:pStyle w:val="32"/>
              <w:ind w:firstLine="0" w:firstLineChars="0"/>
              <w:jc w:val="center"/>
              <w:rPr>
                <w:rFonts w:ascii="Times New Roman"/>
                <w:bCs/>
                <w:sz w:val="21"/>
                <w:szCs w:val="21"/>
              </w:rPr>
            </w:pPr>
          </w:p>
        </w:tc>
      </w:tr>
    </w:tbl>
    <w:p>
      <w:pPr>
        <w:pStyle w:val="32"/>
        <w:spacing w:before="156" w:beforeLines="50" w:after="156" w:afterLines="50"/>
        <w:ind w:firstLine="0" w:firstLineChars="0"/>
        <w:outlineLvl w:val="1"/>
        <w:rPr>
          <w:rFonts w:hint="eastAsia" w:ascii="黑体" w:hAnsi="黑体" w:eastAsia="黑体" w:cs="黑体"/>
          <w:kern w:val="2"/>
          <w:szCs w:val="21"/>
        </w:rPr>
      </w:pPr>
      <w:r>
        <w:rPr>
          <w:rFonts w:hint="eastAsia" w:ascii="黑体" w:hAnsi="黑体" w:eastAsia="黑体" w:cs="黑体"/>
          <w:kern w:val="2"/>
          <w:szCs w:val="21"/>
        </w:rPr>
        <w:t>6.4  检验结果的判定</w:t>
      </w:r>
    </w:p>
    <w:p>
      <w:pPr>
        <w:pStyle w:val="32"/>
        <w:ind w:firstLine="0" w:firstLineChars="0"/>
        <w:rPr>
          <w:rFonts w:ascii="Times New Roman"/>
        </w:rPr>
      </w:pPr>
      <w:r>
        <w:rPr>
          <w:rFonts w:hint="eastAsia" w:ascii="黑体" w:hAnsi="黑体" w:eastAsia="黑体" w:cs="黑体"/>
        </w:rPr>
        <w:t xml:space="preserve">6.4.1 </w:t>
      </w:r>
      <w:r>
        <w:rPr>
          <w:rFonts w:hint="eastAsia" w:ascii="Times New Roman"/>
        </w:rPr>
        <w:t xml:space="preserve"> 检验结果的数值采</w:t>
      </w:r>
      <w:r>
        <w:rPr>
          <w:rFonts w:ascii="Times New Roman"/>
        </w:rPr>
        <w:t>用GB/T 8170</w:t>
      </w:r>
      <w:r>
        <w:rPr>
          <w:rFonts w:hint="eastAsia" w:ascii="Times New Roman"/>
        </w:rPr>
        <w:t>规定进行修约，并采用修约值比较法判定。</w:t>
      </w:r>
    </w:p>
    <w:p>
      <w:pPr>
        <w:pStyle w:val="32"/>
        <w:ind w:firstLine="0" w:firstLineChars="0"/>
        <w:rPr>
          <w:rFonts w:ascii="Times New Roman"/>
        </w:rPr>
      </w:pPr>
      <w:r>
        <w:rPr>
          <w:rFonts w:hint="eastAsia" w:ascii="黑体" w:hAnsi="黑体" w:eastAsia="黑体" w:cs="黑体"/>
        </w:rPr>
        <w:t>6.4.2</w:t>
      </w:r>
      <w:r>
        <w:rPr>
          <w:rFonts w:hint="eastAsia" w:ascii="Times New Roman"/>
          <w:color w:val="FF0000"/>
        </w:rPr>
        <w:t xml:space="preserve">  </w:t>
      </w:r>
      <w:r>
        <w:rPr>
          <w:rFonts w:hint="eastAsia" w:ascii="Times New Roman"/>
        </w:rPr>
        <w:t>化学成分、水分、微观形貌或物理性能指标如有一项不符合本标准规定时，判该批产品不合格。</w:t>
      </w:r>
    </w:p>
    <w:p>
      <w:pPr>
        <w:pStyle w:val="32"/>
        <w:ind w:firstLine="0" w:firstLineChars="0"/>
        <w:rPr>
          <w:rFonts w:ascii="Times New Roman"/>
        </w:rPr>
      </w:pPr>
      <w:r>
        <w:rPr>
          <w:rFonts w:hint="eastAsia" w:ascii="黑体" w:hAnsi="黑体" w:eastAsia="黑体" w:cs="黑体"/>
        </w:rPr>
        <w:t xml:space="preserve">6.4.3  </w:t>
      </w:r>
      <w:r>
        <w:rPr>
          <w:rFonts w:hint="eastAsia" w:ascii="Times New Roman"/>
        </w:rPr>
        <w:t>外观质量不符合本文规定时，判该袋产品不合格。</w:t>
      </w:r>
    </w:p>
    <w:p>
      <w:pPr>
        <w:pStyle w:val="42"/>
        <w:spacing w:before="312" w:beforeLines="100" w:after="312" w:afterLines="100"/>
        <w:rPr>
          <w:rFonts w:ascii="Times New Roman"/>
          <w:bCs/>
        </w:rPr>
      </w:pPr>
      <w:r>
        <w:rPr>
          <w:rFonts w:hint="eastAsia" w:hAnsi="黑体" w:cs="黑体"/>
          <w:bCs/>
        </w:rPr>
        <w:t xml:space="preserve">7  </w:t>
      </w:r>
      <w:r>
        <w:rPr>
          <w:rFonts w:hint="eastAsia" w:ascii="Times New Roman"/>
          <w:bCs/>
        </w:rPr>
        <w:t>标志、包装、运输、贮存及随行文件</w:t>
      </w:r>
    </w:p>
    <w:p>
      <w:pPr>
        <w:pStyle w:val="32"/>
        <w:spacing w:before="156" w:beforeLines="50" w:after="156" w:afterLines="50"/>
        <w:ind w:firstLine="0" w:firstLineChars="0"/>
        <w:outlineLvl w:val="1"/>
        <w:rPr>
          <w:rFonts w:ascii="Times New Roman" w:eastAsia="黑体"/>
          <w:szCs w:val="21"/>
        </w:rPr>
      </w:pPr>
      <w:r>
        <w:rPr>
          <w:rFonts w:hint="eastAsia" w:ascii="黑体" w:hAnsi="黑体" w:eastAsia="黑体" w:cs="黑体"/>
          <w:szCs w:val="21"/>
        </w:rPr>
        <w:t xml:space="preserve">7.1 </w:t>
      </w:r>
      <w:r>
        <w:rPr>
          <w:rFonts w:hint="eastAsia" w:ascii="Times New Roman" w:eastAsia="黑体"/>
          <w:szCs w:val="21"/>
        </w:rPr>
        <w:t xml:space="preserve"> </w:t>
      </w:r>
      <w:r>
        <w:rPr>
          <w:rFonts w:ascii="Times New Roman" w:eastAsia="黑体"/>
          <w:szCs w:val="21"/>
        </w:rPr>
        <w:t>标志</w:t>
      </w:r>
    </w:p>
    <w:p>
      <w:pPr>
        <w:pStyle w:val="32"/>
        <w:ind w:firstLine="420"/>
        <w:rPr>
          <w:rFonts w:ascii="Times New Roman"/>
          <w:color w:val="auto"/>
          <w:szCs w:val="22"/>
        </w:rPr>
      </w:pPr>
      <w:r>
        <w:rPr>
          <w:rFonts w:hint="eastAsia"/>
          <w:color w:val="auto"/>
        </w:rPr>
        <w:t>铜铁锰酸钠正极材料</w:t>
      </w:r>
      <w:r>
        <w:rPr>
          <w:rFonts w:hint="eastAsia" w:ascii="Times New Roman"/>
          <w:color w:val="auto"/>
          <w:szCs w:val="22"/>
        </w:rPr>
        <w:t>外包装袋上应有牢固清晰的标志。内容包括：生产厂名、厂址、产品名称、型号、等级、净质量、批号或生产日期、保质期、本标准编号及GB/T 191中规</w:t>
      </w:r>
      <w:r>
        <w:rPr>
          <w:rFonts w:hint="eastAsia" w:hAnsi="宋体" w:cs="宋体"/>
          <w:color w:val="auto"/>
          <w:szCs w:val="22"/>
        </w:rPr>
        <w:t>定的“怕雨”、“怕晒”</w:t>
      </w:r>
      <w:r>
        <w:rPr>
          <w:rFonts w:hint="eastAsia" w:ascii="Times New Roman"/>
          <w:color w:val="auto"/>
          <w:szCs w:val="22"/>
        </w:rPr>
        <w:t>标志。</w:t>
      </w:r>
    </w:p>
    <w:p>
      <w:pPr>
        <w:pStyle w:val="32"/>
        <w:spacing w:before="156" w:beforeLines="50" w:after="156" w:afterLines="50"/>
        <w:ind w:firstLine="0" w:firstLineChars="0"/>
        <w:outlineLvl w:val="1"/>
        <w:rPr>
          <w:rFonts w:ascii="黑体" w:hAnsi="黑体" w:eastAsia="黑体" w:cs="黑体"/>
          <w:szCs w:val="21"/>
        </w:rPr>
      </w:pPr>
      <w:r>
        <w:rPr>
          <w:rFonts w:hint="eastAsia" w:ascii="黑体" w:hAnsi="黑体" w:eastAsia="黑体" w:cs="黑体"/>
          <w:szCs w:val="21"/>
        </w:rPr>
        <w:t>7.2  包装</w:t>
      </w:r>
    </w:p>
    <w:p>
      <w:pPr>
        <w:pStyle w:val="32"/>
        <w:ind w:firstLine="420"/>
        <w:outlineLvl w:val="1"/>
        <w:rPr>
          <w:rFonts w:ascii="Times New Roman"/>
          <w:kern w:val="2"/>
          <w:szCs w:val="21"/>
        </w:rPr>
      </w:pPr>
      <w:r>
        <w:rPr>
          <w:rFonts w:ascii="Times New Roman"/>
          <w:kern w:val="2"/>
          <w:szCs w:val="21"/>
        </w:rPr>
        <w:t>产品运输过程中，防止雨淋、受热、受潮，运输车辆应清洁。在搬运过程中应轻拿轻放，不得滚动、倒置，防止产品的包装破裂。</w:t>
      </w:r>
    </w:p>
    <w:p>
      <w:pPr>
        <w:pStyle w:val="32"/>
        <w:spacing w:before="156" w:beforeLines="50" w:after="156" w:afterLines="50"/>
        <w:ind w:firstLine="0" w:firstLineChars="0"/>
        <w:outlineLvl w:val="1"/>
        <w:rPr>
          <w:rFonts w:ascii="黑体" w:hAnsi="黑体" w:eastAsia="黑体" w:cs="黑体"/>
          <w:szCs w:val="21"/>
        </w:rPr>
      </w:pPr>
      <w:r>
        <w:rPr>
          <w:rFonts w:hint="eastAsia" w:ascii="黑体" w:hAnsi="黑体" w:eastAsia="黑体" w:cs="黑体"/>
          <w:szCs w:val="21"/>
        </w:rPr>
        <w:t>7.3  运输</w:t>
      </w:r>
    </w:p>
    <w:p>
      <w:pPr>
        <w:pStyle w:val="32"/>
        <w:ind w:firstLine="420"/>
        <w:outlineLvl w:val="1"/>
        <w:rPr>
          <w:rFonts w:ascii="Times New Roman"/>
          <w:kern w:val="2"/>
          <w:szCs w:val="21"/>
        </w:rPr>
      </w:pPr>
      <w:r>
        <w:rPr>
          <w:rFonts w:ascii="Times New Roman"/>
          <w:kern w:val="2"/>
          <w:szCs w:val="21"/>
        </w:rPr>
        <w:t>产品运输过程中，防止雨淋、受热、受潮，运输车辆应清洁。在搬运过程中应轻拿轻放，不得滚动、倒置，防止产品的包装破裂。</w:t>
      </w:r>
    </w:p>
    <w:p>
      <w:pPr>
        <w:pStyle w:val="32"/>
        <w:spacing w:before="156" w:beforeLines="50" w:after="156" w:afterLines="50"/>
        <w:ind w:firstLine="0" w:firstLineChars="0"/>
        <w:outlineLvl w:val="1"/>
        <w:rPr>
          <w:rFonts w:ascii="黑体" w:hAnsi="黑体" w:eastAsia="黑体" w:cs="黑体"/>
          <w:szCs w:val="21"/>
        </w:rPr>
      </w:pPr>
      <w:r>
        <w:rPr>
          <w:rFonts w:hint="eastAsia" w:ascii="黑体" w:hAnsi="黑体" w:eastAsia="黑体" w:cs="黑体"/>
          <w:szCs w:val="21"/>
        </w:rPr>
        <w:t>7.4  贮存</w:t>
      </w:r>
    </w:p>
    <w:p>
      <w:pPr>
        <w:pStyle w:val="32"/>
        <w:ind w:firstLine="420"/>
        <w:outlineLvl w:val="1"/>
        <w:rPr>
          <w:szCs w:val="21"/>
        </w:rPr>
      </w:pPr>
      <w:r>
        <w:rPr>
          <w:rFonts w:ascii="Times New Roman"/>
          <w:kern w:val="2"/>
          <w:szCs w:val="21"/>
        </w:rPr>
        <w:t>产品应贮存在通风、阴凉、干燥的库房内，防止雨淋、受潮。严禁与酸类物品混贮。</w:t>
      </w:r>
    </w:p>
    <w:p>
      <w:pPr>
        <w:pStyle w:val="32"/>
        <w:spacing w:before="156" w:beforeLines="50" w:after="156" w:afterLines="50"/>
        <w:ind w:firstLine="0" w:firstLineChars="0"/>
        <w:outlineLvl w:val="1"/>
        <w:rPr>
          <w:rFonts w:ascii="黑体" w:hAnsi="黑体" w:eastAsia="黑体" w:cs="黑体"/>
          <w:szCs w:val="21"/>
        </w:rPr>
      </w:pPr>
      <w:r>
        <w:rPr>
          <w:rFonts w:hint="eastAsia" w:ascii="黑体" w:hAnsi="黑体" w:eastAsia="黑体" w:cs="黑体"/>
          <w:szCs w:val="21"/>
        </w:rPr>
        <w:t>7.5  随行文件</w:t>
      </w:r>
    </w:p>
    <w:p>
      <w:pPr>
        <w:pStyle w:val="32"/>
        <w:ind w:firstLine="420"/>
        <w:rPr>
          <w:rFonts w:ascii="Times New Roman"/>
          <w:szCs w:val="21"/>
        </w:rPr>
      </w:pPr>
      <w:r>
        <w:rPr>
          <w:rFonts w:ascii="Times New Roman"/>
          <w:szCs w:val="21"/>
        </w:rPr>
        <w:t>每批产品应附有随行文件，其上注明：</w:t>
      </w:r>
    </w:p>
    <w:p>
      <w:pPr>
        <w:pStyle w:val="32"/>
        <w:ind w:firstLine="420"/>
        <w:rPr>
          <w:rFonts w:ascii="Times New Roman"/>
          <w:szCs w:val="21"/>
        </w:rPr>
      </w:pPr>
      <w:r>
        <w:rPr>
          <w:rFonts w:ascii="Times New Roman"/>
          <w:szCs w:val="21"/>
        </w:rPr>
        <w:t>a</w:t>
      </w:r>
      <w:r>
        <w:rPr>
          <w:rFonts w:hint="eastAsia" w:ascii="Times New Roman"/>
          <w:szCs w:val="21"/>
        </w:rPr>
        <w:t>）</w:t>
      </w:r>
      <w:r>
        <w:rPr>
          <w:rFonts w:ascii="Times New Roman"/>
          <w:szCs w:val="21"/>
        </w:rPr>
        <w:t>供方名称、地址、电话；</w:t>
      </w:r>
    </w:p>
    <w:p>
      <w:pPr>
        <w:pStyle w:val="32"/>
        <w:ind w:firstLine="420"/>
        <w:rPr>
          <w:rFonts w:ascii="Times New Roman"/>
          <w:szCs w:val="21"/>
        </w:rPr>
      </w:pPr>
      <w:r>
        <w:rPr>
          <w:rFonts w:ascii="Times New Roman"/>
          <w:szCs w:val="21"/>
        </w:rPr>
        <w:t>b</w:t>
      </w:r>
      <w:r>
        <w:rPr>
          <w:rFonts w:hint="eastAsia" w:ascii="Times New Roman"/>
          <w:szCs w:val="21"/>
        </w:rPr>
        <w:t>）</w:t>
      </w:r>
      <w:r>
        <w:rPr>
          <w:rFonts w:ascii="Times New Roman"/>
          <w:szCs w:val="21"/>
        </w:rPr>
        <w:t>产品名称；</w:t>
      </w:r>
    </w:p>
    <w:p>
      <w:pPr>
        <w:pStyle w:val="32"/>
        <w:ind w:firstLine="420"/>
        <w:rPr>
          <w:rFonts w:ascii="Times New Roman"/>
          <w:szCs w:val="21"/>
        </w:rPr>
      </w:pPr>
      <w:r>
        <w:rPr>
          <w:rFonts w:ascii="Times New Roman"/>
          <w:szCs w:val="21"/>
        </w:rPr>
        <w:t>c</w:t>
      </w:r>
      <w:r>
        <w:rPr>
          <w:rFonts w:hint="eastAsia" w:ascii="Times New Roman"/>
          <w:szCs w:val="21"/>
        </w:rPr>
        <w:t>）</w:t>
      </w:r>
      <w:r>
        <w:rPr>
          <w:rFonts w:ascii="Times New Roman"/>
          <w:szCs w:val="21"/>
        </w:rPr>
        <w:t>产品批号；</w:t>
      </w:r>
    </w:p>
    <w:p>
      <w:pPr>
        <w:pStyle w:val="32"/>
        <w:ind w:firstLine="420"/>
        <w:rPr>
          <w:rFonts w:ascii="Times New Roman"/>
          <w:szCs w:val="21"/>
        </w:rPr>
      </w:pPr>
      <w:r>
        <w:rPr>
          <w:rFonts w:ascii="Times New Roman"/>
          <w:szCs w:val="21"/>
        </w:rPr>
        <w:t>d</w:t>
      </w:r>
      <w:r>
        <w:rPr>
          <w:rFonts w:hint="eastAsia" w:ascii="Times New Roman"/>
          <w:szCs w:val="21"/>
        </w:rPr>
        <w:t>）产品类别；</w:t>
      </w:r>
    </w:p>
    <w:p>
      <w:pPr>
        <w:pStyle w:val="32"/>
        <w:ind w:firstLine="420"/>
        <w:rPr>
          <w:rFonts w:ascii="Times New Roman"/>
          <w:szCs w:val="21"/>
        </w:rPr>
      </w:pPr>
      <w:r>
        <w:rPr>
          <w:rFonts w:ascii="Times New Roman"/>
          <w:szCs w:val="21"/>
        </w:rPr>
        <w:t>e</w:t>
      </w:r>
      <w:r>
        <w:rPr>
          <w:rFonts w:hint="eastAsia" w:ascii="Times New Roman"/>
          <w:szCs w:val="21"/>
        </w:rPr>
        <w:t>）</w:t>
      </w:r>
      <w:r>
        <w:rPr>
          <w:rFonts w:ascii="Times New Roman"/>
          <w:szCs w:val="21"/>
        </w:rPr>
        <w:t>净重；</w:t>
      </w:r>
    </w:p>
    <w:p>
      <w:pPr>
        <w:pStyle w:val="32"/>
        <w:ind w:firstLine="420"/>
        <w:rPr>
          <w:rFonts w:ascii="Times New Roman"/>
          <w:szCs w:val="21"/>
        </w:rPr>
      </w:pPr>
      <w:r>
        <w:rPr>
          <w:rFonts w:ascii="Times New Roman"/>
          <w:szCs w:val="21"/>
        </w:rPr>
        <w:t>f</w:t>
      </w:r>
      <w:r>
        <w:rPr>
          <w:rFonts w:hint="eastAsia" w:ascii="Times New Roman"/>
          <w:szCs w:val="21"/>
        </w:rPr>
        <w:t>）</w:t>
      </w:r>
      <w:r>
        <w:rPr>
          <w:rFonts w:ascii="Times New Roman"/>
          <w:szCs w:val="21"/>
        </w:rPr>
        <w:t>各项分析检验结果和技术监督部门的印记；</w:t>
      </w:r>
    </w:p>
    <w:p>
      <w:pPr>
        <w:pStyle w:val="32"/>
        <w:ind w:firstLine="420"/>
        <w:rPr>
          <w:rFonts w:ascii="Times New Roman"/>
          <w:szCs w:val="21"/>
        </w:rPr>
      </w:pPr>
      <w:r>
        <w:rPr>
          <w:rFonts w:ascii="Times New Roman"/>
          <w:szCs w:val="21"/>
        </w:rPr>
        <w:t>g</w:t>
      </w:r>
      <w:r>
        <w:rPr>
          <w:rFonts w:hint="eastAsia" w:ascii="Times New Roman"/>
          <w:szCs w:val="21"/>
        </w:rPr>
        <w:t>）</w:t>
      </w:r>
      <w:r>
        <w:rPr>
          <w:rFonts w:ascii="Times New Roman"/>
          <w:szCs w:val="21"/>
        </w:rPr>
        <w:t>本文件编号；</w:t>
      </w:r>
    </w:p>
    <w:p>
      <w:pPr>
        <w:pStyle w:val="32"/>
        <w:ind w:firstLine="420"/>
        <w:rPr>
          <w:rFonts w:ascii="Times New Roman"/>
          <w:szCs w:val="21"/>
        </w:rPr>
      </w:pPr>
      <w:r>
        <w:rPr>
          <w:rFonts w:ascii="Times New Roman"/>
          <w:szCs w:val="21"/>
        </w:rPr>
        <w:t>h）生产日期；</w:t>
      </w:r>
    </w:p>
    <w:p>
      <w:pPr>
        <w:pStyle w:val="32"/>
        <w:ind w:firstLine="420"/>
        <w:rPr>
          <w:rFonts w:ascii="Times New Roman"/>
          <w:szCs w:val="21"/>
        </w:rPr>
      </w:pPr>
      <w:r>
        <w:rPr>
          <w:rFonts w:hint="eastAsia" w:ascii="Times New Roman"/>
          <w:szCs w:val="21"/>
        </w:rPr>
        <w:t>i</w:t>
      </w:r>
      <w:r>
        <w:rPr>
          <w:rFonts w:ascii="Times New Roman"/>
          <w:szCs w:val="21"/>
        </w:rPr>
        <w:t>）其他。</w:t>
      </w:r>
    </w:p>
    <w:p>
      <w:pPr>
        <w:pStyle w:val="42"/>
        <w:spacing w:before="312" w:beforeLines="100" w:after="312" w:afterLines="100"/>
        <w:rPr>
          <w:rFonts w:hAnsi="黑体" w:cs="黑体"/>
          <w:bCs/>
        </w:rPr>
      </w:pPr>
      <w:r>
        <w:rPr>
          <w:rFonts w:hint="eastAsia" w:hAnsi="黑体" w:cs="黑体"/>
          <w:bCs/>
        </w:rPr>
        <w:t>8  订货单内容</w:t>
      </w:r>
    </w:p>
    <w:bookmarkEnd w:id="2"/>
    <w:p>
      <w:pPr>
        <w:pStyle w:val="32"/>
        <w:ind w:firstLine="420"/>
        <w:rPr>
          <w:rFonts w:ascii="Times New Roman"/>
          <w:szCs w:val="21"/>
        </w:rPr>
      </w:pPr>
      <w:r>
        <w:rPr>
          <w:rFonts w:ascii="Times New Roman"/>
          <w:szCs w:val="21"/>
        </w:rPr>
        <w:t>需方可根据自身的需要，在订购本文件所列产品的订货单内，列出如下内容：</w:t>
      </w:r>
    </w:p>
    <w:p>
      <w:pPr>
        <w:pStyle w:val="32"/>
        <w:ind w:firstLine="420"/>
        <w:rPr>
          <w:rFonts w:ascii="Times New Roman"/>
          <w:szCs w:val="21"/>
        </w:rPr>
      </w:pPr>
      <w:r>
        <w:rPr>
          <w:rFonts w:ascii="Times New Roman"/>
          <w:szCs w:val="21"/>
        </w:rPr>
        <w:t>a）产品名称；</w:t>
      </w:r>
    </w:p>
    <w:p>
      <w:pPr>
        <w:pStyle w:val="32"/>
        <w:ind w:firstLine="420"/>
        <w:rPr>
          <w:rFonts w:ascii="Times New Roman"/>
          <w:szCs w:val="21"/>
        </w:rPr>
      </w:pPr>
      <w:r>
        <w:rPr>
          <w:rFonts w:ascii="Times New Roman"/>
          <w:szCs w:val="21"/>
        </w:rPr>
        <w:t>b）化学成分；</w:t>
      </w:r>
    </w:p>
    <w:p>
      <w:pPr>
        <w:pStyle w:val="32"/>
        <w:ind w:firstLine="420"/>
        <w:rPr>
          <w:rFonts w:ascii="Times New Roman"/>
          <w:szCs w:val="21"/>
        </w:rPr>
      </w:pPr>
      <w:r>
        <w:rPr>
          <w:rFonts w:ascii="Times New Roman"/>
          <w:szCs w:val="21"/>
        </w:rPr>
        <w:t>c）数量；</w:t>
      </w:r>
    </w:p>
    <w:p>
      <w:pPr>
        <w:pStyle w:val="32"/>
        <w:ind w:firstLine="420"/>
        <w:rPr>
          <w:rFonts w:ascii="Times New Roman"/>
          <w:szCs w:val="21"/>
        </w:rPr>
      </w:pPr>
      <w:r>
        <w:rPr>
          <w:rFonts w:ascii="Times New Roman"/>
          <w:szCs w:val="21"/>
        </w:rPr>
        <w:t>d）</w:t>
      </w:r>
      <w:r>
        <w:rPr>
          <w:rFonts w:hint="eastAsia" w:ascii="Times New Roman"/>
          <w:szCs w:val="21"/>
        </w:rPr>
        <w:t>产品类别；</w:t>
      </w:r>
    </w:p>
    <w:p>
      <w:pPr>
        <w:pStyle w:val="32"/>
        <w:ind w:firstLine="420"/>
        <w:rPr>
          <w:rFonts w:ascii="Times New Roman"/>
          <w:szCs w:val="21"/>
        </w:rPr>
      </w:pPr>
      <w:r>
        <w:rPr>
          <w:rFonts w:ascii="Times New Roman"/>
          <w:szCs w:val="21"/>
        </w:rPr>
        <w:t>e）本</w:t>
      </w:r>
      <w:r>
        <w:rPr>
          <w:rFonts w:hint="eastAsia" w:ascii="Times New Roman"/>
          <w:szCs w:val="21"/>
        </w:rPr>
        <w:t>文件</w:t>
      </w:r>
      <w:r>
        <w:rPr>
          <w:rFonts w:ascii="Times New Roman"/>
          <w:szCs w:val="21"/>
        </w:rPr>
        <w:t>编号；</w:t>
      </w:r>
    </w:p>
    <w:p>
      <w:pPr>
        <w:pStyle w:val="32"/>
        <w:ind w:firstLine="420"/>
        <w:rPr>
          <w:rFonts w:ascii="Times New Roman"/>
          <w:szCs w:val="21"/>
        </w:rPr>
      </w:pPr>
      <w:r>
        <w:rPr>
          <w:rFonts w:hint="eastAsia" w:ascii="Times New Roman"/>
          <w:szCs w:val="21"/>
        </w:rPr>
        <w:t>f</w:t>
      </w:r>
      <w:r>
        <w:rPr>
          <w:rFonts w:ascii="Times New Roman"/>
          <w:szCs w:val="21"/>
        </w:rPr>
        <w:t>）其他。</w:t>
      </w:r>
    </w:p>
    <w:p>
      <w:pPr>
        <w:pStyle w:val="32"/>
        <w:spacing w:line="360" w:lineRule="auto"/>
        <w:ind w:firstLine="420"/>
        <w:rPr>
          <w:rFonts w:ascii="Times New Roman"/>
        </w:rPr>
      </w:pPr>
    </w:p>
    <w:p>
      <w:pPr>
        <w:pStyle w:val="32"/>
        <w:spacing w:line="360" w:lineRule="auto"/>
        <w:ind w:firstLine="420"/>
        <w:rPr>
          <w:rFonts w:ascii="Times New Roman"/>
        </w:rPr>
      </w:pPr>
    </w:p>
    <w:p>
      <w:pPr>
        <w:pStyle w:val="32"/>
        <w:spacing w:line="360" w:lineRule="auto"/>
        <w:ind w:firstLine="420"/>
        <w:rPr>
          <w:rFonts w:ascii="Times New Roman"/>
        </w:rPr>
      </w:pPr>
      <w:r>
        <w:rPr>
          <w:rFonts w:ascii="Times New Roman"/>
        </w:rPr>
        <mc:AlternateContent>
          <mc:Choice Requires="wps">
            <w:drawing>
              <wp:anchor distT="0" distB="0" distL="114300" distR="114300" simplePos="0" relativeHeight="251664384" behindDoc="0" locked="0" layoutInCell="1" allowOverlap="1">
                <wp:simplePos x="0" y="0"/>
                <wp:positionH relativeFrom="column">
                  <wp:posOffset>2209800</wp:posOffset>
                </wp:positionH>
                <wp:positionV relativeFrom="paragraph">
                  <wp:posOffset>208280</wp:posOffset>
                </wp:positionV>
                <wp:extent cx="1524000" cy="635"/>
                <wp:effectExtent l="0" t="0" r="0" b="0"/>
                <wp:wrapNone/>
                <wp:docPr id="10" name="直线 16"/>
                <wp:cNvGraphicFramePr/>
                <a:graphic xmlns:a="http://schemas.openxmlformats.org/drawingml/2006/main">
                  <a:graphicData uri="http://schemas.microsoft.com/office/word/2010/wordprocessingShape">
                    <wps:wsp>
                      <wps:cNvCnPr/>
                      <wps:spPr>
                        <a:xfrm>
                          <a:off x="0" y="0"/>
                          <a:ext cx="1524000" cy="635"/>
                        </a:xfrm>
                        <a:prstGeom prst="line">
                          <a:avLst/>
                        </a:prstGeom>
                        <a:ln w="12700" cap="flat" cmpd="sng">
                          <a:solidFill>
                            <a:srgbClr val="000000"/>
                          </a:solidFill>
                          <a:prstDash val="solid"/>
                          <a:headEnd type="none" w="med" len="med"/>
                          <a:tailEnd type="none" w="med" len="med"/>
                        </a:ln>
                      </wps:spPr>
                      <wps:bodyPr/>
                    </wps:wsp>
                  </a:graphicData>
                </a:graphic>
              </wp:anchor>
            </w:drawing>
          </mc:Choice>
          <mc:Fallback>
            <w:pict>
              <v:line id="直线 16" o:spid="_x0000_s1026" o:spt="20" style="position:absolute;left:0pt;margin-left:174pt;margin-top:16.4pt;height:0.05pt;width:120pt;z-index:251664384;mso-width-relative:page;mso-height-relative:page;" filled="f" stroked="t" coordsize="21600,21600" o:gfxdata="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PJlSXzXAAAACQEAAA8A&#10;AAAAAAAAAQAgAAAAIgAAAGRycy9kb3ducmV2LnhtbFBLAQIUABQAAAAIAIdO4kCSWQPu3wEAANQD&#10;AAAOAAAAAAAAAAEAIAAAACYBAABkcnMvZTJvRG9jLnhtbFBLBQYAAAAABgAGAFkBAAB3BQAAAAA=&#10;">
                <v:fill on="f" focussize="0,0"/>
                <v:stroke weight="1pt" color="#000000" joinstyle="round"/>
                <v:imagedata o:title=""/>
                <o:lock v:ext="edit" aspectratio="f"/>
              </v:line>
            </w:pict>
          </mc:Fallback>
        </mc:AlternateContent>
      </w:r>
    </w:p>
    <w:sectPr>
      <w:footerReference r:id="rId10" w:type="default"/>
      <w:pgSz w:w="11907" w:h="16839"/>
      <w:pgMar w:top="1418" w:right="1134" w:bottom="1134" w:left="1418" w:header="1418" w:footer="851"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PMingLiU">
    <w:altName w:val="Microsoft JhengHei"/>
    <w:panose1 w:val="02010601000101010101"/>
    <w:charset w:val="88"/>
    <w:family w:val="roman"/>
    <w:pitch w:val="default"/>
    <w:sig w:usb0="00000000" w:usb1="00000000" w:usb2="00000016" w:usb3="00000000" w:csb0="00100001" w:csb1="00000000"/>
  </w:font>
  <w:font w:name="Microsoft JhengHei">
    <w:panose1 w:val="020B0604030504040204"/>
    <w:charset w:val="88"/>
    <w:family w:val="auto"/>
    <w:pitch w:val="default"/>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right="210"/>
    </w:pPr>
    <w:r>
      <w:fldChar w:fldCharType="begin"/>
    </w:r>
    <w:r>
      <w:instrText xml:space="preserve">PAGE   \* MERGEFORMAT</w:instrText>
    </w:r>
    <w:r>
      <w:fldChar w:fldCharType="separate"/>
    </w:r>
    <w:r>
      <w:rPr>
        <w:lang w:val="zh-CN"/>
      </w:rPr>
      <w:t>II</w:t>
    </w:r>
    <w:r>
      <w:rPr>
        <w:lang w:val="zh-CN"/>
      </w:rPr>
      <w:fldChar w:fldCharType="end"/>
    </w:r>
  </w:p>
  <w:p>
    <w:pPr>
      <w:pStyle w:val="52"/>
      <w:rPr>
        <w:rStyle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2"/>
      <w:rPr>
        <w:rStyle w:val="20"/>
      </w:rPr>
    </w:pPr>
    <w:r>
      <w:fldChar w:fldCharType="begin"/>
    </w:r>
    <w:r>
      <w:rPr>
        <w:rStyle w:val="20"/>
      </w:rPr>
      <w:instrText xml:space="preserve">PAGE  </w:instrText>
    </w:r>
    <w:r>
      <w:fldChar w:fldCharType="separate"/>
    </w:r>
    <w:r>
      <w:rPr>
        <w:rStyle w:val="20"/>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right="21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right="210"/>
      <w:rPr>
        <w:rStyle w:val="20"/>
      </w:rPr>
    </w:pPr>
    <w:r>
      <w:rPr>
        <w:rStyle w:val="20"/>
        <w:rFonts w:hint="eastAsia" w:ascii="宋体" w:hAnsi="宋体"/>
      </w:rPr>
      <w:t>Ⅰ</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right="210"/>
      <w:rPr>
        <w:rStyle w:val="20"/>
      </w:rPr>
    </w:pPr>
    <w:r>
      <w:fldChar w:fldCharType="begin"/>
    </w:r>
    <w:r>
      <w:instrText xml:space="preserve">PAGE   \* MERGEFORMAT</w:instrText>
    </w:r>
    <w:r>
      <w:fldChar w:fldCharType="separate"/>
    </w:r>
    <w:r>
      <w:rPr>
        <w:lang w:val="zh-CN"/>
      </w:rPr>
      <w:t>1</w:t>
    </w:r>
    <w:r>
      <w:rPr>
        <w:lang w:val="zh-CN"/>
      </w:rPr>
      <w:fldChar w:fldCharType="end"/>
    </w:r>
  </w:p>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4"/>
    </w:pPr>
    <w:r>
      <w:rPr>
        <w:rFonts w:hint="eastAsia" w:ascii="黑体" w:hAnsi="黑体" w:eastAsia="黑体" w:cs="黑体"/>
      </w:rPr>
      <w:t>YS/T ×××—20×</w:t>
    </w:r>
    <w:bookmarkStart w:id="6" w:name="OLE_LINK20"/>
    <w:bookmarkStart w:id="7" w:name="OLE_LINK19"/>
    <w:r>
      <w:rPr>
        <w:rFonts w:hint="eastAsia" w:ascii="黑体" w:hAnsi="黑体" w:eastAsia="黑体" w:cs="黑体"/>
      </w:rPr>
      <w:t>×</w:t>
    </w:r>
    <w:bookmarkEnd w:id="6"/>
    <w:bookmarkEnd w:id="7"/>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3"/>
    </w:pPr>
    <w:r>
      <w:t>GB/T ××××—200×</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4"/>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0EABDE1"/>
    <w:multiLevelType w:val="multilevel"/>
    <w:tmpl w:val="10EABDE1"/>
    <w:lvl w:ilvl="0" w:tentative="0">
      <w:start w:val="1"/>
      <w:numFmt w:val="decimal"/>
      <w:suff w:val="space"/>
      <w:lvlText w:val="%1"/>
      <w:lvlJc w:val="left"/>
      <w:pPr>
        <w:tabs>
          <w:tab w:val="left" w:pos="0"/>
        </w:tabs>
        <w:ind w:left="425" w:hanging="425"/>
      </w:pPr>
      <w:rPr>
        <w:rFonts w:hint="default" w:ascii="黑体" w:hAnsi="黑体" w:eastAsia="黑体" w:cs="黑体"/>
        <w:sz w:val="21"/>
        <w:szCs w:val="21"/>
      </w:rPr>
    </w:lvl>
    <w:lvl w:ilvl="1" w:tentative="0">
      <w:start w:val="1"/>
      <w:numFmt w:val="decimal"/>
      <w:lvlText w:val="(%2)"/>
      <w:lvlJc w:val="left"/>
      <w:pPr>
        <w:tabs>
          <w:tab w:val="left" w:pos="840"/>
        </w:tabs>
        <w:ind w:left="840" w:leftChars="0" w:hanging="420" w:firstLineChars="0"/>
      </w:pPr>
      <w:rPr>
        <w:rFonts w:hint="default"/>
      </w:rPr>
    </w:lvl>
    <w:lvl w:ilvl="2" w:tentative="0">
      <w:start w:val="1"/>
      <w:numFmt w:val="decimalEnclosedCircleChinese"/>
      <w:lvlText w:val="%3"/>
      <w:lvlJc w:val="left"/>
      <w:pPr>
        <w:tabs>
          <w:tab w:val="left" w:pos="1260"/>
        </w:tabs>
        <w:ind w:left="1260" w:leftChars="0" w:hanging="420" w:firstLineChars="0"/>
      </w:pPr>
      <w:rPr>
        <w:rFonts w:hint="default"/>
      </w:rPr>
    </w:lvl>
    <w:lvl w:ilvl="3" w:tentative="0">
      <w:start w:val="1"/>
      <w:numFmt w:val="decimal"/>
      <w:lvlText w:val="%4)"/>
      <w:lvlJc w:val="left"/>
      <w:pPr>
        <w:tabs>
          <w:tab w:val="left" w:pos="1680"/>
        </w:tabs>
        <w:ind w:left="1680" w:leftChars="0" w:hanging="420" w:firstLineChars="0"/>
      </w:pPr>
      <w:rPr>
        <w:rFonts w:hint="default"/>
      </w:rPr>
    </w:lvl>
    <w:lvl w:ilvl="4" w:tentative="0">
      <w:start w:val="1"/>
      <w:numFmt w:val="lowerLetter"/>
      <w:lvlText w:val="%5."/>
      <w:lvlJc w:val="left"/>
      <w:pPr>
        <w:tabs>
          <w:tab w:val="left" w:pos="2100"/>
        </w:tabs>
        <w:ind w:left="2100" w:leftChars="0" w:hanging="420" w:firstLineChars="0"/>
      </w:pPr>
      <w:rPr>
        <w:rFonts w:hint="default"/>
      </w:rPr>
    </w:lvl>
    <w:lvl w:ilvl="5" w:tentative="0">
      <w:start w:val="1"/>
      <w:numFmt w:val="lowerLetter"/>
      <w:lvlText w:val="%6)"/>
      <w:lvlJc w:val="left"/>
      <w:pPr>
        <w:tabs>
          <w:tab w:val="left" w:pos="2520"/>
        </w:tabs>
        <w:ind w:left="2520" w:leftChars="0" w:hanging="420" w:firstLineChars="0"/>
      </w:pPr>
      <w:rPr>
        <w:rFonts w:hint="default"/>
      </w:rPr>
    </w:lvl>
    <w:lvl w:ilvl="6" w:tentative="0">
      <w:start w:val="1"/>
      <w:numFmt w:val="lowerRoman"/>
      <w:lvlText w:val="%7."/>
      <w:lvlJc w:val="left"/>
      <w:pPr>
        <w:tabs>
          <w:tab w:val="left" w:pos="2940"/>
        </w:tabs>
        <w:ind w:left="2940" w:leftChars="0" w:hanging="420" w:firstLineChars="0"/>
      </w:pPr>
      <w:rPr>
        <w:rFonts w:hint="default"/>
      </w:rPr>
    </w:lvl>
    <w:lvl w:ilvl="7" w:tentative="0">
      <w:start w:val="1"/>
      <w:numFmt w:val="lowerRoman"/>
      <w:lvlText w:val="%8)"/>
      <w:lvlJc w:val="left"/>
      <w:pPr>
        <w:tabs>
          <w:tab w:val="left" w:pos="3360"/>
        </w:tabs>
        <w:ind w:left="3360" w:leftChars="0" w:hanging="420" w:firstLineChars="0"/>
      </w:pPr>
      <w:rPr>
        <w:rFonts w:hint="default"/>
      </w:rPr>
    </w:lvl>
    <w:lvl w:ilvl="8" w:tentative="0">
      <w:start w:val="1"/>
      <w:numFmt w:val="lowerLetter"/>
      <w:lvlText w:val="%9."/>
      <w:lvlJc w:val="left"/>
      <w:pPr>
        <w:tabs>
          <w:tab w:val="left" w:pos="3780"/>
        </w:tabs>
        <w:ind w:left="3780" w:leftChars="0" w:hanging="420" w:firstLineChars="0"/>
      </w:pPr>
      <w:rPr>
        <w:rFonts w:hint="default"/>
      </w:rPr>
    </w:lvl>
  </w:abstractNum>
  <w:abstractNum w:abstractNumId="1">
    <w:nsid w:val="6CEA2025"/>
    <w:multiLevelType w:val="multilevel"/>
    <w:tmpl w:val="6CEA2025"/>
    <w:lvl w:ilvl="0" w:tentative="0">
      <w:start w:val="1"/>
      <w:numFmt w:val="none"/>
      <w:suff w:val="nothing"/>
      <w:lvlText w:val="%1"/>
      <w:lvlJc w:val="left"/>
      <w:pPr>
        <w:ind w:left="0" w:firstLine="0"/>
      </w:pPr>
      <w:rPr>
        <w:rFonts w:hint="eastAsia"/>
      </w:rPr>
    </w:lvl>
    <w:lvl w:ilvl="1" w:tentative="0">
      <w:start w:val="1"/>
      <w:numFmt w:val="decimal"/>
      <w:pStyle w:val="78"/>
      <w:suff w:val="nothing"/>
      <w:lvlText w:val="%1%2　"/>
      <w:lvlJc w:val="left"/>
      <w:pPr>
        <w:ind w:left="0" w:firstLine="0"/>
      </w:pPr>
      <w:rPr>
        <w:rFonts w:hint="eastAsia" w:ascii="黑体" w:eastAsia="黑体"/>
        <w:b w:val="0"/>
        <w:i w:val="0"/>
        <w:sz w:val="21"/>
      </w:rPr>
    </w:lvl>
    <w:lvl w:ilvl="2" w:tentative="0">
      <w:start w:val="1"/>
      <w:numFmt w:val="decimal"/>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3" w:tentative="0">
      <w:start w:val="1"/>
      <w:numFmt w:val="decimal"/>
      <w:suff w:val="nothing"/>
      <w:lvlText w:val="%1%2.%3.%4　"/>
      <w:lvlJc w:val="left"/>
      <w:pPr>
        <w:ind w:left="0" w:firstLine="0"/>
      </w:pPr>
      <w:rPr>
        <w:rFonts w:hint="eastAsia" w:ascii="黑体" w:eastAsia="黑体"/>
        <w:b w:val="0"/>
        <w:i w:val="0"/>
        <w:sz w:val="21"/>
      </w:rPr>
    </w:lvl>
    <w:lvl w:ilvl="4" w:tentative="0">
      <w:start w:val="1"/>
      <w:numFmt w:val="decimal"/>
      <w:suff w:val="nothing"/>
      <w:lvlText w:val="%1%2.%3.%4.%5　"/>
      <w:lvlJc w:val="left"/>
      <w:pPr>
        <w:ind w:left="0" w:firstLine="0"/>
      </w:pPr>
      <w:rPr>
        <w:rFonts w:hint="eastAsia" w:ascii="黑体" w:eastAsia="黑体"/>
        <w:b w:val="0"/>
        <w:i w:val="0"/>
        <w:sz w:val="21"/>
      </w:rPr>
    </w:lvl>
    <w:lvl w:ilvl="5" w:tentative="0">
      <w:start w:val="1"/>
      <w:numFmt w:val="decimal"/>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HorizontalSpacing w:val="181"/>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U5ZmI1NjdjNjEyNWU1ZDkxMWNmODkwNmY3ZmZkNmQifQ=="/>
  </w:docVars>
  <w:rsids>
    <w:rsidRoot w:val="00172A27"/>
    <w:rsid w:val="00000E16"/>
    <w:rsid w:val="000125A0"/>
    <w:rsid w:val="00012B56"/>
    <w:rsid w:val="00012CFC"/>
    <w:rsid w:val="00013A6A"/>
    <w:rsid w:val="00013BDF"/>
    <w:rsid w:val="00016667"/>
    <w:rsid w:val="00021D65"/>
    <w:rsid w:val="00025511"/>
    <w:rsid w:val="000356D7"/>
    <w:rsid w:val="0004164E"/>
    <w:rsid w:val="00042D43"/>
    <w:rsid w:val="00043578"/>
    <w:rsid w:val="00044FDA"/>
    <w:rsid w:val="00045538"/>
    <w:rsid w:val="000457C4"/>
    <w:rsid w:val="00046F28"/>
    <w:rsid w:val="00046F42"/>
    <w:rsid w:val="00046FC1"/>
    <w:rsid w:val="000506BD"/>
    <w:rsid w:val="0005142F"/>
    <w:rsid w:val="00055789"/>
    <w:rsid w:val="0005672F"/>
    <w:rsid w:val="00056B37"/>
    <w:rsid w:val="00057837"/>
    <w:rsid w:val="0006095F"/>
    <w:rsid w:val="0006246B"/>
    <w:rsid w:val="00062FBB"/>
    <w:rsid w:val="00064154"/>
    <w:rsid w:val="00064DFF"/>
    <w:rsid w:val="00064FB6"/>
    <w:rsid w:val="0006640B"/>
    <w:rsid w:val="00066E21"/>
    <w:rsid w:val="000711C4"/>
    <w:rsid w:val="00073328"/>
    <w:rsid w:val="0007419A"/>
    <w:rsid w:val="000757C9"/>
    <w:rsid w:val="000758BF"/>
    <w:rsid w:val="00077A1A"/>
    <w:rsid w:val="00077A85"/>
    <w:rsid w:val="00077BDE"/>
    <w:rsid w:val="0008138E"/>
    <w:rsid w:val="00085CCF"/>
    <w:rsid w:val="000876B6"/>
    <w:rsid w:val="000945AC"/>
    <w:rsid w:val="00095560"/>
    <w:rsid w:val="00096CC4"/>
    <w:rsid w:val="000975C5"/>
    <w:rsid w:val="000A0360"/>
    <w:rsid w:val="000A1BAC"/>
    <w:rsid w:val="000A297D"/>
    <w:rsid w:val="000A2B58"/>
    <w:rsid w:val="000A444F"/>
    <w:rsid w:val="000A78CE"/>
    <w:rsid w:val="000A7D96"/>
    <w:rsid w:val="000B0472"/>
    <w:rsid w:val="000B13F8"/>
    <w:rsid w:val="000B4727"/>
    <w:rsid w:val="000B51D9"/>
    <w:rsid w:val="000B5961"/>
    <w:rsid w:val="000B602F"/>
    <w:rsid w:val="000B653C"/>
    <w:rsid w:val="000B7073"/>
    <w:rsid w:val="000C024F"/>
    <w:rsid w:val="000C1E06"/>
    <w:rsid w:val="000C2701"/>
    <w:rsid w:val="000C3DDB"/>
    <w:rsid w:val="000C54DA"/>
    <w:rsid w:val="000C573A"/>
    <w:rsid w:val="000C7112"/>
    <w:rsid w:val="000C7DCC"/>
    <w:rsid w:val="000D1218"/>
    <w:rsid w:val="000D2042"/>
    <w:rsid w:val="000D2401"/>
    <w:rsid w:val="000D29A9"/>
    <w:rsid w:val="000D2C49"/>
    <w:rsid w:val="000D3BF7"/>
    <w:rsid w:val="000E1B93"/>
    <w:rsid w:val="000E334B"/>
    <w:rsid w:val="000E3575"/>
    <w:rsid w:val="000E6163"/>
    <w:rsid w:val="000E6895"/>
    <w:rsid w:val="000F1835"/>
    <w:rsid w:val="000F2502"/>
    <w:rsid w:val="000F4F28"/>
    <w:rsid w:val="000F793D"/>
    <w:rsid w:val="00101AFB"/>
    <w:rsid w:val="0010676A"/>
    <w:rsid w:val="00111094"/>
    <w:rsid w:val="00113561"/>
    <w:rsid w:val="00113B5C"/>
    <w:rsid w:val="00116EAC"/>
    <w:rsid w:val="00117F4D"/>
    <w:rsid w:val="00120AF9"/>
    <w:rsid w:val="00124018"/>
    <w:rsid w:val="00126960"/>
    <w:rsid w:val="00127A3F"/>
    <w:rsid w:val="001303FB"/>
    <w:rsid w:val="00133268"/>
    <w:rsid w:val="00133D73"/>
    <w:rsid w:val="00136066"/>
    <w:rsid w:val="001373AD"/>
    <w:rsid w:val="00137C04"/>
    <w:rsid w:val="00142D50"/>
    <w:rsid w:val="001432A4"/>
    <w:rsid w:val="001448E2"/>
    <w:rsid w:val="00144B03"/>
    <w:rsid w:val="00147163"/>
    <w:rsid w:val="00147C75"/>
    <w:rsid w:val="0015264E"/>
    <w:rsid w:val="00153025"/>
    <w:rsid w:val="0015328B"/>
    <w:rsid w:val="00153797"/>
    <w:rsid w:val="001552B5"/>
    <w:rsid w:val="00155B4A"/>
    <w:rsid w:val="00163643"/>
    <w:rsid w:val="0016375D"/>
    <w:rsid w:val="0016389E"/>
    <w:rsid w:val="00165987"/>
    <w:rsid w:val="00172A27"/>
    <w:rsid w:val="001754DB"/>
    <w:rsid w:val="00176172"/>
    <w:rsid w:val="00180C2C"/>
    <w:rsid w:val="00183C31"/>
    <w:rsid w:val="00185B43"/>
    <w:rsid w:val="00186520"/>
    <w:rsid w:val="001872AA"/>
    <w:rsid w:val="0019102A"/>
    <w:rsid w:val="00196F81"/>
    <w:rsid w:val="001A0269"/>
    <w:rsid w:val="001A1A68"/>
    <w:rsid w:val="001A2B37"/>
    <w:rsid w:val="001A32D3"/>
    <w:rsid w:val="001A3329"/>
    <w:rsid w:val="001B0FEE"/>
    <w:rsid w:val="001B140C"/>
    <w:rsid w:val="001B2E32"/>
    <w:rsid w:val="001B3700"/>
    <w:rsid w:val="001C1308"/>
    <w:rsid w:val="001C40DF"/>
    <w:rsid w:val="001C4333"/>
    <w:rsid w:val="001C591F"/>
    <w:rsid w:val="001C5FA3"/>
    <w:rsid w:val="001C7710"/>
    <w:rsid w:val="001D138E"/>
    <w:rsid w:val="001D2F1D"/>
    <w:rsid w:val="001D4E82"/>
    <w:rsid w:val="001D4EBD"/>
    <w:rsid w:val="001E639A"/>
    <w:rsid w:val="001E70B7"/>
    <w:rsid w:val="001E75F9"/>
    <w:rsid w:val="001F1EFC"/>
    <w:rsid w:val="001F2140"/>
    <w:rsid w:val="001F4009"/>
    <w:rsid w:val="001F5782"/>
    <w:rsid w:val="001F6922"/>
    <w:rsid w:val="001F6FEF"/>
    <w:rsid w:val="00200A1B"/>
    <w:rsid w:val="00202DD9"/>
    <w:rsid w:val="00203590"/>
    <w:rsid w:val="00205381"/>
    <w:rsid w:val="00205AF2"/>
    <w:rsid w:val="00205C28"/>
    <w:rsid w:val="002101B5"/>
    <w:rsid w:val="002101BB"/>
    <w:rsid w:val="00211DE3"/>
    <w:rsid w:val="00212F3E"/>
    <w:rsid w:val="00213174"/>
    <w:rsid w:val="00213734"/>
    <w:rsid w:val="002158A7"/>
    <w:rsid w:val="0021610E"/>
    <w:rsid w:val="00217184"/>
    <w:rsid w:val="00217A08"/>
    <w:rsid w:val="002223C1"/>
    <w:rsid w:val="00223625"/>
    <w:rsid w:val="002254CC"/>
    <w:rsid w:val="00226254"/>
    <w:rsid w:val="00226A50"/>
    <w:rsid w:val="00226D90"/>
    <w:rsid w:val="002313A8"/>
    <w:rsid w:val="00231627"/>
    <w:rsid w:val="002320DA"/>
    <w:rsid w:val="00234554"/>
    <w:rsid w:val="002351A3"/>
    <w:rsid w:val="0023673B"/>
    <w:rsid w:val="0024088A"/>
    <w:rsid w:val="002414CE"/>
    <w:rsid w:val="00242F36"/>
    <w:rsid w:val="002441BB"/>
    <w:rsid w:val="00244621"/>
    <w:rsid w:val="002449B1"/>
    <w:rsid w:val="00245C26"/>
    <w:rsid w:val="00247FA2"/>
    <w:rsid w:val="00250008"/>
    <w:rsid w:val="00250CF1"/>
    <w:rsid w:val="00250DB1"/>
    <w:rsid w:val="002556C3"/>
    <w:rsid w:val="002606CF"/>
    <w:rsid w:val="00260FB5"/>
    <w:rsid w:val="00262598"/>
    <w:rsid w:val="00263D34"/>
    <w:rsid w:val="00271D3F"/>
    <w:rsid w:val="00271DDF"/>
    <w:rsid w:val="00272574"/>
    <w:rsid w:val="002737BD"/>
    <w:rsid w:val="0027421B"/>
    <w:rsid w:val="0027421E"/>
    <w:rsid w:val="00275B4A"/>
    <w:rsid w:val="00276DCD"/>
    <w:rsid w:val="002772B9"/>
    <w:rsid w:val="00281C99"/>
    <w:rsid w:val="002830CB"/>
    <w:rsid w:val="00284C95"/>
    <w:rsid w:val="002852F3"/>
    <w:rsid w:val="00286364"/>
    <w:rsid w:val="0028645A"/>
    <w:rsid w:val="0028745D"/>
    <w:rsid w:val="00287709"/>
    <w:rsid w:val="002914C6"/>
    <w:rsid w:val="0029152B"/>
    <w:rsid w:val="00291B13"/>
    <w:rsid w:val="00291C54"/>
    <w:rsid w:val="002937CE"/>
    <w:rsid w:val="00293CC4"/>
    <w:rsid w:val="00294493"/>
    <w:rsid w:val="002A1259"/>
    <w:rsid w:val="002A1408"/>
    <w:rsid w:val="002A2527"/>
    <w:rsid w:val="002A2A8F"/>
    <w:rsid w:val="002A2AB5"/>
    <w:rsid w:val="002A2E1D"/>
    <w:rsid w:val="002A5083"/>
    <w:rsid w:val="002B1FE4"/>
    <w:rsid w:val="002B28BC"/>
    <w:rsid w:val="002B545C"/>
    <w:rsid w:val="002B6AEA"/>
    <w:rsid w:val="002C117B"/>
    <w:rsid w:val="002C1459"/>
    <w:rsid w:val="002C41B6"/>
    <w:rsid w:val="002C7697"/>
    <w:rsid w:val="002D17D3"/>
    <w:rsid w:val="002D53C6"/>
    <w:rsid w:val="002D5A7F"/>
    <w:rsid w:val="002D7735"/>
    <w:rsid w:val="002E0D4D"/>
    <w:rsid w:val="002E337A"/>
    <w:rsid w:val="002E47A3"/>
    <w:rsid w:val="002E6DD3"/>
    <w:rsid w:val="002E713B"/>
    <w:rsid w:val="002E7802"/>
    <w:rsid w:val="002F4895"/>
    <w:rsid w:val="002F557D"/>
    <w:rsid w:val="002F661E"/>
    <w:rsid w:val="002F69A1"/>
    <w:rsid w:val="002F6A47"/>
    <w:rsid w:val="002F77C9"/>
    <w:rsid w:val="002F799C"/>
    <w:rsid w:val="003010F2"/>
    <w:rsid w:val="00301608"/>
    <w:rsid w:val="003023C1"/>
    <w:rsid w:val="00302D9E"/>
    <w:rsid w:val="003037BA"/>
    <w:rsid w:val="00304C71"/>
    <w:rsid w:val="003100E4"/>
    <w:rsid w:val="00313F0B"/>
    <w:rsid w:val="00317190"/>
    <w:rsid w:val="00320568"/>
    <w:rsid w:val="00321EBE"/>
    <w:rsid w:val="00322161"/>
    <w:rsid w:val="00322851"/>
    <w:rsid w:val="00323573"/>
    <w:rsid w:val="00330AD4"/>
    <w:rsid w:val="00331A2D"/>
    <w:rsid w:val="003325BF"/>
    <w:rsid w:val="003334E7"/>
    <w:rsid w:val="00333746"/>
    <w:rsid w:val="00336A67"/>
    <w:rsid w:val="00337EDC"/>
    <w:rsid w:val="00342328"/>
    <w:rsid w:val="00346A64"/>
    <w:rsid w:val="00347102"/>
    <w:rsid w:val="00351477"/>
    <w:rsid w:val="00353143"/>
    <w:rsid w:val="0035400D"/>
    <w:rsid w:val="003550D5"/>
    <w:rsid w:val="00357004"/>
    <w:rsid w:val="00361E87"/>
    <w:rsid w:val="00362269"/>
    <w:rsid w:val="0036409E"/>
    <w:rsid w:val="0036433B"/>
    <w:rsid w:val="00364DAD"/>
    <w:rsid w:val="00365B4B"/>
    <w:rsid w:val="003708F6"/>
    <w:rsid w:val="00370EF4"/>
    <w:rsid w:val="00371016"/>
    <w:rsid w:val="003710CA"/>
    <w:rsid w:val="003712EC"/>
    <w:rsid w:val="00372C46"/>
    <w:rsid w:val="0037350F"/>
    <w:rsid w:val="00373B9B"/>
    <w:rsid w:val="003823E8"/>
    <w:rsid w:val="003829CA"/>
    <w:rsid w:val="003845AD"/>
    <w:rsid w:val="00384E58"/>
    <w:rsid w:val="00390988"/>
    <w:rsid w:val="003919BC"/>
    <w:rsid w:val="003A04C5"/>
    <w:rsid w:val="003A0735"/>
    <w:rsid w:val="003A3041"/>
    <w:rsid w:val="003A4C13"/>
    <w:rsid w:val="003A513B"/>
    <w:rsid w:val="003A70F7"/>
    <w:rsid w:val="003A775E"/>
    <w:rsid w:val="003B0208"/>
    <w:rsid w:val="003B049D"/>
    <w:rsid w:val="003B1058"/>
    <w:rsid w:val="003B399D"/>
    <w:rsid w:val="003B68A6"/>
    <w:rsid w:val="003B7A8B"/>
    <w:rsid w:val="003C0A74"/>
    <w:rsid w:val="003C1860"/>
    <w:rsid w:val="003C37CC"/>
    <w:rsid w:val="003C4C15"/>
    <w:rsid w:val="003C56A6"/>
    <w:rsid w:val="003C6590"/>
    <w:rsid w:val="003C6B75"/>
    <w:rsid w:val="003C7167"/>
    <w:rsid w:val="003C7D6D"/>
    <w:rsid w:val="003D015A"/>
    <w:rsid w:val="003D0596"/>
    <w:rsid w:val="003D0884"/>
    <w:rsid w:val="003D3CBA"/>
    <w:rsid w:val="003D3F72"/>
    <w:rsid w:val="003D3F98"/>
    <w:rsid w:val="003D69C3"/>
    <w:rsid w:val="003E0D74"/>
    <w:rsid w:val="003E51D1"/>
    <w:rsid w:val="003E7204"/>
    <w:rsid w:val="003F183F"/>
    <w:rsid w:val="003F1CBC"/>
    <w:rsid w:val="003F31FE"/>
    <w:rsid w:val="003F3212"/>
    <w:rsid w:val="003F3690"/>
    <w:rsid w:val="003F4590"/>
    <w:rsid w:val="003F51CA"/>
    <w:rsid w:val="003F56EF"/>
    <w:rsid w:val="003F58F9"/>
    <w:rsid w:val="003F5CCE"/>
    <w:rsid w:val="00400B0B"/>
    <w:rsid w:val="00402886"/>
    <w:rsid w:val="0040463D"/>
    <w:rsid w:val="004062BF"/>
    <w:rsid w:val="00406F44"/>
    <w:rsid w:val="00411EA1"/>
    <w:rsid w:val="0041247F"/>
    <w:rsid w:val="00414DE2"/>
    <w:rsid w:val="00421DD9"/>
    <w:rsid w:val="004228E4"/>
    <w:rsid w:val="00424D2A"/>
    <w:rsid w:val="00426179"/>
    <w:rsid w:val="004302CD"/>
    <w:rsid w:val="004314AB"/>
    <w:rsid w:val="00432672"/>
    <w:rsid w:val="0043398B"/>
    <w:rsid w:val="00434917"/>
    <w:rsid w:val="00435BFD"/>
    <w:rsid w:val="00437F75"/>
    <w:rsid w:val="00440DAA"/>
    <w:rsid w:val="0044112E"/>
    <w:rsid w:val="004419F7"/>
    <w:rsid w:val="00442D9C"/>
    <w:rsid w:val="00443C64"/>
    <w:rsid w:val="00445153"/>
    <w:rsid w:val="004464C7"/>
    <w:rsid w:val="00446C5D"/>
    <w:rsid w:val="00447EF0"/>
    <w:rsid w:val="00452B15"/>
    <w:rsid w:val="0045321A"/>
    <w:rsid w:val="00455865"/>
    <w:rsid w:val="0045683E"/>
    <w:rsid w:val="00456F28"/>
    <w:rsid w:val="004576C0"/>
    <w:rsid w:val="00457887"/>
    <w:rsid w:val="004604CF"/>
    <w:rsid w:val="00461262"/>
    <w:rsid w:val="004616A8"/>
    <w:rsid w:val="004616F4"/>
    <w:rsid w:val="00461AD7"/>
    <w:rsid w:val="00462CCE"/>
    <w:rsid w:val="004667EF"/>
    <w:rsid w:val="00467662"/>
    <w:rsid w:val="00467792"/>
    <w:rsid w:val="00467DA1"/>
    <w:rsid w:val="004734AA"/>
    <w:rsid w:val="00476E21"/>
    <w:rsid w:val="00476F21"/>
    <w:rsid w:val="00477CAF"/>
    <w:rsid w:val="00480B4A"/>
    <w:rsid w:val="00483180"/>
    <w:rsid w:val="00483B34"/>
    <w:rsid w:val="00483D3A"/>
    <w:rsid w:val="00486461"/>
    <w:rsid w:val="00491E86"/>
    <w:rsid w:val="00492E8C"/>
    <w:rsid w:val="00494087"/>
    <w:rsid w:val="0049434D"/>
    <w:rsid w:val="004960EB"/>
    <w:rsid w:val="00496D28"/>
    <w:rsid w:val="004A027F"/>
    <w:rsid w:val="004A1191"/>
    <w:rsid w:val="004A14EB"/>
    <w:rsid w:val="004A7C8C"/>
    <w:rsid w:val="004A7FBC"/>
    <w:rsid w:val="004B171E"/>
    <w:rsid w:val="004B2003"/>
    <w:rsid w:val="004B33D9"/>
    <w:rsid w:val="004B3789"/>
    <w:rsid w:val="004B448E"/>
    <w:rsid w:val="004B5C07"/>
    <w:rsid w:val="004B5EAB"/>
    <w:rsid w:val="004B6A2E"/>
    <w:rsid w:val="004B7EEC"/>
    <w:rsid w:val="004C005E"/>
    <w:rsid w:val="004C026A"/>
    <w:rsid w:val="004C0C29"/>
    <w:rsid w:val="004C12B2"/>
    <w:rsid w:val="004C2638"/>
    <w:rsid w:val="004C34F7"/>
    <w:rsid w:val="004C47FD"/>
    <w:rsid w:val="004C55C1"/>
    <w:rsid w:val="004C5C13"/>
    <w:rsid w:val="004C616C"/>
    <w:rsid w:val="004C6286"/>
    <w:rsid w:val="004C7CBA"/>
    <w:rsid w:val="004D0068"/>
    <w:rsid w:val="004D0C56"/>
    <w:rsid w:val="004D18CE"/>
    <w:rsid w:val="004D251E"/>
    <w:rsid w:val="004D4ECD"/>
    <w:rsid w:val="004D705C"/>
    <w:rsid w:val="004E00DF"/>
    <w:rsid w:val="004E2C11"/>
    <w:rsid w:val="004E3F8C"/>
    <w:rsid w:val="004E7BC0"/>
    <w:rsid w:val="004F0101"/>
    <w:rsid w:val="004F08E8"/>
    <w:rsid w:val="004F127C"/>
    <w:rsid w:val="004F1649"/>
    <w:rsid w:val="004F3B9E"/>
    <w:rsid w:val="004F4F99"/>
    <w:rsid w:val="004F56DA"/>
    <w:rsid w:val="004F5FAE"/>
    <w:rsid w:val="004F6FCF"/>
    <w:rsid w:val="00501668"/>
    <w:rsid w:val="00501F0E"/>
    <w:rsid w:val="00502910"/>
    <w:rsid w:val="00504284"/>
    <w:rsid w:val="0050450B"/>
    <w:rsid w:val="00506871"/>
    <w:rsid w:val="00510714"/>
    <w:rsid w:val="0051203F"/>
    <w:rsid w:val="00512203"/>
    <w:rsid w:val="00512696"/>
    <w:rsid w:val="00516489"/>
    <w:rsid w:val="0051663E"/>
    <w:rsid w:val="00517955"/>
    <w:rsid w:val="00520666"/>
    <w:rsid w:val="005222EA"/>
    <w:rsid w:val="005247AF"/>
    <w:rsid w:val="00525528"/>
    <w:rsid w:val="005258A0"/>
    <w:rsid w:val="0052686C"/>
    <w:rsid w:val="005315A9"/>
    <w:rsid w:val="00532472"/>
    <w:rsid w:val="005329DA"/>
    <w:rsid w:val="005331A2"/>
    <w:rsid w:val="0053384D"/>
    <w:rsid w:val="00535E1C"/>
    <w:rsid w:val="005373F1"/>
    <w:rsid w:val="005379BA"/>
    <w:rsid w:val="005469FD"/>
    <w:rsid w:val="00546C61"/>
    <w:rsid w:val="00547BA4"/>
    <w:rsid w:val="00550DDA"/>
    <w:rsid w:val="00551E50"/>
    <w:rsid w:val="00551EA2"/>
    <w:rsid w:val="00553B2D"/>
    <w:rsid w:val="00554171"/>
    <w:rsid w:val="00554246"/>
    <w:rsid w:val="00554B37"/>
    <w:rsid w:val="00554ED2"/>
    <w:rsid w:val="005557E7"/>
    <w:rsid w:val="00555E9B"/>
    <w:rsid w:val="00555EB2"/>
    <w:rsid w:val="00556B00"/>
    <w:rsid w:val="00556E79"/>
    <w:rsid w:val="00561CFA"/>
    <w:rsid w:val="00562243"/>
    <w:rsid w:val="005638CF"/>
    <w:rsid w:val="00563B99"/>
    <w:rsid w:val="00564A35"/>
    <w:rsid w:val="00566040"/>
    <w:rsid w:val="00570A14"/>
    <w:rsid w:val="00570CDE"/>
    <w:rsid w:val="005720F1"/>
    <w:rsid w:val="0057415D"/>
    <w:rsid w:val="0057433D"/>
    <w:rsid w:val="005766EE"/>
    <w:rsid w:val="005804F6"/>
    <w:rsid w:val="00581EFE"/>
    <w:rsid w:val="00582235"/>
    <w:rsid w:val="00582D37"/>
    <w:rsid w:val="00583669"/>
    <w:rsid w:val="00583A36"/>
    <w:rsid w:val="00583DCE"/>
    <w:rsid w:val="005852B1"/>
    <w:rsid w:val="0058574D"/>
    <w:rsid w:val="00587BC2"/>
    <w:rsid w:val="00590966"/>
    <w:rsid w:val="005945F2"/>
    <w:rsid w:val="00595B54"/>
    <w:rsid w:val="00596471"/>
    <w:rsid w:val="005A0D45"/>
    <w:rsid w:val="005A0EAA"/>
    <w:rsid w:val="005A12AE"/>
    <w:rsid w:val="005A1792"/>
    <w:rsid w:val="005A1ACC"/>
    <w:rsid w:val="005A3A95"/>
    <w:rsid w:val="005A6D84"/>
    <w:rsid w:val="005A75BD"/>
    <w:rsid w:val="005A7A0E"/>
    <w:rsid w:val="005B07A8"/>
    <w:rsid w:val="005B087E"/>
    <w:rsid w:val="005B0B16"/>
    <w:rsid w:val="005B240A"/>
    <w:rsid w:val="005B30D4"/>
    <w:rsid w:val="005B48A0"/>
    <w:rsid w:val="005B574B"/>
    <w:rsid w:val="005B6072"/>
    <w:rsid w:val="005B6468"/>
    <w:rsid w:val="005B74F0"/>
    <w:rsid w:val="005B7D03"/>
    <w:rsid w:val="005C1A9C"/>
    <w:rsid w:val="005C1E03"/>
    <w:rsid w:val="005C2AE8"/>
    <w:rsid w:val="005C5E50"/>
    <w:rsid w:val="005C5F0C"/>
    <w:rsid w:val="005C6AFD"/>
    <w:rsid w:val="005C7482"/>
    <w:rsid w:val="005D0EDD"/>
    <w:rsid w:val="005D2A6E"/>
    <w:rsid w:val="005D316D"/>
    <w:rsid w:val="005D333F"/>
    <w:rsid w:val="005D3B3F"/>
    <w:rsid w:val="005D42A0"/>
    <w:rsid w:val="005D5401"/>
    <w:rsid w:val="005D755B"/>
    <w:rsid w:val="005D7927"/>
    <w:rsid w:val="005D7A13"/>
    <w:rsid w:val="005E0179"/>
    <w:rsid w:val="005E1A5B"/>
    <w:rsid w:val="005E1DED"/>
    <w:rsid w:val="005E3257"/>
    <w:rsid w:val="005E38DB"/>
    <w:rsid w:val="005E39CB"/>
    <w:rsid w:val="005E3E47"/>
    <w:rsid w:val="005E5159"/>
    <w:rsid w:val="005E7014"/>
    <w:rsid w:val="005E7BF4"/>
    <w:rsid w:val="005F033D"/>
    <w:rsid w:val="005F1FB2"/>
    <w:rsid w:val="005F2585"/>
    <w:rsid w:val="005F2D6E"/>
    <w:rsid w:val="005F3F91"/>
    <w:rsid w:val="005F4291"/>
    <w:rsid w:val="005F64DC"/>
    <w:rsid w:val="005F67B2"/>
    <w:rsid w:val="005F6BA7"/>
    <w:rsid w:val="0060154D"/>
    <w:rsid w:val="00602700"/>
    <w:rsid w:val="00602DEF"/>
    <w:rsid w:val="006034CC"/>
    <w:rsid w:val="0060576B"/>
    <w:rsid w:val="00606907"/>
    <w:rsid w:val="00607556"/>
    <w:rsid w:val="0060787C"/>
    <w:rsid w:val="00610685"/>
    <w:rsid w:val="00611100"/>
    <w:rsid w:val="00611C2E"/>
    <w:rsid w:val="00611F75"/>
    <w:rsid w:val="00617697"/>
    <w:rsid w:val="00620386"/>
    <w:rsid w:val="006205F2"/>
    <w:rsid w:val="00621545"/>
    <w:rsid w:val="00622DDE"/>
    <w:rsid w:val="0062308D"/>
    <w:rsid w:val="00624A77"/>
    <w:rsid w:val="006265E5"/>
    <w:rsid w:val="006314A6"/>
    <w:rsid w:val="00631AFF"/>
    <w:rsid w:val="00632212"/>
    <w:rsid w:val="00634833"/>
    <w:rsid w:val="00635790"/>
    <w:rsid w:val="0063674F"/>
    <w:rsid w:val="00641D81"/>
    <w:rsid w:val="00643543"/>
    <w:rsid w:val="00643E1B"/>
    <w:rsid w:val="00644139"/>
    <w:rsid w:val="00644F36"/>
    <w:rsid w:val="00644FE6"/>
    <w:rsid w:val="00645DFE"/>
    <w:rsid w:val="00646360"/>
    <w:rsid w:val="00646A98"/>
    <w:rsid w:val="00647078"/>
    <w:rsid w:val="00655EA1"/>
    <w:rsid w:val="006561F6"/>
    <w:rsid w:val="00656928"/>
    <w:rsid w:val="00660250"/>
    <w:rsid w:val="00660C44"/>
    <w:rsid w:val="00661911"/>
    <w:rsid w:val="006635C6"/>
    <w:rsid w:val="00664B63"/>
    <w:rsid w:val="0066594C"/>
    <w:rsid w:val="006669FC"/>
    <w:rsid w:val="00670AC2"/>
    <w:rsid w:val="006743A5"/>
    <w:rsid w:val="00675C75"/>
    <w:rsid w:val="00676186"/>
    <w:rsid w:val="006768E5"/>
    <w:rsid w:val="00680AF3"/>
    <w:rsid w:val="00680F7E"/>
    <w:rsid w:val="006818EF"/>
    <w:rsid w:val="006821A5"/>
    <w:rsid w:val="00683871"/>
    <w:rsid w:val="00683956"/>
    <w:rsid w:val="00687405"/>
    <w:rsid w:val="0069021E"/>
    <w:rsid w:val="00690391"/>
    <w:rsid w:val="0069045B"/>
    <w:rsid w:val="00690768"/>
    <w:rsid w:val="00690D73"/>
    <w:rsid w:val="00694CAE"/>
    <w:rsid w:val="006A62B0"/>
    <w:rsid w:val="006A6E75"/>
    <w:rsid w:val="006A70D2"/>
    <w:rsid w:val="006A75AB"/>
    <w:rsid w:val="006B03CE"/>
    <w:rsid w:val="006B236F"/>
    <w:rsid w:val="006B3637"/>
    <w:rsid w:val="006B3A26"/>
    <w:rsid w:val="006B6193"/>
    <w:rsid w:val="006C1167"/>
    <w:rsid w:val="006C1AC9"/>
    <w:rsid w:val="006C6DFC"/>
    <w:rsid w:val="006D0444"/>
    <w:rsid w:val="006D2C34"/>
    <w:rsid w:val="006D3977"/>
    <w:rsid w:val="006D4170"/>
    <w:rsid w:val="006D4FD8"/>
    <w:rsid w:val="006D5B5F"/>
    <w:rsid w:val="006D7602"/>
    <w:rsid w:val="006D7890"/>
    <w:rsid w:val="006D7A48"/>
    <w:rsid w:val="006E0A43"/>
    <w:rsid w:val="006E1094"/>
    <w:rsid w:val="006E1280"/>
    <w:rsid w:val="006E3BC8"/>
    <w:rsid w:val="006E44C9"/>
    <w:rsid w:val="006E4B2D"/>
    <w:rsid w:val="006E5FD1"/>
    <w:rsid w:val="006E77EB"/>
    <w:rsid w:val="006F33E4"/>
    <w:rsid w:val="006F460A"/>
    <w:rsid w:val="006F5584"/>
    <w:rsid w:val="006F56B5"/>
    <w:rsid w:val="006F7F63"/>
    <w:rsid w:val="007002BD"/>
    <w:rsid w:val="007019A1"/>
    <w:rsid w:val="00702592"/>
    <w:rsid w:val="0070297D"/>
    <w:rsid w:val="00703046"/>
    <w:rsid w:val="00705628"/>
    <w:rsid w:val="00705891"/>
    <w:rsid w:val="0071207E"/>
    <w:rsid w:val="00713399"/>
    <w:rsid w:val="0071514D"/>
    <w:rsid w:val="00715905"/>
    <w:rsid w:val="00723818"/>
    <w:rsid w:val="00723A33"/>
    <w:rsid w:val="00724126"/>
    <w:rsid w:val="0072687B"/>
    <w:rsid w:val="00727D9F"/>
    <w:rsid w:val="00731BC8"/>
    <w:rsid w:val="00732D13"/>
    <w:rsid w:val="007341EC"/>
    <w:rsid w:val="00736481"/>
    <w:rsid w:val="00740777"/>
    <w:rsid w:val="00740D80"/>
    <w:rsid w:val="007416B7"/>
    <w:rsid w:val="007434F5"/>
    <w:rsid w:val="0074525B"/>
    <w:rsid w:val="007460C7"/>
    <w:rsid w:val="0074688B"/>
    <w:rsid w:val="00751DE2"/>
    <w:rsid w:val="0075416B"/>
    <w:rsid w:val="00756519"/>
    <w:rsid w:val="007574BE"/>
    <w:rsid w:val="00757BB6"/>
    <w:rsid w:val="00760345"/>
    <w:rsid w:val="0076396F"/>
    <w:rsid w:val="00773095"/>
    <w:rsid w:val="007736DE"/>
    <w:rsid w:val="00773D2A"/>
    <w:rsid w:val="00774F07"/>
    <w:rsid w:val="00775546"/>
    <w:rsid w:val="00780408"/>
    <w:rsid w:val="007807F3"/>
    <w:rsid w:val="00780999"/>
    <w:rsid w:val="00786905"/>
    <w:rsid w:val="00786DFF"/>
    <w:rsid w:val="007876EB"/>
    <w:rsid w:val="0079189F"/>
    <w:rsid w:val="00791E8B"/>
    <w:rsid w:val="00793307"/>
    <w:rsid w:val="00793365"/>
    <w:rsid w:val="0079683D"/>
    <w:rsid w:val="007A03D2"/>
    <w:rsid w:val="007A0BD2"/>
    <w:rsid w:val="007A2BE6"/>
    <w:rsid w:val="007A3866"/>
    <w:rsid w:val="007A5238"/>
    <w:rsid w:val="007A5848"/>
    <w:rsid w:val="007A669F"/>
    <w:rsid w:val="007A699F"/>
    <w:rsid w:val="007A72F1"/>
    <w:rsid w:val="007B31C8"/>
    <w:rsid w:val="007B4917"/>
    <w:rsid w:val="007B764E"/>
    <w:rsid w:val="007C0F12"/>
    <w:rsid w:val="007C2F0D"/>
    <w:rsid w:val="007C4D8F"/>
    <w:rsid w:val="007C77F1"/>
    <w:rsid w:val="007C7D1D"/>
    <w:rsid w:val="007D2FDE"/>
    <w:rsid w:val="007D4F28"/>
    <w:rsid w:val="007D52D0"/>
    <w:rsid w:val="007D6945"/>
    <w:rsid w:val="007D6BAC"/>
    <w:rsid w:val="007E0199"/>
    <w:rsid w:val="007E1E92"/>
    <w:rsid w:val="007E538E"/>
    <w:rsid w:val="007F1E8C"/>
    <w:rsid w:val="007F26CB"/>
    <w:rsid w:val="007F5ECB"/>
    <w:rsid w:val="007F5FE1"/>
    <w:rsid w:val="007F69BF"/>
    <w:rsid w:val="007F6AD8"/>
    <w:rsid w:val="00801083"/>
    <w:rsid w:val="008026BE"/>
    <w:rsid w:val="00806782"/>
    <w:rsid w:val="00814DF5"/>
    <w:rsid w:val="00814E20"/>
    <w:rsid w:val="0081599C"/>
    <w:rsid w:val="00816536"/>
    <w:rsid w:val="00816A40"/>
    <w:rsid w:val="008172DB"/>
    <w:rsid w:val="00817B12"/>
    <w:rsid w:val="008206F3"/>
    <w:rsid w:val="00822835"/>
    <w:rsid w:val="00824FD0"/>
    <w:rsid w:val="008257F1"/>
    <w:rsid w:val="00826857"/>
    <w:rsid w:val="00826F0D"/>
    <w:rsid w:val="00830207"/>
    <w:rsid w:val="00830EA5"/>
    <w:rsid w:val="0083565C"/>
    <w:rsid w:val="00843D81"/>
    <w:rsid w:val="00843F61"/>
    <w:rsid w:val="00854B0B"/>
    <w:rsid w:val="0085544B"/>
    <w:rsid w:val="0085580A"/>
    <w:rsid w:val="00856A41"/>
    <w:rsid w:val="00861DAB"/>
    <w:rsid w:val="00862AD0"/>
    <w:rsid w:val="0086390A"/>
    <w:rsid w:val="0086690C"/>
    <w:rsid w:val="00866D3B"/>
    <w:rsid w:val="0087465C"/>
    <w:rsid w:val="00874768"/>
    <w:rsid w:val="0087478F"/>
    <w:rsid w:val="00875671"/>
    <w:rsid w:val="00875778"/>
    <w:rsid w:val="00876E6B"/>
    <w:rsid w:val="0088114C"/>
    <w:rsid w:val="008816AB"/>
    <w:rsid w:val="00887EDF"/>
    <w:rsid w:val="00891B40"/>
    <w:rsid w:val="0089252E"/>
    <w:rsid w:val="00892DDD"/>
    <w:rsid w:val="00893087"/>
    <w:rsid w:val="008948BC"/>
    <w:rsid w:val="00895311"/>
    <w:rsid w:val="00895847"/>
    <w:rsid w:val="00897F36"/>
    <w:rsid w:val="008A093A"/>
    <w:rsid w:val="008A53E7"/>
    <w:rsid w:val="008A69BE"/>
    <w:rsid w:val="008A6E51"/>
    <w:rsid w:val="008A6E8C"/>
    <w:rsid w:val="008A70BA"/>
    <w:rsid w:val="008A710F"/>
    <w:rsid w:val="008A756F"/>
    <w:rsid w:val="008A785D"/>
    <w:rsid w:val="008B0884"/>
    <w:rsid w:val="008B0AC5"/>
    <w:rsid w:val="008B2A16"/>
    <w:rsid w:val="008B48CE"/>
    <w:rsid w:val="008C05D4"/>
    <w:rsid w:val="008C09A6"/>
    <w:rsid w:val="008C1A60"/>
    <w:rsid w:val="008C2EFD"/>
    <w:rsid w:val="008C3F32"/>
    <w:rsid w:val="008C47CA"/>
    <w:rsid w:val="008C678C"/>
    <w:rsid w:val="008C6FA0"/>
    <w:rsid w:val="008C7B27"/>
    <w:rsid w:val="008D1925"/>
    <w:rsid w:val="008D1A89"/>
    <w:rsid w:val="008D3B4A"/>
    <w:rsid w:val="008D502D"/>
    <w:rsid w:val="008D6F77"/>
    <w:rsid w:val="008D779E"/>
    <w:rsid w:val="008E0089"/>
    <w:rsid w:val="008E1244"/>
    <w:rsid w:val="008E194F"/>
    <w:rsid w:val="008E22AC"/>
    <w:rsid w:val="008E353D"/>
    <w:rsid w:val="008E38E2"/>
    <w:rsid w:val="008E40BF"/>
    <w:rsid w:val="008E470A"/>
    <w:rsid w:val="008E5D41"/>
    <w:rsid w:val="008E5E37"/>
    <w:rsid w:val="008E6524"/>
    <w:rsid w:val="008E7BAE"/>
    <w:rsid w:val="008F3044"/>
    <w:rsid w:val="008F3C31"/>
    <w:rsid w:val="00902AF5"/>
    <w:rsid w:val="00902D3F"/>
    <w:rsid w:val="0090431F"/>
    <w:rsid w:val="0090663C"/>
    <w:rsid w:val="00907A67"/>
    <w:rsid w:val="00910D93"/>
    <w:rsid w:val="00911596"/>
    <w:rsid w:val="0091228D"/>
    <w:rsid w:val="00912DCA"/>
    <w:rsid w:val="00912F08"/>
    <w:rsid w:val="009147AA"/>
    <w:rsid w:val="00915166"/>
    <w:rsid w:val="00916795"/>
    <w:rsid w:val="00917952"/>
    <w:rsid w:val="00917B37"/>
    <w:rsid w:val="00920B80"/>
    <w:rsid w:val="00920C1E"/>
    <w:rsid w:val="00921438"/>
    <w:rsid w:val="0092164F"/>
    <w:rsid w:val="00921C85"/>
    <w:rsid w:val="009231D7"/>
    <w:rsid w:val="00923D02"/>
    <w:rsid w:val="009246DC"/>
    <w:rsid w:val="00924773"/>
    <w:rsid w:val="00927652"/>
    <w:rsid w:val="00931B8F"/>
    <w:rsid w:val="009322C3"/>
    <w:rsid w:val="00932E57"/>
    <w:rsid w:val="0093593D"/>
    <w:rsid w:val="00940192"/>
    <w:rsid w:val="009409F2"/>
    <w:rsid w:val="00941942"/>
    <w:rsid w:val="00942F3F"/>
    <w:rsid w:val="0094334A"/>
    <w:rsid w:val="00946AF1"/>
    <w:rsid w:val="00950000"/>
    <w:rsid w:val="00950DF0"/>
    <w:rsid w:val="009512AF"/>
    <w:rsid w:val="0095389B"/>
    <w:rsid w:val="00954BF6"/>
    <w:rsid w:val="00955D15"/>
    <w:rsid w:val="00956D85"/>
    <w:rsid w:val="00957957"/>
    <w:rsid w:val="009633D2"/>
    <w:rsid w:val="00965200"/>
    <w:rsid w:val="00965454"/>
    <w:rsid w:val="0096564A"/>
    <w:rsid w:val="00965B85"/>
    <w:rsid w:val="0097203E"/>
    <w:rsid w:val="00972A35"/>
    <w:rsid w:val="00973D44"/>
    <w:rsid w:val="00973F38"/>
    <w:rsid w:val="0097463E"/>
    <w:rsid w:val="00974DF7"/>
    <w:rsid w:val="009757D6"/>
    <w:rsid w:val="00976752"/>
    <w:rsid w:val="0097718E"/>
    <w:rsid w:val="00977958"/>
    <w:rsid w:val="00981FCB"/>
    <w:rsid w:val="0098225E"/>
    <w:rsid w:val="00982FB0"/>
    <w:rsid w:val="00983C2B"/>
    <w:rsid w:val="0098442D"/>
    <w:rsid w:val="0098777F"/>
    <w:rsid w:val="009908F7"/>
    <w:rsid w:val="00994E46"/>
    <w:rsid w:val="00995683"/>
    <w:rsid w:val="009960C0"/>
    <w:rsid w:val="009966CE"/>
    <w:rsid w:val="00997403"/>
    <w:rsid w:val="00997C30"/>
    <w:rsid w:val="00997E28"/>
    <w:rsid w:val="009A1F81"/>
    <w:rsid w:val="009A26D4"/>
    <w:rsid w:val="009A2DB0"/>
    <w:rsid w:val="009A47B0"/>
    <w:rsid w:val="009A4D95"/>
    <w:rsid w:val="009A5BDB"/>
    <w:rsid w:val="009A6C1A"/>
    <w:rsid w:val="009A78E7"/>
    <w:rsid w:val="009A799E"/>
    <w:rsid w:val="009B021B"/>
    <w:rsid w:val="009B0D0F"/>
    <w:rsid w:val="009B13E5"/>
    <w:rsid w:val="009B349A"/>
    <w:rsid w:val="009B3A2E"/>
    <w:rsid w:val="009B44BA"/>
    <w:rsid w:val="009B4D31"/>
    <w:rsid w:val="009B4FE7"/>
    <w:rsid w:val="009B563D"/>
    <w:rsid w:val="009B6798"/>
    <w:rsid w:val="009B6DB0"/>
    <w:rsid w:val="009C2236"/>
    <w:rsid w:val="009C2291"/>
    <w:rsid w:val="009C3C0A"/>
    <w:rsid w:val="009C4094"/>
    <w:rsid w:val="009C77D0"/>
    <w:rsid w:val="009D1005"/>
    <w:rsid w:val="009D2429"/>
    <w:rsid w:val="009D2EB5"/>
    <w:rsid w:val="009D30FB"/>
    <w:rsid w:val="009D43BC"/>
    <w:rsid w:val="009D4C3F"/>
    <w:rsid w:val="009D65F0"/>
    <w:rsid w:val="009D7539"/>
    <w:rsid w:val="009D7778"/>
    <w:rsid w:val="009E2559"/>
    <w:rsid w:val="009E36FA"/>
    <w:rsid w:val="009E5DE1"/>
    <w:rsid w:val="009E7640"/>
    <w:rsid w:val="009E77C8"/>
    <w:rsid w:val="009F0996"/>
    <w:rsid w:val="009F2A87"/>
    <w:rsid w:val="009F4F5E"/>
    <w:rsid w:val="00A018B2"/>
    <w:rsid w:val="00A01A78"/>
    <w:rsid w:val="00A01FE4"/>
    <w:rsid w:val="00A024AF"/>
    <w:rsid w:val="00A068DE"/>
    <w:rsid w:val="00A1117E"/>
    <w:rsid w:val="00A11B4F"/>
    <w:rsid w:val="00A13944"/>
    <w:rsid w:val="00A13B1E"/>
    <w:rsid w:val="00A15432"/>
    <w:rsid w:val="00A16BAB"/>
    <w:rsid w:val="00A207B6"/>
    <w:rsid w:val="00A2181A"/>
    <w:rsid w:val="00A2452A"/>
    <w:rsid w:val="00A251EE"/>
    <w:rsid w:val="00A25764"/>
    <w:rsid w:val="00A25D19"/>
    <w:rsid w:val="00A304E0"/>
    <w:rsid w:val="00A31002"/>
    <w:rsid w:val="00A317E7"/>
    <w:rsid w:val="00A33A7D"/>
    <w:rsid w:val="00A33E57"/>
    <w:rsid w:val="00A3434B"/>
    <w:rsid w:val="00A35703"/>
    <w:rsid w:val="00A35978"/>
    <w:rsid w:val="00A36A19"/>
    <w:rsid w:val="00A36B54"/>
    <w:rsid w:val="00A403F3"/>
    <w:rsid w:val="00A415B3"/>
    <w:rsid w:val="00A4194D"/>
    <w:rsid w:val="00A42479"/>
    <w:rsid w:val="00A42AFE"/>
    <w:rsid w:val="00A42CBE"/>
    <w:rsid w:val="00A42EDE"/>
    <w:rsid w:val="00A436E6"/>
    <w:rsid w:val="00A43961"/>
    <w:rsid w:val="00A44CEC"/>
    <w:rsid w:val="00A510BA"/>
    <w:rsid w:val="00A53854"/>
    <w:rsid w:val="00A54F97"/>
    <w:rsid w:val="00A55CC6"/>
    <w:rsid w:val="00A568C1"/>
    <w:rsid w:val="00A64D54"/>
    <w:rsid w:val="00A6515B"/>
    <w:rsid w:val="00A655E8"/>
    <w:rsid w:val="00A65898"/>
    <w:rsid w:val="00A65BF0"/>
    <w:rsid w:val="00A666D8"/>
    <w:rsid w:val="00A670DE"/>
    <w:rsid w:val="00A70AC6"/>
    <w:rsid w:val="00A7184B"/>
    <w:rsid w:val="00A72911"/>
    <w:rsid w:val="00A72AC0"/>
    <w:rsid w:val="00A72C9C"/>
    <w:rsid w:val="00A75903"/>
    <w:rsid w:val="00A80370"/>
    <w:rsid w:val="00A83064"/>
    <w:rsid w:val="00A83AA0"/>
    <w:rsid w:val="00A85E2D"/>
    <w:rsid w:val="00A86387"/>
    <w:rsid w:val="00A86D41"/>
    <w:rsid w:val="00A87349"/>
    <w:rsid w:val="00A87E68"/>
    <w:rsid w:val="00A90334"/>
    <w:rsid w:val="00A924F5"/>
    <w:rsid w:val="00A95B8E"/>
    <w:rsid w:val="00A96738"/>
    <w:rsid w:val="00AA0C42"/>
    <w:rsid w:val="00AA3957"/>
    <w:rsid w:val="00AA40AD"/>
    <w:rsid w:val="00AB4A0F"/>
    <w:rsid w:val="00AB60DE"/>
    <w:rsid w:val="00AB7ACC"/>
    <w:rsid w:val="00AC0015"/>
    <w:rsid w:val="00AC6CEB"/>
    <w:rsid w:val="00AC7D27"/>
    <w:rsid w:val="00AD117E"/>
    <w:rsid w:val="00AD146D"/>
    <w:rsid w:val="00AD1E06"/>
    <w:rsid w:val="00AD21B5"/>
    <w:rsid w:val="00AD2AB8"/>
    <w:rsid w:val="00AD6FA1"/>
    <w:rsid w:val="00AD75C9"/>
    <w:rsid w:val="00AE0846"/>
    <w:rsid w:val="00AE09C3"/>
    <w:rsid w:val="00AE1C31"/>
    <w:rsid w:val="00AE24CF"/>
    <w:rsid w:val="00AE3A00"/>
    <w:rsid w:val="00AE4B6C"/>
    <w:rsid w:val="00AE544E"/>
    <w:rsid w:val="00AE7413"/>
    <w:rsid w:val="00AF26DD"/>
    <w:rsid w:val="00AF4A7E"/>
    <w:rsid w:val="00AF561A"/>
    <w:rsid w:val="00AF7E4A"/>
    <w:rsid w:val="00B013EB"/>
    <w:rsid w:val="00B01D5C"/>
    <w:rsid w:val="00B02B1B"/>
    <w:rsid w:val="00B0413F"/>
    <w:rsid w:val="00B0722D"/>
    <w:rsid w:val="00B10127"/>
    <w:rsid w:val="00B125A6"/>
    <w:rsid w:val="00B12675"/>
    <w:rsid w:val="00B130F8"/>
    <w:rsid w:val="00B1354D"/>
    <w:rsid w:val="00B13A19"/>
    <w:rsid w:val="00B154A9"/>
    <w:rsid w:val="00B20F61"/>
    <w:rsid w:val="00B21413"/>
    <w:rsid w:val="00B22770"/>
    <w:rsid w:val="00B22DB9"/>
    <w:rsid w:val="00B240F7"/>
    <w:rsid w:val="00B25456"/>
    <w:rsid w:val="00B26C04"/>
    <w:rsid w:val="00B26C71"/>
    <w:rsid w:val="00B30535"/>
    <w:rsid w:val="00B30942"/>
    <w:rsid w:val="00B32A0A"/>
    <w:rsid w:val="00B32AB9"/>
    <w:rsid w:val="00B338FA"/>
    <w:rsid w:val="00B34408"/>
    <w:rsid w:val="00B34A1D"/>
    <w:rsid w:val="00B35DB0"/>
    <w:rsid w:val="00B371CA"/>
    <w:rsid w:val="00B37645"/>
    <w:rsid w:val="00B37D2B"/>
    <w:rsid w:val="00B40A2A"/>
    <w:rsid w:val="00B47D9F"/>
    <w:rsid w:val="00B514D4"/>
    <w:rsid w:val="00B526BA"/>
    <w:rsid w:val="00B53614"/>
    <w:rsid w:val="00B54E61"/>
    <w:rsid w:val="00B57450"/>
    <w:rsid w:val="00B60972"/>
    <w:rsid w:val="00B6374C"/>
    <w:rsid w:val="00B6388D"/>
    <w:rsid w:val="00B64B85"/>
    <w:rsid w:val="00B654F9"/>
    <w:rsid w:val="00B65DB2"/>
    <w:rsid w:val="00B65E59"/>
    <w:rsid w:val="00B67A50"/>
    <w:rsid w:val="00B72492"/>
    <w:rsid w:val="00B7254A"/>
    <w:rsid w:val="00B72CB5"/>
    <w:rsid w:val="00B75672"/>
    <w:rsid w:val="00B767B6"/>
    <w:rsid w:val="00B769DD"/>
    <w:rsid w:val="00B805E0"/>
    <w:rsid w:val="00B82BD5"/>
    <w:rsid w:val="00B8399C"/>
    <w:rsid w:val="00B84525"/>
    <w:rsid w:val="00B86A7B"/>
    <w:rsid w:val="00B877F2"/>
    <w:rsid w:val="00B87BF7"/>
    <w:rsid w:val="00B87E16"/>
    <w:rsid w:val="00BA20B2"/>
    <w:rsid w:val="00BA2B86"/>
    <w:rsid w:val="00BA3C0B"/>
    <w:rsid w:val="00BA4B47"/>
    <w:rsid w:val="00BA5923"/>
    <w:rsid w:val="00BA719D"/>
    <w:rsid w:val="00BA729C"/>
    <w:rsid w:val="00BB1267"/>
    <w:rsid w:val="00BB5D48"/>
    <w:rsid w:val="00BB7FEE"/>
    <w:rsid w:val="00BC1A5A"/>
    <w:rsid w:val="00BC282C"/>
    <w:rsid w:val="00BC31C5"/>
    <w:rsid w:val="00BC3954"/>
    <w:rsid w:val="00BC48FA"/>
    <w:rsid w:val="00BC6F18"/>
    <w:rsid w:val="00BD00B3"/>
    <w:rsid w:val="00BD3FF0"/>
    <w:rsid w:val="00BD404B"/>
    <w:rsid w:val="00BD5579"/>
    <w:rsid w:val="00BE024C"/>
    <w:rsid w:val="00BE0464"/>
    <w:rsid w:val="00BE048A"/>
    <w:rsid w:val="00BE189B"/>
    <w:rsid w:val="00BE1D7A"/>
    <w:rsid w:val="00BE324B"/>
    <w:rsid w:val="00BE3532"/>
    <w:rsid w:val="00BE406C"/>
    <w:rsid w:val="00BE67A7"/>
    <w:rsid w:val="00BF2251"/>
    <w:rsid w:val="00BF325A"/>
    <w:rsid w:val="00BF4690"/>
    <w:rsid w:val="00BF552F"/>
    <w:rsid w:val="00C0008E"/>
    <w:rsid w:val="00C014AD"/>
    <w:rsid w:val="00C0796C"/>
    <w:rsid w:val="00C07C0B"/>
    <w:rsid w:val="00C10D48"/>
    <w:rsid w:val="00C12955"/>
    <w:rsid w:val="00C15EA9"/>
    <w:rsid w:val="00C15ED4"/>
    <w:rsid w:val="00C20124"/>
    <w:rsid w:val="00C209B5"/>
    <w:rsid w:val="00C20B22"/>
    <w:rsid w:val="00C22FA0"/>
    <w:rsid w:val="00C233F8"/>
    <w:rsid w:val="00C246E2"/>
    <w:rsid w:val="00C2650A"/>
    <w:rsid w:val="00C269EF"/>
    <w:rsid w:val="00C307F6"/>
    <w:rsid w:val="00C311C9"/>
    <w:rsid w:val="00C3279B"/>
    <w:rsid w:val="00C34613"/>
    <w:rsid w:val="00C34F9C"/>
    <w:rsid w:val="00C40232"/>
    <w:rsid w:val="00C40B5D"/>
    <w:rsid w:val="00C415C6"/>
    <w:rsid w:val="00C41745"/>
    <w:rsid w:val="00C41EB3"/>
    <w:rsid w:val="00C42D7B"/>
    <w:rsid w:val="00C45698"/>
    <w:rsid w:val="00C47206"/>
    <w:rsid w:val="00C50398"/>
    <w:rsid w:val="00C50E0F"/>
    <w:rsid w:val="00C51055"/>
    <w:rsid w:val="00C52145"/>
    <w:rsid w:val="00C524EC"/>
    <w:rsid w:val="00C54C07"/>
    <w:rsid w:val="00C54ED6"/>
    <w:rsid w:val="00C558DF"/>
    <w:rsid w:val="00C55D3C"/>
    <w:rsid w:val="00C567A9"/>
    <w:rsid w:val="00C569F9"/>
    <w:rsid w:val="00C57C61"/>
    <w:rsid w:val="00C60B88"/>
    <w:rsid w:val="00C61BC8"/>
    <w:rsid w:val="00C61D8A"/>
    <w:rsid w:val="00C61FDA"/>
    <w:rsid w:val="00C6217F"/>
    <w:rsid w:val="00C6227B"/>
    <w:rsid w:val="00C632F8"/>
    <w:rsid w:val="00C6514A"/>
    <w:rsid w:val="00C651F5"/>
    <w:rsid w:val="00C663FB"/>
    <w:rsid w:val="00C7114F"/>
    <w:rsid w:val="00C7126D"/>
    <w:rsid w:val="00C715DF"/>
    <w:rsid w:val="00C71781"/>
    <w:rsid w:val="00C73734"/>
    <w:rsid w:val="00C73C49"/>
    <w:rsid w:val="00C75724"/>
    <w:rsid w:val="00C7614D"/>
    <w:rsid w:val="00C801C6"/>
    <w:rsid w:val="00C83187"/>
    <w:rsid w:val="00C83878"/>
    <w:rsid w:val="00C91EB4"/>
    <w:rsid w:val="00C927CF"/>
    <w:rsid w:val="00C9328C"/>
    <w:rsid w:val="00C93463"/>
    <w:rsid w:val="00C934E3"/>
    <w:rsid w:val="00C97D40"/>
    <w:rsid w:val="00CA2A24"/>
    <w:rsid w:val="00CA2AF7"/>
    <w:rsid w:val="00CA3AD2"/>
    <w:rsid w:val="00CA3F15"/>
    <w:rsid w:val="00CA4A94"/>
    <w:rsid w:val="00CA66A0"/>
    <w:rsid w:val="00CA7C6A"/>
    <w:rsid w:val="00CB1E3F"/>
    <w:rsid w:val="00CB78AB"/>
    <w:rsid w:val="00CC0EC0"/>
    <w:rsid w:val="00CC12DF"/>
    <w:rsid w:val="00CC1DF8"/>
    <w:rsid w:val="00CC1EC5"/>
    <w:rsid w:val="00CC2249"/>
    <w:rsid w:val="00CC399A"/>
    <w:rsid w:val="00CC430D"/>
    <w:rsid w:val="00CC4583"/>
    <w:rsid w:val="00CC55EA"/>
    <w:rsid w:val="00CC64A2"/>
    <w:rsid w:val="00CC6DA3"/>
    <w:rsid w:val="00CC7A13"/>
    <w:rsid w:val="00CD1B33"/>
    <w:rsid w:val="00CD34C7"/>
    <w:rsid w:val="00CD442B"/>
    <w:rsid w:val="00CE0CE5"/>
    <w:rsid w:val="00CE149A"/>
    <w:rsid w:val="00CE2EE5"/>
    <w:rsid w:val="00CE2F77"/>
    <w:rsid w:val="00CE3078"/>
    <w:rsid w:val="00CE3236"/>
    <w:rsid w:val="00CE4F03"/>
    <w:rsid w:val="00CE5BBC"/>
    <w:rsid w:val="00CE5CE0"/>
    <w:rsid w:val="00CF1030"/>
    <w:rsid w:val="00CF2807"/>
    <w:rsid w:val="00CF470F"/>
    <w:rsid w:val="00CF7472"/>
    <w:rsid w:val="00CF7BB0"/>
    <w:rsid w:val="00CF7CD7"/>
    <w:rsid w:val="00D00242"/>
    <w:rsid w:val="00D03B7D"/>
    <w:rsid w:val="00D04CF4"/>
    <w:rsid w:val="00D05AD4"/>
    <w:rsid w:val="00D06E5C"/>
    <w:rsid w:val="00D136FE"/>
    <w:rsid w:val="00D139C1"/>
    <w:rsid w:val="00D13ABD"/>
    <w:rsid w:val="00D147C2"/>
    <w:rsid w:val="00D16EEB"/>
    <w:rsid w:val="00D21070"/>
    <w:rsid w:val="00D214EA"/>
    <w:rsid w:val="00D22CAF"/>
    <w:rsid w:val="00D26FBF"/>
    <w:rsid w:val="00D26FE8"/>
    <w:rsid w:val="00D3043B"/>
    <w:rsid w:val="00D30931"/>
    <w:rsid w:val="00D3270C"/>
    <w:rsid w:val="00D33092"/>
    <w:rsid w:val="00D33AA1"/>
    <w:rsid w:val="00D34B4F"/>
    <w:rsid w:val="00D371D3"/>
    <w:rsid w:val="00D37C12"/>
    <w:rsid w:val="00D40721"/>
    <w:rsid w:val="00D4102F"/>
    <w:rsid w:val="00D4265C"/>
    <w:rsid w:val="00D43111"/>
    <w:rsid w:val="00D45CA7"/>
    <w:rsid w:val="00D469D4"/>
    <w:rsid w:val="00D558DE"/>
    <w:rsid w:val="00D570BE"/>
    <w:rsid w:val="00D61419"/>
    <w:rsid w:val="00D62D47"/>
    <w:rsid w:val="00D62FD4"/>
    <w:rsid w:val="00D652EC"/>
    <w:rsid w:val="00D66139"/>
    <w:rsid w:val="00D67061"/>
    <w:rsid w:val="00D67611"/>
    <w:rsid w:val="00D676BC"/>
    <w:rsid w:val="00D67F66"/>
    <w:rsid w:val="00D70776"/>
    <w:rsid w:val="00D769C6"/>
    <w:rsid w:val="00D76B8B"/>
    <w:rsid w:val="00D76FC9"/>
    <w:rsid w:val="00D8095A"/>
    <w:rsid w:val="00D81A52"/>
    <w:rsid w:val="00D82064"/>
    <w:rsid w:val="00D820C0"/>
    <w:rsid w:val="00D90F1C"/>
    <w:rsid w:val="00D9191C"/>
    <w:rsid w:val="00D93648"/>
    <w:rsid w:val="00D954DF"/>
    <w:rsid w:val="00DA0D91"/>
    <w:rsid w:val="00DA42CD"/>
    <w:rsid w:val="00DA60C2"/>
    <w:rsid w:val="00DA6C42"/>
    <w:rsid w:val="00DA74F9"/>
    <w:rsid w:val="00DB0409"/>
    <w:rsid w:val="00DB2B32"/>
    <w:rsid w:val="00DB424B"/>
    <w:rsid w:val="00DB52F9"/>
    <w:rsid w:val="00DB5A13"/>
    <w:rsid w:val="00DB7A93"/>
    <w:rsid w:val="00DC01C5"/>
    <w:rsid w:val="00DC22A2"/>
    <w:rsid w:val="00DC2B5F"/>
    <w:rsid w:val="00DC52F5"/>
    <w:rsid w:val="00DD01FF"/>
    <w:rsid w:val="00DD27EC"/>
    <w:rsid w:val="00DD3C2B"/>
    <w:rsid w:val="00DD4177"/>
    <w:rsid w:val="00DD4332"/>
    <w:rsid w:val="00DD4367"/>
    <w:rsid w:val="00DD4584"/>
    <w:rsid w:val="00DD4873"/>
    <w:rsid w:val="00DD4E1F"/>
    <w:rsid w:val="00DD6EDF"/>
    <w:rsid w:val="00DE1021"/>
    <w:rsid w:val="00DE1480"/>
    <w:rsid w:val="00DE14B3"/>
    <w:rsid w:val="00DE5148"/>
    <w:rsid w:val="00DE6A61"/>
    <w:rsid w:val="00DE786A"/>
    <w:rsid w:val="00DE7E6D"/>
    <w:rsid w:val="00DF0E9E"/>
    <w:rsid w:val="00DF1DF6"/>
    <w:rsid w:val="00DF2708"/>
    <w:rsid w:val="00DF3F1D"/>
    <w:rsid w:val="00DF46BA"/>
    <w:rsid w:val="00DF4DBB"/>
    <w:rsid w:val="00DF61E8"/>
    <w:rsid w:val="00DF6AF4"/>
    <w:rsid w:val="00E00580"/>
    <w:rsid w:val="00E0305B"/>
    <w:rsid w:val="00E04CFF"/>
    <w:rsid w:val="00E05BD1"/>
    <w:rsid w:val="00E06B1D"/>
    <w:rsid w:val="00E072B2"/>
    <w:rsid w:val="00E102E2"/>
    <w:rsid w:val="00E10312"/>
    <w:rsid w:val="00E1363F"/>
    <w:rsid w:val="00E138A4"/>
    <w:rsid w:val="00E14715"/>
    <w:rsid w:val="00E14CDA"/>
    <w:rsid w:val="00E1784A"/>
    <w:rsid w:val="00E218B4"/>
    <w:rsid w:val="00E220F9"/>
    <w:rsid w:val="00E227F2"/>
    <w:rsid w:val="00E22E5B"/>
    <w:rsid w:val="00E2370C"/>
    <w:rsid w:val="00E23857"/>
    <w:rsid w:val="00E261D4"/>
    <w:rsid w:val="00E3353A"/>
    <w:rsid w:val="00E33A6F"/>
    <w:rsid w:val="00E33BE8"/>
    <w:rsid w:val="00E41246"/>
    <w:rsid w:val="00E41AED"/>
    <w:rsid w:val="00E454C6"/>
    <w:rsid w:val="00E4593B"/>
    <w:rsid w:val="00E45E96"/>
    <w:rsid w:val="00E47AF0"/>
    <w:rsid w:val="00E50573"/>
    <w:rsid w:val="00E50AD8"/>
    <w:rsid w:val="00E522CC"/>
    <w:rsid w:val="00E533EE"/>
    <w:rsid w:val="00E55B69"/>
    <w:rsid w:val="00E574F4"/>
    <w:rsid w:val="00E60A08"/>
    <w:rsid w:val="00E613B0"/>
    <w:rsid w:val="00E65538"/>
    <w:rsid w:val="00E66CB1"/>
    <w:rsid w:val="00E71377"/>
    <w:rsid w:val="00E81564"/>
    <w:rsid w:val="00E822ED"/>
    <w:rsid w:val="00E86007"/>
    <w:rsid w:val="00E8734B"/>
    <w:rsid w:val="00E87F3E"/>
    <w:rsid w:val="00E91D76"/>
    <w:rsid w:val="00E91DBF"/>
    <w:rsid w:val="00E91EB0"/>
    <w:rsid w:val="00E92629"/>
    <w:rsid w:val="00E93BB7"/>
    <w:rsid w:val="00E94D75"/>
    <w:rsid w:val="00E97291"/>
    <w:rsid w:val="00EA0597"/>
    <w:rsid w:val="00EA0E73"/>
    <w:rsid w:val="00EA1D82"/>
    <w:rsid w:val="00EA4CDE"/>
    <w:rsid w:val="00EA5270"/>
    <w:rsid w:val="00EB0D4D"/>
    <w:rsid w:val="00EB2298"/>
    <w:rsid w:val="00EB27DA"/>
    <w:rsid w:val="00EB28BE"/>
    <w:rsid w:val="00EB2F68"/>
    <w:rsid w:val="00EB5C17"/>
    <w:rsid w:val="00EB609D"/>
    <w:rsid w:val="00EB6126"/>
    <w:rsid w:val="00EC00CB"/>
    <w:rsid w:val="00EC2877"/>
    <w:rsid w:val="00EC45FA"/>
    <w:rsid w:val="00EC6968"/>
    <w:rsid w:val="00EC7146"/>
    <w:rsid w:val="00EC742A"/>
    <w:rsid w:val="00EC7F27"/>
    <w:rsid w:val="00ED0485"/>
    <w:rsid w:val="00ED0B70"/>
    <w:rsid w:val="00ED2102"/>
    <w:rsid w:val="00ED2BEF"/>
    <w:rsid w:val="00ED4570"/>
    <w:rsid w:val="00ED49E4"/>
    <w:rsid w:val="00ED547A"/>
    <w:rsid w:val="00EE0485"/>
    <w:rsid w:val="00EE362B"/>
    <w:rsid w:val="00EE4A2E"/>
    <w:rsid w:val="00EE7FF6"/>
    <w:rsid w:val="00EF0016"/>
    <w:rsid w:val="00EF0D0C"/>
    <w:rsid w:val="00EF1115"/>
    <w:rsid w:val="00EF153D"/>
    <w:rsid w:val="00EF1E73"/>
    <w:rsid w:val="00EF1EF6"/>
    <w:rsid w:val="00F00844"/>
    <w:rsid w:val="00F00E7E"/>
    <w:rsid w:val="00F03CB8"/>
    <w:rsid w:val="00F041DD"/>
    <w:rsid w:val="00F045CD"/>
    <w:rsid w:val="00F05608"/>
    <w:rsid w:val="00F063FB"/>
    <w:rsid w:val="00F14EA6"/>
    <w:rsid w:val="00F15BF9"/>
    <w:rsid w:val="00F205A7"/>
    <w:rsid w:val="00F20E68"/>
    <w:rsid w:val="00F22072"/>
    <w:rsid w:val="00F220E3"/>
    <w:rsid w:val="00F22F35"/>
    <w:rsid w:val="00F23203"/>
    <w:rsid w:val="00F2497B"/>
    <w:rsid w:val="00F24D5C"/>
    <w:rsid w:val="00F25135"/>
    <w:rsid w:val="00F2634D"/>
    <w:rsid w:val="00F26BC9"/>
    <w:rsid w:val="00F32E01"/>
    <w:rsid w:val="00F32F11"/>
    <w:rsid w:val="00F35406"/>
    <w:rsid w:val="00F36A42"/>
    <w:rsid w:val="00F4033D"/>
    <w:rsid w:val="00F41B95"/>
    <w:rsid w:val="00F46C61"/>
    <w:rsid w:val="00F470FF"/>
    <w:rsid w:val="00F47130"/>
    <w:rsid w:val="00F475E8"/>
    <w:rsid w:val="00F47786"/>
    <w:rsid w:val="00F51235"/>
    <w:rsid w:val="00F53477"/>
    <w:rsid w:val="00F54519"/>
    <w:rsid w:val="00F551F8"/>
    <w:rsid w:val="00F566D7"/>
    <w:rsid w:val="00F573A7"/>
    <w:rsid w:val="00F6037A"/>
    <w:rsid w:val="00F61CBD"/>
    <w:rsid w:val="00F62924"/>
    <w:rsid w:val="00F62AB7"/>
    <w:rsid w:val="00F64475"/>
    <w:rsid w:val="00F66AD9"/>
    <w:rsid w:val="00F70EF7"/>
    <w:rsid w:val="00F713B5"/>
    <w:rsid w:val="00F779E7"/>
    <w:rsid w:val="00F801EC"/>
    <w:rsid w:val="00F81040"/>
    <w:rsid w:val="00F829B0"/>
    <w:rsid w:val="00F83224"/>
    <w:rsid w:val="00F83446"/>
    <w:rsid w:val="00F84078"/>
    <w:rsid w:val="00F84F7F"/>
    <w:rsid w:val="00F86F1E"/>
    <w:rsid w:val="00F903E6"/>
    <w:rsid w:val="00F91065"/>
    <w:rsid w:val="00F957E6"/>
    <w:rsid w:val="00FA1069"/>
    <w:rsid w:val="00FA19AF"/>
    <w:rsid w:val="00FA1EFF"/>
    <w:rsid w:val="00FA2CD9"/>
    <w:rsid w:val="00FA4555"/>
    <w:rsid w:val="00FB0C5A"/>
    <w:rsid w:val="00FB1059"/>
    <w:rsid w:val="00FB2721"/>
    <w:rsid w:val="00FB744D"/>
    <w:rsid w:val="00FB7EEF"/>
    <w:rsid w:val="00FC025B"/>
    <w:rsid w:val="00FC155C"/>
    <w:rsid w:val="00FC1A61"/>
    <w:rsid w:val="00FC1B74"/>
    <w:rsid w:val="00FC2B7C"/>
    <w:rsid w:val="00FC340D"/>
    <w:rsid w:val="00FC3916"/>
    <w:rsid w:val="00FC625D"/>
    <w:rsid w:val="00FD0744"/>
    <w:rsid w:val="00FD1A42"/>
    <w:rsid w:val="00FD431F"/>
    <w:rsid w:val="00FD548F"/>
    <w:rsid w:val="00FD5BEB"/>
    <w:rsid w:val="00FD66DC"/>
    <w:rsid w:val="00FE1D12"/>
    <w:rsid w:val="00FE282F"/>
    <w:rsid w:val="00FE2B3F"/>
    <w:rsid w:val="00FE2FC1"/>
    <w:rsid w:val="00FE3DC0"/>
    <w:rsid w:val="00FE5481"/>
    <w:rsid w:val="00FE5A48"/>
    <w:rsid w:val="00FE6992"/>
    <w:rsid w:val="00FF1404"/>
    <w:rsid w:val="00FF5E5B"/>
    <w:rsid w:val="00FF640C"/>
    <w:rsid w:val="00FF6C41"/>
    <w:rsid w:val="01034E2A"/>
    <w:rsid w:val="011450B2"/>
    <w:rsid w:val="016273AC"/>
    <w:rsid w:val="01F558DB"/>
    <w:rsid w:val="02046404"/>
    <w:rsid w:val="02352B68"/>
    <w:rsid w:val="024B68F3"/>
    <w:rsid w:val="025A5BB3"/>
    <w:rsid w:val="02615D9D"/>
    <w:rsid w:val="028B05D5"/>
    <w:rsid w:val="028B7635"/>
    <w:rsid w:val="02F1504C"/>
    <w:rsid w:val="03190CEE"/>
    <w:rsid w:val="03524488"/>
    <w:rsid w:val="035B5CEB"/>
    <w:rsid w:val="03787DA3"/>
    <w:rsid w:val="038E4BF5"/>
    <w:rsid w:val="03CE4BB2"/>
    <w:rsid w:val="03D315DB"/>
    <w:rsid w:val="03D549D7"/>
    <w:rsid w:val="03E162F2"/>
    <w:rsid w:val="03ED19DE"/>
    <w:rsid w:val="03F51771"/>
    <w:rsid w:val="03FA18B4"/>
    <w:rsid w:val="041D6232"/>
    <w:rsid w:val="042362CE"/>
    <w:rsid w:val="043030FA"/>
    <w:rsid w:val="043B05CC"/>
    <w:rsid w:val="04433F7B"/>
    <w:rsid w:val="04447D95"/>
    <w:rsid w:val="04CD22F6"/>
    <w:rsid w:val="04DB22B6"/>
    <w:rsid w:val="04F27B85"/>
    <w:rsid w:val="051760C8"/>
    <w:rsid w:val="05480343"/>
    <w:rsid w:val="055B6A6E"/>
    <w:rsid w:val="05725AC9"/>
    <w:rsid w:val="05AD54B2"/>
    <w:rsid w:val="05B03CC2"/>
    <w:rsid w:val="05BB21C2"/>
    <w:rsid w:val="05D439AB"/>
    <w:rsid w:val="05E62EDB"/>
    <w:rsid w:val="05F53C35"/>
    <w:rsid w:val="06014433"/>
    <w:rsid w:val="06017EE6"/>
    <w:rsid w:val="0608218B"/>
    <w:rsid w:val="06096038"/>
    <w:rsid w:val="061F1453"/>
    <w:rsid w:val="06294D4F"/>
    <w:rsid w:val="064B28C9"/>
    <w:rsid w:val="066F26EE"/>
    <w:rsid w:val="06885B7B"/>
    <w:rsid w:val="068B5469"/>
    <w:rsid w:val="068C6008"/>
    <w:rsid w:val="06916841"/>
    <w:rsid w:val="06CB07C9"/>
    <w:rsid w:val="06E660D7"/>
    <w:rsid w:val="071D25F6"/>
    <w:rsid w:val="0739746C"/>
    <w:rsid w:val="074566D5"/>
    <w:rsid w:val="074F0531"/>
    <w:rsid w:val="076E6A6C"/>
    <w:rsid w:val="077E5758"/>
    <w:rsid w:val="07805F4E"/>
    <w:rsid w:val="07835DE1"/>
    <w:rsid w:val="078B475C"/>
    <w:rsid w:val="08114632"/>
    <w:rsid w:val="081D21E9"/>
    <w:rsid w:val="083E3076"/>
    <w:rsid w:val="08414EC6"/>
    <w:rsid w:val="0844407B"/>
    <w:rsid w:val="08AA2216"/>
    <w:rsid w:val="08C46317"/>
    <w:rsid w:val="08C603A5"/>
    <w:rsid w:val="08DC6AB2"/>
    <w:rsid w:val="08DF4068"/>
    <w:rsid w:val="08E037A8"/>
    <w:rsid w:val="08E325AD"/>
    <w:rsid w:val="08F73C4B"/>
    <w:rsid w:val="090F7BB0"/>
    <w:rsid w:val="0910505E"/>
    <w:rsid w:val="09187482"/>
    <w:rsid w:val="092948EA"/>
    <w:rsid w:val="09313EB0"/>
    <w:rsid w:val="097315AA"/>
    <w:rsid w:val="0997348A"/>
    <w:rsid w:val="09D26822"/>
    <w:rsid w:val="0A191E44"/>
    <w:rsid w:val="0A261D19"/>
    <w:rsid w:val="0A2B6C96"/>
    <w:rsid w:val="0A42773B"/>
    <w:rsid w:val="0A544AAC"/>
    <w:rsid w:val="0A6B0BBC"/>
    <w:rsid w:val="0AAF446A"/>
    <w:rsid w:val="0AD070A2"/>
    <w:rsid w:val="0B2013C1"/>
    <w:rsid w:val="0B202814"/>
    <w:rsid w:val="0B255009"/>
    <w:rsid w:val="0B2D08C4"/>
    <w:rsid w:val="0B7676CB"/>
    <w:rsid w:val="0B930E7C"/>
    <w:rsid w:val="0BE77C94"/>
    <w:rsid w:val="0BEE28CB"/>
    <w:rsid w:val="0C294732"/>
    <w:rsid w:val="0C2A22E4"/>
    <w:rsid w:val="0C9A2105"/>
    <w:rsid w:val="0CAF7193"/>
    <w:rsid w:val="0CB4749A"/>
    <w:rsid w:val="0D074BCE"/>
    <w:rsid w:val="0D232D79"/>
    <w:rsid w:val="0D7E77A2"/>
    <w:rsid w:val="0D8A6AB3"/>
    <w:rsid w:val="0D9055C1"/>
    <w:rsid w:val="0DDB4033"/>
    <w:rsid w:val="0DE2095B"/>
    <w:rsid w:val="0DF37EAE"/>
    <w:rsid w:val="0E274849"/>
    <w:rsid w:val="0E3F1309"/>
    <w:rsid w:val="0E414F84"/>
    <w:rsid w:val="0E5B7CC4"/>
    <w:rsid w:val="0E7A6730"/>
    <w:rsid w:val="0E9A09C3"/>
    <w:rsid w:val="0E9C13C6"/>
    <w:rsid w:val="0E9F7AAF"/>
    <w:rsid w:val="0F011571"/>
    <w:rsid w:val="0F113628"/>
    <w:rsid w:val="0F74604D"/>
    <w:rsid w:val="0F8967CC"/>
    <w:rsid w:val="0FAB6A3D"/>
    <w:rsid w:val="0FAE0C1B"/>
    <w:rsid w:val="10347650"/>
    <w:rsid w:val="10497453"/>
    <w:rsid w:val="107E4F25"/>
    <w:rsid w:val="10805DF5"/>
    <w:rsid w:val="109B03CC"/>
    <w:rsid w:val="109C1A7C"/>
    <w:rsid w:val="10A14398"/>
    <w:rsid w:val="10F2271C"/>
    <w:rsid w:val="10F25566"/>
    <w:rsid w:val="110C61B8"/>
    <w:rsid w:val="11516A1E"/>
    <w:rsid w:val="116B60C1"/>
    <w:rsid w:val="11762AD5"/>
    <w:rsid w:val="117C0C28"/>
    <w:rsid w:val="117D3C2C"/>
    <w:rsid w:val="118B2BF4"/>
    <w:rsid w:val="11AA02A9"/>
    <w:rsid w:val="11CD5617"/>
    <w:rsid w:val="11CD66C1"/>
    <w:rsid w:val="11F31858"/>
    <w:rsid w:val="11F4153D"/>
    <w:rsid w:val="11F44910"/>
    <w:rsid w:val="120656E1"/>
    <w:rsid w:val="125048B6"/>
    <w:rsid w:val="12584A52"/>
    <w:rsid w:val="127116B2"/>
    <w:rsid w:val="128C4A10"/>
    <w:rsid w:val="12C444B8"/>
    <w:rsid w:val="12D5036A"/>
    <w:rsid w:val="1301270B"/>
    <w:rsid w:val="13405C38"/>
    <w:rsid w:val="13856988"/>
    <w:rsid w:val="138D408C"/>
    <w:rsid w:val="139475B2"/>
    <w:rsid w:val="13A7632A"/>
    <w:rsid w:val="13CB1029"/>
    <w:rsid w:val="13D534F9"/>
    <w:rsid w:val="140C75CB"/>
    <w:rsid w:val="140F6C29"/>
    <w:rsid w:val="1414343F"/>
    <w:rsid w:val="14197FD6"/>
    <w:rsid w:val="142F5AD9"/>
    <w:rsid w:val="144A02F1"/>
    <w:rsid w:val="145450C2"/>
    <w:rsid w:val="147877B1"/>
    <w:rsid w:val="14AD7CDA"/>
    <w:rsid w:val="14BE164A"/>
    <w:rsid w:val="14F5179D"/>
    <w:rsid w:val="150D62EE"/>
    <w:rsid w:val="15130A0A"/>
    <w:rsid w:val="15222FB2"/>
    <w:rsid w:val="15753212"/>
    <w:rsid w:val="15CB4E7F"/>
    <w:rsid w:val="15DE1DF9"/>
    <w:rsid w:val="15E13EF0"/>
    <w:rsid w:val="15EA3D7D"/>
    <w:rsid w:val="160E65CF"/>
    <w:rsid w:val="163C5AE3"/>
    <w:rsid w:val="16790BA4"/>
    <w:rsid w:val="168408D1"/>
    <w:rsid w:val="16CA686A"/>
    <w:rsid w:val="170F29BC"/>
    <w:rsid w:val="17570500"/>
    <w:rsid w:val="178033CD"/>
    <w:rsid w:val="17A4585E"/>
    <w:rsid w:val="17AC372C"/>
    <w:rsid w:val="17D4708E"/>
    <w:rsid w:val="17F22B81"/>
    <w:rsid w:val="17FE3D7E"/>
    <w:rsid w:val="18274C26"/>
    <w:rsid w:val="185552F1"/>
    <w:rsid w:val="185D179A"/>
    <w:rsid w:val="189153B8"/>
    <w:rsid w:val="18E919C5"/>
    <w:rsid w:val="192B7E45"/>
    <w:rsid w:val="194C7B14"/>
    <w:rsid w:val="19504AA2"/>
    <w:rsid w:val="19751950"/>
    <w:rsid w:val="197C2F2D"/>
    <w:rsid w:val="19AE4815"/>
    <w:rsid w:val="19B711E1"/>
    <w:rsid w:val="19B75834"/>
    <w:rsid w:val="19BC3155"/>
    <w:rsid w:val="19CD62A2"/>
    <w:rsid w:val="1A270841"/>
    <w:rsid w:val="1A2B0264"/>
    <w:rsid w:val="1A3C685E"/>
    <w:rsid w:val="1A584947"/>
    <w:rsid w:val="1A6D0490"/>
    <w:rsid w:val="1A980C6F"/>
    <w:rsid w:val="1AA12B23"/>
    <w:rsid w:val="1AA841DD"/>
    <w:rsid w:val="1AD40863"/>
    <w:rsid w:val="1AE24904"/>
    <w:rsid w:val="1AEE0C77"/>
    <w:rsid w:val="1B0C60FC"/>
    <w:rsid w:val="1B3C3DDA"/>
    <w:rsid w:val="1B4510C3"/>
    <w:rsid w:val="1B51710E"/>
    <w:rsid w:val="1B56582D"/>
    <w:rsid w:val="1B5D52B6"/>
    <w:rsid w:val="1B7C621D"/>
    <w:rsid w:val="1B8C6F8D"/>
    <w:rsid w:val="1C263D06"/>
    <w:rsid w:val="1C2A6493"/>
    <w:rsid w:val="1C7B47C6"/>
    <w:rsid w:val="1C96141B"/>
    <w:rsid w:val="1CA45C4A"/>
    <w:rsid w:val="1CAF7BC0"/>
    <w:rsid w:val="1CC215A8"/>
    <w:rsid w:val="1CD8735C"/>
    <w:rsid w:val="1D153085"/>
    <w:rsid w:val="1D1D2071"/>
    <w:rsid w:val="1D1D2739"/>
    <w:rsid w:val="1D2248BE"/>
    <w:rsid w:val="1D762000"/>
    <w:rsid w:val="1D825C9D"/>
    <w:rsid w:val="1D971104"/>
    <w:rsid w:val="1D997B6B"/>
    <w:rsid w:val="1E412B77"/>
    <w:rsid w:val="1E503DF9"/>
    <w:rsid w:val="1E550484"/>
    <w:rsid w:val="1E6465F1"/>
    <w:rsid w:val="1E6E41DC"/>
    <w:rsid w:val="1EE26FE1"/>
    <w:rsid w:val="1EED0F94"/>
    <w:rsid w:val="1F555005"/>
    <w:rsid w:val="1F70002E"/>
    <w:rsid w:val="1F732DD8"/>
    <w:rsid w:val="1F8A7A8C"/>
    <w:rsid w:val="1FB247B8"/>
    <w:rsid w:val="1FCE7B54"/>
    <w:rsid w:val="1FEB5EDE"/>
    <w:rsid w:val="1FF12140"/>
    <w:rsid w:val="1FFC672B"/>
    <w:rsid w:val="202E4DF7"/>
    <w:rsid w:val="20653326"/>
    <w:rsid w:val="207309DC"/>
    <w:rsid w:val="20755B5E"/>
    <w:rsid w:val="2088496A"/>
    <w:rsid w:val="20A424B6"/>
    <w:rsid w:val="20B22DC4"/>
    <w:rsid w:val="20E2119E"/>
    <w:rsid w:val="21201E50"/>
    <w:rsid w:val="21304037"/>
    <w:rsid w:val="214E4652"/>
    <w:rsid w:val="2173580A"/>
    <w:rsid w:val="217D23C6"/>
    <w:rsid w:val="218061AE"/>
    <w:rsid w:val="218477B2"/>
    <w:rsid w:val="21866203"/>
    <w:rsid w:val="218F497A"/>
    <w:rsid w:val="21995CB4"/>
    <w:rsid w:val="224A50E8"/>
    <w:rsid w:val="22850580"/>
    <w:rsid w:val="22AD79B7"/>
    <w:rsid w:val="22D6182B"/>
    <w:rsid w:val="22EB0C14"/>
    <w:rsid w:val="22F16D16"/>
    <w:rsid w:val="22F53974"/>
    <w:rsid w:val="231F06DC"/>
    <w:rsid w:val="23273154"/>
    <w:rsid w:val="23D61272"/>
    <w:rsid w:val="23DD2ABB"/>
    <w:rsid w:val="23E87122"/>
    <w:rsid w:val="241915BC"/>
    <w:rsid w:val="24301DB0"/>
    <w:rsid w:val="24466BE3"/>
    <w:rsid w:val="245300A6"/>
    <w:rsid w:val="249223ED"/>
    <w:rsid w:val="24D62091"/>
    <w:rsid w:val="252D525D"/>
    <w:rsid w:val="25466824"/>
    <w:rsid w:val="25693160"/>
    <w:rsid w:val="25865A83"/>
    <w:rsid w:val="258B7558"/>
    <w:rsid w:val="25B317DC"/>
    <w:rsid w:val="2676194C"/>
    <w:rsid w:val="2694215A"/>
    <w:rsid w:val="26BA3D31"/>
    <w:rsid w:val="26E61785"/>
    <w:rsid w:val="26E63A7F"/>
    <w:rsid w:val="27102B34"/>
    <w:rsid w:val="272C40F1"/>
    <w:rsid w:val="27370964"/>
    <w:rsid w:val="27635B82"/>
    <w:rsid w:val="277B1384"/>
    <w:rsid w:val="27D853A7"/>
    <w:rsid w:val="27DB1524"/>
    <w:rsid w:val="281C60EE"/>
    <w:rsid w:val="28323144"/>
    <w:rsid w:val="284222ED"/>
    <w:rsid w:val="284F3B6E"/>
    <w:rsid w:val="289B6E72"/>
    <w:rsid w:val="290723B2"/>
    <w:rsid w:val="290A0231"/>
    <w:rsid w:val="290C624C"/>
    <w:rsid w:val="29255EA1"/>
    <w:rsid w:val="2933221A"/>
    <w:rsid w:val="29375AC5"/>
    <w:rsid w:val="29522712"/>
    <w:rsid w:val="295858BA"/>
    <w:rsid w:val="296166BD"/>
    <w:rsid w:val="29667C37"/>
    <w:rsid w:val="29946F3E"/>
    <w:rsid w:val="29B91E53"/>
    <w:rsid w:val="29CF406A"/>
    <w:rsid w:val="29F00B0C"/>
    <w:rsid w:val="29F242A0"/>
    <w:rsid w:val="2A2473E7"/>
    <w:rsid w:val="2A5026FE"/>
    <w:rsid w:val="2A6542EC"/>
    <w:rsid w:val="2A875F93"/>
    <w:rsid w:val="2AAC4C7D"/>
    <w:rsid w:val="2AED1F22"/>
    <w:rsid w:val="2B383128"/>
    <w:rsid w:val="2B577548"/>
    <w:rsid w:val="2B750196"/>
    <w:rsid w:val="2B8815F9"/>
    <w:rsid w:val="2B8B3EEB"/>
    <w:rsid w:val="2B9740D8"/>
    <w:rsid w:val="2BBD51BB"/>
    <w:rsid w:val="2BC32F5E"/>
    <w:rsid w:val="2BDC4B49"/>
    <w:rsid w:val="2BFF617C"/>
    <w:rsid w:val="2C0B720A"/>
    <w:rsid w:val="2CF872D4"/>
    <w:rsid w:val="2D3F17FF"/>
    <w:rsid w:val="2D5D645B"/>
    <w:rsid w:val="2DC16E8F"/>
    <w:rsid w:val="2DE27339"/>
    <w:rsid w:val="2DEB587F"/>
    <w:rsid w:val="2E293AD3"/>
    <w:rsid w:val="2E2B06D8"/>
    <w:rsid w:val="2E523695"/>
    <w:rsid w:val="2E997FAB"/>
    <w:rsid w:val="2F660E22"/>
    <w:rsid w:val="2F9751C4"/>
    <w:rsid w:val="2FA54E49"/>
    <w:rsid w:val="2FA97380"/>
    <w:rsid w:val="2FD016EA"/>
    <w:rsid w:val="2FD477B6"/>
    <w:rsid w:val="2FD632A2"/>
    <w:rsid w:val="2FE96A98"/>
    <w:rsid w:val="304D207C"/>
    <w:rsid w:val="305E1C50"/>
    <w:rsid w:val="309036C7"/>
    <w:rsid w:val="309E7F8C"/>
    <w:rsid w:val="30A209BB"/>
    <w:rsid w:val="30D6694C"/>
    <w:rsid w:val="30DE6126"/>
    <w:rsid w:val="30E3271D"/>
    <w:rsid w:val="30F675F6"/>
    <w:rsid w:val="30F72164"/>
    <w:rsid w:val="3116311A"/>
    <w:rsid w:val="31616568"/>
    <w:rsid w:val="31920EFC"/>
    <w:rsid w:val="31B4365E"/>
    <w:rsid w:val="31C527F2"/>
    <w:rsid w:val="31DA4799"/>
    <w:rsid w:val="31DF2419"/>
    <w:rsid w:val="31F20C13"/>
    <w:rsid w:val="3211317E"/>
    <w:rsid w:val="32521B44"/>
    <w:rsid w:val="329F4323"/>
    <w:rsid w:val="32CA0966"/>
    <w:rsid w:val="32D862B1"/>
    <w:rsid w:val="32DE56F0"/>
    <w:rsid w:val="32E85B28"/>
    <w:rsid w:val="3340031D"/>
    <w:rsid w:val="338374FF"/>
    <w:rsid w:val="338F0F49"/>
    <w:rsid w:val="339C240D"/>
    <w:rsid w:val="33BC7F5E"/>
    <w:rsid w:val="346766BF"/>
    <w:rsid w:val="348669D4"/>
    <w:rsid w:val="34DC7C2C"/>
    <w:rsid w:val="351E5DDC"/>
    <w:rsid w:val="357324B6"/>
    <w:rsid w:val="35A02B55"/>
    <w:rsid w:val="35C82DE7"/>
    <w:rsid w:val="35E45BD9"/>
    <w:rsid w:val="35F60B79"/>
    <w:rsid w:val="35FC6659"/>
    <w:rsid w:val="36032B41"/>
    <w:rsid w:val="36171143"/>
    <w:rsid w:val="364D77F0"/>
    <w:rsid w:val="36B37DAC"/>
    <w:rsid w:val="36CC507E"/>
    <w:rsid w:val="36E06077"/>
    <w:rsid w:val="36EA6F12"/>
    <w:rsid w:val="36FF2BC7"/>
    <w:rsid w:val="372F571B"/>
    <w:rsid w:val="37335085"/>
    <w:rsid w:val="375A1C0D"/>
    <w:rsid w:val="37605364"/>
    <w:rsid w:val="37645038"/>
    <w:rsid w:val="37C2035E"/>
    <w:rsid w:val="380364A4"/>
    <w:rsid w:val="38251926"/>
    <w:rsid w:val="387770BF"/>
    <w:rsid w:val="38BB460C"/>
    <w:rsid w:val="39090805"/>
    <w:rsid w:val="39340636"/>
    <w:rsid w:val="399551B1"/>
    <w:rsid w:val="39B72C5B"/>
    <w:rsid w:val="39C238AC"/>
    <w:rsid w:val="39D62F04"/>
    <w:rsid w:val="39E22C74"/>
    <w:rsid w:val="3A2D2A99"/>
    <w:rsid w:val="3A4E7624"/>
    <w:rsid w:val="3A547D72"/>
    <w:rsid w:val="3A6607FB"/>
    <w:rsid w:val="3B0F6334"/>
    <w:rsid w:val="3B147759"/>
    <w:rsid w:val="3B5122CA"/>
    <w:rsid w:val="3B815AF6"/>
    <w:rsid w:val="3B96596B"/>
    <w:rsid w:val="3B9A3B2E"/>
    <w:rsid w:val="3BA02E15"/>
    <w:rsid w:val="3BAC0C70"/>
    <w:rsid w:val="3BBF52F1"/>
    <w:rsid w:val="3BC4015D"/>
    <w:rsid w:val="3BC5720F"/>
    <w:rsid w:val="3BC840A1"/>
    <w:rsid w:val="3BD23DF2"/>
    <w:rsid w:val="3BED3D3E"/>
    <w:rsid w:val="3C2377F5"/>
    <w:rsid w:val="3C260D2F"/>
    <w:rsid w:val="3C8B7E67"/>
    <w:rsid w:val="3C8E0A1B"/>
    <w:rsid w:val="3CF76B1A"/>
    <w:rsid w:val="3D066F82"/>
    <w:rsid w:val="3D0F39CA"/>
    <w:rsid w:val="3D155DA1"/>
    <w:rsid w:val="3D165B71"/>
    <w:rsid w:val="3D522D0F"/>
    <w:rsid w:val="3D5D01B1"/>
    <w:rsid w:val="3D703698"/>
    <w:rsid w:val="3E060BCF"/>
    <w:rsid w:val="3E0D28F9"/>
    <w:rsid w:val="3E1B25BC"/>
    <w:rsid w:val="3E1D7037"/>
    <w:rsid w:val="3E1E7DDD"/>
    <w:rsid w:val="3E3237BF"/>
    <w:rsid w:val="3E5C5D09"/>
    <w:rsid w:val="3EB31164"/>
    <w:rsid w:val="3EBD12EF"/>
    <w:rsid w:val="3F142CC2"/>
    <w:rsid w:val="3F211E56"/>
    <w:rsid w:val="3F261AEF"/>
    <w:rsid w:val="3F264E4C"/>
    <w:rsid w:val="3F3060F3"/>
    <w:rsid w:val="3F340E7B"/>
    <w:rsid w:val="3F5B2410"/>
    <w:rsid w:val="3F79525A"/>
    <w:rsid w:val="3F886B35"/>
    <w:rsid w:val="3FDE27D9"/>
    <w:rsid w:val="3FF36E8A"/>
    <w:rsid w:val="400D09F7"/>
    <w:rsid w:val="40462543"/>
    <w:rsid w:val="405C49C2"/>
    <w:rsid w:val="405D6EC0"/>
    <w:rsid w:val="4068425F"/>
    <w:rsid w:val="406B2AC3"/>
    <w:rsid w:val="407E41C8"/>
    <w:rsid w:val="408825D8"/>
    <w:rsid w:val="408917C7"/>
    <w:rsid w:val="40A65439"/>
    <w:rsid w:val="412137F2"/>
    <w:rsid w:val="41246B7F"/>
    <w:rsid w:val="4143243C"/>
    <w:rsid w:val="41463206"/>
    <w:rsid w:val="415C2E48"/>
    <w:rsid w:val="415E2800"/>
    <w:rsid w:val="4183668A"/>
    <w:rsid w:val="41B16BB0"/>
    <w:rsid w:val="41C077EE"/>
    <w:rsid w:val="41DE622C"/>
    <w:rsid w:val="42172FE0"/>
    <w:rsid w:val="421C3D96"/>
    <w:rsid w:val="42242138"/>
    <w:rsid w:val="42351A7E"/>
    <w:rsid w:val="423914B2"/>
    <w:rsid w:val="423D5A0C"/>
    <w:rsid w:val="42606B35"/>
    <w:rsid w:val="42731714"/>
    <w:rsid w:val="42C13476"/>
    <w:rsid w:val="42D03A33"/>
    <w:rsid w:val="43155145"/>
    <w:rsid w:val="43382E6B"/>
    <w:rsid w:val="43647EF7"/>
    <w:rsid w:val="438E761A"/>
    <w:rsid w:val="43931D16"/>
    <w:rsid w:val="43A21701"/>
    <w:rsid w:val="43D870C2"/>
    <w:rsid w:val="43FC5885"/>
    <w:rsid w:val="44270969"/>
    <w:rsid w:val="44277B4B"/>
    <w:rsid w:val="445D7BBD"/>
    <w:rsid w:val="44667C41"/>
    <w:rsid w:val="44D75166"/>
    <w:rsid w:val="44DC186F"/>
    <w:rsid w:val="45277035"/>
    <w:rsid w:val="45346331"/>
    <w:rsid w:val="455E1077"/>
    <w:rsid w:val="459D79C1"/>
    <w:rsid w:val="465760C2"/>
    <w:rsid w:val="466203B3"/>
    <w:rsid w:val="46737E1A"/>
    <w:rsid w:val="468C5919"/>
    <w:rsid w:val="46DC2655"/>
    <w:rsid w:val="46FC60FC"/>
    <w:rsid w:val="47134138"/>
    <w:rsid w:val="471348C3"/>
    <w:rsid w:val="472C2AAD"/>
    <w:rsid w:val="47476AA7"/>
    <w:rsid w:val="478E4B4A"/>
    <w:rsid w:val="47C55CC7"/>
    <w:rsid w:val="47D36958"/>
    <w:rsid w:val="47D371A5"/>
    <w:rsid w:val="47EF2FDF"/>
    <w:rsid w:val="47F13CCA"/>
    <w:rsid w:val="47F17F8F"/>
    <w:rsid w:val="48016910"/>
    <w:rsid w:val="485135B2"/>
    <w:rsid w:val="485644C8"/>
    <w:rsid w:val="48CD2448"/>
    <w:rsid w:val="48D13D47"/>
    <w:rsid w:val="48D92C2F"/>
    <w:rsid w:val="48E85E28"/>
    <w:rsid w:val="48F9382E"/>
    <w:rsid w:val="49142D27"/>
    <w:rsid w:val="49215537"/>
    <w:rsid w:val="493368B2"/>
    <w:rsid w:val="4934266D"/>
    <w:rsid w:val="499123D4"/>
    <w:rsid w:val="49AC1D1D"/>
    <w:rsid w:val="49B57172"/>
    <w:rsid w:val="49BC73CF"/>
    <w:rsid w:val="49D76B1B"/>
    <w:rsid w:val="49E241C9"/>
    <w:rsid w:val="49E8502C"/>
    <w:rsid w:val="49EC4286"/>
    <w:rsid w:val="4AFC5AF7"/>
    <w:rsid w:val="4AFD5E56"/>
    <w:rsid w:val="4B0D4644"/>
    <w:rsid w:val="4B0E7783"/>
    <w:rsid w:val="4B1D27F1"/>
    <w:rsid w:val="4B6B72DB"/>
    <w:rsid w:val="4B995FBF"/>
    <w:rsid w:val="4BA86892"/>
    <w:rsid w:val="4BAA67FA"/>
    <w:rsid w:val="4C237A7B"/>
    <w:rsid w:val="4C2E31F8"/>
    <w:rsid w:val="4C7725DA"/>
    <w:rsid w:val="4C801578"/>
    <w:rsid w:val="4C8A6E37"/>
    <w:rsid w:val="4CBA4F88"/>
    <w:rsid w:val="4CD23725"/>
    <w:rsid w:val="4D0065BC"/>
    <w:rsid w:val="4D0E049F"/>
    <w:rsid w:val="4D1A3528"/>
    <w:rsid w:val="4D37744D"/>
    <w:rsid w:val="4D6078D3"/>
    <w:rsid w:val="4D62425A"/>
    <w:rsid w:val="4DDF1F32"/>
    <w:rsid w:val="4E062C10"/>
    <w:rsid w:val="4E522649"/>
    <w:rsid w:val="4E575021"/>
    <w:rsid w:val="4E5A253A"/>
    <w:rsid w:val="4E71794A"/>
    <w:rsid w:val="4E7D1170"/>
    <w:rsid w:val="4E9173F1"/>
    <w:rsid w:val="4FFB4EC4"/>
    <w:rsid w:val="50050B1E"/>
    <w:rsid w:val="50162565"/>
    <w:rsid w:val="50273489"/>
    <w:rsid w:val="50653561"/>
    <w:rsid w:val="5089087F"/>
    <w:rsid w:val="50AE68B4"/>
    <w:rsid w:val="50CB2095"/>
    <w:rsid w:val="50CD10D2"/>
    <w:rsid w:val="50E548E3"/>
    <w:rsid w:val="50E95B26"/>
    <w:rsid w:val="50F40C26"/>
    <w:rsid w:val="50F7067B"/>
    <w:rsid w:val="50F93F68"/>
    <w:rsid w:val="51243C1A"/>
    <w:rsid w:val="51624549"/>
    <w:rsid w:val="5185445B"/>
    <w:rsid w:val="518A6F9C"/>
    <w:rsid w:val="51D62A63"/>
    <w:rsid w:val="51E76746"/>
    <w:rsid w:val="51FF706F"/>
    <w:rsid w:val="52712579"/>
    <w:rsid w:val="52826CB3"/>
    <w:rsid w:val="52A57AEB"/>
    <w:rsid w:val="52C25A76"/>
    <w:rsid w:val="52DD4EA9"/>
    <w:rsid w:val="530157AD"/>
    <w:rsid w:val="53314E3A"/>
    <w:rsid w:val="533952B2"/>
    <w:rsid w:val="535D6031"/>
    <w:rsid w:val="535F44B2"/>
    <w:rsid w:val="537A20E2"/>
    <w:rsid w:val="53B10E0E"/>
    <w:rsid w:val="53ED607E"/>
    <w:rsid w:val="53F161B6"/>
    <w:rsid w:val="54264B76"/>
    <w:rsid w:val="543162D6"/>
    <w:rsid w:val="54466D99"/>
    <w:rsid w:val="548E1EB1"/>
    <w:rsid w:val="549A66E3"/>
    <w:rsid w:val="549E2463"/>
    <w:rsid w:val="54AF1A2A"/>
    <w:rsid w:val="54B509EE"/>
    <w:rsid w:val="54E416BB"/>
    <w:rsid w:val="550F0A41"/>
    <w:rsid w:val="5522684C"/>
    <w:rsid w:val="55422FBA"/>
    <w:rsid w:val="554C26D2"/>
    <w:rsid w:val="559677A2"/>
    <w:rsid w:val="55AC2A1D"/>
    <w:rsid w:val="55BF7D10"/>
    <w:rsid w:val="55CA6D0C"/>
    <w:rsid w:val="55CB6B21"/>
    <w:rsid w:val="56290384"/>
    <w:rsid w:val="564C152B"/>
    <w:rsid w:val="56621CC0"/>
    <w:rsid w:val="56804BA8"/>
    <w:rsid w:val="56956BD1"/>
    <w:rsid w:val="569D2735"/>
    <w:rsid w:val="56CC4DA9"/>
    <w:rsid w:val="56F80F98"/>
    <w:rsid w:val="56FA0115"/>
    <w:rsid w:val="5701542A"/>
    <w:rsid w:val="570B1154"/>
    <w:rsid w:val="572A3782"/>
    <w:rsid w:val="579B534E"/>
    <w:rsid w:val="57CF6537"/>
    <w:rsid w:val="582C7CDF"/>
    <w:rsid w:val="58482DC6"/>
    <w:rsid w:val="585E52A9"/>
    <w:rsid w:val="586D2405"/>
    <w:rsid w:val="588561B5"/>
    <w:rsid w:val="588D20CB"/>
    <w:rsid w:val="58B57A0E"/>
    <w:rsid w:val="58BC386A"/>
    <w:rsid w:val="58D72126"/>
    <w:rsid w:val="58DB7A0A"/>
    <w:rsid w:val="58E71F9B"/>
    <w:rsid w:val="58F51FFA"/>
    <w:rsid w:val="591B4991"/>
    <w:rsid w:val="59570292"/>
    <w:rsid w:val="596000F2"/>
    <w:rsid w:val="59FF4D38"/>
    <w:rsid w:val="5A0469F7"/>
    <w:rsid w:val="5A0C4B75"/>
    <w:rsid w:val="5A1533CC"/>
    <w:rsid w:val="5A28064A"/>
    <w:rsid w:val="5A7923BF"/>
    <w:rsid w:val="5A9605BD"/>
    <w:rsid w:val="5AE10FFC"/>
    <w:rsid w:val="5AE47F70"/>
    <w:rsid w:val="5AE67E10"/>
    <w:rsid w:val="5AE911BF"/>
    <w:rsid w:val="5B4F1918"/>
    <w:rsid w:val="5BAC60D4"/>
    <w:rsid w:val="5BD46AD4"/>
    <w:rsid w:val="5BDA1DC4"/>
    <w:rsid w:val="5C1D46FC"/>
    <w:rsid w:val="5C3D5425"/>
    <w:rsid w:val="5C580813"/>
    <w:rsid w:val="5C5A2DA2"/>
    <w:rsid w:val="5C741A7E"/>
    <w:rsid w:val="5C8C3CA8"/>
    <w:rsid w:val="5C9824E3"/>
    <w:rsid w:val="5CAD7201"/>
    <w:rsid w:val="5CB609AD"/>
    <w:rsid w:val="5CD42029"/>
    <w:rsid w:val="5CE864FF"/>
    <w:rsid w:val="5D102450"/>
    <w:rsid w:val="5D117FDD"/>
    <w:rsid w:val="5D18719D"/>
    <w:rsid w:val="5D295DC9"/>
    <w:rsid w:val="5D335BD3"/>
    <w:rsid w:val="5D3436B2"/>
    <w:rsid w:val="5D44463E"/>
    <w:rsid w:val="5D4D7D2E"/>
    <w:rsid w:val="5D674CB0"/>
    <w:rsid w:val="5D785662"/>
    <w:rsid w:val="5D8509E3"/>
    <w:rsid w:val="5DC63B4E"/>
    <w:rsid w:val="5DE1427A"/>
    <w:rsid w:val="5E0F1CC8"/>
    <w:rsid w:val="5E2847FB"/>
    <w:rsid w:val="5E466E49"/>
    <w:rsid w:val="5E580E47"/>
    <w:rsid w:val="5E731934"/>
    <w:rsid w:val="5E965310"/>
    <w:rsid w:val="5EAE695A"/>
    <w:rsid w:val="5ECF32B4"/>
    <w:rsid w:val="5F065231"/>
    <w:rsid w:val="5F1B632E"/>
    <w:rsid w:val="5F2F3014"/>
    <w:rsid w:val="5F3F68E4"/>
    <w:rsid w:val="5F496833"/>
    <w:rsid w:val="5F706BE5"/>
    <w:rsid w:val="5F8949F9"/>
    <w:rsid w:val="5FA4535D"/>
    <w:rsid w:val="5FA9592C"/>
    <w:rsid w:val="5FB24314"/>
    <w:rsid w:val="60175E9A"/>
    <w:rsid w:val="603871C4"/>
    <w:rsid w:val="60C71945"/>
    <w:rsid w:val="60D53728"/>
    <w:rsid w:val="60EA622B"/>
    <w:rsid w:val="60EB1140"/>
    <w:rsid w:val="6119082B"/>
    <w:rsid w:val="613106B6"/>
    <w:rsid w:val="6143275F"/>
    <w:rsid w:val="614B2C25"/>
    <w:rsid w:val="615014E4"/>
    <w:rsid w:val="61685A62"/>
    <w:rsid w:val="61816777"/>
    <w:rsid w:val="618D31AE"/>
    <w:rsid w:val="61927EBE"/>
    <w:rsid w:val="61BA3194"/>
    <w:rsid w:val="61BA3268"/>
    <w:rsid w:val="61D771BB"/>
    <w:rsid w:val="61E3095E"/>
    <w:rsid w:val="61E9479D"/>
    <w:rsid w:val="621B2390"/>
    <w:rsid w:val="627739F9"/>
    <w:rsid w:val="628005CB"/>
    <w:rsid w:val="62D9704A"/>
    <w:rsid w:val="62F41621"/>
    <w:rsid w:val="631F5140"/>
    <w:rsid w:val="63206CA6"/>
    <w:rsid w:val="633307C0"/>
    <w:rsid w:val="633B597B"/>
    <w:rsid w:val="636D4FE6"/>
    <w:rsid w:val="63825B96"/>
    <w:rsid w:val="63B37BAD"/>
    <w:rsid w:val="63D02489"/>
    <w:rsid w:val="63EB104E"/>
    <w:rsid w:val="63F0608C"/>
    <w:rsid w:val="63F859EF"/>
    <w:rsid w:val="63FE790F"/>
    <w:rsid w:val="64382189"/>
    <w:rsid w:val="64455F5E"/>
    <w:rsid w:val="64834A99"/>
    <w:rsid w:val="64845FD3"/>
    <w:rsid w:val="649A1366"/>
    <w:rsid w:val="64A4394A"/>
    <w:rsid w:val="64AA7739"/>
    <w:rsid w:val="64BB7417"/>
    <w:rsid w:val="64BC06ED"/>
    <w:rsid w:val="64E24D7D"/>
    <w:rsid w:val="64FD655F"/>
    <w:rsid w:val="652105C6"/>
    <w:rsid w:val="652D090B"/>
    <w:rsid w:val="654423FD"/>
    <w:rsid w:val="65580111"/>
    <w:rsid w:val="65620913"/>
    <w:rsid w:val="65847151"/>
    <w:rsid w:val="65F12EB4"/>
    <w:rsid w:val="65F34C4A"/>
    <w:rsid w:val="65F37DD4"/>
    <w:rsid w:val="66003E23"/>
    <w:rsid w:val="660663C1"/>
    <w:rsid w:val="663973F8"/>
    <w:rsid w:val="66413961"/>
    <w:rsid w:val="6641458A"/>
    <w:rsid w:val="665712B9"/>
    <w:rsid w:val="665E3351"/>
    <w:rsid w:val="667A5120"/>
    <w:rsid w:val="66835CCD"/>
    <w:rsid w:val="66C96879"/>
    <w:rsid w:val="66EB187F"/>
    <w:rsid w:val="67194A7C"/>
    <w:rsid w:val="67730275"/>
    <w:rsid w:val="67830DB1"/>
    <w:rsid w:val="67904BFA"/>
    <w:rsid w:val="67AE355A"/>
    <w:rsid w:val="67E06F23"/>
    <w:rsid w:val="6806596A"/>
    <w:rsid w:val="682231B1"/>
    <w:rsid w:val="683A1C46"/>
    <w:rsid w:val="684118F2"/>
    <w:rsid w:val="68487F40"/>
    <w:rsid w:val="684C3518"/>
    <w:rsid w:val="68A04921"/>
    <w:rsid w:val="68A066BA"/>
    <w:rsid w:val="68BB6A95"/>
    <w:rsid w:val="68C831C1"/>
    <w:rsid w:val="69526C2A"/>
    <w:rsid w:val="69535F9B"/>
    <w:rsid w:val="69654292"/>
    <w:rsid w:val="697D680D"/>
    <w:rsid w:val="697F44DA"/>
    <w:rsid w:val="69967E7F"/>
    <w:rsid w:val="69AD2905"/>
    <w:rsid w:val="69AE5167"/>
    <w:rsid w:val="69B47C6D"/>
    <w:rsid w:val="69D87D95"/>
    <w:rsid w:val="69FE60DF"/>
    <w:rsid w:val="6A093C19"/>
    <w:rsid w:val="6A695F7C"/>
    <w:rsid w:val="6A8638CB"/>
    <w:rsid w:val="6A9341CF"/>
    <w:rsid w:val="6A9853D4"/>
    <w:rsid w:val="6A9B43AC"/>
    <w:rsid w:val="6AB06079"/>
    <w:rsid w:val="6AE362F9"/>
    <w:rsid w:val="6AFF2E00"/>
    <w:rsid w:val="6B0C6921"/>
    <w:rsid w:val="6B3140F1"/>
    <w:rsid w:val="6B78270D"/>
    <w:rsid w:val="6B901BE4"/>
    <w:rsid w:val="6BCC6449"/>
    <w:rsid w:val="6BF8667B"/>
    <w:rsid w:val="6C3F2DEB"/>
    <w:rsid w:val="6C591948"/>
    <w:rsid w:val="6C73669B"/>
    <w:rsid w:val="6CA90003"/>
    <w:rsid w:val="6CE56B7E"/>
    <w:rsid w:val="6CE6378C"/>
    <w:rsid w:val="6D0E1A49"/>
    <w:rsid w:val="6D472CF8"/>
    <w:rsid w:val="6D4A7D05"/>
    <w:rsid w:val="6D757D14"/>
    <w:rsid w:val="6DB53BB8"/>
    <w:rsid w:val="6DE10CD4"/>
    <w:rsid w:val="6DF112F5"/>
    <w:rsid w:val="6E0814C1"/>
    <w:rsid w:val="6E24545C"/>
    <w:rsid w:val="6E6161AC"/>
    <w:rsid w:val="6E9A68EB"/>
    <w:rsid w:val="6EA45BE3"/>
    <w:rsid w:val="6EBF0385"/>
    <w:rsid w:val="6EEC7092"/>
    <w:rsid w:val="6F06407D"/>
    <w:rsid w:val="6F1917CD"/>
    <w:rsid w:val="6F1B3C75"/>
    <w:rsid w:val="6F357128"/>
    <w:rsid w:val="6F5E5ADE"/>
    <w:rsid w:val="6F6659E6"/>
    <w:rsid w:val="6F7E1EA5"/>
    <w:rsid w:val="6FB71CAB"/>
    <w:rsid w:val="70131B5D"/>
    <w:rsid w:val="701D11D5"/>
    <w:rsid w:val="702F0BE5"/>
    <w:rsid w:val="70495515"/>
    <w:rsid w:val="705E3864"/>
    <w:rsid w:val="70690763"/>
    <w:rsid w:val="70881BA0"/>
    <w:rsid w:val="708A29AB"/>
    <w:rsid w:val="70BC3F8A"/>
    <w:rsid w:val="71097DF4"/>
    <w:rsid w:val="710F5BF2"/>
    <w:rsid w:val="71842F90"/>
    <w:rsid w:val="71D16FA9"/>
    <w:rsid w:val="72296E92"/>
    <w:rsid w:val="728104F0"/>
    <w:rsid w:val="72A04B65"/>
    <w:rsid w:val="72C452D2"/>
    <w:rsid w:val="72CF2356"/>
    <w:rsid w:val="72D84B09"/>
    <w:rsid w:val="735E5E3A"/>
    <w:rsid w:val="73B26F97"/>
    <w:rsid w:val="73BF458F"/>
    <w:rsid w:val="740E1D05"/>
    <w:rsid w:val="7417588C"/>
    <w:rsid w:val="743B6B13"/>
    <w:rsid w:val="747E117B"/>
    <w:rsid w:val="74A67A8E"/>
    <w:rsid w:val="74AD588E"/>
    <w:rsid w:val="74B5509F"/>
    <w:rsid w:val="74D111AD"/>
    <w:rsid w:val="74DD7550"/>
    <w:rsid w:val="751670D0"/>
    <w:rsid w:val="75414655"/>
    <w:rsid w:val="754178DB"/>
    <w:rsid w:val="757522EF"/>
    <w:rsid w:val="75EC6F1F"/>
    <w:rsid w:val="75FC1C6A"/>
    <w:rsid w:val="76010416"/>
    <w:rsid w:val="76183E28"/>
    <w:rsid w:val="7645269C"/>
    <w:rsid w:val="765A40C7"/>
    <w:rsid w:val="765F407E"/>
    <w:rsid w:val="767E0E6F"/>
    <w:rsid w:val="767F56D5"/>
    <w:rsid w:val="769E1959"/>
    <w:rsid w:val="76DB126A"/>
    <w:rsid w:val="76DF1CA0"/>
    <w:rsid w:val="76E76878"/>
    <w:rsid w:val="76F43FBC"/>
    <w:rsid w:val="77182D1C"/>
    <w:rsid w:val="771C0FD8"/>
    <w:rsid w:val="77256DFE"/>
    <w:rsid w:val="77515D33"/>
    <w:rsid w:val="77873D86"/>
    <w:rsid w:val="77E2793C"/>
    <w:rsid w:val="77E44FDD"/>
    <w:rsid w:val="77EF3B6A"/>
    <w:rsid w:val="77FF49A6"/>
    <w:rsid w:val="7820218B"/>
    <w:rsid w:val="782F21C2"/>
    <w:rsid w:val="78913D4D"/>
    <w:rsid w:val="78B33222"/>
    <w:rsid w:val="78C7535C"/>
    <w:rsid w:val="78DA7894"/>
    <w:rsid w:val="78FE020D"/>
    <w:rsid w:val="79011C0B"/>
    <w:rsid w:val="7902647C"/>
    <w:rsid w:val="7908577F"/>
    <w:rsid w:val="790F539F"/>
    <w:rsid w:val="79516C6D"/>
    <w:rsid w:val="79776158"/>
    <w:rsid w:val="79B60BF0"/>
    <w:rsid w:val="79B641BD"/>
    <w:rsid w:val="79C3723C"/>
    <w:rsid w:val="79C579F9"/>
    <w:rsid w:val="7A0F6CE2"/>
    <w:rsid w:val="7A634F5D"/>
    <w:rsid w:val="7A841BA8"/>
    <w:rsid w:val="7AA12A52"/>
    <w:rsid w:val="7ABC54E6"/>
    <w:rsid w:val="7ABF3BA7"/>
    <w:rsid w:val="7ADA1D69"/>
    <w:rsid w:val="7AE85D59"/>
    <w:rsid w:val="7AF2025B"/>
    <w:rsid w:val="7B516C20"/>
    <w:rsid w:val="7B76228F"/>
    <w:rsid w:val="7B9100B6"/>
    <w:rsid w:val="7B9103EF"/>
    <w:rsid w:val="7B9649B6"/>
    <w:rsid w:val="7BA504EC"/>
    <w:rsid w:val="7BB04F0E"/>
    <w:rsid w:val="7BBC677E"/>
    <w:rsid w:val="7BD873E8"/>
    <w:rsid w:val="7BF135EE"/>
    <w:rsid w:val="7BFD37C8"/>
    <w:rsid w:val="7C0A237C"/>
    <w:rsid w:val="7C513B96"/>
    <w:rsid w:val="7C6C76BE"/>
    <w:rsid w:val="7C856238"/>
    <w:rsid w:val="7CC27F9D"/>
    <w:rsid w:val="7CCB768A"/>
    <w:rsid w:val="7CD26504"/>
    <w:rsid w:val="7CDE147C"/>
    <w:rsid w:val="7CF539D3"/>
    <w:rsid w:val="7CFD7EB9"/>
    <w:rsid w:val="7D392EEF"/>
    <w:rsid w:val="7D56125F"/>
    <w:rsid w:val="7D846B9F"/>
    <w:rsid w:val="7DDE1BA2"/>
    <w:rsid w:val="7DED38D9"/>
    <w:rsid w:val="7E030DD8"/>
    <w:rsid w:val="7E09456B"/>
    <w:rsid w:val="7E1518FF"/>
    <w:rsid w:val="7E166EA7"/>
    <w:rsid w:val="7E1F5661"/>
    <w:rsid w:val="7E41445B"/>
    <w:rsid w:val="7E804ECB"/>
    <w:rsid w:val="7E926046"/>
    <w:rsid w:val="7EAC3A17"/>
    <w:rsid w:val="7EEE3FC4"/>
    <w:rsid w:val="7F3C4DB8"/>
    <w:rsid w:val="7F8566A4"/>
    <w:rsid w:val="7F9054B1"/>
    <w:rsid w:val="7F91687D"/>
    <w:rsid w:val="7FC13C26"/>
    <w:rsid w:val="7FCA100D"/>
    <w:rsid w:val="7FCC7E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qFormat="1"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qFormat="1" w:uiPriority="99"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autoRedefine/>
    <w:qFormat/>
    <w:uiPriority w:val="0"/>
    <w:pPr>
      <w:spacing w:beforeAutospacing="1" w:afterAutospacing="1"/>
      <w:jc w:val="left"/>
      <w:outlineLvl w:val="0"/>
    </w:pPr>
    <w:rPr>
      <w:rFonts w:hint="eastAsia" w:ascii="宋体" w:hAnsi="宋体"/>
      <w:b/>
      <w:kern w:val="44"/>
      <w:sz w:val="48"/>
      <w:szCs w:val="48"/>
    </w:rPr>
  </w:style>
  <w:style w:type="paragraph" w:styleId="4">
    <w:name w:val="heading 3"/>
    <w:basedOn w:val="1"/>
    <w:next w:val="1"/>
    <w:link w:val="27"/>
    <w:autoRedefine/>
    <w:qFormat/>
    <w:uiPriority w:val="0"/>
    <w:pPr>
      <w:keepNext/>
      <w:keepLines/>
      <w:spacing w:before="260" w:after="260" w:line="416" w:lineRule="auto"/>
      <w:outlineLvl w:val="2"/>
    </w:pPr>
    <w:rPr>
      <w:b/>
      <w:bCs/>
      <w:sz w:val="32"/>
      <w:szCs w:val="32"/>
    </w:rPr>
  </w:style>
  <w:style w:type="character" w:default="1" w:styleId="18">
    <w:name w:val="Default Paragraph Font"/>
    <w:autoRedefine/>
    <w:semiHidden/>
    <w:unhideWhenUsed/>
    <w:qFormat/>
    <w:uiPriority w:val="1"/>
  </w:style>
  <w:style w:type="table" w:default="1" w:styleId="16">
    <w:name w:val="Normal Table"/>
    <w:autoRedefine/>
    <w:semiHidden/>
    <w:unhideWhenUsed/>
    <w:qFormat/>
    <w:uiPriority w:val="99"/>
    <w:tblPr>
      <w:tblCellMar>
        <w:top w:w="0" w:type="dxa"/>
        <w:left w:w="108" w:type="dxa"/>
        <w:bottom w:w="0" w:type="dxa"/>
        <w:right w:w="108" w:type="dxa"/>
      </w:tblCellMar>
    </w:tblPr>
  </w:style>
  <w:style w:type="paragraph" w:styleId="2">
    <w:name w:val="endnote text"/>
    <w:basedOn w:val="1"/>
    <w:link w:val="71"/>
    <w:autoRedefine/>
    <w:unhideWhenUsed/>
    <w:qFormat/>
    <w:uiPriority w:val="99"/>
    <w:pPr>
      <w:snapToGrid w:val="0"/>
    </w:pPr>
    <w:rPr>
      <w:rFonts w:ascii="Calibri" w:hAnsi="Calibri"/>
      <w:szCs w:val="24"/>
    </w:rPr>
  </w:style>
  <w:style w:type="paragraph" w:styleId="5">
    <w:name w:val="Document Map"/>
    <w:basedOn w:val="1"/>
    <w:autoRedefine/>
    <w:qFormat/>
    <w:uiPriority w:val="0"/>
    <w:pPr>
      <w:shd w:val="clear" w:color="auto" w:fill="000080"/>
    </w:pPr>
  </w:style>
  <w:style w:type="paragraph" w:styleId="6">
    <w:name w:val="annotation text"/>
    <w:basedOn w:val="1"/>
    <w:autoRedefine/>
    <w:qFormat/>
    <w:uiPriority w:val="0"/>
    <w:pPr>
      <w:jc w:val="left"/>
    </w:pPr>
  </w:style>
  <w:style w:type="paragraph" w:styleId="7">
    <w:name w:val="Body Text"/>
    <w:basedOn w:val="1"/>
    <w:autoRedefine/>
    <w:qFormat/>
    <w:uiPriority w:val="0"/>
    <w:pPr>
      <w:spacing w:after="120"/>
    </w:pPr>
  </w:style>
  <w:style w:type="paragraph" w:styleId="8">
    <w:name w:val="Date"/>
    <w:basedOn w:val="1"/>
    <w:next w:val="1"/>
    <w:link w:val="26"/>
    <w:autoRedefine/>
    <w:qFormat/>
    <w:uiPriority w:val="0"/>
    <w:pPr>
      <w:ind w:left="100" w:leftChars="2500"/>
    </w:pPr>
  </w:style>
  <w:style w:type="paragraph" w:styleId="9">
    <w:name w:val="Balloon Text"/>
    <w:basedOn w:val="1"/>
    <w:autoRedefine/>
    <w:qFormat/>
    <w:uiPriority w:val="0"/>
    <w:rPr>
      <w:sz w:val="18"/>
    </w:rPr>
  </w:style>
  <w:style w:type="paragraph" w:styleId="10">
    <w:name w:val="footer"/>
    <w:basedOn w:val="1"/>
    <w:link w:val="23"/>
    <w:autoRedefine/>
    <w:qFormat/>
    <w:uiPriority w:val="99"/>
    <w:pPr>
      <w:tabs>
        <w:tab w:val="center" w:pos="4153"/>
        <w:tab w:val="right" w:pos="8306"/>
      </w:tabs>
      <w:snapToGrid w:val="0"/>
      <w:ind w:right="100" w:rightChars="100"/>
      <w:jc w:val="right"/>
    </w:pPr>
    <w:rPr>
      <w:sz w:val="18"/>
    </w:rPr>
  </w:style>
  <w:style w:type="paragraph" w:styleId="11">
    <w:name w:val="header"/>
    <w:basedOn w:val="1"/>
    <w:link w:val="24"/>
    <w:autoRedefine/>
    <w:qFormat/>
    <w:uiPriority w:val="99"/>
    <w:pPr>
      <w:pBdr>
        <w:bottom w:val="single" w:color="auto" w:sz="6" w:space="1"/>
      </w:pBdr>
      <w:tabs>
        <w:tab w:val="center" w:pos="4153"/>
        <w:tab w:val="right" w:pos="8306"/>
      </w:tabs>
      <w:snapToGrid w:val="0"/>
      <w:jc w:val="center"/>
    </w:pPr>
    <w:rPr>
      <w:sz w:val="18"/>
    </w:rPr>
  </w:style>
  <w:style w:type="paragraph" w:styleId="12">
    <w:name w:val="footnote text"/>
    <w:basedOn w:val="1"/>
    <w:autoRedefine/>
    <w:qFormat/>
    <w:uiPriority w:val="0"/>
    <w:pPr>
      <w:snapToGrid w:val="0"/>
      <w:jc w:val="left"/>
    </w:pPr>
    <w:rPr>
      <w:sz w:val="18"/>
    </w:rPr>
  </w:style>
  <w:style w:type="paragraph" w:styleId="13">
    <w:name w:val="index 9"/>
    <w:basedOn w:val="1"/>
    <w:next w:val="1"/>
    <w:autoRedefine/>
    <w:qFormat/>
    <w:uiPriority w:val="0"/>
    <w:pPr>
      <w:widowControl/>
      <w:spacing w:after="200" w:line="276" w:lineRule="auto"/>
      <w:ind w:left="1890" w:hanging="210"/>
      <w:jc w:val="left"/>
    </w:pPr>
    <w:rPr>
      <w:rFonts w:ascii="Calibri" w:hAnsi="Calibri" w:eastAsiaTheme="minorEastAsia" w:cstheme="minorBidi"/>
      <w:kern w:val="0"/>
      <w:sz w:val="20"/>
    </w:rPr>
  </w:style>
  <w:style w:type="paragraph" w:styleId="14">
    <w:name w:val="annotation subject"/>
    <w:basedOn w:val="6"/>
    <w:next w:val="6"/>
    <w:autoRedefine/>
    <w:qFormat/>
    <w:uiPriority w:val="0"/>
    <w:rPr>
      <w:b/>
    </w:rPr>
  </w:style>
  <w:style w:type="paragraph" w:styleId="15">
    <w:name w:val="Body Text First Indent"/>
    <w:basedOn w:val="7"/>
    <w:autoRedefine/>
    <w:qFormat/>
    <w:uiPriority w:val="0"/>
    <w:pPr>
      <w:adjustRightInd w:val="0"/>
      <w:spacing w:after="0"/>
      <w:jc w:val="left"/>
      <w:textAlignment w:val="baseline"/>
    </w:pPr>
    <w:rPr>
      <w:rFonts w:ascii="宋体" w:hAnsi="宋体"/>
      <w:kern w:val="0"/>
    </w:rPr>
  </w:style>
  <w:style w:type="table" w:styleId="17">
    <w:name w:val="Table Grid"/>
    <w:basedOn w:val="16"/>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Strong"/>
    <w:basedOn w:val="18"/>
    <w:autoRedefine/>
    <w:qFormat/>
    <w:uiPriority w:val="0"/>
    <w:rPr>
      <w:b/>
    </w:rPr>
  </w:style>
  <w:style w:type="character" w:styleId="20">
    <w:name w:val="page number"/>
    <w:autoRedefine/>
    <w:qFormat/>
    <w:uiPriority w:val="0"/>
    <w:rPr>
      <w:rFonts w:ascii="Times New Roman" w:hAnsi="Times New Roman" w:eastAsia="宋体"/>
      <w:sz w:val="18"/>
    </w:rPr>
  </w:style>
  <w:style w:type="character" w:styleId="21">
    <w:name w:val="annotation reference"/>
    <w:autoRedefine/>
    <w:qFormat/>
    <w:uiPriority w:val="0"/>
    <w:rPr>
      <w:sz w:val="21"/>
    </w:rPr>
  </w:style>
  <w:style w:type="character" w:styleId="22">
    <w:name w:val="footnote reference"/>
    <w:autoRedefine/>
    <w:qFormat/>
    <w:uiPriority w:val="0"/>
    <w:rPr>
      <w:vertAlign w:val="superscript"/>
    </w:rPr>
  </w:style>
  <w:style w:type="character" w:customStyle="1" w:styleId="23">
    <w:name w:val="页脚 字符"/>
    <w:link w:val="10"/>
    <w:autoRedefine/>
    <w:qFormat/>
    <w:uiPriority w:val="99"/>
    <w:rPr>
      <w:kern w:val="2"/>
      <w:sz w:val="18"/>
    </w:rPr>
  </w:style>
  <w:style w:type="character" w:customStyle="1" w:styleId="24">
    <w:name w:val="页眉 字符"/>
    <w:link w:val="11"/>
    <w:autoRedefine/>
    <w:qFormat/>
    <w:uiPriority w:val="99"/>
    <w:rPr>
      <w:kern w:val="2"/>
      <w:sz w:val="18"/>
    </w:rPr>
  </w:style>
  <w:style w:type="character" w:customStyle="1" w:styleId="25">
    <w:name w:val="发布"/>
    <w:autoRedefine/>
    <w:qFormat/>
    <w:uiPriority w:val="0"/>
    <w:rPr>
      <w:rFonts w:ascii="黑体" w:eastAsia="黑体"/>
      <w:spacing w:val="22"/>
      <w:w w:val="100"/>
      <w:position w:val="3"/>
      <w:sz w:val="28"/>
    </w:rPr>
  </w:style>
  <w:style w:type="character" w:customStyle="1" w:styleId="26">
    <w:name w:val="日期 字符"/>
    <w:link w:val="8"/>
    <w:autoRedefine/>
    <w:qFormat/>
    <w:uiPriority w:val="0"/>
    <w:rPr>
      <w:kern w:val="2"/>
      <w:sz w:val="21"/>
    </w:rPr>
  </w:style>
  <w:style w:type="character" w:customStyle="1" w:styleId="27">
    <w:name w:val="标题 3 字符"/>
    <w:link w:val="4"/>
    <w:autoRedefine/>
    <w:semiHidden/>
    <w:qFormat/>
    <w:uiPriority w:val="0"/>
    <w:rPr>
      <w:b/>
      <w:bCs/>
      <w:kern w:val="2"/>
      <w:sz w:val="32"/>
      <w:szCs w:val="32"/>
    </w:rPr>
  </w:style>
  <w:style w:type="paragraph" w:customStyle="1" w:styleId="28">
    <w:name w:val="实施日期"/>
    <w:basedOn w:val="29"/>
    <w:autoRedefine/>
    <w:qFormat/>
    <w:uiPriority w:val="0"/>
    <w:pPr>
      <w:jc w:val="right"/>
    </w:pPr>
  </w:style>
  <w:style w:type="paragraph" w:customStyle="1" w:styleId="29">
    <w:name w:val="发布日期"/>
    <w:autoRedefine/>
    <w:qFormat/>
    <w:uiPriority w:val="0"/>
    <w:rPr>
      <w:rFonts w:ascii="Times New Roman" w:hAnsi="Times New Roman" w:eastAsia="黑体" w:cs="Times New Roman"/>
      <w:sz w:val="28"/>
      <w:lang w:val="en-US" w:eastAsia="zh-CN" w:bidi="ar-SA"/>
    </w:rPr>
  </w:style>
  <w:style w:type="paragraph" w:customStyle="1" w:styleId="30">
    <w:name w:val="_Style 37"/>
    <w:basedOn w:val="1"/>
    <w:next w:val="7"/>
    <w:autoRedefine/>
    <w:qFormat/>
    <w:uiPriority w:val="0"/>
    <w:pPr>
      <w:spacing w:after="120"/>
    </w:pPr>
  </w:style>
  <w:style w:type="paragraph" w:customStyle="1" w:styleId="31">
    <w:name w:val="正文表标题"/>
    <w:next w:val="32"/>
    <w:autoRedefine/>
    <w:qFormat/>
    <w:uiPriority w:val="0"/>
    <w:pPr>
      <w:ind w:left="4680"/>
      <w:jc w:val="center"/>
    </w:pPr>
    <w:rPr>
      <w:rFonts w:ascii="黑体" w:hAnsi="Times New Roman" w:eastAsia="黑体" w:cs="Times New Roman"/>
      <w:sz w:val="21"/>
      <w:lang w:val="en-US" w:eastAsia="zh-CN" w:bidi="ar-SA"/>
    </w:rPr>
  </w:style>
  <w:style w:type="paragraph" w:customStyle="1" w:styleId="32">
    <w:name w:val="段"/>
    <w:link w:val="67"/>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3">
    <w:name w:val="封面标准文稿编辑信息"/>
    <w:autoRedefine/>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34">
    <w:name w:val="附录五级条标题"/>
    <w:basedOn w:val="35"/>
    <w:next w:val="32"/>
    <w:autoRedefine/>
    <w:qFormat/>
    <w:uiPriority w:val="0"/>
    <w:pPr>
      <w:outlineLvl w:val="6"/>
    </w:pPr>
  </w:style>
  <w:style w:type="paragraph" w:customStyle="1" w:styleId="35">
    <w:name w:val="附录四级条标题"/>
    <w:basedOn w:val="36"/>
    <w:next w:val="32"/>
    <w:autoRedefine/>
    <w:qFormat/>
    <w:uiPriority w:val="0"/>
    <w:pPr>
      <w:outlineLvl w:val="5"/>
    </w:pPr>
  </w:style>
  <w:style w:type="paragraph" w:customStyle="1" w:styleId="36">
    <w:name w:val="附录三级条标题"/>
    <w:basedOn w:val="37"/>
    <w:next w:val="32"/>
    <w:autoRedefine/>
    <w:qFormat/>
    <w:uiPriority w:val="0"/>
    <w:pPr>
      <w:outlineLvl w:val="4"/>
    </w:pPr>
  </w:style>
  <w:style w:type="paragraph" w:customStyle="1" w:styleId="37">
    <w:name w:val="附录二级条标题"/>
    <w:basedOn w:val="38"/>
    <w:next w:val="32"/>
    <w:autoRedefine/>
    <w:qFormat/>
    <w:uiPriority w:val="0"/>
    <w:pPr>
      <w:outlineLvl w:val="3"/>
    </w:pPr>
  </w:style>
  <w:style w:type="paragraph" w:customStyle="1" w:styleId="38">
    <w:name w:val="附录一级条标题"/>
    <w:basedOn w:val="39"/>
    <w:next w:val="32"/>
    <w:autoRedefine/>
    <w:qFormat/>
    <w:uiPriority w:val="0"/>
    <w:pPr>
      <w:autoSpaceDN w:val="0"/>
      <w:spacing w:beforeLines="0" w:afterLines="0"/>
      <w:outlineLvl w:val="2"/>
    </w:pPr>
  </w:style>
  <w:style w:type="paragraph" w:customStyle="1" w:styleId="39">
    <w:name w:val="附录章标题"/>
    <w:next w:val="32"/>
    <w:autoRedefine/>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40">
    <w:name w:val="二级条标题"/>
    <w:basedOn w:val="41"/>
    <w:next w:val="32"/>
    <w:autoRedefine/>
    <w:qFormat/>
    <w:uiPriority w:val="0"/>
    <w:pPr>
      <w:outlineLvl w:val="3"/>
    </w:pPr>
  </w:style>
  <w:style w:type="paragraph" w:customStyle="1" w:styleId="41">
    <w:name w:val="一级条标题"/>
    <w:basedOn w:val="42"/>
    <w:next w:val="32"/>
    <w:autoRedefine/>
    <w:qFormat/>
    <w:uiPriority w:val="0"/>
    <w:pPr>
      <w:spacing w:beforeLines="0" w:afterLines="0"/>
      <w:outlineLvl w:val="2"/>
    </w:pPr>
  </w:style>
  <w:style w:type="paragraph" w:customStyle="1" w:styleId="42">
    <w:name w:val="章标题"/>
    <w:next w:val="32"/>
    <w:autoRedefine/>
    <w:qFormat/>
    <w:uiPriority w:val="0"/>
    <w:pPr>
      <w:spacing w:beforeLines="50" w:afterLines="50"/>
      <w:jc w:val="both"/>
      <w:outlineLvl w:val="1"/>
    </w:pPr>
    <w:rPr>
      <w:rFonts w:ascii="黑体" w:hAnsi="Times New Roman" w:eastAsia="黑体" w:cs="Times New Roman"/>
      <w:sz w:val="21"/>
      <w:lang w:val="en-US" w:eastAsia="zh-CN" w:bidi="ar-SA"/>
    </w:rPr>
  </w:style>
  <w:style w:type="paragraph" w:customStyle="1" w:styleId="43">
    <w:name w:val="封面标准文稿类别"/>
    <w:autoRedefine/>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44">
    <w:name w:val="封面一致性程度标识"/>
    <w:basedOn w:val="45"/>
    <w:autoRedefine/>
    <w:qFormat/>
    <w:uiPriority w:val="0"/>
    <w:pPr>
      <w:spacing w:before="440"/>
    </w:pPr>
    <w:rPr>
      <w:rFonts w:ascii="宋体"/>
    </w:rPr>
  </w:style>
  <w:style w:type="paragraph" w:customStyle="1" w:styleId="45">
    <w:name w:val="封面标准英文名称"/>
    <w:autoRedefine/>
    <w:qFormat/>
    <w:uiPriority w:val="0"/>
    <w:pPr>
      <w:widowControl w:val="0"/>
      <w:spacing w:before="370" w:line="400" w:lineRule="exact"/>
      <w:jc w:val="center"/>
    </w:pPr>
    <w:rPr>
      <w:rFonts w:ascii="Times New Roman" w:hAnsi="Times New Roman" w:eastAsia="宋体" w:cs="Times New Roman"/>
      <w:sz w:val="28"/>
      <w:lang w:val="en-US" w:eastAsia="zh-CN" w:bidi="ar-SA"/>
    </w:rPr>
  </w:style>
  <w:style w:type="paragraph" w:customStyle="1" w:styleId="46">
    <w:name w:val="目次、标准名称标题"/>
    <w:basedOn w:val="47"/>
    <w:next w:val="32"/>
    <w:autoRedefine/>
    <w:qFormat/>
    <w:uiPriority w:val="99"/>
    <w:pPr>
      <w:spacing w:line="460" w:lineRule="exact"/>
    </w:pPr>
  </w:style>
  <w:style w:type="paragraph" w:customStyle="1" w:styleId="47">
    <w:name w:val="前言、引言标题"/>
    <w:next w:val="1"/>
    <w:autoRedefine/>
    <w:qFormat/>
    <w:uiPriority w:val="0"/>
    <w:p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48">
    <w:name w:val="三级条标题"/>
    <w:basedOn w:val="40"/>
    <w:next w:val="32"/>
    <w:autoRedefine/>
    <w:qFormat/>
    <w:uiPriority w:val="0"/>
    <w:pPr>
      <w:outlineLvl w:val="4"/>
    </w:pPr>
  </w:style>
  <w:style w:type="paragraph" w:customStyle="1" w:styleId="49">
    <w:name w:val="四级条标题"/>
    <w:basedOn w:val="48"/>
    <w:next w:val="32"/>
    <w:autoRedefine/>
    <w:qFormat/>
    <w:uiPriority w:val="0"/>
    <w:pPr>
      <w:outlineLvl w:val="5"/>
    </w:pPr>
  </w:style>
  <w:style w:type="paragraph" w:customStyle="1" w:styleId="50">
    <w:name w:val="文献分类号"/>
    <w:autoRedefine/>
    <w:qFormat/>
    <w:uiPriority w:val="0"/>
    <w:pPr>
      <w:widowControl w:val="0"/>
      <w:textAlignment w:val="center"/>
    </w:pPr>
    <w:rPr>
      <w:rFonts w:ascii="Times New Roman" w:hAnsi="Times New Roman" w:eastAsia="黑体" w:cs="Times New Roman"/>
      <w:sz w:val="21"/>
      <w:lang w:val="en-US" w:eastAsia="zh-CN" w:bidi="ar-SA"/>
    </w:rPr>
  </w:style>
  <w:style w:type="paragraph" w:customStyle="1" w:styleId="51">
    <w:name w:val="五级条标题"/>
    <w:basedOn w:val="49"/>
    <w:next w:val="32"/>
    <w:autoRedefine/>
    <w:qFormat/>
    <w:uiPriority w:val="0"/>
    <w:pPr>
      <w:outlineLvl w:val="6"/>
    </w:pPr>
  </w:style>
  <w:style w:type="paragraph" w:customStyle="1" w:styleId="52">
    <w:name w:val="标准书脚_奇数页"/>
    <w:autoRedefine/>
    <w:qFormat/>
    <w:uiPriority w:val="0"/>
    <w:pPr>
      <w:spacing w:before="120"/>
      <w:jc w:val="right"/>
    </w:pPr>
    <w:rPr>
      <w:rFonts w:ascii="Times New Roman" w:hAnsi="Times New Roman" w:eastAsia="宋体" w:cs="Times New Roman"/>
      <w:sz w:val="18"/>
      <w:lang w:val="en-US" w:eastAsia="zh-CN" w:bidi="ar-SA"/>
    </w:rPr>
  </w:style>
  <w:style w:type="paragraph" w:customStyle="1" w:styleId="53">
    <w:name w:val="标准书眉_偶数页"/>
    <w:basedOn w:val="54"/>
    <w:next w:val="1"/>
    <w:autoRedefine/>
    <w:qFormat/>
    <w:uiPriority w:val="0"/>
    <w:pPr>
      <w:tabs>
        <w:tab w:val="center" w:pos="4154"/>
        <w:tab w:val="right" w:pos="8306"/>
      </w:tabs>
      <w:jc w:val="left"/>
    </w:pPr>
  </w:style>
  <w:style w:type="paragraph" w:customStyle="1" w:styleId="54">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55">
    <w:name w:val="篇"/>
    <w:basedOn w:val="1"/>
    <w:next w:val="1"/>
    <w:autoRedefine/>
    <w:qFormat/>
    <w:uiPriority w:val="0"/>
    <w:pPr>
      <w:adjustRightInd w:val="0"/>
      <w:spacing w:line="360" w:lineRule="atLeast"/>
      <w:jc w:val="center"/>
      <w:textAlignment w:val="baseline"/>
    </w:pPr>
    <w:rPr>
      <w:rFonts w:eastAsia="黑体"/>
      <w:kern w:val="0"/>
      <w:sz w:val="24"/>
    </w:rPr>
  </w:style>
  <w:style w:type="paragraph" w:customStyle="1" w:styleId="56">
    <w:name w:val="封面标准号1"/>
    <w:autoRedefine/>
    <w:qFormat/>
    <w:uiPriority w:val="0"/>
    <w:pPr>
      <w:widowControl w:val="0"/>
      <w:kinsoku w:val="0"/>
      <w:overflowPunct w:val="0"/>
      <w:autoSpaceDE w:val="0"/>
      <w:autoSpaceDN w:val="0"/>
      <w:spacing w:before="100" w:beforeAutospacing="1" w:after="100" w:afterAutospacing="1"/>
      <w:jc w:val="right"/>
      <w:textAlignment w:val="center"/>
    </w:pPr>
    <w:rPr>
      <w:rFonts w:ascii="Times New Roman" w:hAnsi="Times New Roman" w:eastAsia="宋体" w:cs="Times New Roman"/>
      <w:sz w:val="28"/>
      <w:lang w:val="en-US" w:eastAsia="zh-CN" w:bidi="ar-SA"/>
    </w:rPr>
  </w:style>
  <w:style w:type="paragraph" w:customStyle="1" w:styleId="57">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58">
    <w:name w:val="封面正文"/>
    <w:autoRedefine/>
    <w:qFormat/>
    <w:uiPriority w:val="0"/>
    <w:pPr>
      <w:jc w:val="both"/>
    </w:pPr>
    <w:rPr>
      <w:rFonts w:ascii="Times New Roman" w:hAnsi="Times New Roman" w:eastAsia="宋体" w:cs="Times New Roman"/>
      <w:lang w:val="en-US" w:eastAsia="zh-CN" w:bidi="ar-SA"/>
    </w:rPr>
  </w:style>
  <w:style w:type="paragraph" w:customStyle="1" w:styleId="59">
    <w:name w:val="封面标准名称"/>
    <w:autoRedefine/>
    <w:qFormat/>
    <w:uiPriority w:val="0"/>
    <w:pPr>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60">
    <w:name w:val="附录标识"/>
    <w:basedOn w:val="47"/>
    <w:autoRedefine/>
    <w:qFormat/>
    <w:uiPriority w:val="0"/>
    <w:pPr>
      <w:tabs>
        <w:tab w:val="left" w:pos="6405"/>
      </w:tabs>
      <w:spacing w:after="200"/>
    </w:pPr>
    <w:rPr>
      <w:sz w:val="21"/>
    </w:rPr>
  </w:style>
  <w:style w:type="paragraph" w:customStyle="1" w:styleId="61">
    <w:name w:val="发布部门"/>
    <w:next w:val="32"/>
    <w:autoRedefine/>
    <w:qFormat/>
    <w:uiPriority w:val="0"/>
    <w:pPr>
      <w:jc w:val="center"/>
    </w:pPr>
    <w:rPr>
      <w:rFonts w:ascii="宋体" w:hAnsi="Times New Roman" w:eastAsia="宋体" w:cs="Times New Roman"/>
      <w:b/>
      <w:spacing w:val="20"/>
      <w:w w:val="135"/>
      <w:sz w:val="36"/>
      <w:lang w:val="en-US" w:eastAsia="zh-CN" w:bidi="ar-SA"/>
    </w:rPr>
  </w:style>
  <w:style w:type="paragraph" w:customStyle="1" w:styleId="62">
    <w:name w:val="标准书脚_偶数页"/>
    <w:autoRedefine/>
    <w:qFormat/>
    <w:uiPriority w:val="0"/>
    <w:pPr>
      <w:spacing w:before="120"/>
    </w:pPr>
    <w:rPr>
      <w:rFonts w:ascii="Times New Roman" w:hAnsi="Times New Roman" w:eastAsia="宋体" w:cs="Times New Roman"/>
      <w:sz w:val="18"/>
      <w:lang w:val="en-US" w:eastAsia="zh-CN" w:bidi="ar-SA"/>
    </w:rPr>
  </w:style>
  <w:style w:type="paragraph" w:customStyle="1" w:styleId="63">
    <w:name w:val="标准称谓"/>
    <w:next w:val="1"/>
    <w:autoRedefine/>
    <w:qFormat/>
    <w:uiPriority w:val="0"/>
    <w:pPr>
      <w:widowControl w:val="0"/>
      <w:kinsoku w:val="0"/>
      <w:overflowPunct w:val="0"/>
      <w:autoSpaceDE w:val="0"/>
      <w:autoSpaceDN w:val="0"/>
      <w:spacing w:line="0" w:lineRule="atLeast"/>
      <w:jc w:val="distribute"/>
    </w:pPr>
    <w:rPr>
      <w:rFonts w:ascii="宋体" w:hAnsi="Times New Roman" w:eastAsia="宋体" w:cs="Times New Roman"/>
      <w:b/>
      <w:spacing w:val="20"/>
      <w:w w:val="148"/>
      <w:sz w:val="52"/>
      <w:lang w:val="en-US" w:eastAsia="zh-CN" w:bidi="ar-SA"/>
    </w:rPr>
  </w:style>
  <w:style w:type="paragraph" w:customStyle="1" w:styleId="64">
    <w:name w:val="标准书眉一"/>
    <w:autoRedefine/>
    <w:qFormat/>
    <w:uiPriority w:val="0"/>
    <w:pPr>
      <w:jc w:val="both"/>
    </w:pPr>
    <w:rPr>
      <w:rFonts w:ascii="Times New Roman" w:hAnsi="Times New Roman" w:eastAsia="宋体" w:cs="Times New Roman"/>
      <w:lang w:val="en-US" w:eastAsia="zh-CN" w:bidi="ar-SA"/>
    </w:rPr>
  </w:style>
  <w:style w:type="character" w:styleId="65">
    <w:name w:val="Placeholder Text"/>
    <w:basedOn w:val="18"/>
    <w:autoRedefine/>
    <w:unhideWhenUsed/>
    <w:qFormat/>
    <w:uiPriority w:val="99"/>
    <w:rPr>
      <w:color w:val="808080"/>
    </w:rPr>
  </w:style>
  <w:style w:type="character" w:customStyle="1" w:styleId="66">
    <w:name w:val="apple-converted-space"/>
    <w:basedOn w:val="18"/>
    <w:autoRedefine/>
    <w:qFormat/>
    <w:uiPriority w:val="0"/>
  </w:style>
  <w:style w:type="character" w:customStyle="1" w:styleId="67">
    <w:name w:val="段 Char"/>
    <w:link w:val="32"/>
    <w:autoRedefine/>
    <w:qFormat/>
    <w:uiPriority w:val="0"/>
    <w:rPr>
      <w:rFonts w:ascii="宋体"/>
      <w:sz w:val="21"/>
    </w:rPr>
  </w:style>
  <w:style w:type="paragraph" w:customStyle="1" w:styleId="68">
    <w:name w:val="Body text|2"/>
    <w:basedOn w:val="1"/>
    <w:link w:val="70"/>
    <w:autoRedefine/>
    <w:qFormat/>
    <w:uiPriority w:val="0"/>
    <w:pPr>
      <w:shd w:val="clear" w:color="auto" w:fill="FFFFFF"/>
      <w:spacing w:after="3760" w:line="222" w:lineRule="exact"/>
      <w:jc w:val="right"/>
    </w:pPr>
    <w:rPr>
      <w:rFonts w:ascii="PMingLiU" w:hAnsi="PMingLiU" w:eastAsia="PMingLiU" w:cs="PMingLiU"/>
      <w:spacing w:val="20"/>
      <w:sz w:val="18"/>
      <w:szCs w:val="18"/>
    </w:rPr>
  </w:style>
  <w:style w:type="character" w:customStyle="1" w:styleId="69">
    <w:name w:val="Body text|2 + Times New Roman"/>
    <w:basedOn w:val="70"/>
    <w:autoRedefine/>
    <w:unhideWhenUsed/>
    <w:qFormat/>
    <w:uiPriority w:val="0"/>
    <w:rPr>
      <w:rFonts w:ascii="Times New Roman" w:hAnsi="Times New Roman" w:eastAsia="Times New Roman" w:cs="Times New Roman"/>
      <w:color w:val="000000"/>
      <w:spacing w:val="10"/>
      <w:w w:val="100"/>
      <w:position w:val="0"/>
      <w:sz w:val="20"/>
      <w:szCs w:val="20"/>
      <w:u w:val="none"/>
      <w:lang w:val="en-US" w:eastAsia="en-US" w:bidi="en-US"/>
    </w:rPr>
  </w:style>
  <w:style w:type="character" w:customStyle="1" w:styleId="70">
    <w:name w:val="Body text|2_"/>
    <w:basedOn w:val="18"/>
    <w:link w:val="68"/>
    <w:autoRedefine/>
    <w:qFormat/>
    <w:uiPriority w:val="0"/>
    <w:rPr>
      <w:rFonts w:ascii="PMingLiU" w:hAnsi="PMingLiU" w:eastAsia="PMingLiU" w:cs="PMingLiU"/>
      <w:spacing w:val="20"/>
      <w:sz w:val="18"/>
      <w:szCs w:val="18"/>
      <w:u w:val="none"/>
    </w:rPr>
  </w:style>
  <w:style w:type="character" w:customStyle="1" w:styleId="71">
    <w:name w:val="尾注文本 字符"/>
    <w:link w:val="2"/>
    <w:autoRedefine/>
    <w:qFormat/>
    <w:uiPriority w:val="99"/>
    <w:rPr>
      <w:kern w:val="2"/>
      <w:sz w:val="21"/>
      <w:szCs w:val="24"/>
    </w:rPr>
  </w:style>
  <w:style w:type="paragraph" w:customStyle="1" w:styleId="72">
    <w:name w:val="Table Paragraph"/>
    <w:basedOn w:val="1"/>
    <w:autoRedefine/>
    <w:qFormat/>
    <w:uiPriority w:val="1"/>
    <w:pPr>
      <w:autoSpaceDE w:val="0"/>
      <w:autoSpaceDN w:val="0"/>
      <w:jc w:val="left"/>
    </w:pPr>
    <w:rPr>
      <w:rFonts w:ascii="宋体" w:hAnsi="宋体" w:cs="宋体"/>
      <w:kern w:val="0"/>
      <w:sz w:val="22"/>
      <w:szCs w:val="22"/>
      <w:lang w:val="zh-CN" w:bidi="zh-CN"/>
    </w:rPr>
  </w:style>
  <w:style w:type="character" w:customStyle="1" w:styleId="73">
    <w:name w:val="font61"/>
    <w:basedOn w:val="18"/>
    <w:autoRedefine/>
    <w:qFormat/>
    <w:uiPriority w:val="0"/>
    <w:rPr>
      <w:rFonts w:hint="default" w:ascii="Times New Roman" w:hAnsi="Times New Roman" w:cs="Times New Roman"/>
      <w:color w:val="000000"/>
      <w:sz w:val="24"/>
      <w:szCs w:val="24"/>
      <w:u w:val="none"/>
    </w:rPr>
  </w:style>
  <w:style w:type="character" w:customStyle="1" w:styleId="74">
    <w:name w:val="font51"/>
    <w:basedOn w:val="18"/>
    <w:autoRedefine/>
    <w:qFormat/>
    <w:uiPriority w:val="0"/>
    <w:rPr>
      <w:rFonts w:hint="eastAsia" w:ascii="宋体" w:hAnsi="宋体" w:eastAsia="宋体" w:cs="宋体"/>
      <w:color w:val="000000"/>
      <w:sz w:val="24"/>
      <w:szCs w:val="24"/>
      <w:u w:val="none"/>
    </w:rPr>
  </w:style>
  <w:style w:type="character" w:customStyle="1" w:styleId="75">
    <w:name w:val="font21"/>
    <w:basedOn w:val="18"/>
    <w:autoRedefine/>
    <w:qFormat/>
    <w:uiPriority w:val="0"/>
    <w:rPr>
      <w:rFonts w:hint="default" w:ascii="Times New Roman" w:hAnsi="Times New Roman" w:cs="Times New Roman"/>
      <w:color w:val="000000"/>
      <w:sz w:val="24"/>
      <w:szCs w:val="24"/>
      <w:u w:val="none"/>
      <w:vertAlign w:val="subscript"/>
    </w:rPr>
  </w:style>
  <w:style w:type="character" w:customStyle="1" w:styleId="76">
    <w:name w:val="font11"/>
    <w:basedOn w:val="18"/>
    <w:autoRedefine/>
    <w:qFormat/>
    <w:uiPriority w:val="0"/>
    <w:rPr>
      <w:rFonts w:hint="default" w:ascii="Times New Roman" w:hAnsi="Times New Roman" w:cs="Times New Roman"/>
      <w:color w:val="000000"/>
      <w:sz w:val="24"/>
      <w:szCs w:val="24"/>
      <w:u w:val="none"/>
      <w:vertAlign w:val="superscript"/>
    </w:rPr>
  </w:style>
  <w:style w:type="paragraph" w:customStyle="1" w:styleId="77">
    <w:name w:val="标准文件_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78">
    <w:name w:val="标准文件_章标题"/>
    <w:next w:val="77"/>
    <w:autoRedefine/>
    <w:qFormat/>
    <w:uiPriority w:val="0"/>
    <w:pPr>
      <w:numPr>
        <w:ilvl w:val="1"/>
        <w:numId w:val="1"/>
      </w:numPr>
      <w:spacing w:before="100" w:beforeLines="100" w:after="100" w:afterLines="100"/>
      <w:jc w:val="both"/>
      <w:outlineLvl w:val="0"/>
    </w:pPr>
    <w:rPr>
      <w:rFonts w:ascii="黑体" w:hAnsi="Times New Roman" w:eastAsia="黑体" w:cs="Times New Roman"/>
      <w:sz w:val="21"/>
      <w:lang w:val="en-US" w:eastAsia="zh-CN" w:bidi="ar-SA"/>
    </w:rPr>
  </w:style>
  <w:style w:type="paragraph" w:styleId="79">
    <w:name w:val="List Paragraph"/>
    <w:basedOn w:val="1"/>
    <w:autoRedefine/>
    <w:qFormat/>
    <w:uiPriority w:val="34"/>
    <w:pPr>
      <w:widowControl w:val="0"/>
      <w:ind w:firstLine="420" w:firstLineChars="200"/>
      <w:jc w:val="both"/>
    </w:pPr>
    <w:rPr>
      <w:kern w:val="2"/>
      <w:sz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DD68737-E4E2-4410-8041-3303DC013B18}">
  <ds:schemaRefs/>
</ds:datastoreItem>
</file>

<file path=docProps/app.xml><?xml version="1.0" encoding="utf-8"?>
<Properties xmlns="http://schemas.openxmlformats.org/officeDocument/2006/extended-properties" xmlns:vt="http://schemas.openxmlformats.org/officeDocument/2006/docPropsVTypes">
  <Template>Normal.dotm</Template>
  <Company>mgl</Company>
  <Pages>8</Pages>
  <Words>533</Words>
  <Characters>3039</Characters>
  <Lines>25</Lines>
  <Paragraphs>7</Paragraphs>
  <TotalTime>10</TotalTime>
  <ScaleCrop>false</ScaleCrop>
  <LinksUpToDate>false</LinksUpToDate>
  <CharactersWithSpaces>3565</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2020-07-28T07:18:00Z</dcterms:created>
  <dc:creator>mgl</dc:creator>
  <cp:lastModifiedBy>演示人</cp:lastModifiedBy>
  <cp:lastPrinted>2020-08-24T02:31:00Z</cp:lastPrinted>
  <dcterms:modified xsi:type="dcterms:W3CDTF">2024-03-29T09:34:58Z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A342BAC3F88046498CC491615C7B09F5_13</vt:lpwstr>
  </property>
</Properties>
</file>