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00" w:lineRule="exact"/>
        <w:jc w:val="both"/>
        <w:rPr>
          <w:b/>
          <w:bCs/>
          <w:sz w:val="32"/>
          <w:szCs w:val="32"/>
        </w:rPr>
      </w:pPr>
    </w:p>
    <w:p>
      <w:pPr>
        <w:widowControl w:val="0"/>
        <w:spacing w:line="360" w:lineRule="auto"/>
        <w:jc w:val="center"/>
        <w:outlineLvl w:val="0"/>
        <w:rPr>
          <w:b/>
          <w:bCs/>
          <w:sz w:val="48"/>
          <w:szCs w:val="48"/>
        </w:rPr>
      </w:pPr>
    </w:p>
    <w:p>
      <w:pPr>
        <w:widowControl w:val="0"/>
        <w:spacing w:line="360" w:lineRule="auto"/>
        <w:jc w:val="center"/>
        <w:outlineLvl w:val="0"/>
        <w:rPr>
          <w:rFonts w:hint="eastAsia" w:eastAsia="宋体"/>
          <w:b/>
          <w:bCs/>
          <w:sz w:val="48"/>
          <w:szCs w:val="48"/>
          <w:lang w:val="en-US" w:eastAsia="zh-CN"/>
        </w:rPr>
      </w:pPr>
      <w:r>
        <w:rPr>
          <w:rFonts w:hint="eastAsia"/>
          <w:b/>
          <w:bCs/>
          <w:sz w:val="48"/>
          <w:szCs w:val="48"/>
        </w:rPr>
        <w:t>钠离子电池用正极材料</w:t>
      </w:r>
      <w:r>
        <w:rPr>
          <w:rFonts w:hint="eastAsia"/>
          <w:b/>
          <w:bCs/>
          <w:sz w:val="48"/>
          <w:szCs w:val="48"/>
          <w:lang w:val="en-US" w:eastAsia="zh-CN"/>
        </w:rPr>
        <w:t xml:space="preserve"> 铜铁锰酸钠</w:t>
      </w:r>
    </w:p>
    <w:p>
      <w:pPr>
        <w:spacing w:line="360" w:lineRule="auto"/>
        <w:jc w:val="center"/>
        <w:rPr>
          <w:b/>
          <w:sz w:val="44"/>
        </w:rPr>
      </w:pPr>
    </w:p>
    <w:p>
      <w:pPr>
        <w:spacing w:line="360" w:lineRule="auto"/>
        <w:jc w:val="center"/>
        <w:rPr>
          <w:b/>
          <w:sz w:val="44"/>
        </w:rPr>
      </w:pPr>
    </w:p>
    <w:p>
      <w:pPr>
        <w:spacing w:line="360" w:lineRule="auto"/>
        <w:jc w:val="center"/>
        <w:rPr>
          <w:b/>
          <w:sz w:val="44"/>
        </w:rPr>
      </w:pPr>
      <w:r>
        <w:rPr>
          <w:rFonts w:hint="eastAsia"/>
          <w:b/>
          <w:sz w:val="44"/>
        </w:rPr>
        <w:t>编</w:t>
      </w:r>
    </w:p>
    <w:p>
      <w:pPr>
        <w:spacing w:line="360" w:lineRule="auto"/>
        <w:jc w:val="center"/>
        <w:rPr>
          <w:b/>
          <w:sz w:val="44"/>
        </w:rPr>
      </w:pPr>
      <w:r>
        <w:rPr>
          <w:rFonts w:hint="eastAsia"/>
          <w:b/>
          <w:sz w:val="44"/>
        </w:rPr>
        <w:t>制</w:t>
      </w:r>
    </w:p>
    <w:p>
      <w:pPr>
        <w:spacing w:line="360" w:lineRule="auto"/>
        <w:jc w:val="center"/>
        <w:rPr>
          <w:b/>
          <w:sz w:val="44"/>
        </w:rPr>
      </w:pPr>
      <w:r>
        <w:rPr>
          <w:rFonts w:hint="eastAsia"/>
          <w:b/>
          <w:sz w:val="44"/>
        </w:rPr>
        <w:t>说</w:t>
      </w:r>
    </w:p>
    <w:p>
      <w:pPr>
        <w:spacing w:line="360" w:lineRule="auto"/>
        <w:jc w:val="center"/>
        <w:rPr>
          <w:b/>
          <w:sz w:val="44"/>
        </w:rPr>
      </w:pPr>
      <w:r>
        <w:rPr>
          <w:rFonts w:hint="eastAsia"/>
          <w:b/>
          <w:sz w:val="44"/>
        </w:rPr>
        <w:t>明</w:t>
      </w:r>
    </w:p>
    <w:p>
      <w:pPr>
        <w:widowControl w:val="0"/>
        <w:spacing w:line="500" w:lineRule="exact"/>
        <w:jc w:val="center"/>
      </w:pPr>
    </w:p>
    <w:p>
      <w:pPr>
        <w:widowControl w:val="0"/>
        <w:spacing w:line="360" w:lineRule="auto"/>
        <w:jc w:val="center"/>
        <w:rPr>
          <w:b/>
          <w:bCs/>
          <w:sz w:val="52"/>
          <w:szCs w:val="52"/>
        </w:rPr>
      </w:pPr>
      <w:r>
        <w:rPr>
          <w:sz w:val="44"/>
          <w:szCs w:val="44"/>
        </w:rPr>
        <w:t>（</w:t>
      </w:r>
      <w:r>
        <w:rPr>
          <w:rFonts w:hint="eastAsia"/>
          <w:sz w:val="44"/>
          <w:szCs w:val="44"/>
        </w:rPr>
        <w:t>征求意见稿</w:t>
      </w:r>
      <w:r>
        <w:rPr>
          <w:sz w:val="44"/>
          <w:szCs w:val="44"/>
        </w:rPr>
        <w:t>）</w:t>
      </w:r>
    </w:p>
    <w:p>
      <w:pPr>
        <w:widowControl w:val="0"/>
        <w:spacing w:line="500" w:lineRule="exact"/>
        <w:jc w:val="center"/>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500" w:lineRule="exact"/>
        <w:jc w:val="both"/>
      </w:pPr>
    </w:p>
    <w:p>
      <w:pPr>
        <w:widowControl w:val="0"/>
        <w:spacing w:line="360" w:lineRule="auto"/>
        <w:jc w:val="center"/>
        <w:outlineLvl w:val="0"/>
        <w:rPr>
          <w:b/>
          <w:bCs/>
          <w:sz w:val="36"/>
          <w:szCs w:val="36"/>
        </w:rPr>
      </w:pPr>
      <w:r>
        <w:rPr>
          <w:rFonts w:hint="eastAsia"/>
          <w:b/>
          <w:bCs/>
          <w:sz w:val="36"/>
          <w:szCs w:val="36"/>
        </w:rPr>
        <w:t>天津巴莫科技有限责任公司</w:t>
      </w:r>
    </w:p>
    <w:p>
      <w:pPr>
        <w:widowControl w:val="0"/>
        <w:spacing w:line="360" w:lineRule="auto"/>
        <w:jc w:val="center"/>
        <w:outlineLvl w:val="0"/>
        <w:rPr>
          <w:b/>
          <w:bCs/>
          <w:sz w:val="36"/>
          <w:szCs w:val="36"/>
        </w:rPr>
        <w:sectPr>
          <w:footerReference r:id="rId3" w:type="default"/>
          <w:footerReference r:id="rId4" w:type="even"/>
          <w:pgSz w:w="11906" w:h="16838"/>
          <w:pgMar w:top="1440" w:right="1080" w:bottom="1440" w:left="1080" w:header="992" w:footer="720" w:gutter="284"/>
          <w:pgNumType w:start="1"/>
          <w:cols w:space="720" w:num="1"/>
          <w:titlePg/>
          <w:docGrid w:linePitch="326" w:charSpace="0"/>
        </w:sectPr>
      </w:pPr>
      <w:r>
        <w:rPr>
          <w:b/>
          <w:bCs/>
          <w:sz w:val="36"/>
          <w:szCs w:val="36"/>
        </w:rPr>
        <w:t>202</w:t>
      </w:r>
      <w:r>
        <w:rPr>
          <w:rFonts w:hint="eastAsia"/>
          <w:b/>
          <w:bCs/>
          <w:sz w:val="36"/>
          <w:szCs w:val="36"/>
          <w:lang w:val="en-US" w:eastAsia="zh-CN"/>
        </w:rPr>
        <w:t>4</w:t>
      </w:r>
      <w:r>
        <w:rPr>
          <w:b/>
          <w:bCs/>
          <w:sz w:val="36"/>
          <w:szCs w:val="36"/>
        </w:rPr>
        <w:t>年</w:t>
      </w:r>
      <w:r>
        <w:rPr>
          <w:rFonts w:hint="eastAsia"/>
          <w:b/>
          <w:bCs/>
          <w:sz w:val="36"/>
          <w:szCs w:val="36"/>
          <w:lang w:val="en-US" w:eastAsia="zh-CN"/>
        </w:rPr>
        <w:t>4</w:t>
      </w:r>
      <w:r>
        <w:rPr>
          <w:b/>
          <w:bCs/>
          <w:sz w:val="36"/>
          <w:szCs w:val="36"/>
        </w:rPr>
        <w:t>月</w:t>
      </w:r>
    </w:p>
    <w:p>
      <w:pPr>
        <w:widowControl w:val="0"/>
        <w:spacing w:line="440" w:lineRule="exact"/>
        <w:jc w:val="center"/>
        <w:outlineLvl w:val="0"/>
        <w:rPr>
          <w:rFonts w:hint="eastAsia" w:eastAsia="宋体"/>
          <w:b/>
          <w:bCs/>
          <w:sz w:val="28"/>
          <w:szCs w:val="28"/>
          <w:lang w:eastAsia="zh-CN"/>
        </w:rPr>
      </w:pPr>
      <w:r>
        <w:rPr>
          <w:rFonts w:hint="eastAsia"/>
          <w:b/>
          <w:bCs/>
          <w:sz w:val="28"/>
          <w:szCs w:val="28"/>
        </w:rPr>
        <w:t>钠离子电池用正极材料</w:t>
      </w:r>
      <w:r>
        <w:rPr>
          <w:rFonts w:hint="eastAsia"/>
          <w:b/>
          <w:bCs/>
          <w:sz w:val="28"/>
          <w:szCs w:val="28"/>
          <w:lang w:val="en-US" w:eastAsia="zh-CN"/>
        </w:rPr>
        <w:t xml:space="preserve"> </w:t>
      </w:r>
      <w:r>
        <w:rPr>
          <w:rFonts w:hint="eastAsia"/>
          <w:b/>
          <w:bCs/>
          <w:sz w:val="28"/>
          <w:szCs w:val="28"/>
          <w:lang w:eastAsia="zh-CN"/>
        </w:rPr>
        <w:t>铜铁锰酸钠</w:t>
      </w:r>
    </w:p>
    <w:p>
      <w:pPr>
        <w:widowControl w:val="0"/>
        <w:spacing w:line="440" w:lineRule="exact"/>
        <w:jc w:val="center"/>
        <w:outlineLvl w:val="0"/>
        <w:rPr>
          <w:b/>
          <w:bCs/>
          <w:sz w:val="28"/>
          <w:szCs w:val="28"/>
        </w:rPr>
      </w:pPr>
      <w:r>
        <w:rPr>
          <w:rFonts w:hint="eastAsia"/>
          <w:b/>
          <w:bCs/>
          <w:sz w:val="28"/>
          <w:szCs w:val="28"/>
        </w:rPr>
        <w:t>协会标准</w:t>
      </w:r>
      <w:r>
        <w:rPr>
          <w:b/>
          <w:bCs/>
          <w:sz w:val="28"/>
          <w:szCs w:val="28"/>
        </w:rPr>
        <w:t>编制说明</w:t>
      </w:r>
    </w:p>
    <w:p>
      <w:pPr>
        <w:widowControl w:val="0"/>
        <w:spacing w:line="440" w:lineRule="exact"/>
        <w:jc w:val="center"/>
        <w:outlineLvl w:val="0"/>
        <w:rPr>
          <w:b/>
          <w:bCs/>
          <w:sz w:val="28"/>
          <w:szCs w:val="28"/>
        </w:rPr>
      </w:pPr>
      <w:r>
        <w:rPr>
          <w:rFonts w:hint="eastAsia"/>
          <w:b/>
          <w:bCs/>
          <w:sz w:val="28"/>
          <w:szCs w:val="28"/>
        </w:rPr>
        <w:t>（征求意见稿）</w:t>
      </w:r>
    </w:p>
    <w:p>
      <w:pPr>
        <w:widowControl w:val="0"/>
        <w:spacing w:before="156" w:beforeLines="50" w:after="312" w:afterLines="100"/>
        <w:jc w:val="both"/>
        <w:outlineLvl w:val="0"/>
        <w:rPr>
          <w:b/>
          <w:bCs/>
        </w:rPr>
      </w:pPr>
      <w:r>
        <w:rPr>
          <w:b/>
          <w:bCs/>
        </w:rPr>
        <w:t>一、工作简况</w:t>
      </w:r>
    </w:p>
    <w:p>
      <w:pPr>
        <w:widowControl w:val="0"/>
        <w:spacing w:after="156" w:afterLines="50"/>
        <w:jc w:val="both"/>
        <w:outlineLvl w:val="1"/>
        <w:rPr>
          <w:b/>
          <w:bCs/>
          <w:sz w:val="21"/>
          <w:szCs w:val="21"/>
        </w:rPr>
      </w:pPr>
      <w:r>
        <w:rPr>
          <w:b/>
          <w:bCs/>
          <w:sz w:val="21"/>
          <w:szCs w:val="21"/>
        </w:rPr>
        <w:t>1.1 任务来源</w:t>
      </w:r>
    </w:p>
    <w:p>
      <w:pPr>
        <w:ind w:firstLine="420" w:firstLineChars="200"/>
        <w:jc w:val="both"/>
        <w:rPr>
          <w:sz w:val="21"/>
          <w:szCs w:val="21"/>
        </w:rPr>
      </w:pPr>
      <w:r>
        <w:rPr>
          <w:rFonts w:hint="eastAsia"/>
          <w:sz w:val="21"/>
          <w:szCs w:val="21"/>
        </w:rPr>
        <w:t>根据工信部《关于下达2023年第四批协会标准制修订计划的通知》（中色协科字〔2023)95号）精神，由天津巴莫科技有限责任公司负责起草制定《钠离子电池用正极材料 铜铁锰酸钠》行业标准，项目计划号：2023-03</w:t>
      </w:r>
      <w:r>
        <w:rPr>
          <w:rFonts w:hint="eastAsia"/>
          <w:sz w:val="21"/>
          <w:szCs w:val="21"/>
          <w:lang w:val="en-US" w:eastAsia="zh-CN"/>
        </w:rPr>
        <w:t>4</w:t>
      </w:r>
      <w:r>
        <w:rPr>
          <w:rFonts w:hint="eastAsia"/>
          <w:sz w:val="21"/>
          <w:szCs w:val="21"/>
        </w:rPr>
        <w:t>-T/CNIA，计划完成年限2024年。</w:t>
      </w:r>
    </w:p>
    <w:p>
      <w:pPr>
        <w:widowControl w:val="0"/>
        <w:spacing w:before="156" w:beforeLines="50" w:after="156" w:afterLines="50"/>
        <w:jc w:val="both"/>
        <w:outlineLvl w:val="1"/>
        <w:rPr>
          <w:b/>
          <w:bCs/>
          <w:sz w:val="21"/>
          <w:szCs w:val="21"/>
        </w:rPr>
      </w:pPr>
      <w:r>
        <w:rPr>
          <w:b/>
          <w:bCs/>
          <w:sz w:val="21"/>
          <w:szCs w:val="21"/>
        </w:rPr>
        <w:t>1.</w:t>
      </w:r>
      <w:r>
        <w:rPr>
          <w:rFonts w:hint="eastAsia"/>
          <w:b/>
          <w:bCs/>
          <w:sz w:val="21"/>
          <w:szCs w:val="21"/>
        </w:rPr>
        <w:t>2</w:t>
      </w:r>
      <w:r>
        <w:rPr>
          <w:b/>
          <w:bCs/>
          <w:sz w:val="21"/>
          <w:szCs w:val="21"/>
        </w:rPr>
        <w:t xml:space="preserve"> 主</w:t>
      </w:r>
      <w:r>
        <w:rPr>
          <w:rFonts w:hint="eastAsia"/>
          <w:b/>
          <w:bCs/>
          <w:sz w:val="21"/>
          <w:szCs w:val="21"/>
        </w:rPr>
        <w:t>起草</w:t>
      </w:r>
      <w:r>
        <w:rPr>
          <w:b/>
          <w:bCs/>
          <w:sz w:val="21"/>
          <w:szCs w:val="21"/>
        </w:rPr>
        <w:t>单位</w:t>
      </w:r>
      <w:r>
        <w:rPr>
          <w:rFonts w:hint="eastAsia"/>
          <w:b/>
          <w:bCs/>
          <w:sz w:val="21"/>
          <w:szCs w:val="21"/>
        </w:rPr>
        <w:t>简介</w:t>
      </w:r>
    </w:p>
    <w:p>
      <w:pPr>
        <w:widowControl w:val="0"/>
        <w:spacing w:before="156" w:beforeLines="50" w:after="156" w:afterLines="50"/>
        <w:ind w:firstLine="420" w:firstLineChars="200"/>
        <w:jc w:val="both"/>
        <w:outlineLvl w:val="1"/>
        <w:rPr>
          <w:rFonts w:hint="eastAsia" w:ascii="宋体" w:hAnsi="宋体" w:cs="Times"/>
          <w:color w:val="000000" w:themeColor="text1"/>
          <w:sz w:val="21"/>
          <w:szCs w:val="21"/>
          <w14:textFill>
            <w14:solidFill>
              <w14:schemeClr w14:val="tx1"/>
            </w14:solidFill>
          </w14:textFill>
        </w:rPr>
      </w:pPr>
      <w:r>
        <w:rPr>
          <w:rFonts w:hint="eastAsia" w:ascii="Times New Roman" w:hAnsi="Times New Roman" w:eastAsia="宋体" w:cs="Times New Roman"/>
          <w:sz w:val="21"/>
          <w:szCs w:val="21"/>
        </w:rPr>
        <w:t>天津巴莫科技有限责任公司（简称“巴莫科技”）成立于2002年8月，注册资本20731.9289万元，是主要从事高端绿色环保锂离子电池正极材料的研究、开发与产业化的科技领军企业。历经二十余年的发展，公司已成为技术力量领先、生产规模较大、国内综合实力较强的锂离子电池材料研发、生产中心，总体产能达到10万吨/年，产能及销量均位于国内正极材料行业领先水平。巴莫科技建有国家企业技术中心、博士后科研工作站、天津市先进锂离子电池材料企业重点实验室、天津市工程研究中心等科研平台，研发实力雄厚；并荣获国家高新技术企业、国家技术创新示范企业、国家工业产品绿色设计示范企业、国家知识产权示范企业、国家专精特新“小巨人”企业等荣誉和资质；公司在天津市高新技术产业园区和四川成都成阿工业园区两地拥有国内智能化水平高、综合实力强的锂离子电池材料产业化基地。公司主要产品为锂离子电池正极材料，包括高镍正极材料、三元正极材料及氧化钴锂正极材料，被广泛应用于新能源汽车、无人机、电动工具、高端智能手机及便携式电子设备等领域。公司目前</w:t>
      </w:r>
      <w:r>
        <w:rPr>
          <w:rFonts w:hint="eastAsia" w:cs="Times New Roman"/>
          <w:sz w:val="21"/>
          <w:szCs w:val="21"/>
          <w:lang w:val="en-US" w:eastAsia="zh-CN"/>
        </w:rPr>
        <w:t>累积获得专利274</w:t>
      </w:r>
      <w:r>
        <w:rPr>
          <w:rFonts w:hint="eastAsia" w:ascii="Times New Roman" w:hAnsi="Times New Roman" w:eastAsia="宋体" w:cs="Times New Roman"/>
          <w:sz w:val="21"/>
          <w:szCs w:val="21"/>
        </w:rPr>
        <w:t>件，负责和参加起草制订国家标准、行业标准17余项。公司牵头或参与起草《锂离子电池电极材料导电性测试方法》、《锂离子电池电极材料电化学性能测试方法》、《锂离子电池正极材料游离锂的测试方法》、《钠离子电池正极材料电化学性能测试 首次放电比容量和首次充放电效率测试方法》等标准，成为行业技术标准的重要制订者。</w:t>
      </w:r>
    </w:p>
    <w:p>
      <w:pPr>
        <w:widowControl w:val="0"/>
        <w:spacing w:before="156" w:beforeLines="50" w:after="156" w:afterLines="50"/>
        <w:jc w:val="both"/>
        <w:outlineLvl w:val="1"/>
        <w:rPr>
          <w:b/>
          <w:bCs/>
          <w:sz w:val="21"/>
          <w:szCs w:val="21"/>
        </w:rPr>
      </w:pPr>
      <w:r>
        <w:rPr>
          <w:b/>
          <w:bCs/>
          <w:sz w:val="21"/>
          <w:szCs w:val="21"/>
        </w:rPr>
        <w:t>1.</w:t>
      </w:r>
      <w:r>
        <w:rPr>
          <w:rFonts w:hint="eastAsia"/>
          <w:b/>
          <w:bCs/>
          <w:sz w:val="21"/>
          <w:szCs w:val="21"/>
        </w:rPr>
        <w:t>3</w:t>
      </w:r>
      <w:r>
        <w:rPr>
          <w:b/>
          <w:bCs/>
          <w:sz w:val="21"/>
          <w:szCs w:val="21"/>
        </w:rPr>
        <w:t xml:space="preserve"> 主要</w:t>
      </w:r>
      <w:r>
        <w:rPr>
          <w:rFonts w:hint="eastAsia"/>
          <w:b/>
          <w:bCs/>
          <w:sz w:val="21"/>
          <w:szCs w:val="21"/>
        </w:rPr>
        <w:t>参加</w:t>
      </w:r>
      <w:r>
        <w:rPr>
          <w:b/>
          <w:bCs/>
          <w:sz w:val="21"/>
          <w:szCs w:val="21"/>
        </w:rPr>
        <w:t>单位和工作组成员及其工作</w:t>
      </w:r>
    </w:p>
    <w:p>
      <w:pPr>
        <w:ind w:firstLine="420" w:firstLineChars="200"/>
        <w:jc w:val="both"/>
        <w:rPr>
          <w:rFonts w:hint="eastAsia"/>
          <w:sz w:val="21"/>
          <w:szCs w:val="21"/>
        </w:rPr>
      </w:pPr>
      <w:r>
        <w:rPr>
          <w:rFonts w:hint="eastAsia"/>
          <w:sz w:val="21"/>
          <w:szCs w:val="21"/>
        </w:rPr>
        <w:t>本文件起草单位有：天津巴莫科技有限责任公司、格林美股份有限公司、湖南中伟新能源科技有限公司</w:t>
      </w:r>
      <w:r>
        <w:rPr>
          <w:rFonts w:hint="eastAsia"/>
          <w:sz w:val="21"/>
          <w:szCs w:val="21"/>
          <w:lang w:eastAsia="zh-CN"/>
        </w:rPr>
        <w:t>、</w:t>
      </w:r>
      <w:r>
        <w:rPr>
          <w:rFonts w:hint="eastAsia"/>
          <w:sz w:val="21"/>
          <w:szCs w:val="21"/>
        </w:rPr>
        <w:t>北京当升材料科技股份有限公司、天津国安盟固利新材料科技股份有限公司</w:t>
      </w:r>
      <w:r>
        <w:rPr>
          <w:rFonts w:hint="eastAsia"/>
          <w:sz w:val="21"/>
          <w:szCs w:val="21"/>
          <w:lang w:eastAsia="zh-CN"/>
        </w:rPr>
        <w:t>、</w:t>
      </w:r>
      <w:r>
        <w:rPr>
          <w:rFonts w:hint="eastAsia"/>
          <w:sz w:val="21"/>
          <w:szCs w:val="21"/>
        </w:rPr>
        <w:t>广东邦普循环科技有限公司、蜂巢能源科技有限公司、浙江华友钴业股份有限公司、湖南长远锂科股份有限公司等。</w:t>
      </w:r>
    </w:p>
    <w:p>
      <w:pPr>
        <w:widowControl w:val="0"/>
        <w:ind w:firstLine="420" w:firstLineChars="200"/>
        <w:jc w:val="both"/>
        <w:rPr>
          <w:rFonts w:hint="eastAsia"/>
          <w:sz w:val="21"/>
          <w:szCs w:val="21"/>
        </w:rPr>
      </w:pPr>
      <w:r>
        <w:rPr>
          <w:rFonts w:hint="eastAsia"/>
          <w:sz w:val="21"/>
          <w:szCs w:val="21"/>
        </w:rPr>
        <w:t>其中天津巴莫科技有限责任公司负责调研钠电行业对铜铁锰酸钠的各项指标控制、生产和用户需 求情况，根据了解的实际情况编写标准文本和标准编制说明，同时将标准在行业内广泛征求意见，并对收 集的意见进行汇总处理，综合比较后形成科学统一的产品技术要求，带领编制组完成标准的编制工作。</w:t>
      </w:r>
    </w:p>
    <w:p>
      <w:pPr>
        <w:widowControl w:val="0"/>
        <w:ind w:firstLine="420" w:firstLineChars="200"/>
        <w:jc w:val="both"/>
        <w:rPr>
          <w:rFonts w:hint="eastAsia"/>
          <w:sz w:val="21"/>
          <w:szCs w:val="21"/>
        </w:rPr>
      </w:pPr>
      <w:r>
        <w:rPr>
          <w:rFonts w:hint="eastAsia"/>
          <w:sz w:val="21"/>
          <w:szCs w:val="21"/>
        </w:rPr>
        <w:t>格林美股份有限公司、湖南中伟新能源科技有限公司</w:t>
      </w:r>
      <w:r>
        <w:rPr>
          <w:rFonts w:hint="eastAsia"/>
          <w:sz w:val="21"/>
          <w:szCs w:val="21"/>
          <w:lang w:eastAsia="zh-CN"/>
        </w:rPr>
        <w:t>、</w:t>
      </w:r>
      <w:r>
        <w:rPr>
          <w:rFonts w:hint="eastAsia"/>
          <w:sz w:val="21"/>
          <w:szCs w:val="21"/>
        </w:rPr>
        <w:t>北京当升材料科技股份有限公司、天津国安盟固利新材料科技股份有限公司</w:t>
      </w:r>
      <w:r>
        <w:rPr>
          <w:rFonts w:hint="eastAsia"/>
          <w:sz w:val="21"/>
          <w:szCs w:val="21"/>
          <w:lang w:eastAsia="zh-CN"/>
        </w:rPr>
        <w:t>、</w:t>
      </w:r>
      <w:r>
        <w:rPr>
          <w:rFonts w:hint="eastAsia"/>
          <w:sz w:val="21"/>
          <w:szCs w:val="21"/>
        </w:rPr>
        <w:t>广东邦普循环科技有限公司、蜂巢能源科技有限公司、浙江华友钴业股份有限公司、湖南长远锂科股份有限公司等积极参与本标准的调研工作，为标准编制提供了大量的实测数据，并对标准的征求意见稿 提出了修改意见，为本标准的编制工作提供有力支撑。</w:t>
      </w:r>
    </w:p>
    <w:p>
      <w:pPr>
        <w:widowControl w:val="0"/>
        <w:spacing w:before="156" w:beforeLines="50" w:after="156" w:afterLines="50"/>
        <w:jc w:val="both"/>
        <w:outlineLvl w:val="1"/>
        <w:rPr>
          <w:b/>
          <w:bCs/>
          <w:sz w:val="21"/>
          <w:szCs w:val="21"/>
        </w:rPr>
      </w:pPr>
      <w:r>
        <w:rPr>
          <w:b/>
          <w:bCs/>
          <w:sz w:val="21"/>
          <w:szCs w:val="21"/>
        </w:rPr>
        <w:t>1.4 主要工作过程</w:t>
      </w:r>
    </w:p>
    <w:p>
      <w:pPr>
        <w:widowControl w:val="0"/>
        <w:ind w:firstLine="420" w:firstLineChars="200"/>
        <w:jc w:val="both"/>
        <w:rPr>
          <w:sz w:val="21"/>
          <w:szCs w:val="21"/>
        </w:rPr>
      </w:pPr>
      <w:r>
        <w:rPr>
          <w:rFonts w:hint="eastAsia"/>
          <w:sz w:val="21"/>
          <w:szCs w:val="21"/>
        </w:rPr>
        <w:t>天津巴莫科技有限责任公司在接到本文件制订任务后，立即组织骨干人员成立了标准编制组，制定了该产品的各项指标调研表并初步确认范围。</w:t>
      </w:r>
      <w:r>
        <w:rPr>
          <w:sz w:val="21"/>
          <w:szCs w:val="21"/>
        </w:rPr>
        <w:t>主要工作过程经历以下阶段：</w:t>
      </w:r>
    </w:p>
    <w:p>
      <w:pPr>
        <w:widowControl w:val="0"/>
        <w:spacing w:before="156" w:beforeLines="50" w:after="156" w:afterLines="50"/>
        <w:jc w:val="both"/>
        <w:outlineLvl w:val="2"/>
        <w:rPr>
          <w:b/>
          <w:bCs/>
          <w:sz w:val="21"/>
          <w:szCs w:val="21"/>
        </w:rPr>
      </w:pPr>
      <w:r>
        <w:rPr>
          <w:b/>
          <w:bCs/>
          <w:sz w:val="21"/>
          <w:szCs w:val="21"/>
        </w:rPr>
        <w:t>1.4.1立项阶段</w:t>
      </w:r>
    </w:p>
    <w:p>
      <w:pPr>
        <w:widowControl w:val="0"/>
        <w:ind w:firstLine="420" w:firstLineChars="200"/>
        <w:jc w:val="both"/>
        <w:rPr>
          <w:rFonts w:hint="eastAsia"/>
          <w:sz w:val="21"/>
          <w:szCs w:val="21"/>
        </w:rPr>
      </w:pPr>
      <w:r>
        <w:rPr>
          <w:rFonts w:hint="eastAsia"/>
          <w:sz w:val="21"/>
          <w:szCs w:val="21"/>
        </w:rPr>
        <w:t>2023年3月，天津巴莫科技有限责任公司向全国有色金属标准化技术委员会粉末冶金分会(SAC/TC243/SC4)提交行业标准《钠离子电池用正极材料 铜铁锰酸钠》项目建议书。</w:t>
      </w:r>
    </w:p>
    <w:p>
      <w:pPr>
        <w:widowControl w:val="0"/>
        <w:ind w:firstLine="420" w:firstLineChars="200"/>
        <w:jc w:val="both"/>
        <w:rPr>
          <w:sz w:val="21"/>
          <w:szCs w:val="21"/>
        </w:rPr>
      </w:pPr>
      <w:r>
        <w:rPr>
          <w:rFonts w:hint="eastAsia"/>
          <w:sz w:val="21"/>
          <w:szCs w:val="21"/>
        </w:rPr>
        <w:t>2023年8月28日，工业和信息化部办公厅印发《工信部《关于下达2023年第四批协会标准制修订计划的通知》（中色协科字〔2023)95号），行业标准《钠离子电池用正极材料 铜铁锰酸钠》成功立项。</w:t>
      </w:r>
    </w:p>
    <w:p>
      <w:pPr>
        <w:widowControl w:val="0"/>
        <w:spacing w:before="156" w:beforeLines="50" w:after="156" w:afterLines="50"/>
        <w:jc w:val="both"/>
        <w:outlineLvl w:val="2"/>
        <w:rPr>
          <w:b/>
          <w:bCs/>
          <w:sz w:val="21"/>
          <w:szCs w:val="21"/>
        </w:rPr>
      </w:pPr>
      <w:r>
        <w:rPr>
          <w:rFonts w:hint="eastAsia"/>
          <w:b/>
          <w:bCs/>
          <w:sz w:val="21"/>
          <w:szCs w:val="21"/>
        </w:rPr>
        <w:t>1.</w:t>
      </w:r>
      <w:r>
        <w:rPr>
          <w:b/>
          <w:bCs/>
          <w:sz w:val="21"/>
          <w:szCs w:val="21"/>
        </w:rPr>
        <w:t>4</w:t>
      </w:r>
      <w:r>
        <w:rPr>
          <w:rFonts w:hint="eastAsia"/>
          <w:b/>
          <w:bCs/>
          <w:sz w:val="21"/>
          <w:szCs w:val="21"/>
        </w:rPr>
        <w:t>.2 起草阶段</w:t>
      </w:r>
    </w:p>
    <w:p>
      <w:pPr>
        <w:widowControl w:val="0"/>
        <w:spacing w:before="156" w:beforeLines="50" w:after="156" w:afterLines="50"/>
        <w:ind w:firstLine="420" w:firstLineChars="200"/>
        <w:jc w:val="both"/>
        <w:outlineLvl w:val="2"/>
        <w:rPr>
          <w:rFonts w:hint="eastAsia"/>
          <w:sz w:val="21"/>
          <w:szCs w:val="21"/>
        </w:rPr>
      </w:pPr>
      <w:r>
        <w:rPr>
          <w:rFonts w:hint="eastAsia"/>
          <w:sz w:val="21"/>
          <w:szCs w:val="21"/>
        </w:rPr>
        <w:t>202</w:t>
      </w:r>
      <w:r>
        <w:rPr>
          <w:rFonts w:hint="eastAsia"/>
          <w:sz w:val="21"/>
          <w:szCs w:val="21"/>
          <w:lang w:val="en-US" w:eastAsia="zh-CN"/>
        </w:rPr>
        <w:t>4</w:t>
      </w:r>
      <w:r>
        <w:rPr>
          <w:rFonts w:hint="eastAsia"/>
          <w:sz w:val="21"/>
          <w:szCs w:val="21"/>
        </w:rPr>
        <w:t xml:space="preserve"> 年 </w:t>
      </w:r>
      <w:r>
        <w:rPr>
          <w:rFonts w:hint="eastAsia"/>
          <w:sz w:val="21"/>
          <w:szCs w:val="21"/>
          <w:lang w:val="en-US" w:eastAsia="zh-CN"/>
        </w:rPr>
        <w:t>4</w:t>
      </w:r>
      <w:r>
        <w:rPr>
          <w:rFonts w:hint="eastAsia"/>
          <w:sz w:val="21"/>
          <w:szCs w:val="21"/>
        </w:rPr>
        <w:t xml:space="preserve"> 月</w:t>
      </w:r>
      <w:r>
        <w:rPr>
          <w:rFonts w:hint="eastAsia"/>
          <w:sz w:val="21"/>
          <w:szCs w:val="21"/>
          <w:lang w:val="en-US" w:eastAsia="zh-CN"/>
        </w:rPr>
        <w:t>10</w:t>
      </w:r>
      <w:r>
        <w:rPr>
          <w:rFonts w:hint="eastAsia"/>
          <w:sz w:val="21"/>
          <w:szCs w:val="21"/>
        </w:rPr>
        <w:t xml:space="preserve"> 日，全国有色金属标准化技术委员会在组织召开了有色金属标准工作会议。来自天津巴莫科技有限责任公司、格林美股份有限公司、湖南中伟新能源科技有限公司</w:t>
      </w:r>
      <w:r>
        <w:rPr>
          <w:rFonts w:hint="eastAsia"/>
          <w:sz w:val="21"/>
          <w:szCs w:val="21"/>
          <w:lang w:eastAsia="zh-CN"/>
        </w:rPr>
        <w:t>、</w:t>
      </w:r>
      <w:r>
        <w:rPr>
          <w:rFonts w:hint="eastAsia"/>
          <w:sz w:val="21"/>
          <w:szCs w:val="21"/>
        </w:rPr>
        <w:t>北京当升材料科技股份有限公司、天津国安盟固利新材料科技股份有限公司</w:t>
      </w:r>
      <w:r>
        <w:rPr>
          <w:rFonts w:hint="eastAsia"/>
          <w:sz w:val="21"/>
          <w:szCs w:val="21"/>
          <w:lang w:eastAsia="zh-CN"/>
        </w:rPr>
        <w:t>、</w:t>
      </w:r>
      <w:r>
        <w:rPr>
          <w:rFonts w:hint="eastAsia"/>
          <w:sz w:val="21"/>
          <w:szCs w:val="21"/>
        </w:rPr>
        <w:t>广东邦普循环科技有限公司、蜂巢能源科技有限公司、浙江华友钴业股份有限公司、湖南长远锂科股份有限公司的代表参加了会议。会议明确了由天津巴莫科技有限责任公司落实《钠离子电池用正极材料 铜铁锰酸钠》修订编制工作，组织成立了行业标准编制组，对目标任务进行了分解，明确成员的任务要求，制定工作计划和进度安排。标准编制组工作成员通过各种渠道收集国内外锂电行业对铜铁锰酸钠的需求和使用情况，查阅了大量的国内外相关文献资料，同时结合目前国内外铜铁锰酸钠的生产和用户需求情况，于202</w:t>
      </w:r>
      <w:r>
        <w:rPr>
          <w:rFonts w:hint="eastAsia"/>
          <w:sz w:val="21"/>
          <w:szCs w:val="21"/>
          <w:lang w:val="en-US" w:eastAsia="zh-CN"/>
        </w:rPr>
        <w:t>4</w:t>
      </w:r>
      <w:r>
        <w:rPr>
          <w:rFonts w:hint="eastAsia"/>
          <w:sz w:val="21"/>
          <w:szCs w:val="21"/>
        </w:rPr>
        <w:t>年</w:t>
      </w:r>
      <w:r>
        <w:rPr>
          <w:rFonts w:hint="eastAsia"/>
          <w:sz w:val="21"/>
          <w:szCs w:val="21"/>
          <w:lang w:val="en-US" w:eastAsia="zh-CN"/>
        </w:rPr>
        <w:t>4</w:t>
      </w:r>
      <w:r>
        <w:rPr>
          <w:rFonts w:hint="eastAsia"/>
          <w:sz w:val="21"/>
          <w:szCs w:val="21"/>
        </w:rPr>
        <w:t>月形成了标准的讨论稿草案和编制说明。</w:t>
      </w:r>
    </w:p>
    <w:p>
      <w:pPr>
        <w:widowControl w:val="0"/>
        <w:spacing w:before="156" w:beforeLines="50" w:after="156" w:afterLines="50"/>
        <w:jc w:val="both"/>
        <w:outlineLvl w:val="2"/>
        <w:rPr>
          <w:b/>
          <w:bCs/>
          <w:sz w:val="21"/>
          <w:szCs w:val="21"/>
        </w:rPr>
      </w:pPr>
      <w:r>
        <w:rPr>
          <w:rFonts w:hint="eastAsia"/>
          <w:b/>
          <w:bCs/>
          <w:sz w:val="21"/>
          <w:szCs w:val="21"/>
        </w:rPr>
        <w:t>1.</w:t>
      </w:r>
      <w:r>
        <w:rPr>
          <w:b/>
          <w:bCs/>
          <w:sz w:val="21"/>
          <w:szCs w:val="21"/>
        </w:rPr>
        <w:t>4</w:t>
      </w:r>
      <w:r>
        <w:rPr>
          <w:rFonts w:hint="eastAsia"/>
          <w:b/>
          <w:bCs/>
          <w:sz w:val="21"/>
          <w:szCs w:val="21"/>
        </w:rPr>
        <w:t>.3 征求意见阶段</w:t>
      </w:r>
    </w:p>
    <w:p>
      <w:pPr>
        <w:ind w:firstLine="435"/>
        <w:jc w:val="both"/>
        <w:rPr>
          <w:sz w:val="21"/>
          <w:szCs w:val="21"/>
        </w:rPr>
      </w:pPr>
      <w:r>
        <w:rPr>
          <w:rFonts w:hint="eastAsia"/>
          <w:sz w:val="21"/>
          <w:szCs w:val="21"/>
        </w:rPr>
        <w:t>202</w:t>
      </w:r>
      <w:r>
        <w:rPr>
          <w:rFonts w:hint="eastAsia"/>
          <w:sz w:val="21"/>
          <w:szCs w:val="21"/>
          <w:lang w:val="en-US" w:eastAsia="zh-CN"/>
        </w:rPr>
        <w:t>4</w:t>
      </w:r>
      <w:r>
        <w:rPr>
          <w:rFonts w:hint="eastAsia"/>
          <w:sz w:val="21"/>
          <w:szCs w:val="21"/>
        </w:rPr>
        <w:t>年</w:t>
      </w:r>
      <w:r>
        <w:rPr>
          <w:sz w:val="21"/>
          <w:szCs w:val="21"/>
        </w:rPr>
        <w:t>X</w:t>
      </w:r>
      <w:r>
        <w:rPr>
          <w:rFonts w:hint="eastAsia"/>
          <w:sz w:val="21"/>
          <w:szCs w:val="21"/>
        </w:rPr>
        <w:t>月X日，全国有色金属标准化技术委员会组织召开有色金属标准工作会议，对本标准进行了讨论。</w:t>
      </w:r>
      <w:r>
        <w:rPr>
          <w:sz w:val="21"/>
          <w:szCs w:val="21"/>
        </w:rPr>
        <w:t>会议中</w:t>
      </w:r>
      <w:r>
        <w:rPr>
          <w:rFonts w:hint="eastAsia"/>
          <w:sz w:val="21"/>
          <w:szCs w:val="21"/>
        </w:rPr>
        <w:t>各单位代表就标准讨论稿和编制说明进行讨论。</w:t>
      </w:r>
    </w:p>
    <w:p>
      <w:pPr>
        <w:ind w:firstLine="435"/>
        <w:jc w:val="both"/>
        <w:rPr>
          <w:sz w:val="21"/>
          <w:szCs w:val="21"/>
        </w:rPr>
      </w:pPr>
      <w:r>
        <w:rPr>
          <w:rFonts w:hint="eastAsia"/>
          <w:sz w:val="21"/>
          <w:szCs w:val="21"/>
        </w:rPr>
        <w:t>同时，全国有色金属标准化技术委员会通过工作群、邮件向委员单位征求意见，并将征求意见资料在网站上发布，向社会公开征求意见。征求意见的单位包括主要生产、经销、使用、科研、检验等单位及大专院校，征求意见单位广泛且具有代表性，征求意见时间大于2个月。</w:t>
      </w:r>
    </w:p>
    <w:p>
      <w:pPr>
        <w:widowControl w:val="0"/>
        <w:spacing w:before="156" w:beforeLines="50" w:after="156" w:afterLines="50"/>
        <w:jc w:val="both"/>
        <w:outlineLvl w:val="2"/>
        <w:rPr>
          <w:b/>
          <w:bCs/>
          <w:sz w:val="21"/>
          <w:szCs w:val="21"/>
        </w:rPr>
      </w:pPr>
      <w:r>
        <w:rPr>
          <w:b/>
          <w:bCs/>
          <w:sz w:val="21"/>
          <w:szCs w:val="21"/>
        </w:rPr>
        <w:t>1.4.4 审查阶段</w:t>
      </w:r>
    </w:p>
    <w:p>
      <w:pPr>
        <w:widowControl w:val="0"/>
        <w:ind w:firstLine="420" w:firstLineChars="200"/>
        <w:rPr>
          <w:sz w:val="21"/>
          <w:szCs w:val="21"/>
        </w:rPr>
      </w:pPr>
      <w:r>
        <w:rPr>
          <w:sz w:val="21"/>
          <w:szCs w:val="21"/>
        </w:rPr>
        <w:t>……</w:t>
      </w:r>
    </w:p>
    <w:p>
      <w:pPr>
        <w:widowControl w:val="0"/>
        <w:spacing w:before="156" w:beforeLines="50" w:after="156" w:afterLines="50"/>
        <w:jc w:val="both"/>
        <w:outlineLvl w:val="2"/>
        <w:rPr>
          <w:b/>
          <w:bCs/>
          <w:sz w:val="21"/>
          <w:szCs w:val="21"/>
        </w:rPr>
      </w:pPr>
      <w:r>
        <w:rPr>
          <w:b/>
          <w:bCs/>
          <w:sz w:val="21"/>
          <w:szCs w:val="21"/>
        </w:rPr>
        <w:t>1.4.</w:t>
      </w:r>
      <w:r>
        <w:rPr>
          <w:rFonts w:hint="eastAsia"/>
          <w:b/>
          <w:bCs/>
          <w:sz w:val="21"/>
          <w:szCs w:val="21"/>
        </w:rPr>
        <w:t>5</w:t>
      </w:r>
      <w:r>
        <w:rPr>
          <w:b/>
          <w:bCs/>
          <w:sz w:val="21"/>
          <w:szCs w:val="21"/>
        </w:rPr>
        <w:t xml:space="preserve"> 报批阶段</w:t>
      </w:r>
    </w:p>
    <w:p>
      <w:pPr>
        <w:widowControl w:val="0"/>
        <w:ind w:firstLine="420" w:firstLineChars="200"/>
        <w:rPr>
          <w:sz w:val="21"/>
          <w:szCs w:val="21"/>
        </w:rPr>
      </w:pPr>
      <w:r>
        <w:rPr>
          <w:sz w:val="21"/>
          <w:szCs w:val="21"/>
        </w:rPr>
        <w:t>……</w:t>
      </w:r>
    </w:p>
    <w:p>
      <w:pPr>
        <w:widowControl w:val="0"/>
        <w:spacing w:before="312" w:beforeLines="100" w:after="312" w:afterLines="100"/>
        <w:jc w:val="both"/>
        <w:outlineLvl w:val="0"/>
        <w:rPr>
          <w:b/>
          <w:bCs/>
        </w:rPr>
      </w:pPr>
      <w:r>
        <w:rPr>
          <w:b/>
          <w:bCs/>
        </w:rPr>
        <w:t>二、标准编制原则</w:t>
      </w:r>
    </w:p>
    <w:p>
      <w:pPr>
        <w:widowControl w:val="0"/>
        <w:spacing w:before="156" w:beforeLines="50" w:after="156" w:afterLines="50"/>
        <w:jc w:val="both"/>
        <w:outlineLvl w:val="2"/>
        <w:rPr>
          <w:b/>
          <w:bCs/>
          <w:sz w:val="21"/>
          <w:szCs w:val="21"/>
        </w:rPr>
      </w:pPr>
      <w:r>
        <w:rPr>
          <w:b/>
          <w:bCs/>
          <w:sz w:val="21"/>
          <w:szCs w:val="21"/>
        </w:rPr>
        <w:t>2.1 符合性</w:t>
      </w:r>
    </w:p>
    <w:p>
      <w:pPr>
        <w:ind w:firstLine="435"/>
        <w:jc w:val="both"/>
        <w:rPr>
          <w:sz w:val="21"/>
          <w:szCs w:val="21"/>
        </w:rPr>
      </w:pPr>
      <w:r>
        <w:rPr>
          <w:rFonts w:hint="eastAsia"/>
          <w:sz w:val="21"/>
          <w:szCs w:val="21"/>
        </w:rPr>
        <w:t>本标准按照 GB/T 1.1-2020《 标准化工作导则 第 1 部分：标准的结构和编写规则》要求编写。</w:t>
      </w:r>
    </w:p>
    <w:p>
      <w:pPr>
        <w:widowControl w:val="0"/>
        <w:spacing w:before="156" w:beforeLines="50" w:after="156" w:afterLines="50"/>
        <w:jc w:val="both"/>
        <w:outlineLvl w:val="1"/>
        <w:rPr>
          <w:b/>
          <w:bCs/>
          <w:sz w:val="21"/>
          <w:szCs w:val="21"/>
        </w:rPr>
      </w:pPr>
      <w:r>
        <w:rPr>
          <w:b/>
          <w:bCs/>
          <w:sz w:val="21"/>
          <w:szCs w:val="21"/>
        </w:rPr>
        <w:t>2.2 适用性和先进性</w:t>
      </w:r>
    </w:p>
    <w:p>
      <w:pPr>
        <w:widowControl w:val="0"/>
        <w:ind w:firstLine="420" w:firstLineChars="20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铜铁锰酸钠正极材料是钠离子电池重要组成部分，其生产工艺与锂离子电池正极材料生产工艺相类似。需要铜铁锰三元素复合前驱体与钠源经过混合、焙烧、粉碎过筛、除磁等工艺合成。经查询相关资料，发现国内尚无铜铁锰三元素正极材料相关的国家标准或行业标准，行业内无规范统一的铜铁锰酸钠三元素正极材料的指标要求，这不仅会导致产品质量不一，市场流通不便，更会影响到后续生产钠离子电池的推广应用。综上所述，在产业发展，标准先行的引导下，急需制定铜铁锰酸钠三元素正极材料产品标准，以规范统一铜铁锰酸钠三元素正极材料质量指标控制要求，从而为钠电行业下游生产企业提供选择和标准指导，增加贸易双方保障，削弱供求企业间的不同产品指标差异的问题，更好地促进钠电行业发展，提升企业和社会经济效益。2021年10月工信部对《关于在我国大力发展钠离子电池的提案》的答复，将在“十四五”相关规划等政策文件中加强布局，从促进前沿技术攻关、完善配套政策、开拓市场应用等多方面着手，做好顶层设计，健全产业政策，统筹引导钠离子电池产业高质量发展。2022年4月能源局和科技部发布的《“十四五”能源领域科技创新规划》中“针对电网削峰填谷、集中式可再生能源并网等储能应用场景，开展大容量长时储能器件与系统集成研究，研发钠离子电池新一代高性能储能技术”的要求。2022年6月发改委、能源局、财政部等九部委发布《“十四五”可再生能源发展规划》中“加强前瞻性研究，加快可再生能源前沿性、颠覆性开发利用技术攻关。研发储备钠离子电池高能量密度储能技术”的要求。2022年科技部发布的《“十四五”国家重点研发计划“储能与智能电网技术”重点专项2022年度项目申报指南》中将钠离子电池技术列为研发任务的要求。本文件的制定符合国家政策导向，符合目前国内铜铁锰酸钠的生产和用户需求情况。本文件规定的内容遵循充分满足市场要求原则、指导生产的原则，可以提高铜铁锰酸钠的生产技术水平，促进相关技术的进步，为国内相关产业提供技术指导，满足用户的需求，以规范行业的产品标准，促进钠电正极材料行业的不断发展。</w:t>
      </w:r>
    </w:p>
    <w:p>
      <w:pPr>
        <w:widowControl w:val="0"/>
        <w:spacing w:before="312" w:beforeLines="100" w:after="312" w:afterLines="100"/>
        <w:jc w:val="both"/>
        <w:outlineLvl w:val="0"/>
        <w:rPr>
          <w:b/>
          <w:bCs/>
        </w:rPr>
      </w:pPr>
      <w:r>
        <w:rPr>
          <w:b/>
          <w:bCs/>
        </w:rPr>
        <w:t>三、确定标准主要内容的依据</w:t>
      </w:r>
    </w:p>
    <w:p>
      <w:pPr>
        <w:widowControl w:val="0"/>
        <w:spacing w:before="156" w:beforeLines="50" w:after="156" w:afterLines="50"/>
        <w:jc w:val="both"/>
        <w:outlineLvl w:val="1"/>
        <w:rPr>
          <w:b/>
          <w:bCs/>
          <w:sz w:val="21"/>
          <w:szCs w:val="21"/>
        </w:rPr>
      </w:pPr>
      <w:r>
        <w:rPr>
          <w:b/>
          <w:bCs/>
          <w:sz w:val="21"/>
          <w:szCs w:val="21"/>
        </w:rPr>
        <w:t>3.</w:t>
      </w:r>
      <w:r>
        <w:rPr>
          <w:rFonts w:hint="eastAsia"/>
          <w:b/>
          <w:bCs/>
          <w:sz w:val="21"/>
          <w:szCs w:val="21"/>
        </w:rPr>
        <w:t>1</w:t>
      </w:r>
      <w:r>
        <w:rPr>
          <w:b/>
          <w:bCs/>
          <w:sz w:val="21"/>
          <w:szCs w:val="21"/>
        </w:rPr>
        <w:t xml:space="preserve"> </w:t>
      </w:r>
      <w:r>
        <w:rPr>
          <w:rFonts w:hint="eastAsia"/>
          <w:b/>
          <w:bCs/>
          <w:sz w:val="21"/>
          <w:szCs w:val="21"/>
        </w:rPr>
        <w:t>国内主要研发及生产企业、科研单位的产品主要指标情况</w:t>
      </w:r>
    </w:p>
    <w:p>
      <w:pPr>
        <w:widowControl w:val="0"/>
        <w:ind w:firstLine="420" w:firstLineChars="200"/>
        <w:jc w:val="both"/>
        <w:rPr>
          <w:sz w:val="21"/>
          <w:szCs w:val="21"/>
        </w:rPr>
      </w:pPr>
      <w:r>
        <w:rPr>
          <w:rFonts w:hint="eastAsia"/>
          <w:sz w:val="21"/>
          <w:szCs w:val="21"/>
        </w:rPr>
        <w:t>标准的主要技术要求根据</w:t>
      </w:r>
      <w:r>
        <w:rPr>
          <w:rFonts w:hint="eastAsia"/>
          <w:sz w:val="21"/>
          <w:szCs w:val="21"/>
          <w:lang w:val="en-US" w:eastAsia="zh-CN"/>
        </w:rPr>
        <w:t>铜铁锰酸钠</w:t>
      </w:r>
      <w:r>
        <w:rPr>
          <w:rFonts w:hint="eastAsia"/>
          <w:sz w:val="21"/>
          <w:szCs w:val="21"/>
        </w:rPr>
        <w:t>研发及生产企业、科研单位的产品主要指标情况进行确定。</w:t>
      </w:r>
    </w:p>
    <w:p>
      <w:pPr>
        <w:widowControl w:val="0"/>
        <w:ind w:firstLine="420" w:firstLineChars="200"/>
        <w:jc w:val="both"/>
        <w:rPr>
          <w:sz w:val="21"/>
          <w:szCs w:val="21"/>
        </w:rPr>
      </w:pPr>
      <w:r>
        <w:rPr>
          <w:rFonts w:hint="eastAsia"/>
          <w:sz w:val="21"/>
          <w:szCs w:val="21"/>
          <w:lang w:eastAsia="zh-CN"/>
        </w:rPr>
        <w:t>铜铁锰酸钠</w:t>
      </w:r>
      <w:r>
        <w:rPr>
          <w:rFonts w:hint="eastAsia"/>
          <w:sz w:val="21"/>
          <w:szCs w:val="21"/>
        </w:rPr>
        <w:t>主要研发及生产企业产品主要指标情况见表1，单位名称由字母表示，征求意见过程持续调研。</w:t>
      </w:r>
    </w:p>
    <w:p>
      <w:pPr>
        <w:widowControl w:val="0"/>
        <w:spacing w:before="156" w:beforeLines="50" w:after="156" w:afterLines="50"/>
        <w:jc w:val="center"/>
        <w:rPr>
          <w:sz w:val="21"/>
          <w:szCs w:val="21"/>
        </w:rPr>
      </w:pPr>
      <w:r>
        <w:rPr>
          <w:rFonts w:hint="eastAsia"/>
          <w:b/>
          <w:bCs/>
          <w:sz w:val="21"/>
          <w:szCs w:val="21"/>
        </w:rPr>
        <w:t>表</w:t>
      </w:r>
      <w:r>
        <w:rPr>
          <w:b/>
          <w:bCs/>
          <w:sz w:val="21"/>
          <w:szCs w:val="21"/>
        </w:rPr>
        <w:t>1</w:t>
      </w:r>
      <w:r>
        <w:rPr>
          <w:rFonts w:hint="eastAsia"/>
          <w:b/>
          <w:bCs/>
          <w:sz w:val="21"/>
          <w:szCs w:val="21"/>
        </w:rPr>
        <w:t xml:space="preserve"> </w:t>
      </w:r>
      <w:r>
        <w:rPr>
          <w:rFonts w:hint="eastAsia"/>
          <w:b/>
          <w:bCs/>
          <w:sz w:val="21"/>
          <w:szCs w:val="21"/>
          <w:lang w:val="en-US" w:eastAsia="zh-CN"/>
        </w:rPr>
        <w:t xml:space="preserve"> 铜铁锰酸钠</w:t>
      </w:r>
      <w:r>
        <w:rPr>
          <w:rFonts w:hint="eastAsia"/>
          <w:b/>
          <w:bCs/>
          <w:sz w:val="21"/>
          <w:szCs w:val="21"/>
        </w:rPr>
        <w:t>产品主要指标调研情况</w:t>
      </w:r>
    </w:p>
    <w:tbl>
      <w:tblPr>
        <w:tblStyle w:val="12"/>
        <w:tblW w:w="4707" w:type="pct"/>
        <w:tblInd w:w="0" w:type="dxa"/>
        <w:tblLayout w:type="fixed"/>
        <w:tblCellMar>
          <w:top w:w="0" w:type="dxa"/>
          <w:left w:w="108" w:type="dxa"/>
          <w:bottom w:w="0" w:type="dxa"/>
          <w:right w:w="108" w:type="dxa"/>
        </w:tblCellMar>
      </w:tblPr>
      <w:tblGrid>
        <w:gridCol w:w="2018"/>
        <w:gridCol w:w="2426"/>
        <w:gridCol w:w="1689"/>
        <w:gridCol w:w="1563"/>
        <w:gridCol w:w="1683"/>
      </w:tblGrid>
      <w:tr>
        <w:tblPrEx>
          <w:tblCellMar>
            <w:top w:w="0" w:type="dxa"/>
            <w:left w:w="108" w:type="dxa"/>
            <w:bottom w:w="0" w:type="dxa"/>
            <w:right w:w="108" w:type="dxa"/>
          </w:tblCellMar>
        </w:tblPrEx>
        <w:trPr>
          <w:trHeight w:val="353" w:hRule="atLeast"/>
          <w:tblHeader/>
        </w:trPr>
        <w:tc>
          <w:tcPr>
            <w:tcW w:w="107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一级指标</w:t>
            </w:r>
          </w:p>
        </w:tc>
        <w:tc>
          <w:tcPr>
            <w:tcW w:w="219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二级指标</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单位</w:t>
            </w:r>
          </w:p>
        </w:tc>
        <w:tc>
          <w:tcPr>
            <w:tcW w:w="897" w:type="pct"/>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A</w:t>
            </w:r>
          </w:p>
        </w:tc>
      </w:tr>
      <w:tr>
        <w:tblPrEx>
          <w:tblCellMar>
            <w:top w:w="0" w:type="dxa"/>
            <w:left w:w="108" w:type="dxa"/>
            <w:bottom w:w="0" w:type="dxa"/>
            <w:right w:w="108" w:type="dxa"/>
          </w:tblCellMar>
        </w:tblPrEx>
        <w:trPr>
          <w:trHeight w:val="353" w:hRule="atLeast"/>
        </w:trPr>
        <w:tc>
          <w:tcPr>
            <w:tcW w:w="1075" w:type="pct"/>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rPr>
              <w:t>化学成分</w:t>
            </w:r>
          </w:p>
        </w:tc>
        <w:tc>
          <w:tcPr>
            <w:tcW w:w="129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主元素含量</w:t>
            </w:r>
          </w:p>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0"/>
                <w:szCs w:val="20"/>
              </w:rPr>
              <w:t>（质量百分比）</w:t>
            </w:r>
          </w:p>
        </w:tc>
        <w:tc>
          <w:tcPr>
            <w:tcW w:w="9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Cu</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color w:val="000000"/>
                <w:kern w:val="0"/>
                <w:sz w:val="21"/>
                <w:szCs w:val="21"/>
              </w:rPr>
            </w:pPr>
          </w:p>
        </w:tc>
        <w:tc>
          <w:tcPr>
            <w:tcW w:w="129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p>
        </w:tc>
        <w:tc>
          <w:tcPr>
            <w:tcW w:w="9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Fe</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color w:val="000000"/>
                <w:kern w:val="0"/>
                <w:sz w:val="21"/>
                <w:szCs w:val="21"/>
              </w:rPr>
            </w:pPr>
          </w:p>
        </w:tc>
        <w:tc>
          <w:tcPr>
            <w:tcW w:w="129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p>
        </w:tc>
        <w:tc>
          <w:tcPr>
            <w:tcW w:w="9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color w:val="000000"/>
                <w:kern w:val="0"/>
                <w:sz w:val="21"/>
                <w:szCs w:val="21"/>
                <w:highlight w:val="none"/>
                <w:lang w:val="en-US" w:eastAsia="zh-CN"/>
              </w:rPr>
              <w:t>Mn</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color w:val="000000"/>
                <w:kern w:val="0"/>
                <w:sz w:val="21"/>
                <w:szCs w:val="21"/>
              </w:rPr>
            </w:pPr>
          </w:p>
        </w:tc>
        <w:tc>
          <w:tcPr>
            <w:tcW w:w="129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p>
        </w:tc>
        <w:tc>
          <w:tcPr>
            <w:tcW w:w="9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合量</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49.1~52.1</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color w:val="000000"/>
                <w:kern w:val="0"/>
                <w:sz w:val="21"/>
                <w:szCs w:val="21"/>
              </w:rPr>
            </w:pPr>
          </w:p>
        </w:tc>
        <w:tc>
          <w:tcPr>
            <w:tcW w:w="129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p>
        </w:tc>
        <w:tc>
          <w:tcPr>
            <w:tcW w:w="9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Na</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color w:val="000000"/>
                <w:kern w:val="0"/>
                <w:sz w:val="21"/>
                <w:szCs w:val="21"/>
              </w:rPr>
            </w:pPr>
          </w:p>
        </w:tc>
        <w:tc>
          <w:tcPr>
            <w:tcW w:w="219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highlight w:val="none"/>
                <w:lang w:val="en-US" w:eastAsia="zh-CN"/>
              </w:rPr>
            </w:pPr>
            <w:r>
              <w:rPr>
                <w:rFonts w:hint="default" w:ascii="Times New Roman" w:hAnsi="Times New Roman" w:eastAsia="宋体" w:cs="Times New Roman"/>
                <w:b/>
                <w:bCs/>
                <w:sz w:val="21"/>
                <w:szCs w:val="21"/>
                <w:highlight w:val="none"/>
              </w:rPr>
              <w:t>Na/合量 摩尔比</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highlight w:val="none"/>
              </w:rPr>
            </w:pPr>
            <w:r>
              <w:rPr>
                <w:rFonts w:hint="default" w:ascii="Times New Roman" w:hAnsi="Times New Roman" w:eastAsia="宋体" w:cs="Times New Roman"/>
                <w:color w:val="000000"/>
                <w:kern w:val="0"/>
                <w:sz w:val="21"/>
                <w:szCs w:val="21"/>
                <w:highlight w:val="none"/>
              </w:rPr>
              <w:t>%</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color w:val="000000"/>
                <w:kern w:val="0"/>
                <w:sz w:val="21"/>
                <w:szCs w:val="21"/>
              </w:rPr>
            </w:pPr>
          </w:p>
        </w:tc>
        <w:tc>
          <w:tcPr>
            <w:tcW w:w="1293"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b/>
                <w:bCs/>
                <w:color w:val="000000"/>
                <w:kern w:val="0"/>
                <w:sz w:val="21"/>
                <w:szCs w:val="21"/>
              </w:rPr>
            </w:pPr>
          </w:p>
        </w:tc>
        <w:tc>
          <w:tcPr>
            <w:tcW w:w="90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Cd</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≤0.1</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color w:val="000000"/>
                <w:kern w:val="0"/>
                <w:sz w:val="21"/>
                <w:szCs w:val="21"/>
              </w:rPr>
            </w:pPr>
          </w:p>
        </w:tc>
        <w:tc>
          <w:tcPr>
            <w:tcW w:w="1293"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kern w:val="0"/>
                <w:sz w:val="21"/>
                <w:szCs w:val="21"/>
              </w:rPr>
            </w:pPr>
          </w:p>
        </w:tc>
        <w:tc>
          <w:tcPr>
            <w:tcW w:w="90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Cr</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≤0.1</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shd w:val="clear" w:color="auto" w:fill="auto"/>
            <w:vAlign w:val="center"/>
          </w:tcPr>
          <w:p>
            <w:pPr>
              <w:pStyle w:val="59"/>
              <w:rPr>
                <w:rFonts w:hint="default" w:ascii="Times New Roman" w:hAnsi="Times New Roman" w:eastAsia="宋体" w:cs="Times New Roman"/>
                <w:sz w:val="21"/>
                <w:szCs w:val="21"/>
              </w:rPr>
            </w:pPr>
          </w:p>
        </w:tc>
        <w:tc>
          <w:tcPr>
            <w:tcW w:w="1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p>
        </w:tc>
        <w:tc>
          <w:tcPr>
            <w:tcW w:w="90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Pb</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≤0.1</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shd w:val="clear" w:color="auto" w:fill="auto"/>
            <w:vAlign w:val="center"/>
          </w:tcPr>
          <w:p>
            <w:pPr>
              <w:pStyle w:val="59"/>
              <w:rPr>
                <w:rFonts w:hint="default" w:ascii="Times New Roman" w:hAnsi="Times New Roman" w:eastAsia="宋体" w:cs="Times New Roman"/>
                <w:sz w:val="21"/>
                <w:szCs w:val="21"/>
              </w:rPr>
            </w:pPr>
          </w:p>
        </w:tc>
        <w:tc>
          <w:tcPr>
            <w:tcW w:w="1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p>
        </w:tc>
        <w:tc>
          <w:tcPr>
            <w:tcW w:w="90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Si</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≤0.1</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color w:val="000000"/>
                <w:kern w:val="0"/>
                <w:sz w:val="21"/>
                <w:szCs w:val="21"/>
              </w:rPr>
            </w:pPr>
          </w:p>
        </w:tc>
        <w:tc>
          <w:tcPr>
            <w:tcW w:w="1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p>
        </w:tc>
        <w:tc>
          <w:tcPr>
            <w:tcW w:w="90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S</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≤0.1</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b/>
                <w:bCs/>
                <w:color w:val="000000"/>
                <w:kern w:val="0"/>
                <w:sz w:val="21"/>
                <w:szCs w:val="21"/>
              </w:rPr>
            </w:pPr>
          </w:p>
        </w:tc>
        <w:tc>
          <w:tcPr>
            <w:tcW w:w="129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p>
        </w:tc>
        <w:tc>
          <w:tcPr>
            <w:tcW w:w="90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i w:val="0"/>
                <w:iCs w:val="0"/>
                <w:color w:val="000000"/>
                <w:kern w:val="0"/>
                <w:sz w:val="21"/>
                <w:szCs w:val="21"/>
                <w:u w:val="none"/>
                <w:lang w:val="en-US" w:eastAsia="zh-CN" w:bidi="ar"/>
              </w:rPr>
              <w:t>Cl</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i w:val="0"/>
                <w:color w:val="000000"/>
                <w:kern w:val="0"/>
                <w:sz w:val="21"/>
                <w:szCs w:val="21"/>
                <w:u w:val="none"/>
                <w:lang w:val="en-US" w:eastAsia="zh-CN" w:bidi="ar"/>
              </w:rPr>
              <w:t>≤0.1</w:t>
            </w:r>
          </w:p>
        </w:tc>
      </w:tr>
      <w:tr>
        <w:tblPrEx>
          <w:tblCellMar>
            <w:top w:w="0" w:type="dxa"/>
            <w:left w:w="108" w:type="dxa"/>
            <w:bottom w:w="0" w:type="dxa"/>
            <w:right w:w="108" w:type="dxa"/>
          </w:tblCellMar>
        </w:tblPrEx>
        <w:trPr>
          <w:trHeight w:val="353" w:hRule="atLeast"/>
        </w:trPr>
        <w:tc>
          <w:tcPr>
            <w:tcW w:w="1075" w:type="pct"/>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物理指标</w:t>
            </w:r>
          </w:p>
          <w:p>
            <w:pPr>
              <w:widowControl/>
              <w:jc w:val="center"/>
              <w:rPr>
                <w:rFonts w:hint="default" w:ascii="Times New Roman" w:hAnsi="Times New Roman" w:eastAsia="宋体" w:cs="Times New Roman"/>
                <w:b/>
                <w:bCs/>
                <w:color w:val="000000"/>
                <w:kern w:val="0"/>
                <w:sz w:val="21"/>
                <w:szCs w:val="21"/>
                <w:lang w:val="en-US" w:eastAsia="zh-CN"/>
              </w:rPr>
            </w:pPr>
          </w:p>
        </w:tc>
        <w:tc>
          <w:tcPr>
            <w:tcW w:w="219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pH值</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color w:val="000000"/>
                <w:kern w:val="0"/>
                <w:sz w:val="21"/>
                <w:szCs w:val="21"/>
                <w:u w:val="none"/>
                <w:lang w:val="en-US" w:eastAsia="zh-CN" w:bidi="ar"/>
              </w:rPr>
              <w:t>≤</w:t>
            </w:r>
            <w:r>
              <w:rPr>
                <w:rFonts w:hint="eastAsia" w:cs="Times New Roman"/>
                <w:i w:val="0"/>
                <w:color w:val="000000"/>
                <w:kern w:val="0"/>
                <w:sz w:val="21"/>
                <w:szCs w:val="21"/>
                <w:u w:val="none"/>
                <w:lang w:val="en-US" w:eastAsia="zh-CN" w:bidi="ar"/>
              </w:rPr>
              <w:t>13</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p>
        </w:tc>
        <w:tc>
          <w:tcPr>
            <w:tcW w:w="219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磁性异物</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ppb</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color w:val="000000"/>
                <w:kern w:val="0"/>
                <w:sz w:val="21"/>
                <w:szCs w:val="21"/>
                <w:u w:val="none"/>
                <w:lang w:val="en-US" w:eastAsia="zh-CN" w:bidi="ar"/>
              </w:rPr>
              <w:t>≤</w:t>
            </w:r>
            <w:r>
              <w:rPr>
                <w:rFonts w:hint="eastAsia" w:cs="Times New Roman"/>
                <w:i w:val="0"/>
                <w:color w:val="000000"/>
                <w:kern w:val="0"/>
                <w:sz w:val="21"/>
                <w:szCs w:val="21"/>
                <w:u w:val="none"/>
                <w:lang w:val="en-US" w:eastAsia="zh-CN" w:bidi="ar"/>
              </w:rPr>
              <w:t>300</w:t>
            </w:r>
          </w:p>
        </w:tc>
      </w:tr>
      <w:tr>
        <w:tblPrEx>
          <w:tblCellMar>
            <w:top w:w="0" w:type="dxa"/>
            <w:left w:w="108" w:type="dxa"/>
            <w:bottom w:w="0" w:type="dxa"/>
            <w:right w:w="108" w:type="dxa"/>
          </w:tblCellMar>
        </w:tblPrEx>
        <w:trPr>
          <w:trHeight w:val="955" w:hRule="atLeast"/>
        </w:trPr>
        <w:tc>
          <w:tcPr>
            <w:tcW w:w="1075"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p>
        </w:tc>
        <w:tc>
          <w:tcPr>
            <w:tcW w:w="219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lang w:val="en-US" w:eastAsia="zh-CN"/>
              </w:rPr>
              <w:t>残余</w:t>
            </w:r>
            <w:r>
              <w:rPr>
                <w:rFonts w:hint="default" w:ascii="Times New Roman" w:hAnsi="Times New Roman" w:eastAsia="宋体" w:cs="Times New Roman"/>
                <w:b/>
                <w:bCs/>
                <w:color w:val="000000"/>
                <w:kern w:val="0"/>
                <w:sz w:val="21"/>
                <w:szCs w:val="21"/>
              </w:rPr>
              <w:t>钠含量</w:t>
            </w:r>
          </w:p>
          <w:p>
            <w:pPr>
              <w:widowControl/>
              <w:jc w:val="center"/>
              <w:rPr>
                <w:rFonts w:hint="default" w:ascii="Times New Roman" w:hAnsi="Times New Roman" w:eastAsia="宋体" w:cs="Times New Roman"/>
                <w:b/>
                <w:bCs/>
                <w:color w:val="000000"/>
                <w:kern w:val="0"/>
                <w:sz w:val="21"/>
                <w:szCs w:val="21"/>
                <w:lang w:val="en-US" w:eastAsia="zh-CN" w:bidi="ar-SA"/>
              </w:rPr>
            </w:pPr>
            <w:r>
              <w:rPr>
                <w:rFonts w:hint="default" w:ascii="Times New Roman" w:hAnsi="Times New Roman" w:eastAsia="宋体" w:cs="Times New Roman"/>
                <w:color w:val="000000"/>
                <w:kern w:val="0"/>
                <w:sz w:val="21"/>
                <w:szCs w:val="21"/>
              </w:rPr>
              <w:t>（按Na元素计，质量百分比）</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i w:val="0"/>
                <w:color w:val="000000"/>
                <w:kern w:val="0"/>
                <w:sz w:val="21"/>
                <w:szCs w:val="21"/>
                <w:u w:val="none"/>
                <w:lang w:val="en-US" w:eastAsia="zh-CN" w:bidi="ar"/>
              </w:rPr>
              <w:t>≤</w:t>
            </w:r>
            <w:r>
              <w:rPr>
                <w:rFonts w:hint="eastAsia" w:cs="Times New Roman"/>
                <w:i w:val="0"/>
                <w:color w:val="000000"/>
                <w:kern w:val="0"/>
                <w:sz w:val="21"/>
                <w:szCs w:val="21"/>
                <w:u w:val="none"/>
                <w:lang w:val="en-US" w:eastAsia="zh-CN" w:bidi="ar"/>
              </w:rPr>
              <w:t>1.5</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p>
        </w:tc>
        <w:tc>
          <w:tcPr>
            <w:tcW w:w="1293" w:type="pct"/>
            <w:vMerge w:val="restart"/>
            <w:tcBorders>
              <w:top w:val="single" w:color="auto" w:sz="4" w:space="0"/>
              <w:left w:val="nil"/>
              <w:right w:val="single" w:color="000000"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粒度分布</w:t>
            </w:r>
          </w:p>
          <w:p>
            <w:pPr>
              <w:widowControl/>
              <w:jc w:val="center"/>
              <w:rPr>
                <w:rFonts w:hint="default" w:ascii="Times New Roman" w:hAnsi="Times New Roman" w:eastAsia="宋体" w:cs="Times New Roman"/>
                <w:color w:val="000000"/>
                <w:kern w:val="0"/>
                <w:sz w:val="21"/>
                <w:szCs w:val="21"/>
              </w:rPr>
            </w:pPr>
          </w:p>
        </w:tc>
        <w:tc>
          <w:tcPr>
            <w:tcW w:w="900"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D</w:t>
            </w:r>
            <w:r>
              <w:rPr>
                <w:rFonts w:hint="default" w:ascii="Times New Roman" w:hAnsi="Times New Roman" w:eastAsia="宋体" w:cs="Times New Roman"/>
                <w:color w:val="000000"/>
                <w:kern w:val="0"/>
                <w:sz w:val="21"/>
                <w:szCs w:val="21"/>
                <w:vertAlign w:val="subscript"/>
              </w:rPr>
              <w:t>10</w:t>
            </w:r>
          </w:p>
        </w:tc>
        <w:tc>
          <w:tcPr>
            <w:tcW w:w="833" w:type="pct"/>
            <w:vMerge w:val="restart"/>
            <w:tcBorders>
              <w:top w:val="single" w:color="auto" w:sz="4" w:space="0"/>
              <w:left w:val="nil"/>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μm</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cs="Times New Roman"/>
                <w:sz w:val="21"/>
                <w:szCs w:val="21"/>
              </w:rPr>
              <w:t>＜1</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p>
        </w:tc>
        <w:tc>
          <w:tcPr>
            <w:tcW w:w="1293" w:type="pct"/>
            <w:vMerge w:val="continue"/>
            <w:tcBorders>
              <w:left w:val="nil"/>
              <w:right w:val="single" w:color="000000"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p>
        </w:tc>
        <w:tc>
          <w:tcPr>
            <w:tcW w:w="900"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D</w:t>
            </w:r>
            <w:r>
              <w:rPr>
                <w:rFonts w:hint="default" w:ascii="Times New Roman" w:hAnsi="Times New Roman" w:eastAsia="宋体" w:cs="Times New Roman"/>
                <w:color w:val="000000"/>
                <w:kern w:val="0"/>
                <w:sz w:val="21"/>
                <w:szCs w:val="21"/>
                <w:vertAlign w:val="subscript"/>
              </w:rPr>
              <w:t>50</w:t>
            </w:r>
          </w:p>
        </w:tc>
        <w:tc>
          <w:tcPr>
            <w:tcW w:w="833" w:type="pct"/>
            <w:vMerge w:val="continue"/>
            <w:tcBorders>
              <w:left w:val="nil"/>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color w:val="000000"/>
                <w:kern w:val="0"/>
                <w:sz w:val="21"/>
                <w:szCs w:val="21"/>
                <w:lang w:val="en-US" w:eastAsia="zh-CN"/>
              </w:rPr>
            </w:pPr>
            <w:r>
              <w:rPr>
                <w:rFonts w:hint="default" w:ascii="Times New Roman" w:hAnsi="Times New Roman" w:cs="Times New Roman"/>
                <w:sz w:val="21"/>
                <w:szCs w:val="21"/>
              </w:rPr>
              <w:t>2～</w:t>
            </w:r>
            <w:r>
              <w:rPr>
                <w:rFonts w:hint="eastAsia" w:cs="Times New Roman"/>
                <w:sz w:val="21"/>
                <w:szCs w:val="21"/>
                <w:lang w:val="en-US" w:eastAsia="zh-CN"/>
              </w:rPr>
              <w:t>15</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p>
        </w:tc>
        <w:tc>
          <w:tcPr>
            <w:tcW w:w="1293" w:type="pct"/>
            <w:vMerge w:val="continue"/>
            <w:tcBorders>
              <w:left w:val="nil"/>
              <w:right w:val="single" w:color="000000"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p>
        </w:tc>
        <w:tc>
          <w:tcPr>
            <w:tcW w:w="900"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D</w:t>
            </w:r>
            <w:r>
              <w:rPr>
                <w:rFonts w:hint="default" w:ascii="Times New Roman" w:hAnsi="Times New Roman" w:eastAsia="宋体" w:cs="Times New Roman"/>
                <w:color w:val="000000"/>
                <w:kern w:val="0"/>
                <w:sz w:val="21"/>
                <w:szCs w:val="21"/>
                <w:vertAlign w:val="subscript"/>
              </w:rPr>
              <w:t>90</w:t>
            </w:r>
          </w:p>
        </w:tc>
        <w:tc>
          <w:tcPr>
            <w:tcW w:w="833" w:type="pct"/>
            <w:vMerge w:val="continue"/>
            <w:tcBorders>
              <w:left w:val="nil"/>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p>
        </w:tc>
        <w:tc>
          <w:tcPr>
            <w:tcW w:w="168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kern w:val="0"/>
                <w:sz w:val="21"/>
                <w:szCs w:val="21"/>
              </w:rPr>
            </w:pPr>
            <w:r>
              <w:rPr>
                <w:rFonts w:hint="default" w:ascii="Times New Roman" w:hAnsi="Times New Roman" w:cs="Times New Roman"/>
                <w:sz w:val="21"/>
                <w:szCs w:val="21"/>
              </w:rPr>
              <w:t>＜15</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p>
        </w:tc>
        <w:tc>
          <w:tcPr>
            <w:tcW w:w="1293" w:type="pct"/>
            <w:vMerge w:val="continue"/>
            <w:tcBorders>
              <w:left w:val="nil"/>
              <w:right w:val="single" w:color="000000"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p>
        </w:tc>
        <w:tc>
          <w:tcPr>
            <w:tcW w:w="900"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D</w:t>
            </w:r>
            <w:r>
              <w:rPr>
                <w:rFonts w:hint="default" w:ascii="Times New Roman" w:hAnsi="Times New Roman" w:eastAsia="宋体" w:cs="Times New Roman"/>
                <w:color w:val="000000"/>
                <w:kern w:val="0"/>
                <w:sz w:val="21"/>
                <w:szCs w:val="21"/>
                <w:vertAlign w:val="subscript"/>
              </w:rPr>
              <w:t>99</w:t>
            </w:r>
          </w:p>
        </w:tc>
        <w:tc>
          <w:tcPr>
            <w:tcW w:w="833" w:type="pct"/>
            <w:vMerge w:val="continue"/>
            <w:tcBorders>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p>
        </w:tc>
        <w:tc>
          <w:tcPr>
            <w:tcW w:w="168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color w:val="000000"/>
                <w:kern w:val="0"/>
                <w:sz w:val="21"/>
                <w:szCs w:val="21"/>
              </w:rPr>
            </w:pPr>
            <w:r>
              <w:rPr>
                <w:rFonts w:hint="default" w:ascii="Times New Roman" w:hAnsi="Times New Roman" w:cs="Times New Roman"/>
                <w:sz w:val="21"/>
                <w:szCs w:val="21"/>
              </w:rPr>
              <w:t>＜20</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p>
        </w:tc>
        <w:tc>
          <w:tcPr>
            <w:tcW w:w="2193"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比表面积</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m</w:t>
            </w:r>
            <w:r>
              <w:rPr>
                <w:rFonts w:hint="default" w:ascii="Times New Roman" w:hAnsi="Times New Roman" w:eastAsia="宋体" w:cs="Times New Roman"/>
                <w:color w:val="000000"/>
                <w:kern w:val="0"/>
                <w:sz w:val="21"/>
                <w:szCs w:val="21"/>
                <w:vertAlign w:val="superscript"/>
              </w:rPr>
              <w:t>2</w:t>
            </w:r>
            <w:r>
              <w:rPr>
                <w:rFonts w:hint="default" w:ascii="Times New Roman" w:hAnsi="Times New Roman" w:eastAsia="宋体" w:cs="Times New Roman"/>
                <w:color w:val="000000"/>
                <w:kern w:val="0"/>
                <w:sz w:val="21"/>
                <w:szCs w:val="21"/>
              </w:rPr>
              <w:t>/g</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rPr>
            </w:pPr>
            <w:r>
              <w:rPr>
                <w:rFonts w:hint="eastAsia" w:cs="Times New Roman"/>
                <w:color w:val="000000"/>
                <w:kern w:val="0"/>
                <w:sz w:val="21"/>
                <w:szCs w:val="21"/>
                <w:lang w:val="en-US" w:eastAsia="zh-CN"/>
              </w:rPr>
              <w:t>≤3</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lang w:val="en-US" w:eastAsia="zh-CN"/>
              </w:rPr>
            </w:pPr>
          </w:p>
        </w:tc>
        <w:tc>
          <w:tcPr>
            <w:tcW w:w="219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sz w:val="21"/>
                <w:szCs w:val="21"/>
              </w:rPr>
              <w:t>粉末振实密度</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sz w:val="21"/>
                <w:szCs w:val="21"/>
              </w:rPr>
              <w:t>g/cm</w:t>
            </w:r>
            <w:r>
              <w:rPr>
                <w:rFonts w:hint="default" w:ascii="Times New Roman" w:hAnsi="Times New Roman" w:eastAsia="宋体" w:cs="Times New Roman"/>
                <w:color w:val="000000"/>
                <w:sz w:val="21"/>
                <w:szCs w:val="21"/>
                <w:vertAlign w:val="superscript"/>
              </w:rPr>
              <w:t>3</w:t>
            </w:r>
          </w:p>
        </w:tc>
        <w:tc>
          <w:tcPr>
            <w:tcW w:w="897" w:type="pct"/>
            <w:tcBorders>
              <w:top w:val="nil"/>
              <w:left w:val="nil"/>
              <w:bottom w:val="single" w:color="auto" w:sz="4" w:space="0"/>
              <w:right w:val="single" w:color="auto" w:sz="4" w:space="0"/>
            </w:tcBorders>
            <w:shd w:val="clear" w:color="auto" w:fill="auto"/>
            <w:vAlign w:val="center"/>
          </w:tcPr>
          <w:p>
            <w:pPr>
              <w:widowControl/>
              <w:ind w:firstLine="420" w:firstLineChars="200"/>
              <w:jc w:val="both"/>
              <w:rPr>
                <w:rFonts w:hint="default" w:ascii="Times New Roman" w:hAnsi="Times New Roman" w:eastAsia="宋体" w:cs="Times New Roman"/>
                <w:color w:val="000000"/>
                <w:kern w:val="0"/>
                <w:sz w:val="21"/>
                <w:szCs w:val="21"/>
              </w:rPr>
            </w:pPr>
            <w:r>
              <w:rPr>
                <w:rFonts w:hint="eastAsia"/>
                <w:color w:val="auto"/>
                <w:kern w:val="2"/>
                <w:sz w:val="21"/>
                <w:szCs w:val="21"/>
                <w:highlight w:val="none"/>
                <w:lang w:val="en-US" w:eastAsia="zh-CN"/>
              </w:rPr>
              <w:t>≥1.5</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p>
        </w:tc>
        <w:tc>
          <w:tcPr>
            <w:tcW w:w="219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lang w:val="en-US" w:eastAsia="zh-CN" w:bidi="ar-SA"/>
              </w:rPr>
            </w:pPr>
            <w:r>
              <w:rPr>
                <w:rFonts w:hint="default" w:ascii="Times New Roman" w:hAnsi="Times New Roman" w:eastAsia="宋体" w:cs="Times New Roman"/>
                <w:b/>
                <w:bCs/>
                <w:sz w:val="21"/>
                <w:szCs w:val="21"/>
              </w:rPr>
              <w:t>水分含量</w:t>
            </w:r>
            <w:r>
              <w:rPr>
                <w:rFonts w:hint="default" w:ascii="Times New Roman" w:hAnsi="Times New Roman" w:eastAsia="宋体" w:cs="Times New Roman"/>
                <w:color w:val="000000"/>
                <w:kern w:val="0"/>
                <w:sz w:val="21"/>
                <w:szCs w:val="21"/>
              </w:rPr>
              <w:t>（质量百分比）</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w:t>
            </w:r>
          </w:p>
        </w:tc>
        <w:tc>
          <w:tcPr>
            <w:tcW w:w="897"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p>
        </w:tc>
        <w:tc>
          <w:tcPr>
            <w:tcW w:w="219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lang w:val="en-US" w:eastAsia="zh-CN" w:bidi="ar-SA"/>
              </w:rPr>
            </w:pPr>
            <w:r>
              <w:rPr>
                <w:rFonts w:hint="default" w:ascii="Times New Roman" w:hAnsi="Times New Roman" w:eastAsia="宋体" w:cs="Times New Roman"/>
                <w:b/>
                <w:bCs/>
                <w:color w:val="000000"/>
                <w:kern w:val="0"/>
                <w:sz w:val="21"/>
                <w:szCs w:val="21"/>
              </w:rPr>
              <w:t>晶体结构</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w:t>
            </w:r>
          </w:p>
        </w:tc>
        <w:tc>
          <w:tcPr>
            <w:tcW w:w="897"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O3</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p>
        </w:tc>
        <w:tc>
          <w:tcPr>
            <w:tcW w:w="2193"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eastAsia="宋体" w:cs="Times New Roman"/>
                <w:b/>
                <w:bCs/>
                <w:color w:val="000000"/>
                <w:kern w:val="0"/>
                <w:sz w:val="21"/>
                <w:szCs w:val="21"/>
                <w:lang w:val="en-US" w:eastAsia="zh-CN" w:bidi="ar-SA"/>
              </w:rPr>
            </w:pPr>
            <w:r>
              <w:rPr>
                <w:rFonts w:hint="default" w:ascii="Times New Roman" w:hAnsi="Times New Roman" w:eastAsia="宋体" w:cs="Times New Roman"/>
                <w:b/>
                <w:bCs/>
                <w:color w:val="000000"/>
                <w:kern w:val="0"/>
                <w:sz w:val="21"/>
                <w:szCs w:val="21"/>
              </w:rPr>
              <w:t>外观质量（颜色）</w:t>
            </w:r>
          </w:p>
        </w:tc>
        <w:tc>
          <w:tcPr>
            <w:tcW w:w="833"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w:t>
            </w:r>
          </w:p>
        </w:tc>
        <w:tc>
          <w:tcPr>
            <w:tcW w:w="897"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黑色粉末</w:t>
            </w:r>
          </w:p>
        </w:tc>
      </w:tr>
      <w:tr>
        <w:tblPrEx>
          <w:tblCellMar>
            <w:top w:w="0" w:type="dxa"/>
            <w:left w:w="108" w:type="dxa"/>
            <w:bottom w:w="0" w:type="dxa"/>
            <w:right w:w="108" w:type="dxa"/>
          </w:tblCellMar>
        </w:tblPrEx>
        <w:trPr>
          <w:trHeight w:val="353" w:hRule="atLeast"/>
        </w:trPr>
        <w:tc>
          <w:tcPr>
            <w:tcW w:w="1075"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b/>
                <w:bCs/>
                <w:color w:val="000000"/>
                <w:kern w:val="0"/>
                <w:sz w:val="21"/>
                <w:szCs w:val="21"/>
                <w:lang w:val="en-US" w:eastAsia="zh-CN"/>
              </w:rPr>
            </w:pPr>
            <w:r>
              <w:rPr>
                <w:rFonts w:hint="default" w:ascii="Times New Roman" w:hAnsi="Times New Roman" w:eastAsia="宋体" w:cs="Times New Roman"/>
                <w:b/>
                <w:bCs/>
                <w:color w:val="000000"/>
                <w:kern w:val="0"/>
                <w:sz w:val="21"/>
                <w:szCs w:val="21"/>
                <w:lang w:val="en-US" w:eastAsia="zh-CN"/>
              </w:rPr>
              <w:t>电化学性能</w:t>
            </w:r>
          </w:p>
        </w:tc>
        <w:tc>
          <w:tcPr>
            <w:tcW w:w="219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kern w:val="0"/>
                <w:sz w:val="21"/>
                <w:szCs w:val="21"/>
                <w:shd w:val="clear" w:fill="FFFF00"/>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充电截止电压</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pacing w:val="7"/>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V</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4</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b/>
                <w:bCs/>
                <w:color w:val="000000"/>
                <w:kern w:val="0"/>
                <w:sz w:val="21"/>
                <w:szCs w:val="21"/>
                <w:lang w:val="en-US" w:eastAsia="zh-CN"/>
              </w:rPr>
            </w:pPr>
          </w:p>
        </w:tc>
        <w:tc>
          <w:tcPr>
            <w:tcW w:w="2193"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color w:val="000000"/>
                <w:kern w:val="0"/>
                <w:sz w:val="21"/>
                <w:szCs w:val="21"/>
                <w:shd w:val="clear" w:fill="FFFF00"/>
                <w:lang w:val="en-US" w:eastAsia="zh-CN" w:bidi="ar-SA"/>
              </w:rPr>
            </w:pPr>
            <w:r>
              <w:rPr>
                <w:rStyle w:val="76"/>
                <w:rFonts w:hint="default" w:ascii="Times New Roman" w:hAnsi="Times New Roman" w:eastAsia="宋体" w:cs="Times New Roman"/>
                <w:b/>
                <w:bCs/>
                <w:sz w:val="21"/>
                <w:szCs w:val="21"/>
                <w:lang w:val="en-US" w:eastAsia="zh-CN" w:bidi="ar"/>
              </w:rPr>
              <w:t>放电截止电压</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spacing w:val="7"/>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V</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2</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b/>
                <w:bCs/>
                <w:color w:val="000000"/>
                <w:kern w:val="0"/>
                <w:sz w:val="21"/>
                <w:szCs w:val="21"/>
                <w:lang w:val="en-US" w:eastAsia="zh-CN"/>
              </w:rPr>
            </w:pPr>
          </w:p>
        </w:tc>
        <w:tc>
          <w:tcPr>
            <w:tcW w:w="21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shd w:val="clear"/>
              </w:rPr>
              <w:t>0.1C</w:t>
            </w:r>
            <w:r>
              <w:rPr>
                <w:rFonts w:hint="default" w:ascii="Times New Roman" w:hAnsi="Times New Roman" w:eastAsia="宋体" w:cs="Times New Roman"/>
                <w:b/>
                <w:bCs/>
                <w:color w:val="000000"/>
                <w:kern w:val="0"/>
                <w:sz w:val="21"/>
                <w:szCs w:val="21"/>
              </w:rPr>
              <w:t>首次放电比容量</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pacing w:val="7"/>
                <w:sz w:val="21"/>
                <w:szCs w:val="21"/>
              </w:rPr>
              <w:t>mAh/g</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110</w:t>
            </w:r>
          </w:p>
        </w:tc>
      </w:tr>
      <w:tr>
        <w:tblPrEx>
          <w:tblCellMar>
            <w:top w:w="0" w:type="dxa"/>
            <w:left w:w="108" w:type="dxa"/>
            <w:bottom w:w="0" w:type="dxa"/>
            <w:right w:w="108" w:type="dxa"/>
          </w:tblCellMar>
        </w:tblPrEx>
        <w:trPr>
          <w:trHeight w:val="353" w:hRule="atLeast"/>
        </w:trPr>
        <w:tc>
          <w:tcPr>
            <w:tcW w:w="1075" w:type="pct"/>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b/>
                <w:bCs/>
                <w:color w:val="000000"/>
                <w:kern w:val="0"/>
                <w:sz w:val="21"/>
                <w:szCs w:val="21"/>
              </w:rPr>
            </w:pPr>
          </w:p>
        </w:tc>
        <w:tc>
          <w:tcPr>
            <w:tcW w:w="21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shd w:val="clear"/>
              </w:rPr>
              <w:t>0.1C</w:t>
            </w:r>
            <w:r>
              <w:rPr>
                <w:rFonts w:hint="default" w:ascii="Times New Roman" w:hAnsi="Times New Roman" w:eastAsia="宋体" w:cs="Times New Roman"/>
                <w:b/>
                <w:bCs/>
                <w:color w:val="000000"/>
                <w:kern w:val="0"/>
                <w:sz w:val="21"/>
                <w:szCs w:val="21"/>
              </w:rPr>
              <w:t>首次充放电效率</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spacing w:val="7"/>
                <w:sz w:val="21"/>
                <w:szCs w:val="21"/>
              </w:rPr>
              <w:t>%</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88</w:t>
            </w:r>
          </w:p>
        </w:tc>
      </w:tr>
      <w:tr>
        <w:tblPrEx>
          <w:tblCellMar>
            <w:top w:w="0" w:type="dxa"/>
            <w:left w:w="108" w:type="dxa"/>
            <w:bottom w:w="0" w:type="dxa"/>
            <w:right w:w="108" w:type="dxa"/>
          </w:tblCellMar>
        </w:tblPrEx>
        <w:trPr>
          <w:trHeight w:val="640" w:hRule="atLeast"/>
        </w:trPr>
        <w:tc>
          <w:tcPr>
            <w:tcW w:w="1075" w:type="pct"/>
            <w:vMerge w:val="continue"/>
            <w:tcBorders>
              <w:left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p>
        </w:tc>
        <w:tc>
          <w:tcPr>
            <w:tcW w:w="219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循环寿命</w:t>
            </w:r>
          </w:p>
          <w:p>
            <w:pPr>
              <w:widowControl/>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shd w:val="clear"/>
              </w:rPr>
              <w:t>（默认</w:t>
            </w:r>
            <w:r>
              <w:rPr>
                <w:rFonts w:hint="default" w:ascii="Times New Roman" w:hAnsi="Times New Roman" w:eastAsia="宋体" w:cs="Times New Roman"/>
                <w:color w:val="000000"/>
                <w:kern w:val="0"/>
                <w:sz w:val="21"/>
                <w:szCs w:val="21"/>
                <w:shd w:val="clear"/>
                <w:lang w:val="en-US" w:eastAsia="zh-CN"/>
              </w:rPr>
              <w:t>0.</w:t>
            </w:r>
            <w:r>
              <w:rPr>
                <w:rFonts w:hint="default" w:ascii="Times New Roman" w:hAnsi="Times New Roman" w:eastAsia="宋体" w:cs="Times New Roman"/>
                <w:color w:val="000000"/>
                <w:kern w:val="0"/>
                <w:sz w:val="21"/>
                <w:szCs w:val="21"/>
                <w:shd w:val="clear"/>
              </w:rPr>
              <w:t>1C倍率</w:t>
            </w:r>
            <w:r>
              <w:rPr>
                <w:rFonts w:hint="eastAsia" w:cs="Times New Roman"/>
                <w:color w:val="000000"/>
                <w:kern w:val="0"/>
                <w:sz w:val="21"/>
                <w:szCs w:val="21"/>
                <w:shd w:val="clear"/>
                <w:lang w:eastAsia="zh-CN"/>
              </w:rPr>
              <w:t>，</w:t>
            </w:r>
            <w:r>
              <w:rPr>
                <w:rFonts w:hint="eastAsia" w:cs="Times New Roman"/>
                <w:color w:val="000000"/>
                <w:kern w:val="0"/>
                <w:sz w:val="21"/>
                <w:szCs w:val="21"/>
                <w:shd w:val="clear"/>
                <w:lang w:val="en-US" w:eastAsia="zh-CN"/>
              </w:rPr>
              <w:t>80%</w:t>
            </w:r>
            <w:r>
              <w:rPr>
                <w:rFonts w:hint="default" w:ascii="Times New Roman" w:hAnsi="Times New Roman" w:eastAsia="宋体" w:cs="Times New Roman"/>
                <w:color w:val="000000"/>
                <w:kern w:val="0"/>
                <w:sz w:val="21"/>
                <w:szCs w:val="21"/>
                <w:shd w:val="clear"/>
              </w:rPr>
              <w:t>）</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spacing w:val="7"/>
                <w:sz w:val="21"/>
                <w:szCs w:val="21"/>
              </w:rPr>
            </w:pPr>
            <w:r>
              <w:rPr>
                <w:rFonts w:hint="default" w:ascii="Times New Roman" w:hAnsi="Times New Roman" w:eastAsia="宋体" w:cs="Times New Roman"/>
                <w:spacing w:val="7"/>
                <w:sz w:val="21"/>
                <w:szCs w:val="21"/>
              </w:rPr>
              <w:t>次</w:t>
            </w: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500</w:t>
            </w:r>
          </w:p>
        </w:tc>
      </w:tr>
      <w:tr>
        <w:tblPrEx>
          <w:tblCellMar>
            <w:top w:w="0" w:type="dxa"/>
            <w:left w:w="108" w:type="dxa"/>
            <w:bottom w:w="0" w:type="dxa"/>
            <w:right w:w="108" w:type="dxa"/>
          </w:tblCellMar>
        </w:tblPrEx>
        <w:trPr>
          <w:trHeight w:val="363" w:hRule="atLeast"/>
        </w:trPr>
        <w:tc>
          <w:tcPr>
            <w:tcW w:w="1075" w:type="pct"/>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bCs/>
                <w:color w:val="000000"/>
                <w:kern w:val="0"/>
                <w:sz w:val="21"/>
                <w:szCs w:val="21"/>
              </w:rPr>
            </w:pPr>
          </w:p>
        </w:tc>
        <w:tc>
          <w:tcPr>
            <w:tcW w:w="2193" w:type="pct"/>
            <w:gridSpan w:val="2"/>
            <w:tcBorders>
              <w:top w:val="single" w:color="auto"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w:t>
            </w:r>
          </w:p>
        </w:tc>
        <w:tc>
          <w:tcPr>
            <w:tcW w:w="8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spacing w:val="7"/>
                <w:sz w:val="21"/>
                <w:szCs w:val="21"/>
              </w:rPr>
            </w:pPr>
          </w:p>
        </w:tc>
        <w:tc>
          <w:tcPr>
            <w:tcW w:w="89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1"/>
                <w:szCs w:val="21"/>
              </w:rPr>
            </w:pPr>
          </w:p>
        </w:tc>
      </w:tr>
    </w:tbl>
    <w:p>
      <w:pPr>
        <w:keepNext w:val="0"/>
        <w:keepLines w:val="0"/>
        <w:pageBreakBefore w:val="0"/>
        <w:widowControl w:val="0"/>
        <w:kinsoku/>
        <w:wordWrap/>
        <w:overflowPunct/>
        <w:topLinePunct w:val="0"/>
        <w:autoSpaceDE/>
        <w:autoSpaceDN/>
        <w:bidi w:val="0"/>
        <w:adjustRightInd/>
        <w:snapToGrid/>
        <w:textAlignment w:val="auto"/>
        <w:rPr>
          <w:sz w:val="21"/>
          <w:szCs w:val="21"/>
        </w:rPr>
      </w:pPr>
    </w:p>
    <w:p>
      <w:pPr>
        <w:widowControl w:val="0"/>
        <w:spacing w:before="156" w:beforeLines="50" w:after="156" w:afterLines="50"/>
        <w:jc w:val="both"/>
        <w:outlineLvl w:val="1"/>
        <w:rPr>
          <w:b/>
          <w:bCs/>
          <w:sz w:val="21"/>
          <w:szCs w:val="21"/>
        </w:rPr>
      </w:pPr>
      <w:r>
        <w:rPr>
          <w:b/>
          <w:bCs/>
          <w:sz w:val="21"/>
          <w:szCs w:val="21"/>
        </w:rPr>
        <w:t xml:space="preserve">3.2 </w:t>
      </w:r>
      <w:r>
        <w:rPr>
          <w:rFonts w:hint="eastAsia"/>
          <w:b/>
          <w:bCs/>
          <w:sz w:val="21"/>
          <w:szCs w:val="21"/>
        </w:rPr>
        <w:t>技术要求</w:t>
      </w:r>
    </w:p>
    <w:p>
      <w:pPr>
        <w:pStyle w:val="59"/>
        <w:numPr>
          <w:ilvl w:val="2"/>
          <w:numId w:val="0"/>
        </w:numPr>
        <w:spacing w:before="156" w:beforeLines="50" w:after="156" w:afterLines="50"/>
        <w:ind w:left="0" w:leftChars="0" w:firstLine="0" w:firstLineChars="0"/>
        <w:outlineLvl w:val="2"/>
        <w:rPr>
          <w:b/>
          <w:bCs/>
          <w:szCs w:val="21"/>
        </w:rPr>
      </w:pPr>
      <w:r>
        <w:rPr>
          <w:rFonts w:hint="eastAsia" w:cs="Times New Roman"/>
          <w:b/>
          <w:bCs/>
          <w:kern w:val="2"/>
          <w:sz w:val="21"/>
          <w:szCs w:val="21"/>
          <w:lang w:val="en-US" w:eastAsia="zh-CN" w:bidi="ar-SA"/>
        </w:rPr>
        <w:t>3</w:t>
      </w:r>
      <w:r>
        <w:rPr>
          <w:rFonts w:hint="eastAsia" w:ascii="Times New Roman" w:hAnsi="Times New Roman" w:eastAsia="宋体" w:cs="Times New Roman"/>
          <w:b/>
          <w:bCs/>
          <w:kern w:val="2"/>
          <w:sz w:val="21"/>
          <w:szCs w:val="21"/>
          <w:lang w:val="en-US" w:eastAsia="zh-CN" w:bidi="ar-SA"/>
        </w:rPr>
        <w:t>.</w:t>
      </w:r>
      <w:r>
        <w:rPr>
          <w:rFonts w:hint="eastAsia" w:cs="Times New Roman"/>
          <w:b/>
          <w:bCs/>
          <w:kern w:val="2"/>
          <w:sz w:val="21"/>
          <w:szCs w:val="21"/>
          <w:lang w:val="en-US" w:eastAsia="zh-CN" w:bidi="ar-SA"/>
        </w:rPr>
        <w:t>2</w:t>
      </w:r>
      <w:r>
        <w:rPr>
          <w:rFonts w:hint="eastAsia" w:ascii="Times New Roman" w:hAnsi="Times New Roman" w:eastAsia="宋体" w:cs="Times New Roman"/>
          <w:b/>
          <w:bCs/>
          <w:kern w:val="2"/>
          <w:sz w:val="21"/>
          <w:szCs w:val="21"/>
          <w:lang w:val="en-US" w:eastAsia="zh-CN" w:bidi="ar-SA"/>
        </w:rPr>
        <w:t>.1</w:t>
      </w:r>
      <w:r>
        <w:rPr>
          <w:rFonts w:hint="eastAsia"/>
          <w:b/>
          <w:bCs/>
          <w:szCs w:val="21"/>
        </w:rPr>
        <w:t xml:space="preserve"> 化学成分</w:t>
      </w:r>
    </w:p>
    <w:p>
      <w:pPr>
        <w:ind w:firstLine="420" w:firstLineChars="200"/>
        <w:jc w:val="both"/>
        <w:rPr>
          <w:sz w:val="21"/>
          <w:szCs w:val="21"/>
        </w:rPr>
      </w:pPr>
      <w:r>
        <w:rPr>
          <w:rFonts w:hint="eastAsia"/>
          <w:sz w:val="21"/>
          <w:szCs w:val="21"/>
        </w:rPr>
        <w:t>本标准根据市场现有的铜铁锰酸钠，规定了主元素含量范围。各类产品中基体成分含量同时采用基体中各元素合量和物质的量分数两种方式来计。基体中各元素合量是质量分数之和，应满足49.1~52.1%。基体中各元素物质的量分数，根据需方对产品各元素比例的具体要求，物质的量分数值公差应不大于±1。需方有特殊要求时，由供需双方协商确定。</w:t>
      </w:r>
    </w:p>
    <w:p>
      <w:pPr>
        <w:ind w:firstLine="420" w:firstLineChars="200"/>
        <w:jc w:val="both"/>
        <w:rPr>
          <w:sz w:val="21"/>
          <w:szCs w:val="21"/>
        </w:rPr>
      </w:pPr>
      <w:r>
        <w:rPr>
          <w:rFonts w:hint="eastAsia"/>
          <w:sz w:val="21"/>
          <w:szCs w:val="21"/>
        </w:rPr>
        <w:t>需方有特殊要求时，按供需双方协商的杂质元素种类进行测试。</w:t>
      </w:r>
    </w:p>
    <w:p>
      <w:pPr>
        <w:ind w:firstLine="420" w:firstLineChars="200"/>
        <w:jc w:val="both"/>
        <w:rPr>
          <w:sz w:val="21"/>
          <w:szCs w:val="21"/>
        </w:rPr>
      </w:pPr>
      <w:r>
        <w:rPr>
          <w:rFonts w:hint="eastAsia"/>
          <w:sz w:val="21"/>
          <w:szCs w:val="21"/>
        </w:rPr>
        <w:t>产品的化学成分应符合表</w:t>
      </w:r>
      <w:r>
        <w:rPr>
          <w:sz w:val="21"/>
          <w:szCs w:val="21"/>
        </w:rPr>
        <w:t>2</w:t>
      </w:r>
      <w:r>
        <w:rPr>
          <w:rFonts w:hint="eastAsia"/>
          <w:sz w:val="21"/>
          <w:szCs w:val="21"/>
        </w:rPr>
        <w:t>的规定。</w:t>
      </w:r>
    </w:p>
    <w:p>
      <w:pPr>
        <w:tabs>
          <w:tab w:val="center" w:pos="4201"/>
          <w:tab w:val="right" w:leader="dot" w:pos="9298"/>
        </w:tabs>
        <w:autoSpaceDE w:val="0"/>
        <w:autoSpaceDN w:val="0"/>
        <w:spacing w:before="156" w:beforeLines="50" w:after="156" w:afterLines="50"/>
        <w:ind w:right="420"/>
        <w:jc w:val="center"/>
        <w:rPr>
          <w:rFonts w:hint="eastAsia"/>
          <w:b/>
          <w:bCs/>
          <w:sz w:val="21"/>
          <w:szCs w:val="21"/>
        </w:rPr>
      </w:pPr>
      <w:r>
        <w:rPr>
          <w:rFonts w:hint="eastAsia"/>
          <w:b/>
          <w:bCs/>
          <w:sz w:val="21"/>
          <w:szCs w:val="21"/>
        </w:rPr>
        <w:t>表</w:t>
      </w:r>
      <w:r>
        <w:rPr>
          <w:b/>
          <w:bCs/>
          <w:sz w:val="21"/>
          <w:szCs w:val="21"/>
        </w:rPr>
        <w:t>2</w:t>
      </w:r>
      <w:r>
        <w:rPr>
          <w:rFonts w:hint="eastAsia"/>
          <w:b/>
          <w:bCs/>
          <w:sz w:val="21"/>
          <w:szCs w:val="21"/>
        </w:rPr>
        <w:t xml:space="preserve">  化学成分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80" w:type="dxa"/>
            <w:gridSpan w:val="2"/>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化学成分</w:t>
            </w:r>
          </w:p>
        </w:tc>
        <w:tc>
          <w:tcPr>
            <w:tcW w:w="3191" w:type="dxa"/>
          </w:tcPr>
          <w:p>
            <w:pPr>
              <w:jc w:val="center"/>
              <w:rPr>
                <w:rFonts w:hint="default" w:ascii="Times New Roman" w:hAnsi="Times New Roman" w:cs="Times New Roman" w:eastAsiaTheme="minorEastAsia"/>
              </w:rPr>
            </w:pPr>
            <w:r>
              <w:rPr>
                <w:rFonts w:hint="default" w:ascii="Times New Roman" w:hAnsi="Times New Roman" w:cs="Times New Roman" w:eastAsiaTheme="minorEastAsia"/>
              </w:rPr>
              <w:t>含量，质量分数/%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restart"/>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eastAsiaTheme="minorEastAsia"/>
              </w:rPr>
              <w:t>主元素</w:t>
            </w:r>
            <w:r>
              <w:rPr>
                <w:rFonts w:hint="default" w:ascii="Times New Roman" w:hAnsi="Times New Roman" w:cs="Times New Roman" w:eastAsiaTheme="minorEastAsia"/>
                <w:lang w:val="en-US" w:eastAsia="zh-CN"/>
              </w:rPr>
              <w:t>含量</w:t>
            </w:r>
          </w:p>
        </w:tc>
        <w:tc>
          <w:tcPr>
            <w:tcW w:w="3190" w:type="dxa"/>
          </w:tcPr>
          <w:p>
            <w:pPr>
              <w:jc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铜</w:t>
            </w:r>
            <w:r>
              <w:rPr>
                <w:rFonts w:hint="eastAsia" w:cs="Times New Roman"/>
                <w:sz w:val="21"/>
                <w:szCs w:val="21"/>
                <w:lang w:eastAsia="zh-CN"/>
              </w:rPr>
              <w:t>（</w:t>
            </w:r>
            <w:r>
              <w:rPr>
                <w:rFonts w:hint="default" w:ascii="Times New Roman" w:hAnsi="Times New Roman" w:eastAsia="宋体" w:cs="Times New Roman"/>
                <w:sz w:val="21"/>
                <w:szCs w:val="21"/>
              </w:rPr>
              <w:t>Cu</w:t>
            </w:r>
            <w:r>
              <w:rPr>
                <w:rFonts w:hint="eastAsia" w:cs="Times New Roman"/>
                <w:sz w:val="21"/>
                <w:szCs w:val="21"/>
                <w:lang w:eastAsia="zh-CN"/>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vAlign w:val="center"/>
          </w:tcPr>
          <w:p>
            <w:pPr>
              <w:jc w:val="center"/>
              <w:rPr>
                <w:rFonts w:hint="default" w:ascii="Times New Roman" w:hAnsi="Times New Roman" w:cs="Times New Roman" w:eastAsiaTheme="minorEastAsia"/>
              </w:rPr>
            </w:pPr>
          </w:p>
        </w:tc>
        <w:tc>
          <w:tcPr>
            <w:tcW w:w="3190" w:type="dxa"/>
            <w:vAlign w:val="center"/>
          </w:tcPr>
          <w:p>
            <w:pPr>
              <w:widowControl/>
              <w:jc w:val="center"/>
              <w:textAlignment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铁</w:t>
            </w:r>
            <w:r>
              <w:rPr>
                <w:rFonts w:hint="eastAsia" w:cs="Times New Roman"/>
                <w:sz w:val="21"/>
                <w:szCs w:val="21"/>
                <w:lang w:eastAsia="zh-CN"/>
              </w:rPr>
              <w:t>（</w:t>
            </w:r>
            <w:r>
              <w:rPr>
                <w:rFonts w:hint="default" w:ascii="Times New Roman" w:hAnsi="Times New Roman" w:eastAsia="宋体" w:cs="Times New Roman"/>
                <w:sz w:val="21"/>
                <w:szCs w:val="21"/>
              </w:rPr>
              <w:t>Fe</w:t>
            </w:r>
            <w:r>
              <w:rPr>
                <w:rFonts w:hint="eastAsia" w:cs="Times New Roman"/>
                <w:sz w:val="21"/>
                <w:szCs w:val="21"/>
                <w:lang w:eastAsia="zh-CN"/>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vAlign w:val="center"/>
          </w:tcPr>
          <w:p>
            <w:pPr>
              <w:jc w:val="center"/>
              <w:rPr>
                <w:rFonts w:hint="default" w:ascii="Times New Roman" w:hAnsi="Times New Roman" w:cs="Times New Roman" w:eastAsiaTheme="minorEastAsia"/>
              </w:rPr>
            </w:pPr>
          </w:p>
        </w:tc>
        <w:tc>
          <w:tcPr>
            <w:tcW w:w="3190" w:type="dxa"/>
            <w:vAlign w:val="center"/>
          </w:tcPr>
          <w:p>
            <w:pPr>
              <w:widowControl/>
              <w:jc w:val="center"/>
              <w:textAlignment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锰</w:t>
            </w:r>
            <w:r>
              <w:rPr>
                <w:rFonts w:hint="eastAsia" w:cs="Times New Roman"/>
                <w:sz w:val="21"/>
                <w:szCs w:val="21"/>
                <w:lang w:eastAsia="zh-CN"/>
              </w:rPr>
              <w:t>（</w:t>
            </w:r>
            <w:r>
              <w:rPr>
                <w:rFonts w:hint="default" w:ascii="Times New Roman" w:hAnsi="Times New Roman" w:eastAsia="宋体" w:cs="Times New Roman"/>
                <w:sz w:val="21"/>
                <w:szCs w:val="21"/>
              </w:rPr>
              <w:t>Mn</w:t>
            </w:r>
            <w:r>
              <w:rPr>
                <w:rFonts w:hint="eastAsia" w:cs="Times New Roman"/>
                <w:sz w:val="21"/>
                <w:szCs w:val="21"/>
                <w:lang w:eastAsia="zh-CN"/>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15.5~26</w:t>
            </w:r>
            <w:r>
              <w:rPr>
                <w:rFonts w:hint="eastAsia" w:cs="Times New Roman"/>
                <w:i w:val="0"/>
                <w:iCs w:val="0"/>
                <w:color w:val="000000"/>
                <w:kern w:val="0"/>
                <w:sz w:val="22"/>
                <w:szCs w:val="22"/>
                <w:u w:val="none"/>
                <w:lang w:val="en-US" w:eastAsia="zh-CN" w:bidi="ar"/>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vAlign w:val="center"/>
          </w:tcPr>
          <w:p>
            <w:pPr>
              <w:jc w:val="center"/>
              <w:rPr>
                <w:rFonts w:hint="default" w:ascii="Times New Roman" w:hAnsi="Times New Roman" w:cs="Times New Roman" w:eastAsiaTheme="minorEastAsia"/>
              </w:rPr>
            </w:pPr>
          </w:p>
        </w:tc>
        <w:tc>
          <w:tcPr>
            <w:tcW w:w="3190"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Cu+Fe+Mn</w:t>
            </w:r>
          </w:p>
        </w:tc>
        <w:tc>
          <w:tcPr>
            <w:tcW w:w="3191" w:type="dxa"/>
            <w:vAlign w:val="top"/>
          </w:tcPr>
          <w:p>
            <w:pPr>
              <w:jc w:val="center"/>
              <w:rPr>
                <w:rFonts w:hint="default"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23.0~44.8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vAlign w:val="center"/>
          </w:tcPr>
          <w:p>
            <w:pPr>
              <w:jc w:val="center"/>
              <w:rPr>
                <w:rFonts w:hint="default" w:ascii="Times New Roman" w:hAnsi="Times New Roman" w:cs="Times New Roman" w:eastAsiaTheme="minorEastAsia"/>
              </w:rPr>
            </w:pPr>
          </w:p>
        </w:tc>
        <w:tc>
          <w:tcPr>
            <w:tcW w:w="3190" w:type="dxa"/>
            <w:vAlign w:val="center"/>
          </w:tcPr>
          <w:p>
            <w:pPr>
              <w:widowControl/>
              <w:jc w:val="center"/>
              <w:textAlignment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钠（Na）</w:t>
            </w:r>
          </w:p>
        </w:tc>
        <w:tc>
          <w:tcPr>
            <w:tcW w:w="3191" w:type="dxa"/>
            <w:vAlign w:val="top"/>
          </w:tcPr>
          <w:p>
            <w:pPr>
              <w:jc w:val="center"/>
              <w:rPr>
                <w:rFonts w:hint="default"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restart"/>
            <w:vAlign w:val="center"/>
          </w:tcPr>
          <w:p>
            <w:pPr>
              <w:jc w:val="center"/>
              <w:rPr>
                <w:rFonts w:hint="default" w:ascii="Times New Roman" w:hAnsi="Times New Roman" w:cs="Times New Roman" w:eastAsiaTheme="minorEastAsia"/>
                <w:lang w:val="en-US" w:eastAsia="zh-CN"/>
              </w:rPr>
            </w:pPr>
            <w:r>
              <w:rPr>
                <w:rFonts w:hint="eastAsia" w:cs="Times New Roman" w:eastAsiaTheme="minorEastAsia"/>
                <w:lang w:val="en-US" w:eastAsia="zh-CN"/>
              </w:rPr>
              <w:t>其他元素含量</w:t>
            </w:r>
          </w:p>
        </w:tc>
        <w:tc>
          <w:tcPr>
            <w:tcW w:w="3190" w:type="dxa"/>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镉（Cd）</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铬（Cr）</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铅（Pb）</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硅（Si）</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硫（S）</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Merge w:val="continue"/>
          </w:tcPr>
          <w:p>
            <w:pPr>
              <w:rPr>
                <w:rFonts w:hint="default" w:ascii="Times New Roman" w:hAnsi="Times New Roman" w:cs="Times New Roman" w:eastAsiaTheme="minorEastAsia"/>
              </w:rPr>
            </w:pPr>
          </w:p>
        </w:tc>
        <w:tc>
          <w:tcPr>
            <w:tcW w:w="3190" w:type="dxa"/>
            <w:vAlign w:val="center"/>
          </w:tcPr>
          <w:p>
            <w:pPr>
              <w:widowControl/>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氯（Cl</w:t>
            </w:r>
            <w:r>
              <w:rPr>
                <w:rFonts w:hint="default" w:ascii="Times New Roman" w:hAnsi="Times New Roman" w:eastAsia="宋体" w:cs="Times New Roman"/>
                <w:sz w:val="21"/>
                <w:szCs w:val="21"/>
                <w:vertAlign w:val="superscript"/>
              </w:rPr>
              <w:t>-</w:t>
            </w:r>
            <w:r>
              <w:rPr>
                <w:rFonts w:hint="default" w:ascii="Times New Roman" w:hAnsi="Times New Roman" w:eastAsia="宋体" w:cs="Times New Roman"/>
                <w:sz w:val="21"/>
                <w:szCs w:val="21"/>
              </w:rPr>
              <w:t>）</w:t>
            </w:r>
          </w:p>
        </w:tc>
        <w:tc>
          <w:tcPr>
            <w:tcW w:w="3191" w:type="dxa"/>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≤0.25</w:t>
            </w:r>
          </w:p>
        </w:tc>
      </w:tr>
    </w:tbl>
    <w:p>
      <w:pPr>
        <w:pStyle w:val="2"/>
        <w:rPr>
          <w:rFonts w:hint="eastAsia"/>
        </w:rPr>
      </w:pPr>
    </w:p>
    <w:p>
      <w:pPr>
        <w:pStyle w:val="59"/>
        <w:numPr>
          <w:ilvl w:val="2"/>
          <w:numId w:val="0"/>
        </w:numPr>
        <w:spacing w:before="156" w:beforeLines="50" w:after="156" w:afterLines="50"/>
        <w:ind w:left="0" w:leftChars="0" w:firstLine="0" w:firstLineChars="0"/>
        <w:outlineLvl w:val="2"/>
        <w:rPr>
          <w:b/>
          <w:bCs/>
          <w:szCs w:val="21"/>
        </w:rPr>
      </w:pPr>
      <w:r>
        <w:rPr>
          <w:rFonts w:hint="eastAsia" w:cs="Times New Roman"/>
          <w:b/>
          <w:bCs/>
          <w:kern w:val="2"/>
          <w:sz w:val="21"/>
          <w:szCs w:val="21"/>
          <w:lang w:val="en-US" w:eastAsia="zh-CN" w:bidi="ar-SA"/>
        </w:rPr>
        <w:t>3.2.2</w:t>
      </w:r>
      <w:r>
        <w:rPr>
          <w:rFonts w:hint="eastAsia"/>
          <w:b/>
          <w:bCs/>
          <w:szCs w:val="21"/>
          <w:lang w:val="en-US" w:eastAsia="zh-CN"/>
        </w:rPr>
        <w:t xml:space="preserve"> </w:t>
      </w:r>
      <w:r>
        <w:rPr>
          <w:rFonts w:hint="eastAsia"/>
          <w:b/>
          <w:bCs/>
          <w:szCs w:val="21"/>
        </w:rPr>
        <w:t>水分含量</w:t>
      </w:r>
    </w:p>
    <w:p>
      <w:pPr>
        <w:ind w:firstLine="420" w:firstLineChars="200"/>
        <w:jc w:val="both"/>
        <w:rPr>
          <w:sz w:val="21"/>
          <w:szCs w:val="21"/>
          <w:highlight w:val="none"/>
        </w:rPr>
      </w:pPr>
      <w:r>
        <w:rPr>
          <w:rFonts w:hint="eastAsia"/>
          <w:sz w:val="21"/>
          <w:szCs w:val="21"/>
        </w:rPr>
        <w:t>水分对电池极片制备和电池性能影响较大。材料水分超标，会影响电池极片涂覆工艺，若多余水分进入电池中易引发安全问题，故应严格控制产品水分含量。考虑生产企业产品情况及使用企业要求，产品的水分含量应不大于</w:t>
      </w:r>
      <w:r>
        <w:rPr>
          <w:rFonts w:hint="eastAsia"/>
          <w:sz w:val="21"/>
          <w:szCs w:val="21"/>
          <w:highlight w:val="none"/>
          <w:lang w:val="en-US" w:eastAsia="zh-CN"/>
        </w:rPr>
        <w:t>0.5</w:t>
      </w:r>
      <w:r>
        <w:rPr>
          <w:rFonts w:hint="eastAsia"/>
          <w:sz w:val="21"/>
          <w:szCs w:val="21"/>
          <w:highlight w:val="none"/>
        </w:rPr>
        <w:t>%。</w:t>
      </w:r>
    </w:p>
    <w:p>
      <w:pPr>
        <w:pStyle w:val="59"/>
        <w:numPr>
          <w:ilvl w:val="2"/>
          <w:numId w:val="0"/>
        </w:numPr>
        <w:spacing w:before="156" w:beforeLines="50" w:after="156" w:afterLines="50"/>
        <w:ind w:left="0" w:leftChars="0" w:firstLine="0" w:firstLineChars="0"/>
        <w:outlineLvl w:val="2"/>
        <w:rPr>
          <w:b/>
          <w:bCs/>
          <w:szCs w:val="21"/>
          <w:highlight w:val="none"/>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.3</w:t>
      </w:r>
      <w:r>
        <w:rPr>
          <w:rFonts w:hint="eastAsia"/>
          <w:b/>
          <w:bCs/>
          <w:szCs w:val="21"/>
          <w:highlight w:val="none"/>
        </w:rPr>
        <w:t xml:space="preserve"> 外观质量</w:t>
      </w:r>
    </w:p>
    <w:p>
      <w:pPr>
        <w:ind w:firstLine="420" w:firstLineChars="200"/>
        <w:jc w:val="both"/>
        <w:rPr>
          <w:rFonts w:hint="eastAsia"/>
          <w:sz w:val="21"/>
          <w:szCs w:val="21"/>
          <w:highlight w:val="none"/>
        </w:rPr>
      </w:pPr>
      <w:r>
        <w:rPr>
          <w:rFonts w:hint="eastAsia"/>
          <w:sz w:val="21"/>
          <w:szCs w:val="21"/>
          <w:highlight w:val="none"/>
        </w:rPr>
        <w:t>产品的外观应为灰黑色粉末，颜色均一，无硬结块。</w:t>
      </w:r>
    </w:p>
    <w:p>
      <w:pPr>
        <w:pStyle w:val="59"/>
        <w:numPr>
          <w:ilvl w:val="2"/>
          <w:numId w:val="0"/>
        </w:numPr>
        <w:spacing w:before="156" w:beforeLines="50" w:after="156" w:afterLines="50"/>
        <w:ind w:left="0" w:leftChars="0" w:firstLine="0" w:firstLineChars="0"/>
        <w:outlineLvl w:val="2"/>
        <w:rPr>
          <w:b/>
          <w:bCs/>
          <w:szCs w:val="21"/>
          <w:highlight w:val="none"/>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.4</w:t>
      </w:r>
      <w:r>
        <w:rPr>
          <w:rFonts w:hint="eastAsia"/>
          <w:b/>
          <w:bCs/>
          <w:szCs w:val="21"/>
          <w:highlight w:val="none"/>
        </w:rPr>
        <w:t xml:space="preserve"> </w:t>
      </w:r>
      <w:r>
        <w:rPr>
          <w:rFonts w:hint="eastAsia"/>
          <w:b/>
          <w:bCs/>
          <w:szCs w:val="21"/>
          <w:highlight w:val="none"/>
          <w:lang w:val="en-US" w:eastAsia="zh-CN"/>
        </w:rPr>
        <w:t>晶体结构</w:t>
      </w:r>
    </w:p>
    <w:p>
      <w:pPr>
        <w:ind w:firstLine="420" w:firstLineChars="200"/>
        <w:jc w:val="both"/>
        <w:rPr>
          <w:rFonts w:hint="eastAsia"/>
          <w:sz w:val="21"/>
          <w:szCs w:val="21"/>
        </w:rPr>
      </w:pPr>
      <w:r>
        <w:rPr>
          <w:rFonts w:hint="eastAsia"/>
          <w:sz w:val="21"/>
          <w:szCs w:val="21"/>
          <w:highlight w:val="none"/>
        </w:rPr>
        <w:t>产品的晶体结构应符合JCPDS标准</w:t>
      </w:r>
      <w:r>
        <w:rPr>
          <w:rFonts w:hint="eastAsia"/>
          <w:sz w:val="21"/>
          <w:szCs w:val="21"/>
          <w:highlight w:val="yellow"/>
        </w:rPr>
        <w:t>(00-53-0018)</w:t>
      </w:r>
      <w:r>
        <w:rPr>
          <w:rFonts w:hint="eastAsia"/>
          <w:sz w:val="21"/>
          <w:szCs w:val="21"/>
          <w:highlight w:val="none"/>
        </w:rPr>
        <w:t>。</w:t>
      </w:r>
    </w:p>
    <w:p>
      <w:pPr>
        <w:pStyle w:val="59"/>
        <w:numPr>
          <w:ilvl w:val="2"/>
          <w:numId w:val="0"/>
        </w:numPr>
        <w:spacing w:before="156" w:beforeLines="50" w:after="156" w:afterLines="50"/>
        <w:ind w:left="0" w:leftChars="0" w:firstLine="0" w:firstLineChars="0"/>
        <w:outlineLvl w:val="2"/>
        <w:rPr>
          <w:b/>
          <w:bCs/>
          <w:szCs w:val="21"/>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.5</w:t>
      </w:r>
      <w:r>
        <w:rPr>
          <w:rFonts w:hint="eastAsia"/>
          <w:b/>
          <w:bCs/>
          <w:szCs w:val="21"/>
        </w:rPr>
        <w:t xml:space="preserve"> </w:t>
      </w:r>
      <w:r>
        <w:rPr>
          <w:rFonts w:hint="eastAsia"/>
          <w:b/>
          <w:bCs/>
          <w:szCs w:val="21"/>
          <w:lang w:val="en-US" w:eastAsia="zh-CN"/>
        </w:rPr>
        <w:t>磁性异物</w:t>
      </w:r>
    </w:p>
    <w:p>
      <w:pPr>
        <w:spacing w:before="218" w:line="268" w:lineRule="auto"/>
        <w:ind w:firstLine="419"/>
        <w:jc w:val="both"/>
        <w:rPr>
          <w:rFonts w:hint="eastAsia" w:eastAsia="宋体"/>
          <w:b/>
          <w:bCs/>
          <w:szCs w:val="21"/>
          <w:highlight w:val="none"/>
          <w:lang w:eastAsia="zh-CN"/>
        </w:rPr>
      </w:pPr>
      <w:r>
        <w:rPr>
          <w:rFonts w:hint="eastAsia" w:ascii="Times New Roman" w:hAnsi="Times New Roman" w:eastAsia="宋体" w:cs="Times New Roman"/>
          <w:sz w:val="21"/>
          <w:szCs w:val="21"/>
        </w:rPr>
        <w:t>磁性异物对电池性能影响很大，正极材料中残留的磁性异物在电池中可能会刺穿隔膜，造成短路、自放电现象，严重降低电池的安全性，因此要严格控制正极材料中磁性异物的含量，根据客户需要，</w:t>
      </w:r>
      <w:r>
        <w:rPr>
          <w:rFonts w:hint="eastAsia" w:ascii="Times New Roman" w:hAnsi="Times New Roman" w:eastAsia="宋体" w:cs="Times New Roman"/>
          <w:sz w:val="21"/>
          <w:szCs w:val="21"/>
          <w:lang w:val="en-US" w:eastAsia="zh-CN"/>
        </w:rPr>
        <w:t>铜铁锰酸钠</w:t>
      </w:r>
      <w:r>
        <w:rPr>
          <w:rFonts w:hint="eastAsia" w:ascii="Times New Roman" w:hAnsi="Times New Roman" w:eastAsia="宋体" w:cs="Times New Roman"/>
          <w:sz w:val="21"/>
          <w:szCs w:val="21"/>
        </w:rPr>
        <w:t>中磁性异物含</w:t>
      </w:r>
      <w:r>
        <w:rPr>
          <w:rFonts w:hint="eastAsia" w:ascii="Times New Roman" w:hAnsi="Times New Roman" w:eastAsia="宋体" w:cs="Times New Roman"/>
          <w:sz w:val="21"/>
          <w:szCs w:val="21"/>
          <w:highlight w:val="none"/>
        </w:rPr>
        <w:t>量应不大于</w:t>
      </w:r>
      <w:r>
        <w:rPr>
          <w:rFonts w:hint="eastAsia" w:cs="Times New Roman"/>
          <w:sz w:val="21"/>
          <w:szCs w:val="21"/>
          <w:highlight w:val="none"/>
          <w:lang w:val="en-US" w:eastAsia="zh-CN"/>
        </w:rPr>
        <w:t>300ppb</w:t>
      </w:r>
      <w:r>
        <w:rPr>
          <w:rFonts w:hint="eastAsia" w:ascii="Times New Roman" w:hAnsi="Times New Roman" w:eastAsia="宋体" w:cs="Times New Roman"/>
          <w:sz w:val="21"/>
          <w:szCs w:val="21"/>
          <w:highlight w:val="none"/>
          <w:lang w:eastAsia="zh-CN"/>
        </w:rPr>
        <w:t>。</w:t>
      </w:r>
    </w:p>
    <w:p>
      <w:pPr>
        <w:pStyle w:val="59"/>
        <w:numPr>
          <w:ilvl w:val="2"/>
          <w:numId w:val="0"/>
        </w:numPr>
        <w:spacing w:before="156" w:beforeLines="50" w:after="156" w:afterLines="50"/>
        <w:ind w:left="0" w:leftChars="0" w:firstLine="0" w:firstLineChars="0"/>
        <w:outlineLvl w:val="2"/>
        <w:rPr>
          <w:b/>
          <w:bCs/>
          <w:szCs w:val="21"/>
          <w:highlight w:val="none"/>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.6</w:t>
      </w:r>
      <w:r>
        <w:rPr>
          <w:rFonts w:hint="eastAsia"/>
          <w:b/>
          <w:bCs/>
          <w:szCs w:val="21"/>
          <w:highlight w:val="none"/>
        </w:rPr>
        <w:t xml:space="preserve"> </w:t>
      </w:r>
      <w:r>
        <w:rPr>
          <w:rFonts w:hint="eastAsia"/>
          <w:b/>
          <w:bCs/>
          <w:szCs w:val="21"/>
          <w:highlight w:val="none"/>
          <w:lang w:val="en-US" w:eastAsia="zh-CN"/>
        </w:rPr>
        <w:t>残余钠</w:t>
      </w:r>
    </w:p>
    <w:p>
      <w:pPr>
        <w:spacing w:before="218" w:line="268" w:lineRule="auto"/>
        <w:ind w:firstLine="419"/>
        <w:jc w:val="both"/>
        <w:rPr>
          <w:b/>
          <w:bCs/>
          <w:szCs w:val="21"/>
          <w:highlight w:val="none"/>
        </w:rPr>
      </w:pPr>
      <w:r>
        <w:rPr>
          <w:rFonts w:hint="eastAsia" w:ascii="Times New Roman" w:hAnsi="Times New Roman" w:eastAsia="宋体" w:cs="Times New Roman"/>
          <w:sz w:val="21"/>
          <w:szCs w:val="21"/>
          <w:highlight w:val="none"/>
        </w:rPr>
        <w:t>正极材料在制备过程中通常采用较高的</w:t>
      </w:r>
      <w:r>
        <w:rPr>
          <w:rFonts w:hint="eastAsia" w:ascii="Times New Roman" w:hAnsi="Times New Roman" w:eastAsia="宋体" w:cs="Times New Roman"/>
          <w:sz w:val="21"/>
          <w:szCs w:val="21"/>
          <w:highlight w:val="none"/>
          <w:lang w:val="en-US" w:eastAsia="zh-CN"/>
        </w:rPr>
        <w:t>钠</w:t>
      </w:r>
      <w:r>
        <w:rPr>
          <w:rFonts w:hint="eastAsia" w:ascii="Times New Roman" w:hAnsi="Times New Roman" w:eastAsia="宋体" w:cs="Times New Roman"/>
          <w:sz w:val="21"/>
          <w:szCs w:val="21"/>
          <w:highlight w:val="none"/>
        </w:rPr>
        <w:t>配比，反应后残余碱以氢氧化</w:t>
      </w:r>
      <w:r>
        <w:rPr>
          <w:rFonts w:hint="eastAsia" w:ascii="Times New Roman" w:hAnsi="Times New Roman" w:eastAsia="宋体" w:cs="Times New Roman"/>
          <w:sz w:val="21"/>
          <w:szCs w:val="21"/>
          <w:highlight w:val="none"/>
          <w:lang w:val="en-US" w:eastAsia="zh-CN"/>
        </w:rPr>
        <w:t>钠</w:t>
      </w:r>
      <w:r>
        <w:rPr>
          <w:rFonts w:hint="eastAsia" w:ascii="Times New Roman" w:hAnsi="Times New Roman" w:eastAsia="宋体" w:cs="Times New Roman"/>
          <w:sz w:val="21"/>
          <w:szCs w:val="21"/>
          <w:highlight w:val="none"/>
        </w:rPr>
        <w:t>和碳酸</w:t>
      </w:r>
      <w:r>
        <w:rPr>
          <w:rFonts w:hint="eastAsia" w:ascii="Times New Roman" w:hAnsi="Times New Roman" w:eastAsia="宋体" w:cs="Times New Roman"/>
          <w:sz w:val="21"/>
          <w:szCs w:val="21"/>
          <w:highlight w:val="none"/>
          <w:lang w:val="en-US" w:eastAsia="zh-CN"/>
        </w:rPr>
        <w:t>钠</w:t>
      </w:r>
      <w:r>
        <w:rPr>
          <w:rFonts w:hint="eastAsia" w:ascii="Times New Roman" w:hAnsi="Times New Roman" w:eastAsia="宋体" w:cs="Times New Roman"/>
          <w:sz w:val="21"/>
          <w:szCs w:val="21"/>
          <w:highlight w:val="none"/>
        </w:rPr>
        <w:t>等形式存在，对材料的性能和电池制备工艺有着重要的影响。材料中氢氧化</w:t>
      </w:r>
      <w:r>
        <w:rPr>
          <w:rFonts w:hint="eastAsia" w:cs="Times New Roman"/>
          <w:sz w:val="21"/>
          <w:szCs w:val="21"/>
          <w:highlight w:val="none"/>
          <w:lang w:val="en-US" w:eastAsia="zh-CN"/>
        </w:rPr>
        <w:t>钠</w:t>
      </w:r>
      <w:r>
        <w:rPr>
          <w:rFonts w:hint="eastAsia" w:ascii="Times New Roman" w:hAnsi="Times New Roman" w:eastAsia="宋体" w:cs="Times New Roman"/>
          <w:sz w:val="21"/>
          <w:szCs w:val="21"/>
          <w:highlight w:val="none"/>
        </w:rPr>
        <w:t>、碳酸</w:t>
      </w:r>
      <w:r>
        <w:rPr>
          <w:rFonts w:hint="eastAsia" w:cs="Times New Roman"/>
          <w:sz w:val="21"/>
          <w:szCs w:val="21"/>
          <w:highlight w:val="none"/>
          <w:lang w:val="en-US" w:eastAsia="zh-CN"/>
        </w:rPr>
        <w:t>钠</w:t>
      </w:r>
      <w:r>
        <w:rPr>
          <w:rFonts w:hint="eastAsia" w:ascii="Times New Roman" w:hAnsi="Times New Roman" w:eastAsia="宋体" w:cs="Times New Roman"/>
          <w:sz w:val="21"/>
          <w:szCs w:val="21"/>
          <w:highlight w:val="none"/>
        </w:rPr>
        <w:t>含量高时，制浆时粘度大，将影响材料的加工性能；与此同时，氢氧化</w:t>
      </w:r>
      <w:r>
        <w:rPr>
          <w:rFonts w:hint="eastAsia" w:ascii="Times New Roman" w:hAnsi="Times New Roman" w:eastAsia="宋体" w:cs="Times New Roman"/>
          <w:sz w:val="21"/>
          <w:szCs w:val="21"/>
          <w:highlight w:val="none"/>
          <w:lang w:val="en-US" w:eastAsia="zh-CN"/>
        </w:rPr>
        <w:t>钠</w:t>
      </w:r>
      <w:r>
        <w:rPr>
          <w:rFonts w:hint="eastAsia" w:ascii="Times New Roman" w:hAnsi="Times New Roman" w:eastAsia="宋体" w:cs="Times New Roman"/>
          <w:sz w:val="21"/>
          <w:szCs w:val="21"/>
          <w:highlight w:val="none"/>
        </w:rPr>
        <w:t>、碳酸</w:t>
      </w:r>
      <w:r>
        <w:rPr>
          <w:rFonts w:hint="eastAsia" w:ascii="Times New Roman" w:hAnsi="Times New Roman" w:eastAsia="宋体" w:cs="Times New Roman"/>
          <w:sz w:val="21"/>
          <w:szCs w:val="21"/>
          <w:highlight w:val="none"/>
          <w:lang w:val="en-US" w:eastAsia="zh-CN"/>
        </w:rPr>
        <w:t>钠</w:t>
      </w:r>
      <w:r>
        <w:rPr>
          <w:rFonts w:hint="eastAsia" w:ascii="Times New Roman" w:hAnsi="Times New Roman" w:eastAsia="宋体" w:cs="Times New Roman"/>
          <w:sz w:val="21"/>
          <w:szCs w:val="21"/>
          <w:highlight w:val="none"/>
        </w:rPr>
        <w:t>含量过高时制成的电池在高温存储时容易出现鼓胀现象从而导致材料容量下降和安全问题，因此需控制材料的氢氧化</w:t>
      </w:r>
      <w:r>
        <w:rPr>
          <w:rFonts w:hint="eastAsia" w:ascii="Times New Roman" w:hAnsi="Times New Roman" w:eastAsia="宋体" w:cs="Times New Roman"/>
          <w:sz w:val="21"/>
          <w:szCs w:val="21"/>
          <w:highlight w:val="none"/>
          <w:lang w:val="en-US" w:eastAsia="zh-CN"/>
        </w:rPr>
        <w:t>钠</w:t>
      </w:r>
      <w:r>
        <w:rPr>
          <w:rFonts w:hint="eastAsia" w:ascii="Times New Roman" w:hAnsi="Times New Roman" w:eastAsia="宋体" w:cs="Times New Roman"/>
          <w:sz w:val="21"/>
          <w:szCs w:val="21"/>
          <w:highlight w:val="none"/>
        </w:rPr>
        <w:t>、碳酸</w:t>
      </w:r>
      <w:r>
        <w:rPr>
          <w:rFonts w:hint="eastAsia" w:ascii="Times New Roman" w:hAnsi="Times New Roman" w:eastAsia="宋体" w:cs="Times New Roman"/>
          <w:sz w:val="21"/>
          <w:szCs w:val="21"/>
          <w:highlight w:val="none"/>
          <w:lang w:val="en-US" w:eastAsia="zh-CN"/>
        </w:rPr>
        <w:t>钠</w:t>
      </w:r>
      <w:r>
        <w:rPr>
          <w:rFonts w:hint="eastAsia" w:ascii="Times New Roman" w:hAnsi="Times New Roman" w:eastAsia="宋体" w:cs="Times New Roman"/>
          <w:sz w:val="21"/>
          <w:szCs w:val="21"/>
          <w:highlight w:val="none"/>
        </w:rPr>
        <w:t>含量的上限。考虑使用企业要求以及生产企业目前的工艺水平，规定</w:t>
      </w:r>
      <w:r>
        <w:rPr>
          <w:rFonts w:hint="eastAsia" w:ascii="Times New Roman" w:hAnsi="Times New Roman" w:eastAsia="宋体" w:cs="Times New Roman"/>
          <w:sz w:val="21"/>
          <w:szCs w:val="21"/>
          <w:highlight w:val="none"/>
          <w:lang w:val="en-US" w:eastAsia="zh-CN"/>
        </w:rPr>
        <w:t>铜铁锰酸钠</w:t>
      </w:r>
      <w:r>
        <w:rPr>
          <w:rFonts w:hint="eastAsia" w:ascii="Times New Roman" w:hAnsi="Times New Roman" w:eastAsia="宋体" w:cs="Times New Roman"/>
          <w:sz w:val="21"/>
          <w:szCs w:val="21"/>
          <w:highlight w:val="none"/>
        </w:rPr>
        <w:t>中</w:t>
      </w:r>
      <w:r>
        <w:rPr>
          <w:rFonts w:hint="eastAsia" w:ascii="Times New Roman" w:hAnsi="Times New Roman" w:eastAsia="宋体" w:cs="Times New Roman"/>
          <w:sz w:val="21"/>
          <w:szCs w:val="21"/>
          <w:highlight w:val="none"/>
          <w:lang w:val="en-US" w:eastAsia="zh-CN"/>
        </w:rPr>
        <w:t>残余钠</w:t>
      </w:r>
      <w:r>
        <w:rPr>
          <w:rFonts w:hint="eastAsia" w:ascii="Times New Roman" w:hAnsi="Times New Roman" w:eastAsia="宋体" w:cs="Times New Roman"/>
          <w:sz w:val="21"/>
          <w:szCs w:val="21"/>
          <w:highlight w:val="none"/>
        </w:rPr>
        <w:t>含量应</w:t>
      </w:r>
      <w:r>
        <w:rPr>
          <w:rFonts w:hint="eastAsia" w:ascii="Times New Roman" w:hAnsi="Times New Roman" w:eastAsia="宋体" w:cs="Times New Roman"/>
          <w:sz w:val="21"/>
          <w:szCs w:val="21"/>
          <w:highlight w:val="none"/>
          <w:lang w:val="en-US" w:eastAsia="zh-CN"/>
        </w:rPr>
        <w:t>不大于</w:t>
      </w:r>
      <w:r>
        <w:rPr>
          <w:rFonts w:hint="eastAsia" w:cs="Times New Roman"/>
          <w:sz w:val="21"/>
          <w:szCs w:val="21"/>
          <w:highlight w:val="none"/>
          <w:lang w:val="en-US" w:eastAsia="zh-CN"/>
        </w:rPr>
        <w:t>2</w:t>
      </w:r>
      <w:r>
        <w:rPr>
          <w:rFonts w:hint="eastAsia" w:ascii="Times New Roman" w:hAnsi="Times New Roman" w:eastAsia="宋体" w:cs="Times New Roman"/>
          <w:sz w:val="21"/>
          <w:szCs w:val="21"/>
          <w:highlight w:val="none"/>
          <w:lang w:val="en-US" w:eastAsia="zh-CN"/>
        </w:rPr>
        <w:t>%</w:t>
      </w:r>
      <w:r>
        <w:rPr>
          <w:rFonts w:hint="eastAsia" w:ascii="Times New Roman" w:hAnsi="Times New Roman" w:eastAsia="宋体" w:cs="Times New Roman"/>
          <w:sz w:val="21"/>
          <w:szCs w:val="21"/>
          <w:highlight w:val="none"/>
        </w:rPr>
        <w:t>。</w:t>
      </w:r>
    </w:p>
    <w:p>
      <w:pPr>
        <w:pStyle w:val="59"/>
        <w:numPr>
          <w:ilvl w:val="2"/>
          <w:numId w:val="0"/>
        </w:numPr>
        <w:spacing w:before="156" w:beforeLines="50" w:after="156" w:afterLines="50"/>
        <w:ind w:left="0" w:leftChars="0" w:firstLine="0" w:firstLineChars="0"/>
        <w:outlineLvl w:val="2"/>
        <w:rPr>
          <w:b/>
          <w:bCs/>
          <w:szCs w:val="21"/>
          <w:highlight w:val="none"/>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.7</w:t>
      </w:r>
      <w:r>
        <w:rPr>
          <w:rFonts w:hint="eastAsia"/>
          <w:b/>
          <w:bCs/>
          <w:szCs w:val="21"/>
          <w:highlight w:val="none"/>
        </w:rPr>
        <w:t xml:space="preserve"> </w:t>
      </w:r>
      <w:r>
        <w:rPr>
          <w:rFonts w:hint="eastAsia"/>
          <w:b/>
          <w:bCs/>
          <w:szCs w:val="21"/>
          <w:highlight w:val="none"/>
          <w:lang w:val="en-US" w:eastAsia="zh-CN"/>
        </w:rPr>
        <w:t>振实</w:t>
      </w:r>
      <w:r>
        <w:rPr>
          <w:rFonts w:hint="eastAsia"/>
          <w:b/>
          <w:bCs/>
          <w:szCs w:val="21"/>
          <w:highlight w:val="none"/>
        </w:rPr>
        <w:t>密度</w:t>
      </w:r>
    </w:p>
    <w:p>
      <w:pPr>
        <w:ind w:firstLine="420" w:firstLineChars="200"/>
        <w:jc w:val="both"/>
        <w:rPr>
          <w:sz w:val="21"/>
          <w:szCs w:val="21"/>
          <w:highlight w:val="none"/>
        </w:rPr>
      </w:pPr>
      <w:r>
        <w:rPr>
          <w:rFonts w:hint="eastAsia"/>
          <w:sz w:val="21"/>
          <w:szCs w:val="21"/>
          <w:highlight w:val="none"/>
        </w:rPr>
        <w:t>产品的压实密度会影响电池的能量密度，是行业普遍关注的重要指标，产品的</w:t>
      </w:r>
      <w:r>
        <w:rPr>
          <w:rFonts w:hint="eastAsia"/>
          <w:sz w:val="21"/>
          <w:szCs w:val="21"/>
          <w:highlight w:val="none"/>
          <w:lang w:val="en-US" w:eastAsia="zh-CN"/>
        </w:rPr>
        <w:t>振实</w:t>
      </w:r>
      <w:r>
        <w:rPr>
          <w:rFonts w:hint="eastAsia"/>
          <w:sz w:val="21"/>
          <w:szCs w:val="21"/>
          <w:highlight w:val="none"/>
        </w:rPr>
        <w:t>密度应</w:t>
      </w:r>
      <w:r>
        <w:rPr>
          <w:rFonts w:hint="eastAsia"/>
          <w:color w:val="auto"/>
          <w:sz w:val="21"/>
          <w:szCs w:val="21"/>
          <w:highlight w:val="none"/>
          <w:lang w:val="en-US" w:eastAsia="zh-CN"/>
        </w:rPr>
        <w:t>不小于</w:t>
      </w:r>
      <w:r>
        <w:rPr>
          <w:rFonts w:hint="eastAsia"/>
          <w:color w:val="auto"/>
          <w:kern w:val="2"/>
          <w:sz w:val="21"/>
          <w:szCs w:val="21"/>
          <w:highlight w:val="none"/>
          <w:lang w:val="en-US" w:eastAsia="zh-CN"/>
        </w:rPr>
        <w:t>1.5</w:t>
      </w:r>
      <w:r>
        <w:rPr>
          <w:rFonts w:ascii="Times New Roman"/>
          <w:color w:val="auto"/>
          <w:kern w:val="2"/>
          <w:sz w:val="21"/>
          <w:szCs w:val="21"/>
          <w:highlight w:val="none"/>
        </w:rPr>
        <w:t>g/cm</w:t>
      </w:r>
      <w:r>
        <w:rPr>
          <w:rFonts w:ascii="Times New Roman"/>
          <w:color w:val="auto"/>
          <w:kern w:val="2"/>
          <w:sz w:val="21"/>
          <w:szCs w:val="21"/>
          <w:highlight w:val="none"/>
          <w:vertAlign w:val="superscript"/>
        </w:rPr>
        <w:t>3</w:t>
      </w:r>
      <w:r>
        <w:rPr>
          <w:rFonts w:hint="eastAsia"/>
          <w:sz w:val="21"/>
          <w:szCs w:val="21"/>
          <w:highlight w:val="none"/>
        </w:rPr>
        <w:t>。</w:t>
      </w:r>
    </w:p>
    <w:p>
      <w:pPr>
        <w:pStyle w:val="59"/>
        <w:numPr>
          <w:ilvl w:val="2"/>
          <w:numId w:val="0"/>
        </w:numPr>
        <w:spacing w:before="156" w:beforeLines="50" w:after="156" w:afterLines="50"/>
        <w:ind w:left="0" w:leftChars="0" w:firstLine="0" w:firstLineChars="0"/>
        <w:outlineLvl w:val="2"/>
        <w:rPr>
          <w:b/>
          <w:bCs/>
          <w:szCs w:val="21"/>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.8</w:t>
      </w:r>
      <w:r>
        <w:rPr>
          <w:rFonts w:hint="eastAsia"/>
          <w:b/>
          <w:bCs/>
          <w:szCs w:val="21"/>
        </w:rPr>
        <w:t xml:space="preserve"> 粒度分布</w:t>
      </w:r>
    </w:p>
    <w:p>
      <w:pPr>
        <w:pStyle w:val="26"/>
        <w:tabs>
          <w:tab w:val="center" w:pos="4201"/>
          <w:tab w:val="right" w:leader="dot" w:pos="9298"/>
        </w:tabs>
        <w:ind w:firstLine="420"/>
        <w:rPr>
          <w:rFonts w:ascii="Times New Roman"/>
          <w:color w:val="auto"/>
          <w:kern w:val="2"/>
          <w:szCs w:val="24"/>
          <w:highlight w:val="none"/>
        </w:rPr>
      </w:pPr>
      <w:r>
        <w:rPr>
          <w:rFonts w:hint="eastAsia" w:ascii="Times New Roman"/>
          <w:color w:val="auto"/>
          <w:kern w:val="2"/>
          <w:szCs w:val="24"/>
          <w:highlight w:val="none"/>
        </w:rPr>
        <w:t>产品的粒度分布应符合正态分布，体积分布的D50应为</w:t>
      </w:r>
      <w:r>
        <w:rPr>
          <w:rFonts w:hint="eastAsia" w:ascii="Times New Roman" w:cs="Times New Roman"/>
          <w:color w:val="auto"/>
          <w:kern w:val="2"/>
          <w:szCs w:val="24"/>
          <w:highlight w:val="none"/>
          <w:lang w:val="en-US" w:eastAsia="zh-CN"/>
        </w:rPr>
        <w:t>3</w:t>
      </w:r>
      <w:r>
        <w:rPr>
          <w:rFonts w:hint="default" w:ascii="Times New Roman" w:hAnsi="Times New Roman" w:cs="Times New Roman"/>
          <w:color w:val="auto"/>
          <w:kern w:val="2"/>
          <w:szCs w:val="24"/>
          <w:highlight w:val="none"/>
        </w:rPr>
        <w:t>μm~15μm。</w:t>
      </w:r>
    </w:p>
    <w:p>
      <w:pPr>
        <w:pStyle w:val="59"/>
        <w:numPr>
          <w:ilvl w:val="2"/>
          <w:numId w:val="0"/>
        </w:numPr>
        <w:spacing w:before="156" w:beforeLines="50" w:after="156" w:afterLines="50"/>
        <w:ind w:left="0" w:leftChars="0" w:firstLine="0" w:firstLineChars="0"/>
        <w:outlineLvl w:val="2"/>
        <w:rPr>
          <w:b/>
          <w:bCs/>
          <w:szCs w:val="21"/>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.9</w:t>
      </w:r>
      <w:r>
        <w:rPr>
          <w:rFonts w:hint="eastAsia"/>
          <w:b/>
          <w:bCs/>
          <w:szCs w:val="21"/>
          <w:lang w:val="en-US" w:eastAsia="zh-CN"/>
        </w:rPr>
        <w:t xml:space="preserve"> </w:t>
      </w:r>
      <w:r>
        <w:rPr>
          <w:rFonts w:hint="eastAsia"/>
          <w:b/>
          <w:bCs/>
          <w:szCs w:val="21"/>
        </w:rPr>
        <w:t>比表面积</w:t>
      </w:r>
    </w:p>
    <w:p>
      <w:pPr>
        <w:pStyle w:val="26"/>
        <w:ind w:firstLine="420"/>
        <w:rPr>
          <w:rFonts w:hint="default" w:ascii="Times New Roman" w:hAnsi="Times New Roman" w:cs="Times New Roman"/>
        </w:rPr>
      </w:pPr>
      <w:r>
        <w:rPr>
          <w:rFonts w:hint="eastAsia" w:ascii="Times New Roman" w:hAnsi="Times New Roman" w:cs="Times New Roman"/>
        </w:rPr>
        <w:t>产品的比表面积会影响产品的加工性能，根据行业需求，设定比表面积指标，产品的比表面积应不大于</w:t>
      </w:r>
      <w:r>
        <w:rPr>
          <w:rFonts w:hint="default" w:ascii="Times New Roman" w:hAnsi="Times New Roman" w:cs="Times New Roman"/>
        </w:rPr>
        <w:t>3m</w:t>
      </w:r>
      <w:r>
        <w:rPr>
          <w:rFonts w:hint="default" w:ascii="Times New Roman" w:hAnsi="Times New Roman" w:cs="Times New Roman"/>
          <w:vertAlign w:val="superscript"/>
        </w:rPr>
        <w:t>2</w:t>
      </w:r>
      <w:r>
        <w:rPr>
          <w:rFonts w:hint="default" w:ascii="Times New Roman" w:hAnsi="Times New Roman" w:cs="Times New Roman"/>
        </w:rPr>
        <w:t>/g。</w:t>
      </w:r>
    </w:p>
    <w:p>
      <w:pPr>
        <w:pStyle w:val="59"/>
        <w:numPr>
          <w:ilvl w:val="2"/>
          <w:numId w:val="0"/>
        </w:numPr>
        <w:spacing w:before="156" w:beforeLines="50" w:after="156" w:afterLines="50"/>
        <w:ind w:left="0" w:leftChars="0" w:firstLine="0" w:firstLineChars="0"/>
        <w:outlineLvl w:val="2"/>
        <w:rPr>
          <w:b/>
          <w:bCs/>
          <w:szCs w:val="21"/>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.10</w:t>
      </w:r>
      <w:r>
        <w:rPr>
          <w:rFonts w:hint="eastAsia"/>
          <w:b/>
          <w:bCs/>
          <w:szCs w:val="21"/>
          <w:lang w:val="en-US" w:eastAsia="zh-CN"/>
        </w:rPr>
        <w:t xml:space="preserve"> </w:t>
      </w:r>
      <w:r>
        <w:rPr>
          <w:rFonts w:hint="eastAsia"/>
          <w:b/>
          <w:bCs/>
          <w:szCs w:val="21"/>
        </w:rPr>
        <w:t>pH值</w:t>
      </w:r>
    </w:p>
    <w:p>
      <w:pPr>
        <w:ind w:firstLine="420" w:firstLineChars="200"/>
        <w:jc w:val="both"/>
        <w:rPr>
          <w:sz w:val="21"/>
          <w:szCs w:val="21"/>
        </w:rPr>
      </w:pPr>
      <w:r>
        <w:rPr>
          <w:rFonts w:hint="eastAsia"/>
          <w:sz w:val="21"/>
          <w:szCs w:val="21"/>
        </w:rPr>
        <w:t>根据行业普遍需求，设定pH值指标，产品的pH值应</w:t>
      </w:r>
      <w:r>
        <w:rPr>
          <w:rFonts w:hint="eastAsia"/>
          <w:color w:val="auto"/>
          <w:sz w:val="21"/>
          <w:szCs w:val="21"/>
        </w:rPr>
        <w:t>不大于1</w:t>
      </w:r>
      <w:r>
        <w:rPr>
          <w:color w:val="auto"/>
          <w:sz w:val="21"/>
          <w:szCs w:val="21"/>
        </w:rPr>
        <w:t>3</w:t>
      </w:r>
      <w:r>
        <w:rPr>
          <w:rFonts w:hint="eastAsia"/>
          <w:sz w:val="21"/>
          <w:szCs w:val="21"/>
        </w:rPr>
        <w:t>。</w:t>
      </w:r>
    </w:p>
    <w:p>
      <w:pPr>
        <w:pStyle w:val="59"/>
        <w:numPr>
          <w:ilvl w:val="2"/>
          <w:numId w:val="0"/>
        </w:numPr>
        <w:spacing w:before="156" w:beforeLines="50" w:after="156" w:afterLines="50"/>
        <w:ind w:left="0" w:leftChars="0" w:firstLine="0" w:firstLineChars="0"/>
        <w:outlineLvl w:val="2"/>
        <w:rPr>
          <w:b/>
          <w:bCs/>
          <w:szCs w:val="21"/>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.11</w:t>
      </w:r>
      <w:r>
        <w:rPr>
          <w:rFonts w:hint="eastAsia"/>
          <w:b/>
          <w:bCs/>
          <w:szCs w:val="21"/>
          <w:lang w:val="en-US" w:eastAsia="zh-CN"/>
        </w:rPr>
        <w:t xml:space="preserve"> </w:t>
      </w:r>
      <w:r>
        <w:rPr>
          <w:rFonts w:hint="eastAsia"/>
          <w:b/>
          <w:bCs/>
          <w:szCs w:val="21"/>
        </w:rPr>
        <w:t>电化学性能</w:t>
      </w:r>
    </w:p>
    <w:p>
      <w:pPr>
        <w:ind w:firstLine="420" w:firstLineChars="200"/>
        <w:jc w:val="both"/>
        <w:rPr>
          <w:sz w:val="21"/>
          <w:szCs w:val="21"/>
        </w:rPr>
      </w:pPr>
      <w:r>
        <w:rPr>
          <w:rFonts w:hint="eastAsia"/>
          <w:sz w:val="21"/>
          <w:szCs w:val="21"/>
        </w:rPr>
        <w:t>根据行业及市场的普遍需求，设定电化学性能指标。</w:t>
      </w:r>
    </w:p>
    <w:p>
      <w:pPr>
        <w:pStyle w:val="59"/>
        <w:numPr>
          <w:ilvl w:val="2"/>
          <w:numId w:val="0"/>
        </w:numPr>
        <w:spacing w:before="156" w:beforeLines="50" w:after="156" w:afterLines="50"/>
        <w:ind w:left="0" w:leftChars="0" w:firstLine="0" w:firstLineChars="0"/>
        <w:outlineLvl w:val="2"/>
        <w:rPr>
          <w:rFonts w:hint="eastAsia"/>
          <w:b/>
          <w:bCs/>
          <w:szCs w:val="21"/>
          <w:lang w:val="en-US" w:eastAsia="zh-CN"/>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.12</w:t>
      </w:r>
      <w:r>
        <w:rPr>
          <w:rFonts w:hint="eastAsia"/>
          <w:b/>
          <w:bCs/>
          <w:szCs w:val="21"/>
          <w:lang w:val="en-US" w:eastAsia="zh-CN"/>
        </w:rPr>
        <w:t xml:space="preserve"> 0.1C首次放电比容量</w:t>
      </w:r>
    </w:p>
    <w:p>
      <w:pPr>
        <w:pStyle w:val="26"/>
        <w:ind w:firstLine="420"/>
        <w:rPr>
          <w:rFonts w:hint="default" w:ascii="Times New Roman" w:hAnsi="Times New Roman" w:cs="Times New Roman"/>
        </w:rPr>
      </w:pPr>
      <w:r>
        <w:rPr>
          <w:rFonts w:hint="default" w:ascii="Times New Roman" w:hAnsi="Times New Roman" w:cs="Times New Roman"/>
        </w:rPr>
        <w:t>产品在电压范围</w:t>
      </w:r>
      <w:r>
        <w:rPr>
          <w:rFonts w:hint="default" w:ascii="Times New Roman" w:hAnsi="Times New Roman" w:cs="Times New Roman"/>
          <w:highlight w:val="none"/>
        </w:rPr>
        <w:t>2 V</w:t>
      </w:r>
      <w:r>
        <w:rPr>
          <w:rFonts w:hint="default" w:ascii="Times New Roman" w:hAnsi="Times New Roman" w:cs="Times New Roman"/>
          <w:szCs w:val="21"/>
          <w:highlight w:val="none"/>
        </w:rPr>
        <w:t>～4 V，</w:t>
      </w:r>
      <w:r>
        <w:rPr>
          <w:rFonts w:hint="default" w:ascii="Times New Roman" w:hAnsi="Times New Roman" w:cs="Times New Roman"/>
          <w:highlight w:val="none"/>
        </w:rPr>
        <w:t>0.1C充放电倍率条件下的首次放电比容量应</w:t>
      </w:r>
      <w:r>
        <w:rPr>
          <w:rFonts w:hint="default" w:ascii="Times New Roman" w:hAnsi="Times New Roman" w:cs="Times New Roman"/>
          <w:color w:val="auto"/>
          <w:highlight w:val="none"/>
        </w:rPr>
        <w:t>不小于1</w:t>
      </w:r>
      <w:r>
        <w:rPr>
          <w:rFonts w:hint="eastAsia" w:ascii="Times New Roman" w:cs="Times New Roman"/>
          <w:color w:val="auto"/>
          <w:highlight w:val="none"/>
          <w:lang w:val="en-US" w:eastAsia="zh-CN"/>
        </w:rPr>
        <w:t>1</w:t>
      </w:r>
      <w:r>
        <w:rPr>
          <w:rFonts w:hint="default" w:ascii="Times New Roman" w:hAnsi="Times New Roman" w:cs="Times New Roman"/>
          <w:color w:val="auto"/>
          <w:highlight w:val="none"/>
        </w:rPr>
        <w:t>0mAh/g</w:t>
      </w:r>
      <w:r>
        <w:rPr>
          <w:rFonts w:hint="default" w:ascii="Times New Roman" w:hAnsi="Times New Roman" w:cs="Times New Roman"/>
        </w:rPr>
        <w:t>。</w:t>
      </w:r>
    </w:p>
    <w:p>
      <w:pPr>
        <w:pStyle w:val="59"/>
        <w:numPr>
          <w:ilvl w:val="2"/>
          <w:numId w:val="0"/>
        </w:numPr>
        <w:spacing w:before="156" w:beforeLines="50" w:after="156" w:afterLines="50"/>
        <w:ind w:left="0" w:leftChars="0" w:firstLine="0" w:firstLineChars="0"/>
        <w:outlineLvl w:val="2"/>
        <w:rPr>
          <w:rFonts w:hint="eastAsia"/>
          <w:b/>
          <w:bCs/>
          <w:szCs w:val="21"/>
          <w:lang w:val="en-US" w:eastAsia="zh-CN"/>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.13</w:t>
      </w:r>
      <w:r>
        <w:rPr>
          <w:rFonts w:hint="eastAsia"/>
          <w:b/>
          <w:bCs/>
          <w:szCs w:val="21"/>
          <w:lang w:val="en-US" w:eastAsia="zh-CN"/>
        </w:rPr>
        <w:t xml:space="preserve"> 0.1C首次充放电效率</w:t>
      </w:r>
    </w:p>
    <w:p>
      <w:pPr>
        <w:pStyle w:val="26"/>
        <w:ind w:firstLine="420"/>
        <w:rPr>
          <w:rFonts w:hint="default" w:ascii="Times New Roman" w:hAnsi="Times New Roman" w:cs="Times New Roman"/>
        </w:rPr>
      </w:pPr>
      <w:r>
        <w:rPr>
          <w:rFonts w:hint="eastAsia" w:ascii="Times New Roman" w:hAnsi="Times New Roman" w:cs="Times New Roman"/>
        </w:rPr>
        <w:t>产品在电压范围2</w:t>
      </w:r>
      <w:r>
        <w:rPr>
          <w:rFonts w:hint="default" w:ascii="Times New Roman" w:hAnsi="Times New Roman" w:cs="Times New Roman"/>
        </w:rPr>
        <w:t xml:space="preserve"> </w:t>
      </w:r>
      <w:r>
        <w:rPr>
          <w:rFonts w:hint="eastAsia" w:ascii="Times New Roman" w:hAnsi="Times New Roman" w:cs="Times New Roman"/>
        </w:rPr>
        <w:t>V～4</w:t>
      </w:r>
      <w:r>
        <w:rPr>
          <w:rFonts w:hint="default" w:ascii="Times New Roman" w:hAnsi="Times New Roman" w:cs="Times New Roman"/>
        </w:rPr>
        <w:t xml:space="preserve"> </w:t>
      </w:r>
      <w:r>
        <w:rPr>
          <w:rFonts w:hint="eastAsia" w:ascii="Times New Roman" w:hAnsi="Times New Roman" w:cs="Times New Roman"/>
        </w:rPr>
        <w:t>V，0</w:t>
      </w:r>
      <w:r>
        <w:rPr>
          <w:rFonts w:hint="default" w:ascii="Times New Roman" w:hAnsi="Times New Roman" w:cs="Times New Roman"/>
        </w:rPr>
        <w:t>.1C</w:t>
      </w:r>
      <w:r>
        <w:rPr>
          <w:rFonts w:hint="eastAsia" w:ascii="Times New Roman" w:hAnsi="Times New Roman" w:cs="Times New Roman"/>
        </w:rPr>
        <w:t>充放电倍率条件下的首次充放电效率应不小于</w:t>
      </w:r>
      <w:r>
        <w:rPr>
          <w:rFonts w:hint="eastAsia" w:ascii="Times New Roman" w:hAnsi="Times New Roman" w:cs="Times New Roman"/>
          <w:lang w:val="en-US" w:eastAsia="zh-CN"/>
        </w:rPr>
        <w:t>8</w:t>
      </w:r>
      <w:r>
        <w:rPr>
          <w:rFonts w:hint="eastAsia" w:ascii="Times New Roman" w:cs="Times New Roman"/>
          <w:lang w:val="en-US" w:eastAsia="zh-CN"/>
        </w:rPr>
        <w:t>5</w:t>
      </w:r>
      <w:r>
        <w:rPr>
          <w:rFonts w:hint="eastAsia" w:ascii="Times New Roman" w:hAnsi="Times New Roman" w:cs="Times New Roman"/>
        </w:rPr>
        <w:t>%。</w:t>
      </w:r>
    </w:p>
    <w:p>
      <w:pPr>
        <w:pStyle w:val="59"/>
        <w:numPr>
          <w:ilvl w:val="2"/>
          <w:numId w:val="0"/>
        </w:numPr>
        <w:spacing w:before="156" w:beforeLines="50" w:after="156" w:afterLines="50"/>
        <w:ind w:left="0" w:leftChars="0" w:firstLine="0" w:firstLineChars="0"/>
        <w:outlineLvl w:val="2"/>
        <w:rPr>
          <w:rFonts w:hint="eastAsia"/>
          <w:b/>
          <w:bCs/>
          <w:szCs w:val="21"/>
          <w:lang w:val="en-US" w:eastAsia="zh-CN"/>
        </w:rPr>
      </w:pPr>
      <w:r>
        <w:rPr>
          <w:rFonts w:hint="eastAsia" w:cs="Times New Roman"/>
          <w:b/>
          <w:bCs/>
          <w:kern w:val="2"/>
          <w:sz w:val="21"/>
          <w:szCs w:val="21"/>
          <w:lang w:val="en-US" w:eastAsia="zh-CN" w:bidi="ar-SA"/>
        </w:rPr>
        <w:t>3.2</w:t>
      </w:r>
      <w:r>
        <w:rPr>
          <w:rFonts w:hint="eastAsia" w:ascii="Times New Roman" w:hAnsi="Times New Roman" w:eastAsia="宋体" w:cs="Times New Roman"/>
          <w:b/>
          <w:bCs/>
          <w:kern w:val="2"/>
          <w:sz w:val="21"/>
          <w:szCs w:val="21"/>
          <w:lang w:val="en-US" w:eastAsia="zh-CN" w:bidi="ar-SA"/>
        </w:rPr>
        <w:t>.14</w:t>
      </w:r>
      <w:r>
        <w:rPr>
          <w:rFonts w:hint="eastAsia"/>
          <w:b/>
          <w:bCs/>
          <w:szCs w:val="21"/>
          <w:lang w:val="en-US" w:eastAsia="zh-CN"/>
        </w:rPr>
        <w:t xml:space="preserve"> 循环寿命</w:t>
      </w:r>
    </w:p>
    <w:p>
      <w:pPr>
        <w:pStyle w:val="26"/>
        <w:keepNext w:val="0"/>
        <w:keepLines w:val="0"/>
        <w:pageBreakBefore w:val="0"/>
        <w:widowControl/>
        <w:kinsoku/>
        <w:wordWrap/>
        <w:overflowPunct/>
        <w:topLinePunct w:val="0"/>
        <w:autoSpaceDE w:val="0"/>
        <w:autoSpaceDN w:val="0"/>
        <w:bidi w:val="0"/>
        <w:adjustRightInd/>
        <w:snapToGrid/>
        <w:ind w:firstLine="420"/>
        <w:textAlignment w:val="auto"/>
        <w:rPr>
          <w:rFonts w:hint="default" w:ascii="Times New Roman" w:hAnsi="Times New Roman" w:cs="Times New Roman"/>
        </w:rPr>
      </w:pPr>
      <w:r>
        <w:rPr>
          <w:rFonts w:hint="eastAsia" w:ascii="Times New Roman" w:hAnsi="Times New Roman" w:cs="Times New Roman"/>
        </w:rPr>
        <w:t>产品在电压范围2</w:t>
      </w:r>
      <w:r>
        <w:rPr>
          <w:rFonts w:hint="default" w:ascii="Times New Roman" w:hAnsi="Times New Roman" w:cs="Times New Roman"/>
        </w:rPr>
        <w:t xml:space="preserve"> </w:t>
      </w:r>
      <w:r>
        <w:rPr>
          <w:rFonts w:hint="eastAsia" w:ascii="Times New Roman" w:hAnsi="Times New Roman" w:cs="Times New Roman"/>
        </w:rPr>
        <w:t>V～4</w:t>
      </w:r>
      <w:r>
        <w:rPr>
          <w:rFonts w:hint="default" w:ascii="Times New Roman" w:hAnsi="Times New Roman" w:cs="Times New Roman"/>
        </w:rPr>
        <w:t xml:space="preserve"> </w:t>
      </w:r>
      <w:r>
        <w:rPr>
          <w:rFonts w:hint="eastAsia" w:ascii="Times New Roman" w:hAnsi="Times New Roman" w:cs="Times New Roman"/>
        </w:rPr>
        <w:t>V，</w:t>
      </w:r>
      <w:r>
        <w:rPr>
          <w:rFonts w:hint="default" w:ascii="Times New Roman" w:hAnsi="Times New Roman" w:cs="Times New Roman"/>
        </w:rPr>
        <w:t>1C</w:t>
      </w:r>
      <w:r>
        <w:rPr>
          <w:rFonts w:hint="eastAsia" w:ascii="Times New Roman" w:hAnsi="Times New Roman" w:cs="Times New Roman"/>
        </w:rPr>
        <w:t>充放电倍率条件下，放电容量达到首次循环放电容量的8</w:t>
      </w:r>
      <w:r>
        <w:rPr>
          <w:rFonts w:hint="default" w:ascii="Times New Roman" w:hAnsi="Times New Roman" w:cs="Times New Roman"/>
        </w:rPr>
        <w:t>0%</w:t>
      </w:r>
      <w:r>
        <w:rPr>
          <w:rFonts w:hint="eastAsia" w:ascii="Times New Roman" w:hAnsi="Times New Roman" w:cs="Times New Roman"/>
        </w:rPr>
        <w:t>时，循环次数应不低于</w:t>
      </w:r>
      <w:r>
        <w:rPr>
          <w:rFonts w:hint="eastAsia" w:ascii="Times New Roman" w:cs="Times New Roman"/>
          <w:lang w:val="en-US" w:eastAsia="zh-CN"/>
        </w:rPr>
        <w:t>3</w:t>
      </w:r>
      <w:r>
        <w:rPr>
          <w:rFonts w:hint="eastAsia" w:ascii="Times New Roman" w:hAnsi="Times New Roman" w:cs="Times New Roman"/>
          <w:lang w:val="en-US" w:eastAsia="zh-CN"/>
        </w:rPr>
        <w:t>00</w:t>
      </w:r>
      <w:r>
        <w:rPr>
          <w:rFonts w:hint="eastAsia" w:ascii="Times New Roman" w:hAnsi="Times New Roman" w:cs="Times New Roman"/>
        </w:rPr>
        <w:t>次。</w:t>
      </w:r>
    </w:p>
    <w:p>
      <w:pPr>
        <w:widowControl w:val="0"/>
        <w:spacing w:before="156" w:beforeLines="50" w:after="156" w:afterLines="50"/>
        <w:jc w:val="both"/>
        <w:outlineLvl w:val="1"/>
        <w:rPr>
          <w:b/>
          <w:bCs/>
          <w:sz w:val="21"/>
          <w:szCs w:val="21"/>
        </w:rPr>
      </w:pPr>
      <w:r>
        <w:rPr>
          <w:b/>
          <w:bCs/>
          <w:sz w:val="21"/>
          <w:szCs w:val="21"/>
        </w:rPr>
        <w:t xml:space="preserve">3.3 </w:t>
      </w:r>
      <w:r>
        <w:rPr>
          <w:rFonts w:hint="eastAsia"/>
          <w:b/>
          <w:bCs/>
          <w:sz w:val="21"/>
          <w:szCs w:val="21"/>
        </w:rPr>
        <w:t>试验方法确定依据</w:t>
      </w:r>
    </w:p>
    <w:p>
      <w:pPr>
        <w:pStyle w:val="59"/>
        <w:numPr>
          <w:ilvl w:val="2"/>
          <w:numId w:val="6"/>
        </w:numPr>
        <w:spacing w:before="156" w:beforeLines="50" w:after="156" w:afterLines="50"/>
        <w:ind w:firstLineChars="0"/>
        <w:outlineLvl w:val="2"/>
        <w:rPr>
          <w:b/>
          <w:bCs/>
          <w:szCs w:val="21"/>
        </w:rPr>
      </w:pPr>
      <w:r>
        <w:rPr>
          <w:rFonts w:hint="eastAsia"/>
          <w:b/>
          <w:bCs/>
          <w:szCs w:val="21"/>
        </w:rPr>
        <w:t xml:space="preserve"> 化学成分</w:t>
      </w:r>
    </w:p>
    <w:p>
      <w:pPr>
        <w:pStyle w:val="59"/>
        <w:numPr>
          <w:ilvl w:val="2"/>
          <w:numId w:val="6"/>
        </w:numPr>
        <w:spacing w:before="156" w:beforeLines="50" w:after="156" w:afterLines="50"/>
        <w:ind w:firstLineChars="0"/>
        <w:outlineLvl w:val="2"/>
        <w:rPr>
          <w:rFonts w:hint="eastAsia"/>
          <w:b/>
          <w:bCs/>
          <w:szCs w:val="21"/>
        </w:rPr>
      </w:pPr>
      <w:r>
        <w:rPr>
          <w:rFonts w:hint="eastAsia"/>
          <w:b/>
          <w:bCs/>
          <w:szCs w:val="21"/>
        </w:rPr>
        <w:t>产品化学成分的测定按</w:t>
      </w:r>
      <w:r>
        <w:rPr>
          <w:rFonts w:hint="eastAsia"/>
          <w:b/>
          <w:bCs/>
          <w:szCs w:val="21"/>
          <w:lang w:val="en-US" w:eastAsia="zh-CN"/>
        </w:rPr>
        <w:t>以下</w:t>
      </w:r>
      <w:r>
        <w:rPr>
          <w:rFonts w:hint="eastAsia"/>
          <w:b/>
          <w:bCs/>
          <w:szCs w:val="21"/>
        </w:rPr>
        <w:t>的规定进行。</w:t>
      </w:r>
    </w:p>
    <w:p>
      <w:pPr>
        <w:pStyle w:val="59"/>
        <w:keepNext w:val="0"/>
        <w:keepLines w:val="0"/>
        <w:pageBreakBefore w:val="0"/>
        <w:widowControl w:val="0"/>
        <w:numPr>
          <w:ilvl w:val="3"/>
          <w:numId w:val="6"/>
        </w:numPr>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b w:val="0"/>
          <w:bCs w:val="0"/>
          <w:szCs w:val="21"/>
        </w:rPr>
      </w:pPr>
      <w:r>
        <w:rPr>
          <w:rFonts w:hint="eastAsia"/>
          <w:b w:val="0"/>
          <w:bCs w:val="0"/>
          <w:szCs w:val="21"/>
        </w:rPr>
        <w:t>产品中锰含量的测定按照GB/T 1506的规定执行。</w:t>
      </w:r>
    </w:p>
    <w:p>
      <w:pPr>
        <w:pStyle w:val="59"/>
        <w:keepNext w:val="0"/>
        <w:keepLines w:val="0"/>
        <w:pageBreakBefore w:val="0"/>
        <w:widowControl w:val="0"/>
        <w:numPr>
          <w:ilvl w:val="3"/>
          <w:numId w:val="6"/>
        </w:numPr>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b w:val="0"/>
          <w:bCs w:val="0"/>
          <w:szCs w:val="21"/>
        </w:rPr>
      </w:pPr>
      <w:r>
        <w:rPr>
          <w:rFonts w:hint="eastAsia"/>
          <w:b w:val="0"/>
          <w:bCs w:val="0"/>
          <w:szCs w:val="21"/>
        </w:rPr>
        <w:t>产品中铁含量的测定按照GB/T 6730.70的规定执行。</w:t>
      </w:r>
    </w:p>
    <w:p>
      <w:pPr>
        <w:pStyle w:val="59"/>
        <w:keepNext w:val="0"/>
        <w:keepLines w:val="0"/>
        <w:pageBreakBefore w:val="0"/>
        <w:widowControl w:val="0"/>
        <w:numPr>
          <w:ilvl w:val="3"/>
          <w:numId w:val="6"/>
        </w:numPr>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b w:val="0"/>
          <w:bCs w:val="0"/>
          <w:szCs w:val="21"/>
        </w:rPr>
      </w:pPr>
      <w:r>
        <w:rPr>
          <w:rFonts w:hint="eastAsia"/>
          <w:b w:val="0"/>
          <w:bCs w:val="0"/>
          <w:szCs w:val="21"/>
        </w:rPr>
        <w:t>产品中铜含量的测定按照GB/T 3884.1的规定执行。</w:t>
      </w:r>
    </w:p>
    <w:p>
      <w:pPr>
        <w:pStyle w:val="59"/>
        <w:keepNext w:val="0"/>
        <w:keepLines w:val="0"/>
        <w:pageBreakBefore w:val="0"/>
        <w:widowControl w:val="0"/>
        <w:numPr>
          <w:ilvl w:val="3"/>
          <w:numId w:val="6"/>
        </w:numPr>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b w:val="0"/>
          <w:bCs w:val="0"/>
          <w:szCs w:val="21"/>
        </w:rPr>
      </w:pPr>
      <w:r>
        <w:rPr>
          <w:rFonts w:hint="eastAsia"/>
          <w:b w:val="0"/>
          <w:bCs w:val="0"/>
          <w:szCs w:val="21"/>
        </w:rPr>
        <w:t>产品中钾含量的测定按照HG/T 3816的规定执行。</w:t>
      </w:r>
    </w:p>
    <w:p>
      <w:pPr>
        <w:pStyle w:val="59"/>
        <w:keepNext w:val="0"/>
        <w:keepLines w:val="0"/>
        <w:pageBreakBefore w:val="0"/>
        <w:widowControl w:val="0"/>
        <w:numPr>
          <w:ilvl w:val="3"/>
          <w:numId w:val="6"/>
        </w:numPr>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sz w:val="21"/>
          <w:szCs w:val="21"/>
        </w:rPr>
      </w:pPr>
      <w:r>
        <w:rPr>
          <w:rFonts w:hint="eastAsia"/>
          <w:b w:val="0"/>
          <w:bCs w:val="0"/>
          <w:szCs w:val="21"/>
        </w:rPr>
        <w:t>产品中铅、镉、铬含量的测定按照HG/T 4826中5.2.2的规定执行。</w:t>
      </w:r>
      <w:r>
        <w:rPr>
          <w:rFonts w:hint="eastAsia"/>
          <w:sz w:val="21"/>
          <w:szCs w:val="21"/>
        </w:rPr>
        <w:t xml:space="preserve"> </w:t>
      </w:r>
    </w:p>
    <w:p>
      <w:pPr>
        <w:pStyle w:val="59"/>
        <w:keepNext w:val="0"/>
        <w:keepLines w:val="0"/>
        <w:pageBreakBefore w:val="0"/>
        <w:widowControl w:val="0"/>
        <w:numPr>
          <w:ilvl w:val="3"/>
          <w:numId w:val="6"/>
        </w:numPr>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b w:val="0"/>
          <w:bCs w:val="0"/>
          <w:szCs w:val="21"/>
        </w:rPr>
      </w:pPr>
      <w:r>
        <w:rPr>
          <w:rFonts w:hint="eastAsia"/>
          <w:b w:val="0"/>
          <w:bCs w:val="0"/>
          <w:szCs w:val="21"/>
        </w:rPr>
        <w:t>产品中其他元素，例如：</w:t>
      </w:r>
      <w:r>
        <w:rPr>
          <w:rFonts w:hint="eastAsia"/>
          <w:b w:val="0"/>
          <w:bCs w:val="0"/>
          <w:szCs w:val="21"/>
          <w:lang w:val="en-US" w:eastAsia="zh-CN"/>
        </w:rPr>
        <w:t>钠、</w:t>
      </w:r>
      <w:r>
        <w:rPr>
          <w:rFonts w:hint="eastAsia"/>
          <w:b w:val="0"/>
          <w:bCs w:val="0"/>
          <w:szCs w:val="21"/>
        </w:rPr>
        <w:t>钙、镁、锌、硅含量的测定按照YS/T928.4执行。</w:t>
      </w:r>
    </w:p>
    <w:p>
      <w:pPr>
        <w:pStyle w:val="59"/>
        <w:keepNext w:val="0"/>
        <w:keepLines w:val="0"/>
        <w:pageBreakBefore w:val="0"/>
        <w:widowControl w:val="0"/>
        <w:numPr>
          <w:ilvl w:val="3"/>
          <w:numId w:val="6"/>
        </w:numPr>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b w:val="0"/>
          <w:bCs w:val="0"/>
          <w:szCs w:val="21"/>
        </w:rPr>
      </w:pPr>
      <w:r>
        <w:rPr>
          <w:rFonts w:hint="eastAsia"/>
          <w:b w:val="0"/>
          <w:bCs w:val="0"/>
          <w:szCs w:val="21"/>
        </w:rPr>
        <w:t>产品中硫含量的测定按照GB/T 24533中附录J的规定执行。</w:t>
      </w:r>
    </w:p>
    <w:p>
      <w:pPr>
        <w:pStyle w:val="59"/>
        <w:keepNext w:val="0"/>
        <w:keepLines w:val="0"/>
        <w:pageBreakBefore w:val="0"/>
        <w:widowControl w:val="0"/>
        <w:numPr>
          <w:ilvl w:val="3"/>
          <w:numId w:val="6"/>
        </w:numPr>
        <w:kinsoku/>
        <w:wordWrap/>
        <w:overflowPunct/>
        <w:topLinePunct w:val="0"/>
        <w:autoSpaceDE/>
        <w:autoSpaceDN/>
        <w:bidi w:val="0"/>
        <w:adjustRightInd/>
        <w:snapToGrid/>
        <w:spacing w:line="240" w:lineRule="auto"/>
        <w:ind w:left="0" w:leftChars="0" w:firstLine="420" w:firstLineChars="200"/>
        <w:textAlignment w:val="auto"/>
        <w:outlineLvl w:val="2"/>
        <w:rPr>
          <w:rFonts w:hint="eastAsia"/>
          <w:b w:val="0"/>
          <w:bCs w:val="0"/>
          <w:szCs w:val="21"/>
        </w:rPr>
      </w:pPr>
      <w:r>
        <w:rPr>
          <w:rFonts w:hint="eastAsia"/>
          <w:b w:val="0"/>
          <w:bCs w:val="0"/>
          <w:szCs w:val="21"/>
        </w:rPr>
        <w:t>产品中氯离子含量的测定按照HG/T 4506中6.9的规定执行。</w:t>
      </w:r>
    </w:p>
    <w:p>
      <w:pPr>
        <w:pStyle w:val="59"/>
        <w:numPr>
          <w:ilvl w:val="2"/>
          <w:numId w:val="6"/>
        </w:numPr>
        <w:spacing w:before="156" w:beforeLines="50" w:after="156" w:afterLines="50"/>
        <w:ind w:firstLineChars="0"/>
        <w:outlineLvl w:val="2"/>
        <w:rPr>
          <w:b/>
          <w:bCs/>
          <w:szCs w:val="21"/>
        </w:rPr>
      </w:pPr>
      <w:r>
        <w:rPr>
          <w:rFonts w:hint="eastAsia"/>
          <w:b/>
          <w:bCs/>
          <w:szCs w:val="21"/>
        </w:rPr>
        <w:t xml:space="preserve"> 水分含量</w:t>
      </w:r>
    </w:p>
    <w:p>
      <w:pPr>
        <w:pStyle w:val="59"/>
        <w:numPr>
          <w:ilvl w:val="0"/>
          <w:numId w:val="0"/>
        </w:numPr>
        <w:spacing w:before="156" w:beforeLines="50" w:after="156" w:afterLines="50"/>
        <w:ind w:leftChars="0" w:firstLine="420" w:firstLineChars="200"/>
        <w:outlineLvl w:val="2"/>
        <w:rPr>
          <w:rFonts w:hint="eastAsia" w:ascii="Times New Roman" w:hAnsi="Times New Roman" w:eastAsia="宋体" w:cs="Times New Roman"/>
          <w:szCs w:val="28"/>
        </w:rPr>
      </w:pPr>
      <w:r>
        <w:rPr>
          <w:rFonts w:hint="eastAsia" w:ascii="Times New Roman" w:hAnsi="Times New Roman" w:eastAsia="宋体" w:cs="Times New Roman"/>
          <w:szCs w:val="28"/>
        </w:rPr>
        <w:t>参照锂离子电池正极材料水分含量的测试方法，本文件中产品水分含量的测定按GB/T 6283</w:t>
      </w:r>
      <w:r>
        <w:rPr>
          <w:rFonts w:hint="eastAsia" w:cs="Times New Roman"/>
          <w:szCs w:val="28"/>
          <w:lang w:val="en-US" w:eastAsia="zh-CN"/>
        </w:rPr>
        <w:t>-2008</w:t>
      </w:r>
      <w:r>
        <w:rPr>
          <w:rFonts w:hint="eastAsia" w:ascii="Times New Roman" w:hAnsi="Times New Roman" w:eastAsia="宋体" w:cs="Times New Roman"/>
          <w:szCs w:val="28"/>
        </w:rPr>
        <w:t xml:space="preserve">  化工产品中水分含量的测定 卡尔</w:t>
      </w:r>
      <w:r>
        <w:rPr>
          <w:rFonts w:hint="default" w:ascii="Times New Roman" w:hAnsi="Times New Roman" w:eastAsia="宋体" w:cs="Times New Roman"/>
          <w:szCs w:val="28"/>
        </w:rPr>
        <w:t>•</w:t>
      </w:r>
      <w:r>
        <w:rPr>
          <w:rFonts w:hint="eastAsia" w:ascii="Times New Roman" w:hAnsi="Times New Roman" w:eastAsia="宋体" w:cs="Times New Roman"/>
          <w:szCs w:val="28"/>
        </w:rPr>
        <w:t>费休法（通用方法）的规定进行。</w:t>
      </w:r>
    </w:p>
    <w:p>
      <w:pPr>
        <w:pStyle w:val="59"/>
        <w:numPr>
          <w:ilvl w:val="2"/>
          <w:numId w:val="6"/>
        </w:numPr>
        <w:spacing w:before="156" w:beforeLines="50" w:after="156" w:afterLines="50"/>
        <w:ind w:firstLineChars="0"/>
        <w:outlineLvl w:val="2"/>
        <w:rPr>
          <w:b/>
          <w:bCs/>
          <w:szCs w:val="21"/>
        </w:rPr>
      </w:pPr>
      <w:r>
        <w:rPr>
          <w:b/>
          <w:bCs/>
          <w:szCs w:val="21"/>
        </w:rPr>
        <w:t xml:space="preserve"> </w:t>
      </w:r>
      <w:r>
        <w:rPr>
          <w:rFonts w:hint="eastAsia"/>
          <w:b/>
          <w:bCs/>
          <w:szCs w:val="21"/>
        </w:rPr>
        <w:t>外观质量</w:t>
      </w:r>
    </w:p>
    <w:p>
      <w:pPr>
        <w:ind w:firstLine="420" w:firstLineChars="200"/>
        <w:jc w:val="both"/>
        <w:rPr>
          <w:sz w:val="21"/>
          <w:szCs w:val="21"/>
        </w:rPr>
      </w:pPr>
      <w:r>
        <w:rPr>
          <w:rFonts w:hint="eastAsia"/>
          <w:sz w:val="21"/>
          <w:szCs w:val="21"/>
        </w:rPr>
        <w:t>产品的外观用目视检查。</w:t>
      </w:r>
    </w:p>
    <w:p>
      <w:pPr>
        <w:pStyle w:val="59"/>
        <w:numPr>
          <w:ilvl w:val="2"/>
          <w:numId w:val="6"/>
        </w:numPr>
        <w:spacing w:before="156" w:beforeLines="50" w:after="156" w:afterLines="50"/>
        <w:ind w:firstLineChars="0"/>
        <w:outlineLvl w:val="2"/>
        <w:rPr>
          <w:b/>
          <w:bCs/>
          <w:szCs w:val="21"/>
        </w:rPr>
      </w:pPr>
      <w:r>
        <w:rPr>
          <w:rFonts w:hint="eastAsia"/>
          <w:b/>
          <w:bCs/>
          <w:szCs w:val="21"/>
          <w:lang w:val="en-US" w:eastAsia="zh-CN"/>
        </w:rPr>
        <w:t xml:space="preserve"> 晶体结构</w:t>
      </w:r>
    </w:p>
    <w:p>
      <w:pPr>
        <w:pStyle w:val="59"/>
        <w:numPr>
          <w:ilvl w:val="0"/>
          <w:numId w:val="0"/>
        </w:numPr>
        <w:spacing w:before="156" w:beforeLines="50" w:after="156" w:afterLines="50"/>
        <w:ind w:leftChars="0" w:firstLine="420" w:firstLineChars="200"/>
        <w:outlineLvl w:val="2"/>
        <w:rPr>
          <w:b/>
          <w:bCs/>
          <w:szCs w:val="21"/>
        </w:rPr>
      </w:pPr>
      <w:r>
        <w:rPr>
          <w:rFonts w:hint="eastAsia" w:ascii="Times New Roman"/>
          <w:szCs w:val="28"/>
        </w:rPr>
        <w:t>产品的晶体结构用X射线粉末衍射仪检测。</w:t>
      </w:r>
    </w:p>
    <w:p>
      <w:pPr>
        <w:pStyle w:val="59"/>
        <w:numPr>
          <w:ilvl w:val="2"/>
          <w:numId w:val="6"/>
        </w:numPr>
        <w:spacing w:before="156" w:beforeLines="50" w:after="156" w:afterLines="50"/>
        <w:ind w:firstLineChars="0"/>
        <w:outlineLvl w:val="2"/>
        <w:rPr>
          <w:b/>
          <w:bCs/>
          <w:szCs w:val="21"/>
        </w:rPr>
      </w:pPr>
      <w:r>
        <w:rPr>
          <w:rFonts w:hint="eastAsia"/>
          <w:b/>
          <w:bCs/>
          <w:szCs w:val="21"/>
          <w:lang w:val="en-US" w:eastAsia="zh-CN"/>
        </w:rPr>
        <w:t xml:space="preserve"> 磁性异物</w:t>
      </w:r>
    </w:p>
    <w:p>
      <w:pPr>
        <w:pStyle w:val="59"/>
        <w:numPr>
          <w:ilvl w:val="0"/>
          <w:numId w:val="0"/>
        </w:numPr>
        <w:spacing w:before="156" w:beforeLines="50" w:after="156" w:afterLines="50"/>
        <w:ind w:leftChars="0" w:firstLine="420" w:firstLineChars="200"/>
        <w:outlineLvl w:val="2"/>
        <w:rPr>
          <w:rFonts w:hint="default" w:ascii="Times New Roman" w:hAnsi="Times New Roman" w:eastAsia="宋体" w:cs="Times New Roman"/>
          <w:szCs w:val="28"/>
          <w:lang w:val="en-US"/>
        </w:rPr>
      </w:pPr>
      <w:r>
        <w:rPr>
          <w:rFonts w:hint="eastAsia"/>
          <w:sz w:val="21"/>
          <w:szCs w:val="21"/>
        </w:rPr>
        <w:t>参照</w:t>
      </w:r>
      <w:r>
        <w:rPr>
          <w:rFonts w:hint="eastAsia" w:ascii="Times New Roman" w:hAnsi="Times New Roman" w:eastAsia="宋体" w:cs="Times New Roman"/>
          <w:szCs w:val="28"/>
          <w:lang w:val="en-US" w:eastAsia="zh-CN"/>
        </w:rPr>
        <w:t>锂离子电池正极材料检测方法 磁性异物含量和残余碱含量</w:t>
      </w:r>
      <w:r>
        <w:rPr>
          <w:rFonts w:hint="eastAsia" w:cs="Times New Roman"/>
          <w:szCs w:val="28"/>
          <w:lang w:val="en-US" w:eastAsia="zh-CN"/>
        </w:rPr>
        <w:t>的</w:t>
      </w:r>
      <w:r>
        <w:rPr>
          <w:rFonts w:hint="eastAsia"/>
          <w:sz w:val="21"/>
          <w:szCs w:val="21"/>
        </w:rPr>
        <w:t>测试方法，本文件中</w:t>
      </w:r>
      <w:r>
        <w:rPr>
          <w:rFonts w:hint="eastAsia" w:ascii="Times New Roman" w:hAnsi="Times New Roman" w:eastAsia="宋体" w:cs="Times New Roman"/>
          <w:szCs w:val="28"/>
          <w:lang w:val="en-US" w:eastAsia="zh-CN"/>
        </w:rPr>
        <w:t>产品中磁性异物</w:t>
      </w:r>
      <w:r>
        <w:rPr>
          <w:rFonts w:hint="eastAsia" w:cs="Times New Roman"/>
          <w:szCs w:val="28"/>
          <w:lang w:val="en-US" w:eastAsia="zh-CN"/>
        </w:rPr>
        <w:t>的测定按</w:t>
      </w:r>
      <w:r>
        <w:rPr>
          <w:rFonts w:hint="eastAsia" w:ascii="Times New Roman" w:hAnsi="Times New Roman" w:eastAsia="宋体" w:cs="Times New Roman"/>
          <w:szCs w:val="28"/>
          <w:lang w:val="en-US" w:eastAsia="zh-CN"/>
        </w:rPr>
        <w:t>GB/T 41704的</w:t>
      </w:r>
      <w:r>
        <w:rPr>
          <w:rFonts w:hint="eastAsia" w:cs="Times New Roman"/>
          <w:szCs w:val="28"/>
          <w:lang w:val="en-US" w:eastAsia="zh-CN"/>
        </w:rPr>
        <w:t>规定进行</w:t>
      </w:r>
      <w:r>
        <w:rPr>
          <w:rFonts w:hint="eastAsia" w:ascii="Times New Roman" w:hAnsi="Times New Roman" w:eastAsia="宋体" w:cs="Times New Roman"/>
          <w:szCs w:val="28"/>
          <w:lang w:val="en-US" w:eastAsia="zh-CN"/>
        </w:rPr>
        <w:t>。</w:t>
      </w:r>
    </w:p>
    <w:p>
      <w:pPr>
        <w:pStyle w:val="59"/>
        <w:numPr>
          <w:ilvl w:val="2"/>
          <w:numId w:val="6"/>
        </w:numPr>
        <w:spacing w:before="156" w:beforeLines="50" w:after="156" w:afterLines="50"/>
        <w:ind w:firstLineChars="0"/>
        <w:outlineLvl w:val="2"/>
        <w:rPr>
          <w:b/>
          <w:bCs/>
          <w:szCs w:val="21"/>
        </w:rPr>
      </w:pPr>
      <w:r>
        <w:rPr>
          <w:rFonts w:hint="eastAsia"/>
          <w:b/>
          <w:bCs/>
          <w:szCs w:val="21"/>
          <w:lang w:val="en-US" w:eastAsia="zh-CN"/>
        </w:rPr>
        <w:t xml:space="preserve"> 残余钠</w:t>
      </w:r>
    </w:p>
    <w:p>
      <w:pPr>
        <w:pStyle w:val="59"/>
        <w:numPr>
          <w:ilvl w:val="0"/>
          <w:numId w:val="0"/>
        </w:numPr>
        <w:spacing w:before="156" w:beforeLines="50" w:after="156" w:afterLines="50"/>
        <w:ind w:leftChars="0" w:firstLine="420" w:firstLineChars="200"/>
        <w:outlineLvl w:val="2"/>
        <w:rPr>
          <w:rFonts w:hint="default" w:ascii="Times New Roman" w:hAnsi="Times New Roman" w:eastAsia="宋体" w:cs="Times New Roman"/>
          <w:szCs w:val="28"/>
          <w:lang w:val="en-US"/>
        </w:rPr>
      </w:pPr>
      <w:r>
        <w:rPr>
          <w:rFonts w:hint="eastAsia"/>
          <w:sz w:val="21"/>
          <w:szCs w:val="21"/>
        </w:rPr>
        <w:t>参照</w:t>
      </w:r>
      <w:r>
        <w:rPr>
          <w:rFonts w:hint="eastAsia" w:ascii="Times New Roman" w:hAnsi="Times New Roman" w:eastAsia="宋体" w:cs="Times New Roman"/>
          <w:szCs w:val="28"/>
          <w:lang w:val="en-US" w:eastAsia="zh-CN"/>
        </w:rPr>
        <w:t>锂离子电池正极材料检测方法 磁性异物含量和残余碱含量</w:t>
      </w:r>
      <w:r>
        <w:rPr>
          <w:rFonts w:hint="eastAsia" w:cs="Times New Roman"/>
          <w:szCs w:val="28"/>
          <w:lang w:val="en-US" w:eastAsia="zh-CN"/>
        </w:rPr>
        <w:t>的</w:t>
      </w:r>
      <w:r>
        <w:rPr>
          <w:rFonts w:hint="eastAsia"/>
          <w:sz w:val="21"/>
          <w:szCs w:val="21"/>
        </w:rPr>
        <w:t>测试方法，本文件中</w:t>
      </w:r>
      <w:r>
        <w:rPr>
          <w:rFonts w:hint="eastAsia" w:ascii="Times New Roman" w:hAnsi="Times New Roman" w:eastAsia="宋体" w:cs="Times New Roman"/>
          <w:szCs w:val="28"/>
          <w:lang w:val="en-US" w:eastAsia="zh-CN"/>
        </w:rPr>
        <w:t>产品中</w:t>
      </w:r>
      <w:r>
        <w:rPr>
          <w:rFonts w:hint="eastAsia" w:cs="Times New Roman"/>
          <w:szCs w:val="28"/>
          <w:lang w:val="en-US" w:eastAsia="zh-CN"/>
        </w:rPr>
        <w:t>残余钠的测定按</w:t>
      </w:r>
      <w:r>
        <w:rPr>
          <w:rFonts w:hint="eastAsia" w:ascii="Times New Roman" w:hAnsi="Times New Roman" w:eastAsia="宋体" w:cs="Times New Roman"/>
          <w:szCs w:val="28"/>
          <w:lang w:val="en-US" w:eastAsia="zh-CN"/>
        </w:rPr>
        <w:t>GB/T 41704的</w:t>
      </w:r>
      <w:r>
        <w:rPr>
          <w:rFonts w:hint="eastAsia" w:cs="Times New Roman"/>
          <w:szCs w:val="28"/>
          <w:lang w:val="en-US" w:eastAsia="zh-CN"/>
        </w:rPr>
        <w:t>规定进行</w:t>
      </w:r>
      <w:r>
        <w:rPr>
          <w:rFonts w:hint="eastAsia" w:ascii="Times New Roman" w:hAnsi="Times New Roman" w:eastAsia="宋体" w:cs="Times New Roman"/>
          <w:szCs w:val="28"/>
          <w:lang w:val="en-US" w:eastAsia="zh-CN"/>
        </w:rPr>
        <w:t>。</w:t>
      </w:r>
    </w:p>
    <w:p>
      <w:pPr>
        <w:pStyle w:val="59"/>
        <w:numPr>
          <w:ilvl w:val="2"/>
          <w:numId w:val="6"/>
        </w:numPr>
        <w:spacing w:before="156" w:beforeLines="50" w:after="156" w:afterLines="50"/>
        <w:ind w:firstLineChars="0"/>
        <w:outlineLvl w:val="2"/>
        <w:rPr>
          <w:b/>
          <w:bCs/>
          <w:szCs w:val="21"/>
        </w:rPr>
      </w:pPr>
      <w:r>
        <w:rPr>
          <w:rFonts w:hint="eastAsia"/>
          <w:b/>
          <w:bCs/>
          <w:szCs w:val="21"/>
          <w:lang w:val="en-US" w:eastAsia="zh-CN"/>
        </w:rPr>
        <w:t xml:space="preserve"> 振实</w:t>
      </w:r>
      <w:r>
        <w:rPr>
          <w:rFonts w:hint="eastAsia"/>
          <w:b/>
          <w:bCs/>
          <w:szCs w:val="21"/>
        </w:rPr>
        <w:t>密度</w:t>
      </w:r>
    </w:p>
    <w:p>
      <w:pPr>
        <w:ind w:firstLine="420" w:firstLineChars="200"/>
        <w:jc w:val="both"/>
        <w:rPr>
          <w:sz w:val="21"/>
          <w:szCs w:val="21"/>
        </w:rPr>
      </w:pPr>
      <w:r>
        <w:rPr>
          <w:rFonts w:hint="eastAsia"/>
          <w:sz w:val="21"/>
          <w:szCs w:val="21"/>
        </w:rPr>
        <w:t>参照锂离子电池正极材料</w:t>
      </w:r>
      <w:r>
        <w:rPr>
          <w:rFonts w:hint="eastAsia"/>
          <w:sz w:val="21"/>
          <w:szCs w:val="21"/>
          <w:lang w:val="en-US" w:eastAsia="zh-CN"/>
        </w:rPr>
        <w:t>振实</w:t>
      </w:r>
      <w:r>
        <w:rPr>
          <w:rFonts w:hint="eastAsia"/>
          <w:sz w:val="21"/>
          <w:szCs w:val="21"/>
        </w:rPr>
        <w:t>密度含量的测试方法，本文件中产品压实密度的测定按GB/T 5162 的规定进行。</w:t>
      </w:r>
    </w:p>
    <w:p>
      <w:pPr>
        <w:pStyle w:val="59"/>
        <w:numPr>
          <w:ilvl w:val="2"/>
          <w:numId w:val="6"/>
        </w:numPr>
        <w:spacing w:before="156" w:beforeLines="50" w:after="156" w:afterLines="50"/>
        <w:ind w:firstLineChars="0"/>
        <w:outlineLvl w:val="2"/>
        <w:rPr>
          <w:b/>
          <w:bCs/>
          <w:szCs w:val="21"/>
        </w:rPr>
      </w:pPr>
      <w:r>
        <w:rPr>
          <w:rFonts w:hint="eastAsia"/>
          <w:b/>
          <w:bCs/>
          <w:szCs w:val="21"/>
          <w:lang w:val="en-US" w:eastAsia="zh-CN"/>
        </w:rPr>
        <w:t xml:space="preserve"> </w:t>
      </w:r>
      <w:r>
        <w:rPr>
          <w:rFonts w:hint="eastAsia"/>
          <w:b/>
          <w:bCs/>
          <w:szCs w:val="21"/>
        </w:rPr>
        <w:t>粒度分布</w:t>
      </w:r>
    </w:p>
    <w:p>
      <w:pPr>
        <w:ind w:firstLine="420" w:firstLineChars="200"/>
        <w:jc w:val="both"/>
        <w:rPr>
          <w:sz w:val="21"/>
          <w:szCs w:val="21"/>
        </w:rPr>
      </w:pPr>
      <w:r>
        <w:rPr>
          <w:rFonts w:hint="eastAsia"/>
          <w:sz w:val="21"/>
          <w:szCs w:val="21"/>
        </w:rPr>
        <w:t>参照锂离子电池正极材料粒度分布的测试方法，本文件中产品粒度分布的测定按GB/T 19077的规定进行。</w:t>
      </w:r>
    </w:p>
    <w:p>
      <w:pPr>
        <w:pStyle w:val="59"/>
        <w:numPr>
          <w:ilvl w:val="2"/>
          <w:numId w:val="6"/>
        </w:numPr>
        <w:spacing w:before="156" w:beforeLines="50" w:after="156" w:afterLines="50"/>
        <w:ind w:firstLineChars="0"/>
        <w:outlineLvl w:val="2"/>
        <w:rPr>
          <w:b/>
          <w:bCs/>
          <w:szCs w:val="21"/>
        </w:rPr>
      </w:pPr>
      <w:r>
        <w:rPr>
          <w:rFonts w:hint="eastAsia"/>
          <w:b/>
          <w:bCs/>
          <w:szCs w:val="21"/>
          <w:lang w:val="en-US" w:eastAsia="zh-CN"/>
        </w:rPr>
        <w:t xml:space="preserve"> </w:t>
      </w:r>
      <w:r>
        <w:rPr>
          <w:rFonts w:hint="eastAsia"/>
          <w:b/>
          <w:bCs/>
          <w:szCs w:val="21"/>
        </w:rPr>
        <w:t>比表面积</w:t>
      </w:r>
    </w:p>
    <w:p>
      <w:pPr>
        <w:ind w:firstLine="420" w:firstLineChars="200"/>
        <w:jc w:val="both"/>
        <w:rPr>
          <w:sz w:val="21"/>
          <w:szCs w:val="21"/>
        </w:rPr>
      </w:pPr>
      <w:r>
        <w:rPr>
          <w:rFonts w:hint="eastAsia"/>
          <w:sz w:val="21"/>
          <w:szCs w:val="21"/>
        </w:rPr>
        <w:t>参照锂离子电池正极材料比表面积的测试方法，本文件中产品比表面积的测定按GB/T 19587的规定进行。</w:t>
      </w:r>
    </w:p>
    <w:p>
      <w:pPr>
        <w:pStyle w:val="59"/>
        <w:numPr>
          <w:ilvl w:val="2"/>
          <w:numId w:val="6"/>
        </w:numPr>
        <w:spacing w:before="156" w:beforeLines="50" w:after="156" w:afterLines="50"/>
        <w:ind w:firstLineChars="0"/>
        <w:outlineLvl w:val="2"/>
        <w:rPr>
          <w:b/>
          <w:bCs/>
          <w:szCs w:val="21"/>
        </w:rPr>
      </w:pPr>
      <w:r>
        <w:rPr>
          <w:rFonts w:hint="eastAsia"/>
          <w:b/>
          <w:bCs/>
          <w:szCs w:val="21"/>
          <w:lang w:val="en-US" w:eastAsia="zh-CN"/>
        </w:rPr>
        <w:t xml:space="preserve"> </w:t>
      </w:r>
      <w:r>
        <w:rPr>
          <w:rFonts w:hint="eastAsia"/>
          <w:b/>
          <w:bCs/>
          <w:szCs w:val="21"/>
        </w:rPr>
        <w:t>pH值</w:t>
      </w:r>
    </w:p>
    <w:p>
      <w:pPr>
        <w:ind w:firstLine="420" w:firstLineChars="200"/>
        <w:jc w:val="both"/>
        <w:rPr>
          <w:rFonts w:hint="eastAsia" w:ascii="Times New Roman" w:eastAsia="黑体"/>
          <w:szCs w:val="21"/>
        </w:rPr>
      </w:pPr>
      <w:r>
        <w:rPr>
          <w:rFonts w:hint="eastAsia"/>
          <w:sz w:val="21"/>
          <w:szCs w:val="21"/>
        </w:rPr>
        <w:t>根据实际生产检测情况，本文件中产品pH值的测定按GB/T 9724的规定进行。</w:t>
      </w:r>
    </w:p>
    <w:p>
      <w:pPr>
        <w:pStyle w:val="59"/>
        <w:numPr>
          <w:ilvl w:val="2"/>
          <w:numId w:val="6"/>
        </w:numPr>
        <w:spacing w:before="156" w:beforeLines="50" w:after="156" w:afterLines="50"/>
        <w:ind w:firstLineChars="0"/>
        <w:outlineLvl w:val="2"/>
        <w:rPr>
          <w:rFonts w:hint="eastAsia" w:ascii="Times New Roman" w:hAnsi="Times New Roman" w:eastAsia="宋体" w:cs="Times New Roman"/>
          <w:b/>
          <w:bCs/>
          <w:szCs w:val="21"/>
          <w:lang w:val="en-US" w:eastAsia="zh-CN"/>
        </w:rPr>
      </w:pPr>
      <w:r>
        <w:rPr>
          <w:rFonts w:hint="eastAsia" w:cs="Times New Roman"/>
          <w:b/>
          <w:bCs/>
          <w:szCs w:val="21"/>
          <w:lang w:val="en-US" w:eastAsia="zh-CN"/>
        </w:rPr>
        <w:t xml:space="preserve"> </w:t>
      </w:r>
      <w:r>
        <w:rPr>
          <w:rFonts w:hint="eastAsia" w:ascii="Times New Roman" w:hAnsi="Times New Roman" w:eastAsia="宋体" w:cs="Times New Roman"/>
          <w:b/>
          <w:bCs/>
          <w:szCs w:val="21"/>
          <w:lang w:val="en-US" w:eastAsia="zh-CN"/>
        </w:rPr>
        <w:t>首次放电比容量</w:t>
      </w:r>
    </w:p>
    <w:p>
      <w:pPr>
        <w:pStyle w:val="59"/>
        <w:numPr>
          <w:ilvl w:val="0"/>
          <w:numId w:val="0"/>
        </w:numPr>
        <w:spacing w:before="156" w:beforeLines="50" w:after="156" w:afterLines="50"/>
        <w:ind w:leftChars="0" w:firstLine="420" w:firstLineChars="200"/>
        <w:outlineLvl w:val="2"/>
        <w:rPr>
          <w:rFonts w:hint="eastAsia" w:ascii="Times New Roman" w:eastAsia="黑体"/>
          <w:szCs w:val="21"/>
        </w:rPr>
      </w:pPr>
      <w:r>
        <w:rPr>
          <w:rFonts w:hint="eastAsia" w:ascii="Times New Roman"/>
          <w:lang w:val="en-US" w:eastAsia="zh-CN"/>
        </w:rPr>
        <w:t>产品的首次充电比容量的测定按GB/T 23365规定进行。</w:t>
      </w:r>
    </w:p>
    <w:p>
      <w:pPr>
        <w:pStyle w:val="59"/>
        <w:numPr>
          <w:ilvl w:val="2"/>
          <w:numId w:val="6"/>
        </w:numPr>
        <w:spacing w:before="156" w:beforeLines="50" w:after="156" w:afterLines="50"/>
        <w:ind w:firstLineChars="0"/>
        <w:outlineLvl w:val="2"/>
        <w:rPr>
          <w:rFonts w:hint="eastAsia" w:ascii="Times New Roman" w:hAnsi="Times New Roman" w:eastAsia="宋体" w:cs="Times New Roman"/>
          <w:b/>
          <w:bCs/>
          <w:szCs w:val="21"/>
          <w:lang w:val="en-US" w:eastAsia="zh-CN"/>
        </w:rPr>
      </w:pPr>
      <w:r>
        <w:rPr>
          <w:rFonts w:hint="eastAsia" w:cs="Times New Roman"/>
          <w:b/>
          <w:bCs/>
          <w:szCs w:val="21"/>
          <w:lang w:val="en-US" w:eastAsia="zh-CN"/>
        </w:rPr>
        <w:t xml:space="preserve"> </w:t>
      </w:r>
      <w:r>
        <w:rPr>
          <w:rFonts w:hint="eastAsia" w:ascii="Times New Roman" w:hAnsi="Times New Roman" w:eastAsia="宋体" w:cs="Times New Roman"/>
          <w:b/>
          <w:bCs/>
          <w:szCs w:val="21"/>
          <w:lang w:val="en-US" w:eastAsia="zh-CN"/>
        </w:rPr>
        <w:t>首次充放电效率</w:t>
      </w:r>
    </w:p>
    <w:p>
      <w:pPr>
        <w:pStyle w:val="26"/>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Times New Roman" w:eastAsia="黑体"/>
          <w:szCs w:val="21"/>
        </w:rPr>
      </w:pPr>
      <w:r>
        <w:rPr>
          <w:rFonts w:hint="eastAsia" w:ascii="Times New Roman"/>
          <w:lang w:val="en-US" w:eastAsia="zh-CN"/>
        </w:rPr>
        <w:t>产品的首次充电比容量的测定按GB/T 23365规定进行。</w:t>
      </w:r>
    </w:p>
    <w:p>
      <w:pPr>
        <w:pStyle w:val="59"/>
        <w:numPr>
          <w:ilvl w:val="2"/>
          <w:numId w:val="6"/>
        </w:numPr>
        <w:spacing w:before="156" w:beforeLines="50" w:after="156" w:afterLines="50"/>
        <w:ind w:firstLineChars="0"/>
        <w:outlineLvl w:val="2"/>
        <w:rPr>
          <w:rFonts w:hint="eastAsia" w:ascii="Times New Roman" w:hAnsi="Times New Roman" w:eastAsia="宋体" w:cs="Times New Roman"/>
          <w:b/>
          <w:bCs/>
          <w:szCs w:val="21"/>
          <w:lang w:val="en-US" w:eastAsia="zh-CN"/>
        </w:rPr>
      </w:pPr>
      <w:r>
        <w:rPr>
          <w:rFonts w:hint="eastAsia" w:cs="Times New Roman"/>
          <w:b/>
          <w:bCs/>
          <w:szCs w:val="21"/>
          <w:lang w:val="en-US" w:eastAsia="zh-CN"/>
        </w:rPr>
        <w:t xml:space="preserve"> </w:t>
      </w:r>
      <w:r>
        <w:rPr>
          <w:rFonts w:hint="eastAsia" w:ascii="Times New Roman" w:hAnsi="Times New Roman" w:eastAsia="宋体" w:cs="Times New Roman"/>
          <w:b/>
          <w:bCs/>
          <w:szCs w:val="21"/>
          <w:lang w:val="en-US" w:eastAsia="zh-CN"/>
        </w:rPr>
        <w:t>循环寿命</w:t>
      </w:r>
    </w:p>
    <w:p>
      <w:pPr>
        <w:pStyle w:val="26"/>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ascii="Times New Roman" w:eastAsia="黑体"/>
          <w:szCs w:val="21"/>
        </w:rPr>
      </w:pPr>
      <w:r>
        <w:rPr>
          <w:rFonts w:hint="eastAsia" w:ascii="Times New Roman"/>
          <w:lang w:val="en-US" w:eastAsia="zh-CN"/>
        </w:rPr>
        <w:t>产品的循环寿命的测定按GB/T39861规定进行。</w:t>
      </w:r>
    </w:p>
    <w:p>
      <w:pPr>
        <w:widowControl w:val="0"/>
        <w:spacing w:before="312" w:beforeLines="100" w:after="312" w:afterLines="100"/>
        <w:jc w:val="both"/>
        <w:outlineLvl w:val="0"/>
        <w:rPr>
          <w:b/>
          <w:bCs/>
        </w:rPr>
      </w:pPr>
      <w:r>
        <w:rPr>
          <w:rFonts w:hint="eastAsia"/>
          <w:b/>
          <w:bCs/>
        </w:rPr>
        <w:t>四、</w:t>
      </w:r>
      <w:r>
        <w:rPr>
          <w:b/>
          <w:bCs/>
        </w:rPr>
        <w:t>标准中涉及的专利情况</w:t>
      </w:r>
    </w:p>
    <w:p>
      <w:pPr>
        <w:widowControl w:val="0"/>
        <w:ind w:firstLine="420" w:firstLineChars="200"/>
        <w:jc w:val="both"/>
        <w:rPr>
          <w:sz w:val="21"/>
          <w:szCs w:val="21"/>
        </w:rPr>
      </w:pPr>
      <w:r>
        <w:rPr>
          <w:sz w:val="21"/>
          <w:szCs w:val="21"/>
        </w:rPr>
        <w:t>本文件不涉及专利问题。</w:t>
      </w:r>
    </w:p>
    <w:p>
      <w:pPr>
        <w:widowControl w:val="0"/>
        <w:spacing w:before="312" w:beforeLines="100" w:after="312" w:afterLines="100"/>
        <w:jc w:val="both"/>
        <w:outlineLvl w:val="0"/>
        <w:rPr>
          <w:b/>
          <w:bCs/>
        </w:rPr>
      </w:pPr>
      <w:r>
        <w:rPr>
          <w:rFonts w:hint="eastAsia"/>
          <w:b/>
          <w:bCs/>
        </w:rPr>
        <w:t>五、</w:t>
      </w:r>
      <w:r>
        <w:rPr>
          <w:b/>
          <w:bCs/>
        </w:rPr>
        <w:t>标准预期达到的社会效益等情况</w:t>
      </w:r>
    </w:p>
    <w:p>
      <w:pPr>
        <w:widowControl w:val="0"/>
        <w:spacing w:before="156" w:beforeLines="50" w:after="156" w:afterLines="50"/>
        <w:jc w:val="both"/>
        <w:outlineLvl w:val="1"/>
        <w:rPr>
          <w:b/>
          <w:bCs/>
          <w:sz w:val="21"/>
          <w:szCs w:val="21"/>
        </w:rPr>
      </w:pPr>
      <w:r>
        <w:rPr>
          <w:b/>
          <w:bCs/>
          <w:sz w:val="21"/>
          <w:szCs w:val="21"/>
        </w:rPr>
        <w:t>5.1 标准编写的目的和意义</w:t>
      </w:r>
    </w:p>
    <w:p>
      <w:pPr>
        <w:widowControl w:val="0"/>
        <w:ind w:firstLine="420" w:firstLineChars="200"/>
        <w:jc w:val="both"/>
        <w:rPr>
          <w:rFonts w:hint="eastAsia"/>
          <w:sz w:val="21"/>
          <w:szCs w:val="21"/>
          <w:lang w:val="en-US" w:eastAsia="zh-CN"/>
        </w:rPr>
      </w:pPr>
      <w:r>
        <w:rPr>
          <w:rFonts w:hint="eastAsia"/>
          <w:sz w:val="21"/>
          <w:szCs w:val="21"/>
          <w:lang w:val="en-US" w:eastAsia="zh-CN"/>
        </w:rPr>
        <w:t>随着人们对高性能、低成本电池技术的迫切需求日益显现，钠离子电池作为一种充电时间短、能量密度高、成本低廉、可循环使用等优点明显的储存技术，正越来越受到市场的追捧。相比锂电池，钠电池的材料成本较低，因为钠是地壳中丰富的元素，相对于锂来说更容易获取，这也意味着钠电池的成本更低，通常而言钠离子电池的成本比锂电池低30%-40%。并且钠电池的化学性质更为稳定，内阻较高，这使得它们在安全性方面具有一定的优势，同时钠电池可以完全放电至0V再进行运输，这降低了运输过程中的安全风险。</w:t>
      </w:r>
    </w:p>
    <w:p>
      <w:pPr>
        <w:widowControl w:val="0"/>
        <w:ind w:firstLine="420" w:firstLineChars="200"/>
        <w:jc w:val="both"/>
        <w:rPr>
          <w:rFonts w:hint="default"/>
          <w:sz w:val="21"/>
          <w:szCs w:val="21"/>
          <w:lang w:val="en-US" w:eastAsia="zh-CN"/>
        </w:rPr>
      </w:pPr>
      <w:r>
        <w:rPr>
          <w:rFonts w:hint="eastAsia"/>
          <w:sz w:val="21"/>
          <w:szCs w:val="21"/>
          <w:lang w:val="en-US" w:eastAsia="zh-CN"/>
        </w:rPr>
        <w:t>近年来，我国在钠离子电池的关键性技术研发、材料制备、电池生产及其应用等领域均跻身世界前列。与此同时，今年以来，我国钠电池领域延续了2023年的高景气度，装机、订单、合作、项目开工签约等消息不断。与此同时，2023年钠电池便已经进入到了两轮电动车行业当中，包括雅迪、新日、台铃等品牌都相继发布了钠电池的电动车，并且已经开始上市销售。如果推广使用钠电池的两轮车，至少在两轮车安全上会有较大的提升</w:t>
      </w:r>
    </w:p>
    <w:p>
      <w:pPr>
        <w:widowControl w:val="0"/>
        <w:ind w:firstLine="420" w:firstLineChars="200"/>
        <w:jc w:val="both"/>
        <w:rPr>
          <w:rFonts w:hint="default"/>
          <w:sz w:val="21"/>
          <w:szCs w:val="21"/>
          <w:lang w:val="en-US" w:eastAsia="zh-CN"/>
        </w:rPr>
      </w:pPr>
      <w:r>
        <w:rPr>
          <w:rFonts w:hint="default"/>
          <w:sz w:val="21"/>
          <w:szCs w:val="21"/>
          <w:lang w:val="en-US" w:eastAsia="zh-CN"/>
        </w:rPr>
        <w:t>由于钠离子电池产业前景广阔，我国一直都高度重视钠离子电池的研发和应用。2021年，国家发展改革委、国家能源局在《新型储能发展指导意见》中，提出了加快钠离子电池等技术的规模化试验示范；2022年，我国将钠离子电池列入《“十四五”能源领域科技创新规划》，支持钠离子电池前沿技术和核心技术装备攻关；2023年1月，工信部等六部门联合发布《关于推动能源电子产业发展的指导意见》，明确加强新型储能电池产业化技术攻关，研究突破超长寿命高安全性电池体系、大规模大容量高效储能等关键技术，加快研发钠离子电池等新型电池。</w:t>
      </w:r>
    </w:p>
    <w:p>
      <w:pPr>
        <w:widowControl w:val="0"/>
        <w:ind w:firstLine="420" w:firstLineChars="200"/>
        <w:jc w:val="both"/>
        <w:rPr>
          <w:rFonts w:hint="eastAsia"/>
          <w:sz w:val="21"/>
          <w:szCs w:val="21"/>
          <w:lang w:val="en-US" w:eastAsia="zh-CN"/>
        </w:rPr>
      </w:pPr>
      <w:r>
        <w:rPr>
          <w:rFonts w:hint="default"/>
          <w:sz w:val="21"/>
          <w:szCs w:val="21"/>
          <w:lang w:val="en-US" w:eastAsia="zh-CN"/>
        </w:rPr>
        <w:t>展望未来，随着规模量产落地，钠离子电池产业发展有望复制锂离子电池的高速发展路径。总体来看，钠离子电池百分之九十的工艺过程与锂离子电池大体相同，因此未来其大规模应用并不会面临太大的挑战。相反，由于钠离子电池稳定性高、成本低廉，在不远的将来，其甚至有望成为电动汽车等领域的主流动力源之一。</w:t>
      </w:r>
      <w:r>
        <w:rPr>
          <w:rFonts w:hint="eastAsia"/>
          <w:sz w:val="21"/>
          <w:szCs w:val="21"/>
          <w:lang w:val="en-US" w:eastAsia="zh-CN"/>
        </w:rPr>
        <w:t>正极材料是钠离子电池最核心的关键材料，决定了电池的能量密度和成本。因此，开发高性能、低成本、高安全的正极材料是推动钠离子电池产业化和市场快速应用的关键。</w:t>
      </w:r>
    </w:p>
    <w:p>
      <w:pPr>
        <w:widowControl w:val="0"/>
        <w:spacing w:before="156" w:beforeLines="50" w:after="156" w:afterLines="50"/>
        <w:jc w:val="both"/>
        <w:outlineLvl w:val="1"/>
        <w:rPr>
          <w:b/>
          <w:bCs/>
          <w:sz w:val="21"/>
          <w:szCs w:val="21"/>
        </w:rPr>
      </w:pPr>
      <w:r>
        <w:rPr>
          <w:b/>
          <w:bCs/>
          <w:sz w:val="21"/>
          <w:szCs w:val="21"/>
        </w:rPr>
        <w:t>5.2 标准预期的作用和效益</w:t>
      </w:r>
    </w:p>
    <w:p>
      <w:pPr>
        <w:widowControl w:val="0"/>
        <w:ind w:firstLine="420" w:firstLineChars="200"/>
        <w:jc w:val="both"/>
        <w:rPr>
          <w:sz w:val="21"/>
          <w:szCs w:val="21"/>
        </w:rPr>
      </w:pPr>
      <w:r>
        <w:rPr>
          <w:rFonts w:hint="eastAsia"/>
          <w:sz w:val="21"/>
          <w:szCs w:val="21"/>
          <w:lang w:val="en-US" w:eastAsia="zh-CN"/>
        </w:rPr>
        <w:t>铜铁锰酸钠</w:t>
      </w:r>
      <w:r>
        <w:rPr>
          <w:rFonts w:hint="eastAsia"/>
          <w:sz w:val="21"/>
          <w:szCs w:val="21"/>
        </w:rPr>
        <w:t>作为钠离子电池用正极材料，众多新能源企业及科研院所均在研发，有部分企业已实现商业化，但目前没有统一的标准可以参考。制定《钠离子电池用正极材料</w:t>
      </w:r>
      <w:r>
        <w:rPr>
          <w:rFonts w:hint="eastAsia"/>
          <w:sz w:val="21"/>
          <w:szCs w:val="21"/>
          <w:lang w:val="en-US" w:eastAsia="zh-CN"/>
        </w:rPr>
        <w:t xml:space="preserve"> 铜铁锰酸钠</w:t>
      </w:r>
      <w:r>
        <w:rPr>
          <w:rFonts w:hint="eastAsia"/>
          <w:sz w:val="21"/>
          <w:szCs w:val="21"/>
        </w:rPr>
        <w:t>》产品标准，有利于钠离子电池正极材料</w:t>
      </w:r>
      <w:r>
        <w:rPr>
          <w:rFonts w:hint="eastAsia"/>
          <w:sz w:val="21"/>
          <w:szCs w:val="21"/>
          <w:lang w:val="en-US" w:eastAsia="zh-CN"/>
        </w:rPr>
        <w:t>铜铁锰酸钠</w:t>
      </w:r>
      <w:r>
        <w:rPr>
          <w:rFonts w:hint="eastAsia"/>
          <w:sz w:val="21"/>
          <w:szCs w:val="21"/>
        </w:rPr>
        <w:t>的规范生产、质量统一、广泛应用，将推进我国新能源产业更好更快发展。</w:t>
      </w:r>
    </w:p>
    <w:p>
      <w:pPr>
        <w:widowControl w:val="0"/>
        <w:spacing w:before="312" w:beforeLines="100" w:after="312" w:afterLines="100"/>
        <w:jc w:val="both"/>
        <w:outlineLvl w:val="0"/>
        <w:rPr>
          <w:b/>
          <w:bCs/>
        </w:rPr>
      </w:pPr>
      <w:r>
        <w:rPr>
          <w:rFonts w:hint="eastAsia"/>
          <w:b/>
          <w:bCs/>
        </w:rPr>
        <w:t>六、</w:t>
      </w:r>
      <w:r>
        <w:rPr>
          <w:b/>
          <w:bCs/>
        </w:rPr>
        <w:t>采用国际标准和国外先进标准的情况</w:t>
      </w:r>
    </w:p>
    <w:p>
      <w:pPr>
        <w:widowControl w:val="0"/>
        <w:ind w:firstLine="420" w:firstLineChars="200"/>
        <w:jc w:val="both"/>
        <w:rPr>
          <w:b/>
          <w:bCs/>
          <w:sz w:val="21"/>
          <w:szCs w:val="21"/>
        </w:rPr>
      </w:pPr>
      <w:r>
        <w:rPr>
          <w:rFonts w:hint="eastAsia"/>
          <w:sz w:val="21"/>
          <w:szCs w:val="21"/>
        </w:rPr>
        <w:t>本文件为我国首次制定，</w:t>
      </w:r>
      <w:r>
        <w:rPr>
          <w:sz w:val="21"/>
          <w:szCs w:val="21"/>
        </w:rPr>
        <w:t>经查询，本文件与国内外现行标准及制定中的标准无重复交叉情况。</w:t>
      </w:r>
    </w:p>
    <w:p>
      <w:pPr>
        <w:widowControl w:val="0"/>
        <w:spacing w:before="312" w:beforeLines="100" w:after="312" w:afterLines="100"/>
        <w:jc w:val="both"/>
        <w:outlineLvl w:val="0"/>
        <w:rPr>
          <w:b/>
          <w:bCs/>
          <w:sz w:val="21"/>
          <w:szCs w:val="21"/>
        </w:rPr>
      </w:pPr>
      <w:r>
        <w:rPr>
          <w:rFonts w:hint="eastAsia"/>
          <w:b/>
          <w:bCs/>
        </w:rPr>
        <w:t>七、</w:t>
      </w:r>
      <w:r>
        <w:rPr>
          <w:b/>
          <w:bCs/>
        </w:rPr>
        <w:t>与现行法律、法规、强制性国家标准及相关标准协调配套情况</w:t>
      </w:r>
    </w:p>
    <w:p>
      <w:pPr>
        <w:widowControl w:val="0"/>
        <w:ind w:firstLine="420" w:firstLineChars="200"/>
        <w:jc w:val="both"/>
        <w:rPr>
          <w:sz w:val="21"/>
          <w:szCs w:val="21"/>
        </w:rPr>
      </w:pPr>
      <w:r>
        <w:rPr>
          <w:sz w:val="21"/>
          <w:szCs w:val="21"/>
        </w:rPr>
        <w:t>本文件与有关的现行法律、法规和强制性国家标准没有冲突。标准涉及内容全面、条款详细、在编制过程中吸纳了国内相关先进技术</w:t>
      </w:r>
      <w:r>
        <w:rPr>
          <w:rFonts w:hint="eastAsia"/>
          <w:sz w:val="21"/>
          <w:szCs w:val="21"/>
        </w:rPr>
        <w:t>，整体达到先进水平。</w:t>
      </w:r>
    </w:p>
    <w:p>
      <w:pPr>
        <w:widowControl w:val="0"/>
        <w:spacing w:before="312" w:beforeLines="100" w:after="312" w:afterLines="100"/>
        <w:jc w:val="both"/>
        <w:outlineLvl w:val="0"/>
        <w:rPr>
          <w:b/>
          <w:bCs/>
        </w:rPr>
      </w:pPr>
      <w:r>
        <w:rPr>
          <w:rFonts w:hint="eastAsia"/>
          <w:b/>
          <w:bCs/>
        </w:rPr>
        <w:t>八、</w:t>
      </w:r>
      <w:r>
        <w:rPr>
          <w:b/>
          <w:bCs/>
        </w:rPr>
        <w:t>重大分歧意见的处理经过和依据</w:t>
      </w:r>
    </w:p>
    <w:p>
      <w:pPr>
        <w:widowControl w:val="0"/>
        <w:ind w:firstLine="420" w:firstLineChars="200"/>
        <w:jc w:val="both"/>
        <w:rPr>
          <w:b/>
          <w:bCs/>
          <w:sz w:val="21"/>
          <w:szCs w:val="21"/>
        </w:rPr>
      </w:pPr>
      <w:r>
        <w:rPr>
          <w:sz w:val="21"/>
          <w:szCs w:val="21"/>
        </w:rPr>
        <w:t>无。</w:t>
      </w:r>
    </w:p>
    <w:p>
      <w:pPr>
        <w:widowControl w:val="0"/>
        <w:spacing w:before="312" w:beforeLines="100" w:after="312" w:afterLines="100"/>
        <w:jc w:val="both"/>
        <w:outlineLvl w:val="0"/>
        <w:rPr>
          <w:b/>
          <w:bCs/>
        </w:rPr>
      </w:pPr>
      <w:r>
        <w:rPr>
          <w:rFonts w:hint="eastAsia"/>
          <w:b/>
          <w:bCs/>
        </w:rPr>
        <w:t>九、</w:t>
      </w:r>
      <w:r>
        <w:rPr>
          <w:b/>
          <w:bCs/>
        </w:rPr>
        <w:t>标准作为强制性或推荐性标准的建议</w:t>
      </w:r>
    </w:p>
    <w:p>
      <w:pPr>
        <w:widowControl w:val="0"/>
        <w:ind w:firstLine="420" w:firstLineChars="200"/>
        <w:jc w:val="both"/>
        <w:rPr>
          <w:sz w:val="21"/>
          <w:szCs w:val="21"/>
        </w:rPr>
      </w:pPr>
      <w:r>
        <w:rPr>
          <w:rFonts w:hint="eastAsia"/>
          <w:sz w:val="21"/>
          <w:szCs w:val="21"/>
        </w:rPr>
        <w:t>建议本文件为推荐性国家标准，供相关组织参考采用。</w:t>
      </w:r>
    </w:p>
    <w:p>
      <w:pPr>
        <w:widowControl w:val="0"/>
        <w:spacing w:before="312" w:beforeLines="100" w:after="312" w:afterLines="100"/>
        <w:jc w:val="both"/>
        <w:outlineLvl w:val="0"/>
        <w:rPr>
          <w:b/>
          <w:bCs/>
        </w:rPr>
      </w:pPr>
      <w:r>
        <w:rPr>
          <w:rFonts w:hint="eastAsia"/>
          <w:b/>
          <w:bCs/>
        </w:rPr>
        <w:t>十、</w:t>
      </w:r>
      <w:r>
        <w:rPr>
          <w:b/>
          <w:bCs/>
        </w:rPr>
        <w:t>贯彻标准的要求和措施建议</w:t>
      </w:r>
    </w:p>
    <w:p>
      <w:pPr>
        <w:widowControl w:val="0"/>
        <w:ind w:firstLine="420" w:firstLineChars="200"/>
        <w:jc w:val="both"/>
        <w:rPr>
          <w:b/>
          <w:bCs/>
          <w:sz w:val="21"/>
          <w:szCs w:val="21"/>
        </w:rPr>
      </w:pPr>
      <w:r>
        <w:rPr>
          <w:sz w:val="21"/>
          <w:szCs w:val="21"/>
        </w:rPr>
        <w:t>建议向</w:t>
      </w:r>
      <w:r>
        <w:rPr>
          <w:rFonts w:hint="eastAsia"/>
          <w:sz w:val="21"/>
          <w:szCs w:val="21"/>
        </w:rPr>
        <w:t>钠离子电池</w:t>
      </w:r>
      <w:r>
        <w:rPr>
          <w:sz w:val="21"/>
          <w:szCs w:val="21"/>
        </w:rPr>
        <w:t>正极材料</w:t>
      </w:r>
      <w:r>
        <w:rPr>
          <w:rFonts w:hint="eastAsia"/>
          <w:sz w:val="21"/>
          <w:szCs w:val="21"/>
          <w:lang w:val="en-US" w:eastAsia="zh-CN"/>
        </w:rPr>
        <w:t>铜铁锰酸钠</w:t>
      </w:r>
      <w:r>
        <w:rPr>
          <w:sz w:val="21"/>
          <w:szCs w:val="21"/>
        </w:rPr>
        <w:t>研发、生产、销售、检测</w:t>
      </w:r>
      <w:r>
        <w:rPr>
          <w:rFonts w:hint="eastAsia"/>
          <w:sz w:val="21"/>
          <w:szCs w:val="21"/>
        </w:rPr>
        <w:t>等</w:t>
      </w:r>
      <w:r>
        <w:rPr>
          <w:sz w:val="21"/>
          <w:szCs w:val="21"/>
        </w:rPr>
        <w:t>相关企业和单位积极贯彻本文件的内容。</w:t>
      </w:r>
    </w:p>
    <w:p>
      <w:pPr>
        <w:widowControl w:val="0"/>
        <w:spacing w:before="312" w:beforeLines="100" w:after="312" w:afterLines="100"/>
        <w:jc w:val="both"/>
        <w:outlineLvl w:val="0"/>
        <w:rPr>
          <w:b/>
          <w:bCs/>
        </w:rPr>
      </w:pPr>
      <w:r>
        <w:rPr>
          <w:rFonts w:hint="eastAsia"/>
          <w:b/>
          <w:bCs/>
        </w:rPr>
        <w:t>十一、</w:t>
      </w:r>
      <w:r>
        <w:rPr>
          <w:b/>
          <w:bCs/>
        </w:rPr>
        <w:t>废止现行有关标准的建议</w:t>
      </w:r>
    </w:p>
    <w:p>
      <w:pPr>
        <w:widowControl w:val="0"/>
        <w:ind w:firstLine="420" w:firstLineChars="200"/>
        <w:jc w:val="both"/>
        <w:rPr>
          <w:b/>
          <w:bCs/>
          <w:sz w:val="21"/>
          <w:szCs w:val="21"/>
        </w:rPr>
      </w:pPr>
      <w:r>
        <w:rPr>
          <w:sz w:val="21"/>
          <w:szCs w:val="21"/>
        </w:rPr>
        <w:t>无。</w:t>
      </w:r>
    </w:p>
    <w:p>
      <w:pPr>
        <w:widowControl w:val="0"/>
        <w:spacing w:before="312" w:beforeLines="100" w:after="312" w:afterLines="100"/>
        <w:jc w:val="both"/>
        <w:outlineLvl w:val="0"/>
        <w:rPr>
          <w:b/>
          <w:bCs/>
        </w:rPr>
      </w:pPr>
      <w:r>
        <w:rPr>
          <w:rFonts w:hint="eastAsia"/>
          <w:b/>
          <w:bCs/>
        </w:rPr>
        <w:t>十二、</w:t>
      </w:r>
      <w:r>
        <w:rPr>
          <w:b/>
          <w:bCs/>
        </w:rPr>
        <w:t>其他应予说明的事项</w:t>
      </w:r>
    </w:p>
    <w:p>
      <w:pPr>
        <w:widowControl w:val="0"/>
        <w:ind w:firstLine="420" w:firstLineChars="200"/>
        <w:jc w:val="both"/>
        <w:rPr>
          <w:sz w:val="21"/>
          <w:szCs w:val="21"/>
        </w:rPr>
      </w:pPr>
      <w:r>
        <w:rPr>
          <w:sz w:val="21"/>
          <w:szCs w:val="21"/>
        </w:rPr>
        <w:t>无。</w:t>
      </w:r>
    </w:p>
    <w:p>
      <w:pPr>
        <w:widowControl w:val="0"/>
        <w:ind w:left="4830" w:hanging="4830" w:hangingChars="2300"/>
        <w:jc w:val="right"/>
        <w:rPr>
          <w:sz w:val="21"/>
          <w:szCs w:val="21"/>
        </w:rPr>
      </w:pPr>
    </w:p>
    <w:p>
      <w:pPr>
        <w:widowControl w:val="0"/>
        <w:ind w:left="4849" w:right="210" w:hanging="4849" w:hangingChars="2300"/>
        <w:jc w:val="right"/>
        <w:rPr>
          <w:b/>
          <w:bCs/>
          <w:sz w:val="21"/>
          <w:szCs w:val="21"/>
        </w:rPr>
      </w:pPr>
      <w:r>
        <w:rPr>
          <w:rFonts w:hint="eastAsia"/>
          <w:b/>
          <w:bCs/>
          <w:sz w:val="21"/>
          <w:szCs w:val="21"/>
        </w:rPr>
        <w:t>《钠离子电池用正极材料</w:t>
      </w:r>
      <w:r>
        <w:rPr>
          <w:rFonts w:hint="eastAsia"/>
          <w:b/>
          <w:bCs/>
          <w:sz w:val="21"/>
          <w:szCs w:val="21"/>
          <w:lang w:val="en-US" w:eastAsia="zh-CN"/>
        </w:rPr>
        <w:t xml:space="preserve"> </w:t>
      </w:r>
      <w:r>
        <w:rPr>
          <w:rFonts w:hint="eastAsia"/>
          <w:b/>
          <w:bCs/>
          <w:sz w:val="21"/>
          <w:szCs w:val="21"/>
          <w:lang w:eastAsia="zh-CN"/>
        </w:rPr>
        <w:t>铜铁锰酸钠</w:t>
      </w:r>
      <w:r>
        <w:rPr>
          <w:rFonts w:hint="eastAsia"/>
          <w:b/>
          <w:bCs/>
          <w:sz w:val="21"/>
          <w:szCs w:val="21"/>
        </w:rPr>
        <w:t>》标准</w:t>
      </w:r>
      <w:r>
        <w:rPr>
          <w:b/>
          <w:bCs/>
          <w:sz w:val="21"/>
          <w:szCs w:val="21"/>
        </w:rPr>
        <w:t>编制组</w:t>
      </w:r>
    </w:p>
    <w:p>
      <w:pPr>
        <w:widowControl w:val="0"/>
        <w:jc w:val="both"/>
        <w:rPr>
          <w:b/>
          <w:bCs/>
          <w:sz w:val="21"/>
          <w:szCs w:val="21"/>
        </w:rPr>
      </w:pPr>
      <w:r>
        <w:rPr>
          <w:b/>
          <w:bCs/>
          <w:sz w:val="21"/>
          <w:szCs w:val="21"/>
        </w:rPr>
        <w:t xml:space="preserve">                                                                        202</w:t>
      </w:r>
      <w:r>
        <w:rPr>
          <w:rFonts w:hint="eastAsia"/>
          <w:b/>
          <w:bCs/>
          <w:sz w:val="21"/>
          <w:szCs w:val="21"/>
          <w:lang w:val="en-US" w:eastAsia="zh-CN"/>
        </w:rPr>
        <w:t>4</w:t>
      </w:r>
      <w:r>
        <w:rPr>
          <w:b/>
          <w:bCs/>
          <w:sz w:val="21"/>
          <w:szCs w:val="21"/>
        </w:rPr>
        <w:t>年</w:t>
      </w:r>
      <w:r>
        <w:rPr>
          <w:rFonts w:hint="eastAsia"/>
          <w:b/>
          <w:bCs/>
          <w:sz w:val="21"/>
          <w:szCs w:val="21"/>
          <w:lang w:val="en-US" w:eastAsia="zh-CN"/>
        </w:rPr>
        <w:t>4</w:t>
      </w:r>
      <w:r>
        <w:rPr>
          <w:b/>
          <w:bCs/>
          <w:sz w:val="21"/>
          <w:szCs w:val="21"/>
        </w:rPr>
        <w:t>月</w:t>
      </w: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hint="eastAsia" w:eastAsiaTheme="minorEastAsia"/>
          <w:sz w:val="32"/>
          <w:szCs w:val="21"/>
        </w:rPr>
      </w:pPr>
    </w:p>
    <w:p>
      <w:pPr>
        <w:pStyle w:val="6"/>
        <w:ind w:firstLine="0" w:firstLineChars="0"/>
        <w:jc w:val="center"/>
        <w:rPr>
          <w:rFonts w:eastAsiaTheme="minorEastAsia"/>
          <w:sz w:val="32"/>
          <w:szCs w:val="21"/>
        </w:rPr>
      </w:pPr>
      <w:r>
        <w:rPr>
          <w:rFonts w:hint="eastAsia" w:eastAsiaTheme="minorEastAsia"/>
          <w:sz w:val="32"/>
          <w:szCs w:val="21"/>
        </w:rPr>
        <w:t>标准（</w:t>
      </w:r>
      <w:r>
        <w:rPr>
          <w:rFonts w:hint="eastAsia" w:eastAsiaTheme="minorEastAsia"/>
          <w:sz w:val="32"/>
          <w:szCs w:val="21"/>
          <w:lang w:val="en-US" w:eastAsia="zh-CN"/>
        </w:rPr>
        <w:t>讨论</w:t>
      </w:r>
      <w:r>
        <w:rPr>
          <w:rFonts w:hint="eastAsia" w:eastAsiaTheme="minorEastAsia"/>
          <w:sz w:val="32"/>
          <w:szCs w:val="21"/>
        </w:rPr>
        <w:t>稿）_</w:t>
      </w:r>
      <w:r>
        <w:rPr>
          <w:rFonts w:eastAsiaTheme="minorEastAsia"/>
          <w:sz w:val="32"/>
          <w:szCs w:val="21"/>
        </w:rPr>
        <w:t>意见汇总处理表</w:t>
      </w:r>
    </w:p>
    <w:p>
      <w:pPr>
        <w:widowControl w:val="0"/>
        <w:ind w:firstLine="420" w:firstLineChars="200"/>
        <w:jc w:val="both"/>
        <w:rPr>
          <w:sz w:val="21"/>
          <w:szCs w:val="21"/>
        </w:rPr>
      </w:pPr>
      <w:r>
        <w:rPr>
          <w:sz w:val="21"/>
          <w:szCs w:val="21"/>
        </w:rPr>
        <w:t>标准项目名称：《</w:t>
      </w:r>
      <w:r>
        <w:rPr>
          <w:rFonts w:hint="eastAsia"/>
          <w:sz w:val="21"/>
          <w:szCs w:val="21"/>
        </w:rPr>
        <w:t>钠离子电池用正极材料</w:t>
      </w:r>
      <w:r>
        <w:rPr>
          <w:rFonts w:hint="eastAsia"/>
          <w:sz w:val="21"/>
          <w:szCs w:val="21"/>
          <w:lang w:val="en-US" w:eastAsia="zh-CN"/>
        </w:rPr>
        <w:t xml:space="preserve"> </w:t>
      </w:r>
      <w:r>
        <w:rPr>
          <w:rFonts w:hint="eastAsia"/>
          <w:sz w:val="21"/>
          <w:szCs w:val="21"/>
        </w:rPr>
        <w:t>铜铁锰酸钠》</w:t>
      </w:r>
    </w:p>
    <w:p>
      <w:pPr>
        <w:widowControl w:val="0"/>
        <w:ind w:firstLine="420" w:firstLineChars="200"/>
        <w:jc w:val="both"/>
        <w:rPr>
          <w:rFonts w:hint="default" w:ascii="宋体" w:hAnsi="宋体" w:eastAsia="宋体" w:cs="宋体"/>
          <w:sz w:val="21"/>
          <w:szCs w:val="21"/>
          <w:lang w:val="en-US" w:eastAsia="zh-CN"/>
        </w:rPr>
      </w:pPr>
      <w:r>
        <w:rPr>
          <w:sz w:val="21"/>
          <w:szCs w:val="21"/>
        </w:rPr>
        <w:t>标准起草单位：</w:t>
      </w:r>
      <w:r>
        <w:rPr>
          <w:rFonts w:hint="eastAsia" w:ascii="宋体" w:hAnsi="宋体" w:cs="宋体"/>
          <w:sz w:val="21"/>
          <w:szCs w:val="21"/>
        </w:rPr>
        <w:t>天津</w:t>
      </w:r>
      <w:r>
        <w:rPr>
          <w:rFonts w:hint="eastAsia" w:ascii="宋体" w:hAnsi="宋体" w:cs="宋体"/>
          <w:sz w:val="21"/>
          <w:szCs w:val="21"/>
          <w:lang w:val="en-US" w:eastAsia="zh-CN"/>
        </w:rPr>
        <w:t>巴莫科技责任有限公司</w:t>
      </w:r>
    </w:p>
    <w:p>
      <w:pPr>
        <w:widowControl w:val="0"/>
        <w:ind w:firstLine="420" w:firstLineChars="200"/>
        <w:jc w:val="both"/>
        <w:rPr>
          <w:rFonts w:eastAsiaTheme="minorEastAsia"/>
          <w:sz w:val="21"/>
          <w:szCs w:val="21"/>
        </w:rPr>
      </w:pPr>
      <w:r>
        <w:rPr>
          <w:rFonts w:eastAsiaTheme="minorEastAsia"/>
          <w:sz w:val="21"/>
          <w:szCs w:val="21"/>
        </w:rPr>
        <w:t>承办人：</w:t>
      </w:r>
      <w:r>
        <w:rPr>
          <w:rFonts w:hint="eastAsia" w:eastAsiaTheme="minorEastAsia"/>
          <w:sz w:val="21"/>
          <w:szCs w:val="21"/>
          <w:lang w:val="en-US" w:eastAsia="zh-CN"/>
        </w:rPr>
        <w:t>XX</w:t>
      </w:r>
      <w:r>
        <w:rPr>
          <w:rFonts w:eastAsiaTheme="minorEastAsia"/>
          <w:sz w:val="21"/>
          <w:szCs w:val="21"/>
        </w:rPr>
        <w:t>；电话：</w:t>
      </w:r>
      <w:r>
        <w:rPr>
          <w:rFonts w:hint="eastAsia" w:eastAsiaTheme="minorEastAsia"/>
          <w:sz w:val="21"/>
          <w:szCs w:val="21"/>
          <w:lang w:val="en-US" w:eastAsia="zh-CN"/>
        </w:rPr>
        <w:t>XXXX</w:t>
      </w:r>
      <w:r>
        <w:rPr>
          <w:rFonts w:eastAsiaTheme="minorEastAsia"/>
          <w:sz w:val="21"/>
          <w:szCs w:val="21"/>
        </w:rPr>
        <w:t>；邮箱：</w:t>
      </w:r>
      <w:r>
        <w:rPr>
          <w:rFonts w:hint="eastAsia" w:eastAsiaTheme="minorEastAsia"/>
          <w:lang w:val="en-US" w:eastAsia="zh-CN"/>
        </w:rPr>
        <w:t>XXXXXXXXX</w:t>
      </w:r>
      <w:r>
        <w:rPr>
          <w:rFonts w:eastAsiaTheme="minorEastAsia"/>
          <w:sz w:val="21"/>
          <w:szCs w:val="21"/>
        </w:rPr>
        <w:t xml:space="preserve">   202</w:t>
      </w:r>
      <w:r>
        <w:rPr>
          <w:rFonts w:hint="eastAsia" w:eastAsiaTheme="minorEastAsia"/>
          <w:sz w:val="21"/>
          <w:szCs w:val="21"/>
          <w:lang w:val="en-US" w:eastAsia="zh-CN"/>
        </w:rPr>
        <w:t>4</w:t>
      </w:r>
      <w:r>
        <w:rPr>
          <w:rFonts w:eastAsiaTheme="minorEastAsia"/>
          <w:sz w:val="21"/>
          <w:szCs w:val="21"/>
        </w:rPr>
        <w:t>年</w:t>
      </w:r>
      <w:r>
        <w:rPr>
          <w:rFonts w:hint="eastAsia" w:eastAsiaTheme="minorEastAsia"/>
          <w:sz w:val="21"/>
          <w:szCs w:val="21"/>
          <w:lang w:val="en-US" w:eastAsia="zh-CN"/>
        </w:rPr>
        <w:t>4</w:t>
      </w:r>
      <w:r>
        <w:rPr>
          <w:rFonts w:eastAsiaTheme="minorEastAsia"/>
          <w:sz w:val="21"/>
          <w:szCs w:val="21"/>
        </w:rPr>
        <w:t>月</w:t>
      </w:r>
      <w:r>
        <w:rPr>
          <w:rFonts w:hint="eastAsia" w:eastAsiaTheme="minorEastAsia"/>
          <w:sz w:val="21"/>
          <w:szCs w:val="21"/>
          <w:lang w:val="en-US" w:eastAsia="zh-CN"/>
        </w:rPr>
        <w:t>10</w:t>
      </w:r>
      <w:r>
        <w:rPr>
          <w:rFonts w:eastAsiaTheme="minorEastAsia"/>
          <w:sz w:val="21"/>
          <w:szCs w:val="21"/>
        </w:rPr>
        <w:t>日填写</w:t>
      </w:r>
    </w:p>
    <w:tbl>
      <w:tblPr>
        <w:tblStyle w:val="12"/>
        <w:tblW w:w="45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664"/>
        <w:gridCol w:w="2729"/>
        <w:gridCol w:w="1375"/>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pct"/>
            <w:vAlign w:val="center"/>
          </w:tcPr>
          <w:p>
            <w:pPr>
              <w:jc w:val="center"/>
              <w:rPr>
                <w:sz w:val="18"/>
                <w:szCs w:val="18"/>
              </w:rPr>
            </w:pPr>
            <w:r>
              <w:rPr>
                <w:sz w:val="18"/>
                <w:szCs w:val="18"/>
              </w:rPr>
              <w:t>序号</w:t>
            </w:r>
          </w:p>
        </w:tc>
        <w:tc>
          <w:tcPr>
            <w:tcW w:w="914" w:type="pct"/>
            <w:vAlign w:val="center"/>
          </w:tcPr>
          <w:p>
            <w:pPr>
              <w:jc w:val="center"/>
              <w:rPr>
                <w:sz w:val="18"/>
                <w:szCs w:val="18"/>
              </w:rPr>
            </w:pPr>
            <w:r>
              <w:rPr>
                <w:sz w:val="18"/>
                <w:szCs w:val="18"/>
              </w:rPr>
              <w:t>标准</w:t>
            </w:r>
          </w:p>
          <w:p>
            <w:pPr>
              <w:jc w:val="center"/>
              <w:rPr>
                <w:sz w:val="18"/>
                <w:szCs w:val="18"/>
              </w:rPr>
            </w:pPr>
            <w:r>
              <w:rPr>
                <w:sz w:val="18"/>
                <w:szCs w:val="18"/>
              </w:rPr>
              <w:t>章条编号</w:t>
            </w:r>
          </w:p>
        </w:tc>
        <w:tc>
          <w:tcPr>
            <w:tcW w:w="1499" w:type="pct"/>
            <w:vAlign w:val="center"/>
          </w:tcPr>
          <w:p>
            <w:pPr>
              <w:jc w:val="center"/>
              <w:rPr>
                <w:sz w:val="18"/>
                <w:szCs w:val="18"/>
              </w:rPr>
            </w:pPr>
            <w:r>
              <w:rPr>
                <w:sz w:val="18"/>
                <w:szCs w:val="18"/>
              </w:rPr>
              <w:t>意见内容</w:t>
            </w:r>
          </w:p>
        </w:tc>
        <w:tc>
          <w:tcPr>
            <w:tcW w:w="755" w:type="pct"/>
            <w:vAlign w:val="center"/>
          </w:tcPr>
          <w:p>
            <w:pPr>
              <w:jc w:val="center"/>
              <w:rPr>
                <w:sz w:val="18"/>
                <w:szCs w:val="18"/>
              </w:rPr>
            </w:pPr>
            <w:r>
              <w:rPr>
                <w:sz w:val="18"/>
                <w:szCs w:val="18"/>
              </w:rPr>
              <w:t>提出单位</w:t>
            </w:r>
          </w:p>
        </w:tc>
        <w:tc>
          <w:tcPr>
            <w:tcW w:w="1194" w:type="pct"/>
            <w:vAlign w:val="center"/>
          </w:tcPr>
          <w:p>
            <w:pPr>
              <w:jc w:val="center"/>
              <w:rPr>
                <w:sz w:val="18"/>
                <w:szCs w:val="18"/>
              </w:rPr>
            </w:pPr>
            <w:r>
              <w:rPr>
                <w:sz w:val="18"/>
                <w:szCs w:val="18"/>
              </w:rPr>
              <w:t>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pct"/>
            <w:vAlign w:val="center"/>
          </w:tcPr>
          <w:p>
            <w:pPr>
              <w:jc w:val="center"/>
              <w:rPr>
                <w:sz w:val="18"/>
                <w:szCs w:val="18"/>
              </w:rPr>
            </w:pPr>
            <w:r>
              <w:rPr>
                <w:sz w:val="18"/>
                <w:szCs w:val="18"/>
              </w:rPr>
              <w:t>1</w:t>
            </w:r>
          </w:p>
        </w:tc>
        <w:tc>
          <w:tcPr>
            <w:tcW w:w="914" w:type="pct"/>
            <w:vAlign w:val="center"/>
          </w:tcPr>
          <w:p>
            <w:pPr>
              <w:jc w:val="center"/>
              <w:rPr>
                <w:sz w:val="18"/>
                <w:szCs w:val="18"/>
              </w:rPr>
            </w:pPr>
          </w:p>
        </w:tc>
        <w:tc>
          <w:tcPr>
            <w:tcW w:w="1499" w:type="pct"/>
            <w:vAlign w:val="center"/>
          </w:tcPr>
          <w:p>
            <w:pPr>
              <w:pStyle w:val="66"/>
              <w:spacing w:before="0" w:line="240" w:lineRule="atLeast"/>
              <w:rPr>
                <w:sz w:val="18"/>
                <w:szCs w:val="18"/>
              </w:rPr>
            </w:pPr>
          </w:p>
        </w:tc>
        <w:tc>
          <w:tcPr>
            <w:tcW w:w="755" w:type="pct"/>
            <w:vAlign w:val="center"/>
          </w:tcPr>
          <w:p>
            <w:pPr>
              <w:jc w:val="center"/>
              <w:rPr>
                <w:sz w:val="18"/>
                <w:szCs w:val="18"/>
              </w:rPr>
            </w:pPr>
          </w:p>
        </w:tc>
        <w:tc>
          <w:tcPr>
            <w:tcW w:w="1194" w:type="pct"/>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8" w:type="pct"/>
            <w:vAlign w:val="center"/>
          </w:tcPr>
          <w:p>
            <w:pPr>
              <w:jc w:val="center"/>
              <w:rPr>
                <w:sz w:val="18"/>
                <w:szCs w:val="18"/>
              </w:rPr>
            </w:pPr>
            <w:r>
              <w:rPr>
                <w:sz w:val="18"/>
                <w:szCs w:val="18"/>
              </w:rPr>
              <w:t>2</w:t>
            </w:r>
          </w:p>
        </w:tc>
        <w:tc>
          <w:tcPr>
            <w:tcW w:w="914" w:type="pct"/>
            <w:vAlign w:val="center"/>
          </w:tcPr>
          <w:p>
            <w:pPr>
              <w:jc w:val="center"/>
              <w:rPr>
                <w:sz w:val="18"/>
                <w:szCs w:val="18"/>
              </w:rPr>
            </w:pPr>
          </w:p>
        </w:tc>
        <w:tc>
          <w:tcPr>
            <w:tcW w:w="1499" w:type="pct"/>
            <w:vAlign w:val="center"/>
          </w:tcPr>
          <w:p>
            <w:pPr>
              <w:autoSpaceDE w:val="0"/>
              <w:autoSpaceDN w:val="0"/>
              <w:adjustRightInd w:val="0"/>
              <w:jc w:val="center"/>
              <w:rPr>
                <w:sz w:val="18"/>
                <w:szCs w:val="18"/>
              </w:rPr>
            </w:pPr>
          </w:p>
        </w:tc>
        <w:tc>
          <w:tcPr>
            <w:tcW w:w="755" w:type="pct"/>
            <w:vAlign w:val="center"/>
          </w:tcPr>
          <w:p>
            <w:pPr>
              <w:jc w:val="center"/>
              <w:rPr>
                <w:sz w:val="18"/>
                <w:szCs w:val="18"/>
              </w:rPr>
            </w:pPr>
          </w:p>
        </w:tc>
        <w:tc>
          <w:tcPr>
            <w:tcW w:w="1194" w:type="pct"/>
            <w:vAlign w:val="center"/>
          </w:tcPr>
          <w:p>
            <w:pPr>
              <w:jc w:val="center"/>
              <w:rPr>
                <w:sz w:val="18"/>
                <w:szCs w:val="18"/>
              </w:rPr>
            </w:pPr>
          </w:p>
        </w:tc>
      </w:tr>
    </w:tbl>
    <w:p>
      <w:pPr>
        <w:pStyle w:val="6"/>
        <w:ind w:firstLine="0" w:firstLineChars="0"/>
      </w:pPr>
    </w:p>
    <w:sectPr>
      <w:footerReference r:id="rId5" w:type="default"/>
      <w:footerReference r:id="rId6"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1)">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2</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7"/>
      </w:rPr>
    </w:pPr>
    <w:r>
      <w:fldChar w:fldCharType="begin"/>
    </w:r>
    <w:r>
      <w:rPr>
        <w:rStyle w:val="17"/>
      </w:rPr>
      <w:instrText xml:space="preserve">PAGE  </w:instrText>
    </w:r>
    <w:r>
      <w:fldChar w:fldCharType="separate"/>
    </w:r>
    <w:r>
      <w:rPr>
        <w:rStyle w:val="17"/>
      </w:rPr>
      <w:t>8</w:t>
    </w:r>
    <w:r>
      <w:fldChar w:fldCharType="end"/>
    </w:r>
  </w:p>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7"/>
      </w:rPr>
    </w:pPr>
    <w:r>
      <w:fldChar w:fldCharType="begin"/>
    </w:r>
    <w:r>
      <w:rPr>
        <w:rStyle w:val="17"/>
      </w:rPr>
      <w:instrText xml:space="preserve">PAGE  </w:instrText>
    </w:r>
    <w: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A2847"/>
    <w:multiLevelType w:val="multilevel"/>
    <w:tmpl w:val="18CA2847"/>
    <w:lvl w:ilvl="0" w:tentative="0">
      <w:start w:val="1"/>
      <w:numFmt w:val="lowerLetter"/>
      <w:pStyle w:val="38"/>
      <w:lvlText w:val="%1、"/>
      <w:lvlJc w:val="left"/>
      <w:pPr>
        <w:tabs>
          <w:tab w:val="left" w:pos="340"/>
        </w:tabs>
        <w:ind w:left="34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A207D40"/>
    <w:multiLevelType w:val="multilevel"/>
    <w:tmpl w:val="4A207D40"/>
    <w:lvl w:ilvl="0" w:tentative="0">
      <w:start w:val="1"/>
      <w:numFmt w:val="decimal"/>
      <w:pStyle w:val="55"/>
      <w:lvlText w:val="2.3.%1"/>
      <w:lvlJc w:val="left"/>
      <w:pPr>
        <w:tabs>
          <w:tab w:val="left" w:pos="1960"/>
        </w:tabs>
        <w:ind w:left="196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46260FA"/>
    <w:multiLevelType w:val="multilevel"/>
    <w:tmpl w:val="646260FA"/>
    <w:lvl w:ilvl="0" w:tentative="0">
      <w:start w:val="1"/>
      <w:numFmt w:val="decimal"/>
      <w:pStyle w:val="35"/>
      <w:suff w:val="nothing"/>
      <w:lvlText w:val="表%1　"/>
      <w:lvlJc w:val="left"/>
      <w:pPr>
        <w:ind w:left="2693" w:firstLine="0"/>
      </w:pPr>
      <w:rPr>
        <w:rFonts w:hint="eastAsia" w:ascii="黑体" w:hAnsi="Times New Roman" w:eastAsia="黑体"/>
        <w:b w:val="0"/>
        <w:i w:val="0"/>
        <w:sz w:val="21"/>
        <w:lang w:val="en-US"/>
      </w:rPr>
    </w:lvl>
    <w:lvl w:ilvl="1" w:tentative="0">
      <w:start w:val="1"/>
      <w:numFmt w:val="decimal"/>
      <w:lvlText w:val="%1.%2"/>
      <w:lvlJc w:val="left"/>
      <w:pPr>
        <w:tabs>
          <w:tab w:val="left" w:pos="-410"/>
        </w:tabs>
        <w:ind w:left="-410" w:hanging="567"/>
      </w:pPr>
      <w:rPr>
        <w:rFonts w:hint="eastAsia"/>
      </w:rPr>
    </w:lvl>
    <w:lvl w:ilvl="2" w:tentative="0">
      <w:start w:val="1"/>
      <w:numFmt w:val="decimal"/>
      <w:lvlText w:val="%1.%2.%3"/>
      <w:lvlJc w:val="left"/>
      <w:pPr>
        <w:tabs>
          <w:tab w:val="left" w:pos="16"/>
        </w:tabs>
        <w:ind w:left="16" w:hanging="567"/>
      </w:pPr>
      <w:rPr>
        <w:rFonts w:hint="eastAsia"/>
      </w:rPr>
    </w:lvl>
    <w:lvl w:ilvl="3" w:tentative="0">
      <w:start w:val="1"/>
      <w:numFmt w:val="decimal"/>
      <w:lvlText w:val="%1.%2.%3.%4"/>
      <w:lvlJc w:val="left"/>
      <w:pPr>
        <w:tabs>
          <w:tab w:val="left" w:pos="582"/>
        </w:tabs>
        <w:ind w:left="582" w:hanging="708"/>
      </w:pPr>
      <w:rPr>
        <w:rFonts w:hint="eastAsia"/>
      </w:rPr>
    </w:lvl>
    <w:lvl w:ilvl="4" w:tentative="0">
      <w:start w:val="1"/>
      <w:numFmt w:val="decimal"/>
      <w:lvlText w:val="%1.%2.%3.%4.%5"/>
      <w:lvlJc w:val="left"/>
      <w:pPr>
        <w:tabs>
          <w:tab w:val="left" w:pos="1149"/>
        </w:tabs>
        <w:ind w:left="1149" w:hanging="850"/>
      </w:pPr>
      <w:rPr>
        <w:rFonts w:hint="eastAsia"/>
      </w:rPr>
    </w:lvl>
    <w:lvl w:ilvl="5" w:tentative="0">
      <w:start w:val="1"/>
      <w:numFmt w:val="decimal"/>
      <w:lvlText w:val="%1.%2.%3.%4.%5.%6"/>
      <w:lvlJc w:val="left"/>
      <w:pPr>
        <w:tabs>
          <w:tab w:val="left" w:pos="1858"/>
        </w:tabs>
        <w:ind w:left="1858" w:hanging="1134"/>
      </w:pPr>
      <w:rPr>
        <w:rFonts w:hint="eastAsia"/>
      </w:rPr>
    </w:lvl>
    <w:lvl w:ilvl="6" w:tentative="0">
      <w:start w:val="1"/>
      <w:numFmt w:val="decimal"/>
      <w:lvlText w:val="%1.%2.%3.%4.%5.%6.%7"/>
      <w:lvlJc w:val="left"/>
      <w:pPr>
        <w:tabs>
          <w:tab w:val="left" w:pos="2425"/>
        </w:tabs>
        <w:ind w:left="2425" w:hanging="1276"/>
      </w:pPr>
      <w:rPr>
        <w:rFonts w:hint="eastAsia"/>
      </w:rPr>
    </w:lvl>
    <w:lvl w:ilvl="7" w:tentative="0">
      <w:start w:val="1"/>
      <w:numFmt w:val="decimal"/>
      <w:lvlText w:val="%1.%2.%3.%4.%5.%6.%7.%8"/>
      <w:lvlJc w:val="left"/>
      <w:pPr>
        <w:tabs>
          <w:tab w:val="left" w:pos="2992"/>
        </w:tabs>
        <w:ind w:left="2992" w:hanging="1418"/>
      </w:pPr>
      <w:rPr>
        <w:rFonts w:hint="eastAsia"/>
      </w:rPr>
    </w:lvl>
    <w:lvl w:ilvl="8" w:tentative="0">
      <w:start w:val="1"/>
      <w:numFmt w:val="decimal"/>
      <w:lvlText w:val="%1.%2.%3.%4.%5.%6.%7.%8.%9"/>
      <w:lvlJc w:val="left"/>
      <w:pPr>
        <w:tabs>
          <w:tab w:val="left" w:pos="3700"/>
        </w:tabs>
        <w:ind w:left="3700" w:hanging="1700"/>
      </w:pPr>
      <w:rPr>
        <w:rFonts w:hint="eastAsia"/>
      </w:rPr>
    </w:lvl>
  </w:abstractNum>
  <w:abstractNum w:abstractNumId="3">
    <w:nsid w:val="657D3FBC"/>
    <w:multiLevelType w:val="multilevel"/>
    <w:tmpl w:val="657D3FBC"/>
    <w:lvl w:ilvl="0" w:tentative="0">
      <w:start w:val="1"/>
      <w:numFmt w:val="upperLetter"/>
      <w:pStyle w:val="52"/>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99E2AE3"/>
    <w:multiLevelType w:val="multilevel"/>
    <w:tmpl w:val="699E2AE3"/>
    <w:lvl w:ilvl="0" w:tentative="0">
      <w:start w:val="3"/>
      <w:numFmt w:val="decimal"/>
      <w:lvlText w:val="%1"/>
      <w:lvlJc w:val="left"/>
      <w:pPr>
        <w:ind w:left="0" w:firstLine="0"/>
      </w:pPr>
      <w:rPr>
        <w:rFonts w:hint="eastAsia"/>
      </w:rPr>
    </w:lvl>
    <w:lvl w:ilvl="1" w:tentative="0">
      <w:start w:val="3"/>
      <w:numFmt w:val="decimal"/>
      <w:lvlText w:val="%2.3"/>
      <w:lvlJc w:val="left"/>
      <w:pPr>
        <w:ind w:left="0" w:firstLine="0"/>
      </w:pPr>
      <w:rPr>
        <w:rFonts w:hint="default"/>
        <w:b/>
        <w:bCs/>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79324953"/>
    <w:multiLevelType w:val="multilevel"/>
    <w:tmpl w:val="79324953"/>
    <w:lvl w:ilvl="0" w:tentative="0">
      <w:start w:val="1"/>
      <w:numFmt w:val="none"/>
      <w:pStyle w:val="39"/>
      <w:suff w:val="nothing"/>
      <w:lvlText w:val="%1"/>
      <w:lvlJc w:val="left"/>
      <w:pPr>
        <w:ind w:left="0" w:firstLine="0"/>
      </w:pPr>
      <w:rPr>
        <w:rFonts w:hint="default" w:ascii="Times New Roman" w:hAnsi="Times New Roman"/>
        <w:b/>
        <w:bCs/>
        <w:i w:val="0"/>
        <w:iCs w:val="0"/>
        <w:sz w:val="21"/>
        <w:szCs w:val="24"/>
      </w:rPr>
    </w:lvl>
    <w:lvl w:ilvl="1" w:tentative="0">
      <w:start w:val="6"/>
      <w:numFmt w:val="decimal"/>
      <w:pStyle w:val="49"/>
      <w:suff w:val="nothing"/>
      <w:lvlText w:val="%1%2　"/>
      <w:lvlJc w:val="left"/>
      <w:pPr>
        <w:ind w:left="0" w:firstLine="0"/>
      </w:pPr>
      <w:rPr>
        <w:rFonts w:hint="eastAsia" w:ascii="黑体" w:hAnsi="Times New Roman" w:eastAsia="黑体"/>
        <w:b w:val="0"/>
        <w:i w:val="0"/>
        <w:sz w:val="21"/>
        <w:szCs w:val="21"/>
      </w:rPr>
    </w:lvl>
    <w:lvl w:ilvl="2" w:tentative="0">
      <w:start w:val="1"/>
      <w:numFmt w:val="decimal"/>
      <w:lvlRestart w:val="1"/>
      <w:pStyle w:val="36"/>
      <w:suff w:val="nothing"/>
      <w:lvlText w:val="%1%2.%3　"/>
      <w:lvlJc w:val="left"/>
      <w:pPr>
        <w:ind w:left="0" w:firstLine="0"/>
      </w:pPr>
      <w:rPr>
        <w:rFonts w:hint="eastAsia" w:ascii="黑体" w:hAnsi="宋体" w:eastAsia="黑体"/>
        <w:b w:val="0"/>
        <w:i w:val="0"/>
        <w:sz w:val="21"/>
        <w:szCs w:val="21"/>
      </w:rPr>
    </w:lvl>
    <w:lvl w:ilvl="3" w:tentative="0">
      <w:start w:val="1"/>
      <w:numFmt w:val="decimal"/>
      <w:suff w:val="nothing"/>
      <w:lvlText w:val="%1%2.%3.%4　"/>
      <w:lvlJc w:val="left"/>
      <w:pPr>
        <w:ind w:left="0" w:firstLine="0"/>
      </w:pPr>
      <w:rPr>
        <w:rFonts w:hint="eastAsia" w:ascii="黑体" w:hAnsi="宋体" w:eastAsia="黑体"/>
        <w:b w:val="0"/>
        <w:i w:val="0"/>
        <w:sz w:val="21"/>
        <w:szCs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0"/>
      <w:numFmt w:val="none"/>
      <w:pStyle w:val="40"/>
      <w:lvlText w:val=""/>
      <w:lvlJc w:val="left"/>
      <w:pPr>
        <w:tabs>
          <w:tab w:val="left" w:pos="360"/>
        </w:tabs>
        <w:ind w:left="0" w:firstLine="0"/>
      </w:pPr>
      <w:rPr>
        <w:rFonts w:hint="eastAsia"/>
      </w:rPr>
    </w:lvl>
    <w:lvl w:ilvl="6" w:tentative="0">
      <w:start w:val="1"/>
      <w:numFmt w:val="decimal"/>
      <w:pStyle w:val="4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5ZmI1NjdjNjEyNWU1ZDkxMWNmODkwNmY3ZmZkNmQifQ=="/>
  </w:docVars>
  <w:rsids>
    <w:rsidRoot w:val="00EA2E1D"/>
    <w:rsid w:val="00026FCA"/>
    <w:rsid w:val="00030C5E"/>
    <w:rsid w:val="000464A7"/>
    <w:rsid w:val="00071533"/>
    <w:rsid w:val="00077E37"/>
    <w:rsid w:val="000B77F5"/>
    <w:rsid w:val="00101062"/>
    <w:rsid w:val="00142D23"/>
    <w:rsid w:val="00160037"/>
    <w:rsid w:val="00166F1B"/>
    <w:rsid w:val="001E6D65"/>
    <w:rsid w:val="001F0BCD"/>
    <w:rsid w:val="001F5EAA"/>
    <w:rsid w:val="0027232F"/>
    <w:rsid w:val="00286D62"/>
    <w:rsid w:val="002C3E0E"/>
    <w:rsid w:val="002D7DAC"/>
    <w:rsid w:val="002F20F9"/>
    <w:rsid w:val="00311B25"/>
    <w:rsid w:val="003250E9"/>
    <w:rsid w:val="003432F9"/>
    <w:rsid w:val="003474D3"/>
    <w:rsid w:val="00364F52"/>
    <w:rsid w:val="003747FC"/>
    <w:rsid w:val="00392069"/>
    <w:rsid w:val="003D1A20"/>
    <w:rsid w:val="0041699A"/>
    <w:rsid w:val="004E0AD9"/>
    <w:rsid w:val="0054425F"/>
    <w:rsid w:val="00545FE8"/>
    <w:rsid w:val="00564F6E"/>
    <w:rsid w:val="005770B5"/>
    <w:rsid w:val="005B5169"/>
    <w:rsid w:val="005B73CA"/>
    <w:rsid w:val="005C13DB"/>
    <w:rsid w:val="005D02B9"/>
    <w:rsid w:val="006817F8"/>
    <w:rsid w:val="00694455"/>
    <w:rsid w:val="006E1B3C"/>
    <w:rsid w:val="00706A52"/>
    <w:rsid w:val="00715840"/>
    <w:rsid w:val="00727393"/>
    <w:rsid w:val="00743A44"/>
    <w:rsid w:val="0077339A"/>
    <w:rsid w:val="007903F6"/>
    <w:rsid w:val="007A189A"/>
    <w:rsid w:val="007B1803"/>
    <w:rsid w:val="007C6CB7"/>
    <w:rsid w:val="007C74CC"/>
    <w:rsid w:val="007D1D03"/>
    <w:rsid w:val="007D26E9"/>
    <w:rsid w:val="008544C8"/>
    <w:rsid w:val="008560D6"/>
    <w:rsid w:val="008603B0"/>
    <w:rsid w:val="00892EDE"/>
    <w:rsid w:val="008C10E9"/>
    <w:rsid w:val="008D4CFD"/>
    <w:rsid w:val="009041DE"/>
    <w:rsid w:val="009102AB"/>
    <w:rsid w:val="009109FC"/>
    <w:rsid w:val="00936E66"/>
    <w:rsid w:val="00962639"/>
    <w:rsid w:val="009752D4"/>
    <w:rsid w:val="009922EF"/>
    <w:rsid w:val="009C1405"/>
    <w:rsid w:val="009C3617"/>
    <w:rsid w:val="00A40201"/>
    <w:rsid w:val="00A55BF9"/>
    <w:rsid w:val="00A574C1"/>
    <w:rsid w:val="00A64A5C"/>
    <w:rsid w:val="00A72BF4"/>
    <w:rsid w:val="00AF5118"/>
    <w:rsid w:val="00B04D70"/>
    <w:rsid w:val="00B10E8F"/>
    <w:rsid w:val="00B17667"/>
    <w:rsid w:val="00B249B4"/>
    <w:rsid w:val="00B5346A"/>
    <w:rsid w:val="00B824DD"/>
    <w:rsid w:val="00BD799E"/>
    <w:rsid w:val="00BE668B"/>
    <w:rsid w:val="00BF4338"/>
    <w:rsid w:val="00C07BF0"/>
    <w:rsid w:val="00C67296"/>
    <w:rsid w:val="00CD45AD"/>
    <w:rsid w:val="00CD7BC8"/>
    <w:rsid w:val="00D027D9"/>
    <w:rsid w:val="00D11FD2"/>
    <w:rsid w:val="00D17B71"/>
    <w:rsid w:val="00D26B71"/>
    <w:rsid w:val="00D646DF"/>
    <w:rsid w:val="00D808CE"/>
    <w:rsid w:val="00E20B56"/>
    <w:rsid w:val="00EA2E1D"/>
    <w:rsid w:val="00EB1D57"/>
    <w:rsid w:val="00EB63BF"/>
    <w:rsid w:val="00EC36BC"/>
    <w:rsid w:val="00EF666D"/>
    <w:rsid w:val="00F1075B"/>
    <w:rsid w:val="00F45F54"/>
    <w:rsid w:val="00FA6CEA"/>
    <w:rsid w:val="00FD2B1C"/>
    <w:rsid w:val="00FD630D"/>
    <w:rsid w:val="02326A8E"/>
    <w:rsid w:val="15D500B5"/>
    <w:rsid w:val="188E5061"/>
    <w:rsid w:val="199B414C"/>
    <w:rsid w:val="277F6830"/>
    <w:rsid w:val="2E0A080E"/>
    <w:rsid w:val="30C96FC7"/>
    <w:rsid w:val="36DC1E1D"/>
    <w:rsid w:val="3A574DDB"/>
    <w:rsid w:val="3CDD2743"/>
    <w:rsid w:val="3FA26AF9"/>
    <w:rsid w:val="4422669A"/>
    <w:rsid w:val="48131563"/>
    <w:rsid w:val="4ACA3FE3"/>
    <w:rsid w:val="56703055"/>
    <w:rsid w:val="5F7F6E5A"/>
    <w:rsid w:val="69CC4E56"/>
    <w:rsid w:val="6AE17C54"/>
    <w:rsid w:val="6E78190F"/>
    <w:rsid w:val="73663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kern w:val="0"/>
      <w:sz w:val="24"/>
      <w:szCs w:val="24"/>
      <w:lang w:val="en-US" w:eastAsia="zh-CN" w:bidi="ar-SA"/>
    </w:rPr>
  </w:style>
  <w:style w:type="paragraph" w:styleId="3">
    <w:name w:val="heading 3"/>
    <w:basedOn w:val="1"/>
    <w:link w:val="29"/>
    <w:autoRedefine/>
    <w:qFormat/>
    <w:uiPriority w:val="9"/>
    <w:pPr>
      <w:spacing w:before="100" w:beforeAutospacing="1" w:after="100" w:afterAutospacing="1"/>
      <w:outlineLvl w:val="2"/>
    </w:pPr>
    <w:rPr>
      <w:rFonts w:ascii="宋体" w:hAnsi="宋体" w:cs="宋体"/>
      <w:b/>
      <w:bCs/>
      <w:sz w:val="27"/>
      <w:szCs w:val="27"/>
    </w:rPr>
  </w:style>
  <w:style w:type="character" w:default="1" w:styleId="15">
    <w:name w:val="Default Paragraph Font"/>
    <w:autoRedefine/>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endnote text"/>
    <w:basedOn w:val="1"/>
    <w:autoRedefine/>
    <w:unhideWhenUsed/>
    <w:qFormat/>
    <w:uiPriority w:val="99"/>
    <w:pPr>
      <w:snapToGrid w:val="0"/>
    </w:pPr>
    <w:rPr>
      <w:rFonts w:ascii="Calibri" w:hAnsi="Calibri"/>
      <w:szCs w:val="24"/>
    </w:rPr>
  </w:style>
  <w:style w:type="paragraph" w:styleId="4">
    <w:name w:val="annotation text"/>
    <w:basedOn w:val="1"/>
    <w:link w:val="30"/>
    <w:autoRedefine/>
    <w:qFormat/>
    <w:uiPriority w:val="0"/>
    <w:pPr>
      <w:widowControl w:val="0"/>
      <w:adjustRightInd w:val="0"/>
      <w:spacing w:line="312" w:lineRule="atLeast"/>
      <w:textAlignment w:val="baseline"/>
    </w:pPr>
    <w:rPr>
      <w:rFonts w:ascii="CG Times (W1)" w:hAnsi="CG Times (W1)" w:eastAsia="仿宋_GB2312" w:cs="CG Times (W1)"/>
      <w:sz w:val="30"/>
      <w:szCs w:val="30"/>
    </w:rPr>
  </w:style>
  <w:style w:type="paragraph" w:styleId="5">
    <w:name w:val="Date"/>
    <w:basedOn w:val="1"/>
    <w:next w:val="1"/>
    <w:link w:val="31"/>
    <w:autoRedefine/>
    <w:qFormat/>
    <w:uiPriority w:val="0"/>
    <w:pPr>
      <w:widowControl w:val="0"/>
      <w:ind w:left="100" w:leftChars="2500"/>
      <w:jc w:val="both"/>
    </w:pPr>
    <w:rPr>
      <w:kern w:val="2"/>
      <w:sz w:val="21"/>
    </w:rPr>
  </w:style>
  <w:style w:type="paragraph" w:styleId="6">
    <w:name w:val="Body Text Indent 2"/>
    <w:link w:val="70"/>
    <w:autoRedefine/>
    <w:qFormat/>
    <w:uiPriority w:val="0"/>
    <w:pPr>
      <w:spacing w:line="360" w:lineRule="auto"/>
      <w:ind w:firstLine="510" w:firstLineChars="200"/>
      <w:jc w:val="both"/>
    </w:pPr>
    <w:rPr>
      <w:rFonts w:ascii="Times New Roman" w:hAnsi="Times New Roman" w:eastAsia="宋体" w:cs="Times New Roman"/>
      <w:kern w:val="0"/>
      <w:sz w:val="24"/>
      <w:szCs w:val="24"/>
      <w:lang w:val="en-US" w:eastAsia="zh-CN" w:bidi="ar-SA"/>
    </w:rPr>
  </w:style>
  <w:style w:type="paragraph" w:styleId="7">
    <w:name w:val="Balloon Text"/>
    <w:basedOn w:val="1"/>
    <w:link w:val="28"/>
    <w:autoRedefine/>
    <w:unhideWhenUsed/>
    <w:qFormat/>
    <w:uiPriority w:val="0"/>
    <w:rPr>
      <w:sz w:val="18"/>
      <w:szCs w:val="18"/>
    </w:rPr>
  </w:style>
  <w:style w:type="paragraph" w:styleId="8">
    <w:name w:val="footer"/>
    <w:basedOn w:val="1"/>
    <w:link w:val="25"/>
    <w:autoRedefine/>
    <w:unhideWhenUsed/>
    <w:qFormat/>
    <w:uiPriority w:val="0"/>
    <w:pPr>
      <w:tabs>
        <w:tab w:val="center" w:pos="4153"/>
        <w:tab w:val="right" w:pos="8306"/>
      </w:tabs>
      <w:snapToGrid w:val="0"/>
    </w:pPr>
    <w:rPr>
      <w:sz w:val="18"/>
      <w:szCs w:val="18"/>
    </w:rPr>
  </w:style>
  <w:style w:type="paragraph" w:styleId="9">
    <w:name w:val="header"/>
    <w:basedOn w:val="1"/>
    <w:link w:val="2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32"/>
    <w:autoRedefine/>
    <w:qFormat/>
    <w:uiPriority w:val="0"/>
    <w:pPr>
      <w:widowControl w:val="0"/>
      <w:jc w:val="both"/>
    </w:pPr>
    <w:rPr>
      <w:rFonts w:ascii="Courier New" w:hAnsi="Courier New" w:cs="Courier New"/>
      <w:kern w:val="2"/>
      <w:sz w:val="20"/>
      <w:szCs w:val="20"/>
    </w:rPr>
  </w:style>
  <w:style w:type="paragraph" w:styleId="11">
    <w:name w:val="Normal (Web)"/>
    <w:basedOn w:val="1"/>
    <w:autoRedefine/>
    <w:semiHidden/>
    <w:unhideWhenUsed/>
    <w:qFormat/>
    <w:uiPriority w:val="99"/>
    <w:pPr>
      <w:spacing w:before="100" w:beforeAutospacing="1" w:after="100" w:afterAutospacing="1"/>
    </w:pPr>
    <w:rPr>
      <w:rFonts w:ascii="宋体" w:hAnsi="宋体" w:cs="宋体"/>
    </w:rPr>
  </w:style>
  <w:style w:type="table" w:styleId="13">
    <w:name w:val="Table Grid"/>
    <w:basedOn w:val="12"/>
    <w:autoRedefine/>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Light List Accent 5"/>
    <w:basedOn w:val="12"/>
    <w:autoRedefine/>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character" w:styleId="16">
    <w:name w:val="Strong"/>
    <w:basedOn w:val="15"/>
    <w:autoRedefine/>
    <w:qFormat/>
    <w:uiPriority w:val="22"/>
    <w:rPr>
      <w:b/>
    </w:rPr>
  </w:style>
  <w:style w:type="character" w:styleId="17">
    <w:name w:val="page number"/>
    <w:autoRedefine/>
    <w:qFormat/>
    <w:uiPriority w:val="0"/>
  </w:style>
  <w:style w:type="character" w:styleId="18">
    <w:name w:val="FollowedHyperlink"/>
    <w:autoRedefine/>
    <w:unhideWhenUsed/>
    <w:qFormat/>
    <w:uiPriority w:val="99"/>
    <w:rPr>
      <w:color w:val="954F72"/>
      <w:u w:val="single"/>
    </w:rPr>
  </w:style>
  <w:style w:type="character" w:styleId="19">
    <w:name w:val="Emphasis"/>
    <w:basedOn w:val="15"/>
    <w:autoRedefine/>
    <w:qFormat/>
    <w:uiPriority w:val="20"/>
    <w:rPr>
      <w:i/>
      <w:iCs/>
    </w:rPr>
  </w:style>
  <w:style w:type="character" w:styleId="20">
    <w:name w:val="Hyperlink"/>
    <w:autoRedefine/>
    <w:unhideWhenUsed/>
    <w:qFormat/>
    <w:uiPriority w:val="99"/>
    <w:rPr>
      <w:color w:val="0563C1"/>
      <w:u w:val="single"/>
    </w:rPr>
  </w:style>
  <w:style w:type="character" w:styleId="21">
    <w:name w:val="HTML Code"/>
    <w:autoRedefine/>
    <w:qFormat/>
    <w:uiPriority w:val="0"/>
    <w:rPr>
      <w:rFonts w:ascii="Courier New" w:hAnsi="Courier New"/>
      <w:sz w:val="20"/>
      <w:szCs w:val="20"/>
    </w:rPr>
  </w:style>
  <w:style w:type="character" w:styleId="22">
    <w:name w:val="annotation reference"/>
    <w:autoRedefine/>
    <w:qFormat/>
    <w:uiPriority w:val="0"/>
    <w:rPr>
      <w:sz w:val="21"/>
      <w:szCs w:val="21"/>
    </w:rPr>
  </w:style>
  <w:style w:type="character" w:styleId="23">
    <w:name w:val="HTML Cite"/>
    <w:autoRedefine/>
    <w:qFormat/>
    <w:uiPriority w:val="0"/>
    <w:rPr>
      <w:i/>
      <w:iCs/>
    </w:rPr>
  </w:style>
  <w:style w:type="character" w:customStyle="1" w:styleId="24">
    <w:name w:val="页眉 字符"/>
    <w:basedOn w:val="15"/>
    <w:link w:val="9"/>
    <w:autoRedefine/>
    <w:qFormat/>
    <w:uiPriority w:val="0"/>
    <w:rPr>
      <w:sz w:val="18"/>
      <w:szCs w:val="18"/>
    </w:rPr>
  </w:style>
  <w:style w:type="character" w:customStyle="1" w:styleId="25">
    <w:name w:val="页脚 字符"/>
    <w:basedOn w:val="15"/>
    <w:link w:val="8"/>
    <w:autoRedefine/>
    <w:qFormat/>
    <w:uiPriority w:val="0"/>
    <w:rPr>
      <w:sz w:val="18"/>
      <w:szCs w:val="18"/>
    </w:rPr>
  </w:style>
  <w:style w:type="paragraph" w:customStyle="1" w:styleId="26">
    <w:name w:val="段"/>
    <w:link w:val="33"/>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7">
    <w:name w:val="一级条标题"/>
    <w:basedOn w:val="1"/>
    <w:next w:val="26"/>
    <w:autoRedefine/>
    <w:qFormat/>
    <w:uiPriority w:val="0"/>
    <w:pPr>
      <w:jc w:val="both"/>
      <w:outlineLvl w:val="2"/>
    </w:pPr>
    <w:rPr>
      <w:rFonts w:ascii="黑体" w:eastAsia="黑体"/>
      <w:sz w:val="21"/>
      <w:szCs w:val="20"/>
    </w:rPr>
  </w:style>
  <w:style w:type="character" w:customStyle="1" w:styleId="28">
    <w:name w:val="批注框文本 字符"/>
    <w:basedOn w:val="15"/>
    <w:link w:val="7"/>
    <w:autoRedefine/>
    <w:qFormat/>
    <w:uiPriority w:val="0"/>
    <w:rPr>
      <w:rFonts w:ascii="Times New Roman" w:hAnsi="Times New Roman" w:eastAsia="宋体" w:cs="Times New Roman"/>
      <w:kern w:val="0"/>
      <w:sz w:val="18"/>
      <w:szCs w:val="18"/>
    </w:rPr>
  </w:style>
  <w:style w:type="character" w:customStyle="1" w:styleId="29">
    <w:name w:val="标题 3 字符"/>
    <w:basedOn w:val="15"/>
    <w:link w:val="3"/>
    <w:autoRedefine/>
    <w:qFormat/>
    <w:uiPriority w:val="9"/>
    <w:rPr>
      <w:rFonts w:ascii="宋体" w:hAnsi="宋体" w:eastAsia="宋体" w:cs="宋体"/>
      <w:b/>
      <w:bCs/>
      <w:kern w:val="0"/>
      <w:sz w:val="27"/>
      <w:szCs w:val="27"/>
    </w:rPr>
  </w:style>
  <w:style w:type="character" w:customStyle="1" w:styleId="30">
    <w:name w:val="批注文字 字符"/>
    <w:basedOn w:val="15"/>
    <w:link w:val="4"/>
    <w:autoRedefine/>
    <w:qFormat/>
    <w:uiPriority w:val="0"/>
    <w:rPr>
      <w:rFonts w:ascii="CG Times (W1)" w:hAnsi="CG Times (W1)" w:eastAsia="仿宋_GB2312" w:cs="CG Times (W1)"/>
      <w:kern w:val="0"/>
      <w:sz w:val="30"/>
      <w:szCs w:val="30"/>
    </w:rPr>
  </w:style>
  <w:style w:type="character" w:customStyle="1" w:styleId="31">
    <w:name w:val="日期 字符"/>
    <w:basedOn w:val="15"/>
    <w:link w:val="5"/>
    <w:autoRedefine/>
    <w:qFormat/>
    <w:uiPriority w:val="0"/>
    <w:rPr>
      <w:rFonts w:ascii="Times New Roman" w:hAnsi="Times New Roman" w:eastAsia="宋体" w:cs="Times New Roman"/>
      <w:szCs w:val="24"/>
    </w:rPr>
  </w:style>
  <w:style w:type="character" w:customStyle="1" w:styleId="32">
    <w:name w:val="HTML 预设格式 字符"/>
    <w:basedOn w:val="15"/>
    <w:link w:val="10"/>
    <w:autoRedefine/>
    <w:qFormat/>
    <w:uiPriority w:val="0"/>
    <w:rPr>
      <w:rFonts w:ascii="Courier New" w:hAnsi="Courier New" w:eastAsia="宋体" w:cs="Courier New"/>
      <w:sz w:val="20"/>
      <w:szCs w:val="20"/>
    </w:rPr>
  </w:style>
  <w:style w:type="character" w:customStyle="1" w:styleId="33">
    <w:name w:val="段 Char Char"/>
    <w:link w:val="26"/>
    <w:autoRedefine/>
    <w:qFormat/>
    <w:uiPriority w:val="0"/>
    <w:rPr>
      <w:rFonts w:ascii="宋体" w:hAnsi="Times New Roman" w:eastAsia="宋体" w:cs="Times New Roman"/>
      <w:kern w:val="0"/>
      <w:szCs w:val="20"/>
    </w:rPr>
  </w:style>
  <w:style w:type="paragraph" w:customStyle="1" w:styleId="34">
    <w:name w:val="Char Char Char Char Char Char"/>
    <w:basedOn w:val="1"/>
    <w:autoRedefine/>
    <w:qFormat/>
    <w:uiPriority w:val="0"/>
    <w:pPr>
      <w:widowControl w:val="0"/>
      <w:spacing w:beforeLines="100" w:afterLines="50" w:line="600" w:lineRule="exact"/>
      <w:ind w:firstLine="200" w:firstLineChars="200"/>
      <w:jc w:val="both"/>
    </w:pPr>
    <w:rPr>
      <w:kern w:val="2"/>
      <w:sz w:val="21"/>
    </w:rPr>
  </w:style>
  <w:style w:type="paragraph" w:customStyle="1" w:styleId="35">
    <w:name w:val="正文表标题"/>
    <w:next w:val="26"/>
    <w:autoRedefine/>
    <w:qFormat/>
    <w:uiPriority w:val="99"/>
    <w:pPr>
      <w:numPr>
        <w:ilvl w:val="0"/>
        <w:numId w:val="1"/>
      </w:numPr>
      <w:jc w:val="center"/>
    </w:pPr>
    <w:rPr>
      <w:rFonts w:ascii="黑体" w:hAnsi="Times New Roman" w:eastAsia="黑体" w:cs="Times New Roman"/>
      <w:kern w:val="0"/>
      <w:sz w:val="21"/>
      <w:szCs w:val="20"/>
      <w:lang w:val="en-US" w:eastAsia="zh-CN" w:bidi="ar-SA"/>
    </w:rPr>
  </w:style>
  <w:style w:type="paragraph" w:customStyle="1" w:styleId="36">
    <w:name w:val="样式 一级条标题 + 宋体"/>
    <w:basedOn w:val="1"/>
    <w:autoRedefine/>
    <w:qFormat/>
    <w:uiPriority w:val="0"/>
    <w:pPr>
      <w:numPr>
        <w:ilvl w:val="2"/>
        <w:numId w:val="2"/>
      </w:numPr>
      <w:spacing w:line="360" w:lineRule="exact"/>
      <w:outlineLvl w:val="2"/>
    </w:pPr>
    <w:rPr>
      <w:rFonts w:ascii="宋体" w:hAnsi="宋体"/>
      <w:sz w:val="21"/>
      <w:szCs w:val="20"/>
    </w:rPr>
  </w:style>
  <w:style w:type="paragraph" w:customStyle="1" w:styleId="37">
    <w:name w:val="前言、引言标题"/>
    <w:next w:val="1"/>
    <w:autoRedefine/>
    <w:qFormat/>
    <w:uiPriority w:val="99"/>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8">
    <w:name w:val="样式 宋体 行距: 1.5 倍行距"/>
    <w:basedOn w:val="1"/>
    <w:autoRedefine/>
    <w:qFormat/>
    <w:uiPriority w:val="0"/>
    <w:pPr>
      <w:widowControl w:val="0"/>
      <w:numPr>
        <w:ilvl w:val="0"/>
        <w:numId w:val="3"/>
      </w:numPr>
      <w:spacing w:line="360" w:lineRule="auto"/>
      <w:jc w:val="both"/>
    </w:pPr>
    <w:rPr>
      <w:rFonts w:ascii="宋体" w:hAnsi="宋体" w:cs="宋体"/>
      <w:kern w:val="2"/>
      <w:sz w:val="21"/>
      <w:szCs w:val="20"/>
    </w:rPr>
  </w:style>
  <w:style w:type="paragraph" w:customStyle="1" w:styleId="39">
    <w:name w:val="前言标题"/>
    <w:basedOn w:val="1"/>
    <w:autoRedefine/>
    <w:qFormat/>
    <w:uiPriority w:val="0"/>
    <w:pPr>
      <w:widowControl w:val="0"/>
      <w:numPr>
        <w:ilvl w:val="0"/>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40">
    <w:name w:val="标准文件_四级条标题"/>
    <w:basedOn w:val="1"/>
    <w:autoRedefine/>
    <w:qFormat/>
    <w:uiPriority w:val="0"/>
    <w:pPr>
      <w:widowControl w:val="0"/>
      <w:numPr>
        <w:ilvl w:val="5"/>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41">
    <w:name w:val="封面正文"/>
    <w:autoRedefine/>
    <w:qFormat/>
    <w:uiPriority w:val="0"/>
    <w:pPr>
      <w:jc w:val="both"/>
    </w:pPr>
    <w:rPr>
      <w:rFonts w:ascii="Times New Roman" w:hAnsi="Times New Roman" w:eastAsia="宋体" w:cs="Times New Roman"/>
      <w:kern w:val="0"/>
      <w:sz w:val="20"/>
      <w:szCs w:val="20"/>
      <w:lang w:val="en-US" w:eastAsia="zh-CN" w:bidi="ar-SA"/>
    </w:rPr>
  </w:style>
  <w:style w:type="paragraph" w:customStyle="1" w:styleId="42">
    <w:name w:val="标准文件_五级条标题"/>
    <w:basedOn w:val="1"/>
    <w:autoRedefine/>
    <w:qFormat/>
    <w:uiPriority w:val="0"/>
    <w:pPr>
      <w:widowControl w:val="0"/>
      <w:numPr>
        <w:ilvl w:val="6"/>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43">
    <w:name w:val="Char Char Char Char"/>
    <w:basedOn w:val="1"/>
    <w:autoRedefine/>
    <w:qFormat/>
    <w:uiPriority w:val="0"/>
    <w:pPr>
      <w:widowControl w:val="0"/>
      <w:spacing w:beforeLines="100" w:afterLines="50" w:line="600" w:lineRule="exact"/>
      <w:ind w:firstLine="200" w:firstLineChars="200"/>
      <w:jc w:val="both"/>
    </w:pPr>
    <w:rPr>
      <w:kern w:val="2"/>
      <w:sz w:val="21"/>
    </w:rPr>
  </w:style>
  <w:style w:type="paragraph" w:customStyle="1" w:styleId="44">
    <w:name w:val="三级条标题"/>
    <w:basedOn w:val="45"/>
    <w:next w:val="1"/>
    <w:autoRedefine/>
    <w:qFormat/>
    <w:uiPriority w:val="99"/>
    <w:pPr>
      <w:ind w:left="735"/>
      <w:outlineLvl w:val="4"/>
    </w:pPr>
  </w:style>
  <w:style w:type="paragraph" w:customStyle="1" w:styleId="45">
    <w:name w:val="二级条标题"/>
    <w:basedOn w:val="27"/>
    <w:next w:val="1"/>
    <w:autoRedefine/>
    <w:qFormat/>
    <w:uiPriority w:val="99"/>
    <w:pPr>
      <w:jc w:val="left"/>
      <w:outlineLvl w:val="3"/>
    </w:pPr>
    <w:rPr>
      <w:rFonts w:ascii="Times New Roman"/>
    </w:rPr>
  </w:style>
  <w:style w:type="paragraph" w:customStyle="1" w:styleId="46">
    <w:name w:val="标准文件_正文表标题"/>
    <w:next w:val="1"/>
    <w:autoRedefine/>
    <w:qFormat/>
    <w:uiPriority w:val="0"/>
    <w:pPr>
      <w:tabs>
        <w:tab w:val="left" w:pos="0"/>
      </w:tabs>
      <w:jc w:val="center"/>
    </w:pPr>
    <w:rPr>
      <w:rFonts w:ascii="黑体" w:hAnsi="Times New Roman" w:eastAsia="黑体" w:cs="Times New Roman"/>
      <w:kern w:val="0"/>
      <w:sz w:val="21"/>
      <w:szCs w:val="20"/>
      <w:lang w:val="en-US" w:eastAsia="zh-CN" w:bidi="ar-SA"/>
    </w:rPr>
  </w:style>
  <w:style w:type="paragraph" w:customStyle="1" w:styleId="47">
    <w:name w:val="五级条标题"/>
    <w:basedOn w:val="48"/>
    <w:next w:val="1"/>
    <w:autoRedefine/>
    <w:qFormat/>
    <w:uiPriority w:val="99"/>
    <w:pPr>
      <w:outlineLvl w:val="6"/>
    </w:pPr>
  </w:style>
  <w:style w:type="paragraph" w:customStyle="1" w:styleId="48">
    <w:name w:val="四级条标题"/>
    <w:basedOn w:val="44"/>
    <w:next w:val="1"/>
    <w:autoRedefine/>
    <w:qFormat/>
    <w:uiPriority w:val="99"/>
    <w:pPr>
      <w:ind w:left="0"/>
      <w:outlineLvl w:val="5"/>
    </w:pPr>
  </w:style>
  <w:style w:type="paragraph" w:customStyle="1" w:styleId="49">
    <w:name w:val="标准文件_章标题"/>
    <w:basedOn w:val="1"/>
    <w:autoRedefine/>
    <w:qFormat/>
    <w:uiPriority w:val="0"/>
    <w:pPr>
      <w:widowControl w:val="0"/>
      <w:numPr>
        <w:ilvl w:val="1"/>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50">
    <w:name w:val="标准文件_三级条标题"/>
    <w:basedOn w:val="1"/>
    <w:autoRedefine/>
    <w:qFormat/>
    <w:uiPriority w:val="0"/>
    <w:pPr>
      <w:widowControl w:val="0"/>
      <w:numPr>
        <w:ilvl w:val="4"/>
        <w:numId w:val="2"/>
      </w:numPr>
      <w:adjustRightInd w:val="0"/>
      <w:spacing w:line="312" w:lineRule="atLeast"/>
      <w:jc w:val="both"/>
      <w:textAlignment w:val="baseline"/>
    </w:pPr>
    <w:rPr>
      <w:rFonts w:ascii="CG Times (W1)" w:hAnsi="CG Times (W1)" w:eastAsia="仿宋_GB2312" w:cs="CG Times (W1)"/>
      <w:sz w:val="30"/>
      <w:szCs w:val="30"/>
    </w:rPr>
  </w:style>
  <w:style w:type="paragraph" w:customStyle="1" w:styleId="51">
    <w:name w:val="彩色底纹 - 强调文字颜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52">
    <w:name w:val="附录标识"/>
    <w:basedOn w:val="37"/>
    <w:autoRedefine/>
    <w:qFormat/>
    <w:uiPriority w:val="0"/>
    <w:pPr>
      <w:numPr>
        <w:ilvl w:val="0"/>
        <w:numId w:val="4"/>
      </w:numPr>
      <w:tabs>
        <w:tab w:val="left" w:pos="6405"/>
      </w:tabs>
      <w:spacing w:after="200"/>
    </w:pPr>
    <w:rPr>
      <w:sz w:val="21"/>
    </w:rPr>
  </w:style>
  <w:style w:type="paragraph" w:customStyle="1" w:styleId="53">
    <w:name w:val="Char Char Char Char Char Char Char Char Char Char"/>
    <w:basedOn w:val="1"/>
    <w:autoRedefine/>
    <w:qFormat/>
    <w:uiPriority w:val="0"/>
    <w:pPr>
      <w:spacing w:after="160" w:line="240" w:lineRule="exact"/>
    </w:pPr>
    <w:rPr>
      <w:rFonts w:ascii="Arial" w:hAnsi="Arial" w:cs="Arial"/>
      <w:b/>
      <w:bCs/>
      <w:lang w:eastAsia="en-US"/>
    </w:rPr>
  </w:style>
  <w:style w:type="paragraph" w:customStyle="1" w:styleId="54">
    <w:name w:val="章标题"/>
    <w:next w:val="1"/>
    <w:autoRedefine/>
    <w:qFormat/>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55">
    <w:name w:val="目次、标准名称标题"/>
    <w:basedOn w:val="37"/>
    <w:next w:val="26"/>
    <w:autoRedefine/>
    <w:qFormat/>
    <w:uiPriority w:val="99"/>
    <w:pPr>
      <w:numPr>
        <w:ilvl w:val="0"/>
        <w:numId w:val="5"/>
      </w:numPr>
      <w:spacing w:line="460" w:lineRule="exact"/>
    </w:pPr>
  </w:style>
  <w:style w:type="paragraph" w:customStyle="1" w:styleId="56">
    <w:name w:val="Char Char Char"/>
    <w:basedOn w:val="1"/>
    <w:autoRedefine/>
    <w:qFormat/>
    <w:uiPriority w:val="0"/>
    <w:pPr>
      <w:spacing w:after="160" w:line="240" w:lineRule="exact"/>
    </w:pPr>
    <w:rPr>
      <w:rFonts w:ascii="Verdana" w:hAnsi="Verdana"/>
      <w:sz w:val="20"/>
      <w:szCs w:val="20"/>
      <w:lang w:eastAsia="en-US"/>
    </w:rPr>
  </w:style>
  <w:style w:type="character" w:customStyle="1" w:styleId="57">
    <w:name w:val="段 Char"/>
    <w:autoRedefine/>
    <w:qFormat/>
    <w:uiPriority w:val="0"/>
    <w:rPr>
      <w:rFonts w:ascii="宋体"/>
      <w:sz w:val="21"/>
      <w:lang w:val="en-US" w:eastAsia="zh-CN" w:bidi="ar-SA"/>
    </w:rPr>
  </w:style>
  <w:style w:type="character" w:customStyle="1" w:styleId="58">
    <w:name w:val="fontstyle01"/>
    <w:autoRedefine/>
    <w:qFormat/>
    <w:uiPriority w:val="0"/>
    <w:rPr>
      <w:rFonts w:hint="eastAsia" w:ascii="宋体" w:hAnsi="宋体" w:eastAsia="宋体"/>
      <w:color w:val="000000"/>
      <w:sz w:val="22"/>
      <w:szCs w:val="22"/>
    </w:rPr>
  </w:style>
  <w:style w:type="paragraph" w:styleId="59">
    <w:name w:val="List Paragraph"/>
    <w:basedOn w:val="1"/>
    <w:autoRedefine/>
    <w:qFormat/>
    <w:uiPriority w:val="34"/>
    <w:pPr>
      <w:widowControl w:val="0"/>
      <w:ind w:firstLine="420" w:firstLineChars="200"/>
      <w:jc w:val="both"/>
    </w:pPr>
    <w:rPr>
      <w:kern w:val="2"/>
      <w:sz w:val="21"/>
    </w:rPr>
  </w:style>
  <w:style w:type="paragraph" w:customStyle="1" w:styleId="60">
    <w:name w:val="附录五级条标题"/>
    <w:basedOn w:val="61"/>
    <w:next w:val="26"/>
    <w:autoRedefine/>
    <w:qFormat/>
    <w:uiPriority w:val="0"/>
    <w:pPr>
      <w:outlineLvl w:val="6"/>
    </w:pPr>
  </w:style>
  <w:style w:type="paragraph" w:customStyle="1" w:styleId="61">
    <w:name w:val="附录四级条标题"/>
    <w:basedOn w:val="62"/>
    <w:next w:val="26"/>
    <w:autoRedefine/>
    <w:qFormat/>
    <w:uiPriority w:val="0"/>
    <w:pPr>
      <w:outlineLvl w:val="5"/>
    </w:pPr>
  </w:style>
  <w:style w:type="paragraph" w:customStyle="1" w:styleId="62">
    <w:name w:val="附录三级条标题"/>
    <w:basedOn w:val="63"/>
    <w:next w:val="26"/>
    <w:autoRedefine/>
    <w:qFormat/>
    <w:uiPriority w:val="0"/>
    <w:pPr>
      <w:outlineLvl w:val="4"/>
    </w:pPr>
  </w:style>
  <w:style w:type="paragraph" w:customStyle="1" w:styleId="63">
    <w:name w:val="附录二级条标题"/>
    <w:basedOn w:val="64"/>
    <w:next w:val="26"/>
    <w:autoRedefine/>
    <w:qFormat/>
    <w:uiPriority w:val="0"/>
    <w:pPr>
      <w:ind w:left="0"/>
      <w:outlineLvl w:val="3"/>
    </w:pPr>
  </w:style>
  <w:style w:type="paragraph" w:customStyle="1" w:styleId="64">
    <w:name w:val="附录一级条标题"/>
    <w:basedOn w:val="65"/>
    <w:next w:val="26"/>
    <w:autoRedefine/>
    <w:qFormat/>
    <w:uiPriority w:val="0"/>
    <w:pPr>
      <w:autoSpaceDN w:val="0"/>
      <w:spacing w:beforeLines="0" w:afterLines="0"/>
      <w:ind w:left="851"/>
      <w:outlineLvl w:val="2"/>
    </w:pPr>
  </w:style>
  <w:style w:type="paragraph" w:customStyle="1" w:styleId="65">
    <w:name w:val="附录章标题"/>
    <w:next w:val="2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66">
    <w:name w:val="封面标准英文名称"/>
    <w:autoRedefine/>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67">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68">
    <w:name w:val="fontstyle11"/>
    <w:basedOn w:val="15"/>
    <w:autoRedefine/>
    <w:qFormat/>
    <w:uiPriority w:val="0"/>
    <w:rPr>
      <w:rFonts w:hint="default" w:ascii="TimesNewRomanPSMT" w:hAnsi="TimesNewRomanPSMT"/>
      <w:color w:val="000000"/>
      <w:sz w:val="22"/>
      <w:szCs w:val="22"/>
    </w:rPr>
  </w:style>
  <w:style w:type="character" w:customStyle="1" w:styleId="69">
    <w:name w:val="fontstyle31"/>
    <w:basedOn w:val="15"/>
    <w:autoRedefine/>
    <w:qFormat/>
    <w:uiPriority w:val="0"/>
    <w:rPr>
      <w:rFonts w:hint="eastAsia" w:ascii="宋体" w:hAnsi="宋体" w:eastAsia="宋体"/>
      <w:color w:val="000000"/>
      <w:sz w:val="22"/>
      <w:szCs w:val="22"/>
    </w:rPr>
  </w:style>
  <w:style w:type="character" w:customStyle="1" w:styleId="70">
    <w:name w:val="正文文本缩进 2 字符"/>
    <w:basedOn w:val="15"/>
    <w:link w:val="6"/>
    <w:autoRedefine/>
    <w:qFormat/>
    <w:uiPriority w:val="0"/>
    <w:rPr>
      <w:rFonts w:ascii="Times New Roman" w:hAnsi="Times New Roman" w:eastAsia="宋体" w:cs="Times New Roman"/>
      <w:kern w:val="0"/>
      <w:sz w:val="24"/>
      <w:szCs w:val="24"/>
    </w:rPr>
  </w:style>
  <w:style w:type="character" w:customStyle="1" w:styleId="71">
    <w:name w:val="Unresolved Mention"/>
    <w:basedOn w:val="15"/>
    <w:autoRedefine/>
    <w:semiHidden/>
    <w:unhideWhenUsed/>
    <w:qFormat/>
    <w:uiPriority w:val="99"/>
    <w:rPr>
      <w:color w:val="605E5C"/>
      <w:shd w:val="clear" w:color="auto" w:fill="E1DFDD"/>
    </w:rPr>
  </w:style>
  <w:style w:type="table" w:customStyle="1" w:styleId="72">
    <w:name w:val="Grid Table 1 Light"/>
    <w:basedOn w:val="12"/>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3">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74">
    <w:name w:val="Revision"/>
    <w:autoRedefine/>
    <w:hidden/>
    <w:semiHidden/>
    <w:qFormat/>
    <w:uiPriority w:val="99"/>
    <w:rPr>
      <w:rFonts w:ascii="Times New Roman" w:hAnsi="Times New Roman" w:eastAsia="宋体" w:cs="Times New Roman"/>
      <w:kern w:val="0"/>
      <w:sz w:val="24"/>
      <w:szCs w:val="24"/>
      <w:lang w:val="en-US" w:eastAsia="zh-CN" w:bidi="ar-SA"/>
    </w:rPr>
  </w:style>
  <w:style w:type="character" w:styleId="75">
    <w:name w:val="Placeholder Text"/>
    <w:basedOn w:val="15"/>
    <w:autoRedefine/>
    <w:semiHidden/>
    <w:qFormat/>
    <w:uiPriority w:val="99"/>
    <w:rPr>
      <w:color w:val="808080"/>
    </w:rPr>
  </w:style>
  <w:style w:type="character" w:customStyle="1" w:styleId="76">
    <w:name w:val="font11"/>
    <w:basedOn w:val="15"/>
    <w:autoRedefine/>
    <w:qFormat/>
    <w:uiPriority w:val="0"/>
    <w:rPr>
      <w:rFonts w:hint="eastAsia" w:ascii="宋体" w:hAnsi="宋体" w:eastAsia="宋体" w:cs="宋体"/>
      <w:color w:val="000000"/>
      <w:sz w:val="22"/>
      <w:szCs w:val="22"/>
      <w:u w:val="none"/>
    </w:rPr>
  </w:style>
  <w:style w:type="paragraph" w:customStyle="1" w:styleId="77">
    <w:name w:val="Table Text"/>
    <w:basedOn w:val="1"/>
    <w:autoRedefine/>
    <w:semiHidden/>
    <w:qFormat/>
    <w:uiPriority w:val="0"/>
    <w:rPr>
      <w:rFonts w:ascii="宋体" w:hAnsi="宋体" w:eastAsia="宋体" w:cs="宋体"/>
      <w:sz w:val="18"/>
      <w:szCs w:val="18"/>
      <w:lang w:val="en-US" w:eastAsia="en-US" w:bidi="ar-SA"/>
    </w:rPr>
  </w:style>
  <w:style w:type="table" w:customStyle="1" w:styleId="7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7CAF-0FA1-4268-81C3-350D6BF3EF95}">
  <ds:schemaRefs/>
</ds:datastoreItem>
</file>

<file path=docProps/app.xml><?xml version="1.0" encoding="utf-8"?>
<Properties xmlns="http://schemas.openxmlformats.org/officeDocument/2006/extended-properties" xmlns:vt="http://schemas.openxmlformats.org/officeDocument/2006/docPropsVTypes">
  <Template>Normal</Template>
  <Pages>8</Pages>
  <Words>972</Words>
  <Characters>5547</Characters>
  <Lines>46</Lines>
  <Paragraphs>13</Paragraphs>
  <TotalTime>4</TotalTime>
  <ScaleCrop>false</ScaleCrop>
  <LinksUpToDate>false</LinksUpToDate>
  <CharactersWithSpaces>6506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2023-03-06T03:24:00Z</dcterms:created>
  <dc:creator>Windows 用户</dc:creator>
  <cp:lastModifiedBy>演示人</cp:lastModifiedBy>
  <cp:lastPrinted>2022-11-05T14:54:00Z</cp:lastPrinted>
  <dcterms:modified xsi:type="dcterms:W3CDTF">2024-03-29T09:34:04Z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237A65E60B7A42B6A8519EC4B0E8FD15_12</vt:lpwstr>
  </property>
</Properties>
</file>