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00" w:lineRule="exact"/>
        <w:jc w:val="both"/>
        <w:rPr>
          <w:b/>
          <w:bCs/>
          <w:sz w:val="32"/>
          <w:szCs w:val="32"/>
        </w:rPr>
      </w:pPr>
    </w:p>
    <w:p>
      <w:pPr>
        <w:widowControl w:val="0"/>
        <w:spacing w:line="360" w:lineRule="auto"/>
        <w:jc w:val="center"/>
        <w:outlineLvl w:val="0"/>
        <w:rPr>
          <w:b/>
          <w:bCs/>
          <w:sz w:val="48"/>
          <w:szCs w:val="48"/>
        </w:rPr>
      </w:pPr>
    </w:p>
    <w:p>
      <w:pPr>
        <w:widowControl w:val="0"/>
        <w:spacing w:line="360" w:lineRule="auto"/>
        <w:jc w:val="center"/>
        <w:outlineLvl w:val="0"/>
        <w:rPr>
          <w:rFonts w:hint="eastAsia" w:eastAsia="宋体"/>
          <w:b/>
          <w:bCs/>
          <w:sz w:val="48"/>
          <w:szCs w:val="48"/>
          <w:lang w:val="en-US" w:eastAsia="zh-CN"/>
        </w:rPr>
      </w:pPr>
      <w:r>
        <w:rPr>
          <w:rFonts w:hint="eastAsia"/>
          <w:b/>
          <w:bCs/>
          <w:sz w:val="48"/>
          <w:szCs w:val="48"/>
        </w:rPr>
        <w:t>钠离子电池用正极材料</w:t>
      </w:r>
      <w:r>
        <w:rPr>
          <w:rFonts w:hint="eastAsia"/>
          <w:b/>
          <w:bCs/>
          <w:sz w:val="48"/>
          <w:szCs w:val="48"/>
          <w:lang w:val="en-US" w:eastAsia="zh-CN"/>
        </w:rPr>
        <w:t xml:space="preserve"> 镍铜铁锰酸钠</w:t>
      </w:r>
    </w:p>
    <w:p>
      <w:pPr>
        <w:spacing w:line="360" w:lineRule="auto"/>
        <w:jc w:val="center"/>
        <w:rPr>
          <w:b/>
          <w:sz w:val="44"/>
        </w:rPr>
      </w:pPr>
    </w:p>
    <w:p>
      <w:pPr>
        <w:spacing w:line="360" w:lineRule="auto"/>
        <w:jc w:val="center"/>
        <w:rPr>
          <w:b/>
          <w:sz w:val="44"/>
        </w:rPr>
      </w:pPr>
    </w:p>
    <w:p>
      <w:pPr>
        <w:spacing w:line="360" w:lineRule="auto"/>
        <w:jc w:val="center"/>
        <w:rPr>
          <w:b/>
          <w:sz w:val="44"/>
        </w:rPr>
      </w:pPr>
      <w:r>
        <w:rPr>
          <w:rFonts w:hint="eastAsia"/>
          <w:b/>
          <w:sz w:val="44"/>
        </w:rPr>
        <w:t>编</w:t>
      </w:r>
    </w:p>
    <w:p>
      <w:pPr>
        <w:spacing w:line="360" w:lineRule="auto"/>
        <w:jc w:val="center"/>
        <w:rPr>
          <w:b/>
          <w:sz w:val="44"/>
        </w:rPr>
      </w:pPr>
      <w:r>
        <w:rPr>
          <w:rFonts w:hint="eastAsia"/>
          <w:b/>
          <w:sz w:val="44"/>
        </w:rPr>
        <w:t>制</w:t>
      </w:r>
    </w:p>
    <w:p>
      <w:pPr>
        <w:spacing w:line="360" w:lineRule="auto"/>
        <w:jc w:val="center"/>
        <w:rPr>
          <w:b/>
          <w:sz w:val="44"/>
        </w:rPr>
      </w:pPr>
      <w:r>
        <w:rPr>
          <w:rFonts w:hint="eastAsia"/>
          <w:b/>
          <w:sz w:val="44"/>
        </w:rPr>
        <w:t>说</w:t>
      </w:r>
    </w:p>
    <w:p>
      <w:pPr>
        <w:spacing w:line="360" w:lineRule="auto"/>
        <w:jc w:val="center"/>
        <w:rPr>
          <w:b/>
          <w:sz w:val="44"/>
        </w:rPr>
      </w:pPr>
      <w:r>
        <w:rPr>
          <w:rFonts w:hint="eastAsia"/>
          <w:b/>
          <w:sz w:val="44"/>
        </w:rPr>
        <w:t>明</w:t>
      </w:r>
    </w:p>
    <w:p>
      <w:pPr>
        <w:widowControl w:val="0"/>
        <w:spacing w:line="500" w:lineRule="exact"/>
        <w:jc w:val="center"/>
      </w:pPr>
    </w:p>
    <w:p>
      <w:pPr>
        <w:widowControl w:val="0"/>
        <w:spacing w:line="360" w:lineRule="auto"/>
        <w:jc w:val="center"/>
        <w:rPr>
          <w:b/>
          <w:bCs/>
          <w:sz w:val="52"/>
          <w:szCs w:val="52"/>
        </w:rPr>
      </w:pPr>
      <w:r>
        <w:rPr>
          <w:sz w:val="44"/>
          <w:szCs w:val="44"/>
        </w:rPr>
        <w:t>（</w:t>
      </w:r>
      <w:r>
        <w:rPr>
          <w:rFonts w:hint="eastAsia"/>
          <w:sz w:val="44"/>
          <w:szCs w:val="44"/>
        </w:rPr>
        <w:t>征求意见稿</w:t>
      </w:r>
      <w:r>
        <w:rPr>
          <w:sz w:val="44"/>
          <w:szCs w:val="44"/>
        </w:rPr>
        <w:t>）</w:t>
      </w:r>
    </w:p>
    <w:p>
      <w:pPr>
        <w:widowControl w:val="0"/>
        <w:spacing w:line="500" w:lineRule="exact"/>
        <w:jc w:val="center"/>
      </w:pPr>
    </w:p>
    <w:p>
      <w:pPr>
        <w:widowControl w:val="0"/>
        <w:spacing w:line="500" w:lineRule="exact"/>
        <w:jc w:val="both"/>
      </w:pPr>
    </w:p>
    <w:p>
      <w:pPr>
        <w:widowControl w:val="0"/>
        <w:spacing w:line="500" w:lineRule="exact"/>
        <w:jc w:val="both"/>
      </w:pPr>
    </w:p>
    <w:p>
      <w:pPr>
        <w:widowControl w:val="0"/>
        <w:spacing w:line="500" w:lineRule="exact"/>
        <w:jc w:val="both"/>
      </w:pPr>
    </w:p>
    <w:p>
      <w:pPr>
        <w:widowControl w:val="0"/>
        <w:spacing w:line="500" w:lineRule="exact"/>
        <w:jc w:val="both"/>
      </w:pPr>
    </w:p>
    <w:p>
      <w:pPr>
        <w:widowControl w:val="0"/>
        <w:spacing w:line="500" w:lineRule="exact"/>
        <w:jc w:val="both"/>
      </w:pPr>
    </w:p>
    <w:p>
      <w:pPr>
        <w:widowControl w:val="0"/>
        <w:spacing w:line="500" w:lineRule="exact"/>
        <w:jc w:val="both"/>
      </w:pPr>
    </w:p>
    <w:p>
      <w:pPr>
        <w:widowControl w:val="0"/>
        <w:spacing w:line="360" w:lineRule="auto"/>
        <w:jc w:val="center"/>
        <w:outlineLvl w:val="0"/>
        <w:rPr>
          <w:b/>
          <w:bCs/>
          <w:sz w:val="36"/>
          <w:szCs w:val="36"/>
        </w:rPr>
      </w:pPr>
      <w:r>
        <w:rPr>
          <w:rFonts w:hint="eastAsia"/>
          <w:b/>
          <w:bCs/>
          <w:sz w:val="36"/>
          <w:szCs w:val="36"/>
        </w:rPr>
        <w:t>天津巴莫科技有限责任公司</w:t>
      </w:r>
    </w:p>
    <w:p>
      <w:pPr>
        <w:widowControl w:val="0"/>
        <w:spacing w:line="360" w:lineRule="auto"/>
        <w:jc w:val="center"/>
        <w:outlineLvl w:val="0"/>
        <w:rPr>
          <w:b/>
          <w:bCs/>
          <w:sz w:val="36"/>
          <w:szCs w:val="36"/>
        </w:rPr>
        <w:sectPr>
          <w:footerReference r:id="rId3" w:type="default"/>
          <w:footerReference r:id="rId4" w:type="even"/>
          <w:pgSz w:w="11906" w:h="16838"/>
          <w:pgMar w:top="1440" w:right="1080" w:bottom="1440" w:left="1080" w:header="992" w:footer="720" w:gutter="284"/>
          <w:pgNumType w:start="1"/>
          <w:cols w:space="720" w:num="1"/>
          <w:titlePg/>
          <w:docGrid w:linePitch="326" w:charSpace="0"/>
        </w:sectPr>
      </w:pPr>
      <w:r>
        <w:rPr>
          <w:b/>
          <w:bCs/>
          <w:sz w:val="36"/>
          <w:szCs w:val="36"/>
        </w:rPr>
        <w:t>202</w:t>
      </w:r>
      <w:r>
        <w:rPr>
          <w:rFonts w:hint="eastAsia"/>
          <w:b/>
          <w:bCs/>
          <w:sz w:val="36"/>
          <w:szCs w:val="36"/>
          <w:lang w:val="en-US" w:eastAsia="zh-CN"/>
        </w:rPr>
        <w:t>4</w:t>
      </w:r>
      <w:r>
        <w:rPr>
          <w:b/>
          <w:bCs/>
          <w:sz w:val="36"/>
          <w:szCs w:val="36"/>
        </w:rPr>
        <w:t>年</w:t>
      </w:r>
      <w:r>
        <w:rPr>
          <w:rFonts w:hint="eastAsia"/>
          <w:b/>
          <w:bCs/>
          <w:sz w:val="36"/>
          <w:szCs w:val="36"/>
          <w:lang w:val="en-US" w:eastAsia="zh-CN"/>
        </w:rPr>
        <w:t>4</w:t>
      </w:r>
      <w:r>
        <w:rPr>
          <w:b/>
          <w:bCs/>
          <w:sz w:val="36"/>
          <w:szCs w:val="36"/>
        </w:rPr>
        <w:t>月</w:t>
      </w:r>
    </w:p>
    <w:p>
      <w:pPr>
        <w:widowControl w:val="0"/>
        <w:spacing w:line="440" w:lineRule="exact"/>
        <w:jc w:val="center"/>
        <w:outlineLvl w:val="0"/>
        <w:rPr>
          <w:rFonts w:hint="eastAsia" w:eastAsia="宋体"/>
          <w:b/>
          <w:bCs/>
          <w:sz w:val="28"/>
          <w:szCs w:val="28"/>
          <w:lang w:eastAsia="zh-CN"/>
        </w:rPr>
      </w:pPr>
      <w:r>
        <w:rPr>
          <w:rFonts w:hint="eastAsia"/>
          <w:b/>
          <w:bCs/>
          <w:sz w:val="28"/>
          <w:szCs w:val="28"/>
        </w:rPr>
        <w:t>钠离子电池用正极材料</w:t>
      </w:r>
      <w:r>
        <w:rPr>
          <w:rFonts w:hint="eastAsia"/>
          <w:b/>
          <w:bCs/>
          <w:sz w:val="28"/>
          <w:szCs w:val="28"/>
          <w:lang w:val="en-US" w:eastAsia="zh-CN"/>
        </w:rPr>
        <w:t xml:space="preserve"> </w:t>
      </w:r>
      <w:r>
        <w:rPr>
          <w:rFonts w:hint="eastAsia"/>
          <w:b/>
          <w:bCs/>
          <w:sz w:val="28"/>
          <w:szCs w:val="28"/>
          <w:lang w:eastAsia="zh-CN"/>
        </w:rPr>
        <w:t>镍铜铁锰酸钠</w:t>
      </w:r>
    </w:p>
    <w:p>
      <w:pPr>
        <w:widowControl w:val="0"/>
        <w:spacing w:line="440" w:lineRule="exact"/>
        <w:jc w:val="center"/>
        <w:outlineLvl w:val="0"/>
        <w:rPr>
          <w:b/>
          <w:bCs/>
          <w:sz w:val="28"/>
          <w:szCs w:val="28"/>
        </w:rPr>
      </w:pPr>
      <w:r>
        <w:rPr>
          <w:rFonts w:hint="eastAsia"/>
          <w:b/>
          <w:bCs/>
          <w:sz w:val="28"/>
          <w:szCs w:val="28"/>
        </w:rPr>
        <w:t>协会标准</w:t>
      </w:r>
      <w:r>
        <w:rPr>
          <w:b/>
          <w:bCs/>
          <w:sz w:val="28"/>
          <w:szCs w:val="28"/>
        </w:rPr>
        <w:t>编制说明</w:t>
      </w:r>
    </w:p>
    <w:p>
      <w:pPr>
        <w:widowControl w:val="0"/>
        <w:spacing w:line="440" w:lineRule="exact"/>
        <w:jc w:val="center"/>
        <w:outlineLvl w:val="0"/>
        <w:rPr>
          <w:b/>
          <w:bCs/>
          <w:sz w:val="28"/>
          <w:szCs w:val="28"/>
        </w:rPr>
      </w:pPr>
      <w:r>
        <w:rPr>
          <w:rFonts w:hint="eastAsia"/>
          <w:b/>
          <w:bCs/>
          <w:sz w:val="28"/>
          <w:szCs w:val="28"/>
        </w:rPr>
        <w:t>（征求意见稿）</w:t>
      </w:r>
    </w:p>
    <w:p>
      <w:pPr>
        <w:widowControl w:val="0"/>
        <w:spacing w:before="156" w:beforeLines="50" w:after="312" w:afterLines="100"/>
        <w:jc w:val="both"/>
        <w:outlineLvl w:val="0"/>
        <w:rPr>
          <w:b/>
          <w:bCs/>
          <w:color w:val="auto"/>
        </w:rPr>
      </w:pPr>
      <w:r>
        <w:rPr>
          <w:b/>
          <w:bCs/>
          <w:color w:val="auto"/>
        </w:rPr>
        <w:t>一、工作简况</w:t>
      </w:r>
    </w:p>
    <w:p>
      <w:pPr>
        <w:widowControl w:val="0"/>
        <w:spacing w:after="156" w:afterLines="50"/>
        <w:jc w:val="both"/>
        <w:outlineLvl w:val="1"/>
        <w:rPr>
          <w:b/>
          <w:bCs/>
          <w:color w:val="auto"/>
          <w:sz w:val="21"/>
          <w:szCs w:val="21"/>
        </w:rPr>
      </w:pPr>
      <w:r>
        <w:rPr>
          <w:b/>
          <w:bCs/>
          <w:color w:val="auto"/>
          <w:sz w:val="21"/>
          <w:szCs w:val="21"/>
        </w:rPr>
        <w:t>1.1 任务来源</w:t>
      </w:r>
    </w:p>
    <w:p>
      <w:pPr>
        <w:ind w:firstLine="420" w:firstLineChars="200"/>
        <w:jc w:val="both"/>
        <w:rPr>
          <w:color w:val="auto"/>
          <w:sz w:val="21"/>
          <w:szCs w:val="21"/>
        </w:rPr>
      </w:pPr>
      <w:r>
        <w:rPr>
          <w:rFonts w:hint="eastAsia"/>
          <w:color w:val="auto"/>
          <w:sz w:val="21"/>
          <w:szCs w:val="21"/>
        </w:rPr>
        <w:t xml:space="preserve">根据工信部《关于下达2023年第四批协会标准制修订计划的通知》（中色协科字〔2023)95号）精神，由天津巴莫科技有限责任公司负责起草制定《钠离子电池用正极材料 </w:t>
      </w:r>
      <w:r>
        <w:rPr>
          <w:rFonts w:hint="eastAsia"/>
          <w:color w:val="auto"/>
          <w:sz w:val="21"/>
          <w:szCs w:val="21"/>
          <w:lang w:eastAsia="zh-CN"/>
        </w:rPr>
        <w:t>镍铜铁锰酸钠</w:t>
      </w:r>
      <w:r>
        <w:rPr>
          <w:rFonts w:hint="eastAsia"/>
          <w:color w:val="auto"/>
          <w:sz w:val="21"/>
          <w:szCs w:val="21"/>
        </w:rPr>
        <w:t>》行业标准，项目计划号：2023-031-T/CNIA，计划完成年限2024年。</w:t>
      </w:r>
    </w:p>
    <w:p>
      <w:pPr>
        <w:widowControl w:val="0"/>
        <w:spacing w:before="156" w:beforeLines="50" w:after="156" w:afterLines="50"/>
        <w:jc w:val="both"/>
        <w:outlineLvl w:val="1"/>
        <w:rPr>
          <w:b/>
          <w:bCs/>
          <w:color w:val="auto"/>
          <w:sz w:val="21"/>
          <w:szCs w:val="21"/>
        </w:rPr>
      </w:pPr>
      <w:r>
        <w:rPr>
          <w:b/>
          <w:bCs/>
          <w:color w:val="auto"/>
          <w:sz w:val="21"/>
          <w:szCs w:val="21"/>
        </w:rPr>
        <w:t>1.</w:t>
      </w:r>
      <w:r>
        <w:rPr>
          <w:rFonts w:hint="eastAsia"/>
          <w:b/>
          <w:bCs/>
          <w:color w:val="auto"/>
          <w:sz w:val="21"/>
          <w:szCs w:val="21"/>
        </w:rPr>
        <w:t>2</w:t>
      </w:r>
      <w:r>
        <w:rPr>
          <w:b/>
          <w:bCs/>
          <w:color w:val="auto"/>
          <w:sz w:val="21"/>
          <w:szCs w:val="21"/>
        </w:rPr>
        <w:t xml:space="preserve"> 主</w:t>
      </w:r>
      <w:r>
        <w:rPr>
          <w:rFonts w:hint="eastAsia"/>
          <w:b/>
          <w:bCs/>
          <w:color w:val="auto"/>
          <w:sz w:val="21"/>
          <w:szCs w:val="21"/>
        </w:rPr>
        <w:t>起草</w:t>
      </w:r>
      <w:r>
        <w:rPr>
          <w:b/>
          <w:bCs/>
          <w:color w:val="auto"/>
          <w:sz w:val="21"/>
          <w:szCs w:val="21"/>
        </w:rPr>
        <w:t>单位</w:t>
      </w:r>
      <w:r>
        <w:rPr>
          <w:rFonts w:hint="eastAsia"/>
          <w:b/>
          <w:bCs/>
          <w:color w:val="auto"/>
          <w:sz w:val="21"/>
          <w:szCs w:val="21"/>
        </w:rPr>
        <w:t>简介</w:t>
      </w:r>
    </w:p>
    <w:p>
      <w:pPr>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天津巴莫科技有限责任公司（简称“巴莫科技”）成立于2002年8月，注册资本20731.9289万元，是主要从事高端绿色环保锂离子电池正极材料的研究、开发与产业化的科技领军企业。历经二十余年的发展，公司已成为技术力量领先、生产规模较大、国内综合实力较强的锂离子电池材料研发、生产中心，总体产能达到10万吨/年，产能及销量均位于国内正极材料行业领先水平。巴莫科技建有国家企业技术中心、博士后科研工作站、天津市先进锂离子电池材料企业重点实验室、天津市工程研究中心等科研平台，研发实力雄厚；并荣获国家高新技术企业、国家技术创新示范企业、国家工业产品绿色设计示范企业、国家知识产权示范企业、国家专精特新“小巨人”企业等荣誉和资质；公司在天津市高新技术产业园区和四川成都成阿工业园区两地拥有国内智能化水平高、综合实力强的锂离子电池材料产业化基地。公司主要产品为锂离子电池正极材料，包括高镍正极材料、三元正极材料及氧化钴锂正极材料，被广泛应用于新能源汽车、无人机、电动工具、高端智能手机及便携式电子设备等领域。公司目前</w:t>
      </w:r>
      <w:r>
        <w:rPr>
          <w:rFonts w:hint="eastAsia" w:cs="Times New Roman"/>
          <w:color w:val="auto"/>
          <w:sz w:val="21"/>
          <w:szCs w:val="21"/>
          <w:lang w:val="en-US" w:eastAsia="zh-CN"/>
        </w:rPr>
        <w:t>累计获得</w:t>
      </w:r>
      <w:r>
        <w:rPr>
          <w:rFonts w:hint="eastAsia" w:ascii="Times New Roman" w:hAnsi="Times New Roman" w:eastAsia="宋体" w:cs="Times New Roman"/>
          <w:color w:val="auto"/>
          <w:sz w:val="21"/>
          <w:szCs w:val="21"/>
        </w:rPr>
        <w:t>专利</w:t>
      </w:r>
      <w:r>
        <w:rPr>
          <w:rFonts w:hint="eastAsia" w:cs="Times New Roman"/>
          <w:color w:val="auto"/>
          <w:sz w:val="21"/>
          <w:szCs w:val="21"/>
          <w:lang w:val="en-US" w:eastAsia="zh-CN"/>
        </w:rPr>
        <w:t>274</w:t>
      </w:r>
      <w:r>
        <w:rPr>
          <w:rFonts w:hint="eastAsia" w:ascii="Times New Roman" w:hAnsi="Times New Roman" w:eastAsia="宋体" w:cs="Times New Roman"/>
          <w:color w:val="auto"/>
          <w:sz w:val="21"/>
          <w:szCs w:val="21"/>
        </w:rPr>
        <w:t>件，负责和参加起草制订国家标准、行业标准17余项。公司牵头或参与起草《锂离子电池电极材料导电性测试方法》、《锂离子电池电极材料电化学性能测试方法》、《锂离子电池正极材料游离锂的测试方法》、《钠离子电池正极材料电化学性能测试 首次放电比容量和首次充放电效率测试方法》等标准，成为行业技术标准的重要制订者。</w:t>
      </w:r>
    </w:p>
    <w:p>
      <w:pPr>
        <w:widowControl w:val="0"/>
        <w:spacing w:before="156" w:beforeLines="50" w:after="156" w:afterLines="50"/>
        <w:jc w:val="both"/>
        <w:outlineLvl w:val="1"/>
        <w:rPr>
          <w:b/>
          <w:bCs/>
          <w:color w:val="auto"/>
          <w:sz w:val="21"/>
          <w:szCs w:val="21"/>
        </w:rPr>
      </w:pPr>
      <w:r>
        <w:rPr>
          <w:b/>
          <w:bCs/>
          <w:color w:val="auto"/>
          <w:sz w:val="21"/>
          <w:szCs w:val="21"/>
        </w:rPr>
        <w:t>1.</w:t>
      </w:r>
      <w:r>
        <w:rPr>
          <w:rFonts w:hint="eastAsia"/>
          <w:b/>
          <w:bCs/>
          <w:color w:val="auto"/>
          <w:sz w:val="21"/>
          <w:szCs w:val="21"/>
        </w:rPr>
        <w:t>3</w:t>
      </w:r>
      <w:r>
        <w:rPr>
          <w:b/>
          <w:bCs/>
          <w:color w:val="auto"/>
          <w:sz w:val="21"/>
          <w:szCs w:val="21"/>
        </w:rPr>
        <w:t xml:space="preserve"> 主要</w:t>
      </w:r>
      <w:r>
        <w:rPr>
          <w:rFonts w:hint="eastAsia"/>
          <w:b/>
          <w:bCs/>
          <w:color w:val="auto"/>
          <w:sz w:val="21"/>
          <w:szCs w:val="21"/>
        </w:rPr>
        <w:t>参加</w:t>
      </w:r>
      <w:r>
        <w:rPr>
          <w:b/>
          <w:bCs/>
          <w:color w:val="auto"/>
          <w:sz w:val="21"/>
          <w:szCs w:val="21"/>
        </w:rPr>
        <w:t>单位和工作组成员及其工作</w:t>
      </w:r>
    </w:p>
    <w:p>
      <w:pPr>
        <w:ind w:firstLine="420" w:firstLineChars="200"/>
        <w:jc w:val="both"/>
        <w:rPr>
          <w:rFonts w:hint="eastAsia"/>
          <w:color w:val="auto"/>
          <w:sz w:val="21"/>
          <w:szCs w:val="21"/>
        </w:rPr>
      </w:pPr>
      <w:r>
        <w:rPr>
          <w:rFonts w:hint="eastAsia"/>
          <w:color w:val="auto"/>
          <w:sz w:val="21"/>
          <w:szCs w:val="21"/>
        </w:rPr>
        <w:t>本文件起草单位有：天津巴莫科技有限责任公司、</w:t>
      </w:r>
      <w:r>
        <w:rPr>
          <w:rFonts w:hint="eastAsia"/>
          <w:sz w:val="21"/>
          <w:szCs w:val="21"/>
        </w:rPr>
        <w:t>格林美股份有限公司、湖南中伟新能源科技有限公司</w:t>
      </w:r>
      <w:r>
        <w:rPr>
          <w:rFonts w:hint="eastAsia"/>
          <w:sz w:val="21"/>
          <w:szCs w:val="21"/>
          <w:lang w:eastAsia="zh-CN"/>
        </w:rPr>
        <w:t>、</w:t>
      </w:r>
      <w:r>
        <w:rPr>
          <w:rFonts w:hint="eastAsia"/>
          <w:sz w:val="21"/>
          <w:szCs w:val="21"/>
        </w:rPr>
        <w:t>北京当升材料科技股份有限公司、天津国安盟固利新材料科技股份有限公司</w:t>
      </w:r>
      <w:r>
        <w:rPr>
          <w:rFonts w:hint="eastAsia"/>
          <w:sz w:val="21"/>
          <w:szCs w:val="21"/>
          <w:lang w:eastAsia="zh-CN"/>
        </w:rPr>
        <w:t>、</w:t>
      </w:r>
      <w:r>
        <w:rPr>
          <w:rFonts w:hint="eastAsia"/>
          <w:color w:val="auto"/>
          <w:sz w:val="21"/>
          <w:szCs w:val="21"/>
        </w:rPr>
        <w:t>广东邦普循环科技有限公司、蜂巢能源科技有限公司、浙江华友钴业股份有限公司、湖南长远锂科股份有限公司、巴斯夫杉杉电池材料有限公司等。</w:t>
      </w:r>
    </w:p>
    <w:p>
      <w:pPr>
        <w:widowControl w:val="0"/>
        <w:ind w:firstLine="420" w:firstLineChars="200"/>
        <w:jc w:val="both"/>
        <w:rPr>
          <w:rFonts w:hint="eastAsia"/>
          <w:color w:val="auto"/>
          <w:sz w:val="21"/>
          <w:szCs w:val="21"/>
        </w:rPr>
      </w:pPr>
      <w:r>
        <w:rPr>
          <w:rFonts w:hint="eastAsia"/>
          <w:color w:val="auto"/>
          <w:sz w:val="21"/>
          <w:szCs w:val="21"/>
        </w:rPr>
        <w:t>其中天津巴莫科技有限责任公司负责调研钠电行业对</w:t>
      </w:r>
      <w:r>
        <w:rPr>
          <w:rFonts w:hint="eastAsia"/>
          <w:color w:val="auto"/>
          <w:sz w:val="21"/>
          <w:szCs w:val="21"/>
          <w:lang w:eastAsia="zh-CN"/>
        </w:rPr>
        <w:t>镍铜铁锰酸钠</w:t>
      </w:r>
      <w:r>
        <w:rPr>
          <w:rFonts w:hint="eastAsia"/>
          <w:color w:val="auto"/>
          <w:sz w:val="21"/>
          <w:szCs w:val="21"/>
        </w:rPr>
        <w:t>的各项指标控制、生产和用户需求情况，根据了解的实际情况编写标准文本和标准编制说明，同时将标准在行业内广泛征求意见，并对收集的意见进行汇总处理，综合比较后形成科学统一的产品技术要求，带领编制组完成标准的编制工作。</w:t>
      </w:r>
    </w:p>
    <w:p>
      <w:pPr>
        <w:widowControl w:val="0"/>
        <w:ind w:firstLine="420" w:firstLineChars="200"/>
        <w:jc w:val="both"/>
        <w:rPr>
          <w:rFonts w:hint="eastAsia"/>
          <w:color w:val="auto"/>
          <w:sz w:val="21"/>
          <w:szCs w:val="21"/>
        </w:rPr>
      </w:pPr>
      <w:r>
        <w:rPr>
          <w:rFonts w:hint="eastAsia"/>
          <w:sz w:val="21"/>
          <w:szCs w:val="21"/>
        </w:rPr>
        <w:t>格林美股份有限公司、湖南中伟新能源科技有限公司</w:t>
      </w:r>
      <w:r>
        <w:rPr>
          <w:rFonts w:hint="eastAsia"/>
          <w:sz w:val="21"/>
          <w:szCs w:val="21"/>
          <w:lang w:eastAsia="zh-CN"/>
        </w:rPr>
        <w:t>、</w:t>
      </w:r>
      <w:r>
        <w:rPr>
          <w:rFonts w:hint="eastAsia"/>
          <w:sz w:val="21"/>
          <w:szCs w:val="21"/>
        </w:rPr>
        <w:t>北京当升材料科技股份有限公司、天津国安盟固利新材料科技股份有限公司</w:t>
      </w:r>
      <w:r>
        <w:rPr>
          <w:rFonts w:hint="eastAsia"/>
          <w:sz w:val="21"/>
          <w:szCs w:val="21"/>
          <w:lang w:eastAsia="zh-CN"/>
        </w:rPr>
        <w:t>、</w:t>
      </w:r>
      <w:r>
        <w:rPr>
          <w:rFonts w:hint="eastAsia"/>
          <w:color w:val="auto"/>
          <w:sz w:val="21"/>
          <w:szCs w:val="21"/>
        </w:rPr>
        <w:t>广东邦普循环科技有限公司、蜂巢能源科技有限公司、浙江华友钴业股份有限公司、湖南长远锂科股份有限公司、湖南中伟新能源科技有限公司、巴斯夫杉杉电池材料有限公司等积极参与本标准的调研工作，为标准编制提供了大量的实测数据，并对标准的征求意见稿 提出了修改意见，为本标准的编制工作提供有力支撑。</w:t>
      </w:r>
    </w:p>
    <w:p>
      <w:pPr>
        <w:widowControl w:val="0"/>
        <w:spacing w:before="156" w:beforeLines="50" w:after="156" w:afterLines="50"/>
        <w:jc w:val="both"/>
        <w:outlineLvl w:val="1"/>
        <w:rPr>
          <w:b/>
          <w:bCs/>
          <w:color w:val="auto"/>
          <w:sz w:val="21"/>
          <w:szCs w:val="21"/>
        </w:rPr>
      </w:pPr>
      <w:r>
        <w:rPr>
          <w:b/>
          <w:bCs/>
          <w:color w:val="auto"/>
          <w:sz w:val="21"/>
          <w:szCs w:val="21"/>
        </w:rPr>
        <w:t>1.4 主要工作过程</w:t>
      </w:r>
    </w:p>
    <w:p>
      <w:pPr>
        <w:widowControl w:val="0"/>
        <w:ind w:firstLine="420" w:firstLineChars="200"/>
        <w:jc w:val="both"/>
        <w:rPr>
          <w:color w:val="auto"/>
          <w:sz w:val="21"/>
          <w:szCs w:val="21"/>
        </w:rPr>
      </w:pPr>
      <w:r>
        <w:rPr>
          <w:rFonts w:hint="eastAsia"/>
          <w:color w:val="auto"/>
          <w:sz w:val="21"/>
          <w:szCs w:val="21"/>
        </w:rPr>
        <w:t>天津巴莫科技有限责任公司在接到本文件制订任务后，立即组织骨干人员成立了标准编制组，制定了该产品的各项指标调研表并初步确认范围。</w:t>
      </w:r>
      <w:r>
        <w:rPr>
          <w:color w:val="auto"/>
          <w:sz w:val="21"/>
          <w:szCs w:val="21"/>
        </w:rPr>
        <w:t>主要工作过程经历以下阶段：</w:t>
      </w:r>
    </w:p>
    <w:p>
      <w:pPr>
        <w:widowControl w:val="0"/>
        <w:spacing w:before="156" w:beforeLines="50" w:after="156" w:afterLines="50"/>
        <w:jc w:val="both"/>
        <w:outlineLvl w:val="2"/>
        <w:rPr>
          <w:b/>
          <w:bCs/>
          <w:color w:val="auto"/>
          <w:sz w:val="21"/>
          <w:szCs w:val="21"/>
        </w:rPr>
      </w:pPr>
      <w:r>
        <w:rPr>
          <w:b/>
          <w:bCs/>
          <w:color w:val="auto"/>
          <w:sz w:val="21"/>
          <w:szCs w:val="21"/>
        </w:rPr>
        <w:t>1.4.1立项阶段</w:t>
      </w:r>
    </w:p>
    <w:p>
      <w:pPr>
        <w:widowControl w:val="0"/>
        <w:ind w:firstLine="420" w:firstLineChars="200"/>
        <w:jc w:val="both"/>
        <w:rPr>
          <w:rFonts w:hint="eastAsia"/>
          <w:color w:val="auto"/>
          <w:sz w:val="21"/>
          <w:szCs w:val="21"/>
        </w:rPr>
      </w:pPr>
      <w:r>
        <w:rPr>
          <w:rFonts w:hint="eastAsia"/>
          <w:color w:val="auto"/>
          <w:sz w:val="21"/>
          <w:szCs w:val="21"/>
        </w:rPr>
        <w:t xml:space="preserve">2023年3月，天津巴莫科技有限责任公司向全国有色金属标准化技术委员会粉末冶金分会(SAC/TC243/SC4)提交行业标准《钠离子电池用正极材料 </w:t>
      </w:r>
      <w:r>
        <w:rPr>
          <w:rFonts w:hint="eastAsia"/>
          <w:color w:val="auto"/>
          <w:sz w:val="21"/>
          <w:szCs w:val="21"/>
          <w:lang w:eastAsia="zh-CN"/>
        </w:rPr>
        <w:t>镍铜铁锰酸钠</w:t>
      </w:r>
      <w:r>
        <w:rPr>
          <w:rFonts w:hint="eastAsia"/>
          <w:color w:val="auto"/>
          <w:sz w:val="21"/>
          <w:szCs w:val="21"/>
        </w:rPr>
        <w:t>》项目建议书。</w:t>
      </w:r>
    </w:p>
    <w:p>
      <w:pPr>
        <w:widowControl w:val="0"/>
        <w:ind w:firstLine="420" w:firstLineChars="200"/>
        <w:jc w:val="both"/>
        <w:rPr>
          <w:color w:val="auto"/>
          <w:sz w:val="21"/>
          <w:szCs w:val="21"/>
        </w:rPr>
      </w:pPr>
      <w:r>
        <w:rPr>
          <w:rFonts w:hint="eastAsia"/>
          <w:color w:val="auto"/>
          <w:sz w:val="21"/>
          <w:szCs w:val="21"/>
        </w:rPr>
        <w:t>2023年8月28日，工业和信息化部办公厅印发《关于下达2023年第四批协会标准制修订计划的通知》（中色协科字</w:t>
      </w:r>
      <w:r>
        <w:rPr>
          <w:rFonts w:hint="eastAsia"/>
          <w:color w:val="auto"/>
          <w:sz w:val="21"/>
          <w:szCs w:val="21"/>
          <w:lang w:val="en-US" w:eastAsia="zh-CN"/>
        </w:rPr>
        <w:t>[</w:t>
      </w:r>
      <w:r>
        <w:rPr>
          <w:rFonts w:hint="eastAsia"/>
          <w:color w:val="auto"/>
          <w:sz w:val="21"/>
          <w:szCs w:val="21"/>
        </w:rPr>
        <w:t>2023</w:t>
      </w:r>
      <w:r>
        <w:rPr>
          <w:rFonts w:hint="eastAsia"/>
          <w:color w:val="auto"/>
          <w:sz w:val="21"/>
          <w:szCs w:val="21"/>
          <w:lang w:val="en-US" w:eastAsia="zh-CN"/>
        </w:rPr>
        <w:t>]</w:t>
      </w:r>
      <w:r>
        <w:rPr>
          <w:rFonts w:hint="eastAsia"/>
          <w:color w:val="auto"/>
          <w:sz w:val="21"/>
          <w:szCs w:val="21"/>
        </w:rPr>
        <w:t xml:space="preserve">95号），行业标准《钠离子电池用正极材料 </w:t>
      </w:r>
      <w:r>
        <w:rPr>
          <w:rFonts w:hint="eastAsia"/>
          <w:color w:val="auto"/>
          <w:sz w:val="21"/>
          <w:szCs w:val="21"/>
          <w:lang w:eastAsia="zh-CN"/>
        </w:rPr>
        <w:t>镍铜铁锰酸钠</w:t>
      </w:r>
      <w:r>
        <w:rPr>
          <w:rFonts w:hint="eastAsia"/>
          <w:color w:val="auto"/>
          <w:sz w:val="21"/>
          <w:szCs w:val="21"/>
        </w:rPr>
        <w:t>》成功立项。</w:t>
      </w:r>
    </w:p>
    <w:p>
      <w:pPr>
        <w:widowControl w:val="0"/>
        <w:spacing w:before="156" w:beforeLines="50" w:after="156" w:afterLines="50"/>
        <w:jc w:val="both"/>
        <w:outlineLvl w:val="2"/>
        <w:rPr>
          <w:b/>
          <w:bCs/>
          <w:color w:val="auto"/>
          <w:sz w:val="21"/>
          <w:szCs w:val="21"/>
        </w:rPr>
      </w:pPr>
      <w:r>
        <w:rPr>
          <w:rFonts w:hint="eastAsia"/>
          <w:b/>
          <w:bCs/>
          <w:color w:val="auto"/>
          <w:sz w:val="21"/>
          <w:szCs w:val="21"/>
        </w:rPr>
        <w:t>1.</w:t>
      </w:r>
      <w:r>
        <w:rPr>
          <w:b/>
          <w:bCs/>
          <w:color w:val="auto"/>
          <w:sz w:val="21"/>
          <w:szCs w:val="21"/>
        </w:rPr>
        <w:t>4</w:t>
      </w:r>
      <w:r>
        <w:rPr>
          <w:rFonts w:hint="eastAsia"/>
          <w:b/>
          <w:bCs/>
          <w:color w:val="auto"/>
          <w:sz w:val="21"/>
          <w:szCs w:val="21"/>
        </w:rPr>
        <w:t>.2 起草阶段</w:t>
      </w:r>
    </w:p>
    <w:p>
      <w:pPr>
        <w:widowControl w:val="0"/>
        <w:spacing w:before="156" w:beforeLines="50" w:after="156" w:afterLines="50"/>
        <w:ind w:firstLine="420" w:firstLineChars="200"/>
        <w:jc w:val="both"/>
        <w:outlineLvl w:val="2"/>
        <w:rPr>
          <w:rFonts w:hint="eastAsia"/>
          <w:color w:val="auto"/>
          <w:sz w:val="21"/>
          <w:szCs w:val="21"/>
        </w:rPr>
      </w:pPr>
      <w:r>
        <w:rPr>
          <w:rFonts w:hint="eastAsia"/>
          <w:color w:val="auto"/>
          <w:sz w:val="21"/>
          <w:szCs w:val="21"/>
        </w:rPr>
        <w:t>202</w:t>
      </w:r>
      <w:r>
        <w:rPr>
          <w:rFonts w:hint="eastAsia"/>
          <w:color w:val="auto"/>
          <w:sz w:val="21"/>
          <w:szCs w:val="21"/>
          <w:lang w:val="en-US" w:eastAsia="zh-CN"/>
        </w:rPr>
        <w:t>4</w:t>
      </w:r>
      <w:r>
        <w:rPr>
          <w:rFonts w:hint="eastAsia"/>
          <w:color w:val="auto"/>
          <w:sz w:val="21"/>
          <w:szCs w:val="21"/>
        </w:rPr>
        <w:t xml:space="preserve"> 年 </w:t>
      </w:r>
      <w:r>
        <w:rPr>
          <w:rFonts w:hint="eastAsia"/>
          <w:color w:val="auto"/>
          <w:sz w:val="21"/>
          <w:szCs w:val="21"/>
          <w:lang w:val="en-US" w:eastAsia="zh-CN"/>
        </w:rPr>
        <w:t>4</w:t>
      </w:r>
      <w:r>
        <w:rPr>
          <w:rFonts w:hint="eastAsia"/>
          <w:color w:val="auto"/>
          <w:sz w:val="21"/>
          <w:szCs w:val="21"/>
        </w:rPr>
        <w:t xml:space="preserve"> 月</w:t>
      </w:r>
      <w:r>
        <w:rPr>
          <w:rFonts w:hint="eastAsia"/>
          <w:color w:val="auto"/>
          <w:sz w:val="21"/>
          <w:szCs w:val="21"/>
          <w:lang w:val="en-US" w:eastAsia="zh-CN"/>
        </w:rPr>
        <w:t>10</w:t>
      </w:r>
      <w:r>
        <w:rPr>
          <w:rFonts w:hint="eastAsia"/>
          <w:color w:val="auto"/>
          <w:sz w:val="21"/>
          <w:szCs w:val="21"/>
        </w:rPr>
        <w:t xml:space="preserve"> 日，全国有色金属标准化技术委员会在组织召开了有色金属标准工作会议。来自天津巴莫科技有限责任公司、</w:t>
      </w:r>
      <w:r>
        <w:rPr>
          <w:rFonts w:hint="eastAsia"/>
          <w:sz w:val="21"/>
          <w:szCs w:val="21"/>
        </w:rPr>
        <w:t>格林美股份有限公司、湖南中伟新能源科技有限公司</w:t>
      </w:r>
      <w:r>
        <w:rPr>
          <w:rFonts w:hint="eastAsia"/>
          <w:sz w:val="21"/>
          <w:szCs w:val="21"/>
          <w:lang w:eastAsia="zh-CN"/>
        </w:rPr>
        <w:t>、</w:t>
      </w:r>
      <w:r>
        <w:rPr>
          <w:rFonts w:hint="eastAsia"/>
          <w:sz w:val="21"/>
          <w:szCs w:val="21"/>
        </w:rPr>
        <w:t>北京当升材料科技股份有限公司、天津国安盟固利新材料科技股份有限公司</w:t>
      </w:r>
      <w:r>
        <w:rPr>
          <w:rFonts w:hint="eastAsia"/>
          <w:sz w:val="21"/>
          <w:szCs w:val="21"/>
          <w:lang w:eastAsia="zh-CN"/>
        </w:rPr>
        <w:t>、</w:t>
      </w:r>
      <w:r>
        <w:rPr>
          <w:rFonts w:hint="eastAsia"/>
          <w:color w:val="auto"/>
          <w:sz w:val="21"/>
          <w:szCs w:val="21"/>
        </w:rPr>
        <w:t xml:space="preserve">广东邦普循环科技有限公司、蜂巢能源科技有限公司、浙江华友钴业股份有限公司、湖南长远锂科股份有限公司、巴斯夫杉杉电池材料有限公司的代表参加了会议。会议明确了由天津巴莫科技有限责任公司落实《钠离子电池用正极材料 </w:t>
      </w:r>
      <w:r>
        <w:rPr>
          <w:rFonts w:hint="eastAsia"/>
          <w:color w:val="auto"/>
          <w:sz w:val="21"/>
          <w:szCs w:val="21"/>
          <w:lang w:eastAsia="zh-CN"/>
        </w:rPr>
        <w:t>镍铜铁锰酸钠</w:t>
      </w:r>
      <w:r>
        <w:rPr>
          <w:rFonts w:hint="eastAsia"/>
          <w:color w:val="auto"/>
          <w:sz w:val="21"/>
          <w:szCs w:val="21"/>
        </w:rPr>
        <w:t>》修订编制工作，组织成立了行业标准编制组，对目标任务进行了分解，明确成员的任务要求，制定工作计划和进度安排。标准编制组工作成员通过各种渠道收集国内外锂电行业对</w:t>
      </w:r>
      <w:r>
        <w:rPr>
          <w:rFonts w:hint="eastAsia"/>
          <w:color w:val="auto"/>
          <w:sz w:val="21"/>
          <w:szCs w:val="21"/>
          <w:lang w:eastAsia="zh-CN"/>
        </w:rPr>
        <w:t>镍铜铁锰酸钠</w:t>
      </w:r>
      <w:r>
        <w:rPr>
          <w:rFonts w:hint="eastAsia"/>
          <w:color w:val="auto"/>
          <w:sz w:val="21"/>
          <w:szCs w:val="21"/>
        </w:rPr>
        <w:t>的需求和使用情况，查阅了大量的国内外相关文献资料，同时结合目前国内外</w:t>
      </w:r>
      <w:r>
        <w:rPr>
          <w:rFonts w:hint="eastAsia"/>
          <w:color w:val="auto"/>
          <w:sz w:val="21"/>
          <w:szCs w:val="21"/>
          <w:lang w:eastAsia="zh-CN"/>
        </w:rPr>
        <w:t>镍铜铁锰酸钠</w:t>
      </w:r>
      <w:r>
        <w:rPr>
          <w:rFonts w:hint="eastAsia"/>
          <w:color w:val="auto"/>
          <w:sz w:val="21"/>
          <w:szCs w:val="21"/>
        </w:rPr>
        <w:t>的生产和用户需求情况，于202</w:t>
      </w:r>
      <w:r>
        <w:rPr>
          <w:rFonts w:hint="eastAsia"/>
          <w:color w:val="auto"/>
          <w:sz w:val="21"/>
          <w:szCs w:val="21"/>
          <w:lang w:val="en-US" w:eastAsia="zh-CN"/>
        </w:rPr>
        <w:t>4</w:t>
      </w:r>
      <w:r>
        <w:rPr>
          <w:rFonts w:hint="eastAsia"/>
          <w:color w:val="auto"/>
          <w:sz w:val="21"/>
          <w:szCs w:val="21"/>
        </w:rPr>
        <w:t>年</w:t>
      </w:r>
      <w:r>
        <w:rPr>
          <w:rFonts w:hint="eastAsia"/>
          <w:color w:val="auto"/>
          <w:sz w:val="21"/>
          <w:szCs w:val="21"/>
          <w:lang w:val="en-US" w:eastAsia="zh-CN"/>
        </w:rPr>
        <w:t>4</w:t>
      </w:r>
      <w:r>
        <w:rPr>
          <w:rFonts w:hint="eastAsia"/>
          <w:color w:val="auto"/>
          <w:sz w:val="21"/>
          <w:szCs w:val="21"/>
        </w:rPr>
        <w:t>月形成了标准的讨论稿草案和编制说明。</w:t>
      </w:r>
    </w:p>
    <w:p>
      <w:pPr>
        <w:widowControl w:val="0"/>
        <w:spacing w:before="156" w:beforeLines="50" w:after="156" w:afterLines="50"/>
        <w:jc w:val="both"/>
        <w:outlineLvl w:val="2"/>
        <w:rPr>
          <w:b/>
          <w:bCs/>
          <w:color w:val="auto"/>
          <w:sz w:val="21"/>
          <w:szCs w:val="21"/>
        </w:rPr>
      </w:pPr>
      <w:r>
        <w:rPr>
          <w:rFonts w:hint="eastAsia"/>
          <w:b/>
          <w:bCs/>
          <w:color w:val="auto"/>
          <w:sz w:val="21"/>
          <w:szCs w:val="21"/>
        </w:rPr>
        <w:t>1.</w:t>
      </w:r>
      <w:r>
        <w:rPr>
          <w:b/>
          <w:bCs/>
          <w:color w:val="auto"/>
          <w:sz w:val="21"/>
          <w:szCs w:val="21"/>
        </w:rPr>
        <w:t>4</w:t>
      </w:r>
      <w:r>
        <w:rPr>
          <w:rFonts w:hint="eastAsia"/>
          <w:b/>
          <w:bCs/>
          <w:color w:val="auto"/>
          <w:sz w:val="21"/>
          <w:szCs w:val="21"/>
        </w:rPr>
        <w:t>.3 征求意见阶段</w:t>
      </w:r>
    </w:p>
    <w:p>
      <w:pPr>
        <w:ind w:firstLine="435"/>
        <w:jc w:val="both"/>
        <w:rPr>
          <w:color w:val="auto"/>
          <w:sz w:val="21"/>
          <w:szCs w:val="21"/>
        </w:rPr>
      </w:pPr>
      <w:r>
        <w:rPr>
          <w:rFonts w:hint="eastAsia"/>
          <w:color w:val="auto"/>
          <w:sz w:val="21"/>
          <w:szCs w:val="21"/>
        </w:rPr>
        <w:t>202</w:t>
      </w:r>
      <w:r>
        <w:rPr>
          <w:rFonts w:hint="eastAsia"/>
          <w:color w:val="auto"/>
          <w:sz w:val="21"/>
          <w:szCs w:val="21"/>
          <w:lang w:val="en-US" w:eastAsia="zh-CN"/>
        </w:rPr>
        <w:t>4</w:t>
      </w:r>
      <w:r>
        <w:rPr>
          <w:rFonts w:hint="eastAsia"/>
          <w:color w:val="auto"/>
          <w:sz w:val="21"/>
          <w:szCs w:val="21"/>
        </w:rPr>
        <w:t>年</w:t>
      </w:r>
      <w:r>
        <w:rPr>
          <w:color w:val="auto"/>
          <w:sz w:val="21"/>
          <w:szCs w:val="21"/>
        </w:rPr>
        <w:t>X</w:t>
      </w:r>
      <w:r>
        <w:rPr>
          <w:rFonts w:hint="eastAsia"/>
          <w:color w:val="auto"/>
          <w:sz w:val="21"/>
          <w:szCs w:val="21"/>
        </w:rPr>
        <w:t>月X日，全国有色金属标准化技术委员会组织召开有色金属标准工作会议，对本标准进行了讨论。</w:t>
      </w:r>
      <w:r>
        <w:rPr>
          <w:color w:val="auto"/>
          <w:sz w:val="21"/>
          <w:szCs w:val="21"/>
        </w:rPr>
        <w:t>会议中</w:t>
      </w:r>
      <w:r>
        <w:rPr>
          <w:rFonts w:hint="eastAsia"/>
          <w:color w:val="auto"/>
          <w:sz w:val="21"/>
          <w:szCs w:val="21"/>
        </w:rPr>
        <w:t>各单位代表就标准讨论稿和编制说明进行讨论。</w:t>
      </w:r>
    </w:p>
    <w:p>
      <w:pPr>
        <w:ind w:firstLine="435"/>
        <w:jc w:val="both"/>
        <w:rPr>
          <w:color w:val="auto"/>
          <w:sz w:val="21"/>
          <w:szCs w:val="21"/>
        </w:rPr>
      </w:pPr>
      <w:r>
        <w:rPr>
          <w:rFonts w:hint="eastAsia"/>
          <w:color w:val="auto"/>
          <w:sz w:val="21"/>
          <w:szCs w:val="21"/>
        </w:rPr>
        <w:t>同时，全国有色金属标准化技术委员会通过工作群、邮件向委员单位征求意见，并将征求意见资料在网站上发布，向社会公开征求意见。征求意见的单位包括主要生产、经销、使用、科研、检验等单位及大专院校，征求意见单位广泛且具有代表性，征求意见时间大于2个月。</w:t>
      </w:r>
    </w:p>
    <w:p>
      <w:pPr>
        <w:widowControl w:val="0"/>
        <w:spacing w:before="156" w:beforeLines="50" w:after="156" w:afterLines="50"/>
        <w:jc w:val="both"/>
        <w:outlineLvl w:val="2"/>
        <w:rPr>
          <w:b/>
          <w:bCs/>
          <w:color w:val="auto"/>
          <w:sz w:val="21"/>
          <w:szCs w:val="21"/>
        </w:rPr>
      </w:pPr>
      <w:r>
        <w:rPr>
          <w:b/>
          <w:bCs/>
          <w:color w:val="auto"/>
          <w:sz w:val="21"/>
          <w:szCs w:val="21"/>
        </w:rPr>
        <w:t>1.4.4 审查阶段</w:t>
      </w:r>
    </w:p>
    <w:p>
      <w:pPr>
        <w:widowControl w:val="0"/>
        <w:ind w:firstLine="420" w:firstLineChars="200"/>
        <w:rPr>
          <w:color w:val="auto"/>
          <w:sz w:val="21"/>
          <w:szCs w:val="21"/>
        </w:rPr>
      </w:pPr>
      <w:r>
        <w:rPr>
          <w:color w:val="auto"/>
          <w:sz w:val="21"/>
          <w:szCs w:val="21"/>
        </w:rPr>
        <w:t>……</w:t>
      </w:r>
    </w:p>
    <w:p>
      <w:pPr>
        <w:widowControl w:val="0"/>
        <w:spacing w:before="156" w:beforeLines="50" w:after="156" w:afterLines="50"/>
        <w:jc w:val="both"/>
        <w:outlineLvl w:val="2"/>
        <w:rPr>
          <w:b/>
          <w:bCs/>
          <w:color w:val="auto"/>
          <w:sz w:val="21"/>
          <w:szCs w:val="21"/>
        </w:rPr>
      </w:pPr>
      <w:r>
        <w:rPr>
          <w:b/>
          <w:bCs/>
          <w:color w:val="auto"/>
          <w:sz w:val="21"/>
          <w:szCs w:val="21"/>
        </w:rPr>
        <w:t>1.4.</w:t>
      </w:r>
      <w:r>
        <w:rPr>
          <w:rFonts w:hint="eastAsia"/>
          <w:b/>
          <w:bCs/>
          <w:color w:val="auto"/>
          <w:sz w:val="21"/>
          <w:szCs w:val="21"/>
        </w:rPr>
        <w:t>5</w:t>
      </w:r>
      <w:r>
        <w:rPr>
          <w:b/>
          <w:bCs/>
          <w:color w:val="auto"/>
          <w:sz w:val="21"/>
          <w:szCs w:val="21"/>
        </w:rPr>
        <w:t xml:space="preserve"> 报批阶段</w:t>
      </w:r>
    </w:p>
    <w:p>
      <w:pPr>
        <w:widowControl w:val="0"/>
        <w:ind w:firstLine="420" w:firstLineChars="200"/>
        <w:rPr>
          <w:color w:val="auto"/>
          <w:sz w:val="21"/>
          <w:szCs w:val="21"/>
        </w:rPr>
      </w:pPr>
      <w:r>
        <w:rPr>
          <w:color w:val="auto"/>
          <w:sz w:val="21"/>
          <w:szCs w:val="21"/>
        </w:rPr>
        <w:t>……</w:t>
      </w:r>
    </w:p>
    <w:p>
      <w:pPr>
        <w:widowControl w:val="0"/>
        <w:spacing w:before="312" w:beforeLines="100" w:after="312" w:afterLines="100"/>
        <w:jc w:val="both"/>
        <w:outlineLvl w:val="0"/>
        <w:rPr>
          <w:b/>
          <w:bCs/>
          <w:color w:val="auto"/>
        </w:rPr>
      </w:pPr>
      <w:r>
        <w:rPr>
          <w:b/>
          <w:bCs/>
          <w:color w:val="auto"/>
        </w:rPr>
        <w:t>二、标准编制原则</w:t>
      </w:r>
    </w:p>
    <w:p>
      <w:pPr>
        <w:widowControl w:val="0"/>
        <w:spacing w:before="156" w:beforeLines="50" w:after="156" w:afterLines="50"/>
        <w:jc w:val="both"/>
        <w:outlineLvl w:val="2"/>
        <w:rPr>
          <w:b/>
          <w:bCs/>
          <w:color w:val="auto"/>
          <w:sz w:val="21"/>
          <w:szCs w:val="21"/>
        </w:rPr>
      </w:pPr>
      <w:r>
        <w:rPr>
          <w:b/>
          <w:bCs/>
          <w:color w:val="auto"/>
          <w:sz w:val="21"/>
          <w:szCs w:val="21"/>
        </w:rPr>
        <w:t>2.1 符合性</w:t>
      </w:r>
    </w:p>
    <w:p>
      <w:pPr>
        <w:ind w:firstLine="435"/>
        <w:jc w:val="both"/>
        <w:rPr>
          <w:color w:val="auto"/>
          <w:sz w:val="21"/>
          <w:szCs w:val="21"/>
        </w:rPr>
      </w:pPr>
      <w:r>
        <w:rPr>
          <w:rFonts w:hint="eastAsia"/>
          <w:color w:val="auto"/>
          <w:sz w:val="21"/>
          <w:szCs w:val="21"/>
        </w:rPr>
        <w:t>本标准按照 GB/T 1.1-2020《标准化工作导则 第 1 部分：标准的结构和编写规则》要求编写。</w:t>
      </w:r>
    </w:p>
    <w:p>
      <w:pPr>
        <w:widowControl w:val="0"/>
        <w:spacing w:before="156" w:beforeLines="50" w:after="156" w:afterLines="50"/>
        <w:jc w:val="both"/>
        <w:outlineLvl w:val="1"/>
        <w:rPr>
          <w:b/>
          <w:bCs/>
          <w:color w:val="auto"/>
          <w:sz w:val="21"/>
          <w:szCs w:val="21"/>
        </w:rPr>
      </w:pPr>
      <w:r>
        <w:rPr>
          <w:b/>
          <w:bCs/>
          <w:color w:val="auto"/>
          <w:sz w:val="21"/>
          <w:szCs w:val="21"/>
        </w:rPr>
        <w:t>2.2 适用性和先进性</w:t>
      </w:r>
    </w:p>
    <w:p>
      <w:pPr>
        <w:widowControl w:val="0"/>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在钠离子电池层状氧化物正极材料中，镍元素对提高材料的比容量和能量密度具有重要作用；铁和锰元素不仅价格低廉，而且具有高的理论比容量；铜和铁元素协同作用可以提高材料的平均放电电位。镍铜铁锰酸钠四元正极材料因其具有优异的电化学循环性能和存储稳定性，是目前钠离子电池正极材料的热点之一。在钠离子电池层状氧化物正极材料中，镍元素对提高材料的比容量和能量密度具有重要作用；铁和锰元素不仅价格低廉，而且具有高的理论比容量；铜和铁元素协同作用可以提高材料的平均放电电位。镍铜铁锰酸钠四元正极材料因其具有优异的电化学循环性能和存储稳定性，是目前钠离子电池正极材料的热点之一</w:t>
      </w:r>
      <w:r>
        <w:rPr>
          <w:rFonts w:hint="default" w:ascii="Times New Roman" w:hAnsi="Times New Roman" w:cs="Times New Roman"/>
          <w:color w:val="auto"/>
          <w:sz w:val="21"/>
          <w:szCs w:val="21"/>
        </w:rPr>
        <w:t>制备镍铜铁锰酸钠正极材料需使用氧化镍、氧化铜、氧化铁和氧化锰作为前驱体，碳酸钠为钠源，通过高温固相法合成。经查询相关资料，发现国内尚无镍铜铁锰酸钠正极材料相关的国家标准或行业标准，行业内无规范统一的镍铜铁锰酸钠正极材料的指标要求，这不仅会导致产品质量不一，市场流通不便，更会影响到后续生产钠离子电池的推广应用。因此，在产业发展，标准先行的引导下，急需制定镍铜铁锰酸钠正极材料产品标准，以规范统一镍铜铁锰酸钠正极材料质量指标控制要求，从而为钠电正极材料行业生产企业提供选择和标准指导，以便更好地促进钠电行业发展，提升企业和社会经济效益。2021年10月工信部对《关于在我国大力发展钠离子电池的提案》的答复，将在“十四五”相关规划等政策文件中加强布局，从促进前沿技术攻关、完善配套政策、开拓市场应用等多方面着手，做好顶层设计，健全产业政策，统筹引导钠离子电池产业高质量发展。2022年4月能源局和科技部发布的《“十四五”能源领域科技创新规划》中“针对电网削峰填谷、集中式可再生能源并网等储能应用场景，开展大容量长时储能器件与系统集成研究，研发钠离子电池新一代高性能储能技术”的要求。2022年6月发改委、能源局、财政部等九部委发布《“十四五”可再生能源发展规划》中“加强前瞻性研究，加快可再生能源前沿性、颠覆性开发利用技术攻关。研发储备钠离子电池高能量密度储能技术”的要求。2022年科技部发布的《“十四五”国家重点研发计划“储能与智能电网技术”重点专项2022年度项目申报指南》中将钠离子电池技术列为研发任务的要求。本文件的制定符合国家政策导向，符合目前国内</w:t>
      </w:r>
      <w:r>
        <w:rPr>
          <w:rFonts w:hint="default" w:ascii="Times New Roman" w:hAnsi="Times New Roman" w:cs="Times New Roman"/>
          <w:color w:val="auto"/>
          <w:sz w:val="21"/>
          <w:szCs w:val="21"/>
          <w:lang w:eastAsia="zh-CN"/>
        </w:rPr>
        <w:t>镍铜铁锰酸钠</w:t>
      </w:r>
      <w:r>
        <w:rPr>
          <w:rFonts w:hint="default" w:ascii="Times New Roman" w:hAnsi="Times New Roman" w:cs="Times New Roman"/>
          <w:color w:val="auto"/>
          <w:sz w:val="21"/>
          <w:szCs w:val="21"/>
        </w:rPr>
        <w:t>的生产和用户需求情况。本文件规定的内容遵循充分满足市场要求原则、指导生产的原则，可以提高</w:t>
      </w:r>
      <w:r>
        <w:rPr>
          <w:rFonts w:hint="default" w:ascii="Times New Roman" w:hAnsi="Times New Roman" w:cs="Times New Roman"/>
          <w:color w:val="auto"/>
          <w:sz w:val="21"/>
          <w:szCs w:val="21"/>
          <w:lang w:eastAsia="zh-CN"/>
        </w:rPr>
        <w:t>镍铜铁锰酸钠</w:t>
      </w:r>
      <w:r>
        <w:rPr>
          <w:rFonts w:hint="default" w:ascii="Times New Roman" w:hAnsi="Times New Roman" w:cs="Times New Roman"/>
          <w:color w:val="auto"/>
          <w:sz w:val="21"/>
          <w:szCs w:val="21"/>
        </w:rPr>
        <w:t>的生产技术水平，促进相关技术的进步，为国内相关产业提供技术指导，满足用户的需求，以规范行业的产品标准，促进钠电正极材料行业的不断发展。</w:t>
      </w:r>
    </w:p>
    <w:p>
      <w:pPr>
        <w:widowControl w:val="0"/>
        <w:spacing w:before="312" w:beforeLines="100" w:after="312" w:afterLines="100"/>
        <w:jc w:val="both"/>
        <w:outlineLvl w:val="0"/>
        <w:rPr>
          <w:b/>
          <w:bCs/>
          <w:color w:val="auto"/>
        </w:rPr>
      </w:pPr>
      <w:r>
        <w:rPr>
          <w:b/>
          <w:bCs/>
          <w:color w:val="auto"/>
        </w:rPr>
        <w:t>三、确定标准主要内容的依据</w:t>
      </w:r>
    </w:p>
    <w:p>
      <w:pPr>
        <w:widowControl w:val="0"/>
        <w:spacing w:before="156" w:beforeLines="50" w:after="156" w:afterLines="50"/>
        <w:jc w:val="both"/>
        <w:outlineLvl w:val="1"/>
        <w:rPr>
          <w:b/>
          <w:bCs/>
          <w:color w:val="auto"/>
          <w:sz w:val="21"/>
          <w:szCs w:val="21"/>
        </w:rPr>
      </w:pPr>
      <w:r>
        <w:rPr>
          <w:b/>
          <w:bCs/>
          <w:color w:val="auto"/>
          <w:sz w:val="21"/>
          <w:szCs w:val="21"/>
        </w:rPr>
        <w:t>3.</w:t>
      </w:r>
      <w:r>
        <w:rPr>
          <w:rFonts w:hint="eastAsia"/>
          <w:b/>
          <w:bCs/>
          <w:color w:val="auto"/>
          <w:sz w:val="21"/>
          <w:szCs w:val="21"/>
        </w:rPr>
        <w:t>1</w:t>
      </w:r>
      <w:r>
        <w:rPr>
          <w:b/>
          <w:bCs/>
          <w:color w:val="auto"/>
          <w:sz w:val="21"/>
          <w:szCs w:val="21"/>
        </w:rPr>
        <w:t xml:space="preserve"> </w:t>
      </w:r>
      <w:r>
        <w:rPr>
          <w:rFonts w:hint="eastAsia"/>
          <w:b/>
          <w:bCs/>
          <w:color w:val="auto"/>
          <w:sz w:val="21"/>
          <w:szCs w:val="21"/>
        </w:rPr>
        <w:t>国内主要研发及生产企业、科研单位的产品主要指标情况</w:t>
      </w:r>
    </w:p>
    <w:p>
      <w:pPr>
        <w:widowControl w:val="0"/>
        <w:ind w:firstLine="420" w:firstLineChars="200"/>
        <w:jc w:val="both"/>
        <w:rPr>
          <w:color w:val="auto"/>
          <w:sz w:val="21"/>
          <w:szCs w:val="21"/>
        </w:rPr>
      </w:pPr>
      <w:r>
        <w:rPr>
          <w:rFonts w:hint="eastAsia"/>
          <w:color w:val="auto"/>
          <w:sz w:val="21"/>
          <w:szCs w:val="21"/>
        </w:rPr>
        <w:t>标准的主要技术要求根据</w:t>
      </w:r>
      <w:r>
        <w:rPr>
          <w:rFonts w:hint="eastAsia"/>
          <w:color w:val="auto"/>
          <w:sz w:val="21"/>
          <w:szCs w:val="21"/>
          <w:lang w:val="en-US" w:eastAsia="zh-CN"/>
        </w:rPr>
        <w:t>镍铜铁锰酸钠</w:t>
      </w:r>
      <w:r>
        <w:rPr>
          <w:rFonts w:hint="eastAsia"/>
          <w:color w:val="auto"/>
          <w:sz w:val="21"/>
          <w:szCs w:val="21"/>
        </w:rPr>
        <w:t>研发及生产企业、科研单位的产品主要指标情况进行确定。</w:t>
      </w:r>
    </w:p>
    <w:p>
      <w:pPr>
        <w:widowControl w:val="0"/>
        <w:ind w:firstLine="420" w:firstLineChars="200"/>
        <w:jc w:val="both"/>
        <w:rPr>
          <w:color w:val="auto"/>
          <w:sz w:val="21"/>
          <w:szCs w:val="21"/>
        </w:rPr>
      </w:pPr>
      <w:r>
        <w:rPr>
          <w:rFonts w:hint="eastAsia"/>
          <w:color w:val="auto"/>
          <w:sz w:val="21"/>
          <w:szCs w:val="21"/>
          <w:lang w:eastAsia="zh-CN"/>
        </w:rPr>
        <w:t>镍铜铁锰酸钠</w:t>
      </w:r>
      <w:r>
        <w:rPr>
          <w:rFonts w:hint="eastAsia"/>
          <w:color w:val="auto"/>
          <w:sz w:val="21"/>
          <w:szCs w:val="21"/>
        </w:rPr>
        <w:t>主要研发及生产企业产品主要指标情况见表1，单位名称由字母表示，征求意见过程持续调研。</w:t>
      </w:r>
    </w:p>
    <w:p>
      <w:pPr>
        <w:widowControl w:val="0"/>
        <w:spacing w:before="156" w:beforeLines="50" w:after="156" w:afterLines="50"/>
        <w:jc w:val="center"/>
        <w:rPr>
          <w:color w:val="auto"/>
          <w:sz w:val="21"/>
          <w:szCs w:val="21"/>
        </w:rPr>
      </w:pPr>
      <w:r>
        <w:rPr>
          <w:rFonts w:hint="eastAsia"/>
          <w:b/>
          <w:bCs/>
          <w:color w:val="auto"/>
          <w:sz w:val="21"/>
          <w:szCs w:val="21"/>
        </w:rPr>
        <w:t>表</w:t>
      </w:r>
      <w:r>
        <w:rPr>
          <w:b/>
          <w:bCs/>
          <w:color w:val="auto"/>
          <w:sz w:val="21"/>
          <w:szCs w:val="21"/>
        </w:rPr>
        <w:t>1</w:t>
      </w:r>
      <w:r>
        <w:rPr>
          <w:rFonts w:hint="eastAsia"/>
          <w:b/>
          <w:bCs/>
          <w:color w:val="auto"/>
          <w:sz w:val="21"/>
          <w:szCs w:val="21"/>
        </w:rPr>
        <w:t xml:space="preserve"> </w:t>
      </w:r>
      <w:r>
        <w:rPr>
          <w:rFonts w:hint="eastAsia"/>
          <w:b/>
          <w:bCs/>
          <w:color w:val="auto"/>
          <w:sz w:val="21"/>
          <w:szCs w:val="21"/>
          <w:lang w:val="en-US" w:eastAsia="zh-CN"/>
        </w:rPr>
        <w:t xml:space="preserve"> 镍铜铁锰酸钠</w:t>
      </w:r>
      <w:r>
        <w:rPr>
          <w:rFonts w:hint="eastAsia"/>
          <w:b/>
          <w:bCs/>
          <w:color w:val="auto"/>
          <w:sz w:val="21"/>
          <w:szCs w:val="21"/>
        </w:rPr>
        <w:t>产品主要指标调研情况</w:t>
      </w:r>
    </w:p>
    <w:tbl>
      <w:tblPr>
        <w:tblStyle w:val="12"/>
        <w:tblW w:w="10038" w:type="dxa"/>
        <w:tblInd w:w="0" w:type="dxa"/>
        <w:tblLayout w:type="fixed"/>
        <w:tblCellMar>
          <w:top w:w="0" w:type="dxa"/>
          <w:left w:w="108" w:type="dxa"/>
          <w:bottom w:w="0" w:type="dxa"/>
          <w:right w:w="108" w:type="dxa"/>
        </w:tblCellMar>
      </w:tblPr>
      <w:tblGrid>
        <w:gridCol w:w="1033"/>
        <w:gridCol w:w="1357"/>
        <w:gridCol w:w="1069"/>
        <w:gridCol w:w="786"/>
        <w:gridCol w:w="1364"/>
        <w:gridCol w:w="1407"/>
        <w:gridCol w:w="1571"/>
        <w:gridCol w:w="1451"/>
      </w:tblGrid>
      <w:tr>
        <w:tblPrEx>
          <w:tblCellMar>
            <w:top w:w="0" w:type="dxa"/>
            <w:left w:w="108" w:type="dxa"/>
            <w:bottom w:w="0" w:type="dxa"/>
            <w:right w:w="108" w:type="dxa"/>
          </w:tblCellMar>
        </w:tblPrEx>
        <w:trPr>
          <w:trHeight w:val="358" w:hRule="atLeast"/>
          <w:tblHeader/>
        </w:trPr>
        <w:tc>
          <w:tcPr>
            <w:tcW w:w="10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auto"/>
                <w:kern w:val="0"/>
                <w:szCs w:val="21"/>
              </w:rPr>
            </w:pPr>
            <w:r>
              <w:rPr>
                <w:rFonts w:ascii="Times New Roman" w:hAnsi="Times New Roman" w:eastAsia="宋体" w:cs="Times New Roman"/>
                <w:b/>
                <w:bCs/>
                <w:color w:val="auto"/>
                <w:kern w:val="0"/>
                <w:szCs w:val="21"/>
              </w:rPr>
              <w:t>一级指标</w:t>
            </w:r>
          </w:p>
        </w:tc>
        <w:tc>
          <w:tcPr>
            <w:tcW w:w="242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auto"/>
                <w:kern w:val="0"/>
                <w:szCs w:val="21"/>
              </w:rPr>
            </w:pPr>
            <w:r>
              <w:rPr>
                <w:rFonts w:ascii="Times New Roman" w:hAnsi="Times New Roman" w:eastAsia="宋体" w:cs="Times New Roman"/>
                <w:b/>
                <w:bCs/>
                <w:color w:val="auto"/>
                <w:kern w:val="0"/>
                <w:szCs w:val="21"/>
              </w:rPr>
              <w:t>二级指标</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单位</w:t>
            </w:r>
          </w:p>
        </w:tc>
        <w:tc>
          <w:tcPr>
            <w:tcW w:w="1364" w:type="dxa"/>
            <w:tcBorders>
              <w:top w:val="single" w:color="auto" w:sz="4" w:space="0"/>
              <w:left w:val="nil"/>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A</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B</w:t>
            </w:r>
          </w:p>
        </w:tc>
        <w:tc>
          <w:tcPr>
            <w:tcW w:w="15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Times New Roman"/>
                <w:color w:val="auto"/>
                <w:kern w:val="0"/>
                <w:szCs w:val="21"/>
                <w:lang w:val="en-US" w:eastAsia="zh-CN"/>
              </w:rPr>
            </w:pPr>
            <w:r>
              <w:rPr>
                <w:rFonts w:hint="eastAsia" w:cs="Times New Roman"/>
                <w:color w:val="auto"/>
                <w:kern w:val="0"/>
                <w:szCs w:val="21"/>
                <w:lang w:val="en-US" w:eastAsia="zh-CN"/>
              </w:rPr>
              <w:t>C</w:t>
            </w:r>
          </w:p>
        </w:tc>
        <w:tc>
          <w:tcPr>
            <w:tcW w:w="1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Times New Roman"/>
                <w:color w:val="auto"/>
                <w:kern w:val="0"/>
                <w:szCs w:val="21"/>
                <w:lang w:val="en-US" w:eastAsia="zh-CN"/>
              </w:rPr>
            </w:pPr>
            <w:r>
              <w:rPr>
                <w:rFonts w:hint="eastAsia" w:cs="Times New Roman"/>
                <w:color w:val="auto"/>
                <w:kern w:val="0"/>
                <w:szCs w:val="21"/>
                <w:lang w:val="en-US" w:eastAsia="zh-CN"/>
              </w:rPr>
              <w:t>D</w:t>
            </w:r>
          </w:p>
        </w:tc>
      </w:tr>
      <w:tr>
        <w:tblPrEx>
          <w:tblCellMar>
            <w:top w:w="0" w:type="dxa"/>
            <w:left w:w="108" w:type="dxa"/>
            <w:bottom w:w="0" w:type="dxa"/>
            <w:right w:w="108" w:type="dxa"/>
          </w:tblCellMar>
        </w:tblPrEx>
        <w:trPr>
          <w:trHeight w:val="321" w:hRule="atLeast"/>
        </w:trPr>
        <w:tc>
          <w:tcPr>
            <w:tcW w:w="1033"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color w:val="auto"/>
              </w:rPr>
            </w:pPr>
            <w:r>
              <w:rPr>
                <w:rFonts w:ascii="Times New Roman" w:hAnsi="Times New Roman" w:eastAsia="宋体" w:cs="Times New Roman"/>
                <w:b/>
                <w:bCs/>
                <w:color w:val="auto"/>
                <w:kern w:val="0"/>
                <w:szCs w:val="21"/>
              </w:rPr>
              <w:t>化学成分</w:t>
            </w:r>
          </w:p>
        </w:tc>
        <w:tc>
          <w:tcPr>
            <w:tcW w:w="1357"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auto"/>
                <w:kern w:val="0"/>
                <w:szCs w:val="21"/>
              </w:rPr>
            </w:pPr>
            <w:r>
              <w:rPr>
                <w:rFonts w:ascii="Times New Roman" w:hAnsi="Times New Roman" w:eastAsia="宋体" w:cs="Times New Roman"/>
                <w:b/>
                <w:bCs/>
                <w:color w:val="auto"/>
                <w:kern w:val="0"/>
                <w:szCs w:val="21"/>
              </w:rPr>
              <w:t>主元素含量</w:t>
            </w:r>
          </w:p>
          <w:p>
            <w:pPr>
              <w:widowControl/>
              <w:jc w:val="center"/>
              <w:rPr>
                <w:rFonts w:ascii="Times New Roman" w:hAnsi="Times New Roman" w:eastAsia="宋体" w:cs="Times New Roman"/>
                <w:b/>
                <w:bCs/>
                <w:color w:val="auto"/>
                <w:kern w:val="0"/>
                <w:szCs w:val="21"/>
              </w:rPr>
            </w:pPr>
            <w:r>
              <w:rPr>
                <w:rFonts w:hint="eastAsia" w:ascii="Times New Roman" w:hAnsi="Times New Roman" w:eastAsia="宋体" w:cs="Times New Roman"/>
                <w:color w:val="auto"/>
                <w:kern w:val="0"/>
                <w:sz w:val="20"/>
                <w:szCs w:val="20"/>
              </w:rPr>
              <w:t>（</w:t>
            </w:r>
            <w:r>
              <w:rPr>
                <w:rFonts w:ascii="Times New Roman" w:hAnsi="Times New Roman" w:eastAsia="宋体" w:cs="Times New Roman"/>
                <w:color w:val="auto"/>
                <w:kern w:val="0"/>
                <w:sz w:val="20"/>
                <w:szCs w:val="20"/>
              </w:rPr>
              <w:t>质量百分比</w:t>
            </w:r>
            <w:r>
              <w:rPr>
                <w:rFonts w:hint="eastAsia" w:ascii="Times New Roman" w:hAnsi="Times New Roman" w:eastAsia="宋体" w:cs="Times New Roman"/>
                <w:color w:val="auto"/>
                <w:kern w:val="0"/>
                <w:sz w:val="20"/>
                <w:szCs w:val="20"/>
              </w:rPr>
              <w:t>）</w:t>
            </w:r>
          </w:p>
        </w:tc>
        <w:tc>
          <w:tcPr>
            <w:tcW w:w="106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Ni</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w:t>
            </w:r>
          </w:p>
        </w:tc>
        <w:tc>
          <w:tcPr>
            <w:tcW w:w="13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auto"/>
                <w:kern w:val="0"/>
                <w:szCs w:val="21"/>
              </w:rPr>
            </w:pPr>
            <w:r>
              <w:rPr>
                <w:rStyle w:val="84"/>
                <w:rFonts w:eastAsia="宋体"/>
                <w:lang w:val="en-US" w:eastAsia="zh-CN" w:bidi="ar"/>
              </w:rPr>
              <w:t>10.40~11.20</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auto"/>
                <w:kern w:val="0"/>
                <w:szCs w:val="21"/>
              </w:rPr>
            </w:pPr>
            <w:r>
              <w:rPr>
                <w:rFonts w:hint="default" w:ascii="Times New Roman" w:hAnsi="Times New Roman" w:eastAsia="宋体" w:cs="Times New Roman"/>
                <w:i w:val="0"/>
                <w:iCs w:val="0"/>
                <w:color w:val="000000"/>
                <w:kern w:val="0"/>
                <w:sz w:val="22"/>
                <w:szCs w:val="22"/>
                <w:u w:val="none"/>
                <w:lang w:val="en-US" w:eastAsia="zh-CN" w:bidi="ar"/>
              </w:rPr>
              <w:t>8~18</w:t>
            </w:r>
          </w:p>
        </w:tc>
        <w:tc>
          <w:tcPr>
            <w:tcW w:w="15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80"/>
                <w:lang w:val="en-US" w:eastAsia="zh-CN" w:bidi="ar"/>
              </w:rPr>
            </w:pPr>
            <w:r>
              <w:rPr>
                <w:rFonts w:hint="eastAsia" w:ascii="宋体" w:hAnsi="宋体" w:eastAsia="宋体" w:cs="宋体"/>
                <w:i w:val="0"/>
                <w:iCs w:val="0"/>
                <w:color w:val="000000"/>
                <w:kern w:val="0"/>
                <w:sz w:val="21"/>
                <w:szCs w:val="21"/>
                <w:u w:val="none"/>
                <w:lang w:val="en-US" w:eastAsia="zh-CN" w:bidi="ar"/>
              </w:rPr>
              <w:t>≤</w:t>
            </w:r>
            <w:r>
              <w:rPr>
                <w:rStyle w:val="84"/>
                <w:rFonts w:eastAsia="宋体"/>
                <w:lang w:val="en-US" w:eastAsia="zh-CN" w:bidi="ar"/>
              </w:rPr>
              <w:t>25</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auto"/>
                <w:kern w:val="0"/>
                <w:szCs w:val="21"/>
              </w:rPr>
            </w:pPr>
            <w:r>
              <w:rPr>
                <w:rStyle w:val="84"/>
                <w:rFonts w:eastAsia="宋体"/>
                <w:lang w:val="en-US" w:eastAsia="zh-CN" w:bidi="ar"/>
              </w:rPr>
              <w:t>10.5~12.5</w:t>
            </w:r>
          </w:p>
        </w:tc>
      </w:tr>
      <w:tr>
        <w:tblPrEx>
          <w:tblCellMar>
            <w:top w:w="0" w:type="dxa"/>
            <w:left w:w="108" w:type="dxa"/>
            <w:bottom w:w="0" w:type="dxa"/>
            <w:right w:w="108" w:type="dxa"/>
          </w:tblCellMar>
        </w:tblPrEx>
        <w:trPr>
          <w:trHeight w:val="321" w:hRule="atLeast"/>
        </w:trPr>
        <w:tc>
          <w:tcPr>
            <w:tcW w:w="1033" w:type="dxa"/>
            <w:vMerge w:val="continue"/>
            <w:tcBorders>
              <w:left w:val="single" w:color="auto" w:sz="4" w:space="0"/>
              <w:right w:val="single" w:color="auto" w:sz="4" w:space="0"/>
            </w:tcBorders>
            <w:shd w:val="clear" w:color="auto" w:fill="auto"/>
            <w:noWrap/>
            <w:vAlign w:val="center"/>
          </w:tcPr>
          <w:p>
            <w:pPr>
              <w:widowControl/>
              <w:jc w:val="center"/>
              <w:rPr>
                <w:color w:val="auto"/>
              </w:rPr>
            </w:pPr>
          </w:p>
        </w:tc>
        <w:tc>
          <w:tcPr>
            <w:tcW w:w="1357"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auto"/>
                <w:kern w:val="0"/>
                <w:szCs w:val="21"/>
              </w:rPr>
            </w:pPr>
          </w:p>
        </w:tc>
        <w:tc>
          <w:tcPr>
            <w:tcW w:w="106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Cu</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w:t>
            </w:r>
          </w:p>
        </w:tc>
        <w:tc>
          <w:tcPr>
            <w:tcW w:w="13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auto"/>
                <w:kern w:val="0"/>
                <w:szCs w:val="21"/>
              </w:rPr>
            </w:pPr>
            <w:r>
              <w:rPr>
                <w:rStyle w:val="84"/>
                <w:rFonts w:eastAsia="宋体"/>
                <w:lang w:val="en-US" w:eastAsia="zh-CN" w:bidi="ar"/>
              </w:rPr>
              <w:t>2.65~2.86</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auto"/>
                <w:kern w:val="0"/>
                <w:szCs w:val="21"/>
              </w:rPr>
            </w:pPr>
            <w:r>
              <w:rPr>
                <w:rFonts w:hint="default" w:ascii="Times New Roman" w:hAnsi="Times New Roman" w:eastAsia="宋体" w:cs="Times New Roman"/>
                <w:b w:val="0"/>
                <w:bCs w:val="0"/>
                <w:i w:val="0"/>
                <w:iCs w:val="0"/>
                <w:color w:val="auto"/>
                <w:kern w:val="0"/>
                <w:sz w:val="22"/>
                <w:szCs w:val="22"/>
                <w:u w:val="none"/>
                <w:lang w:val="en-US" w:eastAsia="zh-CN" w:bidi="ar"/>
              </w:rPr>
              <w:t>0~10</w:t>
            </w:r>
          </w:p>
        </w:tc>
        <w:tc>
          <w:tcPr>
            <w:tcW w:w="15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80"/>
                <w:lang w:val="en-US" w:eastAsia="zh-CN" w:bidi="ar"/>
              </w:rPr>
            </w:pPr>
            <w:r>
              <w:rPr>
                <w:rFonts w:hint="eastAsia" w:ascii="宋体" w:hAnsi="宋体" w:eastAsia="宋体" w:cs="宋体"/>
                <w:i w:val="0"/>
                <w:iCs w:val="0"/>
                <w:color w:val="000000"/>
                <w:kern w:val="0"/>
                <w:sz w:val="21"/>
                <w:szCs w:val="21"/>
                <w:u w:val="none"/>
                <w:lang w:val="en-US" w:eastAsia="zh-CN" w:bidi="ar"/>
              </w:rPr>
              <w:t>≤</w:t>
            </w:r>
            <w:r>
              <w:rPr>
                <w:rStyle w:val="84"/>
                <w:rFonts w:eastAsia="宋体"/>
                <w:lang w:val="en-US" w:eastAsia="zh-CN" w:bidi="ar"/>
              </w:rPr>
              <w:t>10</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auto"/>
                <w:kern w:val="0"/>
                <w:szCs w:val="21"/>
              </w:rPr>
            </w:pPr>
            <w:r>
              <w:rPr>
                <w:rStyle w:val="84"/>
                <w:rFonts w:eastAsia="宋体"/>
                <w:lang w:val="en-US" w:eastAsia="zh-CN" w:bidi="ar"/>
              </w:rPr>
              <w:t>5~7</w:t>
            </w:r>
          </w:p>
        </w:tc>
      </w:tr>
      <w:tr>
        <w:tblPrEx>
          <w:tblCellMar>
            <w:top w:w="0" w:type="dxa"/>
            <w:left w:w="108" w:type="dxa"/>
            <w:bottom w:w="0" w:type="dxa"/>
            <w:right w:w="108" w:type="dxa"/>
          </w:tblCellMar>
        </w:tblPrEx>
        <w:trPr>
          <w:trHeight w:val="321" w:hRule="atLeast"/>
        </w:trPr>
        <w:tc>
          <w:tcPr>
            <w:tcW w:w="1033" w:type="dxa"/>
            <w:vMerge w:val="continue"/>
            <w:tcBorders>
              <w:left w:val="single" w:color="auto" w:sz="4" w:space="0"/>
              <w:right w:val="single" w:color="auto" w:sz="4" w:space="0"/>
            </w:tcBorders>
            <w:shd w:val="clear" w:color="auto" w:fill="auto"/>
            <w:vAlign w:val="center"/>
          </w:tcPr>
          <w:p>
            <w:pPr>
              <w:jc w:val="center"/>
              <w:rPr>
                <w:rFonts w:ascii="Times New Roman" w:hAnsi="Times New Roman" w:eastAsia="宋体" w:cs="Times New Roman"/>
                <w:b/>
                <w:bCs/>
                <w:color w:val="auto"/>
                <w:kern w:val="0"/>
                <w:szCs w:val="21"/>
              </w:rPr>
            </w:pPr>
          </w:p>
        </w:tc>
        <w:tc>
          <w:tcPr>
            <w:tcW w:w="1357" w:type="dxa"/>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b/>
                <w:bCs/>
                <w:color w:val="auto"/>
                <w:kern w:val="0"/>
                <w:szCs w:val="21"/>
              </w:rPr>
            </w:pPr>
          </w:p>
        </w:tc>
        <w:tc>
          <w:tcPr>
            <w:tcW w:w="106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Fe</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w:t>
            </w:r>
          </w:p>
        </w:tc>
        <w:tc>
          <w:tcPr>
            <w:tcW w:w="13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auto"/>
                <w:kern w:val="0"/>
                <w:szCs w:val="21"/>
              </w:rPr>
            </w:pPr>
            <w:r>
              <w:rPr>
                <w:rStyle w:val="84"/>
                <w:rFonts w:eastAsia="宋体"/>
                <w:lang w:val="en-US" w:eastAsia="zh-CN" w:bidi="ar"/>
              </w:rPr>
              <w:t>16.80~18.80</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auto"/>
                <w:kern w:val="0"/>
                <w:szCs w:val="21"/>
              </w:rPr>
            </w:pPr>
            <w:r>
              <w:rPr>
                <w:rFonts w:hint="default" w:ascii="Times New Roman" w:hAnsi="Times New Roman" w:eastAsia="宋体" w:cs="Times New Roman"/>
                <w:i w:val="0"/>
                <w:iCs w:val="0"/>
                <w:color w:val="000000"/>
                <w:kern w:val="0"/>
                <w:sz w:val="22"/>
                <w:szCs w:val="22"/>
                <w:u w:val="none"/>
                <w:lang w:val="en-US" w:eastAsia="zh-CN" w:bidi="ar"/>
              </w:rPr>
              <w:t>8~18</w:t>
            </w:r>
          </w:p>
        </w:tc>
        <w:tc>
          <w:tcPr>
            <w:tcW w:w="15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80"/>
                <w:lang w:val="en-US" w:eastAsia="zh-CN" w:bidi="ar"/>
              </w:rPr>
            </w:pPr>
            <w:r>
              <w:rPr>
                <w:rFonts w:hint="eastAsia" w:ascii="宋体" w:hAnsi="宋体" w:eastAsia="宋体" w:cs="宋体"/>
                <w:i w:val="0"/>
                <w:iCs w:val="0"/>
                <w:color w:val="000000"/>
                <w:kern w:val="0"/>
                <w:sz w:val="21"/>
                <w:szCs w:val="21"/>
                <w:u w:val="none"/>
                <w:lang w:val="en-US" w:eastAsia="zh-CN" w:bidi="ar"/>
              </w:rPr>
              <w:t>≤</w:t>
            </w:r>
            <w:r>
              <w:rPr>
                <w:rStyle w:val="84"/>
                <w:rFonts w:eastAsia="宋体"/>
                <w:lang w:val="en-US" w:eastAsia="zh-CN" w:bidi="ar"/>
              </w:rPr>
              <w:t>25</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auto"/>
                <w:kern w:val="0"/>
                <w:szCs w:val="21"/>
              </w:rPr>
            </w:pPr>
            <w:r>
              <w:rPr>
                <w:rStyle w:val="84"/>
                <w:rFonts w:eastAsia="宋体"/>
                <w:lang w:val="en-US" w:eastAsia="zh-CN" w:bidi="ar"/>
              </w:rPr>
              <w:t>15.5~17.5</w:t>
            </w:r>
          </w:p>
        </w:tc>
      </w:tr>
      <w:tr>
        <w:tblPrEx>
          <w:tblCellMar>
            <w:top w:w="0" w:type="dxa"/>
            <w:left w:w="108" w:type="dxa"/>
            <w:bottom w:w="0" w:type="dxa"/>
            <w:right w:w="108" w:type="dxa"/>
          </w:tblCellMar>
        </w:tblPrEx>
        <w:trPr>
          <w:trHeight w:val="321" w:hRule="atLeast"/>
        </w:trPr>
        <w:tc>
          <w:tcPr>
            <w:tcW w:w="1033" w:type="dxa"/>
            <w:vMerge w:val="continue"/>
            <w:tcBorders>
              <w:left w:val="single" w:color="auto" w:sz="4" w:space="0"/>
              <w:right w:val="single" w:color="auto" w:sz="4" w:space="0"/>
            </w:tcBorders>
            <w:shd w:val="clear" w:color="auto" w:fill="auto"/>
            <w:vAlign w:val="center"/>
          </w:tcPr>
          <w:p>
            <w:pPr>
              <w:jc w:val="center"/>
              <w:rPr>
                <w:rFonts w:ascii="Times New Roman" w:hAnsi="Times New Roman" w:eastAsia="宋体" w:cs="Times New Roman"/>
                <w:b/>
                <w:bCs/>
                <w:color w:val="auto"/>
                <w:kern w:val="0"/>
                <w:szCs w:val="21"/>
              </w:rPr>
            </w:pPr>
          </w:p>
        </w:tc>
        <w:tc>
          <w:tcPr>
            <w:tcW w:w="1357" w:type="dxa"/>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b/>
                <w:bCs/>
                <w:color w:val="auto"/>
                <w:kern w:val="0"/>
                <w:szCs w:val="21"/>
              </w:rPr>
            </w:pPr>
          </w:p>
        </w:tc>
        <w:tc>
          <w:tcPr>
            <w:tcW w:w="106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Mn</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w:t>
            </w:r>
          </w:p>
        </w:tc>
        <w:tc>
          <w:tcPr>
            <w:tcW w:w="13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auto"/>
                <w:kern w:val="0"/>
                <w:szCs w:val="21"/>
              </w:rPr>
            </w:pPr>
            <w:r>
              <w:rPr>
                <w:rFonts w:hint="default" w:ascii="Times New Roman" w:hAnsi="Times New Roman" w:eastAsia="宋体" w:cs="Times New Roman"/>
                <w:i w:val="0"/>
                <w:iCs w:val="0"/>
                <w:color w:val="000000"/>
                <w:kern w:val="0"/>
                <w:sz w:val="21"/>
                <w:szCs w:val="21"/>
                <w:u w:val="none"/>
                <w:lang w:val="en-US" w:eastAsia="zh-CN" w:bidi="ar"/>
              </w:rPr>
              <w:t>17.10~18.90</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auto"/>
                <w:kern w:val="0"/>
                <w:szCs w:val="21"/>
              </w:rPr>
            </w:pPr>
            <w:r>
              <w:rPr>
                <w:rFonts w:hint="default" w:ascii="Times New Roman" w:hAnsi="Times New Roman" w:eastAsia="宋体" w:cs="Times New Roman"/>
                <w:i w:val="0"/>
                <w:iCs w:val="0"/>
                <w:color w:val="000000"/>
                <w:kern w:val="0"/>
                <w:sz w:val="22"/>
                <w:szCs w:val="22"/>
                <w:u w:val="none"/>
                <w:lang w:val="en-US" w:eastAsia="zh-CN" w:bidi="ar"/>
              </w:rPr>
              <w:t>16~26</w:t>
            </w:r>
          </w:p>
        </w:tc>
        <w:tc>
          <w:tcPr>
            <w:tcW w:w="15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80"/>
                <w:lang w:val="en-US" w:eastAsia="zh-CN" w:bidi="ar"/>
              </w:rPr>
            </w:pPr>
            <w:r>
              <w:rPr>
                <w:rFonts w:hint="eastAsia" w:ascii="宋体" w:hAnsi="宋体" w:eastAsia="宋体" w:cs="宋体"/>
                <w:i w:val="0"/>
                <w:iCs w:val="0"/>
                <w:color w:val="000000"/>
                <w:kern w:val="0"/>
                <w:sz w:val="21"/>
                <w:szCs w:val="21"/>
                <w:u w:val="none"/>
                <w:lang w:val="en-US" w:eastAsia="zh-CN" w:bidi="ar"/>
              </w:rPr>
              <w:t>≤</w:t>
            </w:r>
            <w:r>
              <w:rPr>
                <w:rStyle w:val="84"/>
                <w:rFonts w:eastAsia="宋体"/>
                <w:lang w:val="en-US" w:eastAsia="zh-CN" w:bidi="ar"/>
              </w:rPr>
              <w:t>25</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auto"/>
                <w:kern w:val="0"/>
                <w:szCs w:val="21"/>
              </w:rPr>
            </w:pPr>
            <w:r>
              <w:rPr>
                <w:rStyle w:val="84"/>
                <w:rFonts w:eastAsia="宋体"/>
                <w:lang w:val="en-US" w:eastAsia="zh-CN" w:bidi="ar"/>
              </w:rPr>
              <w:t>15.5~17.5</w:t>
            </w:r>
          </w:p>
        </w:tc>
      </w:tr>
      <w:tr>
        <w:tblPrEx>
          <w:tblCellMar>
            <w:top w:w="0" w:type="dxa"/>
            <w:left w:w="108" w:type="dxa"/>
            <w:bottom w:w="0" w:type="dxa"/>
            <w:right w:w="108" w:type="dxa"/>
          </w:tblCellMar>
        </w:tblPrEx>
        <w:trPr>
          <w:trHeight w:val="321" w:hRule="atLeast"/>
        </w:trPr>
        <w:tc>
          <w:tcPr>
            <w:tcW w:w="1033" w:type="dxa"/>
            <w:vMerge w:val="continue"/>
            <w:tcBorders>
              <w:left w:val="single" w:color="auto" w:sz="4" w:space="0"/>
              <w:right w:val="single" w:color="auto" w:sz="4" w:space="0"/>
            </w:tcBorders>
            <w:shd w:val="clear" w:color="auto" w:fill="auto"/>
            <w:vAlign w:val="center"/>
          </w:tcPr>
          <w:p>
            <w:pPr>
              <w:jc w:val="center"/>
              <w:rPr>
                <w:rFonts w:ascii="Times New Roman" w:hAnsi="Times New Roman" w:eastAsia="宋体" w:cs="Times New Roman"/>
                <w:b/>
                <w:bCs/>
                <w:color w:val="auto"/>
                <w:kern w:val="0"/>
                <w:szCs w:val="21"/>
              </w:rPr>
            </w:pPr>
          </w:p>
        </w:tc>
        <w:tc>
          <w:tcPr>
            <w:tcW w:w="1357" w:type="dxa"/>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b/>
                <w:bCs/>
                <w:color w:val="auto"/>
                <w:kern w:val="0"/>
                <w:szCs w:val="21"/>
              </w:rPr>
            </w:pPr>
          </w:p>
        </w:tc>
        <w:tc>
          <w:tcPr>
            <w:tcW w:w="106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合量</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w:t>
            </w:r>
          </w:p>
        </w:tc>
        <w:tc>
          <w:tcPr>
            <w:tcW w:w="13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auto"/>
                <w:kern w:val="0"/>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46.95~51.76</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auto"/>
                <w:kern w:val="0"/>
                <w:szCs w:val="21"/>
                <w:highlight w:val="none"/>
              </w:rPr>
            </w:pPr>
            <w:r>
              <w:rPr>
                <w:rFonts w:hint="default" w:ascii="Times New Roman" w:hAnsi="Times New Roman" w:eastAsia="宋体" w:cs="Times New Roman"/>
                <w:i w:val="0"/>
                <w:iCs w:val="0"/>
                <w:color w:val="000000"/>
                <w:kern w:val="0"/>
                <w:sz w:val="22"/>
                <w:szCs w:val="22"/>
                <w:u w:val="none"/>
                <w:lang w:val="en-US" w:eastAsia="zh-CN" w:bidi="ar"/>
              </w:rPr>
              <w:t>48~56</w:t>
            </w:r>
          </w:p>
        </w:tc>
        <w:tc>
          <w:tcPr>
            <w:tcW w:w="15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79"/>
                <w:rFonts w:eastAsia="宋体"/>
                <w:lang w:val="en-US" w:eastAsia="zh-CN" w:bidi="ar"/>
              </w:rPr>
            </w:pPr>
            <w:r>
              <w:rPr>
                <w:rStyle w:val="84"/>
                <w:rFonts w:eastAsia="宋体"/>
                <w:lang w:val="en-US" w:eastAsia="zh-CN" w:bidi="ar"/>
              </w:rPr>
              <w:t>60~70</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auto"/>
                <w:kern w:val="0"/>
                <w:szCs w:val="21"/>
                <w:highlight w:val="none"/>
              </w:rPr>
            </w:pPr>
            <w:r>
              <w:rPr>
                <w:rFonts w:hint="default" w:ascii="Times New Roman" w:hAnsi="Times New Roman" w:eastAsia="宋体" w:cs="Times New Roman"/>
                <w:i w:val="0"/>
                <w:iCs w:val="0"/>
                <w:color w:val="000000"/>
                <w:kern w:val="0"/>
                <w:sz w:val="22"/>
                <w:szCs w:val="22"/>
                <w:u w:val="none"/>
                <w:lang w:val="en-US" w:eastAsia="zh-CN" w:bidi="ar"/>
              </w:rPr>
              <w:t>48.5~51.5</w:t>
            </w:r>
          </w:p>
        </w:tc>
      </w:tr>
      <w:tr>
        <w:tblPrEx>
          <w:tblCellMar>
            <w:top w:w="0" w:type="dxa"/>
            <w:left w:w="108" w:type="dxa"/>
            <w:bottom w:w="0" w:type="dxa"/>
            <w:right w:w="108" w:type="dxa"/>
          </w:tblCellMar>
        </w:tblPrEx>
        <w:trPr>
          <w:trHeight w:val="321" w:hRule="atLeast"/>
        </w:trPr>
        <w:tc>
          <w:tcPr>
            <w:tcW w:w="1033" w:type="dxa"/>
            <w:vMerge w:val="continue"/>
            <w:tcBorders>
              <w:left w:val="single" w:color="auto" w:sz="4" w:space="0"/>
              <w:right w:val="single" w:color="auto" w:sz="4" w:space="0"/>
            </w:tcBorders>
            <w:shd w:val="clear" w:color="auto" w:fill="auto"/>
            <w:vAlign w:val="center"/>
          </w:tcPr>
          <w:p>
            <w:pPr>
              <w:jc w:val="center"/>
              <w:rPr>
                <w:rFonts w:ascii="Times New Roman" w:hAnsi="Times New Roman" w:eastAsia="宋体" w:cs="Times New Roman"/>
                <w:b/>
                <w:bCs/>
                <w:color w:val="auto"/>
                <w:kern w:val="0"/>
                <w:szCs w:val="21"/>
              </w:rPr>
            </w:pPr>
          </w:p>
        </w:tc>
        <w:tc>
          <w:tcPr>
            <w:tcW w:w="1357" w:type="dxa"/>
            <w:vMerge w:val="continue"/>
            <w:tcBorders>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auto"/>
                <w:kern w:val="0"/>
                <w:szCs w:val="21"/>
              </w:rPr>
            </w:pPr>
          </w:p>
        </w:tc>
        <w:tc>
          <w:tcPr>
            <w:tcW w:w="106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Na</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w:t>
            </w:r>
          </w:p>
        </w:tc>
        <w:tc>
          <w:tcPr>
            <w:tcW w:w="13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auto"/>
                <w:kern w:val="0"/>
                <w:szCs w:val="21"/>
                <w:highlight w:val="none"/>
              </w:rPr>
            </w:pPr>
            <w:r>
              <w:rPr>
                <w:rStyle w:val="84"/>
                <w:rFonts w:eastAsia="宋体"/>
                <w:lang w:val="en-US" w:eastAsia="zh-CN" w:bidi="ar"/>
              </w:rPr>
              <w:t>17.00~19.70</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auto"/>
                <w:kern w:val="0"/>
                <w:szCs w:val="21"/>
                <w:highlight w:val="none"/>
              </w:rPr>
            </w:pPr>
            <w:r>
              <w:rPr>
                <w:rFonts w:hint="default" w:ascii="Times New Roman" w:hAnsi="Times New Roman" w:eastAsia="宋体" w:cs="Times New Roman"/>
                <w:i w:val="0"/>
                <w:iCs w:val="0"/>
                <w:color w:val="000000"/>
                <w:kern w:val="0"/>
                <w:sz w:val="22"/>
                <w:szCs w:val="22"/>
                <w:u w:val="none"/>
                <w:lang w:val="en-US" w:eastAsia="zh-CN" w:bidi="ar"/>
              </w:rPr>
              <w:t>17~22</w:t>
            </w:r>
          </w:p>
        </w:tc>
        <w:tc>
          <w:tcPr>
            <w:tcW w:w="15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79"/>
                <w:rFonts w:eastAsia="宋体"/>
                <w:lang w:val="en-US" w:eastAsia="zh-CN" w:bidi="ar"/>
              </w:rPr>
            </w:pPr>
            <w:r>
              <w:rPr>
                <w:rStyle w:val="84"/>
                <w:rFonts w:eastAsia="宋体"/>
                <w:lang w:val="en-US" w:eastAsia="zh-CN" w:bidi="ar"/>
              </w:rPr>
              <w:t>18~23</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auto"/>
                <w:kern w:val="0"/>
                <w:szCs w:val="21"/>
                <w:highlight w:val="none"/>
              </w:rPr>
            </w:pPr>
            <w:r>
              <w:rPr>
                <w:rFonts w:hint="default" w:ascii="Times New Roman" w:hAnsi="Times New Roman" w:eastAsia="宋体" w:cs="Times New Roman"/>
                <w:i w:val="0"/>
                <w:iCs w:val="0"/>
                <w:color w:val="000000"/>
                <w:kern w:val="0"/>
                <w:sz w:val="22"/>
                <w:szCs w:val="22"/>
                <w:u w:val="none"/>
                <w:lang w:val="en-US" w:eastAsia="zh-CN" w:bidi="ar"/>
              </w:rPr>
              <w:t>18~21</w:t>
            </w:r>
          </w:p>
        </w:tc>
      </w:tr>
      <w:tr>
        <w:tblPrEx>
          <w:tblCellMar>
            <w:top w:w="0" w:type="dxa"/>
            <w:left w:w="108" w:type="dxa"/>
            <w:bottom w:w="0" w:type="dxa"/>
            <w:right w:w="108" w:type="dxa"/>
          </w:tblCellMar>
        </w:tblPrEx>
        <w:trPr>
          <w:trHeight w:val="321" w:hRule="atLeast"/>
        </w:trPr>
        <w:tc>
          <w:tcPr>
            <w:tcW w:w="1033" w:type="dxa"/>
            <w:vMerge w:val="continue"/>
            <w:tcBorders>
              <w:left w:val="single" w:color="auto" w:sz="4" w:space="0"/>
              <w:right w:val="single" w:color="auto" w:sz="4" w:space="0"/>
            </w:tcBorders>
            <w:shd w:val="clear" w:color="auto" w:fill="auto"/>
            <w:vAlign w:val="center"/>
          </w:tcPr>
          <w:p>
            <w:pPr>
              <w:jc w:val="center"/>
              <w:rPr>
                <w:rFonts w:ascii="Times New Roman" w:hAnsi="Times New Roman" w:eastAsia="宋体" w:cs="Times New Roman"/>
                <w:b/>
                <w:bCs/>
                <w:color w:val="auto"/>
                <w:kern w:val="0"/>
                <w:szCs w:val="21"/>
              </w:rPr>
            </w:pPr>
          </w:p>
        </w:tc>
        <w:tc>
          <w:tcPr>
            <w:tcW w:w="24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highlight w:val="none"/>
              </w:rPr>
              <w:t>Na/合量 摩尔比</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w:t>
            </w:r>
          </w:p>
        </w:tc>
        <w:tc>
          <w:tcPr>
            <w:tcW w:w="13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auto"/>
                <w:kern w:val="0"/>
                <w:szCs w:val="21"/>
                <w:highlight w:val="none"/>
              </w:rPr>
            </w:pPr>
            <w:r>
              <w:rPr>
                <w:rStyle w:val="84"/>
                <w:rFonts w:eastAsia="宋体"/>
                <w:lang w:val="en-US" w:eastAsia="zh-CN" w:bidi="ar"/>
              </w:rPr>
              <w:t>80~95</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auto"/>
                <w:kern w:val="0"/>
                <w:szCs w:val="21"/>
                <w:highlight w:val="none"/>
              </w:rPr>
            </w:pPr>
            <w:r>
              <w:rPr>
                <w:rFonts w:hint="default" w:ascii="Times New Roman" w:hAnsi="Times New Roman" w:eastAsia="宋体" w:cs="Times New Roman"/>
                <w:i w:val="0"/>
                <w:iCs w:val="0"/>
                <w:color w:val="000000"/>
                <w:kern w:val="0"/>
                <w:sz w:val="22"/>
                <w:szCs w:val="22"/>
                <w:u w:val="none"/>
                <w:lang w:val="en-US" w:eastAsia="zh-CN" w:bidi="ar"/>
              </w:rPr>
              <w:t>85~105</w:t>
            </w:r>
          </w:p>
        </w:tc>
        <w:tc>
          <w:tcPr>
            <w:tcW w:w="15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79"/>
                <w:rFonts w:eastAsia="宋体"/>
                <w:lang w:val="en-US" w:eastAsia="zh-CN" w:bidi="ar"/>
              </w:rPr>
            </w:pPr>
            <w:r>
              <w:rPr>
                <w:rStyle w:val="84"/>
                <w:rFonts w:eastAsia="宋体"/>
                <w:lang w:val="en-US" w:eastAsia="zh-CN" w:bidi="ar"/>
              </w:rPr>
              <w:t>0.90~1.05</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auto"/>
                <w:kern w:val="0"/>
                <w:szCs w:val="21"/>
                <w:highlight w:val="none"/>
              </w:rPr>
            </w:pPr>
            <w:r>
              <w:rPr>
                <w:rFonts w:hint="default" w:ascii="Times New Roman" w:hAnsi="Times New Roman" w:eastAsia="宋体" w:cs="Times New Roman"/>
                <w:i w:val="0"/>
                <w:iCs w:val="0"/>
                <w:color w:val="000000"/>
                <w:kern w:val="0"/>
                <w:sz w:val="22"/>
                <w:szCs w:val="22"/>
                <w:u w:val="none"/>
                <w:lang w:val="en-US" w:eastAsia="zh-CN" w:bidi="ar"/>
              </w:rPr>
              <w:t>0.95~1.05</w:t>
            </w:r>
          </w:p>
        </w:tc>
      </w:tr>
      <w:tr>
        <w:tblPrEx>
          <w:tblCellMar>
            <w:top w:w="0" w:type="dxa"/>
            <w:left w:w="108" w:type="dxa"/>
            <w:bottom w:w="0" w:type="dxa"/>
            <w:right w:w="108" w:type="dxa"/>
          </w:tblCellMar>
        </w:tblPrEx>
        <w:trPr>
          <w:trHeight w:val="321" w:hRule="atLeast"/>
        </w:trPr>
        <w:tc>
          <w:tcPr>
            <w:tcW w:w="1033" w:type="dxa"/>
            <w:vMerge w:val="continue"/>
            <w:tcBorders>
              <w:left w:val="single" w:color="auto" w:sz="4" w:space="0"/>
              <w:right w:val="single" w:color="auto" w:sz="4" w:space="0"/>
            </w:tcBorders>
            <w:shd w:val="clear" w:color="auto" w:fill="auto"/>
            <w:vAlign w:val="center"/>
          </w:tcPr>
          <w:p>
            <w:pPr>
              <w:jc w:val="center"/>
              <w:rPr>
                <w:rFonts w:ascii="Times New Roman" w:hAnsi="Times New Roman" w:eastAsia="宋体" w:cs="Times New Roman"/>
                <w:b/>
                <w:bCs/>
                <w:color w:val="auto"/>
                <w:kern w:val="0"/>
                <w:szCs w:val="21"/>
              </w:rPr>
            </w:pPr>
          </w:p>
        </w:tc>
        <w:tc>
          <w:tcPr>
            <w:tcW w:w="1357"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b/>
                <w:bCs/>
                <w:color w:val="auto"/>
                <w:kern w:val="0"/>
                <w:szCs w:val="21"/>
                <w:lang w:val="en-US" w:eastAsia="zh-CN"/>
              </w:rPr>
            </w:pPr>
            <w:r>
              <w:rPr>
                <w:rFonts w:hint="eastAsia" w:cs="Times New Roman"/>
                <w:b/>
                <w:bCs/>
                <w:color w:val="auto"/>
                <w:kern w:val="0"/>
                <w:szCs w:val="21"/>
                <w:lang w:val="en-US" w:eastAsia="zh-CN"/>
              </w:rPr>
              <w:t>其他元素含量</w:t>
            </w:r>
            <w:r>
              <w:rPr>
                <w:rFonts w:hint="eastAsia" w:ascii="Times New Roman" w:hAnsi="Times New Roman" w:eastAsia="宋体" w:cs="Times New Roman"/>
                <w:color w:val="auto"/>
                <w:kern w:val="0"/>
                <w:sz w:val="20"/>
                <w:szCs w:val="20"/>
              </w:rPr>
              <w:t>（</w:t>
            </w:r>
            <w:r>
              <w:rPr>
                <w:rFonts w:ascii="Times New Roman" w:hAnsi="Times New Roman" w:eastAsia="宋体" w:cs="Times New Roman"/>
                <w:color w:val="auto"/>
                <w:kern w:val="0"/>
                <w:sz w:val="20"/>
                <w:szCs w:val="20"/>
              </w:rPr>
              <w:t>质量百分比</w:t>
            </w:r>
            <w:r>
              <w:rPr>
                <w:rFonts w:hint="eastAsia" w:ascii="Times New Roman" w:hAnsi="Times New Roman" w:eastAsia="宋体" w:cs="Times New Roman"/>
                <w:color w:val="auto"/>
                <w:kern w:val="0"/>
                <w:sz w:val="20"/>
                <w:szCs w:val="20"/>
              </w:rPr>
              <w:t>）</w:t>
            </w:r>
          </w:p>
        </w:tc>
        <w:tc>
          <w:tcPr>
            <w:tcW w:w="106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i w:val="0"/>
                <w:iCs w:val="0"/>
                <w:color w:val="auto"/>
                <w:kern w:val="0"/>
                <w:sz w:val="22"/>
                <w:szCs w:val="22"/>
                <w:u w:val="none"/>
                <w:lang w:val="en-US" w:eastAsia="zh-CN" w:bidi="ar"/>
              </w:rPr>
              <w:t>Cd</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w:t>
            </w:r>
          </w:p>
        </w:tc>
        <w:tc>
          <w:tcPr>
            <w:tcW w:w="13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auto"/>
                <w:kern w:val="0"/>
                <w:szCs w:val="21"/>
              </w:rPr>
            </w:pPr>
            <w:r>
              <w:rPr>
                <w:rFonts w:hint="eastAsia" w:ascii="宋体" w:hAnsi="宋体" w:eastAsia="宋体" w:cs="宋体"/>
                <w:i w:val="0"/>
                <w:iCs w:val="0"/>
                <w:color w:val="000000"/>
                <w:kern w:val="0"/>
                <w:sz w:val="21"/>
                <w:szCs w:val="21"/>
                <w:u w:val="none"/>
                <w:lang w:val="en-US" w:eastAsia="zh-CN" w:bidi="ar"/>
              </w:rPr>
              <w:t>≤</w:t>
            </w:r>
            <w:r>
              <w:rPr>
                <w:rStyle w:val="84"/>
                <w:rFonts w:eastAsia="宋体"/>
                <w:lang w:val="en-US" w:eastAsia="zh-CN" w:bidi="ar"/>
              </w:rPr>
              <w:t>0.0002</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auto"/>
                <w:kern w:val="0"/>
                <w:szCs w:val="21"/>
              </w:rPr>
            </w:pPr>
            <w:r>
              <w:rPr>
                <w:rFonts w:hint="default" w:ascii="Times New Roman" w:hAnsi="Times New Roman" w:eastAsia="宋体" w:cs="Times New Roman"/>
                <w:i w:val="0"/>
                <w:iCs w:val="0"/>
                <w:color w:val="000000"/>
                <w:kern w:val="0"/>
                <w:sz w:val="22"/>
                <w:szCs w:val="22"/>
                <w:u w:val="none"/>
                <w:lang w:val="en-US" w:eastAsia="zh-CN" w:bidi="ar"/>
              </w:rPr>
              <w:t>≤0.02</w:t>
            </w:r>
          </w:p>
        </w:tc>
        <w:tc>
          <w:tcPr>
            <w:tcW w:w="15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80"/>
                <w:lang w:val="en-US" w:eastAsia="zh-CN" w:bidi="ar"/>
              </w:rPr>
            </w:pPr>
            <w:r>
              <w:rPr>
                <w:rFonts w:hint="eastAsia" w:ascii="宋体" w:hAnsi="宋体" w:eastAsia="宋体" w:cs="宋体"/>
                <w:i w:val="0"/>
                <w:iCs w:val="0"/>
                <w:color w:val="000000"/>
                <w:kern w:val="0"/>
                <w:sz w:val="21"/>
                <w:szCs w:val="21"/>
                <w:u w:val="none"/>
                <w:lang w:val="en-US" w:eastAsia="zh-CN" w:bidi="ar"/>
              </w:rPr>
              <w:t>≤</w:t>
            </w:r>
            <w:r>
              <w:rPr>
                <w:rStyle w:val="84"/>
                <w:rFonts w:eastAsia="宋体"/>
                <w:lang w:val="en-US" w:eastAsia="zh-CN" w:bidi="ar"/>
              </w:rPr>
              <w:t>0.001</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auto"/>
                <w:kern w:val="0"/>
                <w:szCs w:val="21"/>
              </w:rPr>
            </w:pPr>
            <w:r>
              <w:rPr>
                <w:rFonts w:hint="default" w:ascii="Times New Roman" w:hAnsi="Times New Roman" w:eastAsia="宋体" w:cs="Times New Roman"/>
                <w:i w:val="0"/>
                <w:iCs w:val="0"/>
                <w:color w:val="000000"/>
                <w:kern w:val="0"/>
                <w:sz w:val="22"/>
                <w:szCs w:val="22"/>
                <w:u w:val="none"/>
                <w:lang w:val="en-US" w:eastAsia="zh-CN" w:bidi="ar"/>
              </w:rPr>
              <w:t>＜0.00310.5</w:t>
            </w:r>
          </w:p>
        </w:tc>
      </w:tr>
      <w:tr>
        <w:tblPrEx>
          <w:tblCellMar>
            <w:top w:w="0" w:type="dxa"/>
            <w:left w:w="108" w:type="dxa"/>
            <w:bottom w:w="0" w:type="dxa"/>
            <w:right w:w="108" w:type="dxa"/>
          </w:tblCellMar>
        </w:tblPrEx>
        <w:trPr>
          <w:trHeight w:val="321" w:hRule="atLeast"/>
        </w:trPr>
        <w:tc>
          <w:tcPr>
            <w:tcW w:w="1033" w:type="dxa"/>
            <w:vMerge w:val="continue"/>
            <w:tcBorders>
              <w:left w:val="single" w:color="auto" w:sz="4" w:space="0"/>
              <w:right w:val="single" w:color="auto" w:sz="4" w:space="0"/>
            </w:tcBorders>
            <w:shd w:val="clear" w:color="auto" w:fill="auto"/>
            <w:vAlign w:val="center"/>
          </w:tcPr>
          <w:p>
            <w:pPr>
              <w:jc w:val="center"/>
              <w:rPr>
                <w:rFonts w:ascii="Times New Roman" w:hAnsi="Times New Roman" w:eastAsia="宋体" w:cs="Times New Roman"/>
                <w:b/>
                <w:bCs/>
                <w:color w:val="auto"/>
                <w:kern w:val="0"/>
                <w:szCs w:val="21"/>
              </w:rPr>
            </w:pPr>
          </w:p>
        </w:tc>
        <w:tc>
          <w:tcPr>
            <w:tcW w:w="135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kern w:val="0"/>
                <w:sz w:val="20"/>
                <w:szCs w:val="20"/>
              </w:rPr>
            </w:pPr>
          </w:p>
        </w:tc>
        <w:tc>
          <w:tcPr>
            <w:tcW w:w="106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i w:val="0"/>
                <w:iCs w:val="0"/>
                <w:color w:val="auto"/>
                <w:kern w:val="0"/>
                <w:sz w:val="22"/>
                <w:szCs w:val="22"/>
                <w:u w:val="none"/>
                <w:lang w:val="en-US" w:eastAsia="zh-CN" w:bidi="ar"/>
              </w:rPr>
              <w:t>Cr</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w:t>
            </w:r>
          </w:p>
        </w:tc>
        <w:tc>
          <w:tcPr>
            <w:tcW w:w="13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auto"/>
                <w:kern w:val="0"/>
                <w:szCs w:val="21"/>
              </w:rPr>
            </w:pPr>
            <w:r>
              <w:rPr>
                <w:rFonts w:hint="eastAsia" w:ascii="宋体" w:hAnsi="宋体" w:eastAsia="宋体" w:cs="宋体"/>
                <w:i w:val="0"/>
                <w:iCs w:val="0"/>
                <w:color w:val="000000"/>
                <w:kern w:val="0"/>
                <w:sz w:val="21"/>
                <w:szCs w:val="21"/>
                <w:u w:val="none"/>
                <w:lang w:val="en-US" w:eastAsia="zh-CN" w:bidi="ar"/>
              </w:rPr>
              <w:t>≤</w:t>
            </w:r>
            <w:r>
              <w:rPr>
                <w:rStyle w:val="84"/>
                <w:rFonts w:eastAsia="宋体"/>
                <w:lang w:val="en-US" w:eastAsia="zh-CN" w:bidi="ar"/>
              </w:rPr>
              <w:t>0.0005</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auto"/>
                <w:kern w:val="0"/>
                <w:szCs w:val="21"/>
              </w:rPr>
            </w:pPr>
            <w:r>
              <w:rPr>
                <w:rFonts w:hint="default" w:ascii="Times New Roman" w:hAnsi="Times New Roman" w:eastAsia="宋体" w:cs="Times New Roman"/>
                <w:i w:val="0"/>
                <w:iCs w:val="0"/>
                <w:color w:val="000000"/>
                <w:kern w:val="0"/>
                <w:sz w:val="22"/>
                <w:szCs w:val="22"/>
                <w:u w:val="none"/>
                <w:lang w:val="en-US" w:eastAsia="zh-CN" w:bidi="ar"/>
              </w:rPr>
              <w:t>≤0.02</w:t>
            </w:r>
          </w:p>
        </w:tc>
        <w:tc>
          <w:tcPr>
            <w:tcW w:w="15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80"/>
                <w:lang w:val="en-US" w:eastAsia="zh-CN" w:bidi="ar"/>
              </w:rPr>
            </w:pPr>
            <w:r>
              <w:rPr>
                <w:rFonts w:hint="eastAsia" w:ascii="宋体" w:hAnsi="宋体" w:eastAsia="宋体" w:cs="宋体"/>
                <w:i w:val="0"/>
                <w:iCs w:val="0"/>
                <w:color w:val="000000"/>
                <w:kern w:val="0"/>
                <w:sz w:val="21"/>
                <w:szCs w:val="21"/>
                <w:u w:val="none"/>
                <w:lang w:val="en-US" w:eastAsia="zh-CN" w:bidi="ar"/>
              </w:rPr>
              <w:t>≤</w:t>
            </w:r>
            <w:r>
              <w:rPr>
                <w:rStyle w:val="84"/>
                <w:rFonts w:eastAsia="宋体"/>
                <w:lang w:val="en-US" w:eastAsia="zh-CN" w:bidi="ar"/>
              </w:rPr>
              <w:t>0.005</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auto"/>
                <w:kern w:val="0"/>
                <w:szCs w:val="21"/>
              </w:rPr>
            </w:pPr>
            <w:r>
              <w:rPr>
                <w:rFonts w:hint="default" w:ascii="Times New Roman" w:hAnsi="Times New Roman" w:eastAsia="宋体" w:cs="Times New Roman"/>
                <w:i w:val="0"/>
                <w:iCs w:val="0"/>
                <w:color w:val="000000"/>
                <w:kern w:val="0"/>
                <w:sz w:val="22"/>
                <w:szCs w:val="22"/>
                <w:u w:val="none"/>
                <w:lang w:val="en-US" w:eastAsia="zh-CN" w:bidi="ar"/>
              </w:rPr>
              <w:t>＜0.002</w:t>
            </w:r>
          </w:p>
        </w:tc>
      </w:tr>
      <w:tr>
        <w:tblPrEx>
          <w:tblCellMar>
            <w:top w:w="0" w:type="dxa"/>
            <w:left w:w="108" w:type="dxa"/>
            <w:bottom w:w="0" w:type="dxa"/>
            <w:right w:w="108" w:type="dxa"/>
          </w:tblCellMar>
        </w:tblPrEx>
        <w:trPr>
          <w:trHeight w:val="321" w:hRule="atLeast"/>
        </w:trPr>
        <w:tc>
          <w:tcPr>
            <w:tcW w:w="1033" w:type="dxa"/>
            <w:vMerge w:val="continue"/>
            <w:tcBorders>
              <w:left w:val="single" w:color="auto" w:sz="4" w:space="0"/>
              <w:right w:val="single" w:color="auto" w:sz="4" w:space="0"/>
            </w:tcBorders>
            <w:shd w:val="clear" w:color="auto" w:fill="auto"/>
            <w:vAlign w:val="center"/>
          </w:tcPr>
          <w:p>
            <w:pPr>
              <w:pStyle w:val="59"/>
            </w:pP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Cs w:val="21"/>
              </w:rPr>
            </w:pPr>
          </w:p>
        </w:tc>
        <w:tc>
          <w:tcPr>
            <w:tcW w:w="106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Pb</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w:t>
            </w:r>
          </w:p>
        </w:tc>
        <w:tc>
          <w:tcPr>
            <w:tcW w:w="13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eastAsia" w:ascii="宋体" w:hAnsi="宋体" w:eastAsia="宋体" w:cs="宋体"/>
                <w:i w:val="0"/>
                <w:iCs w:val="0"/>
                <w:color w:val="000000"/>
                <w:kern w:val="0"/>
                <w:sz w:val="21"/>
                <w:szCs w:val="21"/>
                <w:u w:val="none"/>
                <w:lang w:val="en-US" w:eastAsia="zh-CN" w:bidi="ar"/>
              </w:rPr>
              <w:t>≤</w:t>
            </w:r>
            <w:r>
              <w:rPr>
                <w:rStyle w:val="84"/>
                <w:rFonts w:eastAsia="宋体"/>
                <w:lang w:val="en-US" w:eastAsia="zh-CN" w:bidi="ar"/>
              </w:rPr>
              <w:t>0.005</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≤0.02</w:t>
            </w:r>
          </w:p>
        </w:tc>
        <w:tc>
          <w:tcPr>
            <w:tcW w:w="15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80"/>
                <w:lang w:val="en-US" w:eastAsia="zh-CN" w:bidi="ar"/>
              </w:rPr>
            </w:pPr>
            <w:r>
              <w:rPr>
                <w:rFonts w:hint="eastAsia" w:ascii="宋体" w:hAnsi="宋体" w:eastAsia="宋体" w:cs="宋体"/>
                <w:i w:val="0"/>
                <w:iCs w:val="0"/>
                <w:color w:val="000000"/>
                <w:kern w:val="0"/>
                <w:sz w:val="21"/>
                <w:szCs w:val="21"/>
                <w:u w:val="none"/>
                <w:lang w:val="en-US" w:eastAsia="zh-CN" w:bidi="ar"/>
              </w:rPr>
              <w:t>≤</w:t>
            </w:r>
            <w:r>
              <w:rPr>
                <w:rStyle w:val="84"/>
                <w:rFonts w:eastAsia="宋体"/>
                <w:lang w:val="en-US" w:eastAsia="zh-CN" w:bidi="ar"/>
              </w:rPr>
              <w:t>0.001</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＜0.002</w:t>
            </w:r>
          </w:p>
        </w:tc>
      </w:tr>
      <w:tr>
        <w:tblPrEx>
          <w:tblCellMar>
            <w:top w:w="0" w:type="dxa"/>
            <w:left w:w="108" w:type="dxa"/>
            <w:bottom w:w="0" w:type="dxa"/>
            <w:right w:w="108" w:type="dxa"/>
          </w:tblCellMar>
        </w:tblPrEx>
        <w:trPr>
          <w:trHeight w:val="321" w:hRule="atLeast"/>
        </w:trPr>
        <w:tc>
          <w:tcPr>
            <w:tcW w:w="1033" w:type="dxa"/>
            <w:vMerge w:val="continue"/>
            <w:tcBorders>
              <w:left w:val="single" w:color="auto" w:sz="4" w:space="0"/>
              <w:right w:val="single" w:color="auto" w:sz="4" w:space="0"/>
            </w:tcBorders>
            <w:shd w:val="clear" w:color="auto" w:fill="auto"/>
            <w:vAlign w:val="center"/>
          </w:tcPr>
          <w:p>
            <w:pPr>
              <w:jc w:val="center"/>
              <w:rPr>
                <w:rFonts w:ascii="Times New Roman" w:hAnsi="Times New Roman" w:eastAsia="宋体" w:cs="Times New Roman"/>
                <w:b/>
                <w:bCs/>
                <w:color w:val="000000"/>
                <w:kern w:val="0"/>
                <w:szCs w:val="21"/>
              </w:rPr>
            </w:pP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Cs w:val="21"/>
              </w:rPr>
            </w:pPr>
          </w:p>
        </w:tc>
        <w:tc>
          <w:tcPr>
            <w:tcW w:w="106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Si</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w:t>
            </w:r>
          </w:p>
        </w:tc>
        <w:tc>
          <w:tcPr>
            <w:tcW w:w="13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eastAsia" w:ascii="宋体" w:hAnsi="宋体" w:eastAsia="宋体" w:cs="宋体"/>
                <w:i w:val="0"/>
                <w:iCs w:val="0"/>
                <w:color w:val="000000"/>
                <w:kern w:val="0"/>
                <w:sz w:val="21"/>
                <w:szCs w:val="21"/>
                <w:u w:val="none"/>
                <w:lang w:val="en-US" w:eastAsia="zh-CN" w:bidi="ar"/>
              </w:rPr>
              <w:t>≤</w:t>
            </w:r>
            <w:r>
              <w:rPr>
                <w:rStyle w:val="84"/>
                <w:rFonts w:eastAsia="宋体"/>
                <w:lang w:val="en-US" w:eastAsia="zh-CN" w:bidi="ar"/>
              </w:rPr>
              <w:t>0.05</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≤0.02</w:t>
            </w:r>
          </w:p>
        </w:tc>
        <w:tc>
          <w:tcPr>
            <w:tcW w:w="15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80"/>
                <w:lang w:val="en-US" w:eastAsia="zh-CN" w:bidi="ar"/>
              </w:rPr>
            </w:pPr>
            <w:r>
              <w:rPr>
                <w:rFonts w:hint="eastAsia" w:ascii="宋体" w:hAnsi="宋体" w:eastAsia="宋体" w:cs="宋体"/>
                <w:i w:val="0"/>
                <w:iCs w:val="0"/>
                <w:color w:val="000000"/>
                <w:kern w:val="0"/>
                <w:sz w:val="21"/>
                <w:szCs w:val="21"/>
                <w:u w:val="none"/>
                <w:lang w:val="en-US" w:eastAsia="zh-CN" w:bidi="ar"/>
              </w:rPr>
              <w:t>≤</w:t>
            </w:r>
            <w:r>
              <w:rPr>
                <w:rStyle w:val="84"/>
                <w:rFonts w:eastAsia="宋体"/>
                <w:lang w:val="en-US" w:eastAsia="zh-CN" w:bidi="ar"/>
              </w:rPr>
              <w:t>0.001</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＜0.003</w:t>
            </w:r>
          </w:p>
        </w:tc>
      </w:tr>
      <w:tr>
        <w:tblPrEx>
          <w:tblCellMar>
            <w:top w:w="0" w:type="dxa"/>
            <w:left w:w="108" w:type="dxa"/>
            <w:bottom w:w="0" w:type="dxa"/>
            <w:right w:w="108" w:type="dxa"/>
          </w:tblCellMar>
        </w:tblPrEx>
        <w:trPr>
          <w:trHeight w:val="321" w:hRule="atLeast"/>
        </w:trPr>
        <w:tc>
          <w:tcPr>
            <w:tcW w:w="1033"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
                <w:bCs/>
                <w:color w:val="000000"/>
                <w:kern w:val="0"/>
                <w:szCs w:val="21"/>
              </w:rPr>
            </w:pP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Cs w:val="21"/>
              </w:rPr>
            </w:pPr>
          </w:p>
        </w:tc>
        <w:tc>
          <w:tcPr>
            <w:tcW w:w="106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Zn</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w:t>
            </w:r>
          </w:p>
        </w:tc>
        <w:tc>
          <w:tcPr>
            <w:tcW w:w="13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eastAsia" w:ascii="宋体" w:hAnsi="宋体" w:eastAsia="宋体" w:cs="宋体"/>
                <w:i w:val="0"/>
                <w:iCs w:val="0"/>
                <w:color w:val="000000"/>
                <w:kern w:val="0"/>
                <w:sz w:val="21"/>
                <w:szCs w:val="21"/>
                <w:u w:val="none"/>
                <w:lang w:val="en-US" w:eastAsia="zh-CN" w:bidi="ar"/>
              </w:rPr>
              <w:t>≤</w:t>
            </w:r>
            <w:r>
              <w:rPr>
                <w:rStyle w:val="84"/>
                <w:rFonts w:eastAsia="宋体"/>
                <w:lang w:val="en-US" w:eastAsia="zh-CN" w:bidi="ar"/>
              </w:rPr>
              <w:t>0.0005</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≤0.02</w:t>
            </w:r>
          </w:p>
        </w:tc>
        <w:tc>
          <w:tcPr>
            <w:tcW w:w="15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80"/>
                <w:lang w:val="en-US" w:eastAsia="zh-CN" w:bidi="ar"/>
              </w:rPr>
            </w:pPr>
            <w:r>
              <w:rPr>
                <w:rFonts w:hint="eastAsia" w:ascii="宋体" w:hAnsi="宋体" w:eastAsia="宋体" w:cs="宋体"/>
                <w:i w:val="0"/>
                <w:iCs w:val="0"/>
                <w:color w:val="000000"/>
                <w:kern w:val="0"/>
                <w:sz w:val="21"/>
                <w:szCs w:val="21"/>
                <w:u w:val="none"/>
                <w:lang w:val="en-US" w:eastAsia="zh-CN" w:bidi="ar"/>
              </w:rPr>
              <w:t>≤</w:t>
            </w:r>
            <w:r>
              <w:rPr>
                <w:rStyle w:val="84"/>
                <w:rFonts w:eastAsia="宋体"/>
                <w:lang w:val="en-US" w:eastAsia="zh-CN" w:bidi="ar"/>
              </w:rPr>
              <w:t>0.001</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eastAsia" w:cs="Times New Roman"/>
                <w:b/>
                <w:bCs/>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321" w:hRule="atLeast"/>
        </w:trPr>
        <w:tc>
          <w:tcPr>
            <w:tcW w:w="1033"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
                <w:bCs/>
                <w:color w:val="000000"/>
                <w:kern w:val="0"/>
                <w:szCs w:val="21"/>
              </w:rPr>
            </w:pP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Cs w:val="21"/>
              </w:rPr>
            </w:pPr>
          </w:p>
        </w:tc>
        <w:tc>
          <w:tcPr>
            <w:tcW w:w="106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S</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w:t>
            </w:r>
          </w:p>
        </w:tc>
        <w:tc>
          <w:tcPr>
            <w:tcW w:w="13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eastAsia" w:ascii="宋体" w:hAnsi="宋体" w:eastAsia="宋体" w:cs="宋体"/>
                <w:i w:val="0"/>
                <w:iCs w:val="0"/>
                <w:color w:val="000000"/>
                <w:kern w:val="0"/>
                <w:sz w:val="21"/>
                <w:szCs w:val="21"/>
                <w:u w:val="none"/>
                <w:lang w:val="en-US" w:eastAsia="zh-CN" w:bidi="ar"/>
              </w:rPr>
              <w:t>≤</w:t>
            </w:r>
            <w:r>
              <w:rPr>
                <w:rStyle w:val="84"/>
                <w:rFonts w:eastAsia="宋体"/>
                <w:lang w:val="en-US" w:eastAsia="zh-CN" w:bidi="ar"/>
              </w:rPr>
              <w:t>0.25</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≤0.20</w:t>
            </w:r>
          </w:p>
        </w:tc>
        <w:tc>
          <w:tcPr>
            <w:tcW w:w="15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80"/>
                <w:lang w:val="en-US" w:eastAsia="zh-CN" w:bidi="ar"/>
              </w:rPr>
            </w:pPr>
            <w:r>
              <w:rPr>
                <w:rFonts w:hint="eastAsia" w:ascii="宋体" w:hAnsi="宋体" w:eastAsia="宋体" w:cs="宋体"/>
                <w:i w:val="0"/>
                <w:iCs w:val="0"/>
                <w:color w:val="000000"/>
                <w:kern w:val="0"/>
                <w:sz w:val="21"/>
                <w:szCs w:val="21"/>
                <w:u w:val="none"/>
                <w:lang w:val="en-US" w:eastAsia="zh-CN" w:bidi="ar"/>
              </w:rPr>
              <w:t>≤</w:t>
            </w:r>
            <w:r>
              <w:rPr>
                <w:rStyle w:val="84"/>
                <w:rFonts w:eastAsia="宋体"/>
                <w:lang w:val="en-US" w:eastAsia="zh-CN" w:bidi="ar"/>
              </w:rPr>
              <w:t>0.05</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＜0.150</w:t>
            </w:r>
          </w:p>
        </w:tc>
      </w:tr>
      <w:tr>
        <w:tblPrEx>
          <w:tblCellMar>
            <w:top w:w="0" w:type="dxa"/>
            <w:left w:w="108" w:type="dxa"/>
            <w:bottom w:w="0" w:type="dxa"/>
            <w:right w:w="108" w:type="dxa"/>
          </w:tblCellMar>
        </w:tblPrEx>
        <w:trPr>
          <w:trHeight w:val="321" w:hRule="atLeast"/>
        </w:trPr>
        <w:tc>
          <w:tcPr>
            <w:tcW w:w="1033"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
                <w:bCs/>
                <w:color w:val="000000"/>
                <w:kern w:val="0"/>
                <w:szCs w:val="21"/>
              </w:rPr>
            </w:pP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Cs w:val="21"/>
              </w:rPr>
            </w:pPr>
          </w:p>
        </w:tc>
        <w:tc>
          <w:tcPr>
            <w:tcW w:w="106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Cl</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w:t>
            </w:r>
          </w:p>
        </w:tc>
        <w:tc>
          <w:tcPr>
            <w:tcW w:w="13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b/>
                <w:bCs/>
                <w:color w:val="000000"/>
                <w:kern w:val="0"/>
                <w:szCs w:val="21"/>
              </w:rPr>
            </w:pPr>
            <w:r>
              <w:rPr>
                <w:rStyle w:val="84"/>
                <w:rFonts w:hint="eastAsia"/>
                <w:b/>
                <w:bCs/>
                <w:lang w:val="en-US" w:eastAsia="zh-CN" w:bidi="ar"/>
              </w:rPr>
              <w:t>-</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b/>
                <w:bCs/>
                <w:color w:val="000000"/>
                <w:kern w:val="0"/>
                <w:szCs w:val="21"/>
              </w:rPr>
            </w:pPr>
            <w:r>
              <w:rPr>
                <w:rFonts w:hint="default" w:ascii="Times New Roman" w:hAnsi="Times New Roman" w:eastAsia="宋体" w:cs="Times New Roman"/>
                <w:b/>
                <w:bCs/>
                <w:i w:val="0"/>
                <w:iCs w:val="0"/>
                <w:color w:val="000000"/>
                <w:kern w:val="0"/>
                <w:sz w:val="22"/>
                <w:szCs w:val="22"/>
                <w:u w:val="none"/>
                <w:lang w:val="en-US" w:eastAsia="zh-CN" w:bidi="ar"/>
              </w:rPr>
              <w:t>-</w:t>
            </w:r>
          </w:p>
        </w:tc>
        <w:tc>
          <w:tcPr>
            <w:tcW w:w="15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80"/>
                <w:lang w:val="en-US" w:eastAsia="zh-CN" w:bidi="ar"/>
              </w:rPr>
            </w:pPr>
            <w:r>
              <w:rPr>
                <w:rFonts w:hint="eastAsia" w:ascii="宋体" w:hAnsi="宋体" w:eastAsia="宋体" w:cs="宋体"/>
                <w:i w:val="0"/>
                <w:iCs w:val="0"/>
                <w:color w:val="000000"/>
                <w:kern w:val="0"/>
                <w:sz w:val="21"/>
                <w:szCs w:val="21"/>
                <w:u w:val="none"/>
                <w:lang w:val="en-US" w:eastAsia="zh-CN" w:bidi="ar"/>
              </w:rPr>
              <w:t>≤</w:t>
            </w:r>
            <w:r>
              <w:rPr>
                <w:rStyle w:val="84"/>
                <w:rFonts w:eastAsia="宋体"/>
                <w:lang w:val="en-US" w:eastAsia="zh-CN" w:bidi="ar"/>
              </w:rPr>
              <w:t>0.05</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eastAsia" w:cs="Times New Roman"/>
                <w:b/>
                <w:bCs/>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321" w:hRule="atLeast"/>
        </w:trPr>
        <w:tc>
          <w:tcPr>
            <w:tcW w:w="1033"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物理指标</w:t>
            </w:r>
          </w:p>
          <w:p>
            <w:pPr>
              <w:widowControl/>
              <w:jc w:val="center"/>
              <w:rPr>
                <w:rFonts w:hint="default" w:ascii="Times New Roman" w:hAnsi="Times New Roman" w:eastAsia="宋体" w:cs="Times New Roman"/>
                <w:b/>
                <w:bCs/>
                <w:color w:val="000000"/>
                <w:kern w:val="0"/>
                <w:szCs w:val="21"/>
                <w:lang w:val="en-US" w:eastAsia="zh-CN"/>
              </w:rPr>
            </w:pPr>
          </w:p>
        </w:tc>
        <w:tc>
          <w:tcPr>
            <w:tcW w:w="242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Cs w:val="21"/>
              </w:rPr>
            </w:pPr>
            <w:r>
              <w:rPr>
                <w:rFonts w:hint="eastAsia" w:ascii="Times New Roman" w:hAnsi="Times New Roman" w:eastAsia="宋体" w:cs="Times New Roman"/>
                <w:b/>
                <w:bCs/>
                <w:color w:val="000000"/>
                <w:kern w:val="0"/>
                <w:szCs w:val="21"/>
              </w:rPr>
              <w:t>p</w:t>
            </w:r>
            <w:r>
              <w:rPr>
                <w:rFonts w:ascii="Times New Roman" w:hAnsi="Times New Roman" w:eastAsia="宋体" w:cs="Times New Roman"/>
                <w:b/>
                <w:bCs/>
                <w:color w:val="000000"/>
                <w:kern w:val="0"/>
                <w:szCs w:val="21"/>
              </w:rPr>
              <w:t>H值</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13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12~13</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11.90~12.80</w:t>
            </w:r>
          </w:p>
        </w:tc>
        <w:tc>
          <w:tcPr>
            <w:tcW w:w="15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11.5~12.5</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11.5~12.5</w:t>
            </w:r>
          </w:p>
        </w:tc>
      </w:tr>
      <w:tr>
        <w:tblPrEx>
          <w:tblCellMar>
            <w:top w:w="0" w:type="dxa"/>
            <w:left w:w="108" w:type="dxa"/>
            <w:bottom w:w="0" w:type="dxa"/>
            <w:right w:w="108" w:type="dxa"/>
          </w:tblCellMar>
        </w:tblPrEx>
        <w:trPr>
          <w:trHeight w:val="690" w:hRule="atLeast"/>
        </w:trPr>
        <w:tc>
          <w:tcPr>
            <w:tcW w:w="1033"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Cs w:val="21"/>
              </w:rPr>
            </w:pPr>
          </w:p>
        </w:tc>
        <w:tc>
          <w:tcPr>
            <w:tcW w:w="242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磁性异物</w:t>
            </w:r>
            <w:r>
              <w:rPr>
                <w:rFonts w:hint="eastAsia" w:ascii="Times New Roman" w:hAnsi="Times New Roman" w:eastAsia="宋体" w:cs="Times New Roman"/>
                <w:color w:val="000000"/>
                <w:kern w:val="0"/>
                <w:sz w:val="20"/>
                <w:szCs w:val="20"/>
              </w:rPr>
              <w:t>（质量百分比）</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Cs w:val="21"/>
                <w:lang w:eastAsia="zh-CN"/>
              </w:rPr>
            </w:pPr>
            <w:r>
              <w:rPr>
                <w:rFonts w:hint="eastAsia" w:cs="Times New Roman"/>
                <w:color w:val="000000"/>
                <w:kern w:val="0"/>
                <w:szCs w:val="21"/>
                <w:lang w:val="en-US" w:eastAsia="zh-CN"/>
              </w:rPr>
              <w:t>%</w:t>
            </w:r>
          </w:p>
        </w:tc>
        <w:tc>
          <w:tcPr>
            <w:tcW w:w="13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b/>
                <w:bCs/>
                <w:color w:val="000000"/>
                <w:kern w:val="0"/>
                <w:szCs w:val="21"/>
              </w:rPr>
            </w:pPr>
            <w:r>
              <w:rPr>
                <w:rFonts w:hint="eastAsia" w:cs="Times New Roman"/>
                <w:b/>
                <w:bCs/>
                <w:i w:val="0"/>
                <w:iCs w:val="0"/>
                <w:color w:val="000000"/>
                <w:kern w:val="0"/>
                <w:sz w:val="21"/>
                <w:szCs w:val="21"/>
                <w:u w:val="none"/>
                <w:lang w:val="en-US" w:eastAsia="zh-CN" w:bidi="ar"/>
              </w:rPr>
              <w:t>-</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b/>
                <w:bCs/>
                <w:color w:val="000000"/>
                <w:kern w:val="0"/>
                <w:szCs w:val="21"/>
              </w:rPr>
            </w:pPr>
            <w:r>
              <w:rPr>
                <w:rFonts w:hint="default" w:ascii="Times New Roman" w:hAnsi="Times New Roman" w:eastAsia="宋体" w:cs="Times New Roman"/>
                <w:b/>
                <w:bCs/>
                <w:i w:val="0"/>
                <w:iCs w:val="0"/>
                <w:color w:val="000000"/>
                <w:kern w:val="0"/>
                <w:sz w:val="21"/>
                <w:szCs w:val="21"/>
                <w:u w:val="none"/>
                <w:lang w:val="en-US" w:eastAsia="zh-CN" w:bidi="ar"/>
              </w:rPr>
              <w:t>-</w:t>
            </w:r>
          </w:p>
        </w:tc>
        <w:tc>
          <w:tcPr>
            <w:tcW w:w="15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81"/>
                <w:rFonts w:eastAsia="宋体"/>
                <w:b/>
                <w:bCs/>
                <w:lang w:val="en-US" w:eastAsia="zh-CN" w:bidi="ar"/>
              </w:rPr>
            </w:pPr>
            <w:r>
              <w:rPr>
                <w:rFonts w:hint="eastAsia" w:cs="Times New Roman"/>
                <w:b/>
                <w:bCs/>
                <w:i w:val="0"/>
                <w:iCs w:val="0"/>
                <w:color w:val="000000"/>
                <w:kern w:val="0"/>
                <w:sz w:val="18"/>
                <w:szCs w:val="18"/>
                <w:u w:val="none"/>
                <w:lang w:val="en-US" w:eastAsia="zh-CN" w:bidi="ar"/>
              </w:rPr>
              <w:t>-</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b/>
                <w:bCs/>
                <w:color w:val="000000"/>
                <w:kern w:val="0"/>
                <w:szCs w:val="21"/>
              </w:rPr>
            </w:pPr>
            <w:r>
              <w:rPr>
                <w:rFonts w:hint="eastAsia" w:cs="Times New Roman"/>
                <w:b/>
                <w:bCs/>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941" w:hRule="atLeast"/>
        </w:trPr>
        <w:tc>
          <w:tcPr>
            <w:tcW w:w="1033"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Cs w:val="21"/>
              </w:rPr>
            </w:pPr>
          </w:p>
        </w:tc>
        <w:tc>
          <w:tcPr>
            <w:tcW w:w="242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Cs w:val="21"/>
              </w:rPr>
            </w:pPr>
            <w:r>
              <w:rPr>
                <w:rFonts w:hint="eastAsia" w:ascii="Times New Roman" w:hAnsi="Times New Roman" w:eastAsia="宋体" w:cs="Times New Roman"/>
                <w:b/>
                <w:bCs/>
                <w:color w:val="000000"/>
                <w:kern w:val="0"/>
                <w:szCs w:val="21"/>
                <w:lang w:val="en-US" w:eastAsia="zh-CN"/>
              </w:rPr>
              <w:t>残余</w:t>
            </w:r>
            <w:r>
              <w:rPr>
                <w:rFonts w:hint="eastAsia" w:ascii="Times New Roman" w:hAnsi="Times New Roman" w:eastAsia="宋体" w:cs="Times New Roman"/>
                <w:b/>
                <w:bCs/>
                <w:color w:val="000000"/>
                <w:kern w:val="0"/>
                <w:szCs w:val="21"/>
              </w:rPr>
              <w:t>钠含量</w:t>
            </w:r>
          </w:p>
          <w:p>
            <w:pPr>
              <w:widowControl/>
              <w:jc w:val="center"/>
              <w:rPr>
                <w:rFonts w:ascii="Times New Roman" w:hAnsi="Times New Roman" w:eastAsia="宋体" w:cs="Times New Roman"/>
                <w:b/>
                <w:bCs/>
                <w:color w:val="000000"/>
                <w:kern w:val="0"/>
                <w:szCs w:val="21"/>
              </w:rPr>
            </w:pPr>
            <w:r>
              <w:rPr>
                <w:rFonts w:hint="eastAsia" w:ascii="Times New Roman" w:hAnsi="Times New Roman" w:eastAsia="宋体" w:cs="Times New Roman"/>
                <w:color w:val="000000"/>
                <w:kern w:val="0"/>
                <w:sz w:val="20"/>
                <w:szCs w:val="20"/>
              </w:rPr>
              <w:t>（按Na元素计，质量百分比）</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w:t>
            </w:r>
          </w:p>
        </w:tc>
        <w:tc>
          <w:tcPr>
            <w:tcW w:w="13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eastAsia" w:cs="Times New Roman"/>
                <w:b/>
                <w:bCs/>
                <w:i w:val="0"/>
                <w:iCs w:val="0"/>
                <w:color w:val="auto"/>
                <w:kern w:val="0"/>
                <w:sz w:val="21"/>
                <w:szCs w:val="21"/>
                <w:u w:val="none"/>
                <w:lang w:val="en-US" w:eastAsia="zh-CN" w:bidi="ar"/>
              </w:rPr>
              <w:t>-</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0.8</w:t>
            </w:r>
          </w:p>
        </w:tc>
        <w:tc>
          <w:tcPr>
            <w:tcW w:w="15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80"/>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2.0</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0.5</w:t>
            </w:r>
          </w:p>
        </w:tc>
      </w:tr>
      <w:tr>
        <w:tblPrEx>
          <w:tblCellMar>
            <w:top w:w="0" w:type="dxa"/>
            <w:left w:w="108" w:type="dxa"/>
            <w:bottom w:w="0" w:type="dxa"/>
            <w:right w:w="108" w:type="dxa"/>
          </w:tblCellMar>
        </w:tblPrEx>
        <w:trPr>
          <w:trHeight w:val="321" w:hRule="atLeast"/>
        </w:trPr>
        <w:tc>
          <w:tcPr>
            <w:tcW w:w="1033"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Cs w:val="21"/>
              </w:rPr>
            </w:pPr>
          </w:p>
        </w:tc>
        <w:tc>
          <w:tcPr>
            <w:tcW w:w="1357" w:type="dxa"/>
            <w:vMerge w:val="restart"/>
            <w:tcBorders>
              <w:top w:val="single" w:color="auto" w:sz="4" w:space="0"/>
              <w:left w:val="nil"/>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粒度分布</w:t>
            </w:r>
          </w:p>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 w:val="20"/>
                <w:szCs w:val="20"/>
              </w:rPr>
              <w:t>（检测项可根据实际进行调整）</w:t>
            </w:r>
          </w:p>
        </w:tc>
        <w:tc>
          <w:tcPr>
            <w:tcW w:w="106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D</w:t>
            </w:r>
            <w:r>
              <w:rPr>
                <w:rFonts w:ascii="Times New Roman" w:hAnsi="Times New Roman" w:eastAsia="宋体" w:cs="Times New Roman"/>
                <w:color w:val="000000"/>
                <w:kern w:val="0"/>
                <w:szCs w:val="21"/>
                <w:vertAlign w:val="subscript"/>
              </w:rPr>
              <w:t>10</w:t>
            </w:r>
          </w:p>
        </w:tc>
        <w:tc>
          <w:tcPr>
            <w:tcW w:w="786" w:type="dxa"/>
            <w:vMerge w:val="restart"/>
            <w:tcBorders>
              <w:top w:val="single" w:color="auto" w:sz="4" w:space="0"/>
              <w:left w:val="nil"/>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μm</w:t>
            </w:r>
          </w:p>
        </w:tc>
        <w:tc>
          <w:tcPr>
            <w:tcW w:w="13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2</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2.0~6.0</w:t>
            </w:r>
          </w:p>
        </w:tc>
        <w:tc>
          <w:tcPr>
            <w:tcW w:w="15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79"/>
                <w:rFonts w:eastAsia="宋体"/>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w:t>
            </w:r>
          </w:p>
        </w:tc>
      </w:tr>
      <w:tr>
        <w:tblPrEx>
          <w:tblCellMar>
            <w:top w:w="0" w:type="dxa"/>
            <w:left w:w="108" w:type="dxa"/>
            <w:bottom w:w="0" w:type="dxa"/>
            <w:right w:w="108" w:type="dxa"/>
          </w:tblCellMar>
        </w:tblPrEx>
        <w:trPr>
          <w:trHeight w:val="321" w:hRule="atLeast"/>
        </w:trPr>
        <w:tc>
          <w:tcPr>
            <w:tcW w:w="1033"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Cs w:val="21"/>
              </w:rPr>
            </w:pPr>
          </w:p>
        </w:tc>
        <w:tc>
          <w:tcPr>
            <w:tcW w:w="1357" w:type="dxa"/>
            <w:vMerge w:val="continue"/>
            <w:tcBorders>
              <w:left w:val="nil"/>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Cs w:val="21"/>
              </w:rPr>
            </w:pPr>
          </w:p>
        </w:tc>
        <w:tc>
          <w:tcPr>
            <w:tcW w:w="106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D</w:t>
            </w:r>
            <w:r>
              <w:rPr>
                <w:rFonts w:ascii="Times New Roman" w:hAnsi="Times New Roman" w:eastAsia="宋体" w:cs="Times New Roman"/>
                <w:color w:val="000000"/>
                <w:kern w:val="0"/>
                <w:szCs w:val="21"/>
                <w:vertAlign w:val="subscript"/>
              </w:rPr>
              <w:t>50</w:t>
            </w:r>
          </w:p>
        </w:tc>
        <w:tc>
          <w:tcPr>
            <w:tcW w:w="786" w:type="dxa"/>
            <w:vMerge w:val="continue"/>
            <w:tcBorders>
              <w:left w:val="nil"/>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13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6~12</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4.0~15.0</w:t>
            </w:r>
          </w:p>
        </w:tc>
        <w:tc>
          <w:tcPr>
            <w:tcW w:w="15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5.5~7.5</w:t>
            </w:r>
          </w:p>
        </w:tc>
      </w:tr>
      <w:tr>
        <w:tblPrEx>
          <w:tblCellMar>
            <w:top w:w="0" w:type="dxa"/>
            <w:left w:w="108" w:type="dxa"/>
            <w:bottom w:w="0" w:type="dxa"/>
            <w:right w:w="108" w:type="dxa"/>
          </w:tblCellMar>
        </w:tblPrEx>
        <w:trPr>
          <w:trHeight w:val="321" w:hRule="atLeast"/>
        </w:trPr>
        <w:tc>
          <w:tcPr>
            <w:tcW w:w="1033"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Cs w:val="21"/>
              </w:rPr>
            </w:pPr>
          </w:p>
        </w:tc>
        <w:tc>
          <w:tcPr>
            <w:tcW w:w="1357" w:type="dxa"/>
            <w:vMerge w:val="continue"/>
            <w:tcBorders>
              <w:left w:val="nil"/>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Cs w:val="21"/>
              </w:rPr>
            </w:pPr>
          </w:p>
        </w:tc>
        <w:tc>
          <w:tcPr>
            <w:tcW w:w="106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D</w:t>
            </w:r>
            <w:r>
              <w:rPr>
                <w:rFonts w:ascii="Times New Roman" w:hAnsi="Times New Roman" w:eastAsia="宋体" w:cs="Times New Roman"/>
                <w:color w:val="000000"/>
                <w:kern w:val="0"/>
                <w:szCs w:val="21"/>
                <w:vertAlign w:val="subscript"/>
              </w:rPr>
              <w:t>90</w:t>
            </w:r>
          </w:p>
        </w:tc>
        <w:tc>
          <w:tcPr>
            <w:tcW w:w="786" w:type="dxa"/>
            <w:vMerge w:val="continue"/>
            <w:tcBorders>
              <w:left w:val="nil"/>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13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30</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5.0~32.0</w:t>
            </w:r>
          </w:p>
        </w:tc>
        <w:tc>
          <w:tcPr>
            <w:tcW w:w="15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79"/>
                <w:rFonts w:eastAsia="宋体"/>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imes New Roman" w:hAnsi="Times New Roman" w:eastAsia="宋体" w:cs="Times New Roman"/>
                <w:b/>
                <w:bCs/>
                <w:color w:val="000000"/>
                <w:kern w:val="0"/>
                <w:szCs w:val="21"/>
                <w:lang w:val="en-US" w:eastAsia="zh-CN"/>
              </w:rPr>
            </w:pPr>
            <w:r>
              <w:rPr>
                <w:rFonts w:hint="eastAsia" w:ascii="Times New Roman" w:hAnsi="Times New Roman" w:eastAsia="宋体" w:cs="Times New Roman"/>
                <w:b/>
                <w:bCs/>
                <w:color w:val="000000"/>
                <w:kern w:val="0"/>
                <w:szCs w:val="21"/>
                <w:lang w:val="en-US" w:eastAsia="zh-CN"/>
              </w:rPr>
              <w:t>-</w:t>
            </w:r>
          </w:p>
        </w:tc>
      </w:tr>
      <w:tr>
        <w:tblPrEx>
          <w:tblCellMar>
            <w:top w:w="0" w:type="dxa"/>
            <w:left w:w="108" w:type="dxa"/>
            <w:bottom w:w="0" w:type="dxa"/>
            <w:right w:w="108" w:type="dxa"/>
          </w:tblCellMar>
        </w:tblPrEx>
        <w:trPr>
          <w:trHeight w:val="321" w:hRule="atLeast"/>
        </w:trPr>
        <w:tc>
          <w:tcPr>
            <w:tcW w:w="1033"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Cs w:val="21"/>
              </w:rPr>
            </w:pPr>
          </w:p>
        </w:tc>
        <w:tc>
          <w:tcPr>
            <w:tcW w:w="1357" w:type="dxa"/>
            <w:vMerge w:val="continue"/>
            <w:tcBorders>
              <w:left w:val="nil"/>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Cs w:val="21"/>
              </w:rPr>
            </w:pPr>
          </w:p>
        </w:tc>
        <w:tc>
          <w:tcPr>
            <w:tcW w:w="106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D</w:t>
            </w:r>
            <w:r>
              <w:rPr>
                <w:rFonts w:ascii="Times New Roman" w:hAnsi="Times New Roman" w:eastAsia="宋体" w:cs="Times New Roman"/>
                <w:color w:val="000000"/>
                <w:kern w:val="0"/>
                <w:szCs w:val="21"/>
                <w:vertAlign w:val="subscript"/>
              </w:rPr>
              <w:t>99</w:t>
            </w:r>
          </w:p>
        </w:tc>
        <w:tc>
          <w:tcPr>
            <w:tcW w:w="786"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1364" w:type="dxa"/>
            <w:tcBorders>
              <w:top w:val="nil"/>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10.0~55.0</w:t>
            </w:r>
          </w:p>
        </w:tc>
        <w:tc>
          <w:tcPr>
            <w:tcW w:w="15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79"/>
                <w:rFonts w:eastAsia="宋体"/>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8~9</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b/>
                <w:bCs/>
                <w:color w:val="000000"/>
                <w:kern w:val="0"/>
                <w:szCs w:val="21"/>
                <w:lang w:val="en-US" w:eastAsia="zh-CN"/>
              </w:rPr>
            </w:pPr>
            <w:r>
              <w:rPr>
                <w:rFonts w:hint="eastAsia" w:ascii="Times New Roman" w:hAnsi="Times New Roman" w:eastAsia="宋体" w:cs="Times New Roman"/>
                <w:b/>
                <w:bCs/>
                <w:color w:val="000000"/>
                <w:kern w:val="0"/>
                <w:szCs w:val="21"/>
                <w:lang w:val="en-US" w:eastAsia="zh-CN"/>
              </w:rPr>
              <w:t>-</w:t>
            </w:r>
          </w:p>
        </w:tc>
      </w:tr>
      <w:tr>
        <w:tblPrEx>
          <w:tblCellMar>
            <w:top w:w="0" w:type="dxa"/>
            <w:left w:w="108" w:type="dxa"/>
            <w:bottom w:w="0" w:type="dxa"/>
            <w:right w:w="108" w:type="dxa"/>
          </w:tblCellMar>
        </w:tblPrEx>
        <w:trPr>
          <w:trHeight w:val="321" w:hRule="atLeast"/>
        </w:trPr>
        <w:tc>
          <w:tcPr>
            <w:tcW w:w="1033"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Cs w:val="21"/>
              </w:rPr>
            </w:pPr>
          </w:p>
        </w:tc>
        <w:tc>
          <w:tcPr>
            <w:tcW w:w="242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比表面积</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m</w:t>
            </w:r>
            <w:r>
              <w:rPr>
                <w:rFonts w:ascii="Times New Roman" w:hAnsi="Times New Roman" w:eastAsia="宋体" w:cs="Times New Roman"/>
                <w:color w:val="000000"/>
                <w:kern w:val="0"/>
                <w:szCs w:val="21"/>
                <w:vertAlign w:val="superscript"/>
              </w:rPr>
              <w:t>2</w:t>
            </w:r>
            <w:r>
              <w:rPr>
                <w:rFonts w:ascii="Times New Roman" w:hAnsi="Times New Roman" w:eastAsia="宋体" w:cs="Times New Roman"/>
                <w:color w:val="000000"/>
                <w:kern w:val="0"/>
                <w:szCs w:val="21"/>
              </w:rPr>
              <w:t>/g</w:t>
            </w:r>
          </w:p>
        </w:tc>
        <w:tc>
          <w:tcPr>
            <w:tcW w:w="13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0.27~0.60</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0.1~1.0</w:t>
            </w:r>
          </w:p>
        </w:tc>
        <w:tc>
          <w:tcPr>
            <w:tcW w:w="15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79"/>
                <w:rFonts w:eastAsia="宋体"/>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0.2~0.5</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0.35~0.55</w:t>
            </w:r>
          </w:p>
        </w:tc>
      </w:tr>
      <w:tr>
        <w:tblPrEx>
          <w:tblCellMar>
            <w:top w:w="0" w:type="dxa"/>
            <w:left w:w="108" w:type="dxa"/>
            <w:bottom w:w="0" w:type="dxa"/>
            <w:right w:w="108" w:type="dxa"/>
          </w:tblCellMar>
        </w:tblPrEx>
        <w:trPr>
          <w:trHeight w:val="321" w:hRule="atLeast"/>
        </w:trPr>
        <w:tc>
          <w:tcPr>
            <w:tcW w:w="1033" w:type="dxa"/>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Cs w:val="21"/>
                <w:lang w:val="en-US" w:eastAsia="zh-CN"/>
              </w:rPr>
            </w:pPr>
          </w:p>
        </w:tc>
        <w:tc>
          <w:tcPr>
            <w:tcW w:w="242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Cs w:val="21"/>
              </w:rPr>
            </w:pPr>
            <w:r>
              <w:rPr>
                <w:rFonts w:hint="eastAsia" w:ascii="Times New Roman" w:hAnsi="Times New Roman" w:eastAsia="宋体"/>
                <w:b/>
                <w:bCs/>
                <w:szCs w:val="21"/>
              </w:rPr>
              <w:t>粉末振实密度</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olor w:val="000000"/>
                <w:szCs w:val="21"/>
              </w:rPr>
              <w:t>g/cm</w:t>
            </w:r>
            <w:r>
              <w:rPr>
                <w:rFonts w:hint="eastAsia" w:ascii="Times New Roman" w:hAnsi="Times New Roman" w:eastAsia="宋体"/>
                <w:color w:val="000000"/>
                <w:szCs w:val="21"/>
                <w:vertAlign w:val="superscript"/>
              </w:rPr>
              <w:t>3</w:t>
            </w:r>
          </w:p>
        </w:tc>
        <w:tc>
          <w:tcPr>
            <w:tcW w:w="13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1.60</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1.5~2.1</w:t>
            </w:r>
          </w:p>
        </w:tc>
        <w:tc>
          <w:tcPr>
            <w:tcW w:w="15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79"/>
                <w:rFonts w:eastAsia="宋体"/>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1.5~2.5</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i w:val="0"/>
                <w:iCs w:val="0"/>
                <w:color w:val="000000"/>
                <w:kern w:val="0"/>
                <w:sz w:val="22"/>
                <w:szCs w:val="22"/>
                <w:u w:val="none"/>
                <w:lang w:val="en-US" w:eastAsia="zh-CN" w:bidi="ar"/>
              </w:rPr>
              <w:t>≥2.1</w:t>
            </w:r>
          </w:p>
        </w:tc>
      </w:tr>
      <w:tr>
        <w:tblPrEx>
          <w:tblCellMar>
            <w:top w:w="0" w:type="dxa"/>
            <w:left w:w="108" w:type="dxa"/>
            <w:bottom w:w="0" w:type="dxa"/>
            <w:right w:w="108" w:type="dxa"/>
          </w:tblCellMar>
        </w:tblPrEx>
        <w:trPr>
          <w:trHeight w:val="414" w:hRule="atLeast"/>
        </w:trPr>
        <w:tc>
          <w:tcPr>
            <w:tcW w:w="1033"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Cs w:val="21"/>
              </w:rPr>
            </w:pPr>
          </w:p>
        </w:tc>
        <w:tc>
          <w:tcPr>
            <w:tcW w:w="242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Times New Roman" w:hAnsi="Times New Roman" w:eastAsia="宋体" w:cs="Times New Roman"/>
                <w:b/>
                <w:bCs/>
                <w:color w:val="000000"/>
                <w:kern w:val="0"/>
                <w:sz w:val="21"/>
                <w:szCs w:val="21"/>
                <w:lang w:val="en-US" w:eastAsia="zh-CN" w:bidi="ar-SA"/>
              </w:rPr>
            </w:pPr>
            <w:r>
              <w:rPr>
                <w:rFonts w:hint="eastAsia" w:ascii="Times New Roman" w:hAnsi="Times New Roman" w:eastAsia="宋体"/>
                <w:b/>
                <w:bCs/>
                <w:szCs w:val="21"/>
              </w:rPr>
              <w:t>水分含量</w:t>
            </w:r>
            <w:r>
              <w:rPr>
                <w:rFonts w:hint="eastAsia" w:ascii="Times New Roman" w:hAnsi="Times New Roman" w:eastAsia="宋体" w:cs="Times New Roman"/>
                <w:color w:val="000000"/>
                <w:kern w:val="0"/>
                <w:sz w:val="20"/>
                <w:szCs w:val="20"/>
              </w:rPr>
              <w:t>（质量百分比）</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Cs w:val="21"/>
              </w:rPr>
              <w:t>%</w:t>
            </w:r>
          </w:p>
        </w:tc>
        <w:tc>
          <w:tcPr>
            <w:tcW w:w="13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b w:val="0"/>
                <w:bCs w:val="0"/>
                <w:color w:val="auto"/>
                <w:kern w:val="0"/>
                <w:szCs w:val="21"/>
              </w:rPr>
            </w:pPr>
            <w:r>
              <w:rPr>
                <w:rFonts w:hint="eastAsia" w:ascii="宋体" w:hAnsi="宋体" w:eastAsia="宋体" w:cs="宋体"/>
                <w:b w:val="0"/>
                <w:bCs w:val="0"/>
                <w:i w:val="0"/>
                <w:iCs w:val="0"/>
                <w:color w:val="auto"/>
                <w:kern w:val="0"/>
                <w:sz w:val="21"/>
                <w:szCs w:val="21"/>
                <w:u w:val="none"/>
                <w:lang w:val="en-US" w:eastAsia="zh-CN" w:bidi="ar"/>
              </w:rPr>
              <w:t>≤</w:t>
            </w:r>
            <w:r>
              <w:rPr>
                <w:rFonts w:hint="default" w:ascii="Times New Roman" w:hAnsi="Times New Roman" w:eastAsia="宋体" w:cs="Times New Roman"/>
                <w:b w:val="0"/>
                <w:bCs w:val="0"/>
                <w:i w:val="0"/>
                <w:iCs w:val="0"/>
                <w:color w:val="auto"/>
                <w:kern w:val="0"/>
                <w:sz w:val="21"/>
                <w:szCs w:val="21"/>
                <w:u w:val="none"/>
                <w:lang w:val="en-US" w:eastAsia="zh-CN" w:bidi="ar"/>
              </w:rPr>
              <w:t>400</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b w:val="0"/>
                <w:bCs w:val="0"/>
                <w:color w:val="auto"/>
                <w:kern w:val="0"/>
                <w:szCs w:val="21"/>
              </w:rPr>
            </w:pPr>
            <w:r>
              <w:rPr>
                <w:rFonts w:hint="eastAsia" w:ascii="宋体" w:hAnsi="宋体" w:eastAsia="宋体" w:cs="宋体"/>
                <w:b w:val="0"/>
                <w:bCs w:val="0"/>
                <w:i w:val="0"/>
                <w:iCs w:val="0"/>
                <w:color w:val="auto"/>
                <w:kern w:val="0"/>
                <w:sz w:val="21"/>
                <w:szCs w:val="21"/>
                <w:u w:val="none"/>
                <w:lang w:val="en-US" w:eastAsia="zh-CN" w:bidi="ar"/>
              </w:rPr>
              <w:t>≤</w:t>
            </w:r>
            <w:r>
              <w:rPr>
                <w:rFonts w:hint="default" w:ascii="Times New Roman" w:hAnsi="Times New Roman" w:eastAsia="宋体" w:cs="Times New Roman"/>
                <w:b w:val="0"/>
                <w:bCs w:val="0"/>
                <w:i w:val="0"/>
                <w:iCs w:val="0"/>
                <w:color w:val="auto"/>
                <w:kern w:val="0"/>
                <w:sz w:val="21"/>
                <w:szCs w:val="21"/>
                <w:u w:val="none"/>
                <w:lang w:val="en-US" w:eastAsia="zh-CN" w:bidi="ar"/>
              </w:rPr>
              <w:t>0.5</w:t>
            </w:r>
          </w:p>
        </w:tc>
        <w:tc>
          <w:tcPr>
            <w:tcW w:w="15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79"/>
                <w:rFonts w:eastAsia="宋体"/>
                <w:b w:val="0"/>
                <w:bCs w:val="0"/>
                <w:color w:val="auto"/>
                <w:lang w:val="en-US" w:eastAsia="zh-CN" w:bidi="ar"/>
              </w:rPr>
            </w:pPr>
            <w:r>
              <w:rPr>
                <w:rFonts w:hint="eastAsia" w:ascii="宋体" w:hAnsi="宋体" w:eastAsia="宋体" w:cs="宋体"/>
                <w:b w:val="0"/>
                <w:bCs w:val="0"/>
                <w:i w:val="0"/>
                <w:iCs w:val="0"/>
                <w:color w:val="auto"/>
                <w:kern w:val="0"/>
                <w:sz w:val="21"/>
                <w:szCs w:val="21"/>
                <w:u w:val="none"/>
                <w:lang w:val="en-US" w:eastAsia="zh-CN" w:bidi="ar"/>
              </w:rPr>
              <w:t>≤</w:t>
            </w:r>
            <w:r>
              <w:rPr>
                <w:rFonts w:hint="default" w:ascii="Times New Roman" w:hAnsi="Times New Roman" w:eastAsia="宋体" w:cs="Times New Roman"/>
                <w:b w:val="0"/>
                <w:bCs w:val="0"/>
                <w:i w:val="0"/>
                <w:iCs w:val="0"/>
                <w:color w:val="auto"/>
                <w:kern w:val="0"/>
                <w:sz w:val="21"/>
                <w:szCs w:val="21"/>
                <w:u w:val="none"/>
                <w:lang w:val="en-US" w:eastAsia="zh-CN" w:bidi="ar"/>
              </w:rPr>
              <w:t>0.01</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Cs w:val="21"/>
                <w:lang w:val="en-US"/>
              </w:rPr>
            </w:pPr>
            <w:r>
              <w:rPr>
                <w:rFonts w:hint="eastAsia" w:ascii="宋体" w:hAnsi="宋体" w:eastAsia="宋体" w:cs="宋体"/>
                <w:b w:val="0"/>
                <w:bCs w:val="0"/>
                <w:i w:val="0"/>
                <w:iCs w:val="0"/>
                <w:color w:val="auto"/>
                <w:kern w:val="0"/>
                <w:sz w:val="22"/>
                <w:szCs w:val="22"/>
                <w:u w:val="none"/>
                <w:lang w:val="en-US" w:eastAsia="zh-CN" w:bidi="ar"/>
              </w:rPr>
              <w:t>＜</w:t>
            </w:r>
            <w:r>
              <w:rPr>
                <w:rFonts w:hint="eastAsia" w:cs="Times New Roman"/>
                <w:b w:val="0"/>
                <w:bCs w:val="0"/>
                <w:i w:val="0"/>
                <w:iCs w:val="0"/>
                <w:color w:val="auto"/>
                <w:kern w:val="0"/>
                <w:sz w:val="22"/>
                <w:szCs w:val="22"/>
                <w:u w:val="none"/>
                <w:lang w:val="en-US" w:eastAsia="zh-CN" w:bidi="ar"/>
              </w:rPr>
              <w:t>0.5</w:t>
            </w:r>
          </w:p>
        </w:tc>
      </w:tr>
      <w:tr>
        <w:tblPrEx>
          <w:tblCellMar>
            <w:top w:w="0" w:type="dxa"/>
            <w:left w:w="108" w:type="dxa"/>
            <w:bottom w:w="0" w:type="dxa"/>
            <w:right w:w="108" w:type="dxa"/>
          </w:tblCellMar>
        </w:tblPrEx>
        <w:trPr>
          <w:trHeight w:val="414" w:hRule="atLeast"/>
        </w:trPr>
        <w:tc>
          <w:tcPr>
            <w:tcW w:w="1033"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Cs w:val="21"/>
              </w:rPr>
            </w:pPr>
          </w:p>
        </w:tc>
        <w:tc>
          <w:tcPr>
            <w:tcW w:w="242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Times New Roman" w:hAnsi="Times New Roman" w:eastAsia="宋体" w:cs="Times New Roman"/>
                <w:b/>
                <w:bCs/>
                <w:color w:val="000000"/>
                <w:kern w:val="0"/>
                <w:sz w:val="21"/>
                <w:szCs w:val="21"/>
                <w:lang w:val="en-US" w:eastAsia="zh-CN" w:bidi="ar-SA"/>
              </w:rPr>
            </w:pPr>
            <w:r>
              <w:rPr>
                <w:rFonts w:hint="eastAsia" w:ascii="Times New Roman" w:hAnsi="Times New Roman" w:eastAsia="宋体" w:cs="Times New Roman"/>
                <w:b/>
                <w:bCs/>
                <w:color w:val="000000"/>
                <w:kern w:val="0"/>
                <w:szCs w:val="21"/>
              </w:rPr>
              <w:t>晶体结构</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w:t>
            </w:r>
          </w:p>
        </w:tc>
        <w:tc>
          <w:tcPr>
            <w:tcW w:w="13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b w:val="0"/>
                <w:bCs w:val="0"/>
                <w:color w:val="auto"/>
                <w:kern w:val="0"/>
                <w:szCs w:val="21"/>
              </w:rPr>
            </w:pPr>
            <w:r>
              <w:rPr>
                <w:rFonts w:hint="default" w:ascii="Times New Roman" w:hAnsi="Times New Roman" w:eastAsia="宋体" w:cs="Times New Roman"/>
                <w:b w:val="0"/>
                <w:bCs w:val="0"/>
                <w:i w:val="0"/>
                <w:iCs w:val="0"/>
                <w:color w:val="auto"/>
                <w:kern w:val="0"/>
                <w:sz w:val="21"/>
                <w:szCs w:val="21"/>
                <w:u w:val="none"/>
                <w:lang w:val="en-US" w:eastAsia="zh-CN" w:bidi="ar"/>
              </w:rPr>
              <w:t>O3</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b w:val="0"/>
                <w:bCs w:val="0"/>
                <w:color w:val="auto"/>
                <w:kern w:val="0"/>
                <w:szCs w:val="21"/>
              </w:rPr>
            </w:pPr>
            <w:r>
              <w:rPr>
                <w:rFonts w:hint="eastAsia" w:ascii="宋体" w:hAnsi="宋体" w:eastAsia="宋体" w:cs="宋体"/>
                <w:b w:val="0"/>
                <w:bCs w:val="0"/>
                <w:i w:val="0"/>
                <w:iCs w:val="0"/>
                <w:color w:val="auto"/>
                <w:kern w:val="0"/>
                <w:sz w:val="21"/>
                <w:szCs w:val="21"/>
                <w:u w:val="none"/>
                <w:lang w:val="en-US" w:eastAsia="zh-CN" w:bidi="ar"/>
              </w:rPr>
              <w:t>层状</w:t>
            </w:r>
            <w:r>
              <w:rPr>
                <w:rFonts w:hint="default" w:ascii="Times New Roman" w:hAnsi="Times New Roman" w:eastAsia="宋体" w:cs="Times New Roman"/>
                <w:b w:val="0"/>
                <w:bCs w:val="0"/>
                <w:i w:val="0"/>
                <w:iCs w:val="0"/>
                <w:color w:val="auto"/>
                <w:kern w:val="0"/>
                <w:sz w:val="21"/>
                <w:szCs w:val="21"/>
                <w:u w:val="none"/>
                <w:lang w:val="en-US" w:eastAsia="zh-CN" w:bidi="ar"/>
              </w:rPr>
              <w:t>O3</w:t>
            </w:r>
            <w:r>
              <w:rPr>
                <w:rFonts w:hint="eastAsia" w:ascii="宋体" w:hAnsi="宋体" w:eastAsia="宋体" w:cs="宋体"/>
                <w:b w:val="0"/>
                <w:bCs w:val="0"/>
                <w:i w:val="0"/>
                <w:iCs w:val="0"/>
                <w:color w:val="auto"/>
                <w:kern w:val="0"/>
                <w:sz w:val="21"/>
                <w:szCs w:val="21"/>
                <w:u w:val="none"/>
                <w:lang w:val="en-US" w:eastAsia="zh-CN" w:bidi="ar"/>
              </w:rPr>
              <w:t>结构</w:t>
            </w:r>
          </w:p>
        </w:tc>
        <w:tc>
          <w:tcPr>
            <w:tcW w:w="15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80"/>
                <w:b w:val="0"/>
                <w:bCs w:val="0"/>
                <w:color w:val="auto"/>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O3</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b w:val="0"/>
                <w:bCs w:val="0"/>
                <w:color w:val="auto"/>
                <w:kern w:val="0"/>
                <w:szCs w:val="21"/>
              </w:rPr>
            </w:pPr>
            <w:r>
              <w:rPr>
                <w:rFonts w:hint="default" w:ascii="Times New Roman" w:hAnsi="Times New Roman" w:eastAsia="宋体" w:cs="Times New Roman"/>
                <w:b w:val="0"/>
                <w:bCs w:val="0"/>
                <w:i w:val="0"/>
                <w:iCs w:val="0"/>
                <w:color w:val="auto"/>
                <w:kern w:val="0"/>
                <w:sz w:val="21"/>
                <w:szCs w:val="21"/>
                <w:u w:val="none"/>
                <w:lang w:val="en-US" w:eastAsia="zh-CN" w:bidi="ar"/>
              </w:rPr>
              <w:t>R-3m</w:t>
            </w:r>
            <w:r>
              <w:rPr>
                <w:rFonts w:hint="eastAsia" w:ascii="宋体" w:hAnsi="宋体" w:eastAsia="宋体" w:cs="宋体"/>
                <w:b w:val="0"/>
                <w:bCs w:val="0"/>
                <w:i w:val="0"/>
                <w:iCs w:val="0"/>
                <w:color w:val="auto"/>
                <w:kern w:val="0"/>
                <w:sz w:val="21"/>
                <w:szCs w:val="21"/>
                <w:u w:val="none"/>
                <w:lang w:val="en-US" w:eastAsia="zh-CN" w:bidi="ar"/>
              </w:rPr>
              <w:t>结构，无杂相</w:t>
            </w:r>
          </w:p>
        </w:tc>
      </w:tr>
      <w:tr>
        <w:tblPrEx>
          <w:tblCellMar>
            <w:top w:w="0" w:type="dxa"/>
            <w:left w:w="108" w:type="dxa"/>
            <w:bottom w:w="0" w:type="dxa"/>
            <w:right w:w="108" w:type="dxa"/>
          </w:tblCellMar>
        </w:tblPrEx>
        <w:trPr>
          <w:trHeight w:val="631" w:hRule="atLeast"/>
        </w:trPr>
        <w:tc>
          <w:tcPr>
            <w:tcW w:w="1033"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Cs w:val="21"/>
              </w:rPr>
            </w:pPr>
          </w:p>
        </w:tc>
        <w:tc>
          <w:tcPr>
            <w:tcW w:w="242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 w:val="21"/>
                <w:szCs w:val="21"/>
                <w:lang w:val="en-US" w:eastAsia="zh-CN" w:bidi="ar-SA"/>
              </w:rPr>
            </w:pPr>
            <w:r>
              <w:rPr>
                <w:rFonts w:ascii="Times New Roman" w:hAnsi="Times New Roman" w:eastAsia="宋体" w:cs="Times New Roman"/>
                <w:b/>
                <w:bCs/>
                <w:color w:val="000000"/>
                <w:kern w:val="0"/>
                <w:szCs w:val="21"/>
              </w:rPr>
              <w:t>外观质量（颜色）</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w:t>
            </w:r>
          </w:p>
        </w:tc>
        <w:tc>
          <w:tcPr>
            <w:tcW w:w="13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b w:val="0"/>
                <w:bCs w:val="0"/>
                <w:color w:val="auto"/>
                <w:kern w:val="0"/>
                <w:szCs w:val="21"/>
              </w:rPr>
            </w:pPr>
            <w:r>
              <w:rPr>
                <w:rFonts w:hint="eastAsia" w:ascii="宋体" w:hAnsi="宋体" w:eastAsia="宋体" w:cs="宋体"/>
                <w:b w:val="0"/>
                <w:bCs w:val="0"/>
                <w:i w:val="0"/>
                <w:iCs w:val="0"/>
                <w:color w:val="auto"/>
                <w:kern w:val="0"/>
                <w:sz w:val="21"/>
                <w:szCs w:val="21"/>
                <w:u w:val="none"/>
                <w:lang w:val="en-US" w:eastAsia="zh-CN" w:bidi="ar"/>
              </w:rPr>
              <w:t>黑色</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b w:val="0"/>
                <w:bCs w:val="0"/>
                <w:color w:val="auto"/>
                <w:kern w:val="0"/>
                <w:szCs w:val="21"/>
              </w:rPr>
            </w:pPr>
            <w:r>
              <w:rPr>
                <w:rFonts w:hint="eastAsia" w:ascii="宋体" w:hAnsi="宋体" w:eastAsia="宋体" w:cs="宋体"/>
                <w:b w:val="0"/>
                <w:bCs w:val="0"/>
                <w:i w:val="0"/>
                <w:iCs w:val="0"/>
                <w:color w:val="auto"/>
                <w:kern w:val="0"/>
                <w:sz w:val="22"/>
                <w:szCs w:val="22"/>
                <w:u w:val="none"/>
                <w:lang w:val="en-US" w:eastAsia="zh-CN" w:bidi="ar"/>
              </w:rPr>
              <w:t>黑色粉末</w:t>
            </w:r>
          </w:p>
        </w:tc>
        <w:tc>
          <w:tcPr>
            <w:tcW w:w="15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79"/>
                <w:rFonts w:eastAsia="宋体"/>
                <w:b w:val="0"/>
                <w:bCs w:val="0"/>
                <w:color w:val="auto"/>
                <w:lang w:val="en-US" w:eastAsia="zh-CN" w:bidi="ar"/>
              </w:rPr>
            </w:pPr>
            <w:r>
              <w:rPr>
                <w:rFonts w:hint="eastAsia" w:ascii="宋体" w:hAnsi="宋体" w:eastAsia="宋体" w:cs="宋体"/>
                <w:b w:val="0"/>
                <w:bCs w:val="0"/>
                <w:i w:val="0"/>
                <w:iCs w:val="0"/>
                <w:color w:val="auto"/>
                <w:kern w:val="0"/>
                <w:sz w:val="22"/>
                <w:szCs w:val="22"/>
                <w:u w:val="none"/>
                <w:lang w:val="en-US" w:eastAsia="zh-CN" w:bidi="ar"/>
              </w:rPr>
              <w:t>黑色粉末</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b w:val="0"/>
                <w:bCs w:val="0"/>
                <w:color w:val="auto"/>
                <w:kern w:val="0"/>
                <w:szCs w:val="21"/>
              </w:rPr>
            </w:pPr>
            <w:r>
              <w:rPr>
                <w:rFonts w:hint="eastAsia" w:ascii="宋体" w:hAnsi="宋体" w:eastAsia="宋体" w:cs="宋体"/>
                <w:b w:val="0"/>
                <w:bCs w:val="0"/>
                <w:i w:val="0"/>
                <w:iCs w:val="0"/>
                <w:color w:val="auto"/>
                <w:kern w:val="0"/>
                <w:sz w:val="21"/>
                <w:szCs w:val="21"/>
                <w:u w:val="none"/>
                <w:lang w:val="en-US" w:eastAsia="zh-CN" w:bidi="ar"/>
              </w:rPr>
              <w:t>黑色粉末</w:t>
            </w:r>
          </w:p>
        </w:tc>
      </w:tr>
      <w:tr>
        <w:tblPrEx>
          <w:tblCellMar>
            <w:top w:w="0" w:type="dxa"/>
            <w:left w:w="108" w:type="dxa"/>
            <w:bottom w:w="0" w:type="dxa"/>
            <w:right w:w="108" w:type="dxa"/>
          </w:tblCellMar>
        </w:tblPrEx>
        <w:trPr>
          <w:trHeight w:val="355" w:hRule="atLeast"/>
        </w:trPr>
        <w:tc>
          <w:tcPr>
            <w:tcW w:w="1033" w:type="dxa"/>
            <w:vMerge w:val="restart"/>
            <w:tcBorders>
              <w:top w:val="single" w:color="auto" w:sz="4" w:space="0"/>
              <w:left w:val="single" w:color="auto" w:sz="4" w:space="0"/>
              <w:right w:val="single" w:color="auto" w:sz="4" w:space="0"/>
            </w:tcBorders>
            <w:vAlign w:val="center"/>
          </w:tcPr>
          <w:p>
            <w:pPr>
              <w:jc w:val="center"/>
              <w:rPr>
                <w:rFonts w:hint="eastAsia" w:ascii="Times New Roman" w:hAnsi="Times New Roman" w:eastAsia="宋体" w:cs="Times New Roman"/>
                <w:b/>
                <w:bCs/>
                <w:color w:val="000000"/>
                <w:kern w:val="0"/>
                <w:szCs w:val="21"/>
                <w:lang w:val="en-US" w:eastAsia="zh-CN"/>
              </w:rPr>
            </w:pPr>
            <w:r>
              <w:rPr>
                <w:rFonts w:hint="eastAsia" w:ascii="Times New Roman" w:hAnsi="Times New Roman" w:eastAsia="宋体" w:cs="Times New Roman"/>
                <w:b/>
                <w:bCs/>
                <w:color w:val="000000"/>
                <w:kern w:val="0"/>
                <w:szCs w:val="21"/>
                <w:lang w:val="en-US" w:eastAsia="zh-CN"/>
              </w:rPr>
              <w:t>电化学性能</w:t>
            </w:r>
          </w:p>
        </w:tc>
        <w:tc>
          <w:tcPr>
            <w:tcW w:w="24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
                <w:bCs/>
                <w:color w:val="000000"/>
                <w:kern w:val="0"/>
                <w:szCs w:val="21"/>
                <w:shd w:val="clear" w:fill="FFFF00"/>
              </w:rPr>
            </w:pPr>
            <w:r>
              <w:rPr>
                <w:rFonts w:hint="eastAsia" w:ascii="宋体" w:hAnsi="宋体" w:eastAsia="宋体" w:cs="宋体"/>
                <w:b/>
                <w:bCs/>
                <w:i w:val="0"/>
                <w:iCs w:val="0"/>
                <w:color w:val="000000"/>
                <w:kern w:val="0"/>
                <w:sz w:val="22"/>
                <w:szCs w:val="22"/>
                <w:u w:val="none"/>
                <w:lang w:val="en-US" w:eastAsia="zh-CN" w:bidi="ar"/>
              </w:rPr>
              <w:t>充电截止电压</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spacing w:val="7"/>
                <w:szCs w:val="21"/>
              </w:rPr>
            </w:pPr>
            <w:r>
              <w:rPr>
                <w:rFonts w:hint="default" w:ascii="Times New Roman" w:hAnsi="Times New Roman" w:eastAsia="宋体" w:cs="Times New Roman"/>
                <w:i w:val="0"/>
                <w:iCs w:val="0"/>
                <w:color w:val="000000"/>
                <w:kern w:val="0"/>
                <w:sz w:val="22"/>
                <w:szCs w:val="22"/>
                <w:u w:val="none"/>
                <w:lang w:val="en-US" w:eastAsia="zh-CN" w:bidi="ar"/>
              </w:rPr>
              <w:t>V</w:t>
            </w:r>
          </w:p>
        </w:tc>
        <w:tc>
          <w:tcPr>
            <w:tcW w:w="13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3.95~4.30</w:t>
            </w:r>
          </w:p>
        </w:tc>
        <w:tc>
          <w:tcPr>
            <w:tcW w:w="15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355" w:hRule="atLeast"/>
        </w:trPr>
        <w:tc>
          <w:tcPr>
            <w:tcW w:w="1033" w:type="dxa"/>
            <w:vMerge w:val="continue"/>
            <w:tcBorders>
              <w:left w:val="single" w:color="auto" w:sz="4" w:space="0"/>
              <w:right w:val="single" w:color="auto" w:sz="4" w:space="0"/>
            </w:tcBorders>
            <w:vAlign w:val="center"/>
          </w:tcPr>
          <w:p>
            <w:pPr>
              <w:jc w:val="center"/>
              <w:rPr>
                <w:rFonts w:hint="eastAsia" w:ascii="Times New Roman" w:hAnsi="Times New Roman" w:eastAsia="宋体" w:cs="Times New Roman"/>
                <w:b/>
                <w:bCs/>
                <w:color w:val="000000"/>
                <w:kern w:val="0"/>
                <w:szCs w:val="21"/>
                <w:lang w:val="en-US" w:eastAsia="zh-CN"/>
              </w:rPr>
            </w:pPr>
          </w:p>
        </w:tc>
        <w:tc>
          <w:tcPr>
            <w:tcW w:w="24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
                <w:bCs/>
                <w:color w:val="000000"/>
                <w:kern w:val="0"/>
                <w:szCs w:val="21"/>
                <w:shd w:val="clear" w:fill="FFFF00"/>
              </w:rPr>
            </w:pPr>
            <w:r>
              <w:rPr>
                <w:rStyle w:val="76"/>
                <w:b/>
                <w:bCs/>
                <w:lang w:val="en-US" w:eastAsia="zh-CN" w:bidi="ar"/>
              </w:rPr>
              <w:t>放电截止电压</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spacing w:val="7"/>
                <w:szCs w:val="21"/>
              </w:rPr>
            </w:pPr>
            <w:r>
              <w:rPr>
                <w:rFonts w:hint="default" w:ascii="Times New Roman" w:hAnsi="Times New Roman" w:eastAsia="宋体" w:cs="Times New Roman"/>
                <w:i w:val="0"/>
                <w:iCs w:val="0"/>
                <w:color w:val="000000"/>
                <w:kern w:val="0"/>
                <w:sz w:val="22"/>
                <w:szCs w:val="22"/>
                <w:u w:val="none"/>
                <w:lang w:val="en-US" w:eastAsia="zh-CN" w:bidi="ar"/>
              </w:rPr>
              <w:t>V</w:t>
            </w:r>
          </w:p>
        </w:tc>
        <w:tc>
          <w:tcPr>
            <w:tcW w:w="13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1.5~2.0</w:t>
            </w:r>
          </w:p>
        </w:tc>
        <w:tc>
          <w:tcPr>
            <w:tcW w:w="15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355" w:hRule="atLeast"/>
        </w:trPr>
        <w:tc>
          <w:tcPr>
            <w:tcW w:w="1033" w:type="dxa"/>
            <w:vMerge w:val="continue"/>
            <w:tcBorders>
              <w:left w:val="single" w:color="auto" w:sz="4" w:space="0"/>
              <w:right w:val="single" w:color="auto" w:sz="4" w:space="0"/>
            </w:tcBorders>
            <w:vAlign w:val="center"/>
          </w:tcPr>
          <w:p>
            <w:pPr>
              <w:jc w:val="center"/>
              <w:rPr>
                <w:rFonts w:hint="eastAsia" w:ascii="Times New Roman" w:hAnsi="Times New Roman" w:eastAsia="宋体" w:cs="Times New Roman"/>
                <w:b/>
                <w:bCs/>
                <w:color w:val="000000"/>
                <w:kern w:val="0"/>
                <w:szCs w:val="21"/>
                <w:lang w:val="en-US" w:eastAsia="zh-CN"/>
              </w:rPr>
            </w:pPr>
          </w:p>
        </w:tc>
        <w:tc>
          <w:tcPr>
            <w:tcW w:w="24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auto"/>
                <w:kern w:val="0"/>
                <w:szCs w:val="21"/>
              </w:rPr>
            </w:pPr>
            <w:r>
              <w:rPr>
                <w:rFonts w:hint="eastAsia" w:ascii="Times New Roman" w:hAnsi="Times New Roman" w:eastAsia="宋体" w:cs="Times New Roman"/>
                <w:b/>
                <w:bCs/>
                <w:color w:val="auto"/>
                <w:kern w:val="0"/>
                <w:szCs w:val="21"/>
                <w:shd w:val="clear"/>
              </w:rPr>
              <w:t>0.</w:t>
            </w:r>
            <w:r>
              <w:rPr>
                <w:rFonts w:ascii="Times New Roman" w:hAnsi="Times New Roman" w:eastAsia="宋体" w:cs="Times New Roman"/>
                <w:b/>
                <w:bCs/>
                <w:color w:val="auto"/>
                <w:kern w:val="0"/>
                <w:szCs w:val="21"/>
                <w:shd w:val="clear"/>
              </w:rPr>
              <w:t>1</w:t>
            </w:r>
            <w:r>
              <w:rPr>
                <w:rFonts w:hint="eastAsia" w:ascii="Times New Roman" w:hAnsi="Times New Roman" w:eastAsia="宋体" w:cs="Times New Roman"/>
                <w:b/>
                <w:bCs/>
                <w:color w:val="auto"/>
                <w:kern w:val="0"/>
                <w:szCs w:val="21"/>
                <w:shd w:val="clear"/>
              </w:rPr>
              <w:t>C</w:t>
            </w:r>
            <w:r>
              <w:rPr>
                <w:rFonts w:ascii="Times New Roman" w:hAnsi="Times New Roman" w:eastAsia="宋体" w:cs="Times New Roman"/>
                <w:b/>
                <w:bCs/>
                <w:color w:val="auto"/>
                <w:kern w:val="0"/>
                <w:szCs w:val="21"/>
              </w:rPr>
              <w:t>首次放电比容量</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spacing w:val="7"/>
                <w:szCs w:val="21"/>
              </w:rPr>
              <w:t>mAh/g</w:t>
            </w:r>
          </w:p>
        </w:tc>
        <w:tc>
          <w:tcPr>
            <w:tcW w:w="13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132</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110</w:t>
            </w:r>
          </w:p>
        </w:tc>
        <w:tc>
          <w:tcPr>
            <w:tcW w:w="15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130.0</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135~140m</w:t>
            </w:r>
          </w:p>
        </w:tc>
      </w:tr>
      <w:tr>
        <w:tblPrEx>
          <w:tblCellMar>
            <w:top w:w="0" w:type="dxa"/>
            <w:left w:w="108" w:type="dxa"/>
            <w:bottom w:w="0" w:type="dxa"/>
            <w:right w:w="108" w:type="dxa"/>
          </w:tblCellMar>
        </w:tblPrEx>
        <w:trPr>
          <w:trHeight w:val="321" w:hRule="atLeast"/>
        </w:trPr>
        <w:tc>
          <w:tcPr>
            <w:tcW w:w="1033" w:type="dxa"/>
            <w:vMerge w:val="continue"/>
            <w:tcBorders>
              <w:left w:val="single" w:color="auto" w:sz="4" w:space="0"/>
              <w:right w:val="single" w:color="auto" w:sz="4" w:space="0"/>
            </w:tcBorders>
            <w:vAlign w:val="center"/>
          </w:tcPr>
          <w:p>
            <w:pPr>
              <w:jc w:val="center"/>
              <w:rPr>
                <w:rFonts w:ascii="Times New Roman" w:hAnsi="Times New Roman" w:eastAsia="宋体" w:cs="Times New Roman"/>
                <w:b/>
                <w:bCs/>
                <w:color w:val="000000"/>
                <w:kern w:val="0"/>
                <w:szCs w:val="21"/>
              </w:rPr>
            </w:pPr>
          </w:p>
        </w:tc>
        <w:tc>
          <w:tcPr>
            <w:tcW w:w="24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auto"/>
                <w:kern w:val="0"/>
                <w:szCs w:val="21"/>
              </w:rPr>
            </w:pPr>
            <w:r>
              <w:rPr>
                <w:rFonts w:hint="eastAsia" w:ascii="Times New Roman" w:hAnsi="Times New Roman" w:eastAsia="宋体" w:cs="Times New Roman"/>
                <w:b/>
                <w:bCs/>
                <w:color w:val="auto"/>
                <w:kern w:val="0"/>
                <w:szCs w:val="21"/>
                <w:shd w:val="clear"/>
              </w:rPr>
              <w:t>0.</w:t>
            </w:r>
            <w:r>
              <w:rPr>
                <w:rFonts w:ascii="Times New Roman" w:hAnsi="Times New Roman" w:eastAsia="宋体" w:cs="Times New Roman"/>
                <w:b/>
                <w:bCs/>
                <w:color w:val="auto"/>
                <w:kern w:val="0"/>
                <w:szCs w:val="21"/>
                <w:shd w:val="clear"/>
              </w:rPr>
              <w:t>1</w:t>
            </w:r>
            <w:r>
              <w:rPr>
                <w:rFonts w:hint="eastAsia" w:ascii="Times New Roman" w:hAnsi="Times New Roman" w:eastAsia="宋体" w:cs="Times New Roman"/>
                <w:b/>
                <w:bCs/>
                <w:color w:val="auto"/>
                <w:kern w:val="0"/>
                <w:szCs w:val="21"/>
                <w:shd w:val="clear"/>
              </w:rPr>
              <w:t>C</w:t>
            </w:r>
            <w:r>
              <w:rPr>
                <w:rFonts w:ascii="Times New Roman" w:hAnsi="Times New Roman" w:eastAsia="宋体" w:cs="Times New Roman"/>
                <w:b/>
                <w:bCs/>
                <w:color w:val="auto"/>
                <w:kern w:val="0"/>
                <w:szCs w:val="21"/>
              </w:rPr>
              <w:t>首次充放电效率</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spacing w:val="7"/>
                <w:szCs w:val="21"/>
              </w:rPr>
              <w:t>%</w:t>
            </w:r>
          </w:p>
        </w:tc>
        <w:tc>
          <w:tcPr>
            <w:tcW w:w="13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92</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85</w:t>
            </w:r>
          </w:p>
        </w:tc>
        <w:tc>
          <w:tcPr>
            <w:tcW w:w="15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80"/>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93.0</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93~96</w:t>
            </w:r>
          </w:p>
        </w:tc>
      </w:tr>
      <w:tr>
        <w:tblPrEx>
          <w:tblCellMar>
            <w:top w:w="0" w:type="dxa"/>
            <w:left w:w="108" w:type="dxa"/>
            <w:bottom w:w="0" w:type="dxa"/>
            <w:right w:w="108" w:type="dxa"/>
          </w:tblCellMar>
        </w:tblPrEx>
        <w:trPr>
          <w:trHeight w:val="941" w:hRule="atLeast"/>
        </w:trPr>
        <w:tc>
          <w:tcPr>
            <w:tcW w:w="1033"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Cs w:val="21"/>
              </w:rPr>
            </w:pPr>
          </w:p>
        </w:tc>
        <w:tc>
          <w:tcPr>
            <w:tcW w:w="24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auto"/>
                <w:kern w:val="0"/>
                <w:szCs w:val="21"/>
              </w:rPr>
            </w:pPr>
            <w:r>
              <w:rPr>
                <w:rFonts w:hint="eastAsia" w:ascii="Times New Roman" w:hAnsi="Times New Roman" w:eastAsia="宋体" w:cs="Times New Roman"/>
                <w:b/>
                <w:bCs/>
                <w:color w:val="auto"/>
                <w:kern w:val="0"/>
                <w:szCs w:val="21"/>
              </w:rPr>
              <w:t>循环寿命</w:t>
            </w:r>
          </w:p>
          <w:p>
            <w:pPr>
              <w:widowControl/>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 w:val="20"/>
                <w:szCs w:val="20"/>
              </w:rPr>
              <w:t>（</w:t>
            </w:r>
            <w:r>
              <w:rPr>
                <w:rFonts w:hint="eastAsia" w:ascii="Times New Roman" w:hAnsi="Times New Roman" w:eastAsia="宋体" w:cs="Times New Roman"/>
                <w:color w:val="auto"/>
                <w:kern w:val="0"/>
                <w:sz w:val="20"/>
                <w:szCs w:val="20"/>
                <w:shd w:val="clear"/>
              </w:rPr>
              <w:t>默认</w:t>
            </w:r>
            <w:r>
              <w:rPr>
                <w:rFonts w:hint="eastAsia" w:ascii="Times New Roman" w:hAnsi="Times New Roman" w:eastAsia="宋体" w:cs="Times New Roman"/>
                <w:color w:val="auto"/>
                <w:kern w:val="0"/>
                <w:sz w:val="20"/>
                <w:szCs w:val="20"/>
                <w:shd w:val="clear"/>
                <w:lang w:val="en-US" w:eastAsia="zh-CN"/>
              </w:rPr>
              <w:t>0.1</w:t>
            </w:r>
            <w:r>
              <w:rPr>
                <w:rFonts w:ascii="Times New Roman" w:hAnsi="Times New Roman" w:eastAsia="宋体" w:cs="Times New Roman"/>
                <w:color w:val="auto"/>
                <w:kern w:val="0"/>
                <w:sz w:val="20"/>
                <w:szCs w:val="20"/>
                <w:shd w:val="clear"/>
              </w:rPr>
              <w:t>C倍率，80%</w:t>
            </w:r>
            <w:r>
              <w:rPr>
                <w:rFonts w:hint="eastAsia" w:ascii="Times New Roman" w:hAnsi="Times New Roman" w:eastAsia="宋体" w:cs="Times New Roman"/>
                <w:color w:val="auto"/>
                <w:kern w:val="0"/>
                <w:sz w:val="20"/>
                <w:szCs w:val="20"/>
                <w:shd w:val="clear"/>
              </w:rPr>
              <w:t>，其它倍率请备注）</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pacing w:val="7"/>
                <w:szCs w:val="21"/>
              </w:rPr>
            </w:pPr>
            <w:r>
              <w:rPr>
                <w:rFonts w:hint="eastAsia" w:ascii="Times New Roman" w:hAnsi="Times New Roman" w:eastAsia="宋体" w:cs="Times New Roman"/>
                <w:spacing w:val="7"/>
                <w:szCs w:val="21"/>
              </w:rPr>
              <w:t>次</w:t>
            </w:r>
          </w:p>
        </w:tc>
        <w:tc>
          <w:tcPr>
            <w:tcW w:w="136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color w:val="000000"/>
                <w:kern w:val="0"/>
                <w:szCs w:val="21"/>
                <w:lang w:val="en-US" w:eastAsia="zh-CN"/>
              </w:rPr>
            </w:pPr>
            <w:r>
              <w:rPr>
                <w:rFonts w:hint="eastAsia" w:ascii="Times New Roman" w:hAnsi="Times New Roman" w:eastAsia="宋体" w:cs="Times New Roman"/>
                <w:b/>
                <w:bCs/>
                <w:color w:val="000000"/>
                <w:kern w:val="0"/>
                <w:szCs w:val="21"/>
                <w:lang w:val="en-US" w:eastAsia="zh-CN"/>
              </w:rPr>
              <w:t>-</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300</w:t>
            </w:r>
          </w:p>
        </w:tc>
        <w:tc>
          <w:tcPr>
            <w:tcW w:w="15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80"/>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℃循环</w:t>
            </w:r>
            <w:r>
              <w:rPr>
                <w:rFonts w:hint="default" w:ascii="Times New Roman" w:hAnsi="Times New Roman" w:eastAsia="宋体" w:cs="Times New Roman"/>
                <w:i w:val="0"/>
                <w:iCs w:val="0"/>
                <w:color w:val="000000"/>
                <w:kern w:val="0"/>
                <w:sz w:val="21"/>
                <w:szCs w:val="21"/>
                <w:u w:val="none"/>
                <w:lang w:val="en-US" w:eastAsia="zh-CN" w:bidi="ar"/>
              </w:rPr>
              <w:t>80</w:t>
            </w:r>
            <w:r>
              <w:rPr>
                <w:rFonts w:hint="eastAsia" w:ascii="宋体" w:hAnsi="宋体" w:eastAsia="宋体" w:cs="宋体"/>
                <w:i w:val="0"/>
                <w:iCs w:val="0"/>
                <w:color w:val="000000"/>
                <w:kern w:val="0"/>
                <w:sz w:val="21"/>
                <w:szCs w:val="21"/>
                <w:u w:val="none"/>
                <w:lang w:val="en-US" w:eastAsia="zh-CN" w:bidi="ar"/>
              </w:rPr>
              <w:t>次容量保持率≥</w:t>
            </w:r>
            <w:r>
              <w:rPr>
                <w:rFonts w:hint="default" w:ascii="Times New Roman" w:hAnsi="Times New Roman" w:eastAsia="宋体" w:cs="Times New Roman"/>
                <w:i w:val="0"/>
                <w:iCs w:val="0"/>
                <w:color w:val="000000"/>
                <w:kern w:val="0"/>
                <w:sz w:val="21"/>
                <w:szCs w:val="21"/>
                <w:u w:val="none"/>
                <w:lang w:val="en-US" w:eastAsia="zh-CN" w:bidi="ar"/>
              </w:rPr>
              <w:t>90%</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1500</w:t>
            </w:r>
          </w:p>
        </w:tc>
      </w:tr>
      <w:tr>
        <w:tblPrEx>
          <w:tblCellMar>
            <w:top w:w="0" w:type="dxa"/>
            <w:left w:w="108" w:type="dxa"/>
            <w:bottom w:w="0" w:type="dxa"/>
            <w:right w:w="108" w:type="dxa"/>
          </w:tblCellMar>
        </w:tblPrEx>
        <w:trPr>
          <w:trHeight w:val="593" w:hRule="atLeast"/>
        </w:trPr>
        <w:tc>
          <w:tcPr>
            <w:tcW w:w="1033"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Cs w:val="21"/>
              </w:rPr>
            </w:pPr>
          </w:p>
        </w:tc>
        <w:tc>
          <w:tcPr>
            <w:tcW w:w="2426" w:type="dxa"/>
            <w:gridSpan w:val="2"/>
            <w:tcBorders>
              <w:top w:val="single" w:color="auto"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b/>
                <w:bCs/>
                <w:color w:val="000000"/>
                <w:kern w:val="0"/>
                <w:szCs w:val="21"/>
              </w:rPr>
            </w:pPr>
            <w:r>
              <w:rPr>
                <w:rFonts w:hint="eastAsia" w:ascii="Times New Roman" w:hAnsi="Times New Roman" w:eastAsia="宋体" w:cs="Times New Roman"/>
                <w:b/>
                <w:bCs/>
                <w:color w:val="000000"/>
                <w:kern w:val="0"/>
                <w:szCs w:val="21"/>
              </w:rPr>
              <w:t>......</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pacing w:val="7"/>
                <w:szCs w:val="21"/>
              </w:rPr>
            </w:pPr>
          </w:p>
        </w:tc>
        <w:tc>
          <w:tcPr>
            <w:tcW w:w="136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Cs w:val="21"/>
              </w:rPr>
            </w:pP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p>
        </w:tc>
        <w:tc>
          <w:tcPr>
            <w:tcW w:w="15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79"/>
                <w:rFonts w:eastAsia="宋体"/>
                <w:lang w:val="en-US" w:eastAsia="zh-CN" w:bidi="ar"/>
              </w:rPr>
            </w:pP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p>
        </w:tc>
      </w:tr>
    </w:tbl>
    <w:p>
      <w:pPr>
        <w:keepNext w:val="0"/>
        <w:keepLines w:val="0"/>
        <w:pageBreakBefore w:val="0"/>
        <w:widowControl w:val="0"/>
        <w:kinsoku/>
        <w:wordWrap/>
        <w:overflowPunct/>
        <w:topLinePunct w:val="0"/>
        <w:autoSpaceDE/>
        <w:autoSpaceDN/>
        <w:bidi w:val="0"/>
        <w:adjustRightInd/>
        <w:snapToGrid/>
        <w:textAlignment w:val="auto"/>
        <w:rPr>
          <w:color w:val="0000FF"/>
          <w:sz w:val="21"/>
          <w:szCs w:val="21"/>
        </w:rPr>
      </w:pPr>
    </w:p>
    <w:p>
      <w:pPr>
        <w:widowControl w:val="0"/>
        <w:spacing w:before="156" w:beforeLines="50" w:after="156" w:afterLines="50"/>
        <w:jc w:val="both"/>
        <w:outlineLvl w:val="1"/>
        <w:rPr>
          <w:b/>
          <w:bCs/>
          <w:color w:val="auto"/>
          <w:sz w:val="21"/>
          <w:szCs w:val="21"/>
        </w:rPr>
      </w:pPr>
      <w:r>
        <w:rPr>
          <w:b/>
          <w:bCs/>
          <w:color w:val="auto"/>
          <w:sz w:val="21"/>
          <w:szCs w:val="21"/>
        </w:rPr>
        <w:t xml:space="preserve">3.2 </w:t>
      </w:r>
      <w:r>
        <w:rPr>
          <w:rFonts w:hint="eastAsia"/>
          <w:b/>
          <w:bCs/>
          <w:color w:val="auto"/>
          <w:sz w:val="21"/>
          <w:szCs w:val="21"/>
        </w:rPr>
        <w:t>技术要求</w:t>
      </w:r>
    </w:p>
    <w:p>
      <w:pPr>
        <w:pStyle w:val="59"/>
        <w:numPr>
          <w:ilvl w:val="2"/>
          <w:numId w:val="0"/>
        </w:numPr>
        <w:spacing w:before="156" w:beforeLines="50" w:after="156" w:afterLines="50"/>
        <w:ind w:left="0" w:leftChars="0" w:firstLine="0" w:firstLineChars="0"/>
        <w:outlineLvl w:val="2"/>
        <w:rPr>
          <w:b/>
          <w:bCs/>
          <w:color w:val="auto"/>
          <w:szCs w:val="21"/>
        </w:rPr>
      </w:pPr>
      <w:r>
        <w:rPr>
          <w:rFonts w:hint="eastAsia" w:cs="Times New Roman"/>
          <w:b/>
          <w:bCs/>
          <w:color w:val="auto"/>
          <w:kern w:val="2"/>
          <w:sz w:val="21"/>
          <w:szCs w:val="21"/>
          <w:lang w:val="en-US" w:eastAsia="zh-CN" w:bidi="ar-SA"/>
        </w:rPr>
        <w:t>3.2</w:t>
      </w:r>
      <w:r>
        <w:rPr>
          <w:rFonts w:hint="eastAsia" w:ascii="Times New Roman" w:hAnsi="Times New Roman" w:eastAsia="宋体" w:cs="Times New Roman"/>
          <w:b/>
          <w:bCs/>
          <w:color w:val="auto"/>
          <w:kern w:val="2"/>
          <w:sz w:val="21"/>
          <w:szCs w:val="21"/>
          <w:lang w:val="en-US" w:eastAsia="zh-CN" w:bidi="ar-SA"/>
        </w:rPr>
        <w:t>.1</w:t>
      </w:r>
      <w:r>
        <w:rPr>
          <w:rFonts w:hint="eastAsia"/>
          <w:b/>
          <w:bCs/>
          <w:color w:val="auto"/>
          <w:szCs w:val="21"/>
        </w:rPr>
        <w:t xml:space="preserve"> 化学成分</w:t>
      </w:r>
    </w:p>
    <w:p>
      <w:pPr>
        <w:ind w:firstLine="420" w:firstLineChars="200"/>
        <w:jc w:val="both"/>
        <w:rPr>
          <w:color w:val="auto"/>
          <w:sz w:val="21"/>
          <w:szCs w:val="21"/>
        </w:rPr>
      </w:pPr>
      <w:r>
        <w:rPr>
          <w:rFonts w:hint="eastAsia"/>
          <w:color w:val="auto"/>
          <w:sz w:val="21"/>
          <w:szCs w:val="21"/>
        </w:rPr>
        <w:t>本标准根据市场现有的</w:t>
      </w:r>
      <w:r>
        <w:rPr>
          <w:rFonts w:hint="eastAsia"/>
          <w:color w:val="auto"/>
          <w:sz w:val="21"/>
          <w:szCs w:val="21"/>
          <w:lang w:eastAsia="zh-CN"/>
        </w:rPr>
        <w:t>镍铜铁锰酸钠</w:t>
      </w:r>
      <w:r>
        <w:rPr>
          <w:rFonts w:hint="eastAsia"/>
          <w:color w:val="auto"/>
          <w:sz w:val="21"/>
          <w:szCs w:val="21"/>
        </w:rPr>
        <w:t>，规定了主元素含量范围。各类产品中基体成分含量同时采用基体中各元素合量和物质的量分数两种方式来计。基体中各元素合量是质量分数之和，应满足49.1~52.1%。基体中各元素物质的量分数，根据需方对产品各元素比例的具体要求，物质的量分数值公差应不大于±1。需方有特殊要求时，由供需双方协商确定。</w:t>
      </w:r>
    </w:p>
    <w:p>
      <w:pPr>
        <w:ind w:firstLine="420" w:firstLineChars="200"/>
        <w:jc w:val="both"/>
        <w:rPr>
          <w:color w:val="auto"/>
          <w:sz w:val="21"/>
          <w:szCs w:val="21"/>
        </w:rPr>
      </w:pPr>
      <w:r>
        <w:rPr>
          <w:rFonts w:hint="eastAsia"/>
          <w:color w:val="auto"/>
          <w:sz w:val="21"/>
          <w:szCs w:val="21"/>
        </w:rPr>
        <w:t>需方有特殊要求时，按供需双方协商的杂质元素种类进行测试。</w:t>
      </w:r>
    </w:p>
    <w:p>
      <w:pPr>
        <w:ind w:firstLine="420" w:firstLineChars="200"/>
        <w:jc w:val="both"/>
        <w:rPr>
          <w:color w:val="auto"/>
          <w:sz w:val="21"/>
          <w:szCs w:val="21"/>
        </w:rPr>
      </w:pPr>
      <w:r>
        <w:rPr>
          <w:rFonts w:hint="eastAsia"/>
          <w:color w:val="auto"/>
          <w:sz w:val="21"/>
          <w:szCs w:val="21"/>
        </w:rPr>
        <w:t>产品的化学成分应符合表</w:t>
      </w:r>
      <w:r>
        <w:rPr>
          <w:color w:val="auto"/>
          <w:sz w:val="21"/>
          <w:szCs w:val="21"/>
        </w:rPr>
        <w:t>2</w:t>
      </w:r>
      <w:r>
        <w:rPr>
          <w:rFonts w:hint="eastAsia"/>
          <w:color w:val="auto"/>
          <w:sz w:val="21"/>
          <w:szCs w:val="21"/>
        </w:rPr>
        <w:t>的规定。</w:t>
      </w:r>
    </w:p>
    <w:p>
      <w:pPr>
        <w:tabs>
          <w:tab w:val="center" w:pos="4201"/>
          <w:tab w:val="right" w:leader="dot" w:pos="9298"/>
        </w:tabs>
        <w:autoSpaceDE w:val="0"/>
        <w:autoSpaceDN w:val="0"/>
        <w:spacing w:before="156" w:beforeLines="50" w:after="156" w:afterLines="50"/>
        <w:ind w:right="420"/>
        <w:jc w:val="center"/>
        <w:rPr>
          <w:rFonts w:hint="eastAsia"/>
          <w:b/>
          <w:bCs/>
          <w:color w:val="auto"/>
          <w:sz w:val="21"/>
          <w:szCs w:val="21"/>
        </w:rPr>
      </w:pPr>
      <w:r>
        <w:rPr>
          <w:rFonts w:hint="eastAsia"/>
          <w:b/>
          <w:bCs/>
          <w:color w:val="auto"/>
          <w:sz w:val="21"/>
          <w:szCs w:val="21"/>
        </w:rPr>
        <w:t>表</w:t>
      </w:r>
      <w:r>
        <w:rPr>
          <w:b/>
          <w:bCs/>
          <w:color w:val="auto"/>
          <w:sz w:val="21"/>
          <w:szCs w:val="21"/>
        </w:rPr>
        <w:t>2</w:t>
      </w:r>
      <w:r>
        <w:rPr>
          <w:rFonts w:hint="eastAsia"/>
          <w:b/>
          <w:bCs/>
          <w:color w:val="auto"/>
          <w:sz w:val="21"/>
          <w:szCs w:val="21"/>
        </w:rPr>
        <w:t xml:space="preserve">  化学成分</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0" w:type="dxa"/>
            <w:gridSpan w:val="2"/>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化学成分</w:t>
            </w:r>
          </w:p>
        </w:tc>
        <w:tc>
          <w:tcPr>
            <w:tcW w:w="3191" w:type="dxa"/>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含量，质量分数/%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restart"/>
            <w:vAlign w:val="center"/>
          </w:tcPr>
          <w:p>
            <w:pPr>
              <w:jc w:val="center"/>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主元素含量</w:t>
            </w:r>
          </w:p>
        </w:tc>
        <w:tc>
          <w:tcPr>
            <w:tcW w:w="3190"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i w:val="0"/>
                <w:iCs w:val="0"/>
                <w:color w:val="000000"/>
                <w:kern w:val="0"/>
                <w:sz w:val="21"/>
                <w:szCs w:val="21"/>
                <w:u w:val="none"/>
                <w:lang w:val="en-US" w:eastAsia="zh-CN" w:bidi="ar"/>
              </w:rPr>
              <w:t>镍（</w:t>
            </w:r>
            <w:r>
              <w:rPr>
                <w:rFonts w:hint="default" w:ascii="Times New Roman" w:hAnsi="Times New Roman" w:eastAsia="宋体" w:cs="Times New Roman"/>
                <w:i w:val="0"/>
                <w:iCs w:val="0"/>
                <w:color w:val="000000"/>
                <w:kern w:val="0"/>
                <w:sz w:val="21"/>
                <w:szCs w:val="21"/>
                <w:u w:val="none"/>
                <w:lang w:val="en-US" w:eastAsia="zh-CN" w:bidi="ar"/>
              </w:rPr>
              <w:t>Ni</w:t>
            </w:r>
            <w:r>
              <w:rPr>
                <w:rFonts w:hint="eastAsia" w:cs="Times New Roman"/>
                <w:i w:val="0"/>
                <w:iCs w:val="0"/>
                <w:color w:val="000000"/>
                <w:kern w:val="0"/>
                <w:sz w:val="21"/>
                <w:szCs w:val="21"/>
                <w:u w:val="none"/>
                <w:lang w:val="en-US" w:eastAsia="zh-CN" w:bidi="ar"/>
              </w:rPr>
              <w:t>）</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tcPr>
          <w:p>
            <w:pPr>
              <w:rPr>
                <w:rFonts w:hint="default" w:ascii="Times New Roman" w:hAnsi="Times New Roman" w:cs="Times New Roman" w:eastAsiaTheme="minorEastAsia"/>
                <w:sz w:val="21"/>
                <w:szCs w:val="21"/>
              </w:rPr>
            </w:pPr>
          </w:p>
        </w:tc>
        <w:tc>
          <w:tcPr>
            <w:tcW w:w="3190"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i w:val="0"/>
                <w:iCs w:val="0"/>
                <w:color w:val="000000"/>
                <w:kern w:val="0"/>
                <w:sz w:val="21"/>
                <w:szCs w:val="21"/>
                <w:u w:val="none"/>
                <w:lang w:val="en-US" w:eastAsia="zh-CN" w:bidi="ar"/>
              </w:rPr>
              <w:t>铜（</w:t>
            </w:r>
            <w:r>
              <w:rPr>
                <w:rFonts w:hint="default" w:ascii="Times New Roman" w:hAnsi="Times New Roman" w:eastAsia="宋体" w:cs="Times New Roman"/>
                <w:i w:val="0"/>
                <w:iCs w:val="0"/>
                <w:color w:val="000000"/>
                <w:kern w:val="0"/>
                <w:sz w:val="21"/>
                <w:szCs w:val="21"/>
                <w:u w:val="none"/>
                <w:lang w:val="en-US" w:eastAsia="zh-CN" w:bidi="ar"/>
              </w:rPr>
              <w:t>Cu</w:t>
            </w:r>
            <w:r>
              <w:rPr>
                <w:rFonts w:hint="eastAsia" w:cs="Times New Roman"/>
                <w:i w:val="0"/>
                <w:iCs w:val="0"/>
                <w:color w:val="000000"/>
                <w:kern w:val="0"/>
                <w:sz w:val="21"/>
                <w:szCs w:val="21"/>
                <w:u w:val="none"/>
                <w:lang w:val="en-US" w:eastAsia="zh-CN" w:bidi="ar"/>
              </w:rPr>
              <w:t>）</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tcPr>
          <w:p>
            <w:pPr>
              <w:rPr>
                <w:rFonts w:hint="default" w:ascii="Times New Roman" w:hAnsi="Times New Roman" w:cs="Times New Roman" w:eastAsiaTheme="minorEastAsia"/>
                <w:sz w:val="21"/>
                <w:szCs w:val="21"/>
              </w:rPr>
            </w:pPr>
          </w:p>
        </w:tc>
        <w:tc>
          <w:tcPr>
            <w:tcW w:w="3190"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i w:val="0"/>
                <w:iCs w:val="0"/>
                <w:color w:val="000000"/>
                <w:kern w:val="0"/>
                <w:sz w:val="21"/>
                <w:szCs w:val="21"/>
                <w:u w:val="none"/>
                <w:lang w:val="en-US" w:eastAsia="zh-CN" w:bidi="ar"/>
              </w:rPr>
              <w:t>铁（</w:t>
            </w:r>
            <w:r>
              <w:rPr>
                <w:rFonts w:hint="default" w:ascii="Times New Roman" w:hAnsi="Times New Roman" w:eastAsia="宋体" w:cs="Times New Roman"/>
                <w:i w:val="0"/>
                <w:iCs w:val="0"/>
                <w:color w:val="000000"/>
                <w:kern w:val="0"/>
                <w:sz w:val="21"/>
                <w:szCs w:val="21"/>
                <w:u w:val="none"/>
                <w:lang w:val="en-US" w:eastAsia="zh-CN" w:bidi="ar"/>
              </w:rPr>
              <w:t>Fe</w:t>
            </w:r>
            <w:r>
              <w:rPr>
                <w:rFonts w:hint="eastAsia" w:cs="Times New Roman"/>
                <w:i w:val="0"/>
                <w:iCs w:val="0"/>
                <w:color w:val="000000"/>
                <w:kern w:val="0"/>
                <w:sz w:val="21"/>
                <w:szCs w:val="21"/>
                <w:u w:val="none"/>
                <w:lang w:val="en-US" w:eastAsia="zh-CN" w:bidi="ar"/>
              </w:rPr>
              <w:t>）</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8</w:t>
            </w:r>
            <w:r>
              <w:rPr>
                <w:rFonts w:hint="eastAsia" w:cs="Times New Roman"/>
                <w:i w:val="0"/>
                <w:iCs w:val="0"/>
                <w:color w:val="000000"/>
                <w:kern w:val="0"/>
                <w:sz w:val="21"/>
                <w:szCs w:val="21"/>
                <w:u w:val="none"/>
                <w:lang w:val="en-US" w:eastAsia="zh-CN" w:bidi="ar"/>
              </w:rPr>
              <w:t>.0</w:t>
            </w:r>
            <w:bookmarkStart w:id="0" w:name="_GoBack"/>
            <w:bookmarkEnd w:id="0"/>
            <w:r>
              <w:rPr>
                <w:rFonts w:hint="default" w:ascii="Times New Roman" w:hAnsi="Times New Roman" w:eastAsia="宋体" w:cs="Times New Roman"/>
                <w:i w:val="0"/>
                <w:iCs w:val="0"/>
                <w:color w:val="000000"/>
                <w:kern w:val="0"/>
                <w:sz w:val="21"/>
                <w:szCs w:val="21"/>
                <w:u w:val="none"/>
                <w:lang w:val="en-US" w:eastAsia="zh-CN" w:bidi="ar"/>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tcPr>
          <w:p>
            <w:pPr>
              <w:rPr>
                <w:rFonts w:hint="default" w:ascii="Times New Roman" w:hAnsi="Times New Roman" w:cs="Times New Roman" w:eastAsiaTheme="minorEastAsia"/>
                <w:sz w:val="21"/>
                <w:szCs w:val="21"/>
              </w:rPr>
            </w:pPr>
          </w:p>
        </w:tc>
        <w:tc>
          <w:tcPr>
            <w:tcW w:w="3190"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i w:val="0"/>
                <w:iCs w:val="0"/>
                <w:color w:val="000000"/>
                <w:kern w:val="0"/>
                <w:sz w:val="21"/>
                <w:szCs w:val="21"/>
                <w:u w:val="none"/>
                <w:lang w:val="en-US" w:eastAsia="zh-CN" w:bidi="ar"/>
              </w:rPr>
              <w:t>锰（</w:t>
            </w:r>
            <w:r>
              <w:rPr>
                <w:rFonts w:hint="default" w:ascii="Times New Roman" w:hAnsi="Times New Roman" w:eastAsia="宋体" w:cs="Times New Roman"/>
                <w:i w:val="0"/>
                <w:iCs w:val="0"/>
                <w:color w:val="000000"/>
                <w:kern w:val="0"/>
                <w:sz w:val="21"/>
                <w:szCs w:val="21"/>
                <w:u w:val="none"/>
                <w:lang w:val="en-US" w:eastAsia="zh-CN" w:bidi="ar"/>
              </w:rPr>
              <w:t>Mn</w:t>
            </w:r>
            <w:r>
              <w:rPr>
                <w:rFonts w:hint="eastAsia" w:cs="Times New Roman"/>
                <w:i w:val="0"/>
                <w:iCs w:val="0"/>
                <w:color w:val="000000"/>
                <w:kern w:val="0"/>
                <w:sz w:val="21"/>
                <w:szCs w:val="21"/>
                <w:u w:val="none"/>
                <w:lang w:val="en-US" w:eastAsia="zh-CN" w:bidi="ar"/>
              </w:rPr>
              <w:t>）</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15.5~26</w:t>
            </w:r>
            <w:r>
              <w:rPr>
                <w:rFonts w:hint="eastAsia" w:cs="Times New Roman"/>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tcPr>
          <w:p>
            <w:pPr>
              <w:rPr>
                <w:rFonts w:hint="default" w:ascii="Times New Roman" w:hAnsi="Times New Roman" w:cs="Times New Roman" w:eastAsiaTheme="minorEastAsia"/>
                <w:sz w:val="21"/>
                <w:szCs w:val="21"/>
              </w:rPr>
            </w:pPr>
          </w:p>
        </w:tc>
        <w:tc>
          <w:tcPr>
            <w:tcW w:w="3190"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Cu</w:t>
            </w: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Fe</w:t>
            </w: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Mn</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46~70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tcPr>
          <w:p>
            <w:pPr>
              <w:rPr>
                <w:rFonts w:hint="default" w:ascii="Times New Roman" w:hAnsi="Times New Roman" w:cs="Times New Roman" w:eastAsiaTheme="minorEastAsia"/>
                <w:sz w:val="21"/>
                <w:szCs w:val="21"/>
              </w:rPr>
            </w:pPr>
          </w:p>
        </w:tc>
        <w:tc>
          <w:tcPr>
            <w:tcW w:w="3190"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cs="Times New Roman"/>
                <w:i w:val="0"/>
                <w:iCs w:val="0"/>
                <w:color w:val="000000"/>
                <w:kern w:val="0"/>
                <w:sz w:val="21"/>
                <w:szCs w:val="21"/>
                <w:u w:val="none"/>
                <w:lang w:val="en-US" w:eastAsia="zh-CN" w:bidi="ar"/>
              </w:rPr>
              <w:t>钠（</w:t>
            </w:r>
            <w:r>
              <w:rPr>
                <w:rFonts w:hint="default" w:ascii="Times New Roman" w:hAnsi="Times New Roman" w:eastAsia="宋体" w:cs="Times New Roman"/>
                <w:i w:val="0"/>
                <w:iCs w:val="0"/>
                <w:color w:val="000000"/>
                <w:kern w:val="0"/>
                <w:sz w:val="21"/>
                <w:szCs w:val="21"/>
                <w:u w:val="none"/>
                <w:lang w:val="en-US" w:eastAsia="zh-CN" w:bidi="ar"/>
              </w:rPr>
              <w:t>Na</w:t>
            </w:r>
            <w:r>
              <w:rPr>
                <w:rFonts w:hint="eastAsia" w:cs="Times New Roman"/>
                <w:i w:val="0"/>
                <w:iCs w:val="0"/>
                <w:color w:val="000000"/>
                <w:kern w:val="0"/>
                <w:sz w:val="21"/>
                <w:szCs w:val="21"/>
                <w:u w:val="none"/>
                <w:lang w:val="en-US" w:eastAsia="zh-CN" w:bidi="ar"/>
              </w:rPr>
              <w:t>）</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restart"/>
            <w:vAlign w:val="center"/>
          </w:tcPr>
          <w:p>
            <w:pPr>
              <w:jc w:val="center"/>
              <w:rPr>
                <w:rFonts w:hint="default" w:ascii="Times New Roman" w:hAnsi="Times New Roman" w:cs="Times New Roman" w:eastAsiaTheme="minorEastAsia"/>
                <w:sz w:val="21"/>
                <w:szCs w:val="21"/>
              </w:rPr>
            </w:pPr>
            <w:r>
              <w:rPr>
                <w:rFonts w:hint="eastAsia" w:eastAsiaTheme="minorEastAsia"/>
                <w:sz w:val="21"/>
                <w:szCs w:val="21"/>
                <w:lang w:val="en-US" w:eastAsia="zh-CN"/>
              </w:rPr>
              <w:t>其他元素含量</w:t>
            </w:r>
          </w:p>
        </w:tc>
        <w:tc>
          <w:tcPr>
            <w:tcW w:w="3190" w:type="dxa"/>
            <w:vAlign w:val="center"/>
          </w:tcPr>
          <w:p>
            <w:pPr>
              <w:widowControl/>
              <w:jc w:val="center"/>
              <w:textAlignment w:val="center"/>
              <w:rPr>
                <w:rFonts w:hint="eastAsia" w:cs="Times New Roman"/>
                <w:i w:val="0"/>
                <w:iCs w:val="0"/>
                <w:color w:val="000000"/>
                <w:kern w:val="0"/>
                <w:sz w:val="21"/>
                <w:szCs w:val="21"/>
                <w:u w:val="none"/>
                <w:lang w:val="en-US" w:eastAsia="zh-CN" w:bidi="ar"/>
              </w:rPr>
            </w:pPr>
            <w:r>
              <w:rPr>
                <w:rFonts w:hint="default" w:ascii="Times New Roman" w:hAnsi="Times New Roman" w:eastAsia="宋体" w:cs="Times New Roman"/>
                <w:sz w:val="21"/>
                <w:szCs w:val="21"/>
              </w:rPr>
              <w:t>镉（Cd）</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vAlign w:val="top"/>
          </w:tcPr>
          <w:p>
            <w:pPr>
              <w:rPr>
                <w:rFonts w:hint="default" w:ascii="Times New Roman" w:hAnsi="Times New Roman" w:cs="Times New Roman" w:eastAsiaTheme="minorEastAsia"/>
                <w:sz w:val="21"/>
                <w:szCs w:val="21"/>
              </w:rPr>
            </w:pPr>
          </w:p>
        </w:tc>
        <w:tc>
          <w:tcPr>
            <w:tcW w:w="3190" w:type="dxa"/>
            <w:vAlign w:val="center"/>
          </w:tcPr>
          <w:p>
            <w:pPr>
              <w:widowControl/>
              <w:jc w:val="center"/>
              <w:textAlignment w:val="center"/>
              <w:rPr>
                <w:rFonts w:hint="eastAsia" w:cs="Times New Roman"/>
                <w:i w:val="0"/>
                <w:iCs w:val="0"/>
                <w:color w:val="000000"/>
                <w:kern w:val="0"/>
                <w:sz w:val="21"/>
                <w:szCs w:val="21"/>
                <w:u w:val="none"/>
                <w:lang w:val="en-US" w:eastAsia="zh-CN" w:bidi="ar"/>
              </w:rPr>
            </w:pPr>
            <w:r>
              <w:rPr>
                <w:rFonts w:hint="default" w:ascii="Times New Roman" w:hAnsi="Times New Roman" w:eastAsia="宋体" w:cs="Times New Roman"/>
                <w:sz w:val="21"/>
                <w:szCs w:val="21"/>
              </w:rPr>
              <w:t>铬（Cr）</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vAlign w:val="top"/>
          </w:tcPr>
          <w:p>
            <w:pPr>
              <w:rPr>
                <w:rFonts w:hint="default" w:ascii="Times New Roman" w:hAnsi="Times New Roman" w:cs="Times New Roman" w:eastAsiaTheme="minorEastAsia"/>
                <w:sz w:val="21"/>
                <w:szCs w:val="21"/>
              </w:rPr>
            </w:pPr>
          </w:p>
        </w:tc>
        <w:tc>
          <w:tcPr>
            <w:tcW w:w="3190" w:type="dxa"/>
            <w:vAlign w:val="center"/>
          </w:tcPr>
          <w:p>
            <w:pPr>
              <w:widowControl/>
              <w:jc w:val="center"/>
              <w:textAlignment w:val="center"/>
              <w:rPr>
                <w:rFonts w:hint="eastAsia" w:cs="Times New Roman"/>
                <w:i w:val="0"/>
                <w:iCs w:val="0"/>
                <w:color w:val="000000"/>
                <w:kern w:val="0"/>
                <w:sz w:val="21"/>
                <w:szCs w:val="21"/>
                <w:u w:val="none"/>
                <w:lang w:val="en-US" w:eastAsia="zh-CN" w:bidi="ar"/>
              </w:rPr>
            </w:pPr>
            <w:r>
              <w:rPr>
                <w:rFonts w:hint="default" w:ascii="Times New Roman" w:hAnsi="Times New Roman" w:eastAsia="宋体" w:cs="Times New Roman"/>
                <w:sz w:val="21"/>
                <w:szCs w:val="21"/>
              </w:rPr>
              <w:t>铅（Pb）</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vAlign w:val="top"/>
          </w:tcPr>
          <w:p>
            <w:pPr>
              <w:rPr>
                <w:rFonts w:hint="default" w:ascii="Times New Roman" w:hAnsi="Times New Roman" w:cs="Times New Roman" w:eastAsiaTheme="minorEastAsia"/>
                <w:sz w:val="21"/>
                <w:szCs w:val="21"/>
              </w:rPr>
            </w:pPr>
          </w:p>
        </w:tc>
        <w:tc>
          <w:tcPr>
            <w:tcW w:w="3190" w:type="dxa"/>
            <w:vAlign w:val="center"/>
          </w:tcPr>
          <w:p>
            <w:pPr>
              <w:widowControl/>
              <w:jc w:val="center"/>
              <w:textAlignment w:val="center"/>
              <w:rPr>
                <w:rFonts w:hint="eastAsia" w:cs="Times New Roman"/>
                <w:i w:val="0"/>
                <w:iCs w:val="0"/>
                <w:color w:val="000000"/>
                <w:kern w:val="0"/>
                <w:sz w:val="21"/>
                <w:szCs w:val="21"/>
                <w:u w:val="none"/>
                <w:lang w:val="en-US" w:eastAsia="zh-CN" w:bidi="ar"/>
              </w:rPr>
            </w:pPr>
            <w:r>
              <w:rPr>
                <w:rFonts w:hint="default" w:ascii="Times New Roman" w:hAnsi="Times New Roman" w:eastAsia="宋体" w:cs="Times New Roman"/>
                <w:sz w:val="21"/>
                <w:szCs w:val="21"/>
              </w:rPr>
              <w:t>硅（Si）</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vAlign w:val="top"/>
          </w:tcPr>
          <w:p>
            <w:pPr>
              <w:rPr>
                <w:rFonts w:hint="default" w:ascii="Times New Roman" w:hAnsi="Times New Roman" w:cs="Times New Roman" w:eastAsiaTheme="minorEastAsia"/>
                <w:sz w:val="21"/>
                <w:szCs w:val="21"/>
              </w:rPr>
            </w:pPr>
          </w:p>
        </w:tc>
        <w:tc>
          <w:tcPr>
            <w:tcW w:w="3190" w:type="dxa"/>
            <w:vAlign w:val="center"/>
          </w:tcPr>
          <w:p>
            <w:pPr>
              <w:widowControl/>
              <w:jc w:val="center"/>
              <w:textAlignment w:val="center"/>
              <w:rPr>
                <w:rFonts w:hint="eastAsia" w:cs="Times New Roman"/>
                <w:i w:val="0"/>
                <w:iCs w:val="0"/>
                <w:color w:val="000000"/>
                <w:kern w:val="0"/>
                <w:sz w:val="21"/>
                <w:szCs w:val="21"/>
                <w:u w:val="none"/>
                <w:lang w:val="en-US" w:eastAsia="zh-CN" w:bidi="ar"/>
              </w:rPr>
            </w:pPr>
            <w:r>
              <w:rPr>
                <w:rFonts w:hint="default" w:ascii="Times New Roman" w:hAnsi="Times New Roman" w:eastAsia="宋体" w:cs="Times New Roman"/>
                <w:sz w:val="21"/>
                <w:szCs w:val="21"/>
              </w:rPr>
              <w:t>硫（S）</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vAlign w:val="top"/>
          </w:tcPr>
          <w:p>
            <w:pPr>
              <w:rPr>
                <w:rFonts w:hint="default" w:ascii="Times New Roman" w:hAnsi="Times New Roman" w:cs="Times New Roman" w:eastAsiaTheme="minorEastAsia"/>
                <w:sz w:val="21"/>
                <w:szCs w:val="21"/>
              </w:rPr>
            </w:pPr>
          </w:p>
        </w:tc>
        <w:tc>
          <w:tcPr>
            <w:tcW w:w="3190" w:type="dxa"/>
            <w:vAlign w:val="center"/>
          </w:tcPr>
          <w:p>
            <w:pPr>
              <w:widowControl/>
              <w:jc w:val="center"/>
              <w:textAlignment w:val="center"/>
              <w:rPr>
                <w:rFonts w:hint="eastAsia" w:cs="Times New Roman"/>
                <w:i w:val="0"/>
                <w:iCs w:val="0"/>
                <w:color w:val="000000"/>
                <w:kern w:val="0"/>
                <w:sz w:val="21"/>
                <w:szCs w:val="21"/>
                <w:u w:val="none"/>
                <w:lang w:val="en-US" w:eastAsia="zh-CN" w:bidi="ar"/>
              </w:rPr>
            </w:pPr>
            <w:r>
              <w:rPr>
                <w:rFonts w:hint="default" w:ascii="Times New Roman" w:hAnsi="Times New Roman" w:eastAsia="宋体" w:cs="Times New Roman"/>
                <w:sz w:val="21"/>
                <w:szCs w:val="21"/>
              </w:rPr>
              <w:t>氯（Cl</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≤0.25</w:t>
            </w:r>
          </w:p>
        </w:tc>
      </w:tr>
    </w:tbl>
    <w:p>
      <w:pPr>
        <w:pStyle w:val="59"/>
        <w:numPr>
          <w:ilvl w:val="2"/>
          <w:numId w:val="0"/>
        </w:numPr>
        <w:spacing w:before="156" w:beforeLines="50" w:after="156" w:afterLines="50"/>
        <w:ind w:left="0" w:leftChars="0" w:firstLine="0" w:firstLineChars="0"/>
        <w:outlineLvl w:val="2"/>
        <w:rPr>
          <w:b/>
          <w:bCs/>
          <w:color w:val="auto"/>
          <w:szCs w:val="21"/>
        </w:rPr>
      </w:pPr>
      <w:r>
        <w:rPr>
          <w:rFonts w:hint="eastAsia" w:cs="Times New Roman"/>
          <w:b/>
          <w:bCs/>
          <w:color w:val="auto"/>
          <w:kern w:val="2"/>
          <w:sz w:val="21"/>
          <w:szCs w:val="21"/>
          <w:lang w:val="en-US" w:eastAsia="zh-CN" w:bidi="ar-SA"/>
        </w:rPr>
        <w:t>3.2</w:t>
      </w:r>
      <w:r>
        <w:rPr>
          <w:rFonts w:hint="eastAsia" w:ascii="Times New Roman" w:hAnsi="Times New Roman" w:eastAsia="宋体" w:cs="Times New Roman"/>
          <w:b/>
          <w:bCs/>
          <w:color w:val="auto"/>
          <w:kern w:val="2"/>
          <w:sz w:val="21"/>
          <w:szCs w:val="21"/>
          <w:lang w:val="en-US" w:eastAsia="zh-CN" w:bidi="ar-SA"/>
        </w:rPr>
        <w:t>.2</w:t>
      </w:r>
      <w:r>
        <w:rPr>
          <w:rFonts w:hint="eastAsia"/>
          <w:b/>
          <w:bCs/>
          <w:color w:val="auto"/>
          <w:szCs w:val="21"/>
          <w:lang w:val="en-US" w:eastAsia="zh-CN"/>
        </w:rPr>
        <w:t xml:space="preserve"> </w:t>
      </w:r>
      <w:r>
        <w:rPr>
          <w:rFonts w:hint="eastAsia"/>
          <w:b/>
          <w:bCs/>
          <w:color w:val="auto"/>
          <w:szCs w:val="21"/>
        </w:rPr>
        <w:t>水分含量</w:t>
      </w:r>
    </w:p>
    <w:p>
      <w:pPr>
        <w:ind w:firstLine="420" w:firstLineChars="200"/>
        <w:jc w:val="both"/>
        <w:rPr>
          <w:color w:val="auto"/>
          <w:sz w:val="21"/>
          <w:szCs w:val="21"/>
          <w:highlight w:val="none"/>
        </w:rPr>
      </w:pPr>
      <w:r>
        <w:rPr>
          <w:rFonts w:hint="eastAsia"/>
          <w:color w:val="auto"/>
          <w:sz w:val="21"/>
          <w:szCs w:val="21"/>
        </w:rPr>
        <w:t>水分对电池极片制备和电池性能影响较大。材料水分超标，会影响电池极片涂覆工艺，若多余水分进入电池中易引发安全问题，故应严格控制产品水分含量。考虑生产企业产品情况及使用企业要求，产品的水分含量应不</w:t>
      </w:r>
      <w:r>
        <w:rPr>
          <w:rFonts w:hint="eastAsia"/>
          <w:color w:val="auto"/>
          <w:sz w:val="21"/>
          <w:szCs w:val="21"/>
          <w:highlight w:val="none"/>
        </w:rPr>
        <w:t>大于</w:t>
      </w:r>
      <w:r>
        <w:rPr>
          <w:rFonts w:hint="eastAsia"/>
          <w:color w:val="auto"/>
          <w:sz w:val="21"/>
          <w:szCs w:val="21"/>
          <w:highlight w:val="none"/>
          <w:lang w:val="en-US" w:eastAsia="zh-CN"/>
        </w:rPr>
        <w:t>0.5%</w:t>
      </w:r>
      <w:r>
        <w:rPr>
          <w:rFonts w:hint="eastAsia"/>
          <w:color w:val="auto"/>
          <w:sz w:val="21"/>
          <w:szCs w:val="21"/>
          <w:highlight w:val="none"/>
        </w:rPr>
        <w:t>。</w:t>
      </w:r>
    </w:p>
    <w:p>
      <w:pPr>
        <w:pStyle w:val="59"/>
        <w:numPr>
          <w:ilvl w:val="2"/>
          <w:numId w:val="0"/>
        </w:numPr>
        <w:spacing w:before="156" w:beforeLines="50" w:after="156" w:afterLines="50"/>
        <w:ind w:left="0" w:leftChars="0" w:firstLine="0" w:firstLineChars="0"/>
        <w:outlineLvl w:val="2"/>
        <w:rPr>
          <w:b/>
          <w:bCs/>
          <w:color w:val="auto"/>
          <w:szCs w:val="21"/>
          <w:highlight w:val="none"/>
        </w:rPr>
      </w:pPr>
      <w:r>
        <w:rPr>
          <w:rFonts w:hint="eastAsia" w:cs="Times New Roman"/>
          <w:b/>
          <w:bCs/>
          <w:color w:val="auto"/>
          <w:kern w:val="2"/>
          <w:sz w:val="21"/>
          <w:szCs w:val="21"/>
          <w:highlight w:val="none"/>
          <w:lang w:val="en-US" w:eastAsia="zh-CN" w:bidi="ar-SA"/>
        </w:rPr>
        <w:t>3.2</w:t>
      </w:r>
      <w:r>
        <w:rPr>
          <w:rFonts w:hint="eastAsia" w:ascii="Times New Roman" w:hAnsi="Times New Roman" w:eastAsia="宋体" w:cs="Times New Roman"/>
          <w:b/>
          <w:bCs/>
          <w:color w:val="auto"/>
          <w:kern w:val="2"/>
          <w:sz w:val="21"/>
          <w:szCs w:val="21"/>
          <w:highlight w:val="none"/>
          <w:lang w:val="en-US" w:eastAsia="zh-CN" w:bidi="ar-SA"/>
        </w:rPr>
        <w:t>.3</w:t>
      </w:r>
      <w:r>
        <w:rPr>
          <w:rFonts w:hint="eastAsia"/>
          <w:b/>
          <w:bCs/>
          <w:color w:val="auto"/>
          <w:szCs w:val="21"/>
          <w:highlight w:val="none"/>
        </w:rPr>
        <w:t xml:space="preserve"> 外观质量</w:t>
      </w:r>
    </w:p>
    <w:p>
      <w:pPr>
        <w:ind w:firstLine="420" w:firstLineChars="200"/>
        <w:jc w:val="both"/>
        <w:rPr>
          <w:rFonts w:hint="eastAsia"/>
          <w:color w:val="auto"/>
          <w:sz w:val="21"/>
          <w:szCs w:val="21"/>
          <w:highlight w:val="none"/>
        </w:rPr>
      </w:pPr>
      <w:r>
        <w:rPr>
          <w:rFonts w:hint="eastAsia"/>
          <w:color w:val="auto"/>
          <w:sz w:val="21"/>
          <w:szCs w:val="21"/>
          <w:highlight w:val="none"/>
        </w:rPr>
        <w:t>产品的外观应为黑色粉末，颜色均一，无硬结块。</w:t>
      </w:r>
    </w:p>
    <w:p>
      <w:pPr>
        <w:pStyle w:val="59"/>
        <w:numPr>
          <w:ilvl w:val="2"/>
          <w:numId w:val="0"/>
        </w:numPr>
        <w:spacing w:before="156" w:beforeLines="50" w:after="156" w:afterLines="50"/>
        <w:ind w:left="0" w:leftChars="0" w:firstLine="0" w:firstLineChars="0"/>
        <w:outlineLvl w:val="2"/>
        <w:rPr>
          <w:b/>
          <w:bCs/>
          <w:color w:val="auto"/>
          <w:szCs w:val="21"/>
        </w:rPr>
      </w:pPr>
      <w:r>
        <w:rPr>
          <w:rFonts w:hint="eastAsia" w:cs="Times New Roman"/>
          <w:b/>
          <w:bCs/>
          <w:color w:val="auto"/>
          <w:kern w:val="2"/>
          <w:sz w:val="21"/>
          <w:szCs w:val="21"/>
          <w:lang w:val="en-US" w:eastAsia="zh-CN" w:bidi="ar-SA"/>
        </w:rPr>
        <w:t>3.2</w:t>
      </w:r>
      <w:r>
        <w:rPr>
          <w:rFonts w:hint="eastAsia" w:ascii="Times New Roman" w:hAnsi="Times New Roman" w:eastAsia="宋体" w:cs="Times New Roman"/>
          <w:b/>
          <w:bCs/>
          <w:color w:val="auto"/>
          <w:kern w:val="2"/>
          <w:sz w:val="21"/>
          <w:szCs w:val="21"/>
          <w:lang w:val="en-US" w:eastAsia="zh-CN" w:bidi="ar-SA"/>
        </w:rPr>
        <w:t>.4</w:t>
      </w:r>
      <w:r>
        <w:rPr>
          <w:rFonts w:hint="eastAsia"/>
          <w:b/>
          <w:bCs/>
          <w:color w:val="auto"/>
          <w:szCs w:val="21"/>
        </w:rPr>
        <w:t xml:space="preserve"> </w:t>
      </w:r>
      <w:r>
        <w:rPr>
          <w:rFonts w:hint="eastAsia"/>
          <w:b/>
          <w:bCs/>
          <w:color w:val="auto"/>
          <w:szCs w:val="21"/>
          <w:lang w:val="en-US" w:eastAsia="zh-CN"/>
        </w:rPr>
        <w:t>晶体结构</w:t>
      </w:r>
    </w:p>
    <w:p>
      <w:pPr>
        <w:ind w:firstLine="420" w:firstLineChars="200"/>
        <w:jc w:val="both"/>
        <w:rPr>
          <w:rFonts w:hint="eastAsia"/>
          <w:color w:val="auto"/>
          <w:sz w:val="21"/>
          <w:szCs w:val="21"/>
        </w:rPr>
      </w:pPr>
      <w:r>
        <w:rPr>
          <w:rFonts w:hint="eastAsia"/>
          <w:color w:val="auto"/>
          <w:sz w:val="21"/>
          <w:szCs w:val="21"/>
        </w:rPr>
        <w:t>产品的晶体结构应符合JCPDS标准</w:t>
      </w:r>
      <w:r>
        <w:rPr>
          <w:rFonts w:hint="eastAsia"/>
          <w:color w:val="auto"/>
          <w:sz w:val="21"/>
          <w:szCs w:val="21"/>
          <w:highlight w:val="none"/>
        </w:rPr>
        <w:t>(00-53-0018)。</w:t>
      </w:r>
    </w:p>
    <w:p>
      <w:pPr>
        <w:pStyle w:val="59"/>
        <w:numPr>
          <w:ilvl w:val="2"/>
          <w:numId w:val="0"/>
        </w:numPr>
        <w:spacing w:before="156" w:beforeLines="50" w:after="156" w:afterLines="50"/>
        <w:ind w:left="0" w:leftChars="0" w:firstLine="0" w:firstLineChars="0"/>
        <w:outlineLvl w:val="2"/>
        <w:rPr>
          <w:b/>
          <w:bCs/>
          <w:color w:val="auto"/>
          <w:szCs w:val="21"/>
        </w:rPr>
      </w:pPr>
      <w:r>
        <w:rPr>
          <w:rFonts w:hint="eastAsia" w:cs="Times New Roman"/>
          <w:b/>
          <w:bCs/>
          <w:color w:val="auto"/>
          <w:kern w:val="2"/>
          <w:sz w:val="21"/>
          <w:szCs w:val="21"/>
          <w:lang w:val="en-US" w:eastAsia="zh-CN" w:bidi="ar-SA"/>
        </w:rPr>
        <w:t>3.2</w:t>
      </w:r>
      <w:r>
        <w:rPr>
          <w:rFonts w:hint="eastAsia" w:ascii="Times New Roman" w:hAnsi="Times New Roman" w:eastAsia="宋体" w:cs="Times New Roman"/>
          <w:b/>
          <w:bCs/>
          <w:color w:val="auto"/>
          <w:kern w:val="2"/>
          <w:sz w:val="21"/>
          <w:szCs w:val="21"/>
          <w:lang w:val="en-US" w:eastAsia="zh-CN" w:bidi="ar-SA"/>
        </w:rPr>
        <w:t>.5</w:t>
      </w:r>
      <w:r>
        <w:rPr>
          <w:rFonts w:hint="eastAsia"/>
          <w:b/>
          <w:bCs/>
          <w:color w:val="auto"/>
          <w:szCs w:val="21"/>
        </w:rPr>
        <w:t xml:space="preserve"> </w:t>
      </w:r>
      <w:r>
        <w:rPr>
          <w:rFonts w:hint="eastAsia"/>
          <w:b/>
          <w:bCs/>
          <w:color w:val="auto"/>
          <w:szCs w:val="21"/>
          <w:lang w:val="en-US" w:eastAsia="zh-CN"/>
        </w:rPr>
        <w:t>磁性异物</w:t>
      </w:r>
    </w:p>
    <w:p>
      <w:pPr>
        <w:spacing w:before="218" w:line="268" w:lineRule="auto"/>
        <w:ind w:firstLine="419"/>
        <w:jc w:val="both"/>
        <w:rPr>
          <w:rFonts w:hint="eastAsia" w:eastAsia="宋体"/>
          <w:b/>
          <w:bCs/>
          <w:color w:val="auto"/>
          <w:szCs w:val="21"/>
          <w:highlight w:val="none"/>
          <w:lang w:eastAsia="zh-CN"/>
        </w:rPr>
      </w:pPr>
      <w:r>
        <w:rPr>
          <w:rFonts w:hint="eastAsia" w:ascii="Times New Roman" w:hAnsi="Times New Roman" w:eastAsia="宋体" w:cs="Times New Roman"/>
          <w:color w:val="auto"/>
          <w:sz w:val="21"/>
          <w:szCs w:val="21"/>
        </w:rPr>
        <w:t>磁性异物对电池性能影响很大，正极材料中残留的磁性异物在电池中可能会刺穿隔膜，造成短路、自放电现象，严重降低电池的安全性，因此要严格控制正极材料中磁性异物的含量，根据客户需要，</w:t>
      </w:r>
      <w:r>
        <w:rPr>
          <w:rFonts w:hint="eastAsia" w:cs="Times New Roman"/>
          <w:color w:val="auto"/>
          <w:sz w:val="21"/>
          <w:szCs w:val="21"/>
          <w:lang w:val="en-US" w:eastAsia="zh-CN"/>
        </w:rPr>
        <w:t>镍铜铁锰酸钠</w:t>
      </w:r>
      <w:r>
        <w:rPr>
          <w:rFonts w:hint="eastAsia" w:ascii="Times New Roman" w:hAnsi="Times New Roman" w:eastAsia="宋体" w:cs="Times New Roman"/>
          <w:color w:val="auto"/>
          <w:sz w:val="21"/>
          <w:szCs w:val="21"/>
        </w:rPr>
        <w:t>中磁性异物含量应不大</w:t>
      </w:r>
      <w:r>
        <w:rPr>
          <w:rFonts w:hint="eastAsia" w:ascii="Times New Roman" w:hAnsi="Times New Roman" w:eastAsia="宋体" w:cs="Times New Roman"/>
          <w:color w:val="auto"/>
          <w:sz w:val="21"/>
          <w:szCs w:val="21"/>
          <w:highlight w:val="none"/>
        </w:rPr>
        <w:t>于</w:t>
      </w:r>
      <w:r>
        <w:rPr>
          <w:rFonts w:hint="eastAsia" w:cs="Times New Roman"/>
          <w:color w:val="auto"/>
          <w:sz w:val="21"/>
          <w:szCs w:val="21"/>
          <w:highlight w:val="none"/>
          <w:lang w:val="en-US" w:eastAsia="zh-CN"/>
        </w:rPr>
        <w:t>300ppb</w:t>
      </w:r>
      <w:r>
        <w:rPr>
          <w:rFonts w:hint="eastAsia" w:ascii="Times New Roman" w:hAnsi="Times New Roman" w:eastAsia="宋体" w:cs="Times New Roman"/>
          <w:color w:val="auto"/>
          <w:sz w:val="21"/>
          <w:szCs w:val="21"/>
          <w:highlight w:val="none"/>
          <w:lang w:eastAsia="zh-CN"/>
        </w:rPr>
        <w:t>。</w:t>
      </w:r>
    </w:p>
    <w:p>
      <w:pPr>
        <w:pStyle w:val="59"/>
        <w:numPr>
          <w:ilvl w:val="2"/>
          <w:numId w:val="0"/>
        </w:numPr>
        <w:spacing w:before="156" w:beforeLines="50" w:after="156" w:afterLines="50"/>
        <w:ind w:left="0" w:leftChars="0" w:firstLine="0" w:firstLineChars="0"/>
        <w:outlineLvl w:val="2"/>
        <w:rPr>
          <w:b/>
          <w:bCs/>
          <w:color w:val="auto"/>
          <w:szCs w:val="21"/>
          <w:highlight w:val="none"/>
        </w:rPr>
      </w:pPr>
      <w:r>
        <w:rPr>
          <w:rFonts w:hint="eastAsia" w:cs="Times New Roman"/>
          <w:b/>
          <w:bCs/>
          <w:color w:val="auto"/>
          <w:kern w:val="2"/>
          <w:sz w:val="21"/>
          <w:szCs w:val="21"/>
          <w:highlight w:val="none"/>
          <w:lang w:val="en-US" w:eastAsia="zh-CN" w:bidi="ar-SA"/>
        </w:rPr>
        <w:t>3.2</w:t>
      </w:r>
      <w:r>
        <w:rPr>
          <w:rFonts w:hint="eastAsia" w:ascii="Times New Roman" w:hAnsi="Times New Roman" w:eastAsia="宋体" w:cs="Times New Roman"/>
          <w:b/>
          <w:bCs/>
          <w:color w:val="auto"/>
          <w:kern w:val="2"/>
          <w:sz w:val="21"/>
          <w:szCs w:val="21"/>
          <w:highlight w:val="none"/>
          <w:lang w:val="en-US" w:eastAsia="zh-CN" w:bidi="ar-SA"/>
        </w:rPr>
        <w:t>.6</w:t>
      </w:r>
      <w:r>
        <w:rPr>
          <w:rFonts w:hint="eastAsia"/>
          <w:b/>
          <w:bCs/>
          <w:color w:val="auto"/>
          <w:szCs w:val="21"/>
          <w:highlight w:val="none"/>
        </w:rPr>
        <w:t xml:space="preserve"> </w:t>
      </w:r>
      <w:r>
        <w:rPr>
          <w:rFonts w:hint="eastAsia"/>
          <w:b/>
          <w:bCs/>
          <w:color w:val="auto"/>
          <w:szCs w:val="21"/>
          <w:highlight w:val="none"/>
          <w:lang w:val="en-US" w:eastAsia="zh-CN"/>
        </w:rPr>
        <w:t>残余钠</w:t>
      </w:r>
    </w:p>
    <w:p>
      <w:pPr>
        <w:spacing w:before="218" w:line="268" w:lineRule="auto"/>
        <w:ind w:firstLine="419"/>
        <w:jc w:val="both"/>
        <w:rPr>
          <w:b/>
          <w:bCs/>
          <w:color w:val="auto"/>
          <w:szCs w:val="21"/>
          <w:highlight w:val="none"/>
        </w:rPr>
      </w:pPr>
      <w:r>
        <w:rPr>
          <w:rFonts w:hint="eastAsia" w:ascii="Times New Roman" w:hAnsi="Times New Roman" w:eastAsia="宋体" w:cs="Times New Roman"/>
          <w:color w:val="auto"/>
          <w:sz w:val="21"/>
          <w:szCs w:val="21"/>
          <w:highlight w:val="none"/>
        </w:rPr>
        <w:t>正极材料在制备过程中通常采用较高的</w:t>
      </w:r>
      <w:r>
        <w:rPr>
          <w:rFonts w:hint="eastAsia" w:ascii="Times New Roman" w:hAnsi="Times New Roman" w:eastAsia="宋体" w:cs="Times New Roman"/>
          <w:color w:val="auto"/>
          <w:sz w:val="21"/>
          <w:szCs w:val="21"/>
          <w:highlight w:val="none"/>
          <w:lang w:val="en-US" w:eastAsia="zh-CN"/>
        </w:rPr>
        <w:t>钠</w:t>
      </w:r>
      <w:r>
        <w:rPr>
          <w:rFonts w:hint="eastAsia" w:ascii="Times New Roman" w:hAnsi="Times New Roman" w:eastAsia="宋体" w:cs="Times New Roman"/>
          <w:color w:val="auto"/>
          <w:sz w:val="21"/>
          <w:szCs w:val="21"/>
          <w:highlight w:val="none"/>
        </w:rPr>
        <w:t>配比，反应后残余碱以氢氧化</w:t>
      </w:r>
      <w:r>
        <w:rPr>
          <w:rFonts w:hint="eastAsia" w:ascii="Times New Roman" w:hAnsi="Times New Roman" w:eastAsia="宋体" w:cs="Times New Roman"/>
          <w:color w:val="auto"/>
          <w:sz w:val="21"/>
          <w:szCs w:val="21"/>
          <w:highlight w:val="none"/>
          <w:lang w:val="en-US" w:eastAsia="zh-CN"/>
        </w:rPr>
        <w:t>钠</w:t>
      </w:r>
      <w:r>
        <w:rPr>
          <w:rFonts w:hint="eastAsia" w:ascii="Times New Roman" w:hAnsi="Times New Roman" w:eastAsia="宋体" w:cs="Times New Roman"/>
          <w:color w:val="auto"/>
          <w:sz w:val="21"/>
          <w:szCs w:val="21"/>
          <w:highlight w:val="none"/>
        </w:rPr>
        <w:t>和碳酸</w:t>
      </w:r>
      <w:r>
        <w:rPr>
          <w:rFonts w:hint="eastAsia" w:ascii="Times New Roman" w:hAnsi="Times New Roman" w:eastAsia="宋体" w:cs="Times New Roman"/>
          <w:color w:val="auto"/>
          <w:sz w:val="21"/>
          <w:szCs w:val="21"/>
          <w:highlight w:val="none"/>
          <w:lang w:val="en-US" w:eastAsia="zh-CN"/>
        </w:rPr>
        <w:t>钠</w:t>
      </w:r>
      <w:r>
        <w:rPr>
          <w:rFonts w:hint="eastAsia" w:ascii="Times New Roman" w:hAnsi="Times New Roman" w:eastAsia="宋体" w:cs="Times New Roman"/>
          <w:color w:val="auto"/>
          <w:sz w:val="21"/>
          <w:szCs w:val="21"/>
          <w:highlight w:val="none"/>
        </w:rPr>
        <w:t>等形式存在，对材料的性能和电池制备工艺有着重要的影响。材料中氢氧化</w:t>
      </w:r>
      <w:r>
        <w:rPr>
          <w:rFonts w:hint="eastAsia" w:cs="Times New Roman"/>
          <w:color w:val="auto"/>
          <w:sz w:val="21"/>
          <w:szCs w:val="21"/>
          <w:highlight w:val="none"/>
          <w:lang w:val="en-US" w:eastAsia="zh-CN"/>
        </w:rPr>
        <w:t>钠</w:t>
      </w:r>
      <w:r>
        <w:rPr>
          <w:rFonts w:hint="eastAsia" w:ascii="Times New Roman" w:hAnsi="Times New Roman" w:eastAsia="宋体" w:cs="Times New Roman"/>
          <w:color w:val="auto"/>
          <w:sz w:val="21"/>
          <w:szCs w:val="21"/>
          <w:highlight w:val="none"/>
        </w:rPr>
        <w:t>、碳酸</w:t>
      </w:r>
      <w:r>
        <w:rPr>
          <w:rFonts w:hint="eastAsia" w:cs="Times New Roman"/>
          <w:color w:val="auto"/>
          <w:sz w:val="21"/>
          <w:szCs w:val="21"/>
          <w:highlight w:val="none"/>
          <w:lang w:val="en-US" w:eastAsia="zh-CN"/>
        </w:rPr>
        <w:t>钠</w:t>
      </w:r>
      <w:r>
        <w:rPr>
          <w:rFonts w:hint="eastAsia" w:ascii="Times New Roman" w:hAnsi="Times New Roman" w:eastAsia="宋体" w:cs="Times New Roman"/>
          <w:color w:val="auto"/>
          <w:sz w:val="21"/>
          <w:szCs w:val="21"/>
          <w:highlight w:val="none"/>
        </w:rPr>
        <w:t>含量高时，制浆时粘度大，将影响材料的加工性能；与此同时，氢氧化</w:t>
      </w:r>
      <w:r>
        <w:rPr>
          <w:rFonts w:hint="eastAsia" w:ascii="Times New Roman" w:hAnsi="Times New Roman" w:eastAsia="宋体" w:cs="Times New Roman"/>
          <w:color w:val="auto"/>
          <w:sz w:val="21"/>
          <w:szCs w:val="21"/>
          <w:highlight w:val="none"/>
          <w:lang w:val="en-US" w:eastAsia="zh-CN"/>
        </w:rPr>
        <w:t>钠</w:t>
      </w:r>
      <w:r>
        <w:rPr>
          <w:rFonts w:hint="eastAsia" w:ascii="Times New Roman" w:hAnsi="Times New Roman" w:eastAsia="宋体" w:cs="Times New Roman"/>
          <w:color w:val="auto"/>
          <w:sz w:val="21"/>
          <w:szCs w:val="21"/>
          <w:highlight w:val="none"/>
        </w:rPr>
        <w:t>、碳酸</w:t>
      </w:r>
      <w:r>
        <w:rPr>
          <w:rFonts w:hint="eastAsia" w:ascii="Times New Roman" w:hAnsi="Times New Roman" w:eastAsia="宋体" w:cs="Times New Roman"/>
          <w:color w:val="auto"/>
          <w:sz w:val="21"/>
          <w:szCs w:val="21"/>
          <w:highlight w:val="none"/>
          <w:lang w:val="en-US" w:eastAsia="zh-CN"/>
        </w:rPr>
        <w:t>钠</w:t>
      </w:r>
      <w:r>
        <w:rPr>
          <w:rFonts w:hint="eastAsia" w:ascii="Times New Roman" w:hAnsi="Times New Roman" w:eastAsia="宋体" w:cs="Times New Roman"/>
          <w:color w:val="auto"/>
          <w:sz w:val="21"/>
          <w:szCs w:val="21"/>
          <w:highlight w:val="none"/>
        </w:rPr>
        <w:t>含量过高时制成的电池在高温存储时容易出现鼓胀现象从而导致材料容量下降和安全问题，因此需控制材料的氢氧化</w:t>
      </w:r>
      <w:r>
        <w:rPr>
          <w:rFonts w:hint="eastAsia" w:ascii="Times New Roman" w:hAnsi="Times New Roman" w:eastAsia="宋体" w:cs="Times New Roman"/>
          <w:color w:val="auto"/>
          <w:sz w:val="21"/>
          <w:szCs w:val="21"/>
          <w:highlight w:val="none"/>
          <w:lang w:val="en-US" w:eastAsia="zh-CN"/>
        </w:rPr>
        <w:t>钠</w:t>
      </w:r>
      <w:r>
        <w:rPr>
          <w:rFonts w:hint="eastAsia" w:ascii="Times New Roman" w:hAnsi="Times New Roman" w:eastAsia="宋体" w:cs="Times New Roman"/>
          <w:color w:val="auto"/>
          <w:sz w:val="21"/>
          <w:szCs w:val="21"/>
          <w:highlight w:val="none"/>
        </w:rPr>
        <w:t>、碳酸</w:t>
      </w:r>
      <w:r>
        <w:rPr>
          <w:rFonts w:hint="eastAsia" w:ascii="Times New Roman" w:hAnsi="Times New Roman" w:eastAsia="宋体" w:cs="Times New Roman"/>
          <w:color w:val="auto"/>
          <w:sz w:val="21"/>
          <w:szCs w:val="21"/>
          <w:highlight w:val="none"/>
          <w:lang w:val="en-US" w:eastAsia="zh-CN"/>
        </w:rPr>
        <w:t>钠</w:t>
      </w:r>
      <w:r>
        <w:rPr>
          <w:rFonts w:hint="eastAsia" w:ascii="Times New Roman" w:hAnsi="Times New Roman" w:eastAsia="宋体" w:cs="Times New Roman"/>
          <w:color w:val="auto"/>
          <w:sz w:val="21"/>
          <w:szCs w:val="21"/>
          <w:highlight w:val="none"/>
        </w:rPr>
        <w:t>含量的上限。考虑使用企业要求以及生产企业目前的工艺水平，规定</w:t>
      </w:r>
      <w:r>
        <w:rPr>
          <w:rFonts w:hint="eastAsia" w:cs="Times New Roman"/>
          <w:color w:val="auto"/>
          <w:sz w:val="21"/>
          <w:szCs w:val="21"/>
          <w:highlight w:val="none"/>
          <w:lang w:val="en-US" w:eastAsia="zh-CN"/>
        </w:rPr>
        <w:t>镍铜铁锰酸钠</w:t>
      </w:r>
      <w:r>
        <w:rPr>
          <w:rFonts w:hint="eastAsia" w:ascii="Times New Roman" w:hAnsi="Times New Roman" w:eastAsia="宋体" w:cs="Times New Roman"/>
          <w:color w:val="auto"/>
          <w:sz w:val="21"/>
          <w:szCs w:val="21"/>
          <w:highlight w:val="none"/>
        </w:rPr>
        <w:t>中</w:t>
      </w:r>
      <w:r>
        <w:rPr>
          <w:rFonts w:hint="eastAsia" w:ascii="Times New Roman" w:hAnsi="Times New Roman" w:eastAsia="宋体" w:cs="Times New Roman"/>
          <w:color w:val="auto"/>
          <w:sz w:val="21"/>
          <w:szCs w:val="21"/>
          <w:highlight w:val="none"/>
          <w:lang w:val="en-US" w:eastAsia="zh-CN"/>
        </w:rPr>
        <w:t>残余钠</w:t>
      </w:r>
      <w:r>
        <w:rPr>
          <w:rFonts w:hint="eastAsia" w:ascii="Times New Roman" w:hAnsi="Times New Roman" w:eastAsia="宋体" w:cs="Times New Roman"/>
          <w:color w:val="auto"/>
          <w:sz w:val="21"/>
          <w:szCs w:val="21"/>
          <w:highlight w:val="none"/>
        </w:rPr>
        <w:t>含量应</w:t>
      </w:r>
      <w:r>
        <w:rPr>
          <w:rFonts w:hint="eastAsia" w:ascii="Times New Roman" w:hAnsi="Times New Roman" w:eastAsia="宋体" w:cs="Times New Roman"/>
          <w:color w:val="auto"/>
          <w:sz w:val="21"/>
          <w:szCs w:val="21"/>
          <w:highlight w:val="none"/>
          <w:lang w:val="en-US" w:eastAsia="zh-CN"/>
        </w:rPr>
        <w:t>不大于</w:t>
      </w:r>
      <w:r>
        <w:rPr>
          <w:rFonts w:hint="eastAsia" w:cs="Times New Roman"/>
          <w:color w:val="auto"/>
          <w:sz w:val="21"/>
          <w:szCs w:val="21"/>
          <w:highlight w:val="none"/>
          <w:lang w:val="en-US" w:eastAsia="zh-CN"/>
        </w:rPr>
        <w:t>2.0</w:t>
      </w:r>
      <w:r>
        <w:rPr>
          <w:rFonts w:hint="eastAsia"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rPr>
        <w:t>。</w:t>
      </w:r>
    </w:p>
    <w:p>
      <w:pPr>
        <w:pStyle w:val="59"/>
        <w:numPr>
          <w:ilvl w:val="2"/>
          <w:numId w:val="0"/>
        </w:numPr>
        <w:spacing w:before="156" w:beforeLines="50" w:after="156" w:afterLines="50"/>
        <w:ind w:left="0" w:leftChars="0" w:firstLine="0" w:firstLineChars="0"/>
        <w:outlineLvl w:val="2"/>
        <w:rPr>
          <w:b/>
          <w:bCs/>
          <w:color w:val="auto"/>
          <w:szCs w:val="21"/>
          <w:highlight w:val="none"/>
        </w:rPr>
      </w:pPr>
      <w:r>
        <w:rPr>
          <w:rFonts w:hint="eastAsia" w:cs="Times New Roman"/>
          <w:b/>
          <w:bCs/>
          <w:color w:val="auto"/>
          <w:kern w:val="2"/>
          <w:sz w:val="21"/>
          <w:szCs w:val="21"/>
          <w:highlight w:val="none"/>
          <w:lang w:val="en-US" w:eastAsia="zh-CN" w:bidi="ar-SA"/>
        </w:rPr>
        <w:t>3.2</w:t>
      </w:r>
      <w:r>
        <w:rPr>
          <w:rFonts w:hint="eastAsia" w:ascii="Times New Roman" w:hAnsi="Times New Roman" w:eastAsia="宋体" w:cs="Times New Roman"/>
          <w:b/>
          <w:bCs/>
          <w:color w:val="auto"/>
          <w:kern w:val="2"/>
          <w:sz w:val="21"/>
          <w:szCs w:val="21"/>
          <w:highlight w:val="none"/>
          <w:lang w:val="en-US" w:eastAsia="zh-CN" w:bidi="ar-SA"/>
        </w:rPr>
        <w:t>.7</w:t>
      </w:r>
      <w:r>
        <w:rPr>
          <w:rFonts w:hint="eastAsia"/>
          <w:b/>
          <w:bCs/>
          <w:color w:val="auto"/>
          <w:szCs w:val="21"/>
          <w:highlight w:val="none"/>
        </w:rPr>
        <w:t xml:space="preserve"> </w:t>
      </w:r>
      <w:r>
        <w:rPr>
          <w:rFonts w:hint="eastAsia"/>
          <w:b/>
          <w:bCs/>
          <w:color w:val="auto"/>
          <w:szCs w:val="21"/>
          <w:highlight w:val="none"/>
          <w:lang w:val="en-US" w:eastAsia="zh-CN"/>
        </w:rPr>
        <w:t>振实</w:t>
      </w:r>
      <w:r>
        <w:rPr>
          <w:rFonts w:hint="eastAsia"/>
          <w:b/>
          <w:bCs/>
          <w:color w:val="auto"/>
          <w:szCs w:val="21"/>
          <w:highlight w:val="none"/>
        </w:rPr>
        <w:t>密度</w:t>
      </w:r>
    </w:p>
    <w:p>
      <w:pPr>
        <w:ind w:firstLine="420" w:firstLineChars="200"/>
        <w:jc w:val="both"/>
        <w:rPr>
          <w:color w:val="auto"/>
          <w:sz w:val="21"/>
          <w:szCs w:val="21"/>
          <w:highlight w:val="none"/>
        </w:rPr>
      </w:pPr>
      <w:r>
        <w:rPr>
          <w:rFonts w:hint="eastAsia"/>
          <w:color w:val="auto"/>
          <w:sz w:val="21"/>
          <w:szCs w:val="21"/>
          <w:highlight w:val="none"/>
        </w:rPr>
        <w:t>产品的压实密度会影响电池的能量密度，是行业普遍关注的重要指标，产品的</w:t>
      </w:r>
      <w:r>
        <w:rPr>
          <w:rFonts w:hint="eastAsia"/>
          <w:color w:val="auto"/>
          <w:sz w:val="21"/>
          <w:szCs w:val="21"/>
          <w:highlight w:val="none"/>
          <w:lang w:val="en-US" w:eastAsia="zh-CN"/>
        </w:rPr>
        <w:t>振实</w:t>
      </w:r>
      <w:r>
        <w:rPr>
          <w:rFonts w:hint="eastAsia"/>
          <w:color w:val="auto"/>
          <w:sz w:val="21"/>
          <w:szCs w:val="21"/>
          <w:highlight w:val="none"/>
        </w:rPr>
        <w:t>密度应</w:t>
      </w:r>
      <w:r>
        <w:rPr>
          <w:rFonts w:hint="eastAsia"/>
          <w:color w:val="auto"/>
          <w:sz w:val="21"/>
          <w:szCs w:val="21"/>
          <w:highlight w:val="none"/>
          <w:lang w:val="en-US" w:eastAsia="zh-CN"/>
        </w:rPr>
        <w:t>不小于</w:t>
      </w:r>
      <w:r>
        <w:rPr>
          <w:rFonts w:hint="eastAsia"/>
          <w:color w:val="auto"/>
          <w:kern w:val="2"/>
          <w:sz w:val="21"/>
          <w:szCs w:val="21"/>
          <w:highlight w:val="none"/>
          <w:lang w:val="en-US" w:eastAsia="zh-CN"/>
        </w:rPr>
        <w:t>1.5</w:t>
      </w:r>
      <w:r>
        <w:rPr>
          <w:rFonts w:ascii="Times New Roman"/>
          <w:color w:val="auto"/>
          <w:kern w:val="2"/>
          <w:sz w:val="21"/>
          <w:szCs w:val="21"/>
          <w:highlight w:val="none"/>
        </w:rPr>
        <w:t>g/cm</w:t>
      </w:r>
      <w:r>
        <w:rPr>
          <w:rFonts w:ascii="Times New Roman"/>
          <w:color w:val="auto"/>
          <w:kern w:val="2"/>
          <w:sz w:val="21"/>
          <w:szCs w:val="21"/>
          <w:highlight w:val="none"/>
          <w:vertAlign w:val="superscript"/>
        </w:rPr>
        <w:t>3</w:t>
      </w:r>
      <w:r>
        <w:rPr>
          <w:rFonts w:hint="eastAsia"/>
          <w:color w:val="auto"/>
          <w:sz w:val="21"/>
          <w:szCs w:val="21"/>
          <w:highlight w:val="none"/>
        </w:rPr>
        <w:t>。</w:t>
      </w:r>
    </w:p>
    <w:p>
      <w:pPr>
        <w:pStyle w:val="59"/>
        <w:numPr>
          <w:ilvl w:val="2"/>
          <w:numId w:val="0"/>
        </w:numPr>
        <w:spacing w:before="156" w:beforeLines="50" w:after="156" w:afterLines="50"/>
        <w:ind w:left="0" w:leftChars="0" w:firstLine="0" w:firstLineChars="0"/>
        <w:outlineLvl w:val="2"/>
        <w:rPr>
          <w:b/>
          <w:bCs/>
          <w:color w:val="auto"/>
          <w:szCs w:val="21"/>
          <w:highlight w:val="none"/>
        </w:rPr>
      </w:pPr>
      <w:r>
        <w:rPr>
          <w:rFonts w:hint="eastAsia" w:cs="Times New Roman"/>
          <w:b/>
          <w:bCs/>
          <w:color w:val="auto"/>
          <w:kern w:val="2"/>
          <w:sz w:val="21"/>
          <w:szCs w:val="21"/>
          <w:highlight w:val="none"/>
          <w:lang w:val="en-US" w:eastAsia="zh-CN" w:bidi="ar-SA"/>
        </w:rPr>
        <w:t>3.2</w:t>
      </w:r>
      <w:r>
        <w:rPr>
          <w:rFonts w:hint="eastAsia" w:ascii="Times New Roman" w:hAnsi="Times New Roman" w:eastAsia="宋体" w:cs="Times New Roman"/>
          <w:b/>
          <w:bCs/>
          <w:color w:val="auto"/>
          <w:kern w:val="2"/>
          <w:sz w:val="21"/>
          <w:szCs w:val="21"/>
          <w:highlight w:val="none"/>
          <w:lang w:val="en-US" w:eastAsia="zh-CN" w:bidi="ar-SA"/>
        </w:rPr>
        <w:t>.8</w:t>
      </w:r>
      <w:r>
        <w:rPr>
          <w:rFonts w:hint="eastAsia"/>
          <w:b/>
          <w:bCs/>
          <w:color w:val="auto"/>
          <w:szCs w:val="21"/>
          <w:highlight w:val="none"/>
        </w:rPr>
        <w:t xml:space="preserve"> 粒度分布</w:t>
      </w:r>
    </w:p>
    <w:p>
      <w:pPr>
        <w:ind w:firstLine="420" w:firstLineChars="200"/>
        <w:jc w:val="both"/>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sz w:val="21"/>
          <w:szCs w:val="21"/>
        </w:rPr>
        <w:t>产品的粒度分布会影响产品的加工性能。根据行业需求，设定粒度分布指标。</w:t>
      </w:r>
      <w:r>
        <w:rPr>
          <w:rFonts w:hint="eastAsia" w:ascii="Times New Roman"/>
          <w:color w:val="auto"/>
          <w:kern w:val="2"/>
          <w:sz w:val="21"/>
          <w:szCs w:val="21"/>
          <w:highlight w:val="none"/>
        </w:rPr>
        <w:t>产品的粒度分布应符合正态分布，体积分布的D50应为</w:t>
      </w:r>
      <w:r>
        <w:rPr>
          <w:rFonts w:hint="eastAsia" w:cs="Times New Roman"/>
          <w:color w:val="auto"/>
          <w:kern w:val="2"/>
          <w:sz w:val="21"/>
          <w:szCs w:val="21"/>
          <w:highlight w:val="none"/>
          <w:lang w:val="en-US" w:eastAsia="zh-CN"/>
        </w:rPr>
        <w:t>3</w:t>
      </w:r>
      <w:r>
        <w:rPr>
          <w:rFonts w:hint="default" w:ascii="Times New Roman" w:hAnsi="Times New Roman" w:cs="Times New Roman"/>
          <w:color w:val="auto"/>
          <w:kern w:val="2"/>
          <w:sz w:val="21"/>
          <w:szCs w:val="21"/>
          <w:highlight w:val="none"/>
        </w:rPr>
        <w:t>μm~15μm。</w:t>
      </w:r>
    </w:p>
    <w:p>
      <w:pPr>
        <w:pStyle w:val="59"/>
        <w:numPr>
          <w:ilvl w:val="2"/>
          <w:numId w:val="0"/>
        </w:numPr>
        <w:spacing w:before="156" w:beforeLines="50" w:after="156" w:afterLines="50"/>
        <w:ind w:left="0" w:leftChars="0" w:firstLine="0" w:firstLineChars="0"/>
        <w:outlineLvl w:val="2"/>
        <w:rPr>
          <w:b/>
          <w:bCs/>
          <w:color w:val="auto"/>
          <w:szCs w:val="21"/>
        </w:rPr>
      </w:pPr>
      <w:r>
        <w:rPr>
          <w:rFonts w:hint="eastAsia" w:cs="Times New Roman"/>
          <w:b/>
          <w:bCs/>
          <w:color w:val="auto"/>
          <w:kern w:val="2"/>
          <w:sz w:val="21"/>
          <w:szCs w:val="21"/>
          <w:lang w:val="en-US" w:eastAsia="zh-CN" w:bidi="ar-SA"/>
        </w:rPr>
        <w:t>3.2.</w:t>
      </w:r>
      <w:r>
        <w:rPr>
          <w:rFonts w:hint="eastAsia" w:ascii="Times New Roman" w:hAnsi="Times New Roman" w:eastAsia="宋体" w:cs="Times New Roman"/>
          <w:b/>
          <w:bCs/>
          <w:color w:val="auto"/>
          <w:kern w:val="2"/>
          <w:sz w:val="21"/>
          <w:szCs w:val="21"/>
          <w:lang w:val="en-US" w:eastAsia="zh-CN" w:bidi="ar-SA"/>
        </w:rPr>
        <w:t>9</w:t>
      </w:r>
      <w:r>
        <w:rPr>
          <w:rFonts w:hint="eastAsia"/>
          <w:b/>
          <w:bCs/>
          <w:color w:val="auto"/>
          <w:szCs w:val="21"/>
          <w:lang w:val="en-US" w:eastAsia="zh-CN"/>
        </w:rPr>
        <w:t xml:space="preserve"> </w:t>
      </w:r>
      <w:r>
        <w:rPr>
          <w:rFonts w:hint="eastAsia"/>
          <w:b/>
          <w:bCs/>
          <w:color w:val="auto"/>
          <w:szCs w:val="21"/>
        </w:rPr>
        <w:t>比表面积</w:t>
      </w:r>
    </w:p>
    <w:p>
      <w:pPr>
        <w:pStyle w:val="26"/>
        <w:ind w:firstLine="420"/>
        <w:rPr>
          <w:rFonts w:hint="default" w:ascii="Times New Roman" w:hAnsi="Times New Roman" w:cs="Times New Roman"/>
          <w:color w:val="auto"/>
        </w:rPr>
      </w:pPr>
      <w:r>
        <w:rPr>
          <w:rFonts w:hint="eastAsia" w:ascii="Times New Roman" w:hAnsi="Times New Roman" w:cs="Times New Roman"/>
          <w:color w:val="auto"/>
        </w:rPr>
        <w:t>产品的比表面积会影响产品的加工性能，根据行业需求，设定比表面积指标，产品的比表面积应不大于</w:t>
      </w:r>
      <w:r>
        <w:rPr>
          <w:rFonts w:hint="default" w:ascii="Times New Roman" w:hAnsi="Times New Roman" w:cs="Times New Roman"/>
          <w:color w:val="auto"/>
        </w:rPr>
        <w:t>3m</w:t>
      </w:r>
      <w:r>
        <w:rPr>
          <w:rFonts w:hint="default" w:ascii="Times New Roman" w:hAnsi="Times New Roman" w:cs="Times New Roman"/>
          <w:color w:val="auto"/>
          <w:vertAlign w:val="superscript"/>
        </w:rPr>
        <w:t>2</w:t>
      </w:r>
      <w:r>
        <w:rPr>
          <w:rFonts w:hint="default" w:ascii="Times New Roman" w:hAnsi="Times New Roman" w:cs="Times New Roman"/>
          <w:color w:val="auto"/>
        </w:rPr>
        <w:t>/g。</w:t>
      </w:r>
    </w:p>
    <w:p>
      <w:pPr>
        <w:pStyle w:val="59"/>
        <w:numPr>
          <w:ilvl w:val="2"/>
          <w:numId w:val="0"/>
        </w:numPr>
        <w:spacing w:before="156" w:beforeLines="50" w:after="156" w:afterLines="50"/>
        <w:ind w:left="0" w:leftChars="0" w:firstLine="0" w:firstLineChars="0"/>
        <w:outlineLvl w:val="2"/>
        <w:rPr>
          <w:b/>
          <w:bCs/>
          <w:color w:val="auto"/>
          <w:szCs w:val="21"/>
        </w:rPr>
      </w:pPr>
      <w:r>
        <w:rPr>
          <w:rFonts w:hint="eastAsia" w:cs="Times New Roman"/>
          <w:b/>
          <w:bCs/>
          <w:color w:val="auto"/>
          <w:kern w:val="2"/>
          <w:sz w:val="21"/>
          <w:szCs w:val="21"/>
          <w:lang w:val="en-US" w:eastAsia="zh-CN" w:bidi="ar-SA"/>
        </w:rPr>
        <w:t>3.2</w:t>
      </w:r>
      <w:r>
        <w:rPr>
          <w:rFonts w:hint="eastAsia" w:ascii="Times New Roman" w:hAnsi="Times New Roman" w:eastAsia="宋体" w:cs="Times New Roman"/>
          <w:b/>
          <w:bCs/>
          <w:color w:val="auto"/>
          <w:kern w:val="2"/>
          <w:sz w:val="21"/>
          <w:szCs w:val="21"/>
          <w:lang w:val="en-US" w:eastAsia="zh-CN" w:bidi="ar-SA"/>
        </w:rPr>
        <w:t>.10</w:t>
      </w:r>
      <w:r>
        <w:rPr>
          <w:rFonts w:hint="eastAsia"/>
          <w:b/>
          <w:bCs/>
          <w:color w:val="auto"/>
          <w:szCs w:val="21"/>
          <w:lang w:val="en-US" w:eastAsia="zh-CN"/>
        </w:rPr>
        <w:t xml:space="preserve"> </w:t>
      </w:r>
      <w:r>
        <w:rPr>
          <w:rFonts w:hint="eastAsia"/>
          <w:b/>
          <w:bCs/>
          <w:color w:val="auto"/>
          <w:szCs w:val="21"/>
        </w:rPr>
        <w:t>pH值</w:t>
      </w:r>
    </w:p>
    <w:p>
      <w:pPr>
        <w:ind w:firstLine="420" w:firstLineChars="200"/>
        <w:jc w:val="both"/>
        <w:rPr>
          <w:color w:val="auto"/>
          <w:sz w:val="21"/>
          <w:szCs w:val="21"/>
        </w:rPr>
      </w:pPr>
      <w:r>
        <w:rPr>
          <w:rFonts w:hint="eastAsia"/>
          <w:color w:val="auto"/>
          <w:sz w:val="21"/>
          <w:szCs w:val="21"/>
        </w:rPr>
        <w:t>根据行业普遍需求，设定pH值指标，产品的pH值应不大于1</w:t>
      </w:r>
      <w:r>
        <w:rPr>
          <w:color w:val="auto"/>
          <w:sz w:val="21"/>
          <w:szCs w:val="21"/>
        </w:rPr>
        <w:t>3</w:t>
      </w:r>
      <w:r>
        <w:rPr>
          <w:rFonts w:hint="eastAsia"/>
          <w:color w:val="auto"/>
          <w:sz w:val="21"/>
          <w:szCs w:val="21"/>
        </w:rPr>
        <w:t>。</w:t>
      </w:r>
    </w:p>
    <w:p>
      <w:pPr>
        <w:pStyle w:val="59"/>
        <w:numPr>
          <w:ilvl w:val="2"/>
          <w:numId w:val="0"/>
        </w:numPr>
        <w:spacing w:before="156" w:beforeLines="50" w:after="156" w:afterLines="50"/>
        <w:ind w:left="0" w:leftChars="0" w:firstLine="0" w:firstLineChars="0"/>
        <w:outlineLvl w:val="2"/>
        <w:rPr>
          <w:b/>
          <w:bCs/>
          <w:color w:val="auto"/>
          <w:szCs w:val="21"/>
        </w:rPr>
      </w:pPr>
      <w:r>
        <w:rPr>
          <w:rFonts w:hint="eastAsia" w:cs="Times New Roman"/>
          <w:b/>
          <w:bCs/>
          <w:color w:val="auto"/>
          <w:kern w:val="2"/>
          <w:sz w:val="21"/>
          <w:szCs w:val="21"/>
          <w:lang w:val="en-US" w:eastAsia="zh-CN" w:bidi="ar-SA"/>
        </w:rPr>
        <w:t>3.2</w:t>
      </w:r>
      <w:r>
        <w:rPr>
          <w:rFonts w:hint="eastAsia" w:ascii="Times New Roman" w:hAnsi="Times New Roman" w:eastAsia="宋体" w:cs="Times New Roman"/>
          <w:b/>
          <w:bCs/>
          <w:color w:val="auto"/>
          <w:kern w:val="2"/>
          <w:sz w:val="21"/>
          <w:szCs w:val="21"/>
          <w:lang w:val="en-US" w:eastAsia="zh-CN" w:bidi="ar-SA"/>
        </w:rPr>
        <w:t>.11</w:t>
      </w:r>
      <w:r>
        <w:rPr>
          <w:rFonts w:hint="eastAsia"/>
          <w:b/>
          <w:bCs/>
          <w:color w:val="auto"/>
          <w:szCs w:val="21"/>
          <w:lang w:val="en-US" w:eastAsia="zh-CN"/>
        </w:rPr>
        <w:t xml:space="preserve"> </w:t>
      </w:r>
      <w:r>
        <w:rPr>
          <w:rFonts w:hint="eastAsia"/>
          <w:b/>
          <w:bCs/>
          <w:color w:val="auto"/>
          <w:szCs w:val="21"/>
        </w:rPr>
        <w:t>电化学性能</w:t>
      </w:r>
    </w:p>
    <w:p>
      <w:pPr>
        <w:ind w:firstLine="420" w:firstLineChars="200"/>
        <w:jc w:val="both"/>
        <w:rPr>
          <w:color w:val="auto"/>
          <w:sz w:val="21"/>
          <w:szCs w:val="21"/>
        </w:rPr>
      </w:pPr>
      <w:r>
        <w:rPr>
          <w:rFonts w:hint="eastAsia"/>
          <w:color w:val="auto"/>
          <w:sz w:val="21"/>
          <w:szCs w:val="21"/>
        </w:rPr>
        <w:t>根据行业及市场的普遍需求，设定电化学性能指标。</w:t>
      </w:r>
    </w:p>
    <w:p>
      <w:pPr>
        <w:pStyle w:val="59"/>
        <w:numPr>
          <w:ilvl w:val="2"/>
          <w:numId w:val="0"/>
        </w:numPr>
        <w:spacing w:before="156" w:beforeLines="50" w:after="156" w:afterLines="50"/>
        <w:ind w:left="0" w:leftChars="0" w:firstLine="0" w:firstLineChars="0"/>
        <w:outlineLvl w:val="2"/>
        <w:rPr>
          <w:rFonts w:hint="eastAsia"/>
          <w:b/>
          <w:bCs/>
          <w:color w:val="auto"/>
          <w:szCs w:val="21"/>
          <w:lang w:val="en-US" w:eastAsia="zh-CN"/>
        </w:rPr>
      </w:pPr>
      <w:r>
        <w:rPr>
          <w:rFonts w:hint="eastAsia" w:cs="Times New Roman"/>
          <w:b/>
          <w:bCs/>
          <w:color w:val="auto"/>
          <w:kern w:val="2"/>
          <w:sz w:val="21"/>
          <w:szCs w:val="21"/>
          <w:lang w:val="en-US" w:eastAsia="zh-CN" w:bidi="ar-SA"/>
        </w:rPr>
        <w:t>3.2</w:t>
      </w:r>
      <w:r>
        <w:rPr>
          <w:rFonts w:hint="eastAsia" w:ascii="Times New Roman" w:hAnsi="Times New Roman" w:eastAsia="宋体" w:cs="Times New Roman"/>
          <w:b/>
          <w:bCs/>
          <w:color w:val="auto"/>
          <w:kern w:val="2"/>
          <w:sz w:val="21"/>
          <w:szCs w:val="21"/>
          <w:lang w:val="en-US" w:eastAsia="zh-CN" w:bidi="ar-SA"/>
        </w:rPr>
        <w:t>.12</w:t>
      </w:r>
      <w:r>
        <w:rPr>
          <w:rFonts w:hint="eastAsia"/>
          <w:b/>
          <w:bCs/>
          <w:color w:val="auto"/>
          <w:szCs w:val="21"/>
          <w:lang w:val="en-US" w:eastAsia="zh-CN"/>
        </w:rPr>
        <w:t xml:space="preserve"> 0.1C首次放电比容量</w:t>
      </w:r>
    </w:p>
    <w:p>
      <w:pPr>
        <w:pStyle w:val="26"/>
        <w:ind w:firstLine="420"/>
        <w:rPr>
          <w:rFonts w:hint="default" w:ascii="Times New Roman" w:hAnsi="Times New Roman" w:cs="Times New Roman"/>
          <w:color w:val="auto"/>
        </w:rPr>
      </w:pPr>
      <w:r>
        <w:rPr>
          <w:rFonts w:hint="default" w:ascii="Times New Roman" w:hAnsi="Times New Roman" w:cs="Times New Roman"/>
          <w:color w:val="auto"/>
        </w:rPr>
        <w:t>产品在电压范围</w:t>
      </w:r>
      <w:r>
        <w:rPr>
          <w:rFonts w:hint="default" w:ascii="Times New Roman" w:hAnsi="Times New Roman" w:cs="Times New Roman"/>
          <w:color w:val="auto"/>
          <w:highlight w:val="none"/>
        </w:rPr>
        <w:t>2 V</w:t>
      </w:r>
      <w:r>
        <w:rPr>
          <w:rFonts w:hint="default" w:ascii="Times New Roman" w:hAnsi="Times New Roman" w:cs="Times New Roman"/>
          <w:color w:val="auto"/>
          <w:szCs w:val="21"/>
          <w:highlight w:val="none"/>
        </w:rPr>
        <w:t>～4 V，</w:t>
      </w:r>
      <w:r>
        <w:rPr>
          <w:rFonts w:hint="default" w:ascii="Times New Roman" w:hAnsi="Times New Roman" w:cs="Times New Roman"/>
          <w:color w:val="auto"/>
          <w:highlight w:val="none"/>
        </w:rPr>
        <w:t>0.1C充放电倍率条件下的首次放电比容量应不小于1</w:t>
      </w:r>
      <w:r>
        <w:rPr>
          <w:rFonts w:hint="eastAsia" w:ascii="Times New Roman" w:cs="Times New Roman"/>
          <w:color w:val="auto"/>
          <w:highlight w:val="none"/>
          <w:lang w:val="en-US" w:eastAsia="zh-CN"/>
        </w:rPr>
        <w:t>3</w:t>
      </w:r>
      <w:r>
        <w:rPr>
          <w:rFonts w:hint="default" w:ascii="Times New Roman" w:hAnsi="Times New Roman" w:cs="Times New Roman"/>
          <w:color w:val="auto"/>
          <w:highlight w:val="none"/>
        </w:rPr>
        <w:t>0mAh/g</w:t>
      </w:r>
      <w:r>
        <w:rPr>
          <w:rFonts w:hint="default" w:ascii="Times New Roman" w:hAnsi="Times New Roman" w:cs="Times New Roman"/>
          <w:color w:val="auto"/>
        </w:rPr>
        <w:t>。</w:t>
      </w:r>
    </w:p>
    <w:p>
      <w:pPr>
        <w:pStyle w:val="59"/>
        <w:numPr>
          <w:ilvl w:val="2"/>
          <w:numId w:val="0"/>
        </w:numPr>
        <w:spacing w:before="156" w:beforeLines="50" w:after="156" w:afterLines="50"/>
        <w:ind w:left="0" w:leftChars="0" w:firstLine="0" w:firstLineChars="0"/>
        <w:outlineLvl w:val="2"/>
        <w:rPr>
          <w:rFonts w:hint="eastAsia"/>
          <w:b/>
          <w:bCs/>
          <w:color w:val="auto"/>
          <w:szCs w:val="21"/>
          <w:lang w:val="en-US" w:eastAsia="zh-CN"/>
        </w:rPr>
      </w:pPr>
      <w:r>
        <w:rPr>
          <w:rFonts w:hint="eastAsia" w:cs="Times New Roman"/>
          <w:b/>
          <w:bCs/>
          <w:color w:val="auto"/>
          <w:kern w:val="2"/>
          <w:sz w:val="21"/>
          <w:szCs w:val="21"/>
          <w:lang w:val="en-US" w:eastAsia="zh-CN" w:bidi="ar-SA"/>
        </w:rPr>
        <w:t>3.2</w:t>
      </w:r>
      <w:r>
        <w:rPr>
          <w:rFonts w:hint="eastAsia" w:ascii="Times New Roman" w:hAnsi="Times New Roman" w:eastAsia="宋体" w:cs="Times New Roman"/>
          <w:b/>
          <w:bCs/>
          <w:color w:val="auto"/>
          <w:kern w:val="2"/>
          <w:sz w:val="21"/>
          <w:szCs w:val="21"/>
          <w:lang w:val="en-US" w:eastAsia="zh-CN" w:bidi="ar-SA"/>
        </w:rPr>
        <w:t>.13</w:t>
      </w:r>
      <w:r>
        <w:rPr>
          <w:rFonts w:hint="eastAsia"/>
          <w:b/>
          <w:bCs/>
          <w:color w:val="auto"/>
          <w:szCs w:val="21"/>
          <w:lang w:val="en-US" w:eastAsia="zh-CN"/>
        </w:rPr>
        <w:t xml:space="preserve"> 0.1C首次充放电效率</w:t>
      </w:r>
    </w:p>
    <w:p>
      <w:pPr>
        <w:pStyle w:val="26"/>
        <w:ind w:firstLine="420"/>
        <w:rPr>
          <w:rFonts w:hint="default" w:ascii="Times New Roman" w:hAnsi="Times New Roman" w:cs="Times New Roman"/>
          <w:color w:val="auto"/>
        </w:rPr>
      </w:pPr>
      <w:r>
        <w:rPr>
          <w:rFonts w:hint="eastAsia" w:ascii="Times New Roman" w:hAnsi="Times New Roman" w:cs="Times New Roman"/>
          <w:color w:val="auto"/>
        </w:rPr>
        <w:t>产品在电压范围2</w:t>
      </w:r>
      <w:r>
        <w:rPr>
          <w:rFonts w:hint="default" w:ascii="Times New Roman" w:hAnsi="Times New Roman" w:cs="Times New Roman"/>
          <w:color w:val="auto"/>
        </w:rPr>
        <w:t xml:space="preserve"> </w:t>
      </w:r>
      <w:r>
        <w:rPr>
          <w:rFonts w:hint="eastAsia" w:ascii="Times New Roman" w:hAnsi="Times New Roman" w:cs="Times New Roman"/>
          <w:color w:val="auto"/>
        </w:rPr>
        <w:t>V～4</w:t>
      </w:r>
      <w:r>
        <w:rPr>
          <w:rFonts w:hint="default" w:ascii="Times New Roman" w:hAnsi="Times New Roman" w:cs="Times New Roman"/>
          <w:color w:val="auto"/>
        </w:rPr>
        <w:t xml:space="preserve"> </w:t>
      </w:r>
      <w:r>
        <w:rPr>
          <w:rFonts w:hint="eastAsia" w:ascii="Times New Roman" w:hAnsi="Times New Roman" w:cs="Times New Roman"/>
          <w:color w:val="auto"/>
        </w:rPr>
        <w:t>V，0</w:t>
      </w:r>
      <w:r>
        <w:rPr>
          <w:rFonts w:hint="default" w:ascii="Times New Roman" w:hAnsi="Times New Roman" w:cs="Times New Roman"/>
          <w:color w:val="auto"/>
        </w:rPr>
        <w:t>.1C</w:t>
      </w:r>
      <w:r>
        <w:rPr>
          <w:rFonts w:hint="eastAsia" w:ascii="Times New Roman" w:hAnsi="Times New Roman" w:cs="Times New Roman"/>
          <w:color w:val="auto"/>
        </w:rPr>
        <w:t>充放电倍率条件下的首次充放电效率应不小于</w:t>
      </w:r>
      <w:r>
        <w:rPr>
          <w:rFonts w:hint="eastAsia" w:ascii="Times New Roman" w:cs="Times New Roman"/>
          <w:color w:val="auto"/>
          <w:lang w:val="en-US" w:eastAsia="zh-CN"/>
        </w:rPr>
        <w:t>85</w:t>
      </w:r>
      <w:r>
        <w:rPr>
          <w:rFonts w:hint="eastAsia" w:ascii="Times New Roman" w:hAnsi="Times New Roman" w:cs="Times New Roman"/>
          <w:color w:val="auto"/>
        </w:rPr>
        <w:t>%。</w:t>
      </w:r>
    </w:p>
    <w:p>
      <w:pPr>
        <w:pStyle w:val="59"/>
        <w:numPr>
          <w:ilvl w:val="2"/>
          <w:numId w:val="0"/>
        </w:numPr>
        <w:spacing w:before="156" w:beforeLines="50" w:after="156" w:afterLines="50"/>
        <w:ind w:left="0" w:leftChars="0" w:firstLine="0" w:firstLineChars="0"/>
        <w:outlineLvl w:val="2"/>
        <w:rPr>
          <w:rFonts w:hint="eastAsia"/>
          <w:b/>
          <w:bCs/>
          <w:color w:val="auto"/>
          <w:szCs w:val="21"/>
          <w:lang w:val="en-US" w:eastAsia="zh-CN"/>
        </w:rPr>
      </w:pPr>
      <w:r>
        <w:rPr>
          <w:rFonts w:hint="eastAsia" w:cs="Times New Roman"/>
          <w:b/>
          <w:bCs/>
          <w:color w:val="auto"/>
          <w:kern w:val="2"/>
          <w:sz w:val="21"/>
          <w:szCs w:val="21"/>
          <w:lang w:val="en-US" w:eastAsia="zh-CN" w:bidi="ar-SA"/>
        </w:rPr>
        <w:t>3.2</w:t>
      </w:r>
      <w:r>
        <w:rPr>
          <w:rFonts w:hint="eastAsia" w:ascii="Times New Roman" w:hAnsi="Times New Roman" w:eastAsia="宋体" w:cs="Times New Roman"/>
          <w:b/>
          <w:bCs/>
          <w:color w:val="auto"/>
          <w:kern w:val="2"/>
          <w:sz w:val="21"/>
          <w:szCs w:val="21"/>
          <w:lang w:val="en-US" w:eastAsia="zh-CN" w:bidi="ar-SA"/>
        </w:rPr>
        <w:t>.14</w:t>
      </w:r>
      <w:r>
        <w:rPr>
          <w:rFonts w:hint="eastAsia"/>
          <w:b/>
          <w:bCs/>
          <w:color w:val="auto"/>
          <w:szCs w:val="21"/>
          <w:lang w:val="en-US" w:eastAsia="zh-CN"/>
        </w:rPr>
        <w:t xml:space="preserve"> 循环寿命</w:t>
      </w:r>
    </w:p>
    <w:p>
      <w:pPr>
        <w:pStyle w:val="26"/>
        <w:keepNext w:val="0"/>
        <w:keepLines w:val="0"/>
        <w:pageBreakBefore w:val="0"/>
        <w:widowControl/>
        <w:kinsoku/>
        <w:wordWrap/>
        <w:overflowPunct/>
        <w:topLinePunct w:val="0"/>
        <w:autoSpaceDE w:val="0"/>
        <w:autoSpaceDN w:val="0"/>
        <w:bidi w:val="0"/>
        <w:adjustRightInd/>
        <w:snapToGrid/>
        <w:ind w:firstLine="420"/>
        <w:textAlignment w:val="auto"/>
        <w:rPr>
          <w:rFonts w:hint="default" w:ascii="Times New Roman" w:hAnsi="Times New Roman" w:cs="Times New Roman"/>
          <w:color w:val="auto"/>
        </w:rPr>
      </w:pPr>
      <w:r>
        <w:rPr>
          <w:rFonts w:hint="eastAsia" w:ascii="Times New Roman" w:hAnsi="Times New Roman" w:cs="Times New Roman"/>
          <w:color w:val="auto"/>
        </w:rPr>
        <w:t>产品在电压范围2</w:t>
      </w:r>
      <w:r>
        <w:rPr>
          <w:rFonts w:hint="default" w:ascii="Times New Roman" w:hAnsi="Times New Roman" w:cs="Times New Roman"/>
          <w:color w:val="auto"/>
        </w:rPr>
        <w:t xml:space="preserve"> </w:t>
      </w:r>
      <w:r>
        <w:rPr>
          <w:rFonts w:hint="eastAsia" w:ascii="Times New Roman" w:hAnsi="Times New Roman" w:cs="Times New Roman"/>
          <w:color w:val="auto"/>
        </w:rPr>
        <w:t>V～4</w:t>
      </w:r>
      <w:r>
        <w:rPr>
          <w:rFonts w:hint="default" w:ascii="Times New Roman" w:hAnsi="Times New Roman" w:cs="Times New Roman"/>
          <w:color w:val="auto"/>
        </w:rPr>
        <w:t xml:space="preserve"> </w:t>
      </w:r>
      <w:r>
        <w:rPr>
          <w:rFonts w:hint="eastAsia" w:ascii="Times New Roman" w:hAnsi="Times New Roman" w:cs="Times New Roman"/>
          <w:color w:val="auto"/>
        </w:rPr>
        <w:t>V，</w:t>
      </w:r>
      <w:r>
        <w:rPr>
          <w:rFonts w:hint="default" w:ascii="Times New Roman" w:hAnsi="Times New Roman" w:cs="Times New Roman"/>
          <w:color w:val="auto"/>
        </w:rPr>
        <w:t>1C</w:t>
      </w:r>
      <w:r>
        <w:rPr>
          <w:rFonts w:hint="eastAsia" w:ascii="Times New Roman" w:hAnsi="Times New Roman" w:cs="Times New Roman"/>
          <w:color w:val="auto"/>
        </w:rPr>
        <w:t>充放电倍率条件下，放电容量达到首次循环放电容量的8</w:t>
      </w:r>
      <w:r>
        <w:rPr>
          <w:rFonts w:hint="default" w:ascii="Times New Roman" w:hAnsi="Times New Roman" w:cs="Times New Roman"/>
          <w:color w:val="auto"/>
        </w:rPr>
        <w:t>0%</w:t>
      </w:r>
      <w:r>
        <w:rPr>
          <w:rFonts w:hint="eastAsia" w:ascii="Times New Roman" w:hAnsi="Times New Roman" w:cs="Times New Roman"/>
          <w:color w:val="auto"/>
        </w:rPr>
        <w:t>时，循环次数应不低于</w:t>
      </w:r>
      <w:r>
        <w:rPr>
          <w:rFonts w:hint="eastAsia" w:ascii="Times New Roman" w:cs="Times New Roman"/>
          <w:color w:val="auto"/>
          <w:lang w:val="en-US" w:eastAsia="zh-CN"/>
        </w:rPr>
        <w:t>3</w:t>
      </w:r>
      <w:r>
        <w:rPr>
          <w:rFonts w:hint="eastAsia" w:ascii="Times New Roman" w:hAnsi="Times New Roman" w:cs="Times New Roman"/>
          <w:color w:val="auto"/>
          <w:lang w:val="en-US" w:eastAsia="zh-CN"/>
        </w:rPr>
        <w:t>00</w:t>
      </w:r>
      <w:r>
        <w:rPr>
          <w:rFonts w:hint="eastAsia" w:ascii="Times New Roman" w:hAnsi="Times New Roman" w:cs="Times New Roman"/>
          <w:color w:val="auto"/>
        </w:rPr>
        <w:t>次。</w:t>
      </w:r>
    </w:p>
    <w:p>
      <w:pPr>
        <w:widowControl w:val="0"/>
        <w:spacing w:before="156" w:beforeLines="50" w:after="156" w:afterLines="50"/>
        <w:jc w:val="both"/>
        <w:outlineLvl w:val="1"/>
        <w:rPr>
          <w:b/>
          <w:bCs/>
          <w:color w:val="auto"/>
          <w:sz w:val="21"/>
          <w:szCs w:val="21"/>
        </w:rPr>
      </w:pPr>
      <w:r>
        <w:rPr>
          <w:b/>
          <w:bCs/>
          <w:color w:val="auto"/>
          <w:sz w:val="21"/>
          <w:szCs w:val="21"/>
        </w:rPr>
        <w:t xml:space="preserve">3.3 </w:t>
      </w:r>
      <w:r>
        <w:rPr>
          <w:rFonts w:hint="eastAsia"/>
          <w:b/>
          <w:bCs/>
          <w:color w:val="auto"/>
          <w:sz w:val="21"/>
          <w:szCs w:val="21"/>
        </w:rPr>
        <w:t>试验方法确定依据</w:t>
      </w:r>
    </w:p>
    <w:p>
      <w:pPr>
        <w:pStyle w:val="59"/>
        <w:numPr>
          <w:ilvl w:val="2"/>
          <w:numId w:val="6"/>
        </w:numPr>
        <w:spacing w:before="156" w:beforeLines="50" w:after="156" w:afterLines="50"/>
        <w:ind w:firstLineChars="0"/>
        <w:outlineLvl w:val="2"/>
        <w:rPr>
          <w:b/>
          <w:bCs/>
          <w:color w:val="auto"/>
          <w:szCs w:val="21"/>
        </w:rPr>
      </w:pPr>
      <w:r>
        <w:rPr>
          <w:rFonts w:hint="eastAsia"/>
          <w:b/>
          <w:bCs/>
          <w:color w:val="auto"/>
          <w:szCs w:val="21"/>
        </w:rPr>
        <w:t xml:space="preserve"> 化学成分</w:t>
      </w:r>
    </w:p>
    <w:p>
      <w:pPr>
        <w:pStyle w:val="59"/>
        <w:numPr>
          <w:ilvl w:val="2"/>
          <w:numId w:val="6"/>
        </w:numPr>
        <w:spacing w:before="156" w:beforeLines="50" w:after="156" w:afterLines="50"/>
        <w:ind w:firstLineChars="0"/>
        <w:outlineLvl w:val="2"/>
        <w:rPr>
          <w:rFonts w:hint="eastAsia"/>
          <w:b/>
          <w:bCs/>
          <w:color w:val="auto"/>
          <w:szCs w:val="21"/>
        </w:rPr>
      </w:pPr>
      <w:r>
        <w:rPr>
          <w:rFonts w:hint="eastAsia"/>
          <w:b/>
          <w:bCs/>
          <w:color w:val="auto"/>
          <w:szCs w:val="21"/>
        </w:rPr>
        <w:t>产品化学成分的测定按</w:t>
      </w:r>
      <w:r>
        <w:rPr>
          <w:rFonts w:hint="eastAsia"/>
          <w:b/>
          <w:bCs/>
          <w:color w:val="auto"/>
          <w:szCs w:val="21"/>
          <w:lang w:val="en-US" w:eastAsia="zh-CN"/>
        </w:rPr>
        <w:t>以下</w:t>
      </w:r>
      <w:r>
        <w:rPr>
          <w:rFonts w:hint="eastAsia"/>
          <w:b/>
          <w:bCs/>
          <w:color w:val="auto"/>
          <w:szCs w:val="21"/>
        </w:rPr>
        <w:t>的规定进行。</w:t>
      </w:r>
    </w:p>
    <w:p>
      <w:pPr>
        <w:pStyle w:val="59"/>
        <w:keepNext w:val="0"/>
        <w:keepLines w:val="0"/>
        <w:pageBreakBefore w:val="0"/>
        <w:widowControl w:val="0"/>
        <w:numPr>
          <w:ilvl w:val="3"/>
          <w:numId w:val="6"/>
        </w:numPr>
        <w:kinsoku/>
        <w:wordWrap/>
        <w:overflowPunct/>
        <w:topLinePunct w:val="0"/>
        <w:autoSpaceDE/>
        <w:autoSpaceDN/>
        <w:bidi w:val="0"/>
        <w:adjustRightInd/>
        <w:snapToGrid/>
        <w:spacing w:line="240" w:lineRule="auto"/>
        <w:ind w:left="0" w:leftChars="0" w:firstLine="420" w:firstLineChars="200"/>
        <w:textAlignment w:val="auto"/>
        <w:outlineLvl w:val="2"/>
        <w:rPr>
          <w:rFonts w:hint="eastAsia"/>
          <w:b w:val="0"/>
          <w:bCs w:val="0"/>
          <w:color w:val="auto"/>
          <w:szCs w:val="21"/>
        </w:rPr>
      </w:pPr>
      <w:r>
        <w:rPr>
          <w:rFonts w:hint="eastAsia"/>
          <w:b w:val="0"/>
          <w:bCs w:val="0"/>
          <w:color w:val="auto"/>
          <w:szCs w:val="21"/>
        </w:rPr>
        <w:t>产品中锰含量的测定按照GB/T 1506的规定执行。</w:t>
      </w:r>
    </w:p>
    <w:p>
      <w:pPr>
        <w:pStyle w:val="59"/>
        <w:keepNext w:val="0"/>
        <w:keepLines w:val="0"/>
        <w:pageBreakBefore w:val="0"/>
        <w:widowControl w:val="0"/>
        <w:numPr>
          <w:ilvl w:val="3"/>
          <w:numId w:val="6"/>
        </w:numPr>
        <w:kinsoku/>
        <w:wordWrap/>
        <w:overflowPunct/>
        <w:topLinePunct w:val="0"/>
        <w:autoSpaceDE/>
        <w:autoSpaceDN/>
        <w:bidi w:val="0"/>
        <w:adjustRightInd/>
        <w:snapToGrid/>
        <w:spacing w:line="240" w:lineRule="auto"/>
        <w:ind w:left="0" w:leftChars="0" w:firstLine="420" w:firstLineChars="200"/>
        <w:textAlignment w:val="auto"/>
        <w:outlineLvl w:val="2"/>
        <w:rPr>
          <w:rFonts w:hint="eastAsia"/>
          <w:b w:val="0"/>
          <w:bCs w:val="0"/>
          <w:color w:val="auto"/>
          <w:szCs w:val="21"/>
        </w:rPr>
      </w:pPr>
      <w:r>
        <w:rPr>
          <w:rFonts w:hint="eastAsia"/>
          <w:b w:val="0"/>
          <w:bCs w:val="0"/>
          <w:color w:val="auto"/>
          <w:szCs w:val="21"/>
        </w:rPr>
        <w:t>产品中铜含量的测定按照GB/T 3884.1的规定执行。</w:t>
      </w:r>
    </w:p>
    <w:p>
      <w:pPr>
        <w:pStyle w:val="59"/>
        <w:keepNext w:val="0"/>
        <w:keepLines w:val="0"/>
        <w:pageBreakBefore w:val="0"/>
        <w:widowControl w:val="0"/>
        <w:numPr>
          <w:ilvl w:val="3"/>
          <w:numId w:val="6"/>
        </w:numPr>
        <w:kinsoku/>
        <w:wordWrap/>
        <w:overflowPunct/>
        <w:topLinePunct w:val="0"/>
        <w:autoSpaceDE/>
        <w:autoSpaceDN/>
        <w:bidi w:val="0"/>
        <w:adjustRightInd/>
        <w:snapToGrid/>
        <w:spacing w:line="240" w:lineRule="auto"/>
        <w:ind w:left="0" w:leftChars="0" w:firstLine="420" w:firstLineChars="200"/>
        <w:textAlignment w:val="auto"/>
        <w:outlineLvl w:val="2"/>
        <w:rPr>
          <w:rFonts w:hint="eastAsia"/>
          <w:b w:val="0"/>
          <w:bCs w:val="0"/>
          <w:color w:val="auto"/>
          <w:szCs w:val="21"/>
        </w:rPr>
      </w:pPr>
      <w:r>
        <w:rPr>
          <w:rFonts w:hint="eastAsia"/>
          <w:b w:val="0"/>
          <w:bCs w:val="0"/>
          <w:color w:val="auto"/>
          <w:szCs w:val="21"/>
        </w:rPr>
        <w:t>产品中铁含量的测定按照GB/T 6730.70的规定执行。</w:t>
      </w:r>
    </w:p>
    <w:p>
      <w:pPr>
        <w:pStyle w:val="59"/>
        <w:keepNext w:val="0"/>
        <w:keepLines w:val="0"/>
        <w:pageBreakBefore w:val="0"/>
        <w:widowControl w:val="0"/>
        <w:numPr>
          <w:ilvl w:val="3"/>
          <w:numId w:val="6"/>
        </w:numPr>
        <w:kinsoku/>
        <w:wordWrap/>
        <w:overflowPunct/>
        <w:topLinePunct w:val="0"/>
        <w:autoSpaceDE/>
        <w:autoSpaceDN/>
        <w:bidi w:val="0"/>
        <w:adjustRightInd/>
        <w:snapToGrid/>
        <w:spacing w:line="240" w:lineRule="auto"/>
        <w:ind w:left="0" w:leftChars="0" w:firstLine="420" w:firstLineChars="200"/>
        <w:textAlignment w:val="auto"/>
        <w:outlineLvl w:val="2"/>
        <w:rPr>
          <w:rFonts w:hint="eastAsia"/>
          <w:b w:val="0"/>
          <w:bCs w:val="0"/>
          <w:color w:val="auto"/>
          <w:szCs w:val="21"/>
        </w:rPr>
      </w:pPr>
      <w:r>
        <w:rPr>
          <w:rFonts w:hint="eastAsia"/>
          <w:b w:val="0"/>
          <w:bCs w:val="0"/>
          <w:color w:val="auto"/>
          <w:szCs w:val="21"/>
        </w:rPr>
        <w:t>产品中硫含量的测定按照GB/T 24533中附录J的规定执行。</w:t>
      </w:r>
    </w:p>
    <w:p>
      <w:pPr>
        <w:pStyle w:val="59"/>
        <w:keepNext w:val="0"/>
        <w:keepLines w:val="0"/>
        <w:pageBreakBefore w:val="0"/>
        <w:widowControl w:val="0"/>
        <w:numPr>
          <w:ilvl w:val="3"/>
          <w:numId w:val="6"/>
        </w:numPr>
        <w:kinsoku/>
        <w:wordWrap/>
        <w:overflowPunct/>
        <w:topLinePunct w:val="0"/>
        <w:autoSpaceDE/>
        <w:autoSpaceDN/>
        <w:bidi w:val="0"/>
        <w:adjustRightInd/>
        <w:snapToGrid/>
        <w:spacing w:line="240" w:lineRule="auto"/>
        <w:ind w:left="0" w:leftChars="0" w:firstLine="420" w:firstLineChars="200"/>
        <w:textAlignment w:val="auto"/>
        <w:outlineLvl w:val="2"/>
        <w:rPr>
          <w:rFonts w:hint="eastAsia"/>
          <w:b w:val="0"/>
          <w:bCs w:val="0"/>
          <w:color w:val="auto"/>
          <w:szCs w:val="21"/>
        </w:rPr>
      </w:pPr>
      <w:r>
        <w:rPr>
          <w:rFonts w:hint="eastAsia"/>
          <w:b w:val="0"/>
          <w:bCs w:val="0"/>
          <w:color w:val="auto"/>
          <w:szCs w:val="21"/>
        </w:rPr>
        <w:t>产品中其他元素，例如：</w:t>
      </w:r>
      <w:r>
        <w:rPr>
          <w:rFonts w:hint="eastAsia"/>
          <w:b w:val="0"/>
          <w:bCs w:val="0"/>
          <w:color w:val="auto"/>
          <w:szCs w:val="21"/>
          <w:lang w:val="en-US" w:eastAsia="zh-CN"/>
        </w:rPr>
        <w:t>镍、钠、</w:t>
      </w:r>
      <w:r>
        <w:rPr>
          <w:rFonts w:hint="eastAsia"/>
          <w:b w:val="0"/>
          <w:bCs w:val="0"/>
          <w:color w:val="auto"/>
          <w:szCs w:val="21"/>
        </w:rPr>
        <w:t>钙、镁、锌、硅含量的测定按照YS/T928执行。</w:t>
      </w:r>
    </w:p>
    <w:p>
      <w:pPr>
        <w:pStyle w:val="59"/>
        <w:keepNext w:val="0"/>
        <w:keepLines w:val="0"/>
        <w:pageBreakBefore w:val="0"/>
        <w:widowControl w:val="0"/>
        <w:numPr>
          <w:ilvl w:val="3"/>
          <w:numId w:val="6"/>
        </w:numPr>
        <w:kinsoku/>
        <w:wordWrap/>
        <w:overflowPunct/>
        <w:topLinePunct w:val="0"/>
        <w:autoSpaceDE/>
        <w:autoSpaceDN/>
        <w:bidi w:val="0"/>
        <w:adjustRightInd/>
        <w:snapToGrid/>
        <w:spacing w:line="240" w:lineRule="auto"/>
        <w:ind w:left="0" w:leftChars="0" w:firstLine="420" w:firstLineChars="200"/>
        <w:textAlignment w:val="auto"/>
        <w:outlineLvl w:val="2"/>
        <w:rPr>
          <w:rFonts w:hint="eastAsia"/>
          <w:b w:val="0"/>
          <w:bCs w:val="0"/>
          <w:color w:val="auto"/>
          <w:szCs w:val="21"/>
        </w:rPr>
      </w:pPr>
      <w:r>
        <w:rPr>
          <w:rFonts w:hint="eastAsia"/>
          <w:b w:val="0"/>
          <w:bCs w:val="0"/>
          <w:color w:val="auto"/>
          <w:szCs w:val="21"/>
        </w:rPr>
        <w:t>产品中氯离子含量的测定按照HG/T 4506中6.9的规定执行。</w:t>
      </w:r>
    </w:p>
    <w:p>
      <w:pPr>
        <w:pStyle w:val="59"/>
        <w:keepNext w:val="0"/>
        <w:keepLines w:val="0"/>
        <w:pageBreakBefore w:val="0"/>
        <w:widowControl w:val="0"/>
        <w:numPr>
          <w:ilvl w:val="3"/>
          <w:numId w:val="6"/>
        </w:numPr>
        <w:kinsoku/>
        <w:wordWrap/>
        <w:overflowPunct/>
        <w:topLinePunct w:val="0"/>
        <w:autoSpaceDE/>
        <w:autoSpaceDN/>
        <w:bidi w:val="0"/>
        <w:adjustRightInd/>
        <w:snapToGrid/>
        <w:spacing w:line="240" w:lineRule="auto"/>
        <w:ind w:left="0" w:leftChars="0" w:firstLine="420" w:firstLineChars="200"/>
        <w:textAlignment w:val="auto"/>
        <w:outlineLvl w:val="2"/>
        <w:rPr>
          <w:rFonts w:hint="eastAsia"/>
          <w:b w:val="0"/>
          <w:bCs w:val="0"/>
          <w:color w:val="auto"/>
          <w:szCs w:val="21"/>
        </w:rPr>
      </w:pPr>
      <w:r>
        <w:rPr>
          <w:rFonts w:hint="eastAsia"/>
          <w:b w:val="0"/>
          <w:bCs w:val="0"/>
          <w:color w:val="auto"/>
          <w:szCs w:val="21"/>
        </w:rPr>
        <w:t>产品中铅、镉、铬含量的测定按照HG/T 4826中5.2.2的规定执行。</w:t>
      </w:r>
    </w:p>
    <w:p>
      <w:pPr>
        <w:pStyle w:val="59"/>
        <w:numPr>
          <w:ilvl w:val="2"/>
          <w:numId w:val="6"/>
        </w:numPr>
        <w:spacing w:before="156" w:beforeLines="50" w:after="156" w:afterLines="50"/>
        <w:ind w:firstLineChars="0"/>
        <w:outlineLvl w:val="2"/>
        <w:rPr>
          <w:b/>
          <w:bCs/>
          <w:color w:val="auto"/>
          <w:szCs w:val="21"/>
        </w:rPr>
      </w:pPr>
      <w:r>
        <w:rPr>
          <w:rFonts w:hint="eastAsia"/>
          <w:b/>
          <w:bCs/>
          <w:color w:val="auto"/>
          <w:szCs w:val="21"/>
        </w:rPr>
        <w:t xml:space="preserve"> 水分含量</w:t>
      </w:r>
    </w:p>
    <w:p>
      <w:pPr>
        <w:pStyle w:val="59"/>
        <w:numPr>
          <w:ilvl w:val="0"/>
          <w:numId w:val="0"/>
        </w:numPr>
        <w:spacing w:before="156" w:beforeLines="50" w:after="156" w:afterLines="50"/>
        <w:ind w:leftChars="0" w:firstLine="420" w:firstLineChars="200"/>
        <w:outlineLvl w:val="2"/>
        <w:rPr>
          <w:rFonts w:hint="eastAsia" w:ascii="Times New Roman" w:hAnsi="Times New Roman" w:eastAsia="宋体" w:cs="Times New Roman"/>
          <w:color w:val="auto"/>
          <w:szCs w:val="28"/>
        </w:rPr>
      </w:pPr>
      <w:r>
        <w:rPr>
          <w:rFonts w:hint="eastAsia" w:ascii="Times New Roman" w:hAnsi="Times New Roman" w:eastAsia="宋体" w:cs="Times New Roman"/>
          <w:color w:val="auto"/>
          <w:szCs w:val="28"/>
        </w:rPr>
        <w:t>参照锂离子电池正极材料水分含量的测试方法，规定本文件中产品水分含量的测定按GB/T 6283 化工产品中水分含量的测定 卡尔</w:t>
      </w:r>
      <w:r>
        <w:rPr>
          <w:rFonts w:hint="default" w:ascii="Times New Roman" w:hAnsi="Times New Roman" w:eastAsia="宋体" w:cs="Times New Roman"/>
          <w:color w:val="auto"/>
          <w:szCs w:val="28"/>
        </w:rPr>
        <w:t>•</w:t>
      </w:r>
      <w:r>
        <w:rPr>
          <w:rFonts w:hint="eastAsia" w:ascii="Times New Roman" w:hAnsi="Times New Roman" w:eastAsia="宋体" w:cs="Times New Roman"/>
          <w:color w:val="auto"/>
          <w:szCs w:val="28"/>
        </w:rPr>
        <w:t>费休法（通用方法）的规定进行。</w:t>
      </w:r>
    </w:p>
    <w:p>
      <w:pPr>
        <w:pStyle w:val="59"/>
        <w:numPr>
          <w:ilvl w:val="2"/>
          <w:numId w:val="6"/>
        </w:numPr>
        <w:spacing w:before="156" w:beforeLines="50" w:after="156" w:afterLines="50"/>
        <w:ind w:firstLineChars="0"/>
        <w:outlineLvl w:val="2"/>
        <w:rPr>
          <w:b/>
          <w:bCs/>
          <w:color w:val="auto"/>
          <w:szCs w:val="21"/>
        </w:rPr>
      </w:pPr>
      <w:r>
        <w:rPr>
          <w:b/>
          <w:bCs/>
          <w:color w:val="auto"/>
          <w:szCs w:val="21"/>
        </w:rPr>
        <w:t xml:space="preserve"> </w:t>
      </w:r>
      <w:r>
        <w:rPr>
          <w:rFonts w:hint="eastAsia"/>
          <w:b/>
          <w:bCs/>
          <w:color w:val="auto"/>
          <w:szCs w:val="21"/>
        </w:rPr>
        <w:t>外观质量</w:t>
      </w:r>
    </w:p>
    <w:p>
      <w:pPr>
        <w:ind w:firstLine="420" w:firstLineChars="200"/>
        <w:jc w:val="both"/>
        <w:rPr>
          <w:color w:val="auto"/>
          <w:sz w:val="21"/>
          <w:szCs w:val="21"/>
        </w:rPr>
      </w:pPr>
      <w:r>
        <w:rPr>
          <w:rFonts w:hint="eastAsia"/>
          <w:color w:val="auto"/>
          <w:sz w:val="21"/>
          <w:szCs w:val="21"/>
        </w:rPr>
        <w:t>产品的外观用目视检查。</w:t>
      </w:r>
    </w:p>
    <w:p>
      <w:pPr>
        <w:pStyle w:val="59"/>
        <w:numPr>
          <w:ilvl w:val="2"/>
          <w:numId w:val="6"/>
        </w:numPr>
        <w:spacing w:before="156" w:beforeLines="50" w:after="156" w:afterLines="50"/>
        <w:ind w:firstLineChars="0"/>
        <w:outlineLvl w:val="2"/>
        <w:rPr>
          <w:b/>
          <w:bCs/>
          <w:color w:val="auto"/>
          <w:szCs w:val="21"/>
        </w:rPr>
      </w:pPr>
      <w:r>
        <w:rPr>
          <w:rFonts w:hint="eastAsia"/>
          <w:b/>
          <w:bCs/>
          <w:color w:val="auto"/>
          <w:szCs w:val="21"/>
          <w:lang w:val="en-US" w:eastAsia="zh-CN"/>
        </w:rPr>
        <w:t xml:space="preserve"> 晶体结构</w:t>
      </w:r>
    </w:p>
    <w:p>
      <w:pPr>
        <w:pStyle w:val="59"/>
        <w:numPr>
          <w:ilvl w:val="0"/>
          <w:numId w:val="0"/>
        </w:numPr>
        <w:spacing w:before="156" w:beforeLines="50" w:after="156" w:afterLines="50"/>
        <w:ind w:leftChars="0" w:firstLine="420" w:firstLineChars="200"/>
        <w:outlineLvl w:val="2"/>
        <w:rPr>
          <w:b/>
          <w:bCs/>
          <w:color w:val="auto"/>
          <w:szCs w:val="21"/>
        </w:rPr>
      </w:pPr>
      <w:r>
        <w:rPr>
          <w:rFonts w:hint="eastAsia" w:ascii="Times New Roman"/>
          <w:color w:val="auto"/>
          <w:szCs w:val="28"/>
        </w:rPr>
        <w:t>产品的晶体结构用X射线粉末衍射仪检测。</w:t>
      </w:r>
    </w:p>
    <w:p>
      <w:pPr>
        <w:pStyle w:val="59"/>
        <w:numPr>
          <w:ilvl w:val="2"/>
          <w:numId w:val="6"/>
        </w:numPr>
        <w:spacing w:before="156" w:beforeLines="50" w:after="156" w:afterLines="50"/>
        <w:ind w:firstLineChars="0"/>
        <w:outlineLvl w:val="2"/>
        <w:rPr>
          <w:b/>
          <w:bCs/>
          <w:color w:val="auto"/>
          <w:szCs w:val="21"/>
        </w:rPr>
      </w:pPr>
      <w:r>
        <w:rPr>
          <w:rFonts w:hint="eastAsia"/>
          <w:b/>
          <w:bCs/>
          <w:color w:val="auto"/>
          <w:szCs w:val="21"/>
          <w:lang w:val="en-US" w:eastAsia="zh-CN"/>
        </w:rPr>
        <w:t xml:space="preserve"> 磁性异物</w:t>
      </w:r>
    </w:p>
    <w:p>
      <w:pPr>
        <w:pStyle w:val="59"/>
        <w:numPr>
          <w:ilvl w:val="0"/>
          <w:numId w:val="0"/>
        </w:numPr>
        <w:spacing w:before="156" w:beforeLines="50" w:after="156" w:afterLines="50"/>
        <w:ind w:leftChars="0" w:firstLine="420" w:firstLineChars="200"/>
        <w:outlineLvl w:val="2"/>
        <w:rPr>
          <w:rFonts w:hint="default" w:ascii="Times New Roman" w:hAnsi="Times New Roman" w:eastAsia="宋体" w:cs="Times New Roman"/>
          <w:color w:val="auto"/>
          <w:szCs w:val="28"/>
          <w:lang w:val="en-US"/>
        </w:rPr>
      </w:pPr>
      <w:r>
        <w:rPr>
          <w:rFonts w:hint="eastAsia"/>
          <w:color w:val="auto"/>
          <w:sz w:val="21"/>
          <w:szCs w:val="21"/>
        </w:rPr>
        <w:t>参照</w:t>
      </w:r>
      <w:r>
        <w:rPr>
          <w:rFonts w:hint="eastAsia" w:ascii="Times New Roman" w:hAnsi="Times New Roman" w:eastAsia="宋体" w:cs="Times New Roman"/>
          <w:color w:val="auto"/>
          <w:szCs w:val="28"/>
          <w:lang w:val="en-US" w:eastAsia="zh-CN"/>
        </w:rPr>
        <w:t>锂离子电池正极材料检测方法 磁性异物含量和残余碱含量</w:t>
      </w:r>
      <w:r>
        <w:rPr>
          <w:rFonts w:hint="eastAsia" w:cs="Times New Roman"/>
          <w:color w:val="auto"/>
          <w:szCs w:val="28"/>
          <w:lang w:val="en-US" w:eastAsia="zh-CN"/>
        </w:rPr>
        <w:t>的</w:t>
      </w:r>
      <w:r>
        <w:rPr>
          <w:rFonts w:hint="eastAsia"/>
          <w:color w:val="auto"/>
          <w:sz w:val="21"/>
          <w:szCs w:val="21"/>
        </w:rPr>
        <w:t>测试方法，规定本文件中</w:t>
      </w:r>
      <w:r>
        <w:rPr>
          <w:rFonts w:hint="eastAsia" w:ascii="Times New Roman" w:hAnsi="Times New Roman" w:eastAsia="宋体" w:cs="Times New Roman"/>
          <w:color w:val="auto"/>
          <w:szCs w:val="28"/>
          <w:lang w:val="en-US" w:eastAsia="zh-CN"/>
        </w:rPr>
        <w:t>产品中磁性异物</w:t>
      </w:r>
      <w:r>
        <w:rPr>
          <w:rFonts w:hint="eastAsia" w:cs="Times New Roman"/>
          <w:color w:val="auto"/>
          <w:szCs w:val="28"/>
          <w:lang w:val="en-US" w:eastAsia="zh-CN"/>
        </w:rPr>
        <w:t>的测定按</w:t>
      </w:r>
      <w:r>
        <w:rPr>
          <w:rFonts w:hint="eastAsia" w:ascii="Times New Roman" w:hAnsi="Times New Roman" w:eastAsia="宋体" w:cs="Times New Roman"/>
          <w:color w:val="auto"/>
          <w:szCs w:val="28"/>
          <w:lang w:val="en-US" w:eastAsia="zh-CN"/>
        </w:rPr>
        <w:t>GB/T 41704的</w:t>
      </w:r>
      <w:r>
        <w:rPr>
          <w:rFonts w:hint="eastAsia" w:cs="Times New Roman"/>
          <w:color w:val="auto"/>
          <w:szCs w:val="28"/>
          <w:lang w:val="en-US" w:eastAsia="zh-CN"/>
        </w:rPr>
        <w:t>规定进行</w:t>
      </w:r>
      <w:r>
        <w:rPr>
          <w:rFonts w:hint="eastAsia" w:ascii="Times New Roman" w:hAnsi="Times New Roman" w:eastAsia="宋体" w:cs="Times New Roman"/>
          <w:color w:val="auto"/>
          <w:szCs w:val="28"/>
          <w:lang w:val="en-US" w:eastAsia="zh-CN"/>
        </w:rPr>
        <w:t>。</w:t>
      </w:r>
    </w:p>
    <w:p>
      <w:pPr>
        <w:pStyle w:val="59"/>
        <w:numPr>
          <w:ilvl w:val="2"/>
          <w:numId w:val="6"/>
        </w:numPr>
        <w:spacing w:before="156" w:beforeLines="50" w:after="156" w:afterLines="50"/>
        <w:ind w:firstLineChars="0"/>
        <w:outlineLvl w:val="2"/>
        <w:rPr>
          <w:b/>
          <w:bCs/>
          <w:color w:val="auto"/>
          <w:szCs w:val="21"/>
        </w:rPr>
      </w:pPr>
      <w:r>
        <w:rPr>
          <w:rFonts w:hint="eastAsia"/>
          <w:b/>
          <w:bCs/>
          <w:color w:val="auto"/>
          <w:szCs w:val="21"/>
          <w:lang w:val="en-US" w:eastAsia="zh-CN"/>
        </w:rPr>
        <w:t xml:space="preserve"> 残余钠</w:t>
      </w:r>
    </w:p>
    <w:p>
      <w:pPr>
        <w:pStyle w:val="59"/>
        <w:numPr>
          <w:ilvl w:val="0"/>
          <w:numId w:val="0"/>
        </w:numPr>
        <w:spacing w:before="156" w:beforeLines="50" w:after="156" w:afterLines="50"/>
        <w:ind w:leftChars="0" w:firstLine="420" w:firstLineChars="200"/>
        <w:outlineLvl w:val="2"/>
        <w:rPr>
          <w:rFonts w:hint="default" w:ascii="Times New Roman" w:hAnsi="Times New Roman" w:eastAsia="宋体" w:cs="Times New Roman"/>
          <w:color w:val="auto"/>
          <w:szCs w:val="28"/>
          <w:lang w:val="en-US"/>
        </w:rPr>
      </w:pPr>
      <w:r>
        <w:rPr>
          <w:rFonts w:hint="eastAsia"/>
          <w:color w:val="auto"/>
          <w:sz w:val="21"/>
          <w:szCs w:val="21"/>
        </w:rPr>
        <w:t>参照</w:t>
      </w:r>
      <w:r>
        <w:rPr>
          <w:rFonts w:hint="eastAsia" w:ascii="Times New Roman" w:hAnsi="Times New Roman" w:eastAsia="宋体" w:cs="Times New Roman"/>
          <w:color w:val="auto"/>
          <w:szCs w:val="28"/>
          <w:lang w:val="en-US" w:eastAsia="zh-CN"/>
        </w:rPr>
        <w:t>锂离子电池正极材料检测方法 磁性异物含量和残余碱含量</w:t>
      </w:r>
      <w:r>
        <w:rPr>
          <w:rFonts w:hint="eastAsia" w:cs="Times New Roman"/>
          <w:color w:val="auto"/>
          <w:szCs w:val="28"/>
          <w:lang w:val="en-US" w:eastAsia="zh-CN"/>
        </w:rPr>
        <w:t>的</w:t>
      </w:r>
      <w:r>
        <w:rPr>
          <w:rFonts w:hint="eastAsia"/>
          <w:color w:val="auto"/>
          <w:sz w:val="21"/>
          <w:szCs w:val="21"/>
        </w:rPr>
        <w:t>测试方法，规定本文件中</w:t>
      </w:r>
      <w:r>
        <w:rPr>
          <w:rFonts w:hint="eastAsia" w:ascii="Times New Roman" w:hAnsi="Times New Roman" w:eastAsia="宋体" w:cs="Times New Roman"/>
          <w:color w:val="auto"/>
          <w:szCs w:val="28"/>
          <w:lang w:val="en-US" w:eastAsia="zh-CN"/>
        </w:rPr>
        <w:t>产品中</w:t>
      </w:r>
      <w:r>
        <w:rPr>
          <w:rFonts w:hint="eastAsia" w:cs="Times New Roman"/>
          <w:color w:val="auto"/>
          <w:szCs w:val="28"/>
          <w:lang w:val="en-US" w:eastAsia="zh-CN"/>
        </w:rPr>
        <w:t>残余钠的测定按</w:t>
      </w:r>
      <w:r>
        <w:rPr>
          <w:rFonts w:hint="eastAsia" w:ascii="Times New Roman" w:hAnsi="Times New Roman" w:eastAsia="宋体" w:cs="Times New Roman"/>
          <w:color w:val="auto"/>
          <w:szCs w:val="28"/>
          <w:lang w:val="en-US" w:eastAsia="zh-CN"/>
        </w:rPr>
        <w:t>GB/T 41704的</w:t>
      </w:r>
      <w:r>
        <w:rPr>
          <w:rFonts w:hint="eastAsia" w:cs="Times New Roman"/>
          <w:color w:val="auto"/>
          <w:szCs w:val="28"/>
          <w:lang w:val="en-US" w:eastAsia="zh-CN"/>
        </w:rPr>
        <w:t>规定进行</w:t>
      </w:r>
      <w:r>
        <w:rPr>
          <w:rFonts w:hint="eastAsia" w:ascii="Times New Roman" w:hAnsi="Times New Roman" w:eastAsia="宋体" w:cs="Times New Roman"/>
          <w:color w:val="auto"/>
          <w:szCs w:val="28"/>
          <w:lang w:val="en-US" w:eastAsia="zh-CN"/>
        </w:rPr>
        <w:t>。</w:t>
      </w:r>
    </w:p>
    <w:p>
      <w:pPr>
        <w:pStyle w:val="59"/>
        <w:numPr>
          <w:ilvl w:val="2"/>
          <w:numId w:val="6"/>
        </w:numPr>
        <w:spacing w:before="156" w:beforeLines="50" w:after="156" w:afterLines="50"/>
        <w:ind w:firstLineChars="0"/>
        <w:outlineLvl w:val="2"/>
        <w:rPr>
          <w:b/>
          <w:bCs/>
          <w:color w:val="auto"/>
          <w:szCs w:val="21"/>
        </w:rPr>
      </w:pPr>
      <w:r>
        <w:rPr>
          <w:rFonts w:hint="eastAsia"/>
          <w:b/>
          <w:bCs/>
          <w:color w:val="auto"/>
          <w:szCs w:val="21"/>
          <w:lang w:val="en-US" w:eastAsia="zh-CN"/>
        </w:rPr>
        <w:t xml:space="preserve"> 振实</w:t>
      </w:r>
      <w:r>
        <w:rPr>
          <w:rFonts w:hint="eastAsia"/>
          <w:b/>
          <w:bCs/>
          <w:color w:val="auto"/>
          <w:szCs w:val="21"/>
        </w:rPr>
        <w:t>密度</w:t>
      </w:r>
    </w:p>
    <w:p>
      <w:pPr>
        <w:ind w:firstLine="420" w:firstLineChars="200"/>
        <w:jc w:val="both"/>
        <w:rPr>
          <w:color w:val="auto"/>
          <w:sz w:val="21"/>
          <w:szCs w:val="21"/>
        </w:rPr>
      </w:pPr>
      <w:r>
        <w:rPr>
          <w:rFonts w:hint="eastAsia"/>
          <w:color w:val="auto"/>
          <w:sz w:val="21"/>
          <w:szCs w:val="21"/>
        </w:rPr>
        <w:t>参照锂离子电池正极材料</w:t>
      </w:r>
      <w:r>
        <w:rPr>
          <w:rFonts w:hint="eastAsia"/>
          <w:color w:val="auto"/>
          <w:sz w:val="21"/>
          <w:szCs w:val="21"/>
          <w:lang w:val="en-US" w:eastAsia="zh-CN"/>
        </w:rPr>
        <w:t>振实</w:t>
      </w:r>
      <w:r>
        <w:rPr>
          <w:rFonts w:hint="eastAsia"/>
          <w:color w:val="auto"/>
          <w:sz w:val="21"/>
          <w:szCs w:val="21"/>
        </w:rPr>
        <w:t>密度含量的测试方法，规定本文件中产品压实密度的测定按GB/T 5162的规定进行。</w:t>
      </w:r>
    </w:p>
    <w:p>
      <w:pPr>
        <w:pStyle w:val="59"/>
        <w:numPr>
          <w:ilvl w:val="2"/>
          <w:numId w:val="6"/>
        </w:numPr>
        <w:spacing w:before="156" w:beforeLines="50" w:after="156" w:afterLines="50"/>
        <w:ind w:firstLineChars="0"/>
        <w:outlineLvl w:val="2"/>
        <w:rPr>
          <w:b/>
          <w:bCs/>
          <w:color w:val="auto"/>
          <w:szCs w:val="21"/>
        </w:rPr>
      </w:pPr>
      <w:r>
        <w:rPr>
          <w:rFonts w:hint="eastAsia"/>
          <w:b/>
          <w:bCs/>
          <w:color w:val="auto"/>
          <w:szCs w:val="21"/>
          <w:lang w:val="en-US" w:eastAsia="zh-CN"/>
        </w:rPr>
        <w:t xml:space="preserve"> </w:t>
      </w:r>
      <w:r>
        <w:rPr>
          <w:rFonts w:hint="eastAsia"/>
          <w:b/>
          <w:bCs/>
          <w:color w:val="auto"/>
          <w:szCs w:val="21"/>
        </w:rPr>
        <w:t>粒度分布</w:t>
      </w:r>
    </w:p>
    <w:p>
      <w:pPr>
        <w:ind w:firstLine="420" w:firstLineChars="200"/>
        <w:jc w:val="both"/>
        <w:rPr>
          <w:color w:val="auto"/>
          <w:sz w:val="21"/>
          <w:szCs w:val="21"/>
        </w:rPr>
      </w:pPr>
      <w:r>
        <w:rPr>
          <w:rFonts w:hint="eastAsia"/>
          <w:color w:val="auto"/>
          <w:sz w:val="21"/>
          <w:szCs w:val="21"/>
        </w:rPr>
        <w:t>参照锂离子电池正极材料粒度分布的测试方法，规定本文件中产品粒度分布的测定按GB/T 19077的规定进行。</w:t>
      </w:r>
    </w:p>
    <w:p>
      <w:pPr>
        <w:pStyle w:val="59"/>
        <w:numPr>
          <w:ilvl w:val="2"/>
          <w:numId w:val="6"/>
        </w:numPr>
        <w:spacing w:before="156" w:beforeLines="50" w:after="156" w:afterLines="50"/>
        <w:ind w:firstLineChars="0"/>
        <w:outlineLvl w:val="2"/>
        <w:rPr>
          <w:b/>
          <w:bCs/>
          <w:color w:val="auto"/>
          <w:szCs w:val="21"/>
        </w:rPr>
      </w:pPr>
      <w:r>
        <w:rPr>
          <w:rFonts w:hint="eastAsia"/>
          <w:b/>
          <w:bCs/>
          <w:color w:val="auto"/>
          <w:szCs w:val="21"/>
          <w:lang w:val="en-US" w:eastAsia="zh-CN"/>
        </w:rPr>
        <w:t xml:space="preserve"> </w:t>
      </w:r>
      <w:r>
        <w:rPr>
          <w:rFonts w:hint="eastAsia"/>
          <w:b/>
          <w:bCs/>
          <w:color w:val="auto"/>
          <w:szCs w:val="21"/>
        </w:rPr>
        <w:t>比表面积</w:t>
      </w:r>
    </w:p>
    <w:p>
      <w:pPr>
        <w:ind w:firstLine="420" w:firstLineChars="200"/>
        <w:jc w:val="both"/>
        <w:rPr>
          <w:color w:val="auto"/>
          <w:sz w:val="21"/>
          <w:szCs w:val="21"/>
        </w:rPr>
      </w:pPr>
      <w:r>
        <w:rPr>
          <w:rFonts w:hint="eastAsia"/>
          <w:color w:val="auto"/>
          <w:sz w:val="21"/>
          <w:szCs w:val="21"/>
        </w:rPr>
        <w:t>参照锂离子电池正极材料比表面积的测试方法，规定本文件中产品比表面积的测定按GB/T 19587的规定进行。</w:t>
      </w:r>
    </w:p>
    <w:p>
      <w:pPr>
        <w:pStyle w:val="59"/>
        <w:numPr>
          <w:ilvl w:val="2"/>
          <w:numId w:val="6"/>
        </w:numPr>
        <w:spacing w:before="156" w:beforeLines="50" w:after="156" w:afterLines="50"/>
        <w:ind w:firstLineChars="0"/>
        <w:outlineLvl w:val="2"/>
        <w:rPr>
          <w:b/>
          <w:bCs/>
          <w:color w:val="auto"/>
          <w:szCs w:val="21"/>
        </w:rPr>
      </w:pPr>
      <w:r>
        <w:rPr>
          <w:rFonts w:hint="eastAsia"/>
          <w:b/>
          <w:bCs/>
          <w:color w:val="auto"/>
          <w:szCs w:val="21"/>
          <w:lang w:val="en-US" w:eastAsia="zh-CN"/>
        </w:rPr>
        <w:t xml:space="preserve"> </w:t>
      </w:r>
      <w:r>
        <w:rPr>
          <w:rFonts w:hint="eastAsia"/>
          <w:b/>
          <w:bCs/>
          <w:color w:val="auto"/>
          <w:szCs w:val="21"/>
        </w:rPr>
        <w:t>pH值</w:t>
      </w:r>
    </w:p>
    <w:p>
      <w:pPr>
        <w:ind w:firstLine="420" w:firstLineChars="200"/>
        <w:jc w:val="both"/>
        <w:rPr>
          <w:rFonts w:hint="eastAsia" w:ascii="Times New Roman" w:eastAsia="黑体"/>
          <w:color w:val="auto"/>
          <w:szCs w:val="21"/>
        </w:rPr>
      </w:pPr>
      <w:r>
        <w:rPr>
          <w:rFonts w:hint="eastAsia"/>
          <w:color w:val="auto"/>
          <w:sz w:val="21"/>
          <w:szCs w:val="21"/>
        </w:rPr>
        <w:t>根据实际生产检测情况，规定本文件中产品pH值的测定按</w:t>
      </w:r>
      <w:r>
        <w:rPr>
          <w:rFonts w:hint="eastAsia"/>
          <w:sz w:val="21"/>
          <w:szCs w:val="21"/>
        </w:rPr>
        <w:t>GB/T 9724</w:t>
      </w:r>
      <w:r>
        <w:rPr>
          <w:rFonts w:hint="eastAsia"/>
          <w:color w:val="auto"/>
          <w:sz w:val="21"/>
          <w:szCs w:val="21"/>
        </w:rPr>
        <w:t>的规定进行。</w:t>
      </w:r>
    </w:p>
    <w:p>
      <w:pPr>
        <w:pStyle w:val="59"/>
        <w:numPr>
          <w:ilvl w:val="2"/>
          <w:numId w:val="6"/>
        </w:numPr>
        <w:spacing w:before="156" w:beforeLines="50" w:after="156" w:afterLines="50"/>
        <w:ind w:firstLineChars="0"/>
        <w:outlineLvl w:val="2"/>
        <w:rPr>
          <w:rFonts w:hint="eastAsia" w:ascii="Times New Roman" w:hAnsi="Times New Roman" w:eastAsia="宋体" w:cs="Times New Roman"/>
          <w:b/>
          <w:bCs/>
          <w:color w:val="auto"/>
          <w:szCs w:val="21"/>
          <w:lang w:val="en-US" w:eastAsia="zh-CN"/>
        </w:rPr>
      </w:pPr>
      <w:r>
        <w:rPr>
          <w:rFonts w:hint="eastAsia" w:cs="Times New Roman"/>
          <w:b/>
          <w:bCs/>
          <w:color w:val="auto"/>
          <w:szCs w:val="21"/>
          <w:lang w:val="en-US" w:eastAsia="zh-CN"/>
        </w:rPr>
        <w:t xml:space="preserve"> </w:t>
      </w:r>
      <w:r>
        <w:rPr>
          <w:rFonts w:hint="eastAsia" w:ascii="Times New Roman" w:hAnsi="Times New Roman" w:eastAsia="宋体" w:cs="Times New Roman"/>
          <w:b/>
          <w:bCs/>
          <w:color w:val="auto"/>
          <w:szCs w:val="21"/>
          <w:lang w:val="en-US" w:eastAsia="zh-CN"/>
        </w:rPr>
        <w:t>首次放电比容量</w:t>
      </w:r>
    </w:p>
    <w:p>
      <w:pPr>
        <w:pStyle w:val="59"/>
        <w:numPr>
          <w:ilvl w:val="0"/>
          <w:numId w:val="0"/>
        </w:numPr>
        <w:spacing w:before="156" w:beforeLines="50" w:after="156" w:afterLines="50"/>
        <w:ind w:leftChars="0" w:firstLine="420" w:firstLineChars="200"/>
        <w:outlineLvl w:val="2"/>
        <w:rPr>
          <w:rFonts w:hint="eastAsia" w:ascii="Times New Roman" w:eastAsia="黑体"/>
          <w:color w:val="auto"/>
          <w:szCs w:val="21"/>
        </w:rPr>
      </w:pPr>
      <w:r>
        <w:rPr>
          <w:rFonts w:hint="eastAsia" w:ascii="Times New Roman"/>
          <w:color w:val="auto"/>
          <w:lang w:val="en-US" w:eastAsia="zh-CN"/>
        </w:rPr>
        <w:t>产品的首次充电比容量的测定按GB/T 23365-2009规定进行。</w:t>
      </w:r>
    </w:p>
    <w:p>
      <w:pPr>
        <w:pStyle w:val="59"/>
        <w:numPr>
          <w:ilvl w:val="2"/>
          <w:numId w:val="6"/>
        </w:numPr>
        <w:spacing w:before="156" w:beforeLines="50" w:after="156" w:afterLines="50"/>
        <w:ind w:firstLineChars="0"/>
        <w:outlineLvl w:val="2"/>
        <w:rPr>
          <w:rFonts w:hint="eastAsia" w:ascii="Times New Roman" w:hAnsi="Times New Roman" w:eastAsia="宋体" w:cs="Times New Roman"/>
          <w:b/>
          <w:bCs/>
          <w:color w:val="auto"/>
          <w:szCs w:val="21"/>
          <w:lang w:val="en-US" w:eastAsia="zh-CN"/>
        </w:rPr>
      </w:pPr>
      <w:r>
        <w:rPr>
          <w:rFonts w:hint="eastAsia" w:cs="Times New Roman"/>
          <w:b/>
          <w:bCs/>
          <w:color w:val="auto"/>
          <w:szCs w:val="21"/>
          <w:lang w:val="en-US" w:eastAsia="zh-CN"/>
        </w:rPr>
        <w:t xml:space="preserve"> </w:t>
      </w:r>
      <w:r>
        <w:rPr>
          <w:rFonts w:hint="eastAsia" w:ascii="Times New Roman" w:hAnsi="Times New Roman" w:eastAsia="宋体" w:cs="Times New Roman"/>
          <w:b/>
          <w:bCs/>
          <w:color w:val="auto"/>
          <w:szCs w:val="21"/>
          <w:lang w:val="en-US" w:eastAsia="zh-CN"/>
        </w:rPr>
        <w:t>首次充放电效率</w:t>
      </w:r>
    </w:p>
    <w:p>
      <w:pPr>
        <w:pStyle w:val="26"/>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eastAsia" w:ascii="Times New Roman" w:eastAsia="黑体"/>
          <w:color w:val="auto"/>
          <w:szCs w:val="21"/>
        </w:rPr>
      </w:pPr>
      <w:r>
        <w:rPr>
          <w:rFonts w:hint="eastAsia" w:ascii="Times New Roman"/>
          <w:color w:val="auto"/>
          <w:lang w:val="en-US" w:eastAsia="zh-CN"/>
        </w:rPr>
        <w:t>产品的首次充电比容量的测定按GB/T 23365规定进行。</w:t>
      </w:r>
    </w:p>
    <w:p>
      <w:pPr>
        <w:pStyle w:val="59"/>
        <w:numPr>
          <w:ilvl w:val="2"/>
          <w:numId w:val="6"/>
        </w:numPr>
        <w:spacing w:before="156" w:beforeLines="50" w:after="156" w:afterLines="50"/>
        <w:ind w:firstLineChars="0"/>
        <w:outlineLvl w:val="2"/>
        <w:rPr>
          <w:rFonts w:hint="eastAsia" w:ascii="Times New Roman" w:hAnsi="Times New Roman" w:eastAsia="宋体" w:cs="Times New Roman"/>
          <w:b/>
          <w:bCs/>
          <w:color w:val="auto"/>
          <w:szCs w:val="21"/>
          <w:lang w:val="en-US" w:eastAsia="zh-CN"/>
        </w:rPr>
      </w:pPr>
      <w:r>
        <w:rPr>
          <w:rFonts w:hint="eastAsia" w:cs="Times New Roman"/>
          <w:b/>
          <w:bCs/>
          <w:color w:val="auto"/>
          <w:szCs w:val="21"/>
          <w:lang w:val="en-US" w:eastAsia="zh-CN"/>
        </w:rPr>
        <w:t xml:space="preserve"> </w:t>
      </w:r>
      <w:r>
        <w:rPr>
          <w:rFonts w:hint="eastAsia" w:ascii="Times New Roman" w:hAnsi="Times New Roman" w:eastAsia="宋体" w:cs="Times New Roman"/>
          <w:b/>
          <w:bCs/>
          <w:color w:val="auto"/>
          <w:szCs w:val="21"/>
          <w:lang w:val="en-US" w:eastAsia="zh-CN"/>
        </w:rPr>
        <w:t>循环寿命</w:t>
      </w:r>
    </w:p>
    <w:p>
      <w:pPr>
        <w:pStyle w:val="26"/>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eastAsia" w:ascii="Times New Roman" w:eastAsia="黑体"/>
          <w:color w:val="auto"/>
          <w:szCs w:val="21"/>
        </w:rPr>
      </w:pPr>
      <w:r>
        <w:rPr>
          <w:rFonts w:hint="eastAsia" w:ascii="Times New Roman"/>
          <w:color w:val="auto"/>
          <w:lang w:val="en-US" w:eastAsia="zh-CN"/>
        </w:rPr>
        <w:t>产品的循环寿命的测定按GB/T39861规定进行。</w:t>
      </w:r>
    </w:p>
    <w:p>
      <w:pPr>
        <w:widowControl w:val="0"/>
        <w:spacing w:before="312" w:beforeLines="100" w:after="312" w:afterLines="100"/>
        <w:jc w:val="both"/>
        <w:outlineLvl w:val="0"/>
        <w:rPr>
          <w:b/>
          <w:bCs/>
          <w:color w:val="auto"/>
        </w:rPr>
      </w:pPr>
      <w:r>
        <w:rPr>
          <w:rFonts w:hint="eastAsia"/>
          <w:b/>
          <w:bCs/>
          <w:color w:val="auto"/>
        </w:rPr>
        <w:t>四、</w:t>
      </w:r>
      <w:r>
        <w:rPr>
          <w:b/>
          <w:bCs/>
          <w:color w:val="auto"/>
        </w:rPr>
        <w:t>标准中涉及的专利情况</w:t>
      </w:r>
    </w:p>
    <w:p>
      <w:pPr>
        <w:widowControl w:val="0"/>
        <w:ind w:firstLine="420" w:firstLineChars="200"/>
        <w:jc w:val="both"/>
        <w:rPr>
          <w:color w:val="auto"/>
          <w:sz w:val="21"/>
          <w:szCs w:val="21"/>
        </w:rPr>
      </w:pPr>
      <w:r>
        <w:rPr>
          <w:color w:val="auto"/>
          <w:sz w:val="21"/>
          <w:szCs w:val="21"/>
        </w:rPr>
        <w:t>本文件不涉及专利问题。</w:t>
      </w:r>
    </w:p>
    <w:p>
      <w:pPr>
        <w:widowControl w:val="0"/>
        <w:spacing w:before="312" w:beforeLines="100" w:after="312" w:afterLines="100"/>
        <w:jc w:val="both"/>
        <w:outlineLvl w:val="0"/>
        <w:rPr>
          <w:b/>
          <w:bCs/>
          <w:color w:val="auto"/>
        </w:rPr>
      </w:pPr>
      <w:r>
        <w:rPr>
          <w:rFonts w:hint="eastAsia"/>
          <w:b/>
          <w:bCs/>
          <w:color w:val="auto"/>
        </w:rPr>
        <w:t>五、</w:t>
      </w:r>
      <w:r>
        <w:rPr>
          <w:b/>
          <w:bCs/>
          <w:color w:val="auto"/>
        </w:rPr>
        <w:t>标准预期达到的社会效益等情况</w:t>
      </w:r>
    </w:p>
    <w:p>
      <w:pPr>
        <w:widowControl w:val="0"/>
        <w:spacing w:before="156" w:beforeLines="50" w:after="156" w:afterLines="50"/>
        <w:jc w:val="both"/>
        <w:outlineLvl w:val="1"/>
        <w:rPr>
          <w:b/>
          <w:bCs/>
          <w:color w:val="auto"/>
          <w:sz w:val="21"/>
          <w:szCs w:val="21"/>
        </w:rPr>
      </w:pPr>
      <w:r>
        <w:rPr>
          <w:b/>
          <w:bCs/>
          <w:color w:val="auto"/>
          <w:sz w:val="21"/>
          <w:szCs w:val="21"/>
        </w:rPr>
        <w:t>5.1 标准编写的目的和意义</w:t>
      </w:r>
    </w:p>
    <w:p>
      <w:pPr>
        <w:widowControl w:val="0"/>
        <w:ind w:firstLine="420" w:firstLineChars="200"/>
        <w:jc w:val="both"/>
        <w:rPr>
          <w:rFonts w:hint="eastAsia"/>
          <w:color w:val="auto"/>
          <w:sz w:val="21"/>
          <w:szCs w:val="21"/>
          <w:lang w:val="en-US" w:eastAsia="zh-CN"/>
        </w:rPr>
      </w:pPr>
      <w:r>
        <w:rPr>
          <w:rFonts w:hint="eastAsia"/>
          <w:color w:val="auto"/>
          <w:sz w:val="21"/>
          <w:szCs w:val="21"/>
          <w:lang w:val="en-US" w:eastAsia="zh-CN"/>
        </w:rPr>
        <w:t>在“双碳”政策的推动下，新能源产业迅速发展，钠离子电池因其具有高安全性、高倍率性能、优秀宽温性能、低成本等优点，且钠资源地壳储量丰富，已经在对电池能量密度要求不高的储能、电动两轮车和低速电动车等领域中展示了巨大的应用潜力。目前以宁德时代为代表的锂电企业，以中科海钠、浙江钠创为代表的钠电新势力积极布局，叠加产业资本助力，中国钠电池产业化进程不断提速。</w:t>
      </w:r>
    </w:p>
    <w:p>
      <w:pPr>
        <w:widowControl w:val="0"/>
        <w:ind w:firstLine="420" w:firstLineChars="200"/>
        <w:jc w:val="both"/>
        <w:rPr>
          <w:rFonts w:hint="eastAsia"/>
          <w:color w:val="auto"/>
          <w:sz w:val="21"/>
          <w:szCs w:val="21"/>
          <w:lang w:val="en-US" w:eastAsia="zh-CN"/>
        </w:rPr>
      </w:pPr>
      <w:r>
        <w:rPr>
          <w:rFonts w:hint="eastAsia"/>
          <w:color w:val="auto"/>
          <w:sz w:val="21"/>
          <w:szCs w:val="21"/>
          <w:lang w:val="en-US" w:eastAsia="zh-CN"/>
        </w:rPr>
        <w:t>近年来，工信部及国家发改委出台多份文件，</w:t>
      </w:r>
      <w:r>
        <w:rPr>
          <w:rFonts w:hint="default"/>
          <w:color w:val="auto"/>
          <w:sz w:val="21"/>
          <w:szCs w:val="21"/>
          <w:lang w:val="en-US" w:eastAsia="zh-CN"/>
        </w:rPr>
        <w:t>2021年，国家发展改革委、国家能源局在《新型储能发展指导意见》中，提出了加快钠离子电池等技术的规模化试验示范；2022年1月国家发展改革委和国家能源局联合发布的《“十四五”新型储能发展实施方案》中“推动多元发展，开展钠离子电池关键核心技术的优化设计研究”。2022年4月能源局和科技部发布的《“十四五”能源领域科技创新规划》中“针对电网削峰填谷、集中式可再生能源并网等储能应用场景，开展大容量长时储能器件与系统集成研究，研发钠离子电池新一代高性能储能技术”的要求。2022年6月发改委、能源局、财政部等九部委发布 《“十四五”可再生能源发展规划》中“加强前瞻性研究，加快可再生能源前沿性、颠覆性开发利用技术攻关。研发储备钠离子电池高能量密度储能技术”的要求。2023年1月，工信部等六部门联合发布《关于推动能源电子产业发展的指导意见》，明确加强新型储能电池产业化技术攻关，研究突破超长寿命高安全性电池体系、大规模大容量高效储能等关键技术，加快研发钠离子电池等新型电池。</w:t>
      </w:r>
      <w:r>
        <w:rPr>
          <w:rFonts w:hint="eastAsia"/>
          <w:color w:val="auto"/>
          <w:sz w:val="21"/>
          <w:szCs w:val="21"/>
          <w:lang w:val="en-US" w:eastAsia="zh-CN"/>
        </w:rPr>
        <w:t>在“十四五”相关规划等政策文件中加强布局，从促进前沿技术攻关、完善配套政策、开拓市场应用等多方面着手，做好顶层设计，健全产业政策，统筹引导钠离子电池产业高质量发展。</w:t>
      </w:r>
    </w:p>
    <w:p>
      <w:pPr>
        <w:widowControl w:val="0"/>
        <w:ind w:firstLine="420" w:firstLineChars="200"/>
        <w:jc w:val="both"/>
        <w:rPr>
          <w:rFonts w:hint="default"/>
          <w:color w:val="auto"/>
          <w:sz w:val="21"/>
          <w:szCs w:val="21"/>
          <w:lang w:val="en-US" w:eastAsia="zh-CN"/>
        </w:rPr>
      </w:pPr>
      <w:r>
        <w:rPr>
          <w:rFonts w:hint="eastAsia"/>
          <w:color w:val="auto"/>
          <w:sz w:val="21"/>
          <w:szCs w:val="21"/>
          <w:lang w:val="en-US" w:eastAsia="zh-CN"/>
        </w:rPr>
        <w:t>在钠离子电池层状氧化物正极材料中，镍元素对提高材料的比容量和能量密度具有重要作用；铁和锰元素不仅价格低廉，而且具有高的理论比容量；铜和铁元素协同作用可以提高材料的平均放电电位。镍铜铁锰酸钠四元正极材料因其具有优异的电化学循环性能和存储稳定性，是目前钠离子电池正极材料的热点之一。经查询相关资料，发现国内尚无镍铜铁锰酸钠正极材料相关的国家标准或行业标准，行业内无规范统一的镍铜铁锰酸钠正极材料的指标要求，这不仅会导致产品质量不一，市场流通不便，更会影响到后续生产钠离子电池的推广应用。因此，在产业发展，标准先行的引导下，急需制定镍铜铁锰酸钠正极材料产品标准，以规范统一镍铜铁锰酸钠正极材料质量指标控制要求，从而为钠电正极材料行业生产企业提供选择和标准指导，以便更好地促进钠电行业发展，提升企业和社会经济效益。</w:t>
      </w:r>
    </w:p>
    <w:p>
      <w:pPr>
        <w:widowControl w:val="0"/>
        <w:ind w:firstLine="420" w:firstLineChars="200"/>
        <w:jc w:val="both"/>
        <w:rPr>
          <w:rFonts w:hint="eastAsia"/>
          <w:color w:val="auto"/>
          <w:sz w:val="21"/>
          <w:szCs w:val="21"/>
          <w:lang w:val="en-US" w:eastAsia="zh-CN"/>
        </w:rPr>
      </w:pPr>
      <w:r>
        <w:rPr>
          <w:rFonts w:hint="default"/>
          <w:color w:val="auto"/>
          <w:sz w:val="21"/>
          <w:szCs w:val="21"/>
          <w:lang w:val="en-US" w:eastAsia="zh-CN"/>
        </w:rPr>
        <w:t>展望未来，随着规模量产落地，钠离子电池产业发展有望复制锂离子电池的高速发展路径。总体来看，钠离子电池百分之九十的工艺过程与锂离子电池大体相同，因此未来其大规模应用并不会面临太大的挑战。相反，由于钠离子电池稳定性高、成本低廉，在不远的将来，其甚至有望成为电动汽车等领域的主流动力源之一。</w:t>
      </w:r>
      <w:r>
        <w:rPr>
          <w:rFonts w:hint="eastAsia"/>
          <w:color w:val="auto"/>
          <w:sz w:val="21"/>
          <w:szCs w:val="21"/>
          <w:lang w:val="en-US" w:eastAsia="zh-CN"/>
        </w:rPr>
        <w:t>正极材料是钠离子电池最核心的关键材料，决定了电池的能量密度和成本。因此，开发高性能、低成本、高安全的正极材料是推动钠离子电池产业化和市场快速应用的关键。为了使天然可持续利用的绿色能源在人类生产生活中得到更有效的利用，开发出更有效的储能装置迫在眉睫。</w:t>
      </w:r>
    </w:p>
    <w:p>
      <w:pPr>
        <w:widowControl w:val="0"/>
        <w:spacing w:before="156" w:beforeLines="50" w:after="156" w:afterLines="50"/>
        <w:jc w:val="both"/>
        <w:outlineLvl w:val="1"/>
        <w:rPr>
          <w:b/>
          <w:bCs/>
          <w:color w:val="auto"/>
          <w:sz w:val="21"/>
          <w:szCs w:val="21"/>
        </w:rPr>
      </w:pPr>
      <w:r>
        <w:rPr>
          <w:b/>
          <w:bCs/>
          <w:color w:val="auto"/>
          <w:sz w:val="21"/>
          <w:szCs w:val="21"/>
        </w:rPr>
        <w:t>5.2 标准预期的作用和效益</w:t>
      </w:r>
    </w:p>
    <w:p>
      <w:pPr>
        <w:widowControl w:val="0"/>
        <w:ind w:firstLine="420" w:firstLineChars="200"/>
        <w:jc w:val="both"/>
        <w:rPr>
          <w:color w:val="auto"/>
          <w:sz w:val="21"/>
          <w:szCs w:val="21"/>
        </w:rPr>
      </w:pPr>
      <w:r>
        <w:rPr>
          <w:rFonts w:hint="eastAsia"/>
          <w:color w:val="auto"/>
          <w:sz w:val="21"/>
          <w:szCs w:val="21"/>
          <w:lang w:val="en-US" w:eastAsia="zh-CN"/>
        </w:rPr>
        <w:t>镍铜铁锰酸钠</w:t>
      </w:r>
      <w:r>
        <w:rPr>
          <w:rFonts w:hint="eastAsia"/>
          <w:color w:val="auto"/>
          <w:sz w:val="21"/>
          <w:szCs w:val="21"/>
        </w:rPr>
        <w:t>作为钠离子电池用正极材料，众多新能源企业及科研院所均在研发，有部分企业已实现商业化，但目前没有统一的标准可以参考。制定《钠离子电池用正极材料</w:t>
      </w:r>
      <w:r>
        <w:rPr>
          <w:rFonts w:hint="eastAsia"/>
          <w:color w:val="auto"/>
          <w:sz w:val="21"/>
          <w:szCs w:val="21"/>
          <w:lang w:val="en-US" w:eastAsia="zh-CN"/>
        </w:rPr>
        <w:t xml:space="preserve"> 镍铜铁锰酸钠</w:t>
      </w:r>
      <w:r>
        <w:rPr>
          <w:rFonts w:hint="eastAsia"/>
          <w:color w:val="auto"/>
          <w:sz w:val="21"/>
          <w:szCs w:val="21"/>
        </w:rPr>
        <w:t>》产品标准，有利于钠离子电池正极材料</w:t>
      </w:r>
      <w:r>
        <w:rPr>
          <w:rFonts w:hint="eastAsia"/>
          <w:color w:val="auto"/>
          <w:sz w:val="21"/>
          <w:szCs w:val="21"/>
          <w:lang w:val="en-US" w:eastAsia="zh-CN"/>
        </w:rPr>
        <w:t>镍铜铁锰酸钠</w:t>
      </w:r>
      <w:r>
        <w:rPr>
          <w:rFonts w:hint="eastAsia"/>
          <w:color w:val="auto"/>
          <w:sz w:val="21"/>
          <w:szCs w:val="21"/>
        </w:rPr>
        <w:t>的规范生产、质量统一、广泛应用，将推进我国新能源产业更好更快发展。</w:t>
      </w:r>
    </w:p>
    <w:p>
      <w:pPr>
        <w:widowControl w:val="0"/>
        <w:spacing w:before="312" w:beforeLines="100" w:after="312" w:afterLines="100"/>
        <w:jc w:val="both"/>
        <w:outlineLvl w:val="0"/>
        <w:rPr>
          <w:b/>
          <w:bCs/>
          <w:color w:val="auto"/>
        </w:rPr>
      </w:pPr>
      <w:r>
        <w:rPr>
          <w:rFonts w:hint="eastAsia"/>
          <w:b/>
          <w:bCs/>
          <w:color w:val="auto"/>
        </w:rPr>
        <w:t>六、</w:t>
      </w:r>
      <w:r>
        <w:rPr>
          <w:b/>
          <w:bCs/>
          <w:color w:val="auto"/>
        </w:rPr>
        <w:t>采用国际标准和国外先进标准的情况</w:t>
      </w:r>
    </w:p>
    <w:p>
      <w:pPr>
        <w:widowControl w:val="0"/>
        <w:ind w:firstLine="420" w:firstLineChars="200"/>
        <w:jc w:val="both"/>
        <w:rPr>
          <w:b/>
          <w:bCs/>
          <w:color w:val="auto"/>
          <w:sz w:val="21"/>
          <w:szCs w:val="21"/>
        </w:rPr>
      </w:pPr>
      <w:r>
        <w:rPr>
          <w:rFonts w:hint="eastAsia"/>
          <w:color w:val="auto"/>
          <w:sz w:val="21"/>
          <w:szCs w:val="21"/>
        </w:rPr>
        <w:t>本文件为我国首次制定，</w:t>
      </w:r>
      <w:r>
        <w:rPr>
          <w:color w:val="auto"/>
          <w:sz w:val="21"/>
          <w:szCs w:val="21"/>
        </w:rPr>
        <w:t>经查询，本文件与国内外现行标准及制定中的标准无重复交叉情况。</w:t>
      </w:r>
    </w:p>
    <w:p>
      <w:pPr>
        <w:widowControl w:val="0"/>
        <w:spacing w:before="312" w:beforeLines="100" w:after="312" w:afterLines="100"/>
        <w:jc w:val="both"/>
        <w:outlineLvl w:val="0"/>
        <w:rPr>
          <w:b/>
          <w:bCs/>
          <w:color w:val="auto"/>
          <w:sz w:val="21"/>
          <w:szCs w:val="21"/>
        </w:rPr>
      </w:pPr>
      <w:r>
        <w:rPr>
          <w:rFonts w:hint="eastAsia"/>
          <w:b/>
          <w:bCs/>
          <w:color w:val="auto"/>
        </w:rPr>
        <w:t>七、</w:t>
      </w:r>
      <w:r>
        <w:rPr>
          <w:b/>
          <w:bCs/>
          <w:color w:val="auto"/>
        </w:rPr>
        <w:t>与现行法律、法规、强制性国家标准及相关标准协调配套情况</w:t>
      </w:r>
    </w:p>
    <w:p>
      <w:pPr>
        <w:widowControl w:val="0"/>
        <w:ind w:firstLine="420" w:firstLineChars="200"/>
        <w:jc w:val="both"/>
        <w:rPr>
          <w:color w:val="auto"/>
          <w:sz w:val="21"/>
          <w:szCs w:val="21"/>
        </w:rPr>
      </w:pPr>
      <w:r>
        <w:rPr>
          <w:color w:val="auto"/>
          <w:sz w:val="21"/>
          <w:szCs w:val="21"/>
        </w:rPr>
        <w:t>本文件与有关的现行法律、法规和强制性国家标准没有冲突。标准涉及内容全面、条款详细、在编制过程中吸纳了国内相关先进技术</w:t>
      </w:r>
      <w:r>
        <w:rPr>
          <w:rFonts w:hint="eastAsia"/>
          <w:color w:val="auto"/>
          <w:sz w:val="21"/>
          <w:szCs w:val="21"/>
        </w:rPr>
        <w:t>，整体达到先进水平。</w:t>
      </w:r>
    </w:p>
    <w:p>
      <w:pPr>
        <w:widowControl w:val="0"/>
        <w:spacing w:before="312" w:beforeLines="100" w:after="312" w:afterLines="100"/>
        <w:jc w:val="both"/>
        <w:outlineLvl w:val="0"/>
        <w:rPr>
          <w:b/>
          <w:bCs/>
          <w:color w:val="auto"/>
        </w:rPr>
      </w:pPr>
      <w:r>
        <w:rPr>
          <w:rFonts w:hint="eastAsia"/>
          <w:b/>
          <w:bCs/>
          <w:color w:val="auto"/>
        </w:rPr>
        <w:t>八、</w:t>
      </w:r>
      <w:r>
        <w:rPr>
          <w:b/>
          <w:bCs/>
          <w:color w:val="auto"/>
        </w:rPr>
        <w:t>重大分歧意见的处理经过和依据</w:t>
      </w:r>
    </w:p>
    <w:p>
      <w:pPr>
        <w:widowControl w:val="0"/>
        <w:ind w:firstLine="420" w:firstLineChars="200"/>
        <w:jc w:val="both"/>
        <w:rPr>
          <w:b/>
          <w:bCs/>
          <w:color w:val="auto"/>
          <w:sz w:val="21"/>
          <w:szCs w:val="21"/>
        </w:rPr>
      </w:pPr>
      <w:r>
        <w:rPr>
          <w:color w:val="auto"/>
          <w:sz w:val="21"/>
          <w:szCs w:val="21"/>
        </w:rPr>
        <w:t>无。</w:t>
      </w:r>
    </w:p>
    <w:p>
      <w:pPr>
        <w:widowControl w:val="0"/>
        <w:spacing w:before="312" w:beforeLines="100" w:after="312" w:afterLines="100"/>
        <w:jc w:val="both"/>
        <w:outlineLvl w:val="0"/>
        <w:rPr>
          <w:b/>
          <w:bCs/>
          <w:color w:val="auto"/>
        </w:rPr>
      </w:pPr>
      <w:r>
        <w:rPr>
          <w:rFonts w:hint="eastAsia"/>
          <w:b/>
          <w:bCs/>
          <w:color w:val="auto"/>
        </w:rPr>
        <w:t>九、</w:t>
      </w:r>
      <w:r>
        <w:rPr>
          <w:b/>
          <w:bCs/>
          <w:color w:val="auto"/>
        </w:rPr>
        <w:t>标准作为强制性或推荐性标准的建议</w:t>
      </w:r>
    </w:p>
    <w:p>
      <w:pPr>
        <w:widowControl w:val="0"/>
        <w:ind w:firstLine="420" w:firstLineChars="200"/>
        <w:jc w:val="both"/>
        <w:rPr>
          <w:color w:val="auto"/>
          <w:sz w:val="21"/>
          <w:szCs w:val="21"/>
        </w:rPr>
      </w:pPr>
      <w:r>
        <w:rPr>
          <w:rFonts w:hint="eastAsia"/>
          <w:color w:val="auto"/>
          <w:sz w:val="21"/>
          <w:szCs w:val="21"/>
        </w:rPr>
        <w:t>建议本文件为推荐性国家标准，供相关组织参考采用。</w:t>
      </w:r>
    </w:p>
    <w:p>
      <w:pPr>
        <w:widowControl w:val="0"/>
        <w:spacing w:before="312" w:beforeLines="100" w:after="312" w:afterLines="100"/>
        <w:jc w:val="both"/>
        <w:outlineLvl w:val="0"/>
        <w:rPr>
          <w:b/>
          <w:bCs/>
          <w:color w:val="auto"/>
        </w:rPr>
      </w:pPr>
      <w:r>
        <w:rPr>
          <w:rFonts w:hint="eastAsia"/>
          <w:b/>
          <w:bCs/>
          <w:color w:val="auto"/>
        </w:rPr>
        <w:t>十、</w:t>
      </w:r>
      <w:r>
        <w:rPr>
          <w:b/>
          <w:bCs/>
          <w:color w:val="auto"/>
        </w:rPr>
        <w:t>贯彻标准的要求和措施建议</w:t>
      </w:r>
    </w:p>
    <w:p>
      <w:pPr>
        <w:widowControl w:val="0"/>
        <w:ind w:firstLine="420" w:firstLineChars="200"/>
        <w:jc w:val="both"/>
        <w:rPr>
          <w:b/>
          <w:bCs/>
          <w:color w:val="auto"/>
          <w:sz w:val="21"/>
          <w:szCs w:val="21"/>
        </w:rPr>
      </w:pPr>
      <w:r>
        <w:rPr>
          <w:color w:val="auto"/>
          <w:sz w:val="21"/>
          <w:szCs w:val="21"/>
        </w:rPr>
        <w:t>建议向</w:t>
      </w:r>
      <w:r>
        <w:rPr>
          <w:rFonts w:hint="eastAsia"/>
          <w:color w:val="auto"/>
          <w:sz w:val="21"/>
          <w:szCs w:val="21"/>
        </w:rPr>
        <w:t>钠离子电池</w:t>
      </w:r>
      <w:r>
        <w:rPr>
          <w:color w:val="auto"/>
          <w:sz w:val="21"/>
          <w:szCs w:val="21"/>
        </w:rPr>
        <w:t>正极材料</w:t>
      </w:r>
      <w:r>
        <w:rPr>
          <w:rFonts w:hint="eastAsia"/>
          <w:color w:val="auto"/>
          <w:sz w:val="21"/>
          <w:szCs w:val="21"/>
          <w:lang w:val="en-US" w:eastAsia="zh-CN"/>
        </w:rPr>
        <w:t>镍铜铁锰酸钠</w:t>
      </w:r>
      <w:r>
        <w:rPr>
          <w:color w:val="auto"/>
          <w:sz w:val="21"/>
          <w:szCs w:val="21"/>
        </w:rPr>
        <w:t>研发、生产、销售、检测</w:t>
      </w:r>
      <w:r>
        <w:rPr>
          <w:rFonts w:hint="eastAsia"/>
          <w:color w:val="auto"/>
          <w:sz w:val="21"/>
          <w:szCs w:val="21"/>
        </w:rPr>
        <w:t>等</w:t>
      </w:r>
      <w:r>
        <w:rPr>
          <w:color w:val="auto"/>
          <w:sz w:val="21"/>
          <w:szCs w:val="21"/>
        </w:rPr>
        <w:t>相关企业和单位积极贯彻本文件的内容。</w:t>
      </w:r>
    </w:p>
    <w:p>
      <w:pPr>
        <w:widowControl w:val="0"/>
        <w:spacing w:before="312" w:beforeLines="100" w:after="312" w:afterLines="100"/>
        <w:jc w:val="both"/>
        <w:outlineLvl w:val="0"/>
        <w:rPr>
          <w:b/>
          <w:bCs/>
          <w:color w:val="auto"/>
        </w:rPr>
      </w:pPr>
      <w:r>
        <w:rPr>
          <w:rFonts w:hint="eastAsia"/>
          <w:b/>
          <w:bCs/>
          <w:color w:val="auto"/>
        </w:rPr>
        <w:t>十一、</w:t>
      </w:r>
      <w:r>
        <w:rPr>
          <w:b/>
          <w:bCs/>
          <w:color w:val="auto"/>
        </w:rPr>
        <w:t>废止现行有关标准的建议</w:t>
      </w:r>
    </w:p>
    <w:p>
      <w:pPr>
        <w:widowControl w:val="0"/>
        <w:ind w:firstLine="420" w:firstLineChars="200"/>
        <w:jc w:val="both"/>
        <w:rPr>
          <w:b/>
          <w:bCs/>
          <w:color w:val="auto"/>
          <w:sz w:val="21"/>
          <w:szCs w:val="21"/>
        </w:rPr>
      </w:pPr>
      <w:r>
        <w:rPr>
          <w:color w:val="auto"/>
          <w:sz w:val="21"/>
          <w:szCs w:val="21"/>
        </w:rPr>
        <w:t>无。</w:t>
      </w:r>
    </w:p>
    <w:p>
      <w:pPr>
        <w:widowControl w:val="0"/>
        <w:spacing w:before="312" w:beforeLines="100" w:after="312" w:afterLines="100"/>
        <w:jc w:val="both"/>
        <w:outlineLvl w:val="0"/>
        <w:rPr>
          <w:b/>
          <w:bCs/>
          <w:color w:val="auto"/>
        </w:rPr>
      </w:pPr>
      <w:r>
        <w:rPr>
          <w:rFonts w:hint="eastAsia"/>
          <w:b/>
          <w:bCs/>
          <w:color w:val="auto"/>
        </w:rPr>
        <w:t>十二、</w:t>
      </w:r>
      <w:r>
        <w:rPr>
          <w:b/>
          <w:bCs/>
          <w:color w:val="auto"/>
        </w:rPr>
        <w:t>其他应予说明的事项</w:t>
      </w:r>
    </w:p>
    <w:p>
      <w:pPr>
        <w:widowControl w:val="0"/>
        <w:ind w:firstLine="420" w:firstLineChars="200"/>
        <w:jc w:val="both"/>
        <w:rPr>
          <w:color w:val="auto"/>
          <w:sz w:val="21"/>
          <w:szCs w:val="21"/>
        </w:rPr>
      </w:pPr>
      <w:r>
        <w:rPr>
          <w:color w:val="auto"/>
          <w:sz w:val="21"/>
          <w:szCs w:val="21"/>
        </w:rPr>
        <w:t>无。</w:t>
      </w:r>
    </w:p>
    <w:p>
      <w:pPr>
        <w:widowControl w:val="0"/>
        <w:ind w:left="4830" w:hanging="4830" w:hangingChars="2300"/>
        <w:jc w:val="right"/>
        <w:rPr>
          <w:color w:val="auto"/>
          <w:sz w:val="21"/>
          <w:szCs w:val="21"/>
        </w:rPr>
      </w:pPr>
    </w:p>
    <w:p>
      <w:pPr>
        <w:widowControl w:val="0"/>
        <w:ind w:left="4849" w:right="210" w:hanging="4849" w:hangingChars="2300"/>
        <w:jc w:val="right"/>
        <w:rPr>
          <w:b/>
          <w:bCs/>
          <w:color w:val="auto"/>
          <w:sz w:val="21"/>
          <w:szCs w:val="21"/>
        </w:rPr>
      </w:pPr>
      <w:r>
        <w:rPr>
          <w:rFonts w:hint="eastAsia"/>
          <w:b/>
          <w:bCs/>
          <w:color w:val="auto"/>
          <w:sz w:val="21"/>
          <w:szCs w:val="21"/>
        </w:rPr>
        <w:t>《钠离子电池用正极材料</w:t>
      </w:r>
      <w:r>
        <w:rPr>
          <w:rFonts w:hint="eastAsia"/>
          <w:b/>
          <w:bCs/>
          <w:color w:val="auto"/>
          <w:sz w:val="21"/>
          <w:szCs w:val="21"/>
          <w:lang w:val="en-US" w:eastAsia="zh-CN"/>
        </w:rPr>
        <w:t xml:space="preserve"> </w:t>
      </w:r>
      <w:r>
        <w:rPr>
          <w:rFonts w:hint="eastAsia"/>
          <w:b/>
          <w:bCs/>
          <w:color w:val="auto"/>
          <w:sz w:val="21"/>
          <w:szCs w:val="21"/>
          <w:lang w:eastAsia="zh-CN"/>
        </w:rPr>
        <w:t>镍铜铁锰酸钠</w:t>
      </w:r>
      <w:r>
        <w:rPr>
          <w:rFonts w:hint="eastAsia"/>
          <w:b/>
          <w:bCs/>
          <w:color w:val="auto"/>
          <w:sz w:val="21"/>
          <w:szCs w:val="21"/>
        </w:rPr>
        <w:t>》标准</w:t>
      </w:r>
      <w:r>
        <w:rPr>
          <w:b/>
          <w:bCs/>
          <w:color w:val="auto"/>
          <w:sz w:val="21"/>
          <w:szCs w:val="21"/>
        </w:rPr>
        <w:t>编制组</w:t>
      </w:r>
    </w:p>
    <w:p>
      <w:pPr>
        <w:widowControl w:val="0"/>
        <w:jc w:val="both"/>
        <w:rPr>
          <w:b/>
          <w:bCs/>
          <w:color w:val="auto"/>
          <w:sz w:val="21"/>
          <w:szCs w:val="21"/>
        </w:rPr>
      </w:pPr>
      <w:r>
        <w:rPr>
          <w:b/>
          <w:bCs/>
          <w:color w:val="auto"/>
          <w:sz w:val="21"/>
          <w:szCs w:val="21"/>
        </w:rPr>
        <w:t xml:space="preserve">                                                                        202</w:t>
      </w:r>
      <w:r>
        <w:rPr>
          <w:rFonts w:hint="eastAsia"/>
          <w:b/>
          <w:bCs/>
          <w:color w:val="auto"/>
          <w:sz w:val="21"/>
          <w:szCs w:val="21"/>
          <w:lang w:val="en-US" w:eastAsia="zh-CN"/>
        </w:rPr>
        <w:t>4</w:t>
      </w:r>
      <w:r>
        <w:rPr>
          <w:b/>
          <w:bCs/>
          <w:color w:val="auto"/>
          <w:sz w:val="21"/>
          <w:szCs w:val="21"/>
        </w:rPr>
        <w:t>年</w:t>
      </w:r>
      <w:r>
        <w:rPr>
          <w:rFonts w:hint="eastAsia"/>
          <w:b/>
          <w:bCs/>
          <w:color w:val="auto"/>
          <w:sz w:val="21"/>
          <w:szCs w:val="21"/>
          <w:lang w:val="en-US" w:eastAsia="zh-CN"/>
        </w:rPr>
        <w:t>4</w:t>
      </w:r>
      <w:r>
        <w:rPr>
          <w:b/>
          <w:bCs/>
          <w:color w:val="auto"/>
          <w:sz w:val="21"/>
          <w:szCs w:val="21"/>
        </w:rPr>
        <w:t>月</w:t>
      </w:r>
    </w:p>
    <w:p>
      <w:pPr>
        <w:pStyle w:val="6"/>
        <w:ind w:firstLine="0" w:firstLineChars="0"/>
        <w:jc w:val="center"/>
        <w:rPr>
          <w:rFonts w:hint="eastAsia" w:eastAsiaTheme="minorEastAsia"/>
          <w:color w:val="auto"/>
          <w:sz w:val="32"/>
          <w:szCs w:val="21"/>
        </w:rPr>
      </w:pPr>
    </w:p>
    <w:p>
      <w:pPr>
        <w:pStyle w:val="6"/>
        <w:ind w:firstLine="0" w:firstLineChars="0"/>
        <w:jc w:val="center"/>
        <w:rPr>
          <w:rFonts w:hint="eastAsia" w:eastAsiaTheme="minorEastAsia"/>
          <w:color w:val="auto"/>
          <w:sz w:val="32"/>
          <w:szCs w:val="21"/>
        </w:rPr>
      </w:pPr>
    </w:p>
    <w:p>
      <w:pPr>
        <w:pStyle w:val="6"/>
        <w:ind w:firstLine="0" w:firstLineChars="0"/>
        <w:jc w:val="center"/>
        <w:rPr>
          <w:rFonts w:hint="eastAsia" w:eastAsiaTheme="minorEastAsia"/>
          <w:color w:val="auto"/>
          <w:sz w:val="32"/>
          <w:szCs w:val="21"/>
        </w:rPr>
      </w:pPr>
    </w:p>
    <w:p>
      <w:pPr>
        <w:pStyle w:val="6"/>
        <w:ind w:firstLine="0" w:firstLineChars="0"/>
        <w:jc w:val="center"/>
        <w:rPr>
          <w:rFonts w:hint="eastAsia" w:eastAsiaTheme="minorEastAsia"/>
          <w:color w:val="auto"/>
          <w:sz w:val="32"/>
          <w:szCs w:val="21"/>
        </w:rPr>
      </w:pPr>
    </w:p>
    <w:p>
      <w:pPr>
        <w:pStyle w:val="6"/>
        <w:ind w:firstLine="0" w:firstLineChars="0"/>
        <w:jc w:val="center"/>
        <w:rPr>
          <w:rFonts w:hint="eastAsia" w:eastAsiaTheme="minorEastAsia"/>
          <w:color w:val="auto"/>
          <w:sz w:val="32"/>
          <w:szCs w:val="21"/>
        </w:rPr>
      </w:pPr>
    </w:p>
    <w:p>
      <w:pPr>
        <w:pStyle w:val="6"/>
        <w:ind w:firstLine="0" w:firstLineChars="0"/>
        <w:jc w:val="center"/>
        <w:rPr>
          <w:rFonts w:hint="eastAsia" w:eastAsiaTheme="minorEastAsia"/>
          <w:color w:val="auto"/>
          <w:sz w:val="32"/>
          <w:szCs w:val="21"/>
        </w:rPr>
      </w:pPr>
    </w:p>
    <w:p>
      <w:pPr>
        <w:pStyle w:val="6"/>
        <w:ind w:firstLine="0" w:firstLineChars="0"/>
        <w:jc w:val="center"/>
        <w:rPr>
          <w:rFonts w:eastAsiaTheme="minorEastAsia"/>
          <w:color w:val="auto"/>
          <w:sz w:val="32"/>
          <w:szCs w:val="21"/>
        </w:rPr>
      </w:pPr>
      <w:r>
        <w:rPr>
          <w:rFonts w:hint="eastAsia" w:eastAsiaTheme="minorEastAsia"/>
          <w:color w:val="auto"/>
          <w:sz w:val="32"/>
          <w:szCs w:val="21"/>
        </w:rPr>
        <w:t>标准（</w:t>
      </w:r>
      <w:r>
        <w:rPr>
          <w:rFonts w:hint="eastAsia" w:eastAsiaTheme="minorEastAsia"/>
          <w:color w:val="auto"/>
          <w:sz w:val="32"/>
          <w:szCs w:val="21"/>
          <w:lang w:val="en-US" w:eastAsia="zh-CN"/>
        </w:rPr>
        <w:t>讨论</w:t>
      </w:r>
      <w:r>
        <w:rPr>
          <w:rFonts w:hint="eastAsia" w:eastAsiaTheme="minorEastAsia"/>
          <w:color w:val="auto"/>
          <w:sz w:val="32"/>
          <w:szCs w:val="21"/>
        </w:rPr>
        <w:t>稿）_</w:t>
      </w:r>
      <w:r>
        <w:rPr>
          <w:rFonts w:eastAsiaTheme="minorEastAsia"/>
          <w:color w:val="auto"/>
          <w:sz w:val="32"/>
          <w:szCs w:val="21"/>
        </w:rPr>
        <w:t>意见汇总处理表</w:t>
      </w:r>
    </w:p>
    <w:p>
      <w:pPr>
        <w:widowControl w:val="0"/>
        <w:ind w:firstLine="420" w:firstLineChars="200"/>
        <w:jc w:val="both"/>
        <w:rPr>
          <w:color w:val="auto"/>
          <w:sz w:val="21"/>
          <w:szCs w:val="21"/>
        </w:rPr>
      </w:pPr>
      <w:r>
        <w:rPr>
          <w:color w:val="auto"/>
          <w:sz w:val="21"/>
          <w:szCs w:val="21"/>
        </w:rPr>
        <w:t>标准项目名称：《</w:t>
      </w:r>
      <w:r>
        <w:rPr>
          <w:rFonts w:hint="eastAsia"/>
          <w:color w:val="auto"/>
          <w:sz w:val="21"/>
          <w:szCs w:val="21"/>
        </w:rPr>
        <w:t>钠离子电池用正极材料</w:t>
      </w:r>
      <w:r>
        <w:rPr>
          <w:rFonts w:hint="eastAsia"/>
          <w:color w:val="auto"/>
          <w:sz w:val="21"/>
          <w:szCs w:val="21"/>
          <w:lang w:val="en-US" w:eastAsia="zh-CN"/>
        </w:rPr>
        <w:t xml:space="preserve"> </w:t>
      </w:r>
      <w:r>
        <w:rPr>
          <w:rFonts w:hint="eastAsia"/>
          <w:color w:val="auto"/>
          <w:sz w:val="21"/>
          <w:szCs w:val="21"/>
          <w:lang w:eastAsia="zh-CN"/>
        </w:rPr>
        <w:t>镍铜铁锰酸钠</w:t>
      </w:r>
      <w:r>
        <w:rPr>
          <w:rFonts w:hint="eastAsia"/>
          <w:color w:val="auto"/>
          <w:sz w:val="21"/>
          <w:szCs w:val="21"/>
        </w:rPr>
        <w:t>》</w:t>
      </w:r>
    </w:p>
    <w:p>
      <w:pPr>
        <w:widowControl w:val="0"/>
        <w:ind w:firstLine="420" w:firstLineChars="200"/>
        <w:jc w:val="both"/>
        <w:rPr>
          <w:rFonts w:hint="default" w:ascii="宋体" w:hAnsi="宋体" w:eastAsia="宋体" w:cs="宋体"/>
          <w:color w:val="auto"/>
          <w:sz w:val="21"/>
          <w:szCs w:val="21"/>
          <w:lang w:val="en-US" w:eastAsia="zh-CN"/>
        </w:rPr>
      </w:pPr>
      <w:r>
        <w:rPr>
          <w:color w:val="auto"/>
          <w:sz w:val="21"/>
          <w:szCs w:val="21"/>
        </w:rPr>
        <w:t>标准起草单位：</w:t>
      </w:r>
      <w:r>
        <w:rPr>
          <w:rFonts w:hint="eastAsia" w:ascii="宋体" w:hAnsi="宋体" w:cs="宋体"/>
          <w:color w:val="auto"/>
          <w:sz w:val="21"/>
          <w:szCs w:val="21"/>
        </w:rPr>
        <w:t>天津</w:t>
      </w:r>
      <w:r>
        <w:rPr>
          <w:rFonts w:hint="eastAsia" w:ascii="宋体" w:hAnsi="宋体" w:cs="宋体"/>
          <w:color w:val="auto"/>
          <w:sz w:val="21"/>
          <w:szCs w:val="21"/>
          <w:lang w:val="en-US" w:eastAsia="zh-CN"/>
        </w:rPr>
        <w:t>巴莫科技责任有限公司</w:t>
      </w:r>
    </w:p>
    <w:p>
      <w:pPr>
        <w:widowControl w:val="0"/>
        <w:ind w:firstLine="420" w:firstLineChars="200"/>
        <w:jc w:val="both"/>
        <w:rPr>
          <w:rFonts w:eastAsiaTheme="minorEastAsia"/>
          <w:color w:val="auto"/>
          <w:sz w:val="21"/>
          <w:szCs w:val="21"/>
        </w:rPr>
      </w:pPr>
      <w:r>
        <w:rPr>
          <w:rFonts w:eastAsiaTheme="minorEastAsia"/>
          <w:color w:val="auto"/>
          <w:sz w:val="21"/>
          <w:szCs w:val="21"/>
        </w:rPr>
        <w:t>承办人：</w:t>
      </w:r>
      <w:r>
        <w:rPr>
          <w:rFonts w:hint="eastAsia" w:eastAsiaTheme="minorEastAsia"/>
          <w:color w:val="auto"/>
          <w:sz w:val="21"/>
          <w:szCs w:val="21"/>
          <w:lang w:val="en-US" w:eastAsia="zh-CN"/>
        </w:rPr>
        <w:t>XX</w:t>
      </w:r>
      <w:r>
        <w:rPr>
          <w:rFonts w:eastAsiaTheme="minorEastAsia"/>
          <w:color w:val="auto"/>
          <w:sz w:val="21"/>
          <w:szCs w:val="21"/>
        </w:rPr>
        <w:t>；电话：</w:t>
      </w:r>
      <w:r>
        <w:rPr>
          <w:rFonts w:hint="eastAsia" w:eastAsiaTheme="minorEastAsia"/>
          <w:color w:val="auto"/>
          <w:sz w:val="21"/>
          <w:szCs w:val="21"/>
          <w:lang w:val="en-US" w:eastAsia="zh-CN"/>
        </w:rPr>
        <w:t>XXXX</w:t>
      </w:r>
      <w:r>
        <w:rPr>
          <w:rFonts w:eastAsiaTheme="minorEastAsia"/>
          <w:color w:val="auto"/>
          <w:sz w:val="21"/>
          <w:szCs w:val="21"/>
        </w:rPr>
        <w:t>；邮箱：</w:t>
      </w:r>
      <w:r>
        <w:rPr>
          <w:rFonts w:hint="eastAsia" w:eastAsiaTheme="minorEastAsia"/>
          <w:color w:val="auto"/>
          <w:lang w:val="en-US" w:eastAsia="zh-CN"/>
        </w:rPr>
        <w:t>XXXXXXXXX</w:t>
      </w:r>
      <w:r>
        <w:rPr>
          <w:rFonts w:eastAsiaTheme="minorEastAsia"/>
          <w:color w:val="auto"/>
          <w:sz w:val="21"/>
          <w:szCs w:val="21"/>
        </w:rPr>
        <w:t xml:space="preserve">   202</w:t>
      </w:r>
      <w:r>
        <w:rPr>
          <w:rFonts w:hint="eastAsia" w:eastAsiaTheme="minorEastAsia"/>
          <w:color w:val="auto"/>
          <w:sz w:val="21"/>
          <w:szCs w:val="21"/>
          <w:lang w:val="en-US" w:eastAsia="zh-CN"/>
        </w:rPr>
        <w:t>4</w:t>
      </w:r>
      <w:r>
        <w:rPr>
          <w:rFonts w:eastAsiaTheme="minorEastAsia"/>
          <w:color w:val="auto"/>
          <w:sz w:val="21"/>
          <w:szCs w:val="21"/>
        </w:rPr>
        <w:t>年</w:t>
      </w:r>
      <w:r>
        <w:rPr>
          <w:rFonts w:hint="eastAsia" w:eastAsiaTheme="minorEastAsia"/>
          <w:color w:val="auto"/>
          <w:sz w:val="21"/>
          <w:szCs w:val="21"/>
          <w:lang w:val="en-US" w:eastAsia="zh-CN"/>
        </w:rPr>
        <w:t>4</w:t>
      </w:r>
      <w:r>
        <w:rPr>
          <w:rFonts w:eastAsiaTheme="minorEastAsia"/>
          <w:color w:val="auto"/>
          <w:sz w:val="21"/>
          <w:szCs w:val="21"/>
        </w:rPr>
        <w:t>月</w:t>
      </w:r>
      <w:r>
        <w:rPr>
          <w:rFonts w:hint="eastAsia" w:eastAsiaTheme="minorEastAsia"/>
          <w:color w:val="auto"/>
          <w:sz w:val="21"/>
          <w:szCs w:val="21"/>
          <w:lang w:val="en-US" w:eastAsia="zh-CN"/>
        </w:rPr>
        <w:t>10</w:t>
      </w:r>
      <w:r>
        <w:rPr>
          <w:rFonts w:eastAsiaTheme="minorEastAsia"/>
          <w:color w:val="auto"/>
          <w:sz w:val="21"/>
          <w:szCs w:val="21"/>
        </w:rPr>
        <w:t>日填写</w:t>
      </w:r>
    </w:p>
    <w:tbl>
      <w:tblPr>
        <w:tblStyle w:val="12"/>
        <w:tblW w:w="45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1664"/>
        <w:gridCol w:w="2729"/>
        <w:gridCol w:w="1375"/>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pct"/>
            <w:vAlign w:val="center"/>
          </w:tcPr>
          <w:p>
            <w:pPr>
              <w:jc w:val="center"/>
              <w:rPr>
                <w:color w:val="auto"/>
                <w:sz w:val="18"/>
                <w:szCs w:val="18"/>
              </w:rPr>
            </w:pPr>
            <w:r>
              <w:rPr>
                <w:color w:val="auto"/>
                <w:sz w:val="18"/>
                <w:szCs w:val="18"/>
              </w:rPr>
              <w:t>序号</w:t>
            </w:r>
          </w:p>
        </w:tc>
        <w:tc>
          <w:tcPr>
            <w:tcW w:w="914" w:type="pct"/>
            <w:vAlign w:val="center"/>
          </w:tcPr>
          <w:p>
            <w:pPr>
              <w:jc w:val="center"/>
              <w:rPr>
                <w:color w:val="auto"/>
                <w:sz w:val="18"/>
                <w:szCs w:val="18"/>
              </w:rPr>
            </w:pPr>
            <w:r>
              <w:rPr>
                <w:color w:val="auto"/>
                <w:sz w:val="18"/>
                <w:szCs w:val="18"/>
              </w:rPr>
              <w:t>标准</w:t>
            </w:r>
          </w:p>
          <w:p>
            <w:pPr>
              <w:jc w:val="center"/>
              <w:rPr>
                <w:color w:val="auto"/>
                <w:sz w:val="18"/>
                <w:szCs w:val="18"/>
              </w:rPr>
            </w:pPr>
            <w:r>
              <w:rPr>
                <w:color w:val="auto"/>
                <w:sz w:val="18"/>
                <w:szCs w:val="18"/>
              </w:rPr>
              <w:t>章条编号</w:t>
            </w:r>
          </w:p>
        </w:tc>
        <w:tc>
          <w:tcPr>
            <w:tcW w:w="1499" w:type="pct"/>
            <w:vAlign w:val="center"/>
          </w:tcPr>
          <w:p>
            <w:pPr>
              <w:jc w:val="center"/>
              <w:rPr>
                <w:color w:val="auto"/>
                <w:sz w:val="18"/>
                <w:szCs w:val="18"/>
              </w:rPr>
            </w:pPr>
            <w:r>
              <w:rPr>
                <w:color w:val="auto"/>
                <w:sz w:val="18"/>
                <w:szCs w:val="18"/>
              </w:rPr>
              <w:t>意见内容</w:t>
            </w:r>
          </w:p>
        </w:tc>
        <w:tc>
          <w:tcPr>
            <w:tcW w:w="755" w:type="pct"/>
            <w:vAlign w:val="center"/>
          </w:tcPr>
          <w:p>
            <w:pPr>
              <w:jc w:val="center"/>
              <w:rPr>
                <w:color w:val="auto"/>
                <w:sz w:val="18"/>
                <w:szCs w:val="18"/>
              </w:rPr>
            </w:pPr>
            <w:r>
              <w:rPr>
                <w:color w:val="auto"/>
                <w:sz w:val="18"/>
                <w:szCs w:val="18"/>
              </w:rPr>
              <w:t>提出单位</w:t>
            </w:r>
          </w:p>
        </w:tc>
        <w:tc>
          <w:tcPr>
            <w:tcW w:w="1194" w:type="pct"/>
            <w:vAlign w:val="center"/>
          </w:tcPr>
          <w:p>
            <w:pPr>
              <w:jc w:val="center"/>
              <w:rPr>
                <w:color w:val="auto"/>
                <w:sz w:val="18"/>
                <w:szCs w:val="18"/>
              </w:rPr>
            </w:pPr>
            <w:r>
              <w:rPr>
                <w:color w:val="auto"/>
                <w:sz w:val="18"/>
                <w:szCs w:val="18"/>
              </w:rPr>
              <w:t>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pct"/>
            <w:vAlign w:val="center"/>
          </w:tcPr>
          <w:p>
            <w:pPr>
              <w:jc w:val="center"/>
              <w:rPr>
                <w:color w:val="auto"/>
                <w:sz w:val="18"/>
                <w:szCs w:val="18"/>
              </w:rPr>
            </w:pPr>
            <w:r>
              <w:rPr>
                <w:color w:val="auto"/>
                <w:sz w:val="18"/>
                <w:szCs w:val="18"/>
              </w:rPr>
              <w:t>1</w:t>
            </w:r>
          </w:p>
        </w:tc>
        <w:tc>
          <w:tcPr>
            <w:tcW w:w="914" w:type="pct"/>
            <w:vAlign w:val="center"/>
          </w:tcPr>
          <w:p>
            <w:pPr>
              <w:jc w:val="center"/>
              <w:rPr>
                <w:rFonts w:hint="default" w:eastAsia="宋体"/>
                <w:color w:val="auto"/>
                <w:sz w:val="18"/>
                <w:szCs w:val="18"/>
                <w:lang w:val="en-US" w:eastAsia="zh-CN"/>
              </w:rPr>
            </w:pPr>
            <w:r>
              <w:rPr>
                <w:rFonts w:hint="eastAsia"/>
                <w:color w:val="auto"/>
                <w:sz w:val="18"/>
                <w:szCs w:val="18"/>
                <w:lang w:val="en-US" w:eastAsia="zh-CN"/>
              </w:rPr>
              <w:t>3.2</w:t>
            </w:r>
          </w:p>
        </w:tc>
        <w:tc>
          <w:tcPr>
            <w:tcW w:w="1499" w:type="pct"/>
            <w:vAlign w:val="center"/>
          </w:tcPr>
          <w:p>
            <w:pPr>
              <w:pStyle w:val="66"/>
              <w:spacing w:before="0" w:line="240" w:lineRule="atLeast"/>
              <w:rPr>
                <w:rFonts w:hint="eastAsia" w:eastAsia="宋体"/>
                <w:color w:val="auto"/>
                <w:sz w:val="18"/>
                <w:szCs w:val="18"/>
                <w:lang w:eastAsia="zh-CN"/>
              </w:rPr>
            </w:pPr>
            <w:r>
              <w:rPr>
                <w:rFonts w:hint="eastAsia" w:ascii="Times New Roman" w:hAnsi="Times New Roman" w:eastAsia="宋体"/>
                <w:b w:val="0"/>
                <w:bCs w:val="0"/>
                <w:color w:val="auto"/>
                <w:sz w:val="18"/>
                <w:szCs w:val="18"/>
                <w:lang w:val="en-US" w:eastAsia="zh-CN"/>
              </w:rPr>
              <w:t>增加“</w:t>
            </w:r>
            <w:r>
              <w:rPr>
                <w:rFonts w:hint="eastAsia" w:ascii="Times New Roman" w:hAnsi="Times New Roman" w:eastAsia="宋体"/>
                <w:b w:val="0"/>
                <w:bCs w:val="0"/>
                <w:color w:val="auto"/>
                <w:sz w:val="18"/>
                <w:szCs w:val="18"/>
              </w:rPr>
              <w:t>粉末</w:t>
            </w:r>
            <w:r>
              <w:rPr>
                <w:rFonts w:hint="eastAsia" w:ascii="Times New Roman" w:hAnsi="Times New Roman" w:eastAsia="宋体"/>
                <w:b w:val="0"/>
                <w:bCs w:val="0"/>
                <w:color w:val="auto"/>
                <w:sz w:val="18"/>
                <w:szCs w:val="18"/>
                <w:lang w:val="en-US" w:eastAsia="zh-CN"/>
              </w:rPr>
              <w:t>压</w:t>
            </w:r>
            <w:r>
              <w:rPr>
                <w:rFonts w:hint="eastAsia" w:ascii="Times New Roman" w:hAnsi="Times New Roman" w:eastAsia="宋体"/>
                <w:b w:val="0"/>
                <w:bCs w:val="0"/>
                <w:color w:val="auto"/>
                <w:sz w:val="18"/>
                <w:szCs w:val="18"/>
              </w:rPr>
              <w:t>实密度</w:t>
            </w:r>
            <w:r>
              <w:rPr>
                <w:rFonts w:hint="eastAsia" w:ascii="Times New Roman" w:hAnsi="Times New Roman" w:eastAsia="宋体"/>
                <w:b w:val="0"/>
                <w:bCs w:val="0"/>
                <w:color w:val="auto"/>
                <w:sz w:val="18"/>
                <w:szCs w:val="18"/>
                <w:lang w:eastAsia="zh-CN"/>
              </w:rPr>
              <w:t>”</w:t>
            </w:r>
          </w:p>
        </w:tc>
        <w:tc>
          <w:tcPr>
            <w:tcW w:w="755" w:type="pct"/>
            <w:vAlign w:val="center"/>
          </w:tcPr>
          <w:p>
            <w:pPr>
              <w:jc w:val="center"/>
              <w:rPr>
                <w:color w:val="auto"/>
                <w:sz w:val="18"/>
                <w:szCs w:val="18"/>
              </w:rPr>
            </w:pPr>
            <w:r>
              <w:rPr>
                <w:rFonts w:hint="eastAsia" w:ascii="Times New Roman" w:hAnsi="Times New Roman" w:eastAsia="宋体" w:cs="Times New Roman"/>
                <w:color w:val="auto"/>
                <w:sz w:val="18"/>
                <w:szCs w:val="18"/>
              </w:rPr>
              <w:t>湖南中伟新能源科技有限公司</w:t>
            </w:r>
          </w:p>
        </w:tc>
        <w:tc>
          <w:tcPr>
            <w:tcW w:w="1194" w:type="pct"/>
            <w:vAlign w:val="center"/>
          </w:tcPr>
          <w:p>
            <w:pPr>
              <w:jc w:val="center"/>
              <w:rPr>
                <w:rFonts w:hint="eastAsia" w:eastAsia="宋体"/>
                <w:color w:val="auto"/>
                <w:sz w:val="18"/>
                <w:szCs w:val="18"/>
                <w:lang w:val="en-US" w:eastAsia="zh-CN"/>
              </w:rPr>
            </w:pPr>
            <w:r>
              <w:rPr>
                <w:rFonts w:hint="eastAsia"/>
                <w:color w:val="auto"/>
                <w:sz w:val="18"/>
                <w:szCs w:val="18"/>
                <w:lang w:val="en-US" w:eastAsia="zh-CN"/>
              </w:rPr>
              <w:t>待讨论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pct"/>
            <w:vAlign w:val="center"/>
          </w:tcPr>
          <w:p>
            <w:pPr>
              <w:jc w:val="center"/>
              <w:rPr>
                <w:color w:val="auto"/>
                <w:sz w:val="18"/>
                <w:szCs w:val="18"/>
              </w:rPr>
            </w:pPr>
            <w:r>
              <w:rPr>
                <w:color w:val="auto"/>
                <w:sz w:val="18"/>
                <w:szCs w:val="18"/>
              </w:rPr>
              <w:t>2</w:t>
            </w:r>
          </w:p>
        </w:tc>
        <w:tc>
          <w:tcPr>
            <w:tcW w:w="914" w:type="pct"/>
            <w:vAlign w:val="center"/>
          </w:tcPr>
          <w:p>
            <w:pPr>
              <w:jc w:val="center"/>
              <w:rPr>
                <w:color w:val="auto"/>
                <w:sz w:val="18"/>
                <w:szCs w:val="18"/>
              </w:rPr>
            </w:pPr>
          </w:p>
        </w:tc>
        <w:tc>
          <w:tcPr>
            <w:tcW w:w="1499" w:type="pct"/>
            <w:vAlign w:val="center"/>
          </w:tcPr>
          <w:p>
            <w:pPr>
              <w:autoSpaceDE w:val="0"/>
              <w:autoSpaceDN w:val="0"/>
              <w:adjustRightInd w:val="0"/>
              <w:jc w:val="center"/>
              <w:rPr>
                <w:color w:val="auto"/>
                <w:sz w:val="18"/>
                <w:szCs w:val="18"/>
              </w:rPr>
            </w:pPr>
          </w:p>
        </w:tc>
        <w:tc>
          <w:tcPr>
            <w:tcW w:w="755" w:type="pct"/>
            <w:vAlign w:val="center"/>
          </w:tcPr>
          <w:p>
            <w:pPr>
              <w:jc w:val="center"/>
              <w:rPr>
                <w:color w:val="auto"/>
                <w:sz w:val="18"/>
                <w:szCs w:val="18"/>
              </w:rPr>
            </w:pPr>
          </w:p>
        </w:tc>
        <w:tc>
          <w:tcPr>
            <w:tcW w:w="1194" w:type="pct"/>
            <w:vAlign w:val="center"/>
          </w:tcPr>
          <w:p>
            <w:pPr>
              <w:jc w:val="center"/>
              <w:rPr>
                <w:color w:val="auto"/>
                <w:sz w:val="18"/>
                <w:szCs w:val="18"/>
              </w:rPr>
            </w:pPr>
          </w:p>
        </w:tc>
      </w:tr>
    </w:tbl>
    <w:p>
      <w:pPr>
        <w:pStyle w:val="6"/>
        <w:ind w:firstLine="0" w:firstLineChars="0"/>
        <w:rPr>
          <w:color w:val="0000FF"/>
        </w:rPr>
      </w:pPr>
    </w:p>
    <w:sectPr>
      <w:footerReference r:id="rId5" w:type="default"/>
      <w:footerReference r:id="rId6"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1)">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3</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fldChar w:fldCharType="begin"/>
    </w:r>
    <w:r>
      <w:rPr>
        <w:rStyle w:val="17"/>
      </w:rPr>
      <w:instrText xml:space="preserve">PAGE  </w:instrText>
    </w:r>
    <w:r>
      <w:fldChar w:fldCharType="separate"/>
    </w:r>
    <w:r>
      <w:rPr>
        <w:rStyle w:val="17"/>
      </w:rPr>
      <w:t>2</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7"/>
      </w:rPr>
    </w:pPr>
    <w:r>
      <w:fldChar w:fldCharType="begin"/>
    </w:r>
    <w:r>
      <w:rPr>
        <w:rStyle w:val="17"/>
      </w:rPr>
      <w:instrText xml:space="preserve">PAGE  </w:instrText>
    </w:r>
    <w:r>
      <w:fldChar w:fldCharType="separate"/>
    </w:r>
    <w:r>
      <w:rPr>
        <w:rStyle w:val="17"/>
      </w:rPr>
      <w:t>8</w:t>
    </w:r>
    <w:r>
      <w:fldChar w:fldCharType="end"/>
    </w:r>
  </w:p>
  <w:p>
    <w:pPr>
      <w:pStyle w:val="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7"/>
      </w:rPr>
    </w:pPr>
    <w:r>
      <w:fldChar w:fldCharType="begin"/>
    </w:r>
    <w:r>
      <w:rPr>
        <w:rStyle w:val="17"/>
      </w:rPr>
      <w:instrText xml:space="preserve">PAGE  </w:instrText>
    </w:r>
    <w:r>
      <w:fldChar w:fldCharType="end"/>
    </w:r>
  </w:p>
  <w:p>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A2847"/>
    <w:multiLevelType w:val="multilevel"/>
    <w:tmpl w:val="18CA2847"/>
    <w:lvl w:ilvl="0" w:tentative="0">
      <w:start w:val="1"/>
      <w:numFmt w:val="lowerLetter"/>
      <w:pStyle w:val="38"/>
      <w:lvlText w:val="%1、"/>
      <w:lvlJc w:val="left"/>
      <w:pPr>
        <w:tabs>
          <w:tab w:val="left" w:pos="340"/>
        </w:tabs>
        <w:ind w:left="340" w:firstLine="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A207D40"/>
    <w:multiLevelType w:val="multilevel"/>
    <w:tmpl w:val="4A207D40"/>
    <w:lvl w:ilvl="0" w:tentative="0">
      <w:start w:val="1"/>
      <w:numFmt w:val="decimal"/>
      <w:pStyle w:val="55"/>
      <w:lvlText w:val="2.3.%1"/>
      <w:lvlJc w:val="left"/>
      <w:pPr>
        <w:tabs>
          <w:tab w:val="left" w:pos="1960"/>
        </w:tabs>
        <w:ind w:left="19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46260FA"/>
    <w:multiLevelType w:val="multilevel"/>
    <w:tmpl w:val="646260FA"/>
    <w:lvl w:ilvl="0" w:tentative="0">
      <w:start w:val="1"/>
      <w:numFmt w:val="decimal"/>
      <w:pStyle w:val="35"/>
      <w:suff w:val="nothing"/>
      <w:lvlText w:val="表%1　"/>
      <w:lvlJc w:val="left"/>
      <w:pPr>
        <w:ind w:left="2693" w:firstLine="0"/>
      </w:pPr>
      <w:rPr>
        <w:rFonts w:hint="eastAsia" w:ascii="黑体" w:hAnsi="Times New Roman" w:eastAsia="黑体"/>
        <w:b w:val="0"/>
        <w:i w:val="0"/>
        <w:sz w:val="21"/>
        <w:lang w:val="en-US"/>
      </w:rPr>
    </w:lvl>
    <w:lvl w:ilvl="1" w:tentative="0">
      <w:start w:val="1"/>
      <w:numFmt w:val="decimal"/>
      <w:lvlText w:val="%1.%2"/>
      <w:lvlJc w:val="left"/>
      <w:pPr>
        <w:tabs>
          <w:tab w:val="left" w:pos="-410"/>
        </w:tabs>
        <w:ind w:left="-410" w:hanging="567"/>
      </w:pPr>
      <w:rPr>
        <w:rFonts w:hint="eastAsia"/>
      </w:rPr>
    </w:lvl>
    <w:lvl w:ilvl="2" w:tentative="0">
      <w:start w:val="1"/>
      <w:numFmt w:val="decimal"/>
      <w:lvlText w:val="%1.%2.%3"/>
      <w:lvlJc w:val="left"/>
      <w:pPr>
        <w:tabs>
          <w:tab w:val="left" w:pos="16"/>
        </w:tabs>
        <w:ind w:left="16" w:hanging="567"/>
      </w:pPr>
      <w:rPr>
        <w:rFonts w:hint="eastAsia"/>
      </w:rPr>
    </w:lvl>
    <w:lvl w:ilvl="3" w:tentative="0">
      <w:start w:val="1"/>
      <w:numFmt w:val="decimal"/>
      <w:lvlText w:val="%1.%2.%3.%4"/>
      <w:lvlJc w:val="left"/>
      <w:pPr>
        <w:tabs>
          <w:tab w:val="left" w:pos="582"/>
        </w:tabs>
        <w:ind w:left="582" w:hanging="708"/>
      </w:pPr>
      <w:rPr>
        <w:rFonts w:hint="eastAsia"/>
      </w:rPr>
    </w:lvl>
    <w:lvl w:ilvl="4" w:tentative="0">
      <w:start w:val="1"/>
      <w:numFmt w:val="decimal"/>
      <w:lvlText w:val="%1.%2.%3.%4.%5"/>
      <w:lvlJc w:val="left"/>
      <w:pPr>
        <w:tabs>
          <w:tab w:val="left" w:pos="1149"/>
        </w:tabs>
        <w:ind w:left="1149" w:hanging="850"/>
      </w:pPr>
      <w:rPr>
        <w:rFonts w:hint="eastAsia"/>
      </w:rPr>
    </w:lvl>
    <w:lvl w:ilvl="5" w:tentative="0">
      <w:start w:val="1"/>
      <w:numFmt w:val="decimal"/>
      <w:lvlText w:val="%1.%2.%3.%4.%5.%6"/>
      <w:lvlJc w:val="left"/>
      <w:pPr>
        <w:tabs>
          <w:tab w:val="left" w:pos="1858"/>
        </w:tabs>
        <w:ind w:left="1858" w:hanging="1134"/>
      </w:pPr>
      <w:rPr>
        <w:rFonts w:hint="eastAsia"/>
      </w:rPr>
    </w:lvl>
    <w:lvl w:ilvl="6" w:tentative="0">
      <w:start w:val="1"/>
      <w:numFmt w:val="decimal"/>
      <w:lvlText w:val="%1.%2.%3.%4.%5.%6.%7"/>
      <w:lvlJc w:val="left"/>
      <w:pPr>
        <w:tabs>
          <w:tab w:val="left" w:pos="2425"/>
        </w:tabs>
        <w:ind w:left="2425" w:hanging="1276"/>
      </w:pPr>
      <w:rPr>
        <w:rFonts w:hint="eastAsia"/>
      </w:rPr>
    </w:lvl>
    <w:lvl w:ilvl="7" w:tentative="0">
      <w:start w:val="1"/>
      <w:numFmt w:val="decimal"/>
      <w:lvlText w:val="%1.%2.%3.%4.%5.%6.%7.%8"/>
      <w:lvlJc w:val="left"/>
      <w:pPr>
        <w:tabs>
          <w:tab w:val="left" w:pos="2992"/>
        </w:tabs>
        <w:ind w:left="2992" w:hanging="1418"/>
      </w:pPr>
      <w:rPr>
        <w:rFonts w:hint="eastAsia"/>
      </w:rPr>
    </w:lvl>
    <w:lvl w:ilvl="8" w:tentative="0">
      <w:start w:val="1"/>
      <w:numFmt w:val="decimal"/>
      <w:lvlText w:val="%1.%2.%3.%4.%5.%6.%7.%8.%9"/>
      <w:lvlJc w:val="left"/>
      <w:pPr>
        <w:tabs>
          <w:tab w:val="left" w:pos="3700"/>
        </w:tabs>
        <w:ind w:left="3700" w:hanging="1700"/>
      </w:pPr>
      <w:rPr>
        <w:rFonts w:hint="eastAsia"/>
      </w:rPr>
    </w:lvl>
  </w:abstractNum>
  <w:abstractNum w:abstractNumId="3">
    <w:nsid w:val="657D3FBC"/>
    <w:multiLevelType w:val="multilevel"/>
    <w:tmpl w:val="657D3FBC"/>
    <w:lvl w:ilvl="0" w:tentative="0">
      <w:start w:val="1"/>
      <w:numFmt w:val="upperLetter"/>
      <w:pStyle w:val="52"/>
      <w:suff w:val="nothing"/>
      <w:lvlText w:val="附　录　%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99E2AE3"/>
    <w:multiLevelType w:val="multilevel"/>
    <w:tmpl w:val="699E2AE3"/>
    <w:lvl w:ilvl="0" w:tentative="0">
      <w:start w:val="3"/>
      <w:numFmt w:val="decimal"/>
      <w:lvlText w:val="%1"/>
      <w:lvlJc w:val="left"/>
      <w:pPr>
        <w:ind w:left="0" w:firstLine="0"/>
      </w:pPr>
      <w:rPr>
        <w:rFonts w:hint="eastAsia"/>
      </w:rPr>
    </w:lvl>
    <w:lvl w:ilvl="1" w:tentative="0">
      <w:start w:val="3"/>
      <w:numFmt w:val="decimal"/>
      <w:lvlText w:val="%2.3"/>
      <w:lvlJc w:val="left"/>
      <w:pPr>
        <w:ind w:left="0" w:firstLine="0"/>
      </w:pPr>
      <w:rPr>
        <w:rFonts w:hint="default"/>
        <w:b/>
        <w:bCs/>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79324953"/>
    <w:multiLevelType w:val="multilevel"/>
    <w:tmpl w:val="79324953"/>
    <w:lvl w:ilvl="0" w:tentative="0">
      <w:start w:val="1"/>
      <w:numFmt w:val="none"/>
      <w:pStyle w:val="39"/>
      <w:suff w:val="nothing"/>
      <w:lvlText w:val="%1"/>
      <w:lvlJc w:val="left"/>
      <w:pPr>
        <w:ind w:left="0" w:firstLine="0"/>
      </w:pPr>
      <w:rPr>
        <w:rFonts w:hint="default" w:ascii="Times New Roman" w:hAnsi="Times New Roman"/>
        <w:b/>
        <w:bCs/>
        <w:i w:val="0"/>
        <w:iCs w:val="0"/>
        <w:sz w:val="21"/>
        <w:szCs w:val="24"/>
      </w:rPr>
    </w:lvl>
    <w:lvl w:ilvl="1" w:tentative="0">
      <w:start w:val="6"/>
      <w:numFmt w:val="decimal"/>
      <w:pStyle w:val="49"/>
      <w:suff w:val="nothing"/>
      <w:lvlText w:val="%1%2　"/>
      <w:lvlJc w:val="left"/>
      <w:pPr>
        <w:ind w:left="0" w:firstLine="0"/>
      </w:pPr>
      <w:rPr>
        <w:rFonts w:hint="eastAsia" w:ascii="黑体" w:hAnsi="Times New Roman" w:eastAsia="黑体"/>
        <w:b w:val="0"/>
        <w:i w:val="0"/>
        <w:sz w:val="21"/>
        <w:szCs w:val="21"/>
      </w:rPr>
    </w:lvl>
    <w:lvl w:ilvl="2" w:tentative="0">
      <w:start w:val="1"/>
      <w:numFmt w:val="decimal"/>
      <w:lvlRestart w:val="1"/>
      <w:pStyle w:val="36"/>
      <w:suff w:val="nothing"/>
      <w:lvlText w:val="%1%2.%3　"/>
      <w:lvlJc w:val="left"/>
      <w:pPr>
        <w:ind w:left="0" w:firstLine="0"/>
      </w:pPr>
      <w:rPr>
        <w:rFonts w:hint="eastAsia" w:ascii="黑体" w:hAnsi="宋体" w:eastAsia="黑体"/>
        <w:b w:val="0"/>
        <w:i w:val="0"/>
        <w:sz w:val="21"/>
        <w:szCs w:val="21"/>
      </w:rPr>
    </w:lvl>
    <w:lvl w:ilvl="3" w:tentative="0">
      <w:start w:val="1"/>
      <w:numFmt w:val="decimal"/>
      <w:suff w:val="nothing"/>
      <w:lvlText w:val="%1%2.%3.%4　"/>
      <w:lvlJc w:val="left"/>
      <w:pPr>
        <w:ind w:left="0" w:firstLine="0"/>
      </w:pPr>
      <w:rPr>
        <w:rFonts w:hint="eastAsia" w:ascii="黑体" w:hAnsi="宋体" w:eastAsia="黑体"/>
        <w:b w:val="0"/>
        <w:i w:val="0"/>
        <w:sz w:val="21"/>
        <w:szCs w:val="21"/>
      </w:rPr>
    </w:lvl>
    <w:lvl w:ilvl="4" w:tentative="0">
      <w:start w:val="1"/>
      <w:numFmt w:val="decimal"/>
      <w:pStyle w:val="50"/>
      <w:suff w:val="nothing"/>
      <w:lvlText w:val="%1%2.%3.%4.%5　"/>
      <w:lvlJc w:val="left"/>
      <w:pPr>
        <w:ind w:left="0" w:firstLine="0"/>
      </w:pPr>
      <w:rPr>
        <w:rFonts w:hint="eastAsia" w:ascii="黑体" w:hAnsi="Times New Roman" w:eastAsia="黑体"/>
        <w:b w:val="0"/>
        <w:i w:val="0"/>
        <w:sz w:val="21"/>
      </w:rPr>
    </w:lvl>
    <w:lvl w:ilvl="5" w:tentative="0">
      <w:start w:val="0"/>
      <w:numFmt w:val="none"/>
      <w:pStyle w:val="40"/>
      <w:lvlText w:val=""/>
      <w:lvlJc w:val="left"/>
      <w:pPr>
        <w:tabs>
          <w:tab w:val="left" w:pos="360"/>
        </w:tabs>
        <w:ind w:left="0" w:firstLine="0"/>
      </w:pPr>
      <w:rPr>
        <w:rFonts w:hint="eastAsia"/>
      </w:rPr>
    </w:lvl>
    <w:lvl w:ilvl="6" w:tentative="0">
      <w:start w:val="1"/>
      <w:numFmt w:val="decimal"/>
      <w:pStyle w:val="4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5ZmI1NjdjNjEyNWU1ZDkxMWNmODkwNmY3ZmZkNmQifQ=="/>
  </w:docVars>
  <w:rsids>
    <w:rsidRoot w:val="00EA2E1D"/>
    <w:rsid w:val="00026FCA"/>
    <w:rsid w:val="00030C5E"/>
    <w:rsid w:val="000464A7"/>
    <w:rsid w:val="00071533"/>
    <w:rsid w:val="00077E37"/>
    <w:rsid w:val="000B77F5"/>
    <w:rsid w:val="00101062"/>
    <w:rsid w:val="00142D23"/>
    <w:rsid w:val="00160037"/>
    <w:rsid w:val="00166F1B"/>
    <w:rsid w:val="001E6D65"/>
    <w:rsid w:val="001F0BCD"/>
    <w:rsid w:val="001F5EAA"/>
    <w:rsid w:val="0027232F"/>
    <w:rsid w:val="00286D62"/>
    <w:rsid w:val="002C3E0E"/>
    <w:rsid w:val="002D7DAC"/>
    <w:rsid w:val="002F20F9"/>
    <w:rsid w:val="00311B25"/>
    <w:rsid w:val="003250E9"/>
    <w:rsid w:val="003432F9"/>
    <w:rsid w:val="003474D3"/>
    <w:rsid w:val="00364F52"/>
    <w:rsid w:val="003747FC"/>
    <w:rsid w:val="00392069"/>
    <w:rsid w:val="003D1A20"/>
    <w:rsid w:val="0041699A"/>
    <w:rsid w:val="004E0AD9"/>
    <w:rsid w:val="0054425F"/>
    <w:rsid w:val="00545FE8"/>
    <w:rsid w:val="00564F6E"/>
    <w:rsid w:val="005770B5"/>
    <w:rsid w:val="005B5169"/>
    <w:rsid w:val="005B73CA"/>
    <w:rsid w:val="005C13DB"/>
    <w:rsid w:val="005D02B9"/>
    <w:rsid w:val="006817F8"/>
    <w:rsid w:val="00694455"/>
    <w:rsid w:val="006E1B3C"/>
    <w:rsid w:val="00706A52"/>
    <w:rsid w:val="00715840"/>
    <w:rsid w:val="00727393"/>
    <w:rsid w:val="00743A44"/>
    <w:rsid w:val="0077339A"/>
    <w:rsid w:val="007903F6"/>
    <w:rsid w:val="007A189A"/>
    <w:rsid w:val="007B1803"/>
    <w:rsid w:val="007C6CB7"/>
    <w:rsid w:val="007C74CC"/>
    <w:rsid w:val="007D1D03"/>
    <w:rsid w:val="007D26E9"/>
    <w:rsid w:val="008544C8"/>
    <w:rsid w:val="008560D6"/>
    <w:rsid w:val="008603B0"/>
    <w:rsid w:val="00892EDE"/>
    <w:rsid w:val="008C10E9"/>
    <w:rsid w:val="008D4CFD"/>
    <w:rsid w:val="009041DE"/>
    <w:rsid w:val="009102AB"/>
    <w:rsid w:val="009109FC"/>
    <w:rsid w:val="00936E66"/>
    <w:rsid w:val="00962639"/>
    <w:rsid w:val="009752D4"/>
    <w:rsid w:val="009922EF"/>
    <w:rsid w:val="009C1405"/>
    <w:rsid w:val="009C3617"/>
    <w:rsid w:val="00A40201"/>
    <w:rsid w:val="00A55BF9"/>
    <w:rsid w:val="00A574C1"/>
    <w:rsid w:val="00A64A5C"/>
    <w:rsid w:val="00A72BF4"/>
    <w:rsid w:val="00AF5118"/>
    <w:rsid w:val="00B04D70"/>
    <w:rsid w:val="00B10E8F"/>
    <w:rsid w:val="00B17667"/>
    <w:rsid w:val="00B249B4"/>
    <w:rsid w:val="00B5346A"/>
    <w:rsid w:val="00B824DD"/>
    <w:rsid w:val="00BD799E"/>
    <w:rsid w:val="00BE668B"/>
    <w:rsid w:val="00BF4338"/>
    <w:rsid w:val="00C07BF0"/>
    <w:rsid w:val="00C67296"/>
    <w:rsid w:val="00CD45AD"/>
    <w:rsid w:val="00CD7BC8"/>
    <w:rsid w:val="00D027D9"/>
    <w:rsid w:val="00D11FD2"/>
    <w:rsid w:val="00D17B71"/>
    <w:rsid w:val="00D26B71"/>
    <w:rsid w:val="00D646DF"/>
    <w:rsid w:val="00D808CE"/>
    <w:rsid w:val="00E20B56"/>
    <w:rsid w:val="00EA2E1D"/>
    <w:rsid w:val="00EB1D57"/>
    <w:rsid w:val="00EB63BF"/>
    <w:rsid w:val="00EC36BC"/>
    <w:rsid w:val="00EF666D"/>
    <w:rsid w:val="00F1075B"/>
    <w:rsid w:val="00F45F54"/>
    <w:rsid w:val="00FA6CEA"/>
    <w:rsid w:val="00FD2B1C"/>
    <w:rsid w:val="00FD630D"/>
    <w:rsid w:val="02326A8E"/>
    <w:rsid w:val="04BA33F4"/>
    <w:rsid w:val="0ACC35A8"/>
    <w:rsid w:val="0B0009AC"/>
    <w:rsid w:val="10AF75B8"/>
    <w:rsid w:val="14190AC4"/>
    <w:rsid w:val="188E5061"/>
    <w:rsid w:val="2AAD5125"/>
    <w:rsid w:val="2E0A080E"/>
    <w:rsid w:val="30C96FC7"/>
    <w:rsid w:val="34C56C28"/>
    <w:rsid w:val="35A3650B"/>
    <w:rsid w:val="36722D63"/>
    <w:rsid w:val="36DC1E1D"/>
    <w:rsid w:val="3A0B1B2E"/>
    <w:rsid w:val="3A574DDB"/>
    <w:rsid w:val="3FA26AF9"/>
    <w:rsid w:val="410A2B27"/>
    <w:rsid w:val="4F2B6F8B"/>
    <w:rsid w:val="519C727A"/>
    <w:rsid w:val="56703055"/>
    <w:rsid w:val="57FB03F4"/>
    <w:rsid w:val="5F7F6E5A"/>
    <w:rsid w:val="6AE17C54"/>
    <w:rsid w:val="6F981B86"/>
    <w:rsid w:val="700A4FDA"/>
    <w:rsid w:val="7B3D2D0C"/>
    <w:rsid w:val="7B5D6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kern w:val="0"/>
      <w:sz w:val="24"/>
      <w:szCs w:val="24"/>
      <w:lang w:val="en-US" w:eastAsia="zh-CN" w:bidi="ar-SA"/>
    </w:rPr>
  </w:style>
  <w:style w:type="paragraph" w:styleId="3">
    <w:name w:val="heading 3"/>
    <w:basedOn w:val="1"/>
    <w:link w:val="29"/>
    <w:autoRedefine/>
    <w:qFormat/>
    <w:uiPriority w:val="9"/>
    <w:pPr>
      <w:spacing w:before="100" w:beforeAutospacing="1" w:after="100" w:afterAutospacing="1"/>
      <w:outlineLvl w:val="2"/>
    </w:pPr>
    <w:rPr>
      <w:rFonts w:ascii="宋体" w:hAnsi="宋体" w:cs="宋体"/>
      <w:b/>
      <w:bCs/>
      <w:sz w:val="27"/>
      <w:szCs w:val="27"/>
    </w:rPr>
  </w:style>
  <w:style w:type="character" w:default="1" w:styleId="15">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endnote text"/>
    <w:basedOn w:val="1"/>
    <w:autoRedefine/>
    <w:unhideWhenUsed/>
    <w:qFormat/>
    <w:uiPriority w:val="99"/>
    <w:pPr>
      <w:snapToGrid w:val="0"/>
    </w:pPr>
    <w:rPr>
      <w:rFonts w:ascii="Calibri" w:hAnsi="Calibri"/>
      <w:szCs w:val="24"/>
    </w:rPr>
  </w:style>
  <w:style w:type="paragraph" w:styleId="4">
    <w:name w:val="annotation text"/>
    <w:basedOn w:val="1"/>
    <w:link w:val="30"/>
    <w:autoRedefine/>
    <w:qFormat/>
    <w:uiPriority w:val="0"/>
    <w:pPr>
      <w:widowControl w:val="0"/>
      <w:adjustRightInd w:val="0"/>
      <w:spacing w:line="312" w:lineRule="atLeast"/>
      <w:textAlignment w:val="baseline"/>
    </w:pPr>
    <w:rPr>
      <w:rFonts w:ascii="CG Times (W1)" w:hAnsi="CG Times (W1)" w:eastAsia="仿宋_GB2312" w:cs="CG Times (W1)"/>
      <w:sz w:val="30"/>
      <w:szCs w:val="30"/>
    </w:rPr>
  </w:style>
  <w:style w:type="paragraph" w:styleId="5">
    <w:name w:val="Date"/>
    <w:basedOn w:val="1"/>
    <w:next w:val="1"/>
    <w:link w:val="31"/>
    <w:autoRedefine/>
    <w:qFormat/>
    <w:uiPriority w:val="0"/>
    <w:pPr>
      <w:widowControl w:val="0"/>
      <w:ind w:left="100" w:leftChars="2500"/>
      <w:jc w:val="both"/>
    </w:pPr>
    <w:rPr>
      <w:kern w:val="2"/>
      <w:sz w:val="21"/>
    </w:rPr>
  </w:style>
  <w:style w:type="paragraph" w:styleId="6">
    <w:name w:val="Body Text Indent 2"/>
    <w:link w:val="70"/>
    <w:autoRedefine/>
    <w:qFormat/>
    <w:uiPriority w:val="0"/>
    <w:pPr>
      <w:spacing w:line="360" w:lineRule="auto"/>
      <w:ind w:firstLine="510" w:firstLineChars="200"/>
      <w:jc w:val="both"/>
    </w:pPr>
    <w:rPr>
      <w:rFonts w:ascii="Times New Roman" w:hAnsi="Times New Roman" w:eastAsia="宋体" w:cs="Times New Roman"/>
      <w:kern w:val="0"/>
      <w:sz w:val="24"/>
      <w:szCs w:val="24"/>
      <w:lang w:val="en-US" w:eastAsia="zh-CN" w:bidi="ar-SA"/>
    </w:rPr>
  </w:style>
  <w:style w:type="paragraph" w:styleId="7">
    <w:name w:val="Balloon Text"/>
    <w:basedOn w:val="1"/>
    <w:link w:val="28"/>
    <w:autoRedefine/>
    <w:unhideWhenUsed/>
    <w:qFormat/>
    <w:uiPriority w:val="0"/>
    <w:rPr>
      <w:sz w:val="18"/>
      <w:szCs w:val="18"/>
    </w:rPr>
  </w:style>
  <w:style w:type="paragraph" w:styleId="8">
    <w:name w:val="footer"/>
    <w:basedOn w:val="1"/>
    <w:link w:val="25"/>
    <w:autoRedefine/>
    <w:unhideWhenUsed/>
    <w:qFormat/>
    <w:uiPriority w:val="0"/>
    <w:pPr>
      <w:tabs>
        <w:tab w:val="center" w:pos="4153"/>
        <w:tab w:val="right" w:pos="8306"/>
      </w:tabs>
      <w:snapToGrid w:val="0"/>
    </w:pPr>
    <w:rPr>
      <w:sz w:val="18"/>
      <w:szCs w:val="18"/>
    </w:rPr>
  </w:style>
  <w:style w:type="paragraph" w:styleId="9">
    <w:name w:val="header"/>
    <w:basedOn w:val="1"/>
    <w:link w:val="2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32"/>
    <w:autoRedefine/>
    <w:qFormat/>
    <w:uiPriority w:val="0"/>
    <w:pPr>
      <w:widowControl w:val="0"/>
      <w:jc w:val="both"/>
    </w:pPr>
    <w:rPr>
      <w:rFonts w:ascii="Courier New" w:hAnsi="Courier New" w:cs="Courier New"/>
      <w:kern w:val="2"/>
      <w:sz w:val="20"/>
      <w:szCs w:val="20"/>
    </w:rPr>
  </w:style>
  <w:style w:type="paragraph" w:styleId="11">
    <w:name w:val="Normal (Web)"/>
    <w:basedOn w:val="1"/>
    <w:autoRedefine/>
    <w:semiHidden/>
    <w:unhideWhenUsed/>
    <w:qFormat/>
    <w:uiPriority w:val="99"/>
    <w:pPr>
      <w:spacing w:before="100" w:beforeAutospacing="1" w:after="100" w:afterAutospacing="1"/>
    </w:pPr>
    <w:rPr>
      <w:rFonts w:ascii="宋体" w:hAnsi="宋体" w:cs="宋体"/>
    </w:rPr>
  </w:style>
  <w:style w:type="table" w:styleId="13">
    <w:name w:val="Table Grid"/>
    <w:basedOn w:val="12"/>
    <w:autoRedefine/>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
    <w:name w:val="Light List Accent 5"/>
    <w:basedOn w:val="12"/>
    <w:autoRedefine/>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character" w:styleId="16">
    <w:name w:val="Strong"/>
    <w:basedOn w:val="15"/>
    <w:autoRedefine/>
    <w:qFormat/>
    <w:uiPriority w:val="22"/>
    <w:rPr>
      <w:b/>
    </w:rPr>
  </w:style>
  <w:style w:type="character" w:styleId="17">
    <w:name w:val="page number"/>
    <w:autoRedefine/>
    <w:qFormat/>
    <w:uiPriority w:val="0"/>
  </w:style>
  <w:style w:type="character" w:styleId="18">
    <w:name w:val="FollowedHyperlink"/>
    <w:autoRedefine/>
    <w:unhideWhenUsed/>
    <w:qFormat/>
    <w:uiPriority w:val="99"/>
    <w:rPr>
      <w:color w:val="954F72"/>
      <w:u w:val="single"/>
    </w:rPr>
  </w:style>
  <w:style w:type="character" w:styleId="19">
    <w:name w:val="Emphasis"/>
    <w:basedOn w:val="15"/>
    <w:autoRedefine/>
    <w:qFormat/>
    <w:uiPriority w:val="20"/>
    <w:rPr>
      <w:i/>
      <w:iCs/>
    </w:rPr>
  </w:style>
  <w:style w:type="character" w:styleId="20">
    <w:name w:val="Hyperlink"/>
    <w:autoRedefine/>
    <w:unhideWhenUsed/>
    <w:qFormat/>
    <w:uiPriority w:val="99"/>
    <w:rPr>
      <w:color w:val="0563C1"/>
      <w:u w:val="single"/>
    </w:rPr>
  </w:style>
  <w:style w:type="character" w:styleId="21">
    <w:name w:val="HTML Code"/>
    <w:autoRedefine/>
    <w:qFormat/>
    <w:uiPriority w:val="0"/>
    <w:rPr>
      <w:rFonts w:ascii="Courier New" w:hAnsi="Courier New"/>
      <w:sz w:val="20"/>
      <w:szCs w:val="20"/>
    </w:rPr>
  </w:style>
  <w:style w:type="character" w:styleId="22">
    <w:name w:val="annotation reference"/>
    <w:autoRedefine/>
    <w:qFormat/>
    <w:uiPriority w:val="0"/>
    <w:rPr>
      <w:sz w:val="21"/>
      <w:szCs w:val="21"/>
    </w:rPr>
  </w:style>
  <w:style w:type="character" w:styleId="23">
    <w:name w:val="HTML Cite"/>
    <w:autoRedefine/>
    <w:qFormat/>
    <w:uiPriority w:val="0"/>
    <w:rPr>
      <w:i/>
      <w:iCs/>
    </w:rPr>
  </w:style>
  <w:style w:type="character" w:customStyle="1" w:styleId="24">
    <w:name w:val="页眉 字符"/>
    <w:basedOn w:val="15"/>
    <w:link w:val="9"/>
    <w:autoRedefine/>
    <w:qFormat/>
    <w:uiPriority w:val="0"/>
    <w:rPr>
      <w:sz w:val="18"/>
      <w:szCs w:val="18"/>
    </w:rPr>
  </w:style>
  <w:style w:type="character" w:customStyle="1" w:styleId="25">
    <w:name w:val="页脚 字符"/>
    <w:basedOn w:val="15"/>
    <w:link w:val="8"/>
    <w:autoRedefine/>
    <w:qFormat/>
    <w:uiPriority w:val="0"/>
    <w:rPr>
      <w:sz w:val="18"/>
      <w:szCs w:val="18"/>
    </w:rPr>
  </w:style>
  <w:style w:type="paragraph" w:customStyle="1" w:styleId="26">
    <w:name w:val="段"/>
    <w:link w:val="33"/>
    <w:autoRedefine/>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7">
    <w:name w:val="一级条标题"/>
    <w:basedOn w:val="1"/>
    <w:next w:val="26"/>
    <w:autoRedefine/>
    <w:qFormat/>
    <w:uiPriority w:val="0"/>
    <w:pPr>
      <w:jc w:val="both"/>
      <w:outlineLvl w:val="2"/>
    </w:pPr>
    <w:rPr>
      <w:rFonts w:ascii="黑体" w:eastAsia="黑体"/>
      <w:sz w:val="21"/>
      <w:szCs w:val="20"/>
    </w:rPr>
  </w:style>
  <w:style w:type="character" w:customStyle="1" w:styleId="28">
    <w:name w:val="批注框文本 字符"/>
    <w:basedOn w:val="15"/>
    <w:link w:val="7"/>
    <w:autoRedefine/>
    <w:qFormat/>
    <w:uiPriority w:val="0"/>
    <w:rPr>
      <w:rFonts w:ascii="Times New Roman" w:hAnsi="Times New Roman" w:eastAsia="宋体" w:cs="Times New Roman"/>
      <w:kern w:val="0"/>
      <w:sz w:val="18"/>
      <w:szCs w:val="18"/>
    </w:rPr>
  </w:style>
  <w:style w:type="character" w:customStyle="1" w:styleId="29">
    <w:name w:val="标题 3 字符"/>
    <w:basedOn w:val="15"/>
    <w:link w:val="3"/>
    <w:autoRedefine/>
    <w:qFormat/>
    <w:uiPriority w:val="9"/>
    <w:rPr>
      <w:rFonts w:ascii="宋体" w:hAnsi="宋体" w:eastAsia="宋体" w:cs="宋体"/>
      <w:b/>
      <w:bCs/>
      <w:kern w:val="0"/>
      <w:sz w:val="27"/>
      <w:szCs w:val="27"/>
    </w:rPr>
  </w:style>
  <w:style w:type="character" w:customStyle="1" w:styleId="30">
    <w:name w:val="批注文字 字符"/>
    <w:basedOn w:val="15"/>
    <w:link w:val="4"/>
    <w:autoRedefine/>
    <w:qFormat/>
    <w:uiPriority w:val="0"/>
    <w:rPr>
      <w:rFonts w:ascii="CG Times (W1)" w:hAnsi="CG Times (W1)" w:eastAsia="仿宋_GB2312" w:cs="CG Times (W1)"/>
      <w:kern w:val="0"/>
      <w:sz w:val="30"/>
      <w:szCs w:val="30"/>
    </w:rPr>
  </w:style>
  <w:style w:type="character" w:customStyle="1" w:styleId="31">
    <w:name w:val="日期 字符"/>
    <w:basedOn w:val="15"/>
    <w:link w:val="5"/>
    <w:autoRedefine/>
    <w:qFormat/>
    <w:uiPriority w:val="0"/>
    <w:rPr>
      <w:rFonts w:ascii="Times New Roman" w:hAnsi="Times New Roman" w:eastAsia="宋体" w:cs="Times New Roman"/>
      <w:szCs w:val="24"/>
    </w:rPr>
  </w:style>
  <w:style w:type="character" w:customStyle="1" w:styleId="32">
    <w:name w:val="HTML 预设格式 字符"/>
    <w:basedOn w:val="15"/>
    <w:link w:val="10"/>
    <w:autoRedefine/>
    <w:qFormat/>
    <w:uiPriority w:val="0"/>
    <w:rPr>
      <w:rFonts w:ascii="Courier New" w:hAnsi="Courier New" w:eastAsia="宋体" w:cs="Courier New"/>
      <w:sz w:val="20"/>
      <w:szCs w:val="20"/>
    </w:rPr>
  </w:style>
  <w:style w:type="character" w:customStyle="1" w:styleId="33">
    <w:name w:val="段 Char Char"/>
    <w:link w:val="26"/>
    <w:autoRedefine/>
    <w:qFormat/>
    <w:uiPriority w:val="0"/>
    <w:rPr>
      <w:rFonts w:ascii="宋体" w:hAnsi="Times New Roman" w:eastAsia="宋体" w:cs="Times New Roman"/>
      <w:kern w:val="0"/>
      <w:szCs w:val="20"/>
    </w:rPr>
  </w:style>
  <w:style w:type="paragraph" w:customStyle="1" w:styleId="34">
    <w:name w:val="Char Char Char Char Char Char"/>
    <w:basedOn w:val="1"/>
    <w:autoRedefine/>
    <w:qFormat/>
    <w:uiPriority w:val="0"/>
    <w:pPr>
      <w:widowControl w:val="0"/>
      <w:spacing w:beforeLines="100" w:afterLines="50" w:line="600" w:lineRule="exact"/>
      <w:ind w:firstLine="200" w:firstLineChars="200"/>
      <w:jc w:val="both"/>
    </w:pPr>
    <w:rPr>
      <w:kern w:val="2"/>
      <w:sz w:val="21"/>
    </w:rPr>
  </w:style>
  <w:style w:type="paragraph" w:customStyle="1" w:styleId="35">
    <w:name w:val="正文表标题"/>
    <w:next w:val="26"/>
    <w:autoRedefine/>
    <w:qFormat/>
    <w:uiPriority w:val="99"/>
    <w:pPr>
      <w:numPr>
        <w:ilvl w:val="0"/>
        <w:numId w:val="1"/>
      </w:numPr>
      <w:jc w:val="center"/>
    </w:pPr>
    <w:rPr>
      <w:rFonts w:ascii="黑体" w:hAnsi="Times New Roman" w:eastAsia="黑体" w:cs="Times New Roman"/>
      <w:kern w:val="0"/>
      <w:sz w:val="21"/>
      <w:szCs w:val="20"/>
      <w:lang w:val="en-US" w:eastAsia="zh-CN" w:bidi="ar-SA"/>
    </w:rPr>
  </w:style>
  <w:style w:type="paragraph" w:customStyle="1" w:styleId="36">
    <w:name w:val="样式 一级条标题 + 宋体"/>
    <w:basedOn w:val="1"/>
    <w:autoRedefine/>
    <w:qFormat/>
    <w:uiPriority w:val="0"/>
    <w:pPr>
      <w:numPr>
        <w:ilvl w:val="2"/>
        <w:numId w:val="2"/>
      </w:numPr>
      <w:spacing w:line="360" w:lineRule="exact"/>
      <w:outlineLvl w:val="2"/>
    </w:pPr>
    <w:rPr>
      <w:rFonts w:ascii="宋体" w:hAnsi="宋体"/>
      <w:sz w:val="21"/>
      <w:szCs w:val="20"/>
    </w:rPr>
  </w:style>
  <w:style w:type="paragraph" w:customStyle="1" w:styleId="37">
    <w:name w:val="前言、引言标题"/>
    <w:next w:val="1"/>
    <w:autoRedefine/>
    <w:qFormat/>
    <w:uiPriority w:val="99"/>
    <w:p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38">
    <w:name w:val="样式 宋体 行距: 1.5 倍行距"/>
    <w:basedOn w:val="1"/>
    <w:autoRedefine/>
    <w:qFormat/>
    <w:uiPriority w:val="0"/>
    <w:pPr>
      <w:widowControl w:val="0"/>
      <w:numPr>
        <w:ilvl w:val="0"/>
        <w:numId w:val="3"/>
      </w:numPr>
      <w:spacing w:line="360" w:lineRule="auto"/>
      <w:jc w:val="both"/>
    </w:pPr>
    <w:rPr>
      <w:rFonts w:ascii="宋体" w:hAnsi="宋体" w:cs="宋体"/>
      <w:kern w:val="2"/>
      <w:sz w:val="21"/>
      <w:szCs w:val="20"/>
    </w:rPr>
  </w:style>
  <w:style w:type="paragraph" w:customStyle="1" w:styleId="39">
    <w:name w:val="前言标题"/>
    <w:basedOn w:val="1"/>
    <w:autoRedefine/>
    <w:qFormat/>
    <w:uiPriority w:val="0"/>
    <w:pPr>
      <w:widowControl w:val="0"/>
      <w:numPr>
        <w:ilvl w:val="0"/>
        <w:numId w:val="2"/>
      </w:numPr>
      <w:adjustRightInd w:val="0"/>
      <w:spacing w:line="312" w:lineRule="atLeast"/>
      <w:jc w:val="both"/>
      <w:textAlignment w:val="baseline"/>
    </w:pPr>
    <w:rPr>
      <w:rFonts w:ascii="CG Times (W1)" w:hAnsi="CG Times (W1)" w:eastAsia="仿宋_GB2312" w:cs="CG Times (W1)"/>
      <w:sz w:val="30"/>
      <w:szCs w:val="30"/>
    </w:rPr>
  </w:style>
  <w:style w:type="paragraph" w:customStyle="1" w:styleId="40">
    <w:name w:val="标准文件_四级条标题"/>
    <w:basedOn w:val="1"/>
    <w:autoRedefine/>
    <w:qFormat/>
    <w:uiPriority w:val="0"/>
    <w:pPr>
      <w:widowControl w:val="0"/>
      <w:numPr>
        <w:ilvl w:val="5"/>
        <w:numId w:val="2"/>
      </w:numPr>
      <w:adjustRightInd w:val="0"/>
      <w:spacing w:line="312" w:lineRule="atLeast"/>
      <w:jc w:val="both"/>
      <w:textAlignment w:val="baseline"/>
    </w:pPr>
    <w:rPr>
      <w:rFonts w:ascii="CG Times (W1)" w:hAnsi="CG Times (W1)" w:eastAsia="仿宋_GB2312" w:cs="CG Times (W1)"/>
      <w:sz w:val="30"/>
      <w:szCs w:val="30"/>
    </w:rPr>
  </w:style>
  <w:style w:type="paragraph" w:customStyle="1" w:styleId="41">
    <w:name w:val="封面正文"/>
    <w:autoRedefine/>
    <w:qFormat/>
    <w:uiPriority w:val="0"/>
    <w:pPr>
      <w:jc w:val="both"/>
    </w:pPr>
    <w:rPr>
      <w:rFonts w:ascii="Times New Roman" w:hAnsi="Times New Roman" w:eastAsia="宋体" w:cs="Times New Roman"/>
      <w:kern w:val="0"/>
      <w:sz w:val="20"/>
      <w:szCs w:val="20"/>
      <w:lang w:val="en-US" w:eastAsia="zh-CN" w:bidi="ar-SA"/>
    </w:rPr>
  </w:style>
  <w:style w:type="paragraph" w:customStyle="1" w:styleId="42">
    <w:name w:val="标准文件_五级条标题"/>
    <w:basedOn w:val="1"/>
    <w:autoRedefine/>
    <w:qFormat/>
    <w:uiPriority w:val="0"/>
    <w:pPr>
      <w:widowControl w:val="0"/>
      <w:numPr>
        <w:ilvl w:val="6"/>
        <w:numId w:val="2"/>
      </w:numPr>
      <w:adjustRightInd w:val="0"/>
      <w:spacing w:line="312" w:lineRule="atLeast"/>
      <w:jc w:val="both"/>
      <w:textAlignment w:val="baseline"/>
    </w:pPr>
    <w:rPr>
      <w:rFonts w:ascii="CG Times (W1)" w:hAnsi="CG Times (W1)" w:eastAsia="仿宋_GB2312" w:cs="CG Times (W1)"/>
      <w:sz w:val="30"/>
      <w:szCs w:val="30"/>
    </w:rPr>
  </w:style>
  <w:style w:type="paragraph" w:customStyle="1" w:styleId="43">
    <w:name w:val="Char Char Char Char"/>
    <w:basedOn w:val="1"/>
    <w:autoRedefine/>
    <w:qFormat/>
    <w:uiPriority w:val="0"/>
    <w:pPr>
      <w:widowControl w:val="0"/>
      <w:spacing w:beforeLines="100" w:afterLines="50" w:line="600" w:lineRule="exact"/>
      <w:ind w:firstLine="200" w:firstLineChars="200"/>
      <w:jc w:val="both"/>
    </w:pPr>
    <w:rPr>
      <w:kern w:val="2"/>
      <w:sz w:val="21"/>
    </w:rPr>
  </w:style>
  <w:style w:type="paragraph" w:customStyle="1" w:styleId="44">
    <w:name w:val="三级条标题"/>
    <w:basedOn w:val="45"/>
    <w:next w:val="1"/>
    <w:autoRedefine/>
    <w:qFormat/>
    <w:uiPriority w:val="99"/>
    <w:pPr>
      <w:ind w:left="735"/>
      <w:outlineLvl w:val="4"/>
    </w:pPr>
  </w:style>
  <w:style w:type="paragraph" w:customStyle="1" w:styleId="45">
    <w:name w:val="二级条标题"/>
    <w:basedOn w:val="27"/>
    <w:next w:val="1"/>
    <w:autoRedefine/>
    <w:qFormat/>
    <w:uiPriority w:val="99"/>
    <w:pPr>
      <w:jc w:val="left"/>
      <w:outlineLvl w:val="3"/>
    </w:pPr>
    <w:rPr>
      <w:rFonts w:ascii="Times New Roman"/>
    </w:rPr>
  </w:style>
  <w:style w:type="paragraph" w:customStyle="1" w:styleId="46">
    <w:name w:val="标准文件_正文表标题"/>
    <w:next w:val="1"/>
    <w:autoRedefine/>
    <w:qFormat/>
    <w:uiPriority w:val="0"/>
    <w:pPr>
      <w:tabs>
        <w:tab w:val="left" w:pos="0"/>
      </w:tabs>
      <w:jc w:val="center"/>
    </w:pPr>
    <w:rPr>
      <w:rFonts w:ascii="黑体" w:hAnsi="Times New Roman" w:eastAsia="黑体" w:cs="Times New Roman"/>
      <w:kern w:val="0"/>
      <w:sz w:val="21"/>
      <w:szCs w:val="20"/>
      <w:lang w:val="en-US" w:eastAsia="zh-CN" w:bidi="ar-SA"/>
    </w:rPr>
  </w:style>
  <w:style w:type="paragraph" w:customStyle="1" w:styleId="47">
    <w:name w:val="五级条标题"/>
    <w:basedOn w:val="48"/>
    <w:next w:val="1"/>
    <w:autoRedefine/>
    <w:qFormat/>
    <w:uiPriority w:val="99"/>
    <w:pPr>
      <w:outlineLvl w:val="6"/>
    </w:pPr>
  </w:style>
  <w:style w:type="paragraph" w:customStyle="1" w:styleId="48">
    <w:name w:val="四级条标题"/>
    <w:basedOn w:val="44"/>
    <w:next w:val="1"/>
    <w:autoRedefine/>
    <w:qFormat/>
    <w:uiPriority w:val="99"/>
    <w:pPr>
      <w:ind w:left="0"/>
      <w:outlineLvl w:val="5"/>
    </w:pPr>
  </w:style>
  <w:style w:type="paragraph" w:customStyle="1" w:styleId="49">
    <w:name w:val="标准文件_章标题"/>
    <w:basedOn w:val="1"/>
    <w:autoRedefine/>
    <w:qFormat/>
    <w:uiPriority w:val="0"/>
    <w:pPr>
      <w:widowControl w:val="0"/>
      <w:numPr>
        <w:ilvl w:val="1"/>
        <w:numId w:val="2"/>
      </w:numPr>
      <w:adjustRightInd w:val="0"/>
      <w:spacing w:line="312" w:lineRule="atLeast"/>
      <w:jc w:val="both"/>
      <w:textAlignment w:val="baseline"/>
    </w:pPr>
    <w:rPr>
      <w:rFonts w:ascii="CG Times (W1)" w:hAnsi="CG Times (W1)" w:eastAsia="仿宋_GB2312" w:cs="CG Times (W1)"/>
      <w:sz w:val="30"/>
      <w:szCs w:val="30"/>
    </w:rPr>
  </w:style>
  <w:style w:type="paragraph" w:customStyle="1" w:styleId="50">
    <w:name w:val="标准文件_三级条标题"/>
    <w:basedOn w:val="1"/>
    <w:autoRedefine/>
    <w:qFormat/>
    <w:uiPriority w:val="0"/>
    <w:pPr>
      <w:widowControl w:val="0"/>
      <w:numPr>
        <w:ilvl w:val="4"/>
        <w:numId w:val="2"/>
      </w:numPr>
      <w:adjustRightInd w:val="0"/>
      <w:spacing w:line="312" w:lineRule="atLeast"/>
      <w:jc w:val="both"/>
      <w:textAlignment w:val="baseline"/>
    </w:pPr>
    <w:rPr>
      <w:rFonts w:ascii="CG Times (W1)" w:hAnsi="CG Times (W1)" w:eastAsia="仿宋_GB2312" w:cs="CG Times (W1)"/>
      <w:sz w:val="30"/>
      <w:szCs w:val="30"/>
    </w:rPr>
  </w:style>
  <w:style w:type="paragraph" w:customStyle="1" w:styleId="51">
    <w:name w:val="彩色底纹 - 强调文字颜色 11"/>
    <w:autoRedefine/>
    <w:semiHidden/>
    <w:qFormat/>
    <w:uiPriority w:val="99"/>
    <w:rPr>
      <w:rFonts w:ascii="Times New Roman" w:hAnsi="Times New Roman" w:eastAsia="宋体" w:cs="Times New Roman"/>
      <w:kern w:val="2"/>
      <w:sz w:val="21"/>
      <w:szCs w:val="24"/>
      <w:lang w:val="en-US" w:eastAsia="zh-CN" w:bidi="ar-SA"/>
    </w:rPr>
  </w:style>
  <w:style w:type="paragraph" w:customStyle="1" w:styleId="52">
    <w:name w:val="附录标识"/>
    <w:basedOn w:val="37"/>
    <w:autoRedefine/>
    <w:qFormat/>
    <w:uiPriority w:val="0"/>
    <w:pPr>
      <w:numPr>
        <w:ilvl w:val="0"/>
        <w:numId w:val="4"/>
      </w:numPr>
      <w:tabs>
        <w:tab w:val="left" w:pos="6405"/>
      </w:tabs>
      <w:spacing w:after="200"/>
    </w:pPr>
    <w:rPr>
      <w:sz w:val="21"/>
    </w:rPr>
  </w:style>
  <w:style w:type="paragraph" w:customStyle="1" w:styleId="53">
    <w:name w:val="Char Char Char Char Char Char Char Char Char Char"/>
    <w:basedOn w:val="1"/>
    <w:autoRedefine/>
    <w:qFormat/>
    <w:uiPriority w:val="0"/>
    <w:pPr>
      <w:spacing w:after="160" w:line="240" w:lineRule="exact"/>
    </w:pPr>
    <w:rPr>
      <w:rFonts w:ascii="Arial" w:hAnsi="Arial" w:cs="Arial"/>
      <w:b/>
      <w:bCs/>
      <w:lang w:eastAsia="en-US"/>
    </w:rPr>
  </w:style>
  <w:style w:type="paragraph" w:customStyle="1" w:styleId="54">
    <w:name w:val="章标题"/>
    <w:next w:val="1"/>
    <w:autoRedefine/>
    <w:qFormat/>
    <w:uiPriority w:val="0"/>
    <w:p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55">
    <w:name w:val="目次、标准名称标题"/>
    <w:basedOn w:val="37"/>
    <w:next w:val="26"/>
    <w:autoRedefine/>
    <w:qFormat/>
    <w:uiPriority w:val="99"/>
    <w:pPr>
      <w:numPr>
        <w:ilvl w:val="0"/>
        <w:numId w:val="5"/>
      </w:numPr>
      <w:spacing w:line="460" w:lineRule="exact"/>
    </w:pPr>
  </w:style>
  <w:style w:type="paragraph" w:customStyle="1" w:styleId="56">
    <w:name w:val="Char Char Char"/>
    <w:basedOn w:val="1"/>
    <w:autoRedefine/>
    <w:qFormat/>
    <w:uiPriority w:val="0"/>
    <w:pPr>
      <w:spacing w:after="160" w:line="240" w:lineRule="exact"/>
    </w:pPr>
    <w:rPr>
      <w:rFonts w:ascii="Verdana" w:hAnsi="Verdana"/>
      <w:sz w:val="20"/>
      <w:szCs w:val="20"/>
      <w:lang w:eastAsia="en-US"/>
    </w:rPr>
  </w:style>
  <w:style w:type="character" w:customStyle="1" w:styleId="57">
    <w:name w:val="段 Char"/>
    <w:autoRedefine/>
    <w:qFormat/>
    <w:uiPriority w:val="0"/>
    <w:rPr>
      <w:rFonts w:ascii="宋体"/>
      <w:sz w:val="21"/>
      <w:lang w:val="en-US" w:eastAsia="zh-CN" w:bidi="ar-SA"/>
    </w:rPr>
  </w:style>
  <w:style w:type="character" w:customStyle="1" w:styleId="58">
    <w:name w:val="fontstyle01"/>
    <w:autoRedefine/>
    <w:qFormat/>
    <w:uiPriority w:val="0"/>
    <w:rPr>
      <w:rFonts w:hint="eastAsia" w:ascii="宋体" w:hAnsi="宋体" w:eastAsia="宋体"/>
      <w:color w:val="000000"/>
      <w:sz w:val="22"/>
      <w:szCs w:val="22"/>
    </w:rPr>
  </w:style>
  <w:style w:type="paragraph" w:styleId="59">
    <w:name w:val="List Paragraph"/>
    <w:basedOn w:val="1"/>
    <w:autoRedefine/>
    <w:qFormat/>
    <w:uiPriority w:val="34"/>
    <w:pPr>
      <w:widowControl w:val="0"/>
      <w:ind w:firstLine="420" w:firstLineChars="200"/>
      <w:jc w:val="both"/>
    </w:pPr>
    <w:rPr>
      <w:kern w:val="2"/>
      <w:sz w:val="21"/>
    </w:rPr>
  </w:style>
  <w:style w:type="paragraph" w:customStyle="1" w:styleId="60">
    <w:name w:val="附录五级条标题"/>
    <w:basedOn w:val="61"/>
    <w:next w:val="26"/>
    <w:autoRedefine/>
    <w:qFormat/>
    <w:uiPriority w:val="0"/>
    <w:pPr>
      <w:outlineLvl w:val="6"/>
    </w:pPr>
  </w:style>
  <w:style w:type="paragraph" w:customStyle="1" w:styleId="61">
    <w:name w:val="附录四级条标题"/>
    <w:basedOn w:val="62"/>
    <w:next w:val="26"/>
    <w:autoRedefine/>
    <w:qFormat/>
    <w:uiPriority w:val="0"/>
    <w:pPr>
      <w:outlineLvl w:val="5"/>
    </w:pPr>
  </w:style>
  <w:style w:type="paragraph" w:customStyle="1" w:styleId="62">
    <w:name w:val="附录三级条标题"/>
    <w:basedOn w:val="63"/>
    <w:next w:val="26"/>
    <w:autoRedefine/>
    <w:qFormat/>
    <w:uiPriority w:val="0"/>
    <w:pPr>
      <w:outlineLvl w:val="4"/>
    </w:pPr>
  </w:style>
  <w:style w:type="paragraph" w:customStyle="1" w:styleId="63">
    <w:name w:val="附录二级条标题"/>
    <w:basedOn w:val="64"/>
    <w:next w:val="26"/>
    <w:autoRedefine/>
    <w:qFormat/>
    <w:uiPriority w:val="0"/>
    <w:pPr>
      <w:ind w:left="0"/>
      <w:outlineLvl w:val="3"/>
    </w:pPr>
  </w:style>
  <w:style w:type="paragraph" w:customStyle="1" w:styleId="64">
    <w:name w:val="附录一级条标题"/>
    <w:basedOn w:val="65"/>
    <w:next w:val="26"/>
    <w:autoRedefine/>
    <w:qFormat/>
    <w:uiPriority w:val="0"/>
    <w:pPr>
      <w:autoSpaceDN w:val="0"/>
      <w:spacing w:beforeLines="0" w:afterLines="0"/>
      <w:ind w:left="851"/>
      <w:outlineLvl w:val="2"/>
    </w:pPr>
  </w:style>
  <w:style w:type="paragraph" w:customStyle="1" w:styleId="65">
    <w:name w:val="附录章标题"/>
    <w:next w:val="2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66">
    <w:name w:val="封面标准英文名称"/>
    <w:autoRedefine/>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67">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68">
    <w:name w:val="fontstyle11"/>
    <w:basedOn w:val="15"/>
    <w:autoRedefine/>
    <w:qFormat/>
    <w:uiPriority w:val="0"/>
    <w:rPr>
      <w:rFonts w:hint="default" w:ascii="TimesNewRomanPSMT" w:hAnsi="TimesNewRomanPSMT"/>
      <w:color w:val="000000"/>
      <w:sz w:val="22"/>
      <w:szCs w:val="22"/>
    </w:rPr>
  </w:style>
  <w:style w:type="character" w:customStyle="1" w:styleId="69">
    <w:name w:val="fontstyle31"/>
    <w:basedOn w:val="15"/>
    <w:autoRedefine/>
    <w:qFormat/>
    <w:uiPriority w:val="0"/>
    <w:rPr>
      <w:rFonts w:hint="eastAsia" w:ascii="宋体" w:hAnsi="宋体" w:eastAsia="宋体"/>
      <w:color w:val="000000"/>
      <w:sz w:val="22"/>
      <w:szCs w:val="22"/>
    </w:rPr>
  </w:style>
  <w:style w:type="character" w:customStyle="1" w:styleId="70">
    <w:name w:val="正文文本缩进 2 字符"/>
    <w:basedOn w:val="15"/>
    <w:link w:val="6"/>
    <w:autoRedefine/>
    <w:qFormat/>
    <w:uiPriority w:val="0"/>
    <w:rPr>
      <w:rFonts w:ascii="Times New Roman" w:hAnsi="Times New Roman" w:eastAsia="宋体" w:cs="Times New Roman"/>
      <w:kern w:val="0"/>
      <w:sz w:val="24"/>
      <w:szCs w:val="24"/>
    </w:rPr>
  </w:style>
  <w:style w:type="character" w:customStyle="1" w:styleId="71">
    <w:name w:val="Unresolved Mention"/>
    <w:basedOn w:val="15"/>
    <w:autoRedefine/>
    <w:semiHidden/>
    <w:unhideWhenUsed/>
    <w:qFormat/>
    <w:uiPriority w:val="99"/>
    <w:rPr>
      <w:color w:val="605E5C"/>
      <w:shd w:val="clear" w:color="auto" w:fill="E1DFDD"/>
    </w:rPr>
  </w:style>
  <w:style w:type="table" w:customStyle="1" w:styleId="72">
    <w:name w:val="Grid Table 1 Light"/>
    <w:basedOn w:val="12"/>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73">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74">
    <w:name w:val="Revision"/>
    <w:autoRedefine/>
    <w:hidden/>
    <w:semiHidden/>
    <w:qFormat/>
    <w:uiPriority w:val="99"/>
    <w:rPr>
      <w:rFonts w:ascii="Times New Roman" w:hAnsi="Times New Roman" w:eastAsia="宋体" w:cs="Times New Roman"/>
      <w:kern w:val="0"/>
      <w:sz w:val="24"/>
      <w:szCs w:val="24"/>
      <w:lang w:val="en-US" w:eastAsia="zh-CN" w:bidi="ar-SA"/>
    </w:rPr>
  </w:style>
  <w:style w:type="character" w:styleId="75">
    <w:name w:val="Placeholder Text"/>
    <w:basedOn w:val="15"/>
    <w:autoRedefine/>
    <w:semiHidden/>
    <w:qFormat/>
    <w:uiPriority w:val="99"/>
    <w:rPr>
      <w:color w:val="808080"/>
    </w:rPr>
  </w:style>
  <w:style w:type="character" w:customStyle="1" w:styleId="76">
    <w:name w:val="font11"/>
    <w:basedOn w:val="15"/>
    <w:autoRedefine/>
    <w:qFormat/>
    <w:uiPriority w:val="0"/>
    <w:rPr>
      <w:rFonts w:hint="eastAsia" w:ascii="宋体" w:hAnsi="宋体" w:eastAsia="宋体" w:cs="宋体"/>
      <w:color w:val="000000"/>
      <w:sz w:val="22"/>
      <w:szCs w:val="22"/>
      <w:u w:val="none"/>
    </w:rPr>
  </w:style>
  <w:style w:type="paragraph" w:customStyle="1" w:styleId="77">
    <w:name w:val="Table Text"/>
    <w:basedOn w:val="1"/>
    <w:autoRedefine/>
    <w:semiHidden/>
    <w:qFormat/>
    <w:uiPriority w:val="0"/>
    <w:rPr>
      <w:rFonts w:ascii="宋体" w:hAnsi="宋体" w:eastAsia="宋体" w:cs="宋体"/>
      <w:sz w:val="18"/>
      <w:szCs w:val="18"/>
      <w:lang w:val="en-US" w:eastAsia="en-US" w:bidi="ar-SA"/>
    </w:rPr>
  </w:style>
  <w:style w:type="table" w:customStyle="1" w:styleId="78">
    <w:name w:val="Table Normal"/>
    <w:autoRedefine/>
    <w:semiHidden/>
    <w:unhideWhenUsed/>
    <w:qFormat/>
    <w:uiPriority w:val="0"/>
    <w:tblPr>
      <w:tblCellMar>
        <w:top w:w="0" w:type="dxa"/>
        <w:left w:w="0" w:type="dxa"/>
        <w:bottom w:w="0" w:type="dxa"/>
        <w:right w:w="0" w:type="dxa"/>
      </w:tblCellMar>
    </w:tblPr>
  </w:style>
  <w:style w:type="character" w:customStyle="1" w:styleId="79">
    <w:name w:val="font41"/>
    <w:basedOn w:val="15"/>
    <w:autoRedefine/>
    <w:qFormat/>
    <w:uiPriority w:val="0"/>
    <w:rPr>
      <w:rFonts w:hint="default" w:ascii="Times New Roman" w:hAnsi="Times New Roman" w:cs="Times New Roman"/>
      <w:color w:val="000000"/>
      <w:sz w:val="21"/>
      <w:szCs w:val="21"/>
      <w:u w:val="none"/>
    </w:rPr>
  </w:style>
  <w:style w:type="character" w:customStyle="1" w:styleId="80">
    <w:name w:val="font21"/>
    <w:basedOn w:val="15"/>
    <w:autoRedefine/>
    <w:qFormat/>
    <w:uiPriority w:val="0"/>
    <w:rPr>
      <w:rFonts w:hint="eastAsia" w:ascii="宋体" w:hAnsi="宋体" w:eastAsia="宋体" w:cs="宋体"/>
      <w:color w:val="000000"/>
      <w:sz w:val="21"/>
      <w:szCs w:val="21"/>
      <w:u w:val="none"/>
    </w:rPr>
  </w:style>
  <w:style w:type="character" w:customStyle="1" w:styleId="81">
    <w:name w:val="font51"/>
    <w:basedOn w:val="15"/>
    <w:autoRedefine/>
    <w:qFormat/>
    <w:uiPriority w:val="0"/>
    <w:rPr>
      <w:rFonts w:hint="default" w:ascii="Times New Roman" w:hAnsi="Times New Roman" w:cs="Times New Roman"/>
      <w:color w:val="000000"/>
      <w:sz w:val="18"/>
      <w:szCs w:val="18"/>
      <w:u w:val="none"/>
    </w:rPr>
  </w:style>
  <w:style w:type="character" w:customStyle="1" w:styleId="82">
    <w:name w:val="font71"/>
    <w:basedOn w:val="15"/>
    <w:autoRedefine/>
    <w:qFormat/>
    <w:uiPriority w:val="0"/>
    <w:rPr>
      <w:rFonts w:hint="eastAsia" w:ascii="宋体" w:hAnsi="宋体" w:eastAsia="宋体" w:cs="宋体"/>
      <w:b/>
      <w:bCs/>
      <w:color w:val="FF0000"/>
      <w:sz w:val="21"/>
      <w:szCs w:val="21"/>
      <w:u w:val="none"/>
    </w:rPr>
  </w:style>
  <w:style w:type="character" w:customStyle="1" w:styleId="83">
    <w:name w:val="font61"/>
    <w:basedOn w:val="15"/>
    <w:autoRedefine/>
    <w:qFormat/>
    <w:uiPriority w:val="0"/>
    <w:rPr>
      <w:rFonts w:hint="default" w:ascii="Times New Roman" w:hAnsi="Times New Roman" w:cs="Times New Roman"/>
      <w:b/>
      <w:bCs/>
      <w:color w:val="FF0000"/>
      <w:sz w:val="21"/>
      <w:szCs w:val="21"/>
      <w:u w:val="none"/>
    </w:rPr>
  </w:style>
  <w:style w:type="character" w:customStyle="1" w:styleId="84">
    <w:name w:val="font31"/>
    <w:basedOn w:val="15"/>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E7CAF-0FA1-4268-81C3-350D6BF3EF95}">
  <ds:schemaRefs/>
</ds:datastoreItem>
</file>

<file path=docProps/app.xml><?xml version="1.0" encoding="utf-8"?>
<Properties xmlns="http://schemas.openxmlformats.org/officeDocument/2006/extended-properties" xmlns:vt="http://schemas.openxmlformats.org/officeDocument/2006/docPropsVTypes">
  <Template>Normal</Template>
  <Pages>8</Pages>
  <Words>972</Words>
  <Characters>5547</Characters>
  <Lines>46</Lines>
  <Paragraphs>13</Paragraphs>
  <TotalTime>3</TotalTime>
  <ScaleCrop>false</ScaleCrop>
  <LinksUpToDate>false</LinksUpToDate>
  <CharactersWithSpaces>6506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2023-03-06T03:24:00Z</dcterms:created>
  <dc:creator>Windows 用户</dc:creator>
  <cp:lastModifiedBy>演示人</cp:lastModifiedBy>
  <cp:lastPrinted>2022-11-05T14:54:00Z</cp:lastPrinted>
  <dcterms:modified xsi:type="dcterms:W3CDTF">2024-03-29T09:32:55Z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237A65E60B7A42B6A8519EC4B0E8FD15_12</vt:lpwstr>
  </property>
</Properties>
</file>