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shd w:val="clear" w:color="auto" w:fill="auto"/>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shd w:val="clear" w:color="auto" w:fill="auto"/>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77.150.99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shd w:val="clear" w:color="auto" w:fill="auto"/>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shd w:val="clear" w:color="auto" w:fill="auto"/>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H82</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3"/>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9"/>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YS/T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840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200"/>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YS/T 840</w:t>
      </w:r>
      <w:r>
        <w:rPr>
          <w:rFonts w:hint="eastAsia" w:hAnsi="黑体"/>
          <w:lang w:val="fr-FR"/>
        </w:rPr>
        <w:t>—2</w:t>
      </w:r>
      <w:r>
        <w:rPr>
          <w:rFonts w:hAnsi="黑体"/>
          <w:lang w:val="fr-FR"/>
        </w:rPr>
        <w:t>012</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lang w:val="fr-FR"/>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再生硅料</w:t>
      </w:r>
      <w:r>
        <w:fldChar w:fldCharType="end"/>
      </w:r>
      <w:bookmarkEnd w:id="9"/>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Recycling silicon material</w:t>
      </w:r>
      <w:r>
        <w:rPr>
          <w:rFonts w:eastAsia="黑体"/>
          <w:szCs w:val="28"/>
        </w:rPr>
        <w:fldChar w:fldCharType="end"/>
      </w:r>
      <w:bookmarkEnd w:id="10"/>
    </w:p>
    <w:p>
      <w:pPr>
        <w:pStyle w:val="129"/>
        <w:framePr w:w="9639" w:h="6974" w:hRule="exact" w:wrap="around" w:vAnchor="page" w:hAnchor="page" w:x="1419" w:y="6408" w:anchorLock="1"/>
        <w:spacing w:before="440" w:after="160"/>
        <w:textAlignment w:val="bottom"/>
        <w:rPr>
          <w:sz w:val="24"/>
          <w:szCs w:val="28"/>
        </w:rPr>
      </w:pPr>
      <w:r>
        <w:rPr>
          <w:rFonts w:hint="eastAsia"/>
          <w:sz w:val="24"/>
          <w:szCs w:val="28"/>
          <w:lang w:val="en-US" w:eastAsia="zh-CN"/>
        </w:rPr>
        <w:t>送审稿</w:t>
      </w:r>
      <w:bookmarkStart w:id="54" w:name="_GoBack"/>
      <w:bookmarkEnd w:id="54"/>
      <w:r>
        <w:rPr>
          <w:sz w:val="24"/>
          <w:szCs w:val="28"/>
        </w:rPr>
        <w:fldChar w:fldCharType="begin">
          <w:ffData>
            <w:name w:val="下拉1"/>
            <w:enabled/>
            <w:calcOnExit w:val="0"/>
            <w:ddList>
              <w:listEntry w:val=" "/>
              <w:listEntry w:val="草案版次选择"/>
              <w:listEntry w:val="（工作组讨论稿）"/>
              <w:listEntry w:val="（送审稿）"/>
              <w:listEntry w:val="（报批稿）"/>
              <w:listEntry w:val="（征求意见稿）"/>
              <w:listEntry w:val="（送审讨论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9"/>
        <w:framePr w:w="9639" w:h="6974" w:hRule="exact" w:wrap="around" w:vAnchor="page" w:hAnchor="page" w:x="1419" w:y="6408" w:anchorLock="1"/>
        <w:spacing w:before="720" w:beforeLines="300" w:after="72" w:afterLines="30" w:line="240" w:lineRule="auto"/>
        <w:textAlignment w:val="bottom"/>
        <w:rPr>
          <w:b/>
          <w:sz w:val="21"/>
          <w:szCs w:val="28"/>
        </w:rPr>
      </w:pPr>
    </w:p>
    <w:p>
      <w:pPr>
        <w:pStyle w:val="197"/>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18"/>
      <w:r>
        <w:rPr>
          <w:rFonts w:ascii="Times New Roman"/>
          <w:w w:val="100"/>
          <w:sz w:val="28"/>
          <w:szCs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before="900" w:after="360"/>
      </w:pPr>
      <w:bookmarkStart w:id="19" w:name="BookMark2"/>
      <w:r>
        <w:rPr>
          <w:spacing w:val="320"/>
        </w:rPr>
        <w:t>前</w:t>
      </w:r>
      <w:r>
        <w:t>言</w:t>
      </w:r>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本文件代替YS/T 840-2012《再生硅料分类和技术条件》，与YS/T 840-2012《再生硅料分类和技术条件》相比，除结构调整和编辑性改动外，主要技术变化如下：</w:t>
      </w:r>
    </w:p>
    <w:p>
      <w:pPr>
        <w:pStyle w:val="178"/>
      </w:pPr>
      <w:bookmarkStart w:id="20" w:name="_Hlk162968088"/>
      <w:bookmarkStart w:id="21" w:name="_Hlk140156905"/>
      <w:r>
        <w:rPr>
          <w:rFonts w:hint="eastAsia"/>
        </w:rPr>
        <w:t>更改了文件名称，将“再生硅料分类和技术条件”更改为“再生硅料”；将英文名称“</w:t>
      </w:r>
      <w:r>
        <w:t>Classification and technical specification for renewable crystal silicon</w:t>
      </w:r>
      <w:r>
        <w:rPr>
          <w:rFonts w:hint="eastAsia"/>
        </w:rPr>
        <w:t>”更改为“</w:t>
      </w:r>
      <w:r>
        <w:t>Recycling silicon material</w:t>
      </w:r>
      <w:r>
        <w:rPr>
          <w:rFonts w:hint="eastAsia"/>
        </w:rPr>
        <w:t>”</w:t>
      </w:r>
      <w:bookmarkEnd w:id="20"/>
      <w:r>
        <w:rPr>
          <w:rFonts w:hint="eastAsia"/>
        </w:rPr>
        <w:t>；</w:t>
      </w:r>
    </w:p>
    <w:p>
      <w:pPr>
        <w:pStyle w:val="178"/>
      </w:pPr>
      <w:r>
        <w:rPr>
          <w:rFonts w:hint="eastAsia"/>
        </w:rPr>
        <w:t>更改了再生硅料类别，增加切片废料、墩埚料、沫子料、回收单晶料、多晶粉料，检测样棒、提纯硅料，修改单晶硅头尾料描述（见第1章）；</w:t>
      </w:r>
    </w:p>
    <w:p>
      <w:pPr>
        <w:pStyle w:val="178"/>
      </w:pPr>
      <w:bookmarkStart w:id="22" w:name="_Hlk150428992"/>
      <w:r>
        <w:rPr>
          <w:rFonts w:hint="eastAsia"/>
        </w:rPr>
        <w:t>更改了规范性引用文件中的GB/T</w:t>
      </w:r>
      <w:r>
        <w:t xml:space="preserve"> </w:t>
      </w:r>
      <w:r>
        <w:rPr>
          <w:rFonts w:hint="eastAsia"/>
        </w:rPr>
        <w:t>155</w:t>
      </w:r>
      <w:r>
        <w:t>1</w:t>
      </w:r>
      <w:r>
        <w:rPr>
          <w:rFonts w:hint="eastAsia"/>
        </w:rPr>
        <w:t>和</w:t>
      </w:r>
      <w:r>
        <w:t>GB/T 24581</w:t>
      </w:r>
      <w:r>
        <w:rPr>
          <w:rFonts w:hint="eastAsia"/>
        </w:rPr>
        <w:t>，删除了GB/T 24574、GB/T 24579、GB/T 24581、GB/T 24582和S</w:t>
      </w:r>
      <w:r>
        <w:t>EMI PV1</w:t>
      </w:r>
      <w:r>
        <w:rPr>
          <w:rFonts w:hint="eastAsia"/>
        </w:rPr>
        <w:t>，增加了</w:t>
      </w:r>
      <w:r>
        <w:t>GB/T 31854</w:t>
      </w:r>
      <w:bookmarkEnd w:id="22"/>
      <w:r>
        <w:rPr>
          <w:rFonts w:hint="eastAsia"/>
        </w:rPr>
        <w:t>（见第2章）；</w:t>
      </w:r>
    </w:p>
    <w:p>
      <w:pPr>
        <w:pStyle w:val="178"/>
      </w:pPr>
      <w:r>
        <w:rPr>
          <w:rFonts w:hint="eastAsia"/>
        </w:rPr>
        <w:t>更改了单晶硅头尾料、埚底料、晶体硅样块和原生型废硅片定义，增加边皮料、切片废料、墩埚料、沫子料、回用料、多晶粉料、检测样棒、提纯硅料的定义（见第3章）；</w:t>
      </w:r>
    </w:p>
    <w:p>
      <w:pPr>
        <w:pStyle w:val="178"/>
      </w:pPr>
      <w:bookmarkStart w:id="23" w:name="_Hlk150429028"/>
      <w:r>
        <w:rPr>
          <w:rFonts w:hint="eastAsia"/>
        </w:rPr>
        <w:t>合并2</w:t>
      </w:r>
      <w:r>
        <w:t>012</w:t>
      </w:r>
      <w:r>
        <w:rPr>
          <w:rFonts w:hint="eastAsia"/>
        </w:rPr>
        <w:t>版表1和表2，删除受主杂质浓度和施主杂质浓度要求，新增线性尺寸要求，更改了电阻率和碳含量要求</w:t>
      </w:r>
      <w:bookmarkEnd w:id="23"/>
      <w:r>
        <w:rPr>
          <w:rFonts w:hint="eastAsia"/>
        </w:rPr>
        <w:t>；（见第4</w:t>
      </w:r>
      <w:r>
        <w:t>.1</w:t>
      </w:r>
      <w:r>
        <w:rPr>
          <w:rFonts w:hint="eastAsia"/>
        </w:rPr>
        <w:t>表1）；</w:t>
      </w:r>
    </w:p>
    <w:p>
      <w:pPr>
        <w:pStyle w:val="178"/>
      </w:pPr>
      <w:r>
        <w:rPr>
          <w:rFonts w:hint="eastAsia"/>
        </w:rPr>
        <w:t>更改了再生硅料的尺寸范围要求（见2</w:t>
      </w:r>
      <w:r>
        <w:t>012</w:t>
      </w:r>
      <w:r>
        <w:rPr>
          <w:rFonts w:hint="eastAsia"/>
        </w:rPr>
        <w:t>版第4</w:t>
      </w:r>
      <w:r>
        <w:t>.2</w:t>
      </w:r>
      <w:r>
        <w:rPr>
          <w:rFonts w:hint="eastAsia"/>
        </w:rPr>
        <w:t>）；</w:t>
      </w:r>
    </w:p>
    <w:p>
      <w:pPr>
        <w:pStyle w:val="178"/>
      </w:pPr>
      <w:r>
        <w:rPr>
          <w:rFonts w:hint="eastAsia"/>
        </w:rPr>
        <w:t>更改了组批规定；（见第6</w:t>
      </w:r>
      <w:r>
        <w:t>.2</w:t>
      </w:r>
      <w:r>
        <w:rPr>
          <w:rFonts w:hint="eastAsia"/>
        </w:rPr>
        <w:t>）；</w:t>
      </w:r>
    </w:p>
    <w:p>
      <w:pPr>
        <w:pStyle w:val="178"/>
      </w:pPr>
      <w:r>
        <w:rPr>
          <w:rFonts w:hint="eastAsia"/>
        </w:rPr>
        <w:t>更改了检验项目的描述和检验项目；（见第6</w:t>
      </w:r>
      <w:r>
        <w:t>.3</w:t>
      </w:r>
      <w:r>
        <w:rPr>
          <w:rFonts w:hint="eastAsia"/>
        </w:rPr>
        <w:t>）</w:t>
      </w:r>
    </w:p>
    <w:p>
      <w:pPr>
        <w:pStyle w:val="178"/>
      </w:pPr>
      <w:r>
        <w:rPr>
          <w:rFonts w:hint="eastAsia"/>
        </w:rPr>
        <w:t>新增取样规定；（见第6</w:t>
      </w:r>
      <w:r>
        <w:t>.4</w:t>
      </w:r>
      <w:r>
        <w:rPr>
          <w:rFonts w:hint="eastAsia"/>
        </w:rPr>
        <w:t>）</w:t>
      </w:r>
    </w:p>
    <w:p>
      <w:pPr>
        <w:pStyle w:val="178"/>
      </w:pPr>
      <w:r>
        <w:rPr>
          <w:rFonts w:hint="eastAsia"/>
        </w:rPr>
        <w:t>更改了检验结果判定。（见第6</w:t>
      </w:r>
      <w:r>
        <w:t>.5</w:t>
      </w:r>
      <w:r>
        <w:rPr>
          <w:rFonts w:hint="eastAsia"/>
        </w:rPr>
        <w:t>）。</w:t>
      </w:r>
    </w:p>
    <w:bookmarkEnd w:id="21"/>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本文件由全国半导体设备和材料标准化技术委员会（SAC/TC</w:t>
      </w:r>
      <w:r>
        <w:t xml:space="preserve"> </w:t>
      </w:r>
      <w:r>
        <w:rPr>
          <w:rFonts w:hint="eastAsia"/>
        </w:rPr>
        <w:t>203）与全国半导体设备和材料标准化技术委员会材料分技术委员会（SAC/TC</w:t>
      </w:r>
      <w:r>
        <w:t xml:space="preserve"> </w:t>
      </w:r>
      <w:r>
        <w:rPr>
          <w:rFonts w:hint="eastAsia"/>
        </w:rPr>
        <w:t>203/SC</w:t>
      </w:r>
      <w:r>
        <w:t xml:space="preserve"> </w:t>
      </w:r>
      <w:r>
        <w:rPr>
          <w:rFonts w:hint="eastAsia"/>
        </w:rPr>
        <w:t>2）共同提出并归口。</w:t>
      </w:r>
    </w:p>
    <w:p>
      <w:pPr>
        <w:pStyle w:val="60"/>
        <w:ind w:firstLine="420"/>
      </w:pPr>
      <w:r>
        <w:rPr>
          <w:rFonts w:hint="eastAsia"/>
        </w:rPr>
        <w:t>本文件起草单位：隆基绿能科技股份有限公司、天津中环半导体股份有限公司、弘元新材料有限公司</w:t>
      </w:r>
      <w:r>
        <w:t>……</w:t>
      </w:r>
      <w:r>
        <w:rPr>
          <w:rFonts w:hint="eastAsia"/>
        </w:rPr>
        <w:t>。</w:t>
      </w:r>
    </w:p>
    <w:p>
      <w:pPr>
        <w:pStyle w:val="60"/>
        <w:ind w:firstLine="420"/>
      </w:pPr>
      <w:r>
        <w:rPr>
          <w:rFonts w:hint="eastAsia"/>
        </w:rPr>
        <w:t>本文件主要起草人：邓浩，韩伟，任秀强，杜超</w:t>
      </w:r>
      <w:r>
        <w:t>……</w:t>
      </w:r>
      <w:r>
        <w:rPr>
          <w:rFonts w:hint="eastAsia"/>
        </w:rPr>
        <w:t>。</w:t>
      </w:r>
    </w:p>
    <w:p>
      <w:pPr>
        <w:pStyle w:val="60"/>
        <w:ind w:firstLine="420"/>
        <w:rPr>
          <w:color w:val="0D0D0D"/>
        </w:rPr>
      </w:pPr>
      <w:r>
        <w:rPr>
          <w:rFonts w:hint="eastAsia"/>
          <w:color w:val="0D0D0D"/>
        </w:rPr>
        <w:t>本文件所代替文件的历次版本发布情况为：</w:t>
      </w:r>
    </w:p>
    <w:p>
      <w:pPr>
        <w:pStyle w:val="136"/>
      </w:pPr>
      <w:r>
        <w:t>YS/T 840</w:t>
      </w:r>
      <w:r>
        <w:rPr>
          <w:rFonts w:hint="eastAsia"/>
        </w:rPr>
        <w:t>—</w:t>
      </w:r>
      <w:r>
        <w:t>2012</w:t>
      </w:r>
      <w:r>
        <w:rPr>
          <w:rFonts w:hint="eastAsia"/>
        </w:rPr>
        <w:t>。</w:t>
      </w:r>
    </w:p>
    <w:p>
      <w:pPr>
        <w:pStyle w:val="136"/>
        <w:numPr>
          <w:ilvl w:val="0"/>
          <w:numId w:val="0"/>
        </w:numPr>
        <w:ind w:left="851" w:hanging="426"/>
      </w:pPr>
    </w:p>
    <w:p>
      <w:pPr>
        <w:pStyle w:val="136"/>
        <w:numPr>
          <w:ilvl w:val="0"/>
          <w:numId w:val="0"/>
        </w:numPr>
        <w:ind w:left="851" w:hanging="426"/>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9"/>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140BB6EF64464B64ABC6F60DDB0B4ED4"/>
        </w:placeholder>
      </w:sdtPr>
      <w:sdtContent>
        <w:p>
          <w:pPr>
            <w:pStyle w:val="181"/>
            <w:spacing w:before="240" w:beforeLines="100" w:after="528" w:afterLines="220"/>
          </w:pPr>
          <w:bookmarkStart w:id="25" w:name="NEW_STAND_NAME"/>
          <w:r>
            <w:rPr>
              <w:rFonts w:hint="eastAsia"/>
            </w:rPr>
            <w:t>再生硅料</w:t>
          </w:r>
        </w:p>
      </w:sdtContent>
    </w:sdt>
    <w:bookmarkEnd w:id="25"/>
    <w:p>
      <w:pPr>
        <w:pStyle w:val="108"/>
        <w:spacing w:before="240" w:after="240"/>
      </w:pPr>
      <w:bookmarkStart w:id="26" w:name="_Toc17233325"/>
      <w:bookmarkStart w:id="27" w:name="_Toc26986530"/>
      <w:bookmarkStart w:id="28" w:name="_Toc26718930"/>
      <w:bookmarkStart w:id="29" w:name="_Toc24884218"/>
      <w:bookmarkStart w:id="30" w:name="_Toc17233333"/>
      <w:bookmarkStart w:id="31" w:name="_Toc97195091"/>
      <w:bookmarkStart w:id="32" w:name="_Toc26648465"/>
      <w:bookmarkStart w:id="33" w:name="_Toc26986771"/>
      <w:bookmarkStart w:id="34" w:name="_Toc24884211"/>
      <w:r>
        <w:rPr>
          <w:rFonts w:hint="eastAsia"/>
        </w:rPr>
        <w:t>范围</w:t>
      </w:r>
      <w:bookmarkEnd w:id="26"/>
      <w:bookmarkEnd w:id="27"/>
      <w:bookmarkEnd w:id="28"/>
      <w:bookmarkEnd w:id="29"/>
      <w:bookmarkEnd w:id="30"/>
      <w:bookmarkEnd w:id="31"/>
      <w:bookmarkEnd w:id="32"/>
      <w:bookmarkEnd w:id="33"/>
      <w:bookmarkEnd w:id="34"/>
    </w:p>
    <w:p>
      <w:pPr>
        <w:pStyle w:val="60"/>
        <w:ind w:firstLine="420"/>
      </w:pPr>
      <w:bookmarkStart w:id="35" w:name="_Toc26648466"/>
      <w:bookmarkStart w:id="36" w:name="_Toc17233326"/>
      <w:bookmarkStart w:id="37" w:name="_Toc24884219"/>
      <w:bookmarkStart w:id="38" w:name="_Toc17233334"/>
      <w:bookmarkStart w:id="39" w:name="_Toc24884212"/>
      <w:r>
        <w:rPr>
          <w:rFonts w:hint="eastAsia"/>
        </w:rPr>
        <w:t>本文件规定了再生硅料的技术条件及分类、测试方法、检验规则以及包装、标志、运输、贮存、订货单等。</w:t>
      </w:r>
    </w:p>
    <w:p>
      <w:pPr>
        <w:pStyle w:val="60"/>
        <w:ind w:firstLine="420"/>
      </w:pPr>
      <w:r>
        <w:rPr>
          <w:rFonts w:hint="eastAsia"/>
        </w:rPr>
        <w:t>本文件适用于光伏行业从生产、加工、使用过程中产生的可回收利用的硅料，包括:碳极多晶硅（碳头料）、头尾料、边皮料、切片废料、墩埚料、沫子料、回收单晶料、埚底料、晶体硅样块、检测样棒、原生型废硅片、多晶粉料、提纯硅料等,用于光伏行业单晶或多晶晶体生长。</w:t>
      </w:r>
    </w:p>
    <w:p>
      <w:pPr>
        <w:pStyle w:val="108"/>
        <w:spacing w:before="240" w:after="240"/>
      </w:pPr>
      <w:bookmarkStart w:id="40" w:name="_Toc97195092"/>
      <w:bookmarkStart w:id="41" w:name="_Toc26718931"/>
      <w:bookmarkStart w:id="42" w:name="_Toc269865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0E15A99710AD4B16983CAE2D28CDD0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GB/T 1550  非本征半导体材料导电类型测试方法</w:t>
      </w:r>
    </w:p>
    <w:p>
      <w:pPr>
        <w:pStyle w:val="60"/>
        <w:ind w:firstLine="420"/>
      </w:pPr>
      <w:r>
        <w:rPr>
          <w:rFonts w:hint="eastAsia"/>
        </w:rPr>
        <w:t>GB/T 1551  硅单晶电阻率的测定  直排四探针法和直流两探针法</w:t>
      </w:r>
    </w:p>
    <w:p>
      <w:pPr>
        <w:pStyle w:val="60"/>
        <w:ind w:firstLine="420"/>
      </w:pPr>
      <w:r>
        <w:rPr>
          <w:rFonts w:hint="eastAsia"/>
        </w:rPr>
        <w:t xml:space="preserve">GB/T 1558  硅中代位碳原子含量 </w:t>
      </w:r>
      <w:r>
        <w:t xml:space="preserve"> </w:t>
      </w:r>
      <w:r>
        <w:rPr>
          <w:rFonts w:hint="eastAsia"/>
        </w:rPr>
        <w:t>红外吸收测量方法</w:t>
      </w:r>
    </w:p>
    <w:p>
      <w:pPr>
        <w:pStyle w:val="60"/>
        <w:ind w:firstLine="420"/>
      </w:pPr>
      <w:r>
        <w:rPr>
          <w:rFonts w:hint="eastAsia"/>
        </w:rPr>
        <w:t>GB/T 14264  半导体材料术语</w:t>
      </w:r>
    </w:p>
    <w:p>
      <w:pPr>
        <w:pStyle w:val="60"/>
        <w:ind w:firstLine="420"/>
      </w:pPr>
      <w:r>
        <w:rPr>
          <w:rFonts w:hint="eastAsia"/>
        </w:rPr>
        <w:t>GB/T 3</w:t>
      </w:r>
      <w:r>
        <w:t>1854</w:t>
      </w:r>
      <w:r>
        <w:rPr>
          <w:rFonts w:hint="eastAsia"/>
        </w:rPr>
        <w:t xml:space="preserve">  光伏电池用硅材料中金属杂质含量的电感耦合等离子体质谱测量方法</w:t>
      </w:r>
    </w:p>
    <w:p>
      <w:pPr>
        <w:pStyle w:val="108"/>
        <w:spacing w:before="240" w:after="240"/>
      </w:pPr>
      <w:bookmarkStart w:id="44" w:name="_Toc97195093"/>
      <w:r>
        <w:rPr>
          <w:rFonts w:hint="eastAsia"/>
          <w:szCs w:val="21"/>
        </w:rPr>
        <w:t>术语和定义</w:t>
      </w:r>
      <w:bookmarkEnd w:id="44"/>
    </w:p>
    <w:sdt>
      <w:sdtPr>
        <w:id w:val="-1909835108"/>
        <w:placeholder>
          <w:docPart w:val="5BE6D34524FD43E180F02551684149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5" w:name="_Toc26986532"/>
          <w:bookmarkEnd w:id="45"/>
          <w:r>
            <w:t>GB/T 14264界定的以及下列术语和定义适用于本文件。</w:t>
          </w:r>
        </w:p>
      </w:sdtContent>
    </w:sdt>
    <w:p>
      <w:pPr>
        <w:pStyle w:val="227"/>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bookmarkStart w:id="46" w:name="_Hlk162968341"/>
      <w:r>
        <w:rPr>
          <w:rFonts w:hint="eastAsia" w:ascii="黑体" w:hAnsi="黑体" w:eastAsia="黑体"/>
        </w:rPr>
        <w:t>碳极多晶硅（碳头料）</w:t>
      </w:r>
      <w:r>
        <w:rPr>
          <w:rFonts w:ascii="黑体" w:hAnsi="黑体" w:eastAsia="黑体"/>
        </w:rPr>
        <w:t xml:space="preserve">  carbon end polysilicon</w:t>
      </w:r>
    </w:p>
    <w:p>
      <w:pPr>
        <w:pStyle w:val="60"/>
        <w:ind w:firstLine="420"/>
      </w:pPr>
      <w:r>
        <w:rPr>
          <w:rFonts w:hint="eastAsia"/>
        </w:rPr>
        <w:t>在多晶硅生产过程中，包围在U型多晶硅棒的碳极周围，经清洗等手段分离粘连石墨后的不规则形状多晶硅料。</w:t>
      </w:r>
    </w:p>
    <w:p>
      <w:pPr>
        <w:pStyle w:val="227"/>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头尾料  monocrystal</w:t>
      </w:r>
      <w:r>
        <w:rPr>
          <w:rFonts w:ascii="黑体" w:hAnsi="黑体" w:eastAsia="黑体"/>
        </w:rPr>
        <w:t>l</w:t>
      </w:r>
      <w:r>
        <w:rPr>
          <w:rFonts w:hint="eastAsia" w:ascii="黑体" w:hAnsi="黑体" w:eastAsia="黑体"/>
        </w:rPr>
        <w:t>ine top and tail</w:t>
      </w:r>
    </w:p>
    <w:p>
      <w:pPr>
        <w:pStyle w:val="60"/>
        <w:ind w:firstLine="420"/>
      </w:pPr>
      <w:r>
        <w:rPr>
          <w:rFonts w:hint="eastAsia"/>
        </w:rPr>
        <w:t>在拉制单晶硅棒过程中形成的头尾圆锥体、拉制单晶失败（断棱，即失去单晶特性）产生的多晶硅棒和位错单晶、单晶/多晶铸锭顶部及底部切除部分经清洗破碎后产生的块状多晶硅料。</w:t>
      </w:r>
    </w:p>
    <w:p>
      <w:pPr>
        <w:pStyle w:val="227"/>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边皮料 </w:t>
      </w:r>
      <w:r>
        <w:rPr>
          <w:rFonts w:ascii="黑体" w:hAnsi="黑体" w:eastAsia="黑体"/>
          <w:kern w:val="0"/>
          <w:szCs w:val="20"/>
        </w:rPr>
        <w:t xml:space="preserve"> monocrystalline side cuts</w:t>
      </w:r>
    </w:p>
    <w:p>
      <w:pPr>
        <w:pStyle w:val="60"/>
        <w:ind w:firstLine="420"/>
      </w:pPr>
      <w:r>
        <w:rPr>
          <w:rFonts w:hint="eastAsia"/>
        </w:rPr>
        <w:t>拉制单晶无位错圆棒切方过程中产生的边缘部分、单晶/多晶铸锭与坩埚接触侧面的切除部分经清洗破碎后产生的块状硅料。</w:t>
      </w:r>
    </w:p>
    <w:p>
      <w:pPr>
        <w:pStyle w:val="227"/>
        <w:ind w:left="420" w:hanging="420" w:hangingChars="200"/>
        <w:rPr>
          <w:rFonts w:ascii="黑体" w:hAnsi="黑体" w:eastAsia="黑体"/>
        </w:rPr>
      </w:pPr>
    </w:p>
    <w:p>
      <w:pPr>
        <w:spacing w:line="276" w:lineRule="auto"/>
        <w:ind w:firstLine="420" w:firstLineChars="200"/>
        <w:rPr>
          <w:rFonts w:ascii="宋体" w:hAnsi="宋体" w:cs="宋体"/>
          <w:b/>
          <w:color w:val="0D0D0D"/>
          <w:szCs w:val="16"/>
        </w:rPr>
      </w:pPr>
      <w:r>
        <w:rPr>
          <w:rFonts w:hint="eastAsia" w:ascii="黑体" w:hAnsi="黑体" w:eastAsia="黑体"/>
          <w:kern w:val="0"/>
          <w:szCs w:val="20"/>
        </w:rPr>
        <w:t xml:space="preserve">切片废料 </w:t>
      </w:r>
      <w:r>
        <w:rPr>
          <w:rFonts w:ascii="黑体" w:hAnsi="黑体" w:eastAsia="黑体"/>
          <w:kern w:val="0"/>
          <w:szCs w:val="20"/>
        </w:rPr>
        <w:t xml:space="preserve"> slicing scrap</w:t>
      </w:r>
    </w:p>
    <w:p>
      <w:pPr>
        <w:pStyle w:val="60"/>
        <w:ind w:firstLine="420"/>
      </w:pPr>
      <w:r>
        <w:rPr>
          <w:rFonts w:hint="eastAsia"/>
        </w:rPr>
        <w:t>硅锭切片过程每根方棒产生的厚片，或异常问题产生的废方棒经清洗破碎后产生的厚片状或块状多晶硅料。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墩埚料 </w:t>
      </w:r>
      <w:r>
        <w:rPr>
          <w:rFonts w:ascii="黑体" w:hAnsi="黑体" w:eastAsia="黑体"/>
          <w:kern w:val="0"/>
          <w:szCs w:val="20"/>
        </w:rPr>
        <w:t xml:space="preserve"> abnormal</w:t>
      </w:r>
      <w:r>
        <w:rPr>
          <w:rFonts w:hint="eastAsia" w:ascii="黑体" w:hAnsi="黑体" w:eastAsia="黑体"/>
          <w:kern w:val="0"/>
          <w:szCs w:val="20"/>
        </w:rPr>
        <w:t xml:space="preserve"> pot</w:t>
      </w:r>
      <w:r>
        <w:rPr>
          <w:rFonts w:ascii="黑体" w:hAnsi="黑体" w:eastAsia="黑体"/>
          <w:kern w:val="0"/>
          <w:szCs w:val="20"/>
        </w:rPr>
        <w:t xml:space="preserve"> poly</w:t>
      </w:r>
    </w:p>
    <w:p>
      <w:pPr>
        <w:pStyle w:val="60"/>
        <w:ind w:firstLine="420"/>
      </w:pPr>
      <w:r>
        <w:rPr>
          <w:rFonts w:hint="eastAsia"/>
        </w:rPr>
        <w:t>长晶过程中出现异常导致墩埚的剩料，与剩料粘连的石英去除后清洗破碎产生的块状多晶硅料。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沫子料 </w:t>
      </w:r>
      <w:r>
        <w:rPr>
          <w:rFonts w:ascii="黑体" w:hAnsi="黑体" w:eastAsia="黑体"/>
          <w:kern w:val="0"/>
          <w:szCs w:val="20"/>
        </w:rPr>
        <w:t xml:space="preserve"> crushing scrap</w:t>
      </w:r>
    </w:p>
    <w:p>
      <w:pPr>
        <w:pStyle w:val="60"/>
        <w:ind w:firstLine="420"/>
      </w:pPr>
      <w:r>
        <w:rPr>
          <w:rFonts w:hint="eastAsia"/>
        </w:rPr>
        <w:t>复拉料/多晶料破碎过程中产生线性尺寸在≤1mm之间的硅料。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回用料 </w:t>
      </w:r>
      <w:r>
        <w:rPr>
          <w:rFonts w:ascii="黑体" w:hAnsi="黑体" w:eastAsia="黑体"/>
          <w:kern w:val="0"/>
          <w:szCs w:val="20"/>
        </w:rPr>
        <w:t xml:space="preserve"> recycled silicon</w:t>
      </w:r>
    </w:p>
    <w:p>
      <w:pPr>
        <w:pStyle w:val="60"/>
        <w:ind w:firstLine="420"/>
      </w:pPr>
      <w:r>
        <w:rPr>
          <w:rFonts w:hint="eastAsia"/>
        </w:rPr>
        <w:t>长晶过程中尺寸、电性能等指标不合格的硅锭经清洗破碎后产生的块状多晶硅料。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埚底料 </w:t>
      </w:r>
      <w:r>
        <w:rPr>
          <w:rFonts w:ascii="黑体" w:hAnsi="黑体" w:eastAsia="黑体"/>
          <w:kern w:val="0"/>
          <w:szCs w:val="20"/>
        </w:rPr>
        <w:t xml:space="preserve"> pot scrap</w:t>
      </w:r>
    </w:p>
    <w:p>
      <w:pPr>
        <w:pStyle w:val="60"/>
        <w:ind w:firstLine="420"/>
      </w:pPr>
      <w:r>
        <w:rPr>
          <w:rFonts w:hint="eastAsia"/>
        </w:rPr>
        <w:t>拉制单晶硅棒的过程中，残留在石英坩埚中的硅料，并将与剩料粘连的石英去除后清洗破碎产生的块状多晶硅料。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晶体硅样块 </w:t>
      </w:r>
      <w:r>
        <w:rPr>
          <w:rFonts w:ascii="黑体" w:hAnsi="黑体" w:eastAsia="黑体"/>
          <w:kern w:val="0"/>
          <w:szCs w:val="20"/>
        </w:rPr>
        <w:t xml:space="preserve"> test silicon material</w:t>
      </w:r>
    </w:p>
    <w:p>
      <w:pPr>
        <w:pStyle w:val="60"/>
        <w:ind w:firstLine="420"/>
      </w:pPr>
      <w:r>
        <w:rPr>
          <w:rFonts w:hint="eastAsia"/>
        </w:rPr>
        <w:t>晶体硅棒的检测和评估中作为测试用的样块经清洗后产生的厚片状多晶硅料。</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检测样棒 test</w:t>
      </w:r>
      <w:r>
        <w:rPr>
          <w:rFonts w:ascii="黑体" w:hAnsi="黑体" w:eastAsia="黑体"/>
        </w:rPr>
        <w:t xml:space="preserve"> slim rod</w:t>
      </w:r>
    </w:p>
    <w:p>
      <w:pPr>
        <w:pStyle w:val="60"/>
        <w:ind w:firstLine="420"/>
      </w:pPr>
      <w:r>
        <w:rPr>
          <w:rFonts w:hint="eastAsia"/>
        </w:rPr>
        <w:t>多晶硅质量评价的区熔单晶样棒料。</w:t>
      </w:r>
    </w:p>
    <w:p>
      <w:pPr>
        <w:pStyle w:val="227"/>
        <w:ind w:left="420" w:hanging="420" w:hangingChars="200"/>
        <w:rPr>
          <w:rFonts w:ascii="黑体" w:hAnsi="黑体" w:eastAsia="黑体"/>
        </w:rPr>
      </w:pPr>
    </w:p>
    <w:p>
      <w:pPr>
        <w:spacing w:line="276" w:lineRule="auto"/>
        <w:ind w:firstLine="420" w:firstLineChars="200"/>
        <w:rPr>
          <w:rFonts w:ascii="黑体" w:hAnsi="黑体" w:eastAsia="黑体"/>
          <w:kern w:val="0"/>
          <w:szCs w:val="20"/>
        </w:rPr>
      </w:pPr>
      <w:r>
        <w:rPr>
          <w:rFonts w:hint="eastAsia" w:ascii="黑体" w:hAnsi="黑体" w:eastAsia="黑体"/>
          <w:kern w:val="0"/>
          <w:szCs w:val="20"/>
        </w:rPr>
        <w:t xml:space="preserve">原生型废硅片 </w:t>
      </w:r>
      <w:r>
        <w:rPr>
          <w:rFonts w:ascii="黑体" w:hAnsi="黑体" w:eastAsia="黑体"/>
          <w:kern w:val="0"/>
          <w:szCs w:val="20"/>
        </w:rPr>
        <w:t xml:space="preserve"> </w:t>
      </w:r>
      <w:r>
        <w:rPr>
          <w:rFonts w:hint="eastAsia" w:ascii="黑体" w:hAnsi="黑体" w:eastAsia="黑体"/>
          <w:kern w:val="0"/>
          <w:szCs w:val="20"/>
        </w:rPr>
        <w:t>process</w:t>
      </w:r>
      <w:r>
        <w:rPr>
          <w:rFonts w:ascii="黑体" w:hAnsi="黑体" w:eastAsia="黑体"/>
          <w:kern w:val="0"/>
          <w:szCs w:val="20"/>
        </w:rPr>
        <w:t xml:space="preserve"> scrap</w:t>
      </w:r>
    </w:p>
    <w:p>
      <w:pPr>
        <w:pStyle w:val="60"/>
        <w:ind w:firstLine="420"/>
      </w:pPr>
      <w:r>
        <w:rPr>
          <w:rFonts w:hint="eastAsia"/>
        </w:rPr>
        <w:t>在硅棒切割、研磨或抛光过程中产生的碎片或不合格硅片经清洗后产生的厚片状多晶硅料。</w:t>
      </w:r>
    </w:p>
    <w:p>
      <w:pPr>
        <w:pStyle w:val="109"/>
        <w:spacing w:before="120" w:after="120"/>
      </w:pPr>
    </w:p>
    <w:p>
      <w:pPr>
        <w:pStyle w:val="60"/>
        <w:ind w:firstLine="0" w:firstLineChars="0"/>
        <w:rPr>
          <w:b/>
        </w:rPr>
      </w:pPr>
      <w:r>
        <w:tab/>
      </w:r>
      <w:r>
        <w:rPr>
          <w:rFonts w:hint="eastAsia" w:ascii="黑体" w:hAnsi="黑体" w:eastAsia="黑体"/>
        </w:rPr>
        <w:t>多晶粉料 powdery</w:t>
      </w:r>
      <w:r>
        <w:rPr>
          <w:rFonts w:ascii="黑体" w:hAnsi="黑体" w:eastAsia="黑体"/>
        </w:rPr>
        <w:t xml:space="preserve"> silicon</w:t>
      </w:r>
    </w:p>
    <w:p>
      <w:pPr>
        <w:pStyle w:val="60"/>
        <w:ind w:firstLine="420"/>
      </w:pPr>
      <w:bookmarkStart w:id="47" w:name="_Hlk150429418"/>
      <w:r>
        <w:rPr>
          <w:rFonts w:hint="eastAsia"/>
        </w:rPr>
        <w:t>多晶硅棒/颗粒沉积过程中形成的粉状多晶硅</w:t>
      </w:r>
      <w:bookmarkEnd w:id="47"/>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提纯硅料 </w:t>
      </w:r>
      <w:r>
        <w:rPr>
          <w:rFonts w:ascii="黑体" w:hAnsi="黑体" w:eastAsia="黑体"/>
        </w:rPr>
        <w:t>purified silicon</w:t>
      </w:r>
    </w:p>
    <w:p>
      <w:pPr>
        <w:pStyle w:val="227"/>
        <w:numPr>
          <w:ilvl w:val="0"/>
          <w:numId w:val="0"/>
        </w:numPr>
        <w:ind w:left="420"/>
        <w:rPr>
          <w:rFonts w:hAnsi="宋体"/>
        </w:rPr>
      </w:pPr>
      <w:r>
        <w:rPr>
          <w:rFonts w:hint="eastAsia" w:hAnsi="宋体"/>
        </w:rPr>
        <w:t>通过定向凝固生产的单晶或多晶硅锭经破碎后的块状多晶硅料。</w:t>
      </w:r>
    </w:p>
    <w:bookmarkEnd w:id="46"/>
    <w:p>
      <w:pPr>
        <w:pStyle w:val="108"/>
        <w:spacing w:before="240" w:after="240"/>
      </w:pPr>
      <w:r>
        <w:rPr>
          <w:rFonts w:hint="eastAsia"/>
        </w:rPr>
        <w:t>技术要求</w:t>
      </w:r>
    </w:p>
    <w:p>
      <w:pPr>
        <w:pStyle w:val="109"/>
        <w:spacing w:before="120" w:after="120"/>
      </w:pPr>
      <w:r>
        <w:rPr>
          <w:rFonts w:hint="eastAsia"/>
        </w:rPr>
        <w:t>技术条件及分类</w:t>
      </w:r>
    </w:p>
    <w:p>
      <w:pPr>
        <w:pStyle w:val="60"/>
        <w:ind w:firstLine="420"/>
      </w:pPr>
      <w:bookmarkStart w:id="48" w:name="_Hlk150429442"/>
      <w:r>
        <w:rPr>
          <w:rFonts w:hint="eastAsia"/>
        </w:rPr>
        <w:t>所有再生硅料需通过清洗、破碎、干燥等方式去除非硅异物及水分。</w:t>
      </w:r>
    </w:p>
    <w:p>
      <w:pPr>
        <w:pStyle w:val="60"/>
        <w:ind w:firstLine="420"/>
      </w:pPr>
      <w:r>
        <w:rPr>
          <w:rFonts w:hint="eastAsia"/>
        </w:rPr>
        <w:t>再生硅料可根据导电类型、电阻率、碳含量、基体金属杂质含量、线性尺寸、表观质量</w:t>
      </w:r>
      <w:r>
        <w:t>6</w:t>
      </w:r>
      <w:r>
        <w:rPr>
          <w:rFonts w:hint="eastAsia"/>
        </w:rPr>
        <w:t>个维度进行分级，需经供需双方协商一致。每一级的产品应该同时满足本级的要求。各级不同导电类型、电阻率、碳浓度、基体金属杂质浓度、线性尺寸的相关参数应符合表1的规定。</w:t>
      </w:r>
    </w:p>
    <w:bookmarkEnd w:id="48"/>
    <w:p>
      <w:pPr>
        <w:pStyle w:val="116"/>
        <w:spacing w:before="120" w:after="120"/>
        <w:ind w:firstLine="420"/>
      </w:pPr>
      <w:bookmarkStart w:id="49" w:name="_Hlk150429466"/>
      <w:r>
        <w:rPr>
          <w:rFonts w:hint="eastAsia"/>
        </w:rPr>
        <w:t>再生硅料导电类型、电阻率、碳含量、基体金属杂质含量、线性尺寸分类要求</w:t>
      </w:r>
    </w:p>
    <w:tbl>
      <w:tblPr>
        <w:tblStyle w:val="30"/>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9"/>
        <w:gridCol w:w="1105"/>
        <w:gridCol w:w="1106"/>
        <w:gridCol w:w="1106"/>
        <w:gridCol w:w="1106"/>
        <w:gridCol w:w="1106"/>
        <w:gridCol w:w="1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719" w:type="dxa"/>
            <w:tcBorders>
              <w:top w:val="single" w:color="auto" w:sz="8" w:space="0"/>
              <w:bottom w:val="single" w:color="auto" w:sz="8" w:space="0"/>
            </w:tcBorders>
            <w:shd w:val="clear" w:color="auto" w:fill="auto"/>
            <w:vAlign w:val="center"/>
          </w:tcPr>
          <w:p>
            <w:pPr>
              <w:pStyle w:val="182"/>
            </w:pPr>
            <w:bookmarkStart w:id="50" w:name="_Hlk162968278"/>
            <w:r>
              <w:rPr>
                <w:rFonts w:hint="eastAsia"/>
              </w:rPr>
              <w:t>项目</w:t>
            </w:r>
          </w:p>
        </w:tc>
        <w:tc>
          <w:tcPr>
            <w:tcW w:w="2211" w:type="dxa"/>
            <w:gridSpan w:val="2"/>
            <w:tcBorders>
              <w:top w:val="single" w:color="auto" w:sz="8" w:space="0"/>
              <w:bottom w:val="single" w:color="auto" w:sz="8" w:space="0"/>
            </w:tcBorders>
            <w:shd w:val="clear" w:color="auto" w:fill="auto"/>
            <w:vAlign w:val="center"/>
          </w:tcPr>
          <w:p>
            <w:pPr>
              <w:pStyle w:val="182"/>
            </w:pPr>
            <w:r>
              <w:rPr>
                <w:rFonts w:hint="eastAsia"/>
              </w:rPr>
              <w:t>一级</w:t>
            </w:r>
          </w:p>
        </w:tc>
        <w:tc>
          <w:tcPr>
            <w:tcW w:w="2212" w:type="dxa"/>
            <w:gridSpan w:val="2"/>
            <w:tcBorders>
              <w:top w:val="single" w:color="auto" w:sz="8" w:space="0"/>
              <w:bottom w:val="single" w:color="auto" w:sz="8" w:space="0"/>
            </w:tcBorders>
            <w:shd w:val="clear" w:color="auto" w:fill="auto"/>
            <w:vAlign w:val="center"/>
          </w:tcPr>
          <w:p>
            <w:pPr>
              <w:pStyle w:val="182"/>
            </w:pPr>
            <w:r>
              <w:rPr>
                <w:rFonts w:hint="eastAsia"/>
              </w:rPr>
              <w:t>二级</w:t>
            </w:r>
          </w:p>
        </w:tc>
        <w:tc>
          <w:tcPr>
            <w:tcW w:w="2212" w:type="dxa"/>
            <w:gridSpan w:val="2"/>
            <w:tcBorders>
              <w:top w:val="single" w:color="auto" w:sz="8" w:space="0"/>
              <w:bottom w:val="single" w:color="auto" w:sz="8" w:space="0"/>
            </w:tcBorders>
            <w:shd w:val="clear" w:color="auto" w:fill="auto"/>
            <w:vAlign w:val="center"/>
          </w:tcPr>
          <w:p>
            <w:pPr>
              <w:pStyle w:val="182"/>
            </w:pPr>
            <w:r>
              <w:rPr>
                <w:rFonts w:hint="eastAsia"/>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导电类型</w:t>
            </w:r>
          </w:p>
        </w:tc>
        <w:tc>
          <w:tcPr>
            <w:tcW w:w="1105"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Ansi="宋体"/>
                <w:sz w:val="18"/>
                <w:szCs w:val="18"/>
              </w:rPr>
              <w:t>N</w:t>
            </w:r>
            <w:r>
              <w:rPr>
                <w:rFonts w:hint="eastAsia" w:hAnsi="宋体"/>
                <w:sz w:val="18"/>
                <w:szCs w:val="18"/>
              </w:rPr>
              <w:t>型</w:t>
            </w:r>
          </w:p>
        </w:tc>
        <w:tc>
          <w:tcPr>
            <w:tcW w:w="1106" w:type="dxa"/>
            <w:tcBorders>
              <w:top w:val="single" w:color="auto" w:sz="8" w:space="0"/>
            </w:tcBorders>
            <w:shd w:val="clear" w:color="auto" w:fill="auto"/>
            <w:vAlign w:val="center"/>
          </w:tcPr>
          <w:p>
            <w:pPr>
              <w:pStyle w:val="235"/>
              <w:ind w:firstLine="0" w:firstLineChars="0"/>
              <w:jc w:val="center"/>
              <w:rPr>
                <w:rFonts w:hAnsi="宋体"/>
                <w:sz w:val="18"/>
                <w:szCs w:val="18"/>
              </w:rPr>
            </w:pPr>
            <w:r>
              <w:rPr>
                <w:rFonts w:hint="eastAsia" w:hAnsi="宋体"/>
                <w:sz w:val="18"/>
                <w:szCs w:val="18"/>
              </w:rPr>
              <w:t>P型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电阻率，Ω·cm</w:t>
            </w:r>
          </w:p>
        </w:tc>
        <w:tc>
          <w:tcPr>
            <w:tcW w:w="1105" w:type="dxa"/>
            <w:shd w:val="clear" w:color="auto" w:fill="auto"/>
            <w:vAlign w:val="center"/>
          </w:tcPr>
          <w:p>
            <w:pPr>
              <w:pStyle w:val="182"/>
            </w:pPr>
            <w:r>
              <w:rPr>
                <w:rFonts w:hint="eastAsia" w:hAnsi="宋体"/>
                <w:color w:val="0D0D0D"/>
                <w:szCs w:val="18"/>
              </w:rPr>
              <w:t>＞1</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.5</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182"/>
            </w:pPr>
            <w:r>
              <w:rPr>
                <w:rFonts w:hint="eastAsia" w:hAnsi="宋体"/>
                <w:color w:val="0D0D0D"/>
                <w:szCs w:val="18"/>
              </w:rPr>
              <w:t>＞0</w:t>
            </w:r>
            <w:r>
              <w:rPr>
                <w:rFonts w:hAnsi="宋体"/>
                <w:color w:val="0D0D0D"/>
                <w:szCs w:val="18"/>
              </w:rPr>
              <w:t>.1</w:t>
            </w:r>
          </w:p>
        </w:tc>
        <w:tc>
          <w:tcPr>
            <w:tcW w:w="1106" w:type="dxa"/>
            <w:shd w:val="clear" w:color="auto" w:fill="auto"/>
            <w:vAlign w:val="center"/>
          </w:tcPr>
          <w:p>
            <w:pPr>
              <w:pStyle w:val="182"/>
            </w:pPr>
            <w:r>
              <w:rPr>
                <w:rFonts w:hint="eastAsia" w:hAnsi="宋体"/>
                <w:color w:val="0D0D0D"/>
                <w:szCs w:val="18"/>
              </w:rPr>
              <w:t>＞</w:t>
            </w:r>
            <w:r>
              <w:rPr>
                <w:rFonts w:hAnsi="宋体"/>
                <w:color w:val="0D0D0D"/>
                <w:szCs w:val="18"/>
              </w:rPr>
              <w:t>0.01</w:t>
            </w:r>
          </w:p>
        </w:tc>
        <w:tc>
          <w:tcPr>
            <w:tcW w:w="1106" w:type="dxa"/>
            <w:shd w:val="clear" w:color="auto" w:fill="auto"/>
            <w:vAlign w:val="center"/>
          </w:tcPr>
          <w:p>
            <w:pPr>
              <w:pStyle w:val="182"/>
            </w:pPr>
            <w:r>
              <w:rPr>
                <w:rFonts w:hint="eastAsia" w:hAnsi="宋体"/>
                <w:color w:val="0D0D0D"/>
                <w:szCs w:val="18"/>
              </w:rPr>
              <w:t>＞</w:t>
            </w:r>
            <w:r>
              <w:rPr>
                <w:rFonts w:hAnsi="宋体"/>
                <w:color w:val="0D0D0D"/>
                <w:szCs w:val="18"/>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vertAlign w:val="superscript"/>
              </w:rPr>
            </w:pPr>
            <w:r>
              <w:rPr>
                <w:rFonts w:hint="eastAsia" w:hAnsi="宋体"/>
                <w:color w:val="0D0D0D"/>
                <w:sz w:val="18"/>
                <w:szCs w:val="18"/>
              </w:rPr>
              <w:t>碳含量，a</w:t>
            </w:r>
            <w:r>
              <w:rPr>
                <w:rFonts w:hAnsi="宋体"/>
                <w:color w:val="0D0D0D"/>
                <w:sz w:val="18"/>
                <w:szCs w:val="18"/>
              </w:rPr>
              <w:t>toms/cm</w:t>
            </w:r>
            <w:r>
              <w:rPr>
                <w:rFonts w:hAnsi="宋体"/>
                <w:color w:val="0D0D0D"/>
                <w:sz w:val="18"/>
                <w:szCs w:val="18"/>
                <w:vertAlign w:val="superscript"/>
              </w:rPr>
              <w:t>3</w:t>
            </w:r>
          </w:p>
        </w:tc>
        <w:tc>
          <w:tcPr>
            <w:tcW w:w="2211" w:type="dxa"/>
            <w:gridSpan w:val="2"/>
            <w:shd w:val="clear" w:color="auto" w:fill="auto"/>
            <w:vAlign w:val="center"/>
          </w:tcPr>
          <w:p>
            <w:pPr>
              <w:pStyle w:val="235"/>
              <w:ind w:firstLine="0" w:firstLineChars="0"/>
              <w:jc w:val="center"/>
              <w:rPr>
                <w:color w:val="0D0D0D"/>
                <w:sz w:val="18"/>
                <w:szCs w:val="18"/>
                <w:vertAlign w:val="superscript"/>
              </w:rPr>
            </w:pPr>
            <w:r>
              <w:rPr>
                <w:rFonts w:hint="eastAsia"/>
                <w:color w:val="0D0D0D"/>
                <w:sz w:val="18"/>
                <w:szCs w:val="18"/>
              </w:rPr>
              <w:t>≤2</w:t>
            </w:r>
            <w:r>
              <w:rPr>
                <w:color w:val="0D0D0D"/>
                <w:sz w:val="18"/>
                <w:szCs w:val="18"/>
              </w:rPr>
              <w:t>.</w:t>
            </w:r>
            <w:r>
              <w:rPr>
                <w:rFonts w:hint="eastAsia"/>
                <w:color w:val="0D0D0D"/>
                <w:sz w:val="18"/>
                <w:szCs w:val="18"/>
              </w:rPr>
              <w:t>5</w:t>
            </w:r>
            <w:r>
              <w:rPr>
                <w:color w:val="0D0D0D"/>
                <w:sz w:val="18"/>
                <w:szCs w:val="18"/>
              </w:rPr>
              <w:t>*10</w:t>
            </w:r>
            <w:r>
              <w:rPr>
                <w:color w:val="0D0D0D"/>
                <w:sz w:val="18"/>
                <w:szCs w:val="18"/>
                <w:vertAlign w:val="superscript"/>
              </w:rPr>
              <w:t>17</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≤5</w:t>
            </w:r>
            <w:r>
              <w:rPr>
                <w:color w:val="0D0D0D"/>
                <w:sz w:val="18"/>
                <w:szCs w:val="18"/>
              </w:rPr>
              <w:t>*10</w:t>
            </w:r>
            <w:r>
              <w:rPr>
                <w:color w:val="0D0D0D"/>
                <w:sz w:val="18"/>
                <w:szCs w:val="18"/>
                <w:vertAlign w:val="superscript"/>
              </w:rPr>
              <w:t>17</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≤7</w:t>
            </w:r>
            <w:r>
              <w:rPr>
                <w:color w:val="0D0D0D"/>
                <w:sz w:val="18"/>
                <w:szCs w:val="18"/>
              </w:rPr>
              <w:t>.5*10</w:t>
            </w:r>
            <w:r>
              <w:rPr>
                <w:color w:val="0D0D0D"/>
                <w:sz w:val="18"/>
                <w:szCs w:val="18"/>
                <w:vertAlign w:val="superscript"/>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基体金属杂质</w:t>
            </w:r>
            <w:r>
              <w:rPr>
                <w:rFonts w:hint="eastAsia" w:hAnsi="宋体"/>
                <w:color w:val="020202"/>
                <w:sz w:val="18"/>
                <w:szCs w:val="18"/>
              </w:rPr>
              <w:t>（</w:t>
            </w:r>
            <w:r>
              <w:rPr>
                <w:rFonts w:hAnsi="宋体"/>
                <w:color w:val="0E0E0E"/>
                <w:sz w:val="18"/>
                <w:szCs w:val="18"/>
              </w:rPr>
              <w:t>Fe</w:t>
            </w:r>
            <w:r>
              <w:rPr>
                <w:rFonts w:hint="eastAsia" w:hAnsi="宋体"/>
                <w:color w:val="0E0E0E"/>
                <w:sz w:val="18"/>
                <w:szCs w:val="18"/>
              </w:rPr>
              <w:t>、</w:t>
            </w:r>
            <w:r>
              <w:rPr>
                <w:rFonts w:hAnsi="宋体"/>
                <w:color w:val="0E0E0E"/>
                <w:sz w:val="18"/>
                <w:szCs w:val="18"/>
              </w:rPr>
              <w:t>Cr</w:t>
            </w:r>
            <w:r>
              <w:rPr>
                <w:rFonts w:hint="eastAsia" w:hAnsi="宋体"/>
                <w:color w:val="0E0E0E"/>
                <w:sz w:val="18"/>
                <w:szCs w:val="18"/>
              </w:rPr>
              <w:t>、</w:t>
            </w:r>
            <w:r>
              <w:rPr>
                <w:rFonts w:hAnsi="宋体"/>
                <w:color w:val="0E0E0E"/>
                <w:sz w:val="18"/>
                <w:szCs w:val="18"/>
              </w:rPr>
              <w:t>Ni</w:t>
            </w:r>
            <w:r>
              <w:rPr>
                <w:rFonts w:hint="eastAsia" w:hAnsi="宋体"/>
                <w:color w:val="0E0E0E"/>
                <w:sz w:val="18"/>
                <w:szCs w:val="18"/>
              </w:rPr>
              <w:t>、</w:t>
            </w:r>
            <w:r>
              <w:rPr>
                <w:rFonts w:hAnsi="宋体"/>
                <w:color w:val="0E0E0E"/>
                <w:sz w:val="18"/>
                <w:szCs w:val="18"/>
              </w:rPr>
              <w:t>Cu</w:t>
            </w:r>
            <w:r>
              <w:rPr>
                <w:rFonts w:hint="eastAsia" w:hAnsi="宋体"/>
                <w:color w:val="0E0E0E"/>
                <w:sz w:val="18"/>
                <w:szCs w:val="18"/>
              </w:rPr>
              <w:t>、</w:t>
            </w:r>
            <w:r>
              <w:rPr>
                <w:rFonts w:hAnsi="宋体"/>
                <w:color w:val="0E0E0E"/>
                <w:sz w:val="18"/>
                <w:szCs w:val="18"/>
              </w:rPr>
              <w:t>Zn</w:t>
            </w:r>
            <w:r>
              <w:rPr>
                <w:rFonts w:hint="eastAsia" w:hAnsi="宋体"/>
                <w:color w:val="0E0E0E"/>
                <w:sz w:val="18"/>
                <w:szCs w:val="18"/>
              </w:rPr>
              <w:t>、</w:t>
            </w:r>
            <w:r>
              <w:rPr>
                <w:rFonts w:hAnsi="宋体"/>
                <w:color w:val="0E0E0E"/>
                <w:sz w:val="18"/>
                <w:szCs w:val="18"/>
              </w:rPr>
              <w:t>Na</w:t>
            </w:r>
            <w:r>
              <w:rPr>
                <w:rFonts w:hint="eastAsia" w:hAnsi="宋体"/>
                <w:color w:val="0E0E0E"/>
                <w:sz w:val="18"/>
                <w:szCs w:val="18"/>
              </w:rPr>
              <w:t>）</w:t>
            </w:r>
            <w:r>
              <w:rPr>
                <w:rFonts w:hint="eastAsia" w:hAnsi="宋体"/>
                <w:color w:val="0D0D0D"/>
                <w:sz w:val="18"/>
                <w:szCs w:val="18"/>
              </w:rPr>
              <w:t>含量，n</w:t>
            </w:r>
            <w:r>
              <w:rPr>
                <w:rFonts w:hAnsi="宋体"/>
                <w:color w:val="0D0D0D"/>
                <w:sz w:val="18"/>
                <w:szCs w:val="18"/>
              </w:rPr>
              <w:t>g/g</w:t>
            </w:r>
          </w:p>
        </w:tc>
        <w:tc>
          <w:tcPr>
            <w:tcW w:w="2211"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≤50</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≤100</w:t>
            </w:r>
          </w:p>
        </w:tc>
        <w:tc>
          <w:tcPr>
            <w:tcW w:w="2212" w:type="dxa"/>
            <w:gridSpan w:val="2"/>
            <w:shd w:val="clear" w:color="auto" w:fill="auto"/>
            <w:vAlign w:val="center"/>
          </w:tcPr>
          <w:p>
            <w:pPr>
              <w:pStyle w:val="235"/>
              <w:ind w:firstLine="0" w:firstLineChars="0"/>
              <w:jc w:val="center"/>
              <w:rPr>
                <w:color w:val="0D0D0D"/>
                <w:sz w:val="18"/>
                <w:szCs w:val="18"/>
              </w:rPr>
            </w:pPr>
            <w:r>
              <w:rPr>
                <w:rFonts w:hint="eastAsia"/>
                <w:color w:val="0D0D0D"/>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9" w:type="dxa"/>
            <w:tcBorders>
              <w:bottom w:val="single" w:color="auto" w:sz="8" w:space="0"/>
            </w:tcBorders>
            <w:shd w:val="clear" w:color="auto" w:fill="auto"/>
            <w:vAlign w:val="center"/>
          </w:tcPr>
          <w:p>
            <w:pPr>
              <w:pStyle w:val="235"/>
              <w:ind w:firstLine="0" w:firstLineChars="0"/>
              <w:jc w:val="center"/>
              <w:rPr>
                <w:rFonts w:hAnsi="宋体"/>
                <w:color w:val="0D0D0D"/>
                <w:sz w:val="18"/>
                <w:szCs w:val="18"/>
              </w:rPr>
            </w:pPr>
            <w:r>
              <w:rPr>
                <w:rFonts w:hint="eastAsia" w:hAnsi="宋体"/>
                <w:color w:val="0D0D0D"/>
                <w:sz w:val="18"/>
                <w:szCs w:val="18"/>
              </w:rPr>
              <w:t>线性尺寸，mm</w:t>
            </w:r>
          </w:p>
        </w:tc>
        <w:tc>
          <w:tcPr>
            <w:tcW w:w="2211"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8</w:t>
            </w:r>
          </w:p>
        </w:tc>
        <w:tc>
          <w:tcPr>
            <w:tcW w:w="2212"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3</w:t>
            </w:r>
          </w:p>
        </w:tc>
        <w:tc>
          <w:tcPr>
            <w:tcW w:w="2212" w:type="dxa"/>
            <w:gridSpan w:val="2"/>
            <w:tcBorders>
              <w:bottom w:val="single" w:color="auto" w:sz="8" w:space="0"/>
            </w:tcBorders>
            <w:shd w:val="clear" w:color="auto" w:fill="auto"/>
            <w:vAlign w:val="center"/>
          </w:tcPr>
          <w:p>
            <w:pPr>
              <w:pStyle w:val="182"/>
            </w:pPr>
            <w:r>
              <w:rPr>
                <w:rFonts w:hint="eastAsia" w:hAnsi="宋体"/>
                <w:color w:val="0D0D0D"/>
                <w:szCs w:val="18"/>
              </w:rPr>
              <w:t>＞</w:t>
            </w:r>
            <w:r>
              <w:rPr>
                <w:rFonts w:hAnsi="宋体"/>
                <w:color w:val="0D0D0D"/>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54" w:type="dxa"/>
            <w:gridSpan w:val="7"/>
            <w:tcBorders>
              <w:top w:val="single" w:color="auto" w:sz="8" w:space="0"/>
              <w:bottom w:val="single" w:color="auto" w:sz="8" w:space="0"/>
            </w:tcBorders>
            <w:shd w:val="clear" w:color="auto" w:fill="auto"/>
            <w:vAlign w:val="center"/>
          </w:tcPr>
          <w:p>
            <w:pPr>
              <w:pStyle w:val="183"/>
            </w:pPr>
            <w:r>
              <w:rPr>
                <w:rFonts w:hint="eastAsia"/>
              </w:rPr>
              <w:t>除多晶粉料外，其余再生硅料均需约束线性尺寸。</w:t>
            </w:r>
          </w:p>
        </w:tc>
      </w:tr>
      <w:bookmarkEnd w:id="50"/>
    </w:tbl>
    <w:p>
      <w:pPr>
        <w:pStyle w:val="60"/>
        <w:ind w:firstLine="420"/>
      </w:pPr>
    </w:p>
    <w:bookmarkEnd w:id="49"/>
    <w:p>
      <w:pPr>
        <w:pStyle w:val="109"/>
        <w:spacing w:before="120" w:after="120"/>
      </w:pPr>
      <w:r>
        <w:rPr>
          <w:rFonts w:hint="eastAsia"/>
        </w:rPr>
        <w:t>表观质量</w:t>
      </w:r>
    </w:p>
    <w:p>
      <w:pPr>
        <w:pStyle w:val="60"/>
        <w:ind w:firstLine="420"/>
      </w:pPr>
      <w:r>
        <w:rPr>
          <w:rFonts w:hint="eastAsia"/>
        </w:rPr>
        <w:t>再生硅料的外观应无色斑，变色及可见的污染物等。</w:t>
      </w:r>
    </w:p>
    <w:p>
      <w:pPr>
        <w:pStyle w:val="108"/>
        <w:spacing w:before="240" w:after="240"/>
      </w:pPr>
      <w:r>
        <w:rPr>
          <w:rFonts w:hint="eastAsia"/>
        </w:rPr>
        <w:t>测试方法</w:t>
      </w:r>
    </w:p>
    <w:p>
      <w:pPr>
        <w:pStyle w:val="166"/>
      </w:pPr>
      <w:bookmarkStart w:id="51" w:name="_Hlk150429536"/>
      <w:bookmarkStart w:id="52" w:name="OLE_LINK1"/>
      <w:r>
        <w:rPr>
          <w:rFonts w:hint="eastAsia"/>
        </w:rPr>
        <w:t>再生硅料中碳含量测量按照GB/T 1558的规定进行测试。</w:t>
      </w:r>
    </w:p>
    <w:p>
      <w:pPr>
        <w:pStyle w:val="166"/>
      </w:pPr>
      <w:r>
        <w:rPr>
          <w:rFonts w:hint="eastAsia"/>
        </w:rPr>
        <w:t>再生硅料中的基体金属杂质含量按照GB/T 3</w:t>
      </w:r>
      <w:r>
        <w:t>1854</w:t>
      </w:r>
      <w:r>
        <w:rPr>
          <w:rFonts w:hint="eastAsia"/>
        </w:rPr>
        <w:t>的规定进行测试。</w:t>
      </w:r>
    </w:p>
    <w:p>
      <w:pPr>
        <w:pStyle w:val="166"/>
      </w:pPr>
      <w:r>
        <w:rPr>
          <w:rFonts w:hint="eastAsia"/>
        </w:rPr>
        <w:t>再生硅料的尺寸分布范围用筛网检验，或由供需双方商定的方法检验。</w:t>
      </w:r>
    </w:p>
    <w:p>
      <w:pPr>
        <w:pStyle w:val="166"/>
      </w:pPr>
      <w:r>
        <w:rPr>
          <w:rFonts w:hint="eastAsia"/>
        </w:rPr>
        <w:t xml:space="preserve">再生硅料的表面质量用目视/放大镜检查。                            </w:t>
      </w:r>
    </w:p>
    <w:p>
      <w:pPr>
        <w:pStyle w:val="166"/>
      </w:pPr>
      <w:r>
        <w:rPr>
          <w:rFonts w:hint="eastAsia"/>
        </w:rPr>
        <w:t>再生硅料的导电类型测试方法按照GB/T 1550的规定进行测试。</w:t>
      </w:r>
    </w:p>
    <w:p>
      <w:pPr>
        <w:pStyle w:val="166"/>
      </w:pPr>
      <w:r>
        <w:rPr>
          <w:rFonts w:hint="eastAsia"/>
        </w:rPr>
        <w:t>再生硅料的电阻率测定按照GB/T 1551的规定进行测试。</w:t>
      </w:r>
    </w:p>
    <w:p>
      <w:pPr>
        <w:pStyle w:val="166"/>
      </w:pPr>
      <w:r>
        <w:rPr>
          <w:rFonts w:hint="eastAsia"/>
        </w:rPr>
        <w:t>对于无法直接测试导电类型、电阻率、碳含量、基体金属杂质含量的再生硅料，需采用铸锭、直拉等方法制备成多晶铸锭或单晶样棒，且多晶铸锭或单晶样棒的质量需大于5</w:t>
      </w:r>
      <w:r>
        <w:t>00</w:t>
      </w:r>
      <w:r>
        <w:rPr>
          <w:rFonts w:hint="eastAsia"/>
        </w:rPr>
        <w:t>g。再测试多晶铸锭或单晶样棒中部的导电类型及电阻率，取多晶铸锭或单晶样棒中部样片分别参考5</w:t>
      </w:r>
      <w:r>
        <w:t>.1</w:t>
      </w:r>
      <w:r>
        <w:rPr>
          <w:rFonts w:hint="eastAsia"/>
        </w:rPr>
        <w:t>和5</w:t>
      </w:r>
      <w:r>
        <w:t>.2</w:t>
      </w:r>
      <w:r>
        <w:rPr>
          <w:rFonts w:hint="eastAsia"/>
        </w:rPr>
        <w:t>测试碳含量、基体金属杂质含量。</w:t>
      </w:r>
    </w:p>
    <w:bookmarkEnd w:id="51"/>
    <w:bookmarkEnd w:id="52"/>
    <w:p>
      <w:pPr>
        <w:pStyle w:val="108"/>
        <w:spacing w:before="240" w:after="240"/>
      </w:pPr>
      <w:r>
        <w:rPr>
          <w:rFonts w:hint="eastAsia"/>
        </w:rPr>
        <w:t>检验规则</w:t>
      </w:r>
    </w:p>
    <w:p>
      <w:pPr>
        <w:pStyle w:val="109"/>
        <w:spacing w:before="120" w:after="120"/>
      </w:pPr>
      <w:r>
        <w:rPr>
          <w:rFonts w:hint="eastAsia"/>
        </w:rPr>
        <w:t>检查和验收</w:t>
      </w:r>
    </w:p>
    <w:p>
      <w:pPr>
        <w:pStyle w:val="169"/>
      </w:pPr>
      <w:r>
        <w:rPr>
          <w:rFonts w:hint="eastAsia"/>
        </w:rPr>
        <w:t>产品应由供方质检部门进行检验,保证产品质量符合本文件的规定，并填写产品质量证明书。</w:t>
      </w:r>
    </w:p>
    <w:p>
      <w:pPr>
        <w:pStyle w:val="169"/>
      </w:pPr>
      <w:r>
        <w:rPr>
          <w:rFonts w:hint="eastAsia"/>
        </w:rPr>
        <w:t>需方可对收到的产品按本文件的规定进行检验，检验结果与本文件的规定不符时，由供需双方协商解决。如需仲裁，由供需双方协商确定。</w:t>
      </w:r>
    </w:p>
    <w:p>
      <w:pPr>
        <w:pStyle w:val="109"/>
        <w:spacing w:before="120" w:after="120"/>
      </w:pPr>
      <w:r>
        <w:rPr>
          <w:rFonts w:hint="eastAsia"/>
        </w:rPr>
        <w:t>组批</w:t>
      </w:r>
    </w:p>
    <w:p>
      <w:pPr>
        <w:pStyle w:val="60"/>
        <w:ind w:firstLine="420"/>
      </w:pPr>
      <w:r>
        <w:rPr>
          <w:rFonts w:hint="eastAsia"/>
        </w:rPr>
        <w:t>每批应由相同原料分类、等级的产品组成。</w:t>
      </w:r>
    </w:p>
    <w:p>
      <w:pPr>
        <w:pStyle w:val="109"/>
        <w:spacing w:before="120" w:after="120"/>
      </w:pPr>
      <w:r>
        <w:rPr>
          <w:rFonts w:hint="eastAsia"/>
        </w:rPr>
        <w:t>检验项目</w:t>
      </w:r>
    </w:p>
    <w:p>
      <w:pPr>
        <w:pStyle w:val="60"/>
        <w:ind w:firstLine="420"/>
      </w:pPr>
      <w:r>
        <w:rPr>
          <w:rFonts w:hint="eastAsia"/>
        </w:rPr>
        <w:t>检验项目至少应包含下列内容：</w:t>
      </w:r>
    </w:p>
    <w:p>
      <w:pPr>
        <w:pStyle w:val="178"/>
        <w:numPr>
          <w:ilvl w:val="0"/>
          <w:numId w:val="32"/>
        </w:numPr>
      </w:pPr>
      <w:r>
        <w:rPr>
          <w:rFonts w:hint="eastAsia"/>
        </w:rPr>
        <w:t>导电类型；</w:t>
      </w:r>
    </w:p>
    <w:p>
      <w:pPr>
        <w:pStyle w:val="178"/>
      </w:pPr>
      <w:r>
        <w:rPr>
          <w:rFonts w:hint="eastAsia"/>
        </w:rPr>
        <w:t>电阻率；</w:t>
      </w:r>
    </w:p>
    <w:p>
      <w:pPr>
        <w:pStyle w:val="178"/>
      </w:pPr>
      <w:r>
        <w:rPr>
          <w:rFonts w:hint="eastAsia"/>
        </w:rPr>
        <w:t>表观质量；</w:t>
      </w:r>
    </w:p>
    <w:p>
      <w:pPr>
        <w:pStyle w:val="178"/>
      </w:pPr>
      <w:r>
        <w:rPr>
          <w:rFonts w:hint="eastAsia"/>
        </w:rPr>
        <w:t>线性尺寸；</w:t>
      </w:r>
    </w:p>
    <w:p>
      <w:pPr>
        <w:pStyle w:val="178"/>
      </w:pPr>
      <w:r>
        <w:rPr>
          <w:rFonts w:hint="eastAsia"/>
        </w:rPr>
        <w:t>碳含量；</w:t>
      </w:r>
    </w:p>
    <w:p>
      <w:pPr>
        <w:pStyle w:val="178"/>
      </w:pPr>
      <w:r>
        <w:rPr>
          <w:rFonts w:hint="eastAsia"/>
        </w:rPr>
        <w:t>基体金属杂质含量。</w:t>
      </w:r>
    </w:p>
    <w:p>
      <w:pPr>
        <w:pStyle w:val="109"/>
        <w:spacing w:before="120" w:after="120"/>
      </w:pPr>
      <w:r>
        <w:rPr>
          <w:rFonts w:hint="eastAsia"/>
        </w:rPr>
        <w:t>取样</w:t>
      </w:r>
    </w:p>
    <w:p>
      <w:pPr>
        <w:pStyle w:val="60"/>
        <w:ind w:firstLine="0" w:firstLineChars="0"/>
      </w:pPr>
      <w:r>
        <w:rPr>
          <w:rFonts w:hint="eastAsia"/>
        </w:rPr>
        <w:t>6</w:t>
      </w:r>
      <w:r>
        <w:t xml:space="preserve">.4.1 </w:t>
      </w:r>
      <w:r>
        <w:rPr>
          <w:rFonts w:hint="eastAsia"/>
        </w:rPr>
        <w:t>对导电类型、表观质量、线性尺寸取样时的随机抽取数量应不少于</w:t>
      </w:r>
      <w:r>
        <w:t>0.1%</w:t>
      </w:r>
      <w:r>
        <w:rPr>
          <w:rFonts w:hint="eastAsia"/>
        </w:rPr>
        <w:t>重量比的同批次再生硅料产品。样品应使用高纯工具于洁净区内分装出两份，根据检测需求确定每份分装重量，一份制样，一份留存，具体也可由供需双方协商确定。</w:t>
      </w:r>
    </w:p>
    <w:p>
      <w:pPr>
        <w:pStyle w:val="60"/>
        <w:ind w:firstLine="0" w:firstLineChars="0"/>
      </w:pPr>
      <w:r>
        <w:rPr>
          <w:rFonts w:hint="eastAsia"/>
        </w:rPr>
        <w:t>6</w:t>
      </w:r>
      <w:r>
        <w:t xml:space="preserve">.4.2 </w:t>
      </w:r>
      <w:r>
        <w:rPr>
          <w:rFonts w:hint="eastAsia"/>
        </w:rPr>
        <w:t>对电阻率、碳含量、基体金属杂质含量的取样由供需双方协商确定。</w:t>
      </w:r>
    </w:p>
    <w:p>
      <w:pPr>
        <w:pStyle w:val="109"/>
        <w:spacing w:before="120" w:after="120"/>
      </w:pPr>
      <w:r>
        <w:rPr>
          <w:rFonts w:hint="eastAsia"/>
        </w:rPr>
        <w:t>检验结果判定</w:t>
      </w:r>
    </w:p>
    <w:p>
      <w:pPr>
        <w:pStyle w:val="169"/>
      </w:pPr>
      <w:r>
        <w:rPr>
          <w:rFonts w:hint="eastAsia"/>
        </w:rPr>
        <w:t>导电型号、电阻率、碳含量、基体金属杂质含量的检验结果中有任意一项不合格时,则重新取样，对不合格的项目进行重复检验，重复检验结果仍不合格，判该批产品不合格</w:t>
      </w:r>
    </w:p>
    <w:p>
      <w:pPr>
        <w:pStyle w:val="169"/>
      </w:pPr>
      <w:r>
        <w:rPr>
          <w:rFonts w:hint="eastAsia"/>
        </w:rPr>
        <w:t>表观质量、线性尺寸的检验结果不合格时，由供需双方协商解决。</w:t>
      </w:r>
    </w:p>
    <w:p>
      <w:pPr>
        <w:pStyle w:val="108"/>
        <w:spacing w:before="240" w:after="240"/>
      </w:pPr>
      <w:r>
        <w:rPr>
          <w:rFonts w:hint="eastAsia"/>
        </w:rPr>
        <w:t>标志、包装、运输、贮存</w:t>
      </w:r>
    </w:p>
    <w:p>
      <w:pPr>
        <w:pStyle w:val="109"/>
        <w:spacing w:before="120" w:after="120"/>
      </w:pPr>
      <w:r>
        <w:rPr>
          <w:rFonts w:hint="eastAsia"/>
        </w:rPr>
        <w:t>产品的包装</w:t>
      </w:r>
    </w:p>
    <w:p>
      <w:pPr>
        <w:pStyle w:val="60"/>
        <w:ind w:firstLine="420"/>
      </w:pPr>
      <w:r>
        <w:rPr>
          <w:rFonts w:hint="eastAsia"/>
        </w:rPr>
        <w:t>用洁净的聚乙烯桶（盒）包装或用洁净的聚乙烯包装袋封装，并用纸箱或木箱进行外包装，或由供需双方商定的方案进行封装、包装；包装时应防止容器破损，以避免产品引入污染。</w:t>
      </w:r>
    </w:p>
    <w:p>
      <w:pPr>
        <w:pStyle w:val="109"/>
        <w:spacing w:before="120" w:after="120"/>
      </w:pPr>
      <w:r>
        <w:rPr>
          <w:rFonts w:hint="eastAsia"/>
        </w:rPr>
        <w:t>标志</w:t>
      </w:r>
    </w:p>
    <w:p>
      <w:pPr>
        <w:pStyle w:val="60"/>
        <w:ind w:firstLine="420"/>
      </w:pPr>
      <w:r>
        <w:rPr>
          <w:rFonts w:hint="eastAsia"/>
        </w:rPr>
        <w:t>包装箱（桶）外应标有“小心轻放”及“防腐、防潮”字样或标志，并标明：</w:t>
      </w:r>
    </w:p>
    <w:p>
      <w:pPr>
        <w:pStyle w:val="178"/>
        <w:numPr>
          <w:ilvl w:val="0"/>
          <w:numId w:val="33"/>
        </w:numPr>
      </w:pPr>
      <w:r>
        <w:rPr>
          <w:rFonts w:hint="eastAsia"/>
        </w:rPr>
        <w:t>供方名称；</w:t>
      </w:r>
    </w:p>
    <w:p>
      <w:pPr>
        <w:pStyle w:val="178"/>
      </w:pPr>
      <w:r>
        <w:rPr>
          <w:rFonts w:hint="eastAsia"/>
        </w:rPr>
        <w:t>产品名称及分档；</w:t>
      </w:r>
    </w:p>
    <w:p>
      <w:pPr>
        <w:pStyle w:val="178"/>
      </w:pPr>
      <w:r>
        <w:rPr>
          <w:rFonts w:hint="eastAsia"/>
        </w:rPr>
        <w:t>产品净重；</w:t>
      </w:r>
    </w:p>
    <w:p>
      <w:pPr>
        <w:pStyle w:val="178"/>
      </w:pPr>
      <w:r>
        <w:rPr>
          <w:rFonts w:hint="eastAsia"/>
        </w:rPr>
        <w:t>批号、件数。</w:t>
      </w:r>
    </w:p>
    <w:p>
      <w:pPr>
        <w:pStyle w:val="109"/>
        <w:spacing w:before="120" w:after="120"/>
      </w:pPr>
      <w:r>
        <w:rPr>
          <w:rFonts w:hint="eastAsia"/>
        </w:rPr>
        <w:t>运输</w:t>
      </w:r>
    </w:p>
    <w:p>
      <w:pPr>
        <w:pStyle w:val="60"/>
        <w:ind w:firstLine="420"/>
      </w:pPr>
      <w:r>
        <w:rPr>
          <w:rFonts w:hint="eastAsia"/>
        </w:rPr>
        <w:t>产品在运输过程中应轻装轻卸，勿压勿挤，并采取防震防潮措施。</w:t>
      </w:r>
    </w:p>
    <w:p>
      <w:pPr>
        <w:pStyle w:val="109"/>
        <w:spacing w:before="120" w:after="120"/>
      </w:pPr>
      <w:r>
        <w:rPr>
          <w:rFonts w:hint="eastAsia"/>
        </w:rPr>
        <w:t>贮存</w:t>
      </w:r>
    </w:p>
    <w:p>
      <w:pPr>
        <w:pStyle w:val="60"/>
        <w:ind w:firstLine="420"/>
      </w:pPr>
      <w:r>
        <w:rPr>
          <w:rFonts w:hint="eastAsia"/>
        </w:rPr>
        <w:t>产品应贮存在清洁、干燥环境中。</w:t>
      </w:r>
    </w:p>
    <w:p>
      <w:pPr>
        <w:pStyle w:val="109"/>
        <w:spacing w:before="120" w:after="120"/>
      </w:pPr>
      <w:r>
        <w:rPr>
          <w:rFonts w:hint="eastAsia"/>
        </w:rPr>
        <w:t>质量证明书</w:t>
      </w:r>
    </w:p>
    <w:p>
      <w:pPr>
        <w:pStyle w:val="60"/>
        <w:ind w:firstLine="420"/>
      </w:pPr>
      <w:r>
        <w:rPr>
          <w:rFonts w:hint="eastAsia"/>
        </w:rPr>
        <w:t>每批产品应附有质量证明书，并注明：</w:t>
      </w:r>
    </w:p>
    <w:p>
      <w:pPr>
        <w:pStyle w:val="178"/>
        <w:numPr>
          <w:ilvl w:val="0"/>
          <w:numId w:val="34"/>
        </w:numPr>
      </w:pPr>
      <w:r>
        <w:rPr>
          <w:rFonts w:hint="eastAsia"/>
        </w:rPr>
        <w:t>供方名称；</w:t>
      </w:r>
    </w:p>
    <w:p>
      <w:pPr>
        <w:pStyle w:val="178"/>
        <w:numPr>
          <w:ilvl w:val="0"/>
          <w:numId w:val="34"/>
        </w:numPr>
      </w:pPr>
      <w:r>
        <w:rPr>
          <w:rFonts w:hint="eastAsia"/>
        </w:rPr>
        <w:t>名称及分档；</w:t>
      </w:r>
    </w:p>
    <w:p>
      <w:pPr>
        <w:pStyle w:val="178"/>
      </w:pPr>
      <w:r>
        <w:rPr>
          <w:rFonts w:hint="eastAsia"/>
        </w:rPr>
        <w:t>毛重、净重；</w:t>
      </w:r>
    </w:p>
    <w:p>
      <w:pPr>
        <w:pStyle w:val="178"/>
      </w:pPr>
      <w:r>
        <w:rPr>
          <w:rFonts w:hint="eastAsia"/>
        </w:rPr>
        <w:t>批号、件数；</w:t>
      </w:r>
    </w:p>
    <w:p>
      <w:pPr>
        <w:pStyle w:val="178"/>
      </w:pPr>
      <w:r>
        <w:rPr>
          <w:rFonts w:hint="eastAsia"/>
        </w:rPr>
        <w:t>各项检验结果及检验部门印记；</w:t>
      </w:r>
    </w:p>
    <w:p>
      <w:pPr>
        <w:pStyle w:val="178"/>
      </w:pPr>
      <w:r>
        <w:rPr>
          <w:rFonts w:hint="eastAsia"/>
        </w:rPr>
        <w:t>本文件编号或合同编号；</w:t>
      </w:r>
    </w:p>
    <w:p>
      <w:pPr>
        <w:pStyle w:val="178"/>
      </w:pPr>
      <w:r>
        <w:rPr>
          <w:rFonts w:hint="eastAsia"/>
        </w:rPr>
        <w:t>出厂日期。</w:t>
      </w:r>
    </w:p>
    <w:p>
      <w:pPr>
        <w:pStyle w:val="108"/>
        <w:spacing w:before="240" w:after="240"/>
      </w:pPr>
      <w:r>
        <w:rPr>
          <w:rFonts w:hint="eastAsia"/>
        </w:rPr>
        <w:t>订货单（或合同）内容</w:t>
      </w:r>
    </w:p>
    <w:p>
      <w:pPr>
        <w:pStyle w:val="60"/>
        <w:ind w:firstLine="420"/>
      </w:pPr>
      <w:r>
        <w:rPr>
          <w:rFonts w:hint="eastAsia"/>
        </w:rPr>
        <w:t>本文件所列产品的订货单（或合同）应包括下列内容，或可根据供需双方商定的方案列出：</w:t>
      </w:r>
    </w:p>
    <w:p>
      <w:pPr>
        <w:pStyle w:val="178"/>
        <w:numPr>
          <w:ilvl w:val="0"/>
          <w:numId w:val="35"/>
        </w:numPr>
      </w:pPr>
      <w:r>
        <w:rPr>
          <w:rFonts w:hint="eastAsia"/>
        </w:rPr>
        <w:t>名称；</w:t>
      </w:r>
    </w:p>
    <w:p>
      <w:pPr>
        <w:pStyle w:val="178"/>
      </w:pPr>
      <w:r>
        <w:rPr>
          <w:rFonts w:hint="eastAsia"/>
        </w:rPr>
        <w:t>要求；</w:t>
      </w:r>
    </w:p>
    <w:p>
      <w:pPr>
        <w:pStyle w:val="178"/>
      </w:pPr>
      <w:r>
        <w:rPr>
          <w:rFonts w:hint="eastAsia"/>
        </w:rPr>
        <w:t>数量。</w:t>
      </w:r>
    </w:p>
    <w:bookmarkEnd w:id="24"/>
    <w:p>
      <w:pPr>
        <w:pStyle w:val="60"/>
        <w:ind w:firstLine="0" w:firstLineChars="0"/>
        <w:jc w:val="center"/>
      </w:pPr>
      <w:bookmarkStart w:id="53"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YS/T 840—XXXX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YS/T 840—XXXX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YS/T 840—XXXX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YS/T 840—XXXX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6040"/>
        </w:tabs>
        <w:ind w:left="6040" w:hanging="648"/>
      </w:pPr>
    </w:lvl>
    <w:lvl w:ilvl="1" w:tentative="0">
      <w:start w:val="1"/>
      <w:numFmt w:val="lowerLetter"/>
      <w:lvlText w:val="%2)"/>
      <w:lvlJc w:val="left"/>
      <w:pPr>
        <w:tabs>
          <w:tab w:val="left" w:pos="6232"/>
        </w:tabs>
        <w:ind w:left="6232" w:hanging="420"/>
      </w:pPr>
    </w:lvl>
    <w:lvl w:ilvl="2" w:tentative="0">
      <w:start w:val="1"/>
      <w:numFmt w:val="lowerRoman"/>
      <w:lvlText w:val="%3."/>
      <w:lvlJc w:val="right"/>
      <w:pPr>
        <w:tabs>
          <w:tab w:val="left" w:pos="6652"/>
        </w:tabs>
        <w:ind w:left="6652" w:hanging="420"/>
      </w:pPr>
    </w:lvl>
    <w:lvl w:ilvl="3" w:tentative="0">
      <w:start w:val="1"/>
      <w:numFmt w:val="decimal"/>
      <w:lvlText w:val="%4."/>
      <w:lvlJc w:val="left"/>
      <w:pPr>
        <w:tabs>
          <w:tab w:val="left" w:pos="7072"/>
        </w:tabs>
        <w:ind w:left="7072" w:hanging="420"/>
      </w:pPr>
    </w:lvl>
    <w:lvl w:ilvl="4" w:tentative="0">
      <w:start w:val="1"/>
      <w:numFmt w:val="lowerLetter"/>
      <w:lvlText w:val="%5)"/>
      <w:lvlJc w:val="left"/>
      <w:pPr>
        <w:tabs>
          <w:tab w:val="left" w:pos="7492"/>
        </w:tabs>
        <w:ind w:left="7492" w:hanging="420"/>
      </w:pPr>
    </w:lvl>
    <w:lvl w:ilvl="5" w:tentative="0">
      <w:start w:val="1"/>
      <w:numFmt w:val="lowerRoman"/>
      <w:lvlText w:val="%6."/>
      <w:lvlJc w:val="right"/>
      <w:pPr>
        <w:tabs>
          <w:tab w:val="left" w:pos="7912"/>
        </w:tabs>
        <w:ind w:left="7912" w:hanging="420"/>
      </w:pPr>
    </w:lvl>
    <w:lvl w:ilvl="6" w:tentative="0">
      <w:start w:val="1"/>
      <w:numFmt w:val="decimal"/>
      <w:lvlText w:val="%7."/>
      <w:lvlJc w:val="left"/>
      <w:pPr>
        <w:tabs>
          <w:tab w:val="left" w:pos="8332"/>
        </w:tabs>
        <w:ind w:left="8332" w:hanging="420"/>
      </w:pPr>
    </w:lvl>
    <w:lvl w:ilvl="7" w:tentative="0">
      <w:start w:val="1"/>
      <w:numFmt w:val="lowerLetter"/>
      <w:lvlText w:val="%8)"/>
      <w:lvlJc w:val="left"/>
      <w:pPr>
        <w:tabs>
          <w:tab w:val="left" w:pos="8752"/>
        </w:tabs>
        <w:ind w:left="8752" w:hanging="420"/>
      </w:pPr>
    </w:lvl>
    <w:lvl w:ilvl="8" w:tentative="0">
      <w:start w:val="1"/>
      <w:numFmt w:val="lowerRoman"/>
      <w:lvlText w:val="%9."/>
      <w:lvlJc w:val="right"/>
      <w:pPr>
        <w:tabs>
          <w:tab w:val="left" w:pos="9172"/>
        </w:tabs>
        <w:ind w:left="9172"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334193"/>
    <w:rsid w:val="0000040A"/>
    <w:rsid w:val="00000A94"/>
    <w:rsid w:val="00001972"/>
    <w:rsid w:val="00001D9A"/>
    <w:rsid w:val="00007B3A"/>
    <w:rsid w:val="00010284"/>
    <w:rsid w:val="000107E0"/>
    <w:rsid w:val="00011FDE"/>
    <w:rsid w:val="00012FFD"/>
    <w:rsid w:val="00014162"/>
    <w:rsid w:val="00014340"/>
    <w:rsid w:val="00016A9C"/>
    <w:rsid w:val="000173D2"/>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5F90"/>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04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547"/>
    <w:rsid w:val="000A7311"/>
    <w:rsid w:val="000B060F"/>
    <w:rsid w:val="000B1592"/>
    <w:rsid w:val="000B19C9"/>
    <w:rsid w:val="000B1FF2"/>
    <w:rsid w:val="000B35A7"/>
    <w:rsid w:val="000B3CDA"/>
    <w:rsid w:val="000B6A0B"/>
    <w:rsid w:val="000C0242"/>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6FFB"/>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78F"/>
    <w:rsid w:val="0019348F"/>
    <w:rsid w:val="00193A07"/>
    <w:rsid w:val="00194C95"/>
    <w:rsid w:val="00195C34"/>
    <w:rsid w:val="001A1A53"/>
    <w:rsid w:val="001A234A"/>
    <w:rsid w:val="001B06E8"/>
    <w:rsid w:val="001B193E"/>
    <w:rsid w:val="001B71D0"/>
    <w:rsid w:val="001B71EE"/>
    <w:rsid w:val="001C04A8"/>
    <w:rsid w:val="001C1AF6"/>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9C6"/>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1066"/>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55F3"/>
    <w:rsid w:val="0026564F"/>
    <w:rsid w:val="00267EF4"/>
    <w:rsid w:val="00270CB8"/>
    <w:rsid w:val="00272B08"/>
    <w:rsid w:val="00281BB8"/>
    <w:rsid w:val="00281E9E"/>
    <w:rsid w:val="00285170"/>
    <w:rsid w:val="00285361"/>
    <w:rsid w:val="00292D60"/>
    <w:rsid w:val="002944F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35FB"/>
    <w:rsid w:val="002B4508"/>
    <w:rsid w:val="002B5779"/>
    <w:rsid w:val="002B7332"/>
    <w:rsid w:val="002B7F51"/>
    <w:rsid w:val="002C09E7"/>
    <w:rsid w:val="002C3F07"/>
    <w:rsid w:val="002C5278"/>
    <w:rsid w:val="002C6B54"/>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4193"/>
    <w:rsid w:val="00336C64"/>
    <w:rsid w:val="00337162"/>
    <w:rsid w:val="0034194F"/>
    <w:rsid w:val="00342DB8"/>
    <w:rsid w:val="00344605"/>
    <w:rsid w:val="003474AA"/>
    <w:rsid w:val="00350D1D"/>
    <w:rsid w:val="00351901"/>
    <w:rsid w:val="00352C83"/>
    <w:rsid w:val="00354A61"/>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C6D1D"/>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366FC"/>
    <w:rsid w:val="0044083F"/>
    <w:rsid w:val="00441AE7"/>
    <w:rsid w:val="00445574"/>
    <w:rsid w:val="004467FB"/>
    <w:rsid w:val="00450907"/>
    <w:rsid w:val="00452D6B"/>
    <w:rsid w:val="00454484"/>
    <w:rsid w:val="00454B9A"/>
    <w:rsid w:val="0045517B"/>
    <w:rsid w:val="004563CD"/>
    <w:rsid w:val="00463B77"/>
    <w:rsid w:val="00463C7B"/>
    <w:rsid w:val="00463F02"/>
    <w:rsid w:val="004644A6"/>
    <w:rsid w:val="00465765"/>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A12"/>
    <w:rsid w:val="004C7E9D"/>
    <w:rsid w:val="004C7F67"/>
    <w:rsid w:val="004D076D"/>
    <w:rsid w:val="004D0EF1"/>
    <w:rsid w:val="004D189E"/>
    <w:rsid w:val="004D2253"/>
    <w:rsid w:val="004D340E"/>
    <w:rsid w:val="004D4406"/>
    <w:rsid w:val="004D7C42"/>
    <w:rsid w:val="004E0465"/>
    <w:rsid w:val="004E127B"/>
    <w:rsid w:val="004E1C0A"/>
    <w:rsid w:val="004E3014"/>
    <w:rsid w:val="004E30C5"/>
    <w:rsid w:val="004E4AA5"/>
    <w:rsid w:val="004E4AEE"/>
    <w:rsid w:val="004E59E3"/>
    <w:rsid w:val="004E5D85"/>
    <w:rsid w:val="004E67C0"/>
    <w:rsid w:val="004F391A"/>
    <w:rsid w:val="004F3CFB"/>
    <w:rsid w:val="004F6456"/>
    <w:rsid w:val="004F696E"/>
    <w:rsid w:val="004F6C71"/>
    <w:rsid w:val="00500A89"/>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556C8"/>
    <w:rsid w:val="00561475"/>
    <w:rsid w:val="0056487B"/>
    <w:rsid w:val="00564FB9"/>
    <w:rsid w:val="00573D9E"/>
    <w:rsid w:val="005801E3"/>
    <w:rsid w:val="00581802"/>
    <w:rsid w:val="005836A8"/>
    <w:rsid w:val="0058409C"/>
    <w:rsid w:val="00584262"/>
    <w:rsid w:val="00586630"/>
    <w:rsid w:val="00587ADD"/>
    <w:rsid w:val="00593462"/>
    <w:rsid w:val="00593544"/>
    <w:rsid w:val="00596160"/>
    <w:rsid w:val="005966E2"/>
    <w:rsid w:val="00597007"/>
    <w:rsid w:val="005A0966"/>
    <w:rsid w:val="005A11B7"/>
    <w:rsid w:val="005A13C3"/>
    <w:rsid w:val="005A260B"/>
    <w:rsid w:val="005A4A1B"/>
    <w:rsid w:val="005A7830"/>
    <w:rsid w:val="005A7FCE"/>
    <w:rsid w:val="005B02C9"/>
    <w:rsid w:val="005B0F3F"/>
    <w:rsid w:val="005B4903"/>
    <w:rsid w:val="005B51CE"/>
    <w:rsid w:val="005B5885"/>
    <w:rsid w:val="005B5CD7"/>
    <w:rsid w:val="005B6CF6"/>
    <w:rsid w:val="005B7422"/>
    <w:rsid w:val="005C29B8"/>
    <w:rsid w:val="005C2C7C"/>
    <w:rsid w:val="005C5F21"/>
    <w:rsid w:val="005C7156"/>
    <w:rsid w:val="005C7DDE"/>
    <w:rsid w:val="005D090A"/>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3274"/>
    <w:rsid w:val="00614CC1"/>
    <w:rsid w:val="00615A9D"/>
    <w:rsid w:val="00617387"/>
    <w:rsid w:val="006252D8"/>
    <w:rsid w:val="006258C0"/>
    <w:rsid w:val="006259BC"/>
    <w:rsid w:val="0062636B"/>
    <w:rsid w:val="00632182"/>
    <w:rsid w:val="00632AE0"/>
    <w:rsid w:val="0063376B"/>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0007"/>
    <w:rsid w:val="006640E5"/>
    <w:rsid w:val="006646F1"/>
    <w:rsid w:val="00664929"/>
    <w:rsid w:val="00664F62"/>
    <w:rsid w:val="006655E1"/>
    <w:rsid w:val="00670AD9"/>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187"/>
    <w:rsid w:val="006B2672"/>
    <w:rsid w:val="006B54BF"/>
    <w:rsid w:val="006B5F44"/>
    <w:rsid w:val="006B5F90"/>
    <w:rsid w:val="006B62E4"/>
    <w:rsid w:val="006B7562"/>
    <w:rsid w:val="006B7FB0"/>
    <w:rsid w:val="006C1BBA"/>
    <w:rsid w:val="006C2079"/>
    <w:rsid w:val="006C317D"/>
    <w:rsid w:val="006C5A62"/>
    <w:rsid w:val="006C5D68"/>
    <w:rsid w:val="006C6976"/>
    <w:rsid w:val="006C6DBD"/>
    <w:rsid w:val="006C6DD0"/>
    <w:rsid w:val="006D04EA"/>
    <w:rsid w:val="006D16C4"/>
    <w:rsid w:val="006D3E96"/>
    <w:rsid w:val="006D4515"/>
    <w:rsid w:val="006D4BB1"/>
    <w:rsid w:val="006D6593"/>
    <w:rsid w:val="006D686E"/>
    <w:rsid w:val="006F03A8"/>
    <w:rsid w:val="006F126C"/>
    <w:rsid w:val="006F2ACA"/>
    <w:rsid w:val="006F2ADC"/>
    <w:rsid w:val="006F2BFE"/>
    <w:rsid w:val="006F2FED"/>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69AE"/>
    <w:rsid w:val="0073720F"/>
    <w:rsid w:val="00737796"/>
    <w:rsid w:val="00740D41"/>
    <w:rsid w:val="0074165C"/>
    <w:rsid w:val="00742C35"/>
    <w:rsid w:val="007432CA"/>
    <w:rsid w:val="007439EB"/>
    <w:rsid w:val="00743CB4"/>
    <w:rsid w:val="00743F0A"/>
    <w:rsid w:val="007444E8"/>
    <w:rsid w:val="0074548E"/>
    <w:rsid w:val="00745773"/>
    <w:rsid w:val="00746800"/>
    <w:rsid w:val="00747CF0"/>
    <w:rsid w:val="007501A8"/>
    <w:rsid w:val="00750214"/>
    <w:rsid w:val="00750EE1"/>
    <w:rsid w:val="00752B4D"/>
    <w:rsid w:val="00753148"/>
    <w:rsid w:val="00755402"/>
    <w:rsid w:val="00756B26"/>
    <w:rsid w:val="00756EDF"/>
    <w:rsid w:val="00765C43"/>
    <w:rsid w:val="00765EFB"/>
    <w:rsid w:val="007671CA"/>
    <w:rsid w:val="0076744F"/>
    <w:rsid w:val="00767C61"/>
    <w:rsid w:val="0077008A"/>
    <w:rsid w:val="007723B8"/>
    <w:rsid w:val="00773C1F"/>
    <w:rsid w:val="00774DA4"/>
    <w:rsid w:val="00776599"/>
    <w:rsid w:val="0078114B"/>
    <w:rsid w:val="00781DD2"/>
    <w:rsid w:val="00783ECF"/>
    <w:rsid w:val="0078413A"/>
    <w:rsid w:val="00791176"/>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4D66"/>
    <w:rsid w:val="00825138"/>
    <w:rsid w:val="008269DD"/>
    <w:rsid w:val="00830621"/>
    <w:rsid w:val="0083348C"/>
    <w:rsid w:val="00833DB6"/>
    <w:rsid w:val="008373D3"/>
    <w:rsid w:val="00840051"/>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2522"/>
    <w:rsid w:val="008729B1"/>
    <w:rsid w:val="00883F93"/>
    <w:rsid w:val="00884DB3"/>
    <w:rsid w:val="00885A9D"/>
    <w:rsid w:val="008864F6"/>
    <w:rsid w:val="0089049D"/>
    <w:rsid w:val="008928C9"/>
    <w:rsid w:val="008938DC"/>
    <w:rsid w:val="00893FD1"/>
    <w:rsid w:val="00894836"/>
    <w:rsid w:val="00895172"/>
    <w:rsid w:val="00895680"/>
    <w:rsid w:val="0089631B"/>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0AA"/>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3A74"/>
    <w:rsid w:val="009062E6"/>
    <w:rsid w:val="00911AF6"/>
    <w:rsid w:val="00911BE5"/>
    <w:rsid w:val="00913CA9"/>
    <w:rsid w:val="009145AE"/>
    <w:rsid w:val="009146CE"/>
    <w:rsid w:val="00914CA7"/>
    <w:rsid w:val="00915C3E"/>
    <w:rsid w:val="009161A8"/>
    <w:rsid w:val="009245F5"/>
    <w:rsid w:val="009249EC"/>
    <w:rsid w:val="009273B3"/>
    <w:rsid w:val="00927A8E"/>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468"/>
    <w:rsid w:val="0098364B"/>
    <w:rsid w:val="009911AF"/>
    <w:rsid w:val="00991875"/>
    <w:rsid w:val="00991F92"/>
    <w:rsid w:val="00992985"/>
    <w:rsid w:val="00993889"/>
    <w:rsid w:val="00994782"/>
    <w:rsid w:val="0099551B"/>
    <w:rsid w:val="0099777F"/>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224"/>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26A1"/>
    <w:rsid w:val="00A627B7"/>
    <w:rsid w:val="00A648CD"/>
    <w:rsid w:val="00A6537A"/>
    <w:rsid w:val="00A66DCC"/>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02D"/>
    <w:rsid w:val="00A963F7"/>
    <w:rsid w:val="00A96AD8"/>
    <w:rsid w:val="00AA052C"/>
    <w:rsid w:val="00AA1E45"/>
    <w:rsid w:val="00AA30E6"/>
    <w:rsid w:val="00AA4286"/>
    <w:rsid w:val="00AA456B"/>
    <w:rsid w:val="00AA4ED7"/>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A46"/>
    <w:rsid w:val="00AE5EB4"/>
    <w:rsid w:val="00AE6939"/>
    <w:rsid w:val="00AF0C18"/>
    <w:rsid w:val="00AF1B92"/>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1A0"/>
    <w:rsid w:val="00B342F4"/>
    <w:rsid w:val="00B34369"/>
    <w:rsid w:val="00B34DC2"/>
    <w:rsid w:val="00B378E5"/>
    <w:rsid w:val="00B4346D"/>
    <w:rsid w:val="00B440F4"/>
    <w:rsid w:val="00B44432"/>
    <w:rsid w:val="00B447A5"/>
    <w:rsid w:val="00B4654C"/>
    <w:rsid w:val="00B47293"/>
    <w:rsid w:val="00B4754E"/>
    <w:rsid w:val="00B50E50"/>
    <w:rsid w:val="00B52120"/>
    <w:rsid w:val="00B54ABC"/>
    <w:rsid w:val="00B56FBE"/>
    <w:rsid w:val="00B62B58"/>
    <w:rsid w:val="00B65149"/>
    <w:rsid w:val="00B66567"/>
    <w:rsid w:val="00B66F52"/>
    <w:rsid w:val="00B66FE5"/>
    <w:rsid w:val="00B72880"/>
    <w:rsid w:val="00B758BF"/>
    <w:rsid w:val="00B827A6"/>
    <w:rsid w:val="00B831CE"/>
    <w:rsid w:val="00B84987"/>
    <w:rsid w:val="00B86677"/>
    <w:rsid w:val="00B87131"/>
    <w:rsid w:val="00B939B1"/>
    <w:rsid w:val="00B96D40"/>
    <w:rsid w:val="00B97386"/>
    <w:rsid w:val="00B974C5"/>
    <w:rsid w:val="00B978DB"/>
    <w:rsid w:val="00BA263B"/>
    <w:rsid w:val="00BA42B2"/>
    <w:rsid w:val="00BA58D4"/>
    <w:rsid w:val="00BA5B9E"/>
    <w:rsid w:val="00BA7C9A"/>
    <w:rsid w:val="00BB2630"/>
    <w:rsid w:val="00BB5F8F"/>
    <w:rsid w:val="00BB657A"/>
    <w:rsid w:val="00BC1A4E"/>
    <w:rsid w:val="00BC5DC7"/>
    <w:rsid w:val="00BC6B41"/>
    <w:rsid w:val="00BC6B8B"/>
    <w:rsid w:val="00BC73D8"/>
    <w:rsid w:val="00BD303A"/>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3FC8"/>
    <w:rsid w:val="00C21540"/>
    <w:rsid w:val="00C21906"/>
    <w:rsid w:val="00C21BFA"/>
    <w:rsid w:val="00C24C8D"/>
    <w:rsid w:val="00C25FE2"/>
    <w:rsid w:val="00C260F4"/>
    <w:rsid w:val="00C26B53"/>
    <w:rsid w:val="00C279B2"/>
    <w:rsid w:val="00C33E50"/>
    <w:rsid w:val="00C34C20"/>
    <w:rsid w:val="00C358C5"/>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0D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61"/>
    <w:rsid w:val="00CF7BCA"/>
    <w:rsid w:val="00D008FD"/>
    <w:rsid w:val="00D0321C"/>
    <w:rsid w:val="00D035EC"/>
    <w:rsid w:val="00D06AB1"/>
    <w:rsid w:val="00D072ED"/>
    <w:rsid w:val="00D07A16"/>
    <w:rsid w:val="00D1067E"/>
    <w:rsid w:val="00D10F50"/>
    <w:rsid w:val="00D11272"/>
    <w:rsid w:val="00D126F5"/>
    <w:rsid w:val="00D127B7"/>
    <w:rsid w:val="00D1489E"/>
    <w:rsid w:val="00D20737"/>
    <w:rsid w:val="00D2149D"/>
    <w:rsid w:val="00D21E81"/>
    <w:rsid w:val="00D223DE"/>
    <w:rsid w:val="00D25E37"/>
    <w:rsid w:val="00D2661A"/>
    <w:rsid w:val="00D27582"/>
    <w:rsid w:val="00D31878"/>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13B0"/>
    <w:rsid w:val="00D84941"/>
    <w:rsid w:val="00D84FA1"/>
    <w:rsid w:val="00D851F0"/>
    <w:rsid w:val="00D86DB7"/>
    <w:rsid w:val="00D9060C"/>
    <w:rsid w:val="00D926D0"/>
    <w:rsid w:val="00D93030"/>
    <w:rsid w:val="00D943AF"/>
    <w:rsid w:val="00D950E1"/>
    <w:rsid w:val="00D952A6"/>
    <w:rsid w:val="00D97F99"/>
    <w:rsid w:val="00DA17A5"/>
    <w:rsid w:val="00DA1E08"/>
    <w:rsid w:val="00DA24F8"/>
    <w:rsid w:val="00DA28E8"/>
    <w:rsid w:val="00DA38D3"/>
    <w:rsid w:val="00DA3932"/>
    <w:rsid w:val="00DA3A65"/>
    <w:rsid w:val="00DA3AFC"/>
    <w:rsid w:val="00DA4C14"/>
    <w:rsid w:val="00DA64F8"/>
    <w:rsid w:val="00DA6C15"/>
    <w:rsid w:val="00DB38EE"/>
    <w:rsid w:val="00DB498B"/>
    <w:rsid w:val="00DB66CA"/>
    <w:rsid w:val="00DB6BCA"/>
    <w:rsid w:val="00DB7113"/>
    <w:rsid w:val="00DB7924"/>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06A4B"/>
    <w:rsid w:val="00E11A85"/>
    <w:rsid w:val="00E12495"/>
    <w:rsid w:val="00E15CCD"/>
    <w:rsid w:val="00E15D9E"/>
    <w:rsid w:val="00E202EF"/>
    <w:rsid w:val="00E210B5"/>
    <w:rsid w:val="00E2552F"/>
    <w:rsid w:val="00E3137A"/>
    <w:rsid w:val="00E31FEF"/>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20A8"/>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32"/>
    <w:rsid w:val="00E94AF0"/>
    <w:rsid w:val="00E95D13"/>
    <w:rsid w:val="00E95DD3"/>
    <w:rsid w:val="00E969D5"/>
    <w:rsid w:val="00EA302F"/>
    <w:rsid w:val="00EA58D1"/>
    <w:rsid w:val="00EA61BC"/>
    <w:rsid w:val="00EA681A"/>
    <w:rsid w:val="00EA735B"/>
    <w:rsid w:val="00EB1E69"/>
    <w:rsid w:val="00EB2086"/>
    <w:rsid w:val="00EB309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64C"/>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36E69"/>
    <w:rsid w:val="00F420D5"/>
    <w:rsid w:val="00F4382E"/>
    <w:rsid w:val="00F451EA"/>
    <w:rsid w:val="00F45447"/>
    <w:rsid w:val="00F456C6"/>
    <w:rsid w:val="00F4577B"/>
    <w:rsid w:val="00F46496"/>
    <w:rsid w:val="00F474D0"/>
    <w:rsid w:val="00F50179"/>
    <w:rsid w:val="00F50677"/>
    <w:rsid w:val="00F56511"/>
    <w:rsid w:val="00F6194E"/>
    <w:rsid w:val="00F623AC"/>
    <w:rsid w:val="00F6412A"/>
    <w:rsid w:val="00F65893"/>
    <w:rsid w:val="00F66A4A"/>
    <w:rsid w:val="00F71E22"/>
    <w:rsid w:val="00F72142"/>
    <w:rsid w:val="00F72AE7"/>
    <w:rsid w:val="00F77D98"/>
    <w:rsid w:val="00F833BA"/>
    <w:rsid w:val="00F84FD0"/>
    <w:rsid w:val="00F8569D"/>
    <w:rsid w:val="00F859A8"/>
    <w:rsid w:val="00F9108B"/>
    <w:rsid w:val="00F91349"/>
    <w:rsid w:val="00F93A8A"/>
    <w:rsid w:val="00F95248"/>
    <w:rsid w:val="00F95698"/>
    <w:rsid w:val="00F956A9"/>
    <w:rsid w:val="00F963ED"/>
    <w:rsid w:val="00F966CF"/>
    <w:rsid w:val="00F96CAE"/>
    <w:rsid w:val="00F97C99"/>
    <w:rsid w:val="00FA662D"/>
    <w:rsid w:val="00FA6730"/>
    <w:rsid w:val="00FA73B1"/>
    <w:rsid w:val="00FB0CB9"/>
    <w:rsid w:val="00FB424B"/>
    <w:rsid w:val="00FB45F1"/>
    <w:rsid w:val="00FB4A72"/>
    <w:rsid w:val="00FB54E8"/>
    <w:rsid w:val="00FB7054"/>
    <w:rsid w:val="00FC17B7"/>
    <w:rsid w:val="00FC2CB7"/>
    <w:rsid w:val="00FC4090"/>
    <w:rsid w:val="00FC4DB1"/>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2542D70"/>
    <w:rsid w:val="3DBD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autoRedefine/>
    <w:uiPriority w:val="0"/>
    <w:pPr>
      <w:ind w:firstLine="420"/>
    </w:pPr>
  </w:style>
  <w:style w:type="paragraph" w:styleId="13">
    <w:name w:val="annotation text"/>
    <w:basedOn w:val="1"/>
    <w:link w:val="236"/>
    <w:semiHidden/>
    <w:unhideWhenUsed/>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3"/>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autoRedefine/>
    <w:qFormat/>
    <w:uiPriority w:val="0"/>
    <w:pPr>
      <w:widowControl/>
      <w:adjustRightInd/>
      <w:spacing w:before="100" w:beforeAutospacing="1" w:after="100" w:afterAutospacing="1" w:line="384" w:lineRule="auto"/>
      <w:jc w:val="left"/>
    </w:pPr>
    <w:rPr>
      <w:rFonts w:ascii="宋体" w:hAnsi="宋体"/>
      <w:color w:val="000000"/>
      <w:kern w:val="0"/>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semiHidden/>
    <w:unhideWhenUsed/>
    <w:uiPriority w:val="99"/>
    <w:rPr>
      <w:b/>
      <w:bC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autoRedefine/>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autoRedefine/>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autoRedefine/>
    <w:qFormat/>
    <w:uiPriority w:val="0"/>
    <w:rPr>
      <w:rFonts w:ascii="Arial" w:hAnsi="Arial" w:eastAsia="黑体"/>
      <w:kern w:val="2"/>
      <w:sz w:val="21"/>
      <w:szCs w:val="21"/>
    </w:rPr>
  </w:style>
  <w:style w:type="character" w:customStyle="1" w:styleId="47">
    <w:name w:val="页眉 字符"/>
    <w:link w:val="19"/>
    <w:autoRedefine/>
    <w:qFormat/>
    <w:uiPriority w:val="99"/>
    <w:rPr>
      <w:kern w:val="2"/>
      <w:sz w:val="18"/>
      <w:szCs w:val="18"/>
    </w:rPr>
  </w:style>
  <w:style w:type="character" w:customStyle="1" w:styleId="48">
    <w:name w:val="页脚 字符"/>
    <w:link w:val="18"/>
    <w:autoRedefine/>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autoRedefine/>
    <w:qFormat/>
    <w:uiPriority w:val="29"/>
    <w:rPr>
      <w:i/>
      <w:iCs/>
      <w:color w:val="000000"/>
    </w:rPr>
  </w:style>
  <w:style w:type="character" w:customStyle="1" w:styleId="51">
    <w:name w:val="引用 字符"/>
    <w:link w:val="50"/>
    <w:autoRedefine/>
    <w:qFormat/>
    <w:uiPriority w:val="29"/>
    <w:rPr>
      <w:i/>
      <w:iCs/>
      <w:color w:val="000000"/>
      <w:kern w:val="2"/>
      <w:sz w:val="21"/>
      <w:szCs w:val="21"/>
    </w:rPr>
  </w:style>
  <w:style w:type="character" w:customStyle="1" w:styleId="52">
    <w:name w:val="标题 字符"/>
    <w:link w:val="27"/>
    <w:autoRedefine/>
    <w:qFormat/>
    <w:uiPriority w:val="0"/>
    <w:rPr>
      <w:rFonts w:ascii="Arial" w:hAnsi="Arial" w:cs="Arial"/>
      <w:b/>
      <w:bCs/>
      <w:kern w:val="2"/>
      <w:sz w:val="32"/>
      <w:szCs w:val="32"/>
    </w:rPr>
  </w:style>
  <w:style w:type="paragraph" w:customStyle="1" w:styleId="53">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autoRedefine/>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autoRedefine/>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3"/>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autoRedefine/>
    <w:qFormat/>
    <w:uiPriority w:val="0"/>
    <w:pPr>
      <w:spacing w:line="240" w:lineRule="auto"/>
      <w:jc w:val="center"/>
    </w:pPr>
    <w:rPr>
      <w:rFonts w:ascii="黑体" w:eastAsia="黑体"/>
      <w:kern w:val="0"/>
      <w:sz w:val="52"/>
    </w:rPr>
  </w:style>
  <w:style w:type="paragraph" w:customStyle="1" w:styleId="75">
    <w:name w:val="标准文件_封面标准英文名称"/>
    <w:basedOn w:val="1"/>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autoRedefine/>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autoRedefine/>
    <w:qFormat/>
    <w:uiPriority w:val="0"/>
    <w:rPr>
      <w:kern w:val="2"/>
      <w:sz w:val="21"/>
      <w:szCs w:val="21"/>
    </w:rPr>
  </w:style>
  <w:style w:type="paragraph" w:customStyle="1" w:styleId="91">
    <w:name w:val="标准文件_附录章标题"/>
    <w:next w:val="60"/>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ind w:left="0" w:firstLine="0"/>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10"/>
      </w:numPr>
    </w:pPr>
  </w:style>
  <w:style w:type="paragraph" w:customStyle="1" w:styleId="98">
    <w:name w:val="标准文件_三级条标题"/>
    <w:basedOn w:val="69"/>
    <w:next w:val="60"/>
    <w:uiPriority w:val="0"/>
    <w:pPr>
      <w:widowControl/>
      <w:numPr>
        <w:ilvl w:val="4"/>
      </w:numPr>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uiPriority w:val="0"/>
    <w:pPr>
      <w:outlineLvl w:val="4"/>
    </w:pPr>
  </w:style>
  <w:style w:type="paragraph" w:customStyle="1" w:styleId="134">
    <w:name w:val="附录四级无标题条"/>
    <w:basedOn w:val="133"/>
    <w:next w:val="60"/>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uiPriority w:val="0"/>
    <w:pPr>
      <w:ind w:left="1680"/>
    </w:pPr>
  </w:style>
  <w:style w:type="paragraph" w:customStyle="1" w:styleId="15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uiPriority w:val="0"/>
    <w:pPr>
      <w:jc w:val="both"/>
    </w:pPr>
    <w:rPr>
      <w:rFonts w:ascii="宋体" w:hAnsi="宋体" w:eastAsia="宋体" w:cs="Times New Roman"/>
      <w:sz w:val="21"/>
      <w:lang w:val="en-US" w:eastAsia="zh-CN" w:bidi="ar-SA"/>
    </w:rPr>
  </w:style>
  <w:style w:type="paragraph" w:customStyle="1" w:styleId="162">
    <w:name w:val="五级无标题条"/>
    <w:basedOn w:val="1"/>
    <w:uiPriority w:val="0"/>
    <w:pPr>
      <w:numPr>
        <w:ilvl w:val="6"/>
        <w:numId w:val="20"/>
      </w:numPr>
      <w:adjustRightInd/>
    </w:pPr>
    <w:rPr>
      <w:szCs w:val="24"/>
    </w:rPr>
  </w:style>
  <w:style w:type="paragraph" w:customStyle="1" w:styleId="163">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4">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uiPriority w:val="0"/>
    <w:rPr>
      <w:rFonts w:ascii="黑体" w:eastAsia="黑体"/>
      <w:spacing w:val="85"/>
      <w:w w:val="100"/>
      <w:position w:val="3"/>
      <w:sz w:val="28"/>
      <w:szCs w:val="28"/>
    </w:rPr>
  </w:style>
  <w:style w:type="paragraph" w:customStyle="1" w:styleId="2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批注文字 字符"/>
    <w:basedOn w:val="31"/>
    <w:link w:val="13"/>
    <w:semiHidden/>
    <w:uiPriority w:val="99"/>
    <w:rPr>
      <w:kern w:val="2"/>
      <w:sz w:val="21"/>
      <w:szCs w:val="21"/>
    </w:rPr>
  </w:style>
  <w:style w:type="character" w:customStyle="1" w:styleId="237">
    <w:name w:val="批注主题 字符"/>
    <w:basedOn w:val="236"/>
    <w:link w:val="28"/>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40BB6EF64464B64ABC6F60DDB0B4ED4"/>
        <w:style w:val=""/>
        <w:category>
          <w:name w:val="常规"/>
          <w:gallery w:val="placeholder"/>
        </w:category>
        <w:types>
          <w:type w:val="bbPlcHdr"/>
        </w:types>
        <w:behaviors>
          <w:behavior w:val="content"/>
        </w:behaviors>
        <w:description w:val=""/>
        <w:guid w:val="{FC99F30A-5E0C-48DF-93ED-BAF4545F25F6}"/>
      </w:docPartPr>
      <w:docPartBody>
        <w:p>
          <w:pPr>
            <w:pStyle w:val="5"/>
          </w:pPr>
          <w:r>
            <w:rPr>
              <w:rStyle w:val="4"/>
              <w:rFonts w:hint="eastAsia"/>
            </w:rPr>
            <w:t>单击或点击此处输入文字。</w:t>
          </w:r>
        </w:p>
      </w:docPartBody>
    </w:docPart>
    <w:docPart>
      <w:docPartPr>
        <w:name w:val="0E15A99710AD4B16983CAE2D28CDD0C0"/>
        <w:style w:val=""/>
        <w:category>
          <w:name w:val="常规"/>
          <w:gallery w:val="placeholder"/>
        </w:category>
        <w:types>
          <w:type w:val="bbPlcHdr"/>
        </w:types>
        <w:behaviors>
          <w:behavior w:val="content"/>
        </w:behaviors>
        <w:description w:val=""/>
        <w:guid w:val="{256C9354-4D09-4C6A-A30C-DA2637FE4820}"/>
      </w:docPartPr>
      <w:docPartBody>
        <w:p>
          <w:pPr>
            <w:pStyle w:val="6"/>
          </w:pPr>
          <w:r>
            <w:rPr>
              <w:rStyle w:val="4"/>
              <w:rFonts w:hint="eastAsia"/>
            </w:rPr>
            <w:t>选择一项。</w:t>
          </w:r>
        </w:p>
      </w:docPartBody>
    </w:docPart>
    <w:docPart>
      <w:docPartPr>
        <w:name w:val="5BE6D34524FD43E180F02551684149A4"/>
        <w:style w:val=""/>
        <w:category>
          <w:name w:val="常规"/>
          <w:gallery w:val="placeholder"/>
        </w:category>
        <w:types>
          <w:type w:val="bbPlcHdr"/>
        </w:types>
        <w:behaviors>
          <w:behavior w:val="content"/>
        </w:behaviors>
        <w:description w:val=""/>
        <w:guid w:val="{33CF6F48-9053-4814-9B1D-C30CCCFFB16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43"/>
    <w:rsid w:val="0008197C"/>
    <w:rsid w:val="000E2FD6"/>
    <w:rsid w:val="00121B3F"/>
    <w:rsid w:val="002A45B1"/>
    <w:rsid w:val="002B17AD"/>
    <w:rsid w:val="00322454"/>
    <w:rsid w:val="003D7536"/>
    <w:rsid w:val="00456082"/>
    <w:rsid w:val="005D716F"/>
    <w:rsid w:val="00666AC1"/>
    <w:rsid w:val="006F651A"/>
    <w:rsid w:val="00927331"/>
    <w:rsid w:val="00983C6F"/>
    <w:rsid w:val="009E6A43"/>
    <w:rsid w:val="00A02E25"/>
    <w:rsid w:val="00A65651"/>
    <w:rsid w:val="00A81C71"/>
    <w:rsid w:val="00CB5FE0"/>
    <w:rsid w:val="00D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40BB6EF64464B64ABC6F60DDB0B4E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15A99710AD4B16983CAE2D28CDD0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BE6D34524FD43E180F02551684149A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8B77A-7EAE-494D-BE96-94427246C7DE}">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6</Pages>
  <Words>650</Words>
  <Characters>3707</Characters>
  <Lines>30</Lines>
  <Paragraphs>8</Paragraphs>
  <TotalTime>248</TotalTime>
  <ScaleCrop>false</ScaleCrop>
  <LinksUpToDate>false</LinksUpToDate>
  <CharactersWithSpaces>4349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2023-10-31T03:23:00Z</dcterms:created>
  <dc:creator>任秀强</dc:creator>
  <dc:description>&lt;config cover="true" show_menu="true" version="1.0.0" doctype="SDKXY"&gt;_x000d_
&lt;/config&gt;</dc:description>
  <cp:lastModifiedBy>素素</cp:lastModifiedBy>
  <cp:lastPrinted>2021-02-02T08:18:00Z</cp:lastPrinted>
  <dcterms:modified xsi:type="dcterms:W3CDTF">2024-04-03T06:25:53Z</dcterms:modified>
  <dc:title>行业标准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2052-12.1.0.16417</vt:lpwstr>
  </property>
  <property fmtid="{D5CDD505-2E9C-101B-9397-08002B2CF9AE}" pid="16" name="ICV">
    <vt:lpwstr>10F9112111A64133B8771A9F96FAB307</vt:lpwstr>
  </property>
</Properties>
</file>