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framePr w:wrap="around"/>
      </w:pPr>
      <w:r>
        <w:rPr>
          <w:rFonts w:hint="eastAsia" w:hAnsi="黑体" w:cs="黑体"/>
        </w:rPr>
        <w:t>ICS</w:t>
      </w:r>
      <w:r>
        <w:rPr>
          <w:rFonts w:hAnsi="黑体"/>
        </w:rPr>
        <w:t> </w:t>
      </w:r>
      <w:r>
        <w:t>77.120.6</w:t>
      </w:r>
      <w:r>
        <w:rPr>
          <w:rFonts w:hint="eastAsia"/>
        </w:rPr>
        <w:t>0</w:t>
      </w:r>
    </w:p>
    <w:p>
      <w:pPr>
        <w:pStyle w:val="29"/>
        <w:framePr w:wrap="around"/>
      </w:pPr>
      <w:r>
        <w:rPr>
          <w:rFonts w:hint="eastAsia"/>
        </w:rPr>
        <w:t>C</w:t>
      </w:r>
      <w:r>
        <w:t xml:space="preserve">CS H </w:t>
      </w:r>
      <w:r>
        <w:rPr>
          <w:rFonts w:hint="eastAsia"/>
        </w:rPr>
        <w:t>62</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29"/>
              <w:framePr w:wrap="around"/>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JHkKsrMBAAB1AwAADgAAAGRycy9lMm9Eb2MueG1srVNNj9Mw&#10;EL0j8R8s32maSnRL1HQFVIUDgpUWfoDr2IklfzHjNu2/Z+yEsiyXPZBDMuMZv5n3ZrK9vzjLzgrQ&#10;BN/yerHkTHkZOuP7lv/4fniz4QyT8J2wwauWXxXy+93rV9sxNmoVhmA7BYxAPDZjbPmQUmyqCuWg&#10;nMBFiMpTUAdwIpELfdWBGAnd2Wq1XK6rMUAXIUiFSKf7KchnRHgJYNDaSLUP8uSUTxMqKCsSUcLB&#10;ROS70q3WSqZvWqNKzLacmKbypiJkH/O72m1F04OIg5FzC+IlLTzj5ITxVPQGtRdJsBOYf6CckRAw&#10;6LSQwVUTkaIIsaiXz7R5HERUhQtJjfEmOv4/WPn1/ADMdLQJnHnhaOAf3n/OsowRG4o+xgeYPSQz&#10;c7xocPlL3bNLkfJ6k1JdEpN0uFmv7+7eciYpVL/b1KsidfXncgRMn1RwLBstB5pUEVCcv2CigpT6&#10;OyXXwmBNdzDWFgf640cL7Cxoqofy5I7pyl9p1udkH/K1KTydqLIXc5lMcyKWrWPorqTHSAvRcvx5&#10;EqA4O0Uw/UBN1qVKzqNplHrz5uRxP/XJfvq37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K4v&#10;7NUAAAAHAQAADwAAAAAAAAABACAAAAAiAAAAZHJzL2Rvd25yZXYueG1sUEsBAhQAFAAAAAgAh07i&#10;QCR5CrKzAQAAdQMAAA4AAAAAAAAAAQAgAAAAJAEAAGRycy9lMm9Eb2MueG1sUEsFBgAAAAAGAAYA&#10;WQEAAEkFAAAAAA==&#10;">
                      <v:fill on="t" focussize="0,0"/>
                      <v:stroke on="f"/>
                      <v:imagedata o:title=""/>
                      <o:lock v:ext="edit" aspectratio="f"/>
                    </v:rect>
                  </w:pict>
                </mc:Fallback>
              </mc:AlternateContent>
            </w:r>
          </w:p>
        </w:tc>
      </w:tr>
    </w:tbl>
    <w:p>
      <w:pPr>
        <w:pStyle w:val="42"/>
        <w:framePr w:wrap="around"/>
      </w:pPr>
      <w:r>
        <w:fldChar w:fldCharType="begin">
          <w:ffData>
            <w:name w:val="c1"/>
            <w:enabled/>
            <w:calcOnExit w:val="0"/>
            <w:textInput>
              <w:default w:val="YS"/>
              <w:maxLength w:val="2"/>
            </w:textInput>
          </w:ffData>
        </w:fldChar>
      </w:r>
      <w:bookmarkStart w:id="0" w:name="c1"/>
      <w:r>
        <w:instrText xml:space="preserve"> FORMTEXT </w:instrText>
      </w:r>
      <w:r>
        <w:fldChar w:fldCharType="separate"/>
      </w:r>
      <w:r>
        <w:t>YS</w:t>
      </w:r>
      <w:r>
        <w:fldChar w:fldCharType="end"/>
      </w:r>
      <w:bookmarkEnd w:id="0"/>
    </w:p>
    <w:p>
      <w:pPr>
        <w:pStyle w:val="22"/>
        <w:framePr w:wrap="around"/>
      </w:pPr>
      <w:r>
        <w:rPr>
          <w:rFonts w:hint="eastAsia"/>
        </w:rPr>
        <w:t>中华人民共和国</w:t>
      </w:r>
      <w:r>
        <w:fldChar w:fldCharType="begin">
          <w:ffData>
            <w:name w:val="c2"/>
            <w:enabled/>
            <w:calcOnExit w:val="0"/>
            <w:textInput>
              <w:default w:val="有色金属"/>
            </w:textInput>
          </w:ffData>
        </w:fldChar>
      </w:r>
      <w:bookmarkStart w:id="1" w:name="c2"/>
      <w:r>
        <w:instrText xml:space="preserve"> FORMTEXT </w:instrText>
      </w:r>
      <w:r>
        <w:fldChar w:fldCharType="separate"/>
      </w:r>
      <w:r>
        <w:t>有色金属</w:t>
      </w:r>
      <w:r>
        <w:fldChar w:fldCharType="end"/>
      </w:r>
      <w:bookmarkEnd w:id="1"/>
      <w:r>
        <w:rPr>
          <w:rFonts w:hint="eastAsia"/>
        </w:rPr>
        <w:t>行业标准</w:t>
      </w:r>
    </w:p>
    <w:p>
      <w:pPr>
        <w:pStyle w:val="39"/>
        <w:framePr w:wrap="around"/>
        <w:wordWrap w:val="0"/>
        <w:rPr>
          <w:rFonts w:hAnsi="黑体"/>
        </w:rPr>
      </w:pPr>
      <w:r>
        <w:rPr>
          <w:rFonts w:hint="eastAsia" w:hAnsi="黑体" w:cs="黑体"/>
        </w:rPr>
        <w:fldChar w:fldCharType="begin">
          <w:ffData>
            <w:name w:val="StdNo0"/>
            <w:enabled/>
            <w:calcOnExit w:val="0"/>
            <w:textInput>
              <w:default w:val="YS"/>
              <w:maxLength w:val="2"/>
            </w:textInput>
          </w:ffData>
        </w:fldChar>
      </w:r>
      <w:bookmarkStart w:id="2" w:name="StdNo0"/>
      <w:r>
        <w:rPr>
          <w:rFonts w:hint="eastAsia" w:hAnsi="黑体" w:cs="黑体"/>
        </w:rPr>
        <w:instrText xml:space="preserve"> FORMTEXT </w:instrText>
      </w:r>
      <w:r>
        <w:rPr>
          <w:rFonts w:hint="eastAsia" w:hAnsi="黑体" w:cs="黑体"/>
        </w:rPr>
        <w:fldChar w:fldCharType="separate"/>
      </w:r>
      <w:r>
        <w:rPr>
          <w:rFonts w:hint="eastAsia" w:hAnsi="黑体" w:cs="黑体"/>
        </w:rPr>
        <w:t>YS</w:t>
      </w:r>
      <w:r>
        <w:rPr>
          <w:rFonts w:hint="eastAsia" w:hAnsi="黑体" w:cs="黑体"/>
        </w:rPr>
        <w:fldChar w:fldCharType="end"/>
      </w:r>
      <w:bookmarkEnd w:id="2"/>
      <w:r>
        <w:rPr>
          <w:rFonts w:hint="eastAsia" w:hAnsi="黑体" w:cs="黑体"/>
        </w:rPr>
        <w:t>/T 475.3—</w:t>
      </w:r>
      <w:r>
        <w:rPr>
          <w:rFonts w:hint="eastAsia" w:hAnsi="黑体" w:cs="黑体"/>
        </w:rPr>
        <w:fldChar w:fldCharType="begin">
          <w:ffData>
            <w:name w:val="StdNo2"/>
            <w:enabled/>
            <w:calcOnExit w:val="0"/>
            <w:textInput>
              <w:default w:val="202X"/>
              <w:maxLength w:val="4"/>
            </w:textInput>
          </w:ffData>
        </w:fldChar>
      </w:r>
      <w:bookmarkStart w:id="3" w:name="StdNo2"/>
      <w:r>
        <w:rPr>
          <w:rFonts w:hint="eastAsia" w:hAnsi="黑体" w:cs="黑体"/>
        </w:rPr>
        <w:instrText xml:space="preserve"> FORMTEXT </w:instrText>
      </w:r>
      <w:r>
        <w:rPr>
          <w:rFonts w:hint="eastAsia" w:hAnsi="黑体" w:cs="黑体"/>
        </w:rPr>
        <w:fldChar w:fldCharType="separate"/>
      </w:r>
      <w:r>
        <w:rPr>
          <w:rFonts w:hint="eastAsia" w:hAnsi="黑体" w:cs="黑体"/>
        </w:rPr>
        <w:t>202X</w:t>
      </w:r>
      <w:r>
        <w:rPr>
          <w:rFonts w:hint="eastAsia" w:hAnsi="黑体" w:cs="黑体"/>
        </w:rPr>
        <w:fldChar w:fldCharType="end"/>
      </w:r>
      <w:bookmarkEnd w:id="3"/>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ign w:val="center"/>
          </w:tcPr>
          <w:p>
            <w:pPr>
              <w:pStyle w:val="23"/>
              <w:framePr w:wrap="around"/>
              <w:wordWrap w:val="0"/>
              <w:ind w:right="90"/>
            </w:pPr>
            <w:r>
              <w:rPr>
                <w:rFonts w:hint="eastAsia" w:ascii="黑体" w:hAnsi="黑体" w:eastAsia="黑体" w:cs="黑体"/>
              </w:rPr>
              <w:t>代替 YS/T 475.3—2005</w:t>
            </w:r>
          </w:p>
        </w:tc>
      </w:tr>
    </w:tbl>
    <w:p>
      <w:pPr>
        <w:pStyle w:val="39"/>
        <w:framePr w:wrap="around"/>
        <w:rPr>
          <w:rFonts w:hAnsi="黑体"/>
        </w:rPr>
      </w:pPr>
    </w:p>
    <w:p>
      <w:pPr>
        <w:pStyle w:val="39"/>
        <w:framePr w:wrap="around"/>
        <w:rPr>
          <w:rFonts w:hAnsi="黑体"/>
        </w:rPr>
      </w:pPr>
    </w:p>
    <w:p>
      <w:pPr>
        <w:framePr w:w="9639" w:h="6917" w:hRule="exact" w:wrap="around" w:vAnchor="page" w:hAnchor="page" w:xAlign="center" w:y="6408" w:anchorLock="1"/>
        <w:spacing w:line="360" w:lineRule="auto"/>
        <w:jc w:val="center"/>
        <w:rPr>
          <w:rFonts w:ascii="黑体" w:hAnsi="黑体" w:eastAsia="黑体" w:cs="宋体"/>
          <w:color w:val="000000"/>
          <w:kern w:val="0"/>
          <w:sz w:val="52"/>
          <w:szCs w:val="52"/>
        </w:rPr>
      </w:pPr>
      <w:bookmarkStart w:id="4" w:name="StdName"/>
      <w:r>
        <w:rPr>
          <w:rFonts w:hint="eastAsia" w:ascii="黑体" w:hAnsi="黑体" w:eastAsia="黑体" w:cs="宋体"/>
          <w:color w:val="000000"/>
          <w:kern w:val="0"/>
          <w:sz w:val="52"/>
          <w:szCs w:val="52"/>
        </w:rPr>
        <w:t xml:space="preserve">铸造轴承合金化学分析方法  </w:t>
      </w:r>
    </w:p>
    <w:p>
      <w:pPr>
        <w:framePr w:w="9639" w:h="6917" w:hRule="exact" w:wrap="around" w:vAnchor="page" w:hAnchor="page" w:xAlign="center" w:y="6408" w:anchorLock="1"/>
        <w:spacing w:line="360" w:lineRule="auto"/>
        <w:jc w:val="center"/>
        <w:rPr>
          <w:rFonts w:ascii="黑体" w:hAnsi="黑体" w:eastAsia="黑体" w:cs="宋体"/>
          <w:color w:val="000000"/>
          <w:kern w:val="0"/>
          <w:sz w:val="52"/>
          <w:szCs w:val="52"/>
        </w:rPr>
      </w:pPr>
      <w:r>
        <w:rPr>
          <w:rFonts w:hint="eastAsia" w:ascii="黑体" w:hAnsi="黑体" w:eastAsia="黑体" w:cs="宋体"/>
          <w:color w:val="000000"/>
          <w:kern w:val="0"/>
          <w:sz w:val="52"/>
          <w:szCs w:val="52"/>
        </w:rPr>
        <w:t>第3部分：锑含量的测定</w:t>
      </w:r>
    </w:p>
    <w:p>
      <w:pPr>
        <w:framePr w:w="9639" w:h="6917" w:hRule="exact" w:wrap="around" w:vAnchor="page" w:hAnchor="page" w:xAlign="center" w:y="6408" w:anchorLock="1"/>
        <w:spacing w:line="360" w:lineRule="auto"/>
        <w:jc w:val="center"/>
        <w:rPr>
          <w:rFonts w:ascii="黑体" w:hAnsi="黑体" w:eastAsia="黑体"/>
          <w:bCs/>
          <w:sz w:val="52"/>
          <w:szCs w:val="52"/>
        </w:rPr>
      </w:pPr>
      <w:r>
        <w:rPr>
          <w:rFonts w:hint="eastAsia" w:ascii="黑体" w:hAnsi="黑体" w:eastAsia="黑体" w:cs="宋体"/>
          <w:color w:val="000000"/>
          <w:sz w:val="52"/>
          <w:szCs w:val="52"/>
        </w:rPr>
        <w:t>硫酸铈滴定法和溴酸钾自动电位滴定法</w:t>
      </w:r>
    </w:p>
    <w:p>
      <w:pPr>
        <w:framePr w:w="9639" w:h="6917" w:hRule="exact" w:wrap="around" w:vAnchor="page" w:hAnchor="page" w:xAlign="center" w:y="6408" w:anchorLock="1"/>
        <w:spacing w:line="360" w:lineRule="auto"/>
        <w:jc w:val="center"/>
        <w:rPr>
          <w:rFonts w:ascii="黑体" w:hAnsi="黑体" w:eastAsia="黑体" w:cs="宋体"/>
          <w:color w:val="000000"/>
          <w:kern w:val="0"/>
          <w:sz w:val="32"/>
          <w:szCs w:val="32"/>
        </w:rPr>
      </w:pPr>
    </w:p>
    <w:bookmarkEnd w:id="4"/>
    <w:p>
      <w:pPr>
        <w:pStyle w:val="37"/>
        <w:framePr w:wrap="around"/>
        <w:adjustRightInd w:val="0"/>
        <w:snapToGrid w:val="0"/>
        <w:spacing w:line="360" w:lineRule="auto"/>
        <w:rPr>
          <w:rFonts w:ascii="黑体" w:hAnsi="黑体" w:eastAsia="黑体" w:cs="黑体"/>
        </w:rPr>
      </w:pPr>
      <w:r>
        <w:rPr>
          <w:rFonts w:hint="eastAsia" w:ascii="黑体" w:hAnsi="黑体" w:eastAsia="黑体" w:cs="黑体"/>
        </w:rPr>
        <w:t>Methods for chemical analysis of cast bearing metals— Part3:Determination of antimony content—</w:t>
      </w:r>
    </w:p>
    <w:p>
      <w:pPr>
        <w:pStyle w:val="37"/>
        <w:framePr w:wrap="around"/>
        <w:adjustRightInd w:val="0"/>
        <w:snapToGrid w:val="0"/>
        <w:spacing w:before="0" w:line="360" w:lineRule="auto"/>
        <w:rPr>
          <w:rFonts w:ascii="黑体" w:hAnsi="黑体" w:eastAsia="黑体" w:cs="黑体"/>
        </w:rPr>
      </w:pPr>
      <w:r>
        <w:rPr>
          <w:rFonts w:hint="eastAsia" w:ascii="黑体" w:hAnsi="黑体" w:eastAsia="黑体" w:cs="黑体"/>
        </w:rPr>
        <w:t>Cerium sulfate titrimetric method and potassium bromate potentiometric titration method</w:t>
      </w: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ign w:val="center"/>
          </w:tcPr>
          <w:p>
            <w:pPr>
              <w:pStyle w:val="36"/>
              <w:framePr w:wrap="around"/>
              <w:rPr>
                <w:rFonts w:ascii="黑体" w:hAnsi="黑体" w:eastAsia="黑体"/>
                <w:sz w:val="32"/>
                <w:szCs w:val="32"/>
              </w:rPr>
            </w:pPr>
            <w:r>
              <w:rPr>
                <w:rFonts w:hint="eastAsia" w:ascii="黑体" w:hAnsi="黑体" w:eastAsia="黑体"/>
                <w:sz w:val="32"/>
                <w:szCs w:val="32"/>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ign w:val="center"/>
          </w:tcPr>
          <w:p>
            <w:pPr>
              <w:pStyle w:val="35"/>
              <w:framePr w:wrap="around"/>
              <w:rPr>
                <w:rFonts w:ascii="黑体" w:hAnsi="黑体" w:eastAsia="黑体"/>
                <w:sz w:val="32"/>
                <w:szCs w:val="32"/>
              </w:rPr>
            </w:pPr>
          </w:p>
        </w:tc>
      </w:tr>
    </w:tbl>
    <w:p>
      <w:pPr>
        <w:pStyle w:val="34"/>
        <w:framePr w:wrap="around"/>
      </w:pPr>
      <w:bookmarkStart w:id="5"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3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4"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k1n6TtAQAA6gMAAA4AAABkcnMvZTJvRG9jLnhtbK1TzY7T&#10;MBC+I/EOlu80bZddQdR0D1uWC4JKLA8wtZ3Ekv/kcZv2WXgNTlx4nH0Nxk62LMulB3Jwxp6Zb+b7&#10;PF7dHq1hBxVRe9fwxWzOmXLCS+26hn97uH/zjjNM4CQY71TDTwr57fr1q9UQarX0vTdSRUYgDush&#10;NLxPKdRVhaJXFnDmg3LkbH20kGgbu0pGGAjdmmo5n99Ug48yRC8UIp1uRiefEOMlgL5ttVAbL/ZW&#10;uTSiRmUgESXsdUC+Lt22rRLpS9uiSsw0nJimslIRsnd5rdYrqLsIoddiagEuaeEFJwvaUdEz1AYS&#10;sH3U/0BZLaJH36aZ8LYaiRRFiMVi/kKbrz0EVbiQ1BjOouP/gxWfD9vItGz4kjMHli788fuPx5+/&#10;2NXbLM4QsKaYO7eN0w7DNmamxzba/CcO7FgEPZ0FVcfEBB3eLIjVFWktnnzVn8QQMX1U3rJsNNxo&#10;l7lCDYdPmKgYhT6F5GPj2NDw99fLa4IDGryWLpxMG6h5dF3JRW+0vNfG5AyM3e7ORHaAfPnly5QI&#10;96+wXGQD2I9xxTWORa9AfnCSpVMgWRy9Bp5bsEpyZhQ9nmwRINQJtLkkkkoblxNUGc2JZ9Z4VDVb&#10;Oy9PdCX7EHXXky6L0nP20AiU7qdxzTP2fE/28ye6/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h2s81gAAAAsBAAAPAAAAAAAAAAEAIAAAACIAAABkcnMvZG93bnJldi54bWxQSwECFAAUAAAACACH&#10;TuJA6TWfpO0BAADqAwAADgAAAAAAAAABACAAAAAlAQAAZHJzL2Uyb0RvYy54bWxQSwUGAAAAAAYA&#10;BgBZAQAAhAUAAAAA&#10;">
                <v:fill on="f" focussize="0,0"/>
                <v:stroke color="#000000" joinstyle="round"/>
                <v:imagedata o:title=""/>
                <o:lock v:ext="edit" aspectratio="f"/>
                <w10:anchorlock/>
              </v:line>
            </w:pict>
          </mc:Fallback>
        </mc:AlternateContent>
      </w:r>
    </w:p>
    <w:p>
      <w:pPr>
        <w:pStyle w:val="32"/>
        <w:framePr w:wrap="around"/>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rPr>
          <w:rFonts w:ascii="黑体"/>
        </w:rPr>
        <w:t>-</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20"/>
        <w:ind w:firstLine="420"/>
        <w:jc w:val="center"/>
        <w:sectPr>
          <w:type w:val="continuous"/>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3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5"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eK9cW7QEAAOoDAAAOAAAAZHJzL2Uyb0RvYy54bWytU0tu&#10;2zAQ3RfoHQjua/kDB61gOYs46aZoDbQ9wJikJAL8gUNb9ll6ja666XFyjQ4px03TjRfRghpyZt7M&#10;exyubo/WsIOKqL1r+Gwy5Uw54aV2XcO/f3t4954zTOAkGO9Uw08K+e367ZvVEGo19703UkVGIA7r&#10;ITS8TynUVYWiVxZw4oNy5Gx9tJBoG7tKRhgI3ZpqPp3eVIOPMkQvFCKdbkYnPyPGawB922qhNl7s&#10;rXJpRI3KQCJK2OuAfF26bVsl0pe2RZWYaTgxTWWlImTv8lqtV1B3EUKvxbkFuKaFF5wsaEdFL1Ab&#10;SMD2Uf8HZbWIHn2bJsLbaiRSFCEWs+kLbb72EFThQlJjuIiOrwcrPh+2kWnZ8AVnDixd+OOPn4+/&#10;frPFMoszBKwp5s5t43mHYRsz02Mbbf4TB3Ysgp4ugqpjYoIOb2bEakFaiydf9TcxREwflbcsGw03&#10;2mWuUMPhEyYqRqFPIfnYODY0/MNyviQ4oMFr6cLJtIGaR9eVXPRGywdtTM7A2O3uTGQHyJdfvkyJ&#10;cP8Jy0U2gP0YV1zjWPQK5L2TLJ0CyeLoNfDcglWSM6Po8WSLAKFOoM01kVTauJygymieeWaNR1Wz&#10;tfPyRFeyD1F3PekyKz1nD41A6f48rnnGnu/Jfv5E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HiX9cAAAAJAQAADwAAAAAAAAABACAAAAAiAAAAZHJzL2Rvd25yZXYueG1sUEsBAhQAFAAAAAgA&#10;h07iQF4r1xbtAQAA6gMAAA4AAAAAAAAAAQAgAAAAJgEAAGRycy9lMm9Eb2MueG1sUEsFBgAAAAAG&#10;AAYAWQEAAIUFAAAAAA==&#10;">
                <v:fill on="f" focussize="0,0"/>
                <v:stroke color="#000000" joinstyle="round"/>
                <v:imagedata o:title=""/>
                <o:lock v:ext="edit" aspectratio="f"/>
              </v:line>
            </w:pict>
          </mc:Fallback>
        </mc:AlternateContent>
      </w:r>
    </w:p>
    <w:p>
      <w:pPr>
        <w:pStyle w:val="30"/>
      </w:pPr>
      <w:r>
        <w:rPr>
          <w:rFonts w:hint="eastAsia"/>
        </w:rPr>
        <w:t>前</w:t>
      </w:r>
      <w:bookmarkStart w:id="10" w:name="BKQY"/>
      <w:r>
        <w:rPr>
          <w:rFonts w:hAnsi="黑体"/>
        </w:rPr>
        <w:t>  </w:t>
      </w:r>
      <w:r>
        <w:rPr>
          <w:rFonts w:hint="eastAsia"/>
        </w:rPr>
        <w:t>言</w:t>
      </w:r>
      <w:bookmarkEnd w:id="10"/>
    </w:p>
    <w:p>
      <w:pPr>
        <w:pStyle w:val="28"/>
        <w:snapToGrid w:val="0"/>
        <w:ind w:firstLine="420" w:firstLineChars="200"/>
        <w:jc w:val="left"/>
        <w:rPr>
          <w:rFonts w:ascii="宋体" w:hAnsi="宋体"/>
        </w:rPr>
      </w:pPr>
      <w:r>
        <w:rPr>
          <w:rFonts w:ascii="宋体" w:hAnsi="宋体"/>
        </w:rPr>
        <w:t>本</w:t>
      </w:r>
      <w:r>
        <w:rPr>
          <w:rFonts w:hint="eastAsia" w:ascii="宋体" w:hAnsi="宋体"/>
          <w:spacing w:val="-2"/>
        </w:rPr>
        <w:t>文件</w:t>
      </w:r>
      <w:r>
        <w:rPr>
          <w:rFonts w:ascii="宋体" w:hAnsi="宋体"/>
        </w:rPr>
        <w:t>按照</w:t>
      </w:r>
      <w:r>
        <w:t>GB/T 1.1—2020《标准化工作导则 第1部</w:t>
      </w:r>
      <w:r>
        <w:rPr>
          <w:rFonts w:hint="eastAsia" w:ascii="宋体" w:hAnsi="宋体"/>
        </w:rPr>
        <w:t>分：标准化文件的结构和起草规则》</w:t>
      </w:r>
      <w:r>
        <w:rPr>
          <w:rFonts w:ascii="宋体" w:hAnsi="宋体"/>
        </w:rPr>
        <w:t>的</w:t>
      </w:r>
      <w:r>
        <w:rPr>
          <w:rFonts w:hint="eastAsia" w:ascii="宋体" w:hAnsi="宋体"/>
        </w:rPr>
        <w:t>规定</w:t>
      </w:r>
      <w:r>
        <w:rPr>
          <w:rFonts w:ascii="宋体" w:hAnsi="宋体"/>
        </w:rPr>
        <w:t>起草。</w:t>
      </w:r>
    </w:p>
    <w:p>
      <w:pPr>
        <w:autoSpaceDE w:val="0"/>
        <w:autoSpaceDN w:val="0"/>
        <w:adjustRightInd w:val="0"/>
        <w:ind w:firstLine="420" w:firstLineChars="200"/>
        <w:jc w:val="left"/>
      </w:pPr>
      <w:r>
        <w:t>本文件是YS/T</w:t>
      </w:r>
      <w:r>
        <w:rPr>
          <w:rFonts w:hint="eastAsia"/>
        </w:rPr>
        <w:t xml:space="preserve"> 475</w:t>
      </w:r>
      <w:r>
        <w:t>《</w:t>
      </w:r>
      <w:r>
        <w:rPr>
          <w:rFonts w:hint="eastAsia"/>
        </w:rPr>
        <w:t>铸造</w:t>
      </w:r>
      <w:r>
        <w:t>轴承合金化学分析方法》的第</w:t>
      </w:r>
      <w:r>
        <w:rPr>
          <w:rFonts w:hint="eastAsia"/>
        </w:rPr>
        <w:t>3</w:t>
      </w:r>
      <w:r>
        <w:t>部分。YS/T</w:t>
      </w:r>
      <w:r>
        <w:rPr>
          <w:rFonts w:hint="eastAsia"/>
        </w:rPr>
        <w:t xml:space="preserve"> 475</w:t>
      </w:r>
      <w:r>
        <w:t>已经发布了以下部分：</w:t>
      </w:r>
      <w:r>
        <w:br w:type="textWrapping"/>
      </w:r>
      <w:r>
        <w:rPr>
          <w:rFonts w:hint="eastAsia"/>
        </w:rPr>
        <w:t xml:space="preserve">    ——</w:t>
      </w:r>
      <w:r>
        <w:t>第1部分：锡量的测定</w:t>
      </w:r>
      <w:r>
        <w:rPr>
          <w:rFonts w:hint="eastAsia"/>
          <w:lang w:val="en-US" w:eastAsia="zh-CN"/>
        </w:rPr>
        <w:t xml:space="preserve">  </w:t>
      </w:r>
      <w:r>
        <w:t>碘酸钾滴定法；</w:t>
      </w:r>
      <w:r>
        <w:br w:type="textWrapping"/>
      </w:r>
      <w:r>
        <w:rPr>
          <w:rFonts w:hint="eastAsia"/>
        </w:rPr>
        <w:t xml:space="preserve">    ——</w:t>
      </w:r>
      <w:r>
        <w:t>第2部分：铅量的测定</w:t>
      </w:r>
      <w:r>
        <w:rPr>
          <w:rFonts w:hint="eastAsia"/>
          <w:lang w:val="en-US" w:eastAsia="zh-CN"/>
        </w:rPr>
        <w:t xml:space="preserve">  </w:t>
      </w:r>
      <w:r>
        <w:t>EDTA滴定法；</w:t>
      </w:r>
    </w:p>
    <w:p>
      <w:pPr>
        <w:autoSpaceDE w:val="0"/>
        <w:autoSpaceDN w:val="0"/>
        <w:adjustRightInd w:val="0"/>
        <w:ind w:firstLine="420" w:firstLineChars="200"/>
        <w:jc w:val="left"/>
      </w:pPr>
      <w:r>
        <w:rPr>
          <w:rFonts w:hint="eastAsia"/>
        </w:rPr>
        <w:t>——</w:t>
      </w:r>
      <w:r>
        <w:t>第3部分：</w:t>
      </w:r>
      <w:r>
        <w:rPr>
          <w:rFonts w:hint="eastAsia"/>
        </w:rPr>
        <w:t>锑含量的测定 硫酸铈滴定法和溴酸钾自动电位滴定法；</w:t>
      </w:r>
      <w:r>
        <w:br w:type="textWrapping"/>
      </w:r>
      <w:r>
        <w:rPr>
          <w:rFonts w:hint="eastAsia"/>
        </w:rPr>
        <w:t xml:space="preserve">    ——</w:t>
      </w:r>
      <w:r>
        <w:t>第</w:t>
      </w:r>
      <w:r>
        <w:rPr>
          <w:rFonts w:hint="eastAsia"/>
        </w:rPr>
        <w:t>4</w:t>
      </w:r>
      <w:r>
        <w:t>部分：铜量的测定</w:t>
      </w:r>
      <w:r>
        <w:rPr>
          <w:rFonts w:hint="eastAsia"/>
        </w:rPr>
        <w:t xml:space="preserve">  硫酸铈</w:t>
      </w:r>
      <w:r>
        <w:t>滴定法；</w:t>
      </w:r>
      <w:r>
        <w:br w:type="textWrapping"/>
      </w:r>
      <w:r>
        <w:rPr>
          <w:rFonts w:hint="eastAsia"/>
        </w:rPr>
        <w:t xml:space="preserve">    ——</w:t>
      </w:r>
      <w:r>
        <w:t>第5部分：</w:t>
      </w:r>
      <w:r>
        <w:rPr>
          <w:rFonts w:hint="eastAsia"/>
        </w:rPr>
        <w:t>砷</w:t>
      </w:r>
      <w:r>
        <w:t>量的测定</w:t>
      </w:r>
      <w:r>
        <w:rPr>
          <w:rFonts w:hint="eastAsia"/>
        </w:rPr>
        <w:t xml:space="preserve">  砷</w:t>
      </w:r>
      <w:r>
        <w:t>锑钼蓝分光光度法</w:t>
      </w:r>
      <w:r>
        <w:rPr>
          <w:rFonts w:hint="eastAsia"/>
        </w:rPr>
        <w:t>；</w:t>
      </w:r>
    </w:p>
    <w:p>
      <w:pPr>
        <w:autoSpaceDE w:val="0"/>
        <w:autoSpaceDN w:val="0"/>
        <w:adjustRightInd w:val="0"/>
        <w:ind w:firstLine="315" w:firstLineChars="150"/>
        <w:jc w:val="left"/>
      </w:pPr>
      <w:r>
        <w:rPr>
          <w:rFonts w:hint="eastAsia"/>
        </w:rPr>
        <w:t xml:space="preserve"> ——</w:t>
      </w:r>
      <w:r>
        <w:t>第</w:t>
      </w:r>
      <w:r>
        <w:rPr>
          <w:rFonts w:hint="eastAsia"/>
        </w:rPr>
        <w:t>6</w:t>
      </w:r>
      <w:r>
        <w:t>部分：</w:t>
      </w:r>
      <w:r>
        <w:rPr>
          <w:rFonts w:hint="eastAsia"/>
        </w:rPr>
        <w:t>铝</w:t>
      </w:r>
      <w:r>
        <w:t>量的测定</w:t>
      </w:r>
      <w:r>
        <w:rPr>
          <w:rFonts w:hint="eastAsia"/>
        </w:rPr>
        <w:t xml:space="preserve">  铬天青S分光光度法</w:t>
      </w:r>
      <w:r>
        <w:t>；</w:t>
      </w:r>
      <w:r>
        <w:br w:type="textWrapping"/>
      </w:r>
      <w:r>
        <w:rPr>
          <w:rFonts w:hint="eastAsia"/>
        </w:rPr>
        <w:t xml:space="preserve">    ——</w:t>
      </w:r>
      <w:r>
        <w:t>第</w:t>
      </w:r>
      <w:r>
        <w:rPr>
          <w:rFonts w:hint="eastAsia"/>
        </w:rPr>
        <w:t>7</w:t>
      </w:r>
      <w:r>
        <w:t>部分：铅、铜、铁、</w:t>
      </w:r>
      <w:r>
        <w:rPr>
          <w:rFonts w:hint="eastAsia"/>
        </w:rPr>
        <w:t>铋</w:t>
      </w:r>
      <w:r>
        <w:t>、锌、锡量的测定</w:t>
      </w:r>
      <w:r>
        <w:rPr>
          <w:rFonts w:hint="eastAsia"/>
        </w:rPr>
        <w:t xml:space="preserve"> </w:t>
      </w:r>
      <w:r>
        <w:t>火焰原子吸收光谱法。</w:t>
      </w:r>
    </w:p>
    <w:p>
      <w:pPr>
        <w:pStyle w:val="20"/>
        <w:tabs>
          <w:tab w:val="left" w:pos="1890"/>
          <w:tab w:val="left" w:pos="2100"/>
        </w:tabs>
        <w:ind w:firstLine="420"/>
        <w:rPr>
          <w:rFonts w:ascii="Times New Roman"/>
        </w:rPr>
      </w:pPr>
      <w:r>
        <w:rPr>
          <w:rFonts w:hint="eastAsia" w:ascii="Times New Roman"/>
        </w:rPr>
        <w:t>本文件代替</w:t>
      </w:r>
      <w:r>
        <w:rPr>
          <w:rFonts w:ascii="Times New Roman"/>
        </w:rPr>
        <w:t>YS/T 475</w:t>
      </w:r>
      <w:r>
        <w:rPr>
          <w:rFonts w:hint="eastAsia" w:ascii="Times New Roman"/>
        </w:rPr>
        <w:t>.3—2005</w:t>
      </w:r>
      <w:r>
        <w:rPr>
          <w:rFonts w:ascii="Times New Roman"/>
        </w:rPr>
        <w:t>《铸造轴承合金化学分析方法</w:t>
      </w:r>
      <w:r>
        <w:rPr>
          <w:rFonts w:hint="eastAsia" w:ascii="Times New Roman"/>
        </w:rPr>
        <w:t xml:space="preserve"> 第3部分：锑含量的测定 硫酸铈滴定法</w:t>
      </w:r>
      <w:r>
        <w:rPr>
          <w:rFonts w:ascii="Times New Roman"/>
        </w:rPr>
        <w:t>》，与YS/T 475</w:t>
      </w:r>
      <w:r>
        <w:rPr>
          <w:rFonts w:hint="eastAsia" w:ascii="Times New Roman"/>
        </w:rPr>
        <w:t xml:space="preserve">.3—2005相比，除结构调整和编辑性改动外，主要技术变化如下：  </w:t>
      </w:r>
    </w:p>
    <w:p>
      <w:pPr>
        <w:pStyle w:val="20"/>
        <w:tabs>
          <w:tab w:val="left" w:pos="1890"/>
          <w:tab w:val="left" w:pos="2100"/>
        </w:tabs>
        <w:ind w:firstLine="420"/>
        <w:rPr>
          <w:rFonts w:ascii="Times New Roman"/>
        </w:rPr>
      </w:pPr>
      <w:r>
        <w:rPr>
          <w:rFonts w:hint="eastAsia" w:ascii="Times New Roman"/>
        </w:rPr>
        <w:t>a）修改了范围，增加了“方法2：溴酸钾自动电位滴定法，适用于试液中含砷量小于50 µg样品的测定。方法1为仲裁方法”（见第1章，</w:t>
      </w:r>
      <w:r>
        <w:rPr>
          <w:rFonts w:ascii="Times New Roman"/>
        </w:rPr>
        <w:t>2005年版的第1章）</w:t>
      </w:r>
      <w:r>
        <w:rPr>
          <w:rFonts w:hint="eastAsia" w:ascii="Times New Roman"/>
        </w:rPr>
        <w:t>；</w:t>
      </w:r>
    </w:p>
    <w:p>
      <w:pPr>
        <w:pStyle w:val="20"/>
        <w:tabs>
          <w:tab w:val="left" w:pos="1890"/>
          <w:tab w:val="left" w:pos="2100"/>
        </w:tabs>
        <w:ind w:firstLine="420"/>
        <w:rPr>
          <w:rFonts w:ascii="Times New Roman"/>
        </w:rPr>
      </w:pPr>
      <w:r>
        <w:rPr>
          <w:rFonts w:ascii="Times New Roman"/>
        </w:rPr>
        <w:t>b</w:t>
      </w:r>
      <w:r>
        <w:rPr>
          <w:rFonts w:ascii="Times New Roman" w:hAnsi="宋体"/>
        </w:rPr>
        <w:t>）修改了方法</w:t>
      </w:r>
      <w:r>
        <w:rPr>
          <w:rFonts w:ascii="Times New Roman"/>
        </w:rPr>
        <w:t>1</w:t>
      </w:r>
      <w:r>
        <w:rPr>
          <w:rFonts w:ascii="Times New Roman" w:hAnsi="宋体"/>
        </w:rPr>
        <w:t>中滤纸的用量，由</w:t>
      </w:r>
      <w:r>
        <w:rPr>
          <w:rFonts w:ascii="Times New Roman"/>
          <w:szCs w:val="21"/>
        </w:rPr>
        <w:t>0.25 cm</w:t>
      </w:r>
      <w:r>
        <w:rPr>
          <w:rFonts w:ascii="Times New Roman"/>
          <w:szCs w:val="21"/>
          <w:vertAlign w:val="superscript"/>
        </w:rPr>
        <w:t>2</w:t>
      </w:r>
      <w:r>
        <w:rPr>
          <w:rFonts w:ascii="Times New Roman" w:hAnsi="宋体"/>
          <w:szCs w:val="21"/>
        </w:rPr>
        <w:t>滤纸修改为</w:t>
      </w:r>
      <w:r>
        <w:rPr>
          <w:rFonts w:ascii="Times New Roman"/>
          <w:szCs w:val="21"/>
        </w:rPr>
        <w:t>0.5 cm</w:t>
      </w:r>
      <w:r>
        <w:rPr>
          <w:rFonts w:ascii="Times New Roman"/>
          <w:szCs w:val="21"/>
          <w:vertAlign w:val="superscript"/>
        </w:rPr>
        <w:t>2</w:t>
      </w:r>
      <w:r>
        <w:rPr>
          <w:rFonts w:ascii="Times New Roman" w:hAnsi="宋体"/>
          <w:szCs w:val="21"/>
        </w:rPr>
        <w:t>滤纸</w:t>
      </w:r>
      <w:r>
        <w:rPr>
          <w:rFonts w:ascii="Times New Roman" w:hAnsi="宋体"/>
        </w:rPr>
        <w:t>（见</w:t>
      </w:r>
      <w:r>
        <w:rPr>
          <w:rFonts w:hint="eastAsia" w:ascii="Times New Roman" w:hAnsi="宋体"/>
        </w:rPr>
        <w:t>4.2.7</w:t>
      </w:r>
      <w:r>
        <w:rPr>
          <w:rFonts w:ascii="Times New Roman" w:hAnsi="宋体"/>
        </w:rPr>
        <w:t>）；</w:t>
      </w:r>
    </w:p>
    <w:p>
      <w:pPr>
        <w:autoSpaceDE w:val="0"/>
        <w:autoSpaceDN w:val="0"/>
        <w:adjustRightInd w:val="0"/>
        <w:ind w:firstLine="420" w:firstLineChars="200"/>
        <w:jc w:val="left"/>
      </w:pPr>
      <w:r>
        <w:t>c</w:t>
      </w:r>
      <w:r>
        <w:rPr>
          <w:rFonts w:hint="eastAsia"/>
        </w:rPr>
        <w:t>）修改了</w:t>
      </w:r>
      <w:r>
        <w:rPr>
          <w:rFonts w:hAnsi="宋体"/>
          <w:szCs w:val="21"/>
        </w:rPr>
        <w:t>锑</w:t>
      </w:r>
      <w:r>
        <w:rPr>
          <w:szCs w:val="21"/>
        </w:rPr>
        <w:t>(1/2Sb)</w:t>
      </w:r>
      <w:r>
        <w:rPr>
          <w:rFonts w:hAnsi="宋体"/>
          <w:szCs w:val="21"/>
        </w:rPr>
        <w:t>的摩尔质量</w:t>
      </w:r>
      <w:r>
        <w:rPr>
          <w:rFonts w:hint="eastAsia" w:hAnsi="宋体"/>
          <w:szCs w:val="21"/>
        </w:rPr>
        <w:t>，</w:t>
      </w:r>
      <w:r>
        <w:rPr>
          <w:rFonts w:hAnsi="宋体"/>
          <w:szCs w:val="21"/>
        </w:rPr>
        <w:t>由</w:t>
      </w:r>
      <w:r>
        <w:rPr>
          <w:rFonts w:hint="eastAsia" w:hAnsi="宋体"/>
          <w:szCs w:val="21"/>
        </w:rPr>
        <w:t>60.85修改为60.88（见4.2.7和4.4.5，</w:t>
      </w:r>
      <w:r>
        <w:rPr>
          <w:rFonts w:hint="eastAsia"/>
        </w:rPr>
        <w:t>2005年版的3.7.2和第5章）；</w:t>
      </w:r>
    </w:p>
    <w:p>
      <w:pPr>
        <w:autoSpaceDE w:val="0"/>
        <w:autoSpaceDN w:val="0"/>
        <w:adjustRightInd w:val="0"/>
        <w:ind w:firstLine="420" w:firstLineChars="200"/>
        <w:jc w:val="left"/>
        <w:rPr>
          <w:rFonts w:hAnsi="宋体"/>
          <w:szCs w:val="21"/>
        </w:rPr>
      </w:pPr>
      <w:r>
        <w:t>d</w:t>
      </w:r>
      <w:r>
        <w:rPr>
          <w:rFonts w:hint="eastAsia"/>
        </w:rPr>
        <w:t>）增加了样品的要求（见4.3）</w:t>
      </w:r>
      <w:r>
        <w:rPr>
          <w:rFonts w:hint="eastAsia" w:hAnsi="宋体"/>
          <w:szCs w:val="21"/>
        </w:rPr>
        <w:t>；</w:t>
      </w:r>
    </w:p>
    <w:p>
      <w:pPr>
        <w:autoSpaceDE w:val="0"/>
        <w:autoSpaceDN w:val="0"/>
        <w:adjustRightInd w:val="0"/>
        <w:ind w:firstLine="420" w:firstLineChars="200"/>
        <w:jc w:val="left"/>
        <w:rPr>
          <w:rFonts w:hint="eastAsia" w:hAnsi="宋体"/>
          <w:szCs w:val="21"/>
        </w:rPr>
      </w:pPr>
      <w:r>
        <w:rPr>
          <w:rFonts w:hint="eastAsia" w:hAnsi="宋体"/>
          <w:szCs w:val="21"/>
        </w:rPr>
        <w:t>e）修改了方法1中称样量分段数，将“</w:t>
      </w:r>
      <w:r>
        <w:rPr>
          <w:rFonts w:hAnsi="宋体"/>
          <w:sz w:val="21"/>
          <w:szCs w:val="21"/>
        </w:rPr>
        <w:t>＞</w:t>
      </w:r>
      <w:r>
        <w:rPr>
          <w:sz w:val="21"/>
          <w:szCs w:val="21"/>
        </w:rPr>
        <w:t>4.000</w:t>
      </w:r>
      <w:r>
        <w:rPr>
          <w:rFonts w:hAnsi="宋体"/>
          <w:sz w:val="21"/>
          <w:szCs w:val="21"/>
        </w:rPr>
        <w:t>～</w:t>
      </w:r>
      <w:r>
        <w:rPr>
          <w:sz w:val="21"/>
          <w:szCs w:val="21"/>
        </w:rPr>
        <w:t>6.00</w:t>
      </w:r>
      <w:r>
        <w:rPr>
          <w:rFonts w:hint="eastAsia"/>
          <w:sz w:val="21"/>
          <w:szCs w:val="21"/>
        </w:rPr>
        <w:t>”和“</w:t>
      </w:r>
      <w:r>
        <w:rPr>
          <w:rFonts w:hAnsi="宋体"/>
          <w:sz w:val="21"/>
          <w:szCs w:val="21"/>
        </w:rPr>
        <w:t>＞</w:t>
      </w:r>
      <w:r>
        <w:rPr>
          <w:sz w:val="21"/>
          <w:szCs w:val="21"/>
        </w:rPr>
        <w:t>6.000</w:t>
      </w:r>
      <w:r>
        <w:rPr>
          <w:rFonts w:hAnsi="宋体"/>
          <w:sz w:val="21"/>
          <w:szCs w:val="21"/>
        </w:rPr>
        <w:t>～</w:t>
      </w:r>
      <w:r>
        <w:rPr>
          <w:sz w:val="21"/>
          <w:szCs w:val="21"/>
        </w:rPr>
        <w:t>8.00</w:t>
      </w:r>
      <w:r>
        <w:rPr>
          <w:rFonts w:hint="eastAsia"/>
          <w:sz w:val="21"/>
          <w:szCs w:val="21"/>
        </w:rPr>
        <w:t>”合并为“</w:t>
      </w:r>
      <w:r>
        <w:rPr>
          <w:rFonts w:hAnsi="宋体"/>
          <w:sz w:val="21"/>
          <w:szCs w:val="21"/>
        </w:rPr>
        <w:t>＞</w:t>
      </w:r>
      <w:r>
        <w:rPr>
          <w:sz w:val="21"/>
          <w:szCs w:val="21"/>
        </w:rPr>
        <w:t>4.000</w:t>
      </w:r>
      <w:r>
        <w:rPr>
          <w:rFonts w:hAnsi="宋体"/>
          <w:sz w:val="21"/>
          <w:szCs w:val="21"/>
        </w:rPr>
        <w:t>～</w:t>
      </w:r>
      <w:r>
        <w:rPr>
          <w:rFonts w:hint="eastAsia" w:hAnsi="宋体"/>
          <w:sz w:val="21"/>
          <w:szCs w:val="21"/>
        </w:rPr>
        <w:t>8</w:t>
      </w:r>
      <w:r>
        <w:rPr>
          <w:sz w:val="21"/>
          <w:szCs w:val="21"/>
        </w:rPr>
        <w:t>.00</w:t>
      </w:r>
      <w:r>
        <w:rPr>
          <w:rFonts w:hint="eastAsia"/>
          <w:sz w:val="21"/>
          <w:szCs w:val="21"/>
        </w:rPr>
        <w:t>”，称样量为0.3000g；（见4.4.1）</w:t>
      </w:r>
      <w:r>
        <w:rPr>
          <w:rFonts w:hint="eastAsia"/>
          <w:sz w:val="21"/>
          <w:szCs w:val="21"/>
          <w:lang w:eastAsia="zh-CN"/>
        </w:rPr>
        <w:t>；</w:t>
      </w:r>
    </w:p>
    <w:p>
      <w:pPr>
        <w:autoSpaceDE w:val="0"/>
        <w:autoSpaceDN w:val="0"/>
        <w:adjustRightInd w:val="0"/>
        <w:ind w:firstLine="420" w:firstLineChars="200"/>
        <w:jc w:val="left"/>
      </w:pPr>
      <w:r>
        <w:rPr>
          <w:rFonts w:hint="eastAsia"/>
        </w:rPr>
        <w:t>f）修改了方法1的精密度数据（见4.5，2005年版的第6章）；</w:t>
      </w:r>
    </w:p>
    <w:p>
      <w:pPr>
        <w:autoSpaceDE w:val="0"/>
        <w:autoSpaceDN w:val="0"/>
        <w:adjustRightInd w:val="0"/>
        <w:ind w:firstLine="420" w:firstLineChars="200"/>
        <w:jc w:val="left"/>
      </w:pPr>
      <w:r>
        <w:rPr>
          <w:rFonts w:hint="eastAsia"/>
        </w:rPr>
        <w:t>g）增加了方法2，溴酸钾自动电位滴定法（见第5章）；</w:t>
      </w:r>
    </w:p>
    <w:p>
      <w:pPr>
        <w:autoSpaceDE w:val="0"/>
        <w:autoSpaceDN w:val="0"/>
        <w:adjustRightInd w:val="0"/>
        <w:ind w:firstLine="420" w:firstLineChars="200"/>
        <w:jc w:val="left"/>
      </w:pPr>
      <w:r>
        <w:rPr>
          <w:rFonts w:hint="eastAsia"/>
        </w:rPr>
        <w:t>h）增加了试验报告的要求（见第6章）。</w:t>
      </w:r>
    </w:p>
    <w:p>
      <w:pPr>
        <w:autoSpaceDE w:val="0"/>
        <w:autoSpaceDN w:val="0"/>
        <w:adjustRightInd w:val="0"/>
        <w:ind w:left="399" w:leftChars="190" w:firstLine="0" w:firstLineChars="0"/>
        <w:jc w:val="left"/>
      </w:pPr>
      <w:r>
        <w:t>请注意本文件的某些内容可能涉及专利。本文件的发布机构不承担识别专利的责任。</w:t>
      </w:r>
      <w:r>
        <w:br w:type="textWrapping"/>
      </w:r>
      <w:r>
        <w:t>本文件由全国有色金属标准化技术委员会（SAC/TC243）提出并归口。</w:t>
      </w:r>
    </w:p>
    <w:p>
      <w:pPr>
        <w:autoSpaceDE w:val="0"/>
        <w:autoSpaceDN w:val="0"/>
        <w:adjustRightInd w:val="0"/>
        <w:ind w:firstLine="420" w:firstLineChars="200"/>
        <w:jc w:val="left"/>
        <w:rPr>
          <w:rFonts w:ascii="宋体" w:hAnsi="宋体"/>
        </w:rPr>
      </w:pPr>
      <w:r>
        <w:t>本文件起草单位：云南锡业矿冶检测中心有限公司</w:t>
      </w:r>
      <w:r>
        <w:rPr>
          <w:rFonts w:hint="eastAsia"/>
        </w:rPr>
        <w:t>、北矿检测技术股份有限公司、柳州华锡有色设计研究院有限责任公司、深圳市中金岭南有色金属股份有限公司丹霞冶炼厂、锡矿山闪星锑业有限责任公司</w:t>
      </w:r>
      <w:r>
        <w:t>质检中心</w:t>
      </w:r>
      <w:r>
        <w:rPr>
          <w:rFonts w:hint="eastAsia"/>
        </w:rPr>
        <w:t>、</w:t>
      </w:r>
      <w:r>
        <w:t>昆明冶金研究院有限公司、</w:t>
      </w:r>
      <w:r>
        <w:rPr>
          <w:rFonts w:hint="eastAsia"/>
        </w:rPr>
        <w:t>云南锡业锡材有限公司、云南锡业股份有限公司</w:t>
      </w:r>
      <w:r>
        <w:t>、</w:t>
      </w:r>
      <w:r>
        <w:rPr>
          <w:rFonts w:hint="eastAsia"/>
        </w:rPr>
        <w:t>株洲冶炼集团股份有限公司、国标（北京）检验认证有限公司、铜陵有色金属集团控股有限公司、</w:t>
      </w:r>
      <w:r>
        <w:t>中国检验认证集团广西有限公司</w:t>
      </w:r>
      <w:r>
        <w:rPr>
          <w:rFonts w:hint="eastAsia"/>
        </w:rPr>
        <w:t>、湖南省安化渣滓溪矿业有限公司、防城港市东途矿产检测有限公司。</w:t>
      </w:r>
    </w:p>
    <w:p>
      <w:pPr>
        <w:pStyle w:val="20"/>
        <w:ind w:firstLine="420"/>
        <w:rPr>
          <w:rFonts w:hAnsi="宋体"/>
          <w:szCs w:val="21"/>
        </w:rPr>
      </w:pPr>
      <w:r>
        <w:rPr>
          <w:rFonts w:hAnsi="宋体"/>
          <w:szCs w:val="21"/>
        </w:rPr>
        <w:t>本</w:t>
      </w:r>
      <w:r>
        <w:rPr>
          <w:rFonts w:hint="eastAsia" w:hAnsi="宋体"/>
          <w:szCs w:val="21"/>
        </w:rPr>
        <w:t>文件</w:t>
      </w:r>
      <w:r>
        <w:rPr>
          <w:rFonts w:hAnsi="宋体"/>
          <w:szCs w:val="21"/>
        </w:rPr>
        <w:t>主要起草人：</w:t>
      </w:r>
    </w:p>
    <w:p>
      <w:pPr>
        <w:pStyle w:val="20"/>
        <w:ind w:firstLine="420"/>
        <w:rPr>
          <w:rFonts w:hAnsi="宋体"/>
          <w:szCs w:val="21"/>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hAnsi="宋体"/>
          <w:szCs w:val="21"/>
        </w:rPr>
        <w:t>本文</w:t>
      </w:r>
      <w:r>
        <w:rPr>
          <w:rFonts w:ascii="Times New Roman"/>
          <w:szCs w:val="21"/>
        </w:rPr>
        <w:t>件2010年首</w:t>
      </w:r>
      <w:r>
        <w:rPr>
          <w:rFonts w:hint="eastAsia" w:hAnsi="宋体"/>
          <w:szCs w:val="21"/>
        </w:rPr>
        <w:t>次发布为</w:t>
      </w:r>
      <w:r>
        <w:rPr>
          <w:rFonts w:ascii="Times New Roman"/>
        </w:rPr>
        <w:t>YS/T 475</w:t>
      </w:r>
      <w:r>
        <w:rPr>
          <w:rFonts w:hint="eastAsia" w:ascii="Times New Roman"/>
        </w:rPr>
        <w:t>.3—2005</w:t>
      </w:r>
      <w:r>
        <w:rPr>
          <w:rFonts w:hint="eastAsia" w:hAnsi="宋体"/>
          <w:szCs w:val="21"/>
        </w:rPr>
        <w:t>，本次为第一次修订。</w:t>
      </w:r>
    </w:p>
    <w:p>
      <w:pPr>
        <w:spacing w:line="360" w:lineRule="auto"/>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引   言</w:t>
      </w:r>
    </w:p>
    <w:p>
      <w:pPr>
        <w:ind w:firstLine="420"/>
        <w:jc w:val="left"/>
      </w:pPr>
      <w:r>
        <w:rPr>
          <w:rFonts w:hint="eastAsia"/>
          <w:kern w:val="0"/>
          <w:lang w:val="zh-TW" w:eastAsia="zh-TW" w:bidi="zh-TW"/>
        </w:rPr>
        <w:t>轴承合金</w:t>
      </w:r>
      <w:r>
        <w:rPr>
          <w:kern w:val="0"/>
          <w:lang w:eastAsia="zh-TW" w:bidi="zh-TW"/>
        </w:rPr>
        <w:t>是很好的</w:t>
      </w:r>
      <w:r>
        <w:rPr>
          <w:rFonts w:hint="eastAsia"/>
          <w:kern w:val="0"/>
          <w:lang w:val="zh-TW" w:eastAsia="zh-TW" w:bidi="zh-TW"/>
        </w:rPr>
        <w:t>耐磨材料，广泛应用于大型机械设备的轴瓦制造</w:t>
      </w:r>
      <w:r>
        <w:rPr>
          <w:rFonts w:hint="eastAsia"/>
          <w:kern w:val="0"/>
          <w:lang w:val="zh-TW" w:bidi="zh-TW"/>
        </w:rPr>
        <w:t>。</w:t>
      </w:r>
      <w:r>
        <w:t>YS/T</w:t>
      </w:r>
      <w:r>
        <w:rPr>
          <w:rFonts w:hint="eastAsia"/>
        </w:rPr>
        <w:t xml:space="preserve"> 475</w:t>
      </w:r>
      <w:r>
        <w:t>《</w:t>
      </w:r>
      <w:r>
        <w:rPr>
          <w:rFonts w:hint="eastAsia"/>
        </w:rPr>
        <w:t>铸造</w:t>
      </w:r>
      <w:r>
        <w:t>轴承合金化学分析方法》</w:t>
      </w:r>
      <w:r>
        <w:rPr>
          <w:rFonts w:hint="eastAsia"/>
        </w:rPr>
        <w:t>描述</w:t>
      </w:r>
      <w:r>
        <w:t>了</w:t>
      </w:r>
      <w:r>
        <w:rPr>
          <w:rFonts w:hint="eastAsia"/>
        </w:rPr>
        <w:t>铸造</w:t>
      </w:r>
      <w:r>
        <w:t>轴承合金中主要元素和主要杂质元素含量的化学分析方法，旨在满足</w:t>
      </w:r>
      <w:r>
        <w:rPr>
          <w:rFonts w:hint="eastAsia"/>
        </w:rPr>
        <w:t>铸造</w:t>
      </w:r>
      <w:r>
        <w:t>轴承合金国内生产厂家、国内外贸易双方、第三方实验室检测的实际需要。</w:t>
      </w:r>
    </w:p>
    <w:p>
      <w:pPr>
        <w:autoSpaceDE w:val="0"/>
        <w:autoSpaceDN w:val="0"/>
        <w:adjustRightInd w:val="0"/>
        <w:ind w:firstLine="315" w:firstLineChars="150"/>
        <w:jc w:val="left"/>
      </w:pPr>
      <w:r>
        <w:t>YS/T</w:t>
      </w:r>
      <w:r>
        <w:rPr>
          <w:rFonts w:hint="eastAsia"/>
        </w:rPr>
        <w:t xml:space="preserve"> 475</w:t>
      </w:r>
      <w:r>
        <w:t>《</w:t>
      </w:r>
      <w:r>
        <w:rPr>
          <w:rFonts w:hint="eastAsia"/>
        </w:rPr>
        <w:t>铸造</w:t>
      </w:r>
      <w:r>
        <w:t>轴承合金化学分析方法》由</w:t>
      </w:r>
      <w:r>
        <w:rPr>
          <w:rFonts w:hint="eastAsia"/>
        </w:rPr>
        <w:t>7</w:t>
      </w:r>
      <w:r>
        <w:t>个部分组成：</w:t>
      </w:r>
    </w:p>
    <w:p>
      <w:pPr>
        <w:autoSpaceDE w:val="0"/>
        <w:autoSpaceDN w:val="0"/>
        <w:adjustRightInd w:val="0"/>
        <w:ind w:firstLine="420" w:firstLineChars="200"/>
        <w:jc w:val="left"/>
      </w:pPr>
      <w:r>
        <w:rPr>
          <w:rFonts w:hint="eastAsia"/>
        </w:rPr>
        <w:t>——</w:t>
      </w:r>
      <w:r>
        <w:t>第1部分：锡量的测定</w:t>
      </w:r>
      <w:r>
        <w:rPr>
          <w:rFonts w:hint="eastAsia"/>
          <w:lang w:val="en-US" w:eastAsia="zh-CN"/>
        </w:rPr>
        <w:t xml:space="preserve">  </w:t>
      </w:r>
      <w:r>
        <w:t>碘酸钾滴定法；</w:t>
      </w:r>
      <w:r>
        <w:br w:type="textWrapping"/>
      </w:r>
      <w:r>
        <w:rPr>
          <w:rFonts w:hint="eastAsia"/>
        </w:rPr>
        <w:t xml:space="preserve">    ——</w:t>
      </w:r>
      <w:r>
        <w:t>第2部分：铅量的测定</w:t>
      </w:r>
      <w:r>
        <w:rPr>
          <w:rFonts w:hint="eastAsia"/>
          <w:lang w:val="en-US" w:eastAsia="zh-CN"/>
        </w:rPr>
        <w:t xml:space="preserve">  </w:t>
      </w:r>
      <w:r>
        <w:t>EDTA滴定法；</w:t>
      </w:r>
      <w:r>
        <w:br w:type="textWrapping"/>
      </w:r>
      <w:r>
        <w:rPr>
          <w:rFonts w:hint="eastAsia"/>
        </w:rPr>
        <w:t xml:space="preserve">    ——</w:t>
      </w:r>
      <w:r>
        <w:t>第3部分：</w:t>
      </w:r>
      <w:r>
        <w:rPr>
          <w:rFonts w:hint="eastAsia"/>
        </w:rPr>
        <w:t>锑含量的测定  硫酸铈滴定法和溴酸钾自动电位滴定法；</w:t>
      </w:r>
      <w:r>
        <w:br w:type="textWrapping"/>
      </w:r>
      <w:r>
        <w:rPr>
          <w:rFonts w:hint="eastAsia"/>
        </w:rPr>
        <w:t xml:space="preserve">    ——</w:t>
      </w:r>
      <w:r>
        <w:t>第</w:t>
      </w:r>
      <w:r>
        <w:rPr>
          <w:rFonts w:hint="eastAsia"/>
        </w:rPr>
        <w:t>4</w:t>
      </w:r>
      <w:r>
        <w:t>部分：铜量的测定</w:t>
      </w:r>
      <w:r>
        <w:rPr>
          <w:rFonts w:hint="eastAsia"/>
        </w:rPr>
        <w:t xml:space="preserve">  硫酸铈</w:t>
      </w:r>
      <w:r>
        <w:t>滴定法；</w:t>
      </w:r>
      <w:r>
        <w:br w:type="textWrapping"/>
      </w:r>
      <w:r>
        <w:rPr>
          <w:rFonts w:hint="eastAsia"/>
        </w:rPr>
        <w:t xml:space="preserve">    ——</w:t>
      </w:r>
      <w:r>
        <w:t>第5部分：</w:t>
      </w:r>
      <w:r>
        <w:rPr>
          <w:rFonts w:hint="eastAsia"/>
        </w:rPr>
        <w:t>砷</w:t>
      </w:r>
      <w:r>
        <w:t>量的测定</w:t>
      </w:r>
      <w:r>
        <w:rPr>
          <w:rFonts w:hint="eastAsia"/>
        </w:rPr>
        <w:t xml:space="preserve">  砷</w:t>
      </w:r>
      <w:r>
        <w:t>锑钼蓝分光光度法</w:t>
      </w:r>
      <w:r>
        <w:rPr>
          <w:rFonts w:hint="eastAsia"/>
        </w:rPr>
        <w:t>；</w:t>
      </w:r>
    </w:p>
    <w:p>
      <w:pPr>
        <w:autoSpaceDE w:val="0"/>
        <w:autoSpaceDN w:val="0"/>
        <w:adjustRightInd w:val="0"/>
        <w:ind w:firstLine="315" w:firstLineChars="150"/>
        <w:jc w:val="left"/>
      </w:pPr>
      <w:r>
        <w:rPr>
          <w:rFonts w:hint="eastAsia"/>
        </w:rPr>
        <w:t xml:space="preserve"> ——</w:t>
      </w:r>
      <w:r>
        <w:t>第</w:t>
      </w:r>
      <w:r>
        <w:rPr>
          <w:rFonts w:hint="eastAsia"/>
        </w:rPr>
        <w:t>6</w:t>
      </w:r>
      <w:r>
        <w:t>部分：</w:t>
      </w:r>
      <w:r>
        <w:rPr>
          <w:rFonts w:hint="eastAsia"/>
        </w:rPr>
        <w:t>铝</w:t>
      </w:r>
      <w:r>
        <w:t>量的测定</w:t>
      </w:r>
      <w:r>
        <w:rPr>
          <w:rFonts w:hint="eastAsia"/>
        </w:rPr>
        <w:t xml:space="preserve">  铬天青S分光光度法</w:t>
      </w:r>
      <w:r>
        <w:t>；</w:t>
      </w:r>
      <w:r>
        <w:br w:type="textWrapping"/>
      </w:r>
      <w:r>
        <w:rPr>
          <w:rFonts w:hint="eastAsia"/>
        </w:rPr>
        <w:t xml:space="preserve">    ——</w:t>
      </w:r>
      <w:r>
        <w:t>第</w:t>
      </w:r>
      <w:r>
        <w:rPr>
          <w:rFonts w:hint="eastAsia"/>
        </w:rPr>
        <w:t>7</w:t>
      </w:r>
      <w:r>
        <w:t>部分：铅、铜、铁、</w:t>
      </w:r>
      <w:r>
        <w:rPr>
          <w:rFonts w:hint="eastAsia"/>
        </w:rPr>
        <w:t>铋</w:t>
      </w:r>
      <w:r>
        <w:t>、锌、锡量的测定</w:t>
      </w:r>
      <w:r>
        <w:rPr>
          <w:rFonts w:hint="eastAsia"/>
        </w:rPr>
        <w:t xml:space="preserve"> </w:t>
      </w:r>
      <w:r>
        <w:t>火焰原子吸收光谱法。</w:t>
      </w:r>
      <w:r>
        <w:br w:type="textWrapping"/>
      </w:r>
      <w:r>
        <w:rPr>
          <w:rFonts w:hint="eastAsia"/>
          <w:lang w:val="en-US" w:eastAsia="zh-CN"/>
        </w:rPr>
        <w:t xml:space="preserve">    </w:t>
      </w:r>
      <w:r>
        <w:rPr>
          <w:rFonts w:hint="eastAsia"/>
          <w:kern w:val="0"/>
          <w:lang w:val="zh-TW" w:eastAsia="zh-TW" w:bidi="zh-TW"/>
        </w:rPr>
        <w:t>轴承合金中的锑是主要的合金元素，所形成锡锑相是合金中的硬质点，锑含量对合金的性能起到决定性的作用，该标准</w:t>
      </w:r>
      <w:r>
        <w:rPr>
          <w:rFonts w:hint="eastAsia"/>
        </w:rPr>
        <w:t>为</w:t>
      </w:r>
      <w:r>
        <w:rPr>
          <w:rFonts w:hint="eastAsia"/>
          <w:kern w:val="0"/>
          <w:lang w:bidi="zh-TW"/>
        </w:rPr>
        <w:t>铸造轴承合金</w:t>
      </w:r>
      <w:r>
        <w:rPr>
          <w:rFonts w:hint="eastAsia"/>
        </w:rPr>
        <w:t>中锑含量的测定提供了准确的、科学的依据。本次修订新增了溴酸钾自动电位滴定法测定锑含量的内容，填补了快速、自动测定</w:t>
      </w:r>
      <w:r>
        <w:rPr>
          <w:rFonts w:hint="eastAsia"/>
          <w:kern w:val="0"/>
          <w:lang w:val="zh-TW" w:eastAsia="zh-TW" w:bidi="zh-TW"/>
        </w:rPr>
        <w:t>轴承合金中锑</w:t>
      </w:r>
      <w:r>
        <w:rPr>
          <w:rFonts w:hint="eastAsia"/>
          <w:lang w:val="en-US" w:eastAsia="zh-CN"/>
        </w:rPr>
        <w:t>方法</w:t>
      </w:r>
      <w:r>
        <w:rPr>
          <w:rFonts w:hint="eastAsia"/>
        </w:rPr>
        <w:t>的空白。便于贸易中采用统一的分析方法，有利于减少因检测方法差异造成的商业纠纷，具有很好的经济效益和社会效益。</w:t>
      </w:r>
    </w:p>
    <w:p>
      <w:pPr>
        <w:spacing w:line="360" w:lineRule="auto"/>
        <w:jc w:val="center"/>
        <w:rPr>
          <w:rFonts w:ascii="黑体" w:hAnsi="黑体" w:eastAsia="黑体" w:cs="宋体"/>
          <w:color w:val="000000"/>
          <w:kern w:val="0"/>
          <w:sz w:val="32"/>
          <w:szCs w:val="32"/>
        </w:rPr>
      </w:pPr>
    </w:p>
    <w:p>
      <w:pPr>
        <w:spacing w:line="360" w:lineRule="auto"/>
        <w:jc w:val="center"/>
        <w:rPr>
          <w:rFonts w:ascii="黑体" w:hAnsi="黑体" w:eastAsia="黑体" w:cs="宋体"/>
          <w:color w:val="000000"/>
          <w:kern w:val="0"/>
          <w:sz w:val="32"/>
          <w:szCs w:val="32"/>
        </w:rPr>
        <w:sectPr>
          <w:headerReference r:id="rId5" w:type="default"/>
          <w:footerReference r:id="rId7" w:type="default"/>
          <w:headerReference r:id="rId6" w:type="even"/>
          <w:footerReference r:id="rId8" w:type="even"/>
          <w:pgSz w:w="11906" w:h="16838"/>
          <w:pgMar w:top="1474" w:right="1418" w:bottom="1474" w:left="1418" w:header="851" w:footer="992" w:gutter="0"/>
          <w:pgNumType w:fmt="upperRoman"/>
          <w:cols w:space="720" w:num="1"/>
          <w:docGrid w:type="lines" w:linePitch="312" w:charSpace="0"/>
        </w:sectPr>
      </w:pPr>
    </w:p>
    <w:p>
      <w:pPr>
        <w:spacing w:line="360" w:lineRule="auto"/>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铸造轴承合金化学分析方法</w:t>
      </w:r>
    </w:p>
    <w:p>
      <w:pPr>
        <w:spacing w:line="360" w:lineRule="auto"/>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第3部分：锑含量的测定</w:t>
      </w:r>
    </w:p>
    <w:p>
      <w:pPr>
        <w:spacing w:line="360" w:lineRule="auto"/>
        <w:jc w:val="center"/>
        <w:rPr>
          <w:rFonts w:ascii="黑体" w:hAnsi="黑体" w:eastAsia="黑体"/>
          <w:bCs/>
          <w:sz w:val="32"/>
          <w:szCs w:val="32"/>
        </w:rPr>
      </w:pPr>
      <w:r>
        <w:rPr>
          <w:rFonts w:hint="eastAsia" w:ascii="黑体" w:hAnsi="黑体" w:eastAsia="黑体" w:cs="宋体"/>
          <w:color w:val="000000"/>
          <w:sz w:val="32"/>
          <w:szCs w:val="32"/>
        </w:rPr>
        <w:t>硫酸铈滴定法和溴酸钾自动电位滴定法</w:t>
      </w:r>
    </w:p>
    <w:p>
      <w:pPr>
        <w:spacing w:line="360" w:lineRule="auto"/>
        <w:jc w:val="center"/>
        <w:rPr>
          <w:rFonts w:ascii="宋体" w:hAnsi="宋体"/>
          <w:szCs w:val="20"/>
        </w:rPr>
      </w:pPr>
      <w:r>
        <w:rPr>
          <w:rFonts w:hint="eastAsia" w:ascii="黑体" w:hAnsi="黑体" w:eastAsia="黑体"/>
          <w:szCs w:val="21"/>
        </w:rPr>
        <w:t xml:space="preserve">   警示</w:t>
      </w:r>
      <w:r>
        <w:rPr>
          <w:rFonts w:ascii="黑体" w:hAnsi="黑体" w:eastAsia="黑体"/>
          <w:b/>
          <w:kern w:val="0"/>
          <w:szCs w:val="21"/>
        </w:rPr>
        <w:t>——</w:t>
      </w:r>
      <w:r>
        <w:rPr>
          <w:rFonts w:hint="eastAsia" w:ascii="黑体" w:hAnsi="黑体" w:eastAsia="黑体"/>
          <w:szCs w:val="21"/>
        </w:rPr>
        <w:t>使用本文件的人员应有正规实验室工作的实践经验。本文件并未指出所有有可能的安全问题。使用者有责任采取适当的安全和健康措施，并保证符合国家有关法规规定的条件。</w:t>
      </w:r>
    </w:p>
    <w:p>
      <w:pPr>
        <w:pStyle w:val="44"/>
        <w:numPr>
          <w:ilvl w:val="0"/>
          <w:numId w:val="2"/>
        </w:numPr>
        <w:adjustRightInd w:val="0"/>
        <w:snapToGrid w:val="0"/>
        <w:spacing w:beforeLines="100" w:afterLines="100"/>
        <w:ind w:firstLineChars="0"/>
        <w:outlineLvl w:val="1"/>
        <w:rPr>
          <w:rFonts w:ascii="黑体" w:hAnsi="黑体" w:eastAsia="黑体"/>
          <w:szCs w:val="21"/>
        </w:rPr>
      </w:pPr>
      <w:r>
        <w:rPr>
          <w:rFonts w:hint="eastAsia" w:ascii="黑体" w:hAnsi="黑体" w:eastAsia="黑体"/>
          <w:szCs w:val="21"/>
          <w:lang w:val="en-US" w:eastAsia="zh-CN"/>
        </w:rPr>
        <w:t xml:space="preserve">  </w:t>
      </w:r>
      <w:r>
        <w:rPr>
          <w:rFonts w:ascii="黑体" w:hAnsi="黑体" w:eastAsia="黑体"/>
          <w:szCs w:val="21"/>
        </w:rPr>
        <w:t>范围</w:t>
      </w:r>
    </w:p>
    <w:p>
      <w:pPr>
        <w:spacing w:line="276" w:lineRule="auto"/>
        <w:ind w:firstLine="420" w:firstLineChars="200"/>
        <w:rPr>
          <w:kern w:val="0"/>
          <w:szCs w:val="21"/>
        </w:rPr>
      </w:pPr>
      <w:r>
        <w:rPr>
          <w:rFonts w:hAnsi="宋体"/>
          <w:kern w:val="0"/>
          <w:szCs w:val="21"/>
        </w:rPr>
        <w:t>本文件</w:t>
      </w:r>
      <w:r>
        <w:rPr>
          <w:rFonts w:hint="eastAsia" w:hAnsi="宋体"/>
          <w:kern w:val="0"/>
          <w:szCs w:val="21"/>
        </w:rPr>
        <w:t>描述</w:t>
      </w:r>
      <w:r>
        <w:rPr>
          <w:rFonts w:hAnsi="宋体"/>
          <w:kern w:val="0"/>
          <w:szCs w:val="21"/>
        </w:rPr>
        <w:t>了铸造轴承合金中锑含量的测定方法。</w:t>
      </w:r>
    </w:p>
    <w:p>
      <w:pPr>
        <w:spacing w:line="276" w:lineRule="auto"/>
        <w:ind w:firstLine="420" w:firstLineChars="200"/>
        <w:rPr>
          <w:szCs w:val="21"/>
        </w:rPr>
      </w:pPr>
      <w:r>
        <w:rPr>
          <w:rFonts w:hAnsi="宋体"/>
          <w:szCs w:val="21"/>
        </w:rPr>
        <w:t>本文件适用于</w:t>
      </w:r>
      <w:r>
        <w:rPr>
          <w:rFonts w:hAnsi="宋体"/>
          <w:kern w:val="0"/>
          <w:szCs w:val="21"/>
        </w:rPr>
        <w:t>铸造轴承合金中锑含量</w:t>
      </w:r>
      <w:r>
        <w:rPr>
          <w:rFonts w:hAnsi="宋体"/>
          <w:szCs w:val="21"/>
        </w:rPr>
        <w:t>的测定。测定范围：</w:t>
      </w:r>
      <w:r>
        <w:rPr>
          <w:rFonts w:hint="eastAsia"/>
          <w:szCs w:val="21"/>
        </w:rPr>
        <w:t>1.</w:t>
      </w:r>
      <w:r>
        <w:rPr>
          <w:szCs w:val="21"/>
        </w:rPr>
        <w:t>50</w:t>
      </w:r>
      <w:r>
        <w:rPr>
          <w:rFonts w:hAnsi="宋体"/>
          <w:szCs w:val="21"/>
        </w:rPr>
        <w:t>％～</w:t>
      </w:r>
      <w:r>
        <w:rPr>
          <w:szCs w:val="21"/>
        </w:rPr>
        <w:t>20.00</w:t>
      </w:r>
      <w:r>
        <w:rPr>
          <w:rFonts w:hAnsi="宋体"/>
          <w:szCs w:val="21"/>
        </w:rPr>
        <w:t>％</w:t>
      </w:r>
      <w:r>
        <w:rPr>
          <w:rFonts w:hint="eastAsia" w:hAnsi="宋体"/>
          <w:szCs w:val="21"/>
        </w:rPr>
        <w:t>。</w:t>
      </w:r>
      <w:r>
        <w:rPr>
          <w:rFonts w:hAnsi="宋体"/>
          <w:szCs w:val="21"/>
        </w:rPr>
        <w:t>方法</w:t>
      </w:r>
      <w:r>
        <w:rPr>
          <w:rFonts w:hint="eastAsia" w:hAnsi="宋体"/>
          <w:szCs w:val="21"/>
        </w:rPr>
        <w:t>1：硫酸铈滴定法；方法2：溴酸钾自动电位滴定法，适用于试液中含砷量小于</w:t>
      </w:r>
      <w:r>
        <w:rPr>
          <w:szCs w:val="21"/>
        </w:rPr>
        <w:t>50 µg</w:t>
      </w:r>
      <w:r>
        <w:rPr>
          <w:rFonts w:hint="eastAsia" w:hAnsi="宋体"/>
          <w:szCs w:val="21"/>
        </w:rPr>
        <w:t>样品的测定</w:t>
      </w:r>
      <w:r>
        <w:rPr>
          <w:rFonts w:hAnsi="宋体"/>
          <w:szCs w:val="21"/>
        </w:rPr>
        <w:t>。</w:t>
      </w:r>
      <w:r>
        <w:rPr>
          <w:rFonts w:hint="eastAsia" w:hAnsi="宋体"/>
          <w:szCs w:val="21"/>
        </w:rPr>
        <w:t>方法1为仲裁方法。</w:t>
      </w:r>
    </w:p>
    <w:p>
      <w:pPr>
        <w:pStyle w:val="44"/>
        <w:numPr>
          <w:ilvl w:val="0"/>
          <w:numId w:val="2"/>
        </w:numPr>
        <w:tabs>
          <w:tab w:val="left" w:pos="420"/>
        </w:tabs>
        <w:adjustRightInd w:val="0"/>
        <w:snapToGrid w:val="0"/>
        <w:spacing w:beforeLines="100" w:afterLines="100"/>
        <w:ind w:firstLineChars="0"/>
        <w:outlineLvl w:val="1"/>
        <w:rPr>
          <w:rFonts w:ascii="黑体" w:hAnsi="黑体" w:eastAsia="黑体"/>
          <w:szCs w:val="21"/>
        </w:rPr>
      </w:pPr>
      <w:r>
        <w:rPr>
          <w:rFonts w:hint="eastAsia" w:ascii="黑体" w:hAnsi="黑体" w:eastAsia="黑体"/>
          <w:szCs w:val="21"/>
        </w:rPr>
        <w:t xml:space="preserve">  规范性引用文件</w:t>
      </w:r>
    </w:p>
    <w:p>
      <w:pPr>
        <w:adjustRightInd w:val="0"/>
        <w:snapToGrid w:val="0"/>
        <w:spacing w:line="360" w:lineRule="exact"/>
        <w:ind w:firstLine="420" w:firstLineChars="200"/>
        <w:rPr>
          <w:rFonts w:hAnsi="宋体"/>
          <w:bCs/>
          <w:szCs w:val="21"/>
        </w:rPr>
      </w:pPr>
      <w:r>
        <w:rPr>
          <w:rFonts w:hint="eastAsia" w:hAnsi="宋体"/>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val="0"/>
        <w:snapToGrid w:val="0"/>
        <w:spacing w:line="360" w:lineRule="exact"/>
        <w:ind w:firstLine="420" w:firstLineChars="200"/>
        <w:rPr>
          <w:rFonts w:hAnsi="宋体"/>
          <w:bCs/>
          <w:szCs w:val="21"/>
        </w:rPr>
      </w:pPr>
      <w:r>
        <w:rPr>
          <w:rFonts w:hAnsi="宋体"/>
          <w:bCs/>
          <w:szCs w:val="21"/>
        </w:rPr>
        <w:t>G</w:t>
      </w:r>
      <w:r>
        <w:rPr>
          <w:rFonts w:hint="eastAsia" w:hAnsi="宋体"/>
          <w:bCs/>
          <w:szCs w:val="21"/>
        </w:rPr>
        <w:t>B/T8170数值修约规则与极限数值的表示和判定。</w:t>
      </w:r>
    </w:p>
    <w:p>
      <w:pPr>
        <w:pStyle w:val="44"/>
        <w:numPr>
          <w:ilvl w:val="0"/>
          <w:numId w:val="2"/>
        </w:numPr>
        <w:tabs>
          <w:tab w:val="left" w:pos="420"/>
        </w:tabs>
        <w:adjustRightInd w:val="0"/>
        <w:snapToGrid w:val="0"/>
        <w:spacing w:beforeLines="100" w:afterLines="100"/>
        <w:ind w:firstLineChars="0"/>
        <w:outlineLvl w:val="1"/>
        <w:rPr>
          <w:rFonts w:ascii="黑体" w:hAnsi="黑体" w:eastAsia="黑体"/>
          <w:szCs w:val="21"/>
        </w:rPr>
      </w:pPr>
      <w:r>
        <w:rPr>
          <w:rFonts w:hint="eastAsia" w:ascii="黑体" w:hAnsi="黑体" w:eastAsia="黑体"/>
          <w:szCs w:val="21"/>
        </w:rPr>
        <w:t xml:space="preserve">  术语和定义</w:t>
      </w:r>
    </w:p>
    <w:p>
      <w:pPr>
        <w:snapToGrid w:val="0"/>
        <w:spacing w:line="360" w:lineRule="exact"/>
        <w:ind w:firstLine="420" w:firstLineChars="200"/>
        <w:rPr>
          <w:rFonts w:hAnsi="宋体"/>
          <w:bCs/>
          <w:szCs w:val="21"/>
        </w:rPr>
      </w:pPr>
      <w:r>
        <w:rPr>
          <w:rFonts w:hint="eastAsia" w:hAnsi="宋体"/>
          <w:bCs/>
          <w:szCs w:val="21"/>
        </w:rPr>
        <w:t>本文件没有需要界定的术语和定义。</w:t>
      </w:r>
    </w:p>
    <w:p>
      <w:pPr>
        <w:pStyle w:val="44"/>
        <w:numPr>
          <w:ilvl w:val="0"/>
          <w:numId w:val="2"/>
        </w:numPr>
        <w:tabs>
          <w:tab w:val="left" w:pos="420"/>
        </w:tabs>
        <w:adjustRightInd w:val="0"/>
        <w:snapToGrid w:val="0"/>
        <w:spacing w:beforeLines="100" w:afterLines="100"/>
        <w:ind w:firstLineChars="0"/>
        <w:outlineLvl w:val="1"/>
        <w:rPr>
          <w:rFonts w:ascii="黑体" w:eastAsia="黑体"/>
          <w:szCs w:val="21"/>
        </w:rPr>
      </w:pPr>
      <w:r>
        <w:rPr>
          <w:rFonts w:hint="eastAsia" w:ascii="黑体" w:hAnsi="宋体" w:eastAsia="黑体"/>
          <w:szCs w:val="21"/>
        </w:rPr>
        <w:t xml:space="preserve"> 方法</w:t>
      </w:r>
      <w:r>
        <w:rPr>
          <w:rFonts w:hint="eastAsia" w:ascii="黑体" w:eastAsia="黑体"/>
          <w:szCs w:val="21"/>
        </w:rPr>
        <w:t>1</w:t>
      </w:r>
      <w:r>
        <w:rPr>
          <w:rFonts w:hint="eastAsia" w:ascii="黑体" w:hAnsi="宋体" w:eastAsia="黑体"/>
          <w:szCs w:val="21"/>
        </w:rPr>
        <w:t>硫酸铈滴定法</w:t>
      </w:r>
    </w:p>
    <w:p>
      <w:pPr>
        <w:pStyle w:val="44"/>
        <w:adjustRightInd w:val="0"/>
        <w:snapToGrid w:val="0"/>
        <w:spacing w:beforeLines="100" w:afterLines="100"/>
        <w:ind w:firstLine="0" w:firstLineChars="0"/>
        <w:outlineLvl w:val="1"/>
        <w:rPr>
          <w:rFonts w:ascii="黑体" w:eastAsia="黑体"/>
          <w:szCs w:val="21"/>
        </w:rPr>
      </w:pPr>
      <w:r>
        <w:rPr>
          <w:rFonts w:hint="eastAsia" w:ascii="黑体" w:eastAsia="黑体"/>
          <w:szCs w:val="21"/>
        </w:rPr>
        <w:t xml:space="preserve">4.1 </w:t>
      </w:r>
      <w:r>
        <w:rPr>
          <w:rFonts w:hint="eastAsia" w:ascii="黑体" w:hAnsi="宋体" w:eastAsia="黑体"/>
          <w:szCs w:val="21"/>
        </w:rPr>
        <w:t>原理</w:t>
      </w:r>
    </w:p>
    <w:p>
      <w:pPr>
        <w:autoSpaceDE w:val="0"/>
        <w:autoSpaceDN w:val="0"/>
        <w:adjustRightInd w:val="0"/>
        <w:snapToGrid w:val="0"/>
        <w:spacing w:line="360" w:lineRule="exact"/>
        <w:ind w:firstLine="420" w:firstLineChars="200"/>
        <w:rPr>
          <w:rFonts w:hAnsi="宋体"/>
          <w:szCs w:val="21"/>
        </w:rPr>
      </w:pPr>
      <w:r>
        <w:rPr>
          <w:rFonts w:hAnsi="宋体"/>
          <w:szCs w:val="21"/>
        </w:rPr>
        <w:t>试料用硫酸、硫酸钾溶解，定量滤纸作还原剂，在硫酸</w:t>
      </w:r>
      <w:r>
        <w:rPr>
          <w:rFonts w:hint="eastAsia" w:hAnsi="宋体"/>
          <w:szCs w:val="21"/>
        </w:rPr>
        <w:t>—</w:t>
      </w:r>
      <w:r>
        <w:rPr>
          <w:rFonts w:hAnsi="宋体"/>
          <w:szCs w:val="21"/>
        </w:rPr>
        <w:t>盐酸介质中，以亚甲基蓝、甲基橙为指示剂，用硫酸</w:t>
      </w:r>
      <w:r>
        <w:rPr>
          <w:rFonts w:hint="eastAsia" w:hAnsi="宋体"/>
          <w:szCs w:val="21"/>
        </w:rPr>
        <w:t>铈</w:t>
      </w:r>
      <w:r>
        <w:rPr>
          <w:rFonts w:hAnsi="宋体"/>
          <w:szCs w:val="21"/>
        </w:rPr>
        <w:t>铵标准滴定溶液滴定。</w:t>
      </w:r>
    </w:p>
    <w:p>
      <w:pPr>
        <w:pStyle w:val="44"/>
        <w:adjustRightInd w:val="0"/>
        <w:snapToGrid w:val="0"/>
        <w:spacing w:beforeLines="100" w:afterLines="100"/>
        <w:ind w:firstLine="0" w:firstLineChars="0"/>
        <w:outlineLvl w:val="1"/>
        <w:rPr>
          <w:rFonts w:ascii="黑体" w:eastAsia="黑体"/>
          <w:szCs w:val="21"/>
        </w:rPr>
      </w:pPr>
      <w:r>
        <w:rPr>
          <w:rFonts w:hint="eastAsia" w:ascii="黑体" w:eastAsia="黑体"/>
          <w:szCs w:val="21"/>
        </w:rPr>
        <w:t xml:space="preserve">4.2 </w:t>
      </w:r>
      <w:r>
        <w:rPr>
          <w:rFonts w:hint="eastAsia" w:ascii="黑体" w:hAnsi="宋体" w:eastAsia="黑体"/>
          <w:szCs w:val="21"/>
        </w:rPr>
        <w:t>试剂</w:t>
      </w:r>
    </w:p>
    <w:p>
      <w:pPr>
        <w:autoSpaceDE w:val="0"/>
        <w:autoSpaceDN w:val="0"/>
        <w:adjustRightInd w:val="0"/>
        <w:snapToGrid w:val="0"/>
        <w:spacing w:line="360" w:lineRule="exact"/>
        <w:ind w:firstLine="420" w:firstLineChars="200"/>
        <w:rPr>
          <w:rFonts w:hAnsi="宋体"/>
          <w:szCs w:val="20"/>
        </w:rPr>
      </w:pPr>
      <w:r>
        <w:rPr>
          <w:rFonts w:hAnsi="宋体"/>
          <w:szCs w:val="20"/>
        </w:rPr>
        <w:t>除非另有说明，在分析中仅使用确认为优级纯的试剂和蒸馏水或去离子水或相当纯度的水。</w:t>
      </w:r>
    </w:p>
    <w:p>
      <w:pPr>
        <w:autoSpaceDE w:val="0"/>
        <w:autoSpaceDN w:val="0"/>
        <w:adjustRightInd w:val="0"/>
        <w:snapToGrid w:val="0"/>
        <w:spacing w:line="360" w:lineRule="exact"/>
        <w:rPr>
          <w:szCs w:val="21"/>
        </w:rPr>
      </w:pPr>
      <w:r>
        <w:rPr>
          <w:rFonts w:hint="eastAsia" w:ascii="黑体" w:hAnsi="黑体" w:eastAsia="黑体" w:cs="黑体"/>
          <w:szCs w:val="21"/>
        </w:rPr>
        <w:t xml:space="preserve">4.2.1 </w:t>
      </w:r>
      <w:r>
        <w:rPr>
          <w:rFonts w:hAnsi="宋体"/>
          <w:szCs w:val="21"/>
        </w:rPr>
        <w:t>硫酸钾。</w:t>
      </w:r>
    </w:p>
    <w:p>
      <w:pPr>
        <w:autoSpaceDE w:val="0"/>
        <w:autoSpaceDN w:val="0"/>
        <w:adjustRightInd w:val="0"/>
        <w:snapToGrid w:val="0"/>
        <w:spacing w:line="360" w:lineRule="exact"/>
        <w:rPr>
          <w:szCs w:val="21"/>
        </w:rPr>
      </w:pPr>
      <w:r>
        <w:rPr>
          <w:rFonts w:hint="eastAsia" w:ascii="黑体" w:hAnsi="黑体" w:eastAsia="黑体" w:cs="黑体"/>
          <w:szCs w:val="21"/>
        </w:rPr>
        <w:t xml:space="preserve">4.2.2 </w:t>
      </w:r>
      <w:r>
        <w:rPr>
          <w:rFonts w:hAnsi="宋体"/>
          <w:szCs w:val="21"/>
        </w:rPr>
        <w:t>定量滤纸。</w:t>
      </w:r>
    </w:p>
    <w:p>
      <w:pPr>
        <w:autoSpaceDE w:val="0"/>
        <w:autoSpaceDN w:val="0"/>
        <w:adjustRightInd w:val="0"/>
        <w:snapToGrid w:val="0"/>
        <w:spacing w:line="360" w:lineRule="exact"/>
        <w:rPr>
          <w:szCs w:val="21"/>
        </w:rPr>
      </w:pPr>
      <w:r>
        <w:rPr>
          <w:rFonts w:hint="eastAsia" w:ascii="黑体" w:hAnsi="黑体" w:eastAsia="黑体" w:cs="黑体"/>
          <w:szCs w:val="21"/>
        </w:rPr>
        <w:t xml:space="preserve">4.2.3 </w:t>
      </w:r>
      <w:r>
        <w:rPr>
          <w:rFonts w:hAnsi="宋体"/>
          <w:szCs w:val="21"/>
        </w:rPr>
        <w:t>硫酸</w:t>
      </w:r>
      <w:r>
        <w:rPr>
          <w:szCs w:val="21"/>
        </w:rPr>
        <w:t>(</w:t>
      </w:r>
      <w:r>
        <w:rPr>
          <w:i/>
          <w:szCs w:val="21"/>
        </w:rPr>
        <w:t>ρ</w:t>
      </w:r>
      <w:r>
        <w:rPr>
          <w:rFonts w:hint="eastAsia"/>
          <w:i/>
          <w:szCs w:val="21"/>
        </w:rPr>
        <w:t>=</w:t>
      </w:r>
      <w:r>
        <w:rPr>
          <w:szCs w:val="21"/>
        </w:rPr>
        <w:t>1.84</w:t>
      </w:r>
      <w:r>
        <w:rPr>
          <w:rFonts w:hint="eastAsia"/>
          <w:szCs w:val="21"/>
        </w:rPr>
        <w:t xml:space="preserve"> </w:t>
      </w:r>
      <w:r>
        <w:rPr>
          <w:szCs w:val="21"/>
        </w:rPr>
        <w:t>g/mL)</w:t>
      </w:r>
      <w:r>
        <w:rPr>
          <w:rFonts w:hAnsi="宋体"/>
          <w:szCs w:val="21"/>
        </w:rPr>
        <w:t>。</w:t>
      </w:r>
    </w:p>
    <w:p>
      <w:pPr>
        <w:autoSpaceDE w:val="0"/>
        <w:autoSpaceDN w:val="0"/>
        <w:adjustRightInd w:val="0"/>
        <w:snapToGrid w:val="0"/>
        <w:spacing w:line="360" w:lineRule="exact"/>
        <w:rPr>
          <w:szCs w:val="21"/>
        </w:rPr>
      </w:pPr>
      <w:r>
        <w:rPr>
          <w:rFonts w:hint="eastAsia" w:ascii="黑体" w:hAnsi="黑体" w:eastAsia="黑体" w:cs="黑体"/>
          <w:szCs w:val="21"/>
        </w:rPr>
        <w:t xml:space="preserve">4.2.4 </w:t>
      </w:r>
      <w:r>
        <w:rPr>
          <w:rFonts w:hAnsi="宋体"/>
          <w:szCs w:val="21"/>
        </w:rPr>
        <w:t>硫酸</w:t>
      </w:r>
      <w:r>
        <w:rPr>
          <w:szCs w:val="21"/>
        </w:rPr>
        <w:t>(1+2)</w:t>
      </w:r>
      <w:r>
        <w:rPr>
          <w:rFonts w:hAnsi="宋体"/>
          <w:szCs w:val="21"/>
        </w:rPr>
        <w:t>。</w:t>
      </w:r>
    </w:p>
    <w:p>
      <w:pPr>
        <w:autoSpaceDE w:val="0"/>
        <w:autoSpaceDN w:val="0"/>
        <w:adjustRightInd w:val="0"/>
        <w:snapToGrid w:val="0"/>
        <w:spacing w:line="360" w:lineRule="exact"/>
        <w:rPr>
          <w:rFonts w:hAnsi="宋体"/>
          <w:szCs w:val="21"/>
        </w:rPr>
      </w:pPr>
      <w:r>
        <w:rPr>
          <w:rFonts w:hint="eastAsia" w:ascii="黑体" w:hAnsi="黑体" w:eastAsia="黑体" w:cs="黑体"/>
          <w:szCs w:val="21"/>
        </w:rPr>
        <w:t xml:space="preserve">4.2.5 </w:t>
      </w:r>
      <w:r>
        <w:rPr>
          <w:rFonts w:hAnsi="宋体"/>
          <w:szCs w:val="21"/>
        </w:rPr>
        <w:t>盐酸</w:t>
      </w:r>
      <w:r>
        <w:rPr>
          <w:szCs w:val="21"/>
        </w:rPr>
        <w:t>(</w:t>
      </w:r>
      <w:r>
        <w:rPr>
          <w:i/>
          <w:szCs w:val="21"/>
        </w:rPr>
        <w:t>ρ</w:t>
      </w:r>
      <w:r>
        <w:rPr>
          <w:rFonts w:hint="eastAsia"/>
          <w:i/>
          <w:szCs w:val="21"/>
        </w:rPr>
        <w:t>=</w:t>
      </w:r>
      <w:r>
        <w:rPr>
          <w:szCs w:val="21"/>
        </w:rPr>
        <w:t>1.19</w:t>
      </w:r>
      <w:r>
        <w:rPr>
          <w:rFonts w:hint="eastAsia"/>
          <w:szCs w:val="21"/>
        </w:rPr>
        <w:t xml:space="preserve"> </w:t>
      </w:r>
      <w:r>
        <w:rPr>
          <w:szCs w:val="21"/>
        </w:rPr>
        <w:t>g/mL)</w:t>
      </w:r>
      <w:r>
        <w:rPr>
          <w:rFonts w:hAnsi="宋体"/>
          <w:szCs w:val="21"/>
        </w:rPr>
        <w:t>。</w:t>
      </w:r>
    </w:p>
    <w:p>
      <w:pPr>
        <w:autoSpaceDE w:val="0"/>
        <w:autoSpaceDN w:val="0"/>
        <w:adjustRightInd w:val="0"/>
        <w:snapToGrid w:val="0"/>
        <w:spacing w:line="360" w:lineRule="exact"/>
        <w:rPr>
          <w:rFonts w:hint="eastAsia"/>
          <w:szCs w:val="21"/>
          <w:lang w:val="en-US" w:eastAsia="zh-CN"/>
        </w:rPr>
      </w:pPr>
      <w:r>
        <w:rPr>
          <w:rFonts w:hint="eastAsia" w:ascii="黑体" w:hAnsi="黑体" w:eastAsia="黑体" w:cs="黑体"/>
          <w:szCs w:val="21"/>
        </w:rPr>
        <w:t xml:space="preserve">4.2.6 </w:t>
      </w:r>
      <w:r>
        <w:rPr>
          <w:rFonts w:hAnsi="宋体"/>
          <w:szCs w:val="21"/>
        </w:rPr>
        <w:t>锑标准溶液：称取</w:t>
      </w:r>
      <w:r>
        <w:rPr>
          <w:szCs w:val="21"/>
        </w:rPr>
        <w:t>1.0000</w:t>
      </w:r>
      <w:r>
        <w:rPr>
          <w:rFonts w:hint="eastAsia"/>
          <w:szCs w:val="21"/>
        </w:rPr>
        <w:t xml:space="preserve"> </w:t>
      </w:r>
      <w:r>
        <w:rPr>
          <w:szCs w:val="21"/>
        </w:rPr>
        <w:t>g</w:t>
      </w:r>
      <w:r>
        <w:rPr>
          <w:rFonts w:hAnsi="宋体"/>
          <w:szCs w:val="21"/>
        </w:rPr>
        <w:t>金属锑</w:t>
      </w:r>
      <w:r>
        <w:rPr>
          <w:szCs w:val="21"/>
        </w:rPr>
        <w:t>(</w:t>
      </w:r>
      <w:r>
        <w:rPr>
          <w:rFonts w:hint="eastAsia"/>
          <w:i/>
          <w:iCs/>
          <w:szCs w:val="21"/>
          <w:lang w:val="en-US" w:eastAsia="zh-CN"/>
        </w:rPr>
        <w:t>w</w:t>
      </w:r>
      <w:r>
        <w:rPr>
          <w:rFonts w:hint="eastAsia"/>
          <w:szCs w:val="21"/>
          <w:vertAlign w:val="subscript"/>
          <w:lang w:val="en-US" w:eastAsia="zh-CN"/>
        </w:rPr>
        <w:t>Sb</w:t>
      </w:r>
      <w:r>
        <w:rPr>
          <w:rFonts w:hint="eastAsia" w:ascii="宋体" w:hAnsi="宋体" w:cs="宋体"/>
          <w:szCs w:val="21"/>
        </w:rPr>
        <w:t>≥</w:t>
      </w:r>
      <w:r>
        <w:rPr>
          <w:szCs w:val="21"/>
        </w:rPr>
        <w:t>99.99%)</w:t>
      </w:r>
      <w:r>
        <w:rPr>
          <w:rFonts w:hAnsi="宋体"/>
          <w:szCs w:val="21"/>
        </w:rPr>
        <w:t>置于</w:t>
      </w:r>
      <w:r>
        <w:rPr>
          <w:szCs w:val="21"/>
        </w:rPr>
        <w:t>300</w:t>
      </w:r>
      <w:r>
        <w:rPr>
          <w:rFonts w:hint="eastAsia"/>
          <w:szCs w:val="21"/>
        </w:rPr>
        <w:t xml:space="preserve"> </w:t>
      </w:r>
      <w:r>
        <w:rPr>
          <w:szCs w:val="21"/>
        </w:rPr>
        <w:t>mL</w:t>
      </w:r>
      <w:r>
        <w:rPr>
          <w:rFonts w:hAnsi="宋体"/>
          <w:szCs w:val="21"/>
        </w:rPr>
        <w:t>烧杯中，加</w:t>
      </w:r>
      <w:r>
        <w:rPr>
          <w:szCs w:val="21"/>
        </w:rPr>
        <w:t>50</w:t>
      </w:r>
      <w:r>
        <w:rPr>
          <w:rFonts w:hint="eastAsia"/>
          <w:szCs w:val="21"/>
        </w:rPr>
        <w:t xml:space="preserve"> </w:t>
      </w:r>
      <w:r>
        <w:rPr>
          <w:szCs w:val="21"/>
        </w:rPr>
        <w:t>mL</w:t>
      </w:r>
      <w:r>
        <w:rPr>
          <w:rFonts w:hAnsi="宋体"/>
          <w:szCs w:val="21"/>
        </w:rPr>
        <w:t>硫酸</w:t>
      </w:r>
      <w:r>
        <w:rPr>
          <w:szCs w:val="21"/>
        </w:rPr>
        <w:t>(</w:t>
      </w:r>
      <w:r>
        <w:rPr>
          <w:rFonts w:hint="eastAsia"/>
          <w:szCs w:val="21"/>
        </w:rPr>
        <w:t>4.2</w:t>
      </w:r>
      <w:r>
        <w:rPr>
          <w:szCs w:val="21"/>
        </w:rPr>
        <w:t>.3)</w:t>
      </w:r>
      <w:r>
        <w:rPr>
          <w:rFonts w:hAnsi="宋体"/>
          <w:szCs w:val="21"/>
        </w:rPr>
        <w:t>，加热至完全溶解。冷却后加</w:t>
      </w:r>
      <w:r>
        <w:rPr>
          <w:rFonts w:hint="eastAsia" w:hAnsi="宋体"/>
          <w:szCs w:val="21"/>
        </w:rPr>
        <w:t>入</w:t>
      </w:r>
      <w:r>
        <w:rPr>
          <w:szCs w:val="21"/>
        </w:rPr>
        <w:t>80</w:t>
      </w:r>
      <w:r>
        <w:rPr>
          <w:rFonts w:hint="eastAsia"/>
          <w:szCs w:val="21"/>
        </w:rPr>
        <w:t xml:space="preserve"> </w:t>
      </w:r>
      <w:r>
        <w:rPr>
          <w:szCs w:val="21"/>
        </w:rPr>
        <w:t>mL</w:t>
      </w:r>
      <w:r>
        <w:rPr>
          <w:rFonts w:hAnsi="宋体"/>
          <w:szCs w:val="21"/>
        </w:rPr>
        <w:t>硫酸</w:t>
      </w:r>
      <w:r>
        <w:rPr>
          <w:szCs w:val="21"/>
        </w:rPr>
        <w:t>(</w:t>
      </w:r>
      <w:r>
        <w:rPr>
          <w:rFonts w:hint="eastAsia"/>
          <w:szCs w:val="21"/>
        </w:rPr>
        <w:t>4.2</w:t>
      </w:r>
      <w:r>
        <w:rPr>
          <w:szCs w:val="21"/>
        </w:rPr>
        <w:t>.4)</w:t>
      </w:r>
      <w:r>
        <w:rPr>
          <w:rFonts w:hAnsi="宋体"/>
          <w:szCs w:val="21"/>
        </w:rPr>
        <w:t>，摇匀，微热溶解盐类，冷却，用硫酸</w:t>
      </w:r>
      <w:r>
        <w:rPr>
          <w:szCs w:val="21"/>
        </w:rPr>
        <w:t>(</w:t>
      </w:r>
      <w:r>
        <w:rPr>
          <w:rFonts w:hint="eastAsia"/>
          <w:szCs w:val="21"/>
        </w:rPr>
        <w:t>4.2</w:t>
      </w:r>
      <w:r>
        <w:rPr>
          <w:szCs w:val="21"/>
        </w:rPr>
        <w:t>.4)</w:t>
      </w:r>
      <w:r>
        <w:rPr>
          <w:rFonts w:hAnsi="宋体"/>
          <w:szCs w:val="21"/>
        </w:rPr>
        <w:t>移入</w:t>
      </w:r>
      <w:r>
        <w:rPr>
          <w:szCs w:val="21"/>
        </w:rPr>
        <w:t>1000</w:t>
      </w:r>
      <w:r>
        <w:rPr>
          <w:rFonts w:hint="eastAsia"/>
          <w:szCs w:val="21"/>
        </w:rPr>
        <w:t xml:space="preserve"> </w:t>
      </w:r>
      <w:r>
        <w:rPr>
          <w:szCs w:val="21"/>
        </w:rPr>
        <w:t>mL </w:t>
      </w:r>
      <w:r>
        <w:rPr>
          <w:rFonts w:hAnsi="宋体"/>
          <w:szCs w:val="21"/>
        </w:rPr>
        <w:t>容量瓶中并稀释至刻度，混匀。此溶液</w:t>
      </w:r>
      <w:r>
        <w:rPr>
          <w:rFonts w:hint="eastAsia" w:hAnsi="宋体"/>
          <w:szCs w:val="21"/>
        </w:rPr>
        <w:t>1 mL</w:t>
      </w:r>
      <w:r>
        <w:rPr>
          <w:rFonts w:hAnsi="宋体"/>
          <w:szCs w:val="21"/>
        </w:rPr>
        <w:t>含</w:t>
      </w:r>
      <w:r>
        <w:rPr>
          <w:szCs w:val="21"/>
        </w:rPr>
        <w:t>1</w:t>
      </w:r>
      <w:r>
        <w:rPr>
          <w:rFonts w:hint="eastAsia"/>
          <w:szCs w:val="21"/>
        </w:rPr>
        <w:t xml:space="preserve"> </w:t>
      </w:r>
      <w:r>
        <w:rPr>
          <w:szCs w:val="21"/>
        </w:rPr>
        <w:t>mg </w:t>
      </w:r>
      <w:r>
        <w:rPr>
          <w:rFonts w:hAnsi="宋体"/>
          <w:szCs w:val="21"/>
        </w:rPr>
        <w:t>锑。</w:t>
      </w:r>
      <w:r>
        <w:rPr>
          <w:szCs w:val="21"/>
        </w:rPr>
        <w:br w:type="textWrapping"/>
      </w:r>
      <w:r>
        <w:rPr>
          <w:rFonts w:hint="eastAsia" w:ascii="黑体" w:hAnsi="黑体" w:eastAsia="黑体" w:cs="黑体"/>
          <w:szCs w:val="21"/>
        </w:rPr>
        <w:t xml:space="preserve">4.2.7 </w:t>
      </w:r>
      <w:r>
        <w:rPr>
          <w:rFonts w:hAnsi="宋体"/>
          <w:szCs w:val="21"/>
        </w:rPr>
        <w:t>硫酸铈铵标准滴定溶液</w:t>
      </w:r>
      <w:r>
        <w:rPr>
          <w:rFonts w:hint="eastAsia" w:hAnsi="宋体"/>
          <w:szCs w:val="21"/>
          <w:lang w:eastAsia="zh-CN"/>
        </w:rPr>
        <w:t>（</w:t>
      </w:r>
      <m:oMath>
        <m:sSub>
          <m:sSubPr>
            <m:ctrlPr>
              <w:rPr>
                <w:rFonts w:hint="eastAsia" w:ascii="Cambria Math" w:hAnsi="Cambria Math" w:cs="Times New Roman"/>
                <w:kern w:val="2"/>
                <w:sz w:val="21"/>
                <w:szCs w:val="21"/>
                <w:lang w:val="en-US" w:eastAsia="zh-CN" w:bidi="ar-SA"/>
              </w:rPr>
            </m:ctrlPr>
          </m:sSubPr>
          <m:e>
            <m:r>
              <m:rPr/>
              <w:rPr>
                <w:rFonts w:hint="default" w:ascii="Cambria Math" w:hAnsi="Cambria Math" w:cs="Times New Roman"/>
                <w:kern w:val="2"/>
                <w:sz w:val="21"/>
                <w:szCs w:val="21"/>
                <w:lang w:val="en-US" w:eastAsia="zh-CN" w:bidi="ar-SA"/>
              </w:rPr>
              <m:t>c</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Ce(</m:t>
            </m:r>
            <m:sSub>
              <m:sSubPr>
                <m:ctrlPr>
                  <w:rPr>
                    <w:rFonts w:hint="default" w:ascii="Cambria Math" w:hAnsi="Cambria Math" w:cs="Times New Roman"/>
                    <w:b w:val="0"/>
                    <w:i w:val="0"/>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SO</m:t>
                </m:r>
                <m:ctrlPr>
                  <w:rPr>
                    <w:rFonts w:hint="default" w:ascii="Cambria Math" w:hAnsi="Cambria Math" w:cs="Times New Roman"/>
                    <w:b w:val="0"/>
                    <w:i w:val="0"/>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4</m:t>
                </m:r>
                <m:ctrlPr>
                  <w:rPr>
                    <w:rFonts w:hint="default" w:ascii="Cambria Math" w:hAnsi="Cambria Math" w:cs="Times New Roman"/>
                    <w:b w:val="0"/>
                    <w:i w:val="0"/>
                    <w:kern w:val="2"/>
                    <w:sz w:val="21"/>
                    <w:szCs w:val="21"/>
                    <w:lang w:val="en-US" w:eastAsia="zh-CN" w:bidi="ar-SA"/>
                  </w:rPr>
                </m:ctrlPr>
              </m:sub>
            </m:sSub>
            <m:sSub>
              <m:sSubPr>
                <m:ctrlPr>
                  <w:rPr>
                    <w:rFonts w:hint="eastAsia" w:ascii="Cambria Math" w:hAnsi="Cambria Math" w:cs="Times New Roman"/>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2</m:t>
                </m:r>
                <m:ctrlPr>
                  <w:rPr>
                    <w:rFonts w:hint="eastAsia" w:ascii="Cambria Math" w:hAnsi="Cambria Math" w:cs="Times New Roman"/>
                    <w:kern w:val="2"/>
                    <w:sz w:val="21"/>
                    <w:szCs w:val="21"/>
                    <w:lang w:val="en-US" w:eastAsia="zh-CN" w:bidi="ar-SA"/>
                  </w:rPr>
                </m:ctrlPr>
              </m:sub>
            </m:sSub>
            <m:sSub>
              <m:sSubPr>
                <m:ctrlPr>
                  <w:rPr>
                    <w:rFonts w:hint="eastAsia" w:ascii="Cambria Math" w:hAnsi="Cambria Math" w:cs="Times New Roman"/>
                    <w:kern w:val="2"/>
                    <w:sz w:val="21"/>
                    <w:szCs w:val="21"/>
                    <w:lang w:val="en-US" w:eastAsia="zh-CN" w:bidi="ar-SA"/>
                  </w:rPr>
                </m:ctrlPr>
              </m:sSubPr>
              <m:e>
                <m:r>
                  <m:rPr>
                    <m:sty m:val="p"/>
                  </m:rPr>
                  <w:rPr>
                    <w:rFonts w:hint="eastAsia" w:ascii="Cambria Math" w:hAnsi="Cambria Math" w:cs="Times New Roman"/>
                    <w:kern w:val="2"/>
                    <w:sz w:val="21"/>
                    <w:szCs w:val="21"/>
                    <w:lang w:val="en-US" w:eastAsia="zh-CN" w:bidi="ar-SA"/>
                  </w:rPr>
                  <m:t>·</m:t>
                </m:r>
                <m:sSub>
                  <m:sSubPr>
                    <m:ctrlPr>
                      <w:rPr>
                        <w:rFonts w:hint="default" w:ascii="Cambria Math" w:hAnsi="Cambria Math" w:cs="Times New Roman"/>
                        <w:i w:val="0"/>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2(</m:t>
                    </m:r>
                    <m:sSub>
                      <m:sSubPr>
                        <m:ctrlPr>
                          <w:rPr>
                            <w:rFonts w:hint="default" w:ascii="Cambria Math" w:hAnsi="Cambria Math" w:cs="Times New Roman"/>
                            <w:i w:val="0"/>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NH</m:t>
                        </m:r>
                        <m:ctrlPr>
                          <w:rPr>
                            <w:rFonts w:hint="default" w:ascii="Cambria Math" w:hAnsi="Cambria Math" w:cs="Times New Roman"/>
                            <w:i w:val="0"/>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3</m:t>
                        </m:r>
                        <m:ctrlPr>
                          <w:rPr>
                            <w:rFonts w:hint="default" w:ascii="Cambria Math" w:hAnsi="Cambria Math" w:cs="Times New Roman"/>
                            <w:i w:val="0"/>
                            <w:kern w:val="2"/>
                            <w:sz w:val="21"/>
                            <w:szCs w:val="21"/>
                            <w:lang w:val="en-US" w:eastAsia="zh-CN" w:bidi="ar-SA"/>
                          </w:rPr>
                        </m:ctrlPr>
                      </m:sub>
                    </m:sSub>
                    <m:r>
                      <m:rPr>
                        <m:sty m:val="p"/>
                      </m:rPr>
                      <w:rPr>
                        <w:rFonts w:hint="default" w:ascii="Cambria Math" w:hAnsi="Cambria Math" w:cs="Times New Roman"/>
                        <w:kern w:val="2"/>
                        <w:sz w:val="21"/>
                        <w:szCs w:val="21"/>
                        <w:lang w:val="en-US" w:eastAsia="zh-CN" w:bidi="ar-SA"/>
                      </w:rPr>
                      <m:t>)</m:t>
                    </m:r>
                    <m:ctrlPr>
                      <w:rPr>
                        <w:rFonts w:hint="default" w:ascii="Cambria Math" w:hAnsi="Cambria Math" w:cs="Times New Roman"/>
                        <w:i w:val="0"/>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2</m:t>
                    </m:r>
                    <m:ctrlPr>
                      <w:rPr>
                        <w:rFonts w:hint="default" w:ascii="Cambria Math" w:hAnsi="Cambria Math" w:cs="Times New Roman"/>
                        <w:i w:val="0"/>
                        <w:kern w:val="2"/>
                        <w:sz w:val="21"/>
                        <w:szCs w:val="21"/>
                        <w:lang w:val="en-US" w:eastAsia="zh-CN" w:bidi="ar-SA"/>
                      </w:rPr>
                    </m:ctrlPr>
                  </m:sub>
                </m:sSub>
                <m:sSub>
                  <m:sSubPr>
                    <m:ctrlPr>
                      <w:rPr>
                        <w:rFonts w:hint="eastAsia" w:ascii="Cambria Math" w:hAnsi="Cambria Math" w:cs="Times New Roman"/>
                        <w:i w:val="0"/>
                        <w:kern w:val="2"/>
                        <w:sz w:val="21"/>
                        <w:szCs w:val="21"/>
                        <w:lang w:val="en-US" w:eastAsia="zh-CN" w:bidi="ar-SA"/>
                      </w:rPr>
                    </m:ctrlPr>
                  </m:sSubPr>
                  <m:e>
                    <m:r>
                      <m:rPr>
                        <m:sty m:val="p"/>
                      </m:rPr>
                      <w:rPr>
                        <w:rFonts w:hint="eastAsia" w:ascii="Cambria Math" w:hAnsi="Cambria Math" w:cs="Times New Roman"/>
                        <w:kern w:val="2"/>
                        <w:sz w:val="21"/>
                        <w:szCs w:val="21"/>
                        <w:lang w:val="en-US" w:eastAsia="zh-CN" w:bidi="ar-SA"/>
                      </w:rPr>
                      <m:t>SO</m:t>
                    </m:r>
                    <m:ctrlPr>
                      <w:rPr>
                        <w:rFonts w:hint="eastAsia" w:ascii="Cambria Math" w:hAnsi="Cambria Math" w:cs="Times New Roman"/>
                        <w:i w:val="0"/>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4</m:t>
                    </m:r>
                    <m:ctrlPr>
                      <w:rPr>
                        <w:rFonts w:hint="eastAsia" w:ascii="Cambria Math" w:hAnsi="Cambria Math" w:cs="Times New Roman"/>
                        <w:i w:val="0"/>
                        <w:kern w:val="2"/>
                        <w:sz w:val="21"/>
                        <w:szCs w:val="21"/>
                        <w:lang w:val="en-US" w:eastAsia="zh-CN" w:bidi="ar-SA"/>
                      </w:rPr>
                    </m:ctrlPr>
                  </m:sub>
                </m:sSub>
                <m:r>
                  <m:rPr>
                    <m:sty m:val="p"/>
                  </m:rPr>
                  <w:rPr>
                    <w:rFonts w:hint="eastAsia" w:ascii="Cambria Math" w:hAnsi="Cambria Math" w:cs="Times New Roman"/>
                    <w:kern w:val="2"/>
                    <w:sz w:val="21"/>
                    <w:szCs w:val="21"/>
                    <w:lang w:val="en-US" w:eastAsia="zh-CN" w:bidi="ar-SA"/>
                  </w:rPr>
                  <m:t>·</m:t>
                </m:r>
                <m:sSub>
                  <m:sSubPr>
                    <m:ctrlPr>
                      <w:rPr>
                        <w:rFonts w:hint="eastAsia" w:ascii="Cambria Math" w:hAnsi="Cambria Math" w:cs="Times New Roman"/>
                        <w:i w:val="0"/>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4</m:t>
                    </m:r>
                    <m:r>
                      <m:rPr>
                        <m:sty m:val="p"/>
                      </m:rPr>
                      <w:rPr>
                        <w:rFonts w:hint="eastAsia" w:ascii="Cambria Math" w:hAnsi="Cambria Math" w:cs="Times New Roman"/>
                        <w:kern w:val="2"/>
                        <w:sz w:val="21"/>
                        <w:szCs w:val="21"/>
                        <w:lang w:val="en-US" w:eastAsia="zh-CN" w:bidi="ar-SA"/>
                      </w:rPr>
                      <m:t>H</m:t>
                    </m:r>
                    <m:ctrlPr>
                      <w:rPr>
                        <w:rFonts w:hint="eastAsia" w:ascii="Cambria Math" w:hAnsi="Cambria Math" w:cs="Times New Roman"/>
                        <w:i w:val="0"/>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2</m:t>
                    </m:r>
                    <m:ctrlPr>
                      <w:rPr>
                        <w:rFonts w:hint="eastAsia" w:ascii="Cambria Math" w:hAnsi="Cambria Math" w:cs="Times New Roman"/>
                        <w:i w:val="0"/>
                        <w:kern w:val="2"/>
                        <w:sz w:val="21"/>
                        <w:szCs w:val="21"/>
                        <w:lang w:val="en-US" w:eastAsia="zh-CN" w:bidi="ar-SA"/>
                      </w:rPr>
                    </m:ctrlPr>
                  </m:sub>
                </m:sSub>
                <m:r>
                  <m:rPr>
                    <m:sty m:val="p"/>
                  </m:rPr>
                  <w:rPr>
                    <w:rFonts w:hint="eastAsia" w:ascii="Cambria Math" w:hAnsi="Cambria Math" w:cs="Times New Roman"/>
                    <w:kern w:val="2"/>
                    <w:sz w:val="21"/>
                    <w:szCs w:val="21"/>
                    <w:lang w:val="en-US" w:eastAsia="zh-CN" w:bidi="ar-SA"/>
                  </w:rPr>
                  <m:t>O</m:t>
                </m:r>
                <m:ctrlPr>
                  <w:rPr>
                    <w:rFonts w:hint="eastAsia" w:ascii="Cambria Math" w:hAnsi="Cambria Math" w:cs="Times New Roman"/>
                    <w:kern w:val="2"/>
                    <w:sz w:val="21"/>
                    <w:szCs w:val="21"/>
                    <w:lang w:val="en-US" w:eastAsia="zh-CN" w:bidi="ar-SA"/>
                  </w:rPr>
                </m:ctrlPr>
              </m:e>
              <m:sub>
                <m:ctrlPr>
                  <w:rPr>
                    <w:rFonts w:hint="eastAsia" w:ascii="Cambria Math" w:hAnsi="Cambria Math" w:cs="Times New Roman"/>
                    <w:kern w:val="2"/>
                    <w:sz w:val="21"/>
                    <w:szCs w:val="21"/>
                    <w:lang w:val="en-US" w:eastAsia="zh-CN" w:bidi="ar-SA"/>
                  </w:rPr>
                </m:ctrlPr>
              </m:sub>
            </m:sSub>
            <m:ctrlPr>
              <w:rPr>
                <w:rFonts w:hint="eastAsia" w:ascii="Cambria Math" w:hAnsi="Cambria Math" w:cs="Times New Roman"/>
                <w:kern w:val="2"/>
                <w:sz w:val="21"/>
                <w:szCs w:val="21"/>
                <w:lang w:val="en-US" w:eastAsia="zh-CN" w:bidi="ar-SA"/>
              </w:rPr>
            </m:ctrlPr>
          </m:sub>
        </m:sSub>
        <m:r>
          <m:rPr>
            <m:sty m:val="p"/>
          </m:rPr>
          <w:rPr>
            <w:rFonts w:hint="default" w:ascii="Cambria Math" w:hAnsi="Cambria Math" w:cs="Times New Roman"/>
            <w:kern w:val="2"/>
            <w:sz w:val="21"/>
            <w:szCs w:val="21"/>
            <w:lang w:val="en-US" w:eastAsia="zh-CN" w:bidi="ar-SA"/>
          </w:rPr>
          <m:t>=</m:t>
        </m:r>
        <m:r>
          <m:rPr>
            <m:sty m:val="p"/>
          </m:rPr>
          <w:rPr>
            <w:szCs w:val="21"/>
          </w:rPr>
          <m:t>0.025 mol/L</m:t>
        </m:r>
        <m:r>
          <m:rPr>
            <m:sty m:val="p"/>
          </m:rPr>
          <w:rPr>
            <w:rFonts w:hint="eastAsia" w:ascii="Cambria Math" w:hAnsi="Cambria Math"/>
            <w:szCs w:val="21"/>
            <w:lang w:eastAsia="zh-CN"/>
          </w:rPr>
          <m:t>）</m:t>
        </m:r>
      </m:oMath>
      <w:r>
        <w:rPr>
          <w:rFonts w:hint="eastAsia"/>
          <w:szCs w:val="21"/>
        </w:rPr>
        <w:t>，按如下步骤进行配制和标定：</w:t>
      </w:r>
      <w:r>
        <w:rPr>
          <w:szCs w:val="21"/>
        </w:rPr>
        <w:br w:type="textWrapping"/>
      </w:r>
      <w:r>
        <w:rPr>
          <w:rFonts w:hint="eastAsia"/>
          <w:szCs w:val="21"/>
        </w:rPr>
        <w:t xml:space="preserve">    a）</w:t>
      </w:r>
      <w:r>
        <w:rPr>
          <w:rFonts w:hAnsi="宋体"/>
          <w:szCs w:val="21"/>
        </w:rPr>
        <w:t>配制</w:t>
      </w:r>
      <w:r>
        <w:rPr>
          <w:rFonts w:hint="eastAsia"/>
          <w:szCs w:val="21"/>
        </w:rPr>
        <w:t>：</w:t>
      </w:r>
      <w:r>
        <w:rPr>
          <w:rFonts w:hAnsi="宋体"/>
          <w:szCs w:val="21"/>
        </w:rPr>
        <w:t>称取</w:t>
      </w:r>
      <w:r>
        <w:rPr>
          <w:szCs w:val="21"/>
        </w:rPr>
        <w:t>79g</w:t>
      </w:r>
      <w:r>
        <w:rPr>
          <w:rFonts w:hAnsi="宋体"/>
          <w:szCs w:val="21"/>
        </w:rPr>
        <w:t>硫酸铈铵</w:t>
      </w:r>
      <w:r>
        <w:rPr>
          <w:szCs w:val="21"/>
        </w:rPr>
        <w:t>[Ce(SO4)</w:t>
      </w:r>
      <w:r>
        <w:rPr>
          <w:szCs w:val="21"/>
          <w:vertAlign w:val="subscript"/>
        </w:rPr>
        <w:t>2</w:t>
      </w:r>
      <w:r>
        <w:rPr>
          <w:szCs w:val="21"/>
        </w:rPr>
        <w:t>·2(NH</w:t>
      </w:r>
      <w:r>
        <w:rPr>
          <w:szCs w:val="21"/>
          <w:vertAlign w:val="subscript"/>
        </w:rPr>
        <w:t>4</w:t>
      </w:r>
      <w:r>
        <w:rPr>
          <w:szCs w:val="21"/>
        </w:rPr>
        <w:t>)</w:t>
      </w:r>
      <w:r>
        <w:rPr>
          <w:szCs w:val="21"/>
          <w:vertAlign w:val="subscript"/>
        </w:rPr>
        <w:t>2</w:t>
      </w:r>
      <w:r>
        <w:rPr>
          <w:szCs w:val="21"/>
        </w:rPr>
        <w:t>SO</w:t>
      </w:r>
      <w:r>
        <w:rPr>
          <w:szCs w:val="21"/>
          <w:vertAlign w:val="subscript"/>
        </w:rPr>
        <w:t>4</w:t>
      </w:r>
      <w:r>
        <w:rPr>
          <w:szCs w:val="21"/>
        </w:rPr>
        <w:t>·4H</w:t>
      </w:r>
      <w:r>
        <w:rPr>
          <w:szCs w:val="21"/>
          <w:vertAlign w:val="subscript"/>
        </w:rPr>
        <w:t>2</w:t>
      </w:r>
      <w:r>
        <w:rPr>
          <w:szCs w:val="21"/>
        </w:rPr>
        <w:t>O]</w:t>
      </w:r>
      <w:r>
        <w:rPr>
          <w:rFonts w:hAnsi="宋体"/>
          <w:szCs w:val="21"/>
        </w:rPr>
        <w:t>置于烧杯中，用</w:t>
      </w:r>
      <w:r>
        <w:rPr>
          <w:szCs w:val="21"/>
        </w:rPr>
        <w:t>500</w:t>
      </w:r>
      <w:r>
        <w:rPr>
          <w:rFonts w:hint="eastAsia"/>
          <w:szCs w:val="21"/>
        </w:rPr>
        <w:t xml:space="preserve"> </w:t>
      </w:r>
      <w:r>
        <w:rPr>
          <w:szCs w:val="21"/>
        </w:rPr>
        <w:t>mL</w:t>
      </w:r>
      <w:r>
        <w:rPr>
          <w:rFonts w:hAnsi="宋体"/>
          <w:szCs w:val="21"/>
        </w:rPr>
        <w:t>水</w:t>
      </w:r>
      <w:r>
        <w:rPr>
          <w:rFonts w:hint="eastAsia" w:hAnsi="宋体"/>
          <w:szCs w:val="21"/>
        </w:rPr>
        <w:t>溶</w:t>
      </w:r>
      <w:r>
        <w:rPr>
          <w:rFonts w:hAnsi="宋体"/>
          <w:szCs w:val="21"/>
        </w:rPr>
        <w:t>解后加入</w:t>
      </w:r>
      <w:r>
        <w:rPr>
          <w:szCs w:val="21"/>
        </w:rPr>
        <w:t>100</w:t>
      </w:r>
      <w:r>
        <w:rPr>
          <w:rFonts w:hint="eastAsia"/>
          <w:szCs w:val="21"/>
        </w:rPr>
        <w:t xml:space="preserve"> </w:t>
      </w:r>
      <w:r>
        <w:rPr>
          <w:rFonts w:hint="eastAsia"/>
          <w:szCs w:val="21"/>
          <w:lang w:val="en-US" w:eastAsia="zh-CN"/>
        </w:rPr>
        <w:t xml:space="preserve">    </w:t>
      </w:r>
    </w:p>
    <w:p>
      <w:pPr>
        <w:autoSpaceDE w:val="0"/>
        <w:autoSpaceDN w:val="0"/>
        <w:adjustRightInd w:val="0"/>
        <w:snapToGrid w:val="0"/>
        <w:spacing w:line="360" w:lineRule="exact"/>
        <w:ind w:firstLine="630" w:firstLineChars="300"/>
        <w:rPr>
          <w:szCs w:val="21"/>
        </w:rPr>
      </w:pPr>
      <w:r>
        <w:rPr>
          <w:szCs w:val="21"/>
        </w:rPr>
        <w:t>mL </w:t>
      </w:r>
      <w:r>
        <w:rPr>
          <w:rFonts w:hAnsi="宋体"/>
          <w:szCs w:val="21"/>
        </w:rPr>
        <w:t>硫酸</w:t>
      </w:r>
      <w:r>
        <w:rPr>
          <w:szCs w:val="21"/>
        </w:rPr>
        <w:t>(</w:t>
      </w:r>
      <w:r>
        <w:rPr>
          <w:rFonts w:hint="eastAsia"/>
          <w:szCs w:val="21"/>
        </w:rPr>
        <w:t>4.2</w:t>
      </w:r>
      <w:r>
        <w:rPr>
          <w:szCs w:val="21"/>
        </w:rPr>
        <w:t>.4)</w:t>
      </w:r>
      <w:r>
        <w:rPr>
          <w:rFonts w:hAnsi="宋体"/>
          <w:szCs w:val="21"/>
        </w:rPr>
        <w:t>，加热至微沸，冷却至室温，用棉花过滤于广口瓶中，用水稀释至</w:t>
      </w:r>
      <w:r>
        <w:rPr>
          <w:szCs w:val="21"/>
        </w:rPr>
        <w:t>5 L</w:t>
      </w:r>
      <w:r>
        <w:rPr>
          <w:rFonts w:hint="eastAsia"/>
          <w:szCs w:val="21"/>
        </w:rPr>
        <w:t>，</w:t>
      </w:r>
      <w:r>
        <w:rPr>
          <w:rFonts w:hAnsi="宋体"/>
          <w:szCs w:val="21"/>
        </w:rPr>
        <w:t>混匀。</w:t>
      </w:r>
    </w:p>
    <w:p>
      <w:pPr>
        <w:autoSpaceDE w:val="0"/>
        <w:autoSpaceDN w:val="0"/>
        <w:adjustRightInd w:val="0"/>
        <w:snapToGrid w:val="0"/>
        <w:spacing w:line="360" w:lineRule="exact"/>
        <w:ind w:firstLine="420" w:firstLineChars="200"/>
        <w:rPr>
          <w:rFonts w:hAnsi="宋体"/>
          <w:szCs w:val="21"/>
        </w:rPr>
      </w:pPr>
      <w:r>
        <w:rPr>
          <w:rFonts w:hint="eastAsia"/>
          <w:szCs w:val="21"/>
        </w:rPr>
        <w:t>b）</w:t>
      </w:r>
      <w:r>
        <w:rPr>
          <w:rFonts w:hAnsi="宋体"/>
          <w:szCs w:val="21"/>
        </w:rPr>
        <w:t>标定</w:t>
      </w:r>
      <w:r>
        <w:rPr>
          <w:rFonts w:hint="eastAsia"/>
          <w:szCs w:val="21"/>
        </w:rPr>
        <w:t>：</w:t>
      </w:r>
      <w:r>
        <w:rPr>
          <w:rFonts w:hAnsi="宋体"/>
          <w:szCs w:val="21"/>
        </w:rPr>
        <w:t>移取</w:t>
      </w:r>
      <w:r>
        <w:rPr>
          <w:szCs w:val="21"/>
        </w:rPr>
        <w:t>25.00 mL</w:t>
      </w:r>
      <w:r>
        <w:rPr>
          <w:rFonts w:hAnsi="宋体"/>
          <w:szCs w:val="21"/>
        </w:rPr>
        <w:t>锑标准溶液</w:t>
      </w:r>
      <w:r>
        <w:rPr>
          <w:rFonts w:hint="eastAsia" w:hAnsi="宋体"/>
          <w:szCs w:val="21"/>
        </w:rPr>
        <w:t>（4.2.6）</w:t>
      </w:r>
      <w:r>
        <w:rPr>
          <w:rFonts w:hAnsi="宋体"/>
          <w:szCs w:val="21"/>
        </w:rPr>
        <w:t>于</w:t>
      </w:r>
      <w:r>
        <w:rPr>
          <w:szCs w:val="21"/>
        </w:rPr>
        <w:t>500</w:t>
      </w:r>
      <w:r>
        <w:rPr>
          <w:rFonts w:hint="eastAsia"/>
          <w:szCs w:val="21"/>
        </w:rPr>
        <w:t xml:space="preserve"> </w:t>
      </w:r>
      <w:r>
        <w:rPr>
          <w:szCs w:val="21"/>
        </w:rPr>
        <w:t>mL</w:t>
      </w:r>
      <w:r>
        <w:rPr>
          <w:rFonts w:hAnsi="宋体"/>
          <w:szCs w:val="21"/>
        </w:rPr>
        <w:t>锥形瓶中。补加</w:t>
      </w:r>
      <w:r>
        <w:rPr>
          <w:szCs w:val="21"/>
        </w:rPr>
        <w:t>17</w:t>
      </w:r>
      <w:r>
        <w:rPr>
          <w:rFonts w:hint="eastAsia"/>
          <w:szCs w:val="21"/>
        </w:rPr>
        <w:t xml:space="preserve"> </w:t>
      </w:r>
      <w:r>
        <w:rPr>
          <w:szCs w:val="21"/>
        </w:rPr>
        <w:t>mL</w:t>
      </w:r>
      <w:r>
        <w:rPr>
          <w:rFonts w:hAnsi="宋体"/>
          <w:szCs w:val="21"/>
        </w:rPr>
        <w:t>硫酸</w:t>
      </w:r>
      <w:r>
        <w:rPr>
          <w:szCs w:val="21"/>
        </w:rPr>
        <w:t>(</w:t>
      </w:r>
      <w:r>
        <w:rPr>
          <w:rFonts w:hint="eastAsia"/>
          <w:szCs w:val="21"/>
        </w:rPr>
        <w:t>4.2</w:t>
      </w:r>
      <w:r>
        <w:rPr>
          <w:szCs w:val="21"/>
        </w:rPr>
        <w:t>.3)</w:t>
      </w:r>
      <w:r>
        <w:rPr>
          <w:rFonts w:hAnsi="宋体"/>
          <w:szCs w:val="21"/>
        </w:rPr>
        <w:t>。加热</w:t>
      </w:r>
    </w:p>
    <w:p>
      <w:pPr>
        <w:autoSpaceDE w:val="0"/>
        <w:autoSpaceDN w:val="0"/>
        <w:adjustRightInd w:val="0"/>
        <w:snapToGrid w:val="0"/>
        <w:spacing w:line="360" w:lineRule="exact"/>
        <w:ind w:firstLine="630" w:firstLineChars="300"/>
        <w:rPr>
          <w:rFonts w:hAnsi="宋体"/>
          <w:szCs w:val="21"/>
        </w:rPr>
      </w:pPr>
      <w:r>
        <w:rPr>
          <w:rFonts w:hAnsi="宋体"/>
          <w:szCs w:val="21"/>
        </w:rPr>
        <w:t>至硫酸烟回流约</w:t>
      </w:r>
      <w:r>
        <w:rPr>
          <w:szCs w:val="21"/>
        </w:rPr>
        <w:t>5 min</w:t>
      </w:r>
      <w:r>
        <w:rPr>
          <w:rFonts w:hint="eastAsia"/>
          <w:szCs w:val="21"/>
        </w:rPr>
        <w:t>，</w:t>
      </w:r>
      <w:r>
        <w:rPr>
          <w:rFonts w:hAnsi="宋体"/>
          <w:szCs w:val="21"/>
        </w:rPr>
        <w:t>加</w:t>
      </w:r>
      <w:r>
        <w:rPr>
          <w:rFonts w:hint="eastAsia" w:hAnsi="宋体"/>
          <w:szCs w:val="21"/>
        </w:rPr>
        <w:t>入</w:t>
      </w:r>
      <w:r>
        <w:rPr>
          <w:rFonts w:hAnsi="宋体"/>
          <w:szCs w:val="21"/>
        </w:rPr>
        <w:t>约</w:t>
      </w:r>
      <w:r>
        <w:rPr>
          <w:szCs w:val="21"/>
        </w:rPr>
        <w:t>0.5</w:t>
      </w:r>
      <w:r>
        <w:rPr>
          <w:rFonts w:hint="eastAsia"/>
          <w:szCs w:val="21"/>
        </w:rPr>
        <w:t xml:space="preserve"> </w:t>
      </w:r>
      <w:r>
        <w:rPr>
          <w:szCs w:val="21"/>
        </w:rPr>
        <w:t>cm</w:t>
      </w:r>
      <w:r>
        <w:rPr>
          <w:rFonts w:hint="eastAsia"/>
          <w:szCs w:val="21"/>
          <w:vertAlign w:val="superscript"/>
        </w:rPr>
        <w:t>2</w:t>
      </w:r>
      <w:r>
        <w:rPr>
          <w:rFonts w:hint="eastAsia"/>
          <w:szCs w:val="21"/>
          <w:vertAlign w:val="baseline"/>
          <w:lang w:val="en-US" w:eastAsia="zh-CN"/>
        </w:rPr>
        <w:t>定量</w:t>
      </w:r>
      <w:r>
        <w:rPr>
          <w:rFonts w:hAnsi="宋体"/>
          <w:szCs w:val="21"/>
        </w:rPr>
        <w:t>滤纸</w:t>
      </w:r>
      <w:r>
        <w:rPr>
          <w:rFonts w:hint="eastAsia" w:hAnsi="宋体"/>
          <w:szCs w:val="21"/>
          <w:lang w:eastAsia="zh-CN"/>
        </w:rPr>
        <w:t>（</w:t>
      </w:r>
      <w:r>
        <w:rPr>
          <w:rFonts w:hint="eastAsia" w:hAnsi="宋体"/>
          <w:szCs w:val="21"/>
          <w:lang w:val="en-US" w:eastAsia="zh-CN"/>
        </w:rPr>
        <w:t>4.2.2）</w:t>
      </w:r>
      <w:r>
        <w:rPr>
          <w:rFonts w:hAnsi="宋体"/>
          <w:szCs w:val="21"/>
        </w:rPr>
        <w:t>一片，加热至碳化的黑色消失为止。</w:t>
      </w:r>
    </w:p>
    <w:p>
      <w:pPr>
        <w:autoSpaceDE w:val="0"/>
        <w:autoSpaceDN w:val="0"/>
        <w:adjustRightInd w:val="0"/>
        <w:snapToGrid w:val="0"/>
        <w:spacing w:line="360" w:lineRule="exact"/>
        <w:ind w:firstLine="630" w:firstLineChars="300"/>
        <w:rPr>
          <w:rFonts w:hAnsi="宋体"/>
          <w:szCs w:val="21"/>
        </w:rPr>
      </w:pPr>
      <w:r>
        <w:rPr>
          <w:rFonts w:hAnsi="宋体"/>
          <w:szCs w:val="21"/>
        </w:rPr>
        <w:t>取下冷却，以下按</w:t>
      </w:r>
      <w:r>
        <w:rPr>
          <w:rFonts w:hint="eastAsia" w:ascii="黑体" w:hAnsi="黑体" w:eastAsia="黑体" w:cs="黑体"/>
          <w:szCs w:val="21"/>
        </w:rPr>
        <w:t>4.4.4.2</w:t>
      </w:r>
      <w:r>
        <w:rPr>
          <w:rFonts w:hAnsi="宋体"/>
          <w:szCs w:val="21"/>
        </w:rPr>
        <w:t>进行。</w:t>
      </w:r>
    </w:p>
    <w:p>
      <w:pPr>
        <w:autoSpaceDE w:val="0"/>
        <w:autoSpaceDN w:val="0"/>
        <w:adjustRightInd w:val="0"/>
        <w:snapToGrid w:val="0"/>
        <w:spacing w:line="360" w:lineRule="exact"/>
        <w:ind w:firstLine="360" w:firstLineChars="200"/>
        <w:rPr>
          <w:rFonts w:hAnsi="宋体"/>
          <w:szCs w:val="21"/>
        </w:rPr>
      </w:pPr>
      <w:r>
        <w:rPr>
          <w:rFonts w:hint="eastAsia" w:ascii="黑体" w:hAnsi="黑体" w:eastAsia="黑体" w:cs="黑体"/>
          <w:sz w:val="18"/>
          <w:szCs w:val="18"/>
        </w:rPr>
        <w:t>注：</w:t>
      </w:r>
      <w:r>
        <w:rPr>
          <w:rFonts w:hint="eastAsia" w:hAnsi="宋体"/>
          <w:sz w:val="18"/>
          <w:szCs w:val="18"/>
        </w:rPr>
        <w:t>也可用0.2 g硫酸肼替代</w:t>
      </w:r>
      <w:r>
        <w:rPr>
          <w:rFonts w:hint="eastAsia"/>
          <w:sz w:val="18"/>
          <w:szCs w:val="18"/>
        </w:rPr>
        <w:t xml:space="preserve">0.5 </w:t>
      </w:r>
      <w:r>
        <w:rPr>
          <w:sz w:val="18"/>
          <w:szCs w:val="18"/>
        </w:rPr>
        <w:t>cm</w:t>
      </w:r>
      <w:r>
        <w:rPr>
          <w:sz w:val="18"/>
          <w:szCs w:val="18"/>
          <w:vertAlign w:val="superscript"/>
        </w:rPr>
        <w:t>2</w:t>
      </w:r>
      <w:r>
        <w:rPr>
          <w:rFonts w:hint="eastAsia" w:hAnsi="宋体"/>
          <w:sz w:val="18"/>
          <w:szCs w:val="18"/>
        </w:rPr>
        <w:t>定量滤纸（4.2.2），继续加热10</w:t>
      </w:r>
      <w:r>
        <w:rPr>
          <w:rFonts w:hint="eastAsia"/>
          <w:sz w:val="18"/>
          <w:szCs w:val="18"/>
        </w:rPr>
        <w:t xml:space="preserve"> min</w:t>
      </w:r>
      <w:r>
        <w:rPr>
          <w:sz w:val="18"/>
          <w:szCs w:val="18"/>
        </w:rPr>
        <w:t xml:space="preserve"> ~</w:t>
      </w:r>
      <w:r>
        <w:rPr>
          <w:rFonts w:hint="eastAsia"/>
          <w:sz w:val="18"/>
          <w:szCs w:val="18"/>
        </w:rPr>
        <w:t>15 min。</w:t>
      </w:r>
      <w:r>
        <w:rPr>
          <w:rFonts w:hAnsi="宋体"/>
          <w:sz w:val="18"/>
          <w:szCs w:val="18"/>
        </w:rPr>
        <w:t>取下冷却，以下按</w:t>
      </w:r>
      <w:r>
        <w:rPr>
          <w:sz w:val="18"/>
          <w:szCs w:val="18"/>
        </w:rPr>
        <w:t>4.</w:t>
      </w:r>
      <w:r>
        <w:rPr>
          <w:rFonts w:hint="eastAsia"/>
          <w:sz w:val="18"/>
          <w:szCs w:val="18"/>
        </w:rPr>
        <w:t>4.</w:t>
      </w:r>
      <w:r>
        <w:rPr>
          <w:sz w:val="18"/>
          <w:szCs w:val="18"/>
        </w:rPr>
        <w:t>4.2</w:t>
      </w:r>
      <w:r>
        <w:rPr>
          <w:rFonts w:hAnsi="宋体"/>
          <w:sz w:val="18"/>
          <w:szCs w:val="18"/>
        </w:rPr>
        <w:t>条进行。</w:t>
      </w:r>
    </w:p>
    <w:p>
      <w:pPr>
        <w:adjustRightInd w:val="0"/>
        <w:snapToGrid w:val="0"/>
        <w:spacing w:line="360" w:lineRule="exact"/>
        <w:ind w:firstLine="420" w:firstLineChars="200"/>
        <w:rPr>
          <w:szCs w:val="21"/>
        </w:rPr>
      </w:pPr>
      <w:r>
        <w:rPr>
          <w:rFonts w:hAnsi="宋体"/>
          <w:szCs w:val="21"/>
        </w:rPr>
        <w:t>按</w:t>
      </w:r>
      <w:r>
        <w:rPr>
          <w:rFonts w:hint="eastAsia" w:hAnsi="宋体"/>
          <w:szCs w:val="21"/>
        </w:rPr>
        <w:t>公</w:t>
      </w:r>
      <w:r>
        <w:rPr>
          <w:rFonts w:hAnsi="宋体"/>
          <w:szCs w:val="21"/>
        </w:rPr>
        <w:t>式</w:t>
      </w:r>
      <w:r>
        <w:rPr>
          <w:szCs w:val="21"/>
        </w:rPr>
        <w:t>(1)</w:t>
      </w:r>
      <w:r>
        <w:rPr>
          <w:rFonts w:hAnsi="宋体"/>
          <w:szCs w:val="21"/>
        </w:rPr>
        <w:t>计算硫酸铈铵标准滴定溶液的实际浓度</w:t>
      </w:r>
      <w:r>
        <w:rPr>
          <w:rFonts w:hint="eastAsia"/>
          <w:szCs w:val="21"/>
        </w:rPr>
        <w:t>：</w:t>
      </w:r>
    </w:p>
    <w:p>
      <w:pPr>
        <w:wordWrap w:val="0"/>
        <w:adjustRightInd w:val="0"/>
        <w:snapToGrid w:val="0"/>
        <w:spacing w:line="312" w:lineRule="auto"/>
        <w:ind w:right="420"/>
        <w:jc w:val="right"/>
        <w:rPr>
          <w:szCs w:val="21"/>
        </w:rPr>
      </w:pPr>
      <w:r>
        <w:rPr>
          <w:position w:val="-28"/>
          <w:szCs w:val="21"/>
        </w:rPr>
        <w:object>
          <v:shape id="_x0000_i1025" o:spt="75" type="#_x0000_t75" style="height:31.3pt;width:90.3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szCs w:val="21"/>
        </w:rPr>
        <w:t>………………………………</w:t>
      </w:r>
      <w:r>
        <w:rPr>
          <w:rFonts w:hAnsi="宋体"/>
          <w:szCs w:val="21"/>
        </w:rPr>
        <w:t>（</w:t>
      </w:r>
      <w:r>
        <w:rPr>
          <w:szCs w:val="21"/>
        </w:rPr>
        <w:t>1</w:t>
      </w:r>
      <w:r>
        <w:rPr>
          <w:rFonts w:hAnsi="宋体"/>
          <w:szCs w:val="21"/>
        </w:rPr>
        <w:t>）</w:t>
      </w:r>
    </w:p>
    <w:p>
      <w:pPr>
        <w:adjustRightInd w:val="0"/>
        <w:snapToGrid w:val="0"/>
        <w:spacing w:line="360" w:lineRule="exact"/>
        <w:ind w:firstLine="444" w:firstLineChars="200"/>
        <w:rPr>
          <w:spacing w:val="6"/>
          <w:szCs w:val="21"/>
        </w:rPr>
      </w:pPr>
      <w:r>
        <w:rPr>
          <w:rFonts w:hAnsi="宋体"/>
          <w:spacing w:val="6"/>
          <w:szCs w:val="21"/>
        </w:rPr>
        <w:t>式中：</w:t>
      </w:r>
    </w:p>
    <w:p>
      <w:pPr>
        <w:adjustRightInd w:val="0"/>
        <w:snapToGrid w:val="0"/>
        <w:spacing w:line="360" w:lineRule="exact"/>
        <w:ind w:firstLine="444" w:firstLineChars="200"/>
        <w:rPr>
          <w:spacing w:val="6"/>
          <w:szCs w:val="21"/>
        </w:rPr>
      </w:pPr>
      <w:r>
        <w:rPr>
          <w:i/>
          <w:spacing w:val="6"/>
          <w:szCs w:val="21"/>
        </w:rPr>
        <w:t>c</w:t>
      </w:r>
      <w:r>
        <w:rPr>
          <w:spacing w:val="6"/>
          <w:szCs w:val="21"/>
        </w:rPr>
        <w:t>——</w:t>
      </w:r>
      <w:r>
        <w:rPr>
          <w:rFonts w:hAnsi="宋体"/>
          <w:szCs w:val="21"/>
        </w:rPr>
        <w:t>硫酸铈铵标准滴定溶液的实际浓度，单位为摩尔每升</w:t>
      </w:r>
      <w:r>
        <w:rPr>
          <w:szCs w:val="21"/>
        </w:rPr>
        <w:t>(mol/L);</w:t>
      </w:r>
    </w:p>
    <w:p>
      <w:pPr>
        <w:adjustRightInd w:val="0"/>
        <w:snapToGrid w:val="0"/>
        <w:spacing w:line="360" w:lineRule="exact"/>
        <w:ind w:firstLine="444" w:firstLineChars="200"/>
        <w:rPr>
          <w:spacing w:val="6"/>
          <w:szCs w:val="21"/>
        </w:rPr>
      </w:pPr>
      <w:r>
        <w:rPr>
          <w:i/>
          <w:spacing w:val="6"/>
          <w:szCs w:val="21"/>
        </w:rPr>
        <w:t>c</w:t>
      </w:r>
      <w:r>
        <w:rPr>
          <w:iCs/>
          <w:spacing w:val="6"/>
          <w:szCs w:val="21"/>
          <w:vertAlign w:val="subscript"/>
        </w:rPr>
        <w:t>1</w:t>
      </w:r>
      <w:r>
        <w:rPr>
          <w:spacing w:val="6"/>
          <w:szCs w:val="21"/>
        </w:rPr>
        <w:t>——</w:t>
      </w:r>
      <w:r>
        <w:rPr>
          <w:rFonts w:hAnsi="宋体"/>
          <w:szCs w:val="21"/>
        </w:rPr>
        <w:t>锑标准溶液的浓度，单位为毫克每毫升</w:t>
      </w:r>
      <w:r>
        <w:rPr>
          <w:szCs w:val="21"/>
        </w:rPr>
        <w:t>(mg/mL)</w:t>
      </w:r>
      <w:r>
        <w:rPr>
          <w:rFonts w:hAnsi="宋体"/>
          <w:spacing w:val="6"/>
          <w:szCs w:val="21"/>
        </w:rPr>
        <w:t>；</w:t>
      </w:r>
    </w:p>
    <w:p>
      <w:pPr>
        <w:adjustRightInd w:val="0"/>
        <w:snapToGrid w:val="0"/>
        <w:spacing w:line="360" w:lineRule="exact"/>
        <w:ind w:firstLine="444" w:firstLineChars="200"/>
        <w:rPr>
          <w:spacing w:val="6"/>
          <w:szCs w:val="21"/>
        </w:rPr>
      </w:pPr>
      <w:r>
        <w:rPr>
          <w:i/>
          <w:spacing w:val="6"/>
          <w:szCs w:val="21"/>
        </w:rPr>
        <w:t>V</w:t>
      </w:r>
      <w:r>
        <w:rPr>
          <w:iCs/>
          <w:spacing w:val="6"/>
          <w:szCs w:val="21"/>
          <w:vertAlign w:val="subscript"/>
        </w:rPr>
        <w:t>1</w:t>
      </w:r>
      <w:r>
        <w:rPr>
          <w:spacing w:val="6"/>
          <w:szCs w:val="21"/>
        </w:rPr>
        <w:t>——</w:t>
      </w:r>
      <w:r>
        <w:rPr>
          <w:rFonts w:hAnsi="宋体"/>
          <w:szCs w:val="21"/>
        </w:rPr>
        <w:t>移取锑标准溶液的体积，单位为毫升</w:t>
      </w:r>
      <w:r>
        <w:rPr>
          <w:szCs w:val="21"/>
        </w:rPr>
        <w:t>(mL)</w:t>
      </w:r>
      <w:r>
        <w:rPr>
          <w:rFonts w:hAnsi="宋体"/>
          <w:spacing w:val="6"/>
          <w:szCs w:val="21"/>
        </w:rPr>
        <w:t>；</w:t>
      </w:r>
    </w:p>
    <w:p>
      <w:pPr>
        <w:adjustRightInd w:val="0"/>
        <w:snapToGrid w:val="0"/>
        <w:spacing w:line="360" w:lineRule="exact"/>
        <w:ind w:firstLine="444" w:firstLineChars="200"/>
        <w:rPr>
          <w:spacing w:val="6"/>
          <w:szCs w:val="21"/>
        </w:rPr>
      </w:pPr>
      <w:r>
        <w:rPr>
          <w:i/>
          <w:spacing w:val="6"/>
          <w:szCs w:val="21"/>
        </w:rPr>
        <w:t>V</w:t>
      </w:r>
      <w:r>
        <w:rPr>
          <w:iCs/>
          <w:spacing w:val="6"/>
          <w:szCs w:val="21"/>
          <w:vertAlign w:val="subscript"/>
        </w:rPr>
        <w:t>2</w:t>
      </w:r>
      <w:r>
        <w:rPr>
          <w:spacing w:val="6"/>
          <w:szCs w:val="21"/>
        </w:rPr>
        <w:t>——</w:t>
      </w:r>
      <w:r>
        <w:rPr>
          <w:rFonts w:hAnsi="宋体"/>
          <w:szCs w:val="21"/>
        </w:rPr>
        <w:t>标定时，滴定锑标准溶液所消耗硫酸铈铵标准滴定溶液的体积，单位为毫升</w:t>
      </w:r>
      <w:r>
        <w:rPr>
          <w:szCs w:val="21"/>
        </w:rPr>
        <w:t>(mL)</w:t>
      </w:r>
      <w:r>
        <w:rPr>
          <w:rFonts w:hAnsi="宋体"/>
          <w:spacing w:val="6"/>
          <w:szCs w:val="21"/>
        </w:rPr>
        <w:t>；</w:t>
      </w:r>
    </w:p>
    <w:p>
      <w:pPr>
        <w:adjustRightInd w:val="0"/>
        <w:snapToGrid w:val="0"/>
        <w:spacing w:line="360" w:lineRule="exact"/>
        <w:ind w:firstLine="444" w:firstLineChars="200"/>
        <w:rPr>
          <w:spacing w:val="6"/>
          <w:szCs w:val="21"/>
        </w:rPr>
      </w:pPr>
      <w:r>
        <w:rPr>
          <w:i/>
          <w:spacing w:val="6"/>
          <w:szCs w:val="21"/>
        </w:rPr>
        <w:t>V</w:t>
      </w:r>
      <w:r>
        <w:rPr>
          <w:iCs/>
          <w:spacing w:val="6"/>
          <w:szCs w:val="21"/>
          <w:vertAlign w:val="subscript"/>
        </w:rPr>
        <w:t>0</w:t>
      </w:r>
      <w:r>
        <w:rPr>
          <w:spacing w:val="6"/>
          <w:szCs w:val="21"/>
        </w:rPr>
        <w:t>——</w:t>
      </w:r>
      <w:r>
        <w:rPr>
          <w:rFonts w:hAnsi="宋体"/>
          <w:szCs w:val="21"/>
        </w:rPr>
        <w:t>标定时，滴定空白试液所消耗硫酸钵铵标准滴定溶液的体积，单位为毫升</w:t>
      </w:r>
      <w:r>
        <w:rPr>
          <w:szCs w:val="21"/>
        </w:rPr>
        <w:t>(mL)</w:t>
      </w:r>
      <w:r>
        <w:rPr>
          <w:rFonts w:hAnsi="宋体"/>
          <w:spacing w:val="6"/>
          <w:szCs w:val="21"/>
        </w:rPr>
        <w:t>；</w:t>
      </w:r>
    </w:p>
    <w:p>
      <w:pPr>
        <w:adjustRightInd w:val="0"/>
        <w:snapToGrid w:val="0"/>
        <w:spacing w:line="360" w:lineRule="exact"/>
        <w:ind w:firstLine="444" w:firstLineChars="200"/>
        <w:rPr>
          <w:spacing w:val="6"/>
          <w:szCs w:val="21"/>
        </w:rPr>
      </w:pPr>
      <w:r>
        <w:rPr>
          <w:iCs/>
          <w:spacing w:val="6"/>
          <w:szCs w:val="21"/>
        </w:rPr>
        <w:t>60.8</w:t>
      </w:r>
      <w:r>
        <w:rPr>
          <w:rFonts w:hint="eastAsia"/>
          <w:iCs/>
          <w:spacing w:val="6"/>
          <w:szCs w:val="21"/>
        </w:rPr>
        <w:t>8</w:t>
      </w:r>
      <w:r>
        <w:rPr>
          <w:spacing w:val="6"/>
          <w:szCs w:val="21"/>
        </w:rPr>
        <w:t>——</w:t>
      </w:r>
      <w:r>
        <w:rPr>
          <w:rFonts w:hAnsi="宋体"/>
          <w:szCs w:val="21"/>
        </w:rPr>
        <w:t>锑</w:t>
      </w:r>
      <w:r>
        <w:rPr>
          <w:szCs w:val="21"/>
        </w:rPr>
        <w:t>(1/2</w:t>
      </w:r>
      <w:r>
        <w:rPr>
          <w:rFonts w:hint="eastAsia"/>
          <w:szCs w:val="21"/>
        </w:rPr>
        <w:t xml:space="preserve"> </w:t>
      </w:r>
      <w:r>
        <w:rPr>
          <w:szCs w:val="21"/>
        </w:rPr>
        <w:t>Sb)</w:t>
      </w:r>
      <w:r>
        <w:rPr>
          <w:rFonts w:hAnsi="宋体"/>
          <w:szCs w:val="21"/>
        </w:rPr>
        <w:t>的摩尔质量，单位为克每摩尔</w:t>
      </w:r>
      <w:r>
        <w:rPr>
          <w:szCs w:val="21"/>
        </w:rPr>
        <w:t>(g/moL)</w:t>
      </w:r>
      <w:r>
        <w:rPr>
          <w:rFonts w:hAnsi="宋体"/>
          <w:spacing w:val="6"/>
          <w:szCs w:val="21"/>
        </w:rPr>
        <w:t>。</w:t>
      </w:r>
    </w:p>
    <w:p>
      <w:pPr>
        <w:adjustRightInd w:val="0"/>
        <w:snapToGrid w:val="0"/>
        <w:spacing w:line="360" w:lineRule="exact"/>
        <w:ind w:firstLine="420" w:firstLineChars="200"/>
        <w:rPr>
          <w:szCs w:val="21"/>
        </w:rPr>
      </w:pPr>
      <w:r>
        <w:rPr>
          <w:rFonts w:hAnsi="宋体"/>
          <w:szCs w:val="21"/>
        </w:rPr>
        <w:t>平行标定三份，其极基值不大于</w:t>
      </w:r>
      <w:r>
        <w:rPr>
          <w:szCs w:val="21"/>
        </w:rPr>
        <w:t>1.5×10</w:t>
      </w:r>
      <w:r>
        <w:rPr>
          <w:szCs w:val="21"/>
          <w:vertAlign w:val="superscript"/>
        </w:rPr>
        <w:t>-4</w:t>
      </w:r>
      <w:r>
        <w:rPr>
          <w:rFonts w:hint="eastAsia"/>
          <w:szCs w:val="21"/>
          <w:vertAlign w:val="superscript"/>
        </w:rPr>
        <w:t xml:space="preserve"> </w:t>
      </w:r>
      <w:r>
        <w:rPr>
          <w:szCs w:val="21"/>
        </w:rPr>
        <w:t>mol/L</w:t>
      </w:r>
      <w:r>
        <w:rPr>
          <w:rFonts w:hAnsi="宋体"/>
          <w:szCs w:val="21"/>
        </w:rPr>
        <w:t>时，取平均值，否则重新标定。</w:t>
      </w:r>
    </w:p>
    <w:p>
      <w:pPr>
        <w:spacing w:line="360" w:lineRule="exact"/>
        <w:rPr>
          <w:rFonts w:hAnsi="宋体"/>
          <w:szCs w:val="21"/>
        </w:rPr>
      </w:pPr>
      <w:r>
        <w:rPr>
          <w:rFonts w:hint="eastAsia" w:ascii="黑体" w:hAnsi="黑体" w:eastAsia="黑体" w:cs="黑体"/>
          <w:szCs w:val="21"/>
        </w:rPr>
        <w:t xml:space="preserve">4.2.8 </w:t>
      </w:r>
      <w:r>
        <w:rPr>
          <w:rFonts w:hAnsi="宋体"/>
          <w:szCs w:val="21"/>
        </w:rPr>
        <w:t>亚甲基蓝溶液</w:t>
      </w:r>
      <w:r>
        <w:rPr>
          <w:szCs w:val="21"/>
        </w:rPr>
        <w:t>(1</w:t>
      </w:r>
      <w:r>
        <w:rPr>
          <w:rFonts w:hint="eastAsia"/>
          <w:szCs w:val="21"/>
        </w:rPr>
        <w:t xml:space="preserve"> </w:t>
      </w:r>
      <w:r>
        <w:rPr>
          <w:szCs w:val="21"/>
        </w:rPr>
        <w:t>g/L)</w:t>
      </w:r>
      <w:r>
        <w:rPr>
          <w:rFonts w:hAnsi="宋体"/>
          <w:szCs w:val="21"/>
        </w:rPr>
        <w:t>。</w:t>
      </w:r>
      <w:r>
        <w:rPr>
          <w:szCs w:val="21"/>
        </w:rPr>
        <w:br w:type="textWrapping"/>
      </w:r>
      <w:r>
        <w:rPr>
          <w:rFonts w:hint="eastAsia" w:ascii="黑体" w:hAnsi="黑体" w:eastAsia="黑体" w:cs="黑体"/>
          <w:szCs w:val="21"/>
        </w:rPr>
        <w:t xml:space="preserve">4.2.9 </w:t>
      </w:r>
      <w:r>
        <w:rPr>
          <w:rFonts w:hAnsi="宋体"/>
          <w:szCs w:val="21"/>
        </w:rPr>
        <w:t>甲基橙溶液</w:t>
      </w:r>
      <w:r>
        <w:rPr>
          <w:szCs w:val="21"/>
        </w:rPr>
        <w:t>(1</w:t>
      </w:r>
      <w:r>
        <w:rPr>
          <w:rFonts w:hint="eastAsia"/>
          <w:szCs w:val="21"/>
        </w:rPr>
        <w:t xml:space="preserve"> </w:t>
      </w:r>
      <w:r>
        <w:rPr>
          <w:szCs w:val="21"/>
        </w:rPr>
        <w:t>g/L)</w:t>
      </w:r>
      <w:r>
        <w:rPr>
          <w:rFonts w:hAnsi="宋体"/>
          <w:szCs w:val="21"/>
        </w:rPr>
        <w:t>。</w:t>
      </w:r>
    </w:p>
    <w:p>
      <w:pPr>
        <w:pStyle w:val="44"/>
        <w:adjustRightInd w:val="0"/>
        <w:snapToGrid w:val="0"/>
        <w:spacing w:beforeLines="100" w:afterLines="100"/>
        <w:ind w:firstLine="0" w:firstLineChars="0"/>
        <w:outlineLvl w:val="1"/>
        <w:rPr>
          <w:rFonts w:ascii="黑体" w:eastAsia="黑体"/>
          <w:szCs w:val="21"/>
        </w:rPr>
      </w:pPr>
      <w:r>
        <w:rPr>
          <w:rFonts w:hint="eastAsia" w:ascii="黑体" w:eastAsia="黑体"/>
          <w:szCs w:val="21"/>
        </w:rPr>
        <w:t>4.3 样品</w:t>
      </w:r>
    </w:p>
    <w:p>
      <w:pPr>
        <w:spacing w:line="360" w:lineRule="auto"/>
        <w:ind w:firstLine="420" w:firstLineChars="200"/>
        <w:rPr>
          <w:szCs w:val="21"/>
        </w:rPr>
      </w:pPr>
      <w:r>
        <w:rPr>
          <w:rFonts w:hAnsi="宋体"/>
          <w:szCs w:val="21"/>
        </w:rPr>
        <w:t>锯取，锯屑粒度应不大于</w:t>
      </w:r>
      <w:r>
        <w:rPr>
          <w:szCs w:val="21"/>
        </w:rPr>
        <w:t>1.25 mm</w:t>
      </w:r>
      <w:r>
        <w:rPr>
          <w:rFonts w:hAnsi="宋体"/>
          <w:szCs w:val="21"/>
        </w:rPr>
        <w:t>。</w:t>
      </w:r>
    </w:p>
    <w:p>
      <w:pPr>
        <w:pStyle w:val="44"/>
        <w:adjustRightInd w:val="0"/>
        <w:snapToGrid w:val="0"/>
        <w:spacing w:beforeLines="100" w:afterLines="100"/>
        <w:ind w:firstLine="0" w:firstLineChars="0"/>
        <w:outlineLvl w:val="1"/>
        <w:rPr>
          <w:rFonts w:ascii="黑体" w:eastAsia="黑体"/>
          <w:szCs w:val="21"/>
        </w:rPr>
      </w:pPr>
      <w:r>
        <w:rPr>
          <w:rFonts w:hint="eastAsia" w:ascii="黑体" w:eastAsia="黑体"/>
          <w:szCs w:val="21"/>
        </w:rPr>
        <w:t>4.4 试验步骤</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4.</w:t>
      </w:r>
      <w:r>
        <w:rPr>
          <w:rFonts w:hint="eastAsia" w:ascii="黑体" w:eastAsia="黑体"/>
          <w:szCs w:val="21"/>
        </w:rPr>
        <w:t>4</w:t>
      </w:r>
      <w:r>
        <w:rPr>
          <w:rFonts w:ascii="黑体" w:eastAsia="黑体"/>
          <w:szCs w:val="21"/>
        </w:rPr>
        <w:t>.1 试料</w:t>
      </w:r>
    </w:p>
    <w:p>
      <w:pPr>
        <w:spacing w:line="360" w:lineRule="exact"/>
        <w:ind w:firstLine="420" w:firstLineChars="200"/>
        <w:rPr>
          <w:rFonts w:hAnsi="宋体"/>
          <w:szCs w:val="21"/>
        </w:rPr>
      </w:pPr>
      <w:r>
        <w:rPr>
          <w:rFonts w:hint="eastAsia"/>
        </w:rPr>
        <w:t>按表1试料量</w:t>
      </w:r>
      <w:r>
        <w:rPr>
          <w:rFonts w:hAnsi="宋体"/>
        </w:rPr>
        <w:t>称取样品（</w:t>
      </w:r>
      <w:r>
        <w:rPr>
          <w:rFonts w:hint="eastAsia"/>
        </w:rPr>
        <w:t>4.3</w:t>
      </w:r>
      <w:r>
        <w:rPr>
          <w:rFonts w:hAnsi="宋体"/>
        </w:rPr>
        <w:t>），精确至</w:t>
      </w:r>
      <w:r>
        <w:t>0.0001 g</w:t>
      </w:r>
      <w:r>
        <w:rPr>
          <w:rFonts w:hAnsi="宋体"/>
        </w:rPr>
        <w:t>。</w:t>
      </w:r>
    </w:p>
    <w:p>
      <w:pPr>
        <w:spacing w:line="360" w:lineRule="exact"/>
        <w:ind w:firstLine="210" w:firstLineChars="100"/>
        <w:jc w:val="center"/>
        <w:rPr>
          <w:rFonts w:ascii="黑体" w:hAnsi="黑体" w:eastAsia="黑体" w:cs="黑体"/>
          <w:szCs w:val="21"/>
        </w:rPr>
      </w:pPr>
      <w:r>
        <w:rPr>
          <w:rFonts w:hint="eastAsia" w:ascii="黑体" w:hAnsi="黑体" w:eastAsia="黑体" w:cs="黑体"/>
          <w:szCs w:val="21"/>
        </w:rPr>
        <w:t>表1 试料量</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ign w:val="center"/>
          </w:tcPr>
          <w:p>
            <w:pPr>
              <w:spacing w:line="276" w:lineRule="auto"/>
              <w:jc w:val="center"/>
              <w:rPr>
                <w:rFonts w:hAnsi="宋体"/>
                <w:sz w:val="18"/>
                <w:szCs w:val="18"/>
              </w:rPr>
            </w:pPr>
            <w:r>
              <w:rPr>
                <w:rFonts w:hAnsi="宋体"/>
                <w:sz w:val="18"/>
                <w:szCs w:val="18"/>
              </w:rPr>
              <w:t>锑质量分数</w:t>
            </w:r>
          </w:p>
          <w:p>
            <w:pPr>
              <w:spacing w:line="276" w:lineRule="auto"/>
              <w:jc w:val="center"/>
              <w:rPr>
                <w:sz w:val="18"/>
                <w:szCs w:val="18"/>
              </w:rPr>
            </w:pPr>
            <w:r>
              <w:rPr>
                <w:sz w:val="18"/>
                <w:szCs w:val="18"/>
              </w:rPr>
              <w:t>%</w:t>
            </w:r>
          </w:p>
        </w:tc>
        <w:tc>
          <w:tcPr>
            <w:tcW w:w="4643" w:type="dxa"/>
            <w:noWrap/>
            <w:vAlign w:val="center"/>
          </w:tcPr>
          <w:p>
            <w:pPr>
              <w:spacing w:line="276" w:lineRule="auto"/>
              <w:jc w:val="center"/>
              <w:rPr>
                <w:rFonts w:hAnsi="宋体"/>
                <w:sz w:val="18"/>
                <w:szCs w:val="18"/>
              </w:rPr>
            </w:pPr>
            <w:r>
              <w:rPr>
                <w:rFonts w:hAnsi="宋体"/>
                <w:sz w:val="18"/>
                <w:szCs w:val="18"/>
              </w:rPr>
              <w:t>试料量</w:t>
            </w:r>
          </w:p>
          <w:p>
            <w:pPr>
              <w:spacing w:line="276" w:lineRule="auto"/>
              <w:jc w:val="center"/>
              <w:rPr>
                <w:sz w:val="18"/>
                <w:szCs w:val="18"/>
              </w:rPr>
            </w:pPr>
            <w:r>
              <w:rPr>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ign w:val="center"/>
          </w:tcPr>
          <w:p>
            <w:pPr>
              <w:spacing w:line="276" w:lineRule="auto"/>
              <w:jc w:val="center"/>
              <w:rPr>
                <w:sz w:val="18"/>
                <w:szCs w:val="18"/>
              </w:rPr>
            </w:pPr>
            <w:r>
              <w:rPr>
                <w:sz w:val="18"/>
                <w:szCs w:val="18"/>
              </w:rPr>
              <w:t>1.50</w:t>
            </w:r>
            <w:r>
              <w:rPr>
                <w:rFonts w:hAnsi="宋体"/>
                <w:sz w:val="18"/>
                <w:szCs w:val="18"/>
              </w:rPr>
              <w:t>～</w:t>
            </w:r>
            <w:r>
              <w:rPr>
                <w:sz w:val="18"/>
                <w:szCs w:val="18"/>
              </w:rPr>
              <w:t>4.00</w:t>
            </w:r>
          </w:p>
        </w:tc>
        <w:tc>
          <w:tcPr>
            <w:tcW w:w="4643" w:type="dxa"/>
            <w:noWrap/>
            <w:vAlign w:val="center"/>
          </w:tcPr>
          <w:p>
            <w:pPr>
              <w:spacing w:line="276" w:lineRule="auto"/>
              <w:jc w:val="center"/>
              <w:rPr>
                <w:sz w:val="18"/>
                <w:szCs w:val="18"/>
              </w:rPr>
            </w:pPr>
            <w:r>
              <w:rPr>
                <w:sz w:val="18"/>
                <w:szCs w:val="18"/>
              </w:rPr>
              <w:t>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ign w:val="center"/>
          </w:tcPr>
          <w:p>
            <w:pPr>
              <w:spacing w:line="276" w:lineRule="auto"/>
              <w:jc w:val="center"/>
              <w:rPr>
                <w:sz w:val="18"/>
                <w:szCs w:val="18"/>
              </w:rPr>
            </w:pPr>
            <w:r>
              <w:rPr>
                <w:rFonts w:hAnsi="宋体"/>
                <w:sz w:val="18"/>
                <w:szCs w:val="18"/>
              </w:rPr>
              <w:t>＞</w:t>
            </w:r>
            <w:r>
              <w:rPr>
                <w:rFonts w:hint="eastAsia" w:hAnsi="宋体"/>
                <w:sz w:val="18"/>
                <w:szCs w:val="18"/>
              </w:rPr>
              <w:t>4</w:t>
            </w:r>
            <w:r>
              <w:rPr>
                <w:sz w:val="18"/>
                <w:szCs w:val="18"/>
              </w:rPr>
              <w:t>.00</w:t>
            </w:r>
            <w:r>
              <w:rPr>
                <w:rFonts w:hAnsi="宋体"/>
                <w:sz w:val="18"/>
                <w:szCs w:val="18"/>
              </w:rPr>
              <w:t>～</w:t>
            </w:r>
            <w:r>
              <w:rPr>
                <w:sz w:val="18"/>
                <w:szCs w:val="18"/>
              </w:rPr>
              <w:t>8.00</w:t>
            </w:r>
          </w:p>
        </w:tc>
        <w:tc>
          <w:tcPr>
            <w:tcW w:w="4643" w:type="dxa"/>
            <w:noWrap/>
            <w:vAlign w:val="center"/>
          </w:tcPr>
          <w:p>
            <w:pPr>
              <w:spacing w:line="276" w:lineRule="auto"/>
              <w:jc w:val="center"/>
              <w:rPr>
                <w:sz w:val="18"/>
                <w:szCs w:val="18"/>
              </w:rPr>
            </w:pPr>
            <w:r>
              <w:rPr>
                <w:sz w:val="18"/>
                <w:szCs w:val="18"/>
              </w:rPr>
              <w:t>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ign w:val="center"/>
          </w:tcPr>
          <w:p>
            <w:pPr>
              <w:spacing w:line="276" w:lineRule="auto"/>
              <w:jc w:val="center"/>
              <w:rPr>
                <w:sz w:val="18"/>
                <w:szCs w:val="18"/>
              </w:rPr>
            </w:pPr>
            <w:r>
              <w:rPr>
                <w:rFonts w:hAnsi="宋体"/>
                <w:sz w:val="18"/>
                <w:szCs w:val="18"/>
              </w:rPr>
              <w:t>＞</w:t>
            </w:r>
            <w:r>
              <w:rPr>
                <w:sz w:val="18"/>
                <w:szCs w:val="18"/>
              </w:rPr>
              <w:t>8.00</w:t>
            </w:r>
            <w:r>
              <w:rPr>
                <w:rFonts w:hAnsi="宋体"/>
                <w:sz w:val="18"/>
                <w:szCs w:val="18"/>
              </w:rPr>
              <w:t>～</w:t>
            </w:r>
            <w:r>
              <w:rPr>
                <w:sz w:val="18"/>
                <w:szCs w:val="18"/>
              </w:rPr>
              <w:t>20.00</w:t>
            </w:r>
          </w:p>
        </w:tc>
        <w:tc>
          <w:tcPr>
            <w:tcW w:w="4643" w:type="dxa"/>
            <w:noWrap/>
            <w:vAlign w:val="center"/>
          </w:tcPr>
          <w:p>
            <w:pPr>
              <w:spacing w:line="276" w:lineRule="auto"/>
              <w:jc w:val="center"/>
              <w:rPr>
                <w:sz w:val="18"/>
                <w:szCs w:val="18"/>
              </w:rPr>
            </w:pPr>
            <w:r>
              <w:rPr>
                <w:sz w:val="18"/>
                <w:szCs w:val="18"/>
              </w:rPr>
              <w:t>0.2000</w:t>
            </w:r>
          </w:p>
        </w:tc>
      </w:tr>
    </w:tbl>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4.</w:t>
      </w:r>
      <w:r>
        <w:rPr>
          <w:rFonts w:hint="eastAsia" w:ascii="黑体" w:eastAsia="黑体"/>
          <w:szCs w:val="21"/>
        </w:rPr>
        <w:t>4</w:t>
      </w:r>
      <w:r>
        <w:rPr>
          <w:rFonts w:ascii="黑体" w:eastAsia="黑体"/>
          <w:szCs w:val="21"/>
        </w:rPr>
        <w:t>.2 平行试验</w:t>
      </w:r>
    </w:p>
    <w:p>
      <w:pPr>
        <w:spacing w:line="360" w:lineRule="auto"/>
        <w:ind w:right="183" w:rightChars="87" w:firstLine="420" w:firstLineChars="200"/>
      </w:pPr>
      <w:r>
        <w:rPr>
          <w:rFonts w:hAnsi="宋体"/>
        </w:rPr>
        <w:t>平行做两份试验。</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4.</w:t>
      </w:r>
      <w:r>
        <w:rPr>
          <w:rFonts w:hint="eastAsia" w:ascii="黑体" w:eastAsia="黑体"/>
          <w:szCs w:val="21"/>
        </w:rPr>
        <w:t>4</w:t>
      </w:r>
      <w:r>
        <w:rPr>
          <w:rFonts w:ascii="黑体" w:eastAsia="黑体"/>
          <w:szCs w:val="21"/>
        </w:rPr>
        <w:t>.3 空白试验</w:t>
      </w:r>
    </w:p>
    <w:p>
      <w:pPr>
        <w:spacing w:line="360" w:lineRule="auto"/>
        <w:ind w:firstLine="420" w:firstLineChars="200"/>
        <w:rPr>
          <w:szCs w:val="21"/>
        </w:rPr>
      </w:pPr>
      <w:r>
        <w:rPr>
          <w:rFonts w:hAnsi="宋体"/>
          <w:szCs w:val="21"/>
        </w:rPr>
        <w:t>随同试料做空白实验。</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4.</w:t>
      </w:r>
      <w:r>
        <w:rPr>
          <w:rFonts w:hint="eastAsia" w:ascii="黑体" w:eastAsia="黑体"/>
          <w:szCs w:val="21"/>
        </w:rPr>
        <w:t>4</w:t>
      </w:r>
      <w:r>
        <w:rPr>
          <w:rFonts w:ascii="黑体" w:eastAsia="黑体"/>
          <w:szCs w:val="21"/>
        </w:rPr>
        <w:t>.4 测定</w:t>
      </w:r>
    </w:p>
    <w:p>
      <w:pPr>
        <w:spacing w:line="360" w:lineRule="exact"/>
        <w:ind w:right="183" w:rightChars="87"/>
        <w:rPr>
          <w:rFonts w:hAnsi="宋体"/>
          <w:szCs w:val="21"/>
        </w:rPr>
      </w:pPr>
      <w:r>
        <w:rPr>
          <w:rFonts w:hint="eastAsia" w:ascii="黑体" w:hAnsi="黑体" w:eastAsia="黑体" w:cs="黑体"/>
          <w:szCs w:val="21"/>
        </w:rPr>
        <w:t>4.4.4.1</w:t>
      </w:r>
      <w:r>
        <w:rPr>
          <w:rFonts w:hAnsi="宋体"/>
          <w:szCs w:val="21"/>
        </w:rPr>
        <w:t>将试料</w:t>
      </w:r>
      <w:r>
        <w:rPr>
          <w:szCs w:val="21"/>
        </w:rPr>
        <w:t>(</w:t>
      </w:r>
      <w:r>
        <w:rPr>
          <w:rFonts w:hint="eastAsia"/>
          <w:szCs w:val="21"/>
        </w:rPr>
        <w:t>4.5.1</w:t>
      </w:r>
      <w:r>
        <w:rPr>
          <w:szCs w:val="21"/>
        </w:rPr>
        <w:t>)</w:t>
      </w:r>
      <w:r>
        <w:rPr>
          <w:rFonts w:hAnsi="宋体"/>
          <w:szCs w:val="21"/>
        </w:rPr>
        <w:t>置于</w:t>
      </w:r>
      <w:r>
        <w:rPr>
          <w:szCs w:val="21"/>
        </w:rPr>
        <w:t>500</w:t>
      </w:r>
      <w:r>
        <w:rPr>
          <w:rFonts w:hint="eastAsia"/>
          <w:szCs w:val="21"/>
        </w:rPr>
        <w:t xml:space="preserve"> </w:t>
      </w:r>
      <w:r>
        <w:rPr>
          <w:szCs w:val="21"/>
        </w:rPr>
        <w:t>mL</w:t>
      </w:r>
      <w:r>
        <w:rPr>
          <w:rFonts w:hAnsi="宋体"/>
          <w:szCs w:val="21"/>
        </w:rPr>
        <w:t>锥形瓶中，加入</w:t>
      </w:r>
      <w:r>
        <w:rPr>
          <w:szCs w:val="21"/>
        </w:rPr>
        <w:t>2g</w:t>
      </w:r>
      <w:r>
        <w:rPr>
          <w:rFonts w:hAnsi="宋体"/>
          <w:szCs w:val="21"/>
        </w:rPr>
        <w:t>硫酸钾</w:t>
      </w:r>
      <w:r>
        <w:rPr>
          <w:rFonts w:hint="eastAsia" w:hAnsi="宋体"/>
          <w:szCs w:val="21"/>
        </w:rPr>
        <w:t>（4.2.1）</w:t>
      </w:r>
      <w:r>
        <w:rPr>
          <w:rFonts w:hAnsi="宋体"/>
          <w:szCs w:val="21"/>
        </w:rPr>
        <w:t>，</w:t>
      </w:r>
      <w:r>
        <w:rPr>
          <w:szCs w:val="21"/>
        </w:rPr>
        <w:t>25</w:t>
      </w:r>
      <w:r>
        <w:rPr>
          <w:rFonts w:hint="eastAsia"/>
          <w:szCs w:val="21"/>
        </w:rPr>
        <w:t xml:space="preserve"> </w:t>
      </w:r>
      <w:r>
        <w:rPr>
          <w:szCs w:val="21"/>
        </w:rPr>
        <w:t>mL</w:t>
      </w:r>
      <w:r>
        <w:rPr>
          <w:rFonts w:hAnsi="宋体"/>
          <w:szCs w:val="21"/>
        </w:rPr>
        <w:t>硫酸</w:t>
      </w:r>
      <w:r>
        <w:rPr>
          <w:szCs w:val="21"/>
        </w:rPr>
        <w:t>(</w:t>
      </w:r>
      <w:r>
        <w:rPr>
          <w:rFonts w:hint="eastAsia"/>
          <w:szCs w:val="21"/>
        </w:rPr>
        <w:t>4.2</w:t>
      </w:r>
      <w:r>
        <w:rPr>
          <w:szCs w:val="21"/>
        </w:rPr>
        <w:t>.3)</w:t>
      </w:r>
      <w:r>
        <w:rPr>
          <w:rFonts w:hAnsi="宋体"/>
          <w:szCs w:val="21"/>
        </w:rPr>
        <w:t>，加热</w:t>
      </w:r>
      <w:r>
        <w:rPr>
          <w:rFonts w:hint="eastAsia" w:hAnsi="宋体"/>
          <w:szCs w:val="21"/>
        </w:rPr>
        <w:t>至</w:t>
      </w:r>
      <w:r>
        <w:rPr>
          <w:rFonts w:hAnsi="宋体"/>
          <w:szCs w:val="21"/>
        </w:rPr>
        <w:t>溶解完全，继续蒸至硫酸烟回流约</w:t>
      </w:r>
      <w:r>
        <w:rPr>
          <w:szCs w:val="21"/>
        </w:rPr>
        <w:t>5</w:t>
      </w:r>
      <w:r>
        <w:rPr>
          <w:rFonts w:hint="eastAsia"/>
          <w:szCs w:val="21"/>
        </w:rPr>
        <w:t xml:space="preserve"> </w:t>
      </w:r>
      <w:r>
        <w:rPr>
          <w:szCs w:val="21"/>
        </w:rPr>
        <w:t>min</w:t>
      </w:r>
      <w:r>
        <w:rPr>
          <w:rFonts w:hAnsi="宋体"/>
          <w:szCs w:val="21"/>
        </w:rPr>
        <w:t>。加</w:t>
      </w:r>
      <w:r>
        <w:rPr>
          <w:rFonts w:hint="eastAsia" w:hAnsi="宋体"/>
          <w:szCs w:val="21"/>
        </w:rPr>
        <w:t>入</w:t>
      </w:r>
      <w:r>
        <w:rPr>
          <w:rFonts w:hAnsi="宋体"/>
          <w:szCs w:val="21"/>
        </w:rPr>
        <w:t>一小块约</w:t>
      </w:r>
      <w:r>
        <w:rPr>
          <w:szCs w:val="21"/>
        </w:rPr>
        <w:t>0.5 cm</w:t>
      </w:r>
      <w:r>
        <w:rPr>
          <w:szCs w:val="21"/>
          <w:vertAlign w:val="superscript"/>
        </w:rPr>
        <w:t>2</w:t>
      </w:r>
      <w:r>
        <w:rPr>
          <w:szCs w:val="21"/>
        </w:rPr>
        <w:t>~1.5</w:t>
      </w:r>
      <w:r>
        <w:rPr>
          <w:rFonts w:hint="eastAsia"/>
          <w:szCs w:val="21"/>
        </w:rPr>
        <w:t xml:space="preserve"> </w:t>
      </w:r>
      <w:r>
        <w:rPr>
          <w:szCs w:val="21"/>
        </w:rPr>
        <w:t>cm</w:t>
      </w:r>
      <w:r>
        <w:rPr>
          <w:szCs w:val="21"/>
          <w:vertAlign w:val="superscript"/>
        </w:rPr>
        <w:t>2</w:t>
      </w:r>
      <w:r>
        <w:rPr>
          <w:rFonts w:hAnsi="宋体"/>
          <w:szCs w:val="21"/>
        </w:rPr>
        <w:t>定量滤纸</w:t>
      </w:r>
      <w:r>
        <w:rPr>
          <w:szCs w:val="21"/>
        </w:rPr>
        <w:t>(</w:t>
      </w:r>
      <w:r>
        <w:rPr>
          <w:rFonts w:hint="eastAsia"/>
          <w:szCs w:val="21"/>
          <w:lang w:val="en-US" w:eastAsia="zh-CN"/>
        </w:rPr>
        <w:t>4.2.2)(</w:t>
      </w:r>
      <w:r>
        <w:rPr>
          <w:rFonts w:hAnsi="宋体"/>
          <w:szCs w:val="21"/>
        </w:rPr>
        <w:t>空白或一些滤纸碳化后难破坏的样品加</w:t>
      </w:r>
      <w:r>
        <w:rPr>
          <w:rFonts w:hint="eastAsia" w:hAnsi="宋体"/>
          <w:szCs w:val="21"/>
        </w:rPr>
        <w:t>入</w:t>
      </w:r>
      <w:r>
        <w:rPr>
          <w:rFonts w:hAnsi="宋体"/>
          <w:szCs w:val="21"/>
        </w:rPr>
        <w:t>定量滤纸</w:t>
      </w:r>
      <w:r>
        <w:rPr>
          <w:szCs w:val="21"/>
        </w:rPr>
        <w:t>0.5</w:t>
      </w:r>
      <w:r>
        <w:rPr>
          <w:rFonts w:hint="eastAsia"/>
          <w:szCs w:val="21"/>
        </w:rPr>
        <w:t xml:space="preserve"> </w:t>
      </w:r>
      <w:r>
        <w:rPr>
          <w:szCs w:val="21"/>
        </w:rPr>
        <w:t>cm</w:t>
      </w:r>
      <w:r>
        <w:rPr>
          <w:szCs w:val="21"/>
          <w:vertAlign w:val="superscript"/>
        </w:rPr>
        <w:t>2</w:t>
      </w:r>
      <w:r>
        <w:rPr>
          <w:rFonts w:hAnsi="宋体"/>
          <w:szCs w:val="21"/>
        </w:rPr>
        <w:t>即可</w:t>
      </w:r>
      <w:r>
        <w:rPr>
          <w:szCs w:val="21"/>
        </w:rPr>
        <w:t>)</w:t>
      </w:r>
      <w:r>
        <w:rPr>
          <w:rFonts w:hAnsi="宋体"/>
          <w:szCs w:val="21"/>
        </w:rPr>
        <w:t>，加热至碳化的黑色消失为止，取下冷却。</w:t>
      </w:r>
    </w:p>
    <w:p>
      <w:pPr>
        <w:spacing w:line="360" w:lineRule="exact"/>
        <w:ind w:right="183" w:rightChars="87" w:firstLine="360" w:firstLineChars="200"/>
        <w:rPr>
          <w:rFonts w:hAnsi="宋体"/>
          <w:sz w:val="18"/>
          <w:szCs w:val="21"/>
        </w:rPr>
      </w:pPr>
      <w:r>
        <w:rPr>
          <w:rFonts w:hint="eastAsia" w:ascii="黑体" w:hAnsi="黑体" w:eastAsia="黑体" w:cs="黑体"/>
          <w:sz w:val="18"/>
          <w:szCs w:val="18"/>
        </w:rPr>
        <w:t>注：</w:t>
      </w:r>
      <w:r>
        <w:rPr>
          <w:rFonts w:hint="eastAsia" w:hAnsi="宋体"/>
          <w:sz w:val="18"/>
          <w:szCs w:val="18"/>
        </w:rPr>
        <w:t>也可用0.2 g硫酸肼替代</w:t>
      </w:r>
      <w:r>
        <w:rPr>
          <w:rFonts w:hint="eastAsia"/>
          <w:sz w:val="18"/>
          <w:szCs w:val="18"/>
        </w:rPr>
        <w:t xml:space="preserve">0.5 </w:t>
      </w:r>
      <w:r>
        <w:rPr>
          <w:sz w:val="18"/>
          <w:szCs w:val="18"/>
        </w:rPr>
        <w:t>cm</w:t>
      </w:r>
      <w:r>
        <w:rPr>
          <w:sz w:val="18"/>
          <w:szCs w:val="18"/>
          <w:vertAlign w:val="superscript"/>
        </w:rPr>
        <w:t>2</w:t>
      </w:r>
      <w:r>
        <w:rPr>
          <w:rFonts w:hint="eastAsia"/>
          <w:sz w:val="18"/>
          <w:szCs w:val="18"/>
          <w:vertAlign w:val="baseline"/>
        </w:rPr>
        <w:t>定量</w:t>
      </w:r>
      <w:r>
        <w:rPr>
          <w:rFonts w:hAnsi="宋体"/>
          <w:sz w:val="18"/>
          <w:szCs w:val="18"/>
        </w:rPr>
        <w:t>滤纸</w:t>
      </w:r>
      <w:r>
        <w:rPr>
          <w:rFonts w:hint="eastAsia" w:hAnsi="宋体"/>
          <w:sz w:val="18"/>
          <w:szCs w:val="18"/>
        </w:rPr>
        <w:t>，继续加热10</w:t>
      </w:r>
      <w:r>
        <w:rPr>
          <w:rFonts w:hint="eastAsia"/>
          <w:sz w:val="18"/>
          <w:szCs w:val="18"/>
        </w:rPr>
        <w:t xml:space="preserve"> min</w:t>
      </w:r>
      <w:r>
        <w:rPr>
          <w:sz w:val="18"/>
          <w:szCs w:val="18"/>
        </w:rPr>
        <w:t xml:space="preserve"> ~</w:t>
      </w:r>
      <w:r>
        <w:rPr>
          <w:rFonts w:hint="eastAsia"/>
          <w:sz w:val="18"/>
          <w:szCs w:val="18"/>
        </w:rPr>
        <w:t>15 min，</w:t>
      </w:r>
      <w:r>
        <w:rPr>
          <w:rFonts w:hAnsi="宋体"/>
          <w:sz w:val="18"/>
          <w:szCs w:val="18"/>
        </w:rPr>
        <w:t>取下冷却</w:t>
      </w:r>
      <w:r>
        <w:rPr>
          <w:rFonts w:hint="eastAsia" w:hAnsi="宋体"/>
          <w:sz w:val="18"/>
          <w:szCs w:val="18"/>
        </w:rPr>
        <w:t>。</w:t>
      </w:r>
    </w:p>
    <w:p>
      <w:pPr>
        <w:spacing w:line="360" w:lineRule="exact"/>
        <w:ind w:right="183" w:rightChars="87"/>
        <w:rPr>
          <w:rFonts w:hAnsi="宋体"/>
        </w:rPr>
      </w:pPr>
      <w:r>
        <w:rPr>
          <w:rFonts w:hint="eastAsia" w:ascii="黑体" w:hAnsi="黑体" w:eastAsia="黑体" w:cs="黑体"/>
          <w:szCs w:val="21"/>
        </w:rPr>
        <w:t>4.4.4.2</w:t>
      </w:r>
      <w:r>
        <w:rPr>
          <w:rFonts w:hAnsi="宋体"/>
          <w:szCs w:val="21"/>
        </w:rPr>
        <w:t>用少量水吹洗瓶壁，沿瓶壁缓慢加</w:t>
      </w:r>
      <w:r>
        <w:rPr>
          <w:rFonts w:hint="eastAsia" w:hAnsi="宋体"/>
          <w:szCs w:val="21"/>
        </w:rPr>
        <w:t>入</w:t>
      </w:r>
      <w:r>
        <w:rPr>
          <w:szCs w:val="21"/>
        </w:rPr>
        <w:t>50</w:t>
      </w:r>
      <w:r>
        <w:rPr>
          <w:rFonts w:hint="eastAsia"/>
          <w:szCs w:val="21"/>
        </w:rPr>
        <w:t xml:space="preserve"> </w:t>
      </w:r>
      <w:r>
        <w:rPr>
          <w:szCs w:val="21"/>
        </w:rPr>
        <w:t>mL</w:t>
      </w:r>
      <w:r>
        <w:rPr>
          <w:rFonts w:hAnsi="宋体"/>
          <w:szCs w:val="21"/>
        </w:rPr>
        <w:t>水，摇匀，微沸</w:t>
      </w:r>
      <w:r>
        <w:rPr>
          <w:rFonts w:hint="eastAsia"/>
          <w:szCs w:val="21"/>
        </w:rPr>
        <w:t xml:space="preserve">3 </w:t>
      </w:r>
      <w:r>
        <w:rPr>
          <w:szCs w:val="21"/>
        </w:rPr>
        <w:t>min~</w:t>
      </w:r>
      <w:r>
        <w:rPr>
          <w:rFonts w:hint="eastAsia"/>
          <w:szCs w:val="21"/>
        </w:rPr>
        <w:t xml:space="preserve">5 </w:t>
      </w:r>
      <w:r>
        <w:rPr>
          <w:szCs w:val="21"/>
        </w:rPr>
        <w:t>min</w:t>
      </w:r>
      <w:r>
        <w:rPr>
          <w:rFonts w:hint="eastAsia"/>
          <w:szCs w:val="21"/>
        </w:rPr>
        <w:t>，</w:t>
      </w:r>
      <w:r>
        <w:rPr>
          <w:rFonts w:hAnsi="宋体"/>
          <w:szCs w:val="21"/>
        </w:rPr>
        <w:t>立即加</w:t>
      </w:r>
      <w:r>
        <w:rPr>
          <w:rFonts w:hint="eastAsia" w:hAnsi="宋体"/>
          <w:szCs w:val="21"/>
        </w:rPr>
        <w:t>入</w:t>
      </w:r>
      <w:r>
        <w:rPr>
          <w:szCs w:val="21"/>
        </w:rPr>
        <w:t>25</w:t>
      </w:r>
      <w:r>
        <w:rPr>
          <w:rFonts w:hint="eastAsia"/>
          <w:szCs w:val="21"/>
        </w:rPr>
        <w:t xml:space="preserve"> </w:t>
      </w:r>
      <w:r>
        <w:rPr>
          <w:szCs w:val="21"/>
        </w:rPr>
        <w:t>mL</w:t>
      </w:r>
      <w:r>
        <w:rPr>
          <w:rFonts w:hAnsi="宋体"/>
          <w:szCs w:val="21"/>
        </w:rPr>
        <w:t>盐酸</w:t>
      </w:r>
      <w:r>
        <w:rPr>
          <w:rFonts w:hint="eastAsia" w:hAnsi="宋体"/>
          <w:szCs w:val="21"/>
        </w:rPr>
        <w:t>（4.2.5）</w:t>
      </w:r>
      <w:r>
        <w:rPr>
          <w:rFonts w:hAnsi="宋体"/>
          <w:szCs w:val="21"/>
        </w:rPr>
        <w:t>，加</w:t>
      </w:r>
      <w:r>
        <w:rPr>
          <w:szCs w:val="21"/>
        </w:rPr>
        <w:t>2</w:t>
      </w:r>
      <w:r>
        <w:rPr>
          <w:rFonts w:hAnsi="宋体"/>
          <w:szCs w:val="21"/>
        </w:rPr>
        <w:t>滴甲基</w:t>
      </w:r>
      <w:r>
        <w:rPr>
          <w:rFonts w:hint="eastAsia" w:hAnsi="宋体"/>
          <w:szCs w:val="21"/>
        </w:rPr>
        <w:t>橙溶液（4.2.9）</w:t>
      </w:r>
      <w:r>
        <w:rPr>
          <w:rFonts w:hAnsi="宋体"/>
          <w:szCs w:val="21"/>
        </w:rPr>
        <w:t>，</w:t>
      </w:r>
      <w:r>
        <w:rPr>
          <w:szCs w:val="21"/>
        </w:rPr>
        <w:t>2</w:t>
      </w:r>
      <w:r>
        <w:rPr>
          <w:rFonts w:hAnsi="宋体"/>
          <w:szCs w:val="21"/>
        </w:rPr>
        <w:t>滴亚甲基蓝</w:t>
      </w:r>
      <w:r>
        <w:rPr>
          <w:rFonts w:hint="eastAsia" w:hAnsi="宋体"/>
          <w:szCs w:val="21"/>
        </w:rPr>
        <w:t>溶液（4.2.8）</w:t>
      </w:r>
      <w:r>
        <w:rPr>
          <w:rFonts w:hAnsi="宋体"/>
          <w:szCs w:val="21"/>
        </w:rPr>
        <w:t>，趁热</w:t>
      </w:r>
      <w:r>
        <w:rPr>
          <w:szCs w:val="21"/>
        </w:rPr>
        <w:t>(</w:t>
      </w:r>
      <w:r>
        <w:rPr>
          <w:rFonts w:hAnsi="宋体"/>
          <w:szCs w:val="21"/>
        </w:rPr>
        <w:t>溶液温度</w:t>
      </w:r>
      <w:r>
        <w:rPr>
          <w:szCs w:val="21"/>
        </w:rPr>
        <w:t>80</w:t>
      </w:r>
      <w:r>
        <w:rPr>
          <w:rFonts w:hAnsi="宋体"/>
          <w:szCs w:val="21"/>
        </w:rPr>
        <w:t>℃～</w:t>
      </w:r>
      <w:r>
        <w:rPr>
          <w:szCs w:val="21"/>
        </w:rPr>
        <w:t>90</w:t>
      </w:r>
      <w:r>
        <w:rPr>
          <w:rFonts w:hAnsi="宋体"/>
          <w:szCs w:val="21"/>
        </w:rPr>
        <w:t>℃</w:t>
      </w:r>
      <w:r>
        <w:rPr>
          <w:szCs w:val="21"/>
        </w:rPr>
        <w:t>)</w:t>
      </w:r>
      <w:r>
        <w:rPr>
          <w:rFonts w:hAnsi="宋体"/>
          <w:szCs w:val="21"/>
        </w:rPr>
        <w:t>用硫酸铈铵标准滴定溶液</w:t>
      </w:r>
      <w:r>
        <w:rPr>
          <w:rFonts w:hint="eastAsia" w:hAnsi="宋体"/>
          <w:szCs w:val="21"/>
        </w:rPr>
        <w:t>（4.2.7）</w:t>
      </w:r>
      <w:r>
        <w:rPr>
          <w:rFonts w:hAnsi="宋体"/>
          <w:szCs w:val="21"/>
        </w:rPr>
        <w:t>滴定至红色变浅，缓慢滴定至红色消失，突变</w:t>
      </w:r>
      <w:r>
        <w:rPr>
          <w:rFonts w:hint="eastAsia" w:hAnsi="宋体"/>
          <w:szCs w:val="21"/>
        </w:rPr>
        <w:t>亮</w:t>
      </w:r>
      <w:r>
        <w:rPr>
          <w:rFonts w:hAnsi="宋体"/>
          <w:szCs w:val="21"/>
        </w:rPr>
        <w:t>蓝色</w:t>
      </w:r>
      <w:r>
        <w:rPr>
          <w:szCs w:val="21"/>
        </w:rPr>
        <w:t>(</w:t>
      </w:r>
      <w:r>
        <w:rPr>
          <w:rFonts w:hAnsi="宋体"/>
          <w:szCs w:val="21"/>
        </w:rPr>
        <w:t>铜高时为亮绿色</w:t>
      </w:r>
      <w:r>
        <w:rPr>
          <w:szCs w:val="21"/>
        </w:rPr>
        <w:t>)</w:t>
      </w:r>
      <w:r>
        <w:rPr>
          <w:rFonts w:hAnsi="宋体"/>
          <w:szCs w:val="21"/>
        </w:rPr>
        <w:t>为终点。</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4.</w:t>
      </w:r>
      <w:r>
        <w:rPr>
          <w:rFonts w:hint="eastAsia" w:ascii="黑体" w:eastAsia="黑体"/>
          <w:szCs w:val="21"/>
        </w:rPr>
        <w:t>4</w:t>
      </w:r>
      <w:r>
        <w:rPr>
          <w:rFonts w:ascii="黑体" w:eastAsia="黑体"/>
          <w:szCs w:val="21"/>
        </w:rPr>
        <w:t>.</w:t>
      </w:r>
      <w:r>
        <w:rPr>
          <w:rFonts w:hint="eastAsia" w:ascii="黑体" w:eastAsia="黑体"/>
          <w:szCs w:val="21"/>
        </w:rPr>
        <w:t>5</w:t>
      </w:r>
      <w:r>
        <w:rPr>
          <w:rFonts w:ascii="黑体" w:eastAsia="黑体"/>
          <w:szCs w:val="21"/>
        </w:rPr>
        <w:t xml:space="preserve"> 试验数据处理</w:t>
      </w:r>
    </w:p>
    <w:p>
      <w:pPr>
        <w:adjustRightInd w:val="0"/>
        <w:snapToGrid w:val="0"/>
        <w:spacing w:line="360" w:lineRule="exact"/>
        <w:ind w:firstLine="420" w:firstLineChars="200"/>
        <w:rPr>
          <w:szCs w:val="21"/>
        </w:rPr>
      </w:pPr>
      <w:r>
        <w:rPr>
          <w:rFonts w:hAnsi="宋体"/>
          <w:szCs w:val="21"/>
        </w:rPr>
        <w:t>锑</w:t>
      </w:r>
      <w:r>
        <w:rPr>
          <w:rFonts w:hint="eastAsia" w:hAnsi="宋体"/>
          <w:szCs w:val="21"/>
        </w:rPr>
        <w:t>的含量以</w:t>
      </w:r>
      <w:r>
        <w:rPr>
          <w:rFonts w:hAnsi="宋体"/>
          <w:szCs w:val="21"/>
        </w:rPr>
        <w:t>锑</w:t>
      </w:r>
      <w:r>
        <w:rPr>
          <w:rFonts w:hint="eastAsia" w:hAnsi="宋体"/>
          <w:szCs w:val="21"/>
        </w:rPr>
        <w:t>的质量分数</w:t>
      </w:r>
      <w:r>
        <w:rPr>
          <w:rFonts w:hint="eastAsia" w:hAnsi="宋体"/>
          <w:i/>
          <w:iCs/>
          <w:szCs w:val="21"/>
        </w:rPr>
        <w:t>w</w:t>
      </w:r>
      <w:r>
        <w:rPr>
          <w:rFonts w:hint="eastAsia" w:hAnsi="宋体"/>
          <w:szCs w:val="21"/>
        </w:rPr>
        <w:t xml:space="preserve"> 计，按公式（2）计算</w:t>
      </w:r>
      <w:r>
        <w:rPr>
          <w:rFonts w:hAnsi="宋体"/>
          <w:szCs w:val="21"/>
        </w:rPr>
        <w:t>：</w:t>
      </w:r>
    </w:p>
    <w:p>
      <w:pPr>
        <w:wordWrap w:val="0"/>
        <w:adjustRightInd w:val="0"/>
        <w:snapToGrid w:val="0"/>
        <w:spacing w:line="312" w:lineRule="auto"/>
        <w:ind w:right="420"/>
        <w:jc w:val="right"/>
        <w:rPr>
          <w:szCs w:val="21"/>
        </w:rPr>
      </w:pPr>
      <w:r>
        <w:rPr>
          <w:position w:val="-30"/>
          <w:szCs w:val="21"/>
        </w:rPr>
        <w:object>
          <v:shape id="_x0000_i1026" o:spt="75" type="#_x0000_t75" style="height:36pt;width:163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szCs w:val="21"/>
        </w:rPr>
        <w:t>………………………………</w:t>
      </w:r>
      <w:r>
        <w:rPr>
          <w:rFonts w:hAnsi="宋体"/>
          <w:szCs w:val="21"/>
        </w:rPr>
        <w:t>（</w:t>
      </w:r>
      <w:r>
        <w:rPr>
          <w:szCs w:val="21"/>
        </w:rPr>
        <w:t>2</w:t>
      </w:r>
      <w:r>
        <w:rPr>
          <w:rFonts w:hAnsi="宋体"/>
          <w:szCs w:val="21"/>
        </w:rPr>
        <w:t>）</w:t>
      </w:r>
    </w:p>
    <w:p>
      <w:pPr>
        <w:adjustRightInd w:val="0"/>
        <w:snapToGrid w:val="0"/>
        <w:spacing w:line="360" w:lineRule="exact"/>
        <w:ind w:firstLine="444" w:firstLineChars="200"/>
        <w:rPr>
          <w:spacing w:val="6"/>
          <w:szCs w:val="21"/>
        </w:rPr>
      </w:pPr>
      <w:r>
        <w:rPr>
          <w:rFonts w:hAnsi="宋体"/>
          <w:spacing w:val="6"/>
          <w:szCs w:val="21"/>
        </w:rPr>
        <w:t>式中：</w:t>
      </w:r>
    </w:p>
    <w:p>
      <w:pPr>
        <w:adjustRightInd w:val="0"/>
        <w:snapToGrid w:val="0"/>
        <w:spacing w:line="360" w:lineRule="exact"/>
        <w:ind w:firstLine="444" w:firstLineChars="200"/>
        <w:rPr>
          <w:spacing w:val="6"/>
          <w:szCs w:val="21"/>
        </w:rPr>
      </w:pPr>
      <w:r>
        <w:rPr>
          <w:i/>
          <w:spacing w:val="6"/>
          <w:szCs w:val="21"/>
        </w:rPr>
        <w:t>c</w:t>
      </w:r>
      <w:r>
        <w:rPr>
          <w:spacing w:val="6"/>
          <w:szCs w:val="21"/>
        </w:rPr>
        <w:t>——</w:t>
      </w:r>
      <w:r>
        <w:rPr>
          <w:rFonts w:hAnsi="宋体"/>
          <w:szCs w:val="21"/>
        </w:rPr>
        <w:t>硫酸铈铵标准滴定溶液的实际浓度，单位为摩尔每升</w:t>
      </w:r>
      <w:r>
        <w:rPr>
          <w:szCs w:val="21"/>
        </w:rPr>
        <w:t>(mol/L)</w:t>
      </w:r>
      <w:r>
        <w:rPr>
          <w:rFonts w:hAnsi="宋体"/>
          <w:spacing w:val="6"/>
          <w:szCs w:val="21"/>
        </w:rPr>
        <w:t>；</w:t>
      </w:r>
    </w:p>
    <w:p>
      <w:pPr>
        <w:adjustRightInd w:val="0"/>
        <w:snapToGrid w:val="0"/>
        <w:spacing w:line="360" w:lineRule="exact"/>
        <w:ind w:firstLine="444" w:firstLineChars="200"/>
        <w:rPr>
          <w:spacing w:val="6"/>
          <w:szCs w:val="21"/>
        </w:rPr>
      </w:pPr>
      <w:r>
        <w:rPr>
          <w:i/>
          <w:spacing w:val="6"/>
          <w:szCs w:val="21"/>
        </w:rPr>
        <w:t>V</w:t>
      </w:r>
      <w:r>
        <w:rPr>
          <w:iCs/>
          <w:spacing w:val="6"/>
          <w:szCs w:val="21"/>
          <w:vertAlign w:val="subscript"/>
        </w:rPr>
        <w:t>1</w:t>
      </w:r>
      <w:r>
        <w:rPr>
          <w:spacing w:val="6"/>
          <w:szCs w:val="21"/>
        </w:rPr>
        <w:t>——</w:t>
      </w:r>
      <w:r>
        <w:rPr>
          <w:rFonts w:hAnsi="宋体"/>
          <w:szCs w:val="21"/>
        </w:rPr>
        <w:t>测定时，滴定试料溶液所消耗硫酸钵铵标准滴定溶液的体积，单位为毫升</w:t>
      </w:r>
      <w:r>
        <w:rPr>
          <w:szCs w:val="21"/>
        </w:rPr>
        <w:t>(mL)</w:t>
      </w:r>
      <w:r>
        <w:rPr>
          <w:rFonts w:hAnsi="宋体"/>
          <w:spacing w:val="6"/>
          <w:szCs w:val="21"/>
        </w:rPr>
        <w:t>；</w:t>
      </w:r>
    </w:p>
    <w:p>
      <w:pPr>
        <w:adjustRightInd w:val="0"/>
        <w:snapToGrid w:val="0"/>
        <w:spacing w:line="360" w:lineRule="exact"/>
        <w:ind w:firstLine="444" w:firstLineChars="200"/>
        <w:rPr>
          <w:spacing w:val="6"/>
          <w:szCs w:val="21"/>
        </w:rPr>
      </w:pPr>
      <w:r>
        <w:rPr>
          <w:i/>
          <w:spacing w:val="6"/>
          <w:szCs w:val="21"/>
        </w:rPr>
        <w:t>V</w:t>
      </w:r>
      <w:r>
        <w:rPr>
          <w:iCs/>
          <w:spacing w:val="6"/>
          <w:szCs w:val="21"/>
          <w:vertAlign w:val="subscript"/>
        </w:rPr>
        <w:t>0</w:t>
      </w:r>
      <w:r>
        <w:rPr>
          <w:spacing w:val="6"/>
          <w:szCs w:val="21"/>
        </w:rPr>
        <w:t>——</w:t>
      </w:r>
      <w:r>
        <w:rPr>
          <w:rFonts w:hAnsi="宋体"/>
          <w:szCs w:val="21"/>
        </w:rPr>
        <w:t>测定时，滴定空白试验溶液所消耗硫酸钵铵滴定标准溶液的体积，单位为毫升</w:t>
      </w:r>
      <w:r>
        <w:rPr>
          <w:szCs w:val="21"/>
        </w:rPr>
        <w:t>(mL)</w:t>
      </w:r>
      <w:r>
        <w:rPr>
          <w:rFonts w:hAnsi="宋体"/>
          <w:spacing w:val="6"/>
          <w:szCs w:val="21"/>
        </w:rPr>
        <w:t>；</w:t>
      </w:r>
    </w:p>
    <w:p>
      <w:pPr>
        <w:adjustRightInd w:val="0"/>
        <w:snapToGrid w:val="0"/>
        <w:spacing w:line="360" w:lineRule="exact"/>
        <w:ind w:firstLine="444" w:firstLineChars="200"/>
        <w:rPr>
          <w:spacing w:val="6"/>
          <w:szCs w:val="21"/>
        </w:rPr>
      </w:pPr>
      <w:r>
        <w:rPr>
          <w:i/>
          <w:spacing w:val="6"/>
          <w:szCs w:val="21"/>
        </w:rPr>
        <w:t>m</w:t>
      </w:r>
      <w:r>
        <w:rPr>
          <w:iCs/>
          <w:spacing w:val="6"/>
          <w:szCs w:val="21"/>
          <w:vertAlign w:val="subscript"/>
        </w:rPr>
        <w:t>0</w:t>
      </w:r>
      <w:r>
        <w:rPr>
          <w:spacing w:val="6"/>
          <w:szCs w:val="21"/>
        </w:rPr>
        <w:t>——</w:t>
      </w:r>
      <w:r>
        <w:rPr>
          <w:rFonts w:hAnsi="宋体"/>
          <w:spacing w:val="6"/>
          <w:szCs w:val="21"/>
        </w:rPr>
        <w:t>试料的质量，单位为克（</w:t>
      </w:r>
      <w:r>
        <w:rPr>
          <w:spacing w:val="6"/>
          <w:szCs w:val="21"/>
        </w:rPr>
        <w:t>g</w:t>
      </w:r>
      <w:r>
        <w:rPr>
          <w:rFonts w:hAnsi="宋体"/>
          <w:spacing w:val="6"/>
          <w:szCs w:val="21"/>
        </w:rPr>
        <w:t>）。</w:t>
      </w:r>
    </w:p>
    <w:p>
      <w:pPr>
        <w:adjustRightInd w:val="0"/>
        <w:snapToGrid w:val="0"/>
        <w:spacing w:line="360" w:lineRule="exact"/>
        <w:ind w:left="445" w:leftChars="212"/>
        <w:rPr>
          <w:spacing w:val="6"/>
          <w:szCs w:val="21"/>
        </w:rPr>
      </w:pPr>
      <w:r>
        <w:rPr>
          <w:iCs/>
          <w:spacing w:val="6"/>
          <w:szCs w:val="21"/>
        </w:rPr>
        <w:t>60.8</w:t>
      </w:r>
      <w:r>
        <w:rPr>
          <w:rFonts w:hint="eastAsia"/>
          <w:iCs/>
          <w:spacing w:val="6"/>
          <w:szCs w:val="21"/>
        </w:rPr>
        <w:t>8</w:t>
      </w:r>
      <w:r>
        <w:rPr>
          <w:spacing w:val="6"/>
          <w:szCs w:val="21"/>
        </w:rPr>
        <w:t>——</w:t>
      </w:r>
      <w:r>
        <w:rPr>
          <w:rFonts w:hAnsi="宋体"/>
          <w:szCs w:val="21"/>
        </w:rPr>
        <w:t>锑</w:t>
      </w:r>
      <w:r>
        <w:rPr>
          <w:szCs w:val="21"/>
        </w:rPr>
        <w:t>(1/2</w:t>
      </w:r>
      <w:r>
        <w:rPr>
          <w:rFonts w:hint="eastAsia"/>
          <w:szCs w:val="21"/>
        </w:rPr>
        <w:t xml:space="preserve"> </w:t>
      </w:r>
      <w:r>
        <w:rPr>
          <w:szCs w:val="21"/>
        </w:rPr>
        <w:t>Sb)</w:t>
      </w:r>
      <w:r>
        <w:rPr>
          <w:rFonts w:hAnsi="宋体"/>
          <w:szCs w:val="21"/>
        </w:rPr>
        <w:t>的摩尔质量，单位为克每摩尔</w:t>
      </w:r>
      <w:r>
        <w:rPr>
          <w:szCs w:val="21"/>
        </w:rPr>
        <w:t>(g/moL)</w:t>
      </w:r>
      <w:r>
        <w:rPr>
          <w:rFonts w:hAnsi="宋体"/>
          <w:spacing w:val="6"/>
          <w:szCs w:val="21"/>
        </w:rPr>
        <w:t>。</w:t>
      </w:r>
      <w:r>
        <w:rPr>
          <w:szCs w:val="21"/>
        </w:rPr>
        <w:br w:type="textWrapping"/>
      </w:r>
      <w:r>
        <w:rPr>
          <w:rFonts w:hAnsi="宋体"/>
          <w:szCs w:val="21"/>
        </w:rPr>
        <w:t>所得结果</w:t>
      </w:r>
      <w:r>
        <w:rPr>
          <w:rFonts w:hint="eastAsia" w:hAnsi="宋体"/>
          <w:szCs w:val="21"/>
        </w:rPr>
        <w:t>表</w:t>
      </w:r>
      <w:r>
        <w:rPr>
          <w:rFonts w:hAnsi="宋体"/>
          <w:szCs w:val="21"/>
        </w:rPr>
        <w:t>示至</w:t>
      </w:r>
      <w:r>
        <w:rPr>
          <w:rFonts w:hint="eastAsia" w:hAnsi="宋体"/>
          <w:szCs w:val="21"/>
        </w:rPr>
        <w:t>小数点后两</w:t>
      </w:r>
      <w:r>
        <w:rPr>
          <w:rFonts w:hAnsi="宋体"/>
          <w:szCs w:val="21"/>
        </w:rPr>
        <w:t>位。</w:t>
      </w:r>
      <w:r>
        <w:rPr>
          <w:rFonts w:hAnsi="宋体"/>
          <w:spacing w:val="6"/>
        </w:rPr>
        <w:t>数值修约按照</w:t>
      </w:r>
      <w:r>
        <w:rPr>
          <w:spacing w:val="6"/>
        </w:rPr>
        <w:t>GB/T 8170</w:t>
      </w:r>
      <w:r>
        <w:rPr>
          <w:rFonts w:hAnsi="宋体"/>
          <w:spacing w:val="6"/>
        </w:rPr>
        <w:t>规定执行。</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4.</w:t>
      </w:r>
      <w:r>
        <w:rPr>
          <w:rFonts w:hint="eastAsia" w:ascii="黑体" w:eastAsia="黑体"/>
          <w:szCs w:val="21"/>
        </w:rPr>
        <w:t>5</w:t>
      </w:r>
      <w:r>
        <w:rPr>
          <w:rFonts w:ascii="黑体" w:eastAsia="黑体"/>
          <w:szCs w:val="21"/>
        </w:rPr>
        <w:t xml:space="preserve"> 精密度</w:t>
      </w:r>
    </w:p>
    <w:p>
      <w:pPr>
        <w:autoSpaceDE w:val="0"/>
        <w:autoSpaceDN w:val="0"/>
        <w:adjustRightInd w:val="0"/>
        <w:snapToGrid w:val="0"/>
        <w:spacing w:afterLines="50" w:line="360" w:lineRule="exact"/>
        <w:jc w:val="left"/>
        <w:rPr>
          <w:rFonts w:ascii="黑体" w:hAnsi="黑体" w:eastAsia="黑体" w:cs="黑体"/>
          <w:szCs w:val="21"/>
        </w:rPr>
      </w:pPr>
      <w:r>
        <w:rPr>
          <w:rFonts w:hint="eastAsia" w:ascii="黑体" w:hAnsi="黑体" w:eastAsia="黑体" w:cs="黑体"/>
          <w:szCs w:val="21"/>
        </w:rPr>
        <w:t>4.5.1 重复性</w:t>
      </w:r>
    </w:p>
    <w:p>
      <w:pPr>
        <w:adjustRightInd w:val="0"/>
        <w:snapToGrid w:val="0"/>
        <w:spacing w:line="360" w:lineRule="exact"/>
        <w:ind w:firstLine="420" w:firstLineChars="200"/>
        <w:rPr>
          <w:szCs w:val="21"/>
        </w:rPr>
      </w:pPr>
      <w:r>
        <w:rPr>
          <w:rFonts w:hAnsi="宋体"/>
          <w:szCs w:val="21"/>
        </w:rPr>
        <w:t>在重复性条件下获得的两次独立测试结果的测定值，在</w:t>
      </w:r>
      <w:r>
        <w:rPr>
          <w:rFonts w:hint="eastAsia" w:hAnsi="宋体"/>
          <w:szCs w:val="21"/>
        </w:rPr>
        <w:t>表2</w:t>
      </w:r>
      <w:r>
        <w:rPr>
          <w:rFonts w:hAnsi="宋体"/>
          <w:szCs w:val="21"/>
        </w:rPr>
        <w:t>给出的平均值范围内，这两个测试结果的绝对差值不超过重复性限（</w:t>
      </w:r>
      <w:r>
        <w:rPr>
          <w:i/>
          <w:szCs w:val="21"/>
        </w:rPr>
        <w:t>r</w:t>
      </w:r>
      <w:r>
        <w:rPr>
          <w:rFonts w:hAnsi="宋体"/>
          <w:szCs w:val="21"/>
        </w:rPr>
        <w:t>），超过重复性限（</w:t>
      </w:r>
      <w:r>
        <w:rPr>
          <w:i/>
          <w:szCs w:val="21"/>
        </w:rPr>
        <w:t>r</w:t>
      </w:r>
      <w:r>
        <w:rPr>
          <w:rFonts w:hAnsi="宋体"/>
          <w:szCs w:val="21"/>
        </w:rPr>
        <w:t>）的情况不超过</w:t>
      </w:r>
      <w:r>
        <w:rPr>
          <w:szCs w:val="21"/>
        </w:rPr>
        <w:t>5%</w:t>
      </w:r>
      <w:r>
        <w:rPr>
          <w:rFonts w:hAnsi="宋体"/>
          <w:szCs w:val="21"/>
        </w:rPr>
        <w:t>。重复性限（</w:t>
      </w:r>
      <w:r>
        <w:rPr>
          <w:i/>
          <w:szCs w:val="21"/>
        </w:rPr>
        <w:t>r</w:t>
      </w:r>
      <w:r>
        <w:rPr>
          <w:rFonts w:hAnsi="宋体"/>
          <w:szCs w:val="21"/>
        </w:rPr>
        <w:t>）按照表</w:t>
      </w:r>
      <w:r>
        <w:rPr>
          <w:szCs w:val="21"/>
        </w:rPr>
        <w:t>2</w:t>
      </w:r>
      <w:r>
        <w:rPr>
          <w:rFonts w:hAnsi="宋体"/>
          <w:szCs w:val="21"/>
        </w:rPr>
        <w:t>数据采用线性内插法和外延法求得。</w:t>
      </w:r>
      <w:r>
        <w:rPr>
          <w:rFonts w:hAnsi="宋体"/>
        </w:rPr>
        <w:t>从实验室间试验结果得到的统计数据见附录</w:t>
      </w:r>
      <w:r>
        <w:t>A</w:t>
      </w:r>
      <w:r>
        <w:rPr>
          <w:rFonts w:hAnsi="宋体"/>
        </w:rPr>
        <w:t>。</w:t>
      </w:r>
    </w:p>
    <w:p>
      <w:pPr>
        <w:tabs>
          <w:tab w:val="center" w:pos="5028"/>
          <w:tab w:val="right" w:pos="9637"/>
        </w:tabs>
        <w:adjustRightInd w:val="0"/>
        <w:snapToGrid w:val="0"/>
        <w:spacing w:beforeLines="50" w:afterLines="50"/>
        <w:jc w:val="center"/>
        <w:rPr>
          <w:rFonts w:ascii="黑体" w:hAnsi="黑体" w:eastAsia="黑体" w:cs="黑体"/>
          <w:bCs/>
          <w:szCs w:val="21"/>
        </w:rPr>
      </w:pPr>
      <w:r>
        <w:rPr>
          <w:rFonts w:hint="eastAsia" w:ascii="黑体" w:hAnsi="黑体" w:eastAsia="黑体" w:cs="黑体"/>
          <w:bCs/>
          <w:szCs w:val="21"/>
        </w:rPr>
        <w:t>表2  方法1重复性限（</w:t>
      </w:r>
      <w:r>
        <w:rPr>
          <w:rFonts w:hint="eastAsia" w:ascii="黑体" w:hAnsi="黑体" w:eastAsia="黑体" w:cs="黑体"/>
          <w:bCs/>
          <w:i/>
          <w:iCs/>
          <w:szCs w:val="21"/>
        </w:rPr>
        <w:t>r</w:t>
      </w:r>
      <w:r>
        <w:rPr>
          <w:rFonts w:hint="eastAsia" w:ascii="黑体" w:hAnsi="黑体" w:eastAsia="黑体" w:cs="黑体"/>
          <w:bCs/>
          <w:szCs w:val="21"/>
        </w:rPr>
        <w:t>）</w:t>
      </w:r>
    </w:p>
    <w:tbl>
      <w:tblPr>
        <w:tblStyle w:val="7"/>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5"/>
        <w:gridCol w:w="1315"/>
        <w:gridCol w:w="1315"/>
        <w:gridCol w:w="1315"/>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2.04</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7.73</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11.44</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15.02</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kern w:val="0"/>
                <w:sz w:val="18"/>
                <w:szCs w:val="18"/>
              </w:rPr>
              <w:t>r</w:t>
            </w:r>
            <w:r>
              <w:rPr>
                <w:kern w:val="0"/>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0.056</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0.076</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0.196</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0.118</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0.157</w:t>
            </w:r>
          </w:p>
        </w:tc>
      </w:tr>
    </w:tbl>
    <w:p>
      <w:pPr>
        <w:autoSpaceDE w:val="0"/>
        <w:autoSpaceDN w:val="0"/>
        <w:adjustRightInd w:val="0"/>
        <w:snapToGrid w:val="0"/>
        <w:spacing w:beforeLines="50" w:afterLines="50" w:line="360" w:lineRule="exact"/>
        <w:jc w:val="left"/>
        <w:rPr>
          <w:rFonts w:ascii="黑体" w:hAnsi="黑体" w:eastAsia="黑体" w:cs="黑体"/>
          <w:szCs w:val="21"/>
        </w:rPr>
      </w:pPr>
      <w:r>
        <w:rPr>
          <w:rFonts w:hint="eastAsia" w:ascii="黑体" w:hAnsi="黑体" w:eastAsia="黑体" w:cs="黑体"/>
          <w:szCs w:val="21"/>
        </w:rPr>
        <w:t>4.5.2 再现性</w:t>
      </w:r>
    </w:p>
    <w:p>
      <w:pPr>
        <w:adjustRightInd w:val="0"/>
        <w:snapToGrid w:val="0"/>
        <w:spacing w:line="360" w:lineRule="exact"/>
        <w:ind w:firstLine="420" w:firstLineChars="200"/>
        <w:rPr>
          <w:szCs w:val="21"/>
        </w:rPr>
      </w:pPr>
      <w:r>
        <w:rPr>
          <w:rFonts w:hAnsi="宋体"/>
          <w:szCs w:val="21"/>
        </w:rPr>
        <w:t>在再现性条件下获得的两次独立测试结果的测定值，在</w:t>
      </w:r>
      <w:r>
        <w:rPr>
          <w:rFonts w:hint="eastAsia" w:hAnsi="宋体"/>
          <w:szCs w:val="21"/>
        </w:rPr>
        <w:t>表3</w:t>
      </w:r>
      <w:r>
        <w:rPr>
          <w:rFonts w:hAnsi="宋体"/>
          <w:szCs w:val="21"/>
        </w:rPr>
        <w:t>给出的平均值范围内，这两个测试结果的绝对差值不超过再现性限（</w:t>
      </w:r>
      <w:r>
        <w:rPr>
          <w:i/>
          <w:szCs w:val="21"/>
        </w:rPr>
        <w:t>R</w:t>
      </w:r>
      <w:r>
        <w:rPr>
          <w:rFonts w:hAnsi="宋体"/>
          <w:szCs w:val="21"/>
        </w:rPr>
        <w:t>），超过再现性限（</w:t>
      </w:r>
      <w:r>
        <w:rPr>
          <w:i/>
          <w:szCs w:val="21"/>
        </w:rPr>
        <w:t>R</w:t>
      </w:r>
      <w:r>
        <w:rPr>
          <w:rFonts w:hAnsi="宋体"/>
          <w:szCs w:val="21"/>
        </w:rPr>
        <w:t>）的情况不超过</w:t>
      </w:r>
      <w:r>
        <w:rPr>
          <w:szCs w:val="21"/>
        </w:rPr>
        <w:t>5%</w:t>
      </w:r>
      <w:r>
        <w:rPr>
          <w:rFonts w:hAnsi="宋体"/>
          <w:szCs w:val="21"/>
        </w:rPr>
        <w:t>。再现性限（</w:t>
      </w:r>
      <w:r>
        <w:rPr>
          <w:i/>
          <w:szCs w:val="21"/>
        </w:rPr>
        <w:t>R</w:t>
      </w:r>
      <w:r>
        <w:rPr>
          <w:rFonts w:hAnsi="宋体"/>
          <w:szCs w:val="21"/>
        </w:rPr>
        <w:t>）按照表</w:t>
      </w:r>
      <w:r>
        <w:rPr>
          <w:szCs w:val="21"/>
        </w:rPr>
        <w:t>3</w:t>
      </w:r>
      <w:r>
        <w:rPr>
          <w:rFonts w:hAnsi="宋体"/>
          <w:szCs w:val="21"/>
        </w:rPr>
        <w:t>数据采用线性内插法和外延法求得。</w:t>
      </w:r>
    </w:p>
    <w:p>
      <w:pPr>
        <w:tabs>
          <w:tab w:val="center" w:pos="5028"/>
          <w:tab w:val="right" w:pos="9637"/>
        </w:tabs>
        <w:adjustRightInd w:val="0"/>
        <w:snapToGrid w:val="0"/>
        <w:spacing w:beforeLines="50" w:afterLines="50"/>
        <w:jc w:val="center"/>
        <w:rPr>
          <w:rFonts w:ascii="黑体" w:hAnsi="黑体" w:eastAsia="黑体" w:cs="黑体"/>
          <w:bCs/>
          <w:szCs w:val="21"/>
        </w:rPr>
      </w:pPr>
      <w:r>
        <w:rPr>
          <w:rFonts w:hint="eastAsia" w:ascii="黑体" w:hAnsi="黑体" w:eastAsia="黑体" w:cs="黑体"/>
          <w:bCs/>
          <w:szCs w:val="21"/>
        </w:rPr>
        <w:t>表3  方法1再现性限（</w:t>
      </w:r>
      <w:r>
        <w:rPr>
          <w:rFonts w:hint="eastAsia" w:ascii="黑体" w:hAnsi="黑体" w:eastAsia="黑体" w:cs="黑体"/>
          <w:bCs/>
          <w:i/>
          <w:iCs/>
          <w:szCs w:val="21"/>
        </w:rPr>
        <w:t>R</w:t>
      </w:r>
      <w:r>
        <w:rPr>
          <w:rFonts w:hint="eastAsia" w:ascii="黑体" w:hAnsi="黑体" w:eastAsia="黑体" w:cs="黑体"/>
          <w:bCs/>
          <w:szCs w:val="21"/>
        </w:rPr>
        <w:t>）</w:t>
      </w:r>
    </w:p>
    <w:tbl>
      <w:tblPr>
        <w:tblStyle w:val="7"/>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5"/>
        <w:gridCol w:w="1315"/>
        <w:gridCol w:w="1315"/>
        <w:gridCol w:w="1315"/>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2.04</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7.73</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11.44</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15.02</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sz w:val="18"/>
                <w:szCs w:val="18"/>
              </w:rPr>
              <w:t>R</w:t>
            </w:r>
            <w:r>
              <w:rPr>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0.073</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0.241</w:t>
            </w:r>
            <w:bookmarkStart w:id="11" w:name="_GoBack"/>
            <w:bookmarkEnd w:id="11"/>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0.210</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0.238</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0.353</w:t>
            </w:r>
          </w:p>
        </w:tc>
      </w:tr>
    </w:tbl>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 方法2</w:t>
      </w:r>
      <w:r>
        <w:rPr>
          <w:rFonts w:hint="eastAsia" w:ascii="黑体" w:eastAsia="黑体"/>
          <w:szCs w:val="21"/>
        </w:rPr>
        <w:t>溴酸钾自动电位滴定法</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5.1 原理</w:t>
      </w:r>
    </w:p>
    <w:p>
      <w:pPr>
        <w:spacing w:line="276" w:lineRule="auto"/>
        <w:ind w:firstLine="420"/>
        <w:rPr>
          <w:rFonts w:ascii="宋体" w:hAnsi="宋体"/>
        </w:rPr>
      </w:pPr>
      <w:r>
        <w:rPr>
          <w:rFonts w:hint="eastAsia" w:ascii="宋体" w:hAnsi="宋体"/>
        </w:rPr>
        <w:t>试料在预先</w:t>
      </w:r>
      <w:r>
        <w:rPr>
          <w:rFonts w:ascii="宋体" w:hAnsi="宋体"/>
        </w:rPr>
        <w:t>用</w:t>
      </w:r>
      <w:r>
        <w:rPr>
          <w:rFonts w:hint="eastAsia" w:hAnsi="宋体"/>
          <w:bCs/>
          <w:szCs w:val="21"/>
        </w:rPr>
        <w:t>硫酸氢钾、</w:t>
      </w:r>
      <w:r>
        <w:rPr>
          <w:rFonts w:hint="eastAsia" w:ascii="宋体" w:hAnsi="宋体"/>
        </w:rPr>
        <w:t>硫酸溶解，用</w:t>
      </w:r>
      <w:r>
        <w:rPr>
          <w:rFonts w:hint="eastAsia" w:hAnsi="宋体"/>
          <w:bCs/>
          <w:szCs w:val="21"/>
        </w:rPr>
        <w:t>硫酸肼还原五价锑为三价锑</w:t>
      </w:r>
      <w:r>
        <w:rPr>
          <w:rFonts w:hint="eastAsia" w:ascii="宋体" w:hAnsi="宋体"/>
        </w:rPr>
        <w:t>，于电位滴定仪上，用</w:t>
      </w:r>
      <w:r>
        <w:rPr>
          <w:rFonts w:hint="eastAsia" w:hAnsi="宋体"/>
          <w:szCs w:val="21"/>
        </w:rPr>
        <w:t>溴酸钾-溴化钾标准滴定溶液</w:t>
      </w:r>
      <w:r>
        <w:rPr>
          <w:rFonts w:hint="eastAsia" w:ascii="宋体" w:hAnsi="宋体"/>
        </w:rPr>
        <w:t>进行电位滴定。</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5.2 试剂</w:t>
      </w:r>
    </w:p>
    <w:p>
      <w:pPr>
        <w:spacing w:line="360" w:lineRule="exact"/>
        <w:ind w:firstLine="420" w:firstLineChars="200"/>
      </w:pPr>
      <w:r>
        <w:rPr>
          <w:rFonts w:hAnsi="宋体"/>
        </w:rPr>
        <w:t>除非另有说明，在分析中仅使用确认为分析纯的试剂和蒸馏水或去离子水或相当纯度的水。</w:t>
      </w:r>
    </w:p>
    <w:p>
      <w:pPr>
        <w:spacing w:line="276" w:lineRule="auto"/>
        <w:rPr>
          <w:szCs w:val="21"/>
        </w:rPr>
      </w:pPr>
      <w:r>
        <w:rPr>
          <w:rFonts w:hint="eastAsia" w:ascii="黑体" w:hAnsi="黑体" w:eastAsia="黑体" w:cs="黑体"/>
          <w:szCs w:val="21"/>
        </w:rPr>
        <w:t>5.2.1</w:t>
      </w:r>
      <w:r>
        <w:rPr>
          <w:rFonts w:hint="eastAsia"/>
          <w:szCs w:val="21"/>
        </w:rPr>
        <w:t xml:space="preserve"> 硫酸氢钾。</w:t>
      </w:r>
    </w:p>
    <w:p>
      <w:pPr>
        <w:spacing w:line="276" w:lineRule="auto"/>
        <w:rPr>
          <w:szCs w:val="21"/>
        </w:rPr>
      </w:pPr>
      <w:r>
        <w:rPr>
          <w:rFonts w:hint="eastAsia" w:ascii="黑体" w:hAnsi="黑体" w:eastAsia="黑体" w:cs="黑体"/>
          <w:szCs w:val="21"/>
        </w:rPr>
        <w:t xml:space="preserve">5.2.2 </w:t>
      </w:r>
      <w:r>
        <w:rPr>
          <w:rFonts w:hint="eastAsia"/>
          <w:szCs w:val="21"/>
        </w:rPr>
        <w:t>硫酸肼。</w:t>
      </w:r>
    </w:p>
    <w:p>
      <w:pPr>
        <w:spacing w:line="276" w:lineRule="auto"/>
        <w:rPr>
          <w:rFonts w:hAnsi="宋体"/>
          <w:szCs w:val="21"/>
        </w:rPr>
      </w:pPr>
      <w:r>
        <w:rPr>
          <w:rFonts w:hint="eastAsia" w:ascii="黑体" w:hAnsi="黑体" w:eastAsia="黑体" w:cs="黑体"/>
          <w:szCs w:val="21"/>
        </w:rPr>
        <w:t xml:space="preserve">5.2.3 </w:t>
      </w:r>
      <w:r>
        <w:rPr>
          <w:rFonts w:hAnsi="宋体"/>
          <w:szCs w:val="21"/>
        </w:rPr>
        <w:t>盐酸（</w:t>
      </w:r>
      <w:r>
        <w:rPr>
          <w:i/>
          <w:iCs/>
          <w:szCs w:val="21"/>
        </w:rPr>
        <w:t>ρ</w:t>
      </w:r>
      <w:r>
        <w:rPr>
          <w:rFonts w:hint="eastAsia"/>
          <w:szCs w:val="21"/>
        </w:rPr>
        <w:t>=</w:t>
      </w:r>
      <w:r>
        <w:rPr>
          <w:szCs w:val="21"/>
        </w:rPr>
        <w:t>1.19</w:t>
      </w:r>
      <w:r>
        <w:rPr>
          <w:rFonts w:hint="eastAsia"/>
          <w:szCs w:val="21"/>
        </w:rPr>
        <w:t xml:space="preserve"> </w:t>
      </w:r>
      <w:r>
        <w:rPr>
          <w:szCs w:val="21"/>
        </w:rPr>
        <w:t>g/mL</w:t>
      </w:r>
      <w:r>
        <w:rPr>
          <w:rFonts w:hAnsi="宋体"/>
          <w:szCs w:val="21"/>
        </w:rPr>
        <w:t>）。</w:t>
      </w:r>
    </w:p>
    <w:p>
      <w:pPr>
        <w:spacing w:line="276" w:lineRule="auto"/>
        <w:rPr>
          <w:szCs w:val="21"/>
        </w:rPr>
      </w:pPr>
      <w:r>
        <w:rPr>
          <w:rFonts w:hint="eastAsia" w:ascii="黑体" w:hAnsi="黑体" w:eastAsia="黑体" w:cs="黑体"/>
          <w:szCs w:val="21"/>
        </w:rPr>
        <w:t xml:space="preserve">5.2.4 </w:t>
      </w:r>
      <w:r>
        <w:rPr>
          <w:rFonts w:hAnsi="宋体"/>
          <w:szCs w:val="21"/>
        </w:rPr>
        <w:t>硫酸（</w:t>
      </w:r>
      <w:r>
        <w:rPr>
          <w:i/>
          <w:iCs/>
          <w:szCs w:val="21"/>
        </w:rPr>
        <w:t>ρ</w:t>
      </w:r>
      <w:r>
        <w:rPr>
          <w:rFonts w:hint="eastAsia"/>
          <w:szCs w:val="21"/>
        </w:rPr>
        <w:t>=</w:t>
      </w:r>
      <w:r>
        <w:rPr>
          <w:szCs w:val="21"/>
        </w:rPr>
        <w:t>1.84</w:t>
      </w:r>
      <w:r>
        <w:rPr>
          <w:rFonts w:hint="eastAsia"/>
          <w:szCs w:val="21"/>
        </w:rPr>
        <w:t xml:space="preserve"> </w:t>
      </w:r>
      <w:r>
        <w:rPr>
          <w:szCs w:val="21"/>
        </w:rPr>
        <w:t>g/mL</w:t>
      </w:r>
      <w:r>
        <w:rPr>
          <w:rFonts w:hAnsi="宋体"/>
          <w:szCs w:val="21"/>
        </w:rPr>
        <w:t>）。</w:t>
      </w:r>
    </w:p>
    <w:p>
      <w:pPr>
        <w:spacing w:line="276" w:lineRule="auto"/>
        <w:rPr>
          <w:rFonts w:hAnsi="宋体"/>
          <w:szCs w:val="21"/>
        </w:rPr>
      </w:pPr>
      <w:r>
        <w:rPr>
          <w:rFonts w:hint="eastAsia" w:ascii="黑体" w:hAnsi="黑体" w:eastAsia="黑体" w:cs="黑体"/>
          <w:szCs w:val="21"/>
        </w:rPr>
        <w:t xml:space="preserve">5.2.5 </w:t>
      </w:r>
      <w:r>
        <w:rPr>
          <w:rFonts w:hint="eastAsia" w:hAnsi="宋体"/>
          <w:szCs w:val="21"/>
        </w:rPr>
        <w:t>锑</w:t>
      </w:r>
      <w:r>
        <w:rPr>
          <w:rFonts w:hAnsi="宋体"/>
          <w:szCs w:val="21"/>
        </w:rPr>
        <w:t>标准溶液：</w:t>
      </w:r>
      <w:r>
        <w:rPr>
          <w:rFonts w:hint="eastAsia" w:hAnsi="宋体"/>
          <w:szCs w:val="21"/>
        </w:rPr>
        <w:t>称取1.000 0 g金属锑(</w:t>
      </w:r>
      <w:r>
        <w:rPr>
          <w:rFonts w:hint="eastAsia" w:hAnsi="宋体"/>
          <w:i/>
          <w:iCs/>
          <w:szCs w:val="21"/>
        </w:rPr>
        <w:t>w</w:t>
      </w:r>
      <w:r>
        <w:rPr>
          <w:rFonts w:hint="eastAsia" w:hAnsi="宋体"/>
          <w:szCs w:val="21"/>
          <w:vertAlign w:val="subscript"/>
        </w:rPr>
        <w:t>Sb</w:t>
      </w:r>
      <w:r>
        <w:rPr>
          <w:rFonts w:hint="eastAsia" w:hAnsi="宋体"/>
          <w:szCs w:val="21"/>
        </w:rPr>
        <w:t>≥99.99%)或1.197 1 g在105℃下干燥2 h的三氧化二锑(</w:t>
      </w:r>
      <m:oMath>
        <m:sSub>
          <m:sSubPr>
            <m:ctrlPr>
              <w:rPr>
                <w:rFonts w:hint="eastAsia" w:ascii="Cambria Math" w:hAnsi="Cambria Math" w:cs="Times New Roman"/>
                <w:kern w:val="2"/>
                <w:sz w:val="21"/>
                <w:szCs w:val="21"/>
                <w:lang w:val="en-US" w:eastAsia="zh-CN" w:bidi="ar-SA"/>
              </w:rPr>
            </m:ctrlPr>
          </m:sSubPr>
          <m:e>
            <m:r>
              <m:rPr/>
              <w:rPr>
                <w:rFonts w:hint="default" w:ascii="Cambria Math" w:hAnsi="Cambria Math" w:cs="Times New Roman"/>
                <w:kern w:val="2"/>
                <w:sz w:val="21"/>
                <w:szCs w:val="21"/>
                <w:lang w:val="en-US" w:eastAsia="zh-CN" w:bidi="ar-SA"/>
              </w:rPr>
              <m:t>w</m:t>
            </m:r>
            <m:ctrlPr>
              <w:rPr>
                <w:rFonts w:hint="eastAsia" w:ascii="Cambria Math" w:hAnsi="Cambria Math" w:cs="Times New Roman"/>
                <w:kern w:val="2"/>
                <w:sz w:val="21"/>
                <w:szCs w:val="21"/>
                <w:lang w:val="en-US" w:eastAsia="zh-CN" w:bidi="ar-SA"/>
              </w:rPr>
            </m:ctrlPr>
          </m:e>
          <m:sub>
            <m:sSub>
              <m:sSubPr>
                <m:ctrlPr>
                  <w:rPr>
                    <w:rFonts w:hint="eastAsia" w:ascii="Cambria Math" w:hAnsi="Cambria Math" w:cs="Times New Roman"/>
                    <w:kern w:val="2"/>
                    <w:sz w:val="21"/>
                    <w:szCs w:val="21"/>
                    <w:lang w:val="en-US" w:eastAsia="zh-CN" w:bidi="ar-SA"/>
                  </w:rPr>
                </m:ctrlPr>
              </m:sSubPr>
              <m:e>
                <m:sSub>
                  <m:sSubPr>
                    <m:ctrlPr>
                      <w:rPr>
                        <w:rFonts w:hint="eastAsia" w:ascii="Cambria Math" w:hAnsi="Cambria Math" w:cs="Times New Roman"/>
                        <w:kern w:val="2"/>
                        <w:sz w:val="21"/>
                        <w:szCs w:val="21"/>
                        <w:lang w:val="en-US" w:eastAsia="zh-CN" w:bidi="ar-SA"/>
                      </w:rPr>
                    </m:ctrlPr>
                  </m:sSubPr>
                  <m:e>
                    <m:r>
                      <m:rPr>
                        <m:sty m:val="p"/>
                      </m:rPr>
                      <w:rPr>
                        <w:rFonts w:hint="eastAsia" w:ascii="Cambria Math" w:hAnsi="Cambria Math" w:cs="Times New Roman"/>
                        <w:kern w:val="2"/>
                        <w:sz w:val="21"/>
                        <w:szCs w:val="21"/>
                        <w:lang w:val="en-US" w:eastAsia="zh-CN" w:bidi="ar-SA"/>
                      </w:rPr>
                      <m:t>Sb</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2</m:t>
                    </m:r>
                    <m:ctrlPr>
                      <w:rPr>
                        <w:rFonts w:hint="eastAsia" w:ascii="Cambria Math" w:hAnsi="Cambria Math" w:cs="Times New Roman"/>
                        <w:kern w:val="2"/>
                        <w:sz w:val="21"/>
                        <w:szCs w:val="21"/>
                        <w:lang w:val="en-US" w:eastAsia="zh-CN" w:bidi="ar-SA"/>
                      </w:rPr>
                    </m:ctrlPr>
                  </m:sub>
                </m:sSub>
                <m:r>
                  <m:rPr>
                    <m:sty m:val="p"/>
                  </m:rPr>
                  <w:rPr>
                    <w:rFonts w:hint="default" w:ascii="Cambria Math" w:hAnsi="Cambria Math" w:cs="Times New Roman"/>
                    <w:kern w:val="2"/>
                    <w:sz w:val="21"/>
                    <w:szCs w:val="21"/>
                    <w:lang w:val="en-US" w:eastAsia="zh-CN" w:bidi="ar-SA"/>
                  </w:rPr>
                  <m:t>O</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3</m:t>
                </m:r>
                <m:ctrlPr>
                  <w:rPr>
                    <w:rFonts w:hint="eastAsia" w:ascii="Cambria Math" w:hAnsi="Cambria Math" w:cs="Times New Roman"/>
                    <w:kern w:val="2"/>
                    <w:sz w:val="21"/>
                    <w:szCs w:val="21"/>
                    <w:lang w:val="en-US" w:eastAsia="zh-CN" w:bidi="ar-SA"/>
                  </w:rPr>
                </m:ctrlPr>
              </m:sub>
            </m:sSub>
            <m:ctrlPr>
              <w:rPr>
                <w:rFonts w:hint="eastAsia" w:ascii="Cambria Math" w:hAnsi="Cambria Math" w:cs="Times New Roman"/>
                <w:kern w:val="2"/>
                <w:sz w:val="21"/>
                <w:szCs w:val="21"/>
                <w:lang w:val="en-US" w:eastAsia="zh-CN" w:bidi="ar-SA"/>
              </w:rPr>
            </m:ctrlPr>
          </m:sub>
        </m:sSub>
      </m:oMath>
      <w:r>
        <w:rPr>
          <w:rFonts w:hAnsi="宋体"/>
          <w:szCs w:val="21"/>
        </w:rPr>
        <w:fldChar w:fldCharType="begin"/>
      </w:r>
      <w:r>
        <w:rPr>
          <w:rFonts w:hAnsi="宋体"/>
          <w:szCs w:val="21"/>
        </w:rPr>
        <w:instrText xml:space="preserve"> QUOTE </w:instrText>
      </w:r>
      <w:r>
        <w:rPr>
          <w:position w:val="-9"/>
        </w:rPr>
        <w:pict>
          <v:shape id="_x0000_i1027" o:spt="75" type="#_x0000_t75" style="height:15.6pt;width:29.9pt;" filled="f" o:preferrelative="t" stroked="f" coordsize="21600,21600" equationxml="&lt;">
            <v:path/>
            <v:fill on="f" focussize="0,0"/>
            <v:stroke on="f" joinstyle="miter"/>
            <v:imagedata r:id="rId16" chromakey="#FFFFFF" o:title=""/>
            <o:lock v:ext="edit" aspectratio="t"/>
            <w10:wrap type="none"/>
            <w10:anchorlock/>
          </v:shape>
        </w:pict>
      </w:r>
      <w:r>
        <w:rPr>
          <w:rFonts w:hAnsi="宋体"/>
          <w:szCs w:val="21"/>
        </w:rPr>
        <w:fldChar w:fldCharType="separate"/>
      </w:r>
      <w:r>
        <w:rPr>
          <w:rFonts w:hAnsi="宋体"/>
          <w:szCs w:val="21"/>
        </w:rPr>
        <w:fldChar w:fldCharType="end"/>
      </w:r>
      <w:r>
        <w:rPr>
          <w:rFonts w:hint="eastAsia" w:hAnsi="宋体"/>
          <w:szCs w:val="21"/>
        </w:rPr>
        <w:t>≥99.99%</w:t>
      </w:r>
      <w:r>
        <w:rPr>
          <w:rFonts w:hint="eastAsia"/>
          <w:szCs w:val="21"/>
        </w:rPr>
        <w:t>或光谱纯</w:t>
      </w:r>
      <w:r>
        <w:rPr>
          <w:rFonts w:hint="eastAsia" w:hAnsi="宋体"/>
          <w:szCs w:val="21"/>
        </w:rPr>
        <w:t xml:space="preserve">)置于300 mL烧杯中，加入50 mL </w:t>
      </w:r>
      <w:r>
        <w:rPr>
          <w:rFonts w:hint="eastAsia"/>
          <w:szCs w:val="21"/>
        </w:rPr>
        <w:t>硫酸</w:t>
      </w:r>
      <w:r>
        <w:rPr>
          <w:rFonts w:hint="eastAsia" w:hAnsi="宋体"/>
          <w:bCs/>
          <w:szCs w:val="21"/>
        </w:rPr>
        <w:t>（5.2.4）</w:t>
      </w:r>
      <w:r>
        <w:rPr>
          <w:rFonts w:hint="eastAsia" w:hAnsi="宋体"/>
          <w:szCs w:val="21"/>
        </w:rPr>
        <w:t>及</w:t>
      </w:r>
      <w:r>
        <w:rPr>
          <w:rFonts w:hint="eastAsia" w:hAnsi="宋体"/>
          <w:bCs/>
          <w:szCs w:val="21"/>
        </w:rPr>
        <w:t>2 g 硫酸氢钾（5.2.1）</w:t>
      </w:r>
      <w:r>
        <w:rPr>
          <w:rFonts w:hint="eastAsia" w:hAnsi="宋体"/>
          <w:szCs w:val="21"/>
        </w:rPr>
        <w:t xml:space="preserve">，加热至溶解完全，冷却，加入80 mL </w:t>
      </w:r>
      <w:r>
        <w:rPr>
          <w:rFonts w:hint="eastAsia"/>
          <w:szCs w:val="21"/>
        </w:rPr>
        <w:t>硫酸</w:t>
      </w:r>
      <w:r>
        <w:rPr>
          <w:rFonts w:hint="eastAsia" w:hAnsi="宋体"/>
          <w:szCs w:val="21"/>
        </w:rPr>
        <w:t>(1＋2)，摇匀，微热溶解盐类，冷却，移入1000 mL容量瓶中，用</w:t>
      </w:r>
      <w:r>
        <w:rPr>
          <w:rFonts w:hint="eastAsia"/>
          <w:szCs w:val="21"/>
        </w:rPr>
        <w:t>硫酸</w:t>
      </w:r>
      <w:r>
        <w:rPr>
          <w:rFonts w:hint="eastAsia" w:hAnsi="宋体"/>
          <w:szCs w:val="21"/>
        </w:rPr>
        <w:t>(1＋2)稀释至刻度，混匀。此溶液1 mL含1 mg 锑。</w:t>
      </w:r>
    </w:p>
    <w:p>
      <w:pPr>
        <w:spacing w:line="276" w:lineRule="auto"/>
        <w:rPr>
          <w:rFonts w:hAnsi="宋体"/>
          <w:szCs w:val="21"/>
        </w:rPr>
      </w:pPr>
      <w:r>
        <w:rPr>
          <w:rFonts w:hint="eastAsia" w:ascii="黑体" w:hAnsi="黑体" w:eastAsia="黑体" w:cs="黑体"/>
          <w:szCs w:val="21"/>
        </w:rPr>
        <w:t>5.2.6</w:t>
      </w:r>
      <w:r>
        <w:rPr>
          <w:rFonts w:hint="eastAsia" w:hAnsi="宋体"/>
          <w:szCs w:val="21"/>
        </w:rPr>
        <w:t xml:space="preserve"> 溴酸钾（KBrO</w:t>
      </w:r>
      <w:r>
        <w:rPr>
          <w:rFonts w:hint="eastAsia" w:hAnsi="宋体"/>
          <w:szCs w:val="21"/>
          <w:vertAlign w:val="subscript"/>
        </w:rPr>
        <w:t>3</w:t>
      </w:r>
      <w:r>
        <w:rPr>
          <w:rFonts w:hint="eastAsia" w:hAnsi="宋体"/>
          <w:szCs w:val="21"/>
        </w:rPr>
        <w:t>）-溴化钾（KBr）标准滴定溶液[</w:t>
      </w:r>
      <m:oMath>
        <m:sSub>
          <m:sSubPr>
            <m:ctrlPr>
              <w:rPr>
                <w:rFonts w:hint="eastAsia" w:ascii="Cambria Math" w:hAnsi="Cambria Math" w:cs="Times New Roman"/>
                <w:kern w:val="2"/>
                <w:sz w:val="21"/>
                <w:szCs w:val="21"/>
                <w:lang w:val="en-US" w:eastAsia="zh-CN" w:bidi="ar-SA"/>
              </w:rPr>
            </m:ctrlPr>
          </m:sSubPr>
          <m:e>
            <m:r>
              <m:rPr/>
              <w:rPr>
                <w:rFonts w:hint="default" w:ascii="Cambria Math" w:hAnsi="Cambria Math" w:cs="Times New Roman"/>
                <w:kern w:val="2"/>
                <w:sz w:val="21"/>
                <w:szCs w:val="21"/>
                <w:lang w:val="en-US" w:eastAsia="zh-CN" w:bidi="ar-SA"/>
              </w:rPr>
              <m:t>c</m:t>
            </m:r>
            <m:ctrlPr>
              <w:rPr>
                <w:rFonts w:hint="eastAsia" w:ascii="Cambria Math" w:hAnsi="Cambria Math" w:cs="Times New Roman"/>
                <w:kern w:val="2"/>
                <w:sz w:val="21"/>
                <w:szCs w:val="21"/>
                <w:lang w:val="en-US" w:eastAsia="zh-CN" w:bidi="ar-SA"/>
              </w:rPr>
            </m:ctrlPr>
          </m:e>
          <m:sub>
            <m:sSub>
              <m:sSubPr>
                <m:ctrlPr>
                  <w:rPr>
                    <w:rFonts w:hint="eastAsia" w:ascii="Cambria Math" w:hAnsi="Cambria Math" w:cs="Times New Roman"/>
                    <w:kern w:val="2"/>
                    <w:sz w:val="21"/>
                    <w:szCs w:val="21"/>
                    <w:lang w:val="en-US" w:eastAsia="zh-CN" w:bidi="ar-SA"/>
                  </w:rPr>
                </m:ctrlPr>
              </m:sSubPr>
              <m:e>
                <m:r>
                  <m:rPr>
                    <m:sty m:val="p"/>
                  </m:rPr>
                  <w:rPr>
                    <w:rFonts w:hint="default" w:ascii="Cambria Math" w:hAnsi="Cambria Math" w:cs="Times New Roman"/>
                    <w:kern w:val="2"/>
                    <w:sz w:val="21"/>
                    <w:szCs w:val="21"/>
                    <w:lang w:val="en-US" w:eastAsia="zh-CN" w:bidi="ar-SA"/>
                  </w:rPr>
                  <m:t>1/6KBrO</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3</m:t>
                </m:r>
                <m:ctrlPr>
                  <w:rPr>
                    <w:rFonts w:hint="eastAsia" w:ascii="Cambria Math" w:hAnsi="Cambria Math" w:cs="Times New Roman"/>
                    <w:kern w:val="2"/>
                    <w:sz w:val="21"/>
                    <w:szCs w:val="21"/>
                    <w:lang w:val="en-US" w:eastAsia="zh-CN" w:bidi="ar-SA"/>
                  </w:rPr>
                </m:ctrlPr>
              </m:sub>
            </m:sSub>
            <m:ctrlPr>
              <w:rPr>
                <w:rFonts w:hint="eastAsia" w:ascii="Cambria Math" w:hAnsi="Cambria Math" w:cs="Times New Roman"/>
                <w:kern w:val="2"/>
                <w:sz w:val="21"/>
                <w:szCs w:val="21"/>
                <w:lang w:val="en-US" w:eastAsia="zh-CN" w:bidi="ar-SA"/>
              </w:rPr>
            </m:ctrlPr>
          </m:sub>
        </m:sSub>
      </m:oMath>
      <w:r>
        <w:rPr>
          <w:rFonts w:hint="eastAsia" w:hAnsi="宋体"/>
          <w:szCs w:val="21"/>
        </w:rPr>
        <w:t xml:space="preserve"> </w:t>
      </w:r>
      <w:r>
        <w:rPr>
          <w:rFonts w:ascii="Arial" w:hAnsi="Arial" w:cs="Arial"/>
          <w:szCs w:val="21"/>
        </w:rPr>
        <w:t>≈</w:t>
      </w:r>
      <w:r>
        <w:rPr>
          <w:rFonts w:hint="eastAsia" w:hAnsi="宋体"/>
          <w:szCs w:val="21"/>
        </w:rPr>
        <w:t>0.025 mol/L]，按照如下步骤配制和标定：</w:t>
      </w:r>
    </w:p>
    <w:p>
      <w:pPr>
        <w:spacing w:line="276" w:lineRule="auto"/>
        <w:ind w:left="420" w:leftChars="200" w:firstLine="0" w:firstLineChars="0"/>
        <w:rPr>
          <w:rFonts w:hint="eastAsia" w:hAnsi="宋体"/>
          <w:szCs w:val="21"/>
        </w:rPr>
      </w:pPr>
      <w:r>
        <w:rPr>
          <w:rFonts w:hint="eastAsia" w:hAnsi="宋体"/>
          <w:szCs w:val="21"/>
        </w:rPr>
        <w:t>a) 称取7.0 g 溴酸钾和10 g</w:t>
      </w:r>
      <w:r>
        <w:rPr>
          <w:rFonts w:hint="eastAsia" w:ascii="宋体" w:hAnsi="宋体"/>
          <w:szCs w:val="21"/>
        </w:rPr>
        <w:t>～</w:t>
      </w:r>
      <w:r>
        <w:rPr>
          <w:rFonts w:hint="eastAsia" w:hAnsi="宋体"/>
          <w:szCs w:val="21"/>
        </w:rPr>
        <w:t>15 g 溴化钾，用少量水溶解并稀释至10 L，混匀。移入琥珀色玻</w:t>
      </w:r>
    </w:p>
    <w:p>
      <w:pPr>
        <w:spacing w:line="276" w:lineRule="auto"/>
        <w:ind w:firstLine="630" w:firstLineChars="300"/>
        <w:rPr>
          <w:rFonts w:hAnsi="宋体"/>
          <w:szCs w:val="21"/>
        </w:rPr>
      </w:pPr>
      <w:r>
        <w:rPr>
          <w:rFonts w:hint="eastAsia" w:hAnsi="宋体"/>
          <w:szCs w:val="21"/>
        </w:rPr>
        <w:t>璃试剂瓶中，静置一周，待自动电位标定。</w:t>
      </w:r>
    </w:p>
    <w:p>
      <w:pPr>
        <w:spacing w:line="276" w:lineRule="auto"/>
        <w:ind w:left="630" w:leftChars="200" w:hanging="210" w:hangingChars="100"/>
        <w:jc w:val="left"/>
        <w:rPr>
          <w:bCs/>
          <w:szCs w:val="21"/>
        </w:rPr>
      </w:pPr>
      <w:r>
        <w:rPr>
          <w:rFonts w:hint="eastAsia" w:ascii="黑体" w:hAnsi="黑体" w:eastAsia="黑体" w:cs="黑体"/>
          <w:szCs w:val="21"/>
        </w:rPr>
        <w:t>b）</w:t>
      </w:r>
      <w:r>
        <w:rPr>
          <w:rFonts w:hint="eastAsia" w:hAnsi="宋体"/>
          <w:szCs w:val="21"/>
        </w:rPr>
        <w:t>标定：移取25.00 mg锑标准溶液（5.2.5）4份或称取0.030 0 g三氧化二锑（</w:t>
      </w:r>
      <m:oMath>
        <m:sSub>
          <m:sSubPr>
            <m:ctrlPr>
              <w:rPr>
                <w:rFonts w:hint="eastAsia" w:ascii="Cambria Math" w:hAnsi="Cambria Math" w:cs="Times New Roman"/>
                <w:kern w:val="2"/>
                <w:sz w:val="21"/>
                <w:szCs w:val="21"/>
                <w:lang w:val="en-US" w:eastAsia="zh-CN" w:bidi="ar-SA"/>
              </w:rPr>
            </m:ctrlPr>
          </m:sSubPr>
          <m:e>
            <m:r>
              <m:rPr/>
              <w:rPr>
                <w:rFonts w:hint="default" w:ascii="Cambria Math" w:hAnsi="Cambria Math" w:cs="Times New Roman"/>
                <w:kern w:val="2"/>
                <w:sz w:val="21"/>
                <w:szCs w:val="21"/>
                <w:lang w:val="en-US" w:eastAsia="zh-CN" w:bidi="ar-SA"/>
              </w:rPr>
              <m:t>w</m:t>
            </m:r>
            <m:ctrlPr>
              <w:rPr>
                <w:rFonts w:hint="eastAsia" w:ascii="Cambria Math" w:hAnsi="Cambria Math" w:cs="Times New Roman"/>
                <w:kern w:val="2"/>
                <w:sz w:val="21"/>
                <w:szCs w:val="21"/>
                <w:lang w:val="en-US" w:eastAsia="zh-CN" w:bidi="ar-SA"/>
              </w:rPr>
            </m:ctrlPr>
          </m:e>
          <m:sub>
            <m:sSub>
              <m:sSubPr>
                <m:ctrlPr>
                  <w:rPr>
                    <w:rFonts w:hint="eastAsia" w:ascii="Cambria Math" w:hAnsi="Cambria Math" w:cs="Times New Roman"/>
                    <w:kern w:val="2"/>
                    <w:sz w:val="21"/>
                    <w:szCs w:val="21"/>
                    <w:lang w:val="en-US" w:eastAsia="zh-CN" w:bidi="ar-SA"/>
                  </w:rPr>
                </m:ctrlPr>
              </m:sSubPr>
              <m:e>
                <m:sSub>
                  <m:sSubPr>
                    <m:ctrlPr>
                      <w:rPr>
                        <w:rFonts w:hint="eastAsia" w:ascii="Cambria Math" w:hAnsi="Cambria Math" w:cs="Times New Roman"/>
                        <w:kern w:val="2"/>
                        <w:sz w:val="21"/>
                        <w:szCs w:val="21"/>
                        <w:lang w:val="en-US" w:eastAsia="zh-CN" w:bidi="ar-SA"/>
                      </w:rPr>
                    </m:ctrlPr>
                  </m:sSubPr>
                  <m:e>
                    <m:r>
                      <m:rPr>
                        <m:sty m:val="p"/>
                      </m:rPr>
                      <w:rPr>
                        <w:rFonts w:hint="eastAsia" w:ascii="Cambria Math" w:hAnsi="Cambria Math" w:cs="Times New Roman"/>
                        <w:kern w:val="2"/>
                        <w:sz w:val="21"/>
                        <w:szCs w:val="21"/>
                        <w:lang w:val="en-US" w:eastAsia="zh-CN" w:bidi="ar-SA"/>
                      </w:rPr>
                      <m:t>Sb</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2</m:t>
                    </m:r>
                    <m:ctrlPr>
                      <w:rPr>
                        <w:rFonts w:hint="eastAsia" w:ascii="Cambria Math" w:hAnsi="Cambria Math" w:cs="Times New Roman"/>
                        <w:kern w:val="2"/>
                        <w:sz w:val="21"/>
                        <w:szCs w:val="21"/>
                        <w:lang w:val="en-US" w:eastAsia="zh-CN" w:bidi="ar-SA"/>
                      </w:rPr>
                    </m:ctrlPr>
                  </m:sub>
                </m:sSub>
                <m:r>
                  <m:rPr>
                    <m:sty m:val="p"/>
                  </m:rPr>
                  <w:rPr>
                    <w:rFonts w:hint="default" w:ascii="Cambria Math" w:hAnsi="Cambria Math" w:cs="Times New Roman"/>
                    <w:kern w:val="2"/>
                    <w:sz w:val="21"/>
                    <w:szCs w:val="21"/>
                    <w:lang w:val="en-US" w:eastAsia="zh-CN" w:bidi="ar-SA"/>
                  </w:rPr>
                  <m:t>O</m:t>
                </m:r>
                <m:ctrlPr>
                  <w:rPr>
                    <w:rFonts w:hint="eastAsia" w:ascii="Cambria Math" w:hAnsi="Cambria Math" w:cs="Times New Roman"/>
                    <w:kern w:val="2"/>
                    <w:sz w:val="21"/>
                    <w:szCs w:val="21"/>
                    <w:lang w:val="en-US" w:eastAsia="zh-CN" w:bidi="ar-SA"/>
                  </w:rPr>
                </m:ctrlPr>
              </m:e>
              <m:sub>
                <m:r>
                  <m:rPr>
                    <m:sty m:val="p"/>
                  </m:rPr>
                  <w:rPr>
                    <w:rFonts w:hint="default" w:ascii="Cambria Math" w:hAnsi="Cambria Math" w:cs="Times New Roman"/>
                    <w:kern w:val="2"/>
                    <w:sz w:val="21"/>
                    <w:szCs w:val="21"/>
                    <w:lang w:val="en-US" w:eastAsia="zh-CN" w:bidi="ar-SA"/>
                  </w:rPr>
                  <m:t>3</m:t>
                </m:r>
                <m:ctrlPr>
                  <w:rPr>
                    <w:rFonts w:hint="eastAsia" w:ascii="Cambria Math" w:hAnsi="Cambria Math" w:cs="Times New Roman"/>
                    <w:kern w:val="2"/>
                    <w:sz w:val="21"/>
                    <w:szCs w:val="21"/>
                    <w:lang w:val="en-US" w:eastAsia="zh-CN" w:bidi="ar-SA"/>
                  </w:rPr>
                </m:ctrlPr>
              </m:sub>
            </m:sSub>
            <m:ctrlPr>
              <w:rPr>
                <w:rFonts w:hint="eastAsia" w:ascii="Cambria Math" w:hAnsi="Cambria Math" w:cs="Times New Roman"/>
                <w:kern w:val="2"/>
                <w:sz w:val="21"/>
                <w:szCs w:val="21"/>
                <w:lang w:val="en-US" w:eastAsia="zh-CN" w:bidi="ar-SA"/>
              </w:rPr>
            </m:ctrlPr>
          </m:sub>
        </m:sSub>
      </m:oMath>
      <w:r>
        <w:rPr>
          <w:rFonts w:hint="eastAsia" w:hAnsi="宋体"/>
          <w:szCs w:val="21"/>
        </w:rPr>
        <w:t>≥99.99%</w:t>
      </w:r>
      <w:r>
        <w:rPr>
          <w:rFonts w:hint="eastAsia"/>
          <w:szCs w:val="21"/>
        </w:rPr>
        <w:t>或光谱纯</w:t>
      </w:r>
      <w:r>
        <w:rPr>
          <w:rFonts w:hint="eastAsia" w:hAnsi="宋体"/>
          <w:szCs w:val="21"/>
        </w:rPr>
        <w:t>）4份置于一组</w:t>
      </w:r>
      <w:r>
        <w:rPr>
          <w:szCs w:val="21"/>
        </w:rPr>
        <w:t>200 mL</w:t>
      </w:r>
      <w:r>
        <w:rPr>
          <w:rFonts w:hAnsi="宋体"/>
          <w:szCs w:val="21"/>
        </w:rPr>
        <w:t>烧杯</w:t>
      </w:r>
      <w:r>
        <w:rPr>
          <w:rFonts w:hint="eastAsia" w:hAnsi="宋体"/>
          <w:szCs w:val="21"/>
        </w:rPr>
        <w:t>中，</w:t>
      </w:r>
      <w:r>
        <w:rPr>
          <w:rFonts w:hint="eastAsia" w:hAnsi="宋体"/>
          <w:bCs/>
          <w:szCs w:val="21"/>
        </w:rPr>
        <w:t>同时做空白试验。用少量水吹洗杯壁，</w:t>
      </w:r>
      <w:r>
        <w:rPr>
          <w:rFonts w:hAnsi="宋体"/>
          <w:bCs/>
          <w:szCs w:val="21"/>
        </w:rPr>
        <w:t>加入</w:t>
      </w:r>
      <w:r>
        <w:rPr>
          <w:bCs/>
          <w:szCs w:val="21"/>
        </w:rPr>
        <w:t xml:space="preserve">2 g </w:t>
      </w:r>
      <w:r>
        <w:rPr>
          <w:rFonts w:hAnsi="宋体"/>
          <w:bCs/>
          <w:szCs w:val="21"/>
        </w:rPr>
        <w:t>硫酸氢钾</w:t>
      </w:r>
      <w:r>
        <w:rPr>
          <w:bCs/>
          <w:szCs w:val="21"/>
        </w:rPr>
        <w:t>（5.</w:t>
      </w:r>
      <w:r>
        <w:rPr>
          <w:rFonts w:hint="eastAsia"/>
          <w:bCs/>
          <w:szCs w:val="21"/>
        </w:rPr>
        <w:t>2.1</w:t>
      </w:r>
      <w:r>
        <w:rPr>
          <w:bCs/>
          <w:szCs w:val="21"/>
        </w:rPr>
        <w:t>）</w:t>
      </w:r>
      <w:r>
        <w:rPr>
          <w:rFonts w:hAnsi="宋体"/>
          <w:bCs/>
          <w:szCs w:val="21"/>
        </w:rPr>
        <w:t>，</w:t>
      </w:r>
      <w:r>
        <w:rPr>
          <w:bCs/>
          <w:szCs w:val="21"/>
        </w:rPr>
        <w:t>0.2 g</w:t>
      </w:r>
      <w:r>
        <w:rPr>
          <w:rFonts w:hAnsi="宋体"/>
          <w:bCs/>
          <w:szCs w:val="21"/>
        </w:rPr>
        <w:t>硫酸肼</w:t>
      </w:r>
      <w:r>
        <w:rPr>
          <w:bCs/>
          <w:szCs w:val="21"/>
        </w:rPr>
        <w:t>（5</w:t>
      </w:r>
      <w:r>
        <w:rPr>
          <w:rFonts w:hint="eastAsia"/>
          <w:bCs/>
          <w:szCs w:val="21"/>
        </w:rPr>
        <w:t>.2</w:t>
      </w:r>
      <w:r>
        <w:rPr>
          <w:bCs/>
          <w:szCs w:val="21"/>
        </w:rPr>
        <w:t>.</w:t>
      </w:r>
      <w:r>
        <w:rPr>
          <w:rFonts w:hint="eastAsia"/>
          <w:bCs/>
          <w:szCs w:val="21"/>
        </w:rPr>
        <w:t>2</w:t>
      </w:r>
      <w:r>
        <w:rPr>
          <w:bCs/>
          <w:szCs w:val="21"/>
        </w:rPr>
        <w:t>）</w:t>
      </w:r>
      <w:r>
        <w:rPr>
          <w:rFonts w:hint="eastAsia"/>
          <w:bCs/>
          <w:szCs w:val="21"/>
        </w:rPr>
        <w:t>。</w:t>
      </w:r>
      <w:r>
        <w:rPr>
          <w:rFonts w:hint="eastAsia" w:hAnsi="宋体"/>
          <w:szCs w:val="21"/>
        </w:rPr>
        <w:t xml:space="preserve">沿杯壁加入10 mL </w:t>
      </w:r>
      <w:r>
        <w:rPr>
          <w:rFonts w:hint="eastAsia" w:hAnsi="宋体"/>
          <w:bCs/>
          <w:szCs w:val="21"/>
        </w:rPr>
        <w:t>或20 mL 硫酸（5.2.4）</w:t>
      </w:r>
      <w:r>
        <w:rPr>
          <w:rFonts w:hint="eastAsia" w:hAnsi="宋体"/>
          <w:szCs w:val="21"/>
        </w:rPr>
        <w:t>。</w:t>
      </w:r>
      <w:r>
        <w:rPr>
          <w:rFonts w:hAnsi="宋体"/>
          <w:bCs/>
          <w:szCs w:val="21"/>
        </w:rPr>
        <w:t>在</w:t>
      </w:r>
      <w:r>
        <w:rPr>
          <w:bCs/>
          <w:szCs w:val="21"/>
        </w:rPr>
        <w:t>250</w:t>
      </w:r>
      <w:r>
        <w:rPr>
          <w:rFonts w:hAnsi="宋体"/>
          <w:bCs/>
          <w:szCs w:val="21"/>
        </w:rPr>
        <w:t>℃以上高温电炉上加</w:t>
      </w:r>
      <w:r>
        <w:rPr>
          <w:rFonts w:hAnsi="宋体"/>
          <w:szCs w:val="21"/>
        </w:rPr>
        <w:t>热</w:t>
      </w:r>
      <w:r>
        <w:rPr>
          <w:rFonts w:hAnsi="宋体"/>
          <w:bCs/>
          <w:szCs w:val="21"/>
        </w:rPr>
        <w:t>溶解完全后，</w:t>
      </w:r>
      <w:r>
        <w:rPr>
          <w:rFonts w:hAnsi="宋体"/>
          <w:szCs w:val="21"/>
        </w:rPr>
        <w:t>继续</w:t>
      </w:r>
      <w:r>
        <w:rPr>
          <w:rFonts w:hAnsi="宋体"/>
          <w:bCs/>
          <w:szCs w:val="21"/>
        </w:rPr>
        <w:t>加</w:t>
      </w:r>
      <w:r>
        <w:rPr>
          <w:rFonts w:hAnsi="宋体"/>
          <w:szCs w:val="21"/>
        </w:rPr>
        <w:t>热至液面平静无小气泡，取下冷却</w:t>
      </w:r>
      <w:r>
        <w:rPr>
          <w:rFonts w:hint="eastAsia" w:hAnsi="宋体"/>
          <w:szCs w:val="21"/>
        </w:rPr>
        <w:t>。轻微摇动下</w:t>
      </w:r>
      <w:r>
        <w:rPr>
          <w:rFonts w:hAnsi="宋体"/>
          <w:szCs w:val="21"/>
        </w:rPr>
        <w:t>沿</w:t>
      </w:r>
      <w:r>
        <w:rPr>
          <w:rFonts w:hint="eastAsia" w:hAnsi="宋体"/>
          <w:szCs w:val="21"/>
        </w:rPr>
        <w:t>杯</w:t>
      </w:r>
      <w:r>
        <w:rPr>
          <w:rFonts w:hAnsi="宋体"/>
          <w:szCs w:val="21"/>
        </w:rPr>
        <w:t>壁缓慢加入</w:t>
      </w:r>
      <w:r>
        <w:rPr>
          <w:szCs w:val="21"/>
        </w:rPr>
        <w:t>50 mL</w:t>
      </w:r>
      <w:r>
        <w:rPr>
          <w:rFonts w:hAnsi="宋体"/>
          <w:szCs w:val="21"/>
        </w:rPr>
        <w:t>水，加热至微沸</w:t>
      </w:r>
      <w:r>
        <w:rPr>
          <w:szCs w:val="21"/>
        </w:rPr>
        <w:t>3</w:t>
      </w:r>
      <w:r>
        <w:rPr>
          <w:rFonts w:hint="eastAsia"/>
          <w:szCs w:val="21"/>
        </w:rPr>
        <w:t xml:space="preserve"> </w:t>
      </w:r>
      <w:r>
        <w:rPr>
          <w:szCs w:val="21"/>
        </w:rPr>
        <w:t>min~5 min</w:t>
      </w:r>
      <w:r>
        <w:rPr>
          <w:rFonts w:hAnsi="宋体"/>
          <w:szCs w:val="21"/>
        </w:rPr>
        <w:t>，取下稍</w:t>
      </w:r>
      <w:r>
        <w:rPr>
          <w:rFonts w:hAnsi="宋体"/>
          <w:bCs/>
          <w:szCs w:val="21"/>
        </w:rPr>
        <w:t>冷</w:t>
      </w:r>
      <w:r>
        <w:rPr>
          <w:rFonts w:hAnsi="宋体"/>
          <w:szCs w:val="21"/>
        </w:rPr>
        <w:t>，再加入</w:t>
      </w:r>
      <w:r>
        <w:rPr>
          <w:szCs w:val="21"/>
        </w:rPr>
        <w:t xml:space="preserve">17 mL </w:t>
      </w:r>
      <w:r>
        <w:rPr>
          <w:rFonts w:hint="eastAsia"/>
          <w:szCs w:val="21"/>
        </w:rPr>
        <w:t>盐酸</w:t>
      </w:r>
      <w:r>
        <w:rPr>
          <w:bCs/>
          <w:szCs w:val="21"/>
        </w:rPr>
        <w:t>（5</w:t>
      </w:r>
      <w:r>
        <w:rPr>
          <w:rFonts w:hint="eastAsia"/>
          <w:bCs/>
          <w:szCs w:val="21"/>
        </w:rPr>
        <w:t>.2</w:t>
      </w:r>
      <w:r>
        <w:rPr>
          <w:bCs/>
          <w:szCs w:val="21"/>
        </w:rPr>
        <w:t>.</w:t>
      </w:r>
      <w:r>
        <w:rPr>
          <w:rFonts w:hint="eastAsia"/>
          <w:bCs/>
          <w:szCs w:val="21"/>
        </w:rPr>
        <w:t>3</w:t>
      </w:r>
      <w:r>
        <w:rPr>
          <w:bCs/>
          <w:szCs w:val="21"/>
        </w:rPr>
        <w:t>）</w:t>
      </w:r>
      <w:r>
        <w:rPr>
          <w:rFonts w:hAnsi="宋体"/>
          <w:szCs w:val="21"/>
        </w:rPr>
        <w:t>，</w:t>
      </w:r>
      <w:r>
        <w:rPr>
          <w:rFonts w:hAnsi="宋体"/>
          <w:bCs/>
          <w:szCs w:val="21"/>
        </w:rPr>
        <w:t>冷却。用水</w:t>
      </w:r>
      <w:r>
        <w:rPr>
          <w:rFonts w:hAnsi="宋体"/>
          <w:szCs w:val="21"/>
        </w:rPr>
        <w:t>稀释至</w:t>
      </w:r>
      <w:r>
        <w:rPr>
          <w:szCs w:val="21"/>
        </w:rPr>
        <w:t>100 mL</w:t>
      </w:r>
      <w:r>
        <w:rPr>
          <w:rFonts w:hAnsi="宋体"/>
          <w:szCs w:val="21"/>
        </w:rPr>
        <w:t>，</w:t>
      </w:r>
      <w:r>
        <w:rPr>
          <w:rFonts w:hint="eastAsia" w:hAnsi="宋体"/>
          <w:szCs w:val="21"/>
        </w:rPr>
        <w:t>混匀，</w:t>
      </w:r>
      <w:r>
        <w:rPr>
          <w:rFonts w:hAnsi="宋体"/>
          <w:szCs w:val="21"/>
        </w:rPr>
        <w:t>待测。</w:t>
      </w:r>
    </w:p>
    <w:p>
      <w:pPr>
        <w:spacing w:line="276" w:lineRule="auto"/>
        <w:ind w:firstLine="420" w:firstLineChars="200"/>
        <w:rPr>
          <w:rFonts w:hAnsi="宋体"/>
          <w:bCs/>
          <w:szCs w:val="21"/>
        </w:rPr>
      </w:pPr>
      <w:r>
        <w:rPr>
          <w:rFonts w:hint="eastAsia" w:hAnsi="宋体"/>
          <w:szCs w:val="21"/>
        </w:rPr>
        <w:t>将待标定试液置于自动电位滴定仪上，在电磁搅拌下，浸入复合铂电极，在搅拌状态下，用0.025 mol/L KBrO</w:t>
      </w:r>
      <w:r>
        <w:rPr>
          <w:rFonts w:hint="eastAsia" w:hAnsi="宋体"/>
          <w:szCs w:val="21"/>
          <w:vertAlign w:val="subscript"/>
        </w:rPr>
        <w:t>3</w:t>
      </w:r>
      <w:r>
        <w:rPr>
          <w:rFonts w:hint="eastAsia" w:hAnsi="宋体"/>
          <w:szCs w:val="21"/>
        </w:rPr>
        <w:t>-KBr标准溶液进行电位滴定，记录滴定终点及滴定曲线，</w:t>
      </w:r>
      <w:r>
        <w:rPr>
          <w:rFonts w:hint="eastAsia" w:hAnsi="宋体"/>
          <w:bCs/>
          <w:szCs w:val="21"/>
        </w:rPr>
        <w:t>其极差值不大于1.8</w:t>
      </w:r>
      <w:r>
        <w:rPr>
          <w:rFonts w:hAnsi="宋体"/>
          <w:bCs/>
          <w:iCs/>
          <w:szCs w:val="21"/>
        </w:rPr>
        <w:t>×10</w:t>
      </w:r>
      <w:r>
        <w:rPr>
          <w:rFonts w:hAnsi="宋体"/>
          <w:bCs/>
          <w:iCs/>
          <w:szCs w:val="21"/>
          <w:vertAlign w:val="superscript"/>
        </w:rPr>
        <w:t>-4</w:t>
      </w:r>
      <w:r>
        <w:rPr>
          <w:rFonts w:hint="eastAsia" w:hAnsi="宋体"/>
          <w:bCs/>
          <w:iCs/>
          <w:szCs w:val="21"/>
          <w:vertAlign w:val="superscript"/>
        </w:rPr>
        <w:t xml:space="preserve"> </w:t>
      </w:r>
      <w:r>
        <w:rPr>
          <w:rFonts w:hAnsi="宋体"/>
          <w:bCs/>
          <w:iCs/>
          <w:szCs w:val="21"/>
        </w:rPr>
        <w:t>mol/L</w:t>
      </w:r>
      <w:r>
        <w:rPr>
          <w:rFonts w:hint="eastAsia" w:hAnsi="宋体"/>
          <w:bCs/>
          <w:iCs/>
          <w:szCs w:val="21"/>
        </w:rPr>
        <w:t>，取其平均值，否则重新标定</w:t>
      </w:r>
      <w:r>
        <w:rPr>
          <w:rFonts w:hint="eastAsia" w:hAnsi="宋体"/>
          <w:bCs/>
          <w:szCs w:val="21"/>
        </w:rPr>
        <w:t>。</w:t>
      </w:r>
    </w:p>
    <w:p>
      <w:pPr>
        <w:spacing w:line="276" w:lineRule="auto"/>
        <w:ind w:firstLine="420" w:firstLineChars="200"/>
        <w:rPr>
          <w:rFonts w:hAnsi="宋体"/>
          <w:szCs w:val="21"/>
        </w:rPr>
      </w:pPr>
      <w:r>
        <w:rPr>
          <w:rFonts w:hint="eastAsia" w:hAnsi="宋体"/>
          <w:szCs w:val="21"/>
        </w:rPr>
        <w:t>KBrO</w:t>
      </w:r>
      <w:r>
        <w:rPr>
          <w:rFonts w:hint="eastAsia" w:hAnsi="宋体"/>
          <w:szCs w:val="21"/>
          <w:vertAlign w:val="subscript"/>
        </w:rPr>
        <w:t>3</w:t>
      </w:r>
      <w:r>
        <w:rPr>
          <w:rFonts w:hint="eastAsia" w:hAnsi="宋体"/>
          <w:szCs w:val="21"/>
        </w:rPr>
        <w:t>标准滴定溶液的实际浓度按公式（3）计算：</w:t>
      </w:r>
    </w:p>
    <w:p>
      <w:pPr>
        <w:spacing w:line="360" w:lineRule="auto"/>
        <w:ind w:firstLine="560" w:firstLineChars="200"/>
        <w:jc w:val="right"/>
        <w:rPr>
          <w:szCs w:val="21"/>
        </w:rPr>
      </w:pPr>
      <w:r>
        <w:rPr>
          <w:rFonts w:hint="eastAsia" w:hAnsi="宋体"/>
          <w:position w:val="-28"/>
          <w:sz w:val="28"/>
          <w:szCs w:val="28"/>
        </w:rPr>
        <w:object>
          <v:shape id="_x0000_i1031" o:spt="75" type="#_x0000_t75" style="height:31.9pt;width:89.6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27" r:id="rId17">
            <o:LockedField>false</o:LockedField>
          </o:OLEObject>
        </w:object>
      </w:r>
      <w:r>
        <w:rPr>
          <w:szCs w:val="21"/>
        </w:rPr>
        <w:t>…………………………………………………(3)</w:t>
      </w:r>
    </w:p>
    <w:p>
      <w:pPr>
        <w:spacing w:line="276" w:lineRule="auto"/>
        <w:ind w:firstLine="420" w:firstLineChars="200"/>
        <w:rPr>
          <w:rFonts w:hAnsi="宋体"/>
          <w:szCs w:val="21"/>
        </w:rPr>
      </w:pPr>
      <w:r>
        <w:rPr>
          <w:rFonts w:hint="eastAsia" w:hAnsi="宋体"/>
          <w:szCs w:val="21"/>
        </w:rPr>
        <w:t>式中：</w:t>
      </w:r>
    </w:p>
    <w:p>
      <w:pPr>
        <w:spacing w:line="276" w:lineRule="auto"/>
        <w:ind w:firstLine="420" w:firstLineChars="200"/>
        <w:rPr>
          <w:rFonts w:hAnsi="宋体"/>
          <w:szCs w:val="21"/>
        </w:rPr>
      </w:pPr>
      <w:r>
        <w:rPr>
          <w:szCs w:val="21"/>
        </w:rPr>
        <w:fldChar w:fldCharType="begin"/>
      </w:r>
      <w:r>
        <w:rPr>
          <w:szCs w:val="21"/>
        </w:rPr>
        <w:instrText xml:space="preserve"> QUOTE </w:instrText>
      </w:r>
      <w:r>
        <w:rPr>
          <w:position w:val="-8"/>
        </w:rPr>
        <w:pict>
          <v:shape id="_x0000_i1032" o:spt="75" type="#_x0000_t75" style="height:15.6pt;width:8.15pt;" filled="f" o:preferrelative="t" stroked="f" coordsize="21600,21600" equationxml="&lt;">
            <v:path/>
            <v:fill on="f" focussize="0,0"/>
            <v:stroke on="f" joinstyle="miter"/>
            <v:imagedata r:id="rId19" chromakey="#FFFFFF" o:title=""/>
            <o:lock v:ext="edit" aspectratio="t"/>
            <w10:wrap type="none"/>
            <w10:anchorlock/>
          </v:shape>
        </w:pict>
      </w:r>
      <w:r>
        <w:rPr>
          <w:szCs w:val="21"/>
        </w:rPr>
        <w:fldChar w:fldCharType="separate"/>
      </w:r>
      <w:r>
        <w:rPr>
          <w:position w:val="-8"/>
        </w:rPr>
        <w:pict>
          <v:shape id="_x0000_i1033" o:spt="75" type="#_x0000_t75" style="height:15.6pt;width:8.15pt;" filled="f" o:preferrelative="t" stroked="f" coordsize="21600,21600" equationxml="&lt;">
            <v:path/>
            <v:fill on="f" focussize="0,0"/>
            <v:stroke on="f" joinstyle="miter"/>
            <v:imagedata r:id="rId19" chromakey="#FFFFFF" o:title=""/>
            <o:lock v:ext="edit" aspectratio="t"/>
            <w10:wrap type="none"/>
            <w10:anchorlock/>
          </v:shape>
        </w:pict>
      </w:r>
      <w:r>
        <w:rPr>
          <w:szCs w:val="21"/>
        </w:rPr>
        <w:fldChar w:fldCharType="end"/>
      </w:r>
      <w:r>
        <w:rPr>
          <w:szCs w:val="21"/>
        </w:rPr>
        <w:t>——</w:t>
      </w:r>
      <w:r>
        <w:rPr>
          <w:rFonts w:hint="eastAsia" w:hAnsi="宋体"/>
          <w:szCs w:val="21"/>
        </w:rPr>
        <w:t>KBrO</w:t>
      </w:r>
      <w:r>
        <w:rPr>
          <w:rFonts w:hint="eastAsia" w:hAnsi="宋体"/>
          <w:szCs w:val="21"/>
          <w:vertAlign w:val="subscript"/>
        </w:rPr>
        <w:t>3</w:t>
      </w:r>
      <w:r>
        <w:rPr>
          <w:rFonts w:hint="eastAsia" w:hAnsi="宋体"/>
          <w:szCs w:val="21"/>
        </w:rPr>
        <w:t>标准滴定溶液的实际浓度，单位为摩尔每升（mol/L）；</w:t>
      </w:r>
    </w:p>
    <w:p>
      <w:pPr>
        <w:spacing w:line="276" w:lineRule="auto"/>
        <w:ind w:firstLine="315" w:firstLineChars="150"/>
        <w:rPr>
          <w:rFonts w:hAnsi="宋体"/>
          <w:szCs w:val="21"/>
        </w:rPr>
      </w:pPr>
      <w:r>
        <w:rPr>
          <w:rFonts w:hint="eastAsia" w:hAnsi="宋体"/>
          <w:i/>
          <w:iCs/>
          <w:szCs w:val="21"/>
        </w:rPr>
        <w:t>ρ</w:t>
      </w:r>
      <w:r>
        <w:rPr>
          <w:szCs w:val="21"/>
        </w:rPr>
        <w:t>——</w:t>
      </w:r>
      <w:r>
        <w:rPr>
          <w:rFonts w:hint="eastAsia"/>
          <w:szCs w:val="21"/>
        </w:rPr>
        <w:t>锑</w:t>
      </w:r>
      <w:r>
        <w:rPr>
          <w:rFonts w:hint="eastAsia" w:hAnsi="宋体"/>
          <w:szCs w:val="21"/>
        </w:rPr>
        <w:t>标准溶液的质量浓度，单位为毫克每毫升（mg/mL）；</w:t>
      </w:r>
    </w:p>
    <w:p>
      <w:pPr>
        <w:spacing w:line="276" w:lineRule="auto"/>
        <w:ind w:firstLine="315" w:firstLineChars="150"/>
        <w:rPr>
          <w:rFonts w:hAnsi="宋体"/>
          <w:szCs w:val="21"/>
        </w:rPr>
      </w:pPr>
      <w:r>
        <w:rPr>
          <w:rFonts w:hint="eastAsia" w:hAnsi="宋体"/>
          <w:i/>
          <w:iCs/>
          <w:szCs w:val="21"/>
        </w:rPr>
        <w:t>V</w:t>
      </w:r>
      <w:r>
        <w:rPr>
          <w:rFonts w:hint="eastAsia" w:hAnsi="宋体"/>
          <w:szCs w:val="21"/>
          <w:vertAlign w:val="subscript"/>
        </w:rPr>
        <w:t>3</w:t>
      </w:r>
      <w:r>
        <w:rPr>
          <w:szCs w:val="21"/>
        </w:rPr>
        <w:t>——</w:t>
      </w:r>
      <w:r>
        <w:rPr>
          <w:rFonts w:hint="eastAsia" w:hAnsi="宋体"/>
          <w:szCs w:val="21"/>
        </w:rPr>
        <w:t>移取</w:t>
      </w:r>
      <w:r>
        <w:rPr>
          <w:rFonts w:hint="eastAsia"/>
          <w:szCs w:val="21"/>
        </w:rPr>
        <w:t>锑</w:t>
      </w:r>
      <w:r>
        <w:rPr>
          <w:rFonts w:hint="eastAsia" w:hAnsi="宋体"/>
          <w:szCs w:val="21"/>
        </w:rPr>
        <w:t>标准溶液的体积，单位为毫升（mL）；</w:t>
      </w:r>
    </w:p>
    <w:p>
      <w:pPr>
        <w:spacing w:line="276" w:lineRule="auto"/>
        <w:ind w:firstLine="315" w:firstLineChars="150"/>
        <w:rPr>
          <w:rFonts w:hAnsi="宋体"/>
          <w:szCs w:val="21"/>
        </w:rPr>
      </w:pPr>
      <w:r>
        <w:rPr>
          <w:rFonts w:hint="eastAsia" w:hAnsi="宋体"/>
          <w:i/>
          <w:iCs/>
          <w:szCs w:val="21"/>
        </w:rPr>
        <w:t>V</w:t>
      </w:r>
      <w:r>
        <w:rPr>
          <w:rFonts w:hint="eastAsia" w:hAnsi="宋体"/>
          <w:szCs w:val="21"/>
          <w:vertAlign w:val="subscript"/>
        </w:rPr>
        <w:t>4</w:t>
      </w:r>
      <w:r>
        <w:rPr>
          <w:szCs w:val="21"/>
        </w:rPr>
        <w:t>——</w:t>
      </w:r>
      <w:r>
        <w:rPr>
          <w:rFonts w:hint="eastAsia"/>
          <w:szCs w:val="21"/>
        </w:rPr>
        <w:t>标</w:t>
      </w:r>
      <w:r>
        <w:rPr>
          <w:rFonts w:hint="eastAsia" w:hAnsi="宋体"/>
          <w:szCs w:val="21"/>
        </w:rPr>
        <w:t>定时消耗KBrO</w:t>
      </w:r>
      <w:r>
        <w:rPr>
          <w:rFonts w:hint="eastAsia" w:hAnsi="宋体"/>
          <w:szCs w:val="21"/>
          <w:vertAlign w:val="subscript"/>
        </w:rPr>
        <w:t>3</w:t>
      </w:r>
      <w:r>
        <w:rPr>
          <w:rFonts w:hint="eastAsia" w:hAnsi="宋体"/>
          <w:szCs w:val="21"/>
        </w:rPr>
        <w:t>标准滴定溶液的体积，单位为毫升（mL）；</w:t>
      </w:r>
    </w:p>
    <w:p>
      <w:pPr>
        <w:spacing w:line="276" w:lineRule="auto"/>
        <w:ind w:firstLine="315" w:firstLineChars="150"/>
        <w:rPr>
          <w:rFonts w:hAnsi="宋体"/>
          <w:szCs w:val="21"/>
        </w:rPr>
      </w:pPr>
      <w:r>
        <w:rPr>
          <w:szCs w:val="21"/>
        </w:rPr>
        <w:fldChar w:fldCharType="begin"/>
      </w:r>
      <w:r>
        <w:rPr>
          <w:szCs w:val="21"/>
        </w:rPr>
        <w:instrText xml:space="preserve"> QUOTE </w:instrText>
      </w:r>
      <w:r>
        <w:rPr>
          <w:position w:val="-8"/>
        </w:rPr>
        <w:pict>
          <v:shape id="_x0000_i1034" o:spt="75" type="#_x0000_t75" style="height:15.6pt;width:10.85pt;" filled="f" o:preferrelative="t" stroked="f" coordsize="21600,21600" equationxml="&lt;">
            <v:path/>
            <v:fill on="f" focussize="0,0"/>
            <v:stroke on="f" joinstyle="miter"/>
            <v:imagedata r:id="rId20" chromakey="#FFFFFF" o:title=""/>
            <o:lock v:ext="edit" aspectratio="t"/>
            <w10:wrap type="none"/>
            <w10:anchorlock/>
          </v:shape>
        </w:pict>
      </w:r>
      <w:r>
        <w:rPr>
          <w:szCs w:val="21"/>
        </w:rPr>
        <w:fldChar w:fldCharType="separate"/>
      </w:r>
      <w:r>
        <w:rPr>
          <w:position w:val="-8"/>
        </w:rPr>
        <w:pict>
          <v:shape id="_x0000_i1035" o:spt="75" type="#_x0000_t75" style="height:15.6pt;width:10.85pt;" filled="f" o:preferrelative="t" stroked="f" coordsize="21600,21600" equationxml="&lt;">
            <v:path/>
            <v:fill on="f" focussize="0,0"/>
            <v:stroke on="f" joinstyle="miter"/>
            <v:imagedata r:id="rId20" chromakey="#FFFFFF" o:title=""/>
            <o:lock v:ext="edit" aspectratio="t"/>
            <w10:wrap type="none"/>
            <w10:anchorlock/>
          </v:shape>
        </w:pict>
      </w:r>
      <w:r>
        <w:rPr>
          <w:szCs w:val="21"/>
        </w:rPr>
        <w:fldChar w:fldCharType="end"/>
      </w:r>
      <w:r>
        <w:rPr>
          <w:szCs w:val="21"/>
        </w:rPr>
        <w:t>——</w:t>
      </w:r>
      <w:r>
        <w:rPr>
          <w:rFonts w:hint="eastAsia" w:hAnsi="宋体"/>
          <w:szCs w:val="21"/>
        </w:rPr>
        <w:t>空白试液所消耗KBrO</w:t>
      </w:r>
      <w:r>
        <w:rPr>
          <w:rFonts w:hint="eastAsia" w:hAnsi="宋体"/>
          <w:szCs w:val="21"/>
          <w:vertAlign w:val="subscript"/>
        </w:rPr>
        <w:t>3</w:t>
      </w:r>
      <w:r>
        <w:rPr>
          <w:rFonts w:hint="eastAsia" w:hAnsi="宋体"/>
          <w:szCs w:val="21"/>
        </w:rPr>
        <w:t>标准滴定溶液的体积，单位为毫升（mL）；</w:t>
      </w:r>
    </w:p>
    <w:p>
      <w:pPr>
        <w:spacing w:line="276" w:lineRule="auto"/>
        <w:ind w:firstLine="333" w:firstLineChars="150"/>
        <w:rPr>
          <w:rFonts w:hAnsi="宋体"/>
          <w:szCs w:val="21"/>
        </w:rPr>
      </w:pPr>
      <w:r>
        <w:rPr>
          <w:iCs/>
          <w:spacing w:val="6"/>
          <w:szCs w:val="21"/>
        </w:rPr>
        <w:t>60.8</w:t>
      </w:r>
      <w:r>
        <w:rPr>
          <w:rFonts w:hint="eastAsia"/>
          <w:iCs/>
          <w:spacing w:val="6"/>
          <w:szCs w:val="21"/>
        </w:rPr>
        <w:t>8</w:t>
      </w:r>
      <w:r>
        <w:rPr>
          <w:spacing w:val="6"/>
          <w:szCs w:val="21"/>
        </w:rPr>
        <w:t>——</w:t>
      </w:r>
      <w:r>
        <w:rPr>
          <w:rFonts w:hAnsi="宋体"/>
          <w:szCs w:val="21"/>
        </w:rPr>
        <w:t>锑</w:t>
      </w:r>
      <w:r>
        <w:rPr>
          <w:szCs w:val="21"/>
        </w:rPr>
        <w:t>(1/2</w:t>
      </w:r>
      <w:r>
        <w:rPr>
          <w:rFonts w:hint="eastAsia"/>
          <w:szCs w:val="21"/>
        </w:rPr>
        <w:t xml:space="preserve"> </w:t>
      </w:r>
      <w:r>
        <w:rPr>
          <w:szCs w:val="21"/>
        </w:rPr>
        <w:t>Sb)</w:t>
      </w:r>
      <w:r>
        <w:rPr>
          <w:rFonts w:hAnsi="宋体"/>
          <w:szCs w:val="21"/>
        </w:rPr>
        <w:t>的摩尔质量，单位为克每摩尔</w:t>
      </w:r>
      <w:r>
        <w:rPr>
          <w:szCs w:val="21"/>
        </w:rPr>
        <w:t>(g/moL)</w:t>
      </w:r>
      <w:r>
        <w:rPr>
          <w:rFonts w:hAnsi="宋体"/>
          <w:spacing w:val="6"/>
          <w:szCs w:val="21"/>
        </w:rPr>
        <w:t>。</w:t>
      </w:r>
    </w:p>
    <w:p>
      <w:pPr>
        <w:spacing w:line="360" w:lineRule="exact"/>
        <w:ind w:firstLine="420" w:firstLineChars="200"/>
        <w:rPr>
          <w:szCs w:val="21"/>
        </w:rPr>
      </w:pPr>
      <w:r>
        <w:rPr>
          <w:rFonts w:hAnsi="宋体"/>
          <w:szCs w:val="21"/>
        </w:rPr>
        <w:t>平行标定三份，其极差值不大于</w:t>
      </w:r>
      <w:r>
        <w:rPr>
          <w:szCs w:val="21"/>
        </w:rPr>
        <w:t>1.4×10</w:t>
      </w:r>
      <w:r>
        <w:rPr>
          <w:rFonts w:hint="eastAsia" w:hAnsi="宋体"/>
          <w:szCs w:val="21"/>
          <w:vertAlign w:val="superscript"/>
        </w:rPr>
        <w:t xml:space="preserve">-4 </w:t>
      </w:r>
      <w:r>
        <w:rPr>
          <w:szCs w:val="21"/>
        </w:rPr>
        <w:t>mol/L</w:t>
      </w:r>
      <w:r>
        <w:rPr>
          <w:rFonts w:hAnsi="宋体"/>
          <w:szCs w:val="21"/>
        </w:rPr>
        <w:t>，取其平均值，否则重新标定。</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5.3 仪器</w:t>
      </w:r>
    </w:p>
    <w:p>
      <w:pPr>
        <w:ind w:right="-867" w:rightChars="-413" w:firstLine="420" w:firstLineChars="200"/>
        <w:rPr>
          <w:szCs w:val="21"/>
        </w:rPr>
      </w:pPr>
      <w:r>
        <w:rPr>
          <w:szCs w:val="21"/>
        </w:rPr>
        <w:t>848</w:t>
      </w:r>
      <w:r>
        <w:rPr>
          <w:rFonts w:hAnsi="宋体"/>
          <w:szCs w:val="21"/>
        </w:rPr>
        <w:t>型自动电位滴定仪，配</w:t>
      </w:r>
      <w:r>
        <w:rPr>
          <w:szCs w:val="21"/>
        </w:rPr>
        <w:t>50 mL</w:t>
      </w:r>
      <w:r>
        <w:rPr>
          <w:rFonts w:hAnsi="宋体"/>
          <w:szCs w:val="21"/>
        </w:rPr>
        <w:t>计量管交换单元（最小加液量为</w:t>
      </w:r>
      <w:r>
        <w:rPr>
          <w:szCs w:val="21"/>
        </w:rPr>
        <w:t>10 μL</w:t>
      </w:r>
      <w:r>
        <w:rPr>
          <w:rFonts w:hAnsi="宋体"/>
          <w:szCs w:val="21"/>
        </w:rPr>
        <w:t>）、</w:t>
      </w:r>
      <w:r>
        <w:rPr>
          <w:szCs w:val="21"/>
        </w:rPr>
        <w:t>801</w:t>
      </w:r>
      <w:r>
        <w:rPr>
          <w:rFonts w:hAnsi="宋体"/>
          <w:szCs w:val="21"/>
        </w:rPr>
        <w:t>型搅拌器、</w:t>
      </w:r>
      <w:r>
        <w:rPr>
          <w:szCs w:val="21"/>
        </w:rPr>
        <w:t>Titrode</w:t>
      </w:r>
      <w:r>
        <w:rPr>
          <w:rFonts w:hAnsi="宋体"/>
          <w:szCs w:val="21"/>
        </w:rPr>
        <w:t>型复合铂（</w:t>
      </w:r>
      <w:r>
        <w:rPr>
          <w:szCs w:val="21"/>
        </w:rPr>
        <w:t>Pt</w:t>
      </w:r>
      <w:r>
        <w:rPr>
          <w:rFonts w:hAnsi="宋体"/>
          <w:szCs w:val="21"/>
        </w:rPr>
        <w:t>）电极。</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5.4 样品</w:t>
      </w:r>
    </w:p>
    <w:p>
      <w:pPr>
        <w:spacing w:line="360" w:lineRule="auto"/>
        <w:ind w:firstLine="420" w:firstLineChars="200"/>
        <w:rPr>
          <w:szCs w:val="21"/>
        </w:rPr>
      </w:pPr>
      <w:r>
        <w:rPr>
          <w:rFonts w:hAnsi="宋体"/>
          <w:szCs w:val="21"/>
        </w:rPr>
        <w:t>锯取，锯屑粒度应不大于</w:t>
      </w:r>
      <w:r>
        <w:rPr>
          <w:szCs w:val="21"/>
        </w:rPr>
        <w:t>1.25 mm</w:t>
      </w:r>
      <w:r>
        <w:rPr>
          <w:rFonts w:hAnsi="宋体"/>
          <w:szCs w:val="21"/>
        </w:rPr>
        <w:t>。</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5.5 实验步骤</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5.5.1 试料</w:t>
      </w:r>
    </w:p>
    <w:p>
      <w:pPr>
        <w:spacing w:line="360" w:lineRule="auto"/>
        <w:ind w:firstLine="420" w:firstLineChars="200"/>
        <w:jc w:val="left"/>
        <w:rPr>
          <w:rFonts w:hAnsi="宋体"/>
        </w:rPr>
      </w:pPr>
      <w:r>
        <w:rPr>
          <w:rFonts w:hint="eastAsia"/>
        </w:rPr>
        <w:t>按表4试料量</w:t>
      </w:r>
      <w:r>
        <w:rPr>
          <w:rFonts w:hAnsi="宋体"/>
        </w:rPr>
        <w:t>称取样品（</w:t>
      </w:r>
      <w:r>
        <w:rPr>
          <w:rFonts w:hint="eastAsia"/>
        </w:rPr>
        <w:t>5</w:t>
      </w:r>
      <w:r>
        <w:t>.4</w:t>
      </w:r>
      <w:r>
        <w:rPr>
          <w:rFonts w:hAnsi="宋体"/>
        </w:rPr>
        <w:t>），精确至</w:t>
      </w:r>
      <w:r>
        <w:t>0.0001 g</w:t>
      </w:r>
      <w:r>
        <w:rPr>
          <w:rFonts w:hAnsi="宋体"/>
        </w:rPr>
        <w:t>。</w:t>
      </w:r>
    </w:p>
    <w:p>
      <w:pPr>
        <w:spacing w:line="276" w:lineRule="auto"/>
        <w:ind w:right="183" w:rightChars="87" w:firstLine="420" w:firstLineChars="200"/>
        <w:jc w:val="center"/>
        <w:rPr>
          <w:rFonts w:ascii="黑体" w:hAnsi="黑体" w:eastAsia="黑体" w:cs="黑体"/>
        </w:rPr>
      </w:pPr>
      <w:r>
        <w:rPr>
          <w:rFonts w:hint="eastAsia" w:ascii="黑体" w:hAnsi="黑体" w:eastAsia="黑体" w:cs="黑体"/>
        </w:rPr>
        <w:t>表4 试料量</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pPr>
              <w:spacing w:line="276" w:lineRule="auto"/>
              <w:ind w:right="183" w:rightChars="87"/>
              <w:jc w:val="center"/>
              <w:rPr>
                <w:rFonts w:ascii="宋体" w:hAnsi="宋体" w:cs="宋体"/>
                <w:bCs/>
                <w:kern w:val="1"/>
                <w:sz w:val="18"/>
                <w:szCs w:val="18"/>
              </w:rPr>
            </w:pPr>
            <w:r>
              <w:rPr>
                <w:rFonts w:hint="eastAsia" w:ascii="宋体" w:hAnsi="宋体" w:cs="宋体"/>
                <w:bCs/>
                <w:kern w:val="1"/>
                <w:sz w:val="18"/>
                <w:szCs w:val="18"/>
              </w:rPr>
              <w:t>锑质量分数</w:t>
            </w:r>
          </w:p>
          <w:p>
            <w:pPr>
              <w:spacing w:line="276" w:lineRule="auto"/>
              <w:ind w:right="183" w:rightChars="87"/>
              <w:jc w:val="center"/>
              <w:rPr>
                <w:rFonts w:ascii="宋体" w:hAnsi="宋体"/>
                <w:bCs/>
                <w:sz w:val="18"/>
                <w:szCs w:val="18"/>
              </w:rPr>
            </w:pPr>
            <w:r>
              <w:rPr>
                <w:rFonts w:hint="eastAsia" w:ascii="宋体" w:hAnsi="宋体" w:cs="宋体"/>
                <w:bCs/>
                <w:kern w:val="1"/>
                <w:sz w:val="18"/>
                <w:szCs w:val="18"/>
              </w:rPr>
              <w:t>%</w:t>
            </w:r>
          </w:p>
        </w:tc>
        <w:tc>
          <w:tcPr>
            <w:tcW w:w="4643" w:type="dxa"/>
            <w:noWrap/>
            <w:vAlign w:val="center"/>
          </w:tcPr>
          <w:p>
            <w:pPr>
              <w:spacing w:line="276" w:lineRule="auto"/>
              <w:ind w:right="183" w:rightChars="87"/>
              <w:jc w:val="center"/>
              <w:rPr>
                <w:rFonts w:ascii="宋体" w:hAnsi="宋体" w:cs="宋体"/>
                <w:bCs/>
                <w:kern w:val="1"/>
                <w:sz w:val="18"/>
                <w:szCs w:val="18"/>
              </w:rPr>
            </w:pPr>
            <w:r>
              <w:rPr>
                <w:rFonts w:hint="eastAsia" w:ascii="宋体" w:hAnsi="宋体" w:cs="宋体"/>
                <w:bCs/>
                <w:kern w:val="1"/>
                <w:sz w:val="18"/>
                <w:szCs w:val="18"/>
              </w:rPr>
              <w:t>试料量</w:t>
            </w:r>
          </w:p>
          <w:p>
            <w:pPr>
              <w:spacing w:line="276" w:lineRule="auto"/>
              <w:ind w:right="183" w:rightChars="87"/>
              <w:jc w:val="center"/>
              <w:rPr>
                <w:rFonts w:ascii="宋体" w:hAnsi="宋体"/>
                <w:bCs/>
                <w:sz w:val="18"/>
                <w:szCs w:val="18"/>
              </w:rPr>
            </w:pPr>
            <w:r>
              <w:rPr>
                <w:bCs/>
                <w:kern w:val="1"/>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pPr>
              <w:spacing w:line="276" w:lineRule="auto"/>
              <w:ind w:right="183" w:rightChars="87"/>
              <w:jc w:val="center"/>
              <w:rPr>
                <w:rFonts w:ascii="宋体" w:hAnsi="宋体"/>
                <w:bCs/>
                <w:sz w:val="18"/>
                <w:szCs w:val="18"/>
              </w:rPr>
            </w:pPr>
            <w:r>
              <w:rPr>
                <w:rFonts w:hint="eastAsia"/>
                <w:bCs/>
                <w:kern w:val="1"/>
                <w:sz w:val="18"/>
                <w:szCs w:val="18"/>
              </w:rPr>
              <w:t>1.50</w:t>
            </w:r>
            <w:r>
              <w:rPr>
                <w:bCs/>
                <w:kern w:val="1"/>
                <w:sz w:val="18"/>
                <w:szCs w:val="18"/>
              </w:rPr>
              <w:t>～</w:t>
            </w:r>
            <w:r>
              <w:rPr>
                <w:rFonts w:hint="eastAsia"/>
                <w:bCs/>
                <w:kern w:val="1"/>
                <w:sz w:val="18"/>
                <w:szCs w:val="18"/>
              </w:rPr>
              <w:t>5.00</w:t>
            </w:r>
          </w:p>
        </w:tc>
        <w:tc>
          <w:tcPr>
            <w:tcW w:w="4643" w:type="dxa"/>
            <w:noWrap/>
            <w:vAlign w:val="center"/>
          </w:tcPr>
          <w:p>
            <w:pPr>
              <w:spacing w:line="276" w:lineRule="auto"/>
              <w:ind w:right="183" w:rightChars="87"/>
              <w:jc w:val="center"/>
              <w:rPr>
                <w:rFonts w:ascii="宋体" w:hAnsi="宋体"/>
                <w:bCs/>
                <w:sz w:val="18"/>
                <w:szCs w:val="18"/>
              </w:rPr>
            </w:pPr>
            <w:r>
              <w:rPr>
                <w:rFonts w:hint="eastAsia"/>
                <w:bCs/>
                <w:kern w:val="1"/>
                <w:sz w:val="18"/>
                <w:szCs w:val="18"/>
              </w:rPr>
              <w:t>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pPr>
              <w:spacing w:line="276" w:lineRule="auto"/>
              <w:ind w:right="183" w:rightChars="87"/>
              <w:jc w:val="center"/>
              <w:rPr>
                <w:rFonts w:ascii="宋体" w:hAnsi="宋体"/>
                <w:bCs/>
                <w:sz w:val="18"/>
                <w:szCs w:val="18"/>
              </w:rPr>
            </w:pPr>
            <w:r>
              <w:rPr>
                <w:rFonts w:hint="eastAsia"/>
                <w:bCs/>
                <w:kern w:val="1"/>
                <w:sz w:val="18"/>
                <w:szCs w:val="18"/>
              </w:rPr>
              <w:t>＞5.00～12.0</w:t>
            </w:r>
          </w:p>
        </w:tc>
        <w:tc>
          <w:tcPr>
            <w:tcW w:w="4643" w:type="dxa"/>
            <w:noWrap/>
            <w:vAlign w:val="center"/>
          </w:tcPr>
          <w:p>
            <w:pPr>
              <w:spacing w:line="276" w:lineRule="auto"/>
              <w:ind w:right="183" w:rightChars="87"/>
              <w:jc w:val="center"/>
              <w:rPr>
                <w:rFonts w:ascii="宋体" w:hAnsi="宋体"/>
                <w:bCs/>
                <w:sz w:val="18"/>
                <w:szCs w:val="18"/>
              </w:rPr>
            </w:pPr>
            <w:r>
              <w:rPr>
                <w:rFonts w:hint="eastAsia"/>
                <w:bCs/>
                <w:kern w:val="1"/>
                <w:sz w:val="18"/>
                <w:szCs w:val="18"/>
              </w:rPr>
              <w:t>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noWrap/>
            <w:vAlign w:val="center"/>
          </w:tcPr>
          <w:p>
            <w:pPr>
              <w:spacing w:line="276" w:lineRule="auto"/>
              <w:ind w:right="183" w:rightChars="87"/>
              <w:jc w:val="center"/>
              <w:rPr>
                <w:bCs/>
                <w:kern w:val="1"/>
                <w:sz w:val="18"/>
                <w:szCs w:val="18"/>
              </w:rPr>
            </w:pPr>
            <w:r>
              <w:rPr>
                <w:rFonts w:hint="eastAsia"/>
                <w:bCs/>
                <w:kern w:val="1"/>
                <w:sz w:val="18"/>
                <w:szCs w:val="18"/>
              </w:rPr>
              <w:t>＞12.0～20.0</w:t>
            </w:r>
          </w:p>
        </w:tc>
        <w:tc>
          <w:tcPr>
            <w:tcW w:w="4643" w:type="dxa"/>
            <w:noWrap/>
            <w:vAlign w:val="center"/>
          </w:tcPr>
          <w:p>
            <w:pPr>
              <w:spacing w:line="276" w:lineRule="auto"/>
              <w:ind w:right="183" w:rightChars="87"/>
              <w:jc w:val="center"/>
              <w:rPr>
                <w:bCs/>
                <w:kern w:val="1"/>
                <w:sz w:val="18"/>
                <w:szCs w:val="18"/>
              </w:rPr>
            </w:pPr>
            <w:r>
              <w:rPr>
                <w:rFonts w:hint="eastAsia"/>
                <w:bCs/>
                <w:kern w:val="1"/>
                <w:sz w:val="18"/>
                <w:szCs w:val="18"/>
              </w:rPr>
              <w:t>0.2000</w:t>
            </w:r>
          </w:p>
        </w:tc>
      </w:tr>
    </w:tbl>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5.5.2 平行试验</w:t>
      </w:r>
    </w:p>
    <w:p>
      <w:pPr>
        <w:spacing w:line="360" w:lineRule="auto"/>
        <w:ind w:right="183" w:rightChars="87" w:firstLine="420" w:firstLineChars="200"/>
      </w:pPr>
      <w:r>
        <w:rPr>
          <w:rFonts w:hAnsi="宋体"/>
        </w:rPr>
        <w:t>平行做两份试验。</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5.5.3 空白试验</w:t>
      </w:r>
    </w:p>
    <w:p>
      <w:pPr>
        <w:spacing w:line="360" w:lineRule="auto"/>
        <w:ind w:firstLine="420" w:firstLineChars="200"/>
        <w:rPr>
          <w:szCs w:val="21"/>
        </w:rPr>
      </w:pPr>
      <w:r>
        <w:rPr>
          <w:rFonts w:hAnsi="宋体"/>
          <w:szCs w:val="21"/>
        </w:rPr>
        <w:t>随同试料做空白实验。</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5.5.4 测定</w:t>
      </w:r>
    </w:p>
    <w:p>
      <w:pPr>
        <w:spacing w:line="276" w:lineRule="auto"/>
        <w:rPr>
          <w:bCs/>
          <w:szCs w:val="21"/>
        </w:rPr>
      </w:pPr>
      <w:r>
        <w:rPr>
          <w:rFonts w:hint="eastAsia"/>
          <w:szCs w:val="21"/>
        </w:rPr>
        <w:t>5.5</w:t>
      </w:r>
      <w:r>
        <w:rPr>
          <w:szCs w:val="21"/>
        </w:rPr>
        <w:t>.4.1 将试料（</w:t>
      </w:r>
      <w:r>
        <w:rPr>
          <w:rFonts w:hint="eastAsia"/>
          <w:szCs w:val="21"/>
        </w:rPr>
        <w:t>5.5.1</w:t>
      </w:r>
      <w:r>
        <w:rPr>
          <w:szCs w:val="21"/>
        </w:rPr>
        <w:t>）</w:t>
      </w:r>
      <w:r>
        <w:rPr>
          <w:rFonts w:hAnsi="宋体"/>
          <w:szCs w:val="21"/>
        </w:rPr>
        <w:t>置于</w:t>
      </w:r>
      <w:r>
        <w:rPr>
          <w:szCs w:val="21"/>
        </w:rPr>
        <w:t>200 mL</w:t>
      </w:r>
      <w:r>
        <w:rPr>
          <w:rFonts w:hAnsi="宋体"/>
          <w:szCs w:val="21"/>
        </w:rPr>
        <w:t>烧杯</w:t>
      </w:r>
      <w:r>
        <w:rPr>
          <w:rFonts w:hAnsi="宋体"/>
          <w:bCs/>
          <w:szCs w:val="21"/>
        </w:rPr>
        <w:t>中，加入</w:t>
      </w:r>
      <w:r>
        <w:rPr>
          <w:bCs/>
          <w:szCs w:val="21"/>
        </w:rPr>
        <w:t xml:space="preserve">2 g </w:t>
      </w:r>
      <w:r>
        <w:rPr>
          <w:rFonts w:hAnsi="宋体"/>
          <w:bCs/>
          <w:szCs w:val="21"/>
        </w:rPr>
        <w:t>硫酸氢钾</w:t>
      </w:r>
      <w:r>
        <w:rPr>
          <w:bCs/>
          <w:szCs w:val="21"/>
        </w:rPr>
        <w:t>（5</w:t>
      </w:r>
      <w:r>
        <w:rPr>
          <w:rFonts w:hint="eastAsia"/>
          <w:bCs/>
          <w:szCs w:val="21"/>
        </w:rPr>
        <w:t>.2</w:t>
      </w:r>
      <w:r>
        <w:rPr>
          <w:bCs/>
          <w:szCs w:val="21"/>
        </w:rPr>
        <w:t>.</w:t>
      </w:r>
      <w:r>
        <w:rPr>
          <w:rFonts w:hint="eastAsia"/>
          <w:bCs/>
          <w:szCs w:val="21"/>
        </w:rPr>
        <w:t>1</w:t>
      </w:r>
      <w:r>
        <w:rPr>
          <w:bCs/>
          <w:szCs w:val="21"/>
        </w:rPr>
        <w:t>）</w:t>
      </w:r>
      <w:r>
        <w:rPr>
          <w:rFonts w:hAnsi="宋体"/>
          <w:bCs/>
          <w:szCs w:val="21"/>
        </w:rPr>
        <w:t>，</w:t>
      </w:r>
      <w:r>
        <w:rPr>
          <w:bCs/>
          <w:szCs w:val="21"/>
        </w:rPr>
        <w:t>0.2 g</w:t>
      </w:r>
      <w:r>
        <w:rPr>
          <w:rFonts w:hAnsi="宋体"/>
          <w:bCs/>
          <w:szCs w:val="21"/>
        </w:rPr>
        <w:t>硫酸肼</w:t>
      </w:r>
      <w:r>
        <w:rPr>
          <w:bCs/>
          <w:szCs w:val="21"/>
        </w:rPr>
        <w:t>（5</w:t>
      </w:r>
      <w:r>
        <w:rPr>
          <w:rFonts w:hint="eastAsia"/>
          <w:bCs/>
          <w:szCs w:val="21"/>
        </w:rPr>
        <w:t>.2</w:t>
      </w:r>
      <w:r>
        <w:rPr>
          <w:bCs/>
          <w:szCs w:val="21"/>
        </w:rPr>
        <w:t>.</w:t>
      </w:r>
      <w:r>
        <w:rPr>
          <w:rFonts w:hint="eastAsia"/>
          <w:bCs/>
          <w:szCs w:val="21"/>
        </w:rPr>
        <w:t>2</w:t>
      </w:r>
      <w:r>
        <w:rPr>
          <w:bCs/>
          <w:szCs w:val="21"/>
        </w:rPr>
        <w:t>）</w:t>
      </w:r>
      <w:r>
        <w:rPr>
          <w:rFonts w:hAnsi="宋体"/>
          <w:bCs/>
          <w:szCs w:val="21"/>
        </w:rPr>
        <w:t>，</w:t>
      </w:r>
      <w:r>
        <w:rPr>
          <w:bCs/>
          <w:szCs w:val="21"/>
        </w:rPr>
        <w:t xml:space="preserve">20 mL </w:t>
      </w:r>
      <w:r>
        <w:rPr>
          <w:rFonts w:hint="eastAsia"/>
          <w:bCs/>
          <w:szCs w:val="21"/>
        </w:rPr>
        <w:t>硫酸</w:t>
      </w:r>
      <w:r>
        <w:rPr>
          <w:bCs/>
          <w:szCs w:val="21"/>
        </w:rPr>
        <w:t>（5</w:t>
      </w:r>
      <w:r>
        <w:rPr>
          <w:rFonts w:hint="eastAsia"/>
          <w:bCs/>
          <w:szCs w:val="21"/>
        </w:rPr>
        <w:t>.2</w:t>
      </w:r>
      <w:r>
        <w:rPr>
          <w:bCs/>
          <w:szCs w:val="21"/>
        </w:rPr>
        <w:t>.</w:t>
      </w:r>
      <w:r>
        <w:rPr>
          <w:rFonts w:hint="eastAsia"/>
          <w:bCs/>
          <w:szCs w:val="21"/>
        </w:rPr>
        <w:t>4</w:t>
      </w:r>
      <w:r>
        <w:rPr>
          <w:bCs/>
          <w:szCs w:val="21"/>
        </w:rPr>
        <w:t>）</w:t>
      </w:r>
      <w:r>
        <w:rPr>
          <w:rFonts w:hint="eastAsia" w:hAnsi="宋体"/>
          <w:bCs/>
          <w:szCs w:val="21"/>
        </w:rPr>
        <w:t>。</w:t>
      </w:r>
    </w:p>
    <w:p>
      <w:pPr>
        <w:spacing w:line="276" w:lineRule="auto"/>
        <w:jc w:val="left"/>
        <w:rPr>
          <w:szCs w:val="21"/>
        </w:rPr>
      </w:pPr>
      <w:r>
        <w:rPr>
          <w:rFonts w:hint="eastAsia"/>
          <w:szCs w:val="21"/>
        </w:rPr>
        <w:t>5.5</w:t>
      </w:r>
      <w:r>
        <w:rPr>
          <w:szCs w:val="21"/>
        </w:rPr>
        <w:t xml:space="preserve">.4.2 </w:t>
      </w:r>
      <w:r>
        <w:rPr>
          <w:rFonts w:hAnsi="宋体"/>
          <w:bCs/>
          <w:szCs w:val="21"/>
        </w:rPr>
        <w:t>在</w:t>
      </w:r>
      <w:r>
        <w:rPr>
          <w:bCs/>
          <w:szCs w:val="21"/>
        </w:rPr>
        <w:t>250</w:t>
      </w:r>
      <w:r>
        <w:rPr>
          <w:rFonts w:hAnsi="宋体"/>
          <w:bCs/>
          <w:szCs w:val="21"/>
        </w:rPr>
        <w:t>℃高温电炉上加</w:t>
      </w:r>
      <w:r>
        <w:rPr>
          <w:rFonts w:hAnsi="宋体"/>
          <w:szCs w:val="21"/>
        </w:rPr>
        <w:t>热</w:t>
      </w:r>
      <w:r>
        <w:rPr>
          <w:rFonts w:hAnsi="宋体"/>
          <w:bCs/>
          <w:szCs w:val="21"/>
        </w:rPr>
        <w:t>溶解完全后，</w:t>
      </w:r>
      <w:r>
        <w:rPr>
          <w:rFonts w:hAnsi="宋体"/>
          <w:szCs w:val="21"/>
        </w:rPr>
        <w:t>继续</w:t>
      </w:r>
      <w:r>
        <w:rPr>
          <w:rFonts w:hAnsi="宋体"/>
          <w:bCs/>
          <w:szCs w:val="21"/>
        </w:rPr>
        <w:t>加</w:t>
      </w:r>
      <w:r>
        <w:rPr>
          <w:rFonts w:hAnsi="宋体"/>
          <w:szCs w:val="21"/>
        </w:rPr>
        <w:t>热至液面平静无小气泡，取下冷却。</w:t>
      </w:r>
    </w:p>
    <w:p>
      <w:pPr>
        <w:spacing w:line="276" w:lineRule="auto"/>
        <w:jc w:val="left"/>
        <w:rPr>
          <w:bCs/>
          <w:szCs w:val="21"/>
        </w:rPr>
      </w:pPr>
      <w:r>
        <w:rPr>
          <w:rFonts w:hint="eastAsia"/>
          <w:szCs w:val="21"/>
        </w:rPr>
        <w:t>5.5</w:t>
      </w:r>
      <w:r>
        <w:rPr>
          <w:szCs w:val="21"/>
        </w:rPr>
        <w:t xml:space="preserve">.4.3 </w:t>
      </w:r>
      <w:r>
        <w:rPr>
          <w:rFonts w:hAnsi="宋体"/>
          <w:szCs w:val="21"/>
        </w:rPr>
        <w:t>在</w:t>
      </w:r>
      <w:r>
        <w:rPr>
          <w:rFonts w:hint="eastAsia" w:hAnsi="宋体"/>
          <w:szCs w:val="21"/>
        </w:rPr>
        <w:t>轻微</w:t>
      </w:r>
      <w:r>
        <w:rPr>
          <w:rFonts w:hAnsi="宋体"/>
          <w:szCs w:val="21"/>
        </w:rPr>
        <w:t>摇动下沿</w:t>
      </w:r>
      <w:r>
        <w:rPr>
          <w:rFonts w:hint="eastAsia" w:hAnsi="宋体"/>
          <w:szCs w:val="21"/>
        </w:rPr>
        <w:t>杯</w:t>
      </w:r>
      <w:r>
        <w:rPr>
          <w:rFonts w:hAnsi="宋体"/>
          <w:szCs w:val="21"/>
        </w:rPr>
        <w:t>壁缓慢加入</w:t>
      </w:r>
      <w:r>
        <w:rPr>
          <w:szCs w:val="21"/>
        </w:rPr>
        <w:t>50 mL</w:t>
      </w:r>
      <w:r>
        <w:rPr>
          <w:rFonts w:hAnsi="宋体"/>
          <w:szCs w:val="21"/>
        </w:rPr>
        <w:t>水，加热至微沸</w:t>
      </w:r>
      <w:r>
        <w:rPr>
          <w:szCs w:val="21"/>
        </w:rPr>
        <w:t>3</w:t>
      </w:r>
      <w:r>
        <w:rPr>
          <w:rFonts w:hint="eastAsia"/>
          <w:szCs w:val="21"/>
        </w:rPr>
        <w:t xml:space="preserve"> </w:t>
      </w:r>
      <w:r>
        <w:rPr>
          <w:szCs w:val="21"/>
        </w:rPr>
        <w:t>min~5 min</w:t>
      </w:r>
      <w:r>
        <w:rPr>
          <w:rFonts w:hAnsi="宋体"/>
          <w:szCs w:val="21"/>
        </w:rPr>
        <w:t>，取下稍</w:t>
      </w:r>
      <w:r>
        <w:rPr>
          <w:rFonts w:hAnsi="宋体"/>
          <w:bCs/>
          <w:szCs w:val="21"/>
        </w:rPr>
        <w:t>冷</w:t>
      </w:r>
      <w:r>
        <w:rPr>
          <w:rFonts w:hAnsi="宋体"/>
          <w:szCs w:val="21"/>
        </w:rPr>
        <w:t>，再加入</w:t>
      </w:r>
      <w:r>
        <w:rPr>
          <w:szCs w:val="21"/>
        </w:rPr>
        <w:t xml:space="preserve">17 mL </w:t>
      </w:r>
      <w:r>
        <w:rPr>
          <w:rFonts w:hint="eastAsia"/>
          <w:szCs w:val="21"/>
        </w:rPr>
        <w:t>盐酸</w:t>
      </w:r>
      <w:r>
        <w:rPr>
          <w:bCs/>
          <w:szCs w:val="21"/>
        </w:rPr>
        <w:t>（5</w:t>
      </w:r>
      <w:r>
        <w:rPr>
          <w:rFonts w:hint="eastAsia"/>
          <w:bCs/>
          <w:szCs w:val="21"/>
        </w:rPr>
        <w:t>.2</w:t>
      </w:r>
      <w:r>
        <w:rPr>
          <w:bCs/>
          <w:szCs w:val="21"/>
        </w:rPr>
        <w:t>.</w:t>
      </w:r>
      <w:r>
        <w:rPr>
          <w:rFonts w:hint="eastAsia"/>
          <w:bCs/>
          <w:szCs w:val="21"/>
        </w:rPr>
        <w:t>3</w:t>
      </w:r>
      <w:r>
        <w:rPr>
          <w:bCs/>
          <w:szCs w:val="21"/>
        </w:rPr>
        <w:t>）</w:t>
      </w:r>
      <w:r>
        <w:rPr>
          <w:rFonts w:hAnsi="宋体"/>
          <w:szCs w:val="21"/>
        </w:rPr>
        <w:t>，</w:t>
      </w:r>
      <w:r>
        <w:rPr>
          <w:rFonts w:hAnsi="宋体"/>
          <w:bCs/>
          <w:szCs w:val="21"/>
        </w:rPr>
        <w:t>冷却。用水</w:t>
      </w:r>
      <w:r>
        <w:rPr>
          <w:rFonts w:hAnsi="宋体"/>
          <w:szCs w:val="21"/>
        </w:rPr>
        <w:t>稀释至</w:t>
      </w:r>
      <w:r>
        <w:rPr>
          <w:szCs w:val="21"/>
        </w:rPr>
        <w:t>100 mL</w:t>
      </w:r>
      <w:r>
        <w:rPr>
          <w:rFonts w:hAnsi="宋体"/>
          <w:szCs w:val="21"/>
        </w:rPr>
        <w:t>，待测。</w:t>
      </w:r>
    </w:p>
    <w:p>
      <w:pPr>
        <w:spacing w:line="276" w:lineRule="auto"/>
        <w:rPr>
          <w:szCs w:val="21"/>
        </w:rPr>
      </w:pPr>
      <w:r>
        <w:rPr>
          <w:rFonts w:hint="eastAsia"/>
          <w:szCs w:val="21"/>
        </w:rPr>
        <w:t>5.5</w:t>
      </w:r>
      <w:r>
        <w:rPr>
          <w:szCs w:val="21"/>
        </w:rPr>
        <w:t>.4.4 于电位滴定仪上，用KBrO</w:t>
      </w:r>
      <w:r>
        <w:rPr>
          <w:szCs w:val="21"/>
          <w:vertAlign w:val="subscript"/>
        </w:rPr>
        <w:t>3</w:t>
      </w:r>
      <w:r>
        <w:rPr>
          <w:szCs w:val="21"/>
        </w:rPr>
        <w:t>-KBr标准</w:t>
      </w:r>
      <w:r>
        <w:rPr>
          <w:rFonts w:hint="eastAsia"/>
          <w:szCs w:val="21"/>
        </w:rPr>
        <w:t>滴定</w:t>
      </w:r>
      <w:r>
        <w:rPr>
          <w:szCs w:val="21"/>
        </w:rPr>
        <w:t>溶液</w:t>
      </w:r>
      <w:r>
        <w:rPr>
          <w:bCs/>
          <w:szCs w:val="21"/>
        </w:rPr>
        <w:t>（5</w:t>
      </w:r>
      <w:r>
        <w:rPr>
          <w:rFonts w:hint="eastAsia"/>
          <w:bCs/>
          <w:szCs w:val="21"/>
        </w:rPr>
        <w:t>.2</w:t>
      </w:r>
      <w:r>
        <w:rPr>
          <w:bCs/>
          <w:szCs w:val="21"/>
        </w:rPr>
        <w:t>.</w:t>
      </w:r>
      <w:r>
        <w:rPr>
          <w:rFonts w:hint="eastAsia"/>
          <w:bCs/>
          <w:szCs w:val="21"/>
        </w:rPr>
        <w:t>6</w:t>
      </w:r>
      <w:r>
        <w:rPr>
          <w:bCs/>
          <w:szCs w:val="21"/>
        </w:rPr>
        <w:t>）</w:t>
      </w:r>
      <w:r>
        <w:rPr>
          <w:szCs w:val="21"/>
        </w:rPr>
        <w:t>进行电位滴定。</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5.5.5 实验数据处理</w:t>
      </w:r>
    </w:p>
    <w:p>
      <w:pPr>
        <w:spacing w:line="276" w:lineRule="auto"/>
        <w:ind w:firstLine="420" w:firstLineChars="200"/>
        <w:rPr>
          <w:bCs/>
          <w:kern w:val="1"/>
          <w:szCs w:val="21"/>
        </w:rPr>
      </w:pPr>
      <w:r>
        <w:rPr>
          <w:rFonts w:hAnsi="宋体"/>
          <w:szCs w:val="21"/>
        </w:rPr>
        <w:t>锑</w:t>
      </w:r>
      <w:r>
        <w:rPr>
          <w:rFonts w:hint="eastAsia" w:hAnsi="宋体"/>
          <w:szCs w:val="21"/>
        </w:rPr>
        <w:t>的含量以</w:t>
      </w:r>
      <w:r>
        <w:rPr>
          <w:rFonts w:hAnsi="宋体"/>
          <w:szCs w:val="21"/>
        </w:rPr>
        <w:t>锑</w:t>
      </w:r>
      <w:r>
        <w:rPr>
          <w:rFonts w:hint="eastAsia" w:hAnsi="宋体"/>
          <w:szCs w:val="21"/>
        </w:rPr>
        <w:t>的质量分数</w:t>
      </w:r>
      <w:r>
        <w:rPr>
          <w:rFonts w:hint="eastAsia" w:hAnsi="宋体"/>
          <w:i/>
          <w:iCs/>
          <w:szCs w:val="21"/>
        </w:rPr>
        <w:t>w</w:t>
      </w:r>
      <w:r>
        <w:rPr>
          <w:rFonts w:hint="eastAsia" w:hAnsi="宋体"/>
          <w:i/>
          <w:szCs w:val="21"/>
        </w:rPr>
        <w:t>'</w:t>
      </w:r>
      <w:r>
        <w:rPr>
          <w:rFonts w:hint="eastAsia" w:hAnsi="宋体"/>
          <w:szCs w:val="21"/>
        </w:rPr>
        <w:t xml:space="preserve"> 计，按公式（4）</w:t>
      </w:r>
      <w:r>
        <w:rPr>
          <w:rFonts w:hint="eastAsia"/>
          <w:bCs/>
          <w:kern w:val="1"/>
          <w:szCs w:val="21"/>
        </w:rPr>
        <w:t>计算：</w:t>
      </w:r>
    </w:p>
    <w:p>
      <w:pPr>
        <w:spacing w:line="360" w:lineRule="auto"/>
        <w:ind w:firstLine="422" w:firstLineChars="150"/>
        <w:jc w:val="center"/>
        <w:rPr>
          <w:rStyle w:val="11"/>
          <w:rFonts w:ascii="宋体" w:hAnsi="宋体"/>
          <w:b w:val="0"/>
          <w:sz w:val="28"/>
          <w:szCs w:val="28"/>
        </w:rPr>
      </w:pPr>
      <w:r>
        <w:rPr>
          <w:rStyle w:val="11"/>
          <w:rFonts w:hint="eastAsia"/>
          <w:position w:val="-22"/>
          <w:sz w:val="28"/>
          <w:szCs w:val="28"/>
          <w:lang w:val="en-US" w:eastAsia="zh-CN"/>
        </w:rPr>
        <w:t xml:space="preserve">             </w:t>
      </w:r>
      <w:r>
        <w:rPr>
          <w:rStyle w:val="11"/>
          <w:position w:val="-22"/>
          <w:sz w:val="28"/>
          <w:szCs w:val="28"/>
        </w:rPr>
        <w:object>
          <v:shape id="_x0000_i1036" o:spt="75" type="#_x0000_t75" style="height:29.9pt;width:148.75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28" r:id="rId21">
            <o:LockedField>false</o:LockedField>
          </o:OLEObject>
        </w:object>
      </w:r>
      <w:r>
        <w:rPr>
          <w:rStyle w:val="11"/>
          <w:rFonts w:ascii="宋体" w:hAnsi="宋体"/>
          <w:b w:val="0"/>
          <w:sz w:val="21"/>
          <w:szCs w:val="21"/>
        </w:rPr>
        <w:t>…</w:t>
      </w:r>
      <w:r>
        <w:rPr>
          <w:rStyle w:val="11"/>
          <w:rFonts w:ascii="宋体" w:hAnsi="宋体"/>
          <w:b w:val="0"/>
          <w:sz w:val="21"/>
          <w:szCs w:val="21"/>
        </w:rPr>
        <w:t>…………………………………</w:t>
      </w:r>
      <w:r>
        <w:rPr>
          <w:rStyle w:val="11"/>
          <w:rFonts w:ascii="宋体" w:hAnsi="宋体"/>
          <w:b w:val="0"/>
          <w:sz w:val="21"/>
          <w:szCs w:val="21"/>
        </w:rPr>
        <w:t>……</w:t>
      </w:r>
      <w:r>
        <w:rPr>
          <w:rStyle w:val="11"/>
          <w:rFonts w:hint="eastAsia" w:ascii="宋体" w:hAnsi="宋体"/>
          <w:b w:val="0"/>
          <w:sz w:val="21"/>
          <w:szCs w:val="21"/>
        </w:rPr>
        <w:t>（4）</w:t>
      </w:r>
    </w:p>
    <w:p>
      <w:pPr>
        <w:spacing w:line="276" w:lineRule="auto"/>
        <w:ind w:firstLine="420" w:firstLineChars="200"/>
        <w:rPr>
          <w:rStyle w:val="11"/>
          <w:rFonts w:ascii="宋体" w:hAnsi="宋体"/>
          <w:b w:val="0"/>
          <w:szCs w:val="21"/>
        </w:rPr>
      </w:pPr>
      <w:r>
        <w:rPr>
          <w:rStyle w:val="11"/>
          <w:rFonts w:hint="eastAsia" w:ascii="宋体" w:hAnsi="宋体"/>
          <w:b w:val="0"/>
          <w:szCs w:val="21"/>
        </w:rPr>
        <w:t>式中：</w:t>
      </w:r>
    </w:p>
    <w:p>
      <w:pPr>
        <w:spacing w:line="276" w:lineRule="auto"/>
        <w:ind w:firstLine="420" w:firstLineChars="200"/>
        <w:rPr>
          <w:rFonts w:hAnsi="宋体"/>
          <w:szCs w:val="21"/>
        </w:rPr>
      </w:pPr>
      <w:r>
        <w:rPr>
          <w:szCs w:val="21"/>
        </w:rPr>
        <w:fldChar w:fldCharType="begin"/>
      </w:r>
      <w:r>
        <w:rPr>
          <w:szCs w:val="21"/>
        </w:rPr>
        <w:instrText xml:space="preserve"> QUOTE </w:instrText>
      </w:r>
      <w:r>
        <w:rPr>
          <w:position w:val="-8"/>
        </w:rPr>
        <w:pict>
          <v:shape id="_x0000_i1037" o:spt="75" type="#_x0000_t75" style="height:15.6pt;width:8.15pt;" filled="f" o:preferrelative="t" stroked="f" coordsize="21600,21600" equationxml="&lt;">
            <v:path/>
            <v:fill on="f" focussize="0,0"/>
            <v:stroke on="f" joinstyle="miter"/>
            <v:imagedata r:id="rId19" chromakey="#FFFFFF" o:title=""/>
            <o:lock v:ext="edit" aspectratio="t"/>
            <w10:wrap type="none"/>
            <w10:anchorlock/>
          </v:shape>
        </w:pict>
      </w:r>
      <w:r>
        <w:rPr>
          <w:szCs w:val="21"/>
        </w:rPr>
        <w:fldChar w:fldCharType="separate"/>
      </w:r>
      <w:r>
        <w:rPr>
          <w:position w:val="-8"/>
        </w:rPr>
        <w:pict>
          <v:shape id="_x0000_i1038" o:spt="75" type="#_x0000_t75" style="height:15.6pt;width:8.15pt;" filled="f" o:preferrelative="t" stroked="f" coordsize="21600,21600" equationxml="&lt;">
            <v:path/>
            <v:fill on="f" focussize="0,0"/>
            <v:stroke on="f" joinstyle="miter"/>
            <v:imagedata r:id="rId19" chromakey="#FFFFFF" o:title=""/>
            <o:lock v:ext="edit" aspectratio="t"/>
            <w10:wrap type="none"/>
            <w10:anchorlock/>
          </v:shape>
        </w:pict>
      </w:r>
      <w:r>
        <w:rPr>
          <w:szCs w:val="21"/>
        </w:rPr>
        <w:fldChar w:fldCharType="end"/>
      </w:r>
      <w:r>
        <w:rPr>
          <w:szCs w:val="21"/>
        </w:rPr>
        <w:t>——</w:t>
      </w:r>
      <w:r>
        <w:rPr>
          <w:rFonts w:hint="eastAsia" w:hAnsi="宋体"/>
          <w:szCs w:val="21"/>
        </w:rPr>
        <w:t>KBrO</w:t>
      </w:r>
      <w:r>
        <w:rPr>
          <w:rFonts w:hint="eastAsia" w:hAnsi="宋体"/>
          <w:szCs w:val="21"/>
          <w:vertAlign w:val="subscript"/>
        </w:rPr>
        <w:t>3</w:t>
      </w:r>
      <w:r>
        <w:rPr>
          <w:rFonts w:hint="eastAsia" w:hAnsi="宋体"/>
          <w:szCs w:val="21"/>
        </w:rPr>
        <w:t>标准滴定溶液的实际浓度，单位为摩尔每升（mol/L）；</w:t>
      </w:r>
    </w:p>
    <w:p>
      <w:pPr>
        <w:spacing w:line="276" w:lineRule="auto"/>
        <w:ind w:firstLine="420" w:firstLineChars="200"/>
        <w:rPr>
          <w:rFonts w:hAnsi="宋体"/>
          <w:szCs w:val="21"/>
        </w:rPr>
      </w:pPr>
      <w:r>
        <w:rPr>
          <w:rFonts w:hint="eastAsia" w:hAnsi="宋体"/>
          <w:i/>
          <w:iCs/>
          <w:szCs w:val="21"/>
        </w:rPr>
        <w:t>V</w:t>
      </w:r>
      <w:r>
        <w:rPr>
          <w:rFonts w:hint="eastAsia" w:hAnsi="宋体"/>
          <w:szCs w:val="21"/>
          <w:vertAlign w:val="subscript"/>
        </w:rPr>
        <w:t>5</w:t>
      </w:r>
      <w:r>
        <w:rPr>
          <w:szCs w:val="21"/>
        </w:rPr>
        <w:t>——</w:t>
      </w:r>
      <w:r>
        <w:rPr>
          <w:rFonts w:hint="eastAsia" w:hAnsi="宋体"/>
          <w:szCs w:val="21"/>
        </w:rPr>
        <w:t>滴定试液时所消耗KBrO</w:t>
      </w:r>
      <w:r>
        <w:rPr>
          <w:rFonts w:hint="eastAsia" w:hAnsi="宋体"/>
          <w:szCs w:val="21"/>
          <w:vertAlign w:val="subscript"/>
        </w:rPr>
        <w:t>3</w:t>
      </w:r>
      <w:r>
        <w:rPr>
          <w:rFonts w:hint="eastAsia" w:hAnsi="宋体"/>
          <w:szCs w:val="21"/>
        </w:rPr>
        <w:t>标准滴定溶液的体积，单位为毫升（mL）；</w:t>
      </w:r>
    </w:p>
    <w:p>
      <w:pPr>
        <w:spacing w:line="276" w:lineRule="auto"/>
        <w:ind w:firstLine="420" w:firstLineChars="200"/>
        <w:rPr>
          <w:rFonts w:hAnsi="宋体"/>
          <w:szCs w:val="21"/>
        </w:rPr>
      </w:pPr>
      <w:r>
        <w:rPr>
          <w:szCs w:val="21"/>
        </w:rPr>
        <w:fldChar w:fldCharType="begin"/>
      </w:r>
      <w:r>
        <w:rPr>
          <w:szCs w:val="21"/>
        </w:rPr>
        <w:instrText xml:space="preserve"> QUOTE </w:instrText>
      </w:r>
      <w:r>
        <w:rPr>
          <w:position w:val="-8"/>
        </w:rPr>
        <w:pict>
          <v:shape id="_x0000_i1039" o:spt="75" type="#_x0000_t75" style="height:15.6pt;width:10.85pt;" filled="f" o:preferrelative="t" stroked="f" coordsize="21600,21600" equationxml="&lt;">
            <v:path/>
            <v:fill on="f" focussize="0,0"/>
            <v:stroke on="f" joinstyle="miter"/>
            <v:imagedata r:id="rId20" chromakey="#FFFFFF" o:title=""/>
            <o:lock v:ext="edit" aspectratio="t"/>
            <w10:wrap type="none"/>
            <w10:anchorlock/>
          </v:shape>
        </w:pict>
      </w:r>
      <w:r>
        <w:rPr>
          <w:szCs w:val="21"/>
        </w:rPr>
        <w:fldChar w:fldCharType="separate"/>
      </w:r>
      <w:r>
        <w:rPr>
          <w:position w:val="-8"/>
        </w:rPr>
        <w:pict>
          <v:shape id="_x0000_i1040" o:spt="75" type="#_x0000_t75" style="height:15.6pt;width:10.85pt;" filled="f" o:preferrelative="t" stroked="f" coordsize="21600,21600" equationxml="&lt;">
            <v:path/>
            <v:fill on="f" focussize="0,0"/>
            <v:stroke on="f" joinstyle="miter"/>
            <v:imagedata r:id="rId20" chromakey="#FFFFFF" o:title=""/>
            <o:lock v:ext="edit" aspectratio="t"/>
            <w10:wrap type="none"/>
            <w10:anchorlock/>
          </v:shape>
        </w:pict>
      </w:r>
      <w:r>
        <w:rPr>
          <w:szCs w:val="21"/>
        </w:rPr>
        <w:fldChar w:fldCharType="end"/>
      </w:r>
      <w:r>
        <w:rPr>
          <w:szCs w:val="21"/>
        </w:rPr>
        <w:t>——</w:t>
      </w:r>
      <w:r>
        <w:rPr>
          <w:rFonts w:hint="eastAsia" w:hAnsi="宋体"/>
          <w:szCs w:val="21"/>
        </w:rPr>
        <w:t>空白试验所消耗KBrO</w:t>
      </w:r>
      <w:r>
        <w:rPr>
          <w:rFonts w:hint="eastAsia" w:hAnsi="宋体"/>
          <w:szCs w:val="21"/>
          <w:vertAlign w:val="subscript"/>
        </w:rPr>
        <w:t>3</w:t>
      </w:r>
      <w:r>
        <w:rPr>
          <w:rFonts w:hint="eastAsia" w:hAnsi="宋体"/>
          <w:szCs w:val="21"/>
        </w:rPr>
        <w:t>标准滴定溶液的体积，单位为毫升（mL）；</w:t>
      </w:r>
    </w:p>
    <w:p>
      <w:pPr>
        <w:adjustRightInd w:val="0"/>
        <w:snapToGrid w:val="0"/>
        <w:spacing w:line="360" w:lineRule="exact"/>
        <w:ind w:firstLine="444" w:firstLineChars="200"/>
        <w:rPr>
          <w:spacing w:val="6"/>
          <w:szCs w:val="21"/>
        </w:rPr>
      </w:pPr>
      <w:r>
        <w:rPr>
          <w:iCs/>
          <w:spacing w:val="6"/>
          <w:szCs w:val="21"/>
        </w:rPr>
        <w:t>60.8</w:t>
      </w:r>
      <w:r>
        <w:rPr>
          <w:rFonts w:hint="eastAsia"/>
          <w:iCs/>
          <w:spacing w:val="6"/>
          <w:szCs w:val="21"/>
        </w:rPr>
        <w:t>8</w:t>
      </w:r>
      <w:r>
        <w:rPr>
          <w:spacing w:val="6"/>
          <w:szCs w:val="21"/>
        </w:rPr>
        <w:t>——</w:t>
      </w:r>
      <w:r>
        <w:rPr>
          <w:rFonts w:hAnsi="宋体"/>
          <w:szCs w:val="21"/>
        </w:rPr>
        <w:t>锑</w:t>
      </w:r>
      <w:r>
        <w:rPr>
          <w:szCs w:val="21"/>
        </w:rPr>
        <w:t>(1/2</w:t>
      </w:r>
      <w:r>
        <w:rPr>
          <w:rFonts w:hint="eastAsia"/>
          <w:szCs w:val="21"/>
        </w:rPr>
        <w:t xml:space="preserve"> </w:t>
      </w:r>
      <w:r>
        <w:rPr>
          <w:szCs w:val="21"/>
        </w:rPr>
        <w:t>Sb)</w:t>
      </w:r>
      <w:r>
        <w:rPr>
          <w:rFonts w:hAnsi="宋体"/>
          <w:szCs w:val="21"/>
        </w:rPr>
        <w:t>的摩尔质量，单位为克每摩尔</w:t>
      </w:r>
      <w:r>
        <w:rPr>
          <w:szCs w:val="21"/>
        </w:rPr>
        <w:t>(g/moL)</w:t>
      </w:r>
      <w:r>
        <w:rPr>
          <w:rFonts w:hAnsi="宋体"/>
          <w:spacing w:val="6"/>
          <w:szCs w:val="21"/>
        </w:rPr>
        <w:t>。</w:t>
      </w:r>
    </w:p>
    <w:p>
      <w:pPr>
        <w:spacing w:line="276" w:lineRule="auto"/>
        <w:ind w:firstLine="420" w:firstLineChars="200"/>
        <w:rPr>
          <w:rFonts w:hAnsi="宋体"/>
          <w:szCs w:val="21"/>
        </w:rPr>
      </w:pPr>
      <w:r>
        <w:rPr>
          <w:rFonts w:hint="eastAsia" w:hAnsi="宋体"/>
          <w:i/>
          <w:szCs w:val="21"/>
        </w:rPr>
        <w:t>m'</w:t>
      </w:r>
      <w:r>
        <w:rPr>
          <w:szCs w:val="21"/>
        </w:rPr>
        <w:t>——</w:t>
      </w:r>
      <w:r>
        <w:rPr>
          <w:rFonts w:hint="eastAsia"/>
          <w:szCs w:val="21"/>
        </w:rPr>
        <w:t>试料的质量，</w:t>
      </w:r>
      <w:r>
        <w:rPr>
          <w:rFonts w:hint="eastAsia" w:hAnsi="宋体"/>
          <w:szCs w:val="21"/>
        </w:rPr>
        <w:t>单位为克（g）。</w:t>
      </w:r>
    </w:p>
    <w:p>
      <w:pPr>
        <w:spacing w:line="276" w:lineRule="auto"/>
        <w:ind w:firstLine="420" w:firstLineChars="200"/>
        <w:rPr>
          <w:rFonts w:hAnsi="宋体"/>
          <w:szCs w:val="21"/>
        </w:rPr>
      </w:pPr>
      <w:r>
        <w:rPr>
          <w:rFonts w:hAnsi="宋体"/>
          <w:szCs w:val="21"/>
        </w:rPr>
        <w:t>所得结果</w:t>
      </w:r>
      <w:r>
        <w:rPr>
          <w:rFonts w:hint="eastAsia" w:hAnsi="宋体"/>
          <w:szCs w:val="21"/>
        </w:rPr>
        <w:t>表</w:t>
      </w:r>
      <w:r>
        <w:rPr>
          <w:rFonts w:hAnsi="宋体"/>
          <w:szCs w:val="21"/>
        </w:rPr>
        <w:t>示至</w:t>
      </w:r>
      <w:r>
        <w:rPr>
          <w:rFonts w:hint="eastAsia" w:hAnsi="宋体"/>
          <w:szCs w:val="21"/>
        </w:rPr>
        <w:t>小数点后两</w:t>
      </w:r>
      <w:r>
        <w:rPr>
          <w:rFonts w:hAnsi="宋体"/>
          <w:szCs w:val="21"/>
        </w:rPr>
        <w:t>位。</w:t>
      </w:r>
      <w:r>
        <w:rPr>
          <w:rFonts w:hAnsi="宋体"/>
          <w:spacing w:val="6"/>
        </w:rPr>
        <w:t>数值修约按照</w:t>
      </w:r>
      <w:r>
        <w:rPr>
          <w:spacing w:val="6"/>
        </w:rPr>
        <w:t>GB/T 8170</w:t>
      </w:r>
      <w:r>
        <w:rPr>
          <w:rFonts w:hAnsi="宋体"/>
          <w:spacing w:val="6"/>
        </w:rPr>
        <w:t>规定执行。</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5.6 精密度</w:t>
      </w:r>
    </w:p>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5.6.1 重复性</w:t>
      </w:r>
    </w:p>
    <w:p>
      <w:pPr>
        <w:adjustRightInd w:val="0"/>
        <w:snapToGrid w:val="0"/>
        <w:spacing w:line="360" w:lineRule="exact"/>
        <w:ind w:firstLine="420" w:firstLineChars="200"/>
        <w:rPr>
          <w:szCs w:val="21"/>
        </w:rPr>
      </w:pPr>
      <w:r>
        <w:rPr>
          <w:rFonts w:hAnsi="宋体"/>
          <w:szCs w:val="21"/>
        </w:rPr>
        <w:t>在重复性条件下获得的两次独立测试结果的测定值，在</w:t>
      </w:r>
      <w:r>
        <w:rPr>
          <w:rFonts w:hint="eastAsia" w:hAnsi="宋体"/>
          <w:szCs w:val="21"/>
        </w:rPr>
        <w:t>表5</w:t>
      </w:r>
      <w:r>
        <w:rPr>
          <w:rFonts w:hAnsi="宋体"/>
          <w:szCs w:val="21"/>
        </w:rPr>
        <w:t>给出的平均值范围内，这两个测试结果的绝对差值不超过重复性限（</w:t>
      </w:r>
      <w:r>
        <w:rPr>
          <w:i/>
          <w:szCs w:val="21"/>
        </w:rPr>
        <w:t>r</w:t>
      </w:r>
      <w:r>
        <w:rPr>
          <w:rFonts w:hAnsi="宋体"/>
          <w:szCs w:val="21"/>
        </w:rPr>
        <w:t>），超过重复性限（</w:t>
      </w:r>
      <w:r>
        <w:rPr>
          <w:i/>
          <w:szCs w:val="21"/>
        </w:rPr>
        <w:t>r</w:t>
      </w:r>
      <w:r>
        <w:rPr>
          <w:rFonts w:hAnsi="宋体"/>
          <w:szCs w:val="21"/>
        </w:rPr>
        <w:t>）的情况不超过</w:t>
      </w:r>
      <w:r>
        <w:rPr>
          <w:szCs w:val="21"/>
        </w:rPr>
        <w:t>5%</w:t>
      </w:r>
      <w:r>
        <w:rPr>
          <w:rFonts w:hAnsi="宋体"/>
          <w:szCs w:val="21"/>
        </w:rPr>
        <w:t>。重复性限（</w:t>
      </w:r>
      <w:r>
        <w:rPr>
          <w:i/>
          <w:szCs w:val="21"/>
        </w:rPr>
        <w:t>r</w:t>
      </w:r>
      <w:r>
        <w:rPr>
          <w:rFonts w:hAnsi="宋体"/>
          <w:szCs w:val="21"/>
        </w:rPr>
        <w:t>）按照表</w:t>
      </w:r>
      <w:r>
        <w:rPr>
          <w:rFonts w:hint="eastAsia"/>
          <w:szCs w:val="21"/>
        </w:rPr>
        <w:t>5</w:t>
      </w:r>
      <w:r>
        <w:rPr>
          <w:rFonts w:hAnsi="宋体"/>
          <w:szCs w:val="21"/>
        </w:rPr>
        <w:t>数据采用线性内插法和外延法求得。</w:t>
      </w:r>
      <w:r>
        <w:rPr>
          <w:rFonts w:hAnsi="宋体"/>
        </w:rPr>
        <w:t>从实验室间试验结果得到的统计数据见附录</w:t>
      </w:r>
      <w:r>
        <w:t>A</w:t>
      </w:r>
      <w:r>
        <w:rPr>
          <w:rFonts w:hAnsi="宋体"/>
        </w:rPr>
        <w:t>。</w:t>
      </w:r>
    </w:p>
    <w:p>
      <w:pPr>
        <w:tabs>
          <w:tab w:val="center" w:pos="5028"/>
          <w:tab w:val="right" w:pos="9637"/>
        </w:tabs>
        <w:adjustRightInd w:val="0"/>
        <w:snapToGrid w:val="0"/>
        <w:spacing w:beforeLines="50" w:afterLines="50"/>
        <w:jc w:val="center"/>
        <w:rPr>
          <w:rFonts w:eastAsia="黑体"/>
          <w:bCs/>
          <w:szCs w:val="21"/>
        </w:rPr>
      </w:pPr>
      <w:r>
        <w:rPr>
          <w:rFonts w:hint="eastAsia" w:ascii="黑体" w:hAnsi="黑体" w:eastAsia="黑体" w:cs="黑体"/>
          <w:bCs/>
          <w:szCs w:val="21"/>
        </w:rPr>
        <w:t>表5  方法2重复性限（</w:t>
      </w:r>
      <w:r>
        <w:rPr>
          <w:rFonts w:hint="eastAsia" w:ascii="黑体" w:hAnsi="黑体" w:eastAsia="黑体" w:cs="黑体"/>
          <w:bCs/>
          <w:i/>
          <w:iCs/>
          <w:szCs w:val="21"/>
        </w:rPr>
        <w:t>r</w:t>
      </w:r>
      <w:r>
        <w:rPr>
          <w:rFonts w:hint="eastAsia" w:ascii="黑体" w:hAnsi="黑体" w:eastAsia="黑体" w:cs="黑体"/>
          <w:bCs/>
          <w:szCs w:val="21"/>
        </w:rPr>
        <w:t>）</w:t>
      </w:r>
    </w:p>
    <w:tbl>
      <w:tblPr>
        <w:tblStyle w:val="7"/>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5"/>
        <w:gridCol w:w="1315"/>
        <w:gridCol w:w="1315"/>
        <w:gridCol w:w="1315"/>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2.04</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7.73</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11.40</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15.05</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kern w:val="0"/>
                <w:sz w:val="18"/>
                <w:szCs w:val="18"/>
              </w:rPr>
              <w:t>r</w:t>
            </w:r>
            <w:r>
              <w:rPr>
                <w:kern w:val="0"/>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0.059</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0.106</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0.120</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0.148</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0.213</w:t>
            </w:r>
          </w:p>
        </w:tc>
      </w:tr>
    </w:tbl>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5.6.2 再现性</w:t>
      </w:r>
    </w:p>
    <w:p>
      <w:pPr>
        <w:adjustRightInd w:val="0"/>
        <w:snapToGrid w:val="0"/>
        <w:spacing w:line="360" w:lineRule="exact"/>
        <w:ind w:firstLine="420" w:firstLineChars="200"/>
        <w:rPr>
          <w:szCs w:val="21"/>
        </w:rPr>
      </w:pPr>
      <w:r>
        <w:rPr>
          <w:rFonts w:hAnsi="宋体"/>
          <w:szCs w:val="21"/>
        </w:rPr>
        <w:t>在再现性条件下获得的两次独立测试结果的测定值，在</w:t>
      </w:r>
      <w:r>
        <w:rPr>
          <w:rFonts w:hint="eastAsia" w:hAnsi="宋体"/>
          <w:szCs w:val="21"/>
        </w:rPr>
        <w:t>表6</w:t>
      </w:r>
      <w:r>
        <w:rPr>
          <w:rFonts w:hAnsi="宋体"/>
          <w:szCs w:val="21"/>
        </w:rPr>
        <w:t>给出的平均值范围内，这两个测试结果的绝对差值不超过再现性限（</w:t>
      </w:r>
      <w:r>
        <w:rPr>
          <w:i/>
          <w:szCs w:val="21"/>
        </w:rPr>
        <w:t>R</w:t>
      </w:r>
      <w:r>
        <w:rPr>
          <w:rFonts w:hAnsi="宋体"/>
          <w:szCs w:val="21"/>
        </w:rPr>
        <w:t>），超过再现性限（</w:t>
      </w:r>
      <w:r>
        <w:rPr>
          <w:i/>
          <w:szCs w:val="21"/>
        </w:rPr>
        <w:t>R</w:t>
      </w:r>
      <w:r>
        <w:rPr>
          <w:rFonts w:hAnsi="宋体"/>
          <w:szCs w:val="21"/>
        </w:rPr>
        <w:t>）的情况不超过</w:t>
      </w:r>
      <w:r>
        <w:rPr>
          <w:szCs w:val="21"/>
        </w:rPr>
        <w:t>5%</w:t>
      </w:r>
      <w:r>
        <w:rPr>
          <w:rFonts w:hAnsi="宋体"/>
          <w:szCs w:val="21"/>
        </w:rPr>
        <w:t>。再现性限（</w:t>
      </w:r>
      <w:r>
        <w:rPr>
          <w:i/>
          <w:szCs w:val="21"/>
        </w:rPr>
        <w:t>R</w:t>
      </w:r>
      <w:r>
        <w:rPr>
          <w:rFonts w:hAnsi="宋体"/>
          <w:szCs w:val="21"/>
        </w:rPr>
        <w:t>）按照表</w:t>
      </w:r>
      <w:r>
        <w:rPr>
          <w:rFonts w:hint="eastAsia"/>
          <w:szCs w:val="21"/>
        </w:rPr>
        <w:t>6</w:t>
      </w:r>
      <w:r>
        <w:rPr>
          <w:rFonts w:hAnsi="宋体"/>
          <w:szCs w:val="21"/>
        </w:rPr>
        <w:t>数据采用线性内插法和外延法求得。</w:t>
      </w:r>
    </w:p>
    <w:p>
      <w:pPr>
        <w:tabs>
          <w:tab w:val="center" w:pos="5028"/>
          <w:tab w:val="right" w:pos="9637"/>
        </w:tabs>
        <w:adjustRightInd w:val="0"/>
        <w:snapToGrid w:val="0"/>
        <w:spacing w:beforeLines="50" w:afterLines="50"/>
        <w:jc w:val="center"/>
        <w:rPr>
          <w:rFonts w:ascii="黑体" w:hAnsi="黑体" w:eastAsia="黑体" w:cs="黑体"/>
          <w:bCs/>
          <w:szCs w:val="21"/>
        </w:rPr>
      </w:pPr>
      <w:r>
        <w:rPr>
          <w:rFonts w:hint="eastAsia" w:ascii="黑体" w:hAnsi="黑体" w:eastAsia="黑体" w:cs="黑体"/>
          <w:bCs/>
          <w:szCs w:val="21"/>
        </w:rPr>
        <w:t>表6  方法2再现性限（</w:t>
      </w:r>
      <w:r>
        <w:rPr>
          <w:rFonts w:hint="eastAsia" w:ascii="黑体" w:hAnsi="黑体" w:eastAsia="黑体" w:cs="黑体"/>
          <w:bCs/>
          <w:i/>
          <w:iCs/>
          <w:szCs w:val="21"/>
        </w:rPr>
        <w:t>R</w:t>
      </w:r>
      <w:r>
        <w:rPr>
          <w:rFonts w:hint="eastAsia" w:ascii="黑体" w:hAnsi="黑体" w:eastAsia="黑体" w:cs="黑体"/>
          <w:bCs/>
          <w:szCs w:val="21"/>
        </w:rPr>
        <w:t>）</w:t>
      </w:r>
    </w:p>
    <w:tbl>
      <w:tblPr>
        <w:tblStyle w:val="7"/>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5"/>
        <w:gridCol w:w="1315"/>
        <w:gridCol w:w="1315"/>
        <w:gridCol w:w="1315"/>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2.04</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7.73</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11.40</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15.05</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505" w:type="dxa"/>
            <w:noWrap/>
            <w:vAlign w:val="center"/>
          </w:tcPr>
          <w:p>
            <w:pPr>
              <w:tabs>
                <w:tab w:val="center" w:pos="5028"/>
                <w:tab w:val="right" w:pos="9637"/>
              </w:tabs>
              <w:adjustRightInd w:val="0"/>
              <w:snapToGrid w:val="0"/>
              <w:jc w:val="center"/>
              <w:rPr>
                <w:bCs/>
                <w:sz w:val="18"/>
                <w:szCs w:val="18"/>
              </w:rPr>
            </w:pPr>
            <w:r>
              <w:rPr>
                <w:i/>
                <w:sz w:val="18"/>
                <w:szCs w:val="18"/>
              </w:rPr>
              <w:t>R</w:t>
            </w:r>
            <w:r>
              <w:rPr>
                <w:sz w:val="18"/>
                <w:szCs w:val="18"/>
              </w:rPr>
              <w:t>/%</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0.087</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0.283</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0.179</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0.190</w:t>
            </w:r>
          </w:p>
        </w:tc>
        <w:tc>
          <w:tcPr>
            <w:tcW w:w="1315" w:type="dxa"/>
            <w:noWrap/>
            <w:vAlign w:val="center"/>
          </w:tcPr>
          <w:p>
            <w:pPr>
              <w:tabs>
                <w:tab w:val="center" w:pos="5028"/>
                <w:tab w:val="right" w:pos="9637"/>
              </w:tabs>
              <w:adjustRightInd w:val="0"/>
              <w:snapToGrid w:val="0"/>
              <w:jc w:val="center"/>
              <w:rPr>
                <w:bCs/>
                <w:sz w:val="18"/>
                <w:szCs w:val="18"/>
              </w:rPr>
            </w:pPr>
            <w:r>
              <w:rPr>
                <w:rFonts w:hint="eastAsia"/>
                <w:bCs/>
                <w:sz w:val="18"/>
                <w:szCs w:val="18"/>
              </w:rPr>
              <w:t>0.258</w:t>
            </w:r>
          </w:p>
        </w:tc>
      </w:tr>
    </w:tbl>
    <w:p>
      <w:pPr>
        <w:pStyle w:val="44"/>
        <w:adjustRightInd w:val="0"/>
        <w:snapToGrid w:val="0"/>
        <w:spacing w:beforeLines="100" w:afterLines="100"/>
        <w:ind w:firstLine="0" w:firstLineChars="0"/>
        <w:outlineLvl w:val="1"/>
        <w:rPr>
          <w:rFonts w:ascii="黑体" w:eastAsia="黑体"/>
          <w:szCs w:val="21"/>
        </w:rPr>
      </w:pPr>
      <w:r>
        <w:rPr>
          <w:rFonts w:ascii="黑体" w:eastAsia="黑体"/>
          <w:szCs w:val="21"/>
        </w:rPr>
        <w:t>6 试验报告</w:t>
      </w:r>
    </w:p>
    <w:p>
      <w:pPr>
        <w:adjustRightInd w:val="0"/>
        <w:snapToGrid w:val="0"/>
        <w:spacing w:line="360" w:lineRule="exact"/>
        <w:ind w:left="420"/>
        <w:rPr>
          <w:szCs w:val="21"/>
        </w:rPr>
      </w:pPr>
      <w:r>
        <w:rPr>
          <w:rFonts w:hint="eastAsia" w:hAnsi="宋体"/>
          <w:szCs w:val="21"/>
        </w:rPr>
        <w:t>试验报告至少应给出以下几个方面的内容：</w:t>
      </w:r>
    </w:p>
    <w:p>
      <w:pPr>
        <w:pStyle w:val="20"/>
        <w:adjustRightInd w:val="0"/>
        <w:snapToGrid w:val="0"/>
        <w:spacing w:line="360" w:lineRule="exact"/>
        <w:ind w:firstLine="407" w:firstLineChars="194"/>
        <w:rPr>
          <w:rFonts w:ascii="Times New Roman"/>
          <w:szCs w:val="21"/>
        </w:rPr>
      </w:pPr>
      <w:r>
        <w:rPr>
          <w:rFonts w:ascii="Times New Roman" w:hAnsi="宋体"/>
          <w:szCs w:val="21"/>
        </w:rPr>
        <w:t>a)  试验对象；</w:t>
      </w:r>
    </w:p>
    <w:p>
      <w:pPr>
        <w:pStyle w:val="20"/>
        <w:adjustRightInd w:val="0"/>
        <w:snapToGrid w:val="0"/>
        <w:spacing w:line="360" w:lineRule="exact"/>
        <w:ind w:left="420" w:firstLine="0" w:firstLineChars="0"/>
        <w:rPr>
          <w:rFonts w:ascii="Times New Roman"/>
          <w:szCs w:val="21"/>
        </w:rPr>
      </w:pPr>
      <w:r>
        <w:rPr>
          <w:rFonts w:ascii="Times New Roman" w:hAnsi="宋体"/>
          <w:szCs w:val="21"/>
        </w:rPr>
        <w:t xml:space="preserve">b)  </w:t>
      </w:r>
      <w:r>
        <w:rPr>
          <w:rFonts w:hint="eastAsia" w:ascii="Times New Roman" w:hAnsi="宋体"/>
          <w:szCs w:val="21"/>
        </w:rPr>
        <w:t>本文件编号；</w:t>
      </w:r>
    </w:p>
    <w:p>
      <w:pPr>
        <w:pStyle w:val="20"/>
        <w:adjustRightInd w:val="0"/>
        <w:snapToGrid w:val="0"/>
        <w:spacing w:line="360" w:lineRule="exact"/>
        <w:ind w:left="420" w:firstLine="0" w:firstLineChars="0"/>
        <w:rPr>
          <w:rFonts w:hint="eastAsia" w:ascii="Times New Roman" w:eastAsia="宋体"/>
          <w:szCs w:val="21"/>
          <w:lang w:eastAsia="zh-CN"/>
        </w:rPr>
      </w:pPr>
      <w:r>
        <w:rPr>
          <w:rFonts w:ascii="Times New Roman" w:hAnsi="宋体"/>
          <w:szCs w:val="21"/>
        </w:rPr>
        <w:t>c)</w:t>
      </w:r>
      <w:r>
        <w:rPr>
          <w:rFonts w:hint="eastAsia" w:ascii="Times New Roman" w:hAnsi="宋体"/>
          <w:szCs w:val="21"/>
        </w:rPr>
        <w:t xml:space="preserve">  </w:t>
      </w:r>
      <w:r>
        <w:rPr>
          <w:rFonts w:ascii="Times New Roman" w:hAnsi="宋体"/>
          <w:szCs w:val="21"/>
        </w:rPr>
        <w:t>所使用的方法</w:t>
      </w:r>
      <w:r>
        <w:rPr>
          <w:rFonts w:hint="eastAsia" w:ascii="Times New Roman" w:hAnsi="宋体"/>
          <w:szCs w:val="21"/>
          <w:lang w:eastAsia="zh-CN"/>
        </w:rPr>
        <w:t>；</w:t>
      </w:r>
    </w:p>
    <w:p>
      <w:pPr>
        <w:pStyle w:val="20"/>
        <w:adjustRightInd w:val="0"/>
        <w:snapToGrid w:val="0"/>
        <w:spacing w:line="360" w:lineRule="exact"/>
        <w:ind w:left="420" w:firstLine="0" w:firstLineChars="0"/>
        <w:rPr>
          <w:rFonts w:ascii="Times New Roman"/>
          <w:szCs w:val="21"/>
        </w:rPr>
      </w:pPr>
      <w:r>
        <w:rPr>
          <w:rFonts w:ascii="Times New Roman" w:hAnsi="宋体"/>
          <w:szCs w:val="21"/>
        </w:rPr>
        <w:t xml:space="preserve">d) </w:t>
      </w:r>
      <w:r>
        <w:rPr>
          <w:rFonts w:hint="eastAsia" w:ascii="Times New Roman" w:hAnsi="宋体"/>
          <w:szCs w:val="21"/>
        </w:rPr>
        <w:t xml:space="preserve"> </w:t>
      </w:r>
      <w:r>
        <w:rPr>
          <w:rFonts w:ascii="Times New Roman" w:hAnsi="宋体"/>
          <w:szCs w:val="21"/>
        </w:rPr>
        <w:t>分析结果及其表示；</w:t>
      </w:r>
    </w:p>
    <w:p>
      <w:pPr>
        <w:pStyle w:val="20"/>
        <w:adjustRightInd w:val="0"/>
        <w:snapToGrid w:val="0"/>
        <w:spacing w:line="360" w:lineRule="exact"/>
        <w:ind w:left="420" w:firstLine="0" w:firstLineChars="0"/>
        <w:rPr>
          <w:rFonts w:hint="eastAsia" w:ascii="Times New Roman" w:hAnsi="宋体" w:eastAsia="宋体"/>
          <w:szCs w:val="21"/>
          <w:lang w:eastAsia="zh-CN"/>
        </w:rPr>
      </w:pPr>
      <w:r>
        <w:rPr>
          <w:rFonts w:ascii="Times New Roman" w:hAnsi="宋体"/>
          <w:szCs w:val="21"/>
        </w:rPr>
        <w:t xml:space="preserve">e)  </w:t>
      </w:r>
      <w:r>
        <w:rPr>
          <w:rFonts w:hint="eastAsia" w:ascii="Times New Roman" w:hAnsi="宋体"/>
          <w:szCs w:val="21"/>
        </w:rPr>
        <w:t>与基本分析步骤的差异</w:t>
      </w:r>
      <w:r>
        <w:rPr>
          <w:rFonts w:hint="eastAsia" w:ascii="Times New Roman" w:hAnsi="宋体"/>
          <w:szCs w:val="21"/>
          <w:lang w:eastAsia="zh-CN"/>
        </w:rPr>
        <w:t>；</w:t>
      </w:r>
    </w:p>
    <w:p>
      <w:pPr>
        <w:pStyle w:val="20"/>
        <w:adjustRightInd w:val="0"/>
        <w:snapToGrid w:val="0"/>
        <w:spacing w:line="360" w:lineRule="exact"/>
        <w:ind w:left="420" w:firstLine="0" w:firstLineChars="0"/>
        <w:rPr>
          <w:rFonts w:ascii="Times New Roman"/>
          <w:szCs w:val="21"/>
        </w:rPr>
      </w:pPr>
      <w:r>
        <w:rPr>
          <w:rFonts w:ascii="Times New Roman" w:hAnsi="宋体"/>
          <w:szCs w:val="21"/>
        </w:rPr>
        <w:t>f)  观测到的异常现象；</w:t>
      </w:r>
    </w:p>
    <w:p>
      <w:pPr>
        <w:pStyle w:val="20"/>
        <w:adjustRightInd w:val="0"/>
        <w:snapToGrid w:val="0"/>
        <w:spacing w:line="360" w:lineRule="exact"/>
        <w:ind w:left="420" w:firstLine="0" w:firstLineChars="0"/>
        <w:rPr>
          <w:rFonts w:ascii="Times New Roman"/>
          <w:szCs w:val="21"/>
        </w:rPr>
      </w:pPr>
      <w:r>
        <w:rPr>
          <w:rFonts w:ascii="Times New Roman" w:hAnsi="宋体"/>
          <w:szCs w:val="21"/>
        </w:rPr>
        <w:t>g)  试验日期。</w:t>
      </w:r>
    </w:p>
    <w:p>
      <w:pPr>
        <w:pStyle w:val="20"/>
        <w:adjustRightInd w:val="0"/>
        <w:snapToGrid w:val="0"/>
        <w:spacing w:line="360" w:lineRule="exact"/>
        <w:ind w:firstLine="0" w:firstLineChars="0"/>
        <w:jc w:val="center"/>
        <w:rPr>
          <w:rFonts w:ascii="黑体" w:hAnsi="黑体" w:eastAsia="黑体"/>
          <w:szCs w:val="21"/>
        </w:rPr>
      </w:pPr>
      <w:r>
        <w:rPr>
          <w:rFonts w:ascii="黑体" w:hAnsi="黑体" w:eastAsia="黑体"/>
          <w:szCs w:val="21"/>
        </w:rPr>
        <w:br w:type="page"/>
      </w:r>
      <w:r>
        <w:rPr>
          <w:rFonts w:hint="eastAsia" w:ascii="黑体" w:hAnsi="黑体" w:eastAsia="黑体"/>
          <w:szCs w:val="21"/>
        </w:rPr>
        <w:t xml:space="preserve">附录 </w:t>
      </w:r>
      <w:r>
        <w:rPr>
          <w:rFonts w:ascii="黑体" w:hAnsi="黑体" w:eastAsia="黑体"/>
          <w:szCs w:val="21"/>
        </w:rPr>
        <w:t>A</w:t>
      </w:r>
    </w:p>
    <w:p>
      <w:pPr>
        <w:jc w:val="center"/>
        <w:rPr>
          <w:szCs w:val="21"/>
        </w:rPr>
      </w:pPr>
      <w:r>
        <w:rPr>
          <w:rFonts w:hint="eastAsia" w:ascii="黑体" w:hAnsi="黑体" w:eastAsia="黑体"/>
        </w:rPr>
        <w:t xml:space="preserve"> （资料性）</w:t>
      </w:r>
    </w:p>
    <w:p>
      <w:pPr>
        <w:jc w:val="center"/>
      </w:pPr>
      <w:r>
        <w:rPr>
          <w:rFonts w:hint="eastAsia" w:ascii="黑体" w:hAnsi="黑体" w:eastAsia="黑体"/>
        </w:rPr>
        <w:t>从实验室间试验结果得到的统计数据</w:t>
      </w:r>
    </w:p>
    <w:p>
      <w:pPr>
        <w:adjustRightInd w:val="0"/>
        <w:snapToGrid w:val="0"/>
        <w:spacing w:before="284" w:line="360" w:lineRule="exact"/>
        <w:ind w:firstLine="420" w:firstLineChars="200"/>
        <w:rPr>
          <w:rFonts w:ascii="宋体" w:hAnsi="宋体"/>
        </w:rPr>
      </w:pPr>
      <w:r>
        <w:rPr>
          <w:rFonts w:hint="eastAsia"/>
        </w:rPr>
        <w:t>精密度</w:t>
      </w:r>
      <w:r>
        <w:t>数据是在</w:t>
      </w:r>
      <w:r>
        <w:rPr>
          <w:rFonts w:hint="eastAsia"/>
        </w:rPr>
        <w:t>2023年由13家</w:t>
      </w:r>
      <w:r>
        <w:t>试验室对</w:t>
      </w:r>
      <w:r>
        <w:rPr>
          <w:rFonts w:hint="eastAsia"/>
        </w:rPr>
        <w:t>5个</w:t>
      </w:r>
      <w:r>
        <w:t>不同水平样品进行</w:t>
      </w:r>
      <w:r>
        <w:rPr>
          <w:rFonts w:hint="eastAsia"/>
        </w:rPr>
        <w:t>共同</w:t>
      </w:r>
      <w:r>
        <w:t>试验确定的。</w:t>
      </w:r>
      <w:r>
        <w:rPr>
          <w:rFonts w:hint="eastAsia"/>
        </w:rPr>
        <w:t>每个实验室对</w:t>
      </w:r>
      <w:r>
        <w:t>每个水平的</w:t>
      </w:r>
      <w:r>
        <w:rPr>
          <w:rStyle w:val="17"/>
          <w:rFonts w:hint="eastAsia"/>
          <w:szCs w:val="21"/>
        </w:rPr>
        <w:t>样品</w:t>
      </w:r>
      <w:r>
        <w:t>在重复性条件下独立测定</w:t>
      </w:r>
      <w:r>
        <w:rPr>
          <w:rFonts w:hint="eastAsia"/>
        </w:rPr>
        <w:t>11次</w:t>
      </w:r>
      <w:r>
        <w:t>。</w:t>
      </w:r>
      <w:r>
        <w:rPr>
          <w:rFonts w:hint="eastAsia"/>
        </w:rPr>
        <w:t>方法1</w:t>
      </w:r>
      <w:r>
        <w:rPr>
          <w:rFonts w:ascii="宋体" w:hAnsi="宋体"/>
        </w:rPr>
        <w:t>数据统计结果见表</w:t>
      </w:r>
      <w:r>
        <w:t>A.1</w:t>
      </w:r>
      <w:r>
        <w:rPr>
          <w:rFonts w:hint="eastAsia"/>
        </w:rPr>
        <w:t>，方法2数据统计结果见表A.2</w:t>
      </w:r>
      <w:r>
        <w:rPr>
          <w:rFonts w:ascii="宋体" w:hAnsi="宋体"/>
        </w:rPr>
        <w:t>。</w:t>
      </w:r>
    </w:p>
    <w:p>
      <w:pPr>
        <w:adjustRightInd w:val="0"/>
        <w:snapToGrid w:val="0"/>
        <w:spacing w:line="360" w:lineRule="exact"/>
        <w:jc w:val="center"/>
        <w:rPr>
          <w:rFonts w:ascii="黑体" w:hAnsi="黑体" w:eastAsia="黑体"/>
          <w:szCs w:val="21"/>
        </w:rPr>
      </w:pPr>
      <w:r>
        <w:rPr>
          <w:rFonts w:hint="eastAsia" w:ascii="黑体" w:hAnsi="黑体" w:eastAsia="黑体"/>
        </w:rPr>
        <w:t>表A.1  方法一实验室间数据统计结果</w:t>
      </w:r>
    </w:p>
    <w:tbl>
      <w:tblPr>
        <w:tblStyle w:val="7"/>
        <w:tblW w:w="9560" w:type="dxa"/>
        <w:tblInd w:w="113" w:type="dxa"/>
        <w:tblLayout w:type="fixed"/>
        <w:tblCellMar>
          <w:top w:w="0" w:type="dxa"/>
          <w:left w:w="108" w:type="dxa"/>
          <w:bottom w:w="0" w:type="dxa"/>
          <w:right w:w="108" w:type="dxa"/>
        </w:tblCellMar>
      </w:tblPr>
      <w:tblGrid>
        <w:gridCol w:w="715"/>
        <w:gridCol w:w="715"/>
        <w:gridCol w:w="1608"/>
        <w:gridCol w:w="1515"/>
        <w:gridCol w:w="1300"/>
        <w:gridCol w:w="1391"/>
        <w:gridCol w:w="1158"/>
        <w:gridCol w:w="1158"/>
      </w:tblGrid>
      <w:tr>
        <w:tblPrEx>
          <w:tblCellMar>
            <w:top w:w="0" w:type="dxa"/>
            <w:left w:w="108" w:type="dxa"/>
            <w:bottom w:w="0" w:type="dxa"/>
            <w:right w:w="108" w:type="dxa"/>
          </w:tblCellMar>
        </w:tblPrEx>
        <w:trPr>
          <w:trHeight w:val="300" w:hRule="atLeast"/>
          <w:tblHeader/>
        </w:trPr>
        <w:tc>
          <w:tcPr>
            <w:tcW w:w="715" w:type="dxa"/>
            <w:tcBorders>
              <w:top w:val="single" w:color="auto" w:sz="12" w:space="0"/>
              <w:left w:val="single" w:color="auto" w:sz="12"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元素</w:t>
            </w:r>
          </w:p>
        </w:tc>
        <w:tc>
          <w:tcPr>
            <w:tcW w:w="715"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水平</w:t>
            </w:r>
          </w:p>
        </w:tc>
        <w:tc>
          <w:tcPr>
            <w:tcW w:w="1608"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结果可接受的</w:t>
            </w:r>
          </w:p>
          <w:p>
            <w:pPr>
              <w:widowControl/>
              <w:jc w:val="center"/>
              <w:rPr>
                <w:kern w:val="0"/>
                <w:sz w:val="18"/>
                <w:szCs w:val="18"/>
              </w:rPr>
            </w:pPr>
            <w:r>
              <w:rPr>
                <w:rFonts w:hAnsi="宋体"/>
                <w:kern w:val="0"/>
                <w:sz w:val="18"/>
                <w:szCs w:val="18"/>
              </w:rPr>
              <w:t>实验室个数</w:t>
            </w:r>
          </w:p>
        </w:tc>
        <w:tc>
          <w:tcPr>
            <w:tcW w:w="1515"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质量分数平均值</w:t>
            </w:r>
          </w:p>
          <w:p>
            <w:pPr>
              <w:widowControl/>
              <w:jc w:val="center"/>
              <w:rPr>
                <w:kern w:val="0"/>
                <w:sz w:val="18"/>
                <w:szCs w:val="18"/>
              </w:rPr>
            </w:pPr>
            <w:r>
              <w:rPr>
                <w:i/>
                <w:spacing w:val="6"/>
                <w:sz w:val="18"/>
                <w:szCs w:val="18"/>
              </w:rPr>
              <w:t>w</w:t>
            </w:r>
            <w:r>
              <w:rPr>
                <w:kern w:val="0"/>
                <w:sz w:val="18"/>
                <w:szCs w:val="18"/>
              </w:rPr>
              <w:t>/%</w:t>
            </w:r>
          </w:p>
        </w:tc>
        <w:tc>
          <w:tcPr>
            <w:tcW w:w="1300"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重复性标准差</w:t>
            </w:r>
          </w:p>
          <w:p>
            <w:pPr>
              <w:widowControl/>
              <w:jc w:val="center"/>
              <w:rPr>
                <w:kern w:val="0"/>
                <w:sz w:val="18"/>
                <w:szCs w:val="18"/>
              </w:rPr>
            </w:pPr>
            <w:r>
              <w:rPr>
                <w:i/>
                <w:kern w:val="0"/>
                <w:sz w:val="18"/>
                <w:szCs w:val="18"/>
              </w:rPr>
              <w:t>S</w:t>
            </w:r>
            <w:r>
              <w:rPr>
                <w:i/>
                <w:kern w:val="0"/>
                <w:sz w:val="18"/>
                <w:szCs w:val="18"/>
                <w:vertAlign w:val="subscript"/>
              </w:rPr>
              <w:t>r</w:t>
            </w:r>
          </w:p>
        </w:tc>
        <w:tc>
          <w:tcPr>
            <w:tcW w:w="1391"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再现性标准差</w:t>
            </w:r>
          </w:p>
          <w:p>
            <w:pPr>
              <w:widowControl/>
              <w:jc w:val="center"/>
              <w:rPr>
                <w:kern w:val="0"/>
                <w:sz w:val="18"/>
                <w:szCs w:val="18"/>
              </w:rPr>
            </w:pPr>
            <w:r>
              <w:rPr>
                <w:i/>
                <w:kern w:val="0"/>
                <w:sz w:val="18"/>
                <w:szCs w:val="18"/>
              </w:rPr>
              <w:t>S</w:t>
            </w:r>
            <w:r>
              <w:rPr>
                <w:i/>
                <w:kern w:val="0"/>
                <w:sz w:val="18"/>
                <w:szCs w:val="18"/>
                <w:vertAlign w:val="subscript"/>
              </w:rPr>
              <w:t>R</w:t>
            </w:r>
          </w:p>
        </w:tc>
        <w:tc>
          <w:tcPr>
            <w:tcW w:w="1158"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重复性限</w:t>
            </w:r>
          </w:p>
          <w:p>
            <w:pPr>
              <w:widowControl/>
              <w:jc w:val="center"/>
              <w:rPr>
                <w:kern w:val="0"/>
                <w:sz w:val="18"/>
                <w:szCs w:val="18"/>
              </w:rPr>
            </w:pPr>
            <w:r>
              <w:rPr>
                <w:i/>
                <w:kern w:val="0"/>
                <w:sz w:val="18"/>
                <w:szCs w:val="18"/>
              </w:rPr>
              <w:t>r</w:t>
            </w:r>
            <w:r>
              <w:rPr>
                <w:kern w:val="0"/>
                <w:sz w:val="18"/>
                <w:szCs w:val="18"/>
              </w:rPr>
              <w:t>/%</w:t>
            </w:r>
          </w:p>
        </w:tc>
        <w:tc>
          <w:tcPr>
            <w:tcW w:w="1158" w:type="dxa"/>
            <w:tcBorders>
              <w:top w:val="single" w:color="auto" w:sz="12" w:space="0"/>
              <w:left w:val="single" w:color="auto" w:sz="4" w:space="0"/>
              <w:bottom w:val="single" w:color="000000" w:sz="12" w:space="0"/>
              <w:right w:val="single" w:color="auto" w:sz="12" w:space="0"/>
            </w:tcBorders>
            <w:noWrap/>
            <w:vAlign w:val="center"/>
          </w:tcPr>
          <w:p>
            <w:pPr>
              <w:widowControl/>
              <w:jc w:val="center"/>
              <w:rPr>
                <w:kern w:val="0"/>
                <w:sz w:val="18"/>
                <w:szCs w:val="18"/>
              </w:rPr>
            </w:pPr>
            <w:r>
              <w:rPr>
                <w:rFonts w:hAnsi="宋体"/>
                <w:kern w:val="0"/>
                <w:sz w:val="18"/>
                <w:szCs w:val="18"/>
              </w:rPr>
              <w:t>再现性限</w:t>
            </w:r>
          </w:p>
          <w:p>
            <w:pPr>
              <w:widowControl/>
              <w:jc w:val="center"/>
              <w:rPr>
                <w:kern w:val="0"/>
                <w:sz w:val="18"/>
                <w:szCs w:val="18"/>
              </w:rPr>
            </w:pPr>
            <w:r>
              <w:rPr>
                <w:i/>
                <w:kern w:val="0"/>
                <w:sz w:val="18"/>
                <w:szCs w:val="18"/>
              </w:rPr>
              <w:t>R</w:t>
            </w:r>
            <w:r>
              <w:rPr>
                <w:kern w:val="0"/>
                <w:sz w:val="18"/>
                <w:szCs w:val="18"/>
              </w:rPr>
              <w:t>/%</w:t>
            </w:r>
          </w:p>
        </w:tc>
      </w:tr>
      <w:tr>
        <w:tblPrEx>
          <w:tblCellMar>
            <w:top w:w="0" w:type="dxa"/>
            <w:left w:w="108" w:type="dxa"/>
            <w:bottom w:w="0" w:type="dxa"/>
            <w:right w:w="108" w:type="dxa"/>
          </w:tblCellMar>
        </w:tblPrEx>
        <w:trPr>
          <w:trHeight w:val="300" w:hRule="atLeast"/>
        </w:trPr>
        <w:tc>
          <w:tcPr>
            <w:tcW w:w="715" w:type="dxa"/>
            <w:vMerge w:val="restart"/>
            <w:tcBorders>
              <w:top w:val="single" w:color="000000" w:sz="12" w:space="0"/>
              <w:left w:val="single" w:color="auto" w:sz="12"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Sb</w:t>
            </w:r>
          </w:p>
        </w:tc>
        <w:tc>
          <w:tcPr>
            <w:tcW w:w="715"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1608" w:type="dxa"/>
            <w:tcBorders>
              <w:top w:val="single" w:color="000000" w:sz="12"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13</w:t>
            </w:r>
          </w:p>
        </w:tc>
        <w:tc>
          <w:tcPr>
            <w:tcW w:w="1515"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2.04</w:t>
            </w:r>
          </w:p>
        </w:tc>
        <w:tc>
          <w:tcPr>
            <w:tcW w:w="1300"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0.020</w:t>
            </w:r>
          </w:p>
        </w:tc>
        <w:tc>
          <w:tcPr>
            <w:tcW w:w="1391"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0.026</w:t>
            </w:r>
          </w:p>
        </w:tc>
        <w:tc>
          <w:tcPr>
            <w:tcW w:w="1158"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0.056</w:t>
            </w:r>
          </w:p>
        </w:tc>
        <w:tc>
          <w:tcPr>
            <w:tcW w:w="1158" w:type="dxa"/>
            <w:tcBorders>
              <w:top w:val="single" w:color="000000" w:sz="12"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0.073</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1608" w:type="dxa"/>
            <w:tcBorders>
              <w:top w:val="single" w:color="auto" w:sz="4"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13</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7.73</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0.027</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0.086</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0.076</w:t>
            </w:r>
          </w:p>
        </w:tc>
        <w:tc>
          <w:tcPr>
            <w:tcW w:w="1158" w:type="dxa"/>
            <w:tcBorders>
              <w:top w:val="single" w:color="auto" w:sz="4"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0.241</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1608" w:type="dxa"/>
            <w:tcBorders>
              <w:top w:val="single" w:color="auto" w:sz="4"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13</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11.44</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0.070</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0.075</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0.196</w:t>
            </w:r>
          </w:p>
        </w:tc>
        <w:tc>
          <w:tcPr>
            <w:tcW w:w="1158" w:type="dxa"/>
            <w:tcBorders>
              <w:top w:val="single" w:color="auto" w:sz="4"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0.210</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1608" w:type="dxa"/>
            <w:tcBorders>
              <w:top w:val="single" w:color="auto" w:sz="4"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13</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15.02</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0.042</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0.085</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0.118</w:t>
            </w:r>
          </w:p>
        </w:tc>
        <w:tc>
          <w:tcPr>
            <w:tcW w:w="1158" w:type="dxa"/>
            <w:tcBorders>
              <w:top w:val="single" w:color="auto" w:sz="4"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0.238</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12" w:space="0"/>
              <w:right w:val="single" w:color="auto" w:sz="4" w:space="0"/>
            </w:tcBorders>
            <w:noWrap/>
            <w:vAlign w:val="center"/>
          </w:tcPr>
          <w:p>
            <w:pPr>
              <w:widowControl/>
              <w:jc w:val="center"/>
              <w:rPr>
                <w:kern w:val="0"/>
                <w:sz w:val="18"/>
                <w:szCs w:val="18"/>
              </w:rPr>
            </w:pPr>
            <w:r>
              <w:rPr>
                <w:kern w:val="0"/>
                <w:sz w:val="18"/>
                <w:szCs w:val="18"/>
              </w:rPr>
              <w:t>5</w:t>
            </w:r>
          </w:p>
        </w:tc>
        <w:tc>
          <w:tcPr>
            <w:tcW w:w="1608" w:type="dxa"/>
            <w:tcBorders>
              <w:top w:val="single" w:color="auto" w:sz="4" w:space="0"/>
              <w:left w:val="single" w:color="auto" w:sz="4" w:space="0"/>
              <w:bottom w:val="single" w:color="auto" w:sz="12" w:space="0"/>
              <w:right w:val="single" w:color="auto" w:sz="4" w:space="0"/>
            </w:tcBorders>
            <w:noWrap/>
          </w:tcPr>
          <w:p>
            <w:pPr>
              <w:widowControl/>
              <w:jc w:val="center"/>
              <w:rPr>
                <w:kern w:val="0"/>
                <w:sz w:val="18"/>
                <w:szCs w:val="18"/>
              </w:rPr>
            </w:pPr>
            <w:r>
              <w:rPr>
                <w:kern w:val="0"/>
                <w:sz w:val="18"/>
                <w:szCs w:val="18"/>
              </w:rPr>
              <w:t>13</w:t>
            </w:r>
          </w:p>
        </w:tc>
        <w:tc>
          <w:tcPr>
            <w:tcW w:w="1515" w:type="dxa"/>
            <w:tcBorders>
              <w:top w:val="single" w:color="auto" w:sz="4" w:space="0"/>
              <w:left w:val="single" w:color="auto" w:sz="4" w:space="0"/>
              <w:bottom w:val="single" w:color="auto" w:sz="12" w:space="0"/>
              <w:right w:val="single" w:color="auto" w:sz="4" w:space="0"/>
            </w:tcBorders>
            <w:noWrap/>
            <w:vAlign w:val="center"/>
          </w:tcPr>
          <w:p>
            <w:pPr>
              <w:widowControl/>
              <w:jc w:val="center"/>
              <w:rPr>
                <w:kern w:val="0"/>
                <w:sz w:val="18"/>
                <w:szCs w:val="18"/>
              </w:rPr>
            </w:pPr>
            <w:r>
              <w:rPr>
                <w:kern w:val="0"/>
                <w:sz w:val="18"/>
                <w:szCs w:val="18"/>
              </w:rPr>
              <w:t>19.88</w:t>
            </w:r>
          </w:p>
        </w:tc>
        <w:tc>
          <w:tcPr>
            <w:tcW w:w="1300" w:type="dxa"/>
            <w:tcBorders>
              <w:top w:val="single" w:color="auto" w:sz="4" w:space="0"/>
              <w:left w:val="single" w:color="auto" w:sz="4" w:space="0"/>
              <w:bottom w:val="single" w:color="auto" w:sz="12" w:space="0"/>
              <w:right w:val="single" w:color="auto" w:sz="4" w:space="0"/>
            </w:tcBorders>
            <w:noWrap/>
            <w:vAlign w:val="center"/>
          </w:tcPr>
          <w:p>
            <w:pPr>
              <w:widowControl/>
              <w:jc w:val="center"/>
              <w:rPr>
                <w:kern w:val="0"/>
                <w:sz w:val="18"/>
                <w:szCs w:val="18"/>
              </w:rPr>
            </w:pPr>
            <w:r>
              <w:rPr>
                <w:kern w:val="0"/>
                <w:sz w:val="18"/>
                <w:szCs w:val="18"/>
              </w:rPr>
              <w:t>0.056</w:t>
            </w:r>
          </w:p>
        </w:tc>
        <w:tc>
          <w:tcPr>
            <w:tcW w:w="1391" w:type="dxa"/>
            <w:tcBorders>
              <w:top w:val="single" w:color="auto" w:sz="4" w:space="0"/>
              <w:left w:val="single" w:color="auto" w:sz="4" w:space="0"/>
              <w:bottom w:val="single" w:color="auto" w:sz="12" w:space="0"/>
              <w:right w:val="single" w:color="auto" w:sz="4" w:space="0"/>
            </w:tcBorders>
            <w:noWrap/>
            <w:vAlign w:val="center"/>
          </w:tcPr>
          <w:p>
            <w:pPr>
              <w:widowControl/>
              <w:jc w:val="center"/>
              <w:rPr>
                <w:kern w:val="0"/>
                <w:sz w:val="18"/>
                <w:szCs w:val="18"/>
              </w:rPr>
            </w:pPr>
            <w:r>
              <w:rPr>
                <w:kern w:val="0"/>
                <w:sz w:val="18"/>
                <w:szCs w:val="18"/>
              </w:rPr>
              <w:t>0.126</w:t>
            </w:r>
          </w:p>
        </w:tc>
        <w:tc>
          <w:tcPr>
            <w:tcW w:w="1158" w:type="dxa"/>
            <w:tcBorders>
              <w:top w:val="single" w:color="auto" w:sz="4" w:space="0"/>
              <w:left w:val="single" w:color="auto" w:sz="4" w:space="0"/>
              <w:bottom w:val="single" w:color="auto" w:sz="12" w:space="0"/>
              <w:right w:val="single" w:color="auto" w:sz="4" w:space="0"/>
            </w:tcBorders>
            <w:noWrap/>
            <w:vAlign w:val="center"/>
          </w:tcPr>
          <w:p>
            <w:pPr>
              <w:widowControl/>
              <w:jc w:val="center"/>
              <w:rPr>
                <w:kern w:val="0"/>
                <w:sz w:val="18"/>
                <w:szCs w:val="18"/>
              </w:rPr>
            </w:pPr>
            <w:r>
              <w:rPr>
                <w:kern w:val="0"/>
                <w:sz w:val="18"/>
                <w:szCs w:val="18"/>
              </w:rPr>
              <w:t>0.157</w:t>
            </w:r>
          </w:p>
        </w:tc>
        <w:tc>
          <w:tcPr>
            <w:tcW w:w="1158" w:type="dxa"/>
            <w:tcBorders>
              <w:top w:val="single" w:color="auto" w:sz="4" w:space="0"/>
              <w:left w:val="single" w:color="auto" w:sz="4" w:space="0"/>
              <w:bottom w:val="single" w:color="auto" w:sz="12" w:space="0"/>
              <w:right w:val="single" w:color="auto" w:sz="12" w:space="0"/>
            </w:tcBorders>
            <w:noWrap/>
            <w:vAlign w:val="center"/>
          </w:tcPr>
          <w:p>
            <w:pPr>
              <w:jc w:val="center"/>
              <w:rPr>
                <w:sz w:val="18"/>
                <w:szCs w:val="18"/>
              </w:rPr>
            </w:pPr>
            <w:r>
              <w:rPr>
                <w:sz w:val="18"/>
                <w:szCs w:val="18"/>
              </w:rPr>
              <w:t>0.353</w:t>
            </w:r>
          </w:p>
        </w:tc>
      </w:tr>
    </w:tbl>
    <w:p>
      <w:pPr>
        <w:spacing w:line="276" w:lineRule="auto"/>
        <w:jc w:val="center"/>
        <w:rPr>
          <w:szCs w:val="21"/>
          <w:u w:val="single"/>
        </w:rPr>
      </w:pPr>
    </w:p>
    <w:p>
      <w:pPr>
        <w:adjustRightInd w:val="0"/>
        <w:snapToGrid w:val="0"/>
        <w:spacing w:line="360" w:lineRule="exact"/>
        <w:jc w:val="center"/>
        <w:rPr>
          <w:rFonts w:ascii="黑体" w:hAnsi="黑体" w:eastAsia="黑体"/>
          <w:szCs w:val="21"/>
        </w:rPr>
      </w:pPr>
      <w:r>
        <w:rPr>
          <w:rFonts w:hint="eastAsia" w:ascii="黑体" w:hAnsi="黑体" w:eastAsia="黑体"/>
        </w:rPr>
        <w:t>表A.2  方法二实验室间数据统计结果</w:t>
      </w:r>
    </w:p>
    <w:tbl>
      <w:tblPr>
        <w:tblStyle w:val="7"/>
        <w:tblW w:w="9560" w:type="dxa"/>
        <w:tblInd w:w="113" w:type="dxa"/>
        <w:tblLayout w:type="fixed"/>
        <w:tblCellMar>
          <w:top w:w="0" w:type="dxa"/>
          <w:left w:w="108" w:type="dxa"/>
          <w:bottom w:w="0" w:type="dxa"/>
          <w:right w:w="108" w:type="dxa"/>
        </w:tblCellMar>
      </w:tblPr>
      <w:tblGrid>
        <w:gridCol w:w="715"/>
        <w:gridCol w:w="715"/>
        <w:gridCol w:w="1608"/>
        <w:gridCol w:w="1515"/>
        <w:gridCol w:w="1300"/>
        <w:gridCol w:w="1391"/>
        <w:gridCol w:w="1158"/>
        <w:gridCol w:w="1158"/>
      </w:tblGrid>
      <w:tr>
        <w:tblPrEx>
          <w:tblCellMar>
            <w:top w:w="0" w:type="dxa"/>
            <w:left w:w="108" w:type="dxa"/>
            <w:bottom w:w="0" w:type="dxa"/>
            <w:right w:w="108" w:type="dxa"/>
          </w:tblCellMar>
        </w:tblPrEx>
        <w:trPr>
          <w:trHeight w:val="300" w:hRule="atLeast"/>
          <w:tblHeader/>
        </w:trPr>
        <w:tc>
          <w:tcPr>
            <w:tcW w:w="715" w:type="dxa"/>
            <w:tcBorders>
              <w:top w:val="single" w:color="auto" w:sz="12" w:space="0"/>
              <w:left w:val="single" w:color="auto" w:sz="12"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元素</w:t>
            </w:r>
          </w:p>
        </w:tc>
        <w:tc>
          <w:tcPr>
            <w:tcW w:w="715"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水平</w:t>
            </w:r>
          </w:p>
        </w:tc>
        <w:tc>
          <w:tcPr>
            <w:tcW w:w="1608"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结果可接受的</w:t>
            </w:r>
          </w:p>
          <w:p>
            <w:pPr>
              <w:widowControl/>
              <w:jc w:val="center"/>
              <w:rPr>
                <w:kern w:val="0"/>
                <w:sz w:val="18"/>
                <w:szCs w:val="18"/>
              </w:rPr>
            </w:pPr>
            <w:r>
              <w:rPr>
                <w:rFonts w:hAnsi="宋体"/>
                <w:kern w:val="0"/>
                <w:sz w:val="18"/>
                <w:szCs w:val="18"/>
              </w:rPr>
              <w:t>实验室个数</w:t>
            </w:r>
          </w:p>
        </w:tc>
        <w:tc>
          <w:tcPr>
            <w:tcW w:w="1515"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质量分数平均值</w:t>
            </w:r>
          </w:p>
          <w:p>
            <w:pPr>
              <w:widowControl/>
              <w:jc w:val="center"/>
              <w:rPr>
                <w:kern w:val="0"/>
                <w:sz w:val="18"/>
                <w:szCs w:val="18"/>
              </w:rPr>
            </w:pPr>
            <w:r>
              <w:rPr>
                <w:i/>
                <w:spacing w:val="6"/>
                <w:sz w:val="18"/>
                <w:szCs w:val="18"/>
              </w:rPr>
              <w:t>w</w:t>
            </w:r>
            <w:r>
              <w:rPr>
                <w:kern w:val="0"/>
                <w:sz w:val="18"/>
                <w:szCs w:val="18"/>
              </w:rPr>
              <w:t>/%</w:t>
            </w:r>
          </w:p>
        </w:tc>
        <w:tc>
          <w:tcPr>
            <w:tcW w:w="1300"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重复性标准差</w:t>
            </w:r>
          </w:p>
          <w:p>
            <w:pPr>
              <w:widowControl/>
              <w:jc w:val="center"/>
              <w:rPr>
                <w:kern w:val="0"/>
                <w:sz w:val="18"/>
                <w:szCs w:val="18"/>
              </w:rPr>
            </w:pPr>
            <w:r>
              <w:rPr>
                <w:i/>
                <w:kern w:val="0"/>
                <w:sz w:val="18"/>
                <w:szCs w:val="18"/>
              </w:rPr>
              <w:t>S</w:t>
            </w:r>
            <w:r>
              <w:rPr>
                <w:i/>
                <w:kern w:val="0"/>
                <w:sz w:val="18"/>
                <w:szCs w:val="18"/>
                <w:vertAlign w:val="subscript"/>
              </w:rPr>
              <w:t>r</w:t>
            </w:r>
          </w:p>
        </w:tc>
        <w:tc>
          <w:tcPr>
            <w:tcW w:w="1391"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再现性标准差</w:t>
            </w:r>
          </w:p>
          <w:p>
            <w:pPr>
              <w:widowControl/>
              <w:jc w:val="center"/>
              <w:rPr>
                <w:kern w:val="0"/>
                <w:sz w:val="18"/>
                <w:szCs w:val="18"/>
              </w:rPr>
            </w:pPr>
            <w:r>
              <w:rPr>
                <w:i/>
                <w:kern w:val="0"/>
                <w:sz w:val="18"/>
                <w:szCs w:val="18"/>
              </w:rPr>
              <w:t>S</w:t>
            </w:r>
            <w:r>
              <w:rPr>
                <w:i/>
                <w:kern w:val="0"/>
                <w:sz w:val="18"/>
                <w:szCs w:val="18"/>
                <w:vertAlign w:val="subscript"/>
              </w:rPr>
              <w:t>R</w:t>
            </w:r>
          </w:p>
        </w:tc>
        <w:tc>
          <w:tcPr>
            <w:tcW w:w="1158" w:type="dxa"/>
            <w:tcBorders>
              <w:top w:val="single" w:color="auto" w:sz="12" w:space="0"/>
              <w:left w:val="single" w:color="auto" w:sz="4" w:space="0"/>
              <w:bottom w:val="single" w:color="000000" w:sz="12" w:space="0"/>
              <w:right w:val="single" w:color="auto" w:sz="4" w:space="0"/>
            </w:tcBorders>
            <w:noWrap/>
            <w:vAlign w:val="center"/>
          </w:tcPr>
          <w:p>
            <w:pPr>
              <w:widowControl/>
              <w:jc w:val="center"/>
              <w:rPr>
                <w:kern w:val="0"/>
                <w:sz w:val="18"/>
                <w:szCs w:val="18"/>
              </w:rPr>
            </w:pPr>
            <w:r>
              <w:rPr>
                <w:rFonts w:hAnsi="宋体"/>
                <w:kern w:val="0"/>
                <w:sz w:val="18"/>
                <w:szCs w:val="18"/>
              </w:rPr>
              <w:t>重复性限</w:t>
            </w:r>
          </w:p>
          <w:p>
            <w:pPr>
              <w:widowControl/>
              <w:jc w:val="center"/>
              <w:rPr>
                <w:kern w:val="0"/>
                <w:sz w:val="18"/>
                <w:szCs w:val="18"/>
              </w:rPr>
            </w:pPr>
            <w:r>
              <w:rPr>
                <w:i/>
                <w:kern w:val="0"/>
                <w:sz w:val="18"/>
                <w:szCs w:val="18"/>
              </w:rPr>
              <w:t>r</w:t>
            </w:r>
            <w:r>
              <w:rPr>
                <w:kern w:val="0"/>
                <w:sz w:val="18"/>
                <w:szCs w:val="18"/>
              </w:rPr>
              <w:t>/%</w:t>
            </w:r>
          </w:p>
        </w:tc>
        <w:tc>
          <w:tcPr>
            <w:tcW w:w="1158" w:type="dxa"/>
            <w:tcBorders>
              <w:top w:val="single" w:color="auto" w:sz="12" w:space="0"/>
              <w:left w:val="single" w:color="auto" w:sz="4" w:space="0"/>
              <w:bottom w:val="single" w:color="000000" w:sz="12" w:space="0"/>
              <w:right w:val="single" w:color="auto" w:sz="12" w:space="0"/>
            </w:tcBorders>
            <w:noWrap/>
            <w:vAlign w:val="center"/>
          </w:tcPr>
          <w:p>
            <w:pPr>
              <w:widowControl/>
              <w:jc w:val="center"/>
              <w:rPr>
                <w:kern w:val="0"/>
                <w:sz w:val="18"/>
                <w:szCs w:val="18"/>
              </w:rPr>
            </w:pPr>
            <w:r>
              <w:rPr>
                <w:rFonts w:hAnsi="宋体"/>
                <w:kern w:val="0"/>
                <w:sz w:val="18"/>
                <w:szCs w:val="18"/>
              </w:rPr>
              <w:t>再现性限</w:t>
            </w:r>
          </w:p>
          <w:p>
            <w:pPr>
              <w:widowControl/>
              <w:jc w:val="center"/>
              <w:rPr>
                <w:kern w:val="0"/>
                <w:sz w:val="18"/>
                <w:szCs w:val="18"/>
              </w:rPr>
            </w:pPr>
            <w:r>
              <w:rPr>
                <w:i/>
                <w:kern w:val="0"/>
                <w:sz w:val="18"/>
                <w:szCs w:val="18"/>
              </w:rPr>
              <w:t>R</w:t>
            </w:r>
            <w:r>
              <w:rPr>
                <w:kern w:val="0"/>
                <w:sz w:val="18"/>
                <w:szCs w:val="18"/>
              </w:rPr>
              <w:t>/%</w:t>
            </w:r>
          </w:p>
        </w:tc>
      </w:tr>
      <w:tr>
        <w:tblPrEx>
          <w:tblCellMar>
            <w:top w:w="0" w:type="dxa"/>
            <w:left w:w="108" w:type="dxa"/>
            <w:bottom w:w="0" w:type="dxa"/>
            <w:right w:w="108" w:type="dxa"/>
          </w:tblCellMar>
        </w:tblPrEx>
        <w:trPr>
          <w:trHeight w:val="300" w:hRule="atLeast"/>
        </w:trPr>
        <w:tc>
          <w:tcPr>
            <w:tcW w:w="715" w:type="dxa"/>
            <w:vMerge w:val="restart"/>
            <w:tcBorders>
              <w:top w:val="single" w:color="000000" w:sz="12" w:space="0"/>
              <w:left w:val="single" w:color="auto" w:sz="12"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Sb</w:t>
            </w:r>
          </w:p>
        </w:tc>
        <w:tc>
          <w:tcPr>
            <w:tcW w:w="715"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1608" w:type="dxa"/>
            <w:tcBorders>
              <w:top w:val="single" w:color="000000" w:sz="12"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12</w:t>
            </w:r>
          </w:p>
        </w:tc>
        <w:tc>
          <w:tcPr>
            <w:tcW w:w="1515"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2.04</w:t>
            </w:r>
          </w:p>
        </w:tc>
        <w:tc>
          <w:tcPr>
            <w:tcW w:w="1300"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0.021</w:t>
            </w:r>
          </w:p>
        </w:tc>
        <w:tc>
          <w:tcPr>
            <w:tcW w:w="1391"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0.031</w:t>
            </w:r>
          </w:p>
        </w:tc>
        <w:tc>
          <w:tcPr>
            <w:tcW w:w="1158" w:type="dxa"/>
            <w:tcBorders>
              <w:top w:val="single" w:color="000000"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0.059</w:t>
            </w:r>
          </w:p>
        </w:tc>
        <w:tc>
          <w:tcPr>
            <w:tcW w:w="1158" w:type="dxa"/>
            <w:tcBorders>
              <w:top w:val="single" w:color="000000" w:sz="12"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0.087</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1608" w:type="dxa"/>
            <w:tcBorders>
              <w:top w:val="single" w:color="auto" w:sz="4"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12</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7.73</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0.038</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0.101</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0.106</w:t>
            </w:r>
          </w:p>
        </w:tc>
        <w:tc>
          <w:tcPr>
            <w:tcW w:w="1158" w:type="dxa"/>
            <w:tcBorders>
              <w:top w:val="single" w:color="auto" w:sz="4"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0.283</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1608" w:type="dxa"/>
            <w:tcBorders>
              <w:top w:val="single" w:color="auto" w:sz="4"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12</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11.40</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0.043</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0.064</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0.120</w:t>
            </w:r>
          </w:p>
        </w:tc>
        <w:tc>
          <w:tcPr>
            <w:tcW w:w="1158" w:type="dxa"/>
            <w:tcBorders>
              <w:top w:val="single" w:color="auto" w:sz="4"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0.179</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1608" w:type="dxa"/>
            <w:tcBorders>
              <w:top w:val="single" w:color="auto" w:sz="4" w:space="0"/>
              <w:left w:val="single" w:color="auto" w:sz="4" w:space="0"/>
              <w:bottom w:val="single" w:color="auto" w:sz="4" w:space="0"/>
              <w:right w:val="single" w:color="auto" w:sz="4" w:space="0"/>
            </w:tcBorders>
            <w:noWrap/>
          </w:tcPr>
          <w:p>
            <w:pPr>
              <w:widowControl/>
              <w:jc w:val="center"/>
              <w:rPr>
                <w:kern w:val="0"/>
                <w:sz w:val="18"/>
                <w:szCs w:val="18"/>
              </w:rPr>
            </w:pPr>
            <w:r>
              <w:rPr>
                <w:kern w:val="0"/>
                <w:sz w:val="18"/>
                <w:szCs w:val="18"/>
              </w:rPr>
              <w:t>12</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15.05</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0.053</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0.068</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0.148</w:t>
            </w:r>
          </w:p>
        </w:tc>
        <w:tc>
          <w:tcPr>
            <w:tcW w:w="1158" w:type="dxa"/>
            <w:tcBorders>
              <w:top w:val="single" w:color="auto" w:sz="4" w:space="0"/>
              <w:left w:val="single" w:color="auto" w:sz="4" w:space="0"/>
              <w:bottom w:val="single" w:color="auto" w:sz="4" w:space="0"/>
              <w:right w:val="single" w:color="auto" w:sz="12" w:space="0"/>
            </w:tcBorders>
            <w:noWrap/>
            <w:vAlign w:val="center"/>
          </w:tcPr>
          <w:p>
            <w:pPr>
              <w:jc w:val="center"/>
              <w:rPr>
                <w:sz w:val="18"/>
                <w:szCs w:val="18"/>
              </w:rPr>
            </w:pPr>
            <w:r>
              <w:rPr>
                <w:sz w:val="18"/>
                <w:szCs w:val="18"/>
              </w:rPr>
              <w:t>0.190</w:t>
            </w:r>
          </w:p>
        </w:tc>
      </w:tr>
      <w:tr>
        <w:tblPrEx>
          <w:tblCellMar>
            <w:top w:w="0" w:type="dxa"/>
            <w:left w:w="108" w:type="dxa"/>
            <w:bottom w:w="0" w:type="dxa"/>
            <w:right w:w="108" w:type="dxa"/>
          </w:tblCellMar>
        </w:tblPrEx>
        <w:trPr>
          <w:trHeight w:val="300" w:hRule="atLeast"/>
        </w:trPr>
        <w:tc>
          <w:tcPr>
            <w:tcW w:w="715" w:type="dxa"/>
            <w:vMerge w:val="continue"/>
            <w:tcBorders>
              <w:top w:val="single" w:color="000000" w:sz="12" w:space="0"/>
              <w:left w:val="single" w:color="auto" w:sz="12" w:space="0"/>
              <w:bottom w:val="single" w:color="000000" w:sz="12" w:space="0"/>
              <w:right w:val="single" w:color="auto" w:sz="4" w:space="0"/>
            </w:tcBorders>
            <w:noWrap/>
            <w:vAlign w:val="center"/>
          </w:tcPr>
          <w:p>
            <w:pPr>
              <w:widowControl/>
              <w:jc w:val="left"/>
              <w:rPr>
                <w:kern w:val="0"/>
                <w:sz w:val="18"/>
                <w:szCs w:val="18"/>
              </w:rPr>
            </w:pPr>
          </w:p>
        </w:tc>
        <w:tc>
          <w:tcPr>
            <w:tcW w:w="715" w:type="dxa"/>
            <w:tcBorders>
              <w:top w:val="single" w:color="auto" w:sz="4" w:space="0"/>
              <w:left w:val="single" w:color="auto" w:sz="4"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5</w:t>
            </w:r>
          </w:p>
        </w:tc>
        <w:tc>
          <w:tcPr>
            <w:tcW w:w="1608" w:type="dxa"/>
            <w:tcBorders>
              <w:top w:val="single" w:color="auto" w:sz="4" w:space="0"/>
              <w:left w:val="single" w:color="auto" w:sz="4" w:space="0"/>
              <w:bottom w:val="single" w:color="000000" w:sz="12" w:space="0"/>
              <w:right w:val="single" w:color="auto" w:sz="4" w:space="0"/>
            </w:tcBorders>
            <w:noWrap/>
          </w:tcPr>
          <w:p>
            <w:pPr>
              <w:widowControl/>
              <w:jc w:val="center"/>
              <w:rPr>
                <w:kern w:val="0"/>
                <w:sz w:val="18"/>
                <w:szCs w:val="18"/>
              </w:rPr>
            </w:pPr>
            <w:r>
              <w:rPr>
                <w:kern w:val="0"/>
                <w:sz w:val="18"/>
                <w:szCs w:val="18"/>
              </w:rPr>
              <w:t>12</w:t>
            </w:r>
          </w:p>
        </w:tc>
        <w:tc>
          <w:tcPr>
            <w:tcW w:w="1515" w:type="dxa"/>
            <w:tcBorders>
              <w:top w:val="single" w:color="auto" w:sz="4" w:space="0"/>
              <w:left w:val="single" w:color="auto" w:sz="4"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19.83</w:t>
            </w:r>
          </w:p>
        </w:tc>
        <w:tc>
          <w:tcPr>
            <w:tcW w:w="1300" w:type="dxa"/>
            <w:tcBorders>
              <w:top w:val="single" w:color="auto" w:sz="4" w:space="0"/>
              <w:left w:val="single" w:color="auto" w:sz="4"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0.076</w:t>
            </w:r>
          </w:p>
        </w:tc>
        <w:tc>
          <w:tcPr>
            <w:tcW w:w="1391" w:type="dxa"/>
            <w:tcBorders>
              <w:top w:val="single" w:color="auto" w:sz="4" w:space="0"/>
              <w:left w:val="single" w:color="auto" w:sz="4"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0.092</w:t>
            </w:r>
          </w:p>
        </w:tc>
        <w:tc>
          <w:tcPr>
            <w:tcW w:w="1158" w:type="dxa"/>
            <w:tcBorders>
              <w:top w:val="single" w:color="auto" w:sz="4" w:space="0"/>
              <w:left w:val="single" w:color="auto" w:sz="4" w:space="0"/>
              <w:bottom w:val="single" w:color="000000" w:sz="12" w:space="0"/>
              <w:right w:val="single" w:color="auto" w:sz="4" w:space="0"/>
            </w:tcBorders>
            <w:noWrap/>
            <w:vAlign w:val="center"/>
          </w:tcPr>
          <w:p>
            <w:pPr>
              <w:widowControl/>
              <w:jc w:val="center"/>
              <w:rPr>
                <w:kern w:val="0"/>
                <w:sz w:val="18"/>
                <w:szCs w:val="18"/>
              </w:rPr>
            </w:pPr>
            <w:r>
              <w:rPr>
                <w:kern w:val="0"/>
                <w:sz w:val="18"/>
                <w:szCs w:val="18"/>
              </w:rPr>
              <w:t>0.213</w:t>
            </w:r>
          </w:p>
        </w:tc>
        <w:tc>
          <w:tcPr>
            <w:tcW w:w="1158" w:type="dxa"/>
            <w:tcBorders>
              <w:top w:val="single" w:color="auto" w:sz="4" w:space="0"/>
              <w:left w:val="single" w:color="auto" w:sz="4" w:space="0"/>
              <w:bottom w:val="single" w:color="000000" w:sz="12" w:space="0"/>
              <w:right w:val="single" w:color="auto" w:sz="12" w:space="0"/>
            </w:tcBorders>
            <w:noWrap/>
            <w:vAlign w:val="center"/>
          </w:tcPr>
          <w:p>
            <w:pPr>
              <w:jc w:val="center"/>
              <w:rPr>
                <w:sz w:val="18"/>
                <w:szCs w:val="18"/>
              </w:rPr>
            </w:pPr>
            <w:r>
              <w:rPr>
                <w:sz w:val="18"/>
                <w:szCs w:val="18"/>
              </w:rPr>
              <w:t>0.258</w:t>
            </w:r>
          </w:p>
        </w:tc>
      </w:tr>
    </w:tbl>
    <w:p>
      <w:pPr>
        <w:spacing w:line="276" w:lineRule="auto"/>
        <w:jc w:val="center"/>
        <w:rPr>
          <w:szCs w:val="21"/>
          <w:u w:val="single"/>
        </w:rPr>
      </w:pPr>
    </w:p>
    <w:p>
      <w:pPr>
        <w:spacing w:line="276" w:lineRule="auto"/>
        <w:jc w:val="center"/>
        <w:rPr>
          <w:szCs w:val="21"/>
          <w:u w:val="single"/>
        </w:rPr>
      </w:pPr>
    </w:p>
    <w:p>
      <w:pPr>
        <w:spacing w:line="276" w:lineRule="auto"/>
        <w:rPr>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column">
                  <wp:posOffset>2660015</wp:posOffset>
                </wp:positionH>
                <wp:positionV relativeFrom="paragraph">
                  <wp:posOffset>138430</wp:posOffset>
                </wp:positionV>
                <wp:extent cx="1041400" cy="0"/>
                <wp:effectExtent l="0" t="6350" r="0" b="6350"/>
                <wp:wrapNone/>
                <wp:docPr id="8" name="直接连接符 8"/>
                <wp:cNvGraphicFramePr/>
                <a:graphic xmlns:a="http://schemas.openxmlformats.org/drawingml/2006/main">
                  <a:graphicData uri="http://schemas.microsoft.com/office/word/2010/wordprocessingShape">
                    <wps:wsp>
                      <wps:cNvCnPr/>
                      <wps:spPr>
                        <a:xfrm>
                          <a:off x="3560445" y="6746240"/>
                          <a:ext cx="104140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9.45pt;margin-top:10.9pt;height:0pt;width:82pt;z-index:251661312;mso-width-relative:page;mso-height-relative:page;" filled="f" stroked="t" coordsize="21600,21600" o:gfxdata="UEsDBAoAAAAAAIdO4kAAAAAAAAAAAAAAAAAEAAAAZHJzL1BLAwQUAAAACACHTuJAsg5j0NYAAAAJ&#10;AQAADwAAAGRycy9kb3ducmV2LnhtbE2Py07DMBBF90j8gzVI7KiTiIebxukCVFUgNm2R2E7jIQ7E&#10;dhq7D/6eQV3Acu4c3Uc1P7leHGiMXfAa8kkGgnwTTOdbDW+bxY0CERN6g33wpOGbIszry4sKSxOO&#10;fkWHdWoFm/hYogab0lBKGRtLDuMkDOT59xFGh4nPsZVmxCObu14WWXYvHXaeEywO9Gip+VrvnQZ8&#10;Wq7SuypeHrpn+/q5WeyWVu20vr7KsxmIRKf0B8Nvfa4ONXfahr03UfQabnM1ZVRDkfMEBu5UwcL2&#10;LMi6kv8X1D9QSwMEFAAAAAgAh07iQHfFxyflAQAApwMAAA4AAABkcnMvZTJvRG9jLnhtbK1TzY7T&#10;MBC+I/EOlu80acl2V1HTPWy1XBBUAh7AdZzEkv80423al+AFkLjBiSN33obdx2Dshl1YLnsgB8f2&#10;fP7G3zfj1eXBGrZXgNq7hs9nJWfKSd9q1zf8w/vrFxecYRSuFcY71fCjQn65fv5sNYZaLfzgTauA&#10;EYnDegwNH2IMdVGgHJQVOPNBOQp2HqyItIS+aEGMxG5NsSjLZTF6aAN4qRBpd3MK8okRnkLou05L&#10;tfHyxioXT6ygjIgkCQcdkK/zbbtOyfi261BFZhpOSmMeKQnNd2ks1itR9yDCoOV0BfGUKzzSZIV2&#10;lPSeaiOiYDeg/6GyWoJH38WZ9LY4CcmOkIp5+cibd4MIKmshqzHcm47/j1a+2W+B6bbhVHYnLBX8&#10;9tP3nx+/3P34TOPtt6/sIpk0BqwJe+W2MK0wbCEpPnRg05+0sEPDX54ty6o64+zY8OV5tVxUk8nq&#10;EJkkwLys5lVJ/ktC5FjxQBIA4yvlLUuThhvtkn5Ri/1rjJSYoL8hadv5a21MrqFxbCTyxXmmFtSY&#10;HTUEZbGBxKHrOROmp46XETIleqPbdDwRIfS7KwNsL1Kf5C+ppnR/wVLujcDhhMuhCWYcoZNJJ1vS&#10;bOfbY3Yr71P9Mt/Ua6lB/lzn0w/va/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g5j0NYAAAAJ&#10;AQAADwAAAAAAAAABACAAAAAiAAAAZHJzL2Rvd25yZXYueG1sUEsBAhQAFAAAAAgAh07iQHfFxyfl&#10;AQAApwMAAA4AAAAAAAAAAQAgAAAAJQEAAGRycy9lMm9Eb2MueG1sUEsFBgAAAAAGAAYAWQEAAHwF&#10;AAAAAA==&#10;">
                <v:fill on="f" focussize="0,0"/>
                <v:stroke weight="1pt" color="#000000 [3213]" joinstyle="round"/>
                <v:imagedata o:title=""/>
                <o:lock v:ext="edit" aspectratio="f"/>
              </v:line>
            </w:pict>
          </mc:Fallback>
        </mc:AlternateContent>
      </w:r>
    </w:p>
    <w:p>
      <w:pPr>
        <w:spacing w:line="276" w:lineRule="auto"/>
        <w:jc w:val="center"/>
        <w:rPr>
          <w:szCs w:val="21"/>
          <w:u w:val="single"/>
        </w:rPr>
      </w:pPr>
    </w:p>
    <w:sectPr>
      <w:footerReference r:id="rId9" w:type="default"/>
      <w:footerReference r:id="rId10" w:type="even"/>
      <w:pgSz w:w="11906" w:h="16838"/>
      <w:pgMar w:top="1474" w:right="1418" w:bottom="147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2"/>
                            </w:rPr>
                          </w:pPr>
                          <w:r>
                            <w:rPr>
                              <w:rStyle w:val="12"/>
                            </w:rPr>
                            <w:fldChar w:fldCharType="begin"/>
                          </w:r>
                          <w:r>
                            <w:rPr>
                              <w:rStyle w:val="12"/>
                            </w:rPr>
                            <w:instrText xml:space="preserve">PAGE  </w:instrText>
                          </w:r>
                          <w:r>
                            <w:rPr>
                              <w:rStyle w:val="12"/>
                            </w:rPr>
                            <w:fldChar w:fldCharType="separate"/>
                          </w:r>
                          <w:r>
                            <w:rPr>
                              <w:rStyle w:val="12"/>
                            </w:rPr>
                            <w:t>III</w:t>
                          </w:r>
                          <w:r>
                            <w:rPr>
                              <w:rStyle w:val="12"/>
                            </w:rPr>
                            <w:fldChar w:fldCharType="end"/>
                          </w:r>
                        </w:p>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5BH88BAACq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arkEfzwEAAKoDAAAOAAAAAAAAAAEAIAAAAB4BAABkcnMv&#10;ZTJvRG9jLnhtbFBLBQYAAAAABgAGAFkBAABfBQAAAAA=&#10;">
              <v:fill on="f" focussize="0,0"/>
              <v:stroke on="f"/>
              <v:imagedata o:title=""/>
              <o:lock v:ext="edit" aspectratio="f"/>
              <v:textbox inset="0mm,0mm,0mm,0mm" style="mso-fit-shape-to-text:t;">
                <w:txbxContent>
                  <w:p>
                    <w:pPr>
                      <w:pStyle w:val="5"/>
                      <w:rPr>
                        <w:rStyle w:val="12"/>
                      </w:rPr>
                    </w:pPr>
                    <w:r>
                      <w:rPr>
                        <w:rStyle w:val="12"/>
                      </w:rPr>
                      <w:fldChar w:fldCharType="begin"/>
                    </w:r>
                    <w:r>
                      <w:rPr>
                        <w:rStyle w:val="12"/>
                      </w:rPr>
                      <w:instrText xml:space="preserve">PAGE  </w:instrText>
                    </w:r>
                    <w:r>
                      <w:rPr>
                        <w:rStyle w:val="12"/>
                      </w:rPr>
                      <w:fldChar w:fldCharType="separate"/>
                    </w:r>
                    <w:r>
                      <w:rPr>
                        <w:rStyle w:val="12"/>
                      </w:rPr>
                      <w:t>III</w:t>
                    </w:r>
                    <w:r>
                      <w:rPr>
                        <w:rStyle w:val="12"/>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mszs8BAACqAwAADgAAAGRycy9lMm9Eb2MueG1srVPNjtMwEL4j8Q6W&#10;7zRpJ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WW5&#10;ukk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FiazOzwEAAKoDAAAOAAAAAAAAAAEAIAAAAB4BAABkcnMv&#10;ZTJvRG9jLnhtbFBLBQYAAAAABgAGAFkBAABf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8h0P88BAACqAwAADgAAAGRycy9lMm9Eb2MueG1srVPNjtMwEL4j8Q6W&#10;7zRpD0sVNV2BqkVICJAWHsB1nMaS7bE8bpO+ALwBJy7cea4+B2Mn6S7LZQ9cnPnzN/N9nmxuB2vY&#10;SQXU4Gq+XJScKSeh0e5Q869f7l6tOcMoXCMMOFXzs0J+u335YtP7Sq2gA9OowAjEYdX7mncx+qoo&#10;UHbKClyAV46SLQQrIrnhUDRB9IRuTbEqy5uih9D4AFIhUnQ3JvmEGJ4DCG2rpdqBPFrl4ogalBGR&#10;KGGnPfJtnrZtlYyf2hZVZKbmxDTmk5qQvU9nsd2I6hCE77ScRhDPGeEJJyu0o6ZXqJ2Igh2D/gfK&#10;ahkAoY0LCbYYiWRFiMWyfKLNfSe8ylxIavRX0fH/wcqPp8+B6abmN5w5YenBLz++X37+vvz6xpbl&#10;6nVSqPdYUeG9p9I4vIWB9maOIwUT8aENNn2JEqM86Xu+6quGyGS6tF6t1yWlJOVmh/CLh+s+YHyn&#10;wLJk1DzQA2ZdxekDxrF0LkndHNxpY/IjGvdXgDDHiMpbMN1OTMaJkxWH/TDR20NzJnY9bULNHS0+&#10;Z+a9I6HT0sxGmI39bBx90Icub1Xqjv7NMdJIedLUYYQlhsmhJ8xcp3VLO/LYz1UPv9j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TyHQ/zwEAAKoDAAAOAAAAAAAAAAEAIAAAAB4BAABkcnMv&#10;ZTJvRG9jLnhtbFBLBQYAAAAABgAGAFkBAABfBQAAAAA=&#10;">
              <v:fill on="f" focussize="0,0"/>
              <v:stroke on="f"/>
              <v:imagedata o:title=""/>
              <o:lock v:ext="edit" aspectratio="f"/>
              <v:textbox inset="0mm,0mm,0mm,0mm" style="mso-fit-shape-to-text:t;">
                <w:txbxContent>
                  <w:p>
                    <w:pPr>
                      <w:pStyle w:val="5"/>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07B88BAACqAwAADgAAAGRycy9lMm9Eb2MueG1srVNLbtswEN0XyB0I&#10;7mPJXrSC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ob+o4Syww++Pn7t/OPX+efX8my&#10;XFVJod5DjYVPHkvjcOcG3Js5DhhMxAcZTPoiJYJ51Pd00VcMkfB0qVpVVYkpjrnZQfzi+boPEN8L&#10;Z0gyGhrwAbOu7PgIcSydS1I36+6V1vkRtf0rgJhjROQtmG4nJuPEyYrDbpjo7Vx7QnY9bkJDLS4+&#10;JfrBotBpaWYjzMZuNg4+qH2Xtyp1B397iDhSnjR1GGGRYXLwCTPXad3Sjvzp56rnX2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WnTsHzwEAAKoDAAAOAAAAAAAAAAEAIAAAAB4BAABkcnMv&#10;ZTJvRG9jLnhtbFBLBQYAAAAABgAGAFkBAABf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YS</w:t>
    </w:r>
    <w:r>
      <w:t xml:space="preserve">/T </w:t>
    </w:r>
    <w:r>
      <w:rPr>
        <w:rFonts w:hint="eastAsia"/>
      </w:rPr>
      <w:t>475.3</w:t>
    </w:r>
    <w: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YS</w:t>
    </w:r>
    <w:r>
      <w:t xml:space="preserve">/T </w:t>
    </w:r>
    <w:r>
      <w:rPr>
        <w:rFonts w:hint="eastAsia"/>
      </w:rPr>
      <w:t>475.3</w:t>
    </w:r>
    <w:r>
      <w:t>—202X</w:t>
    </w:r>
  </w:p>
  <w:p>
    <w:pPr>
      <w:pStyle w:val="6"/>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Cs w:val="21"/>
      </w:rPr>
    </w:pPr>
    <w:r>
      <w:rPr>
        <w:rFonts w:hint="eastAsia"/>
      </w:rPr>
      <w:t>YS</w:t>
    </w:r>
    <w:r>
      <w:t xml:space="preserve">/T </w:t>
    </w:r>
    <w:r>
      <w:rPr>
        <w:rFonts w:hint="eastAsia"/>
      </w:rPr>
      <w:t>475.3</w:t>
    </w:r>
    <w: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E656C"/>
    <w:multiLevelType w:val="multilevel"/>
    <w:tmpl w:val="339E656C"/>
    <w:lvl w:ilvl="0" w:tentative="0">
      <w:start w:val="1"/>
      <w:numFmt w:val="decimal"/>
      <w:suff w:val="nothing"/>
      <w:lvlText w:val="%1"/>
      <w:lvlJc w:val="left"/>
      <w:pPr>
        <w:ind w:left="420" w:hanging="420"/>
      </w:pPr>
      <w:rPr>
        <w:rFonts w:hint="default"/>
      </w:rPr>
    </w:lvl>
    <w:lvl w:ilvl="1" w:tentative="0">
      <w:start w:val="1"/>
      <w:numFmt w:val="decimal"/>
      <w:isLgl/>
      <w:lvlText w:val="%1.%2"/>
      <w:lvlJc w:val="left"/>
      <w:pPr>
        <w:ind w:left="405" w:hanging="40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080" w:hanging="1080"/>
      </w:pPr>
      <w:rPr>
        <w:rFonts w:hint="default" w:ascii="黑体" w:hAnsi="黑体" w:eastAsia="黑体"/>
      </w:rPr>
    </w:lvl>
    <w:lvl w:ilvl="6" w:tentative="0">
      <w:start w:val="1"/>
      <w:numFmt w:val="decimal"/>
      <w:isLgl/>
      <w:lvlText w:val="%1.%2.%3.%4.%5.%6.%7"/>
      <w:lvlJc w:val="left"/>
      <w:pPr>
        <w:ind w:left="1080" w:hanging="1080"/>
      </w:pPr>
      <w:rPr>
        <w:rFonts w:hint="default" w:ascii="黑体" w:hAnsi="黑体" w:eastAsia="黑体"/>
      </w:rPr>
    </w:lvl>
    <w:lvl w:ilvl="7" w:tentative="0">
      <w:start w:val="1"/>
      <w:numFmt w:val="decimal"/>
      <w:isLgl/>
      <w:lvlText w:val="%1.%2.%3.%4.%5.%6.%7.%8"/>
      <w:lvlJc w:val="left"/>
      <w:pPr>
        <w:ind w:left="1440" w:hanging="1440"/>
      </w:pPr>
      <w:rPr>
        <w:rFonts w:hint="default" w:ascii="黑体" w:hAnsi="黑体" w:eastAsia="黑体"/>
      </w:rPr>
    </w:lvl>
    <w:lvl w:ilvl="8" w:tentative="0">
      <w:start w:val="1"/>
      <w:numFmt w:val="decimal"/>
      <w:isLgl/>
      <w:lvlText w:val="%1.%2.%3.%4.%5.%6.%7.%8.%9"/>
      <w:lvlJc w:val="left"/>
      <w:pPr>
        <w:ind w:left="1440" w:hanging="1440"/>
      </w:pPr>
      <w:rPr>
        <w:rFonts w:hint="default" w:ascii="黑体" w:hAnsi="黑体" w:eastAsia="黑体"/>
      </w:rPr>
    </w:lvl>
  </w:abstractNum>
  <w:abstractNum w:abstractNumId="1">
    <w:nsid w:val="6CEA2025"/>
    <w:multiLevelType w:val="multilevel"/>
    <w:tmpl w:val="6CEA2025"/>
    <w:lvl w:ilvl="0" w:tentative="0">
      <w:start w:val="1"/>
      <w:numFmt w:val="none"/>
      <w:pStyle w:val="30"/>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41"/>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trackRevisions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s>
  <w:rsids>
    <w:rsidRoot w:val="00D036D4"/>
    <w:rsid w:val="00000513"/>
    <w:rsid w:val="00005A53"/>
    <w:rsid w:val="00006534"/>
    <w:rsid w:val="00006A69"/>
    <w:rsid w:val="00010FD1"/>
    <w:rsid w:val="000134C2"/>
    <w:rsid w:val="000136FD"/>
    <w:rsid w:val="000147C7"/>
    <w:rsid w:val="00014B40"/>
    <w:rsid w:val="00017678"/>
    <w:rsid w:val="00020020"/>
    <w:rsid w:val="00022F2D"/>
    <w:rsid w:val="000249C7"/>
    <w:rsid w:val="0002722F"/>
    <w:rsid w:val="00034C31"/>
    <w:rsid w:val="00035824"/>
    <w:rsid w:val="00036A08"/>
    <w:rsid w:val="00036EFF"/>
    <w:rsid w:val="00041979"/>
    <w:rsid w:val="00042106"/>
    <w:rsid w:val="00042A65"/>
    <w:rsid w:val="00044E2C"/>
    <w:rsid w:val="000467C4"/>
    <w:rsid w:val="00046B37"/>
    <w:rsid w:val="00053C7F"/>
    <w:rsid w:val="000545CB"/>
    <w:rsid w:val="00054EF2"/>
    <w:rsid w:val="00055FAA"/>
    <w:rsid w:val="00056DA5"/>
    <w:rsid w:val="00060E7E"/>
    <w:rsid w:val="000619C7"/>
    <w:rsid w:val="00062298"/>
    <w:rsid w:val="00064811"/>
    <w:rsid w:val="00070DB5"/>
    <w:rsid w:val="00070F77"/>
    <w:rsid w:val="00072560"/>
    <w:rsid w:val="00073B48"/>
    <w:rsid w:val="000741C8"/>
    <w:rsid w:val="00074606"/>
    <w:rsid w:val="0007649E"/>
    <w:rsid w:val="00077071"/>
    <w:rsid w:val="00077F20"/>
    <w:rsid w:val="000803B2"/>
    <w:rsid w:val="000806CC"/>
    <w:rsid w:val="0008285B"/>
    <w:rsid w:val="00085282"/>
    <w:rsid w:val="00086D76"/>
    <w:rsid w:val="00087DC2"/>
    <w:rsid w:val="00091363"/>
    <w:rsid w:val="00092CF9"/>
    <w:rsid w:val="000944CA"/>
    <w:rsid w:val="0009479A"/>
    <w:rsid w:val="000957B9"/>
    <w:rsid w:val="000A0699"/>
    <w:rsid w:val="000A07A8"/>
    <w:rsid w:val="000A0825"/>
    <w:rsid w:val="000A092C"/>
    <w:rsid w:val="000A3375"/>
    <w:rsid w:val="000A4BA6"/>
    <w:rsid w:val="000B0D79"/>
    <w:rsid w:val="000B0F0E"/>
    <w:rsid w:val="000B2D69"/>
    <w:rsid w:val="000B3E65"/>
    <w:rsid w:val="000B5081"/>
    <w:rsid w:val="000B5709"/>
    <w:rsid w:val="000B5CF1"/>
    <w:rsid w:val="000C0434"/>
    <w:rsid w:val="000C11C8"/>
    <w:rsid w:val="000C191D"/>
    <w:rsid w:val="000C1C38"/>
    <w:rsid w:val="000C1E3F"/>
    <w:rsid w:val="000C2E17"/>
    <w:rsid w:val="000C480E"/>
    <w:rsid w:val="000C5ED8"/>
    <w:rsid w:val="000C782D"/>
    <w:rsid w:val="000C7A8E"/>
    <w:rsid w:val="000D2FCA"/>
    <w:rsid w:val="000D37A1"/>
    <w:rsid w:val="000D4677"/>
    <w:rsid w:val="000D5AD6"/>
    <w:rsid w:val="000D638A"/>
    <w:rsid w:val="000D6DC4"/>
    <w:rsid w:val="000E3AB4"/>
    <w:rsid w:val="000E7C8C"/>
    <w:rsid w:val="000F0020"/>
    <w:rsid w:val="000F24CF"/>
    <w:rsid w:val="000F34E7"/>
    <w:rsid w:val="000F3A8D"/>
    <w:rsid w:val="000F4F2A"/>
    <w:rsid w:val="000F6766"/>
    <w:rsid w:val="000F6EA3"/>
    <w:rsid w:val="001008A4"/>
    <w:rsid w:val="00103447"/>
    <w:rsid w:val="00104F31"/>
    <w:rsid w:val="001101AA"/>
    <w:rsid w:val="00110D0C"/>
    <w:rsid w:val="0011526F"/>
    <w:rsid w:val="00120132"/>
    <w:rsid w:val="001203BA"/>
    <w:rsid w:val="00120D49"/>
    <w:rsid w:val="00123C4C"/>
    <w:rsid w:val="00124060"/>
    <w:rsid w:val="001272DB"/>
    <w:rsid w:val="00130507"/>
    <w:rsid w:val="00130EAE"/>
    <w:rsid w:val="00133003"/>
    <w:rsid w:val="00133C73"/>
    <w:rsid w:val="001340AB"/>
    <w:rsid w:val="00134D1D"/>
    <w:rsid w:val="00136A28"/>
    <w:rsid w:val="00140620"/>
    <w:rsid w:val="00144782"/>
    <w:rsid w:val="0014625C"/>
    <w:rsid w:val="0014687C"/>
    <w:rsid w:val="00150E58"/>
    <w:rsid w:val="00151EE8"/>
    <w:rsid w:val="00153686"/>
    <w:rsid w:val="00153E37"/>
    <w:rsid w:val="00160B90"/>
    <w:rsid w:val="00160FFE"/>
    <w:rsid w:val="00162688"/>
    <w:rsid w:val="0016438E"/>
    <w:rsid w:val="001654EC"/>
    <w:rsid w:val="001715B6"/>
    <w:rsid w:val="00173057"/>
    <w:rsid w:val="001738CE"/>
    <w:rsid w:val="00181AAA"/>
    <w:rsid w:val="00182D1F"/>
    <w:rsid w:val="0018360B"/>
    <w:rsid w:val="00183CFF"/>
    <w:rsid w:val="00183EFC"/>
    <w:rsid w:val="001861AE"/>
    <w:rsid w:val="00187062"/>
    <w:rsid w:val="00190339"/>
    <w:rsid w:val="00190936"/>
    <w:rsid w:val="00192C70"/>
    <w:rsid w:val="00193501"/>
    <w:rsid w:val="00193DE1"/>
    <w:rsid w:val="0019599C"/>
    <w:rsid w:val="001963ED"/>
    <w:rsid w:val="001A0288"/>
    <w:rsid w:val="001A037E"/>
    <w:rsid w:val="001A2FA7"/>
    <w:rsid w:val="001A3A32"/>
    <w:rsid w:val="001A40C7"/>
    <w:rsid w:val="001A51FE"/>
    <w:rsid w:val="001A5521"/>
    <w:rsid w:val="001A6516"/>
    <w:rsid w:val="001A78B1"/>
    <w:rsid w:val="001B0D8D"/>
    <w:rsid w:val="001B1D39"/>
    <w:rsid w:val="001B2E6D"/>
    <w:rsid w:val="001B4226"/>
    <w:rsid w:val="001B47FD"/>
    <w:rsid w:val="001B4866"/>
    <w:rsid w:val="001B4B85"/>
    <w:rsid w:val="001B4CA0"/>
    <w:rsid w:val="001B51A4"/>
    <w:rsid w:val="001B6780"/>
    <w:rsid w:val="001B7C69"/>
    <w:rsid w:val="001C02B0"/>
    <w:rsid w:val="001C1785"/>
    <w:rsid w:val="001C34DA"/>
    <w:rsid w:val="001C7C41"/>
    <w:rsid w:val="001D0970"/>
    <w:rsid w:val="001D18F1"/>
    <w:rsid w:val="001D21D2"/>
    <w:rsid w:val="001D2B51"/>
    <w:rsid w:val="001D3AEB"/>
    <w:rsid w:val="001D4EAC"/>
    <w:rsid w:val="001D4F6E"/>
    <w:rsid w:val="001D5111"/>
    <w:rsid w:val="001D7B9F"/>
    <w:rsid w:val="001E064A"/>
    <w:rsid w:val="001E28E6"/>
    <w:rsid w:val="001E4CDD"/>
    <w:rsid w:val="001E7C01"/>
    <w:rsid w:val="001F029D"/>
    <w:rsid w:val="001F02CD"/>
    <w:rsid w:val="001F0E71"/>
    <w:rsid w:val="001F373B"/>
    <w:rsid w:val="001F54AB"/>
    <w:rsid w:val="001F63D5"/>
    <w:rsid w:val="001F6D7F"/>
    <w:rsid w:val="001F7377"/>
    <w:rsid w:val="001F7D49"/>
    <w:rsid w:val="00200A88"/>
    <w:rsid w:val="00202AAB"/>
    <w:rsid w:val="00203611"/>
    <w:rsid w:val="00204A78"/>
    <w:rsid w:val="00205B96"/>
    <w:rsid w:val="002074E9"/>
    <w:rsid w:val="002075EE"/>
    <w:rsid w:val="00207B66"/>
    <w:rsid w:val="00210192"/>
    <w:rsid w:val="00212938"/>
    <w:rsid w:val="0021485D"/>
    <w:rsid w:val="00215B5A"/>
    <w:rsid w:val="002166B9"/>
    <w:rsid w:val="00217556"/>
    <w:rsid w:val="00217F13"/>
    <w:rsid w:val="00221F31"/>
    <w:rsid w:val="00221F49"/>
    <w:rsid w:val="002255B7"/>
    <w:rsid w:val="00230308"/>
    <w:rsid w:val="002337C8"/>
    <w:rsid w:val="0023550A"/>
    <w:rsid w:val="0023660D"/>
    <w:rsid w:val="00237A2D"/>
    <w:rsid w:val="00240A82"/>
    <w:rsid w:val="00240F72"/>
    <w:rsid w:val="002437AC"/>
    <w:rsid w:val="0024549A"/>
    <w:rsid w:val="00246221"/>
    <w:rsid w:val="00246CFC"/>
    <w:rsid w:val="002512A1"/>
    <w:rsid w:val="0025192C"/>
    <w:rsid w:val="00253829"/>
    <w:rsid w:val="00253A66"/>
    <w:rsid w:val="0025415C"/>
    <w:rsid w:val="002569E4"/>
    <w:rsid w:val="00261B11"/>
    <w:rsid w:val="0026232F"/>
    <w:rsid w:val="00263261"/>
    <w:rsid w:val="00263402"/>
    <w:rsid w:val="00263B9D"/>
    <w:rsid w:val="00264B02"/>
    <w:rsid w:val="0027090E"/>
    <w:rsid w:val="00270987"/>
    <w:rsid w:val="00270B47"/>
    <w:rsid w:val="002710D3"/>
    <w:rsid w:val="00271D69"/>
    <w:rsid w:val="00272A79"/>
    <w:rsid w:val="0027609A"/>
    <w:rsid w:val="00276418"/>
    <w:rsid w:val="0028048A"/>
    <w:rsid w:val="0028062E"/>
    <w:rsid w:val="00280D3F"/>
    <w:rsid w:val="0028176E"/>
    <w:rsid w:val="002829A2"/>
    <w:rsid w:val="002836CF"/>
    <w:rsid w:val="00285DD6"/>
    <w:rsid w:val="00287171"/>
    <w:rsid w:val="00296E34"/>
    <w:rsid w:val="0029723D"/>
    <w:rsid w:val="002978FF"/>
    <w:rsid w:val="002A068B"/>
    <w:rsid w:val="002A283A"/>
    <w:rsid w:val="002A39FC"/>
    <w:rsid w:val="002A6F1D"/>
    <w:rsid w:val="002A7B5D"/>
    <w:rsid w:val="002B0636"/>
    <w:rsid w:val="002B0932"/>
    <w:rsid w:val="002B0DDF"/>
    <w:rsid w:val="002B2B0A"/>
    <w:rsid w:val="002B2D42"/>
    <w:rsid w:val="002B7928"/>
    <w:rsid w:val="002C1DA7"/>
    <w:rsid w:val="002C2824"/>
    <w:rsid w:val="002C3F8D"/>
    <w:rsid w:val="002C5244"/>
    <w:rsid w:val="002C5D50"/>
    <w:rsid w:val="002C723A"/>
    <w:rsid w:val="002D14B4"/>
    <w:rsid w:val="002D1BAA"/>
    <w:rsid w:val="002D2966"/>
    <w:rsid w:val="002D30DE"/>
    <w:rsid w:val="002D4582"/>
    <w:rsid w:val="002D4C4D"/>
    <w:rsid w:val="002D5821"/>
    <w:rsid w:val="002D607D"/>
    <w:rsid w:val="002E61C0"/>
    <w:rsid w:val="002F08CE"/>
    <w:rsid w:val="002F1A35"/>
    <w:rsid w:val="002F2F45"/>
    <w:rsid w:val="002F74FE"/>
    <w:rsid w:val="002F7A86"/>
    <w:rsid w:val="00300EEE"/>
    <w:rsid w:val="00301908"/>
    <w:rsid w:val="00302CD8"/>
    <w:rsid w:val="00303C14"/>
    <w:rsid w:val="00306D6B"/>
    <w:rsid w:val="003106A8"/>
    <w:rsid w:val="0031590C"/>
    <w:rsid w:val="00317F51"/>
    <w:rsid w:val="00320B92"/>
    <w:rsid w:val="00320D2D"/>
    <w:rsid w:val="00321394"/>
    <w:rsid w:val="0032143B"/>
    <w:rsid w:val="003217C2"/>
    <w:rsid w:val="00321C26"/>
    <w:rsid w:val="00323151"/>
    <w:rsid w:val="0032582E"/>
    <w:rsid w:val="003258E3"/>
    <w:rsid w:val="00327917"/>
    <w:rsid w:val="003305D5"/>
    <w:rsid w:val="00330728"/>
    <w:rsid w:val="00331F1D"/>
    <w:rsid w:val="00331FB8"/>
    <w:rsid w:val="00335B1A"/>
    <w:rsid w:val="00344476"/>
    <w:rsid w:val="00344A1F"/>
    <w:rsid w:val="00345816"/>
    <w:rsid w:val="00346EBC"/>
    <w:rsid w:val="00350C07"/>
    <w:rsid w:val="00351A2A"/>
    <w:rsid w:val="00353185"/>
    <w:rsid w:val="003544D0"/>
    <w:rsid w:val="003556A0"/>
    <w:rsid w:val="00355EF3"/>
    <w:rsid w:val="003575EF"/>
    <w:rsid w:val="00364D51"/>
    <w:rsid w:val="0036513C"/>
    <w:rsid w:val="00365CF1"/>
    <w:rsid w:val="00366982"/>
    <w:rsid w:val="00366B8F"/>
    <w:rsid w:val="00367A5C"/>
    <w:rsid w:val="00367B96"/>
    <w:rsid w:val="0037027B"/>
    <w:rsid w:val="0037307D"/>
    <w:rsid w:val="00373C98"/>
    <w:rsid w:val="00374DAE"/>
    <w:rsid w:val="00374DCE"/>
    <w:rsid w:val="00374EDE"/>
    <w:rsid w:val="00376A18"/>
    <w:rsid w:val="00376FCF"/>
    <w:rsid w:val="00377A46"/>
    <w:rsid w:val="0038195E"/>
    <w:rsid w:val="00384C29"/>
    <w:rsid w:val="003908A1"/>
    <w:rsid w:val="00391BB2"/>
    <w:rsid w:val="003950F7"/>
    <w:rsid w:val="00396155"/>
    <w:rsid w:val="003961DF"/>
    <w:rsid w:val="00396ABA"/>
    <w:rsid w:val="00396E3C"/>
    <w:rsid w:val="00396F47"/>
    <w:rsid w:val="003A04D8"/>
    <w:rsid w:val="003A13E6"/>
    <w:rsid w:val="003A1A48"/>
    <w:rsid w:val="003A2510"/>
    <w:rsid w:val="003A35B6"/>
    <w:rsid w:val="003A3E02"/>
    <w:rsid w:val="003A486F"/>
    <w:rsid w:val="003A4A91"/>
    <w:rsid w:val="003B0B2B"/>
    <w:rsid w:val="003B0CBA"/>
    <w:rsid w:val="003B1630"/>
    <w:rsid w:val="003B2262"/>
    <w:rsid w:val="003B4559"/>
    <w:rsid w:val="003B6520"/>
    <w:rsid w:val="003B791A"/>
    <w:rsid w:val="003B7CF4"/>
    <w:rsid w:val="003C266C"/>
    <w:rsid w:val="003D0C44"/>
    <w:rsid w:val="003D1683"/>
    <w:rsid w:val="003D173E"/>
    <w:rsid w:val="003D536A"/>
    <w:rsid w:val="003D6DF1"/>
    <w:rsid w:val="003D736C"/>
    <w:rsid w:val="003E0EEC"/>
    <w:rsid w:val="003E1BCF"/>
    <w:rsid w:val="003E5F6D"/>
    <w:rsid w:val="003E6617"/>
    <w:rsid w:val="003E6A22"/>
    <w:rsid w:val="003E7381"/>
    <w:rsid w:val="003F23D9"/>
    <w:rsid w:val="003F7621"/>
    <w:rsid w:val="00400F0F"/>
    <w:rsid w:val="00401D34"/>
    <w:rsid w:val="00401E4F"/>
    <w:rsid w:val="00406B8A"/>
    <w:rsid w:val="00406DF1"/>
    <w:rsid w:val="00407F53"/>
    <w:rsid w:val="0041070B"/>
    <w:rsid w:val="004130CA"/>
    <w:rsid w:val="004139F5"/>
    <w:rsid w:val="004142D9"/>
    <w:rsid w:val="0041591E"/>
    <w:rsid w:val="00415A71"/>
    <w:rsid w:val="00416372"/>
    <w:rsid w:val="00417FC0"/>
    <w:rsid w:val="00420E61"/>
    <w:rsid w:val="00423A8B"/>
    <w:rsid w:val="0042477E"/>
    <w:rsid w:val="00426573"/>
    <w:rsid w:val="004305A6"/>
    <w:rsid w:val="004308CB"/>
    <w:rsid w:val="004321DF"/>
    <w:rsid w:val="0043417F"/>
    <w:rsid w:val="0043549F"/>
    <w:rsid w:val="0043704D"/>
    <w:rsid w:val="00442349"/>
    <w:rsid w:val="00443635"/>
    <w:rsid w:val="004503CE"/>
    <w:rsid w:val="004519AE"/>
    <w:rsid w:val="00453B45"/>
    <w:rsid w:val="00454416"/>
    <w:rsid w:val="00462178"/>
    <w:rsid w:val="00471790"/>
    <w:rsid w:val="004726E7"/>
    <w:rsid w:val="00473B8B"/>
    <w:rsid w:val="004743F6"/>
    <w:rsid w:val="00480EB4"/>
    <w:rsid w:val="004817B6"/>
    <w:rsid w:val="00482D4C"/>
    <w:rsid w:val="00484B43"/>
    <w:rsid w:val="004860BE"/>
    <w:rsid w:val="004860FA"/>
    <w:rsid w:val="004923A0"/>
    <w:rsid w:val="00493A34"/>
    <w:rsid w:val="00494375"/>
    <w:rsid w:val="00494775"/>
    <w:rsid w:val="00495936"/>
    <w:rsid w:val="00497C85"/>
    <w:rsid w:val="004A034A"/>
    <w:rsid w:val="004A0AEC"/>
    <w:rsid w:val="004A0EA6"/>
    <w:rsid w:val="004A1313"/>
    <w:rsid w:val="004A14BC"/>
    <w:rsid w:val="004A1818"/>
    <w:rsid w:val="004A2B09"/>
    <w:rsid w:val="004A39D3"/>
    <w:rsid w:val="004A699B"/>
    <w:rsid w:val="004B152A"/>
    <w:rsid w:val="004B1FAE"/>
    <w:rsid w:val="004B2DDC"/>
    <w:rsid w:val="004B469A"/>
    <w:rsid w:val="004B64F3"/>
    <w:rsid w:val="004B6FE6"/>
    <w:rsid w:val="004C008D"/>
    <w:rsid w:val="004C0D04"/>
    <w:rsid w:val="004C1DCA"/>
    <w:rsid w:val="004C2F5E"/>
    <w:rsid w:val="004C57D8"/>
    <w:rsid w:val="004D0146"/>
    <w:rsid w:val="004D32CA"/>
    <w:rsid w:val="004D3B3D"/>
    <w:rsid w:val="004D7D3F"/>
    <w:rsid w:val="004D7EE8"/>
    <w:rsid w:val="004E28A1"/>
    <w:rsid w:val="004E296C"/>
    <w:rsid w:val="004E2D5E"/>
    <w:rsid w:val="004E3202"/>
    <w:rsid w:val="004E38F1"/>
    <w:rsid w:val="004E39C0"/>
    <w:rsid w:val="004E4507"/>
    <w:rsid w:val="004E6B0D"/>
    <w:rsid w:val="004E70AE"/>
    <w:rsid w:val="004F086B"/>
    <w:rsid w:val="004F10E1"/>
    <w:rsid w:val="004F1E82"/>
    <w:rsid w:val="004F2447"/>
    <w:rsid w:val="004F4BE8"/>
    <w:rsid w:val="004F5908"/>
    <w:rsid w:val="004F65C2"/>
    <w:rsid w:val="004F6FB1"/>
    <w:rsid w:val="005044B1"/>
    <w:rsid w:val="00504C49"/>
    <w:rsid w:val="005054CF"/>
    <w:rsid w:val="0050595E"/>
    <w:rsid w:val="00505FD9"/>
    <w:rsid w:val="00510832"/>
    <w:rsid w:val="0051106D"/>
    <w:rsid w:val="005118C2"/>
    <w:rsid w:val="00512048"/>
    <w:rsid w:val="005120BC"/>
    <w:rsid w:val="005130B0"/>
    <w:rsid w:val="005141A0"/>
    <w:rsid w:val="005155CD"/>
    <w:rsid w:val="005207E0"/>
    <w:rsid w:val="00520D04"/>
    <w:rsid w:val="00521A11"/>
    <w:rsid w:val="00523428"/>
    <w:rsid w:val="0053089B"/>
    <w:rsid w:val="0053169A"/>
    <w:rsid w:val="00531767"/>
    <w:rsid w:val="00536622"/>
    <w:rsid w:val="00536758"/>
    <w:rsid w:val="005379AC"/>
    <w:rsid w:val="00541B65"/>
    <w:rsid w:val="005439A4"/>
    <w:rsid w:val="00544EF9"/>
    <w:rsid w:val="00545153"/>
    <w:rsid w:val="005457B2"/>
    <w:rsid w:val="005463A8"/>
    <w:rsid w:val="0055424F"/>
    <w:rsid w:val="00554A5A"/>
    <w:rsid w:val="00554C36"/>
    <w:rsid w:val="00554F10"/>
    <w:rsid w:val="005558FA"/>
    <w:rsid w:val="00556A70"/>
    <w:rsid w:val="00556E9B"/>
    <w:rsid w:val="005633EB"/>
    <w:rsid w:val="00565C7F"/>
    <w:rsid w:val="0057047A"/>
    <w:rsid w:val="0057147E"/>
    <w:rsid w:val="00571DF9"/>
    <w:rsid w:val="00572A5A"/>
    <w:rsid w:val="0057592B"/>
    <w:rsid w:val="00575C25"/>
    <w:rsid w:val="00575C76"/>
    <w:rsid w:val="005776C6"/>
    <w:rsid w:val="00581413"/>
    <w:rsid w:val="00581D96"/>
    <w:rsid w:val="00585127"/>
    <w:rsid w:val="00586293"/>
    <w:rsid w:val="00587E35"/>
    <w:rsid w:val="0059159B"/>
    <w:rsid w:val="005925D5"/>
    <w:rsid w:val="00592EA2"/>
    <w:rsid w:val="00592F94"/>
    <w:rsid w:val="00594348"/>
    <w:rsid w:val="005A1C40"/>
    <w:rsid w:val="005A1FD8"/>
    <w:rsid w:val="005A34A4"/>
    <w:rsid w:val="005A3DC7"/>
    <w:rsid w:val="005A4DBD"/>
    <w:rsid w:val="005A717E"/>
    <w:rsid w:val="005B31AF"/>
    <w:rsid w:val="005B3B98"/>
    <w:rsid w:val="005B4A27"/>
    <w:rsid w:val="005B5581"/>
    <w:rsid w:val="005C0A2F"/>
    <w:rsid w:val="005C49F3"/>
    <w:rsid w:val="005C4A39"/>
    <w:rsid w:val="005C761E"/>
    <w:rsid w:val="005D00F5"/>
    <w:rsid w:val="005D02C2"/>
    <w:rsid w:val="005D214B"/>
    <w:rsid w:val="005D285C"/>
    <w:rsid w:val="005D30E3"/>
    <w:rsid w:val="005D328A"/>
    <w:rsid w:val="005D38BC"/>
    <w:rsid w:val="005D4631"/>
    <w:rsid w:val="005D4EB2"/>
    <w:rsid w:val="005D4EB3"/>
    <w:rsid w:val="005D7CAA"/>
    <w:rsid w:val="005E0DB7"/>
    <w:rsid w:val="005E101C"/>
    <w:rsid w:val="005E1160"/>
    <w:rsid w:val="005E4738"/>
    <w:rsid w:val="005E4C61"/>
    <w:rsid w:val="005E4FDD"/>
    <w:rsid w:val="005E68A2"/>
    <w:rsid w:val="005E7DCC"/>
    <w:rsid w:val="005F37C7"/>
    <w:rsid w:val="005F49FE"/>
    <w:rsid w:val="005F6087"/>
    <w:rsid w:val="005F679F"/>
    <w:rsid w:val="005F7188"/>
    <w:rsid w:val="005F76F4"/>
    <w:rsid w:val="00602861"/>
    <w:rsid w:val="0060340F"/>
    <w:rsid w:val="006058B2"/>
    <w:rsid w:val="00606201"/>
    <w:rsid w:val="00606618"/>
    <w:rsid w:val="00607433"/>
    <w:rsid w:val="00613556"/>
    <w:rsid w:val="0061459B"/>
    <w:rsid w:val="0061511E"/>
    <w:rsid w:val="00615B30"/>
    <w:rsid w:val="00616A01"/>
    <w:rsid w:val="00616CC2"/>
    <w:rsid w:val="006200B2"/>
    <w:rsid w:val="006227B9"/>
    <w:rsid w:val="0062501A"/>
    <w:rsid w:val="00626A05"/>
    <w:rsid w:val="00626C1A"/>
    <w:rsid w:val="006310BA"/>
    <w:rsid w:val="0063314E"/>
    <w:rsid w:val="00633C3F"/>
    <w:rsid w:val="00636C2B"/>
    <w:rsid w:val="00641059"/>
    <w:rsid w:val="00641AC6"/>
    <w:rsid w:val="006422AC"/>
    <w:rsid w:val="00642F4D"/>
    <w:rsid w:val="0064409D"/>
    <w:rsid w:val="00646561"/>
    <w:rsid w:val="00650915"/>
    <w:rsid w:val="00653DE0"/>
    <w:rsid w:val="006545C1"/>
    <w:rsid w:val="006550F1"/>
    <w:rsid w:val="00657FE9"/>
    <w:rsid w:val="006627CC"/>
    <w:rsid w:val="00662B83"/>
    <w:rsid w:val="00662F66"/>
    <w:rsid w:val="006633E7"/>
    <w:rsid w:val="006637DE"/>
    <w:rsid w:val="00663938"/>
    <w:rsid w:val="00663B13"/>
    <w:rsid w:val="00664EF5"/>
    <w:rsid w:val="006652AA"/>
    <w:rsid w:val="00665515"/>
    <w:rsid w:val="00670F4D"/>
    <w:rsid w:val="00671467"/>
    <w:rsid w:val="00671C09"/>
    <w:rsid w:val="00672747"/>
    <w:rsid w:val="00673317"/>
    <w:rsid w:val="006734F6"/>
    <w:rsid w:val="00674C55"/>
    <w:rsid w:val="0067669F"/>
    <w:rsid w:val="00677A2A"/>
    <w:rsid w:val="00680800"/>
    <w:rsid w:val="00681577"/>
    <w:rsid w:val="0068299D"/>
    <w:rsid w:val="00683077"/>
    <w:rsid w:val="00684833"/>
    <w:rsid w:val="00684E44"/>
    <w:rsid w:val="006876F3"/>
    <w:rsid w:val="006904DB"/>
    <w:rsid w:val="006909E4"/>
    <w:rsid w:val="00693467"/>
    <w:rsid w:val="006935F9"/>
    <w:rsid w:val="00696F74"/>
    <w:rsid w:val="00697850"/>
    <w:rsid w:val="006A18A0"/>
    <w:rsid w:val="006A42D7"/>
    <w:rsid w:val="006A551F"/>
    <w:rsid w:val="006A5613"/>
    <w:rsid w:val="006A7CD6"/>
    <w:rsid w:val="006B128E"/>
    <w:rsid w:val="006B409A"/>
    <w:rsid w:val="006B44AD"/>
    <w:rsid w:val="006B4F09"/>
    <w:rsid w:val="006B592A"/>
    <w:rsid w:val="006B7303"/>
    <w:rsid w:val="006B7E95"/>
    <w:rsid w:val="006C05F0"/>
    <w:rsid w:val="006C1E21"/>
    <w:rsid w:val="006C2FA2"/>
    <w:rsid w:val="006C34F3"/>
    <w:rsid w:val="006C41E8"/>
    <w:rsid w:val="006C4701"/>
    <w:rsid w:val="006C5753"/>
    <w:rsid w:val="006C5CF5"/>
    <w:rsid w:val="006D0521"/>
    <w:rsid w:val="006D0B90"/>
    <w:rsid w:val="006D18FA"/>
    <w:rsid w:val="006D2C13"/>
    <w:rsid w:val="006D34BE"/>
    <w:rsid w:val="006D3EDA"/>
    <w:rsid w:val="006D4805"/>
    <w:rsid w:val="006D6626"/>
    <w:rsid w:val="006D7BB8"/>
    <w:rsid w:val="006E1234"/>
    <w:rsid w:val="006E345C"/>
    <w:rsid w:val="006E3500"/>
    <w:rsid w:val="006E4B73"/>
    <w:rsid w:val="006E7C0B"/>
    <w:rsid w:val="006F189B"/>
    <w:rsid w:val="006F4199"/>
    <w:rsid w:val="006F7968"/>
    <w:rsid w:val="006F7A02"/>
    <w:rsid w:val="0070029B"/>
    <w:rsid w:val="00700FCB"/>
    <w:rsid w:val="007013F2"/>
    <w:rsid w:val="00701B44"/>
    <w:rsid w:val="0070345D"/>
    <w:rsid w:val="0070550A"/>
    <w:rsid w:val="007106F8"/>
    <w:rsid w:val="00711923"/>
    <w:rsid w:val="00711FF7"/>
    <w:rsid w:val="00714072"/>
    <w:rsid w:val="00716B3F"/>
    <w:rsid w:val="00724878"/>
    <w:rsid w:val="007253B5"/>
    <w:rsid w:val="0072654B"/>
    <w:rsid w:val="007268F1"/>
    <w:rsid w:val="007278F1"/>
    <w:rsid w:val="00732B1A"/>
    <w:rsid w:val="00732F4C"/>
    <w:rsid w:val="00733D88"/>
    <w:rsid w:val="007368B4"/>
    <w:rsid w:val="00740E07"/>
    <w:rsid w:val="0074124E"/>
    <w:rsid w:val="0074270D"/>
    <w:rsid w:val="00742F75"/>
    <w:rsid w:val="00743A61"/>
    <w:rsid w:val="0074495D"/>
    <w:rsid w:val="0074567F"/>
    <w:rsid w:val="007515C4"/>
    <w:rsid w:val="00754663"/>
    <w:rsid w:val="007551C7"/>
    <w:rsid w:val="0075724F"/>
    <w:rsid w:val="007572DC"/>
    <w:rsid w:val="00757849"/>
    <w:rsid w:val="00757A48"/>
    <w:rsid w:val="007607C5"/>
    <w:rsid w:val="007612E4"/>
    <w:rsid w:val="00761E26"/>
    <w:rsid w:val="00764956"/>
    <w:rsid w:val="00765D4A"/>
    <w:rsid w:val="007664E8"/>
    <w:rsid w:val="00770166"/>
    <w:rsid w:val="00770F9A"/>
    <w:rsid w:val="00773894"/>
    <w:rsid w:val="00773C23"/>
    <w:rsid w:val="00774195"/>
    <w:rsid w:val="00774B2B"/>
    <w:rsid w:val="0077661F"/>
    <w:rsid w:val="00781D30"/>
    <w:rsid w:val="00787DD8"/>
    <w:rsid w:val="00787F95"/>
    <w:rsid w:val="0079031A"/>
    <w:rsid w:val="0079095A"/>
    <w:rsid w:val="00790A47"/>
    <w:rsid w:val="007915A6"/>
    <w:rsid w:val="007926D4"/>
    <w:rsid w:val="00792F23"/>
    <w:rsid w:val="00794B18"/>
    <w:rsid w:val="00795B71"/>
    <w:rsid w:val="00796F01"/>
    <w:rsid w:val="00796F4C"/>
    <w:rsid w:val="007A1AA5"/>
    <w:rsid w:val="007B10AF"/>
    <w:rsid w:val="007B10F9"/>
    <w:rsid w:val="007B1FB0"/>
    <w:rsid w:val="007B314E"/>
    <w:rsid w:val="007B473E"/>
    <w:rsid w:val="007B5E6D"/>
    <w:rsid w:val="007C0DB6"/>
    <w:rsid w:val="007C1E9E"/>
    <w:rsid w:val="007C2136"/>
    <w:rsid w:val="007C2933"/>
    <w:rsid w:val="007C35EF"/>
    <w:rsid w:val="007C5FB5"/>
    <w:rsid w:val="007C7D44"/>
    <w:rsid w:val="007C7F35"/>
    <w:rsid w:val="007D08EC"/>
    <w:rsid w:val="007D323F"/>
    <w:rsid w:val="007D3F55"/>
    <w:rsid w:val="007D6369"/>
    <w:rsid w:val="007D766E"/>
    <w:rsid w:val="007E5092"/>
    <w:rsid w:val="007E7AEE"/>
    <w:rsid w:val="007F262B"/>
    <w:rsid w:val="007F2A15"/>
    <w:rsid w:val="007F2E4C"/>
    <w:rsid w:val="007F31E8"/>
    <w:rsid w:val="007F4E75"/>
    <w:rsid w:val="007F6792"/>
    <w:rsid w:val="00801507"/>
    <w:rsid w:val="00804B24"/>
    <w:rsid w:val="00806285"/>
    <w:rsid w:val="00806DAE"/>
    <w:rsid w:val="00807431"/>
    <w:rsid w:val="0081076E"/>
    <w:rsid w:val="00812F82"/>
    <w:rsid w:val="008153C4"/>
    <w:rsid w:val="00815DD9"/>
    <w:rsid w:val="00815F3D"/>
    <w:rsid w:val="008167E5"/>
    <w:rsid w:val="00816F8B"/>
    <w:rsid w:val="0081756A"/>
    <w:rsid w:val="00817DF9"/>
    <w:rsid w:val="008208AC"/>
    <w:rsid w:val="00824FFB"/>
    <w:rsid w:val="0082539A"/>
    <w:rsid w:val="00827349"/>
    <w:rsid w:val="00832615"/>
    <w:rsid w:val="008347DC"/>
    <w:rsid w:val="00835FD9"/>
    <w:rsid w:val="008369F7"/>
    <w:rsid w:val="00840092"/>
    <w:rsid w:val="00842FBD"/>
    <w:rsid w:val="00843FB3"/>
    <w:rsid w:val="008450DB"/>
    <w:rsid w:val="00845531"/>
    <w:rsid w:val="00845BEF"/>
    <w:rsid w:val="008477F9"/>
    <w:rsid w:val="00847B33"/>
    <w:rsid w:val="008519BB"/>
    <w:rsid w:val="00853510"/>
    <w:rsid w:val="00853869"/>
    <w:rsid w:val="00853F06"/>
    <w:rsid w:val="008550E8"/>
    <w:rsid w:val="008555FC"/>
    <w:rsid w:val="0086214C"/>
    <w:rsid w:val="008624DE"/>
    <w:rsid w:val="00862B85"/>
    <w:rsid w:val="0086340E"/>
    <w:rsid w:val="00863E4F"/>
    <w:rsid w:val="00864DC4"/>
    <w:rsid w:val="00865281"/>
    <w:rsid w:val="00867D3A"/>
    <w:rsid w:val="00877555"/>
    <w:rsid w:val="00877C9B"/>
    <w:rsid w:val="00880CDB"/>
    <w:rsid w:val="00880F60"/>
    <w:rsid w:val="00884C82"/>
    <w:rsid w:val="0088513C"/>
    <w:rsid w:val="0088521A"/>
    <w:rsid w:val="008855E2"/>
    <w:rsid w:val="0088641F"/>
    <w:rsid w:val="00887959"/>
    <w:rsid w:val="00887E73"/>
    <w:rsid w:val="00890F0E"/>
    <w:rsid w:val="00892403"/>
    <w:rsid w:val="00894755"/>
    <w:rsid w:val="0089516E"/>
    <w:rsid w:val="00895E16"/>
    <w:rsid w:val="008964B6"/>
    <w:rsid w:val="00897EAB"/>
    <w:rsid w:val="008A14FD"/>
    <w:rsid w:val="008A1971"/>
    <w:rsid w:val="008A1B7B"/>
    <w:rsid w:val="008A39CE"/>
    <w:rsid w:val="008A7CDE"/>
    <w:rsid w:val="008B24D9"/>
    <w:rsid w:val="008B2BFB"/>
    <w:rsid w:val="008B746F"/>
    <w:rsid w:val="008C1C25"/>
    <w:rsid w:val="008C2810"/>
    <w:rsid w:val="008C2826"/>
    <w:rsid w:val="008C77B3"/>
    <w:rsid w:val="008C7940"/>
    <w:rsid w:val="008D102A"/>
    <w:rsid w:val="008D2B1F"/>
    <w:rsid w:val="008D6DFD"/>
    <w:rsid w:val="008E0737"/>
    <w:rsid w:val="008E0F40"/>
    <w:rsid w:val="008E2B0D"/>
    <w:rsid w:val="008E3BA5"/>
    <w:rsid w:val="008E3F75"/>
    <w:rsid w:val="008E4E5C"/>
    <w:rsid w:val="008E5345"/>
    <w:rsid w:val="008E6141"/>
    <w:rsid w:val="008F59A1"/>
    <w:rsid w:val="008F739A"/>
    <w:rsid w:val="008F7F9A"/>
    <w:rsid w:val="00900463"/>
    <w:rsid w:val="0090143E"/>
    <w:rsid w:val="00901AB5"/>
    <w:rsid w:val="00904A53"/>
    <w:rsid w:val="009112ED"/>
    <w:rsid w:val="009126DD"/>
    <w:rsid w:val="00912B91"/>
    <w:rsid w:val="0092166C"/>
    <w:rsid w:val="00921E3A"/>
    <w:rsid w:val="00922452"/>
    <w:rsid w:val="00923461"/>
    <w:rsid w:val="00924C4F"/>
    <w:rsid w:val="00924CD1"/>
    <w:rsid w:val="009268A8"/>
    <w:rsid w:val="00927753"/>
    <w:rsid w:val="009307F4"/>
    <w:rsid w:val="00942D8B"/>
    <w:rsid w:val="00944708"/>
    <w:rsid w:val="00946394"/>
    <w:rsid w:val="00947E57"/>
    <w:rsid w:val="0095172F"/>
    <w:rsid w:val="009519B6"/>
    <w:rsid w:val="00951BD5"/>
    <w:rsid w:val="009525CD"/>
    <w:rsid w:val="00953CAB"/>
    <w:rsid w:val="00954422"/>
    <w:rsid w:val="009545B8"/>
    <w:rsid w:val="00956CCA"/>
    <w:rsid w:val="00957E54"/>
    <w:rsid w:val="00962477"/>
    <w:rsid w:val="009640C1"/>
    <w:rsid w:val="009650B6"/>
    <w:rsid w:val="00967ABE"/>
    <w:rsid w:val="009706A4"/>
    <w:rsid w:val="00972DFB"/>
    <w:rsid w:val="00973B95"/>
    <w:rsid w:val="00974D70"/>
    <w:rsid w:val="009750D4"/>
    <w:rsid w:val="009761A5"/>
    <w:rsid w:val="00976E60"/>
    <w:rsid w:val="00976FF1"/>
    <w:rsid w:val="009832FB"/>
    <w:rsid w:val="009854BA"/>
    <w:rsid w:val="00985589"/>
    <w:rsid w:val="00992456"/>
    <w:rsid w:val="009960F2"/>
    <w:rsid w:val="0099654C"/>
    <w:rsid w:val="009A2905"/>
    <w:rsid w:val="009A2CF7"/>
    <w:rsid w:val="009A54E3"/>
    <w:rsid w:val="009A6A9F"/>
    <w:rsid w:val="009B03E5"/>
    <w:rsid w:val="009B06F8"/>
    <w:rsid w:val="009B1FAB"/>
    <w:rsid w:val="009B4906"/>
    <w:rsid w:val="009B4981"/>
    <w:rsid w:val="009B4D9E"/>
    <w:rsid w:val="009B5900"/>
    <w:rsid w:val="009B5F2A"/>
    <w:rsid w:val="009C3146"/>
    <w:rsid w:val="009C4EB9"/>
    <w:rsid w:val="009C59DF"/>
    <w:rsid w:val="009C5FA8"/>
    <w:rsid w:val="009C6CCC"/>
    <w:rsid w:val="009C6F91"/>
    <w:rsid w:val="009C701B"/>
    <w:rsid w:val="009D0578"/>
    <w:rsid w:val="009D4F9D"/>
    <w:rsid w:val="009D51C6"/>
    <w:rsid w:val="009D59B3"/>
    <w:rsid w:val="009D7BDC"/>
    <w:rsid w:val="009E15B3"/>
    <w:rsid w:val="009E17EB"/>
    <w:rsid w:val="009E491C"/>
    <w:rsid w:val="009E6536"/>
    <w:rsid w:val="009F1C9A"/>
    <w:rsid w:val="009F3818"/>
    <w:rsid w:val="009F476C"/>
    <w:rsid w:val="009F530F"/>
    <w:rsid w:val="009F7661"/>
    <w:rsid w:val="00A05D7D"/>
    <w:rsid w:val="00A0681D"/>
    <w:rsid w:val="00A073B6"/>
    <w:rsid w:val="00A113CB"/>
    <w:rsid w:val="00A11719"/>
    <w:rsid w:val="00A145C0"/>
    <w:rsid w:val="00A14C7E"/>
    <w:rsid w:val="00A16D59"/>
    <w:rsid w:val="00A20017"/>
    <w:rsid w:val="00A21B70"/>
    <w:rsid w:val="00A22992"/>
    <w:rsid w:val="00A23B0E"/>
    <w:rsid w:val="00A2402D"/>
    <w:rsid w:val="00A24DF8"/>
    <w:rsid w:val="00A24EC3"/>
    <w:rsid w:val="00A2543A"/>
    <w:rsid w:val="00A266D1"/>
    <w:rsid w:val="00A278FE"/>
    <w:rsid w:val="00A35283"/>
    <w:rsid w:val="00A3565F"/>
    <w:rsid w:val="00A4026C"/>
    <w:rsid w:val="00A42457"/>
    <w:rsid w:val="00A42E8D"/>
    <w:rsid w:val="00A45289"/>
    <w:rsid w:val="00A46CA1"/>
    <w:rsid w:val="00A52BE2"/>
    <w:rsid w:val="00A54191"/>
    <w:rsid w:val="00A545EE"/>
    <w:rsid w:val="00A55485"/>
    <w:rsid w:val="00A5576E"/>
    <w:rsid w:val="00A55C08"/>
    <w:rsid w:val="00A57821"/>
    <w:rsid w:val="00A60098"/>
    <w:rsid w:val="00A60F30"/>
    <w:rsid w:val="00A62835"/>
    <w:rsid w:val="00A62F0E"/>
    <w:rsid w:val="00A64D48"/>
    <w:rsid w:val="00A66351"/>
    <w:rsid w:val="00A67576"/>
    <w:rsid w:val="00A67B3B"/>
    <w:rsid w:val="00A70CF3"/>
    <w:rsid w:val="00A712A1"/>
    <w:rsid w:val="00A7281F"/>
    <w:rsid w:val="00A7311E"/>
    <w:rsid w:val="00A74CE6"/>
    <w:rsid w:val="00A74D34"/>
    <w:rsid w:val="00A7653C"/>
    <w:rsid w:val="00A77A0A"/>
    <w:rsid w:val="00A81327"/>
    <w:rsid w:val="00A816B0"/>
    <w:rsid w:val="00A81799"/>
    <w:rsid w:val="00A81878"/>
    <w:rsid w:val="00A82AAC"/>
    <w:rsid w:val="00A82DD8"/>
    <w:rsid w:val="00A82DEB"/>
    <w:rsid w:val="00A83182"/>
    <w:rsid w:val="00A86443"/>
    <w:rsid w:val="00A86B4E"/>
    <w:rsid w:val="00A90F71"/>
    <w:rsid w:val="00A9233E"/>
    <w:rsid w:val="00A9253F"/>
    <w:rsid w:val="00A93183"/>
    <w:rsid w:val="00A94394"/>
    <w:rsid w:val="00A95EA7"/>
    <w:rsid w:val="00AA0F39"/>
    <w:rsid w:val="00AA1B90"/>
    <w:rsid w:val="00AA3897"/>
    <w:rsid w:val="00AA5786"/>
    <w:rsid w:val="00AA791A"/>
    <w:rsid w:val="00AB04D1"/>
    <w:rsid w:val="00AB126A"/>
    <w:rsid w:val="00AB3415"/>
    <w:rsid w:val="00AB502D"/>
    <w:rsid w:val="00AC10BE"/>
    <w:rsid w:val="00AC1C29"/>
    <w:rsid w:val="00AC35BC"/>
    <w:rsid w:val="00AC3AFF"/>
    <w:rsid w:val="00AC4318"/>
    <w:rsid w:val="00AC48FD"/>
    <w:rsid w:val="00AC7C51"/>
    <w:rsid w:val="00AC7ED2"/>
    <w:rsid w:val="00AD1225"/>
    <w:rsid w:val="00AD1ACC"/>
    <w:rsid w:val="00AD360E"/>
    <w:rsid w:val="00AD532F"/>
    <w:rsid w:val="00AD5929"/>
    <w:rsid w:val="00AD6D60"/>
    <w:rsid w:val="00AD6E9F"/>
    <w:rsid w:val="00AE1A02"/>
    <w:rsid w:val="00AE1EAB"/>
    <w:rsid w:val="00AE269F"/>
    <w:rsid w:val="00AE3359"/>
    <w:rsid w:val="00AE5D52"/>
    <w:rsid w:val="00AE629A"/>
    <w:rsid w:val="00AE69F6"/>
    <w:rsid w:val="00AE7322"/>
    <w:rsid w:val="00AE7BBD"/>
    <w:rsid w:val="00AF283F"/>
    <w:rsid w:val="00AF33CF"/>
    <w:rsid w:val="00AF3A77"/>
    <w:rsid w:val="00AF3D97"/>
    <w:rsid w:val="00AF5813"/>
    <w:rsid w:val="00AF79BB"/>
    <w:rsid w:val="00B019D6"/>
    <w:rsid w:val="00B02CD3"/>
    <w:rsid w:val="00B05FF6"/>
    <w:rsid w:val="00B0745D"/>
    <w:rsid w:val="00B10F9B"/>
    <w:rsid w:val="00B161BF"/>
    <w:rsid w:val="00B16A9C"/>
    <w:rsid w:val="00B17313"/>
    <w:rsid w:val="00B22067"/>
    <w:rsid w:val="00B22DA3"/>
    <w:rsid w:val="00B25F7C"/>
    <w:rsid w:val="00B26460"/>
    <w:rsid w:val="00B308B0"/>
    <w:rsid w:val="00B37231"/>
    <w:rsid w:val="00B373F6"/>
    <w:rsid w:val="00B3774C"/>
    <w:rsid w:val="00B378C0"/>
    <w:rsid w:val="00B37DA2"/>
    <w:rsid w:val="00B42414"/>
    <w:rsid w:val="00B42ACD"/>
    <w:rsid w:val="00B42C37"/>
    <w:rsid w:val="00B44161"/>
    <w:rsid w:val="00B44B0E"/>
    <w:rsid w:val="00B46DE3"/>
    <w:rsid w:val="00B5267F"/>
    <w:rsid w:val="00B534F0"/>
    <w:rsid w:val="00B56E30"/>
    <w:rsid w:val="00B6133E"/>
    <w:rsid w:val="00B617FC"/>
    <w:rsid w:val="00B631A5"/>
    <w:rsid w:val="00B67487"/>
    <w:rsid w:val="00B72310"/>
    <w:rsid w:val="00B72487"/>
    <w:rsid w:val="00B7599C"/>
    <w:rsid w:val="00B761EB"/>
    <w:rsid w:val="00B8058D"/>
    <w:rsid w:val="00B810F0"/>
    <w:rsid w:val="00B8283D"/>
    <w:rsid w:val="00B82A7E"/>
    <w:rsid w:val="00B8663C"/>
    <w:rsid w:val="00B877A4"/>
    <w:rsid w:val="00B907AC"/>
    <w:rsid w:val="00B952B4"/>
    <w:rsid w:val="00BA0CEB"/>
    <w:rsid w:val="00BA127F"/>
    <w:rsid w:val="00BA18C5"/>
    <w:rsid w:val="00BA194A"/>
    <w:rsid w:val="00BA301B"/>
    <w:rsid w:val="00BA3BF2"/>
    <w:rsid w:val="00BA66A7"/>
    <w:rsid w:val="00BA692E"/>
    <w:rsid w:val="00BB098F"/>
    <w:rsid w:val="00BB15A5"/>
    <w:rsid w:val="00BB2472"/>
    <w:rsid w:val="00BB368F"/>
    <w:rsid w:val="00BB6182"/>
    <w:rsid w:val="00BC24BD"/>
    <w:rsid w:val="00BC3D39"/>
    <w:rsid w:val="00BC4981"/>
    <w:rsid w:val="00BC58F9"/>
    <w:rsid w:val="00BC6F99"/>
    <w:rsid w:val="00BD12F8"/>
    <w:rsid w:val="00BD3B55"/>
    <w:rsid w:val="00BD3DD2"/>
    <w:rsid w:val="00BD427A"/>
    <w:rsid w:val="00BD44C9"/>
    <w:rsid w:val="00BE4311"/>
    <w:rsid w:val="00BF55A3"/>
    <w:rsid w:val="00BF6F47"/>
    <w:rsid w:val="00C01F8C"/>
    <w:rsid w:val="00C02A2A"/>
    <w:rsid w:val="00C036F4"/>
    <w:rsid w:val="00C05C4A"/>
    <w:rsid w:val="00C06538"/>
    <w:rsid w:val="00C120A2"/>
    <w:rsid w:val="00C12866"/>
    <w:rsid w:val="00C15F1C"/>
    <w:rsid w:val="00C17306"/>
    <w:rsid w:val="00C1798D"/>
    <w:rsid w:val="00C200D7"/>
    <w:rsid w:val="00C2067B"/>
    <w:rsid w:val="00C24DA9"/>
    <w:rsid w:val="00C267B7"/>
    <w:rsid w:val="00C310FC"/>
    <w:rsid w:val="00C32CE6"/>
    <w:rsid w:val="00C3374A"/>
    <w:rsid w:val="00C33F39"/>
    <w:rsid w:val="00C34CFF"/>
    <w:rsid w:val="00C35C75"/>
    <w:rsid w:val="00C40B70"/>
    <w:rsid w:val="00C4205A"/>
    <w:rsid w:val="00C43CA7"/>
    <w:rsid w:val="00C46B95"/>
    <w:rsid w:val="00C46D95"/>
    <w:rsid w:val="00C47925"/>
    <w:rsid w:val="00C50A5E"/>
    <w:rsid w:val="00C50BA9"/>
    <w:rsid w:val="00C549B5"/>
    <w:rsid w:val="00C60338"/>
    <w:rsid w:val="00C61BD9"/>
    <w:rsid w:val="00C6306E"/>
    <w:rsid w:val="00C63F37"/>
    <w:rsid w:val="00C65033"/>
    <w:rsid w:val="00C72054"/>
    <w:rsid w:val="00C72D7B"/>
    <w:rsid w:val="00C744D5"/>
    <w:rsid w:val="00C74832"/>
    <w:rsid w:val="00C756CB"/>
    <w:rsid w:val="00C7649F"/>
    <w:rsid w:val="00C77A4C"/>
    <w:rsid w:val="00C82C25"/>
    <w:rsid w:val="00C82E92"/>
    <w:rsid w:val="00C837F9"/>
    <w:rsid w:val="00C84DD4"/>
    <w:rsid w:val="00C870DF"/>
    <w:rsid w:val="00C874CC"/>
    <w:rsid w:val="00C92F67"/>
    <w:rsid w:val="00C9511C"/>
    <w:rsid w:val="00C95944"/>
    <w:rsid w:val="00CA49FF"/>
    <w:rsid w:val="00CA5F07"/>
    <w:rsid w:val="00CA792F"/>
    <w:rsid w:val="00CB0CD4"/>
    <w:rsid w:val="00CB1768"/>
    <w:rsid w:val="00CB2029"/>
    <w:rsid w:val="00CB20E9"/>
    <w:rsid w:val="00CB53CC"/>
    <w:rsid w:val="00CB6224"/>
    <w:rsid w:val="00CB6296"/>
    <w:rsid w:val="00CC0887"/>
    <w:rsid w:val="00CC0C70"/>
    <w:rsid w:val="00CC1ECE"/>
    <w:rsid w:val="00CC243C"/>
    <w:rsid w:val="00CC370A"/>
    <w:rsid w:val="00CC48EA"/>
    <w:rsid w:val="00CC4F7A"/>
    <w:rsid w:val="00CC6D95"/>
    <w:rsid w:val="00CC7D59"/>
    <w:rsid w:val="00CD1900"/>
    <w:rsid w:val="00CD6657"/>
    <w:rsid w:val="00CD6989"/>
    <w:rsid w:val="00CD73A7"/>
    <w:rsid w:val="00CE1166"/>
    <w:rsid w:val="00CE146A"/>
    <w:rsid w:val="00CE17E7"/>
    <w:rsid w:val="00CE3420"/>
    <w:rsid w:val="00CE4032"/>
    <w:rsid w:val="00CE41D8"/>
    <w:rsid w:val="00CE4833"/>
    <w:rsid w:val="00CE53A9"/>
    <w:rsid w:val="00CE6643"/>
    <w:rsid w:val="00CE6B14"/>
    <w:rsid w:val="00CE6E2A"/>
    <w:rsid w:val="00CE7F4C"/>
    <w:rsid w:val="00CF34BE"/>
    <w:rsid w:val="00CF4266"/>
    <w:rsid w:val="00CF6C58"/>
    <w:rsid w:val="00CF6D41"/>
    <w:rsid w:val="00CF70A2"/>
    <w:rsid w:val="00D00AB6"/>
    <w:rsid w:val="00D010A0"/>
    <w:rsid w:val="00D023E5"/>
    <w:rsid w:val="00D03181"/>
    <w:rsid w:val="00D036D4"/>
    <w:rsid w:val="00D1009A"/>
    <w:rsid w:val="00D1145E"/>
    <w:rsid w:val="00D12305"/>
    <w:rsid w:val="00D14701"/>
    <w:rsid w:val="00D14FAD"/>
    <w:rsid w:val="00D16300"/>
    <w:rsid w:val="00D17A65"/>
    <w:rsid w:val="00D17FA6"/>
    <w:rsid w:val="00D211A1"/>
    <w:rsid w:val="00D21B3B"/>
    <w:rsid w:val="00D21CC5"/>
    <w:rsid w:val="00D22691"/>
    <w:rsid w:val="00D231E2"/>
    <w:rsid w:val="00D23699"/>
    <w:rsid w:val="00D24280"/>
    <w:rsid w:val="00D31887"/>
    <w:rsid w:val="00D31F0C"/>
    <w:rsid w:val="00D341BA"/>
    <w:rsid w:val="00D34306"/>
    <w:rsid w:val="00D35D83"/>
    <w:rsid w:val="00D3626E"/>
    <w:rsid w:val="00D40300"/>
    <w:rsid w:val="00D43512"/>
    <w:rsid w:val="00D4764C"/>
    <w:rsid w:val="00D5005C"/>
    <w:rsid w:val="00D57062"/>
    <w:rsid w:val="00D57219"/>
    <w:rsid w:val="00D60E29"/>
    <w:rsid w:val="00D62209"/>
    <w:rsid w:val="00D6341F"/>
    <w:rsid w:val="00D67E21"/>
    <w:rsid w:val="00D70C31"/>
    <w:rsid w:val="00D71976"/>
    <w:rsid w:val="00D72C47"/>
    <w:rsid w:val="00D74E17"/>
    <w:rsid w:val="00D75E98"/>
    <w:rsid w:val="00D80297"/>
    <w:rsid w:val="00D8104C"/>
    <w:rsid w:val="00D8322E"/>
    <w:rsid w:val="00D84503"/>
    <w:rsid w:val="00D909F2"/>
    <w:rsid w:val="00D93770"/>
    <w:rsid w:val="00D94906"/>
    <w:rsid w:val="00D953FD"/>
    <w:rsid w:val="00D95653"/>
    <w:rsid w:val="00D96C01"/>
    <w:rsid w:val="00D96C5D"/>
    <w:rsid w:val="00D97B19"/>
    <w:rsid w:val="00DA1638"/>
    <w:rsid w:val="00DA2AE6"/>
    <w:rsid w:val="00DA3915"/>
    <w:rsid w:val="00DA4BE9"/>
    <w:rsid w:val="00DA5365"/>
    <w:rsid w:val="00DA65AC"/>
    <w:rsid w:val="00DA7420"/>
    <w:rsid w:val="00DB0FBF"/>
    <w:rsid w:val="00DB1505"/>
    <w:rsid w:val="00DB191B"/>
    <w:rsid w:val="00DB42C2"/>
    <w:rsid w:val="00DB475B"/>
    <w:rsid w:val="00DB7AB9"/>
    <w:rsid w:val="00DC11B5"/>
    <w:rsid w:val="00DC151F"/>
    <w:rsid w:val="00DC2B9A"/>
    <w:rsid w:val="00DC397D"/>
    <w:rsid w:val="00DC4955"/>
    <w:rsid w:val="00DC73C1"/>
    <w:rsid w:val="00DC7A63"/>
    <w:rsid w:val="00DD0B26"/>
    <w:rsid w:val="00DD4A66"/>
    <w:rsid w:val="00DE063A"/>
    <w:rsid w:val="00DE0C49"/>
    <w:rsid w:val="00DE288D"/>
    <w:rsid w:val="00DE2AF4"/>
    <w:rsid w:val="00DE3BA1"/>
    <w:rsid w:val="00DE4402"/>
    <w:rsid w:val="00DE5D7C"/>
    <w:rsid w:val="00DE7384"/>
    <w:rsid w:val="00DF2EFA"/>
    <w:rsid w:val="00DF4F27"/>
    <w:rsid w:val="00E0110D"/>
    <w:rsid w:val="00E0514F"/>
    <w:rsid w:val="00E15C15"/>
    <w:rsid w:val="00E15DDC"/>
    <w:rsid w:val="00E15E90"/>
    <w:rsid w:val="00E21038"/>
    <w:rsid w:val="00E21945"/>
    <w:rsid w:val="00E243F4"/>
    <w:rsid w:val="00E26FB2"/>
    <w:rsid w:val="00E31E44"/>
    <w:rsid w:val="00E32A40"/>
    <w:rsid w:val="00E33348"/>
    <w:rsid w:val="00E42283"/>
    <w:rsid w:val="00E4295B"/>
    <w:rsid w:val="00E42A19"/>
    <w:rsid w:val="00E42BFB"/>
    <w:rsid w:val="00E44429"/>
    <w:rsid w:val="00E44604"/>
    <w:rsid w:val="00E448D5"/>
    <w:rsid w:val="00E44F2B"/>
    <w:rsid w:val="00E44FA9"/>
    <w:rsid w:val="00E47263"/>
    <w:rsid w:val="00E50F6B"/>
    <w:rsid w:val="00E51E88"/>
    <w:rsid w:val="00E55D96"/>
    <w:rsid w:val="00E567A8"/>
    <w:rsid w:val="00E575A3"/>
    <w:rsid w:val="00E6355A"/>
    <w:rsid w:val="00E6684A"/>
    <w:rsid w:val="00E671CA"/>
    <w:rsid w:val="00E71ED2"/>
    <w:rsid w:val="00E75C6A"/>
    <w:rsid w:val="00E766FA"/>
    <w:rsid w:val="00E81E7E"/>
    <w:rsid w:val="00E824B1"/>
    <w:rsid w:val="00E83422"/>
    <w:rsid w:val="00E84D1E"/>
    <w:rsid w:val="00E87669"/>
    <w:rsid w:val="00E91760"/>
    <w:rsid w:val="00E9547D"/>
    <w:rsid w:val="00EA2AB1"/>
    <w:rsid w:val="00EA3281"/>
    <w:rsid w:val="00EA5147"/>
    <w:rsid w:val="00EA597A"/>
    <w:rsid w:val="00EA620D"/>
    <w:rsid w:val="00EA7527"/>
    <w:rsid w:val="00EB10C0"/>
    <w:rsid w:val="00EB3312"/>
    <w:rsid w:val="00EB5054"/>
    <w:rsid w:val="00EC58DE"/>
    <w:rsid w:val="00EC686F"/>
    <w:rsid w:val="00ED1BCC"/>
    <w:rsid w:val="00ED1C7A"/>
    <w:rsid w:val="00ED2F07"/>
    <w:rsid w:val="00ED2F82"/>
    <w:rsid w:val="00ED42FE"/>
    <w:rsid w:val="00ED4874"/>
    <w:rsid w:val="00ED5A1D"/>
    <w:rsid w:val="00ED6F5D"/>
    <w:rsid w:val="00ED7062"/>
    <w:rsid w:val="00ED7DA3"/>
    <w:rsid w:val="00ED7DAE"/>
    <w:rsid w:val="00EE14E5"/>
    <w:rsid w:val="00EE239D"/>
    <w:rsid w:val="00EE360E"/>
    <w:rsid w:val="00EE3D31"/>
    <w:rsid w:val="00EE491F"/>
    <w:rsid w:val="00EE4EC2"/>
    <w:rsid w:val="00EE7FD3"/>
    <w:rsid w:val="00EF2F7C"/>
    <w:rsid w:val="00EF44B3"/>
    <w:rsid w:val="00EF4600"/>
    <w:rsid w:val="00EF5608"/>
    <w:rsid w:val="00EF6492"/>
    <w:rsid w:val="00F00DB2"/>
    <w:rsid w:val="00F023FD"/>
    <w:rsid w:val="00F0572E"/>
    <w:rsid w:val="00F10058"/>
    <w:rsid w:val="00F1224F"/>
    <w:rsid w:val="00F1314F"/>
    <w:rsid w:val="00F13352"/>
    <w:rsid w:val="00F14205"/>
    <w:rsid w:val="00F161BD"/>
    <w:rsid w:val="00F16FBC"/>
    <w:rsid w:val="00F171FC"/>
    <w:rsid w:val="00F208EB"/>
    <w:rsid w:val="00F22468"/>
    <w:rsid w:val="00F24E2F"/>
    <w:rsid w:val="00F25E95"/>
    <w:rsid w:val="00F26E15"/>
    <w:rsid w:val="00F27061"/>
    <w:rsid w:val="00F30666"/>
    <w:rsid w:val="00F306C4"/>
    <w:rsid w:val="00F30E5B"/>
    <w:rsid w:val="00F36286"/>
    <w:rsid w:val="00F36BD9"/>
    <w:rsid w:val="00F40A0F"/>
    <w:rsid w:val="00F42132"/>
    <w:rsid w:val="00F44FDC"/>
    <w:rsid w:val="00F513B0"/>
    <w:rsid w:val="00F52431"/>
    <w:rsid w:val="00F52F20"/>
    <w:rsid w:val="00F533A2"/>
    <w:rsid w:val="00F5365D"/>
    <w:rsid w:val="00F53697"/>
    <w:rsid w:val="00F56EF5"/>
    <w:rsid w:val="00F60741"/>
    <w:rsid w:val="00F63DC1"/>
    <w:rsid w:val="00F655D8"/>
    <w:rsid w:val="00F66B15"/>
    <w:rsid w:val="00F70C00"/>
    <w:rsid w:val="00F72BAC"/>
    <w:rsid w:val="00F74EC6"/>
    <w:rsid w:val="00F7543F"/>
    <w:rsid w:val="00F76FD0"/>
    <w:rsid w:val="00F77C69"/>
    <w:rsid w:val="00F80185"/>
    <w:rsid w:val="00F81814"/>
    <w:rsid w:val="00F875F8"/>
    <w:rsid w:val="00F90697"/>
    <w:rsid w:val="00F91E01"/>
    <w:rsid w:val="00F92EA2"/>
    <w:rsid w:val="00F959AA"/>
    <w:rsid w:val="00F97D05"/>
    <w:rsid w:val="00FA3D89"/>
    <w:rsid w:val="00FA49B2"/>
    <w:rsid w:val="00FB259F"/>
    <w:rsid w:val="00FB77F2"/>
    <w:rsid w:val="00FC061F"/>
    <w:rsid w:val="00FC2D8C"/>
    <w:rsid w:val="00FD0B73"/>
    <w:rsid w:val="00FD1489"/>
    <w:rsid w:val="00FD1B79"/>
    <w:rsid w:val="00FD1D46"/>
    <w:rsid w:val="00FD1E91"/>
    <w:rsid w:val="00FD22C6"/>
    <w:rsid w:val="00FD298B"/>
    <w:rsid w:val="00FD3020"/>
    <w:rsid w:val="00FD4A7C"/>
    <w:rsid w:val="00FD54F1"/>
    <w:rsid w:val="00FD6D64"/>
    <w:rsid w:val="00FD76CC"/>
    <w:rsid w:val="00FD7807"/>
    <w:rsid w:val="00FE040E"/>
    <w:rsid w:val="00FE0AC7"/>
    <w:rsid w:val="00FF0756"/>
    <w:rsid w:val="00FF09AF"/>
    <w:rsid w:val="00FF120E"/>
    <w:rsid w:val="00FF46FC"/>
    <w:rsid w:val="00FF4A58"/>
    <w:rsid w:val="00FF4CB3"/>
    <w:rsid w:val="00FF4DF7"/>
    <w:rsid w:val="00FF53D5"/>
    <w:rsid w:val="00FF5CA8"/>
    <w:rsid w:val="00FF630F"/>
    <w:rsid w:val="00FF6845"/>
    <w:rsid w:val="00FF7F99"/>
    <w:rsid w:val="01383652"/>
    <w:rsid w:val="052D5D95"/>
    <w:rsid w:val="06573BC6"/>
    <w:rsid w:val="073E2564"/>
    <w:rsid w:val="10625C30"/>
    <w:rsid w:val="13585258"/>
    <w:rsid w:val="1394392D"/>
    <w:rsid w:val="152E6D9F"/>
    <w:rsid w:val="17A45694"/>
    <w:rsid w:val="1EB20FEE"/>
    <w:rsid w:val="24235575"/>
    <w:rsid w:val="2D5F053C"/>
    <w:rsid w:val="2F401E60"/>
    <w:rsid w:val="394C1552"/>
    <w:rsid w:val="3B9F07E0"/>
    <w:rsid w:val="44863E9E"/>
    <w:rsid w:val="45667B29"/>
    <w:rsid w:val="50411E5C"/>
    <w:rsid w:val="5139437B"/>
    <w:rsid w:val="57B95E56"/>
    <w:rsid w:val="5B263A58"/>
    <w:rsid w:val="5B2A2BD4"/>
    <w:rsid w:val="697C5653"/>
    <w:rsid w:val="7E002D3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Table Simple 1"/>
    <w:basedOn w:val="7"/>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1">
    <w:name w:val="Strong"/>
    <w:qFormat/>
    <w:uiPriority w:val="0"/>
    <w:rPr>
      <w:b/>
      <w:bCs/>
    </w:rPr>
  </w:style>
  <w:style w:type="character" w:styleId="12">
    <w:name w:val="page number"/>
    <w:basedOn w:val="10"/>
    <w:qFormat/>
    <w:uiPriority w:val="0"/>
  </w:style>
  <w:style w:type="character" w:styleId="13">
    <w:name w:val="Emphasis"/>
    <w:basedOn w:val="10"/>
    <w:qFormat/>
    <w:uiPriority w:val="20"/>
    <w:rPr>
      <w:i/>
      <w:iCs/>
    </w:rPr>
  </w:style>
  <w:style w:type="character" w:customStyle="1" w:styleId="14">
    <w:name w:val="批注框文本 Char"/>
    <w:link w:val="4"/>
    <w:qFormat/>
    <w:uiPriority w:val="0"/>
    <w:rPr>
      <w:kern w:val="2"/>
      <w:sz w:val="18"/>
      <w:szCs w:val="18"/>
    </w:rPr>
  </w:style>
  <w:style w:type="character" w:customStyle="1" w:styleId="15">
    <w:name w:val="发布"/>
    <w:qFormat/>
    <w:uiPriority w:val="0"/>
    <w:rPr>
      <w:rFonts w:ascii="黑体" w:eastAsia="黑体"/>
      <w:spacing w:val="22"/>
      <w:w w:val="100"/>
      <w:position w:val="3"/>
      <w:sz w:val="28"/>
    </w:rPr>
  </w:style>
  <w:style w:type="character" w:styleId="16">
    <w:name w:val="Placeholder Text"/>
    <w:semiHidden/>
    <w:qFormat/>
    <w:uiPriority w:val="99"/>
    <w:rPr>
      <w:color w:val="808080"/>
    </w:rPr>
  </w:style>
  <w:style w:type="character" w:customStyle="1" w:styleId="17">
    <w:name w:val="列项——（一级） Char"/>
    <w:link w:val="18"/>
    <w:qFormat/>
    <w:locked/>
    <w:uiPriority w:val="0"/>
    <w:rPr>
      <w:rFonts w:ascii="宋体"/>
      <w:sz w:val="21"/>
      <w:szCs w:val="22"/>
      <w:lang w:val="en-US" w:eastAsia="zh-CN" w:bidi="ar-SA"/>
    </w:rPr>
  </w:style>
  <w:style w:type="paragraph" w:customStyle="1" w:styleId="18">
    <w:name w:val="列项——（一级）"/>
    <w:link w:val="17"/>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19">
    <w:name w:val="段 Char"/>
    <w:link w:val="20"/>
    <w:qFormat/>
    <w:uiPriority w:val="0"/>
    <w:rPr>
      <w:rFonts w:ascii="宋体"/>
      <w:sz w:val="21"/>
      <w:lang w:val="en-US" w:eastAsia="zh-CN" w:bidi="ar-SA"/>
    </w:rPr>
  </w:style>
  <w:style w:type="paragraph" w:customStyle="1" w:styleId="20">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4">
    <w:name w:val="章标题"/>
    <w:next w:val="1"/>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5">
    <w:name w:val="三级条标题"/>
    <w:basedOn w:val="26"/>
    <w:next w:val="1"/>
    <w:qFormat/>
    <w:uiPriority w:val="0"/>
    <w:pPr>
      <w:numPr>
        <w:ilvl w:val="4"/>
      </w:numPr>
      <w:outlineLvl w:val="4"/>
    </w:pPr>
  </w:style>
  <w:style w:type="paragraph" w:customStyle="1" w:styleId="26">
    <w:name w:val="二级条标题"/>
    <w:basedOn w:val="27"/>
    <w:next w:val="1"/>
    <w:qFormat/>
    <w:uiPriority w:val="0"/>
    <w:pPr>
      <w:numPr>
        <w:ilvl w:val="3"/>
      </w:numPr>
      <w:outlineLvl w:val="3"/>
    </w:pPr>
  </w:style>
  <w:style w:type="paragraph" w:customStyle="1" w:styleId="27">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8">
    <w:name w:val="p0"/>
    <w:basedOn w:val="1"/>
    <w:qFormat/>
    <w:uiPriority w:val="0"/>
    <w:pPr>
      <w:widowControl/>
    </w:pPr>
    <w:rPr>
      <w:kern w:val="0"/>
      <w:szCs w:val="21"/>
    </w:r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前言、引言标题"/>
    <w:next w:val="1"/>
    <w:qFormat/>
    <w:uiPriority w:val="0"/>
    <w:pPr>
      <w:numPr>
        <w:ilvl w:val="0"/>
        <w:numId w:val="1"/>
      </w:numPr>
      <w:shd w:val="clear" w:color="FFFFFF" w:fill="FFFFFF"/>
      <w:spacing w:before="640" w:after="560"/>
      <w:ind w:firstLine="363"/>
      <w:jc w:val="center"/>
      <w:outlineLvl w:val="0"/>
    </w:pPr>
    <w:rPr>
      <w:rFonts w:ascii="黑体" w:hAnsi="Times New Roman" w:eastAsia="黑体" w:cs="Times New Roman"/>
      <w:sz w:val="32"/>
      <w:lang w:val="en-US" w:eastAsia="zh-CN" w:bidi="ar-SA"/>
    </w:rPr>
  </w:style>
  <w:style w:type="paragraph" w:customStyle="1" w:styleId="31">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3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5">
    <w:name w:val="封面标准文稿编辑信息"/>
    <w:basedOn w:val="36"/>
    <w:qFormat/>
    <w:uiPriority w:val="0"/>
    <w:pPr>
      <w:framePr w:wrap="around"/>
      <w:spacing w:before="180" w:line="180" w:lineRule="exact"/>
    </w:pPr>
    <w:rPr>
      <w:sz w:val="21"/>
    </w:rPr>
  </w:style>
  <w:style w:type="paragraph" w:customStyle="1" w:styleId="36">
    <w:name w:val="封面标准文稿类别"/>
    <w:basedOn w:val="37"/>
    <w:qFormat/>
    <w:uiPriority w:val="0"/>
    <w:pPr>
      <w:framePr w:wrap="around"/>
      <w:spacing w:after="160" w:line="240" w:lineRule="auto"/>
    </w:pPr>
    <w:rPr>
      <w:sz w:val="24"/>
    </w:rPr>
  </w:style>
  <w:style w:type="paragraph" w:customStyle="1" w:styleId="37">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38">
    <w:name w:val="样式1"/>
    <w:basedOn w:val="1"/>
    <w:qFormat/>
    <w:uiPriority w:val="0"/>
    <w:pPr>
      <w:tabs>
        <w:tab w:val="left" w:pos="525"/>
      </w:tabs>
    </w:pPr>
    <w:rPr>
      <w:rFonts w:ascii="宋体" w:hAnsi="宋体"/>
      <w:szCs w:val="21"/>
    </w:rPr>
  </w:style>
  <w:style w:type="paragraph" w:customStyle="1" w:styleId="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0">
    <w:name w:val="五级条标题"/>
    <w:basedOn w:val="41"/>
    <w:next w:val="1"/>
    <w:qFormat/>
    <w:uiPriority w:val="0"/>
    <w:pPr>
      <w:numPr>
        <w:ilvl w:val="6"/>
      </w:numPr>
      <w:outlineLvl w:val="6"/>
    </w:pPr>
  </w:style>
  <w:style w:type="paragraph" w:customStyle="1" w:styleId="41">
    <w:name w:val="四级条标题"/>
    <w:basedOn w:val="25"/>
    <w:next w:val="1"/>
    <w:qFormat/>
    <w:uiPriority w:val="0"/>
    <w:pPr>
      <w:numPr>
        <w:ilvl w:val="5"/>
      </w:numPr>
      <w:outlineLvl w:val="5"/>
    </w:pPr>
  </w:style>
  <w:style w:type="paragraph" w:customStyle="1" w:styleId="4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3">
    <w:name w:val="Char"/>
    <w:basedOn w:val="1"/>
    <w:qFormat/>
    <w:uiPriority w:val="0"/>
    <w:pPr>
      <w:widowControl/>
      <w:spacing w:after="160" w:line="240" w:lineRule="exact"/>
      <w:jc w:val="left"/>
    </w:pPr>
    <w:rPr>
      <w:rFonts w:ascii="Verdana" w:hAnsi="Verdana"/>
      <w:kern w:val="0"/>
      <w:sz w:val="20"/>
      <w:szCs w:val="20"/>
      <w:lang w:eastAsia="en-US"/>
    </w:rPr>
  </w:style>
  <w:style w:type="paragraph" w:styleId="44">
    <w:name w:val="List Paragraph"/>
    <w:basedOn w:val="1"/>
    <w:qFormat/>
    <w:uiPriority w:val="34"/>
    <w:pPr>
      <w:ind w:firstLine="420" w:firstLineChars="200"/>
    </w:p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png"/><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www.lp9999.com</Company>
  <Pages>12</Pages>
  <Words>1247</Words>
  <Characters>7113</Characters>
  <Lines>59</Lines>
  <Paragraphs>16</Paragraphs>
  <TotalTime>24</TotalTime>
  <ScaleCrop>false</ScaleCrop>
  <LinksUpToDate>false</LinksUpToDate>
  <CharactersWithSpaces>8344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2018-12-28T01:52:00Z</dcterms:created>
  <dc:creator>USER</dc:creator>
  <cp:lastModifiedBy>ss</cp:lastModifiedBy>
  <cp:lastPrinted>2023-09-19T07:20:00Z</cp:lastPrinted>
  <dcterms:modified xsi:type="dcterms:W3CDTF">2024-03-15T05:07:13Z</dcterms:modified>
  <dc:title> </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C06B2C43E96B4B4DA274A22DCDED18B1_13</vt:lpwstr>
  </property>
</Properties>
</file>