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0"/>
          <w:szCs w:val="30"/>
        </w:rPr>
      </w:pPr>
    </w:p>
    <w:p>
      <w:pPr>
        <w:pStyle w:val="118"/>
        <w:spacing w:before="0" w:line="300" w:lineRule="auto"/>
        <w:ind w:firstLine="0" w:firstLineChars="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高纯铅化学分析方法</w:t>
      </w:r>
    </w:p>
    <w:p>
      <w:pPr>
        <w:pStyle w:val="118"/>
        <w:spacing w:before="0" w:line="300" w:lineRule="auto"/>
        <w:ind w:firstLine="0" w:firstLineChars="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第1部分: 银、镉、锰、铜、铋、铝、镍、锡、镁、锌和铁含量的测定 </w:t>
      </w: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电感耦合等离子体质谱法</w:t>
      </w: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8"/>
        <w:spacing w:before="0" w:line="300" w:lineRule="auto"/>
        <w:ind w:firstLine="0" w:firstLineChars="0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编 制 说 明</w:t>
      </w:r>
    </w:p>
    <w:p>
      <w:pPr>
        <w:pStyle w:val="118"/>
        <w:spacing w:before="0" w:line="300" w:lineRule="auto"/>
        <w:ind w:firstLine="0" w:firstLineChars="0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           </w:t>
      </w:r>
    </w:p>
    <w:p>
      <w:pPr>
        <w:pStyle w:val="118"/>
        <w:spacing w:before="0" w:line="300" w:lineRule="auto"/>
        <w:ind w:firstLine="0" w:firstLineChars="0"/>
        <w:jc w:val="both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                        </w:t>
      </w:r>
      <w:r>
        <w:rPr>
          <w:rFonts w:hint="eastAsia" w:ascii="黑体" w:hAnsi="黑体" w:eastAsia="黑体"/>
          <w:sz w:val="30"/>
          <w:szCs w:val="30"/>
        </w:rPr>
        <w:t>（稿）</w:t>
      </w: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8"/>
        <w:spacing w:before="0" w:line="300" w:lineRule="auto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8"/>
        <w:spacing w:before="0" w:line="300" w:lineRule="auto"/>
        <w:ind w:left="0" w:leftChars="0" w:firstLine="0" w:firstLineChars="0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东方电气（乐山）峨半高纯材料</w:t>
      </w:r>
      <w:r>
        <w:rPr>
          <w:rFonts w:hint="eastAsia" w:ascii="黑体" w:hAnsi="黑体" w:eastAsia="黑体" w:cs="黑体"/>
          <w:szCs w:val="32"/>
        </w:rPr>
        <w:t>有限公司</w:t>
      </w:r>
    </w:p>
    <w:p>
      <w:pPr>
        <w:pStyle w:val="118"/>
        <w:spacing w:before="0" w:line="300" w:lineRule="auto"/>
        <w:ind w:firstLine="0" w:firstLineChars="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sz w:val="30"/>
          <w:szCs w:val="30"/>
        </w:rPr>
        <w:t>月</w:t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134" w:right="1588" w:bottom="1213" w:left="1588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高纯铅化学分析方法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第1部分: 银、镉、锰、铜、铋、铝、镍、锡、镁、锌和铁含量的测定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电感耦合等离子体质谱法》</w:t>
      </w:r>
    </w:p>
    <w:p>
      <w:pPr>
        <w:pStyle w:val="118"/>
        <w:spacing w:before="0" w:line="300" w:lineRule="auto"/>
        <w:ind w:firstLine="0" w:firstLineChars="0"/>
        <w:rPr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国家标准编制说明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一、工作简况</w:t>
      </w:r>
    </w:p>
    <w:p>
      <w:pPr>
        <w:pStyle w:val="121"/>
        <w:tabs>
          <w:tab w:val="clear" w:pos="675"/>
        </w:tabs>
        <w:spacing w:beforeLines="0" w:afterLines="0" w:line="300" w:lineRule="auto"/>
        <w:ind w:left="0" w:firstLine="0"/>
        <w:jc w:val="left"/>
        <w:rPr>
          <w:rFonts w:hAnsi="黑体"/>
        </w:rPr>
      </w:pPr>
      <w:r>
        <w:rPr>
          <w:rFonts w:hint="eastAsia" w:hAnsi="黑体"/>
        </w:rPr>
        <w:t>1、项目的必要性简述</w:t>
      </w:r>
    </w:p>
    <w:p>
      <w:pPr>
        <w:widowControl/>
        <w:spacing w:line="360" w:lineRule="auto"/>
        <w:ind w:firstLine="315" w:firstLineChars="15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铅是一种略带蓝色的银白色金属，但是在空气中很容易被空气中的氧气氧化，形成灰黑色的氧化铅，所以我们看到的铅常是灰色的。铅的延性弱，展性强，抗腐蚀性高，抗放射性穿透的性能好。作为常用的有色金属，铅的年产销量在有色金属中排在第四位(继铝、铜、锌后)。由于性能优良，铅、铅的化合物及其合金被广泛应用于蓄电池、电缆护套、机械制造、船舶制造、轻工、氧化铅等行业。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begin"/>
      </w:r>
      <w:r>
        <w:rPr>
          <w:rFonts w:hint="eastAsia" w:cs="宋体" w:asciiTheme="minorEastAsia" w:hAnsiTheme="minorEastAsia" w:eastAsiaTheme="minorEastAsia"/>
          <w:kern w:val="0"/>
          <w:szCs w:val="21"/>
        </w:rPr>
        <w:instrText xml:space="preserve"> HYPERLINK "http://baike.asianmetal.cn/metal/pb/pb.shtml" \t "http://baike.asianmetal.cn/metal/pb/_blank" </w:instrText>
      </w: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separate"/>
      </w:r>
      <w:r>
        <w:rPr>
          <w:rFonts w:hint="eastAsia" w:cs="宋体" w:asciiTheme="minorEastAsia" w:hAnsiTheme="minorEastAsia" w:eastAsiaTheme="minorEastAsia"/>
          <w:kern w:val="0"/>
          <w:szCs w:val="21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Cs w:val="21"/>
        </w:rPr>
        <w:t>在地壳中的含量为0.0016%，储量比较丰富。自然界中，铅资源多以伴生矿形式存在，以铅为主的矿床和单一铅矿床的资源储量只占总储量的32.2%。主要含铅矿石有方铅矿(PbS)，白铅矿(PbCO3)和硫酸铅矿(PbSO4)。此外，少量铅还存在于各种铀矿和钍矿中。我国铅资源的总体特征是：贫矿多，富矿少；小型矿多，大型矿少；结构构造和矿物组成复杂的矿多，简单的矿少；基础保证年限不高。美国地质调查局2015年发布数据显示，目前全球已探明铅资源量共计20多亿吨，资源储量为8700万吨。铅在世界上的资源分布如下：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区域分布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世界上铅资源主要分布在欧洲东部俄罗斯的西伯利亚地区；亚洲中国中西部地区；澳洲的昆士兰州芒特艾萨，新南威尔士布罗肯希尔和埃卢拉，伍德朗，塔斯马尼亚州罗斯伯里，北澳麦克阿瑟河；北美洲南部美国密苏里东南区，密西西比河谷区，三州成矿区，雷德道格地区；北美墨西哥萨卡特卡斯州和圣路易斯波托西州和南美洲西部秘鲁东、西安第斯山脉之间的塞罗德帕斯科特以及莫罗科查等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国家分布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世界上铅储量较多的国家澳大利亚、中国、俄罗斯、美国、秘鲁和墨西哥，这6国储量占全世界的87%，其中澳大利亚占比最大为40%，中国占16%，美国占6%，秘鲁占8%，墨西哥占6%，俄罗斯占11%；其他地区占13%。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据国土资源部发布公报显示，我国铅矿查明资源储量为7191.8金属万吨，铅储量1400万吨，从储量分布来看，内蒙古白音诺尔、云南兰坪金顶、湖南常水和湘西、广东凡口、甘肃西河和成县是我国主要铅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begin"/>
      </w:r>
      <w:r>
        <w:rPr>
          <w:rFonts w:hint="eastAsia" w:cs="宋体" w:asciiTheme="minorEastAsia" w:hAnsiTheme="minorEastAsia" w:eastAsiaTheme="minorEastAsia"/>
          <w:kern w:val="0"/>
          <w:szCs w:val="21"/>
        </w:rPr>
        <w:instrText xml:space="preserve"> HYPERLINK "http://baike.asianmetal.cn/metal/zn/zn.shtml" \t "http://baike.asianmetal.cn/metal/pb/_blank" </w:instrText>
      </w: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separate"/>
      </w:r>
      <w:r>
        <w:rPr>
          <w:rFonts w:hint="eastAsia" w:cs="宋体" w:asciiTheme="minorEastAsia" w:hAnsiTheme="minorEastAsia" w:eastAsiaTheme="minorEastAsia"/>
          <w:kern w:val="0"/>
          <w:szCs w:val="21"/>
        </w:rPr>
        <w:t>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Cs w:val="21"/>
        </w:rPr>
        <w:t>资源分布地，其储量都超过100万吨，这5省的储量占全国总量的72%。根据中国铅锌矿产地的分布和建设条件，经40多年的发展建设，现已形成东北、湖南、两广、滇川、西北等五大铅锌采选冶和加工配套的生产基地，锌产量占全国总产量的95%，此外，内蒙古、江西、贵州等省区也建设了一批中小型矿山。</w:t>
      </w:r>
    </w:p>
    <w:p>
      <w:p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铅行业知名企业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目前全球领先的金属锗行业企业是美国：St. Joe Minerals Corporation, Desloge Consolidated Lead Company, NL Industries和Doe Run 道朗公司；加拿大：Teck Resources泰克公司；澳大利亚：Cannington 坎宁顿和BHP(Billiton)必和必拓；韩国：Korea Zinc 韩国高丽亚铅公司；英国：Xstrata 超达和Vedanta Resources(UK)万达塔资源公司等。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国内知名铅企：中金岭南、中色股份、罗平锌电、宏达股份、驰宏锌锗、豫光金铅、葫芦岛锌业股份有限公司、西部矿业、骆驼股份有限公司(蓄电池龙头公司)、南都电源、猛狮科技、风帆股份、汉中八一锌业、水口山有色金属、豫北金铅冶炼有限公司、临沂市利升铅业、焦作东方金铅、桂阳银星有色冶炼有限公司、湖南黄沙坪铅锌矿等。随着我国的经济不断发展，我国已是全球有色金属冶炼和加工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重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要国家，随着下游高纯铅、铅合金等技术的发展，高纯铅的用量逐年增加。项目的实施可以实现高纯度高纯铅的检测的更高精确度，随着疫情的影响，国际局势紧张化，在国外购销售困难较为突出的形式下，只有突破技术难点，打破国外技术的封锁，促进下游科研院所、企业的发展，同时提高公司在同类企业中的知名度和市场竞争力。本标准旨在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修订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高纯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的电感耦合等离子体质谱法分析方法。</w:t>
      </w:r>
    </w:p>
    <w:p>
      <w:pPr>
        <w:pStyle w:val="121"/>
        <w:tabs>
          <w:tab w:val="clear" w:pos="675"/>
        </w:tabs>
        <w:spacing w:beforeLines="0" w:afterLines="0" w:line="300" w:lineRule="auto"/>
        <w:ind w:left="0" w:firstLine="0"/>
        <w:jc w:val="left"/>
        <w:rPr>
          <w:rFonts w:hAnsi="黑体"/>
        </w:rPr>
      </w:pPr>
      <w:r>
        <w:rPr>
          <w:rFonts w:hint="eastAsia" w:hAnsi="黑体"/>
        </w:rPr>
        <w:t>2、适用范围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本标准规定了高纯铅中金属杂质含量的测定方法，采用电感耦合等离子体质谱法测定高纯铅中银、镉、锰、铜、铋、铝、镍、锡、镁、锌和铁痕量杂质元素含量。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本标准适用于99.999%—99.99999%高纯铅中金属杂质含量的测定。测定范围1×10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  <w:lang w:val="en-US" w:eastAsia="zh-CN"/>
        </w:rPr>
        <w:t>-7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%—1000×10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  <w:lang w:val="en-US" w:eastAsia="zh-CN"/>
        </w:rPr>
        <w:t>-7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%。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</w:rPr>
        <w:t>3、</w:t>
      </w:r>
      <w:r>
        <w:rPr>
          <w:rFonts w:cs="宋体" w:asciiTheme="minorEastAsia" w:hAnsiTheme="minorEastAsia" w:eastAsiaTheme="minorEastAsia"/>
          <w:b/>
          <w:bCs/>
          <w:kern w:val="0"/>
          <w:szCs w:val="21"/>
        </w:rPr>
        <w:t>任务来源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根据国标委文件精神，峨眉山市峨半高纯材料有限公司在2021年向全国有色金属标准化技术委员会提交《YST 229.1 纯铅化学分析方法 第1部分: 银、镉、锰、铜、铋、铝、镍、锡、镁、锌和铁含量的测定 电感耦合等离子体质谱法》行业标准的项目建议书等材料，开展《YST 229.1 纯铅化学分析方法 第1部分: 银、镉、锰、铜、铋、铝、镍、锡、镁、锌和铁含量的测定 电感耦合等离子体质谱法》行业标准的修订工作。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</w:rPr>
        <w:t>4、起草单位情况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峨眉山市峨半高纯材料有限公司是高纯材料的生产、研发的承担者，从事高纯金属及化合物的科研、试制、生产已经50余年，目前已完成二十余种元素材料和几十种化合物材料的生产工艺研究，形成多条产品生产线，工艺技术先进，产品质量水平国内领先，为推动我国化合物半导体的应用研究和发展作出了贡献。峨眉山市峨半高纯材料有限公司具备国内领先的检测设备，拥有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有GD-MS\ICP-MS\ICP-OES等众多高精尖检测设备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等多种分析设备，产品分析检测体系完善，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可以满足公司高纯高端材料的全面检测要求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具备完成多种高纯元素及化合物材料分析检测的能力，并多次主持和参与国家及行业有关标准的制定和修订。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公司有充足的技术能力和标准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修订</w:t>
      </w:r>
      <w:r>
        <w:rPr>
          <w:rFonts w:cs="宋体" w:asciiTheme="minorEastAsia" w:hAnsiTheme="minorEastAsia" w:eastAsiaTheme="minorEastAsia"/>
          <w:kern w:val="0"/>
          <w:szCs w:val="21"/>
        </w:rPr>
        <w:t>工作经验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Fonts w:cs="宋体" w:asciiTheme="minorEastAsia" w:hAnsiTheme="minorEastAsia" w:eastAsiaTheme="minorEastAsia"/>
          <w:kern w:val="0"/>
          <w:szCs w:val="21"/>
        </w:rPr>
        <w:t>先后主导和参与起草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多项</w:t>
      </w:r>
      <w:r>
        <w:rPr>
          <w:rFonts w:cs="宋体" w:asciiTheme="minorEastAsia" w:hAnsiTheme="minorEastAsia" w:eastAsiaTheme="minorEastAsia"/>
          <w:kern w:val="0"/>
          <w:szCs w:val="21"/>
        </w:rPr>
        <w:t>国家标准及行业标准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5、主要工作过程</w:t>
      </w:r>
    </w:p>
    <w:p>
      <w:p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 xml:space="preserve">5.1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2021年，由全国有色金属标准化技术委员会发函《关于征集2021年有色金属国家标准、行业标准、协会标准项目计划的通知》。随后，成立了以峨眉山市峨半高纯材料有限公司为主的标准修订小组，标准修订小组马上开展标准调研工作，开展对《YST 229.1 纯铅化学分析方法 第1部分: 银、镉、锰、铜、铋、铝、镍、锡、镁、锌和铁含量的测定 电感耦合等离子体质谱法》标准的调研和申报材料编制工作。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 xml:space="preserve">5.2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202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年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月湖州会议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项目落实，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会上对《纯铅化学分析方法 第1部分: 银、镉、锰、铜、铋、铝、镍、锡、镁、锌和铁含量的测定 电感耦合等离子体质谱法》（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草案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）进行了讨论。主要有以下几个方面的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改动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a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hint="default" w:ascii="Times New Roman" w:hAnsi="Times New Roman" w:cs="Times New Roman"/>
          <w:kern w:val="2"/>
        </w:rPr>
        <w:t>用电感耦合等离子体质谱法取代化学光谱法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b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hint="default" w:ascii="Times New Roman" w:hAnsi="Times New Roman" w:cs="Times New Roman"/>
          <w:kern w:val="2"/>
        </w:rPr>
        <w:t>去掉标准溶液配制改用国家标准样品，国家标准样品GSB 04-1712-2004(GSB 04-1712-2004只是货号)，国家标准样品是有国标规定的，参考《空气和废气检测分析方法第四版》、《水和废气检测方法》、GB 5009.268-2016等，国家标准样品的准确度很高，完全符合要求，使用国家标准样品还能避免样品配置的污染问题等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eastAsia" w:eastAsia="宋体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c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hint="default" w:ascii="Times New Roman" w:hAnsi="Times New Roman" w:cs="Times New Roman"/>
          <w:kern w:val="2"/>
        </w:rPr>
        <w:t>基于产品标准</w:t>
      </w:r>
      <w:r>
        <w:rPr>
          <w:rFonts w:ascii="Times New Roman" w:hAnsi="Times New Roman" w:cs="Times New Roman"/>
          <w:kern w:val="2"/>
          <w:szCs w:val="21"/>
        </w:rPr>
        <w:t>YS/T 265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kern w:val="2"/>
          <w:szCs w:val="21"/>
        </w:rPr>
        <w:t>高纯铅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kern w:val="2"/>
        </w:rPr>
        <w:t>对化学成的要求，所以增加杂质元素镉、锌、锰的分析</w:t>
      </w:r>
      <w:r>
        <w:rPr>
          <w:rFonts w:hint="eastAsia" w:cs="Times New Roman"/>
          <w:kern w:val="2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d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hint="default" w:ascii="Times New Roman" w:hAnsi="Times New Roman" w:cs="Times New Roman"/>
          <w:kern w:val="2"/>
        </w:rPr>
        <w:t>修改部分制样的规定，尽量简化制样流程，需要实验才能确定具体的改进流程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e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Fonts w:hint="default" w:cs="Times New Roman"/>
        </w:rPr>
        <w:t>按照GB/T 1.1-2020《标准化工作导则 第1部分：标准化文件的结构和起草规则》的规定</w:t>
      </w:r>
      <w:r>
        <w:rPr>
          <w:rFonts w:hint="default" w:cs="Times New Roman"/>
          <w:lang w:val="en-US" w:eastAsia="zh-CN"/>
        </w:rPr>
        <w:t>修改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 xml:space="preserve">5.3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在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任务落实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工作会议上，完成《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高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纯铅化学分析方法 第1部分: 银、镉、锰、铜、铋、铝、镍、锡、镁、锌和铁含量的测定 电感耦合等离子体质谱法》（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草案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二、标准编制原则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本标准标准的起草过程中遵循以下原则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1）规范性：</w:t>
      </w:r>
      <w:r>
        <w:rPr>
          <w:rFonts w:cs="宋体" w:asciiTheme="minorEastAsia" w:hAnsiTheme="minorEastAsia" w:eastAsiaTheme="minorEastAsia"/>
          <w:kern w:val="0"/>
          <w:szCs w:val="21"/>
        </w:rPr>
        <w:t>本标准是根据</w:t>
      </w:r>
      <w:r>
        <w:rPr>
          <w:rFonts w:hint="default" w:cs="Times New Roman"/>
        </w:rPr>
        <w:t>GB/T 1.1-2020《标准化工作导则 第1部分：标准化文件的结构和起草规则》</w:t>
      </w:r>
      <w:r>
        <w:rPr>
          <w:rFonts w:cs="宋体" w:asciiTheme="minorEastAsia" w:hAnsiTheme="minorEastAsia" w:eastAsiaTheme="minorEastAsia"/>
          <w:kern w:val="0"/>
          <w:szCs w:val="21"/>
        </w:rPr>
        <w:t>和GB/T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宋体" w:asciiTheme="minorEastAsia" w:hAnsiTheme="minorEastAsia" w:eastAsiaTheme="minorEastAsia"/>
          <w:kern w:val="0"/>
          <w:szCs w:val="21"/>
        </w:rPr>
        <w:t>20001.4-20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15</w:t>
      </w:r>
      <w:r>
        <w:rPr>
          <w:rFonts w:cs="宋体" w:asciiTheme="minorEastAsia" w:hAnsiTheme="minorEastAsia" w:eastAsiaTheme="minorEastAsia"/>
          <w:kern w:val="0"/>
          <w:szCs w:val="21"/>
        </w:rPr>
        <w:t>《标准编写规则 第4部分：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试验方法标准</w:t>
      </w:r>
      <w:r>
        <w:rPr>
          <w:rFonts w:cs="宋体" w:asciiTheme="minorEastAsia" w:hAnsiTheme="minorEastAsia" w:eastAsiaTheme="minorEastAsia"/>
          <w:kern w:val="0"/>
          <w:szCs w:val="21"/>
        </w:rPr>
        <w:t>》的要求进行编写的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2）先进性：本方法为电感耦合等离子体质谱法具有很低的检出限；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3）适用性：本标准能够反映当前国内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生产行业的技术水平，实用性强，能够满足生产和使用企业的需求，特别是高端应用方面的需求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三、标准主要内容的确定依据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1、标准的名称确认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本标准是</w:t>
      </w:r>
      <w:r>
        <w:rPr>
          <w:rFonts w:ascii="Times New Roman" w:hAnsi="Times New Roman" w:cs="Times New Roman"/>
          <w:kern w:val="2"/>
          <w:szCs w:val="21"/>
        </w:rPr>
        <w:t>YS/T 265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kern w:val="2"/>
          <w:szCs w:val="21"/>
        </w:rPr>
        <w:t>高纯铅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》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的分析方法配套标准，目前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实施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《</w:t>
      </w:r>
      <w:r>
        <w:rPr>
          <w:rFonts w:hint="eastAsia"/>
        </w:rPr>
        <w:t>高纯铅化学分析方法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/>
        </w:rPr>
        <w:t>第1部分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/>
        </w:rPr>
        <w:t>银、铜、铋、铝、镍、锡、镁和铁量的测定 化学光谱法</w:t>
      </w:r>
      <w:r>
        <w:rPr>
          <w:rFonts w:hint="eastAsia"/>
          <w:lang w:eastAsia="zh-CN"/>
        </w:rPr>
        <w:t>》，</w:t>
      </w:r>
      <w:r>
        <w:rPr>
          <w:rFonts w:hint="eastAsia"/>
          <w:lang w:val="en-US" w:eastAsia="zh-CN"/>
        </w:rPr>
        <w:t>由于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kern w:val="2"/>
          <w:szCs w:val="21"/>
        </w:rPr>
        <w:t>高纯铅</w:t>
      </w:r>
      <w:r>
        <w:rPr>
          <w:rFonts w:hint="default" w:ascii="Times New Roman" w:hAnsi="Times New Roman" w:cs="Times New Roman"/>
          <w:kern w:val="2"/>
          <w:szCs w:val="21"/>
          <w:lang w:eastAsia="zh-CN"/>
        </w:rPr>
        <w:t>》</w:t>
      </w:r>
      <w:r>
        <w:rPr>
          <w:rFonts w:hint="eastAsia" w:ascii="Times New Roman" w:hAnsi="Times New Roman" w:cs="Times New Roman"/>
          <w:kern w:val="2"/>
          <w:szCs w:val="21"/>
          <w:lang w:val="en-US" w:eastAsia="zh-CN"/>
        </w:rPr>
        <w:t>中化学成分要求，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经与相关单位专家讨论，决定采用电感耦合等离子体质谱法对金属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的痕量杂质元素进行测定，标准题目与现有的金属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的检测方法标准的对应检测对象名称一致，确定为《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高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纯铅化学分析方法 第1部分: 银、镉、锰、铜、铋、铝、镍、锡、镁、锌和铁含量的测定 电感耦合等离子体质谱法》。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检测项目的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落实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eastAsia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YS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T 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265</w:t>
      </w:r>
      <w:r>
        <w:rPr>
          <w:rFonts w:cs="宋体" w:asciiTheme="minorEastAsia" w:hAnsiTheme="minorEastAsia" w:eastAsiaTheme="minorEastAsia"/>
          <w:kern w:val="0"/>
          <w:szCs w:val="21"/>
        </w:rPr>
        <w:t>-20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《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高纯铅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》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中产品涉及到杂质元素含量低，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而电感耦合等离子体质谱在痕量元素方面具有具有检出限低，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准确性高等特点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。涉及到的杂质元素含量要求多为</w:t>
      </w:r>
      <w:r>
        <w:rPr>
          <w:rFonts w:cs="宋体" w:asciiTheme="minorEastAsia" w:hAnsiTheme="minorEastAsia" w:eastAsiaTheme="minorEastAsia"/>
          <w:kern w:val="0"/>
          <w:szCs w:val="21"/>
        </w:rPr>
        <w:t>&lt;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0.000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1%、&lt;0.00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0000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5%或者未检出。为了使建立的方法应用范围更广，结合电感耦合等离子体质谱仪的检测特点，标准拟对金属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中的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种元素进行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检测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3、方法的测定范围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结合金属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产品要求的需要，及电感耦合等离子体质谱的测定能力，其余元素的测定范围为</w:t>
      </w:r>
      <w:r>
        <w:rPr>
          <w:rFonts w:cs="宋体" w:asciiTheme="minorEastAsia" w:hAnsiTheme="minorEastAsia" w:eastAsiaTheme="minorEastAsia"/>
          <w:kern w:val="0"/>
          <w:szCs w:val="21"/>
        </w:rPr>
        <w:t>1µg/kg~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1</w:t>
      </w:r>
      <w:r>
        <w:rPr>
          <w:rFonts w:cs="宋体" w:asciiTheme="minorEastAsia" w:hAnsiTheme="minorEastAsia" w:eastAsiaTheme="minorEastAsia"/>
          <w:kern w:val="0"/>
          <w:szCs w:val="21"/>
        </w:rPr>
        <w:t>00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0</w:t>
      </w:r>
      <w:r>
        <w:rPr>
          <w:rFonts w:cs="宋体" w:asciiTheme="minorEastAsia" w:hAnsiTheme="minorEastAsia" w:eastAsiaTheme="minorEastAsia"/>
          <w:kern w:val="0"/>
          <w:szCs w:val="21"/>
        </w:rPr>
        <w:t>µg/kg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4、样品前处理</w:t>
      </w:r>
    </w:p>
    <w:p>
      <w:p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4.1 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铅熔解后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加工成小颗粒或粉状。 </w:t>
      </w:r>
    </w:p>
    <w:p>
      <w:p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4.2 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样品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以硝酸</w:t>
      </w:r>
      <w:r>
        <w:rPr>
          <w:rFonts w:hint="eastAsia" w:ascii="Times New Roman" w:eastAsia="宋体"/>
          <w:szCs w:val="20"/>
        </w:rPr>
        <w:t>低温</w:t>
      </w:r>
      <w:r>
        <w:rPr>
          <w:rFonts w:ascii="Times New Roman" w:eastAsia="宋体"/>
          <w:szCs w:val="20"/>
        </w:rPr>
        <w:t>加热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溶解后，加入一定量硫酸在80-90℃下，使铅生成硫酸铅沉淀与杂质分离，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冷却后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定容，以电感耦合等离子体质谱法直接测定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杂质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含量。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5、 仪器工作参数的确定依据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因为全球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电感耦合等离子体质谱</w:t>
      </w:r>
      <w:r>
        <w:rPr>
          <w:rFonts w:cs="宋体" w:asciiTheme="minorEastAsia" w:hAnsiTheme="minorEastAsia" w:eastAsiaTheme="minorEastAsia"/>
          <w:kern w:val="0"/>
          <w:szCs w:val="21"/>
        </w:rPr>
        <w:t>仪也就是固定的几个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型号，这</w:t>
      </w:r>
      <w:r>
        <w:rPr>
          <w:rFonts w:cs="宋体" w:asciiTheme="minorEastAsia" w:hAnsiTheme="minorEastAsia" w:eastAsiaTheme="minorEastAsia"/>
          <w:kern w:val="0"/>
          <w:szCs w:val="21"/>
        </w:rPr>
        <w:t>几家仪器厂家不同，型号不同，所需的仪器参数不尽相同，但是在测试前必须通过调节满足灵敏度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和</w:t>
      </w:r>
      <w:r>
        <w:rPr>
          <w:rFonts w:ascii="宋体"/>
          <w:kern w:val="0"/>
          <w:szCs w:val="20"/>
        </w:rPr>
        <w:t>分辨率</w:t>
      </w:r>
      <w:r>
        <w:rPr>
          <w:rFonts w:cs="宋体" w:asciiTheme="minorEastAsia" w:hAnsiTheme="minorEastAsia" w:eastAsiaTheme="minorEastAsia"/>
          <w:kern w:val="0"/>
          <w:szCs w:val="21"/>
        </w:rPr>
        <w:t>的要求。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但</w:t>
      </w:r>
      <w:r>
        <w:rPr>
          <w:rFonts w:cs="宋体" w:asciiTheme="minorEastAsia" w:hAnsiTheme="minorEastAsia" w:eastAsiaTheme="minorEastAsia"/>
          <w:kern w:val="0"/>
          <w:szCs w:val="21"/>
        </w:rPr>
        <w:t>基本上的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电感耦合等离子体质谱</w:t>
      </w:r>
      <w:r>
        <w:rPr>
          <w:rFonts w:cs="宋体" w:asciiTheme="minorEastAsia" w:hAnsiTheme="minorEastAsia" w:eastAsiaTheme="minorEastAsia"/>
          <w:kern w:val="0"/>
          <w:szCs w:val="21"/>
        </w:rPr>
        <w:t>方法的共性要求是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</w:t>
      </w:r>
      <w:r>
        <w:rPr>
          <w:rFonts w:ascii="宋体"/>
          <w:kern w:val="0"/>
          <w:szCs w:val="20"/>
        </w:rPr>
        <w:t>质量分辨率优于（0.8±0.1）amu；对由工作气体 Ar 产生的复合干扰离子如40Ar16O+具有消除功能。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 元素同位素及分辨率的确定依据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对于同位素的选择，优先选择丰度大且干扰小的同位素。在金属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铅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的测定中，主要有基体的双电荷干扰。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综上，本</w:t>
      </w:r>
      <w:r>
        <w:rPr>
          <w:rFonts w:cs="宋体" w:asciiTheme="minorEastAsia" w:hAnsiTheme="minorEastAsia" w:eastAsiaTheme="minorEastAsia"/>
          <w:kern w:val="0"/>
          <w:szCs w:val="21"/>
        </w:rPr>
        <w:t>元素测定元素种类及选择的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同位素质量数见表</w:t>
      </w:r>
      <w:r>
        <w:rPr>
          <w:rFonts w:cs="宋体" w:asciiTheme="minorEastAsia" w:hAnsiTheme="minorEastAsia" w:eastAsiaTheme="minorEastAsia"/>
          <w:kern w:val="0"/>
          <w:szCs w:val="21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Cs w:val="21"/>
        </w:rPr>
      </w:pPr>
      <w:bookmarkStart w:id="0" w:name="OLE_LINK1"/>
      <w:r>
        <w:rPr>
          <w:rFonts w:hint="eastAsia" w:ascii="黑体" w:hAnsi="黑体" w:eastAsia="黑体"/>
          <w:szCs w:val="21"/>
        </w:rPr>
        <w:t>表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 xml:space="preserve"> 元素</w:t>
      </w:r>
      <w:r>
        <w:rPr>
          <w:rFonts w:ascii="黑体" w:hAnsi="黑体" w:eastAsia="黑体"/>
          <w:szCs w:val="21"/>
        </w:rPr>
        <w:t>种类</w:t>
      </w:r>
      <w:r>
        <w:rPr>
          <w:rFonts w:hint="eastAsia" w:ascii="黑体" w:hAnsi="黑体" w:eastAsia="黑体"/>
          <w:szCs w:val="21"/>
        </w:rPr>
        <w:t>及同位素质量数</w:t>
      </w:r>
    </w:p>
    <w:bookmarkEnd w:id="0"/>
    <w:tbl>
      <w:tblPr>
        <w:tblStyle w:val="88"/>
        <w:tblpPr w:leftFromText="180" w:rightFromText="180" w:vertAnchor="text" w:horzAnchor="page" w:tblpX="1411" w:tblpY="45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同位素质量数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同位素质量数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23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/>
                <w:color w:val="FF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rFonts w:hint="eastAsia"/>
          <w:kern w:val="0"/>
          <w:szCs w:val="21"/>
        </w:rPr>
        <w:t>.试验验证及精密度情况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7.</w:t>
      </w:r>
      <w:r>
        <w:rPr>
          <w:rFonts w:hint="eastAsia"/>
          <w:kern w:val="0"/>
          <w:szCs w:val="21"/>
        </w:rPr>
        <w:t xml:space="preserve">1 </w:t>
      </w:r>
      <w:r>
        <w:rPr>
          <w:rFonts w:hint="eastAsia"/>
          <w:kern w:val="0"/>
          <w:szCs w:val="21"/>
          <w:lang w:val="en-US" w:eastAsia="zh-CN"/>
        </w:rPr>
        <w:t>重复性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rFonts w:hint="eastAsia"/>
          <w:kern w:val="0"/>
          <w:szCs w:val="21"/>
        </w:rPr>
        <w:t xml:space="preserve">.2 </w:t>
      </w:r>
      <w:r>
        <w:rPr>
          <w:rFonts w:hint="eastAsia"/>
          <w:kern w:val="0"/>
          <w:szCs w:val="21"/>
          <w:lang w:val="en-US" w:eastAsia="zh-CN"/>
        </w:rPr>
        <w:t>再现性。</w:t>
      </w:r>
    </w:p>
    <w:p>
      <w:pPr>
        <w:autoSpaceDE w:val="0"/>
        <w:autoSpaceDN w:val="0"/>
        <w:adjustRightInd w:val="0"/>
        <w:spacing w:line="360" w:lineRule="auto"/>
        <w:rPr>
          <w:rFonts w:hint="eastAsia" w:eastAsia="宋体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val="en-US" w:eastAsia="zh-CN"/>
        </w:rPr>
        <w:t>7.3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因为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电感耦合等离子体质谱</w:t>
      </w:r>
      <w:r>
        <w:rPr>
          <w:kern w:val="0"/>
          <w:szCs w:val="21"/>
        </w:rPr>
        <w:t>仪分析方法的特点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《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高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纯铅化学分析方法 第1部分: 银、镉、锰、铜、铋、铝、镍、锡、镁、锌和铁含量的测定 电感耦合等离子体质谱法》</w:t>
      </w:r>
      <w:r>
        <w:rPr>
          <w:rFonts w:hint="eastAsia"/>
          <w:kern w:val="0"/>
          <w:szCs w:val="21"/>
        </w:rPr>
        <w:t>的检测重现性及再现性做规定，根据该仪器检测方法及历史检测数据和相关验证单位的检测报告，根据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电感耦合等离子体质谱法</w:t>
      </w:r>
      <w:r>
        <w:rPr>
          <w:rFonts w:hint="eastAsia"/>
          <w:kern w:val="0"/>
          <w:szCs w:val="21"/>
        </w:rPr>
        <w:t>测定痕量元素的一般规定及要求，在标准文本中对允许相对标准偏差做规定，</w:t>
      </w:r>
      <w:r>
        <w:rPr>
          <w:rFonts w:hint="eastAsia" w:ascii="宋体" w:hAnsi="宋体"/>
          <w:szCs w:val="21"/>
        </w:rPr>
        <w:t>实验室内和实验室之间分析结果的相对偏差</w:t>
      </w:r>
      <w:r>
        <w:rPr>
          <w:rFonts w:hint="eastAsia"/>
          <w:kern w:val="0"/>
          <w:szCs w:val="21"/>
        </w:rPr>
        <w:t>规定要求见下表</w:t>
      </w:r>
      <w:r>
        <w:rPr>
          <w:rFonts w:hint="eastAsia"/>
          <w:kern w:val="0"/>
          <w:szCs w:val="21"/>
          <w:lang w:val="en-US" w:eastAsia="zh-CN"/>
        </w:rPr>
        <w:t>2</w:t>
      </w:r>
      <w:r>
        <w:rPr>
          <w:rFonts w:hint="eastAsia"/>
          <w:kern w:val="0"/>
          <w:szCs w:val="21"/>
        </w:rPr>
        <w:t>和表</w:t>
      </w:r>
      <w:r>
        <w:rPr>
          <w:rFonts w:hint="eastAsia"/>
          <w:kern w:val="0"/>
          <w:szCs w:val="21"/>
          <w:lang w:val="en-US" w:eastAsia="zh-CN"/>
        </w:rPr>
        <w:t>3</w:t>
      </w:r>
    </w:p>
    <w:p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表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hint="eastAsia" w:ascii="宋体" w:cs="宋体"/>
          <w:kern w:val="0"/>
          <w:szCs w:val="21"/>
        </w:rPr>
        <w:t xml:space="preserve"> 实验室之间允许相对偏差</w:t>
      </w:r>
    </w:p>
    <w:tbl>
      <w:tblPr>
        <w:tblStyle w:val="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元素含量范围</w:t>
            </w:r>
            <w:r>
              <w:rPr>
                <w:i/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(µg/kg)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允许相对偏差</w:t>
            </w:r>
            <w:r>
              <w:rPr>
                <w:sz w:val="18"/>
                <w:szCs w:val="18"/>
              </w:rPr>
              <w:t>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≥50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1000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表</w:t>
      </w:r>
      <w:r>
        <w:rPr>
          <w:rFonts w:hint="eastAsia" w:ascii="宋体" w:cs="宋体"/>
          <w:kern w:val="0"/>
          <w:szCs w:val="21"/>
          <w:lang w:val="en-US" w:eastAsia="zh-CN"/>
        </w:rPr>
        <w:t>3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 xml:space="preserve"> 实验室之间允许相对偏差</w:t>
      </w:r>
    </w:p>
    <w:tbl>
      <w:tblPr>
        <w:tblStyle w:val="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元素含量范围</w:t>
            </w:r>
            <w:r>
              <w:rPr>
                <w:i/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(µg/kg)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允许相对偏差</w:t>
            </w:r>
            <w:r>
              <w:rPr>
                <w:sz w:val="18"/>
                <w:szCs w:val="18"/>
              </w:rPr>
              <w:t>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≥50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1000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>
      <w:pPr>
        <w:spacing w:line="440" w:lineRule="exact"/>
        <w:rPr>
          <w:rFonts w:asci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四</w:t>
      </w:r>
      <w:r>
        <w:rPr>
          <w:rFonts w:hint="eastAsia" w:ascii="黑体" w:hAnsi="宋体" w:eastAsia="黑体"/>
          <w:bCs/>
          <w:sz w:val="24"/>
        </w:rPr>
        <w:t>、主要试验（或验证）情况的分析及报告</w:t>
      </w:r>
    </w:p>
    <w:p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sz w:val="24"/>
        </w:rPr>
        <w:t>试验验证报告</w:t>
      </w:r>
      <w:r>
        <w:rPr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ascii="黑体" w:hAnsi="宋体" w:eastAsia="黑体"/>
          <w:bCs/>
          <w:sz w:val="24"/>
        </w:rPr>
        <w:t>五、标准水平分析</w:t>
      </w:r>
    </w:p>
    <w:p>
      <w:pPr>
        <w:spacing w:before="156" w:beforeLines="50" w:after="156" w:afterLines="50" w:line="300" w:lineRule="auto"/>
        <w:ind w:firstLine="420" w:firstLineChars="200"/>
        <w:rPr>
          <w:rFonts w:ascii="黑体" w:hAnsi="宋体" w:eastAsia="黑体"/>
          <w:bCs/>
          <w:sz w:val="24"/>
        </w:rPr>
      </w:pPr>
      <w:r>
        <w:rPr>
          <w:rFonts w:hint="eastAsia" w:hAnsi="宋体"/>
        </w:rPr>
        <w:t>随着社会的发展和技术进步，随着</w:t>
      </w:r>
      <w:r>
        <w:rPr>
          <w:rFonts w:hint="eastAsia" w:hAnsi="宋体"/>
          <w:lang w:val="en-US" w:eastAsia="zh-CN"/>
        </w:rPr>
        <w:t>铅</w:t>
      </w:r>
      <w:r>
        <w:rPr>
          <w:rFonts w:hint="eastAsia" w:hAnsi="宋体"/>
        </w:rPr>
        <w:t>的高端应用的拓展，提供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电感耦合等离子体质谱</w:t>
      </w:r>
      <w:r>
        <w:rPr>
          <w:rFonts w:hint="eastAsia" w:hAnsi="宋体"/>
        </w:rPr>
        <w:t>仪测定的金属</w:t>
      </w:r>
      <w:r>
        <w:rPr>
          <w:rFonts w:hint="eastAsia" w:hAnsi="宋体"/>
          <w:lang w:val="en-US" w:eastAsia="zh-CN"/>
        </w:rPr>
        <w:t>铅</w:t>
      </w:r>
      <w:r>
        <w:rPr>
          <w:rFonts w:hint="eastAsia" w:hAnsi="宋体"/>
        </w:rPr>
        <w:t>的杂质检测报告成为应用端的日常需求，本标准的制</w:t>
      </w:r>
      <w:bookmarkStart w:id="1" w:name="_GoBack"/>
      <w:bookmarkEnd w:id="1"/>
      <w:r>
        <w:rPr>
          <w:rFonts w:hint="eastAsia" w:hAnsi="宋体"/>
        </w:rPr>
        <w:t>定适用了日益增长的贸易需求。该方法</w:t>
      </w:r>
      <w:r>
        <w:rPr>
          <w:rFonts w:hAnsi="宋体"/>
        </w:rPr>
        <w:t>具有</w:t>
      </w:r>
      <w:r>
        <w:rPr>
          <w:rFonts w:hint="eastAsia" w:hAnsi="宋体"/>
        </w:rPr>
        <w:t>多元素同时测定、测定范围广</w:t>
      </w:r>
      <w:r>
        <w:rPr>
          <w:rFonts w:hAnsi="宋体"/>
        </w:rPr>
        <w:t>、</w:t>
      </w:r>
      <w:r>
        <w:rPr>
          <w:rFonts w:hint="eastAsia" w:hAnsi="宋体"/>
        </w:rPr>
        <w:t>检出限低</w:t>
      </w:r>
      <w:r>
        <w:rPr>
          <w:rFonts w:hAnsi="宋体"/>
        </w:rPr>
        <w:t>等特点，</w:t>
      </w:r>
      <w:r>
        <w:rPr>
          <w:rFonts w:hint="eastAsia" w:hAnsi="宋体"/>
        </w:rPr>
        <w:t>能够满足金属</w:t>
      </w:r>
      <w:r>
        <w:rPr>
          <w:rFonts w:hint="eastAsia" w:hAnsi="宋体"/>
          <w:lang w:val="en-US" w:eastAsia="zh-CN"/>
        </w:rPr>
        <w:t>铅</w:t>
      </w:r>
      <w:r>
        <w:rPr>
          <w:rFonts w:hint="eastAsia" w:hAnsi="宋体"/>
        </w:rPr>
        <w:t>杂质检测的要求，符合我国现阶段的实际情况，达到国际先进水平</w:t>
      </w:r>
      <w:r>
        <w:rPr>
          <w:rFonts w:hAnsi="宋体"/>
        </w:rPr>
        <w:t>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六、与现行法律、法规、强制性国家标准及相关标准的关系</w:t>
      </w:r>
    </w:p>
    <w:p>
      <w:pPr>
        <w:spacing w:before="156" w:beforeLines="50" w:after="156" w:afterLines="50" w:line="30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本标准属于</w:t>
      </w:r>
      <w:r>
        <w:rPr>
          <w:rFonts w:hint="eastAsia" w:hAnsi="宋体"/>
          <w:lang w:val="en-US" w:eastAsia="zh-CN"/>
        </w:rPr>
        <w:t>高纯铅</w:t>
      </w:r>
      <w:r>
        <w:rPr>
          <w:rFonts w:hint="eastAsia" w:hAnsi="宋体"/>
        </w:rPr>
        <w:t>产品的配套化学分析方法标准，本标准与现行法律、法规和相关标准相协调、无冲突。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七、专利及涉及知识产权</w:t>
      </w:r>
    </w:p>
    <w:p>
      <w:pPr>
        <w:spacing w:before="156" w:beforeLines="50" w:after="156" w:afterLines="50" w:line="30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本文件起草过程中没有检索到专利和知识产权问题。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八、重大分歧意见的处理和依据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ab/>
      </w:r>
      <w:r>
        <w:rPr>
          <w:rFonts w:hint="eastAsia" w:ascii="黑体" w:hAnsi="宋体" w:eastAsia="黑体"/>
          <w:bCs/>
          <w:sz w:val="24"/>
        </w:rPr>
        <w:t>无。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九、标准作为强制性或推荐性国家（或行业）标准的建议</w:t>
      </w:r>
    </w:p>
    <w:p>
      <w:pPr>
        <w:pStyle w:val="122"/>
        <w:tabs>
          <w:tab w:val="center" w:pos="4201"/>
          <w:tab w:val="right" w:leader="dot" w:pos="9298"/>
        </w:tabs>
        <w:spacing w:line="300" w:lineRule="auto"/>
        <w:ind w:firstLine="420"/>
      </w:pPr>
      <w:r>
        <w:rPr>
          <w:rFonts w:hint="eastAsia"/>
        </w:rPr>
        <w:t>建议该标准为</w:t>
      </w:r>
      <w:r>
        <w:t>推荐</w:t>
      </w:r>
      <w:r>
        <w:rPr>
          <w:rFonts w:hint="eastAsia"/>
        </w:rPr>
        <w:t>性</w:t>
      </w:r>
      <w:r>
        <w:t>为</w:t>
      </w:r>
      <w:r>
        <w:rPr>
          <w:rFonts w:hint="eastAsia"/>
          <w:lang w:val="en-US" w:eastAsia="zh-CN"/>
        </w:rPr>
        <w:t>行业</w:t>
      </w:r>
      <w:r>
        <w:t>标准</w:t>
      </w:r>
      <w:r>
        <w:rPr>
          <w:rFonts w:hint="eastAsia"/>
        </w:rPr>
        <w:t>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十、贯彻标准的要求和措施建议</w:t>
      </w:r>
    </w:p>
    <w:p>
      <w:pPr>
        <w:spacing w:line="360" w:lineRule="auto"/>
        <w:ind w:firstLine="420" w:firstLineChars="200"/>
        <w:rPr>
          <w:rFonts w:ascii="黑体" w:eastAsia="黑体"/>
          <w:sz w:val="24"/>
        </w:rPr>
      </w:pPr>
      <w:r>
        <w:rPr>
          <w:rFonts w:hint="eastAsia" w:ascii="宋体" w:hAnsi="宋体"/>
          <w:kern w:val="0"/>
          <w:szCs w:val="20"/>
        </w:rPr>
        <w:t>由于</w:t>
      </w:r>
      <w:r>
        <w:rPr>
          <w:rFonts w:hint="eastAsia" w:ascii="宋体" w:hAnsi="宋体"/>
          <w:kern w:val="0"/>
          <w:szCs w:val="20"/>
          <w:lang w:val="en-US" w:eastAsia="zh-CN"/>
        </w:rPr>
        <w:t>铅</w:t>
      </w:r>
      <w:r>
        <w:rPr>
          <w:rFonts w:hint="eastAsia" w:ascii="宋体" w:hAnsi="宋体"/>
          <w:kern w:val="0"/>
          <w:szCs w:val="20"/>
        </w:rPr>
        <w:t>产品是国家战略新兴产业密切相关的</w:t>
      </w:r>
      <w:r>
        <w:rPr>
          <w:rFonts w:hint="eastAsia" w:ascii="宋体" w:hAnsi="宋体"/>
          <w:kern w:val="0"/>
          <w:szCs w:val="20"/>
          <w:lang w:val="en-US" w:eastAsia="zh-CN"/>
        </w:rPr>
        <w:t>高纯金属</w:t>
      </w:r>
      <w:r>
        <w:rPr>
          <w:rFonts w:hint="eastAsia" w:ascii="宋体" w:hAnsi="宋体"/>
          <w:kern w:val="0"/>
          <w:szCs w:val="20"/>
        </w:rPr>
        <w:t>，是很多军用和民用的高技术产品的原料，所以本标准的制定具有现实指导意义，建议</w:t>
      </w:r>
      <w:r>
        <w:rPr>
          <w:rFonts w:hint="eastAsia" w:ascii="宋体" w:hAnsi="宋体"/>
          <w:kern w:val="0"/>
          <w:szCs w:val="20"/>
          <w:lang w:val="en-US" w:eastAsia="zh-CN"/>
        </w:rPr>
        <w:t>铅</w:t>
      </w:r>
      <w:r>
        <w:rPr>
          <w:rFonts w:hint="eastAsia" w:ascii="宋体" w:hAnsi="宋体"/>
          <w:kern w:val="0"/>
          <w:szCs w:val="20"/>
        </w:rPr>
        <w:t>生产和应用的生产和使用单位积极组织本标准的学习与宣贯，可向企业、公司和科研院校（所）推荐本标准。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十一、废止现行有关标准的建议</w:t>
      </w:r>
    </w:p>
    <w:p>
      <w:pPr>
        <w:pStyle w:val="122"/>
        <w:ind w:firstLine="420"/>
      </w:pPr>
      <w:r>
        <w:rPr>
          <w:rFonts w:hint="eastAsia"/>
        </w:rPr>
        <w:t>本标准为</w:t>
      </w:r>
      <w:r>
        <w:rPr>
          <w:rFonts w:hint="eastAsia"/>
          <w:lang w:val="en-US" w:eastAsia="zh-CN"/>
        </w:rPr>
        <w:t>修订</w:t>
      </w:r>
      <w:r>
        <w:rPr>
          <w:rFonts w:hint="eastAsia"/>
        </w:rPr>
        <w:t>标准。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十二、其它应予说明的事项</w:t>
      </w:r>
    </w:p>
    <w:p>
      <w:pPr>
        <w:spacing w:line="360" w:lineRule="auto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无。</w:t>
      </w:r>
    </w:p>
    <w:p>
      <w:pPr>
        <w:spacing w:before="156" w:beforeLines="50" w:after="156" w:afterLines="50" w:line="300" w:lineRule="auto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十三、推广应用的预期效果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本标准是</w:t>
      </w:r>
      <w:r>
        <w:rPr>
          <w:rFonts w:hint="eastAsia" w:ascii="宋体" w:hAnsi="宋体"/>
          <w:kern w:val="0"/>
          <w:szCs w:val="20"/>
          <w:lang w:val="en-US" w:eastAsia="zh-CN"/>
        </w:rPr>
        <w:t>高纯铅</w:t>
      </w:r>
      <w:r>
        <w:rPr>
          <w:rFonts w:hint="eastAsia" w:ascii="宋体" w:hAnsi="宋体"/>
          <w:kern w:val="0"/>
          <w:szCs w:val="20"/>
        </w:rPr>
        <w:t>的痕量杂质元素含量的分析方法标准，对我国</w:t>
      </w:r>
      <w:r>
        <w:rPr>
          <w:rFonts w:hint="eastAsia" w:ascii="宋体" w:hAnsi="宋体"/>
          <w:kern w:val="0"/>
          <w:szCs w:val="20"/>
          <w:lang w:val="en-US" w:eastAsia="zh-CN"/>
        </w:rPr>
        <w:t>铅</w:t>
      </w:r>
      <w:r>
        <w:rPr>
          <w:rFonts w:hint="eastAsia" w:ascii="宋体" w:hAnsi="宋体"/>
          <w:kern w:val="0"/>
          <w:szCs w:val="20"/>
        </w:rPr>
        <w:t>产业的生产、贸易具有较强的指导作用，</w:t>
      </w:r>
      <w:r>
        <w:rPr>
          <w:rFonts w:hint="eastAsia" w:ascii="宋体" w:hAnsi="宋体"/>
          <w:kern w:val="0"/>
          <w:szCs w:val="20"/>
          <w:lang w:val="en-US" w:eastAsia="zh-CN"/>
        </w:rPr>
        <w:t>更新</w:t>
      </w:r>
      <w:r>
        <w:rPr>
          <w:rFonts w:hint="eastAsia" w:ascii="宋体" w:hAnsi="宋体"/>
          <w:kern w:val="0"/>
          <w:szCs w:val="20"/>
        </w:rPr>
        <w:t>了技术</w:t>
      </w:r>
      <w:r>
        <w:rPr>
          <w:rFonts w:hint="eastAsia" w:ascii="宋体" w:hAnsi="宋体"/>
          <w:kern w:val="0"/>
          <w:szCs w:val="20"/>
          <w:lang w:val="en-US" w:eastAsia="zh-CN"/>
        </w:rPr>
        <w:t>铅</w:t>
      </w:r>
      <w:r>
        <w:rPr>
          <w:rFonts w:hint="eastAsia" w:ascii="宋体" w:hAnsi="宋体"/>
          <w:kern w:val="0"/>
          <w:szCs w:val="20"/>
        </w:rPr>
        <w:t>分析方法，对于促进我国金属</w:t>
      </w:r>
      <w:r>
        <w:rPr>
          <w:rFonts w:hint="eastAsia" w:ascii="宋体" w:hAnsi="宋体"/>
          <w:kern w:val="0"/>
          <w:szCs w:val="20"/>
          <w:lang w:val="en-US" w:eastAsia="zh-CN"/>
        </w:rPr>
        <w:t>铅</w:t>
      </w:r>
      <w:r>
        <w:rPr>
          <w:rFonts w:hint="eastAsia" w:ascii="宋体" w:hAnsi="宋体"/>
          <w:kern w:val="0"/>
          <w:szCs w:val="20"/>
        </w:rPr>
        <w:t>产品的生产、贸易具有重要意义。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0"/>
        </w:rPr>
      </w:pPr>
    </w:p>
    <w:p>
      <w:pPr>
        <w:spacing w:line="360" w:lineRule="auto"/>
        <w:ind w:firstLine="420" w:firstLineChars="200"/>
        <w:rPr>
          <w:rFonts w:ascii="宋体" w:hAnsi="宋体"/>
          <w:kern w:val="0"/>
          <w:szCs w:val="20"/>
        </w:rPr>
      </w:pPr>
    </w:p>
    <w:p>
      <w:pPr>
        <w:spacing w:line="360" w:lineRule="auto"/>
        <w:ind w:firstLine="437"/>
        <w:jc w:val="right"/>
        <w:rPr>
          <w:szCs w:val="21"/>
        </w:rPr>
      </w:pPr>
      <w:r>
        <w:rPr>
          <w:szCs w:val="21"/>
        </w:rPr>
        <w:t xml:space="preserve">                                </w:t>
      </w:r>
    </w:p>
    <w:p>
      <w:pPr>
        <w:spacing w:line="360" w:lineRule="auto"/>
        <w:ind w:firstLine="420" w:firstLineChars="200"/>
        <w:jc w:val="right"/>
      </w:pPr>
      <w:r>
        <w:rPr>
          <w:szCs w:val="21"/>
        </w:rPr>
        <w:t xml:space="preserve">                                          </w:t>
      </w:r>
    </w:p>
    <w:p>
      <w:pPr>
        <w:widowControl/>
        <w:spacing w:line="300" w:lineRule="auto"/>
        <w:jc w:val="left"/>
        <w:rPr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kern w:val="0"/>
          <w:szCs w:val="21"/>
        </w:rPr>
      </w:pPr>
    </w:p>
    <w:p>
      <w:pPr>
        <w:widowControl/>
        <w:spacing w:line="300" w:lineRule="auto"/>
        <w:jc w:val="left"/>
        <w:rPr>
          <w:szCs w:val="21"/>
        </w:rPr>
      </w:pPr>
    </w:p>
    <w:sectPr>
      <w:footerReference r:id="rId5" w:type="default"/>
      <w:pgSz w:w="11906" w:h="16838"/>
      <w:pgMar w:top="1134" w:right="1077" w:bottom="1213" w:left="107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Y1+ZJcKpR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+ZJcKpR-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6344"/>
      <w:docPartObj>
        <w:docPartGallery w:val="autotext"/>
      </w:docPartObj>
    </w:sdtPr>
    <w:sdtContent>
      <w:p>
        <w:pPr>
          <w:pStyle w:val="55"/>
          <w:jc w:val="center"/>
        </w:pPr>
      </w:p>
    </w:sdtContent>
  </w:sdt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85C0F"/>
    <w:multiLevelType w:val="singleLevel"/>
    <w:tmpl w:val="A7D85C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wNDU2MTVjMzI0ZDFjNmExNWFhMDU2ZGQ2NDYxZDUifQ=="/>
  </w:docVars>
  <w:rsids>
    <w:rsidRoot w:val="00B623AB"/>
    <w:rsid w:val="000046B0"/>
    <w:rsid w:val="00006A40"/>
    <w:rsid w:val="00010180"/>
    <w:rsid w:val="00014853"/>
    <w:rsid w:val="0002096F"/>
    <w:rsid w:val="00024B42"/>
    <w:rsid w:val="00026D78"/>
    <w:rsid w:val="000332A6"/>
    <w:rsid w:val="00035035"/>
    <w:rsid w:val="00036C57"/>
    <w:rsid w:val="00046620"/>
    <w:rsid w:val="00061D34"/>
    <w:rsid w:val="00061D46"/>
    <w:rsid w:val="00062070"/>
    <w:rsid w:val="0006432D"/>
    <w:rsid w:val="0006477B"/>
    <w:rsid w:val="00073C3A"/>
    <w:rsid w:val="00081A9E"/>
    <w:rsid w:val="00083A57"/>
    <w:rsid w:val="000842C3"/>
    <w:rsid w:val="000A0C8C"/>
    <w:rsid w:val="000A0CA9"/>
    <w:rsid w:val="000A180E"/>
    <w:rsid w:val="000A1DCD"/>
    <w:rsid w:val="000A54AC"/>
    <w:rsid w:val="000B3127"/>
    <w:rsid w:val="000B605E"/>
    <w:rsid w:val="000C44B2"/>
    <w:rsid w:val="000D6334"/>
    <w:rsid w:val="000D7360"/>
    <w:rsid w:val="000E068C"/>
    <w:rsid w:val="000E7ED5"/>
    <w:rsid w:val="000E7EDF"/>
    <w:rsid w:val="000F3489"/>
    <w:rsid w:val="0010034F"/>
    <w:rsid w:val="00110508"/>
    <w:rsid w:val="00110D8C"/>
    <w:rsid w:val="00112CBC"/>
    <w:rsid w:val="0011570F"/>
    <w:rsid w:val="00116D8F"/>
    <w:rsid w:val="00122903"/>
    <w:rsid w:val="001241A8"/>
    <w:rsid w:val="001345DA"/>
    <w:rsid w:val="00134E2D"/>
    <w:rsid w:val="00135E64"/>
    <w:rsid w:val="00136064"/>
    <w:rsid w:val="00136E43"/>
    <w:rsid w:val="00137D4C"/>
    <w:rsid w:val="00152747"/>
    <w:rsid w:val="00156452"/>
    <w:rsid w:val="00171087"/>
    <w:rsid w:val="00176CA2"/>
    <w:rsid w:val="00181F19"/>
    <w:rsid w:val="00194EB2"/>
    <w:rsid w:val="001A02DA"/>
    <w:rsid w:val="001A0910"/>
    <w:rsid w:val="001A1A3D"/>
    <w:rsid w:val="001A78A3"/>
    <w:rsid w:val="001B5781"/>
    <w:rsid w:val="001C4AB5"/>
    <w:rsid w:val="001C7C1A"/>
    <w:rsid w:val="001D18F0"/>
    <w:rsid w:val="001D1A3E"/>
    <w:rsid w:val="001D24F0"/>
    <w:rsid w:val="001D57BC"/>
    <w:rsid w:val="001D783C"/>
    <w:rsid w:val="001E7268"/>
    <w:rsid w:val="001F4032"/>
    <w:rsid w:val="001F4370"/>
    <w:rsid w:val="001F5F9B"/>
    <w:rsid w:val="001F65ED"/>
    <w:rsid w:val="001F6B47"/>
    <w:rsid w:val="001F7DA6"/>
    <w:rsid w:val="0020225C"/>
    <w:rsid w:val="0021099A"/>
    <w:rsid w:val="0021153B"/>
    <w:rsid w:val="002119ED"/>
    <w:rsid w:val="002123C9"/>
    <w:rsid w:val="00220A49"/>
    <w:rsid w:val="0022213B"/>
    <w:rsid w:val="00222AF0"/>
    <w:rsid w:val="002246A5"/>
    <w:rsid w:val="002344C3"/>
    <w:rsid w:val="00237934"/>
    <w:rsid w:val="002408F8"/>
    <w:rsid w:val="00242023"/>
    <w:rsid w:val="00242AAA"/>
    <w:rsid w:val="00243777"/>
    <w:rsid w:val="00243F91"/>
    <w:rsid w:val="00245A31"/>
    <w:rsid w:val="002464C4"/>
    <w:rsid w:val="00252865"/>
    <w:rsid w:val="002569A0"/>
    <w:rsid w:val="00257050"/>
    <w:rsid w:val="0026034F"/>
    <w:rsid w:val="002634A5"/>
    <w:rsid w:val="00264880"/>
    <w:rsid w:val="002658D8"/>
    <w:rsid w:val="00270709"/>
    <w:rsid w:val="00276D32"/>
    <w:rsid w:val="00277FC2"/>
    <w:rsid w:val="00283872"/>
    <w:rsid w:val="002842F4"/>
    <w:rsid w:val="00292C1B"/>
    <w:rsid w:val="00294B68"/>
    <w:rsid w:val="00295954"/>
    <w:rsid w:val="002A6909"/>
    <w:rsid w:val="002B1448"/>
    <w:rsid w:val="002B1476"/>
    <w:rsid w:val="002B1E00"/>
    <w:rsid w:val="002B6D40"/>
    <w:rsid w:val="002B743A"/>
    <w:rsid w:val="002B7F73"/>
    <w:rsid w:val="002C5386"/>
    <w:rsid w:val="002C6032"/>
    <w:rsid w:val="002D4DC6"/>
    <w:rsid w:val="002D7674"/>
    <w:rsid w:val="002E0737"/>
    <w:rsid w:val="002E1898"/>
    <w:rsid w:val="002F3670"/>
    <w:rsid w:val="003017C7"/>
    <w:rsid w:val="00305AB4"/>
    <w:rsid w:val="003070AE"/>
    <w:rsid w:val="00311372"/>
    <w:rsid w:val="0031608B"/>
    <w:rsid w:val="00331DA0"/>
    <w:rsid w:val="003336E8"/>
    <w:rsid w:val="00333F1C"/>
    <w:rsid w:val="00336817"/>
    <w:rsid w:val="003371FA"/>
    <w:rsid w:val="00340092"/>
    <w:rsid w:val="003402ED"/>
    <w:rsid w:val="003406E3"/>
    <w:rsid w:val="003430B3"/>
    <w:rsid w:val="00363C9B"/>
    <w:rsid w:val="00370FF7"/>
    <w:rsid w:val="00372782"/>
    <w:rsid w:val="00376DAF"/>
    <w:rsid w:val="00376F19"/>
    <w:rsid w:val="00386212"/>
    <w:rsid w:val="003922C1"/>
    <w:rsid w:val="00392AC9"/>
    <w:rsid w:val="003939C9"/>
    <w:rsid w:val="0039640D"/>
    <w:rsid w:val="003B3203"/>
    <w:rsid w:val="003B7E75"/>
    <w:rsid w:val="003B7F17"/>
    <w:rsid w:val="003C25C6"/>
    <w:rsid w:val="003C5392"/>
    <w:rsid w:val="003C5F0B"/>
    <w:rsid w:val="003C7814"/>
    <w:rsid w:val="003D79E6"/>
    <w:rsid w:val="003E0A25"/>
    <w:rsid w:val="003E1178"/>
    <w:rsid w:val="003E2665"/>
    <w:rsid w:val="003E47D4"/>
    <w:rsid w:val="003E7121"/>
    <w:rsid w:val="003F03FD"/>
    <w:rsid w:val="003F34E7"/>
    <w:rsid w:val="003F5178"/>
    <w:rsid w:val="003F67B0"/>
    <w:rsid w:val="00400ED1"/>
    <w:rsid w:val="00402FE6"/>
    <w:rsid w:val="00404E31"/>
    <w:rsid w:val="00405AFC"/>
    <w:rsid w:val="00411827"/>
    <w:rsid w:val="00415749"/>
    <w:rsid w:val="004169D7"/>
    <w:rsid w:val="00424F60"/>
    <w:rsid w:val="00430590"/>
    <w:rsid w:val="0043072C"/>
    <w:rsid w:val="00433247"/>
    <w:rsid w:val="00437F04"/>
    <w:rsid w:val="00442581"/>
    <w:rsid w:val="0044747A"/>
    <w:rsid w:val="00480F24"/>
    <w:rsid w:val="00483671"/>
    <w:rsid w:val="004837ED"/>
    <w:rsid w:val="0048575A"/>
    <w:rsid w:val="00493E0A"/>
    <w:rsid w:val="0049424A"/>
    <w:rsid w:val="004961DA"/>
    <w:rsid w:val="004A2C5B"/>
    <w:rsid w:val="004A3A2A"/>
    <w:rsid w:val="004A513C"/>
    <w:rsid w:val="004B415A"/>
    <w:rsid w:val="004B41B0"/>
    <w:rsid w:val="004C144D"/>
    <w:rsid w:val="004C6DE0"/>
    <w:rsid w:val="004D1285"/>
    <w:rsid w:val="004E70D1"/>
    <w:rsid w:val="004F0AC8"/>
    <w:rsid w:val="004F59CD"/>
    <w:rsid w:val="00503416"/>
    <w:rsid w:val="00503CC1"/>
    <w:rsid w:val="005041BD"/>
    <w:rsid w:val="00505AB2"/>
    <w:rsid w:val="0050616B"/>
    <w:rsid w:val="00511935"/>
    <w:rsid w:val="00512455"/>
    <w:rsid w:val="005139E1"/>
    <w:rsid w:val="00514BE8"/>
    <w:rsid w:val="00515853"/>
    <w:rsid w:val="0051585A"/>
    <w:rsid w:val="005164FF"/>
    <w:rsid w:val="00526898"/>
    <w:rsid w:val="005275AB"/>
    <w:rsid w:val="00535E44"/>
    <w:rsid w:val="00540267"/>
    <w:rsid w:val="0054331E"/>
    <w:rsid w:val="005469A5"/>
    <w:rsid w:val="005475AF"/>
    <w:rsid w:val="00551151"/>
    <w:rsid w:val="00554A02"/>
    <w:rsid w:val="00561BAB"/>
    <w:rsid w:val="0056535D"/>
    <w:rsid w:val="005671B8"/>
    <w:rsid w:val="005731B4"/>
    <w:rsid w:val="00573F64"/>
    <w:rsid w:val="00590DF2"/>
    <w:rsid w:val="00591B99"/>
    <w:rsid w:val="00592A0B"/>
    <w:rsid w:val="00595C2D"/>
    <w:rsid w:val="005B16F8"/>
    <w:rsid w:val="005B2B1D"/>
    <w:rsid w:val="005B3B2F"/>
    <w:rsid w:val="005B4F50"/>
    <w:rsid w:val="005C04B7"/>
    <w:rsid w:val="005C0D74"/>
    <w:rsid w:val="005C206B"/>
    <w:rsid w:val="005C2AE2"/>
    <w:rsid w:val="005C6623"/>
    <w:rsid w:val="005C6E0A"/>
    <w:rsid w:val="005D255E"/>
    <w:rsid w:val="005D2979"/>
    <w:rsid w:val="005D5B2C"/>
    <w:rsid w:val="005D7867"/>
    <w:rsid w:val="005E030E"/>
    <w:rsid w:val="005E2C35"/>
    <w:rsid w:val="005E48F0"/>
    <w:rsid w:val="005E578E"/>
    <w:rsid w:val="00604AFC"/>
    <w:rsid w:val="00607C62"/>
    <w:rsid w:val="00607F6D"/>
    <w:rsid w:val="00610273"/>
    <w:rsid w:val="00613007"/>
    <w:rsid w:val="006162B7"/>
    <w:rsid w:val="006216DA"/>
    <w:rsid w:val="006237B0"/>
    <w:rsid w:val="0063380C"/>
    <w:rsid w:val="0063508A"/>
    <w:rsid w:val="006437BE"/>
    <w:rsid w:val="00645CDE"/>
    <w:rsid w:val="00653DEA"/>
    <w:rsid w:val="006555BA"/>
    <w:rsid w:val="006619E4"/>
    <w:rsid w:val="0066318E"/>
    <w:rsid w:val="00666745"/>
    <w:rsid w:val="00673F33"/>
    <w:rsid w:val="00674D40"/>
    <w:rsid w:val="006773F1"/>
    <w:rsid w:val="00677B56"/>
    <w:rsid w:val="006815E1"/>
    <w:rsid w:val="00685707"/>
    <w:rsid w:val="006905BF"/>
    <w:rsid w:val="006A070E"/>
    <w:rsid w:val="006A6B27"/>
    <w:rsid w:val="006A71CE"/>
    <w:rsid w:val="006C194E"/>
    <w:rsid w:val="006C26B4"/>
    <w:rsid w:val="006C3F70"/>
    <w:rsid w:val="006D0BE5"/>
    <w:rsid w:val="006D1A4B"/>
    <w:rsid w:val="006D24FD"/>
    <w:rsid w:val="006D251E"/>
    <w:rsid w:val="006D253F"/>
    <w:rsid w:val="006D34A7"/>
    <w:rsid w:val="006D42C7"/>
    <w:rsid w:val="006D4A00"/>
    <w:rsid w:val="006D7755"/>
    <w:rsid w:val="006D7CDB"/>
    <w:rsid w:val="006E02B1"/>
    <w:rsid w:val="006E059D"/>
    <w:rsid w:val="006E1891"/>
    <w:rsid w:val="006E2ACE"/>
    <w:rsid w:val="006E7C18"/>
    <w:rsid w:val="006F17C9"/>
    <w:rsid w:val="00700E3B"/>
    <w:rsid w:val="007011A5"/>
    <w:rsid w:val="00704897"/>
    <w:rsid w:val="00712513"/>
    <w:rsid w:val="00713AC2"/>
    <w:rsid w:val="00714E18"/>
    <w:rsid w:val="00716A87"/>
    <w:rsid w:val="0071761A"/>
    <w:rsid w:val="00717801"/>
    <w:rsid w:val="00723AF6"/>
    <w:rsid w:val="00723B32"/>
    <w:rsid w:val="00723CFC"/>
    <w:rsid w:val="007255D5"/>
    <w:rsid w:val="00726914"/>
    <w:rsid w:val="00726C2F"/>
    <w:rsid w:val="00727AB4"/>
    <w:rsid w:val="007415D6"/>
    <w:rsid w:val="007436BB"/>
    <w:rsid w:val="00746EF3"/>
    <w:rsid w:val="00747E57"/>
    <w:rsid w:val="00750CFC"/>
    <w:rsid w:val="00752FB4"/>
    <w:rsid w:val="00764446"/>
    <w:rsid w:val="0077459D"/>
    <w:rsid w:val="00790EBF"/>
    <w:rsid w:val="007967ED"/>
    <w:rsid w:val="00796FFE"/>
    <w:rsid w:val="007A16E2"/>
    <w:rsid w:val="007A3FC1"/>
    <w:rsid w:val="007A632B"/>
    <w:rsid w:val="007B1B7D"/>
    <w:rsid w:val="007B5DB0"/>
    <w:rsid w:val="007B688D"/>
    <w:rsid w:val="007B7D0F"/>
    <w:rsid w:val="007C2A43"/>
    <w:rsid w:val="007C35DE"/>
    <w:rsid w:val="007C3F89"/>
    <w:rsid w:val="007D27BC"/>
    <w:rsid w:val="007D75D0"/>
    <w:rsid w:val="007E17FF"/>
    <w:rsid w:val="007E2137"/>
    <w:rsid w:val="007E5723"/>
    <w:rsid w:val="007E5B7A"/>
    <w:rsid w:val="007F335B"/>
    <w:rsid w:val="00801948"/>
    <w:rsid w:val="008036B5"/>
    <w:rsid w:val="008043CF"/>
    <w:rsid w:val="008130E4"/>
    <w:rsid w:val="008148E9"/>
    <w:rsid w:val="00822777"/>
    <w:rsid w:val="00825D21"/>
    <w:rsid w:val="0083190B"/>
    <w:rsid w:val="00835BDA"/>
    <w:rsid w:val="008459EE"/>
    <w:rsid w:val="0084647D"/>
    <w:rsid w:val="00854C07"/>
    <w:rsid w:val="00870EA3"/>
    <w:rsid w:val="00880BF7"/>
    <w:rsid w:val="00881B81"/>
    <w:rsid w:val="00896729"/>
    <w:rsid w:val="008A2A0B"/>
    <w:rsid w:val="008A3C8F"/>
    <w:rsid w:val="008A3FF9"/>
    <w:rsid w:val="008A4E27"/>
    <w:rsid w:val="008B6805"/>
    <w:rsid w:val="008C306D"/>
    <w:rsid w:val="008C6A2D"/>
    <w:rsid w:val="008C73F2"/>
    <w:rsid w:val="008C754F"/>
    <w:rsid w:val="008D3F5C"/>
    <w:rsid w:val="008D4991"/>
    <w:rsid w:val="008E1C30"/>
    <w:rsid w:val="008E22B8"/>
    <w:rsid w:val="008E2B02"/>
    <w:rsid w:val="008F2540"/>
    <w:rsid w:val="008F58FF"/>
    <w:rsid w:val="00913D1B"/>
    <w:rsid w:val="0091772E"/>
    <w:rsid w:val="0092194B"/>
    <w:rsid w:val="009227CD"/>
    <w:rsid w:val="009254EF"/>
    <w:rsid w:val="009256A5"/>
    <w:rsid w:val="00927C5A"/>
    <w:rsid w:val="009322D7"/>
    <w:rsid w:val="00937C2A"/>
    <w:rsid w:val="009514E6"/>
    <w:rsid w:val="00952E60"/>
    <w:rsid w:val="00954F1C"/>
    <w:rsid w:val="009579E5"/>
    <w:rsid w:val="0096152F"/>
    <w:rsid w:val="00964A13"/>
    <w:rsid w:val="00964B12"/>
    <w:rsid w:val="00974F87"/>
    <w:rsid w:val="00977009"/>
    <w:rsid w:val="00977426"/>
    <w:rsid w:val="0098380E"/>
    <w:rsid w:val="00983DA9"/>
    <w:rsid w:val="00984BB9"/>
    <w:rsid w:val="009855CE"/>
    <w:rsid w:val="00987010"/>
    <w:rsid w:val="00990368"/>
    <w:rsid w:val="00991880"/>
    <w:rsid w:val="00996ADD"/>
    <w:rsid w:val="00996CD4"/>
    <w:rsid w:val="009A2C15"/>
    <w:rsid w:val="009A48B0"/>
    <w:rsid w:val="009B2597"/>
    <w:rsid w:val="009B2744"/>
    <w:rsid w:val="009C5117"/>
    <w:rsid w:val="009C76E1"/>
    <w:rsid w:val="009D2729"/>
    <w:rsid w:val="009E3323"/>
    <w:rsid w:val="009E4222"/>
    <w:rsid w:val="009E437C"/>
    <w:rsid w:val="009E47AE"/>
    <w:rsid w:val="009E4EC4"/>
    <w:rsid w:val="009E532E"/>
    <w:rsid w:val="009E7658"/>
    <w:rsid w:val="009F479E"/>
    <w:rsid w:val="00A01650"/>
    <w:rsid w:val="00A0169F"/>
    <w:rsid w:val="00A02009"/>
    <w:rsid w:val="00A042AD"/>
    <w:rsid w:val="00A1283A"/>
    <w:rsid w:val="00A12D11"/>
    <w:rsid w:val="00A17980"/>
    <w:rsid w:val="00A248DD"/>
    <w:rsid w:val="00A25709"/>
    <w:rsid w:val="00A33A0E"/>
    <w:rsid w:val="00A34DF3"/>
    <w:rsid w:val="00A40CF0"/>
    <w:rsid w:val="00A4164F"/>
    <w:rsid w:val="00A41EFF"/>
    <w:rsid w:val="00A44F99"/>
    <w:rsid w:val="00A4553D"/>
    <w:rsid w:val="00A46447"/>
    <w:rsid w:val="00A46810"/>
    <w:rsid w:val="00A468C1"/>
    <w:rsid w:val="00A551AC"/>
    <w:rsid w:val="00A56CCD"/>
    <w:rsid w:val="00A60FC6"/>
    <w:rsid w:val="00A66175"/>
    <w:rsid w:val="00A72A11"/>
    <w:rsid w:val="00A73569"/>
    <w:rsid w:val="00A77438"/>
    <w:rsid w:val="00A7773A"/>
    <w:rsid w:val="00A77C1A"/>
    <w:rsid w:val="00A8120B"/>
    <w:rsid w:val="00A82F63"/>
    <w:rsid w:val="00A847A8"/>
    <w:rsid w:val="00A84C6B"/>
    <w:rsid w:val="00AA2645"/>
    <w:rsid w:val="00AA265A"/>
    <w:rsid w:val="00AA540B"/>
    <w:rsid w:val="00AB10A7"/>
    <w:rsid w:val="00AB640E"/>
    <w:rsid w:val="00AC1627"/>
    <w:rsid w:val="00AC475D"/>
    <w:rsid w:val="00AC5F01"/>
    <w:rsid w:val="00AD0DDB"/>
    <w:rsid w:val="00AD2E9B"/>
    <w:rsid w:val="00AD42E6"/>
    <w:rsid w:val="00AE3993"/>
    <w:rsid w:val="00AE7126"/>
    <w:rsid w:val="00AE728B"/>
    <w:rsid w:val="00AF4851"/>
    <w:rsid w:val="00B01873"/>
    <w:rsid w:val="00B01E95"/>
    <w:rsid w:val="00B072E8"/>
    <w:rsid w:val="00B13F4A"/>
    <w:rsid w:val="00B1517C"/>
    <w:rsid w:val="00B154A8"/>
    <w:rsid w:val="00B25B50"/>
    <w:rsid w:val="00B269C0"/>
    <w:rsid w:val="00B27EB5"/>
    <w:rsid w:val="00B33660"/>
    <w:rsid w:val="00B3625D"/>
    <w:rsid w:val="00B4737D"/>
    <w:rsid w:val="00B508A5"/>
    <w:rsid w:val="00B510D2"/>
    <w:rsid w:val="00B54159"/>
    <w:rsid w:val="00B5610F"/>
    <w:rsid w:val="00B563D6"/>
    <w:rsid w:val="00B57954"/>
    <w:rsid w:val="00B60049"/>
    <w:rsid w:val="00B62071"/>
    <w:rsid w:val="00B623AB"/>
    <w:rsid w:val="00B6433D"/>
    <w:rsid w:val="00B66F49"/>
    <w:rsid w:val="00B6789F"/>
    <w:rsid w:val="00B73279"/>
    <w:rsid w:val="00B774DF"/>
    <w:rsid w:val="00B77D4E"/>
    <w:rsid w:val="00B80904"/>
    <w:rsid w:val="00B84471"/>
    <w:rsid w:val="00B853E0"/>
    <w:rsid w:val="00B860E9"/>
    <w:rsid w:val="00B86346"/>
    <w:rsid w:val="00B86C55"/>
    <w:rsid w:val="00B879D0"/>
    <w:rsid w:val="00B917FC"/>
    <w:rsid w:val="00B974DF"/>
    <w:rsid w:val="00BA16C8"/>
    <w:rsid w:val="00BA17DA"/>
    <w:rsid w:val="00BB29B0"/>
    <w:rsid w:val="00BB5995"/>
    <w:rsid w:val="00BB6830"/>
    <w:rsid w:val="00BB7322"/>
    <w:rsid w:val="00BC677B"/>
    <w:rsid w:val="00BC7247"/>
    <w:rsid w:val="00BD3E12"/>
    <w:rsid w:val="00BE7122"/>
    <w:rsid w:val="00BF013A"/>
    <w:rsid w:val="00BF1244"/>
    <w:rsid w:val="00BF592D"/>
    <w:rsid w:val="00C027EA"/>
    <w:rsid w:val="00C16FCF"/>
    <w:rsid w:val="00C17DCE"/>
    <w:rsid w:val="00C22C6B"/>
    <w:rsid w:val="00C24CA2"/>
    <w:rsid w:val="00C2763A"/>
    <w:rsid w:val="00C33B55"/>
    <w:rsid w:val="00C35270"/>
    <w:rsid w:val="00C417FC"/>
    <w:rsid w:val="00C57571"/>
    <w:rsid w:val="00C57F39"/>
    <w:rsid w:val="00C63201"/>
    <w:rsid w:val="00C659BF"/>
    <w:rsid w:val="00C65B29"/>
    <w:rsid w:val="00C66710"/>
    <w:rsid w:val="00C76B98"/>
    <w:rsid w:val="00C831AB"/>
    <w:rsid w:val="00C85A32"/>
    <w:rsid w:val="00C95A3F"/>
    <w:rsid w:val="00C96A7D"/>
    <w:rsid w:val="00CA383D"/>
    <w:rsid w:val="00CA3E13"/>
    <w:rsid w:val="00CA42AC"/>
    <w:rsid w:val="00CA454A"/>
    <w:rsid w:val="00CA74C6"/>
    <w:rsid w:val="00CB10E8"/>
    <w:rsid w:val="00CB39F2"/>
    <w:rsid w:val="00CB7BE6"/>
    <w:rsid w:val="00CC57B8"/>
    <w:rsid w:val="00CC7D45"/>
    <w:rsid w:val="00CD25A3"/>
    <w:rsid w:val="00CD4D8F"/>
    <w:rsid w:val="00CD6CCF"/>
    <w:rsid w:val="00CE4947"/>
    <w:rsid w:val="00CE4D8F"/>
    <w:rsid w:val="00CE51DF"/>
    <w:rsid w:val="00CE7929"/>
    <w:rsid w:val="00CF14FE"/>
    <w:rsid w:val="00CF423F"/>
    <w:rsid w:val="00CF66E5"/>
    <w:rsid w:val="00D00049"/>
    <w:rsid w:val="00D0344B"/>
    <w:rsid w:val="00D053A8"/>
    <w:rsid w:val="00D10123"/>
    <w:rsid w:val="00D23C7C"/>
    <w:rsid w:val="00D2514B"/>
    <w:rsid w:val="00D3293E"/>
    <w:rsid w:val="00D364E8"/>
    <w:rsid w:val="00D37E79"/>
    <w:rsid w:val="00D5684E"/>
    <w:rsid w:val="00D60CF1"/>
    <w:rsid w:val="00D61D4E"/>
    <w:rsid w:val="00D627A0"/>
    <w:rsid w:val="00D62BBB"/>
    <w:rsid w:val="00D63D6E"/>
    <w:rsid w:val="00D64543"/>
    <w:rsid w:val="00D66FE0"/>
    <w:rsid w:val="00D77C0E"/>
    <w:rsid w:val="00D81811"/>
    <w:rsid w:val="00D81A5C"/>
    <w:rsid w:val="00D979B0"/>
    <w:rsid w:val="00DA0918"/>
    <w:rsid w:val="00DA2967"/>
    <w:rsid w:val="00DA43A9"/>
    <w:rsid w:val="00DA4676"/>
    <w:rsid w:val="00DA582E"/>
    <w:rsid w:val="00DB7A94"/>
    <w:rsid w:val="00DC60EE"/>
    <w:rsid w:val="00DD70C1"/>
    <w:rsid w:val="00DE2AFA"/>
    <w:rsid w:val="00DE68A7"/>
    <w:rsid w:val="00DE6BD9"/>
    <w:rsid w:val="00DF4E97"/>
    <w:rsid w:val="00E01E44"/>
    <w:rsid w:val="00E06F2D"/>
    <w:rsid w:val="00E12BC5"/>
    <w:rsid w:val="00E16860"/>
    <w:rsid w:val="00E16B6F"/>
    <w:rsid w:val="00E172AB"/>
    <w:rsid w:val="00E17AC3"/>
    <w:rsid w:val="00E203A5"/>
    <w:rsid w:val="00E22DE0"/>
    <w:rsid w:val="00E23F95"/>
    <w:rsid w:val="00E27E4C"/>
    <w:rsid w:val="00E3074A"/>
    <w:rsid w:val="00E338F5"/>
    <w:rsid w:val="00E340A6"/>
    <w:rsid w:val="00E42974"/>
    <w:rsid w:val="00E45521"/>
    <w:rsid w:val="00E50610"/>
    <w:rsid w:val="00E50944"/>
    <w:rsid w:val="00E51658"/>
    <w:rsid w:val="00E51966"/>
    <w:rsid w:val="00E5542E"/>
    <w:rsid w:val="00E73FAC"/>
    <w:rsid w:val="00E75019"/>
    <w:rsid w:val="00E9155A"/>
    <w:rsid w:val="00E917F2"/>
    <w:rsid w:val="00E966A3"/>
    <w:rsid w:val="00E97A93"/>
    <w:rsid w:val="00EA545B"/>
    <w:rsid w:val="00EA5E1E"/>
    <w:rsid w:val="00EA7123"/>
    <w:rsid w:val="00EB4EEB"/>
    <w:rsid w:val="00EB6C07"/>
    <w:rsid w:val="00EC2BC3"/>
    <w:rsid w:val="00EC3811"/>
    <w:rsid w:val="00EC4C53"/>
    <w:rsid w:val="00EC6F1C"/>
    <w:rsid w:val="00ED0334"/>
    <w:rsid w:val="00ED4979"/>
    <w:rsid w:val="00EE207A"/>
    <w:rsid w:val="00EE32C3"/>
    <w:rsid w:val="00EE37FC"/>
    <w:rsid w:val="00EE4D8B"/>
    <w:rsid w:val="00EE7CB8"/>
    <w:rsid w:val="00EF1FFC"/>
    <w:rsid w:val="00EF6149"/>
    <w:rsid w:val="00F04B73"/>
    <w:rsid w:val="00F10BF7"/>
    <w:rsid w:val="00F115A4"/>
    <w:rsid w:val="00F16864"/>
    <w:rsid w:val="00F173C9"/>
    <w:rsid w:val="00F2098A"/>
    <w:rsid w:val="00F23F17"/>
    <w:rsid w:val="00F25D6D"/>
    <w:rsid w:val="00F26C05"/>
    <w:rsid w:val="00F355C3"/>
    <w:rsid w:val="00F35782"/>
    <w:rsid w:val="00F40404"/>
    <w:rsid w:val="00F439DA"/>
    <w:rsid w:val="00F46975"/>
    <w:rsid w:val="00F51D56"/>
    <w:rsid w:val="00F525E0"/>
    <w:rsid w:val="00F56A99"/>
    <w:rsid w:val="00F63F99"/>
    <w:rsid w:val="00F64BF1"/>
    <w:rsid w:val="00F65E63"/>
    <w:rsid w:val="00F73967"/>
    <w:rsid w:val="00F82451"/>
    <w:rsid w:val="00F83590"/>
    <w:rsid w:val="00F85B7E"/>
    <w:rsid w:val="00F86BC9"/>
    <w:rsid w:val="00F87499"/>
    <w:rsid w:val="00F87729"/>
    <w:rsid w:val="00F92A5D"/>
    <w:rsid w:val="00F93070"/>
    <w:rsid w:val="00FA2949"/>
    <w:rsid w:val="00FA3AD1"/>
    <w:rsid w:val="00FB7CDE"/>
    <w:rsid w:val="00FC1558"/>
    <w:rsid w:val="00FC45AC"/>
    <w:rsid w:val="00FC4C72"/>
    <w:rsid w:val="00FD01B2"/>
    <w:rsid w:val="00FD1EA7"/>
    <w:rsid w:val="00FD27A1"/>
    <w:rsid w:val="00FD684E"/>
    <w:rsid w:val="00FE3922"/>
    <w:rsid w:val="00FE6B87"/>
    <w:rsid w:val="00FF595B"/>
    <w:rsid w:val="00FF7B8D"/>
    <w:rsid w:val="01570DC9"/>
    <w:rsid w:val="1AEC6857"/>
    <w:rsid w:val="4D6B3488"/>
    <w:rsid w:val="4D710D8B"/>
    <w:rsid w:val="57806D34"/>
    <w:rsid w:val="5E2751A9"/>
    <w:rsid w:val="66D032CA"/>
    <w:rsid w:val="731D0259"/>
    <w:rsid w:val="7CE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1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12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13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14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115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16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17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List Number 2"/>
    <w:basedOn w:val="1"/>
    <w:autoRedefine/>
    <w:qFormat/>
    <w:uiPriority w:val="0"/>
    <w:pPr>
      <w:tabs>
        <w:tab w:val="left" w:pos="675"/>
        <w:tab w:val="left" w:pos="780"/>
      </w:tabs>
      <w:ind w:left="675" w:hanging="360"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67"/>
    <w:autoRedefine/>
    <w:qFormat/>
    <w:uiPriority w:val="0"/>
    <w:pPr>
      <w:jc w:val="center"/>
    </w:pPr>
  </w:style>
  <w:style w:type="paragraph" w:styleId="17">
    <w:name w:val="List Bullet 4"/>
    <w:basedOn w:val="1"/>
    <w:autoRedefine/>
    <w:qFormat/>
    <w:uiPriority w:val="0"/>
    <w:pPr>
      <w:tabs>
        <w:tab w:val="left" w:pos="750"/>
        <w:tab w:val="left" w:pos="1620"/>
      </w:tabs>
      <w:ind w:left="750" w:hanging="750"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19">
    <w:name w:val="E-mail Signature"/>
    <w:basedOn w:val="1"/>
    <w:link w:val="164"/>
    <w:autoRedefine/>
    <w:qFormat/>
    <w:uiPriority w:val="0"/>
  </w:style>
  <w:style w:type="paragraph" w:styleId="20">
    <w:name w:val="List Number"/>
    <w:basedOn w:val="1"/>
    <w:autoRedefine/>
    <w:qFormat/>
    <w:uiPriority w:val="0"/>
    <w:pPr>
      <w:tabs>
        <w:tab w:val="left" w:pos="360"/>
        <w:tab w:val="left" w:pos="720"/>
      </w:tabs>
      <w:ind w:left="720" w:hanging="720"/>
    </w:pPr>
  </w:style>
  <w:style w:type="paragraph" w:styleId="21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qFormat/>
    <w:uiPriority w:val="0"/>
    <w:pPr>
      <w:jc w:val="center"/>
    </w:pPr>
    <w:rPr>
      <w:rFonts w:ascii="Arial" w:hAnsi="Arial" w:eastAsia="黑体" w:cs="Arial"/>
      <w:sz w:val="24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/>
    </w:pPr>
  </w:style>
  <w:style w:type="paragraph" w:styleId="24">
    <w:name w:val="List Bullet"/>
    <w:basedOn w:val="1"/>
    <w:uiPriority w:val="0"/>
    <w:pPr>
      <w:tabs>
        <w:tab w:val="left" w:pos="360"/>
        <w:tab w:val="left" w:pos="720"/>
      </w:tabs>
      <w:ind w:left="720" w:hanging="720"/>
    </w:pPr>
  </w:style>
  <w:style w:type="paragraph" w:styleId="25">
    <w:name w:val="envelope address"/>
    <w:basedOn w:val="1"/>
    <w:autoRedefine/>
    <w:qFormat/>
    <w:uiPriority w:val="0"/>
    <w:pPr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link w:val="160"/>
    <w:autoRedefine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28">
    <w:name w:val="annotation text"/>
    <w:basedOn w:val="1"/>
    <w:link w:val="123"/>
    <w:autoRedefine/>
    <w:unhideWhenUsed/>
    <w:qFormat/>
    <w:uiPriority w:val="0"/>
    <w:pPr>
      <w:jc w:val="left"/>
    </w:pPr>
    <w:rPr>
      <w:szCs w:val="21"/>
    </w:rPr>
  </w:style>
  <w:style w:type="paragraph" w:styleId="29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69"/>
    <w:autoRedefine/>
    <w:uiPriority w:val="0"/>
  </w:style>
  <w:style w:type="paragraph" w:styleId="31">
    <w:name w:val="Body Text 3"/>
    <w:basedOn w:val="1"/>
    <w:link w:val="161"/>
    <w:autoRedefine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71"/>
    <w:autoRedefine/>
    <w:qFormat/>
    <w:uiPriority w:val="0"/>
    <w:pPr>
      <w:ind w:left="100" w:leftChars="2100"/>
    </w:pPr>
  </w:style>
  <w:style w:type="paragraph" w:styleId="33">
    <w:name w:val="List Bullet 3"/>
    <w:basedOn w:val="1"/>
    <w:uiPriority w:val="0"/>
    <w:pPr>
      <w:tabs>
        <w:tab w:val="left" w:pos="480"/>
        <w:tab w:val="left" w:pos="1200"/>
      </w:tabs>
      <w:ind w:left="480" w:hanging="480"/>
    </w:pPr>
  </w:style>
  <w:style w:type="paragraph" w:styleId="34">
    <w:name w:val="Body Text"/>
    <w:basedOn w:val="1"/>
    <w:link w:val="156"/>
    <w:autoRedefine/>
    <w:qFormat/>
    <w:uiPriority w:val="0"/>
    <w:pPr>
      <w:spacing w:after="120"/>
    </w:pPr>
  </w:style>
  <w:style w:type="paragraph" w:styleId="35">
    <w:name w:val="Body Text Indent"/>
    <w:basedOn w:val="1"/>
    <w:link w:val="158"/>
    <w:autoRedefine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qFormat/>
    <w:uiPriority w:val="0"/>
    <w:pPr>
      <w:tabs>
        <w:tab w:val="left" w:pos="360"/>
        <w:tab w:val="left" w:pos="1200"/>
      </w:tabs>
      <w:ind w:left="360" w:hanging="360"/>
    </w:p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qFormat/>
    <w:uiPriority w:val="0"/>
    <w:pPr>
      <w:tabs>
        <w:tab w:val="left" w:pos="720"/>
        <w:tab w:val="left" w:pos="780"/>
      </w:tabs>
      <w:ind w:left="720" w:hanging="360"/>
    </w:pPr>
  </w:style>
  <w:style w:type="paragraph" w:styleId="41">
    <w:name w:val="HTML Address"/>
    <w:basedOn w:val="1"/>
    <w:link w:val="162"/>
    <w:autoRedefine/>
    <w:qFormat/>
    <w:uiPriority w:val="0"/>
    <w:rPr>
      <w:i/>
      <w:iCs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qFormat/>
    <w:uiPriority w:val="0"/>
    <w:pPr>
      <w:tabs>
        <w:tab w:val="right" w:leader="dot" w:pos="8296"/>
      </w:tabs>
      <w:spacing w:line="312" w:lineRule="auto"/>
      <w:ind w:left="400" w:leftChars="400"/>
    </w:pPr>
    <w:rPr>
      <w:sz w:val="24"/>
    </w:rPr>
  </w:style>
  <w:style w:type="paragraph" w:styleId="45">
    <w:name w:val="Plain Text"/>
    <w:basedOn w:val="1"/>
    <w:link w:val="134"/>
    <w:autoRedefine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autoRedefine/>
    <w:qFormat/>
    <w:uiPriority w:val="0"/>
    <w:pPr>
      <w:tabs>
        <w:tab w:val="left" w:pos="840"/>
        <w:tab w:val="left" w:pos="2040"/>
      </w:tabs>
      <w:ind w:left="840" w:hanging="420"/>
    </w:pPr>
  </w:style>
  <w:style w:type="paragraph" w:styleId="47">
    <w:name w:val="List Number 4"/>
    <w:basedOn w:val="1"/>
    <w:qFormat/>
    <w:uiPriority w:val="0"/>
    <w:pPr>
      <w:tabs>
        <w:tab w:val="left" w:pos="960"/>
        <w:tab w:val="left" w:pos="1620"/>
      </w:tabs>
      <w:ind w:left="960" w:hanging="720"/>
    </w:pPr>
  </w:style>
  <w:style w:type="paragraph" w:styleId="48">
    <w:name w:val="toc 8"/>
    <w:basedOn w:val="1"/>
    <w:next w:val="1"/>
    <w:autoRedefine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132"/>
    <w:autoRedefine/>
    <w:qFormat/>
    <w:uiPriority w:val="0"/>
    <w:pPr>
      <w:ind w:left="100" w:leftChars="2500"/>
    </w:pPr>
  </w:style>
  <w:style w:type="paragraph" w:styleId="51">
    <w:name w:val="Body Text Indent 2"/>
    <w:basedOn w:val="1"/>
    <w:link w:val="172"/>
    <w:autoRedefine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70"/>
    <w:autoRedefine/>
    <w:qFormat/>
    <w:uiPriority w:val="0"/>
    <w:pPr>
      <w:snapToGrid w:val="0"/>
      <w:jc w:val="left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link w:val="136"/>
    <w:autoRedefine/>
    <w:qFormat/>
    <w:uiPriority w:val="0"/>
    <w:rPr>
      <w:sz w:val="18"/>
      <w:szCs w:val="18"/>
    </w:rPr>
  </w:style>
  <w:style w:type="paragraph" w:styleId="55">
    <w:name w:val="footer"/>
    <w:basedOn w:val="1"/>
    <w:link w:val="1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link w:val="12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8">
    <w:name w:val="Signature"/>
    <w:basedOn w:val="1"/>
    <w:link w:val="165"/>
    <w:autoRedefine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qFormat/>
    <w:uiPriority w:val="0"/>
    <w:pPr>
      <w:tabs>
        <w:tab w:val="right" w:leader="dot" w:pos="8296"/>
      </w:tabs>
      <w:spacing w:line="312" w:lineRule="auto"/>
    </w:pPr>
    <w:rPr>
      <w:sz w:val="24"/>
    </w:rPr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autoRedefine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autoRedefine/>
    <w:qFormat/>
    <w:uiPriority w:val="0"/>
  </w:style>
  <w:style w:type="paragraph" w:styleId="64">
    <w:name w:val="Subtitle"/>
    <w:basedOn w:val="1"/>
    <w:link w:val="173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autoRedefine/>
    <w:qFormat/>
    <w:uiPriority w:val="0"/>
    <w:pPr>
      <w:tabs>
        <w:tab w:val="left" w:pos="2040"/>
      </w:tabs>
    </w:pPr>
  </w:style>
  <w:style w:type="paragraph" w:styleId="66">
    <w:name w:val="List"/>
    <w:basedOn w:val="1"/>
    <w:autoRedefine/>
    <w:qFormat/>
    <w:uiPriority w:val="0"/>
    <w:pPr>
      <w:ind w:left="200" w:hanging="200" w:hangingChars="200"/>
    </w:pPr>
  </w:style>
  <w:style w:type="paragraph" w:styleId="67">
    <w:name w:val="footnote text"/>
    <w:basedOn w:val="1"/>
    <w:link w:val="166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autoRedefine/>
    <w:qFormat/>
    <w:uiPriority w:val="0"/>
    <w:pPr>
      <w:ind w:left="2100" w:leftChars="1000"/>
    </w:pPr>
  </w:style>
  <w:style w:type="paragraph" w:styleId="69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link w:val="163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autoRedefine/>
    <w:qFormat/>
    <w:uiPriority w:val="0"/>
    <w:pPr>
      <w:tabs>
        <w:tab w:val="right" w:leader="dot" w:pos="8296"/>
      </w:tabs>
      <w:spacing w:line="312" w:lineRule="auto"/>
      <w:ind w:left="420" w:leftChars="200"/>
    </w:pPr>
    <w:rPr>
      <w:sz w:val="24"/>
    </w:r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</w:style>
  <w:style w:type="paragraph" w:styleId="76">
    <w:name w:val="Body Text 2"/>
    <w:basedOn w:val="1"/>
    <w:link w:val="168"/>
    <w:autoRedefine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link w:val="174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link w:val="133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1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/>
    </w:pPr>
  </w:style>
  <w:style w:type="paragraph" w:styleId="84">
    <w:name w:val="Title"/>
    <w:basedOn w:val="1"/>
    <w:link w:val="128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35"/>
    <w:autoRedefine/>
    <w:qFormat/>
    <w:uiPriority w:val="0"/>
    <w:rPr>
      <w:b/>
      <w:bCs/>
      <w:szCs w:val="24"/>
    </w:rPr>
  </w:style>
  <w:style w:type="paragraph" w:styleId="86">
    <w:name w:val="Body Text First Indent"/>
    <w:basedOn w:val="34"/>
    <w:link w:val="157"/>
    <w:autoRedefine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59"/>
    <w:autoRedefine/>
    <w:qFormat/>
    <w:uiPriority w:val="0"/>
    <w:pPr>
      <w:ind w:firstLine="420" w:firstLineChars="200"/>
    </w:p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Strong"/>
    <w:basedOn w:val="90"/>
    <w:autoRedefine/>
    <w:qFormat/>
    <w:uiPriority w:val="22"/>
    <w:rPr>
      <w:b/>
      <w:bCs/>
    </w:rPr>
  </w:style>
  <w:style w:type="character" w:styleId="92">
    <w:name w:val="endnote reference"/>
    <w:autoRedefine/>
    <w:qFormat/>
    <w:uiPriority w:val="0"/>
    <w:rPr>
      <w:vertAlign w:val="superscript"/>
    </w:rPr>
  </w:style>
  <w:style w:type="character" w:styleId="93">
    <w:name w:val="page number"/>
    <w:basedOn w:val="90"/>
    <w:autoRedefine/>
    <w:unhideWhenUsed/>
    <w:qFormat/>
    <w:uiPriority w:val="0"/>
    <w:rPr>
      <w:rFonts w:ascii="Times New Roman" w:hAnsi="Times New Roman" w:eastAsia="宋体"/>
      <w:sz w:val="18"/>
    </w:rPr>
  </w:style>
  <w:style w:type="character" w:styleId="94">
    <w:name w:val="FollowedHyperlink"/>
    <w:basedOn w:val="90"/>
    <w:autoRedefine/>
    <w:qFormat/>
    <w:uiPriority w:val="99"/>
    <w:rPr>
      <w:color w:val="800080" w:themeColor="followedHyperlink"/>
      <w:u w:val="single"/>
    </w:rPr>
  </w:style>
  <w:style w:type="character" w:styleId="95">
    <w:name w:val="Emphasis"/>
    <w:autoRedefine/>
    <w:qFormat/>
    <w:uiPriority w:val="0"/>
    <w:rPr>
      <w:i/>
      <w:iCs/>
    </w:rPr>
  </w:style>
  <w:style w:type="character" w:styleId="96">
    <w:name w:val="line number"/>
    <w:basedOn w:val="90"/>
    <w:autoRedefine/>
    <w:qFormat/>
    <w:uiPriority w:val="0"/>
  </w:style>
  <w:style w:type="character" w:styleId="97">
    <w:name w:val="HTML Definition"/>
    <w:autoRedefine/>
    <w:qFormat/>
    <w:uiPriority w:val="0"/>
    <w:rPr>
      <w:i/>
      <w:iCs/>
    </w:rPr>
  </w:style>
  <w:style w:type="character" w:styleId="98">
    <w:name w:val="HTML Typewriter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99">
    <w:name w:val="HTML Acronym"/>
    <w:basedOn w:val="90"/>
    <w:autoRedefine/>
    <w:qFormat/>
    <w:uiPriority w:val="0"/>
  </w:style>
  <w:style w:type="character" w:styleId="100">
    <w:name w:val="HTML Variable"/>
    <w:autoRedefine/>
    <w:qFormat/>
    <w:uiPriority w:val="0"/>
    <w:rPr>
      <w:i/>
      <w:iCs/>
    </w:rPr>
  </w:style>
  <w:style w:type="character" w:styleId="101">
    <w:name w:val="Hyperlink"/>
    <w:basedOn w:val="90"/>
    <w:autoRedefine/>
    <w:qFormat/>
    <w:uiPriority w:val="99"/>
    <w:rPr>
      <w:color w:val="0000FF"/>
      <w:u w:val="single"/>
    </w:rPr>
  </w:style>
  <w:style w:type="character" w:styleId="102">
    <w:name w:val="HTML Code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103">
    <w:name w:val="annotation reference"/>
    <w:basedOn w:val="90"/>
    <w:autoRedefine/>
    <w:qFormat/>
    <w:uiPriority w:val="0"/>
    <w:rPr>
      <w:sz w:val="21"/>
      <w:szCs w:val="21"/>
    </w:rPr>
  </w:style>
  <w:style w:type="character" w:styleId="104">
    <w:name w:val="HTML Cite"/>
    <w:autoRedefine/>
    <w:qFormat/>
    <w:uiPriority w:val="0"/>
    <w:rPr>
      <w:i/>
      <w:iCs/>
    </w:rPr>
  </w:style>
  <w:style w:type="character" w:styleId="105">
    <w:name w:val="footnote reference"/>
    <w:autoRedefine/>
    <w:qFormat/>
    <w:uiPriority w:val="0"/>
    <w:rPr>
      <w:vertAlign w:val="superscript"/>
    </w:rPr>
  </w:style>
  <w:style w:type="character" w:styleId="106">
    <w:name w:val="HTML Keyboard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107">
    <w:name w:val="HTML Sample"/>
    <w:autoRedefine/>
    <w:qFormat/>
    <w:uiPriority w:val="0"/>
    <w:rPr>
      <w:rFonts w:ascii="Courier New" w:hAnsi="Courier New" w:cs="Courier New"/>
    </w:rPr>
  </w:style>
  <w:style w:type="paragraph" w:customStyle="1" w:styleId="108">
    <w:name w:val="【正文】"/>
    <w:basedOn w:val="1"/>
    <w:autoRedefine/>
    <w:qFormat/>
    <w:uiPriority w:val="0"/>
    <w:pPr>
      <w:adjustRightInd w:val="0"/>
      <w:snapToGrid w:val="0"/>
      <w:spacing w:line="440" w:lineRule="exact"/>
      <w:ind w:firstLine="200" w:firstLineChars="200"/>
    </w:pPr>
    <w:rPr>
      <w:rFonts w:cs="宋体"/>
      <w:szCs w:val="20"/>
    </w:rPr>
  </w:style>
  <w:style w:type="character" w:customStyle="1" w:styleId="109">
    <w:name w:val="标题 1 Char"/>
    <w:basedOn w:val="90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10">
    <w:name w:val="标题 2 Char"/>
    <w:basedOn w:val="90"/>
    <w:link w:val="4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1">
    <w:name w:val="标题 3 Char"/>
    <w:basedOn w:val="90"/>
    <w:link w:val="5"/>
    <w:autoRedefine/>
    <w:qFormat/>
    <w:uiPriority w:val="0"/>
    <w:rPr>
      <w:b/>
      <w:bCs/>
      <w:kern w:val="2"/>
      <w:sz w:val="32"/>
      <w:szCs w:val="32"/>
    </w:rPr>
  </w:style>
  <w:style w:type="character" w:customStyle="1" w:styleId="112">
    <w:name w:val="标题 4 Char"/>
    <w:basedOn w:val="90"/>
    <w:link w:val="6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13">
    <w:name w:val="标题 5 Char"/>
    <w:basedOn w:val="90"/>
    <w:link w:val="7"/>
    <w:autoRedefine/>
    <w:qFormat/>
    <w:uiPriority w:val="0"/>
    <w:rPr>
      <w:b/>
      <w:bCs/>
      <w:kern w:val="2"/>
      <w:sz w:val="28"/>
      <w:szCs w:val="28"/>
    </w:rPr>
  </w:style>
  <w:style w:type="character" w:customStyle="1" w:styleId="114">
    <w:name w:val="标题 6 Char"/>
    <w:basedOn w:val="90"/>
    <w:link w:val="8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5">
    <w:name w:val="标题 7 Char"/>
    <w:basedOn w:val="90"/>
    <w:link w:val="9"/>
    <w:autoRedefine/>
    <w:qFormat/>
    <w:uiPriority w:val="0"/>
    <w:rPr>
      <w:b/>
      <w:bCs/>
      <w:kern w:val="2"/>
      <w:sz w:val="24"/>
      <w:szCs w:val="24"/>
    </w:rPr>
  </w:style>
  <w:style w:type="character" w:customStyle="1" w:styleId="116">
    <w:name w:val="标题 8 Char"/>
    <w:basedOn w:val="90"/>
    <w:link w:val="10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17">
    <w:name w:val="标题 9 Char"/>
    <w:basedOn w:val="90"/>
    <w:link w:val="11"/>
    <w:autoRedefine/>
    <w:qFormat/>
    <w:uiPriority w:val="0"/>
    <w:rPr>
      <w:rFonts w:ascii="Arial" w:hAnsi="Arial" w:eastAsia="黑体"/>
      <w:kern w:val="2"/>
      <w:sz w:val="21"/>
      <w:szCs w:val="21"/>
    </w:rPr>
  </w:style>
  <w:style w:type="paragraph" w:customStyle="1" w:styleId="118">
    <w:name w:val="封面标准英文名称"/>
    <w:autoRedefine/>
    <w:qFormat/>
    <w:uiPriority w:val="99"/>
    <w:pPr>
      <w:widowControl w:val="0"/>
      <w:spacing w:before="370" w:line="400" w:lineRule="exact"/>
      <w:ind w:firstLine="200" w:firstLineChars="200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9">
    <w:name w:val="标准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120">
    <w:name w:val="封面标准号2"/>
    <w:basedOn w:val="1"/>
    <w:autoRedefine/>
    <w:qFormat/>
    <w:uiPriority w:val="0"/>
  </w:style>
  <w:style w:type="paragraph" w:customStyle="1" w:styleId="121">
    <w:name w:val="章标题"/>
    <w:next w:val="1"/>
    <w:autoRedefine/>
    <w:qFormat/>
    <w:uiPriority w:val="0"/>
    <w:pPr>
      <w:tabs>
        <w:tab w:val="left" w:pos="675"/>
      </w:tabs>
      <w:spacing w:beforeLines="100" w:afterLines="100"/>
      <w:ind w:left="675" w:hanging="36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段"/>
    <w:link w:val="138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3">
    <w:name w:val="批注文字 Char"/>
    <w:basedOn w:val="90"/>
    <w:link w:val="28"/>
    <w:autoRedefine/>
    <w:qFormat/>
    <w:uiPriority w:val="0"/>
    <w:rPr>
      <w:kern w:val="2"/>
      <w:sz w:val="21"/>
      <w:szCs w:val="21"/>
    </w:rPr>
  </w:style>
  <w:style w:type="character" w:customStyle="1" w:styleId="124">
    <w:name w:val="页眉 Char"/>
    <w:basedOn w:val="90"/>
    <w:link w:val="57"/>
    <w:autoRedefine/>
    <w:qFormat/>
    <w:uiPriority w:val="99"/>
    <w:rPr>
      <w:kern w:val="2"/>
      <w:sz w:val="18"/>
      <w:szCs w:val="24"/>
    </w:rPr>
  </w:style>
  <w:style w:type="character" w:customStyle="1" w:styleId="125">
    <w:name w:val="页脚 Char"/>
    <w:basedOn w:val="90"/>
    <w:link w:val="55"/>
    <w:autoRedefine/>
    <w:qFormat/>
    <w:uiPriority w:val="99"/>
    <w:rPr>
      <w:kern w:val="2"/>
      <w:sz w:val="18"/>
      <w:szCs w:val="24"/>
    </w:rPr>
  </w:style>
  <w:style w:type="paragraph" w:customStyle="1" w:styleId="12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27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character" w:customStyle="1" w:styleId="128">
    <w:name w:val="标题 Char"/>
    <w:basedOn w:val="90"/>
    <w:link w:val="84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29">
    <w:name w:val="t_tag"/>
    <w:basedOn w:val="90"/>
    <w:autoRedefine/>
    <w:qFormat/>
    <w:uiPriority w:val="0"/>
  </w:style>
  <w:style w:type="character" w:customStyle="1" w:styleId="130">
    <w:name w:val="apple-converted-space"/>
    <w:basedOn w:val="90"/>
    <w:autoRedefine/>
    <w:qFormat/>
    <w:uiPriority w:val="0"/>
  </w:style>
  <w:style w:type="character" w:customStyle="1" w:styleId="131">
    <w:name w:val="apple-style-span"/>
    <w:basedOn w:val="90"/>
    <w:autoRedefine/>
    <w:qFormat/>
    <w:uiPriority w:val="0"/>
  </w:style>
  <w:style w:type="character" w:customStyle="1" w:styleId="132">
    <w:name w:val="日期 Char"/>
    <w:basedOn w:val="90"/>
    <w:link w:val="50"/>
    <w:autoRedefine/>
    <w:qFormat/>
    <w:uiPriority w:val="0"/>
    <w:rPr>
      <w:kern w:val="2"/>
      <w:sz w:val="21"/>
      <w:szCs w:val="24"/>
    </w:rPr>
  </w:style>
  <w:style w:type="character" w:customStyle="1" w:styleId="133">
    <w:name w:val="HTML 预设格式 Char"/>
    <w:basedOn w:val="90"/>
    <w:link w:val="80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134">
    <w:name w:val="纯文本 Char"/>
    <w:basedOn w:val="90"/>
    <w:link w:val="4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5">
    <w:name w:val="批注主题 Char"/>
    <w:basedOn w:val="123"/>
    <w:link w:val="85"/>
    <w:autoRedefine/>
    <w:qFormat/>
    <w:uiPriority w:val="0"/>
    <w:rPr>
      <w:b/>
      <w:bCs/>
      <w:kern w:val="2"/>
      <w:sz w:val="21"/>
      <w:szCs w:val="24"/>
    </w:rPr>
  </w:style>
  <w:style w:type="character" w:customStyle="1" w:styleId="136">
    <w:name w:val="批注框文本 Char"/>
    <w:basedOn w:val="90"/>
    <w:link w:val="54"/>
    <w:autoRedefine/>
    <w:qFormat/>
    <w:uiPriority w:val="0"/>
    <w:rPr>
      <w:kern w:val="2"/>
      <w:sz w:val="18"/>
      <w:szCs w:val="18"/>
    </w:rPr>
  </w:style>
  <w:style w:type="paragraph" w:styleId="13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8">
    <w:name w:val="段 Char Char"/>
    <w:basedOn w:val="90"/>
    <w:link w:val="122"/>
    <w:autoRedefine/>
    <w:qFormat/>
    <w:uiPriority w:val="0"/>
    <w:rPr>
      <w:rFonts w:ascii="宋体" w:hAnsi="宋体"/>
      <w:sz w:val="21"/>
    </w:rPr>
  </w:style>
  <w:style w:type="character" w:customStyle="1" w:styleId="139">
    <w:name w:val="short_text1"/>
    <w:basedOn w:val="90"/>
    <w:autoRedefine/>
    <w:qFormat/>
    <w:uiPriority w:val="0"/>
    <w:rPr>
      <w:sz w:val="19"/>
      <w:szCs w:val="19"/>
    </w:rPr>
  </w:style>
  <w:style w:type="paragraph" w:customStyle="1" w:styleId="140">
    <w:name w:val="2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1">
    <w:name w:val="上标"/>
    <w:autoRedefine/>
    <w:qFormat/>
    <w:uiPriority w:val="0"/>
    <w:rPr>
      <w:vertAlign w:val="superscript"/>
    </w:rPr>
  </w:style>
  <w:style w:type="character" w:customStyle="1" w:styleId="142">
    <w:name w:val="z题名页日期"/>
    <w:autoRedefine/>
    <w:qFormat/>
    <w:uiPriority w:val="0"/>
    <w:rPr>
      <w:rFonts w:ascii="Times New Roman" w:hAnsi="Times New Roman" w:eastAsia="宋体"/>
      <w:spacing w:val="0"/>
      <w:sz w:val="28"/>
    </w:rPr>
  </w:style>
  <w:style w:type="character" w:customStyle="1" w:styleId="143">
    <w:name w:val="z题名页其他"/>
    <w:autoRedefine/>
    <w:qFormat/>
    <w:uiPriority w:val="0"/>
    <w:rPr>
      <w:rFonts w:ascii="Times New Roman" w:hAnsi="Times New Roman" w:eastAsia="宋体"/>
      <w:sz w:val="21"/>
    </w:rPr>
  </w:style>
  <w:style w:type="character" w:customStyle="1" w:styleId="144">
    <w:name w:val="datatitle1"/>
    <w:autoRedefine/>
    <w:qFormat/>
    <w:uiPriority w:val="0"/>
    <w:rPr>
      <w:b/>
      <w:bCs/>
      <w:color w:val="10619F"/>
      <w:sz w:val="21"/>
      <w:szCs w:val="21"/>
    </w:rPr>
  </w:style>
  <w:style w:type="character" w:customStyle="1" w:styleId="145">
    <w:name w:val="z题名页作者"/>
    <w:basedOn w:val="146"/>
    <w:autoRedefine/>
    <w:qFormat/>
    <w:uiPriority w:val="0"/>
    <w:rPr>
      <w:rFonts w:ascii="Times New Roman" w:hAnsi="Times New Roman" w:eastAsia="宋体"/>
      <w:sz w:val="28"/>
    </w:rPr>
  </w:style>
  <w:style w:type="character" w:customStyle="1" w:styleId="146">
    <w:name w:val="z题名页题名"/>
    <w:autoRedefine/>
    <w:qFormat/>
    <w:uiPriority w:val="0"/>
    <w:rPr>
      <w:rFonts w:ascii="Times New Roman" w:hAnsi="Times New Roman" w:eastAsia="宋体"/>
      <w:sz w:val="28"/>
    </w:rPr>
  </w:style>
  <w:style w:type="character" w:customStyle="1" w:styleId="147">
    <w:name w:val="z封面题名"/>
    <w:autoRedefine/>
    <w:qFormat/>
    <w:uiPriority w:val="0"/>
    <w:rPr>
      <w:rFonts w:ascii="Times New Roman" w:hAnsi="Times New Roman" w:eastAsia="宋体"/>
      <w:b/>
      <w:spacing w:val="0"/>
      <w:sz w:val="36"/>
    </w:rPr>
  </w:style>
  <w:style w:type="character" w:customStyle="1" w:styleId="148">
    <w:name w:val="z封面其他"/>
    <w:autoRedefine/>
    <w:qFormat/>
    <w:uiPriority w:val="0"/>
    <w:rPr>
      <w:rFonts w:ascii="Times New Roman" w:hAnsi="Times New Roman" w:eastAsia="宋体"/>
      <w:spacing w:val="0"/>
      <w:sz w:val="30"/>
    </w:rPr>
  </w:style>
  <w:style w:type="character" w:customStyle="1" w:styleId="149">
    <w:name w:val="u关键词"/>
    <w:autoRedefine/>
    <w:qFormat/>
    <w:uiPriority w:val="0"/>
    <w:rPr>
      <w:rFonts w:ascii="Times New Roman" w:hAnsi="Times New Roman" w:eastAsia="黑体"/>
      <w:b/>
      <w:sz w:val="24"/>
    </w:rPr>
  </w:style>
  <w:style w:type="character" w:customStyle="1" w:styleId="150">
    <w:name w:val="u正文 Char Char"/>
    <w:link w:val="151"/>
    <w:autoRedefine/>
    <w:qFormat/>
    <w:uiPriority w:val="0"/>
    <w:rPr>
      <w:rFonts w:cs="宋体"/>
      <w:kern w:val="2"/>
      <w:sz w:val="24"/>
      <w:szCs w:val="24"/>
    </w:rPr>
  </w:style>
  <w:style w:type="paragraph" w:customStyle="1" w:styleId="151">
    <w:name w:val="u正文 Char"/>
    <w:basedOn w:val="1"/>
    <w:link w:val="150"/>
    <w:autoRedefine/>
    <w:qFormat/>
    <w:uiPriority w:val="0"/>
    <w:pPr>
      <w:spacing w:beforeLines="10" w:afterLines="10" w:line="312" w:lineRule="auto"/>
      <w:ind w:firstLine="200" w:firstLineChars="200"/>
    </w:pPr>
    <w:rPr>
      <w:rFonts w:cs="宋体"/>
      <w:sz w:val="24"/>
    </w:rPr>
  </w:style>
  <w:style w:type="character" w:customStyle="1" w:styleId="152">
    <w:name w:val="z封二题名"/>
    <w:autoRedefine/>
    <w:qFormat/>
    <w:uiPriority w:val="0"/>
    <w:rPr>
      <w:rFonts w:ascii="Times New Roman" w:hAnsi="Times New Roman" w:eastAsia="宋体"/>
      <w:sz w:val="36"/>
    </w:rPr>
  </w:style>
  <w:style w:type="character" w:customStyle="1" w:styleId="153">
    <w:name w:val="z书脊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154">
    <w:name w:val="z封二其他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155">
    <w:name w:val="宏文本 Char"/>
    <w:basedOn w:val="90"/>
    <w:link w:val="2"/>
    <w:autoRedefine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56">
    <w:name w:val="正文文本 Char"/>
    <w:basedOn w:val="90"/>
    <w:link w:val="34"/>
    <w:autoRedefine/>
    <w:qFormat/>
    <w:uiPriority w:val="0"/>
    <w:rPr>
      <w:kern w:val="2"/>
      <w:sz w:val="21"/>
      <w:szCs w:val="24"/>
    </w:rPr>
  </w:style>
  <w:style w:type="character" w:customStyle="1" w:styleId="157">
    <w:name w:val="正文首行缩进 Char"/>
    <w:basedOn w:val="156"/>
    <w:link w:val="86"/>
    <w:autoRedefine/>
    <w:qFormat/>
    <w:uiPriority w:val="0"/>
    <w:rPr>
      <w:kern w:val="2"/>
      <w:sz w:val="21"/>
      <w:szCs w:val="24"/>
    </w:rPr>
  </w:style>
  <w:style w:type="character" w:customStyle="1" w:styleId="158">
    <w:name w:val="正文文本缩进 Char"/>
    <w:basedOn w:val="90"/>
    <w:link w:val="35"/>
    <w:autoRedefine/>
    <w:qFormat/>
    <w:uiPriority w:val="0"/>
    <w:rPr>
      <w:kern w:val="2"/>
      <w:sz w:val="21"/>
      <w:szCs w:val="24"/>
    </w:rPr>
  </w:style>
  <w:style w:type="character" w:customStyle="1" w:styleId="159">
    <w:name w:val="正文首行缩进 2 Char"/>
    <w:basedOn w:val="158"/>
    <w:link w:val="87"/>
    <w:autoRedefine/>
    <w:qFormat/>
    <w:uiPriority w:val="0"/>
    <w:rPr>
      <w:kern w:val="2"/>
      <w:sz w:val="21"/>
      <w:szCs w:val="24"/>
    </w:rPr>
  </w:style>
  <w:style w:type="character" w:customStyle="1" w:styleId="160">
    <w:name w:val="文档结构图 Char"/>
    <w:basedOn w:val="90"/>
    <w:link w:val="26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61">
    <w:name w:val="正文文本 3 Char"/>
    <w:basedOn w:val="90"/>
    <w:link w:val="31"/>
    <w:autoRedefine/>
    <w:qFormat/>
    <w:uiPriority w:val="0"/>
    <w:rPr>
      <w:kern w:val="2"/>
      <w:sz w:val="16"/>
      <w:szCs w:val="16"/>
    </w:rPr>
  </w:style>
  <w:style w:type="character" w:customStyle="1" w:styleId="162">
    <w:name w:val="HTML 地址 Char"/>
    <w:basedOn w:val="90"/>
    <w:link w:val="41"/>
    <w:autoRedefine/>
    <w:qFormat/>
    <w:uiPriority w:val="0"/>
    <w:rPr>
      <w:i/>
      <w:iCs/>
      <w:kern w:val="2"/>
      <w:sz w:val="21"/>
      <w:szCs w:val="24"/>
    </w:rPr>
  </w:style>
  <w:style w:type="character" w:customStyle="1" w:styleId="163">
    <w:name w:val="正文文本缩进 3 Char"/>
    <w:basedOn w:val="90"/>
    <w:link w:val="70"/>
    <w:autoRedefine/>
    <w:qFormat/>
    <w:uiPriority w:val="0"/>
    <w:rPr>
      <w:kern w:val="2"/>
      <w:sz w:val="16"/>
      <w:szCs w:val="16"/>
    </w:rPr>
  </w:style>
  <w:style w:type="character" w:customStyle="1" w:styleId="164">
    <w:name w:val="电子邮件签名 Char"/>
    <w:basedOn w:val="90"/>
    <w:link w:val="19"/>
    <w:autoRedefine/>
    <w:qFormat/>
    <w:uiPriority w:val="0"/>
    <w:rPr>
      <w:kern w:val="2"/>
      <w:sz w:val="21"/>
      <w:szCs w:val="24"/>
    </w:rPr>
  </w:style>
  <w:style w:type="character" w:customStyle="1" w:styleId="165">
    <w:name w:val="签名 Char"/>
    <w:basedOn w:val="90"/>
    <w:link w:val="58"/>
    <w:autoRedefine/>
    <w:qFormat/>
    <w:uiPriority w:val="0"/>
    <w:rPr>
      <w:kern w:val="2"/>
      <w:sz w:val="21"/>
      <w:szCs w:val="24"/>
    </w:rPr>
  </w:style>
  <w:style w:type="character" w:customStyle="1" w:styleId="166">
    <w:name w:val="脚注文本 Char"/>
    <w:basedOn w:val="90"/>
    <w:link w:val="67"/>
    <w:autoRedefine/>
    <w:qFormat/>
    <w:uiPriority w:val="0"/>
    <w:rPr>
      <w:kern w:val="2"/>
      <w:sz w:val="18"/>
      <w:szCs w:val="18"/>
    </w:rPr>
  </w:style>
  <w:style w:type="character" w:customStyle="1" w:styleId="167">
    <w:name w:val="注释标题 Char"/>
    <w:basedOn w:val="90"/>
    <w:link w:val="16"/>
    <w:autoRedefine/>
    <w:qFormat/>
    <w:uiPriority w:val="0"/>
    <w:rPr>
      <w:kern w:val="2"/>
      <w:sz w:val="21"/>
      <w:szCs w:val="24"/>
    </w:rPr>
  </w:style>
  <w:style w:type="character" w:customStyle="1" w:styleId="168">
    <w:name w:val="正文文本 2 Char"/>
    <w:basedOn w:val="90"/>
    <w:link w:val="76"/>
    <w:autoRedefine/>
    <w:qFormat/>
    <w:uiPriority w:val="0"/>
    <w:rPr>
      <w:kern w:val="2"/>
      <w:sz w:val="21"/>
      <w:szCs w:val="24"/>
    </w:rPr>
  </w:style>
  <w:style w:type="character" w:customStyle="1" w:styleId="169">
    <w:name w:val="称呼 Char"/>
    <w:basedOn w:val="90"/>
    <w:link w:val="30"/>
    <w:autoRedefine/>
    <w:qFormat/>
    <w:uiPriority w:val="0"/>
    <w:rPr>
      <w:kern w:val="2"/>
      <w:sz w:val="21"/>
      <w:szCs w:val="24"/>
    </w:rPr>
  </w:style>
  <w:style w:type="character" w:customStyle="1" w:styleId="170">
    <w:name w:val="尾注文本 Char"/>
    <w:basedOn w:val="90"/>
    <w:link w:val="52"/>
    <w:autoRedefine/>
    <w:qFormat/>
    <w:uiPriority w:val="0"/>
    <w:rPr>
      <w:kern w:val="2"/>
      <w:sz w:val="21"/>
      <w:szCs w:val="24"/>
    </w:rPr>
  </w:style>
  <w:style w:type="character" w:customStyle="1" w:styleId="171">
    <w:name w:val="结束语 Char"/>
    <w:basedOn w:val="90"/>
    <w:link w:val="32"/>
    <w:autoRedefine/>
    <w:qFormat/>
    <w:uiPriority w:val="0"/>
    <w:rPr>
      <w:kern w:val="2"/>
      <w:sz w:val="21"/>
      <w:szCs w:val="24"/>
    </w:rPr>
  </w:style>
  <w:style w:type="character" w:customStyle="1" w:styleId="172">
    <w:name w:val="正文文本缩进 2 Char"/>
    <w:basedOn w:val="90"/>
    <w:link w:val="51"/>
    <w:autoRedefine/>
    <w:qFormat/>
    <w:uiPriority w:val="0"/>
    <w:rPr>
      <w:kern w:val="2"/>
      <w:sz w:val="21"/>
      <w:szCs w:val="24"/>
    </w:rPr>
  </w:style>
  <w:style w:type="character" w:customStyle="1" w:styleId="173">
    <w:name w:val="副标题 Char"/>
    <w:basedOn w:val="90"/>
    <w:link w:val="64"/>
    <w:autoRedefine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74">
    <w:name w:val="信息标题 Char"/>
    <w:basedOn w:val="90"/>
    <w:link w:val="79"/>
    <w:autoRedefine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paragraph" w:customStyle="1" w:styleId="175">
    <w:name w:val="u页眉"/>
    <w:basedOn w:val="1"/>
    <w:autoRedefine/>
    <w:qFormat/>
    <w:uiPriority w:val="0"/>
    <w:pPr>
      <w:pBdr>
        <w:bottom w:val="single" w:color="auto" w:sz="4" w:space="1"/>
      </w:pBdr>
      <w:jc w:val="center"/>
    </w:pPr>
  </w:style>
  <w:style w:type="paragraph" w:customStyle="1" w:styleId="176">
    <w:name w:val="连续正文文字"/>
    <w:basedOn w:val="34"/>
    <w:autoRedefine/>
    <w:qFormat/>
    <w:uiPriority w:val="0"/>
    <w:pPr>
      <w:keepNext/>
      <w:widowControl/>
      <w:spacing w:after="22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177">
    <w:name w:val="正文（结尾部分）"/>
    <w:basedOn w:val="1"/>
    <w:autoRedefine/>
    <w:qFormat/>
    <w:uiPriority w:val="0"/>
    <w:pPr>
      <w:adjustRightInd w:val="0"/>
      <w:snapToGrid w:val="0"/>
      <w:spacing w:line="320" w:lineRule="exact"/>
      <w:ind w:firstLine="200" w:firstLineChars="200"/>
    </w:pPr>
  </w:style>
  <w:style w:type="paragraph" w:customStyle="1" w:styleId="178">
    <w:name w:val="基准页眉样式"/>
    <w:basedOn w:val="34"/>
    <w:autoRedefine/>
    <w:qFormat/>
    <w:uiPriority w:val="0"/>
    <w:pPr>
      <w:keepLines/>
      <w:widowControl/>
      <w:tabs>
        <w:tab w:val="center" w:pos="4320"/>
        <w:tab w:val="right" w:pos="8640"/>
      </w:tabs>
      <w:spacing w:after="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179">
    <w:name w:val="图标题"/>
    <w:basedOn w:val="1"/>
    <w:next w:val="1"/>
    <w:autoRedefine/>
    <w:qFormat/>
    <w:uiPriority w:val="0"/>
    <w:pPr>
      <w:widowControl/>
      <w:spacing w:before="200" w:after="400" w:line="312" w:lineRule="auto"/>
      <w:ind w:firstLine="476"/>
      <w:jc w:val="center"/>
    </w:pPr>
    <w:rPr>
      <w:b/>
      <w:spacing w:val="-5"/>
      <w:kern w:val="0"/>
      <w:sz w:val="24"/>
      <w:szCs w:val="20"/>
    </w:rPr>
  </w:style>
  <w:style w:type="paragraph" w:customStyle="1" w:styleId="180">
    <w:name w:val="五级条标题"/>
    <w:basedOn w:val="181"/>
    <w:next w:val="122"/>
    <w:autoRedefine/>
    <w:qFormat/>
    <w:uiPriority w:val="0"/>
    <w:pPr>
      <w:tabs>
        <w:tab w:val="left" w:pos="1680"/>
        <w:tab w:val="left" w:pos="2100"/>
        <w:tab w:val="left" w:pos="2520"/>
        <w:tab w:val="left" w:pos="2940"/>
        <w:tab w:val="left" w:pos="3360"/>
      </w:tabs>
      <w:ind w:left="3360"/>
      <w:outlineLvl w:val="6"/>
    </w:pPr>
  </w:style>
  <w:style w:type="paragraph" w:customStyle="1" w:styleId="181">
    <w:name w:val="四级条标题"/>
    <w:basedOn w:val="182"/>
    <w:next w:val="122"/>
    <w:autoRedefine/>
    <w:qFormat/>
    <w:uiPriority w:val="0"/>
    <w:pPr>
      <w:tabs>
        <w:tab w:val="left" w:pos="1680"/>
        <w:tab w:val="left" w:pos="2100"/>
        <w:tab w:val="left" w:pos="2520"/>
        <w:tab w:val="left" w:pos="2940"/>
      </w:tabs>
      <w:ind w:left="2940"/>
      <w:outlineLvl w:val="5"/>
    </w:pPr>
  </w:style>
  <w:style w:type="paragraph" w:customStyle="1" w:styleId="182">
    <w:name w:val="三级条标题"/>
    <w:basedOn w:val="183"/>
    <w:next w:val="122"/>
    <w:autoRedefine/>
    <w:qFormat/>
    <w:uiPriority w:val="0"/>
    <w:pPr>
      <w:tabs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183">
    <w:name w:val="二级条标题"/>
    <w:basedOn w:val="184"/>
    <w:next w:val="122"/>
    <w:autoRedefine/>
    <w:qFormat/>
    <w:uiPriority w:val="0"/>
    <w:pPr>
      <w:tabs>
        <w:tab w:val="left" w:pos="1680"/>
        <w:tab w:val="left" w:pos="2100"/>
      </w:tabs>
      <w:ind w:left="2100"/>
      <w:outlineLvl w:val="3"/>
    </w:pPr>
  </w:style>
  <w:style w:type="paragraph" w:customStyle="1" w:styleId="184">
    <w:name w:val="一级条标题"/>
    <w:basedOn w:val="121"/>
    <w:next w:val="122"/>
    <w:autoRedefine/>
    <w:qFormat/>
    <w:uiPriority w:val="0"/>
    <w:pPr>
      <w:tabs>
        <w:tab w:val="left" w:pos="1680"/>
        <w:tab w:val="clear" w:pos="675"/>
      </w:tabs>
      <w:spacing w:beforeLines="0" w:afterLines="0"/>
      <w:ind w:left="1680" w:hanging="420"/>
      <w:outlineLvl w:val="2"/>
    </w:pPr>
  </w:style>
  <w:style w:type="paragraph" w:customStyle="1" w:styleId="185">
    <w:name w:val="附录"/>
    <w:basedOn w:val="3"/>
    <w:next w:val="1"/>
    <w:autoRedefine/>
    <w:qFormat/>
    <w:uiPriority w:val="0"/>
    <w:pPr>
      <w:widowControl/>
      <w:tabs>
        <w:tab w:val="left" w:pos="360"/>
        <w:tab w:val="left" w:pos="720"/>
      </w:tabs>
      <w:spacing w:before="0" w:after="220" w:line="360" w:lineRule="auto"/>
      <w:ind w:left="360" w:hanging="360"/>
      <w:jc w:val="center"/>
    </w:pPr>
    <w:rPr>
      <w:bCs w:val="0"/>
      <w:spacing w:val="-10"/>
      <w:kern w:val="28"/>
      <w:sz w:val="30"/>
      <w:szCs w:val="20"/>
    </w:rPr>
  </w:style>
  <w:style w:type="paragraph" w:customStyle="1" w:styleId="186">
    <w:name w:val="样式 u正文 + 首行缩进:  2 字符 段前: 0.5 行 段后: 0.5 行"/>
    <w:basedOn w:val="187"/>
    <w:autoRedefine/>
    <w:qFormat/>
    <w:uiPriority w:val="0"/>
  </w:style>
  <w:style w:type="paragraph" w:customStyle="1" w:styleId="187">
    <w:name w:val="u正文"/>
    <w:basedOn w:val="1"/>
    <w:autoRedefine/>
    <w:qFormat/>
    <w:uiPriority w:val="0"/>
    <w:pPr>
      <w:spacing w:beforeLines="10" w:afterLines="10" w:line="312" w:lineRule="auto"/>
      <w:ind w:firstLine="200" w:firstLineChars="200"/>
    </w:pPr>
    <w:rPr>
      <w:rFonts w:cs="宋体"/>
      <w:sz w:val="24"/>
      <w:szCs w:val="20"/>
    </w:rPr>
  </w:style>
  <w:style w:type="paragraph" w:customStyle="1" w:styleId="188">
    <w:name w:val="u标题 自动分页"/>
    <w:basedOn w:val="189"/>
    <w:next w:val="187"/>
    <w:autoRedefine/>
    <w:qFormat/>
    <w:uiPriority w:val="0"/>
    <w:pPr>
      <w:pageBreakBefore/>
    </w:pPr>
  </w:style>
  <w:style w:type="paragraph" w:customStyle="1" w:styleId="189">
    <w:name w:val="u标题"/>
    <w:basedOn w:val="3"/>
    <w:next w:val="151"/>
    <w:autoRedefine/>
    <w:qFormat/>
    <w:uiPriority w:val="0"/>
    <w:pPr>
      <w:spacing w:line="576" w:lineRule="auto"/>
      <w:jc w:val="center"/>
    </w:pPr>
    <w:rPr>
      <w:rFonts w:eastAsia="黑体"/>
      <w:sz w:val="30"/>
    </w:rPr>
  </w:style>
  <w:style w:type="paragraph" w:customStyle="1" w:styleId="190">
    <w:name w:val="基准页脚样式"/>
    <w:basedOn w:val="34"/>
    <w:uiPriority w:val="0"/>
    <w:pPr>
      <w:keepLines/>
      <w:widowControl/>
      <w:spacing w:after="220" w:line="200" w:lineRule="atLeast"/>
      <w:ind w:firstLine="476"/>
      <w:jc w:val="center"/>
    </w:pPr>
    <w:rPr>
      <w:spacing w:val="-5"/>
      <w:kern w:val="0"/>
      <w:sz w:val="16"/>
      <w:szCs w:val="20"/>
    </w:rPr>
  </w:style>
  <w:style w:type="paragraph" w:customStyle="1" w:styleId="191">
    <w:name w:val="标准书脚_奇数页"/>
    <w:autoRedefine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2">
    <w:name w:val="样式 u正文 + 首行缩进:  2 字符 段前: 0.5 行 段后: 0.5 行1"/>
    <w:basedOn w:val="187"/>
    <w:uiPriority w:val="0"/>
  </w:style>
  <w:style w:type="paragraph" w:customStyle="1" w:styleId="193">
    <w:name w:val="前言、引言标题"/>
    <w:next w:val="1"/>
    <w:autoRedefine/>
    <w:qFormat/>
    <w:uiPriority w:val="0"/>
    <w:pPr>
      <w:shd w:val="clear" w:color="FFFFFF" w:fill="FFFFFF"/>
      <w:tabs>
        <w:tab w:val="left" w:pos="780"/>
      </w:tabs>
      <w:spacing w:before="640" w:after="560"/>
      <w:ind w:left="780" w:hanging="3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4">
    <w:name w:val="ustb bt1"/>
    <w:basedOn w:val="3"/>
    <w:qFormat/>
    <w:uiPriority w:val="0"/>
    <w:pPr>
      <w:spacing w:line="576" w:lineRule="auto"/>
    </w:pPr>
  </w:style>
  <w:style w:type="paragraph" w:customStyle="1" w:styleId="195">
    <w:name w:val="u正文2级标题"/>
    <w:basedOn w:val="4"/>
    <w:next w:val="1"/>
    <w:autoRedefine/>
    <w:uiPriority w:val="0"/>
    <w:pPr>
      <w:spacing w:line="312" w:lineRule="auto"/>
      <w:ind w:left="360"/>
    </w:pPr>
    <w:rPr>
      <w:rFonts w:ascii="Times New Roman" w:hAnsi="Times New Roman" w:eastAsia="Times New Roman"/>
      <w:sz w:val="28"/>
    </w:rPr>
  </w:style>
  <w:style w:type="paragraph" w:customStyle="1" w:styleId="196">
    <w:name w:val="u参考文献条目著者出版年制"/>
    <w:basedOn w:val="1"/>
    <w:qFormat/>
    <w:uiPriority w:val="0"/>
    <w:pPr>
      <w:spacing w:line="312" w:lineRule="auto"/>
      <w:ind w:left="200" w:hanging="200" w:hangingChars="200"/>
    </w:pPr>
    <w:rPr>
      <w:sz w:val="24"/>
    </w:rPr>
  </w:style>
  <w:style w:type="paragraph" w:customStyle="1" w:styleId="197">
    <w:name w:val="基准标题"/>
    <w:basedOn w:val="34"/>
    <w:next w:val="34"/>
    <w:qFormat/>
    <w:uiPriority w:val="0"/>
    <w:pPr>
      <w:keepNext/>
      <w:keepLines/>
      <w:widowControl/>
      <w:spacing w:after="0" w:line="180" w:lineRule="atLeast"/>
      <w:ind w:firstLine="476"/>
      <w:jc w:val="left"/>
    </w:pPr>
    <w:rPr>
      <w:rFonts w:ascii="Arial Black" w:hAnsi="Arial Black"/>
      <w:spacing w:val="-10"/>
      <w:kern w:val="28"/>
      <w:sz w:val="30"/>
      <w:szCs w:val="20"/>
    </w:rPr>
  </w:style>
  <w:style w:type="paragraph" w:customStyle="1" w:styleId="198">
    <w:name w:val="Char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9">
    <w:name w:val="u附录标题"/>
    <w:basedOn w:val="188"/>
    <w:qFormat/>
    <w:uiPriority w:val="0"/>
    <w:pPr>
      <w:pageBreakBefore w:val="0"/>
      <w:tabs>
        <w:tab w:val="left" w:pos="735"/>
        <w:tab w:val="left" w:pos="907"/>
      </w:tabs>
      <w:ind w:left="735" w:hanging="735"/>
      <w:jc w:val="left"/>
    </w:pPr>
  </w:style>
  <w:style w:type="paragraph" w:customStyle="1" w:styleId="200">
    <w:name w:val="样式 u正文 + 首行缩进:  2 字符 段前: 0.5 行1"/>
    <w:basedOn w:val="187"/>
    <w:autoRedefine/>
    <w:uiPriority w:val="0"/>
    <w:pPr>
      <w:spacing w:beforeLines="20"/>
    </w:pPr>
    <w:rPr>
      <w:kern w:val="0"/>
    </w:rPr>
  </w:style>
  <w:style w:type="paragraph" w:customStyle="1" w:styleId="201">
    <w:name w:val="u表标题"/>
    <w:basedOn w:val="1"/>
    <w:uiPriority w:val="0"/>
    <w:pPr>
      <w:spacing w:beforeLines="150" w:afterLines="50" w:line="360" w:lineRule="auto"/>
      <w:jc w:val="center"/>
    </w:pPr>
    <w:rPr>
      <w:rFonts w:eastAsia="黑体"/>
      <w:b/>
    </w:rPr>
  </w:style>
  <w:style w:type="paragraph" w:customStyle="1" w:styleId="202">
    <w:name w:val="图表题"/>
    <w:basedOn w:val="1"/>
    <w:qFormat/>
    <w:uiPriority w:val="0"/>
    <w:pPr>
      <w:adjustRightInd w:val="0"/>
      <w:snapToGrid w:val="0"/>
      <w:spacing w:line="400" w:lineRule="exact"/>
      <w:jc w:val="center"/>
    </w:pPr>
  </w:style>
  <w:style w:type="paragraph" w:customStyle="1" w:styleId="203">
    <w:name w:val="样式 u正文 + 首行缩进:  2 字符 段前: 0.5 行"/>
    <w:basedOn w:val="187"/>
    <w:uiPriority w:val="0"/>
    <w:pPr>
      <w:spacing w:beforeLines="0" w:beforeAutospacing="1"/>
    </w:pPr>
  </w:style>
  <w:style w:type="paragraph" w:customStyle="1" w:styleId="204">
    <w:name w:val="u正文1级标题"/>
    <w:basedOn w:val="3"/>
    <w:next w:val="1"/>
    <w:qFormat/>
    <w:uiPriority w:val="0"/>
    <w:pPr>
      <w:pageBreakBefore/>
      <w:spacing w:after="340" w:line="312" w:lineRule="auto"/>
    </w:pPr>
    <w:rPr>
      <w:rFonts w:eastAsia="黑体"/>
      <w:sz w:val="30"/>
    </w:rPr>
  </w:style>
  <w:style w:type="paragraph" w:customStyle="1" w:styleId="205">
    <w:name w:val="u脚注"/>
    <w:basedOn w:val="1"/>
    <w:uiPriority w:val="0"/>
    <w:pPr>
      <w:spacing w:before="100" w:beforeAutospacing="1" w:after="100" w:afterAutospacing="1"/>
    </w:pPr>
  </w:style>
  <w:style w:type="paragraph" w:customStyle="1" w:styleId="20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7">
    <w:name w:val="尾消息标题"/>
    <w:basedOn w:val="1"/>
    <w:next w:val="34"/>
    <w:uiPriority w:val="0"/>
    <w:pPr>
      <w:widowControl/>
      <w:pBdr>
        <w:bottom w:val="single" w:color="auto" w:sz="6" w:space="19"/>
        <w:between w:val="single" w:color="auto" w:sz="6" w:space="19"/>
      </w:pBdr>
      <w:tabs>
        <w:tab w:val="left" w:pos="1260"/>
        <w:tab w:val="left" w:pos="2940"/>
      </w:tabs>
      <w:spacing w:before="120" w:after="120" w:line="312" w:lineRule="auto"/>
      <w:jc w:val="left"/>
    </w:pPr>
    <w:rPr>
      <w:spacing w:val="-5"/>
      <w:kern w:val="0"/>
      <w:sz w:val="24"/>
      <w:szCs w:val="20"/>
    </w:rPr>
  </w:style>
  <w:style w:type="paragraph" w:customStyle="1" w:styleId="208">
    <w:name w:val="u正文3级标题"/>
    <w:basedOn w:val="5"/>
    <w:next w:val="1"/>
    <w:qFormat/>
    <w:uiPriority w:val="0"/>
    <w:pPr>
      <w:spacing w:line="312" w:lineRule="auto"/>
      <w:ind w:left="2160"/>
    </w:pPr>
    <w:rPr>
      <w:rFonts w:eastAsia="Times New Roman"/>
      <w:sz w:val="28"/>
    </w:rPr>
  </w:style>
  <w:style w:type="paragraph" w:customStyle="1" w:styleId="209">
    <w:name w:val="表标题"/>
    <w:basedOn w:val="1"/>
    <w:next w:val="1"/>
    <w:uiPriority w:val="0"/>
    <w:pPr>
      <w:widowControl/>
      <w:spacing w:before="400" w:after="200" w:line="312" w:lineRule="auto"/>
      <w:jc w:val="left"/>
    </w:pPr>
    <w:rPr>
      <w:b/>
      <w:spacing w:val="-5"/>
      <w:kern w:val="0"/>
      <w:sz w:val="24"/>
      <w:szCs w:val="20"/>
    </w:rPr>
  </w:style>
  <w:style w:type="paragraph" w:customStyle="1" w:styleId="210">
    <w:name w:val="其他"/>
    <w:basedOn w:val="1"/>
    <w:autoRedefine/>
    <w:qFormat/>
    <w:uiPriority w:val="0"/>
  </w:style>
  <w:style w:type="paragraph" w:customStyle="1" w:styleId="211">
    <w:name w:val="u参考文献条目顺序编码制"/>
    <w:basedOn w:val="1"/>
    <w:autoRedefine/>
    <w:qFormat/>
    <w:uiPriority w:val="0"/>
    <w:pPr>
      <w:tabs>
        <w:tab w:val="left" w:pos="525"/>
        <w:tab w:val="left" w:pos="927"/>
      </w:tabs>
      <w:spacing w:before="100" w:beforeAutospacing="1" w:after="100" w:afterAutospacing="1" w:line="312" w:lineRule="auto"/>
      <w:ind w:left="525" w:hanging="525"/>
    </w:pPr>
    <w:rPr>
      <w:sz w:val="24"/>
    </w:rPr>
  </w:style>
  <w:style w:type="paragraph" w:customStyle="1" w:styleId="212">
    <w:name w:val="u正文 + 首行缩进:  2 字符 段前: 0.5 行2"/>
    <w:basedOn w:val="187"/>
    <w:autoRedefine/>
    <w:uiPriority w:val="0"/>
    <w:pPr>
      <w:spacing w:beforeLines="20"/>
    </w:pPr>
    <w:rPr>
      <w:kern w:val="0"/>
    </w:rPr>
  </w:style>
  <w:style w:type="paragraph" w:customStyle="1" w:styleId="213">
    <w:name w:val="u图标题"/>
    <w:basedOn w:val="1"/>
    <w:next w:val="187"/>
    <w:uiPriority w:val="0"/>
    <w:pPr>
      <w:spacing w:beforeLines="50" w:afterLines="150" w:line="360" w:lineRule="auto"/>
      <w:jc w:val="center"/>
    </w:pPr>
    <w:rPr>
      <w:rFonts w:eastAsia="黑体"/>
      <w:b/>
    </w:rPr>
  </w:style>
  <w:style w:type="paragraph" w:customStyle="1" w:styleId="214">
    <w:name w:val="样式 u表标题 + 段前: 1.5 行"/>
    <w:basedOn w:val="201"/>
    <w:autoRedefine/>
    <w:uiPriority w:val="0"/>
    <w:rPr>
      <w:rFonts w:cs="宋体"/>
      <w:bCs/>
      <w:szCs w:val="20"/>
    </w:rPr>
  </w:style>
  <w:style w:type="paragraph" w:customStyle="1" w:styleId="215">
    <w:name w:val="图片"/>
    <w:basedOn w:val="1"/>
    <w:next w:val="22"/>
    <w:autoRedefine/>
    <w:uiPriority w:val="0"/>
    <w:pPr>
      <w:keepNext/>
      <w:widowControl/>
      <w:spacing w:line="312" w:lineRule="auto"/>
      <w:ind w:firstLine="476"/>
      <w:jc w:val="left"/>
    </w:pPr>
    <w:rPr>
      <w:spacing w:val="-5"/>
      <w:kern w:val="0"/>
      <w:sz w:val="24"/>
      <w:szCs w:val="20"/>
    </w:rPr>
  </w:style>
  <w:style w:type="paragraph" w:customStyle="1" w:styleId="216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7">
    <w:name w:val="样式1"/>
    <w:basedOn w:val="1"/>
    <w:autoRedefine/>
    <w:uiPriority w:val="0"/>
    <w:pPr>
      <w:spacing w:beforeLines="10" w:afterLines="10" w:line="312" w:lineRule="auto"/>
      <w:ind w:firstLine="480" w:firstLineChars="200"/>
    </w:pPr>
    <w:rPr>
      <w:rFonts w:hAnsi="宋体" w:cs="宋体"/>
      <w:sz w:val="24"/>
    </w:rPr>
  </w:style>
  <w:style w:type="paragraph" w:customStyle="1" w:styleId="218">
    <w:name w:val="u标题 不入目录"/>
    <w:basedOn w:val="1"/>
    <w:uiPriority w:val="0"/>
    <w:pPr>
      <w:jc w:val="center"/>
    </w:pPr>
    <w:rPr>
      <w:rFonts w:eastAsia="黑体"/>
      <w:b/>
      <w:sz w:val="30"/>
      <w:szCs w:val="30"/>
    </w:rPr>
  </w:style>
  <w:style w:type="paragraph" w:customStyle="1" w:styleId="219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3">
    <w:name w:val="xl6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font5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8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29">
    <w:name w:val="xl72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3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31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32">
    <w:name w:val="xl75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808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33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34">
    <w:name w:val="xl77"/>
    <w:basedOn w:val="1"/>
    <w:autoRedefine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35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C0C0C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236">
    <w:name w:val="xl79"/>
    <w:basedOn w:val="1"/>
    <w:autoRedefine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80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39">
    <w:name w:val="xl82"/>
    <w:basedOn w:val="1"/>
    <w:autoRedefine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40">
    <w:name w:val="xl83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41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42">
    <w:name w:val="xl85"/>
    <w:basedOn w:val="1"/>
    <w:autoRedefine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43">
    <w:name w:val="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244">
    <w:name w:val="Placeholder Text"/>
    <w:basedOn w:val="90"/>
    <w:semiHidden/>
    <w:uiPriority w:val="99"/>
    <w:rPr>
      <w:color w:val="808080"/>
    </w:rPr>
  </w:style>
  <w:style w:type="paragraph" w:customStyle="1" w:styleId="245">
    <w:name w:val="封面标准名称"/>
    <w:autoRedefine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6">
    <w:name w:val="实施日期"/>
    <w:basedOn w:val="1"/>
    <w:uiPriority w:val="0"/>
    <w:pPr>
      <w:framePr w:w="4000" w:h="473" w:hRule="exact" w:vSpace="180" w:wrap="around" w:vAnchor="margin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247">
    <w:name w:val="图表脚注"/>
    <w:next w:val="122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248">
    <w:name w:val="fontstyle01"/>
    <w:uiPriority w:val="0"/>
    <w:rPr>
      <w:rFonts w:hint="default" w:ascii="DY1+ZJcKpR-1" w:hAnsi="DY1+ZJcKpR-1"/>
      <w:color w:val="000000"/>
      <w:sz w:val="26"/>
      <w:szCs w:val="26"/>
    </w:rPr>
  </w:style>
  <w:style w:type="character" w:customStyle="1" w:styleId="249">
    <w:name w:val="fontstyle11"/>
    <w:autoRedefine/>
    <w:qFormat/>
    <w:uiPriority w:val="0"/>
    <w:rPr>
      <w:rFonts w:hint="default" w:ascii="DY3+ZJcKpR-3" w:hAnsi="DY3+ZJcKpR-3"/>
      <w:color w:val="000000"/>
      <w:sz w:val="26"/>
      <w:szCs w:val="26"/>
    </w:rPr>
  </w:style>
  <w:style w:type="paragraph" w:customStyle="1" w:styleId="250">
    <w:name w:val="标准名称标题"/>
    <w:basedOn w:val="1"/>
    <w:next w:val="1"/>
    <w:uiPriority w:val="0"/>
    <w:pPr>
      <w:widowControl/>
      <w:shd w:val="clear" w:color="FFFFFF" w:fill="FFFFFF"/>
      <w:spacing w:line="440" w:lineRule="exact"/>
      <w:jc w:val="center"/>
    </w:pPr>
    <w:rPr>
      <w:rFonts w:ascii="黑体" w:eastAsia="黑体"/>
      <w:kern w:val="0"/>
      <w:sz w:val="32"/>
      <w:szCs w:val="20"/>
    </w:rPr>
  </w:style>
  <w:style w:type="paragraph" w:customStyle="1" w:styleId="251">
    <w:name w:val="MTDisplayEquation"/>
    <w:basedOn w:val="1"/>
    <w:next w:val="1"/>
    <w:qFormat/>
    <w:uiPriority w:val="0"/>
    <w:pPr>
      <w:tabs>
        <w:tab w:val="center" w:pos="4160"/>
        <w:tab w:val="right" w:pos="8320"/>
      </w:tabs>
      <w:spacing w:line="360" w:lineRule="auto"/>
      <w:ind w:firstLine="480" w:firstLineChars="200"/>
    </w:pPr>
    <w:rPr>
      <w:sz w:val="24"/>
    </w:rPr>
  </w:style>
  <w:style w:type="character" w:customStyle="1" w:styleId="252">
    <w:name w:val="纯文本 字符1"/>
    <w:semiHidden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5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table" w:customStyle="1" w:styleId="256">
    <w:name w:val="网格型1"/>
    <w:basedOn w:val="88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">
    <w:name w:val="网格型2"/>
    <w:basedOn w:val="8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8FE8-E26B-40FC-82C5-94126F8E38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23</Pages>
  <Words>5823</Words>
  <Characters>33195</Characters>
  <Lines>276</Lines>
  <Paragraphs>77</Paragraphs>
  <TotalTime>3</TotalTime>
  <ScaleCrop>false</ScaleCrop>
  <LinksUpToDate>false</LinksUpToDate>
  <CharactersWithSpaces>38941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2018-01-08T06:37:00Z</dcterms:created>
  <dc:creator>zljy05</dc:creator>
  <cp:lastModifiedBy>admin</cp:lastModifiedBy>
  <cp:lastPrinted>2018-08-20T12:57:00Z</cp:lastPrinted>
  <dcterms:modified xsi:type="dcterms:W3CDTF">2024-03-14T21:59:14Z</dcterms:modified>
  <dc:title>再生锌化学分析方法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C17C4972CC0C47DA8A442741B2F8E25E_12</vt:lpwstr>
  </property>
</Properties>
</file>