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黑体"/>
          <w:b/>
          <w:bCs/>
          <w:w w:val="90"/>
          <w:sz w:val="32"/>
          <w:szCs w:val="32"/>
        </w:rPr>
      </w:pPr>
      <w:bookmarkStart w:id="0" w:name="_Hlk82435718"/>
      <w:r>
        <w:rPr>
          <w:rFonts w:hint="eastAsia" w:ascii="黑体" w:hAnsi="黑体" w:eastAsia="黑体" w:cs="黑体"/>
          <w:b/>
          <w:bCs/>
          <w:w w:val="90"/>
          <w:sz w:val="32"/>
          <w:szCs w:val="32"/>
        </w:rPr>
        <w:t>稀土行业标准</w:t>
      </w:r>
      <w:r>
        <w:rPr>
          <w:rFonts w:ascii="黑体" w:hAnsi="黑体" w:eastAsia="黑体" w:cs="黑体"/>
          <w:b/>
          <w:bCs/>
          <w:w w:val="90"/>
          <w:sz w:val="32"/>
          <w:szCs w:val="32"/>
        </w:rPr>
        <w:t>《</w:t>
      </w:r>
      <w:r>
        <w:rPr>
          <w:rFonts w:hint="eastAsia" w:ascii="黑体" w:hAnsi="黑体" w:eastAsia="黑体" w:cs="黑体"/>
          <w:b/>
          <w:bCs/>
          <w:w w:val="90"/>
          <w:sz w:val="32"/>
          <w:szCs w:val="32"/>
          <w:lang w:val="en-US" w:eastAsia="zh-CN"/>
        </w:rPr>
        <w:t>闪烁晶体用高纯无水稀土溴化物</w:t>
      </w:r>
      <w:r>
        <w:rPr>
          <w:rFonts w:ascii="黑体" w:hAnsi="黑体" w:eastAsia="黑体" w:cs="黑体"/>
          <w:b/>
          <w:bCs/>
          <w:w w:val="90"/>
          <w:sz w:val="32"/>
          <w:szCs w:val="32"/>
        </w:rPr>
        <w:t>》</w:t>
      </w:r>
      <w:bookmarkEnd w:id="0"/>
      <w:r>
        <w:rPr>
          <w:rFonts w:hint="eastAsia" w:ascii="黑体" w:hAnsi="黑体" w:eastAsia="黑体" w:cs="黑体"/>
          <w:b/>
          <w:bCs/>
          <w:w w:val="90"/>
          <w:sz w:val="32"/>
          <w:szCs w:val="32"/>
        </w:rPr>
        <w:t>预审稿</w:t>
      </w:r>
    </w:p>
    <w:p>
      <w:pPr>
        <w:spacing w:line="480" w:lineRule="auto"/>
        <w:jc w:val="center"/>
        <w:rPr>
          <w:rFonts w:ascii="黑体" w:hAnsi="黑体" w:eastAsia="黑体" w:cs="黑体"/>
          <w:b/>
          <w:bCs/>
          <w:w w:val="90"/>
          <w:sz w:val="32"/>
          <w:szCs w:val="32"/>
        </w:rPr>
      </w:pPr>
      <w:r>
        <w:rPr>
          <w:rFonts w:ascii="黑体" w:hAnsi="黑体" w:eastAsia="黑体" w:cs="黑体"/>
          <w:b/>
          <w:bCs/>
          <w:w w:val="90"/>
          <w:sz w:val="32"/>
          <w:szCs w:val="32"/>
        </w:rPr>
        <w:t>编制说明</w:t>
      </w:r>
    </w:p>
    <w:p>
      <w:pPr>
        <w:spacing w:before="156" w:beforeLines="50" w:after="156" w:afterLines="50" w:line="312" w:lineRule="auto"/>
        <w:rPr>
          <w:rFonts w:ascii="黑体" w:hAnsi="宋体" w:eastAsia="黑体"/>
          <w:b/>
          <w:sz w:val="24"/>
        </w:rPr>
      </w:pPr>
      <w:r>
        <w:rPr>
          <w:rFonts w:hint="eastAsia" w:ascii="黑体" w:hAnsi="宋体" w:eastAsia="黑体"/>
          <w:b/>
          <w:sz w:val="24"/>
        </w:rPr>
        <w:t>一、工作简况</w:t>
      </w:r>
    </w:p>
    <w:p>
      <w:pPr>
        <w:pStyle w:val="120"/>
        <w:tabs>
          <w:tab w:val="clear" w:pos="675"/>
        </w:tabs>
        <w:spacing w:before="156" w:beforeLines="50" w:after="156" w:afterLines="50" w:line="360" w:lineRule="auto"/>
        <w:ind w:left="0" w:firstLine="0"/>
        <w:rPr>
          <w:rFonts w:hAnsi="黑体"/>
          <w:b/>
          <w:sz w:val="24"/>
          <w:szCs w:val="22"/>
        </w:rPr>
      </w:pPr>
      <w:r>
        <w:rPr>
          <w:rFonts w:hint="eastAsia" w:hAnsi="黑体"/>
          <w:b/>
          <w:sz w:val="24"/>
          <w:szCs w:val="22"/>
        </w:rPr>
        <w:t>（一）</w:t>
      </w:r>
      <w:r>
        <w:rPr>
          <w:rFonts w:hAnsi="黑体"/>
          <w:b/>
          <w:sz w:val="24"/>
          <w:szCs w:val="22"/>
        </w:rPr>
        <w:t>任务来源</w:t>
      </w:r>
    </w:p>
    <w:p>
      <w:pPr>
        <w:spacing w:line="360" w:lineRule="auto"/>
        <w:ind w:firstLine="480" w:firstLineChars="200"/>
        <w:rPr>
          <w:sz w:val="24"/>
          <w:szCs w:val="32"/>
        </w:rPr>
      </w:pPr>
      <w:r>
        <w:rPr>
          <w:rFonts w:hint="eastAsia"/>
          <w:sz w:val="24"/>
          <w:szCs w:val="32"/>
        </w:rPr>
        <w:t>根据国家标准委、工业和信息化部下达的有关标准制修订计划的通知，以及202</w:t>
      </w:r>
      <w:r>
        <w:rPr>
          <w:sz w:val="24"/>
          <w:szCs w:val="32"/>
        </w:rPr>
        <w:t>3</w:t>
      </w:r>
      <w:r>
        <w:rPr>
          <w:rFonts w:hint="eastAsia"/>
          <w:sz w:val="24"/>
          <w:szCs w:val="32"/>
        </w:rPr>
        <w:t xml:space="preserve"> 年稀土标委会工作安排，202</w:t>
      </w:r>
      <w:r>
        <w:rPr>
          <w:sz w:val="24"/>
          <w:szCs w:val="32"/>
        </w:rPr>
        <w:t>3</w:t>
      </w:r>
      <w:r>
        <w:rPr>
          <w:rFonts w:hint="eastAsia"/>
          <w:sz w:val="24"/>
          <w:szCs w:val="32"/>
        </w:rPr>
        <w:t>年第四次稀土标准工作会议正式下达《</w:t>
      </w:r>
      <w:r>
        <w:rPr>
          <w:rFonts w:hint="eastAsia"/>
          <w:sz w:val="24"/>
          <w:szCs w:val="32"/>
          <w:lang w:val="en-US" w:eastAsia="zh-CN"/>
        </w:rPr>
        <w:t>闪烁晶体用高纯无水稀土溴化物</w:t>
      </w:r>
      <w:r>
        <w:rPr>
          <w:rFonts w:hint="eastAsia"/>
          <w:sz w:val="24"/>
          <w:szCs w:val="32"/>
        </w:rPr>
        <w:t>》行业标准制定项目计划，标准计划号为</w:t>
      </w:r>
      <w:r>
        <w:rPr>
          <w:sz w:val="24"/>
          <w:szCs w:val="32"/>
        </w:rPr>
        <w:t>2023-008</w:t>
      </w:r>
      <w:r>
        <w:rPr>
          <w:rFonts w:hint="eastAsia"/>
          <w:sz w:val="24"/>
          <w:szCs w:val="32"/>
          <w:lang w:val="en-US" w:eastAsia="zh-CN"/>
        </w:rPr>
        <w:t>7</w:t>
      </w:r>
      <w:r>
        <w:rPr>
          <w:sz w:val="24"/>
          <w:szCs w:val="32"/>
        </w:rPr>
        <w:t>T-XB</w:t>
      </w:r>
      <w:r>
        <w:rPr>
          <w:rFonts w:hint="eastAsia"/>
          <w:sz w:val="24"/>
          <w:szCs w:val="32"/>
        </w:rPr>
        <w:t>，完成年限为</w:t>
      </w:r>
      <w:r>
        <w:rPr>
          <w:sz w:val="24"/>
          <w:szCs w:val="32"/>
        </w:rPr>
        <w:t>2025</w:t>
      </w:r>
      <w:r>
        <w:rPr>
          <w:rFonts w:hint="eastAsia"/>
          <w:sz w:val="24"/>
          <w:szCs w:val="32"/>
        </w:rPr>
        <w:t>年。</w:t>
      </w:r>
      <w:r>
        <w:rPr>
          <w:sz w:val="24"/>
          <w:szCs w:val="32"/>
        </w:rPr>
        <w:t>本文件由全国稀土标准化技术委员会（SAC/TC 229）提出并归口，由</w:t>
      </w:r>
      <w:r>
        <w:rPr>
          <w:rFonts w:hint="eastAsia" w:ascii="宋体" w:hAnsi="宋体"/>
          <w:sz w:val="24"/>
          <w:lang w:val="zh-CN"/>
        </w:rPr>
        <w:t>有研稀土新材料股份有限公司、</w:t>
      </w:r>
      <w:r>
        <w:rPr>
          <w:rFonts w:hint="eastAsia" w:ascii="宋体" w:hAnsi="宋体"/>
          <w:sz w:val="24"/>
          <w:lang w:val="zh-CN" w:eastAsia="zh-CN"/>
        </w:rPr>
        <w:t>天津包钢稀土研究院有限责任公司、雄安稀土功能材料创新中心有限公司、包头稀土研究院，北京玻璃研究院有限公司、江苏布拉维光学科技有限公司、厦门中烁光电科技有限公司、国合通用测试评价认证股份有限公司、哈尔滨工业大学、厦门稀土材料研究所、赣州稀土矿业有限公司、国瑞科创稀土功能材料（赣州）有限公司、内蒙古中科蒙稀新材料有限责任公司</w:t>
      </w:r>
      <w:r>
        <w:rPr>
          <w:sz w:val="24"/>
          <w:szCs w:val="32"/>
        </w:rPr>
        <w:t>等</w:t>
      </w:r>
      <w:r>
        <w:rPr>
          <w:rFonts w:hint="eastAsia"/>
          <w:sz w:val="24"/>
          <w:szCs w:val="32"/>
        </w:rPr>
        <w:t>多家</w:t>
      </w:r>
      <w:r>
        <w:rPr>
          <w:sz w:val="24"/>
          <w:szCs w:val="32"/>
        </w:rPr>
        <w:t>单位</w:t>
      </w:r>
      <w:r>
        <w:rPr>
          <w:rFonts w:hint="eastAsia"/>
          <w:sz w:val="24"/>
          <w:szCs w:val="32"/>
        </w:rPr>
        <w:t>共同参与起草</w:t>
      </w:r>
      <w:r>
        <w:rPr>
          <w:sz w:val="24"/>
          <w:szCs w:val="32"/>
        </w:rPr>
        <w:t>。</w:t>
      </w:r>
    </w:p>
    <w:p>
      <w:pPr>
        <w:pStyle w:val="120"/>
        <w:tabs>
          <w:tab w:val="clear" w:pos="675"/>
        </w:tabs>
        <w:spacing w:before="156" w:beforeLines="50" w:after="156" w:afterLines="50" w:line="360" w:lineRule="auto"/>
        <w:ind w:left="0" w:firstLine="0"/>
        <w:rPr>
          <w:rFonts w:hAnsi="黑体"/>
          <w:b/>
          <w:bCs/>
          <w:sz w:val="22"/>
          <w:szCs w:val="21"/>
        </w:rPr>
      </w:pPr>
      <w:r>
        <w:rPr>
          <w:rFonts w:hint="eastAsia" w:hAnsi="黑体"/>
          <w:b/>
          <w:bCs/>
          <w:sz w:val="22"/>
          <w:szCs w:val="21"/>
        </w:rPr>
        <w:t>（二）</w:t>
      </w:r>
      <w:bookmarkStart w:id="1" w:name="_Toc451633880"/>
      <w:r>
        <w:rPr>
          <w:rFonts w:hint="eastAsia" w:hAnsi="黑体"/>
          <w:b/>
          <w:bCs/>
          <w:sz w:val="22"/>
          <w:szCs w:val="21"/>
        </w:rPr>
        <w:t>主要参加单位和工作成员及其所做的工作</w:t>
      </w:r>
      <w:bookmarkEnd w:id="1"/>
    </w:p>
    <w:p>
      <w:pPr>
        <w:spacing w:line="360" w:lineRule="auto"/>
        <w:ind w:firstLine="480" w:firstLineChars="200"/>
        <w:rPr>
          <w:sz w:val="24"/>
          <w:szCs w:val="32"/>
        </w:rPr>
      </w:pPr>
      <w:r>
        <w:rPr>
          <w:rFonts w:hint="eastAsia"/>
          <w:sz w:val="24"/>
          <w:szCs w:val="32"/>
        </w:rPr>
        <w:t>本标准牵头起草单位有研稀土新材料股份有限公司（简称“有研稀土”）</w:t>
      </w:r>
      <w:r>
        <w:rPr>
          <w:sz w:val="24"/>
          <w:szCs w:val="32"/>
        </w:rPr>
        <w:t>负责</w:t>
      </w:r>
      <w:r>
        <w:rPr>
          <w:rFonts w:hint="eastAsia"/>
          <w:sz w:val="24"/>
          <w:szCs w:val="32"/>
        </w:rPr>
        <w:t>组织标准</w:t>
      </w:r>
      <w:r>
        <w:rPr>
          <w:sz w:val="24"/>
          <w:szCs w:val="32"/>
        </w:rPr>
        <w:t>调研、验证、标准起草</w:t>
      </w:r>
      <w:r>
        <w:rPr>
          <w:rFonts w:hint="eastAsia"/>
          <w:sz w:val="24"/>
          <w:szCs w:val="32"/>
        </w:rPr>
        <w:t>、</w:t>
      </w:r>
      <w:r>
        <w:rPr>
          <w:sz w:val="24"/>
          <w:szCs w:val="32"/>
        </w:rPr>
        <w:t>预审、审定报批工作</w:t>
      </w:r>
      <w:r>
        <w:rPr>
          <w:rFonts w:hint="eastAsia"/>
          <w:sz w:val="24"/>
          <w:szCs w:val="32"/>
        </w:rPr>
        <w:t>。有研稀土是</w:t>
      </w:r>
      <w:r>
        <w:rPr>
          <w:sz w:val="24"/>
          <w:szCs w:val="32"/>
        </w:rPr>
        <w:t>2001</w:t>
      </w:r>
      <w:r>
        <w:rPr>
          <w:rFonts w:hint="eastAsia"/>
          <w:sz w:val="24"/>
          <w:szCs w:val="32"/>
        </w:rPr>
        <w:t>年由中国有研科技集团有限公司（原北京有色金属研究总院）作为主发起人对“稀土国家工程研究中心”进行整体改制而设立的股份公司，有研稀土新材料股份有限公司（简称有研稀土）隶属于中央企业中国有研科技集团有限公司，是国家高新技术企业、国家企业技术中心，拥有国内稀土领域唯一的国家工程研究中心：稀土国家工程研究中心。其前身1952年开始稀土研究，是我国最早从事稀土研究开发的单位之一，也是我国稀土工业技术的主要发源地。有研稀土一直积极参与标准的制修订工作，牵头</w:t>
      </w:r>
      <w:r>
        <w:rPr>
          <w:sz w:val="24"/>
          <w:szCs w:val="32"/>
        </w:rPr>
        <w:t>/</w:t>
      </w:r>
      <w:r>
        <w:rPr>
          <w:rFonts w:hint="eastAsia"/>
          <w:sz w:val="24"/>
          <w:szCs w:val="32"/>
        </w:rPr>
        <w:t>参与制定了《高纯金属铽》、《高纯金属镝》、《高纯金属镱》、《金属钬》、《氟化镝》、《氟化钕》、《稀土术语</w:t>
      </w:r>
      <w:r>
        <w:rPr>
          <w:sz w:val="24"/>
          <w:szCs w:val="32"/>
        </w:rPr>
        <w:t>-</w:t>
      </w:r>
      <w:r>
        <w:rPr>
          <w:rFonts w:hint="eastAsia"/>
          <w:sz w:val="24"/>
          <w:szCs w:val="32"/>
        </w:rPr>
        <w:t>稀土金属及合金》、《稀土术语</w:t>
      </w:r>
      <w:r>
        <w:rPr>
          <w:sz w:val="24"/>
          <w:szCs w:val="32"/>
        </w:rPr>
        <w:t>-</w:t>
      </w:r>
      <w:r>
        <w:rPr>
          <w:rFonts w:hint="eastAsia"/>
          <w:sz w:val="24"/>
          <w:szCs w:val="32"/>
        </w:rPr>
        <w:t>稀土矿产品及化合物》、《快淬钕铁硼永磁粉》、《粘结钕铁硼永磁材料》、《钕铁硼速凝薄片合金》等多项稀土国际标准/国家标准/行业标准。多次参与制修订国务院新闻办《中国的稀土状况与政策》白皮书，工信部《稀土行业发展规划（2016-2020年）》、《稀土行业规范条件》、科技部《稀土化合物及金属技术发展战略研究报告》，中国工程院科技咨询项目《稀土功能材料及应用发展战略研究》等稀土政策以及重点报告，为稀土行业发展献言献策。</w:t>
      </w:r>
    </w:p>
    <w:p>
      <w:pPr>
        <w:spacing w:line="360" w:lineRule="auto"/>
        <w:ind w:firstLine="480" w:firstLineChars="200"/>
        <w:rPr>
          <w:sz w:val="24"/>
          <w:szCs w:val="32"/>
        </w:rPr>
      </w:pPr>
      <w:r>
        <w:rPr>
          <w:rFonts w:hint="eastAsia"/>
          <w:sz w:val="24"/>
          <w:szCs w:val="32"/>
        </w:rPr>
        <w:t>标准参与起草单位由</w:t>
      </w:r>
      <w:r>
        <w:rPr>
          <w:rFonts w:hint="eastAsia" w:ascii="宋体" w:hAnsi="宋体"/>
          <w:sz w:val="24"/>
          <w:lang w:val="zh-CN" w:eastAsia="zh-CN"/>
        </w:rPr>
        <w:t>天津包钢稀土研究院有限责任公司、雄安稀土功能材料创新中心有限公司、包头稀土研究院，北京玻璃研究院有限公司、江苏布拉维光学科技有限公司、厦门中烁光电科技有限公司、国合通用测试评价认证股份有限公司、哈尔滨工业大学、厦门稀土材料研究所、赣州稀土矿业有限公司、国瑞科创稀土功能材料（赣州）有限公司、内蒙古中科蒙稀新材料有限责任公司</w:t>
      </w:r>
      <w:r>
        <w:rPr>
          <w:rFonts w:hint="eastAsia"/>
          <w:sz w:val="24"/>
          <w:szCs w:val="32"/>
        </w:rPr>
        <w:t>等多家单位组成，涵盖了国内</w:t>
      </w:r>
      <w:r>
        <w:rPr>
          <w:rFonts w:hint="eastAsia"/>
          <w:sz w:val="24"/>
          <w:szCs w:val="32"/>
          <w:lang w:val="en-US" w:eastAsia="zh-CN"/>
        </w:rPr>
        <w:t>闪烁晶体用高纯无水稀土溴化物</w:t>
      </w:r>
      <w:r>
        <w:rPr>
          <w:rFonts w:hint="eastAsia"/>
          <w:sz w:val="24"/>
          <w:szCs w:val="32"/>
        </w:rPr>
        <w:t>生产</w:t>
      </w:r>
      <w:r>
        <w:rPr>
          <w:rFonts w:hint="eastAsia"/>
          <w:sz w:val="24"/>
          <w:szCs w:val="32"/>
          <w:lang w:eastAsia="zh-CN"/>
        </w:rPr>
        <w:t>、</w:t>
      </w:r>
      <w:r>
        <w:rPr>
          <w:rFonts w:hint="eastAsia"/>
          <w:sz w:val="24"/>
          <w:szCs w:val="32"/>
          <w:lang w:val="en-US" w:eastAsia="zh-CN"/>
        </w:rPr>
        <w:t>应用</w:t>
      </w:r>
      <w:r>
        <w:rPr>
          <w:rFonts w:hint="eastAsia"/>
          <w:sz w:val="24"/>
          <w:szCs w:val="32"/>
        </w:rPr>
        <w:t>优势单位，为本标准的制定提供</w:t>
      </w:r>
      <w:r>
        <w:rPr>
          <w:rFonts w:hint="eastAsia"/>
          <w:sz w:val="24"/>
          <w:szCs w:val="32"/>
          <w:lang w:val="en-US" w:eastAsia="zh-CN"/>
        </w:rPr>
        <w:t>了良好的</w:t>
      </w:r>
      <w:r>
        <w:rPr>
          <w:rFonts w:hint="eastAsia"/>
          <w:sz w:val="24"/>
          <w:szCs w:val="32"/>
        </w:rPr>
        <w:t>技术内容</w:t>
      </w:r>
      <w:r>
        <w:rPr>
          <w:rFonts w:hint="eastAsia"/>
          <w:sz w:val="24"/>
          <w:szCs w:val="32"/>
          <w:lang w:val="en-US" w:eastAsia="zh-CN"/>
        </w:rPr>
        <w:t>支撑</w:t>
      </w:r>
      <w:r>
        <w:rPr>
          <w:rFonts w:hint="eastAsia"/>
          <w:sz w:val="24"/>
          <w:szCs w:val="32"/>
        </w:rPr>
        <w:t>。</w:t>
      </w:r>
    </w:p>
    <w:p>
      <w:pPr>
        <w:spacing w:line="360" w:lineRule="auto"/>
        <w:ind w:firstLine="480" w:firstLineChars="200"/>
        <w:rPr>
          <w:sz w:val="24"/>
          <w:szCs w:val="32"/>
        </w:rPr>
      </w:pPr>
      <w:r>
        <w:rPr>
          <w:rFonts w:hint="eastAsia"/>
          <w:sz w:val="24"/>
          <w:szCs w:val="32"/>
        </w:rPr>
        <w:t>本标准共同起草单位及参与标准制定人的情况见表1。</w:t>
      </w:r>
    </w:p>
    <w:p>
      <w:pPr>
        <w:spacing w:line="360" w:lineRule="auto"/>
        <w:ind w:firstLine="435"/>
        <w:jc w:val="center"/>
        <w:rPr>
          <w:rFonts w:ascii="黑体" w:hAnsi="黑体" w:eastAsia="黑体"/>
          <w:szCs w:val="21"/>
        </w:rPr>
      </w:pPr>
      <w:r>
        <w:rPr>
          <w:rFonts w:hint="eastAsia" w:ascii="黑体" w:hAnsi="黑体" w:eastAsia="黑体"/>
          <w:szCs w:val="21"/>
        </w:rPr>
        <w:t>表1 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4106" w:type="dxa"/>
          </w:tcPr>
          <w:p>
            <w:pPr>
              <w:spacing w:line="360" w:lineRule="auto"/>
              <w:ind w:firstLine="435"/>
              <w:jc w:val="center"/>
              <w:rPr>
                <w:rFonts w:hAnsi="宋体"/>
                <w:szCs w:val="21"/>
              </w:rPr>
            </w:pPr>
            <w:r>
              <w:rPr>
                <w:szCs w:val="21"/>
              </w:rPr>
              <w:t>单位</w:t>
            </w:r>
            <w:r>
              <w:rPr>
                <w:rFonts w:hint="eastAsia"/>
                <w:szCs w:val="21"/>
              </w:rPr>
              <w:t>名称</w:t>
            </w:r>
          </w:p>
        </w:tc>
        <w:tc>
          <w:tcPr>
            <w:tcW w:w="5620" w:type="dxa"/>
          </w:tcPr>
          <w:p>
            <w:pPr>
              <w:spacing w:line="360" w:lineRule="auto"/>
              <w:ind w:firstLine="435"/>
              <w:jc w:val="center"/>
              <w:rPr>
                <w:rFonts w:hAnsi="宋体"/>
                <w:szCs w:val="21"/>
              </w:rPr>
            </w:pPr>
            <w:r>
              <w:rPr>
                <w:rFonts w:hint="eastAsia" w:hAnsi="宋体"/>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4106" w:type="dxa"/>
            <w:vAlign w:val="center"/>
          </w:tcPr>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有研稀土新材料股份有限公司</w:t>
            </w:r>
          </w:p>
        </w:tc>
        <w:tc>
          <w:tcPr>
            <w:tcW w:w="5620" w:type="dxa"/>
            <w:vAlign w:val="center"/>
          </w:tcPr>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w:t>
            </w:r>
            <w:r>
              <w:rPr>
                <w:rFonts w:ascii="Times New Roman" w:cs="Times New Roman"/>
                <w:kern w:val="2"/>
                <w:sz w:val="21"/>
                <w:szCs w:val="21"/>
              </w:rPr>
              <w:t>1</w:t>
            </w:r>
            <w:r>
              <w:rPr>
                <w:rFonts w:hint="eastAsia" w:ascii="Times New Roman" w:cs="Times New Roman"/>
                <w:kern w:val="2"/>
                <w:sz w:val="21"/>
                <w:szCs w:val="21"/>
              </w:rPr>
              <w:t>）牵头制定</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闪烁晶体用高纯无水稀土溴化物》行业标准</w:t>
            </w:r>
            <w:r>
              <w:rPr>
                <w:rFonts w:hint="eastAsia" w:ascii="Times New Roman" w:cs="Times New Roman"/>
                <w:kern w:val="2"/>
                <w:sz w:val="21"/>
                <w:szCs w:val="21"/>
              </w:rPr>
              <w:t>，负责项目任务的组织管理、落实和执行等；</w:t>
            </w:r>
          </w:p>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（2）成立</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闪烁晶体用高纯无水稀土溴化物》</w:t>
            </w:r>
            <w:r>
              <w:rPr>
                <w:rFonts w:hint="eastAsia" w:ascii="Times New Roman" w:cs="Times New Roman"/>
                <w:kern w:val="2"/>
                <w:sz w:val="21"/>
                <w:szCs w:val="21"/>
              </w:rPr>
              <w:t>行业标准项目编制小组，组织标准技术内容讨论；</w:t>
            </w:r>
          </w:p>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w:t>
            </w:r>
            <w:r>
              <w:rPr>
                <w:rFonts w:ascii="Times New Roman" w:cs="Times New Roman"/>
                <w:kern w:val="2"/>
                <w:sz w:val="21"/>
                <w:szCs w:val="21"/>
              </w:rPr>
              <w:t>3</w:t>
            </w:r>
            <w:r>
              <w:rPr>
                <w:rFonts w:hint="eastAsia" w:ascii="Times New Roman" w:cs="Times New Roman"/>
                <w:kern w:val="2"/>
                <w:sz w:val="21"/>
                <w:szCs w:val="21"/>
              </w:rPr>
              <w:t>）收集汇总各标准参与单位和行业内容各专家代表的意见，负责编制</w:t>
            </w:r>
            <w:r>
              <w:rPr>
                <w:rFonts w:hint="eastAsia" w:ascii="Times New Roman" w:cs="Times New Roman"/>
                <w:kern w:val="2"/>
                <w:sz w:val="21"/>
                <w:szCs w:val="21"/>
                <w:lang w:eastAsia="zh-CN"/>
              </w:rPr>
              <w:t>《</w:t>
            </w:r>
            <w:r>
              <w:rPr>
                <w:rFonts w:hint="eastAsia" w:ascii="Times New Roman" w:cs="Times New Roman"/>
                <w:kern w:val="2"/>
                <w:sz w:val="21"/>
                <w:szCs w:val="21"/>
                <w:lang w:val="en-US" w:eastAsia="zh-CN"/>
              </w:rPr>
              <w:t>闪烁晶体用高纯无水稀土溴化物》标准</w:t>
            </w:r>
            <w:r>
              <w:rPr>
                <w:rFonts w:hint="eastAsia" w:ascii="Times New Roman" w:cs="Times New Roman"/>
                <w:kern w:val="2"/>
                <w:sz w:val="21"/>
                <w:szCs w:val="21"/>
              </w:rPr>
              <w:t>征求意见稿、编制说明等文件；</w:t>
            </w:r>
          </w:p>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（4）调研</w:t>
            </w:r>
            <w:r>
              <w:rPr>
                <w:rFonts w:hint="eastAsia" w:ascii="Times New Roman" w:cs="Times New Roman"/>
                <w:kern w:val="2"/>
                <w:sz w:val="21"/>
                <w:szCs w:val="21"/>
                <w:lang w:val="en-US" w:eastAsia="zh-CN"/>
              </w:rPr>
              <w:t>闪烁晶体用高纯无水稀土溴化物</w:t>
            </w:r>
            <w:r>
              <w:rPr>
                <w:rFonts w:hint="eastAsia" w:ascii="Times New Roman" w:cs="Times New Roman"/>
                <w:kern w:val="2"/>
                <w:sz w:val="21"/>
                <w:szCs w:val="21"/>
              </w:rPr>
              <w:t>的应用情况及其技术要求；</w:t>
            </w:r>
          </w:p>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（5）负责完成标准报批文件。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4106" w:type="dxa"/>
            <w:vAlign w:val="center"/>
          </w:tcPr>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lang w:val="zh-CN" w:eastAsia="zh-CN"/>
              </w:rPr>
              <w:t>天津包钢稀土研究院有限责任公司、雄安稀土功能材料创新中心有限公司、包头稀土研究院，北京玻璃研究院有限公司、江苏布拉维光学科技有限公司、厦门中烁光电科技有限公司、国合通用测试评价认证股份有限公司、哈尔滨工业大学、厦门稀土材料研究所、赣州稀土矿业有限公司、国瑞科创稀土功能材料（赣州）有限公司、内蒙古中科蒙稀新材料有限责任公司</w:t>
            </w:r>
          </w:p>
        </w:tc>
        <w:tc>
          <w:tcPr>
            <w:tcW w:w="5620" w:type="dxa"/>
            <w:vAlign w:val="center"/>
          </w:tcPr>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（1）</w:t>
            </w:r>
            <w:bookmarkStart w:id="2" w:name="_Hlk145068566"/>
            <w:r>
              <w:rPr>
                <w:rFonts w:hint="eastAsia" w:ascii="Times New Roman" w:cs="Times New Roman"/>
                <w:kern w:val="2"/>
                <w:sz w:val="21"/>
                <w:szCs w:val="21"/>
              </w:rPr>
              <w:t>提供各单位有关</w:t>
            </w:r>
            <w:r>
              <w:rPr>
                <w:rFonts w:hint="eastAsia" w:ascii="Times New Roman" w:cs="Times New Roman"/>
                <w:kern w:val="2"/>
                <w:sz w:val="21"/>
                <w:szCs w:val="21"/>
                <w:lang w:val="en-US" w:eastAsia="zh-CN"/>
              </w:rPr>
              <w:t>闪烁晶体用高纯无水稀土溴化物的</w:t>
            </w:r>
            <w:r>
              <w:rPr>
                <w:rFonts w:hint="eastAsia" w:ascii="Times New Roman" w:cs="Times New Roman"/>
                <w:kern w:val="2"/>
                <w:sz w:val="21"/>
                <w:szCs w:val="21"/>
              </w:rPr>
              <w:t>生产情况、产品技术指标，以及产品的应用情况</w:t>
            </w:r>
            <w:bookmarkEnd w:id="2"/>
            <w:r>
              <w:rPr>
                <w:rFonts w:hint="eastAsia" w:ascii="Times New Roman" w:cs="Times New Roman"/>
                <w:kern w:val="2"/>
                <w:sz w:val="21"/>
                <w:szCs w:val="21"/>
              </w:rPr>
              <w:t>；</w:t>
            </w:r>
          </w:p>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（2）参与标准技术内容的讨论并给出技术意见反馈；</w:t>
            </w:r>
          </w:p>
          <w:p>
            <w:pPr>
              <w:pStyle w:val="81"/>
              <w:numPr>
                <w:ilvl w:val="255"/>
                <w:numId w:val="0"/>
              </w:numPr>
              <w:adjustRightInd w:val="0"/>
              <w:snapToGrid w:val="0"/>
              <w:spacing w:before="0" w:beforeAutospacing="0" w:after="0" w:afterAutospacing="0" w:line="360" w:lineRule="auto"/>
              <w:jc w:val="both"/>
              <w:rPr>
                <w:rFonts w:ascii="Times New Roman" w:cs="Times New Roman"/>
                <w:kern w:val="2"/>
                <w:sz w:val="21"/>
                <w:szCs w:val="21"/>
              </w:rPr>
            </w:pPr>
            <w:r>
              <w:rPr>
                <w:rFonts w:hint="eastAsia" w:ascii="Times New Roman" w:cs="Times New Roman"/>
                <w:kern w:val="2"/>
                <w:sz w:val="21"/>
                <w:szCs w:val="21"/>
              </w:rPr>
              <w:t>（3）积极参与稀土标委会组织的预审会、审定会，协助标准牵头单位共同完成标准的预审、审定和报批工作。</w:t>
            </w:r>
          </w:p>
        </w:tc>
      </w:tr>
    </w:tbl>
    <w:p>
      <w:pPr>
        <w:pStyle w:val="120"/>
        <w:tabs>
          <w:tab w:val="clear" w:pos="675"/>
        </w:tabs>
        <w:spacing w:before="156" w:beforeLines="50" w:after="156" w:afterLines="50" w:line="360" w:lineRule="auto"/>
        <w:ind w:left="0" w:firstLine="0"/>
        <w:rPr>
          <w:rFonts w:hAnsi="黑体"/>
          <w:b/>
          <w:bCs/>
          <w:sz w:val="24"/>
          <w:szCs w:val="22"/>
        </w:rPr>
      </w:pPr>
      <w:r>
        <w:rPr>
          <w:rFonts w:hint="eastAsia" w:hAnsi="黑体"/>
          <w:b/>
          <w:bCs/>
          <w:sz w:val="24"/>
          <w:szCs w:val="22"/>
        </w:rPr>
        <w:t>（三）研制背景</w:t>
      </w:r>
    </w:p>
    <w:p>
      <w:pPr>
        <w:spacing w:line="360" w:lineRule="auto"/>
        <w:rPr>
          <w:b/>
          <w:bCs/>
          <w:sz w:val="24"/>
          <w:szCs w:val="32"/>
        </w:rPr>
      </w:pPr>
      <w:r>
        <w:rPr>
          <w:b/>
          <w:bCs/>
          <w:sz w:val="24"/>
          <w:szCs w:val="32"/>
        </w:rPr>
        <w:t>1</w:t>
      </w:r>
      <w:r>
        <w:rPr>
          <w:rFonts w:hint="eastAsia"/>
          <w:b/>
          <w:bCs/>
          <w:sz w:val="24"/>
          <w:szCs w:val="32"/>
        </w:rPr>
        <w:t>、项目的必要性简述</w:t>
      </w:r>
    </w:p>
    <w:p>
      <w:pPr>
        <w:adjustRightInd w:val="0"/>
        <w:snapToGrid w:val="0"/>
        <w:spacing w:line="360" w:lineRule="auto"/>
        <w:ind w:firstLine="480" w:firstLineChars="200"/>
        <w:rPr>
          <w:rFonts w:hint="eastAsia"/>
          <w:sz w:val="24"/>
        </w:rPr>
      </w:pPr>
      <w:r>
        <w:rPr>
          <w:rFonts w:hint="eastAsia"/>
          <w:sz w:val="24"/>
        </w:rPr>
        <w:t>以LaBr</w:t>
      </w:r>
      <w:r>
        <w:rPr>
          <w:rFonts w:hint="eastAsia"/>
          <w:sz w:val="24"/>
          <w:vertAlign w:val="subscript"/>
        </w:rPr>
        <w:t>3</w:t>
      </w:r>
      <w:r>
        <w:rPr>
          <w:rFonts w:hint="eastAsia"/>
          <w:sz w:val="24"/>
        </w:rPr>
        <w:t>:Ce、CeBr</w:t>
      </w:r>
      <w:r>
        <w:rPr>
          <w:rFonts w:hint="eastAsia"/>
          <w:sz w:val="24"/>
          <w:vertAlign w:val="subscript"/>
        </w:rPr>
        <w:t>3</w:t>
      </w:r>
      <w:r>
        <w:rPr>
          <w:rFonts w:hint="eastAsia"/>
          <w:sz w:val="24"/>
        </w:rPr>
        <w:t>、Cs</w:t>
      </w:r>
      <w:r>
        <w:rPr>
          <w:rFonts w:hint="eastAsia"/>
          <w:sz w:val="24"/>
          <w:vertAlign w:val="subscript"/>
        </w:rPr>
        <w:t>2</w:t>
      </w:r>
      <w:r>
        <w:rPr>
          <w:rFonts w:hint="eastAsia"/>
          <w:sz w:val="24"/>
        </w:rPr>
        <w:t>LiLaBr</w:t>
      </w:r>
      <w:r>
        <w:rPr>
          <w:rFonts w:hint="eastAsia"/>
          <w:sz w:val="24"/>
          <w:vertAlign w:val="subscript"/>
        </w:rPr>
        <w:t>6</w:t>
      </w:r>
      <w:r>
        <w:rPr>
          <w:rFonts w:hint="eastAsia"/>
          <w:sz w:val="24"/>
        </w:rPr>
        <w:t>:Ce（CLLB）为代表的新型高性能稀土卤化物闪烁晶体是当前无机闪烁材料的发展前沿，具有重要的应用价值和良好的市场前景</w:t>
      </w:r>
      <w:r>
        <w:rPr>
          <w:rFonts w:hint="eastAsia"/>
          <w:sz w:val="24"/>
          <w:lang w:eastAsia="zh-CN"/>
        </w:rPr>
        <w:t>，</w:t>
      </w:r>
      <w:r>
        <w:rPr>
          <w:rFonts w:hint="eastAsia"/>
          <w:sz w:val="24"/>
          <w:lang w:val="en-US" w:eastAsia="zh-CN"/>
        </w:rPr>
        <w:t>特别是在国防军工、深海深空探测前沿科学工程领域具有重大应用，</w:t>
      </w:r>
      <w:r>
        <w:rPr>
          <w:rFonts w:hint="eastAsia"/>
          <w:color w:val="000000"/>
          <w:kern w:val="0"/>
          <w:sz w:val="24"/>
        </w:rPr>
        <w:t>入选重点新材料首批次应用示范指导目录（201</w:t>
      </w:r>
      <w:r>
        <w:rPr>
          <w:rFonts w:hint="eastAsia"/>
          <w:color w:val="000000"/>
          <w:kern w:val="0"/>
          <w:sz w:val="24"/>
          <w:lang w:val="en-US" w:eastAsia="zh-CN"/>
        </w:rPr>
        <w:t>9</w:t>
      </w:r>
      <w:r>
        <w:rPr>
          <w:rFonts w:hint="eastAsia"/>
          <w:color w:val="000000"/>
          <w:kern w:val="0"/>
          <w:sz w:val="24"/>
        </w:rPr>
        <w:t>版）</w:t>
      </w:r>
      <w:r>
        <w:rPr>
          <w:rFonts w:hint="eastAsia"/>
          <w:sz w:val="24"/>
        </w:rPr>
        <w:t>。法国Saint-Gobain公司、德国Hellma Materials公司</w:t>
      </w:r>
      <w:r>
        <w:rPr>
          <w:rFonts w:hint="eastAsia"/>
          <w:sz w:val="24"/>
          <w:lang w:val="en-US" w:eastAsia="zh-CN"/>
        </w:rPr>
        <w:t>在国际上</w:t>
      </w:r>
      <w:r>
        <w:rPr>
          <w:rFonts w:hint="eastAsia"/>
          <w:sz w:val="24"/>
        </w:rPr>
        <w:t>实现了LaBr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、CLLB晶体的量产，并占据了绝大部分市场份额。国内北京玻璃研究院、河北华凯龙科技有限公司等近年来也先后推出了相应的LaBr</w:t>
      </w:r>
      <w:r>
        <w:rPr>
          <w:rFonts w:hint="eastAsia"/>
          <w:sz w:val="24"/>
          <w:vertAlign w:val="subscript"/>
        </w:rPr>
        <w:t>3</w:t>
      </w:r>
      <w:r>
        <w:rPr>
          <w:rFonts w:hint="eastAsia"/>
          <w:sz w:val="24"/>
        </w:rPr>
        <w:t>:Ce</w:t>
      </w:r>
      <w:r>
        <w:rPr>
          <w:rFonts w:hint="eastAsia"/>
          <w:sz w:val="24"/>
          <w:lang w:eastAsia="zh-CN"/>
        </w:rPr>
        <w:t>、</w:t>
      </w:r>
      <w:r>
        <w:rPr>
          <w:rFonts w:hint="eastAsia"/>
          <w:sz w:val="24"/>
          <w:lang w:val="en-US" w:eastAsia="zh-CN"/>
        </w:rPr>
        <w:t>CeBr</w:t>
      </w:r>
      <w:r>
        <w:rPr>
          <w:rFonts w:hint="eastAsia"/>
          <w:sz w:val="24"/>
          <w:vertAlign w:val="subscript"/>
          <w:lang w:val="en-US" w:eastAsia="zh-CN"/>
        </w:rPr>
        <w:t>3</w:t>
      </w:r>
      <w:r>
        <w:rPr>
          <w:rFonts w:hint="eastAsia"/>
          <w:sz w:val="24"/>
        </w:rPr>
        <w:t>晶体产品，市场整体处于快速发展阶段，对晶体生长用溴化镧、溴化铈等高纯无水稀土溴化物原料的需求逐年增加。由于稀土溴化物极易潮解，晶体生长用高纯无水原料的制备较为困难，过去长期依赖进口。</w:t>
      </w:r>
      <w:r>
        <w:rPr>
          <w:rFonts w:hint="eastAsia"/>
          <w:sz w:val="24"/>
          <w:lang w:val="en-US" w:eastAsia="zh-CN"/>
        </w:rPr>
        <w:t>有研稀土</w:t>
      </w:r>
      <w:r>
        <w:rPr>
          <w:rFonts w:hint="eastAsia"/>
          <w:sz w:val="24"/>
        </w:rPr>
        <w:t>于2016年国内率先突破闪烁晶体用高纯无水溴化镧、溴化铈等多种稀土卤化物的批量制备技术，并建成首条中试生产线。相关产品自2017年起实现了批量生产和销售，累计已实现销售超过</w:t>
      </w:r>
      <w:r>
        <w:rPr>
          <w:rFonts w:hint="eastAsia"/>
          <w:sz w:val="24"/>
          <w:lang w:val="en-US" w:eastAsia="zh-CN"/>
        </w:rPr>
        <w:t>2</w:t>
      </w:r>
      <w:r>
        <w:rPr>
          <w:rFonts w:hint="eastAsia"/>
          <w:sz w:val="24"/>
        </w:rPr>
        <w:t>吨，获得了国内外客户的广泛认可。但目前行业内对于闪烁晶体用高纯无水溴化镧、溴化铈没有统一的产品标准，对其产品质量的认定特别是微量水、氧杂质的检测也没有统一的方法，造成市场上稀土卤化物产品质量良莠不齐，阻碍</w:t>
      </w:r>
      <w:r>
        <w:rPr>
          <w:rFonts w:hint="eastAsia"/>
          <w:sz w:val="24"/>
          <w:lang w:val="en-US" w:eastAsia="zh-CN"/>
        </w:rPr>
        <w:t>了</w:t>
      </w:r>
      <w:r>
        <w:rPr>
          <w:rFonts w:hint="eastAsia"/>
          <w:sz w:val="24"/>
        </w:rPr>
        <w:t>LaBr</w:t>
      </w:r>
      <w:r>
        <w:rPr>
          <w:rFonts w:hint="eastAsia"/>
          <w:sz w:val="24"/>
          <w:vertAlign w:val="subscript"/>
        </w:rPr>
        <w:t>3</w:t>
      </w:r>
      <w:r>
        <w:rPr>
          <w:rFonts w:hint="eastAsia"/>
          <w:sz w:val="24"/>
        </w:rPr>
        <w:t>:Ce、CeBr3等稀土卤化物闪烁晶体新材料产业的健康发展，亟待予以规范。</w:t>
      </w:r>
    </w:p>
    <w:p>
      <w:pPr>
        <w:adjustRightInd w:val="0"/>
        <w:snapToGrid w:val="0"/>
        <w:spacing w:line="360" w:lineRule="auto"/>
        <w:ind w:firstLine="480" w:firstLineChars="200"/>
        <w:rPr>
          <w:sz w:val="24"/>
        </w:rPr>
      </w:pPr>
      <w:r>
        <w:rPr>
          <w:rFonts w:hint="eastAsia"/>
          <w:sz w:val="24"/>
        </w:rPr>
        <w:t>目前LaBr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、CLLB晶体主要用于</w:t>
      </w:r>
      <w:r>
        <w:rPr>
          <w:rFonts w:hint="eastAsia"/>
          <w:sz w:val="24"/>
          <w:lang w:val="en-US" w:eastAsia="zh-CN"/>
        </w:rPr>
        <w:t>国防军工、尖端</w:t>
      </w:r>
      <w:r>
        <w:rPr>
          <w:rFonts w:hint="eastAsia"/>
          <w:sz w:val="24"/>
        </w:rPr>
        <w:t>科学仪器等高端领域，全球市场规模约3000万美元，国内市场约3000万元。随着LaBr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生长技术的进一步成熟和下游应用的扩展，其有望替代NaI:Tl、CsI:Tl、BGO、LYSO等传统闪烁晶体，在PET、SPECT等核医学领域以及安全检查、环境监测、石油测井等诸多领域获得应用，推动相关领域的技术升级和高质量发展，具有显著的经济价值。同时，由于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、CLLB晶体主要利用La、Ce等轻稀土资源，其发展也将有力促进我国稀土资源的平衡利用和轻稀土资源的高值化利用。</w:t>
      </w:r>
    </w:p>
    <w:p>
      <w:pPr>
        <w:adjustRightInd w:val="0"/>
        <w:snapToGrid w:val="0"/>
        <w:spacing w:line="360" w:lineRule="auto"/>
        <w:ind w:firstLine="480" w:firstLineChars="200"/>
        <w:rPr>
          <w:sz w:val="24"/>
        </w:rPr>
      </w:pPr>
      <w:r>
        <w:rPr>
          <w:rFonts w:hint="eastAsia"/>
          <w:sz w:val="24"/>
        </w:rPr>
        <w:t>我国虽然是稀土资源大国，但在高性能稀土闪烁晶体领域一直与欧美发达国家存在较大差距。当前，我国在以LaBr</w:t>
      </w:r>
      <w:r>
        <w:rPr>
          <w:rFonts w:hint="eastAsia"/>
          <w:sz w:val="24"/>
          <w:vertAlign w:val="subscript"/>
        </w:rPr>
        <w:t>3</w:t>
      </w:r>
      <w:r>
        <w:rPr>
          <w:rFonts w:hint="eastAsia"/>
          <w:sz w:val="24"/>
        </w:rPr>
        <w:t>:Ce、CeBr</w:t>
      </w:r>
      <w:r>
        <w:rPr>
          <w:rFonts w:hint="eastAsia"/>
          <w:sz w:val="24"/>
          <w:vertAlign w:val="subscript"/>
        </w:rPr>
        <w:t>3</w:t>
      </w:r>
      <w:r>
        <w:rPr>
          <w:rFonts w:hint="eastAsia"/>
          <w:sz w:val="24"/>
        </w:rPr>
        <w:t>为代表的新一代高性能稀土卤化物闪烁晶体材料领域已经建立了较完整的产业链，基本打通了从高纯无水原料制备、大尺寸单晶生长到下游应用器件的关键技术通道，业已具备制订相关产品标准的条件。制订本标准将有助于规范、引导我国闪烁晶体用高纯无水LaBr</w:t>
      </w:r>
      <w:r>
        <w:rPr>
          <w:rFonts w:hint="eastAsia"/>
          <w:sz w:val="24"/>
          <w:vertAlign w:val="subscript"/>
        </w:rPr>
        <w:t>3</w:t>
      </w:r>
      <w:r>
        <w:rPr>
          <w:rFonts w:hint="eastAsia"/>
          <w:sz w:val="24"/>
        </w:rPr>
        <w:t>、CeBr</w:t>
      </w:r>
      <w:r>
        <w:rPr>
          <w:rFonts w:hint="eastAsia"/>
          <w:sz w:val="24"/>
          <w:vertAlign w:val="subscript"/>
        </w:rPr>
        <w:t>3</w:t>
      </w:r>
      <w:r>
        <w:rPr>
          <w:rFonts w:hint="eastAsia"/>
          <w:sz w:val="24"/>
        </w:rPr>
        <w:t>原料的生产和应用，从而支持、推动我国LaBr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、CLLB等高性能稀土卤化物闪烁晶体材料及其下游应用产业的发展，缩小与国际领先水平的差距。</w:t>
      </w:r>
    </w:p>
    <w:p>
      <w:pPr>
        <w:spacing w:line="360" w:lineRule="auto"/>
        <w:rPr>
          <w:b/>
          <w:bCs/>
          <w:sz w:val="24"/>
          <w:szCs w:val="32"/>
        </w:rPr>
      </w:pPr>
      <w:r>
        <w:rPr>
          <w:b/>
          <w:bCs/>
          <w:sz w:val="24"/>
          <w:szCs w:val="32"/>
        </w:rPr>
        <w:t>2</w:t>
      </w:r>
      <w:r>
        <w:rPr>
          <w:rFonts w:hint="eastAsia"/>
          <w:b/>
          <w:bCs/>
          <w:sz w:val="24"/>
          <w:szCs w:val="32"/>
        </w:rPr>
        <w:t>、项目的可行性简述</w:t>
      </w:r>
    </w:p>
    <w:p>
      <w:pPr>
        <w:spacing w:line="360" w:lineRule="auto"/>
        <w:ind w:firstLine="420"/>
        <w:rPr>
          <w:color w:val="000000"/>
          <w:kern w:val="0"/>
          <w:sz w:val="24"/>
        </w:rPr>
      </w:pPr>
      <w:r>
        <w:rPr>
          <w:rFonts w:hint="eastAsia"/>
          <w:color w:val="000000"/>
          <w:kern w:val="0"/>
          <w:sz w:val="24"/>
        </w:rPr>
        <w:t>项目牵头单位和参与单位涵盖了国内主要</w:t>
      </w:r>
      <w:r>
        <w:rPr>
          <w:rFonts w:hint="eastAsia"/>
          <w:color w:val="000000"/>
          <w:kern w:val="0"/>
          <w:sz w:val="24"/>
          <w:lang w:val="en-US" w:eastAsia="zh-CN"/>
        </w:rPr>
        <w:t>的闪烁晶体用高纯无水稀土溴化物</w:t>
      </w:r>
      <w:r>
        <w:rPr>
          <w:rFonts w:hint="eastAsia"/>
          <w:color w:val="000000"/>
          <w:kern w:val="0"/>
          <w:sz w:val="24"/>
        </w:rPr>
        <w:t>生产单位和使用单位，建立了</w:t>
      </w:r>
      <w:r>
        <w:rPr>
          <w:rFonts w:hint="eastAsia"/>
          <w:color w:val="000000"/>
          <w:kern w:val="0"/>
          <w:sz w:val="24"/>
          <w:lang w:val="en-US" w:eastAsia="zh-CN"/>
        </w:rPr>
        <w:t>闪烁晶体用高纯无水稀土溴化物</w:t>
      </w:r>
      <w:r>
        <w:rPr>
          <w:rFonts w:hint="eastAsia"/>
          <w:color w:val="000000"/>
          <w:kern w:val="0"/>
          <w:sz w:val="24"/>
        </w:rPr>
        <w:t>的完整生产工艺及生产线，同时为</w:t>
      </w:r>
      <w:r>
        <w:rPr>
          <w:rFonts w:hint="eastAsia"/>
          <w:color w:val="000000"/>
          <w:kern w:val="0"/>
          <w:sz w:val="24"/>
          <w:lang w:val="en-US" w:eastAsia="zh-CN"/>
        </w:rPr>
        <w:t>闪烁晶体用高纯无水稀土溴化物</w:t>
      </w:r>
      <w:r>
        <w:rPr>
          <w:rFonts w:hint="eastAsia"/>
          <w:color w:val="000000"/>
          <w:kern w:val="0"/>
          <w:sz w:val="24"/>
        </w:rPr>
        <w:t>建立了较完善的工艺操作制度和分析检测制度，为标准技术指标的合理设定提供了良好的基础。此外，</w:t>
      </w:r>
      <w:r>
        <w:rPr>
          <w:rFonts w:hint="eastAsia"/>
          <w:color w:val="000000"/>
          <w:kern w:val="0"/>
          <w:sz w:val="24"/>
          <w:lang w:val="en-US" w:eastAsia="zh-CN"/>
        </w:rPr>
        <w:t>项目牵头单位</w:t>
      </w:r>
      <w:r>
        <w:rPr>
          <w:rFonts w:hint="eastAsia"/>
          <w:color w:val="000000"/>
          <w:kern w:val="0"/>
          <w:sz w:val="24"/>
        </w:rPr>
        <w:t>有研稀土新材料股份有限公司成立2</w:t>
      </w:r>
      <w:r>
        <w:rPr>
          <w:color w:val="000000"/>
          <w:kern w:val="0"/>
          <w:sz w:val="24"/>
        </w:rPr>
        <w:t>0</w:t>
      </w:r>
      <w:r>
        <w:rPr>
          <w:rFonts w:hint="eastAsia"/>
          <w:color w:val="000000"/>
          <w:kern w:val="0"/>
          <w:sz w:val="24"/>
        </w:rPr>
        <w:t>多年来一直积极参与标准的制修订工作，牵头</w:t>
      </w:r>
      <w:r>
        <w:rPr>
          <w:color w:val="000000"/>
          <w:kern w:val="0"/>
          <w:sz w:val="24"/>
        </w:rPr>
        <w:t>/</w:t>
      </w:r>
      <w:r>
        <w:rPr>
          <w:rFonts w:hint="eastAsia"/>
          <w:color w:val="000000"/>
          <w:kern w:val="0"/>
          <w:sz w:val="24"/>
        </w:rPr>
        <w:t>参与制定了《氟化镝》、《氟化钕》、《稀土术语</w:t>
      </w:r>
      <w:r>
        <w:rPr>
          <w:color w:val="000000"/>
          <w:kern w:val="0"/>
          <w:sz w:val="24"/>
        </w:rPr>
        <w:t>-</w:t>
      </w:r>
      <w:r>
        <w:rPr>
          <w:rFonts w:hint="eastAsia"/>
          <w:color w:val="000000"/>
          <w:kern w:val="0"/>
          <w:sz w:val="24"/>
        </w:rPr>
        <w:t>稀土金属及合金》、《稀土术语</w:t>
      </w:r>
      <w:r>
        <w:rPr>
          <w:color w:val="000000"/>
          <w:kern w:val="0"/>
          <w:sz w:val="24"/>
        </w:rPr>
        <w:t>-</w:t>
      </w:r>
      <w:r>
        <w:rPr>
          <w:rFonts w:hint="eastAsia"/>
          <w:color w:val="000000"/>
          <w:kern w:val="0"/>
          <w:sz w:val="24"/>
        </w:rPr>
        <w:t>稀土矿产品及化合物》、《快淬钕铁硼永磁粉》、《粘结钕铁硼永磁材料》、《钕铁硼速凝薄片合金》、《金属钬》、《高纯金属镝》、《高纯金属铽》等</w:t>
      </w:r>
      <w:r>
        <w:rPr>
          <w:color w:val="000000"/>
          <w:kern w:val="0"/>
          <w:sz w:val="24"/>
        </w:rPr>
        <w:t>60</w:t>
      </w:r>
      <w:r>
        <w:rPr>
          <w:rFonts w:hint="eastAsia"/>
          <w:color w:val="000000"/>
          <w:kern w:val="0"/>
          <w:sz w:val="24"/>
        </w:rPr>
        <w:t>多项稀土国际标准/国家标准/行业标准，具备承担标准制修订任务的能力。</w:t>
      </w:r>
    </w:p>
    <w:p>
      <w:pPr>
        <w:pStyle w:val="120"/>
        <w:tabs>
          <w:tab w:val="clear" w:pos="675"/>
        </w:tabs>
        <w:spacing w:before="156" w:beforeLines="50" w:after="156" w:afterLines="50" w:line="360" w:lineRule="auto"/>
        <w:ind w:left="0" w:firstLine="0"/>
        <w:rPr>
          <w:rFonts w:hAnsi="黑体"/>
          <w:b/>
          <w:bCs/>
          <w:sz w:val="22"/>
          <w:szCs w:val="21"/>
        </w:rPr>
      </w:pPr>
      <w:r>
        <w:rPr>
          <w:rFonts w:hint="eastAsia" w:hAnsi="黑体"/>
          <w:b/>
          <w:bCs/>
          <w:sz w:val="22"/>
          <w:szCs w:val="21"/>
        </w:rPr>
        <w:t>（四）主要工作过程</w:t>
      </w:r>
    </w:p>
    <w:p>
      <w:pPr>
        <w:spacing w:line="360" w:lineRule="auto"/>
        <w:rPr>
          <w:b/>
          <w:bCs/>
          <w:sz w:val="24"/>
          <w:szCs w:val="32"/>
        </w:rPr>
      </w:pPr>
      <w:r>
        <w:rPr>
          <w:b/>
          <w:bCs/>
          <w:sz w:val="24"/>
          <w:szCs w:val="32"/>
        </w:rPr>
        <w:t>1、起草阶段</w:t>
      </w:r>
    </w:p>
    <w:p>
      <w:pPr>
        <w:spacing w:line="360" w:lineRule="auto"/>
        <w:ind w:firstLine="420"/>
        <w:rPr>
          <w:color w:val="000000"/>
          <w:kern w:val="0"/>
          <w:sz w:val="24"/>
        </w:rPr>
      </w:pPr>
      <w:r>
        <w:rPr>
          <w:rFonts w:hint="eastAsia"/>
          <w:color w:val="000000"/>
          <w:kern w:val="0"/>
          <w:sz w:val="24"/>
        </w:rPr>
        <w:t>根据任务落实会议精神，</w:t>
      </w:r>
      <w:r>
        <w:rPr>
          <w:rFonts w:hint="eastAsia"/>
          <w:color w:val="000000"/>
          <w:kern w:val="0"/>
          <w:sz w:val="24"/>
          <w:lang w:val="en-US" w:eastAsia="zh-CN"/>
        </w:rPr>
        <w:t>有研稀土</w:t>
      </w:r>
      <w:r>
        <w:rPr>
          <w:rFonts w:hint="eastAsia"/>
          <w:color w:val="000000"/>
          <w:kern w:val="0"/>
          <w:sz w:val="24"/>
        </w:rPr>
        <w:t>牵头组建了《</w:t>
      </w:r>
      <w:r>
        <w:rPr>
          <w:rFonts w:hint="eastAsia"/>
          <w:color w:val="000000"/>
          <w:kern w:val="0"/>
          <w:sz w:val="24"/>
          <w:lang w:val="en-US" w:eastAsia="zh-CN"/>
        </w:rPr>
        <w:t>闪烁晶体用高纯无水稀土溴化物</w:t>
      </w:r>
      <w:r>
        <w:rPr>
          <w:rFonts w:hint="eastAsia"/>
          <w:color w:val="000000"/>
          <w:kern w:val="0"/>
          <w:sz w:val="24"/>
        </w:rPr>
        <w:t>》编制工作组，建立了相应工作交流群，成员涵盖了项目牵头单位和参与单位生产部门、质管办、市场部技术人员。主要进行了如下工作。</w:t>
      </w:r>
    </w:p>
    <w:p>
      <w:pPr>
        <w:pStyle w:val="136"/>
        <w:numPr>
          <w:ilvl w:val="0"/>
          <w:numId w:val="2"/>
        </w:numPr>
        <w:spacing w:line="360" w:lineRule="auto"/>
        <w:ind w:firstLineChars="0"/>
        <w:rPr>
          <w:color w:val="000000"/>
          <w:kern w:val="0"/>
          <w:sz w:val="24"/>
        </w:rPr>
      </w:pPr>
      <w:r>
        <w:rPr>
          <w:color w:val="000000"/>
          <w:kern w:val="0"/>
          <w:sz w:val="24"/>
        </w:rPr>
        <w:t>确立</w:t>
      </w:r>
      <w:r>
        <w:rPr>
          <w:rFonts w:hint="eastAsia"/>
          <w:color w:val="000000"/>
          <w:kern w:val="0"/>
          <w:sz w:val="24"/>
        </w:rPr>
        <w:t>了</w:t>
      </w:r>
      <w:r>
        <w:rPr>
          <w:color w:val="000000"/>
          <w:kern w:val="0"/>
          <w:sz w:val="24"/>
        </w:rPr>
        <w:t>《</w:t>
      </w:r>
      <w:r>
        <w:rPr>
          <w:rFonts w:hint="eastAsia"/>
          <w:color w:val="000000"/>
          <w:kern w:val="0"/>
          <w:sz w:val="24"/>
          <w:lang w:val="en-US" w:eastAsia="zh-CN"/>
        </w:rPr>
        <w:t>闪烁晶体用高纯无水稀土溴化物</w:t>
      </w:r>
      <w:r>
        <w:rPr>
          <w:color w:val="000000"/>
          <w:kern w:val="0"/>
          <w:sz w:val="24"/>
        </w:rPr>
        <w:t xml:space="preserve">》行标起草遵循的基本原则； </w:t>
      </w:r>
    </w:p>
    <w:p>
      <w:pPr>
        <w:pStyle w:val="136"/>
        <w:numPr>
          <w:ilvl w:val="0"/>
          <w:numId w:val="2"/>
        </w:numPr>
        <w:spacing w:line="360" w:lineRule="auto"/>
        <w:ind w:firstLineChars="0"/>
        <w:rPr>
          <w:color w:val="000000"/>
          <w:kern w:val="0"/>
          <w:sz w:val="24"/>
        </w:rPr>
      </w:pPr>
      <w:r>
        <w:rPr>
          <w:color w:val="000000"/>
          <w:kern w:val="0"/>
          <w:sz w:val="24"/>
        </w:rPr>
        <w:t>对生产、使用厂家进行调研取样、收集资料；</w:t>
      </w:r>
    </w:p>
    <w:p>
      <w:pPr>
        <w:pStyle w:val="136"/>
        <w:numPr>
          <w:ilvl w:val="0"/>
          <w:numId w:val="2"/>
        </w:numPr>
        <w:spacing w:line="360" w:lineRule="auto"/>
        <w:ind w:firstLineChars="0"/>
        <w:rPr>
          <w:color w:val="000000"/>
          <w:kern w:val="0"/>
          <w:sz w:val="24"/>
        </w:rPr>
      </w:pPr>
      <w:r>
        <w:rPr>
          <w:color w:val="000000"/>
          <w:kern w:val="0"/>
          <w:sz w:val="24"/>
        </w:rPr>
        <w:t>查阅相关标准；</w:t>
      </w:r>
    </w:p>
    <w:p>
      <w:pPr>
        <w:pStyle w:val="136"/>
        <w:numPr>
          <w:ilvl w:val="0"/>
          <w:numId w:val="2"/>
        </w:numPr>
        <w:spacing w:line="360" w:lineRule="auto"/>
        <w:ind w:firstLineChars="0"/>
        <w:rPr>
          <w:color w:val="000000"/>
          <w:kern w:val="0"/>
          <w:sz w:val="24"/>
        </w:rPr>
      </w:pPr>
      <w:r>
        <w:rPr>
          <w:color w:val="000000"/>
          <w:kern w:val="0"/>
          <w:sz w:val="24"/>
        </w:rPr>
        <w:t>确定产品主要技术内容；</w:t>
      </w:r>
    </w:p>
    <w:p>
      <w:pPr>
        <w:pStyle w:val="136"/>
        <w:numPr>
          <w:ilvl w:val="0"/>
          <w:numId w:val="2"/>
        </w:numPr>
        <w:spacing w:line="360" w:lineRule="auto"/>
        <w:ind w:firstLineChars="0"/>
        <w:rPr>
          <w:color w:val="000000"/>
          <w:kern w:val="0"/>
          <w:sz w:val="24"/>
        </w:rPr>
      </w:pPr>
      <w:r>
        <w:rPr>
          <w:color w:val="000000"/>
          <w:kern w:val="0"/>
          <w:sz w:val="24"/>
        </w:rPr>
        <w:t>确定建立仲裁方法；</w:t>
      </w:r>
    </w:p>
    <w:p>
      <w:pPr>
        <w:pStyle w:val="136"/>
        <w:numPr>
          <w:ilvl w:val="0"/>
          <w:numId w:val="2"/>
        </w:numPr>
        <w:spacing w:line="360" w:lineRule="auto"/>
        <w:ind w:firstLineChars="0"/>
        <w:rPr>
          <w:color w:val="000000"/>
          <w:kern w:val="0"/>
          <w:sz w:val="24"/>
        </w:rPr>
      </w:pPr>
      <w:r>
        <w:rPr>
          <w:color w:val="000000"/>
          <w:kern w:val="0"/>
          <w:sz w:val="24"/>
        </w:rPr>
        <w:t>对产品进行分析测试；</w:t>
      </w:r>
    </w:p>
    <w:p>
      <w:pPr>
        <w:pStyle w:val="136"/>
        <w:numPr>
          <w:ilvl w:val="0"/>
          <w:numId w:val="2"/>
        </w:numPr>
        <w:spacing w:line="360" w:lineRule="auto"/>
        <w:ind w:firstLineChars="0"/>
        <w:rPr>
          <w:color w:val="000000"/>
          <w:kern w:val="0"/>
          <w:sz w:val="24"/>
        </w:rPr>
      </w:pPr>
      <w:r>
        <w:rPr>
          <w:color w:val="000000"/>
          <w:kern w:val="0"/>
          <w:sz w:val="24"/>
        </w:rPr>
        <w:t>根据测试数据确定技术指标取值范围；</w:t>
      </w:r>
    </w:p>
    <w:p>
      <w:pPr>
        <w:pStyle w:val="136"/>
        <w:numPr>
          <w:ilvl w:val="0"/>
          <w:numId w:val="2"/>
        </w:numPr>
        <w:spacing w:line="360" w:lineRule="auto"/>
        <w:ind w:firstLineChars="0"/>
        <w:rPr>
          <w:color w:val="000000"/>
          <w:kern w:val="0"/>
          <w:sz w:val="24"/>
        </w:rPr>
      </w:pPr>
      <w:r>
        <w:rPr>
          <w:color w:val="000000"/>
          <w:kern w:val="0"/>
          <w:sz w:val="24"/>
        </w:rPr>
        <w:t>编写征求意见稿</w:t>
      </w:r>
      <w:r>
        <w:rPr>
          <w:rFonts w:hint="eastAsia"/>
          <w:color w:val="000000"/>
          <w:kern w:val="0"/>
          <w:sz w:val="24"/>
        </w:rPr>
        <w:t>等文件</w:t>
      </w:r>
      <w:r>
        <w:rPr>
          <w:color w:val="000000"/>
          <w:kern w:val="0"/>
          <w:sz w:val="24"/>
        </w:rPr>
        <w:t>。</w:t>
      </w:r>
    </w:p>
    <w:p>
      <w:pPr>
        <w:pStyle w:val="136"/>
        <w:numPr>
          <w:ilvl w:val="0"/>
          <w:numId w:val="2"/>
        </w:numPr>
        <w:spacing w:line="360" w:lineRule="auto"/>
        <w:ind w:firstLineChars="0"/>
        <w:rPr>
          <w:color w:val="000000"/>
          <w:kern w:val="0"/>
          <w:sz w:val="24"/>
        </w:rPr>
      </w:pPr>
      <w:r>
        <w:rPr>
          <w:color w:val="000000"/>
          <w:kern w:val="0"/>
          <w:sz w:val="24"/>
        </w:rPr>
        <w:t>咨询生产厂家及用户，认真听取了用户和专家对产品的意见，汇总后编写征求意见稿。</w:t>
      </w:r>
    </w:p>
    <w:p>
      <w:pPr>
        <w:spacing w:line="360" w:lineRule="auto"/>
        <w:rPr>
          <w:b/>
          <w:bCs/>
          <w:sz w:val="24"/>
          <w:szCs w:val="32"/>
        </w:rPr>
      </w:pPr>
      <w:r>
        <w:rPr>
          <w:b/>
          <w:bCs/>
          <w:sz w:val="24"/>
          <w:szCs w:val="32"/>
        </w:rPr>
        <w:t>2、</w:t>
      </w:r>
      <w:r>
        <w:rPr>
          <w:rFonts w:hint="eastAsia"/>
          <w:b/>
          <w:bCs/>
          <w:sz w:val="24"/>
          <w:szCs w:val="32"/>
        </w:rPr>
        <w:t>征求意见阶段</w:t>
      </w:r>
    </w:p>
    <w:p>
      <w:pPr>
        <w:spacing w:line="360" w:lineRule="auto"/>
        <w:ind w:firstLine="420"/>
        <w:rPr>
          <w:sz w:val="24"/>
        </w:rPr>
      </w:pPr>
      <w:r>
        <w:rPr>
          <w:rFonts w:hint="eastAsia"/>
          <w:color w:val="000000"/>
          <w:kern w:val="0"/>
          <w:sz w:val="24"/>
          <w:lang w:val="en-US" w:eastAsia="zh-CN"/>
        </w:rPr>
        <w:t>2023年9月</w:t>
      </w:r>
      <w:r>
        <w:rPr>
          <w:rFonts w:hint="eastAsia"/>
          <w:color w:val="000000"/>
          <w:kern w:val="0"/>
          <w:sz w:val="24"/>
        </w:rPr>
        <w:t>，牵头单位通过</w:t>
      </w:r>
      <w:r>
        <w:rPr>
          <w:rFonts w:hint="eastAsia"/>
          <w:color w:val="000000"/>
          <w:kern w:val="0"/>
          <w:sz w:val="24"/>
          <w:lang w:val="en-US" w:eastAsia="zh-CN"/>
        </w:rPr>
        <w:t>邮件、微信工作群等方式向标准参与起到单位及其他相关单位发出</w:t>
      </w:r>
      <w:r>
        <w:rPr>
          <w:rFonts w:hint="eastAsia"/>
          <w:color w:val="000000"/>
          <w:kern w:val="0"/>
          <w:sz w:val="24"/>
        </w:rPr>
        <w:t>《</w:t>
      </w:r>
      <w:r>
        <w:rPr>
          <w:rFonts w:hint="eastAsia"/>
          <w:color w:val="000000"/>
          <w:kern w:val="0"/>
          <w:sz w:val="24"/>
          <w:lang w:val="en-US" w:eastAsia="zh-CN"/>
        </w:rPr>
        <w:t>闪烁晶体用高纯无水稀土溴化物</w:t>
      </w:r>
      <w:r>
        <w:rPr>
          <w:rFonts w:hint="eastAsia"/>
          <w:color w:val="000000"/>
          <w:kern w:val="0"/>
          <w:sz w:val="24"/>
        </w:rPr>
        <w:t>》征求意见稿。本标准发送《征求意见稿》的单位数1</w:t>
      </w:r>
      <w:r>
        <w:rPr>
          <w:rFonts w:hint="eastAsia"/>
          <w:color w:val="000000"/>
          <w:kern w:val="0"/>
          <w:sz w:val="24"/>
          <w:lang w:val="en-US" w:eastAsia="zh-CN"/>
        </w:rPr>
        <w:t>6</w:t>
      </w:r>
      <w:r>
        <w:rPr>
          <w:rFonts w:hint="eastAsia"/>
          <w:color w:val="000000"/>
          <w:kern w:val="0"/>
          <w:sz w:val="24"/>
        </w:rPr>
        <w:t>个，回函的单位数</w:t>
      </w:r>
      <w:r>
        <w:rPr>
          <w:color w:val="000000"/>
          <w:kern w:val="0"/>
          <w:sz w:val="24"/>
        </w:rPr>
        <w:t>1</w:t>
      </w:r>
      <w:r>
        <w:rPr>
          <w:rFonts w:hint="eastAsia"/>
          <w:color w:val="000000"/>
          <w:kern w:val="0"/>
          <w:sz w:val="24"/>
          <w:lang w:val="en-US" w:eastAsia="zh-CN"/>
        </w:rPr>
        <w:t>4</w:t>
      </w:r>
      <w:r>
        <w:rPr>
          <w:rFonts w:hint="eastAsia"/>
          <w:color w:val="000000"/>
          <w:kern w:val="0"/>
          <w:sz w:val="24"/>
        </w:rPr>
        <w:t>个，函并有建议或意见的单位数</w:t>
      </w:r>
      <w:r>
        <w:rPr>
          <w:rFonts w:hint="eastAsia"/>
          <w:color w:val="000000"/>
          <w:kern w:val="0"/>
          <w:sz w:val="24"/>
          <w:lang w:val="en-US" w:eastAsia="zh-CN"/>
        </w:rPr>
        <w:t>7</w:t>
      </w:r>
      <w:r>
        <w:rPr>
          <w:rFonts w:hint="eastAsia"/>
          <w:color w:val="000000"/>
          <w:kern w:val="0"/>
          <w:sz w:val="24"/>
        </w:rPr>
        <w:t>个。具体意见见汇总表。</w:t>
      </w:r>
    </w:p>
    <w:p>
      <w:pPr>
        <w:spacing w:line="360" w:lineRule="auto"/>
        <w:rPr>
          <w:b/>
          <w:bCs/>
          <w:sz w:val="24"/>
          <w:szCs w:val="32"/>
        </w:rPr>
      </w:pPr>
      <w:r>
        <w:rPr>
          <w:rFonts w:hint="eastAsia"/>
          <w:b/>
          <w:bCs/>
          <w:sz w:val="24"/>
          <w:szCs w:val="32"/>
        </w:rPr>
        <w:t>3、预审阶段</w:t>
      </w:r>
    </w:p>
    <w:p>
      <w:pPr>
        <w:spacing w:line="360" w:lineRule="auto"/>
        <w:rPr>
          <w:b/>
          <w:bCs/>
          <w:sz w:val="24"/>
          <w:szCs w:val="32"/>
        </w:rPr>
      </w:pPr>
      <w:r>
        <w:rPr>
          <w:rFonts w:hint="eastAsia"/>
          <w:b/>
          <w:bCs/>
          <w:sz w:val="24"/>
          <w:szCs w:val="32"/>
        </w:rPr>
        <w:t xml:space="preserve"> </w:t>
      </w:r>
      <w:r>
        <w:rPr>
          <w:b/>
          <w:bCs/>
          <w:sz w:val="24"/>
          <w:szCs w:val="32"/>
        </w:rPr>
        <w:t xml:space="preserve">   </w:t>
      </w:r>
      <w:r>
        <w:rPr>
          <w:rFonts w:hint="eastAsia"/>
          <w:b/>
          <w:bCs/>
          <w:sz w:val="24"/>
          <w:szCs w:val="32"/>
        </w:rPr>
        <w:t>。。。</w:t>
      </w:r>
    </w:p>
    <w:p>
      <w:pPr>
        <w:spacing w:line="360" w:lineRule="auto"/>
        <w:rPr>
          <w:b/>
          <w:bCs/>
          <w:sz w:val="24"/>
          <w:szCs w:val="32"/>
        </w:rPr>
      </w:pPr>
      <w:r>
        <w:rPr>
          <w:rFonts w:hint="eastAsia"/>
          <w:b/>
          <w:bCs/>
          <w:sz w:val="24"/>
          <w:szCs w:val="32"/>
        </w:rPr>
        <w:t>4、审定阶段</w:t>
      </w:r>
    </w:p>
    <w:p>
      <w:pPr>
        <w:spacing w:line="360" w:lineRule="auto"/>
        <w:rPr>
          <w:b/>
          <w:bCs/>
          <w:sz w:val="24"/>
          <w:szCs w:val="32"/>
        </w:rPr>
      </w:pPr>
      <w:r>
        <w:rPr>
          <w:rFonts w:hint="eastAsia"/>
          <w:b/>
          <w:bCs/>
          <w:sz w:val="24"/>
          <w:szCs w:val="32"/>
        </w:rPr>
        <w:t xml:space="preserve"> </w:t>
      </w:r>
      <w:r>
        <w:rPr>
          <w:b/>
          <w:bCs/>
          <w:sz w:val="24"/>
          <w:szCs w:val="32"/>
        </w:rPr>
        <w:t xml:space="preserve">   </w:t>
      </w:r>
      <w:r>
        <w:rPr>
          <w:rFonts w:hint="eastAsia"/>
          <w:b/>
          <w:bCs/>
          <w:sz w:val="24"/>
          <w:szCs w:val="32"/>
        </w:rPr>
        <w:t>。。。</w:t>
      </w:r>
    </w:p>
    <w:p>
      <w:pPr>
        <w:spacing w:line="360" w:lineRule="auto"/>
        <w:rPr>
          <w:b/>
          <w:bCs/>
          <w:sz w:val="24"/>
          <w:szCs w:val="32"/>
        </w:rPr>
      </w:pPr>
      <w:r>
        <w:rPr>
          <w:rFonts w:hint="eastAsia"/>
          <w:b/>
          <w:bCs/>
          <w:sz w:val="24"/>
          <w:szCs w:val="32"/>
        </w:rPr>
        <w:t>5、报批阶段</w:t>
      </w:r>
    </w:p>
    <w:p>
      <w:pPr>
        <w:spacing w:before="156" w:beforeLines="50" w:after="156" w:afterLines="50" w:line="312" w:lineRule="auto"/>
        <w:rPr>
          <w:rFonts w:ascii="黑体" w:hAnsi="黑体" w:eastAsia="黑体"/>
        </w:rPr>
      </w:pPr>
      <w:r>
        <w:rPr>
          <w:rFonts w:hint="eastAsia" w:ascii="黑体" w:hAnsi="黑体" w:eastAsia="黑体"/>
        </w:rPr>
        <w:t xml:space="preserve"> </w:t>
      </w:r>
      <w:r>
        <w:rPr>
          <w:rFonts w:ascii="黑体" w:hAnsi="黑体" w:eastAsia="黑体"/>
        </w:rPr>
        <w:t xml:space="preserve"> </w:t>
      </w:r>
    </w:p>
    <w:p>
      <w:pPr>
        <w:spacing w:before="156" w:beforeLines="50" w:after="156" w:afterLines="50" w:line="312" w:lineRule="auto"/>
        <w:rPr>
          <w:rFonts w:ascii="黑体" w:hAnsi="宋体" w:eastAsia="黑体"/>
          <w:bCs/>
          <w:sz w:val="24"/>
        </w:rPr>
      </w:pPr>
      <w:r>
        <w:rPr>
          <w:rFonts w:hint="eastAsia" w:ascii="黑体" w:hAnsi="宋体" w:eastAsia="黑体"/>
          <w:bCs/>
          <w:sz w:val="24"/>
        </w:rPr>
        <w:t>二、标准编制原则、主要内容及其确定依据</w:t>
      </w:r>
    </w:p>
    <w:p>
      <w:pPr>
        <w:spacing w:before="156" w:beforeLines="50" w:after="156" w:afterLines="50" w:line="360" w:lineRule="auto"/>
        <w:rPr>
          <w:rFonts w:ascii="黑体" w:hAnsi="宋体" w:eastAsia="黑体"/>
          <w:bCs/>
          <w:sz w:val="24"/>
        </w:rPr>
      </w:pPr>
      <w:r>
        <w:rPr>
          <w:rFonts w:hint="eastAsia" w:ascii="黑体" w:hAnsi="宋体" w:eastAsia="黑体"/>
          <w:bCs/>
          <w:sz w:val="24"/>
        </w:rPr>
        <w:t>1、本标准起草过程中遵循以下原则</w:t>
      </w:r>
    </w:p>
    <w:p>
      <w:pPr>
        <w:spacing w:line="360" w:lineRule="auto"/>
        <w:ind w:firstLine="480" w:firstLineChars="200"/>
        <w:rPr>
          <w:color w:val="000000"/>
          <w:kern w:val="0"/>
          <w:sz w:val="24"/>
        </w:rPr>
      </w:pPr>
      <w:r>
        <w:rPr>
          <w:rFonts w:hint="eastAsia"/>
          <w:color w:val="000000"/>
          <w:kern w:val="0"/>
          <w:sz w:val="24"/>
        </w:rPr>
        <w:t>（1）</w:t>
      </w:r>
      <w:r>
        <w:rPr>
          <w:color w:val="000000"/>
          <w:kern w:val="0"/>
          <w:sz w:val="24"/>
        </w:rPr>
        <w:t>本标准是根据GB/T</w:t>
      </w:r>
      <w:r>
        <w:rPr>
          <w:rFonts w:hint="eastAsia"/>
          <w:color w:val="000000"/>
          <w:kern w:val="0"/>
          <w:sz w:val="24"/>
        </w:rPr>
        <w:t xml:space="preserve"> </w:t>
      </w:r>
      <w:r>
        <w:rPr>
          <w:color w:val="000000"/>
          <w:kern w:val="0"/>
          <w:sz w:val="24"/>
        </w:rPr>
        <w:t>1.1-2020《标准化工作导则 第1部分:标准化文件的结构和起草规则》和GB/T</w:t>
      </w:r>
      <w:r>
        <w:rPr>
          <w:rFonts w:hint="eastAsia"/>
          <w:color w:val="000000"/>
          <w:kern w:val="0"/>
          <w:sz w:val="24"/>
        </w:rPr>
        <w:t xml:space="preserve"> </w:t>
      </w:r>
      <w:r>
        <w:rPr>
          <w:color w:val="000000"/>
          <w:kern w:val="0"/>
          <w:sz w:val="24"/>
        </w:rPr>
        <w:t>20001.4-20</w:t>
      </w:r>
      <w:r>
        <w:rPr>
          <w:rFonts w:hint="eastAsia"/>
          <w:color w:val="000000"/>
          <w:kern w:val="0"/>
          <w:sz w:val="24"/>
        </w:rPr>
        <w:t>15</w:t>
      </w:r>
      <w:r>
        <w:rPr>
          <w:color w:val="000000"/>
          <w:kern w:val="0"/>
          <w:sz w:val="24"/>
        </w:rPr>
        <w:t>《标准编写规则 第4部分：</w:t>
      </w:r>
      <w:r>
        <w:rPr>
          <w:rFonts w:hint="eastAsia"/>
          <w:color w:val="000000"/>
          <w:kern w:val="0"/>
          <w:sz w:val="24"/>
        </w:rPr>
        <w:t>试验方法标准</w:t>
      </w:r>
      <w:r>
        <w:rPr>
          <w:color w:val="000000"/>
          <w:kern w:val="0"/>
          <w:sz w:val="24"/>
        </w:rPr>
        <w:t>》的要求进行编写的</w:t>
      </w:r>
      <w:r>
        <w:rPr>
          <w:rFonts w:hint="eastAsia"/>
          <w:color w:val="000000"/>
          <w:kern w:val="0"/>
          <w:sz w:val="24"/>
        </w:rPr>
        <w:t>；</w:t>
      </w:r>
    </w:p>
    <w:p>
      <w:pPr>
        <w:spacing w:line="360" w:lineRule="auto"/>
        <w:ind w:firstLine="480" w:firstLineChars="200"/>
        <w:rPr>
          <w:color w:val="000000"/>
          <w:kern w:val="0"/>
          <w:sz w:val="24"/>
        </w:rPr>
      </w:pPr>
      <w:r>
        <w:rPr>
          <w:rFonts w:hint="eastAsia"/>
          <w:color w:val="000000"/>
          <w:kern w:val="0"/>
          <w:sz w:val="24"/>
        </w:rPr>
        <w:t>（2）充分满足市场要求的原则；</w:t>
      </w:r>
    </w:p>
    <w:p>
      <w:pPr>
        <w:spacing w:line="360" w:lineRule="auto"/>
        <w:ind w:firstLine="480" w:firstLineChars="200"/>
        <w:rPr>
          <w:color w:val="000000"/>
          <w:kern w:val="0"/>
          <w:sz w:val="24"/>
        </w:rPr>
      </w:pPr>
      <w:r>
        <w:rPr>
          <w:rFonts w:hint="eastAsia"/>
          <w:color w:val="000000"/>
          <w:kern w:val="0"/>
          <w:sz w:val="24"/>
        </w:rPr>
        <w:t>（3）</w:t>
      </w:r>
      <w:r>
        <w:rPr>
          <w:rFonts w:hint="eastAsia"/>
          <w:color w:val="000000"/>
          <w:kern w:val="0"/>
          <w:sz w:val="24"/>
          <w:lang w:val="en-US" w:eastAsia="zh-CN"/>
        </w:rPr>
        <w:t>避</w:t>
      </w:r>
      <w:r>
        <w:rPr>
          <w:rFonts w:hint="eastAsia"/>
          <w:color w:val="000000"/>
          <w:kern w:val="0"/>
          <w:sz w:val="24"/>
        </w:rPr>
        <w:t>繁就简的原则；</w:t>
      </w:r>
    </w:p>
    <w:p>
      <w:pPr>
        <w:spacing w:line="360" w:lineRule="auto"/>
        <w:ind w:firstLine="480" w:firstLineChars="200"/>
        <w:rPr>
          <w:color w:val="000000"/>
          <w:kern w:val="0"/>
          <w:sz w:val="24"/>
        </w:rPr>
      </w:pPr>
      <w:r>
        <w:rPr>
          <w:rFonts w:hint="eastAsia"/>
          <w:color w:val="000000"/>
          <w:kern w:val="0"/>
          <w:sz w:val="24"/>
        </w:rPr>
        <w:t>（4）有利于创新发展的原则。</w:t>
      </w:r>
    </w:p>
    <w:p>
      <w:pPr>
        <w:spacing w:before="156" w:beforeLines="50" w:after="156" w:afterLines="50" w:line="312" w:lineRule="auto"/>
        <w:rPr>
          <w:rFonts w:ascii="黑体" w:hAnsi="宋体" w:eastAsia="黑体"/>
          <w:bCs/>
          <w:sz w:val="24"/>
        </w:rPr>
      </w:pPr>
      <w:r>
        <w:rPr>
          <w:rFonts w:hint="eastAsia" w:ascii="黑体" w:hAnsi="宋体" w:eastAsia="黑体"/>
          <w:bCs/>
          <w:sz w:val="24"/>
        </w:rPr>
        <w:t>2、主要技术内容及其确定的依据</w:t>
      </w:r>
    </w:p>
    <w:p>
      <w:pPr>
        <w:spacing w:line="360" w:lineRule="auto"/>
        <w:rPr>
          <w:rFonts w:ascii="宋体" w:hAnsi="宋体"/>
          <w:color w:val="000000"/>
          <w:kern w:val="0"/>
          <w:szCs w:val="20"/>
        </w:rPr>
      </w:pPr>
      <w:r>
        <w:rPr>
          <w:rFonts w:hint="eastAsia" w:ascii="黑体" w:hAnsi="宋体" w:eastAsia="黑体"/>
          <w:bCs/>
          <w:sz w:val="24"/>
        </w:rPr>
        <w:t>2</w:t>
      </w:r>
      <w:r>
        <w:rPr>
          <w:rFonts w:ascii="黑体" w:hAnsi="宋体" w:eastAsia="黑体"/>
          <w:bCs/>
          <w:sz w:val="24"/>
        </w:rPr>
        <w:t>.1</w:t>
      </w:r>
      <w:r>
        <w:rPr>
          <w:rFonts w:hint="eastAsia" w:ascii="黑体" w:hAnsi="宋体" w:eastAsia="黑体"/>
          <w:bCs/>
          <w:sz w:val="24"/>
        </w:rPr>
        <w:t>主要技术内容</w:t>
      </w:r>
    </w:p>
    <w:p>
      <w:pPr>
        <w:spacing w:line="360" w:lineRule="auto"/>
        <w:ind w:firstLine="480" w:firstLineChars="200"/>
        <w:rPr>
          <w:sz w:val="24"/>
        </w:rPr>
      </w:pPr>
      <w:r>
        <w:rPr>
          <w:rFonts w:hint="eastAsia"/>
          <w:sz w:val="24"/>
        </w:rPr>
        <w:t>（1）范围</w:t>
      </w:r>
    </w:p>
    <w:p>
      <w:pPr>
        <w:spacing w:line="360" w:lineRule="auto"/>
        <w:ind w:firstLine="480" w:firstLineChars="200"/>
        <w:rPr>
          <w:rFonts w:hint="eastAsia"/>
          <w:sz w:val="24"/>
        </w:rPr>
      </w:pPr>
      <w:r>
        <w:rPr>
          <w:rFonts w:hint="eastAsia"/>
          <w:sz w:val="24"/>
        </w:rPr>
        <w:t>本</w:t>
      </w:r>
      <w:r>
        <w:rPr>
          <w:rFonts w:hint="eastAsia"/>
          <w:sz w:val="24"/>
          <w:lang w:val="en-US" w:eastAsia="zh-CN"/>
        </w:rPr>
        <w:t>文件</w:t>
      </w:r>
      <w:r>
        <w:rPr>
          <w:rFonts w:hint="eastAsia"/>
          <w:sz w:val="24"/>
        </w:rPr>
        <w:t>规定了闪烁晶体用高纯无水稀土溴化物的</w:t>
      </w:r>
      <w:r>
        <w:rPr>
          <w:rFonts w:hint="eastAsia"/>
          <w:sz w:val="24"/>
          <w:lang w:val="en-US" w:eastAsia="zh-CN"/>
        </w:rPr>
        <w:t>技术</w:t>
      </w:r>
      <w:r>
        <w:rPr>
          <w:rFonts w:hint="eastAsia"/>
          <w:sz w:val="24"/>
        </w:rPr>
        <w:t>要求、试验方法、检测规则与包装、标志、运输、贮存和质量证明书。</w:t>
      </w:r>
    </w:p>
    <w:p>
      <w:pPr>
        <w:spacing w:line="360" w:lineRule="auto"/>
        <w:ind w:firstLine="480" w:firstLineChars="200"/>
        <w:rPr>
          <w:rFonts w:hint="eastAsia"/>
          <w:sz w:val="24"/>
        </w:rPr>
      </w:pPr>
      <w:r>
        <w:rPr>
          <w:rFonts w:hint="eastAsia"/>
          <w:sz w:val="24"/>
        </w:rPr>
        <w:t>本</w:t>
      </w:r>
      <w:r>
        <w:rPr>
          <w:rFonts w:hint="eastAsia"/>
          <w:sz w:val="24"/>
          <w:lang w:val="en-US" w:eastAsia="zh-CN"/>
        </w:rPr>
        <w:t>文件</w:t>
      </w:r>
      <w:r>
        <w:rPr>
          <w:rFonts w:hint="eastAsia"/>
          <w:sz w:val="24"/>
        </w:rPr>
        <w:t>适用于高纯无水稀土溴化物的生产和使用，主要用于闪烁晶体材料领域。</w:t>
      </w:r>
    </w:p>
    <w:p>
      <w:pPr>
        <w:spacing w:line="360" w:lineRule="auto"/>
        <w:ind w:firstLine="480" w:firstLineChars="200"/>
        <w:rPr>
          <w:sz w:val="24"/>
        </w:rPr>
      </w:pPr>
      <w:r>
        <w:rPr>
          <w:rFonts w:hint="eastAsia"/>
          <w:sz w:val="24"/>
        </w:rPr>
        <w:t>（2）产品分类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高纯无水稀土溴化物主要分为高纯无水溴化镧和高纯无水溴化铈。</w:t>
      </w:r>
      <w:r>
        <w:rPr>
          <w:rFonts w:ascii="Times New Roman" w:hAnsi="Times New Roman" w:cs="Times New Roman"/>
          <w:sz w:val="24"/>
          <w:szCs w:val="24"/>
        </w:rPr>
        <w:t>高纯无水溴化镧产品按化学成分分为LaBr</w:t>
      </w:r>
      <w:r>
        <w:rPr>
          <w:rFonts w:ascii="Times New Roman" w:hAnsi="Times New Roman" w:cs="Times New Roman"/>
          <w:sz w:val="24"/>
          <w:szCs w:val="24"/>
          <w:vertAlign w:val="subscript"/>
        </w:rPr>
        <w:t>3</w:t>
      </w:r>
      <w:r>
        <w:rPr>
          <w:rFonts w:ascii="Times New Roman" w:hAnsi="Times New Roman" w:cs="Times New Roman"/>
          <w:sz w:val="24"/>
          <w:szCs w:val="24"/>
        </w:rPr>
        <w:t>-4N-SC、LaBr</w:t>
      </w:r>
      <w:r>
        <w:rPr>
          <w:rFonts w:ascii="Times New Roman" w:hAnsi="Times New Roman" w:cs="Times New Roman"/>
          <w:sz w:val="24"/>
          <w:szCs w:val="24"/>
          <w:vertAlign w:val="subscript"/>
        </w:rPr>
        <w:t>3</w:t>
      </w:r>
      <w:r>
        <w:rPr>
          <w:rFonts w:ascii="Times New Roman" w:hAnsi="Times New Roman" w:cs="Times New Roman"/>
          <w:sz w:val="24"/>
          <w:szCs w:val="24"/>
        </w:rPr>
        <w:t>-5N-SC两个牌号，高纯无水溴化铈产品按化学成分分为CeBr</w:t>
      </w:r>
      <w:r>
        <w:rPr>
          <w:rFonts w:ascii="Times New Roman" w:hAnsi="Times New Roman" w:cs="Times New Roman"/>
          <w:sz w:val="24"/>
          <w:szCs w:val="24"/>
          <w:vertAlign w:val="subscript"/>
        </w:rPr>
        <w:t>3</w:t>
      </w:r>
      <w:r>
        <w:rPr>
          <w:rFonts w:ascii="Times New Roman" w:hAnsi="Times New Roman" w:cs="Times New Roman"/>
          <w:sz w:val="24"/>
          <w:szCs w:val="24"/>
        </w:rPr>
        <w:t>-4N-SC、CeBr</w:t>
      </w:r>
      <w:r>
        <w:rPr>
          <w:rFonts w:ascii="Times New Roman" w:hAnsi="Times New Roman" w:cs="Times New Roman"/>
          <w:sz w:val="24"/>
          <w:szCs w:val="24"/>
          <w:vertAlign w:val="subscript"/>
        </w:rPr>
        <w:t>3</w:t>
      </w:r>
      <w:r>
        <w:rPr>
          <w:rFonts w:ascii="Times New Roman" w:hAnsi="Times New Roman" w:cs="Times New Roman"/>
          <w:sz w:val="24"/>
          <w:szCs w:val="24"/>
        </w:rPr>
        <w:t>-5N-SC两个牌号，牌号中的</w:t>
      </w:r>
      <w:r>
        <w:rPr>
          <w:rFonts w:hint="eastAsia" w:ascii="Times New Roman" w:hAnsi="Times New Roman" w:cs="Times New Roman"/>
          <w:sz w:val="24"/>
          <w:szCs w:val="24"/>
        </w:rPr>
        <w:t>“</w:t>
      </w:r>
      <w:r>
        <w:rPr>
          <w:rFonts w:ascii="Times New Roman" w:hAnsi="Times New Roman" w:cs="Times New Roman"/>
          <w:sz w:val="24"/>
          <w:szCs w:val="24"/>
        </w:rPr>
        <w:t>SC</w:t>
      </w:r>
      <w:r>
        <w:rPr>
          <w:rFonts w:hint="eastAsia" w:ascii="Times New Roman" w:hAnsi="Times New Roman" w:cs="Times New Roman"/>
          <w:sz w:val="24"/>
          <w:szCs w:val="24"/>
        </w:rPr>
        <w:t>”</w:t>
      </w:r>
      <w:r>
        <w:rPr>
          <w:rFonts w:ascii="Times New Roman" w:hAnsi="Times New Roman" w:cs="Times New Roman"/>
          <w:sz w:val="24"/>
          <w:szCs w:val="24"/>
        </w:rPr>
        <w:t>字母为闪烁晶体英文名称Scintillation Crystal的首字母缩写，代表产品应用领域为闪烁晶体领域。牌号表示方法应符合GB/T 17803的规定。</w:t>
      </w:r>
    </w:p>
    <w:p>
      <w:pPr>
        <w:spacing w:line="360" w:lineRule="auto"/>
        <w:ind w:firstLine="480" w:firstLineChars="200"/>
        <w:rPr>
          <w:sz w:val="24"/>
        </w:rPr>
      </w:pPr>
      <w:r>
        <w:rPr>
          <w:rFonts w:hint="eastAsia"/>
          <w:sz w:val="24"/>
        </w:rPr>
        <w:t>（3）技术要求</w:t>
      </w:r>
    </w:p>
    <w:p>
      <w:pPr>
        <w:spacing w:line="360" w:lineRule="auto"/>
        <w:ind w:firstLine="480" w:firstLineChars="200"/>
        <w:rPr>
          <w:rFonts w:ascii="Times New Roman" w:hAnsi="Times New Roman" w:cs="Times New Roman"/>
        </w:rPr>
      </w:pPr>
      <w:bookmarkStart w:id="3" w:name="_Hlk100430621"/>
      <w:r>
        <w:rPr>
          <w:rFonts w:ascii="Times New Roman" w:hAnsi="Times New Roman" w:cs="Times New Roman"/>
          <w:sz w:val="24"/>
          <w:szCs w:val="24"/>
        </w:rPr>
        <w:t>高纯无水溴化镧、溴化铈产品的化学成分应分别符合表1和表2的规定。需方如有特殊要求，供需双方可另行协议。</w:t>
      </w:r>
    </w:p>
    <w:p>
      <w:pPr>
        <w:spacing w:line="360" w:lineRule="auto"/>
        <w:ind w:firstLine="422" w:firstLineChars="200"/>
        <w:jc w:val="center"/>
        <w:rPr>
          <w:rFonts w:ascii="黑体" w:hAnsi="黑体" w:eastAsia="黑体"/>
          <w:b/>
        </w:rPr>
      </w:pPr>
      <w:r>
        <w:rPr>
          <w:rFonts w:ascii="黑体" w:hAnsi="黑体" w:eastAsia="黑体"/>
          <w:b/>
        </w:rPr>
        <w:t xml:space="preserve">表1 </w:t>
      </w:r>
      <w:r>
        <w:rPr>
          <w:rFonts w:hint="eastAsia" w:ascii="黑体" w:hAnsi="黑体" w:eastAsia="黑体"/>
          <w:b/>
        </w:rPr>
        <w:t>高纯无水溴化镧</w:t>
      </w:r>
      <w:r>
        <w:rPr>
          <w:rFonts w:ascii="黑体" w:hAnsi="黑体" w:eastAsia="黑体"/>
          <w:b/>
        </w:rPr>
        <w:t>化学成分</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1559"/>
        <w:gridCol w:w="1703"/>
        <w:gridCol w:w="2100"/>
        <w:gridCol w:w="2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411" w:type="dxa"/>
            <w:gridSpan w:val="3"/>
            <w:vAlign w:val="center"/>
          </w:tcPr>
          <w:p>
            <w:pPr>
              <w:jc w:val="center"/>
              <w:rPr>
                <w:rFonts w:ascii="Times New Roman" w:hAnsi="Times New Roman" w:cs="Times New Roman"/>
              </w:rPr>
            </w:pPr>
            <w:r>
              <w:rPr>
                <w:rFonts w:ascii="Times New Roman" w:hAnsi="Times New Roman" w:cs="Times New Roman"/>
              </w:rPr>
              <w:t>产品牌号</w:t>
            </w:r>
          </w:p>
        </w:tc>
        <w:tc>
          <w:tcPr>
            <w:tcW w:w="2100" w:type="dxa"/>
            <w:vAlign w:val="center"/>
          </w:tcPr>
          <w:p>
            <w:pPr>
              <w:spacing w:line="240" w:lineRule="auto"/>
              <w:jc w:val="center"/>
              <w:rPr>
                <w:rFonts w:ascii="Times New Roman" w:hAnsi="Times New Roman" w:cs="Times New Roman"/>
              </w:rPr>
            </w:pPr>
            <w:r>
              <w:rPr>
                <w:rFonts w:ascii="Times New Roman" w:hAnsi="Times New Roman" w:cs="Times New Roman"/>
              </w:rPr>
              <w:t>LaBr</w:t>
            </w:r>
            <w:r>
              <w:rPr>
                <w:rFonts w:ascii="Times New Roman" w:hAnsi="Times New Roman" w:cs="Times New Roman"/>
                <w:vertAlign w:val="subscript"/>
              </w:rPr>
              <w:t>3</w:t>
            </w:r>
            <w:r>
              <w:rPr>
                <w:rFonts w:ascii="Times New Roman" w:hAnsi="Times New Roman" w:cs="Times New Roman"/>
              </w:rPr>
              <w:t>-4N-SC</w:t>
            </w:r>
          </w:p>
        </w:tc>
        <w:tc>
          <w:tcPr>
            <w:tcW w:w="2040" w:type="dxa"/>
            <w:vAlign w:val="center"/>
          </w:tcPr>
          <w:p>
            <w:pPr>
              <w:spacing w:line="240" w:lineRule="auto"/>
              <w:jc w:val="center"/>
              <w:rPr>
                <w:rFonts w:ascii="Times New Roman" w:hAnsi="Times New Roman" w:cs="Times New Roman"/>
              </w:rPr>
            </w:pPr>
            <w:r>
              <w:rPr>
                <w:rFonts w:ascii="Times New Roman" w:hAnsi="Times New Roman" w:cs="Times New Roman"/>
              </w:rPr>
              <w:t>LaBr</w:t>
            </w:r>
            <w:r>
              <w:rPr>
                <w:rFonts w:ascii="Times New Roman" w:hAnsi="Times New Roman" w:cs="Times New Roman"/>
                <w:vertAlign w:val="subscript"/>
              </w:rPr>
              <w:t>3</w:t>
            </w:r>
            <w:r>
              <w:rPr>
                <w:rFonts w:ascii="Times New Roman" w:hAnsi="Times New Roman" w:cs="Times New Roman"/>
              </w:rPr>
              <w:t>-5N-SC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49" w:type="dxa"/>
            <w:vMerge w:val="restart"/>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化学成分（质量分数）</w:t>
            </w:r>
            <w:r>
              <w:rPr>
                <w:rFonts w:hint="eastAsia" w:ascii="Times New Roman" w:hAnsi="Times New Roman" w:cs="Times New Roman"/>
                <w:lang w:val="en-US" w:eastAsia="zh-CN"/>
              </w:rPr>
              <w:t>/%</w:t>
            </w:r>
          </w:p>
        </w:tc>
        <w:tc>
          <w:tcPr>
            <w:tcW w:w="3262"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La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/REO</w:t>
            </w:r>
          </w:p>
        </w:tc>
        <w:tc>
          <w:tcPr>
            <w:tcW w:w="2100" w:type="dxa"/>
            <w:shd w:val="clear" w:color="auto" w:fill="auto"/>
            <w:vAlign w:val="center"/>
          </w:tcPr>
          <w:p>
            <w:pPr>
              <w:spacing w:line="240" w:lineRule="auto"/>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w:t>
            </w:r>
          </w:p>
        </w:tc>
        <w:tc>
          <w:tcPr>
            <w:tcW w:w="2040" w:type="dxa"/>
            <w:vAlign w:val="center"/>
          </w:tcPr>
          <w:p>
            <w:pPr>
              <w:spacing w:line="240" w:lineRule="auto"/>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149" w:type="dxa"/>
            <w:vMerge w:val="continue"/>
            <w:vAlign w:val="center"/>
          </w:tcPr>
          <w:p>
            <w:pPr>
              <w:jc w:val="center"/>
              <w:rPr>
                <w:rFonts w:ascii="Times New Roman" w:hAnsi="Times New Roman" w:cs="Times New Roman"/>
              </w:rPr>
            </w:pPr>
          </w:p>
        </w:tc>
        <w:tc>
          <w:tcPr>
            <w:tcW w:w="1559" w:type="dxa"/>
            <w:shd w:val="clear" w:color="auto" w:fill="auto"/>
            <w:vAlign w:val="center"/>
          </w:tcPr>
          <w:p>
            <w:pPr>
              <w:jc w:val="center"/>
              <w:rPr>
                <w:rFonts w:ascii="Times New Roman" w:hAnsi="Times New Roman" w:cs="Times New Roman"/>
              </w:rPr>
            </w:pPr>
            <w:r>
              <w:rPr>
                <w:rFonts w:ascii="Times New Roman" w:hAnsi="Times New Roman" w:cs="Times New Roman"/>
              </w:rPr>
              <w:t xml:space="preserve">稀土杂质/REO </w:t>
            </w:r>
          </w:p>
        </w:tc>
        <w:tc>
          <w:tcPr>
            <w:tcW w:w="1703" w:type="dxa"/>
            <w:shd w:val="clear" w:color="auto" w:fill="auto"/>
            <w:vAlign w:val="center"/>
          </w:tcPr>
          <w:p>
            <w:pPr>
              <w:jc w:val="center"/>
              <w:rPr>
                <w:rFonts w:ascii="Times New Roman" w:hAnsi="Times New Roman" w:cs="Times New Roman"/>
              </w:rPr>
            </w:pPr>
            <w:r>
              <w:rPr>
                <w:rFonts w:ascii="Times New Roman" w:hAnsi="Times New Roman" w:cs="Times New Roman"/>
              </w:rPr>
              <w:t>Ce、Pr、Nd、Sm、Eu、Gd、Tb、Dy、Ho、Er、Tm、Yb、Lu、Sc、Y</w:t>
            </w:r>
          </w:p>
        </w:tc>
        <w:tc>
          <w:tcPr>
            <w:tcW w:w="2100" w:type="dxa"/>
            <w:shd w:val="clear" w:color="auto" w:fill="auto"/>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0.001</w:t>
            </w:r>
          </w:p>
        </w:tc>
        <w:tc>
          <w:tcPr>
            <w:tcW w:w="2040"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非稀土金属杂质</w:t>
            </w:r>
          </w:p>
        </w:tc>
        <w:tc>
          <w:tcPr>
            <w:tcW w:w="1703" w:type="dxa"/>
            <w:vAlign w:val="center"/>
          </w:tcPr>
          <w:p>
            <w:pPr>
              <w:jc w:val="center"/>
              <w:rPr>
                <w:rFonts w:ascii="Times New Roman" w:hAnsi="Times New Roman" w:cs="Times New Roman"/>
              </w:rPr>
            </w:pPr>
            <w:r>
              <w:rPr>
                <w:rFonts w:ascii="Times New Roman" w:hAnsi="Times New Roman" w:cs="Times New Roman"/>
              </w:rPr>
              <w:t>Li、Na、K、</w:t>
            </w:r>
          </w:p>
          <w:p>
            <w:pPr>
              <w:jc w:val="center"/>
              <w:rPr>
                <w:rFonts w:ascii="Times New Roman" w:hAnsi="Times New Roman" w:cs="Times New Roman"/>
              </w:rPr>
            </w:pPr>
            <w:r>
              <w:rPr>
                <w:rFonts w:ascii="Times New Roman" w:hAnsi="Times New Roman" w:cs="Times New Roman"/>
              </w:rPr>
              <w:t>Rb、Cs、Mg</w:t>
            </w:r>
          </w:p>
          <w:p>
            <w:pPr>
              <w:jc w:val="center"/>
              <w:rPr>
                <w:rFonts w:ascii="Times New Roman" w:hAnsi="Times New Roman" w:cs="Times New Roman"/>
              </w:rPr>
            </w:pPr>
            <w:r>
              <w:rPr>
                <w:rFonts w:ascii="Times New Roman" w:hAnsi="Times New Roman" w:cs="Times New Roman"/>
              </w:rPr>
              <w:t>Ca、Sr、Ba</w:t>
            </w:r>
            <w:r>
              <w:rPr>
                <w:rFonts w:hint="eastAsia" w:ascii="Times New Roman" w:hAnsi="Times New Roman" w:cs="Times New Roman"/>
              </w:rPr>
              <w:t>、Al</w:t>
            </w:r>
          </w:p>
        </w:tc>
        <w:tc>
          <w:tcPr>
            <w:tcW w:w="2100" w:type="dxa"/>
            <w:vAlign w:val="center"/>
          </w:tcPr>
          <w:p>
            <w:pPr>
              <w:jc w:val="center"/>
              <w:rPr>
                <w:rFonts w:hint="default" w:ascii="Times New Roman" w:hAnsi="Times New Roman" w:cs="Times New Roman"/>
                <w:lang w:val="en-US"/>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2040"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703" w:type="dxa"/>
          </w:tcPr>
          <w:p>
            <w:pPr>
              <w:jc w:val="center"/>
              <w:rPr>
                <w:rFonts w:ascii="Times New Roman" w:hAnsi="Times New Roman" w:cs="Times New Roman"/>
              </w:rPr>
            </w:pPr>
            <w:r>
              <w:rPr>
                <w:rFonts w:ascii="Times New Roman" w:hAnsi="Times New Roman" w:cs="Times New Roman"/>
              </w:rPr>
              <w:t>Ga、In、Ge、Sn、Pb、Ti、V、Cr、Mn、Fe、Co、Ni、Cu、Zn、W、Cd</w:t>
            </w:r>
          </w:p>
        </w:tc>
        <w:tc>
          <w:tcPr>
            <w:tcW w:w="2100"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c>
          <w:tcPr>
            <w:tcW w:w="2040"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0.0005</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149"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非金属杂质</w:t>
            </w:r>
          </w:p>
        </w:tc>
        <w:tc>
          <w:tcPr>
            <w:tcW w:w="1703" w:type="dxa"/>
            <w:vAlign w:val="center"/>
          </w:tcPr>
          <w:p>
            <w:pPr>
              <w:jc w:val="center"/>
              <w:rPr>
                <w:rFonts w:ascii="Times New Roman" w:hAnsi="Times New Roman" w:cs="Times New Roman"/>
              </w:rPr>
            </w:pPr>
            <w:r>
              <w:rPr>
                <w:rFonts w:ascii="Times New Roman" w:hAnsi="Times New Roman" w:cs="Times New Roman"/>
              </w:rPr>
              <w:t>F、Cl、I、Si、S、P</w:t>
            </w:r>
          </w:p>
        </w:tc>
        <w:tc>
          <w:tcPr>
            <w:tcW w:w="2100"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2040" w:type="dxa"/>
            <w:vAlign w:val="center"/>
          </w:tcPr>
          <w:p>
            <w:pPr>
              <w:jc w:val="center"/>
              <w:rPr>
                <w:rFonts w:hint="default" w:ascii="Times New Roman" w:hAnsi="Times New Roman" w:cs="Times New Roman" w:eastAsiaTheme="minorEastAsia"/>
                <w:lang w:val="en-US" w:eastAsia="zh-C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水、氧杂质</w:t>
            </w:r>
          </w:p>
        </w:tc>
        <w:tc>
          <w:tcPr>
            <w:tcW w:w="1703" w:type="dxa"/>
            <w:vAlign w:val="center"/>
          </w:tcPr>
          <w:p>
            <w:pPr>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tc>
        <w:tc>
          <w:tcPr>
            <w:tcW w:w="2100"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0.001</w:t>
            </w:r>
          </w:p>
        </w:tc>
        <w:tc>
          <w:tcPr>
            <w:tcW w:w="204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w:t>
            </w:r>
            <w:r>
              <w:rPr>
                <w:rFonts w:hint="eastAsia" w:ascii="Times New Roman" w:hAnsi="Times New Roman" w:cs="Times New Roman"/>
                <w:lang w:val="en-US" w:eastAsia="zh-CN"/>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703" w:type="dxa"/>
            <w:vAlign w:val="center"/>
          </w:tcPr>
          <w:p>
            <w:pPr>
              <w:jc w:val="center"/>
              <w:rPr>
                <w:rFonts w:ascii="Times New Roman" w:hAnsi="Times New Roman" w:cs="Times New Roman"/>
              </w:rPr>
            </w:pPr>
            <w:r>
              <w:rPr>
                <w:rFonts w:ascii="Times New Roman" w:hAnsi="Times New Roman" w:cs="Times New Roman"/>
              </w:rPr>
              <w:t>O</w:t>
            </w:r>
          </w:p>
        </w:tc>
        <w:tc>
          <w:tcPr>
            <w:tcW w:w="210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w:t>
            </w:r>
            <w:r>
              <w:rPr>
                <w:rFonts w:hint="eastAsia" w:ascii="Times New Roman" w:hAnsi="Times New Roman" w:cs="Times New Roman"/>
                <w:lang w:val="en-US" w:eastAsia="zh-CN"/>
              </w:rPr>
              <w:t>0.01</w:t>
            </w:r>
          </w:p>
        </w:tc>
        <w:tc>
          <w:tcPr>
            <w:tcW w:w="204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w:t>
            </w:r>
            <w:r>
              <w:rPr>
                <w:rFonts w:hint="eastAsia" w:ascii="Times New Roman" w:hAnsi="Times New Roman" w:cs="Times New Roman"/>
                <w:lang w:val="en-US" w:eastAsia="zh-CN"/>
              </w:rPr>
              <w:t>0.005</w:t>
            </w:r>
          </w:p>
        </w:tc>
      </w:tr>
    </w:tbl>
    <w:p>
      <w:pPr>
        <w:spacing w:line="360" w:lineRule="auto"/>
        <w:ind w:firstLine="422" w:firstLineChars="200"/>
        <w:jc w:val="center"/>
        <w:rPr>
          <w:rFonts w:ascii="Times New Roman" w:hAnsi="Times New Roman" w:eastAsia="黑体" w:cs="Times New Roman"/>
          <w:b/>
        </w:rPr>
      </w:pPr>
    </w:p>
    <w:p>
      <w:pPr>
        <w:spacing w:line="360" w:lineRule="auto"/>
        <w:ind w:firstLine="422" w:firstLineChars="200"/>
        <w:jc w:val="center"/>
        <w:rPr>
          <w:rFonts w:ascii="Times New Roman" w:hAnsi="Times New Roman" w:eastAsia="黑体" w:cs="Times New Roman"/>
          <w:b/>
        </w:rPr>
      </w:pPr>
      <w:r>
        <w:rPr>
          <w:rFonts w:ascii="Times New Roman" w:hAnsi="Times New Roman" w:eastAsia="黑体" w:cs="Times New Roman"/>
          <w:b/>
        </w:rPr>
        <w:t>表2 高纯无水溴化铈化学成分</w:t>
      </w:r>
    </w:p>
    <w:tbl>
      <w:tblPr>
        <w:tblStyle w:val="8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9"/>
        <w:gridCol w:w="1559"/>
        <w:gridCol w:w="1480"/>
        <w:gridCol w:w="2228"/>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188" w:type="dxa"/>
            <w:gridSpan w:val="3"/>
            <w:vAlign w:val="center"/>
          </w:tcPr>
          <w:p>
            <w:pPr>
              <w:spacing w:line="240" w:lineRule="auto"/>
              <w:jc w:val="center"/>
              <w:rPr>
                <w:rFonts w:ascii="Times New Roman" w:hAnsi="Times New Roman" w:cs="Times New Roman"/>
              </w:rPr>
            </w:pPr>
            <w:r>
              <w:rPr>
                <w:rFonts w:ascii="Times New Roman" w:hAnsi="Times New Roman" w:cs="Times New Roman"/>
              </w:rPr>
              <w:t>产品牌号</w:t>
            </w:r>
          </w:p>
        </w:tc>
        <w:tc>
          <w:tcPr>
            <w:tcW w:w="2228" w:type="dxa"/>
            <w:vAlign w:val="center"/>
          </w:tcPr>
          <w:p>
            <w:pPr>
              <w:spacing w:line="240" w:lineRule="auto"/>
              <w:jc w:val="center"/>
              <w:rPr>
                <w:rFonts w:ascii="Times New Roman" w:hAnsi="Times New Roman" w:cs="Times New Roman"/>
              </w:rPr>
            </w:pPr>
            <w:r>
              <w:rPr>
                <w:rFonts w:ascii="Times New Roman" w:hAnsi="Times New Roman" w:cs="Times New Roman"/>
              </w:rPr>
              <w:t>CeBr</w:t>
            </w:r>
            <w:r>
              <w:rPr>
                <w:rFonts w:ascii="Times New Roman" w:hAnsi="Times New Roman" w:cs="Times New Roman"/>
                <w:vertAlign w:val="subscript"/>
              </w:rPr>
              <w:t>3</w:t>
            </w:r>
            <w:r>
              <w:rPr>
                <w:rFonts w:ascii="Times New Roman" w:hAnsi="Times New Roman" w:cs="Times New Roman"/>
              </w:rPr>
              <w:t>-4N-SC</w:t>
            </w:r>
          </w:p>
        </w:tc>
        <w:tc>
          <w:tcPr>
            <w:tcW w:w="1905" w:type="dxa"/>
            <w:vAlign w:val="center"/>
          </w:tcPr>
          <w:p>
            <w:pPr>
              <w:spacing w:line="240" w:lineRule="auto"/>
              <w:jc w:val="center"/>
              <w:rPr>
                <w:rFonts w:ascii="Times New Roman" w:hAnsi="Times New Roman" w:cs="Times New Roman"/>
              </w:rPr>
            </w:pPr>
            <w:r>
              <w:rPr>
                <w:rFonts w:ascii="Times New Roman" w:hAnsi="Times New Roman" w:cs="Times New Roman"/>
              </w:rPr>
              <w:t>CeBr</w:t>
            </w:r>
            <w:r>
              <w:rPr>
                <w:rFonts w:ascii="Times New Roman" w:hAnsi="Times New Roman" w:cs="Times New Roman"/>
                <w:vertAlign w:val="subscript"/>
              </w:rPr>
              <w:t>3</w:t>
            </w:r>
            <w:r>
              <w:rPr>
                <w:rFonts w:ascii="Times New Roman" w:hAnsi="Times New Roman" w:cs="Times New Roman"/>
              </w:rPr>
              <w:t>-5N-SC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149" w:type="dxa"/>
            <w:vMerge w:val="restart"/>
            <w:vAlign w:val="center"/>
          </w:tcPr>
          <w:p>
            <w:pPr>
              <w:jc w:val="center"/>
              <w:rPr>
                <w:rFonts w:hint="eastAsia" w:ascii="Times New Roman" w:hAnsi="Times New Roman" w:cs="Times New Roman" w:eastAsiaTheme="minorEastAsia"/>
                <w:lang w:val="en-US" w:eastAsia="zh-CN"/>
              </w:rPr>
            </w:pPr>
            <w:r>
              <w:rPr>
                <w:rFonts w:ascii="Times New Roman" w:hAnsi="Times New Roman" w:cs="Times New Roman"/>
              </w:rPr>
              <w:t>化学成分（质量分数）</w:t>
            </w:r>
            <w:r>
              <w:rPr>
                <w:rFonts w:hint="eastAsia" w:ascii="Times New Roman" w:hAnsi="Times New Roman" w:cs="Times New Roman"/>
                <w:lang w:val="en-US" w:eastAsia="zh-CN"/>
              </w:rPr>
              <w:t>/%</w:t>
            </w:r>
          </w:p>
        </w:tc>
        <w:tc>
          <w:tcPr>
            <w:tcW w:w="3039"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CeO</w:t>
            </w:r>
            <w:r>
              <w:rPr>
                <w:rFonts w:ascii="Times New Roman" w:hAnsi="Times New Roman" w:cs="Times New Roman"/>
                <w:vertAlign w:val="subscript"/>
              </w:rPr>
              <w:t>2</w:t>
            </w:r>
            <w:r>
              <w:rPr>
                <w:rFonts w:ascii="Times New Roman" w:hAnsi="Times New Roman" w:cs="Times New Roman"/>
              </w:rPr>
              <w:t>/REO</w:t>
            </w:r>
          </w:p>
        </w:tc>
        <w:tc>
          <w:tcPr>
            <w:tcW w:w="2228"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w:t>
            </w:r>
          </w:p>
        </w:tc>
        <w:tc>
          <w:tcPr>
            <w:tcW w:w="1905" w:type="dxa"/>
            <w:vAlign w:val="center"/>
          </w:tcPr>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149" w:type="dxa"/>
            <w:vMerge w:val="continue"/>
            <w:vAlign w:val="center"/>
          </w:tcPr>
          <w:p>
            <w:pPr>
              <w:jc w:val="center"/>
              <w:rPr>
                <w:rFonts w:ascii="Times New Roman" w:hAnsi="Times New Roman" w:cs="Times New Roman"/>
              </w:rPr>
            </w:pPr>
          </w:p>
        </w:tc>
        <w:tc>
          <w:tcPr>
            <w:tcW w:w="1559" w:type="dxa"/>
            <w:shd w:val="clear" w:color="auto" w:fill="auto"/>
            <w:vAlign w:val="center"/>
          </w:tcPr>
          <w:p>
            <w:pPr>
              <w:jc w:val="center"/>
              <w:rPr>
                <w:rFonts w:ascii="Times New Roman" w:hAnsi="Times New Roman" w:cs="Times New Roman"/>
              </w:rPr>
            </w:pPr>
            <w:r>
              <w:rPr>
                <w:rFonts w:ascii="Times New Roman" w:hAnsi="Times New Roman" w:cs="Times New Roman"/>
              </w:rPr>
              <w:t xml:space="preserve">稀土杂质/REO </w:t>
            </w:r>
          </w:p>
        </w:tc>
        <w:tc>
          <w:tcPr>
            <w:tcW w:w="1480" w:type="dxa"/>
            <w:shd w:val="clear" w:color="auto" w:fill="auto"/>
            <w:vAlign w:val="center"/>
          </w:tcPr>
          <w:p>
            <w:pPr>
              <w:jc w:val="center"/>
              <w:rPr>
                <w:rFonts w:ascii="Times New Roman" w:hAnsi="Times New Roman" w:cs="Times New Roman"/>
              </w:rPr>
            </w:pPr>
            <w:r>
              <w:rPr>
                <w:rFonts w:ascii="Times New Roman" w:hAnsi="Times New Roman" w:cs="Times New Roman"/>
              </w:rPr>
              <w:t>La、Pr、Nd、Sm、Eu、Gd、Tb、Dy、Ho、Er、Tm、Yb、Lu、Sc、Y</w:t>
            </w:r>
          </w:p>
        </w:tc>
        <w:tc>
          <w:tcPr>
            <w:tcW w:w="2228" w:type="dxa"/>
            <w:shd w:val="clear" w:color="auto" w:fill="auto"/>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0.001</w:t>
            </w:r>
          </w:p>
        </w:tc>
        <w:tc>
          <w:tcPr>
            <w:tcW w:w="1905"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，各单一稀土</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非稀土金属杂质</w:t>
            </w:r>
          </w:p>
        </w:tc>
        <w:tc>
          <w:tcPr>
            <w:tcW w:w="1480" w:type="dxa"/>
            <w:vAlign w:val="center"/>
          </w:tcPr>
          <w:p>
            <w:pPr>
              <w:jc w:val="center"/>
              <w:rPr>
                <w:rFonts w:ascii="Times New Roman" w:hAnsi="Times New Roman" w:cs="Times New Roman"/>
              </w:rPr>
            </w:pPr>
            <w:r>
              <w:rPr>
                <w:rFonts w:ascii="Times New Roman" w:hAnsi="Times New Roman" w:cs="Times New Roman"/>
              </w:rPr>
              <w:t>Li、Na、K、</w:t>
            </w:r>
          </w:p>
          <w:p>
            <w:pPr>
              <w:jc w:val="center"/>
              <w:rPr>
                <w:rFonts w:ascii="Times New Roman" w:hAnsi="Times New Roman" w:cs="Times New Roman"/>
              </w:rPr>
            </w:pPr>
            <w:r>
              <w:rPr>
                <w:rFonts w:ascii="Times New Roman" w:hAnsi="Times New Roman" w:cs="Times New Roman"/>
              </w:rPr>
              <w:t>Rb、Cs、Mg</w:t>
            </w:r>
          </w:p>
          <w:p>
            <w:pPr>
              <w:jc w:val="center"/>
              <w:rPr>
                <w:rFonts w:ascii="Times New Roman" w:hAnsi="Times New Roman" w:cs="Times New Roman"/>
              </w:rPr>
            </w:pPr>
            <w:r>
              <w:rPr>
                <w:rFonts w:ascii="Times New Roman" w:hAnsi="Times New Roman" w:cs="Times New Roman"/>
              </w:rPr>
              <w:t>Ca、Sr、Ba</w:t>
            </w:r>
            <w:r>
              <w:rPr>
                <w:rFonts w:hint="eastAsia" w:ascii="Times New Roman" w:hAnsi="Times New Roman" w:cs="Times New Roman"/>
              </w:rPr>
              <w:t>、Al</w:t>
            </w:r>
          </w:p>
        </w:tc>
        <w:tc>
          <w:tcPr>
            <w:tcW w:w="2228"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1905"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480" w:type="dxa"/>
          </w:tcPr>
          <w:p>
            <w:pPr>
              <w:jc w:val="center"/>
              <w:rPr>
                <w:rFonts w:ascii="Times New Roman" w:hAnsi="Times New Roman" w:cs="Times New Roman"/>
              </w:rPr>
            </w:pPr>
            <w:r>
              <w:rPr>
                <w:rFonts w:ascii="Times New Roman" w:hAnsi="Times New Roman" w:cs="Times New Roman"/>
              </w:rPr>
              <w:t>Ga、In、Ge、Sn、Pb、Ti、V、Cr、Mn、Fe、Co、Ni、Cu、Zn、W、Cd</w:t>
            </w:r>
          </w:p>
        </w:tc>
        <w:tc>
          <w:tcPr>
            <w:tcW w:w="2228"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c>
          <w:tcPr>
            <w:tcW w:w="1905"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0.0005</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149" w:type="dxa"/>
            <w:vMerge w:val="continue"/>
            <w:vAlign w:val="center"/>
          </w:tcPr>
          <w:p>
            <w:pPr>
              <w:jc w:val="center"/>
              <w:rPr>
                <w:rFonts w:ascii="Times New Roman" w:hAnsi="Times New Roman" w:cs="Times New Roman"/>
              </w:rPr>
            </w:pPr>
          </w:p>
        </w:tc>
        <w:tc>
          <w:tcPr>
            <w:tcW w:w="1559" w:type="dxa"/>
            <w:vAlign w:val="center"/>
          </w:tcPr>
          <w:p>
            <w:pPr>
              <w:jc w:val="center"/>
              <w:rPr>
                <w:rFonts w:ascii="Times New Roman" w:hAnsi="Times New Roman" w:cs="Times New Roman"/>
              </w:rPr>
            </w:pPr>
            <w:r>
              <w:rPr>
                <w:rFonts w:ascii="Times New Roman" w:hAnsi="Times New Roman" w:cs="Times New Roman"/>
              </w:rPr>
              <w:t>非金属杂质</w:t>
            </w:r>
          </w:p>
        </w:tc>
        <w:tc>
          <w:tcPr>
            <w:tcW w:w="1480" w:type="dxa"/>
            <w:vAlign w:val="center"/>
          </w:tcPr>
          <w:p>
            <w:pPr>
              <w:jc w:val="center"/>
              <w:rPr>
                <w:rFonts w:ascii="Times New Roman" w:hAnsi="Times New Roman" w:cs="Times New Roman"/>
              </w:rPr>
            </w:pPr>
            <w:r>
              <w:rPr>
                <w:rFonts w:ascii="Times New Roman" w:hAnsi="Times New Roman" w:cs="Times New Roman"/>
              </w:rPr>
              <w:t>F、Cl、I、Si、S、P</w:t>
            </w:r>
          </w:p>
        </w:tc>
        <w:tc>
          <w:tcPr>
            <w:tcW w:w="2228"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0.002</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0.001</w:t>
            </w:r>
          </w:p>
        </w:tc>
        <w:tc>
          <w:tcPr>
            <w:tcW w:w="1905" w:type="dxa"/>
            <w:vAlign w:val="center"/>
          </w:tcPr>
          <w:p>
            <w:pPr>
              <w:jc w:val="center"/>
              <w:rPr>
                <w:rFonts w:ascii="Times New Roman" w:hAnsi="Times New Roman" w:cs="Times New Roman"/>
              </w:rPr>
            </w:pPr>
            <w:r>
              <w:rPr>
                <w:rFonts w:ascii="Times New Roman" w:hAnsi="Times New Roman" w:cs="Times New Roman"/>
              </w:rPr>
              <w:t>总量</w:t>
            </w:r>
            <w:r>
              <w:rPr>
                <w:rFonts w:hint="eastAsia" w:ascii="Times New Roman" w:hAnsi="Times New Roman" w:cs="Times New Roman"/>
              </w:rPr>
              <w:t>≤</w:t>
            </w:r>
            <w:r>
              <w:rPr>
                <w:rFonts w:hint="eastAsia" w:ascii="Times New Roman" w:hAnsi="Times New Roman" w:cs="Times New Roman"/>
                <w:lang w:val="en-US" w:eastAsia="zh-CN"/>
              </w:rPr>
              <w:t>0.001</w:t>
            </w:r>
            <w:r>
              <w:rPr>
                <w:rFonts w:ascii="Times New Roman" w:hAnsi="Times New Roman" w:cs="Times New Roman"/>
              </w:rPr>
              <w:t>，各单一杂质</w:t>
            </w:r>
            <w:r>
              <w:rPr>
                <w:rFonts w:hint="eastAsia" w:ascii="Times New Roman" w:hAnsi="Times New Roman" w:cs="Times New Roman"/>
              </w:rPr>
              <w:t>≤</w:t>
            </w:r>
            <w:r>
              <w:rPr>
                <w:rFonts w:hint="eastAsia" w:ascii="Times New Roman" w:hAnsi="Times New Roman" w:cs="Times New Roman"/>
                <w:lang w:val="en-US" w:eastAsia="zh-CN"/>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restart"/>
            <w:vAlign w:val="center"/>
          </w:tcPr>
          <w:p>
            <w:pPr>
              <w:jc w:val="center"/>
              <w:rPr>
                <w:rFonts w:ascii="Times New Roman" w:hAnsi="Times New Roman" w:cs="Times New Roman"/>
              </w:rPr>
            </w:pPr>
            <w:r>
              <w:rPr>
                <w:rFonts w:ascii="Times New Roman" w:hAnsi="Times New Roman" w:cs="Times New Roman"/>
              </w:rPr>
              <w:t>水、氧杂质</w:t>
            </w:r>
          </w:p>
        </w:tc>
        <w:tc>
          <w:tcPr>
            <w:tcW w:w="1480" w:type="dxa"/>
            <w:vAlign w:val="center"/>
          </w:tcPr>
          <w:p>
            <w:pPr>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tc>
        <w:tc>
          <w:tcPr>
            <w:tcW w:w="2228"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0.001</w:t>
            </w:r>
          </w:p>
        </w:tc>
        <w:tc>
          <w:tcPr>
            <w:tcW w:w="1905"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149" w:type="dxa"/>
            <w:vMerge w:val="continue"/>
            <w:vAlign w:val="center"/>
          </w:tcPr>
          <w:p>
            <w:pPr>
              <w:jc w:val="center"/>
              <w:rPr>
                <w:rFonts w:ascii="Times New Roman" w:hAnsi="Times New Roman" w:cs="Times New Roman"/>
              </w:rPr>
            </w:pPr>
          </w:p>
        </w:tc>
        <w:tc>
          <w:tcPr>
            <w:tcW w:w="1559" w:type="dxa"/>
            <w:vMerge w:val="continue"/>
            <w:vAlign w:val="center"/>
          </w:tcPr>
          <w:p>
            <w:pPr>
              <w:jc w:val="center"/>
              <w:rPr>
                <w:rFonts w:ascii="Times New Roman" w:hAnsi="Times New Roman" w:cs="Times New Roman"/>
              </w:rPr>
            </w:pPr>
          </w:p>
        </w:tc>
        <w:tc>
          <w:tcPr>
            <w:tcW w:w="1480" w:type="dxa"/>
            <w:vAlign w:val="center"/>
          </w:tcPr>
          <w:p>
            <w:pPr>
              <w:jc w:val="center"/>
              <w:rPr>
                <w:rFonts w:ascii="Times New Roman" w:hAnsi="Times New Roman" w:cs="Times New Roman"/>
              </w:rPr>
            </w:pPr>
            <w:r>
              <w:rPr>
                <w:rFonts w:ascii="Times New Roman" w:hAnsi="Times New Roman" w:cs="Times New Roman"/>
              </w:rPr>
              <w:t>O</w:t>
            </w:r>
          </w:p>
        </w:tc>
        <w:tc>
          <w:tcPr>
            <w:tcW w:w="2228"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0.01</w:t>
            </w:r>
          </w:p>
        </w:tc>
        <w:tc>
          <w:tcPr>
            <w:tcW w:w="1905" w:type="dxa"/>
            <w:vAlign w:val="center"/>
          </w:tcPr>
          <w:p>
            <w:pPr>
              <w:jc w:val="center"/>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0.005</w:t>
            </w:r>
          </w:p>
        </w:tc>
      </w:tr>
      <w:bookmarkEnd w:id="3"/>
    </w:tbl>
    <w:p>
      <w:pPr>
        <w:spacing w:line="360" w:lineRule="auto"/>
        <w:ind w:firstLine="480" w:firstLineChars="200"/>
        <w:rPr>
          <w:rFonts w:hint="eastAsia"/>
          <w:sz w:val="24"/>
        </w:rPr>
      </w:pPr>
      <w:r>
        <w:rPr>
          <w:rFonts w:hint="eastAsia"/>
          <w:sz w:val="24"/>
          <w:lang w:val="en-US" w:eastAsia="zh-CN"/>
        </w:rPr>
        <w:t>外观质量上，</w:t>
      </w:r>
      <w:r>
        <w:rPr>
          <w:rFonts w:hint="eastAsia"/>
          <w:sz w:val="24"/>
        </w:rPr>
        <w:t>产品为白色粉末或沙状颗粒，粒径均匀</w:t>
      </w:r>
      <w:r>
        <w:rPr>
          <w:rFonts w:hint="eastAsia"/>
          <w:sz w:val="24"/>
          <w:lang w:eastAsia="zh-CN"/>
        </w:rPr>
        <w:t>，</w:t>
      </w:r>
      <w:r>
        <w:rPr>
          <w:rFonts w:hint="eastAsia"/>
          <w:sz w:val="24"/>
        </w:rPr>
        <w:t>洁净，无目视可见的夹杂物。</w:t>
      </w:r>
    </w:p>
    <w:p>
      <w:pPr>
        <w:spacing w:line="360" w:lineRule="auto"/>
        <w:ind w:firstLine="480" w:firstLineChars="200"/>
        <w:rPr>
          <w:sz w:val="24"/>
        </w:rPr>
      </w:pPr>
      <w:r>
        <w:rPr>
          <w:rFonts w:hint="eastAsia"/>
          <w:sz w:val="24"/>
        </w:rPr>
        <w:t>（4）试验方法</w:t>
      </w:r>
    </w:p>
    <w:p>
      <w:pPr>
        <w:spacing w:line="360" w:lineRule="auto"/>
        <w:ind w:firstLine="480" w:firstLineChars="200"/>
        <w:rPr>
          <w:rFonts w:hint="eastAsia"/>
          <w:sz w:val="24"/>
        </w:rPr>
      </w:pPr>
      <w:r>
        <w:rPr>
          <w:rFonts w:hint="eastAsia"/>
          <w:sz w:val="24"/>
        </w:rPr>
        <w:t>稀土总量（REO）的分析参照GB/T 14635的规定进行</w:t>
      </w:r>
      <w:r>
        <w:rPr>
          <w:rFonts w:hint="eastAsia"/>
          <w:sz w:val="24"/>
          <w:lang w:val="en-US" w:eastAsia="zh-CN"/>
        </w:rPr>
        <w:t>。稀土</w:t>
      </w:r>
      <w:r>
        <w:rPr>
          <w:rFonts w:hint="eastAsia"/>
          <w:sz w:val="24"/>
        </w:rPr>
        <w:t>杂质含量的分析参照GB/T 18115.1</w:t>
      </w:r>
      <w:r>
        <w:rPr>
          <w:rFonts w:hint="eastAsia"/>
          <w:sz w:val="24"/>
          <w:lang w:val="en-US" w:eastAsia="zh-CN"/>
        </w:rPr>
        <w:t>和</w:t>
      </w:r>
      <w:r>
        <w:rPr>
          <w:rFonts w:hint="eastAsia"/>
          <w:sz w:val="24"/>
        </w:rPr>
        <w:t>GB/T 18115.</w:t>
      </w:r>
      <w:r>
        <w:rPr>
          <w:rFonts w:hint="eastAsia"/>
          <w:sz w:val="24"/>
          <w:lang w:val="en-US" w:eastAsia="zh-CN"/>
        </w:rPr>
        <w:t>2</w:t>
      </w:r>
      <w:r>
        <w:rPr>
          <w:rFonts w:hint="eastAsia"/>
          <w:sz w:val="24"/>
        </w:rPr>
        <w:t>的规定进行。非稀土杂质（水、氧杂质除外）含量的分析参照GB/T 12690的规定进行。</w:t>
      </w:r>
    </w:p>
    <w:p>
      <w:pPr>
        <w:spacing w:line="360" w:lineRule="auto"/>
        <w:ind w:firstLine="480" w:firstLineChars="200"/>
        <w:rPr>
          <w:rFonts w:hint="eastAsia"/>
          <w:sz w:val="24"/>
        </w:rPr>
      </w:pPr>
      <w:r>
        <w:rPr>
          <w:rFonts w:hint="eastAsia"/>
          <w:sz w:val="24"/>
        </w:rPr>
        <w:t>水杂质的分析参照GB/T 11133的规定，</w:t>
      </w:r>
      <w:r>
        <w:rPr>
          <w:rFonts w:hint="eastAsia"/>
          <w:sz w:val="24"/>
          <w:lang w:val="en-US" w:eastAsia="zh-CN"/>
        </w:rPr>
        <w:t>使用卡式炉联用的卡尔费休库仑法滴定仪，</w:t>
      </w:r>
      <w:r>
        <w:rPr>
          <w:rFonts w:hint="eastAsia"/>
          <w:sz w:val="24"/>
        </w:rPr>
        <w:t>采用水分蒸发器间接滴定法进行</w:t>
      </w:r>
      <w:r>
        <w:rPr>
          <w:rFonts w:hint="eastAsia"/>
          <w:sz w:val="24"/>
          <w:lang w:eastAsia="zh-CN"/>
        </w:rPr>
        <w:t>。</w:t>
      </w:r>
      <w:r>
        <w:rPr>
          <w:rFonts w:hint="eastAsia"/>
          <w:sz w:val="24"/>
          <w:lang w:val="en-US" w:eastAsia="zh-CN"/>
        </w:rPr>
        <w:t>精确称量1-2g高纯无水稀土溴化物样品于专用密封安培瓶中，放入卡式炉中加热，</w:t>
      </w:r>
      <w:r>
        <w:rPr>
          <w:rFonts w:hint="eastAsia"/>
          <w:sz w:val="24"/>
        </w:rPr>
        <w:t>加热温度为2</w:t>
      </w:r>
      <w:r>
        <w:rPr>
          <w:rFonts w:hint="eastAsia"/>
          <w:sz w:val="24"/>
          <w:lang w:val="en-US" w:eastAsia="zh-CN"/>
        </w:rPr>
        <w:t>4</w:t>
      </w:r>
      <w:r>
        <w:rPr>
          <w:rFonts w:hint="eastAsia"/>
          <w:sz w:val="24"/>
        </w:rPr>
        <w:t>0±5℃</w:t>
      </w:r>
      <w:r>
        <w:rPr>
          <w:rFonts w:hint="eastAsia"/>
          <w:sz w:val="24"/>
          <w:lang w:eastAsia="zh-CN"/>
        </w:rPr>
        <w:t>，</w:t>
      </w:r>
      <w:r>
        <w:rPr>
          <w:rFonts w:hint="eastAsia"/>
          <w:sz w:val="24"/>
          <w:lang w:val="en-US" w:eastAsia="zh-CN"/>
        </w:rPr>
        <w:t>样品所释放的水分通过干燥惰性载气导入滴定池进行库仑滴定</w:t>
      </w:r>
      <w:r>
        <w:rPr>
          <w:rFonts w:hint="eastAsia"/>
          <w:sz w:val="24"/>
        </w:rPr>
        <w:t>。分析设备整体或进样系统应置于惰性气</w:t>
      </w:r>
      <w:r>
        <w:rPr>
          <w:rFonts w:hint="eastAsia"/>
          <w:sz w:val="24"/>
          <w:lang w:val="en-US" w:eastAsia="zh-CN"/>
        </w:rPr>
        <w:t>氛环境</w:t>
      </w:r>
      <w:r>
        <w:rPr>
          <w:rFonts w:hint="eastAsia"/>
          <w:sz w:val="24"/>
        </w:rPr>
        <w:t>（水、氧含量不高于</w:t>
      </w:r>
      <w:r>
        <w:rPr>
          <w:rFonts w:hint="eastAsia"/>
          <w:sz w:val="24"/>
          <w:lang w:val="en-US" w:eastAsia="zh-CN"/>
        </w:rPr>
        <w:t>0.0001%</w:t>
      </w:r>
      <w:r>
        <w:rPr>
          <w:rFonts w:hint="eastAsia"/>
          <w:sz w:val="24"/>
        </w:rPr>
        <w:t>）中，</w:t>
      </w:r>
      <w:r>
        <w:rPr>
          <w:rFonts w:hint="eastAsia"/>
          <w:sz w:val="24"/>
          <w:lang w:val="en-US" w:eastAsia="zh-CN"/>
        </w:rPr>
        <w:t>所用密封安培瓶、载气管路保持充分干燥，</w:t>
      </w:r>
      <w:r>
        <w:rPr>
          <w:rFonts w:hint="eastAsia"/>
          <w:sz w:val="24"/>
        </w:rPr>
        <w:t>同时所有称量、进样操作均在</w:t>
      </w:r>
      <w:r>
        <w:rPr>
          <w:rFonts w:hint="eastAsia"/>
          <w:sz w:val="24"/>
          <w:lang w:val="en-US" w:eastAsia="zh-CN"/>
        </w:rPr>
        <w:t>该惰性气氛环境</w:t>
      </w:r>
      <w:r>
        <w:rPr>
          <w:rFonts w:hint="eastAsia"/>
          <w:sz w:val="24"/>
        </w:rPr>
        <w:t>中进行。</w:t>
      </w:r>
    </w:p>
    <w:p>
      <w:pPr>
        <w:spacing w:line="360" w:lineRule="auto"/>
        <w:ind w:firstLine="480" w:firstLineChars="200"/>
        <w:rPr>
          <w:rFonts w:hint="eastAsia"/>
          <w:sz w:val="24"/>
        </w:rPr>
      </w:pPr>
      <w:r>
        <w:rPr>
          <w:rFonts w:hint="eastAsia"/>
          <w:sz w:val="24"/>
        </w:rPr>
        <w:t>氧杂质的分析参照GB/T 12690.4的规定进行，氧分析设备整体或进样系统应置于惰性气</w:t>
      </w:r>
      <w:r>
        <w:rPr>
          <w:rFonts w:hint="eastAsia"/>
          <w:sz w:val="24"/>
          <w:lang w:val="en-US" w:eastAsia="zh-CN"/>
        </w:rPr>
        <w:t>氛环境</w:t>
      </w:r>
      <w:r>
        <w:rPr>
          <w:rFonts w:hint="eastAsia"/>
          <w:sz w:val="24"/>
        </w:rPr>
        <w:t>（水、氧含量不高于</w:t>
      </w:r>
      <w:r>
        <w:rPr>
          <w:rFonts w:hint="eastAsia"/>
          <w:sz w:val="24"/>
          <w:lang w:val="en-US" w:eastAsia="zh-CN"/>
        </w:rPr>
        <w:t>0.0001%</w:t>
      </w:r>
      <w:r>
        <w:rPr>
          <w:rFonts w:hint="eastAsia"/>
          <w:sz w:val="24"/>
        </w:rPr>
        <w:t>）中，同时所有称量、进样操作均在</w:t>
      </w:r>
      <w:r>
        <w:rPr>
          <w:rFonts w:hint="eastAsia"/>
          <w:sz w:val="24"/>
          <w:lang w:val="en-US" w:eastAsia="zh-CN"/>
        </w:rPr>
        <w:t>该惰性气氛环境</w:t>
      </w:r>
      <w:r>
        <w:rPr>
          <w:rFonts w:hint="eastAsia"/>
          <w:sz w:val="24"/>
        </w:rPr>
        <w:t>中进行。</w:t>
      </w:r>
    </w:p>
    <w:p>
      <w:pPr>
        <w:spacing w:before="156" w:beforeLines="50" w:after="156" w:afterLines="50" w:line="312" w:lineRule="auto"/>
        <w:rPr>
          <w:rFonts w:ascii="黑体" w:hAnsi="宋体" w:eastAsia="黑体"/>
          <w:bCs/>
          <w:sz w:val="24"/>
        </w:rPr>
      </w:pPr>
      <w:bookmarkStart w:id="4" w:name="_GoBack"/>
      <w:r>
        <w:rPr>
          <w:rFonts w:hint="eastAsia" w:ascii="黑体" w:hAnsi="宋体" w:eastAsia="黑体"/>
          <w:bCs/>
          <w:sz w:val="24"/>
        </w:rPr>
        <w:t>2、主要技术依据</w:t>
      </w:r>
    </w:p>
    <w:bookmarkEnd w:id="4"/>
    <w:p>
      <w:pPr>
        <w:spacing w:line="360" w:lineRule="auto"/>
        <w:ind w:firstLine="480" w:firstLineChars="200"/>
        <w:rPr>
          <w:rFonts w:hint="eastAsia" w:eastAsia="宋体"/>
          <w:sz w:val="24"/>
          <w:lang w:val="en-US" w:eastAsia="zh-CN"/>
        </w:rPr>
      </w:pPr>
      <w:r>
        <w:rPr>
          <w:rFonts w:hint="eastAsia"/>
          <w:sz w:val="24"/>
        </w:rPr>
        <w:t>闪烁晶体广泛应用于核医学、高能物理、安全检查、环境监测、石油测井、地质勘探、工业检测等领域，具有重要的社会和经济价值。全球每年需求超过300吨，价值约4亿美元，带动下游产值超千亿元。LaBr</w:t>
      </w:r>
      <w:r>
        <w:rPr>
          <w:rFonts w:hint="eastAsia"/>
          <w:sz w:val="24"/>
          <w:vertAlign w:val="subscript"/>
        </w:rPr>
        <w:t>3</w:t>
      </w:r>
      <w:r>
        <w:rPr>
          <w:rFonts w:hint="eastAsia"/>
          <w:sz w:val="24"/>
        </w:rPr>
        <w:t>:Ce、CeBr</w:t>
      </w:r>
      <w:r>
        <w:rPr>
          <w:rFonts w:hint="eastAsia"/>
          <w:sz w:val="24"/>
          <w:vertAlign w:val="subscript"/>
        </w:rPr>
        <w:t>3</w:t>
      </w:r>
      <w:r>
        <w:rPr>
          <w:rFonts w:hint="eastAsia"/>
          <w:sz w:val="24"/>
        </w:rPr>
        <w:t>、Cs</w:t>
      </w:r>
      <w:r>
        <w:rPr>
          <w:rFonts w:hint="eastAsia"/>
          <w:sz w:val="24"/>
          <w:vertAlign w:val="subscript"/>
        </w:rPr>
        <w:t>2</w:t>
      </w:r>
      <w:r>
        <w:rPr>
          <w:rFonts w:hint="eastAsia"/>
          <w:sz w:val="24"/>
        </w:rPr>
        <w:t>LiLaBr</w:t>
      </w:r>
      <w:r>
        <w:rPr>
          <w:rFonts w:hint="eastAsia"/>
          <w:sz w:val="24"/>
          <w:vertAlign w:val="subscript"/>
        </w:rPr>
        <w:t>6</w:t>
      </w:r>
      <w:r>
        <w:rPr>
          <w:rFonts w:hint="eastAsia"/>
          <w:sz w:val="24"/>
        </w:rPr>
        <w:t>：Ce（CLLB）等晶体是新一代高性能稀土闪烁晶体的代表，具有高光产额、高能量分辨率、快衰减等优异性能，CLLB晶体还可实现中子-伽马的多模探测，性能全面优于传统的NaI:Tl、CsI:Tl等晶体，因而在核医学等各种领域都有极佳的应用前景，是当前国际无机闪烁晶体材料领域的产业发展重点。</w:t>
      </w:r>
      <w:r>
        <w:rPr>
          <w:rFonts w:hint="eastAsia"/>
          <w:sz w:val="24"/>
          <w:lang w:val="en-US" w:eastAsia="zh-CN"/>
        </w:rPr>
        <w:t>高性能稀土卤化物闪烁晶体的发展，对LaBr</w:t>
      </w:r>
      <w:r>
        <w:rPr>
          <w:rFonts w:hint="eastAsia"/>
          <w:sz w:val="24"/>
          <w:vertAlign w:val="subscript"/>
          <w:lang w:val="en-US" w:eastAsia="zh-CN"/>
        </w:rPr>
        <w:t>3</w:t>
      </w:r>
      <w:r>
        <w:rPr>
          <w:rFonts w:hint="eastAsia"/>
          <w:sz w:val="24"/>
          <w:lang w:val="en-US" w:eastAsia="zh-CN"/>
        </w:rPr>
        <w:t>、CeBr</w:t>
      </w:r>
      <w:r>
        <w:rPr>
          <w:rFonts w:hint="eastAsia"/>
          <w:sz w:val="24"/>
          <w:vertAlign w:val="subscript"/>
          <w:lang w:val="en-US" w:eastAsia="zh-CN"/>
        </w:rPr>
        <w:t>3</w:t>
      </w:r>
      <w:r>
        <w:rPr>
          <w:rFonts w:hint="eastAsia"/>
          <w:sz w:val="24"/>
          <w:lang w:val="en-US" w:eastAsia="zh-CN"/>
        </w:rPr>
        <w:t>等高纯无水稀土溴化物原料产生了迫切需求，但由于</w:t>
      </w:r>
      <w:r>
        <w:rPr>
          <w:rFonts w:hint="eastAsia"/>
          <w:sz w:val="24"/>
        </w:rPr>
        <w:t>LaBr</w:t>
      </w:r>
      <w:r>
        <w:rPr>
          <w:rFonts w:hint="eastAsia"/>
          <w:sz w:val="24"/>
          <w:vertAlign w:val="subscript"/>
        </w:rPr>
        <w:t>3</w:t>
      </w:r>
      <w:r>
        <w:rPr>
          <w:rFonts w:hint="eastAsia"/>
          <w:sz w:val="24"/>
        </w:rPr>
        <w:t>、CeBr</w:t>
      </w:r>
      <w:r>
        <w:rPr>
          <w:rFonts w:hint="eastAsia"/>
          <w:sz w:val="24"/>
          <w:vertAlign w:val="subscript"/>
        </w:rPr>
        <w:t>3</w:t>
      </w:r>
      <w:r>
        <w:rPr>
          <w:rFonts w:hint="eastAsia"/>
          <w:sz w:val="24"/>
        </w:rPr>
        <w:t>原料本身极易吸潮，其制备十分困难。过去晶体用高纯无水原料主要由美国Sigma-aldrich和美国APL公司垄断，国内长期依赖高价进口</w:t>
      </w:r>
      <w:r>
        <w:rPr>
          <w:rFonts w:hint="eastAsia"/>
          <w:sz w:val="24"/>
          <w:lang w:eastAsia="zh-CN"/>
        </w:rPr>
        <w:t>。</w:t>
      </w:r>
    </w:p>
    <w:p>
      <w:pPr>
        <w:spacing w:line="360" w:lineRule="auto"/>
        <w:ind w:firstLine="480" w:firstLineChars="200"/>
        <w:rPr>
          <w:rFonts w:hint="default"/>
          <w:sz w:val="24"/>
          <w:lang w:val="en-US"/>
        </w:rPr>
      </w:pPr>
      <w:r>
        <w:rPr>
          <w:rFonts w:hint="eastAsia"/>
          <w:sz w:val="24"/>
        </w:rPr>
        <w:t>本标准起草单位通过技术开发、产品分析、对标分析与市场调研相结合的手段，科学确定了</w:t>
      </w:r>
      <w:r>
        <w:rPr>
          <w:rFonts w:hint="eastAsia"/>
          <w:sz w:val="24"/>
          <w:lang w:val="en-US" w:eastAsia="zh-CN"/>
        </w:rPr>
        <w:t>闪烁晶体</w:t>
      </w:r>
      <w:r>
        <w:rPr>
          <w:rFonts w:hint="eastAsia"/>
          <w:sz w:val="24"/>
        </w:rPr>
        <w:t>用</w:t>
      </w:r>
      <w:r>
        <w:rPr>
          <w:rFonts w:hint="eastAsia"/>
          <w:sz w:val="24"/>
          <w:lang w:val="en-US" w:eastAsia="zh-CN"/>
        </w:rPr>
        <w:t>高纯无水稀土溴化物</w:t>
      </w:r>
      <w:r>
        <w:rPr>
          <w:rFonts w:hint="eastAsia"/>
          <w:sz w:val="24"/>
        </w:rPr>
        <w:t>的关键特性和关键参数，规范了指标评价体系。一是</w:t>
      </w:r>
      <w:r>
        <w:rPr>
          <w:rFonts w:hint="eastAsia"/>
          <w:sz w:val="24"/>
          <w:lang w:val="en-US" w:eastAsia="zh-CN"/>
        </w:rPr>
        <w:t>对其化学成分进行了详细规定</w:t>
      </w:r>
      <w:r>
        <w:rPr>
          <w:rFonts w:hint="eastAsia"/>
          <w:sz w:val="24"/>
        </w:rPr>
        <w:t>，除规定稀土含量、</w:t>
      </w:r>
      <w:r>
        <w:rPr>
          <w:rFonts w:hint="eastAsia"/>
          <w:sz w:val="24"/>
          <w:lang w:val="en-US" w:eastAsia="zh-CN"/>
        </w:rPr>
        <w:t>非稀土杂质</w:t>
      </w:r>
      <w:r>
        <w:rPr>
          <w:rFonts w:hint="eastAsia"/>
          <w:sz w:val="24"/>
        </w:rPr>
        <w:t>等基本参数外，</w:t>
      </w:r>
      <w:r>
        <w:rPr>
          <w:rFonts w:hint="eastAsia"/>
          <w:sz w:val="24"/>
          <w:lang w:val="en-US" w:eastAsia="zh-CN"/>
        </w:rPr>
        <w:t>重点结合单晶生长</w:t>
      </w:r>
      <w:r>
        <w:rPr>
          <w:rFonts w:hint="eastAsia"/>
          <w:sz w:val="24"/>
        </w:rPr>
        <w:t>实际应用要求，严格限定了</w:t>
      </w:r>
      <w:r>
        <w:rPr>
          <w:rFonts w:hint="eastAsia"/>
          <w:sz w:val="24"/>
          <w:lang w:val="en-US" w:eastAsia="zh-CN"/>
        </w:rPr>
        <w:t>稀土溴化物</w:t>
      </w:r>
      <w:r>
        <w:rPr>
          <w:rFonts w:hint="eastAsia"/>
          <w:sz w:val="24"/>
        </w:rPr>
        <w:t>的</w:t>
      </w:r>
      <w:r>
        <w:rPr>
          <w:rFonts w:hint="eastAsia"/>
          <w:sz w:val="24"/>
          <w:lang w:val="en-US" w:eastAsia="zh-CN"/>
        </w:rPr>
        <w:t>水</w:t>
      </w:r>
      <w:r>
        <w:rPr>
          <w:rFonts w:hint="eastAsia"/>
          <w:sz w:val="24"/>
        </w:rPr>
        <w:t>含量和</w:t>
      </w:r>
      <w:r>
        <w:rPr>
          <w:rFonts w:hint="eastAsia"/>
          <w:sz w:val="24"/>
          <w:lang w:val="en-US" w:eastAsia="zh-CN"/>
        </w:rPr>
        <w:t>氧</w:t>
      </w:r>
      <w:r>
        <w:rPr>
          <w:rFonts w:hint="eastAsia"/>
          <w:sz w:val="24"/>
        </w:rPr>
        <w:t>含量</w:t>
      </w:r>
      <w:r>
        <w:rPr>
          <w:rFonts w:hint="eastAsia"/>
          <w:sz w:val="24"/>
          <w:lang w:val="en-US" w:eastAsia="zh-CN"/>
        </w:rPr>
        <w:t>。</w:t>
      </w:r>
      <w:r>
        <w:rPr>
          <w:rFonts w:hint="eastAsia"/>
          <w:sz w:val="24"/>
        </w:rPr>
        <w:t>二是</w:t>
      </w:r>
      <w:r>
        <w:rPr>
          <w:rFonts w:hint="eastAsia"/>
          <w:sz w:val="24"/>
          <w:lang w:val="en-US" w:eastAsia="zh-CN"/>
        </w:rPr>
        <w:t>对各种杂质的化学分析方法进行了规范，特别是针对水、氧微量杂质的分析困难，重点对其定量分析方法进行了明确</w:t>
      </w:r>
      <w:r>
        <w:rPr>
          <w:rFonts w:hint="eastAsia"/>
          <w:sz w:val="24"/>
        </w:rPr>
        <w:t>。</w:t>
      </w:r>
      <w:r>
        <w:rPr>
          <w:rFonts w:hint="eastAsia"/>
          <w:sz w:val="24"/>
          <w:lang w:val="en-US" w:eastAsia="zh-CN"/>
        </w:rPr>
        <w:t>水杂质分析方面，采用经典的卡尔费休库仑滴定法进行水含量测定，但由于稀土溴化物与卡尔费休试剂存在副反应，直接进样无法得到测试终点，项目组选择使用卡式炉联用的卡尔费休库仑法滴定仪，</w:t>
      </w:r>
      <w:r>
        <w:rPr>
          <w:rFonts w:hint="eastAsia"/>
          <w:sz w:val="24"/>
        </w:rPr>
        <w:t>采用水分蒸发器间接滴定法进行</w:t>
      </w:r>
      <w:r>
        <w:rPr>
          <w:rFonts w:hint="eastAsia"/>
          <w:sz w:val="24"/>
          <w:lang w:val="en-US" w:eastAsia="zh-CN"/>
        </w:rPr>
        <w:t>分析，并基于实验优化，确定样品使用量以1-2g为宜，以兼具测试精密度和效率；确定卡式炉</w:t>
      </w:r>
      <w:r>
        <w:rPr>
          <w:rFonts w:hint="eastAsia"/>
          <w:sz w:val="24"/>
        </w:rPr>
        <w:t>加热温度</w:t>
      </w:r>
      <w:r>
        <w:rPr>
          <w:rFonts w:hint="eastAsia"/>
          <w:sz w:val="24"/>
          <w:lang w:val="en-US" w:eastAsia="zh-CN"/>
        </w:rPr>
        <w:t>为</w:t>
      </w:r>
      <w:r>
        <w:rPr>
          <w:rFonts w:hint="eastAsia"/>
          <w:sz w:val="24"/>
        </w:rPr>
        <w:t>2</w:t>
      </w:r>
      <w:r>
        <w:rPr>
          <w:rFonts w:hint="eastAsia"/>
          <w:sz w:val="24"/>
          <w:lang w:val="en-US" w:eastAsia="zh-CN"/>
        </w:rPr>
        <w:t>4</w:t>
      </w:r>
      <w:r>
        <w:rPr>
          <w:rFonts w:hint="eastAsia"/>
          <w:sz w:val="24"/>
        </w:rPr>
        <w:t>0±5℃</w:t>
      </w:r>
      <w:r>
        <w:rPr>
          <w:rFonts w:hint="eastAsia"/>
          <w:sz w:val="24"/>
          <w:lang w:eastAsia="zh-CN"/>
        </w:rPr>
        <w:t>，</w:t>
      </w:r>
      <w:r>
        <w:rPr>
          <w:rFonts w:hint="eastAsia"/>
          <w:sz w:val="24"/>
          <w:lang w:val="en-US" w:eastAsia="zh-CN"/>
        </w:rPr>
        <w:t>即保证结晶水充分脱除，又有效避免样品水解造成测试偏差。</w:t>
      </w:r>
      <w:r>
        <w:rPr>
          <w:rFonts w:hint="eastAsia"/>
          <w:sz w:val="24"/>
        </w:rPr>
        <w:t>氧杂质的分析</w:t>
      </w:r>
      <w:r>
        <w:rPr>
          <w:rFonts w:hint="eastAsia"/>
          <w:sz w:val="24"/>
          <w:lang w:val="en-US" w:eastAsia="zh-CN"/>
        </w:rPr>
        <w:t>采用惰气熔融红外吸收法，但对进样环境进行了明确，</w:t>
      </w:r>
      <w:r>
        <w:rPr>
          <w:rFonts w:hint="eastAsia"/>
          <w:sz w:val="24"/>
        </w:rPr>
        <w:t>氧分析设备整体或进样系统应置于惰性气</w:t>
      </w:r>
      <w:r>
        <w:rPr>
          <w:rFonts w:hint="eastAsia"/>
          <w:sz w:val="24"/>
          <w:lang w:val="en-US" w:eastAsia="zh-CN"/>
        </w:rPr>
        <w:t>氛环境</w:t>
      </w:r>
      <w:r>
        <w:rPr>
          <w:rFonts w:hint="eastAsia"/>
          <w:sz w:val="24"/>
        </w:rPr>
        <w:t>（水、氧含量不高于</w:t>
      </w:r>
      <w:r>
        <w:rPr>
          <w:rFonts w:hint="eastAsia"/>
          <w:sz w:val="24"/>
          <w:lang w:val="en-US" w:eastAsia="zh-CN"/>
        </w:rPr>
        <w:t>0.0001%</w:t>
      </w:r>
      <w:r>
        <w:rPr>
          <w:rFonts w:hint="eastAsia"/>
          <w:sz w:val="24"/>
        </w:rPr>
        <w:t>）中，同时所有称量、进样操作均在</w:t>
      </w:r>
      <w:r>
        <w:rPr>
          <w:rFonts w:hint="eastAsia"/>
          <w:sz w:val="24"/>
          <w:lang w:val="en-US" w:eastAsia="zh-CN"/>
        </w:rPr>
        <w:t>该惰性气氛环境</w:t>
      </w:r>
      <w:r>
        <w:rPr>
          <w:rFonts w:hint="eastAsia"/>
          <w:sz w:val="24"/>
        </w:rPr>
        <w:t>中进行</w:t>
      </w:r>
      <w:r>
        <w:rPr>
          <w:rFonts w:hint="eastAsia"/>
          <w:sz w:val="24"/>
          <w:lang w:eastAsia="zh-CN"/>
        </w:rPr>
        <w:t>，</w:t>
      </w:r>
      <w:r>
        <w:rPr>
          <w:rFonts w:hint="eastAsia"/>
          <w:sz w:val="24"/>
          <w:lang w:val="en-US" w:eastAsia="zh-CN"/>
        </w:rPr>
        <w:t>以有效避免进样过程中样品暴露空气所带来的测试误差。</w:t>
      </w:r>
    </w:p>
    <w:p>
      <w:pPr>
        <w:spacing w:before="156" w:beforeLines="50" w:after="156" w:afterLines="50" w:line="312" w:lineRule="auto"/>
        <w:rPr>
          <w:rFonts w:ascii="黑体" w:hAnsi="宋体" w:eastAsia="黑体"/>
          <w:bCs/>
          <w:sz w:val="24"/>
        </w:rPr>
      </w:pPr>
      <w:r>
        <w:rPr>
          <w:rFonts w:hint="eastAsia" w:ascii="黑体" w:hAnsi="宋体" w:eastAsia="黑体"/>
          <w:bCs/>
          <w:sz w:val="24"/>
        </w:rPr>
        <w:t>三、预期达到的社会效益</w:t>
      </w:r>
    </w:p>
    <w:p>
      <w:pPr>
        <w:spacing w:line="360" w:lineRule="auto"/>
        <w:ind w:firstLine="480" w:firstLineChars="200"/>
        <w:rPr>
          <w:sz w:val="24"/>
        </w:rPr>
      </w:pPr>
      <w:r>
        <w:rPr>
          <w:rFonts w:hint="eastAsia"/>
          <w:sz w:val="24"/>
        </w:rPr>
        <w:t>本标准方法的建立可</w:t>
      </w:r>
      <w:r>
        <w:rPr>
          <w:rFonts w:hint="eastAsia"/>
          <w:sz w:val="24"/>
          <w:lang w:val="en-US" w:eastAsia="zh-CN"/>
        </w:rPr>
        <w:t>有效规范闪烁晶体用高纯无水稀土溴化物原料的生产，指导促进其产品质量的提升</w:t>
      </w:r>
      <w:r>
        <w:rPr>
          <w:rFonts w:hint="eastAsia"/>
          <w:sz w:val="24"/>
        </w:rPr>
        <w:t>，</w:t>
      </w:r>
      <w:r>
        <w:rPr>
          <w:rFonts w:hint="eastAsia"/>
          <w:sz w:val="24"/>
          <w:lang w:val="en-US" w:eastAsia="zh-CN"/>
        </w:rPr>
        <w:t>进而有力支撑</w:t>
      </w:r>
      <w:r>
        <w:rPr>
          <w:rFonts w:hint="eastAsia"/>
          <w:sz w:val="24"/>
        </w:rPr>
        <w:t>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w:t>
      </w:r>
      <w:r>
        <w:rPr>
          <w:rFonts w:hint="eastAsia"/>
          <w:sz w:val="24"/>
          <w:lang w:val="en-US" w:eastAsia="zh-CN"/>
        </w:rPr>
        <w:t>等高性能稀土卤化物闪烁</w:t>
      </w:r>
      <w:r>
        <w:rPr>
          <w:rFonts w:hint="eastAsia"/>
          <w:sz w:val="24"/>
        </w:rPr>
        <w:t>晶体</w:t>
      </w:r>
      <w:r>
        <w:rPr>
          <w:rFonts w:hint="eastAsia"/>
          <w:sz w:val="24"/>
          <w:lang w:val="en-US" w:eastAsia="zh-CN"/>
        </w:rPr>
        <w:t>产业的发展</w:t>
      </w:r>
      <w:r>
        <w:rPr>
          <w:rFonts w:hint="eastAsia"/>
          <w:sz w:val="24"/>
        </w:rPr>
        <w:t>，</w:t>
      </w:r>
      <w:r>
        <w:rPr>
          <w:rFonts w:hint="eastAsia"/>
          <w:sz w:val="24"/>
          <w:lang w:val="en-US" w:eastAsia="zh-CN"/>
        </w:rPr>
        <w:t>具有显著的社会和经济效益</w:t>
      </w:r>
      <w:r>
        <w:rPr>
          <w:rFonts w:hint="eastAsia"/>
          <w:sz w:val="24"/>
        </w:rPr>
        <w:t>。</w:t>
      </w:r>
    </w:p>
    <w:p>
      <w:pPr>
        <w:spacing w:line="360" w:lineRule="auto"/>
        <w:ind w:firstLine="480" w:firstLineChars="200"/>
        <w:rPr>
          <w:sz w:val="24"/>
        </w:rPr>
      </w:pPr>
      <w:r>
        <w:rPr>
          <w:rFonts w:hint="eastAsia"/>
          <w:sz w:val="24"/>
        </w:rPr>
        <w:t>《</w:t>
      </w:r>
      <w:r>
        <w:rPr>
          <w:rFonts w:hint="eastAsia"/>
          <w:sz w:val="24"/>
          <w:lang w:val="en-US" w:eastAsia="zh-CN"/>
        </w:rPr>
        <w:t>闪烁晶体用高纯无水稀土溴化物</w:t>
      </w:r>
      <w:r>
        <w:rPr>
          <w:rFonts w:hint="eastAsia"/>
          <w:sz w:val="24"/>
        </w:rPr>
        <w:t>》标准为首次制定，规定了</w:t>
      </w:r>
      <w:r>
        <w:rPr>
          <w:rFonts w:hint="eastAsia"/>
          <w:sz w:val="24"/>
          <w:lang w:val="en-US" w:eastAsia="zh-CN"/>
        </w:rPr>
        <w:t>闪烁晶体</w:t>
      </w:r>
      <w:r>
        <w:rPr>
          <w:rFonts w:hint="eastAsia"/>
          <w:sz w:val="24"/>
        </w:rPr>
        <w:t>用</w:t>
      </w:r>
      <w:r>
        <w:rPr>
          <w:rFonts w:hint="eastAsia"/>
          <w:sz w:val="24"/>
          <w:lang w:val="en-US" w:eastAsia="zh-CN"/>
        </w:rPr>
        <w:t>高纯无水稀土溴化物</w:t>
      </w:r>
      <w:r>
        <w:rPr>
          <w:rFonts w:hint="eastAsia"/>
          <w:sz w:val="24"/>
        </w:rPr>
        <w:t>的分类、技术要求、试验方法、检验规则等内容，其技术指标已达到国际先进水平，满足了</w:t>
      </w:r>
      <w:r>
        <w:rPr>
          <w:rFonts w:hint="eastAsia"/>
          <w:sz w:val="24"/>
          <w:lang w:val="en-US" w:eastAsia="zh-CN"/>
        </w:rPr>
        <w:t>闪烁晶体</w:t>
      </w:r>
      <w:r>
        <w:rPr>
          <w:rFonts w:hint="eastAsia"/>
          <w:sz w:val="24"/>
        </w:rPr>
        <w:t>应用要求。本文本起草单位包含了国内</w:t>
      </w:r>
      <w:r>
        <w:rPr>
          <w:rFonts w:hint="eastAsia"/>
          <w:sz w:val="24"/>
          <w:lang w:val="en-US" w:eastAsia="zh-CN"/>
        </w:rPr>
        <w:t>闪烁晶体用高纯无水稀土溴化物的</w:t>
      </w:r>
      <w:r>
        <w:rPr>
          <w:rFonts w:hint="eastAsia"/>
          <w:sz w:val="24"/>
        </w:rPr>
        <w:t>优势</w:t>
      </w:r>
      <w:r>
        <w:rPr>
          <w:rFonts w:hint="eastAsia"/>
          <w:sz w:val="24"/>
          <w:lang w:val="en-US" w:eastAsia="zh-CN"/>
        </w:rPr>
        <w:t>生产单位和</w:t>
      </w:r>
      <w:r>
        <w:rPr>
          <w:rFonts w:hint="eastAsia"/>
          <w:sz w:val="24"/>
        </w:rPr>
        <w:t>主要</w:t>
      </w:r>
      <w:r>
        <w:rPr>
          <w:rFonts w:hint="eastAsia"/>
          <w:sz w:val="24"/>
          <w:lang w:val="en-US" w:eastAsia="zh-CN"/>
        </w:rPr>
        <w:t>应用</w:t>
      </w:r>
      <w:r>
        <w:rPr>
          <w:rFonts w:hint="eastAsia"/>
          <w:sz w:val="24"/>
        </w:rPr>
        <w:t>单位，内容全面、详实，条款清晰，可操作性强，</w:t>
      </w:r>
      <w:r>
        <w:rPr>
          <w:rFonts w:hint="eastAsia"/>
          <w:sz w:val="24"/>
          <w:lang w:val="en-US" w:eastAsia="zh-CN"/>
        </w:rPr>
        <w:t>有效</w:t>
      </w:r>
      <w:r>
        <w:rPr>
          <w:rFonts w:hint="eastAsia"/>
          <w:sz w:val="24"/>
        </w:rPr>
        <w:t>提升了我国</w:t>
      </w:r>
      <w:r>
        <w:rPr>
          <w:rFonts w:hint="eastAsia"/>
          <w:sz w:val="24"/>
          <w:lang w:val="en-US" w:eastAsia="zh-CN"/>
        </w:rPr>
        <w:t>在高纯无水稀土卤化物基础材料</w:t>
      </w:r>
      <w:r>
        <w:rPr>
          <w:rFonts w:hint="eastAsia"/>
          <w:sz w:val="24"/>
        </w:rPr>
        <w:t>领域的国际竞争力，可为我国</w:t>
      </w:r>
      <w:r>
        <w:rPr>
          <w:rFonts w:hint="eastAsia"/>
          <w:sz w:val="24"/>
          <w:lang w:val="en-US" w:eastAsia="zh-CN"/>
        </w:rPr>
        <w:t>高性能稀土闪烁晶体等</w:t>
      </w:r>
      <w:r>
        <w:rPr>
          <w:rFonts w:hint="eastAsia"/>
          <w:sz w:val="24"/>
        </w:rPr>
        <w:t>新材料</w:t>
      </w:r>
      <w:r>
        <w:rPr>
          <w:rFonts w:hint="eastAsia"/>
          <w:sz w:val="24"/>
          <w:lang w:val="en-US" w:eastAsia="zh-CN"/>
        </w:rPr>
        <w:t>产业的发展</w:t>
      </w:r>
      <w:r>
        <w:rPr>
          <w:rFonts w:hint="eastAsia"/>
          <w:sz w:val="24"/>
        </w:rPr>
        <w:t>提供</w:t>
      </w:r>
      <w:r>
        <w:rPr>
          <w:rFonts w:hint="eastAsia"/>
          <w:sz w:val="24"/>
          <w:lang w:val="en-US" w:eastAsia="zh-CN"/>
        </w:rPr>
        <w:t>坚实的</w:t>
      </w:r>
      <w:r>
        <w:rPr>
          <w:rFonts w:hint="eastAsia"/>
          <w:sz w:val="24"/>
        </w:rPr>
        <w:t>物质保障，对促进我国经济发展和科技进步具有现实和长远的战略意义。</w:t>
      </w:r>
    </w:p>
    <w:p>
      <w:pPr>
        <w:spacing w:before="156" w:beforeLines="50" w:after="156" w:afterLines="50" w:line="312" w:lineRule="auto"/>
        <w:rPr>
          <w:rFonts w:ascii="黑体" w:hAnsi="宋体" w:eastAsia="黑体"/>
          <w:bCs/>
          <w:sz w:val="24"/>
        </w:rPr>
      </w:pPr>
      <w:r>
        <w:rPr>
          <w:rFonts w:hint="eastAsia" w:ascii="黑体" w:hAnsi="宋体" w:eastAsia="黑体"/>
          <w:bCs/>
          <w:sz w:val="24"/>
        </w:rPr>
        <w:t>四、与国际、国外同类标准技术内容的对比情况</w:t>
      </w:r>
    </w:p>
    <w:p>
      <w:pPr>
        <w:spacing w:line="360" w:lineRule="auto"/>
        <w:ind w:firstLine="480" w:firstLineChars="200"/>
        <w:rPr>
          <w:rFonts w:hint="default" w:eastAsia="宋体"/>
          <w:sz w:val="24"/>
          <w:lang w:val="en-US" w:eastAsia="zh-CN"/>
        </w:rPr>
      </w:pPr>
      <w:r>
        <w:rPr>
          <w:rFonts w:hint="eastAsia"/>
          <w:sz w:val="24"/>
          <w:lang w:val="en-US" w:eastAsia="zh-CN"/>
        </w:rPr>
        <w:t>欧美国家在高性能稀土卤化物闪烁晶体材料及其高纯原料方面长期占据国际主导地位，技术水平领先我国10年以上</w:t>
      </w:r>
      <w:r>
        <w:rPr>
          <w:rFonts w:hint="eastAsia"/>
          <w:sz w:val="24"/>
        </w:rPr>
        <w:t>。法国Saint-Gobain公司、德国Hellma Materials公司</w:t>
      </w:r>
      <w:r>
        <w:rPr>
          <w:rFonts w:hint="eastAsia"/>
          <w:sz w:val="24"/>
          <w:lang w:val="en-US" w:eastAsia="zh-CN"/>
        </w:rPr>
        <w:t>基本垄断了</w:t>
      </w:r>
      <w:r>
        <w:rPr>
          <w:rFonts w:hint="eastAsia"/>
          <w:sz w:val="24"/>
        </w:rPr>
        <w:t>LaBr</w:t>
      </w:r>
      <w:r>
        <w:rPr>
          <w:rFonts w:hint="eastAsia"/>
          <w:sz w:val="24"/>
          <w:vertAlign w:val="subscript"/>
        </w:rPr>
        <w:t>3</w:t>
      </w:r>
      <w:r>
        <w:rPr>
          <w:rFonts w:hint="eastAsia"/>
          <w:sz w:val="24"/>
        </w:rPr>
        <w:t>:Ce、CeBr</w:t>
      </w:r>
      <w:r>
        <w:rPr>
          <w:rFonts w:hint="eastAsia"/>
          <w:sz w:val="24"/>
          <w:vertAlign w:val="subscript"/>
        </w:rPr>
        <w:t>3</w:t>
      </w:r>
      <w:r>
        <w:rPr>
          <w:rFonts w:hint="eastAsia"/>
          <w:sz w:val="24"/>
        </w:rPr>
        <w:t>、CLLB晶体的</w:t>
      </w:r>
      <w:r>
        <w:rPr>
          <w:rFonts w:hint="eastAsia"/>
          <w:sz w:val="24"/>
          <w:lang w:val="en-US" w:eastAsia="zh-CN"/>
        </w:rPr>
        <w:t>国际市场，晶体尺寸和性能指标遥遥领先。美国Sigma-Aldrich公司、APL公司等则基本垄断了闪烁晶体用高纯无水LaBr</w:t>
      </w:r>
      <w:r>
        <w:rPr>
          <w:rFonts w:hint="eastAsia"/>
          <w:sz w:val="24"/>
          <w:vertAlign w:val="subscript"/>
          <w:lang w:val="en-US" w:eastAsia="zh-CN"/>
        </w:rPr>
        <w:t>3</w:t>
      </w:r>
      <w:r>
        <w:rPr>
          <w:rFonts w:hint="eastAsia"/>
          <w:sz w:val="24"/>
          <w:lang w:val="en-US" w:eastAsia="zh-CN"/>
        </w:rPr>
        <w:t>、CeBr</w:t>
      </w:r>
      <w:r>
        <w:rPr>
          <w:rFonts w:hint="eastAsia"/>
          <w:sz w:val="24"/>
          <w:vertAlign w:val="subscript"/>
          <w:lang w:val="en-US" w:eastAsia="zh-CN"/>
        </w:rPr>
        <w:t>3</w:t>
      </w:r>
      <w:r>
        <w:rPr>
          <w:rFonts w:hint="eastAsia"/>
          <w:sz w:val="24"/>
          <w:lang w:val="en-US" w:eastAsia="zh-CN"/>
        </w:rPr>
        <w:t>等原料的国际市场，其产品纯度可达5N。</w:t>
      </w:r>
      <w:r>
        <w:rPr>
          <w:rFonts w:hint="eastAsia"/>
          <w:sz w:val="24"/>
        </w:rPr>
        <w:t>国内北京玻璃研究院、河北华凯龙科技有限公司</w:t>
      </w:r>
      <w:r>
        <w:rPr>
          <w:rFonts w:hint="eastAsia"/>
          <w:sz w:val="24"/>
          <w:lang w:eastAsia="zh-CN"/>
        </w:rPr>
        <w:t>、</w:t>
      </w:r>
      <w:r>
        <w:rPr>
          <w:rFonts w:hint="eastAsia"/>
          <w:sz w:val="24"/>
          <w:lang w:val="en-US" w:eastAsia="zh-CN"/>
        </w:rPr>
        <w:t>江苏布拉维光学科技有限公司</w:t>
      </w:r>
      <w:r>
        <w:rPr>
          <w:rFonts w:hint="eastAsia"/>
          <w:sz w:val="24"/>
        </w:rPr>
        <w:t>等近年来先后</w:t>
      </w:r>
      <w:r>
        <w:rPr>
          <w:rFonts w:hint="eastAsia"/>
          <w:sz w:val="24"/>
          <w:lang w:val="en-US" w:eastAsia="zh-CN"/>
        </w:rPr>
        <w:t>实现了</w:t>
      </w:r>
      <w:r>
        <w:rPr>
          <w:rFonts w:hint="eastAsia"/>
          <w:sz w:val="24"/>
        </w:rPr>
        <w:t>LaBr</w:t>
      </w:r>
      <w:r>
        <w:rPr>
          <w:rFonts w:hint="eastAsia"/>
          <w:sz w:val="24"/>
          <w:vertAlign w:val="subscript"/>
        </w:rPr>
        <w:t>3</w:t>
      </w:r>
      <w:r>
        <w:rPr>
          <w:rFonts w:hint="eastAsia"/>
          <w:sz w:val="24"/>
        </w:rPr>
        <w:t>:Ce</w:t>
      </w:r>
      <w:r>
        <w:rPr>
          <w:rFonts w:hint="eastAsia"/>
          <w:sz w:val="24"/>
          <w:lang w:eastAsia="zh-CN"/>
        </w:rPr>
        <w:t>、</w:t>
      </w:r>
      <w:r>
        <w:rPr>
          <w:rFonts w:hint="eastAsia"/>
          <w:sz w:val="24"/>
          <w:lang w:val="en-US" w:eastAsia="zh-CN"/>
        </w:rPr>
        <w:t>CeBr</w:t>
      </w:r>
      <w:r>
        <w:rPr>
          <w:rFonts w:hint="eastAsia"/>
          <w:sz w:val="24"/>
          <w:vertAlign w:val="subscript"/>
          <w:lang w:val="en-US" w:eastAsia="zh-CN"/>
        </w:rPr>
        <w:t>3</w:t>
      </w:r>
      <w:r>
        <w:rPr>
          <w:rFonts w:hint="eastAsia"/>
          <w:sz w:val="24"/>
        </w:rPr>
        <w:t>晶体</w:t>
      </w:r>
      <w:r>
        <w:rPr>
          <w:rFonts w:hint="eastAsia"/>
          <w:sz w:val="24"/>
          <w:lang w:val="en-US" w:eastAsia="zh-CN"/>
        </w:rPr>
        <w:t>的产业化</w:t>
      </w:r>
      <w:r>
        <w:rPr>
          <w:rFonts w:hint="eastAsia"/>
          <w:sz w:val="24"/>
        </w:rPr>
        <w:t>，</w:t>
      </w:r>
      <w:r>
        <w:rPr>
          <w:rFonts w:hint="eastAsia"/>
          <w:sz w:val="24"/>
          <w:lang w:val="en-US" w:eastAsia="zh-CN"/>
        </w:rPr>
        <w:t>技术水平得到了快速提升，相关产品在国防安全、深空探测等重大工程实现了规模应用，虽然产品指标离</w:t>
      </w:r>
      <w:r>
        <w:rPr>
          <w:rFonts w:hint="eastAsia"/>
          <w:sz w:val="24"/>
        </w:rPr>
        <w:t>Saint-Gobain</w:t>
      </w:r>
      <w:r>
        <w:rPr>
          <w:rFonts w:hint="eastAsia"/>
          <w:sz w:val="24"/>
          <w:lang w:val="en-US" w:eastAsia="zh-CN"/>
        </w:rPr>
        <w:t>最高水平仍有一定差距，但总体技术水平已达到国际先进水平，国内市场占有率达到60%以上。闪烁晶体用高纯无水稀土溴化物原料方面，有研稀土</w:t>
      </w:r>
      <w:r>
        <w:rPr>
          <w:rFonts w:hint="eastAsia"/>
          <w:sz w:val="24"/>
        </w:rPr>
        <w:t>于2016年国内率先突破</w:t>
      </w:r>
      <w:r>
        <w:rPr>
          <w:rFonts w:hint="eastAsia"/>
          <w:sz w:val="24"/>
          <w:lang w:val="en-US" w:eastAsia="zh-CN"/>
        </w:rPr>
        <w:t>其</w:t>
      </w:r>
      <w:r>
        <w:rPr>
          <w:rFonts w:hint="eastAsia"/>
          <w:sz w:val="24"/>
        </w:rPr>
        <w:t>批量制备技术并建成首条中试生产线</w:t>
      </w:r>
      <w:r>
        <w:rPr>
          <w:rFonts w:hint="eastAsia"/>
          <w:sz w:val="24"/>
          <w:lang w:eastAsia="zh-CN"/>
        </w:rPr>
        <w:t>，</w:t>
      </w:r>
      <w:r>
        <w:rPr>
          <w:rFonts w:hint="eastAsia"/>
          <w:sz w:val="24"/>
        </w:rPr>
        <w:t>相关产品自2017年起实现了批量生产和销售，</w:t>
      </w:r>
      <w:r>
        <w:rPr>
          <w:rFonts w:hint="eastAsia"/>
          <w:sz w:val="24"/>
          <w:lang w:val="en-US" w:eastAsia="zh-CN"/>
        </w:rPr>
        <w:t>产品纯度达到进口同等水平，迄今</w:t>
      </w:r>
      <w:r>
        <w:rPr>
          <w:rFonts w:hint="eastAsia"/>
          <w:sz w:val="24"/>
        </w:rPr>
        <w:t>累计已实现销售超过</w:t>
      </w:r>
      <w:r>
        <w:rPr>
          <w:rFonts w:hint="eastAsia"/>
          <w:sz w:val="24"/>
          <w:lang w:val="en-US" w:eastAsia="zh-CN"/>
        </w:rPr>
        <w:t>2</w:t>
      </w:r>
      <w:r>
        <w:rPr>
          <w:rFonts w:hint="eastAsia"/>
          <w:sz w:val="24"/>
        </w:rPr>
        <w:t>吨，获得了国内外客户的广泛认可。</w:t>
      </w:r>
      <w:r>
        <w:rPr>
          <w:rFonts w:hint="eastAsia"/>
          <w:sz w:val="24"/>
          <w:lang w:val="en-US" w:eastAsia="zh-CN"/>
        </w:rPr>
        <w:t>天津包钢稀土研究院有限责任公司等企业也实现了相关产品的产业化。目前国产高纯无水稀土溴化物原料已获得下游晶体生产企业的充分认可，国内市场占有率达到80%以上，整体技术水平达到国际先进水平。</w:t>
      </w:r>
    </w:p>
    <w:p>
      <w:pPr>
        <w:spacing w:before="156" w:beforeLines="50" w:after="156" w:afterLines="50" w:line="312" w:lineRule="auto"/>
        <w:rPr>
          <w:rFonts w:hint="eastAsia" w:ascii="黑体" w:hAnsi="宋体" w:eastAsia="黑体"/>
          <w:bCs/>
          <w:sz w:val="24"/>
        </w:rPr>
      </w:pPr>
      <w:r>
        <w:rPr>
          <w:rFonts w:hint="eastAsia" w:ascii="黑体" w:hAnsi="宋体" w:eastAsia="黑体"/>
          <w:bCs/>
          <w:sz w:val="24"/>
        </w:rPr>
        <w:t>五、采标情况，以及是否合规引用或采用国际国外标准</w:t>
      </w:r>
    </w:p>
    <w:p>
      <w:pPr>
        <w:spacing w:line="360" w:lineRule="auto"/>
        <w:ind w:firstLine="480" w:firstLineChars="200"/>
        <w:rPr>
          <w:sz w:val="24"/>
        </w:rPr>
      </w:pPr>
      <w:r>
        <w:rPr>
          <w:rFonts w:hint="eastAsia"/>
          <w:sz w:val="24"/>
        </w:rPr>
        <w:t>经查</w:t>
      </w:r>
      <w:r>
        <w:rPr>
          <w:sz w:val="24"/>
        </w:rPr>
        <w:t>，</w:t>
      </w:r>
      <w:r>
        <w:rPr>
          <w:rFonts w:hint="eastAsia"/>
          <w:sz w:val="24"/>
        </w:rPr>
        <w:t>本标准的制订与现有的标准及制订中的标准协调配套，无重复交叉现象。</w:t>
      </w:r>
    </w:p>
    <w:p>
      <w:pPr>
        <w:spacing w:before="156" w:beforeLines="50" w:after="156" w:afterLines="50" w:line="312" w:lineRule="auto"/>
        <w:rPr>
          <w:rFonts w:hint="eastAsia" w:ascii="黑体" w:hAnsi="宋体" w:eastAsia="黑体"/>
          <w:bCs/>
          <w:sz w:val="24"/>
        </w:rPr>
      </w:pPr>
      <w:r>
        <w:rPr>
          <w:rFonts w:hint="eastAsia" w:ascii="黑体" w:hAnsi="宋体" w:eastAsia="黑体"/>
          <w:bCs/>
          <w:sz w:val="24"/>
        </w:rPr>
        <w:t>六、与有关法律、法规的关系</w:t>
      </w:r>
    </w:p>
    <w:p>
      <w:pPr>
        <w:spacing w:line="360" w:lineRule="auto"/>
        <w:ind w:firstLine="480" w:firstLineChars="200"/>
        <w:rPr>
          <w:sz w:val="24"/>
        </w:rPr>
      </w:pPr>
      <w:r>
        <w:rPr>
          <w:rFonts w:hint="eastAsia"/>
          <w:sz w:val="24"/>
        </w:rPr>
        <w:t>本标准本文件按照GB/T 1.1-2020《标准化工作导则 第1部分：标准化文件的结构和起草规则》的规定起草。本标准与现行法律、法规和相关标准相协调、无冲突。</w:t>
      </w:r>
    </w:p>
    <w:p>
      <w:pPr>
        <w:spacing w:before="156" w:beforeLines="50" w:after="156" w:afterLines="50" w:line="312" w:lineRule="auto"/>
        <w:rPr>
          <w:rFonts w:hint="eastAsia" w:ascii="黑体" w:hAnsi="宋体" w:eastAsia="黑体"/>
          <w:bCs/>
          <w:sz w:val="24"/>
        </w:rPr>
      </w:pPr>
      <w:r>
        <w:rPr>
          <w:rFonts w:hint="eastAsia" w:ascii="黑体" w:hAnsi="宋体" w:eastAsia="黑体"/>
          <w:bCs/>
          <w:sz w:val="24"/>
        </w:rPr>
        <w:t>七、重大分歧意见的处理经过和依据</w:t>
      </w:r>
    </w:p>
    <w:p>
      <w:pPr>
        <w:spacing w:line="360" w:lineRule="auto"/>
        <w:ind w:firstLine="480" w:firstLineChars="200"/>
        <w:rPr>
          <w:sz w:val="24"/>
        </w:rPr>
      </w:pPr>
      <w:r>
        <w:rPr>
          <w:rFonts w:hint="eastAsia"/>
          <w:sz w:val="24"/>
        </w:rPr>
        <w:t>无重大分歧。</w:t>
      </w:r>
    </w:p>
    <w:p>
      <w:pPr>
        <w:spacing w:before="156" w:beforeLines="50" w:after="156" w:afterLines="50" w:line="312" w:lineRule="auto"/>
        <w:rPr>
          <w:rFonts w:hint="eastAsia" w:ascii="黑体" w:hAnsi="宋体" w:eastAsia="黑体"/>
          <w:bCs/>
          <w:sz w:val="24"/>
        </w:rPr>
      </w:pPr>
      <w:r>
        <w:rPr>
          <w:rFonts w:hint="eastAsia" w:ascii="黑体" w:hAnsi="宋体" w:eastAsia="黑体"/>
          <w:bCs/>
          <w:sz w:val="24"/>
        </w:rPr>
        <w:t>八、涉及专利的有关说明</w:t>
      </w:r>
    </w:p>
    <w:p>
      <w:pPr>
        <w:spacing w:line="360" w:lineRule="auto"/>
        <w:ind w:firstLine="480" w:firstLineChars="200"/>
        <w:rPr>
          <w:sz w:val="24"/>
        </w:rPr>
      </w:pPr>
      <w:r>
        <w:rPr>
          <w:rFonts w:hint="eastAsia"/>
          <w:sz w:val="24"/>
        </w:rPr>
        <w:t>本标准未涉及相关知识产权。</w:t>
      </w:r>
    </w:p>
    <w:p>
      <w:pPr>
        <w:spacing w:before="156" w:beforeLines="50" w:after="156" w:afterLines="50" w:line="312" w:lineRule="auto"/>
        <w:rPr>
          <w:rFonts w:hint="eastAsia" w:ascii="黑体" w:hAnsi="宋体" w:eastAsia="黑体"/>
          <w:bCs/>
          <w:sz w:val="24"/>
        </w:rPr>
      </w:pPr>
      <w:r>
        <w:rPr>
          <w:rFonts w:hint="eastAsia" w:ascii="黑体" w:hAnsi="宋体" w:eastAsia="黑体"/>
          <w:bCs/>
          <w:sz w:val="24"/>
        </w:rPr>
        <w:t>九、贯彻标准的要求，以及组织措施、技术措施、过渡期和实施日期的建议等措施建议</w:t>
      </w:r>
    </w:p>
    <w:p>
      <w:pPr>
        <w:spacing w:line="360" w:lineRule="auto"/>
        <w:ind w:firstLine="480" w:firstLineChars="200"/>
        <w:rPr>
          <w:szCs w:val="21"/>
        </w:rPr>
      </w:pPr>
      <w:r>
        <w:rPr>
          <w:rFonts w:hint="eastAsia"/>
          <w:sz w:val="24"/>
        </w:rPr>
        <w:t>发布后需要撰写宣贯推广材料，可以选择公众号、网站或其他方式进行宣贯推广。</w:t>
      </w:r>
    </w:p>
    <w:p>
      <w:pPr>
        <w:spacing w:before="156" w:beforeLines="50" w:after="156" w:afterLines="50" w:line="312" w:lineRule="auto"/>
        <w:rPr>
          <w:rFonts w:hint="eastAsia" w:ascii="黑体" w:hAnsi="宋体" w:eastAsia="黑体"/>
          <w:bCs/>
          <w:sz w:val="24"/>
        </w:rPr>
      </w:pPr>
      <w:r>
        <w:rPr>
          <w:rFonts w:hint="eastAsia" w:ascii="黑体" w:hAnsi="宋体" w:eastAsia="黑体"/>
          <w:bCs/>
          <w:sz w:val="24"/>
        </w:rPr>
        <w:t>十、其他应当说明的事项</w:t>
      </w:r>
    </w:p>
    <w:p>
      <w:pPr>
        <w:spacing w:line="360" w:lineRule="auto"/>
        <w:ind w:firstLine="480" w:firstLineChars="200"/>
        <w:rPr>
          <w:sz w:val="24"/>
        </w:rPr>
      </w:pPr>
      <w:r>
        <w:rPr>
          <w:rFonts w:hint="eastAsia"/>
          <w:sz w:val="24"/>
        </w:rPr>
        <w:t>无。</w:t>
      </w:r>
    </w:p>
    <w:p>
      <w:pPr>
        <w:spacing w:line="312" w:lineRule="auto"/>
        <w:rPr>
          <w:rFonts w:ascii="黑体" w:eastAsia="黑体"/>
          <w:sz w:val="24"/>
        </w:rPr>
      </w:pPr>
    </w:p>
    <w:p>
      <w:pPr>
        <w:spacing w:line="360" w:lineRule="auto"/>
        <w:ind w:firstLine="420" w:firstLineChars="200"/>
        <w:jc w:val="right"/>
        <w:rPr>
          <w:szCs w:val="21"/>
        </w:rPr>
      </w:pPr>
      <w:r>
        <w:rPr>
          <w:rFonts w:hint="eastAsia"/>
          <w:szCs w:val="21"/>
        </w:rPr>
        <w:t>《</w:t>
      </w:r>
      <w:r>
        <w:rPr>
          <w:rFonts w:hint="eastAsia"/>
          <w:szCs w:val="21"/>
          <w:lang w:val="en-US" w:eastAsia="zh-CN"/>
        </w:rPr>
        <w:t>闪烁晶体用高纯无水稀土溴化物</w:t>
      </w:r>
      <w:r>
        <w:rPr>
          <w:rFonts w:hint="eastAsia"/>
          <w:szCs w:val="21"/>
        </w:rPr>
        <w:t>》</w:t>
      </w:r>
      <w:r>
        <w:rPr>
          <w:rFonts w:hint="eastAsia"/>
        </w:rPr>
        <w:t>标准编制工作组</w:t>
      </w:r>
    </w:p>
    <w:p>
      <w:pPr>
        <w:pStyle w:val="117"/>
        <w:spacing w:before="0" w:line="312" w:lineRule="auto"/>
        <w:ind w:left="5250" w:leftChars="2500" w:right="420" w:firstLine="1260" w:firstLineChars="600"/>
        <w:jc w:val="right"/>
        <w:rPr>
          <w:sz w:val="21"/>
          <w:szCs w:val="21"/>
        </w:rPr>
      </w:pPr>
      <w:r>
        <w:rPr>
          <w:rFonts w:hint="eastAsia"/>
          <w:sz w:val="21"/>
          <w:szCs w:val="21"/>
          <w:lang w:val="en-US" w:eastAsia="zh-CN"/>
        </w:rPr>
        <w:t>2024</w:t>
      </w:r>
      <w:r>
        <w:rPr>
          <w:sz w:val="21"/>
          <w:szCs w:val="21"/>
        </w:rPr>
        <w:t>年</w:t>
      </w:r>
      <w:r>
        <w:rPr>
          <w:rFonts w:hint="eastAsia"/>
          <w:sz w:val="21"/>
          <w:szCs w:val="21"/>
        </w:rPr>
        <w:t xml:space="preserve"> </w:t>
      </w:r>
      <w:r>
        <w:rPr>
          <w:rFonts w:hint="eastAsia"/>
          <w:sz w:val="21"/>
          <w:szCs w:val="21"/>
          <w:lang w:val="en-US" w:eastAsia="zh-CN"/>
        </w:rPr>
        <w:t>3</w:t>
      </w:r>
      <w:r>
        <w:rPr>
          <w:sz w:val="21"/>
          <w:szCs w:val="21"/>
        </w:rPr>
        <w:t>月</w:t>
      </w:r>
      <w:r>
        <w:rPr>
          <w:rFonts w:hint="eastAsia"/>
          <w:sz w:val="21"/>
          <w:szCs w:val="21"/>
        </w:rPr>
        <w:t xml:space="preserve"> </w:t>
      </w:r>
      <w:r>
        <w:rPr>
          <w:rFonts w:hint="eastAsia"/>
          <w:sz w:val="21"/>
          <w:szCs w:val="21"/>
          <w:lang w:val="en-US" w:eastAsia="zh-CN"/>
        </w:rPr>
        <w:t>7</w:t>
      </w:r>
      <w:r>
        <w:rPr>
          <w:sz w:val="21"/>
          <w:szCs w:val="21"/>
        </w:rPr>
        <w:t xml:space="preserve"> </w:t>
      </w:r>
      <w:r>
        <w:rPr>
          <w:rFonts w:hint="eastAsia"/>
          <w:sz w:val="21"/>
          <w:szCs w:val="21"/>
        </w:rPr>
        <w:t>日</w:t>
      </w:r>
    </w:p>
    <w:sectPr>
      <w:footerReference r:id="rId3"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57431E0"/>
    <w:multiLevelType w:val="multilevel"/>
    <w:tmpl w:val="157431E0"/>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ZTg1N2Y1ZGExYTBiYjY3YjQ4OGMyODI1ZWUxZWYifQ=="/>
  </w:docVars>
  <w:rsids>
    <w:rsidRoot w:val="00B623AB"/>
    <w:rsid w:val="00000843"/>
    <w:rsid w:val="000046B0"/>
    <w:rsid w:val="00006A40"/>
    <w:rsid w:val="00010180"/>
    <w:rsid w:val="00012DB2"/>
    <w:rsid w:val="00013887"/>
    <w:rsid w:val="00014853"/>
    <w:rsid w:val="0002096F"/>
    <w:rsid w:val="00022382"/>
    <w:rsid w:val="00022FF0"/>
    <w:rsid w:val="0002359F"/>
    <w:rsid w:val="00024B42"/>
    <w:rsid w:val="00024D3B"/>
    <w:rsid w:val="00025D84"/>
    <w:rsid w:val="00026D78"/>
    <w:rsid w:val="00032195"/>
    <w:rsid w:val="000332A6"/>
    <w:rsid w:val="00033691"/>
    <w:rsid w:val="000340A9"/>
    <w:rsid w:val="00035035"/>
    <w:rsid w:val="00036C57"/>
    <w:rsid w:val="00041496"/>
    <w:rsid w:val="00044491"/>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13B9"/>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95722"/>
    <w:rsid w:val="000A0C8C"/>
    <w:rsid w:val="000A0CA9"/>
    <w:rsid w:val="000A180E"/>
    <w:rsid w:val="000A1CC0"/>
    <w:rsid w:val="000A1DCD"/>
    <w:rsid w:val="000A2986"/>
    <w:rsid w:val="000A54AC"/>
    <w:rsid w:val="000A569E"/>
    <w:rsid w:val="000A5CC2"/>
    <w:rsid w:val="000A7FF3"/>
    <w:rsid w:val="000B14A6"/>
    <w:rsid w:val="000B3127"/>
    <w:rsid w:val="000B605E"/>
    <w:rsid w:val="000C08C0"/>
    <w:rsid w:val="000C44B2"/>
    <w:rsid w:val="000C44E3"/>
    <w:rsid w:val="000C5C6D"/>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9D5"/>
    <w:rsid w:val="00113F5D"/>
    <w:rsid w:val="0011570F"/>
    <w:rsid w:val="00116D8F"/>
    <w:rsid w:val="00122903"/>
    <w:rsid w:val="001241A8"/>
    <w:rsid w:val="0012792A"/>
    <w:rsid w:val="001345DA"/>
    <w:rsid w:val="00134E2D"/>
    <w:rsid w:val="00135E64"/>
    <w:rsid w:val="00136064"/>
    <w:rsid w:val="00137D4C"/>
    <w:rsid w:val="001424D5"/>
    <w:rsid w:val="001438F6"/>
    <w:rsid w:val="0014628B"/>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770F7"/>
    <w:rsid w:val="00181F19"/>
    <w:rsid w:val="00182D22"/>
    <w:rsid w:val="00186DB8"/>
    <w:rsid w:val="00187FC9"/>
    <w:rsid w:val="0019163F"/>
    <w:rsid w:val="00192E96"/>
    <w:rsid w:val="00194EB2"/>
    <w:rsid w:val="001954DA"/>
    <w:rsid w:val="00196497"/>
    <w:rsid w:val="001A02DA"/>
    <w:rsid w:val="001A0910"/>
    <w:rsid w:val="001A1931"/>
    <w:rsid w:val="001A1A3D"/>
    <w:rsid w:val="001A287E"/>
    <w:rsid w:val="001A56C8"/>
    <w:rsid w:val="001A78A3"/>
    <w:rsid w:val="001A7F0B"/>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4F8"/>
    <w:rsid w:val="00273376"/>
    <w:rsid w:val="00275581"/>
    <w:rsid w:val="00276D32"/>
    <w:rsid w:val="00277B5B"/>
    <w:rsid w:val="00277FC2"/>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11372"/>
    <w:rsid w:val="003149E0"/>
    <w:rsid w:val="003152A4"/>
    <w:rsid w:val="0031608B"/>
    <w:rsid w:val="00323A91"/>
    <w:rsid w:val="003245D6"/>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32D4"/>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47D4"/>
    <w:rsid w:val="003E4CEB"/>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5749"/>
    <w:rsid w:val="00416330"/>
    <w:rsid w:val="004169D7"/>
    <w:rsid w:val="00424F60"/>
    <w:rsid w:val="004306FA"/>
    <w:rsid w:val="0043072C"/>
    <w:rsid w:val="00432949"/>
    <w:rsid w:val="00433247"/>
    <w:rsid w:val="00435C45"/>
    <w:rsid w:val="00437F04"/>
    <w:rsid w:val="004425AD"/>
    <w:rsid w:val="0044631C"/>
    <w:rsid w:val="004468D7"/>
    <w:rsid w:val="0044747A"/>
    <w:rsid w:val="00451D1D"/>
    <w:rsid w:val="0045247E"/>
    <w:rsid w:val="00457F66"/>
    <w:rsid w:val="00462132"/>
    <w:rsid w:val="00462904"/>
    <w:rsid w:val="00465D91"/>
    <w:rsid w:val="004662C5"/>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90F"/>
    <w:rsid w:val="004C0C60"/>
    <w:rsid w:val="004C144D"/>
    <w:rsid w:val="004C63B3"/>
    <w:rsid w:val="004C6DE0"/>
    <w:rsid w:val="004D1285"/>
    <w:rsid w:val="004D2442"/>
    <w:rsid w:val="004D6DFA"/>
    <w:rsid w:val="004D7802"/>
    <w:rsid w:val="004D7BA0"/>
    <w:rsid w:val="004E282E"/>
    <w:rsid w:val="004E7AD9"/>
    <w:rsid w:val="004E7DC3"/>
    <w:rsid w:val="004F0AC8"/>
    <w:rsid w:val="004F1485"/>
    <w:rsid w:val="004F59CD"/>
    <w:rsid w:val="00503416"/>
    <w:rsid w:val="00503CC1"/>
    <w:rsid w:val="005041BD"/>
    <w:rsid w:val="00504C6F"/>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40267"/>
    <w:rsid w:val="005421E7"/>
    <w:rsid w:val="0054331E"/>
    <w:rsid w:val="00543D44"/>
    <w:rsid w:val="0054659E"/>
    <w:rsid w:val="005469A5"/>
    <w:rsid w:val="00546DF5"/>
    <w:rsid w:val="005475AF"/>
    <w:rsid w:val="00550CA0"/>
    <w:rsid w:val="00551151"/>
    <w:rsid w:val="0055122C"/>
    <w:rsid w:val="00553C5B"/>
    <w:rsid w:val="00554A02"/>
    <w:rsid w:val="00561BAB"/>
    <w:rsid w:val="0056535D"/>
    <w:rsid w:val="0056539D"/>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637B"/>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5BF"/>
    <w:rsid w:val="006920D7"/>
    <w:rsid w:val="0069252E"/>
    <w:rsid w:val="0069286E"/>
    <w:rsid w:val="00696C74"/>
    <w:rsid w:val="00697CE8"/>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FE"/>
    <w:rsid w:val="007A16E2"/>
    <w:rsid w:val="007A1934"/>
    <w:rsid w:val="007A3FC1"/>
    <w:rsid w:val="007A7D54"/>
    <w:rsid w:val="007B1B7D"/>
    <w:rsid w:val="007B29F0"/>
    <w:rsid w:val="007B5DB0"/>
    <w:rsid w:val="007B688D"/>
    <w:rsid w:val="007B74F4"/>
    <w:rsid w:val="007B7D0F"/>
    <w:rsid w:val="007C2A43"/>
    <w:rsid w:val="007C35DE"/>
    <w:rsid w:val="007C3DD1"/>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2FFF"/>
    <w:rsid w:val="008237DA"/>
    <w:rsid w:val="00825D21"/>
    <w:rsid w:val="008260E1"/>
    <w:rsid w:val="0082615F"/>
    <w:rsid w:val="00826C6B"/>
    <w:rsid w:val="0083190B"/>
    <w:rsid w:val="00831DFF"/>
    <w:rsid w:val="00832B3D"/>
    <w:rsid w:val="00835BDA"/>
    <w:rsid w:val="00842D20"/>
    <w:rsid w:val="00842FB8"/>
    <w:rsid w:val="008459EE"/>
    <w:rsid w:val="0084647D"/>
    <w:rsid w:val="00847FD9"/>
    <w:rsid w:val="00854297"/>
    <w:rsid w:val="00854C07"/>
    <w:rsid w:val="0086177D"/>
    <w:rsid w:val="00862280"/>
    <w:rsid w:val="008629F1"/>
    <w:rsid w:val="00872C9E"/>
    <w:rsid w:val="00873AC3"/>
    <w:rsid w:val="008774AA"/>
    <w:rsid w:val="00880BF7"/>
    <w:rsid w:val="00880F82"/>
    <w:rsid w:val="00881B81"/>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104"/>
    <w:rsid w:val="008D3F5C"/>
    <w:rsid w:val="008D4991"/>
    <w:rsid w:val="008E1C30"/>
    <w:rsid w:val="008E22B8"/>
    <w:rsid w:val="008E2B02"/>
    <w:rsid w:val="008E2C62"/>
    <w:rsid w:val="008E340B"/>
    <w:rsid w:val="008E3E70"/>
    <w:rsid w:val="008F2540"/>
    <w:rsid w:val="008F2BBB"/>
    <w:rsid w:val="008F4D39"/>
    <w:rsid w:val="008F56A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665"/>
    <w:rsid w:val="009C2CC3"/>
    <w:rsid w:val="009C5117"/>
    <w:rsid w:val="009C76E1"/>
    <w:rsid w:val="009D2729"/>
    <w:rsid w:val="009D7D73"/>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7C9"/>
    <w:rsid w:val="00AB0D20"/>
    <w:rsid w:val="00AB10A7"/>
    <w:rsid w:val="00AB171A"/>
    <w:rsid w:val="00AB3133"/>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AF6243"/>
    <w:rsid w:val="00B01873"/>
    <w:rsid w:val="00B01E95"/>
    <w:rsid w:val="00B02981"/>
    <w:rsid w:val="00B02AD7"/>
    <w:rsid w:val="00B072E8"/>
    <w:rsid w:val="00B13F4A"/>
    <w:rsid w:val="00B14E54"/>
    <w:rsid w:val="00B1517C"/>
    <w:rsid w:val="00B154A8"/>
    <w:rsid w:val="00B212D4"/>
    <w:rsid w:val="00B220F1"/>
    <w:rsid w:val="00B22A98"/>
    <w:rsid w:val="00B251A5"/>
    <w:rsid w:val="00B25B50"/>
    <w:rsid w:val="00B2693C"/>
    <w:rsid w:val="00B269C0"/>
    <w:rsid w:val="00B2769A"/>
    <w:rsid w:val="00B27EB5"/>
    <w:rsid w:val="00B3119E"/>
    <w:rsid w:val="00B33660"/>
    <w:rsid w:val="00B3625D"/>
    <w:rsid w:val="00B36291"/>
    <w:rsid w:val="00B3732C"/>
    <w:rsid w:val="00B37472"/>
    <w:rsid w:val="00B40C88"/>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92C"/>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30EF"/>
    <w:rsid w:val="00BB4A8F"/>
    <w:rsid w:val="00BB6830"/>
    <w:rsid w:val="00BB7322"/>
    <w:rsid w:val="00BC09A7"/>
    <w:rsid w:val="00BC1EBE"/>
    <w:rsid w:val="00BC677B"/>
    <w:rsid w:val="00BC7247"/>
    <w:rsid w:val="00BC7A3E"/>
    <w:rsid w:val="00BC7AD2"/>
    <w:rsid w:val="00BD1292"/>
    <w:rsid w:val="00BD3E12"/>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17D1"/>
    <w:rsid w:val="00C32990"/>
    <w:rsid w:val="00C33B55"/>
    <w:rsid w:val="00C35A0F"/>
    <w:rsid w:val="00C35D4C"/>
    <w:rsid w:val="00C40DAE"/>
    <w:rsid w:val="00C417FC"/>
    <w:rsid w:val="00C5225B"/>
    <w:rsid w:val="00C5372F"/>
    <w:rsid w:val="00C563D2"/>
    <w:rsid w:val="00C57F39"/>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66E5"/>
    <w:rsid w:val="00D00049"/>
    <w:rsid w:val="00D0344B"/>
    <w:rsid w:val="00D052FF"/>
    <w:rsid w:val="00D053A8"/>
    <w:rsid w:val="00D05572"/>
    <w:rsid w:val="00D059BD"/>
    <w:rsid w:val="00D10123"/>
    <w:rsid w:val="00D12858"/>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1930"/>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33AF"/>
    <w:rsid w:val="00DE4206"/>
    <w:rsid w:val="00DE5B96"/>
    <w:rsid w:val="00DE5FE5"/>
    <w:rsid w:val="00DE68A7"/>
    <w:rsid w:val="00DE6BD9"/>
    <w:rsid w:val="00DF4E97"/>
    <w:rsid w:val="00E01E44"/>
    <w:rsid w:val="00E02A78"/>
    <w:rsid w:val="00E02FC9"/>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7123"/>
    <w:rsid w:val="00EB4EEB"/>
    <w:rsid w:val="00EB5D51"/>
    <w:rsid w:val="00EB60D2"/>
    <w:rsid w:val="00EB63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1BC9"/>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2415"/>
    <w:rsid w:val="00F34739"/>
    <w:rsid w:val="00F35194"/>
    <w:rsid w:val="00F355C3"/>
    <w:rsid w:val="00F35782"/>
    <w:rsid w:val="00F37DE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0A8D"/>
    <w:rsid w:val="00FD1EA7"/>
    <w:rsid w:val="00FD27A1"/>
    <w:rsid w:val="00FD684E"/>
    <w:rsid w:val="00FE2243"/>
    <w:rsid w:val="00FE32DA"/>
    <w:rsid w:val="00FE33BB"/>
    <w:rsid w:val="00FE3922"/>
    <w:rsid w:val="00FE572D"/>
    <w:rsid w:val="00FE6B87"/>
    <w:rsid w:val="00FE7DF6"/>
    <w:rsid w:val="00FF2309"/>
    <w:rsid w:val="00FF595B"/>
    <w:rsid w:val="00FF6D53"/>
    <w:rsid w:val="00FF7B8D"/>
    <w:rsid w:val="01D678F7"/>
    <w:rsid w:val="029307AF"/>
    <w:rsid w:val="05381B24"/>
    <w:rsid w:val="0F3A6943"/>
    <w:rsid w:val="195335C5"/>
    <w:rsid w:val="1F884258"/>
    <w:rsid w:val="1FB84608"/>
    <w:rsid w:val="20260329"/>
    <w:rsid w:val="272C2997"/>
    <w:rsid w:val="27F4501D"/>
    <w:rsid w:val="326C4480"/>
    <w:rsid w:val="32F60766"/>
    <w:rsid w:val="34EB79D4"/>
    <w:rsid w:val="36FC0066"/>
    <w:rsid w:val="3B6B7938"/>
    <w:rsid w:val="3E012A32"/>
    <w:rsid w:val="44F81687"/>
    <w:rsid w:val="493823F6"/>
    <w:rsid w:val="4C787046"/>
    <w:rsid w:val="4CA0721A"/>
    <w:rsid w:val="4E946E98"/>
    <w:rsid w:val="51785CC0"/>
    <w:rsid w:val="5391176E"/>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autoRedefine/>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autoRedefine/>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autoRedefine/>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autoRedefine/>
    <w:qFormat/>
    <w:uiPriority w:val="0"/>
    <w:pPr>
      <w:tabs>
        <w:tab w:val="left" w:pos="480"/>
        <w:tab w:val="left" w:pos="1200"/>
      </w:tabs>
      <w:ind w:left="480" w:hanging="480"/>
    </w:pPr>
  </w:style>
  <w:style w:type="paragraph" w:styleId="34">
    <w:name w:val="Body Text"/>
    <w:basedOn w:val="1"/>
    <w:link w:val="155"/>
    <w:autoRedefine/>
    <w:qFormat/>
    <w:uiPriority w:val="0"/>
    <w:pPr>
      <w:spacing w:after="120"/>
    </w:pPr>
  </w:style>
  <w:style w:type="paragraph" w:styleId="35">
    <w:name w:val="Body Text Indent"/>
    <w:basedOn w:val="1"/>
    <w:link w:val="157"/>
    <w:autoRedefine/>
    <w:qFormat/>
    <w:uiPriority w:val="0"/>
    <w:pPr>
      <w:spacing w:after="120"/>
      <w:ind w:left="420" w:leftChars="200"/>
    </w:pPr>
  </w:style>
  <w:style w:type="paragraph" w:styleId="36">
    <w:name w:val="List Number 3"/>
    <w:basedOn w:val="1"/>
    <w:autoRedefine/>
    <w:qFormat/>
    <w:uiPriority w:val="0"/>
    <w:pPr>
      <w:tabs>
        <w:tab w:val="left" w:pos="360"/>
        <w:tab w:val="left" w:pos="1200"/>
      </w:tabs>
      <w:ind w:left="360" w:hanging="360"/>
    </w:pPr>
  </w:style>
  <w:style w:type="paragraph" w:styleId="37">
    <w:name w:val="List 2"/>
    <w:basedOn w:val="1"/>
    <w:autoRedefine/>
    <w:qFormat/>
    <w:uiPriority w:val="0"/>
    <w:pPr>
      <w:ind w:left="100" w:leftChars="200" w:hanging="200" w:hangingChars="200"/>
      <w:contextualSpacing/>
    </w:pPr>
  </w:style>
  <w:style w:type="paragraph" w:styleId="38">
    <w:name w:val="List Continue"/>
    <w:basedOn w:val="1"/>
    <w:autoRedefine/>
    <w:qFormat/>
    <w:uiPriority w:val="0"/>
    <w:pPr>
      <w:spacing w:after="120"/>
      <w:ind w:left="420" w:leftChars="200"/>
    </w:pPr>
  </w:style>
  <w:style w:type="paragraph" w:styleId="39">
    <w:name w:val="Block Text"/>
    <w:basedOn w:val="1"/>
    <w:autoRedefine/>
    <w:qFormat/>
    <w:uiPriority w:val="0"/>
    <w:pPr>
      <w:spacing w:after="120"/>
      <w:ind w:left="1440" w:leftChars="700" w:right="1440" w:rightChars="700"/>
    </w:pPr>
  </w:style>
  <w:style w:type="paragraph" w:styleId="40">
    <w:name w:val="List Bullet 2"/>
    <w:basedOn w:val="1"/>
    <w:autoRedefine/>
    <w:qFormat/>
    <w:uiPriority w:val="0"/>
    <w:pPr>
      <w:tabs>
        <w:tab w:val="left" w:pos="720"/>
        <w:tab w:val="left" w:pos="780"/>
      </w:tabs>
      <w:ind w:left="720" w:hanging="360"/>
    </w:pPr>
  </w:style>
  <w:style w:type="paragraph" w:styleId="41">
    <w:name w:val="HTML Address"/>
    <w:basedOn w:val="1"/>
    <w:link w:val="161"/>
    <w:autoRedefine/>
    <w:qFormat/>
    <w:uiPriority w:val="0"/>
    <w:rPr>
      <w:i/>
      <w:iCs/>
    </w:rPr>
  </w:style>
  <w:style w:type="paragraph" w:styleId="42">
    <w:name w:val="index 4"/>
    <w:basedOn w:val="1"/>
    <w:next w:val="1"/>
    <w:autoRedefine/>
    <w:qFormat/>
    <w:uiPriority w:val="0"/>
    <w:pPr>
      <w:ind w:left="600" w:leftChars="600"/>
    </w:pPr>
  </w:style>
  <w:style w:type="paragraph" w:styleId="43">
    <w:name w:val="toc 5"/>
    <w:basedOn w:val="1"/>
    <w:next w:val="1"/>
    <w:autoRedefine/>
    <w:qFormat/>
    <w:uiPriority w:val="0"/>
    <w:pPr>
      <w:ind w:left="1680" w:leftChars="800"/>
    </w:pPr>
  </w:style>
  <w:style w:type="paragraph" w:styleId="44">
    <w:name w:val="toc 3"/>
    <w:basedOn w:val="1"/>
    <w:next w:val="1"/>
    <w:autoRedefine/>
    <w:qFormat/>
    <w:uiPriority w:val="0"/>
    <w:pPr>
      <w:tabs>
        <w:tab w:val="right" w:leader="dot" w:pos="8296"/>
      </w:tabs>
      <w:spacing w:line="312" w:lineRule="auto"/>
      <w:ind w:left="400" w:leftChars="400"/>
    </w:pPr>
    <w:rPr>
      <w:sz w:val="24"/>
    </w:rPr>
  </w:style>
  <w:style w:type="paragraph" w:styleId="45">
    <w:name w:val="Plain Text"/>
    <w:basedOn w:val="1"/>
    <w:link w:val="133"/>
    <w:autoRedefine/>
    <w:qFormat/>
    <w:uiPriority w:val="0"/>
    <w:rPr>
      <w:rFonts w:ascii="宋体" w:hAnsi="Courier New" w:cs="Courier New"/>
      <w:szCs w:val="21"/>
    </w:rPr>
  </w:style>
  <w:style w:type="paragraph" w:styleId="46">
    <w:name w:val="List Bullet 5"/>
    <w:basedOn w:val="1"/>
    <w:autoRedefine/>
    <w:qFormat/>
    <w:uiPriority w:val="0"/>
    <w:pPr>
      <w:tabs>
        <w:tab w:val="left" w:pos="840"/>
        <w:tab w:val="left" w:pos="2040"/>
      </w:tabs>
      <w:ind w:left="840" w:hanging="420"/>
    </w:pPr>
  </w:style>
  <w:style w:type="paragraph" w:styleId="47">
    <w:name w:val="List Number 4"/>
    <w:basedOn w:val="1"/>
    <w:autoRedefine/>
    <w:qFormat/>
    <w:uiPriority w:val="0"/>
    <w:pPr>
      <w:tabs>
        <w:tab w:val="left" w:pos="960"/>
        <w:tab w:val="left" w:pos="1620"/>
      </w:tabs>
      <w:ind w:left="960" w:hanging="720"/>
    </w:pPr>
  </w:style>
  <w:style w:type="paragraph" w:styleId="48">
    <w:name w:val="toc 8"/>
    <w:basedOn w:val="1"/>
    <w:next w:val="1"/>
    <w:autoRedefine/>
    <w:qFormat/>
    <w:uiPriority w:val="0"/>
    <w:pPr>
      <w:ind w:left="2940" w:leftChars="1400"/>
    </w:pPr>
  </w:style>
  <w:style w:type="paragraph" w:styleId="49">
    <w:name w:val="index 3"/>
    <w:basedOn w:val="1"/>
    <w:next w:val="1"/>
    <w:autoRedefine/>
    <w:qFormat/>
    <w:uiPriority w:val="0"/>
    <w:pPr>
      <w:ind w:left="400" w:leftChars="400"/>
    </w:pPr>
  </w:style>
  <w:style w:type="paragraph" w:styleId="50">
    <w:name w:val="Date"/>
    <w:basedOn w:val="1"/>
    <w:next w:val="1"/>
    <w:link w:val="131"/>
    <w:autoRedefine/>
    <w:qFormat/>
    <w:uiPriority w:val="0"/>
    <w:pPr>
      <w:ind w:left="100" w:leftChars="2500"/>
    </w:pPr>
  </w:style>
  <w:style w:type="paragraph" w:styleId="51">
    <w:name w:val="Body Text Indent 2"/>
    <w:basedOn w:val="1"/>
    <w:link w:val="171"/>
    <w:autoRedefine/>
    <w:qFormat/>
    <w:uiPriority w:val="0"/>
    <w:pPr>
      <w:spacing w:after="120" w:line="480" w:lineRule="auto"/>
      <w:ind w:left="420" w:leftChars="200"/>
    </w:pPr>
  </w:style>
  <w:style w:type="paragraph" w:styleId="52">
    <w:name w:val="endnote text"/>
    <w:basedOn w:val="1"/>
    <w:link w:val="169"/>
    <w:autoRedefine/>
    <w:qFormat/>
    <w:uiPriority w:val="0"/>
    <w:pPr>
      <w:snapToGrid w:val="0"/>
      <w:jc w:val="left"/>
    </w:pPr>
  </w:style>
  <w:style w:type="paragraph" w:styleId="53">
    <w:name w:val="List Continue 5"/>
    <w:basedOn w:val="1"/>
    <w:autoRedefine/>
    <w:qFormat/>
    <w:uiPriority w:val="0"/>
    <w:pPr>
      <w:spacing w:after="120"/>
      <w:ind w:left="2100" w:leftChars="1000"/>
    </w:pPr>
  </w:style>
  <w:style w:type="paragraph" w:styleId="54">
    <w:name w:val="Balloon Text"/>
    <w:basedOn w:val="1"/>
    <w:link w:val="135"/>
    <w:autoRedefine/>
    <w:qFormat/>
    <w:uiPriority w:val="0"/>
    <w:rPr>
      <w:sz w:val="18"/>
      <w:szCs w:val="18"/>
    </w:rPr>
  </w:style>
  <w:style w:type="paragraph" w:styleId="55">
    <w:name w:val="footer"/>
    <w:basedOn w:val="1"/>
    <w:link w:val="124"/>
    <w:autoRedefine/>
    <w:qFormat/>
    <w:uiPriority w:val="99"/>
    <w:pPr>
      <w:tabs>
        <w:tab w:val="center" w:pos="4153"/>
        <w:tab w:val="right" w:pos="8306"/>
      </w:tabs>
      <w:snapToGrid w:val="0"/>
      <w:jc w:val="left"/>
    </w:pPr>
    <w:rPr>
      <w:sz w:val="18"/>
    </w:rPr>
  </w:style>
  <w:style w:type="paragraph" w:styleId="56">
    <w:name w:val="envelope return"/>
    <w:basedOn w:val="1"/>
    <w:autoRedefine/>
    <w:qFormat/>
    <w:uiPriority w:val="0"/>
    <w:pPr>
      <w:snapToGrid w:val="0"/>
    </w:pPr>
    <w:rPr>
      <w:rFonts w:ascii="Arial" w:hAnsi="Arial" w:cs="Arial"/>
    </w:rPr>
  </w:style>
  <w:style w:type="paragraph" w:styleId="57">
    <w:name w:val="header"/>
    <w:basedOn w:val="1"/>
    <w:link w:val="12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autoRedefine/>
    <w:qFormat/>
    <w:uiPriority w:val="0"/>
    <w:pPr>
      <w:ind w:left="100" w:leftChars="2100"/>
    </w:pPr>
  </w:style>
  <w:style w:type="paragraph" w:styleId="59">
    <w:name w:val="toc 1"/>
    <w:basedOn w:val="1"/>
    <w:next w:val="1"/>
    <w:autoRedefine/>
    <w:qFormat/>
    <w:uiPriority w:val="0"/>
    <w:pPr>
      <w:tabs>
        <w:tab w:val="right" w:leader="dot" w:pos="8296"/>
      </w:tabs>
      <w:spacing w:line="312" w:lineRule="auto"/>
    </w:pPr>
    <w:rPr>
      <w:sz w:val="24"/>
    </w:rPr>
  </w:style>
  <w:style w:type="paragraph" w:styleId="60">
    <w:name w:val="List Continue 4"/>
    <w:basedOn w:val="1"/>
    <w:autoRedefine/>
    <w:qFormat/>
    <w:uiPriority w:val="0"/>
    <w:pPr>
      <w:spacing w:after="120"/>
      <w:ind w:left="1680" w:leftChars="800"/>
    </w:pPr>
  </w:style>
  <w:style w:type="paragraph" w:styleId="61">
    <w:name w:val="toc 4"/>
    <w:basedOn w:val="1"/>
    <w:next w:val="1"/>
    <w:autoRedefine/>
    <w:qFormat/>
    <w:uiPriority w:val="0"/>
    <w:pPr>
      <w:ind w:left="1260" w:leftChars="600"/>
    </w:pPr>
  </w:style>
  <w:style w:type="paragraph" w:styleId="62">
    <w:name w:val="index heading"/>
    <w:basedOn w:val="1"/>
    <w:next w:val="63"/>
    <w:autoRedefine/>
    <w:qFormat/>
    <w:uiPriority w:val="0"/>
    <w:rPr>
      <w:rFonts w:ascii="Arial" w:hAnsi="Arial" w:cs="Arial"/>
      <w:b/>
      <w:bCs/>
    </w:rPr>
  </w:style>
  <w:style w:type="paragraph" w:styleId="63">
    <w:name w:val="index 1"/>
    <w:basedOn w:val="1"/>
    <w:next w:val="1"/>
    <w:autoRedefine/>
    <w:qFormat/>
    <w:uiPriority w:val="0"/>
  </w:style>
  <w:style w:type="paragraph" w:styleId="64">
    <w:name w:val="Subtitle"/>
    <w:basedOn w:val="1"/>
    <w:link w:val="172"/>
    <w:autoRedefine/>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autoRedefine/>
    <w:qFormat/>
    <w:uiPriority w:val="0"/>
    <w:pPr>
      <w:tabs>
        <w:tab w:val="left" w:pos="2040"/>
      </w:tabs>
    </w:pPr>
  </w:style>
  <w:style w:type="paragraph" w:styleId="66">
    <w:name w:val="List"/>
    <w:basedOn w:val="1"/>
    <w:autoRedefine/>
    <w:qFormat/>
    <w:uiPriority w:val="0"/>
    <w:pPr>
      <w:ind w:left="200" w:hanging="200" w:hangingChars="200"/>
    </w:pPr>
  </w:style>
  <w:style w:type="paragraph" w:styleId="67">
    <w:name w:val="footnote text"/>
    <w:basedOn w:val="1"/>
    <w:link w:val="165"/>
    <w:autoRedefine/>
    <w:qFormat/>
    <w:uiPriority w:val="0"/>
    <w:pPr>
      <w:snapToGrid w:val="0"/>
      <w:jc w:val="left"/>
    </w:pPr>
    <w:rPr>
      <w:sz w:val="18"/>
      <w:szCs w:val="18"/>
    </w:rPr>
  </w:style>
  <w:style w:type="paragraph" w:styleId="68">
    <w:name w:val="toc 6"/>
    <w:basedOn w:val="1"/>
    <w:next w:val="1"/>
    <w:autoRedefine/>
    <w:qFormat/>
    <w:uiPriority w:val="0"/>
    <w:pPr>
      <w:ind w:left="2100" w:leftChars="1000"/>
    </w:pPr>
  </w:style>
  <w:style w:type="paragraph" w:styleId="69">
    <w:name w:val="List 5"/>
    <w:basedOn w:val="1"/>
    <w:autoRedefine/>
    <w:qFormat/>
    <w:uiPriority w:val="0"/>
    <w:pPr>
      <w:ind w:left="100" w:leftChars="800" w:hanging="200" w:hangingChars="200"/>
    </w:pPr>
  </w:style>
  <w:style w:type="paragraph" w:styleId="70">
    <w:name w:val="Body Text Indent 3"/>
    <w:basedOn w:val="1"/>
    <w:link w:val="162"/>
    <w:autoRedefine/>
    <w:qFormat/>
    <w:uiPriority w:val="99"/>
    <w:pPr>
      <w:spacing w:after="120"/>
      <w:ind w:left="420" w:leftChars="200"/>
    </w:pPr>
    <w:rPr>
      <w:sz w:val="16"/>
      <w:szCs w:val="16"/>
    </w:rPr>
  </w:style>
  <w:style w:type="paragraph" w:styleId="71">
    <w:name w:val="index 7"/>
    <w:basedOn w:val="1"/>
    <w:next w:val="1"/>
    <w:autoRedefine/>
    <w:qFormat/>
    <w:uiPriority w:val="0"/>
    <w:pPr>
      <w:ind w:left="1200" w:leftChars="1200"/>
    </w:pPr>
  </w:style>
  <w:style w:type="paragraph" w:styleId="72">
    <w:name w:val="index 9"/>
    <w:basedOn w:val="1"/>
    <w:next w:val="1"/>
    <w:autoRedefine/>
    <w:qFormat/>
    <w:uiPriority w:val="0"/>
    <w:pPr>
      <w:ind w:left="1600" w:leftChars="1600"/>
    </w:pPr>
  </w:style>
  <w:style w:type="paragraph" w:styleId="73">
    <w:name w:val="table of figures"/>
    <w:basedOn w:val="1"/>
    <w:next w:val="1"/>
    <w:autoRedefine/>
    <w:qFormat/>
    <w:uiPriority w:val="0"/>
    <w:pPr>
      <w:ind w:left="200" w:leftChars="200" w:hanging="200" w:hangingChars="200"/>
    </w:pPr>
  </w:style>
  <w:style w:type="paragraph" w:styleId="74">
    <w:name w:val="toc 2"/>
    <w:basedOn w:val="1"/>
    <w:next w:val="1"/>
    <w:autoRedefine/>
    <w:qFormat/>
    <w:uiPriority w:val="0"/>
    <w:pPr>
      <w:tabs>
        <w:tab w:val="right" w:leader="dot" w:pos="8296"/>
      </w:tabs>
      <w:spacing w:line="312" w:lineRule="auto"/>
      <w:ind w:left="420" w:leftChars="200"/>
    </w:pPr>
    <w:rPr>
      <w:sz w:val="24"/>
    </w:rPr>
  </w:style>
  <w:style w:type="paragraph" w:styleId="75">
    <w:name w:val="toc 9"/>
    <w:basedOn w:val="1"/>
    <w:next w:val="1"/>
    <w:autoRedefine/>
    <w:qFormat/>
    <w:uiPriority w:val="0"/>
    <w:pPr>
      <w:ind w:left="3360" w:leftChars="1600"/>
    </w:pPr>
  </w:style>
  <w:style w:type="paragraph" w:styleId="76">
    <w:name w:val="Body Text 2"/>
    <w:basedOn w:val="1"/>
    <w:link w:val="167"/>
    <w:autoRedefine/>
    <w:qFormat/>
    <w:uiPriority w:val="0"/>
    <w:pPr>
      <w:spacing w:after="120" w:line="480" w:lineRule="auto"/>
    </w:pPr>
  </w:style>
  <w:style w:type="paragraph" w:styleId="77">
    <w:name w:val="List 4"/>
    <w:basedOn w:val="1"/>
    <w:autoRedefine/>
    <w:qFormat/>
    <w:uiPriority w:val="0"/>
    <w:pPr>
      <w:ind w:left="100" w:leftChars="600" w:hanging="200" w:hangingChars="200"/>
    </w:pPr>
  </w:style>
  <w:style w:type="paragraph" w:styleId="78">
    <w:name w:val="List Continue 2"/>
    <w:basedOn w:val="1"/>
    <w:autoRedefine/>
    <w:qFormat/>
    <w:uiPriority w:val="0"/>
    <w:pPr>
      <w:spacing w:after="120"/>
      <w:ind w:left="840" w:leftChars="400"/>
    </w:pPr>
  </w:style>
  <w:style w:type="paragraph" w:styleId="79">
    <w:name w:val="Message Header"/>
    <w:basedOn w:val="1"/>
    <w:link w:val="17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autoRedefine/>
    <w:qFormat/>
    <w:uiPriority w:val="0"/>
    <w:pPr>
      <w:spacing w:after="120"/>
      <w:ind w:left="1260" w:leftChars="600"/>
    </w:pPr>
  </w:style>
  <w:style w:type="paragraph" w:styleId="83">
    <w:name w:val="index 2"/>
    <w:basedOn w:val="1"/>
    <w:next w:val="1"/>
    <w:autoRedefine/>
    <w:qFormat/>
    <w:uiPriority w:val="0"/>
    <w:pPr>
      <w:ind w:left="200" w:leftChars="200"/>
    </w:pPr>
  </w:style>
  <w:style w:type="paragraph" w:styleId="84">
    <w:name w:val="Title"/>
    <w:basedOn w:val="1"/>
    <w:link w:val="127"/>
    <w:autoRedefine/>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autoRedefine/>
    <w:qFormat/>
    <w:uiPriority w:val="0"/>
    <w:rPr>
      <w:b/>
      <w:bCs/>
      <w:szCs w:val="24"/>
    </w:rPr>
  </w:style>
  <w:style w:type="paragraph" w:styleId="86">
    <w:name w:val="Body Text First Indent"/>
    <w:basedOn w:val="34"/>
    <w:link w:val="156"/>
    <w:autoRedefine/>
    <w:qFormat/>
    <w:uiPriority w:val="0"/>
    <w:pPr>
      <w:ind w:firstLine="420" w:firstLineChars="100"/>
    </w:pPr>
  </w:style>
  <w:style w:type="paragraph" w:styleId="87">
    <w:name w:val="Body Text First Indent 2"/>
    <w:basedOn w:val="35"/>
    <w:link w:val="158"/>
    <w:autoRedefine/>
    <w:qFormat/>
    <w:uiPriority w:val="0"/>
    <w:pPr>
      <w:ind w:firstLine="420" w:firstLineChars="200"/>
    </w:pPr>
  </w:style>
  <w:style w:type="table" w:styleId="89">
    <w:name w:val="Table Grid"/>
    <w:basedOn w:val="8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22"/>
    <w:rPr>
      <w:b/>
      <w:bCs/>
    </w:rPr>
  </w:style>
  <w:style w:type="character" w:styleId="92">
    <w:name w:val="endnote reference"/>
    <w:autoRedefine/>
    <w:qFormat/>
    <w:uiPriority w:val="0"/>
    <w:rPr>
      <w:vertAlign w:val="superscript"/>
    </w:rPr>
  </w:style>
  <w:style w:type="character" w:styleId="93">
    <w:name w:val="page number"/>
    <w:basedOn w:val="90"/>
    <w:autoRedefine/>
    <w:unhideWhenUsed/>
    <w:qFormat/>
    <w:uiPriority w:val="0"/>
    <w:rPr>
      <w:rFonts w:ascii="Times New Roman" w:hAnsi="Times New Roman" w:eastAsia="宋体"/>
      <w:sz w:val="18"/>
    </w:rPr>
  </w:style>
  <w:style w:type="character" w:styleId="94">
    <w:name w:val="FollowedHyperlink"/>
    <w:basedOn w:val="90"/>
    <w:autoRedefine/>
    <w:qFormat/>
    <w:uiPriority w:val="99"/>
    <w:rPr>
      <w:color w:val="800080" w:themeColor="followedHyperlink"/>
      <w:u w:val="single"/>
      <w14:textFill>
        <w14:solidFill>
          <w14:schemeClr w14:val="folHlink"/>
        </w14:solidFill>
      </w14:textFill>
    </w:rPr>
  </w:style>
  <w:style w:type="character" w:styleId="95">
    <w:name w:val="Emphasis"/>
    <w:autoRedefine/>
    <w:qFormat/>
    <w:uiPriority w:val="20"/>
    <w:rPr>
      <w:i/>
      <w:iCs/>
    </w:rPr>
  </w:style>
  <w:style w:type="character" w:styleId="96">
    <w:name w:val="line number"/>
    <w:basedOn w:val="90"/>
    <w:autoRedefine/>
    <w:qFormat/>
    <w:uiPriority w:val="0"/>
  </w:style>
  <w:style w:type="character" w:styleId="97">
    <w:name w:val="HTML Definition"/>
    <w:autoRedefine/>
    <w:qFormat/>
    <w:uiPriority w:val="0"/>
    <w:rPr>
      <w:i/>
      <w:iCs/>
    </w:rPr>
  </w:style>
  <w:style w:type="character" w:styleId="98">
    <w:name w:val="HTML Typewriter"/>
    <w:autoRedefine/>
    <w:qFormat/>
    <w:uiPriority w:val="0"/>
    <w:rPr>
      <w:rFonts w:ascii="Courier New" w:hAnsi="Courier New" w:cs="Courier New"/>
      <w:sz w:val="20"/>
      <w:szCs w:val="20"/>
    </w:rPr>
  </w:style>
  <w:style w:type="character" w:styleId="99">
    <w:name w:val="HTML Acronym"/>
    <w:basedOn w:val="90"/>
    <w:autoRedefine/>
    <w:qFormat/>
    <w:uiPriority w:val="0"/>
  </w:style>
  <w:style w:type="character" w:styleId="100">
    <w:name w:val="HTML Variable"/>
    <w:autoRedefine/>
    <w:qFormat/>
    <w:uiPriority w:val="0"/>
    <w:rPr>
      <w:i/>
      <w:iCs/>
    </w:rPr>
  </w:style>
  <w:style w:type="character" w:styleId="101">
    <w:name w:val="Hyperlink"/>
    <w:basedOn w:val="90"/>
    <w:autoRedefine/>
    <w:qFormat/>
    <w:uiPriority w:val="99"/>
    <w:rPr>
      <w:color w:val="0000FF"/>
      <w:u w:val="single"/>
    </w:rPr>
  </w:style>
  <w:style w:type="character" w:styleId="102">
    <w:name w:val="HTML Code"/>
    <w:autoRedefine/>
    <w:qFormat/>
    <w:uiPriority w:val="0"/>
    <w:rPr>
      <w:rFonts w:ascii="Courier New" w:hAnsi="Courier New" w:cs="Courier New"/>
      <w:sz w:val="20"/>
      <w:szCs w:val="20"/>
    </w:rPr>
  </w:style>
  <w:style w:type="character" w:styleId="103">
    <w:name w:val="annotation reference"/>
    <w:basedOn w:val="90"/>
    <w:autoRedefine/>
    <w:qFormat/>
    <w:uiPriority w:val="0"/>
    <w:rPr>
      <w:sz w:val="21"/>
      <w:szCs w:val="21"/>
    </w:rPr>
  </w:style>
  <w:style w:type="character" w:styleId="104">
    <w:name w:val="HTML Cite"/>
    <w:autoRedefine/>
    <w:qFormat/>
    <w:uiPriority w:val="0"/>
    <w:rPr>
      <w:i/>
      <w:iCs/>
    </w:rPr>
  </w:style>
  <w:style w:type="character" w:styleId="105">
    <w:name w:val="footnote reference"/>
    <w:autoRedefine/>
    <w:qFormat/>
    <w:uiPriority w:val="0"/>
    <w:rPr>
      <w:vertAlign w:val="superscript"/>
    </w:rPr>
  </w:style>
  <w:style w:type="character" w:styleId="106">
    <w:name w:val="HTML Keyboard"/>
    <w:autoRedefine/>
    <w:qFormat/>
    <w:uiPriority w:val="0"/>
    <w:rPr>
      <w:rFonts w:ascii="Courier New" w:hAnsi="Courier New" w:cs="Courier New"/>
      <w:sz w:val="20"/>
      <w:szCs w:val="20"/>
    </w:rPr>
  </w:style>
  <w:style w:type="character" w:styleId="107">
    <w:name w:val="HTML Sample"/>
    <w:autoRedefine/>
    <w:qFormat/>
    <w:uiPriority w:val="0"/>
    <w:rPr>
      <w:rFonts w:ascii="Courier New" w:hAnsi="Courier New" w:cs="Courier New"/>
    </w:rPr>
  </w:style>
  <w:style w:type="character" w:customStyle="1" w:styleId="108">
    <w:name w:val="标题 1 字符"/>
    <w:basedOn w:val="90"/>
    <w:link w:val="3"/>
    <w:autoRedefine/>
    <w:qFormat/>
    <w:uiPriority w:val="0"/>
    <w:rPr>
      <w:b/>
      <w:bCs/>
      <w:kern w:val="44"/>
      <w:sz w:val="44"/>
      <w:szCs w:val="44"/>
    </w:rPr>
  </w:style>
  <w:style w:type="character" w:customStyle="1" w:styleId="109">
    <w:name w:val="标题 2 字符"/>
    <w:basedOn w:val="90"/>
    <w:link w:val="4"/>
    <w:autoRedefine/>
    <w:qFormat/>
    <w:uiPriority w:val="0"/>
    <w:rPr>
      <w:rFonts w:ascii="Arial" w:hAnsi="Arial" w:eastAsia="黑体"/>
      <w:b/>
      <w:bCs/>
      <w:kern w:val="2"/>
      <w:sz w:val="32"/>
      <w:szCs w:val="32"/>
    </w:rPr>
  </w:style>
  <w:style w:type="character" w:customStyle="1" w:styleId="110">
    <w:name w:val="标题 3 字符"/>
    <w:basedOn w:val="90"/>
    <w:link w:val="5"/>
    <w:autoRedefine/>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autoRedefine/>
    <w:qFormat/>
    <w:uiPriority w:val="0"/>
    <w:rPr>
      <w:b/>
      <w:bCs/>
      <w:kern w:val="2"/>
      <w:sz w:val="28"/>
      <w:szCs w:val="28"/>
    </w:rPr>
  </w:style>
  <w:style w:type="character" w:customStyle="1" w:styleId="113">
    <w:name w:val="标题 6 字符"/>
    <w:basedOn w:val="90"/>
    <w:link w:val="8"/>
    <w:autoRedefine/>
    <w:qFormat/>
    <w:uiPriority w:val="0"/>
    <w:rPr>
      <w:rFonts w:ascii="Arial" w:hAnsi="Arial" w:eastAsia="黑体"/>
      <w:b/>
      <w:bCs/>
      <w:kern w:val="2"/>
      <w:sz w:val="24"/>
      <w:szCs w:val="24"/>
    </w:rPr>
  </w:style>
  <w:style w:type="character" w:customStyle="1" w:styleId="114">
    <w:name w:val="标题 7 字符"/>
    <w:basedOn w:val="90"/>
    <w:link w:val="9"/>
    <w:autoRedefine/>
    <w:qFormat/>
    <w:uiPriority w:val="0"/>
    <w:rPr>
      <w:b/>
      <w:bCs/>
      <w:kern w:val="2"/>
      <w:sz w:val="24"/>
      <w:szCs w:val="24"/>
    </w:rPr>
  </w:style>
  <w:style w:type="character" w:customStyle="1" w:styleId="115">
    <w:name w:val="标题 8 字符"/>
    <w:basedOn w:val="90"/>
    <w:link w:val="10"/>
    <w:autoRedefine/>
    <w:qFormat/>
    <w:uiPriority w:val="0"/>
    <w:rPr>
      <w:rFonts w:ascii="Arial" w:hAnsi="Arial" w:eastAsia="黑体"/>
      <w:kern w:val="2"/>
      <w:sz w:val="24"/>
      <w:szCs w:val="24"/>
    </w:rPr>
  </w:style>
  <w:style w:type="character" w:customStyle="1" w:styleId="116">
    <w:name w:val="标题 9 字符"/>
    <w:basedOn w:val="90"/>
    <w:link w:val="11"/>
    <w:autoRedefine/>
    <w:qFormat/>
    <w:uiPriority w:val="0"/>
    <w:rPr>
      <w:rFonts w:ascii="Arial" w:hAnsi="Arial" w:eastAsia="黑体"/>
      <w:kern w:val="2"/>
      <w:sz w:val="21"/>
      <w:szCs w:val="21"/>
    </w:rPr>
  </w:style>
  <w:style w:type="paragraph" w:customStyle="1" w:styleId="117">
    <w:name w:val="封面标准英文名称"/>
    <w:autoRedefine/>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autoRedefine/>
    <w:qFormat/>
    <w:uiPriority w:val="0"/>
    <w:pPr>
      <w:adjustRightInd w:val="0"/>
      <w:spacing w:line="312" w:lineRule="atLeast"/>
      <w:jc w:val="center"/>
      <w:textAlignment w:val="baseline"/>
    </w:pPr>
    <w:rPr>
      <w:kern w:val="0"/>
      <w:szCs w:val="20"/>
    </w:rPr>
  </w:style>
  <w:style w:type="paragraph" w:customStyle="1" w:styleId="119">
    <w:name w:val="封面标准号2"/>
    <w:basedOn w:val="1"/>
    <w:autoRedefine/>
    <w:qFormat/>
    <w:uiPriority w:val="0"/>
  </w:style>
  <w:style w:type="paragraph" w:customStyle="1" w:styleId="120">
    <w:name w:val="章标题"/>
    <w:next w:val="1"/>
    <w:autoRedefine/>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autoRedefine/>
    <w:qFormat/>
    <w:uiPriority w:val="0"/>
    <w:rPr>
      <w:kern w:val="2"/>
      <w:sz w:val="21"/>
      <w:szCs w:val="21"/>
    </w:rPr>
  </w:style>
  <w:style w:type="character" w:customStyle="1" w:styleId="123">
    <w:name w:val="页眉 字符"/>
    <w:basedOn w:val="90"/>
    <w:link w:val="57"/>
    <w:autoRedefine/>
    <w:qFormat/>
    <w:uiPriority w:val="0"/>
    <w:rPr>
      <w:kern w:val="2"/>
      <w:sz w:val="18"/>
      <w:szCs w:val="24"/>
    </w:rPr>
  </w:style>
  <w:style w:type="character" w:customStyle="1" w:styleId="124">
    <w:name w:val="页脚 字符"/>
    <w:basedOn w:val="90"/>
    <w:link w:val="55"/>
    <w:autoRedefine/>
    <w:qFormat/>
    <w:uiPriority w:val="99"/>
    <w:rPr>
      <w:kern w:val="2"/>
      <w:sz w:val="18"/>
      <w:szCs w:val="24"/>
    </w:rPr>
  </w:style>
  <w:style w:type="paragraph" w:customStyle="1" w:styleId="125">
    <w:name w:val="列出段落1"/>
    <w:basedOn w:val="1"/>
    <w:autoRedefine/>
    <w:qFormat/>
    <w:uiPriority w:val="0"/>
    <w:pPr>
      <w:ind w:firstLine="420" w:firstLineChars="200"/>
    </w:pPr>
    <w:rPr>
      <w:rFonts w:ascii="Calibri" w:hAnsi="Calibri" w:cs="黑体"/>
      <w:szCs w:val="22"/>
    </w:rPr>
  </w:style>
  <w:style w:type="paragraph" w:customStyle="1" w:styleId="126">
    <w:name w:val="Char Char Char Char"/>
    <w:basedOn w:val="1"/>
    <w:autoRedefine/>
    <w:qFormat/>
    <w:uiPriority w:val="0"/>
    <w:pPr>
      <w:widowControl/>
      <w:spacing w:after="160" w:line="240" w:lineRule="exact"/>
      <w:jc w:val="left"/>
    </w:pPr>
  </w:style>
  <w:style w:type="character" w:customStyle="1" w:styleId="127">
    <w:name w:val="标题 字符"/>
    <w:basedOn w:val="90"/>
    <w:link w:val="84"/>
    <w:autoRedefine/>
    <w:qFormat/>
    <w:uiPriority w:val="0"/>
    <w:rPr>
      <w:rFonts w:ascii="Arial" w:hAnsi="Arial" w:cs="Arial"/>
      <w:b/>
      <w:bCs/>
      <w:kern w:val="2"/>
      <w:sz w:val="32"/>
      <w:szCs w:val="32"/>
    </w:rPr>
  </w:style>
  <w:style w:type="character" w:customStyle="1" w:styleId="128">
    <w:name w:val="t_tag"/>
    <w:basedOn w:val="90"/>
    <w:autoRedefine/>
    <w:qFormat/>
    <w:uiPriority w:val="0"/>
  </w:style>
  <w:style w:type="character" w:customStyle="1" w:styleId="129">
    <w:name w:val="apple-converted-space"/>
    <w:basedOn w:val="90"/>
    <w:autoRedefine/>
    <w:qFormat/>
    <w:uiPriority w:val="0"/>
  </w:style>
  <w:style w:type="character" w:customStyle="1" w:styleId="130">
    <w:name w:val="apple-style-span"/>
    <w:basedOn w:val="90"/>
    <w:autoRedefine/>
    <w:qFormat/>
    <w:uiPriority w:val="0"/>
  </w:style>
  <w:style w:type="character" w:customStyle="1" w:styleId="131">
    <w:name w:val="日期 字符"/>
    <w:basedOn w:val="90"/>
    <w:link w:val="50"/>
    <w:autoRedefine/>
    <w:qFormat/>
    <w:uiPriority w:val="0"/>
    <w:rPr>
      <w:kern w:val="2"/>
      <w:sz w:val="21"/>
      <w:szCs w:val="24"/>
    </w:rPr>
  </w:style>
  <w:style w:type="character" w:customStyle="1" w:styleId="132">
    <w:name w:val="HTML 预设格式 字符"/>
    <w:basedOn w:val="90"/>
    <w:link w:val="80"/>
    <w:autoRedefine/>
    <w:qFormat/>
    <w:uiPriority w:val="99"/>
    <w:rPr>
      <w:rFonts w:ascii="宋体" w:hAnsi="宋体" w:cs="宋体"/>
      <w:sz w:val="24"/>
      <w:szCs w:val="24"/>
    </w:rPr>
  </w:style>
  <w:style w:type="character" w:customStyle="1" w:styleId="133">
    <w:name w:val="纯文本 字符"/>
    <w:basedOn w:val="90"/>
    <w:link w:val="45"/>
    <w:autoRedefine/>
    <w:qFormat/>
    <w:uiPriority w:val="0"/>
    <w:rPr>
      <w:rFonts w:ascii="宋体" w:hAnsi="Courier New" w:cs="Courier New"/>
      <w:kern w:val="2"/>
      <w:sz w:val="21"/>
      <w:szCs w:val="21"/>
    </w:rPr>
  </w:style>
  <w:style w:type="character" w:customStyle="1" w:styleId="134">
    <w:name w:val="批注主题 字符"/>
    <w:basedOn w:val="122"/>
    <w:link w:val="85"/>
    <w:autoRedefine/>
    <w:qFormat/>
    <w:uiPriority w:val="0"/>
    <w:rPr>
      <w:b/>
      <w:bCs/>
      <w:kern w:val="2"/>
      <w:sz w:val="21"/>
      <w:szCs w:val="24"/>
    </w:rPr>
  </w:style>
  <w:style w:type="character" w:customStyle="1" w:styleId="135">
    <w:name w:val="批注框文本 字符"/>
    <w:basedOn w:val="90"/>
    <w:link w:val="54"/>
    <w:autoRedefine/>
    <w:qFormat/>
    <w:uiPriority w:val="0"/>
    <w:rPr>
      <w:kern w:val="2"/>
      <w:sz w:val="18"/>
      <w:szCs w:val="18"/>
    </w:rPr>
  </w:style>
  <w:style w:type="paragraph" w:styleId="136">
    <w:name w:val="List Paragraph"/>
    <w:basedOn w:val="1"/>
    <w:autoRedefine/>
    <w:qFormat/>
    <w:uiPriority w:val="99"/>
    <w:pPr>
      <w:ind w:firstLine="420" w:firstLineChars="200"/>
    </w:pPr>
  </w:style>
  <w:style w:type="character" w:customStyle="1" w:styleId="137">
    <w:name w:val="段 Char Char"/>
    <w:basedOn w:val="90"/>
    <w:link w:val="121"/>
    <w:autoRedefine/>
    <w:qFormat/>
    <w:uiPriority w:val="0"/>
    <w:rPr>
      <w:rFonts w:ascii="宋体" w:hAnsi="宋体"/>
      <w:sz w:val="21"/>
    </w:rPr>
  </w:style>
  <w:style w:type="character" w:customStyle="1" w:styleId="138">
    <w:name w:val="short_text1"/>
    <w:basedOn w:val="90"/>
    <w:autoRedefine/>
    <w:qFormat/>
    <w:uiPriority w:val="0"/>
    <w:rPr>
      <w:sz w:val="19"/>
      <w:szCs w:val="19"/>
    </w:rPr>
  </w:style>
  <w:style w:type="paragraph" w:customStyle="1" w:styleId="139">
    <w:name w:val="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autoRedefine/>
    <w:qFormat/>
    <w:uiPriority w:val="0"/>
    <w:rPr>
      <w:vertAlign w:val="superscript"/>
    </w:rPr>
  </w:style>
  <w:style w:type="character" w:customStyle="1" w:styleId="141">
    <w:name w:val="z题名页日期"/>
    <w:autoRedefine/>
    <w:qFormat/>
    <w:uiPriority w:val="0"/>
    <w:rPr>
      <w:rFonts w:ascii="Times New Roman" w:hAnsi="Times New Roman" w:eastAsia="宋体"/>
      <w:spacing w:val="0"/>
      <w:sz w:val="28"/>
    </w:rPr>
  </w:style>
  <w:style w:type="character" w:customStyle="1" w:styleId="142">
    <w:name w:val="z题名页其他"/>
    <w:autoRedefine/>
    <w:qFormat/>
    <w:uiPriority w:val="0"/>
    <w:rPr>
      <w:rFonts w:ascii="Times New Roman" w:hAnsi="Times New Roman" w:eastAsia="宋体"/>
      <w:sz w:val="21"/>
    </w:rPr>
  </w:style>
  <w:style w:type="character" w:customStyle="1" w:styleId="143">
    <w:name w:val="datatitle1"/>
    <w:autoRedefine/>
    <w:qFormat/>
    <w:uiPriority w:val="0"/>
    <w:rPr>
      <w:b/>
      <w:bCs/>
      <w:color w:val="10619F"/>
      <w:sz w:val="21"/>
      <w:szCs w:val="21"/>
    </w:rPr>
  </w:style>
  <w:style w:type="character" w:customStyle="1" w:styleId="144">
    <w:name w:val="z题名页作者"/>
    <w:basedOn w:val="145"/>
    <w:autoRedefine/>
    <w:qFormat/>
    <w:uiPriority w:val="0"/>
    <w:rPr>
      <w:rFonts w:ascii="Times New Roman" w:hAnsi="Times New Roman" w:eastAsia="宋体"/>
      <w:sz w:val="28"/>
    </w:rPr>
  </w:style>
  <w:style w:type="character" w:customStyle="1" w:styleId="145">
    <w:name w:val="z题名页题名"/>
    <w:autoRedefine/>
    <w:qFormat/>
    <w:uiPriority w:val="0"/>
    <w:rPr>
      <w:rFonts w:ascii="Times New Roman" w:hAnsi="Times New Roman" w:eastAsia="宋体"/>
      <w:sz w:val="28"/>
    </w:rPr>
  </w:style>
  <w:style w:type="character" w:customStyle="1" w:styleId="146">
    <w:name w:val="z封面题名"/>
    <w:autoRedefine/>
    <w:qFormat/>
    <w:uiPriority w:val="0"/>
    <w:rPr>
      <w:rFonts w:ascii="Times New Roman" w:hAnsi="Times New Roman" w:eastAsia="宋体"/>
      <w:b/>
      <w:spacing w:val="0"/>
      <w:sz w:val="36"/>
    </w:rPr>
  </w:style>
  <w:style w:type="character" w:customStyle="1" w:styleId="147">
    <w:name w:val="z封面其他"/>
    <w:autoRedefine/>
    <w:qFormat/>
    <w:uiPriority w:val="0"/>
    <w:rPr>
      <w:rFonts w:ascii="Times New Roman" w:hAnsi="Times New Roman" w:eastAsia="宋体"/>
      <w:spacing w:val="0"/>
      <w:sz w:val="30"/>
    </w:rPr>
  </w:style>
  <w:style w:type="character" w:customStyle="1" w:styleId="148">
    <w:name w:val="u关键词"/>
    <w:autoRedefine/>
    <w:qFormat/>
    <w:uiPriority w:val="0"/>
    <w:rPr>
      <w:rFonts w:ascii="Times New Roman" w:hAnsi="Times New Roman" w:eastAsia="黑体"/>
      <w:b/>
      <w:sz w:val="24"/>
    </w:rPr>
  </w:style>
  <w:style w:type="character" w:customStyle="1" w:styleId="149">
    <w:name w:val="u正文 Char Char"/>
    <w:link w:val="150"/>
    <w:autoRedefine/>
    <w:qFormat/>
    <w:uiPriority w:val="0"/>
    <w:rPr>
      <w:rFonts w:cs="宋体"/>
      <w:kern w:val="2"/>
      <w:sz w:val="24"/>
      <w:szCs w:val="24"/>
    </w:rPr>
  </w:style>
  <w:style w:type="paragraph" w:customStyle="1" w:styleId="150">
    <w:name w:val="u正文 Char"/>
    <w:basedOn w:val="1"/>
    <w:link w:val="149"/>
    <w:autoRedefine/>
    <w:qFormat/>
    <w:uiPriority w:val="0"/>
    <w:pPr>
      <w:spacing w:beforeLines="10" w:afterLines="10" w:line="312" w:lineRule="auto"/>
      <w:ind w:firstLine="200" w:firstLineChars="200"/>
    </w:pPr>
    <w:rPr>
      <w:rFonts w:cs="宋体"/>
      <w:sz w:val="24"/>
    </w:rPr>
  </w:style>
  <w:style w:type="character" w:customStyle="1" w:styleId="151">
    <w:name w:val="z封二题名"/>
    <w:autoRedefine/>
    <w:qFormat/>
    <w:uiPriority w:val="0"/>
    <w:rPr>
      <w:rFonts w:ascii="Times New Roman" w:hAnsi="Times New Roman" w:eastAsia="宋体"/>
      <w:sz w:val="36"/>
    </w:rPr>
  </w:style>
  <w:style w:type="character" w:customStyle="1" w:styleId="152">
    <w:name w:val="z书脊"/>
    <w:autoRedefine/>
    <w:qFormat/>
    <w:uiPriority w:val="0"/>
    <w:rPr>
      <w:rFonts w:ascii="Times New Roman" w:hAnsi="Times New Roman" w:eastAsia="宋体"/>
      <w:b/>
      <w:sz w:val="32"/>
    </w:rPr>
  </w:style>
  <w:style w:type="character" w:customStyle="1" w:styleId="153">
    <w:name w:val="z封二其他"/>
    <w:autoRedefine/>
    <w:qFormat/>
    <w:uiPriority w:val="0"/>
    <w:rPr>
      <w:rFonts w:ascii="Times New Roman" w:hAnsi="Times New Roman" w:eastAsia="宋体"/>
      <w:sz w:val="24"/>
    </w:rPr>
  </w:style>
  <w:style w:type="character" w:customStyle="1" w:styleId="154">
    <w:name w:val="宏文本 字符"/>
    <w:basedOn w:val="90"/>
    <w:link w:val="2"/>
    <w:autoRedefine/>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文本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文本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99"/>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paragraph" w:customStyle="1" w:styleId="252">
    <w:name w:val="p17"/>
    <w:basedOn w:val="1"/>
    <w:qFormat/>
    <w:uiPriority w:val="0"/>
    <w:pPr>
      <w:widowControl/>
      <w:ind w:firstLine="420"/>
    </w:pPr>
    <w:rPr>
      <w:rFonts w:ascii="宋体" w:hAnsi="宋体" w:cs="宋体"/>
      <w:kern w:val="0"/>
      <w:szCs w:val="21"/>
    </w:rPr>
  </w:style>
  <w:style w:type="paragraph" w:customStyle="1" w:styleId="253">
    <w:name w:val="p0"/>
    <w:basedOn w:val="1"/>
    <w:qFormat/>
    <w:uiPriority w:val="0"/>
    <w:pPr>
      <w:widowControl/>
    </w:pPr>
    <w:rPr>
      <w:kern w:val="0"/>
      <w:szCs w:val="21"/>
    </w:rPr>
  </w:style>
  <w:style w:type="paragraph" w:customStyle="1" w:styleId="2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5">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256">
    <w:name w:val="p19"/>
    <w:basedOn w:val="1"/>
    <w:uiPriority w:val="0"/>
    <w:pPr>
      <w:widowControl/>
      <w:ind w:firstLine="420"/>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Pages>
  <Words>1430</Words>
  <Characters>8156</Characters>
  <Lines>67</Lines>
  <Paragraphs>19</Paragraphs>
  <TotalTime>5</TotalTime>
  <ScaleCrop>false</ScaleCrop>
  <LinksUpToDate>false</LinksUpToDate>
  <CharactersWithSpaces>9567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2020-11-30T07:58:00Z</dcterms:created>
  <dc:creator>zljy05</dc:creator>
  <cp:lastModifiedBy>余金秋</cp:lastModifiedBy>
  <cp:lastPrinted>2018-08-20T12:57:00Z</cp:lastPrinted>
  <dcterms:modified xsi:type="dcterms:W3CDTF">2024-03-08T13:45:30Z</dcterms:modified>
  <dc:title>再生锌化学分析方法</dc:title>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91FAA315E05A40A192F0831A3BA987E7</vt:lpwstr>
  </property>
</Properties>
</file>