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360" w:lineRule="auto"/>
        <w:jc w:val="center"/>
        <w:textAlignment w:val="auto"/>
        <w:rPr>
          <w:rFonts w:ascii="黑体" w:hAnsi="黑体" w:eastAsia="黑体" w:cs="黑体"/>
          <w:b/>
          <w:bCs/>
          <w:w w:val="90"/>
          <w:sz w:val="32"/>
          <w:szCs w:val="32"/>
        </w:rPr>
      </w:pPr>
      <w:bookmarkStart w:id="0" w:name="_Hlk82435718"/>
      <w:r>
        <w:rPr>
          <w:rFonts w:hint="eastAsia" w:ascii="黑体" w:hAnsi="黑体" w:eastAsia="黑体" w:cs="黑体"/>
          <w:b/>
          <w:bCs/>
          <w:w w:val="90"/>
          <w:sz w:val="32"/>
          <w:szCs w:val="32"/>
        </w:rPr>
        <w:t>稀土行业标准</w:t>
      </w:r>
      <w:r>
        <w:rPr>
          <w:rFonts w:ascii="黑体" w:hAnsi="黑体" w:eastAsia="黑体" w:cs="黑体"/>
          <w:b/>
          <w:bCs/>
          <w:w w:val="90"/>
          <w:sz w:val="32"/>
          <w:szCs w:val="32"/>
        </w:rPr>
        <w:t>《</w:t>
      </w:r>
      <w:r>
        <w:rPr>
          <w:rFonts w:hint="eastAsia" w:ascii="黑体" w:hAnsi="黑体" w:eastAsia="黑体" w:cs="黑体"/>
          <w:b/>
          <w:bCs/>
          <w:w w:val="90"/>
          <w:sz w:val="32"/>
          <w:szCs w:val="32"/>
        </w:rPr>
        <w:t>高纯</w:t>
      </w:r>
      <w:r>
        <w:rPr>
          <w:rFonts w:hint="eastAsia" w:ascii="黑体" w:hAnsi="黑体" w:eastAsia="黑体" w:cs="黑体"/>
          <w:b/>
          <w:bCs/>
          <w:w w:val="90"/>
          <w:sz w:val="32"/>
          <w:szCs w:val="32"/>
          <w:lang w:eastAsia="zh-CN"/>
        </w:rPr>
        <w:t>金属镱靶材</w:t>
      </w:r>
      <w:r>
        <w:rPr>
          <w:rFonts w:ascii="黑体" w:hAnsi="黑体" w:eastAsia="黑体" w:cs="黑体"/>
          <w:b/>
          <w:bCs/>
          <w:w w:val="90"/>
          <w:sz w:val="32"/>
          <w:szCs w:val="32"/>
        </w:rPr>
        <w:t>》</w:t>
      </w:r>
      <w:bookmarkEnd w:id="0"/>
      <w:r>
        <w:rPr>
          <w:rFonts w:hint="eastAsia" w:ascii="黑体" w:hAnsi="黑体" w:eastAsia="黑体" w:cs="黑体"/>
          <w:b/>
          <w:bCs/>
          <w:w w:val="90"/>
          <w:sz w:val="32"/>
          <w:szCs w:val="32"/>
          <w:lang w:eastAsia="zh-CN"/>
        </w:rPr>
        <w:t>预审稿</w:t>
      </w:r>
      <w:r>
        <w:rPr>
          <w:rFonts w:ascii="黑体" w:hAnsi="黑体" w:eastAsia="黑体" w:cs="黑体"/>
          <w:b/>
          <w:bCs/>
          <w:w w:val="90"/>
          <w:sz w:val="32"/>
          <w:szCs w:val="32"/>
        </w:rPr>
        <w:t>编制说明</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
          <w:sz w:val="24"/>
        </w:rPr>
      </w:pPr>
      <w:r>
        <w:rPr>
          <w:rFonts w:hint="eastAsia" w:ascii="黑体" w:hAnsi="宋体" w:eastAsia="黑体"/>
          <w:b/>
          <w:sz w:val="24"/>
        </w:rPr>
        <w:t>一、工作简况</w:t>
      </w:r>
    </w:p>
    <w:p>
      <w:pPr>
        <w:pStyle w:val="7"/>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Ansi="黑体"/>
          <w:b/>
          <w:sz w:val="24"/>
          <w:szCs w:val="22"/>
        </w:rPr>
      </w:pPr>
      <w:r>
        <w:rPr>
          <w:rFonts w:hint="eastAsia" w:hAnsi="黑体"/>
          <w:b/>
          <w:sz w:val="24"/>
          <w:szCs w:val="22"/>
        </w:rPr>
        <w:t>（一）</w:t>
      </w:r>
      <w:r>
        <w:rPr>
          <w:rFonts w:hAnsi="黑体"/>
          <w:b/>
          <w:sz w:val="24"/>
          <w:szCs w:val="22"/>
        </w:rPr>
        <w:t>任务来源</w:t>
      </w:r>
    </w:p>
    <w:p>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rPr>
        <w:t>根据《工业和信息化部办公厅关于印发202</w:t>
      </w:r>
      <w:r>
        <w:rPr>
          <w:rFonts w:hint="eastAsia"/>
          <w:lang w:val="en-US" w:eastAsia="zh-CN"/>
        </w:rPr>
        <w:t>3</w:t>
      </w:r>
      <w:r>
        <w:rPr>
          <w:rFonts w:hint="eastAsia"/>
        </w:rPr>
        <w:t>年第</w:t>
      </w:r>
      <w:r>
        <w:rPr>
          <w:rFonts w:hint="eastAsia"/>
          <w:lang w:eastAsia="zh-CN"/>
        </w:rPr>
        <w:t>一</w:t>
      </w:r>
      <w:r>
        <w:rPr>
          <w:rFonts w:hint="eastAsia"/>
        </w:rPr>
        <w:t>批行业标准制修订和外文版项目计划的通知》</w:t>
      </w:r>
      <w:r>
        <w:rPr>
          <w:rFonts w:hint="eastAsia"/>
          <w:lang w:eastAsia="zh-CN"/>
        </w:rPr>
        <w:t>（工信厅科函</w:t>
      </w:r>
      <w:r>
        <w:rPr>
          <w:rFonts w:hint="eastAsia"/>
          <w:lang w:val="en-US" w:eastAsia="zh-CN"/>
        </w:rPr>
        <w:t>{2023}18号</w:t>
      </w:r>
      <w:r>
        <w:rPr>
          <w:rFonts w:hint="eastAsia"/>
          <w:lang w:eastAsia="zh-CN"/>
        </w:rPr>
        <w:t>）的要求</w:t>
      </w:r>
      <w:r>
        <w:rPr>
          <w:rFonts w:hint="eastAsia"/>
        </w:rPr>
        <w:t>，《高纯</w:t>
      </w:r>
      <w:r>
        <w:rPr>
          <w:rFonts w:hint="eastAsia"/>
          <w:lang w:eastAsia="zh-CN"/>
        </w:rPr>
        <w:t>金属镱靶材</w:t>
      </w:r>
      <w:r>
        <w:rPr>
          <w:rFonts w:hint="eastAsia"/>
        </w:rPr>
        <w:t>》行业标准制定计划正式下达，计划号为</w:t>
      </w:r>
      <w:r>
        <w:rPr>
          <w:rFonts w:hint="eastAsia"/>
          <w:sz w:val="24"/>
          <w:lang w:val="en-US" w:eastAsia="zh-CN"/>
        </w:rPr>
        <w:t>2023-0084T-XB</w:t>
      </w:r>
      <w:r>
        <w:rPr>
          <w:rFonts w:hint="eastAsia"/>
        </w:rPr>
        <w:t>，完成年限为202</w:t>
      </w:r>
      <w:r>
        <w:rPr>
          <w:rFonts w:hint="eastAsia"/>
          <w:lang w:val="en-US" w:eastAsia="zh-CN"/>
        </w:rPr>
        <w:t>4</w:t>
      </w:r>
      <w:r>
        <w:rPr>
          <w:rFonts w:hint="eastAsia"/>
        </w:rPr>
        <w:t>年。</w:t>
      </w:r>
    </w:p>
    <w:p>
      <w:pPr>
        <w:keepNext w:val="0"/>
        <w:keepLines w:val="0"/>
        <w:pageBreakBefore w:val="0"/>
        <w:kinsoku/>
        <w:wordWrap/>
        <w:overflowPunct/>
        <w:topLinePunct w:val="0"/>
        <w:bidi w:val="0"/>
        <w:adjustRightInd w:val="0"/>
        <w:snapToGrid w:val="0"/>
        <w:spacing w:line="360" w:lineRule="auto"/>
        <w:ind w:firstLine="420" w:firstLineChars="200"/>
        <w:textAlignment w:val="auto"/>
      </w:pPr>
      <w:r>
        <w:t>本文件由全国稀土标准化技术委员会（SAC/TC 229）提出并归口，由</w:t>
      </w:r>
      <w:r>
        <w:rPr>
          <w:rFonts w:hint="eastAsia"/>
        </w:rPr>
        <w:t>有</w:t>
      </w:r>
      <w:r>
        <w:rPr>
          <w:bCs/>
          <w:szCs w:val="21"/>
        </w:rPr>
        <w:t>包头稀土研究院</w:t>
      </w:r>
      <w:r>
        <w:rPr>
          <w:rFonts w:hint="eastAsia" w:ascii="宋体" w:hAnsi="宋体" w:eastAsia="宋体" w:cs="宋体"/>
          <w:bCs/>
          <w:sz w:val="21"/>
          <w:szCs w:val="21"/>
          <w:highlight w:val="none"/>
          <w:lang w:val="en-US" w:eastAsia="zh-CN"/>
        </w:rPr>
        <w:t>、有研稀土新材料股份有限公司</w:t>
      </w:r>
      <w:r>
        <w:rPr>
          <w:bCs/>
          <w:szCs w:val="21"/>
        </w:rPr>
        <w:t>、</w:t>
      </w:r>
      <w:r>
        <w:rPr>
          <w:rFonts w:hint="eastAsia"/>
          <w:bCs/>
          <w:szCs w:val="21"/>
          <w:lang w:eastAsia="zh-CN"/>
        </w:rPr>
        <w:t>呼和浩特融信新金属冶炼有限公司、</w:t>
      </w:r>
      <w:r>
        <w:rPr>
          <w:rFonts w:hint="eastAsia" w:ascii="宋体" w:hAnsi="宋体" w:eastAsia="宋体" w:cs="宋体"/>
          <w:bCs/>
          <w:sz w:val="21"/>
          <w:szCs w:val="21"/>
          <w:highlight w:val="none"/>
          <w:lang w:val="en-US" w:eastAsia="zh-CN"/>
        </w:rPr>
        <w:t>虔东稀土集团股份有限公司、福建省长汀金龙稀土有限公司、国瑞科创稀土功能材料（赣州）有限公司、中稀(广西)金源稀土新材料有限公司、湖南稀土金属材料研究院有限责任公司、中国北方稀土（集团）高科技股份有限公司、有研稀土高技术有限公司、广西贺州金广稀土新材料有限公司</w:t>
      </w:r>
      <w:r>
        <w:t>等</w:t>
      </w:r>
      <w:r>
        <w:rPr>
          <w:rFonts w:hint="eastAsia"/>
        </w:rPr>
        <w:t>多家生产</w:t>
      </w:r>
      <w:r>
        <w:t>单位</w:t>
      </w:r>
      <w:r>
        <w:rPr>
          <w:rFonts w:hint="eastAsia"/>
        </w:rPr>
        <w:t>共同修订</w:t>
      </w:r>
      <w:r>
        <w:t>。</w:t>
      </w:r>
    </w:p>
    <w:p>
      <w:pPr>
        <w:pStyle w:val="7"/>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Ansi="黑体"/>
          <w:b/>
          <w:bCs/>
          <w:sz w:val="22"/>
          <w:szCs w:val="21"/>
        </w:rPr>
      </w:pPr>
      <w:r>
        <w:rPr>
          <w:rFonts w:hint="eastAsia" w:hAnsi="黑体"/>
          <w:b/>
          <w:bCs/>
          <w:sz w:val="22"/>
          <w:szCs w:val="21"/>
        </w:rPr>
        <w:t>（二）</w:t>
      </w:r>
      <w:bookmarkStart w:id="1" w:name="_Toc451633880"/>
      <w:r>
        <w:rPr>
          <w:rFonts w:hint="eastAsia" w:hAnsi="黑体"/>
          <w:b/>
          <w:bCs/>
          <w:sz w:val="22"/>
          <w:szCs w:val="21"/>
        </w:rPr>
        <w:t>主要参加单位和工作成员及其所做的工作</w:t>
      </w:r>
      <w:bookmarkEnd w:id="1"/>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rPr>
      </w:pPr>
      <w:r>
        <w:rPr>
          <w:rFonts w:hint="eastAsia"/>
        </w:rPr>
        <w:t>标准牵头起草单位</w:t>
      </w:r>
      <w:r>
        <w:rPr>
          <w:rFonts w:hint="eastAsia"/>
          <w:lang w:eastAsia="zh-CN"/>
        </w:rPr>
        <w:t>包头稀土研究院</w:t>
      </w:r>
      <w:r>
        <w:t>负责</w:t>
      </w:r>
      <w:r>
        <w:rPr>
          <w:rFonts w:hint="eastAsia"/>
        </w:rPr>
        <w:t>组织标准</w:t>
      </w:r>
      <w:r>
        <w:t>调研、验证、标准起草</w:t>
      </w:r>
      <w:r>
        <w:rPr>
          <w:rFonts w:hint="eastAsia"/>
        </w:rPr>
        <w:t>、</w:t>
      </w:r>
      <w:r>
        <w:t>预审、审定报批工作</w:t>
      </w:r>
      <w:r>
        <w:rPr>
          <w:rFonts w:hint="eastAsia"/>
        </w:rPr>
        <w:t>。包头稀土研究院目前是全国最大的综合性稀土科技研发机构</w:t>
      </w:r>
      <w:r>
        <w:rPr>
          <w:rFonts w:hint="eastAsia"/>
          <w:lang w:eastAsia="zh-CN"/>
        </w:rPr>
        <w:t>，</w:t>
      </w:r>
      <w:r>
        <w:rPr>
          <w:rFonts w:hint="eastAsia"/>
        </w:rPr>
        <w:t>以稀土资源的综合开发、利用为宗旨，以稀土冶金、环境保护、新型稀土功能材料及在高新技术领域的应用、稀土提升传统产业的技术水平、稀土分析检测、稀土情报信息为研究重点的，多专业、多学科的综合性研发机构，下设资源与环境研究所、金属材料研究所、磁性材料研究所、稀土功能材料研究所4个专业研究所和国内最大的稀土新材料中试基地。建有国家级的“白云鄂博稀土资源研究与综合利用全国重点实验室”、“稀土冶金及功能材料国家工程研究中心”和“北方稀土行业生产力促进中心”等多个研究平台。建院50多年来，共承担“863计划”、“973计划”等国家级科技项目、省部、地市级研发项目和为企业服务的各类项目1900多项，取得各类科研成果870多项，获得国家发明奖和省部级以上各类科技成果奖260多项，获得国家授权专利100多项。通过了质量体系认证、环境与职业健康安全管理体系认证，为诸多国家重点工程研制生产了大量的关键材料和器件，为我国稀土产业的发展和现代化建设做出了重大贡献。</w:t>
      </w:r>
    </w:p>
    <w:p>
      <w:pPr>
        <w:keepNext w:val="0"/>
        <w:keepLines w:val="0"/>
        <w:pageBreakBefore w:val="0"/>
        <w:kinsoku/>
        <w:wordWrap/>
        <w:overflowPunct/>
        <w:topLinePunct w:val="0"/>
        <w:bidi w:val="0"/>
        <w:adjustRightInd w:val="0"/>
        <w:snapToGrid w:val="0"/>
        <w:spacing w:line="360" w:lineRule="auto"/>
        <w:ind w:firstLine="420" w:firstLineChars="200"/>
        <w:textAlignment w:val="auto"/>
      </w:pPr>
      <w:r>
        <w:rPr>
          <w:rFonts w:hint="eastAsia" w:ascii="宋体" w:hAnsi="宋体" w:eastAsia="宋体" w:cs="宋体"/>
          <w:bCs/>
          <w:sz w:val="21"/>
          <w:szCs w:val="21"/>
          <w:highlight w:val="none"/>
          <w:lang w:val="en-US" w:eastAsia="zh-CN"/>
        </w:rPr>
        <w:t>标准参与起草由</w:t>
      </w:r>
      <w:r>
        <w:rPr>
          <w:rFonts w:hint="eastAsia" w:ascii="宋体" w:hAnsi="宋体" w:eastAsia="宋体" w:cs="宋体"/>
          <w:bCs/>
          <w:sz w:val="21"/>
          <w:szCs w:val="21"/>
          <w:highlight w:val="none"/>
          <w:lang w:val="en-US" w:eastAsia="zh-CN"/>
        </w:rPr>
        <w:t>有研稀土新材料股份有限公司、呼和浩特融信新金属冶炼有限公司、虔东稀土集团股份有限公司、福建省长汀金龙稀土有限公司、国瑞科创稀土功能材料（赣州）有限公司、中稀(广西)金源稀土新材料有限公司、湖南稀土金属材料研究院有限责任公司、中国北方稀土（集团）高科技股份有限公司、有研稀土高技术有限公司、广西贺州金广稀土新材料有限公司</w:t>
      </w:r>
      <w:r>
        <w:rPr>
          <w:rFonts w:hint="eastAsia"/>
        </w:rPr>
        <w:t>等多家单位组成，均为国</w:t>
      </w:r>
      <w:r>
        <w:rPr>
          <w:rFonts w:hint="eastAsia"/>
          <w:lang w:eastAsia="zh-CN"/>
        </w:rPr>
        <w:t>内高纯金属镱</w:t>
      </w:r>
      <w:r>
        <w:rPr>
          <w:rFonts w:hint="eastAsia"/>
        </w:rPr>
        <w:t>靶材产品生产企业，向标准牵头制定单位提供各单位高纯</w:t>
      </w:r>
      <w:r>
        <w:rPr>
          <w:rFonts w:hint="eastAsia"/>
          <w:lang w:eastAsia="zh-CN"/>
        </w:rPr>
        <w:t>金属镱靶材</w:t>
      </w:r>
      <w:r>
        <w:rPr>
          <w:rFonts w:hint="eastAsia"/>
        </w:rPr>
        <w:t>产品生产情况或产品技术指标情况，共同</w:t>
      </w:r>
      <w:r>
        <w:rPr>
          <w:szCs w:val="21"/>
        </w:rPr>
        <w:t>参与标准起草</w:t>
      </w:r>
      <w:r>
        <w:rPr>
          <w:rFonts w:hint="eastAsia"/>
          <w:szCs w:val="21"/>
        </w:rPr>
        <w:t>。</w:t>
      </w:r>
    </w:p>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ind w:firstLine="420" w:firstLineChars="200"/>
        <w:jc w:val="both"/>
        <w:textAlignment w:val="auto"/>
        <w:rPr>
          <w:rFonts w:ascii="Times New Roman" w:cs="Times New Roman"/>
          <w:kern w:val="2"/>
          <w:sz w:val="21"/>
        </w:rPr>
      </w:pPr>
      <w:r>
        <w:rPr>
          <w:rFonts w:hint="eastAsia" w:ascii="Times New Roman" w:cs="Times New Roman"/>
          <w:kern w:val="2"/>
          <w:sz w:val="21"/>
        </w:rPr>
        <w:t>本标准共同起草单位及参与标准制定人的情况见表1。</w:t>
      </w:r>
    </w:p>
    <w:p>
      <w:pPr>
        <w:keepNext w:val="0"/>
        <w:keepLines w:val="0"/>
        <w:pageBreakBefore w:val="0"/>
        <w:kinsoku/>
        <w:wordWrap/>
        <w:overflowPunct/>
        <w:topLinePunct w:val="0"/>
        <w:bidi w:val="0"/>
        <w:adjustRightInd w:val="0"/>
        <w:snapToGrid w:val="0"/>
        <w:spacing w:line="360" w:lineRule="auto"/>
        <w:ind w:firstLine="435"/>
        <w:jc w:val="center"/>
        <w:textAlignment w:val="auto"/>
        <w:rPr>
          <w:rFonts w:ascii="黑体" w:hAnsi="黑体" w:eastAsia="黑体"/>
          <w:szCs w:val="21"/>
        </w:rPr>
      </w:pPr>
      <w:r>
        <w:rPr>
          <w:rFonts w:hint="eastAsia" w:ascii="黑体" w:hAnsi="黑体" w:eastAsia="黑体"/>
          <w:szCs w:val="21"/>
        </w:rPr>
        <w:t>表1 主要起草人及工作职责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4"/>
        <w:gridCol w:w="5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4" w:type="dxa"/>
          </w:tcPr>
          <w:p>
            <w:pPr>
              <w:keepNext w:val="0"/>
              <w:keepLines w:val="0"/>
              <w:pageBreakBefore w:val="0"/>
              <w:kinsoku/>
              <w:wordWrap/>
              <w:overflowPunct/>
              <w:topLinePunct w:val="0"/>
              <w:bidi w:val="0"/>
              <w:adjustRightInd w:val="0"/>
              <w:snapToGrid w:val="0"/>
              <w:spacing w:line="360" w:lineRule="auto"/>
              <w:ind w:firstLine="435"/>
              <w:jc w:val="center"/>
              <w:textAlignment w:val="auto"/>
              <w:rPr>
                <w:rFonts w:hAnsi="宋体"/>
                <w:szCs w:val="21"/>
              </w:rPr>
            </w:pPr>
            <w:r>
              <w:rPr>
                <w:szCs w:val="21"/>
              </w:rPr>
              <w:t>单位</w:t>
            </w:r>
            <w:r>
              <w:rPr>
                <w:rFonts w:hint="eastAsia"/>
                <w:szCs w:val="21"/>
              </w:rPr>
              <w:t>名称</w:t>
            </w:r>
          </w:p>
        </w:tc>
        <w:tc>
          <w:tcPr>
            <w:tcW w:w="5254" w:type="dxa"/>
          </w:tcPr>
          <w:p>
            <w:pPr>
              <w:keepNext w:val="0"/>
              <w:keepLines w:val="0"/>
              <w:pageBreakBefore w:val="0"/>
              <w:kinsoku/>
              <w:wordWrap/>
              <w:overflowPunct/>
              <w:topLinePunct w:val="0"/>
              <w:bidi w:val="0"/>
              <w:adjustRightInd w:val="0"/>
              <w:snapToGrid w:val="0"/>
              <w:spacing w:line="360" w:lineRule="auto"/>
              <w:ind w:firstLine="435"/>
              <w:jc w:val="center"/>
              <w:textAlignment w:val="auto"/>
              <w:rPr>
                <w:rFonts w:hAnsi="宋体"/>
                <w:szCs w:val="21"/>
              </w:rPr>
            </w:pPr>
            <w:r>
              <w:rPr>
                <w:rFonts w:hint="eastAsia" w:hAnsi="宋体"/>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4" w:type="dxa"/>
            <w:vAlign w:val="center"/>
          </w:tcPr>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center"/>
              <w:textAlignment w:val="auto"/>
              <w:rPr>
                <w:rFonts w:hint="eastAsia" w:ascii="Times New Roman" w:eastAsia="宋体" w:cs="Times New Roman"/>
                <w:kern w:val="2"/>
                <w:sz w:val="21"/>
                <w:szCs w:val="21"/>
                <w:lang w:eastAsia="zh-CN"/>
              </w:rPr>
            </w:pPr>
            <w:r>
              <w:rPr>
                <w:rFonts w:hint="eastAsia" w:ascii="Times New Roman" w:cs="Times New Roman"/>
                <w:kern w:val="2"/>
                <w:sz w:val="21"/>
                <w:szCs w:val="21"/>
                <w:lang w:eastAsia="zh-CN"/>
              </w:rPr>
              <w:t>包头稀土研究院</w:t>
            </w:r>
          </w:p>
        </w:tc>
        <w:tc>
          <w:tcPr>
            <w:tcW w:w="5254" w:type="dxa"/>
            <w:vAlign w:val="center"/>
          </w:tcPr>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1</w:t>
            </w:r>
            <w:r>
              <w:rPr>
                <w:rFonts w:hint="eastAsia" w:ascii="Times New Roman" w:cs="Times New Roman"/>
                <w:kern w:val="2"/>
                <w:sz w:val="21"/>
                <w:szCs w:val="21"/>
              </w:rPr>
              <w:t>）牵头制定高纯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标准，负责任务的落实、执行；</w:t>
            </w:r>
          </w:p>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（2）成立高纯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编制修订项目组</w:t>
            </w:r>
            <w:r>
              <w:rPr>
                <w:rFonts w:hint="eastAsia" w:ascii="Times New Roman" w:cs="Times New Roman"/>
                <w:kern w:val="2"/>
                <w:sz w:val="21"/>
                <w:szCs w:val="21"/>
              </w:rPr>
              <w:t>，组织技术指标讨论</w:t>
            </w:r>
            <w:r>
              <w:rPr>
                <w:rFonts w:hint="eastAsia" w:ascii="Times New Roman" w:cs="Times New Roman"/>
                <w:kern w:val="2"/>
                <w:sz w:val="21"/>
                <w:szCs w:val="21"/>
              </w:rPr>
              <w:t>；</w:t>
            </w:r>
          </w:p>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w:t>
            </w:r>
            <w:r>
              <w:rPr>
                <w:rFonts w:ascii="Times New Roman" w:cs="Times New Roman"/>
                <w:kern w:val="2"/>
                <w:sz w:val="21"/>
                <w:szCs w:val="21"/>
              </w:rPr>
              <w:t>3</w:t>
            </w:r>
            <w:r>
              <w:rPr>
                <w:rFonts w:hint="eastAsia" w:ascii="Times New Roman" w:cs="Times New Roman"/>
                <w:kern w:val="2"/>
                <w:sz w:val="21"/>
                <w:szCs w:val="21"/>
              </w:rPr>
              <w:t>）</w:t>
            </w:r>
            <w:r>
              <w:rPr>
                <w:rFonts w:hint="eastAsia" w:ascii="Times New Roman" w:cs="Times New Roman"/>
                <w:kern w:val="2"/>
                <w:sz w:val="21"/>
                <w:szCs w:val="21"/>
              </w:rPr>
              <w:t>收集汇总标准参与单位意见，</w:t>
            </w:r>
            <w:r>
              <w:rPr>
                <w:rFonts w:hint="eastAsia" w:ascii="Times New Roman" w:cs="Times New Roman"/>
                <w:kern w:val="2"/>
                <w:sz w:val="21"/>
                <w:szCs w:val="21"/>
              </w:rPr>
              <w:t>负责编制高纯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标准征求意见稿、编制说明等文件；</w:t>
            </w:r>
          </w:p>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（4）</w:t>
            </w:r>
            <w:r>
              <w:rPr>
                <w:rFonts w:hint="eastAsia" w:ascii="Times New Roman" w:cs="Times New Roman"/>
                <w:kern w:val="2"/>
                <w:sz w:val="21"/>
                <w:szCs w:val="21"/>
              </w:rPr>
              <w:t>调研</w:t>
            </w:r>
            <w:r>
              <w:rPr>
                <w:rFonts w:hint="eastAsia" w:ascii="Times New Roman" w:cs="Times New Roman"/>
                <w:kern w:val="2"/>
                <w:sz w:val="21"/>
                <w:szCs w:val="21"/>
              </w:rPr>
              <w:t>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产品的应用情况及其技术要求</w:t>
            </w:r>
            <w:r>
              <w:rPr>
                <w:rFonts w:hint="eastAsia" w:asci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4" w:type="dxa"/>
            <w:vAlign w:val="center"/>
          </w:tcPr>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宋体" w:hAnsi="宋体" w:eastAsia="宋体" w:cs="宋体"/>
                <w:bCs/>
                <w:sz w:val="21"/>
                <w:szCs w:val="21"/>
                <w:highlight w:val="none"/>
                <w:lang w:val="en-US" w:eastAsia="zh-CN"/>
              </w:rPr>
              <w:t>有研稀土新材料股份有限公司、呼和浩特融信新金属冶炼有限公司、</w:t>
            </w:r>
            <w:r>
              <w:rPr>
                <w:rFonts w:hint="eastAsia" w:ascii="宋体" w:hAnsi="宋体" w:eastAsia="宋体" w:cs="宋体"/>
                <w:bCs/>
                <w:sz w:val="21"/>
                <w:szCs w:val="21"/>
                <w:highlight w:val="none"/>
                <w:lang w:val="en-US" w:eastAsia="zh-CN"/>
              </w:rPr>
              <w:t>虔东稀土集团股份有限公司、福建省长汀金龙稀土有限公司、国瑞科创稀土功能材料（赣州）有限公司、中稀(广西)金源稀土新材料有限公司、湖南稀土金属材料研究院有限责任公司、中国北方稀土（集团）高科技股份有限公司、有研稀土高技术有限公司、广西贺州金广稀土新材料有限公司</w:t>
            </w:r>
          </w:p>
        </w:tc>
        <w:tc>
          <w:tcPr>
            <w:tcW w:w="5254" w:type="dxa"/>
            <w:vAlign w:val="center"/>
          </w:tcPr>
          <w:p>
            <w:pPr>
              <w:pStyle w:val="3"/>
              <w:keepNext w:val="0"/>
              <w:keepLines w:val="0"/>
              <w:pageBreakBefore w:val="0"/>
              <w:widowControl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（1）提供各单位有关</w:t>
            </w:r>
            <w:r>
              <w:rPr>
                <w:rFonts w:hint="eastAsia" w:ascii="Times New Roman" w:cs="Times New Roman"/>
                <w:kern w:val="2"/>
                <w:sz w:val="21"/>
                <w:szCs w:val="21"/>
              </w:rPr>
              <w:t>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产品生产情况、技术指标，以及产品的应用情况；</w:t>
            </w:r>
          </w:p>
          <w:p>
            <w:pPr>
              <w:pStyle w:val="3"/>
              <w:keepNext w:val="0"/>
              <w:keepLines w:val="0"/>
              <w:pageBreakBefore w:val="0"/>
              <w:widowControl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（2）参与征求意见稿的制定；</w:t>
            </w:r>
          </w:p>
          <w:p>
            <w:pPr>
              <w:pStyle w:val="3"/>
              <w:keepNext w:val="0"/>
              <w:keepLines w:val="0"/>
              <w:pageBreakBefore w:val="0"/>
              <w:numPr>
                <w:ilvl w:val="255"/>
                <w:numId w:val="0"/>
              </w:numPr>
              <w:kinsoku/>
              <w:wordWrap/>
              <w:overflowPunct/>
              <w:topLinePunct w:val="0"/>
              <w:bidi w:val="0"/>
              <w:adjustRightInd w:val="0"/>
              <w:snapToGrid w:val="0"/>
              <w:spacing w:before="0" w:beforeAutospacing="0" w:after="0" w:afterAutospacing="0" w:line="360" w:lineRule="auto"/>
              <w:jc w:val="both"/>
              <w:textAlignment w:val="auto"/>
              <w:rPr>
                <w:rFonts w:ascii="Times New Roman" w:cs="Times New Roman"/>
                <w:kern w:val="2"/>
                <w:sz w:val="21"/>
                <w:szCs w:val="21"/>
              </w:rPr>
            </w:pPr>
            <w:r>
              <w:rPr>
                <w:rFonts w:hint="eastAsia" w:ascii="Times New Roman" w:cs="Times New Roman"/>
                <w:kern w:val="2"/>
                <w:sz w:val="21"/>
                <w:szCs w:val="21"/>
              </w:rPr>
              <w:t>（3）参与</w:t>
            </w:r>
            <w:r>
              <w:rPr>
                <w:rFonts w:hint="eastAsia" w:ascii="Times New Roman" w:cs="Times New Roman"/>
                <w:kern w:val="2"/>
                <w:sz w:val="21"/>
                <w:szCs w:val="21"/>
              </w:rPr>
              <w:t>高纯</w:t>
            </w:r>
            <w:r>
              <w:rPr>
                <w:rFonts w:hint="eastAsia" w:ascii="Times New Roman" w:cs="Times New Roman"/>
                <w:kern w:val="2"/>
                <w:sz w:val="21"/>
                <w:szCs w:val="21"/>
                <w:lang w:eastAsia="zh-CN"/>
              </w:rPr>
              <w:t>金属镱靶材</w:t>
            </w:r>
            <w:r>
              <w:rPr>
                <w:rFonts w:hint="eastAsia" w:ascii="Times New Roman" w:cs="Times New Roman"/>
                <w:kern w:val="2"/>
                <w:sz w:val="21"/>
                <w:szCs w:val="21"/>
              </w:rPr>
              <w:t>产品的应用领域及其技术指标的调研。</w:t>
            </w:r>
          </w:p>
        </w:tc>
      </w:tr>
    </w:tbl>
    <w:p>
      <w:pPr>
        <w:pStyle w:val="7"/>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Ansi="黑体"/>
          <w:b/>
          <w:bCs/>
          <w:sz w:val="24"/>
          <w:szCs w:val="22"/>
        </w:rPr>
      </w:pPr>
      <w:r>
        <w:rPr>
          <w:rFonts w:hint="eastAsia" w:hAnsi="黑体"/>
          <w:b/>
          <w:bCs/>
          <w:sz w:val="24"/>
          <w:szCs w:val="22"/>
        </w:rPr>
        <w:t>（三）研制背景</w:t>
      </w:r>
    </w:p>
    <w:p>
      <w:pPr>
        <w:keepNext w:val="0"/>
        <w:keepLines w:val="0"/>
        <w:pageBreakBefore w:val="0"/>
        <w:kinsoku/>
        <w:wordWrap/>
        <w:overflowPunct/>
        <w:topLinePunct w:val="0"/>
        <w:bidi w:val="0"/>
        <w:adjustRightInd w:val="0"/>
        <w:snapToGrid w:val="0"/>
        <w:spacing w:line="360" w:lineRule="auto"/>
        <w:textAlignment w:val="auto"/>
        <w:rPr>
          <w:rFonts w:hint="eastAsia"/>
          <w:b/>
          <w:bCs/>
          <w:sz w:val="24"/>
          <w:szCs w:val="32"/>
        </w:rPr>
      </w:pPr>
      <w:r>
        <w:rPr>
          <w:b/>
          <w:bCs/>
          <w:sz w:val="24"/>
          <w:szCs w:val="32"/>
        </w:rPr>
        <w:t>1</w:t>
      </w:r>
      <w:r>
        <w:rPr>
          <w:rFonts w:hint="eastAsia"/>
          <w:b/>
          <w:bCs/>
          <w:sz w:val="24"/>
          <w:szCs w:val="32"/>
        </w:rPr>
        <w:t>、项目的必要性简述</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b/>
          <w:bCs/>
          <w:sz w:val="24"/>
          <w:szCs w:val="32"/>
        </w:rPr>
      </w:pPr>
      <w:r>
        <w:rPr>
          <w:rFonts w:hint="eastAsia"/>
          <w:color w:val="000000"/>
          <w:kern w:val="0"/>
          <w:szCs w:val="21"/>
        </w:rPr>
        <w:t>高纯金属镱靶材是蒸发工艺制备有机发光材料的镀膜源，其纯度直接影响着薄膜器件稳定性和可靠性。同时高纯金属镱靶材的纯度、相对密度、组织结构对溅射环境、膜层沉积速率、膜层厚度及均匀性等有显著影响，进而影响着金属膜元器件的质量和批次性能稳定性。高纯度靶材可以减少沉积薄膜的污染源，改善膜层均匀性。靶材相对密度的提高可以极大地减少靶材组织内部的残留孔隙，孔隙率的减少甚至消除能够极大地提高成膜速率，降低工业化生产成本。靶材晶粒尺寸的细化有利于改善靶材内部组织均匀化，提高靶材强度及硬度，延长靶材使用寿命。也就是说，高纯度、高密度、高均匀性（组织及组分）靶材制备技术是金属膜元器件持续稳定呈现优质性能的重要保证。</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color w:val="000000"/>
          <w:kern w:val="0"/>
          <w:szCs w:val="21"/>
        </w:rPr>
      </w:pPr>
      <w:r>
        <w:rPr>
          <w:rFonts w:hint="eastAsia"/>
          <w:color w:val="000000"/>
          <w:kern w:val="0"/>
          <w:szCs w:val="21"/>
        </w:rPr>
        <w:t>该项目属于工信部《重点新材料首批次应用示范指导目录》（2018版）支持的“超高纯稀土金属材料及制品”领域。项目实施意义在于通过高纯金属镱靶材</w:t>
      </w:r>
      <w:r>
        <w:rPr>
          <w:rFonts w:hint="eastAsia"/>
          <w:color w:val="000000"/>
          <w:kern w:val="0"/>
          <w:szCs w:val="21"/>
          <w:lang w:eastAsia="zh-CN"/>
        </w:rPr>
        <w:t>生产情况</w:t>
      </w:r>
      <w:r>
        <w:rPr>
          <w:rFonts w:hint="eastAsia"/>
          <w:color w:val="000000"/>
          <w:kern w:val="0"/>
          <w:szCs w:val="21"/>
        </w:rPr>
        <w:t>的系统研究，更加有效的激发高纯金属镱靶材产品在OLED市场的需求，这对提升国产新型电子显示产品装备水平，推进新型显示产品更新换代，增强产品国际市场竞争力，摆脱高性能电子器件受制于美、日、韩等先进国家的现状具有重要意义。所以，目前对高纯金属镱靶材的成分、生产提出规范要求，有助于更好地引导、规范和监督国内外高纯金属</w:t>
      </w:r>
      <w:r>
        <w:rPr>
          <w:rFonts w:hint="eastAsia"/>
          <w:color w:val="000000"/>
          <w:kern w:val="0"/>
          <w:szCs w:val="21"/>
          <w:lang w:eastAsia="zh-CN"/>
        </w:rPr>
        <w:t>镱</w:t>
      </w:r>
      <w:r>
        <w:rPr>
          <w:rFonts w:hint="eastAsia"/>
          <w:color w:val="000000"/>
          <w:kern w:val="0"/>
          <w:szCs w:val="21"/>
        </w:rPr>
        <w:t>靶材产品的生产和销售，有利于促进稀土产业的健康发展</w:t>
      </w:r>
      <w:r>
        <w:rPr>
          <w:rFonts w:hint="eastAsia"/>
          <w:color w:val="000000"/>
          <w:kern w:val="0"/>
          <w:szCs w:val="21"/>
          <w:lang w:eastAsia="zh-CN"/>
        </w:rPr>
        <w:t>，</w:t>
      </w:r>
      <w:r>
        <w:rPr>
          <w:rFonts w:hint="eastAsia"/>
          <w:color w:val="000000"/>
          <w:kern w:val="0"/>
          <w:szCs w:val="21"/>
        </w:rPr>
        <w:t>有助于完善我国关键战略型稀土材料标准体系建设，推动建设制造强国、质量强国。</w:t>
      </w:r>
    </w:p>
    <w:p>
      <w:pPr>
        <w:keepNext w:val="0"/>
        <w:keepLines w:val="0"/>
        <w:pageBreakBefore w:val="0"/>
        <w:kinsoku/>
        <w:wordWrap/>
        <w:overflowPunct/>
        <w:topLinePunct w:val="0"/>
        <w:bidi w:val="0"/>
        <w:adjustRightInd w:val="0"/>
        <w:snapToGrid w:val="0"/>
        <w:spacing w:line="360" w:lineRule="auto"/>
        <w:textAlignment w:val="auto"/>
        <w:rPr>
          <w:b/>
          <w:bCs/>
          <w:sz w:val="24"/>
          <w:szCs w:val="32"/>
        </w:rPr>
      </w:pPr>
      <w:r>
        <w:rPr>
          <w:b/>
          <w:bCs/>
          <w:sz w:val="24"/>
          <w:szCs w:val="32"/>
        </w:rPr>
        <w:t>2</w:t>
      </w:r>
      <w:r>
        <w:rPr>
          <w:rFonts w:hint="eastAsia"/>
          <w:b/>
          <w:bCs/>
          <w:sz w:val="24"/>
          <w:szCs w:val="32"/>
        </w:rPr>
        <w:t>、项目的可行性简述</w:t>
      </w:r>
    </w:p>
    <w:p>
      <w:pPr>
        <w:keepNext w:val="0"/>
        <w:keepLines w:val="0"/>
        <w:pageBreakBefore w:val="0"/>
        <w:kinsoku/>
        <w:wordWrap/>
        <w:overflowPunct/>
        <w:topLinePunct w:val="0"/>
        <w:bidi w:val="0"/>
        <w:adjustRightInd w:val="0"/>
        <w:snapToGrid w:val="0"/>
        <w:spacing w:line="360" w:lineRule="auto"/>
        <w:ind w:firstLine="420"/>
        <w:textAlignment w:val="auto"/>
        <w:rPr>
          <w:color w:val="000000"/>
          <w:kern w:val="0"/>
          <w:szCs w:val="21"/>
        </w:rPr>
      </w:pPr>
      <w:r>
        <w:rPr>
          <w:rFonts w:hint="eastAsia"/>
          <w:color w:val="000000"/>
          <w:kern w:val="0"/>
          <w:szCs w:val="21"/>
        </w:rPr>
        <w:t>项目牵头单位和参与单位涵盖了国内主要高纯</w:t>
      </w:r>
      <w:r>
        <w:rPr>
          <w:rFonts w:hint="eastAsia"/>
          <w:color w:val="000000"/>
          <w:kern w:val="0"/>
          <w:szCs w:val="21"/>
          <w:lang w:eastAsia="zh-CN"/>
        </w:rPr>
        <w:t>金属镱靶材</w:t>
      </w:r>
      <w:r>
        <w:rPr>
          <w:rFonts w:hint="eastAsia"/>
          <w:color w:val="000000"/>
          <w:kern w:val="0"/>
          <w:szCs w:val="21"/>
        </w:rPr>
        <w:t>生产单位，建立了高纯</w:t>
      </w:r>
      <w:r>
        <w:rPr>
          <w:rFonts w:hint="eastAsia"/>
          <w:color w:val="000000"/>
          <w:kern w:val="0"/>
          <w:szCs w:val="21"/>
          <w:lang w:eastAsia="zh-CN"/>
        </w:rPr>
        <w:t>金属镱靶材</w:t>
      </w:r>
      <w:r>
        <w:rPr>
          <w:rFonts w:hint="eastAsia"/>
          <w:color w:val="000000"/>
          <w:kern w:val="0"/>
          <w:szCs w:val="21"/>
        </w:rPr>
        <w:t>完整的生产工艺技术条件和相应的分析检测制度，为标准技术指标的合理设定提供了良好的基础</w:t>
      </w:r>
      <w:r>
        <w:rPr>
          <w:rFonts w:hint="eastAsia"/>
          <w:szCs w:val="21"/>
        </w:rPr>
        <w:t>。此外，</w:t>
      </w:r>
      <w:r>
        <w:rPr>
          <w:rFonts w:hint="eastAsia"/>
          <w:szCs w:val="21"/>
          <w:lang w:eastAsia="zh-CN"/>
        </w:rPr>
        <w:t>包头稀土研究院作为</w:t>
      </w:r>
      <w:r>
        <w:rPr>
          <w:rFonts w:hint="eastAsia"/>
          <w:szCs w:val="21"/>
        </w:rPr>
        <w:t>全国最大的综合性稀土科技研发机构</w:t>
      </w:r>
      <w:r>
        <w:rPr>
          <w:rFonts w:hint="eastAsia"/>
          <w:szCs w:val="21"/>
          <w:lang w:eastAsia="zh-CN"/>
        </w:rPr>
        <w:t>，</w:t>
      </w:r>
      <w:r>
        <w:rPr>
          <w:rFonts w:hint="eastAsia"/>
        </w:rPr>
        <w:t>一直积极参与标准的制修订工作，牵头</w:t>
      </w:r>
      <w:r>
        <w:t>/</w:t>
      </w:r>
      <w:r>
        <w:rPr>
          <w:rFonts w:hint="eastAsia"/>
        </w:rPr>
        <w:t>参与制定了《氟化</w:t>
      </w:r>
      <w:r>
        <w:rPr>
          <w:rFonts w:hint="eastAsia"/>
          <w:lang w:eastAsia="zh-CN"/>
        </w:rPr>
        <w:t>铒</w:t>
      </w:r>
      <w:r>
        <w:rPr>
          <w:rFonts w:hint="eastAsia"/>
        </w:rPr>
        <w:t>》、《</w:t>
      </w:r>
      <w:r>
        <w:rPr>
          <w:rFonts w:hint="eastAsia"/>
          <w:lang w:eastAsia="zh-CN"/>
        </w:rPr>
        <w:t>铬酸镧高温电热元件</w:t>
      </w:r>
      <w:r>
        <w:rPr>
          <w:rFonts w:hint="eastAsia"/>
        </w:rPr>
        <w:t>》、《</w:t>
      </w:r>
      <w:r>
        <w:rPr>
          <w:rFonts w:hint="eastAsia"/>
          <w:lang w:eastAsia="zh-CN"/>
        </w:rPr>
        <w:t>金属镧及镧粉</w:t>
      </w:r>
      <w:r>
        <w:rPr>
          <w:rFonts w:hint="eastAsia"/>
        </w:rPr>
        <w:t>》、《</w:t>
      </w:r>
      <w:r>
        <w:rPr>
          <w:rFonts w:hint="eastAsia"/>
          <w:lang w:eastAsia="zh-CN"/>
        </w:rPr>
        <w:t>镧铈氧化物</w:t>
      </w:r>
      <w:r>
        <w:rPr>
          <w:rFonts w:hint="eastAsia"/>
        </w:rPr>
        <w:t>》、《</w:t>
      </w:r>
      <w:r>
        <w:rPr>
          <w:rFonts w:hint="eastAsia"/>
          <w:lang w:eastAsia="zh-CN"/>
        </w:rPr>
        <w:t>镧铁合金</w:t>
      </w:r>
      <w:r>
        <w:rPr>
          <w:rFonts w:hint="eastAsia"/>
        </w:rPr>
        <w:t>》、《</w:t>
      </w:r>
      <w:r>
        <w:rPr>
          <w:rFonts w:hint="eastAsia"/>
          <w:lang w:eastAsia="zh-CN"/>
        </w:rPr>
        <w:t>镝、铽金属靶材</w:t>
      </w:r>
      <w:r>
        <w:rPr>
          <w:rFonts w:hint="eastAsia"/>
        </w:rPr>
        <w:t>》、《</w:t>
      </w:r>
      <w:r>
        <w:rPr>
          <w:rFonts w:hint="eastAsia"/>
          <w:lang w:eastAsia="zh-CN"/>
        </w:rPr>
        <w:t>氟化钆</w:t>
      </w:r>
      <w:r>
        <w:rPr>
          <w:rFonts w:hint="eastAsia"/>
        </w:rPr>
        <w:t>》等</w:t>
      </w:r>
      <w:r>
        <w:rPr>
          <w:rFonts w:hint="eastAsia"/>
          <w:lang w:val="en-US" w:eastAsia="zh-CN"/>
        </w:rPr>
        <w:t>230</w:t>
      </w:r>
      <w:r>
        <w:rPr>
          <w:rFonts w:hint="eastAsia"/>
        </w:rPr>
        <w:t>多项稀土国际标准/国家标准/行业标准，具备承担标准制修订任务的能力。</w:t>
      </w:r>
    </w:p>
    <w:p>
      <w:pPr>
        <w:pStyle w:val="7"/>
        <w:keepNext w:val="0"/>
        <w:keepLines w:val="0"/>
        <w:pageBreakBefore w:val="0"/>
        <w:tabs>
          <w:tab w:val="clear" w:pos="675"/>
        </w:tabs>
        <w:kinsoku/>
        <w:wordWrap/>
        <w:overflowPunct/>
        <w:topLinePunct w:val="0"/>
        <w:bidi w:val="0"/>
        <w:adjustRightInd w:val="0"/>
        <w:snapToGrid w:val="0"/>
        <w:spacing w:beforeLines="0" w:afterLines="0" w:line="360" w:lineRule="auto"/>
        <w:ind w:left="0" w:firstLine="0"/>
        <w:textAlignment w:val="auto"/>
        <w:rPr>
          <w:rFonts w:hAnsi="黑体"/>
        </w:rPr>
      </w:pPr>
      <w:r>
        <w:rPr>
          <w:rFonts w:hint="eastAsia" w:hAnsi="黑体"/>
        </w:rPr>
        <w:t>（四）主要工作过程</w:t>
      </w:r>
    </w:p>
    <w:p>
      <w:pPr>
        <w:keepNext w:val="0"/>
        <w:keepLines w:val="0"/>
        <w:pageBreakBefore w:val="0"/>
        <w:kinsoku/>
        <w:wordWrap/>
        <w:overflowPunct/>
        <w:topLinePunct w:val="0"/>
        <w:bidi w:val="0"/>
        <w:adjustRightInd w:val="0"/>
        <w:snapToGrid w:val="0"/>
        <w:spacing w:line="360" w:lineRule="auto"/>
        <w:textAlignment w:val="auto"/>
        <w:rPr>
          <w:rFonts w:ascii="黑体" w:hAnsi="黑体" w:eastAsia="黑体"/>
        </w:rPr>
      </w:pPr>
      <w:r>
        <w:rPr>
          <w:rFonts w:hint="eastAsia" w:ascii="黑体" w:hAnsi="黑体" w:eastAsia="黑体"/>
        </w:rPr>
        <w:t>1、起草阶段</w:t>
      </w:r>
    </w:p>
    <w:p>
      <w:pPr>
        <w:keepNext w:val="0"/>
        <w:keepLines w:val="0"/>
        <w:pageBreakBefore w:val="0"/>
        <w:kinsoku/>
        <w:wordWrap/>
        <w:overflowPunct/>
        <w:topLinePunct w:val="0"/>
        <w:bidi w:val="0"/>
        <w:adjustRightInd w:val="0"/>
        <w:snapToGrid w:val="0"/>
        <w:spacing w:line="360" w:lineRule="auto"/>
        <w:ind w:firstLine="420"/>
        <w:textAlignment w:val="auto"/>
        <w:rPr>
          <w:color w:val="000000"/>
          <w:kern w:val="0"/>
          <w:szCs w:val="21"/>
        </w:rPr>
      </w:pPr>
      <w:r>
        <w:rPr>
          <w:rFonts w:hint="eastAsia"/>
          <w:color w:val="000000"/>
          <w:kern w:val="0"/>
          <w:szCs w:val="21"/>
        </w:rPr>
        <w:t>根据任务落实会议精神，我</w:t>
      </w:r>
      <w:r>
        <w:rPr>
          <w:rFonts w:hint="eastAsia"/>
          <w:color w:val="000000"/>
          <w:kern w:val="0"/>
          <w:szCs w:val="21"/>
          <w:lang w:eastAsia="zh-CN"/>
        </w:rPr>
        <w:t>院</w:t>
      </w:r>
      <w:r>
        <w:rPr>
          <w:rFonts w:hint="eastAsia"/>
          <w:color w:val="000000"/>
          <w:kern w:val="0"/>
          <w:szCs w:val="21"/>
        </w:rPr>
        <w:t>牵头组建了高纯</w:t>
      </w:r>
      <w:r>
        <w:rPr>
          <w:rFonts w:hint="eastAsia"/>
          <w:color w:val="000000"/>
          <w:kern w:val="0"/>
          <w:szCs w:val="21"/>
          <w:lang w:eastAsia="zh-CN"/>
        </w:rPr>
        <w:t>金属镱靶材</w:t>
      </w:r>
      <w:r>
        <w:rPr>
          <w:rFonts w:hint="eastAsia"/>
          <w:color w:val="000000"/>
          <w:kern w:val="0"/>
          <w:szCs w:val="21"/>
        </w:rPr>
        <w:t>编制工作组，成员涵盖项目牵头单位和参与单位</w:t>
      </w:r>
      <w:r>
        <w:rPr>
          <w:rFonts w:hint="eastAsia"/>
          <w:color w:val="000000"/>
          <w:kern w:val="0"/>
          <w:szCs w:val="21"/>
          <w:lang w:eastAsia="zh-CN"/>
        </w:rPr>
        <w:t>的</w:t>
      </w:r>
      <w:r>
        <w:rPr>
          <w:rFonts w:hint="eastAsia"/>
          <w:color w:val="000000"/>
          <w:kern w:val="0"/>
          <w:szCs w:val="21"/>
        </w:rPr>
        <w:t>生产</w:t>
      </w:r>
      <w:r>
        <w:rPr>
          <w:rFonts w:hint="eastAsia"/>
          <w:color w:val="000000"/>
          <w:kern w:val="0"/>
          <w:szCs w:val="21"/>
          <w:lang w:eastAsia="zh-CN"/>
        </w:rPr>
        <w:t>、质量监督检验等部门的技术人员</w:t>
      </w:r>
      <w:r>
        <w:rPr>
          <w:rFonts w:hint="eastAsia"/>
          <w:color w:val="000000"/>
          <w:kern w:val="0"/>
          <w:szCs w:val="21"/>
        </w:rPr>
        <w:t>。主要进行了如下工作。</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确立《高纯</w:t>
      </w:r>
      <w:r>
        <w:rPr>
          <w:rFonts w:hint="eastAsia"/>
          <w:color w:val="000000"/>
          <w:kern w:val="0"/>
          <w:szCs w:val="21"/>
          <w:lang w:eastAsia="zh-CN"/>
        </w:rPr>
        <w:t>金属镱靶材</w:t>
      </w:r>
      <w:r>
        <w:rPr>
          <w:rFonts w:hint="eastAsia"/>
          <w:color w:val="000000"/>
          <w:kern w:val="0"/>
          <w:szCs w:val="21"/>
        </w:rPr>
        <w:t xml:space="preserve">》行标起草遵循的基本原则； </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对生产厂家进行调研取样、收集资料；</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查阅相关标准；</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确定产品主要技术内容；</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确定建立仲裁方法；</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对产品进行分析测试；</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根据目前国内高纯</w:t>
      </w:r>
      <w:r>
        <w:rPr>
          <w:rFonts w:hint="eastAsia"/>
          <w:color w:val="000000"/>
          <w:kern w:val="0"/>
          <w:szCs w:val="21"/>
          <w:lang w:eastAsia="zh-CN"/>
        </w:rPr>
        <w:t>金属镱靶材</w:t>
      </w:r>
      <w:r>
        <w:rPr>
          <w:rFonts w:hint="eastAsia"/>
          <w:color w:val="000000"/>
          <w:kern w:val="0"/>
          <w:szCs w:val="21"/>
        </w:rPr>
        <w:t>的具体情况，结合用户的要求及应用技术的发展趋势，力求做到标准的合理性、实用性，与时俱进；</w:t>
      </w:r>
    </w:p>
    <w:p>
      <w:pPr>
        <w:pStyle w:val="8"/>
        <w:keepNext w:val="0"/>
        <w:keepLines w:val="0"/>
        <w:pageBreakBefore w:val="0"/>
        <w:numPr>
          <w:ilvl w:val="0"/>
          <w:numId w:val="1"/>
        </w:numPr>
        <w:tabs>
          <w:tab w:val="left" w:pos="720"/>
        </w:tabs>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编写征求意见稿草案</w:t>
      </w:r>
      <w:r>
        <w:rPr>
          <w:rFonts w:hint="eastAsia"/>
          <w:color w:val="000000"/>
          <w:kern w:val="0"/>
          <w:szCs w:val="21"/>
          <w:lang w:eastAsia="zh-CN"/>
        </w:rPr>
        <w:t>；</w:t>
      </w:r>
    </w:p>
    <w:p>
      <w:pPr>
        <w:pStyle w:val="8"/>
        <w:keepNext w:val="0"/>
        <w:keepLines w:val="0"/>
        <w:pageBreakBefore w:val="0"/>
        <w:numPr>
          <w:ilvl w:val="0"/>
          <w:numId w:val="1"/>
        </w:numPr>
        <w:kinsoku/>
        <w:wordWrap/>
        <w:overflowPunct/>
        <w:topLinePunct w:val="0"/>
        <w:bidi w:val="0"/>
        <w:adjustRightInd w:val="0"/>
        <w:snapToGrid w:val="0"/>
        <w:spacing w:line="360" w:lineRule="auto"/>
        <w:ind w:firstLineChars="0"/>
        <w:textAlignment w:val="auto"/>
        <w:rPr>
          <w:color w:val="000000"/>
          <w:kern w:val="0"/>
          <w:szCs w:val="21"/>
        </w:rPr>
      </w:pPr>
      <w:r>
        <w:rPr>
          <w:rFonts w:hint="eastAsia"/>
          <w:color w:val="000000"/>
          <w:kern w:val="0"/>
          <w:szCs w:val="21"/>
        </w:rPr>
        <w:t>电话咨询高纯</w:t>
      </w:r>
      <w:r>
        <w:rPr>
          <w:rFonts w:hint="eastAsia"/>
          <w:color w:val="000000"/>
          <w:kern w:val="0"/>
          <w:szCs w:val="21"/>
          <w:lang w:eastAsia="zh-CN"/>
        </w:rPr>
        <w:t>金属镱靶材</w:t>
      </w:r>
      <w:r>
        <w:rPr>
          <w:rFonts w:hint="eastAsia"/>
          <w:color w:val="000000"/>
          <w:kern w:val="0"/>
          <w:szCs w:val="21"/>
        </w:rPr>
        <w:t>生产厂家，认真听取了用户和专家对产品的意见，汇总后编写征求意见稿。</w:t>
      </w:r>
    </w:p>
    <w:p>
      <w:pPr>
        <w:keepNext w:val="0"/>
        <w:keepLines w:val="0"/>
        <w:pageBreakBefore w:val="0"/>
        <w:kinsoku/>
        <w:wordWrap/>
        <w:overflowPunct/>
        <w:topLinePunct w:val="0"/>
        <w:bidi w:val="0"/>
        <w:adjustRightInd w:val="0"/>
        <w:snapToGrid w:val="0"/>
        <w:spacing w:line="360" w:lineRule="auto"/>
        <w:textAlignment w:val="auto"/>
        <w:rPr>
          <w:rFonts w:ascii="黑体" w:hAnsi="黑体" w:eastAsia="黑体"/>
        </w:rPr>
      </w:pPr>
      <w:r>
        <w:rPr>
          <w:rFonts w:hint="eastAsia" w:ascii="黑体" w:hAnsi="黑体" w:eastAsia="黑体"/>
        </w:rPr>
        <w:t>2、征求意见阶段</w:t>
      </w:r>
    </w:p>
    <w:p>
      <w:pPr>
        <w:keepNext w:val="0"/>
        <w:keepLines w:val="0"/>
        <w:pageBreakBefore w:val="0"/>
        <w:kinsoku/>
        <w:wordWrap/>
        <w:overflowPunct/>
        <w:topLinePunct w:val="0"/>
        <w:bidi w:val="0"/>
        <w:adjustRightInd w:val="0"/>
        <w:snapToGrid w:val="0"/>
        <w:spacing w:line="360" w:lineRule="auto"/>
        <w:ind w:firstLine="420"/>
        <w:textAlignment w:val="auto"/>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月，标准主撰写人通过邮件形式广泛征求稀土行业对《</w:t>
      </w:r>
      <w:r>
        <w:rPr>
          <w:rFonts w:hint="eastAsia"/>
          <w:color w:val="000000"/>
          <w:kern w:val="0"/>
          <w:szCs w:val="21"/>
        </w:rPr>
        <w:t>高纯</w:t>
      </w:r>
      <w:r>
        <w:rPr>
          <w:rFonts w:hint="eastAsia"/>
          <w:color w:val="000000"/>
          <w:kern w:val="0"/>
          <w:szCs w:val="21"/>
          <w:lang w:eastAsia="zh-CN"/>
        </w:rPr>
        <w:t>金属镱靶材</w:t>
      </w:r>
      <w:r>
        <w:rPr>
          <w:rFonts w:hint="eastAsia"/>
          <w:color w:val="000000" w:themeColor="text1"/>
          <w14:textFill>
            <w14:solidFill>
              <w14:schemeClr w14:val="tx1"/>
            </w14:solidFill>
          </w14:textFill>
        </w:rPr>
        <w:t>》预审稿文本修改意见。本标准发送</w:t>
      </w:r>
      <w:r>
        <w:rPr>
          <w:rFonts w:hint="eastAsia" w:ascii="宋体" w:hAnsi="宋体"/>
          <w:color w:val="000000" w:themeColor="text1"/>
          <w14:textFill>
            <w14:solidFill>
              <w14:schemeClr w14:val="tx1"/>
            </w14:solidFill>
          </w14:textFill>
        </w:rPr>
        <w:t>《征求意见稿》的单</w:t>
      </w:r>
      <w:r>
        <w:rPr>
          <w:rFonts w:hint="eastAsia"/>
          <w:color w:val="000000" w:themeColor="text1"/>
          <w14:textFill>
            <w14:solidFill>
              <w14:schemeClr w14:val="tx1"/>
            </w14:solidFill>
          </w14:textFill>
        </w:rPr>
        <w:t>位数</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个，回函的单位数</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个，函并有建议或意见的单位数</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个。</w:t>
      </w:r>
      <w:r>
        <w:rPr>
          <w:rFonts w:hint="eastAsia"/>
          <w:color w:val="000000" w:themeColor="text1"/>
          <w:szCs w:val="21"/>
          <w14:textFill>
            <w14:solidFill>
              <w14:schemeClr w14:val="tx1"/>
            </w14:solidFill>
          </w14:textFill>
        </w:rPr>
        <w:t>专家提反馈的主要意见如下</w:t>
      </w:r>
      <w:r>
        <w:rPr>
          <w:rFonts w:hint="eastAsia"/>
          <w:color w:val="000000" w:themeColor="text1"/>
          <w:szCs w:val="21"/>
          <w:lang w:eastAsia="zh-CN"/>
          <w14:textFill>
            <w14:solidFill>
              <w14:schemeClr w14:val="tx1"/>
            </w14:solidFill>
          </w14:textFill>
        </w:rPr>
        <w:t>（详见预审稿征求意见汇总）</w:t>
      </w:r>
      <w:r>
        <w:rPr>
          <w:rFonts w:hint="eastAsia"/>
          <w:color w:val="000000" w:themeColor="text1"/>
          <w:szCs w:val="21"/>
          <w14:textFill>
            <w14:solidFill>
              <w14:schemeClr w14:val="tx1"/>
            </w14:solidFill>
          </w14:textFill>
        </w:rPr>
        <w:t>：</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产品牌号中“</w:t>
      </w:r>
      <w:r>
        <w:rPr>
          <w:rFonts w:hint="eastAsia" w:ascii="宋体" w:hAnsi="宋体" w:eastAsia="宋体" w:cs="宋体"/>
          <w:color w:val="000000" w:themeColor="text1"/>
          <w:kern w:val="0"/>
          <w:sz w:val="21"/>
          <w:szCs w:val="21"/>
          <w14:textFill>
            <w14:solidFill>
              <w14:schemeClr w14:val="tx1"/>
            </w14:solidFill>
          </w14:textFill>
        </w:rPr>
        <w:t>当产品稀土纯度（质量分数）等于或大于99%时</w:t>
      </w:r>
      <w:r>
        <w:rPr>
          <w:rFonts w:hint="eastAsia" w:ascii="宋体" w:hAnsi="宋体" w:eastAsia="宋体" w:cs="宋体"/>
          <w:color w:val="000000" w:themeColor="text1"/>
          <w:kern w:val="0"/>
          <w:sz w:val="21"/>
          <w:szCs w:val="21"/>
          <w:lang w:val="en-US" w:eastAsia="zh-CN"/>
          <w14:textFill>
            <w14:solidFill>
              <w14:schemeClr w14:val="tx1"/>
            </w14:solidFill>
          </w14:textFill>
        </w:rPr>
        <w:t>”表述有问题，与后面产品的绝对纯度不相符</w:t>
      </w:r>
      <w:r>
        <w:rPr>
          <w:rFonts w:hint="eastAsia" w:ascii="宋体" w:hAnsi="宋体" w:cs="宋体"/>
          <w:color w:val="000000" w:themeColor="text1"/>
          <w:kern w:val="0"/>
          <w:sz w:val="21"/>
          <w:szCs w:val="21"/>
          <w:lang w:val="en-US" w:eastAsia="zh-CN"/>
          <w14:textFill>
            <w14:solidFill>
              <w14:schemeClr w14:val="tx1"/>
            </w14:solidFill>
          </w14:textFill>
        </w:rPr>
        <w:t>。</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建议在产品牌号中补充能识别相对纯度与绝对纯度符号。</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HT-Y</w:t>
      </w:r>
      <w:r>
        <w:rPr>
          <w:rFonts w:hint="eastAsia" w:ascii="宋体" w:hAnsi="宋体" w:eastAsia="宋体" w:cs="宋体"/>
          <w:color w:val="000000" w:themeColor="text1"/>
          <w:kern w:val="0"/>
          <w:sz w:val="21"/>
          <w:szCs w:val="21"/>
          <w:lang w:val="en-US" w:eastAsia="zh-CN"/>
          <w14:textFill>
            <w14:solidFill>
              <w14:schemeClr w14:val="tx1"/>
            </w14:solidFill>
          </w14:textFill>
        </w:rPr>
        <w:t>b</w:t>
      </w:r>
      <w:r>
        <w:rPr>
          <w:rFonts w:hint="eastAsia" w:ascii="宋体" w:hAnsi="宋体" w:eastAsia="宋体" w:cs="宋体"/>
          <w:color w:val="000000" w:themeColor="text1"/>
          <w:kern w:val="0"/>
          <w:sz w:val="21"/>
          <w:szCs w:val="21"/>
          <w14:textFill>
            <w14:solidFill>
              <w14:schemeClr w14:val="tx1"/>
            </w14:solidFill>
          </w14:textFill>
        </w:rPr>
        <w:t>-4N</w:t>
      </w:r>
      <w:r>
        <w:rPr>
          <w:rFonts w:hint="eastAsia" w:ascii="宋体" w:hAnsi="宋体" w:eastAsia="宋体" w:cs="宋体"/>
          <w:color w:val="000000" w:themeColor="text1"/>
          <w:kern w:val="0"/>
          <w:sz w:val="21"/>
          <w:szCs w:val="21"/>
          <w:lang w:val="en-US" w:eastAsia="zh-CN"/>
          <w14:textFill>
            <w14:solidFill>
              <w14:schemeClr w14:val="tx1"/>
            </w14:solidFill>
          </w14:textFill>
        </w:rPr>
        <w:t>牌号中稀土杂质加和为28ppm，建议将稀土杂质降为10ppm，至少使用相对纯度为5N的金属镱做靶材，市面上相对纯度5N的金属镱很多，才能控制总杂质小于100ppm。其他牌号的金属镱相对纯度建议都提高一档。</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除气体杂质外，</w:t>
      </w:r>
      <w:r>
        <w:rPr>
          <w:rFonts w:hint="eastAsia" w:ascii="宋体" w:hAnsi="宋体" w:eastAsia="宋体" w:cs="宋体"/>
          <w:color w:val="000000" w:themeColor="text1"/>
          <w:kern w:val="0"/>
          <w:sz w:val="21"/>
          <w:szCs w:val="21"/>
          <w14:textFill>
            <w14:solidFill>
              <w14:schemeClr w14:val="tx1"/>
            </w14:solidFill>
          </w14:textFill>
        </w:rPr>
        <w:t>HT-Y</w:t>
      </w:r>
      <w:r>
        <w:rPr>
          <w:rFonts w:hint="eastAsia" w:ascii="宋体" w:hAnsi="宋体" w:eastAsia="宋体" w:cs="宋体"/>
          <w:color w:val="000000" w:themeColor="text1"/>
          <w:kern w:val="0"/>
          <w:sz w:val="21"/>
          <w:szCs w:val="21"/>
          <w:lang w:val="en-US" w:eastAsia="zh-CN"/>
          <w14:textFill>
            <w14:solidFill>
              <w14:schemeClr w14:val="tx1"/>
            </w14:solidFill>
          </w14:textFill>
        </w:rPr>
        <w:t>b</w:t>
      </w:r>
      <w:r>
        <w:rPr>
          <w:rFonts w:hint="eastAsia" w:ascii="宋体" w:hAnsi="宋体" w:eastAsia="宋体" w:cs="宋体"/>
          <w:color w:val="000000" w:themeColor="text1"/>
          <w:kern w:val="0"/>
          <w:sz w:val="21"/>
          <w:szCs w:val="21"/>
          <w14:textFill>
            <w14:solidFill>
              <w14:schemeClr w14:val="tx1"/>
            </w14:solidFill>
          </w14:textFill>
        </w:rPr>
        <w:t>-4N</w:t>
      </w:r>
      <w:r>
        <w:rPr>
          <w:rFonts w:hint="eastAsia" w:ascii="宋体" w:hAnsi="宋体" w:eastAsia="宋体" w:cs="宋体"/>
          <w:color w:val="000000" w:themeColor="text1"/>
          <w:kern w:val="0"/>
          <w:sz w:val="21"/>
          <w:szCs w:val="21"/>
          <w:lang w:val="en-US" w:eastAsia="zh-CN"/>
          <w14:textFill>
            <w14:solidFill>
              <w14:schemeClr w14:val="tx1"/>
            </w14:solidFill>
          </w14:textFill>
        </w:rPr>
        <w:t>牌号中所有杂质加和为148ppm，超过了100ppm,建议将稀土中不易带入非稀土杂质都降低为1ppm，例如：Zn、Pb、Cd、Cu、Mn、Ti。</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产品牌号</w:t>
      </w:r>
      <w:r>
        <w:rPr>
          <w:rFonts w:hint="eastAsia" w:ascii="宋体" w:hAnsi="宋体" w:eastAsia="宋体" w:cs="宋体"/>
          <w:color w:val="000000" w:themeColor="text1"/>
          <w:kern w:val="0"/>
          <w:sz w:val="21"/>
          <w:szCs w:val="21"/>
          <w:lang w:val="en-US" w:eastAsia="zh-CN"/>
          <w14:textFill>
            <w14:solidFill>
              <w14:schemeClr w14:val="tx1"/>
            </w14:solidFill>
          </w14:textFill>
        </w:rPr>
        <w:t>HT-Yb-4N中Ca和Mg含量建议分别小于0.002%</w:t>
      </w:r>
      <w:r>
        <w:rPr>
          <w:rFonts w:hint="eastAsia" w:ascii="宋体" w:hAnsi="宋体" w:cs="宋体"/>
          <w:color w:val="000000" w:themeColor="text1"/>
          <w:kern w:val="0"/>
          <w:sz w:val="21"/>
          <w:szCs w:val="21"/>
          <w:lang w:val="en-US" w:eastAsia="zh-CN"/>
          <w14:textFill>
            <w14:solidFill>
              <w14:schemeClr w14:val="tx1"/>
            </w14:solidFill>
          </w14:textFill>
        </w:rPr>
        <w:t>。</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O含量指标偏高，影响使用性能，建议4N牌号改为200ppm、3N5牌号改为500ppm</w:t>
      </w:r>
      <w:r>
        <w:rPr>
          <w:rFonts w:hint="eastAsia" w:ascii="宋体" w:hAnsi="宋体" w:cs="宋体"/>
          <w:color w:val="000000" w:themeColor="text1"/>
          <w:kern w:val="0"/>
          <w:sz w:val="21"/>
          <w:szCs w:val="21"/>
          <w:lang w:eastAsia="zh-CN"/>
          <w14:textFill>
            <w14:solidFill>
              <w14:schemeClr w14:val="tx1"/>
            </w14:solidFill>
          </w14:textFill>
        </w:rPr>
        <w:t>。</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“高纯金属镱靶材的Yb含量100%减去杂质元素含量总和的余量” 改为“高纯金属镱靶材的Yb含量为100%减去杂质含量总和” </w:t>
      </w:r>
      <w:r>
        <w:rPr>
          <w:rFonts w:hint="eastAsia" w:ascii="宋体" w:hAnsi="宋体" w:cs="宋体"/>
          <w:color w:val="000000" w:themeColor="text1"/>
          <w:kern w:val="0"/>
          <w:sz w:val="21"/>
          <w:szCs w:val="21"/>
          <w:lang w:eastAsia="zh-CN"/>
          <w14:textFill>
            <w14:solidFill>
              <w14:schemeClr w14:val="tx1"/>
            </w14:solidFill>
          </w14:textFill>
        </w:rPr>
        <w:t>。</w:t>
      </w:r>
    </w:p>
    <w:p>
      <w:pPr>
        <w:keepNext w:val="0"/>
        <w:keepLines w:val="0"/>
        <w:pageBreakBefore w:val="0"/>
        <w:numPr>
          <w:ilvl w:val="0"/>
          <w:numId w:val="2"/>
        </w:numPr>
        <w:kinsoku/>
        <w:wordWrap/>
        <w:overflowPunct/>
        <w:topLinePunct w:val="0"/>
        <w:bidi w:val="0"/>
        <w:adjustRightInd w:val="0"/>
        <w:snapToGrid w:val="0"/>
        <w:spacing w:line="360" w:lineRule="auto"/>
        <w:ind w:firstLine="420"/>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“产品平均晶粒尺寸不大于800µm”，电子信息用靶材晶粒度通常要求小于200µm，建议修改为“产品平均晶粒尺寸不大于200µm”</w:t>
      </w:r>
      <w:r>
        <w:rPr>
          <w:rFonts w:hint="eastAsia" w:ascii="宋体" w:hAnsi="宋体" w:cs="宋体"/>
          <w:color w:val="000000" w:themeColor="text1"/>
          <w:kern w:val="0"/>
          <w:sz w:val="21"/>
          <w:szCs w:val="21"/>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二、标准编制原则、主要内容及其确定依据</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1、本标准起草过程中遵循以下原则：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color w:val="000000"/>
          <w:kern w:val="0"/>
          <w:szCs w:val="21"/>
        </w:rPr>
      </w:pPr>
      <w:r>
        <w:rPr>
          <w:rFonts w:hint="eastAsia"/>
          <w:color w:val="000000"/>
          <w:kern w:val="0"/>
          <w:szCs w:val="21"/>
        </w:rPr>
        <w:t>（1）</w:t>
      </w:r>
      <w:r>
        <w:rPr>
          <w:color w:val="000000"/>
          <w:kern w:val="0"/>
          <w:szCs w:val="21"/>
        </w:rPr>
        <w:t>本标准是根据GB/T</w:t>
      </w:r>
      <w:r>
        <w:rPr>
          <w:rFonts w:hint="eastAsia"/>
          <w:color w:val="000000"/>
          <w:kern w:val="0"/>
          <w:szCs w:val="21"/>
        </w:rPr>
        <w:t xml:space="preserve"> </w:t>
      </w:r>
      <w:r>
        <w:rPr>
          <w:color w:val="000000"/>
          <w:kern w:val="0"/>
          <w:szCs w:val="21"/>
        </w:rPr>
        <w:t>1.1-2020《标准化工作导则 第1部分:标准化文件的结构和起草规则》和GB/T</w:t>
      </w:r>
      <w:r>
        <w:rPr>
          <w:rFonts w:hint="eastAsia"/>
          <w:color w:val="000000"/>
          <w:kern w:val="0"/>
          <w:szCs w:val="21"/>
        </w:rPr>
        <w:t xml:space="preserve"> </w:t>
      </w:r>
      <w:r>
        <w:rPr>
          <w:color w:val="000000"/>
          <w:kern w:val="0"/>
          <w:szCs w:val="21"/>
        </w:rPr>
        <w:t>20001.4-20</w:t>
      </w:r>
      <w:r>
        <w:rPr>
          <w:rFonts w:hint="eastAsia"/>
          <w:color w:val="000000"/>
          <w:kern w:val="0"/>
          <w:szCs w:val="21"/>
        </w:rPr>
        <w:t>15</w:t>
      </w:r>
      <w:r>
        <w:rPr>
          <w:color w:val="000000"/>
          <w:kern w:val="0"/>
          <w:szCs w:val="21"/>
        </w:rPr>
        <w:t>《标准编写规则 第4部分：</w:t>
      </w:r>
      <w:r>
        <w:rPr>
          <w:rFonts w:hint="eastAsia"/>
          <w:color w:val="000000"/>
          <w:kern w:val="0"/>
          <w:szCs w:val="21"/>
        </w:rPr>
        <w:t>试验方法标准</w:t>
      </w:r>
      <w:r>
        <w:rPr>
          <w:color w:val="000000"/>
          <w:kern w:val="0"/>
          <w:szCs w:val="21"/>
        </w:rPr>
        <w:t>》的要求进行编写的</w:t>
      </w:r>
      <w:r>
        <w:rPr>
          <w:rFonts w:hint="eastAsia"/>
          <w:color w:val="000000"/>
          <w:kern w:val="0"/>
          <w:szCs w:val="21"/>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color w:val="000000"/>
          <w:kern w:val="0"/>
          <w:szCs w:val="21"/>
        </w:rPr>
      </w:pPr>
      <w:r>
        <w:rPr>
          <w:rFonts w:hint="eastAsia"/>
          <w:color w:val="000000"/>
          <w:kern w:val="0"/>
          <w:szCs w:val="21"/>
        </w:rPr>
        <w:t>（2）充分满足市场要求的原则；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color w:val="000000"/>
          <w:kern w:val="0"/>
          <w:szCs w:val="21"/>
        </w:rPr>
      </w:pPr>
      <w:r>
        <w:rPr>
          <w:rFonts w:hint="eastAsia"/>
          <w:color w:val="000000"/>
          <w:kern w:val="0"/>
          <w:szCs w:val="21"/>
        </w:rPr>
        <w:t>（3）划繁就简的原则；</w:t>
      </w:r>
    </w:p>
    <w:p>
      <w:pPr>
        <w:keepNext w:val="0"/>
        <w:keepLines w:val="0"/>
        <w:pageBreakBefore w:val="0"/>
        <w:kinsoku/>
        <w:wordWrap/>
        <w:overflowPunct/>
        <w:topLinePunct w:val="0"/>
        <w:bidi w:val="0"/>
        <w:adjustRightInd w:val="0"/>
        <w:snapToGrid w:val="0"/>
        <w:spacing w:line="360" w:lineRule="auto"/>
        <w:ind w:firstLine="420" w:firstLineChars="200"/>
        <w:textAlignment w:val="auto"/>
        <w:rPr>
          <w:color w:val="000000"/>
          <w:kern w:val="0"/>
          <w:szCs w:val="21"/>
        </w:rPr>
      </w:pPr>
      <w:r>
        <w:rPr>
          <w:rFonts w:hint="eastAsia"/>
          <w:color w:val="000000"/>
          <w:kern w:val="0"/>
          <w:szCs w:val="21"/>
        </w:rPr>
        <w:t>（4）有利于创新发展的原则。</w:t>
      </w:r>
    </w:p>
    <w:p>
      <w:pPr>
        <w:keepNext w:val="0"/>
        <w:keepLines w:val="0"/>
        <w:pageBreakBefore w:val="0"/>
        <w:kinsoku/>
        <w:wordWrap/>
        <w:overflowPunct/>
        <w:topLinePunct w:val="0"/>
        <w:bidi w:val="0"/>
        <w:adjustRightInd w:val="0"/>
        <w:snapToGrid w:val="0"/>
        <w:spacing w:line="360" w:lineRule="auto"/>
        <w:textAlignment w:val="auto"/>
        <w:rPr>
          <w:rFonts w:hint="eastAsia" w:ascii="黑体" w:hAnsi="宋体" w:eastAsia="黑体"/>
          <w:bCs/>
          <w:sz w:val="24"/>
        </w:rPr>
      </w:pPr>
      <w:r>
        <w:rPr>
          <w:rFonts w:hint="eastAsia" w:ascii="黑体" w:hAnsi="宋体" w:eastAsia="黑体"/>
          <w:bCs/>
          <w:sz w:val="24"/>
        </w:rPr>
        <w:t>2、主要技术内容及其确定的依据：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根据国内外用户需求及目前我国市场流通</w:t>
      </w:r>
      <w:r>
        <w:rPr>
          <w:rFonts w:hint="eastAsia" w:asciiTheme="minorEastAsia" w:hAnsiTheme="minorEastAsia" w:eastAsiaTheme="minorEastAsia"/>
          <w:szCs w:val="21"/>
          <w:lang w:eastAsia="zh-CN"/>
        </w:rPr>
        <w:t>高纯金属镱靶材</w:t>
      </w:r>
      <w:r>
        <w:rPr>
          <w:rFonts w:hint="eastAsia"/>
          <w:szCs w:val="21"/>
        </w:rPr>
        <w:t>产品实际情况</w:t>
      </w:r>
      <w:r>
        <w:rPr>
          <w:rFonts w:hint="eastAsia" w:asciiTheme="minorEastAsia" w:hAnsiTheme="minorEastAsia" w:eastAsiaTheme="minorEastAsia"/>
          <w:szCs w:val="21"/>
        </w:rPr>
        <w:t>制定了《</w:t>
      </w:r>
      <w:r>
        <w:rPr>
          <w:rFonts w:hint="eastAsia" w:asciiTheme="minorEastAsia" w:hAnsiTheme="minorEastAsia" w:eastAsiaTheme="minorEastAsia"/>
          <w:szCs w:val="21"/>
          <w:lang w:eastAsia="zh-CN"/>
        </w:rPr>
        <w:t>高纯金属镱靶材</w:t>
      </w:r>
      <w:r>
        <w:rPr>
          <w:rFonts w:hint="eastAsia" w:asciiTheme="minorEastAsia" w:hAnsiTheme="minorEastAsia" w:eastAsiaTheme="minorEastAsia"/>
          <w:szCs w:val="21"/>
        </w:rPr>
        <w:t>》标准，其主要内容说明如下：</w:t>
      </w:r>
    </w:p>
    <w:p>
      <w:pPr>
        <w:keepNext w:val="0"/>
        <w:keepLines w:val="0"/>
        <w:pageBreakBefore w:val="0"/>
        <w:kinsoku/>
        <w:wordWrap/>
        <w:overflowPunct/>
        <w:topLinePunct w:val="0"/>
        <w:bidi w:val="0"/>
        <w:adjustRightInd w:val="0"/>
        <w:snapToGrid w:val="0"/>
        <w:spacing w:line="360" w:lineRule="auto"/>
        <w:textAlignment w:val="auto"/>
        <w:rPr>
          <w:rFonts w:hint="default" w:ascii="黑体" w:hAnsi="宋体" w:eastAsia="黑体"/>
          <w:bCs/>
          <w:sz w:val="24"/>
          <w:lang w:val="en-US" w:eastAsia="zh-CN"/>
        </w:rPr>
      </w:pPr>
      <w:r>
        <w:rPr>
          <w:rFonts w:hint="eastAsia" w:ascii="黑体" w:hAnsi="宋体" w:eastAsia="黑体"/>
          <w:bCs/>
          <w:sz w:val="24"/>
          <w:lang w:val="en-US" w:eastAsia="zh-CN"/>
        </w:rPr>
        <w:t>2.1产品分类</w:t>
      </w:r>
    </w:p>
    <w:p>
      <w:pPr>
        <w:keepNext w:val="0"/>
        <w:keepLines w:val="0"/>
        <w:pageBreakBefore w:val="0"/>
        <w:kinsoku/>
        <w:wordWrap/>
        <w:overflowPunct/>
        <w:topLinePunct w:val="0"/>
        <w:bidi w:val="0"/>
        <w:adjustRightInd w:val="0"/>
        <w:snapToGrid w:val="0"/>
        <w:spacing w:line="360" w:lineRule="auto"/>
        <w:jc w:val="center"/>
        <w:textAlignment w:val="auto"/>
        <w:rPr>
          <w:rFonts w:hint="eastAsia"/>
        </w:rPr>
      </w:pPr>
      <w:r>
        <w:rPr>
          <w:rFonts w:hint="eastAsia"/>
          <w:lang w:val="en-US" w:eastAsia="zh-CN"/>
        </w:rPr>
        <w:t xml:space="preserve">    </w:t>
      </w:r>
      <w:r>
        <w:rPr>
          <w:rFonts w:hint="eastAsia"/>
          <w:lang w:eastAsia="zh-CN"/>
        </w:rPr>
        <w:t>高纯金属镱靶材</w:t>
      </w:r>
      <w:r>
        <w:rPr>
          <w:rFonts w:hint="eastAsia"/>
        </w:rPr>
        <w:t>牌号共分3个层次，其中第一层次表示高纯靶</w:t>
      </w:r>
      <w:r>
        <w:rPr>
          <w:rFonts w:hint="eastAsia"/>
          <w:lang w:eastAsia="zh-CN"/>
        </w:rPr>
        <w:t>材</w:t>
      </w:r>
      <w:r>
        <w:rPr>
          <w:rFonts w:hint="eastAsia"/>
        </w:rPr>
        <w:t>，用高纯靶</w:t>
      </w:r>
      <w:r>
        <w:rPr>
          <w:rFonts w:hint="eastAsia"/>
          <w:lang w:eastAsia="zh-CN"/>
        </w:rPr>
        <w:t>材</w:t>
      </w:r>
      <w:r>
        <w:rPr>
          <w:rFonts w:hint="eastAsia"/>
        </w:rPr>
        <w:t>的英文首字母“HT”表示；第二层次表示产品金属</w:t>
      </w:r>
      <w:r>
        <w:rPr>
          <w:rFonts w:hint="eastAsia"/>
          <w:lang w:eastAsia="zh-CN"/>
        </w:rPr>
        <w:t>镱</w:t>
      </w:r>
      <w:r>
        <w:rPr>
          <w:rFonts w:hint="eastAsia"/>
        </w:rPr>
        <w:t>，用</w:t>
      </w:r>
      <w:r>
        <w:rPr>
          <w:rFonts w:hint="eastAsia"/>
          <w:lang w:eastAsia="zh-CN"/>
        </w:rPr>
        <w:t>元素符号</w:t>
      </w:r>
      <w:r>
        <w:rPr>
          <w:rFonts w:hint="eastAsia"/>
        </w:rPr>
        <w:t>“Y</w:t>
      </w:r>
      <w:r>
        <w:rPr>
          <w:rFonts w:hint="eastAsia"/>
          <w:lang w:val="en-US" w:eastAsia="zh-CN"/>
        </w:rPr>
        <w:t>b</w:t>
      </w:r>
      <w:r>
        <w:rPr>
          <w:rFonts w:hint="eastAsia"/>
        </w:rPr>
        <w:t>”表示；第三层次表示</w:t>
      </w:r>
      <w:r>
        <w:rPr>
          <w:rFonts w:hint="eastAsia"/>
          <w:lang w:eastAsia="zh-CN"/>
        </w:rPr>
        <w:t>绝对</w:t>
      </w:r>
      <w:r>
        <w:rPr>
          <w:rFonts w:hint="eastAsia"/>
        </w:rPr>
        <w:t>纯度，当产品</w:t>
      </w:r>
      <w:r>
        <w:rPr>
          <w:rFonts w:hint="eastAsia"/>
          <w:lang w:eastAsia="zh-CN"/>
        </w:rPr>
        <w:t>稀土</w:t>
      </w:r>
      <w:r>
        <w:rPr>
          <w:rFonts w:hint="eastAsia"/>
        </w:rPr>
        <w:t>纯度（质量分数）</w:t>
      </w:r>
      <w:r>
        <w:rPr>
          <w:rFonts w:hint="eastAsia"/>
          <w:lang w:eastAsia="zh-CN"/>
        </w:rPr>
        <w:t>不小于</w:t>
      </w:r>
      <w:r>
        <w:rPr>
          <w:rFonts w:hint="eastAsia"/>
        </w:rPr>
        <w:t>99%时，“X”表示质量分数中“9”的个数，“N”为数字9的英文首字母“</w:t>
      </w:r>
      <w:r>
        <w:rPr>
          <w:rFonts w:hint="eastAsia"/>
          <w:lang w:val="en-US" w:eastAsia="zh-CN"/>
        </w:rPr>
        <w:t>Y</w:t>
      </w:r>
      <w:r>
        <w:rPr>
          <w:rFonts w:hint="eastAsia"/>
        </w:rPr>
        <w:t>”表示质量分数最后一位的值（当值为0时省略），</w:t>
      </w:r>
      <w:r>
        <w:rPr>
          <w:rFonts w:hint="eastAsia"/>
          <w:lang w:eastAsia="zh-CN"/>
        </w:rPr>
        <w:t>“</w:t>
      </w:r>
      <w:r>
        <w:rPr>
          <w:rFonts w:hint="eastAsia"/>
          <w:lang w:val="en-US" w:eastAsia="zh-CN"/>
        </w:rPr>
        <w:t>a</w:t>
      </w:r>
      <w:r>
        <w:rPr>
          <w:rFonts w:hint="eastAsia"/>
          <w:lang w:eastAsia="zh-CN"/>
        </w:rPr>
        <w:t>”为</w:t>
      </w:r>
      <w:r>
        <w:rPr>
          <w:rFonts w:hint="eastAsia"/>
          <w:lang w:val="en-US" w:eastAsia="zh-CN"/>
        </w:rPr>
        <w:t>absolute首字母，“Na”表示绝对纯度</w:t>
      </w:r>
      <w:r>
        <w:rPr>
          <w:rFonts w:hint="eastAsia"/>
        </w:rPr>
        <w:t>。具体表示方法如下：</w:t>
      </w:r>
    </w:p>
    <w:p>
      <w:pPr>
        <w:keepNext w:val="0"/>
        <w:keepLines w:val="0"/>
        <w:pageBreakBefore w:val="0"/>
        <w:kinsoku/>
        <w:wordWrap/>
        <w:overflowPunct/>
        <w:topLinePunct w:val="0"/>
        <w:bidi w:val="0"/>
        <w:adjustRightInd w:val="0"/>
        <w:snapToGrid w:val="0"/>
        <w:spacing w:line="360" w:lineRule="auto"/>
        <w:jc w:val="center"/>
        <w:textAlignment w:val="auto"/>
      </w:pPr>
      <w:r>
        <w:object>
          <v:shape id="_x0000_i1025" o:spt="75" alt="" type="#_x0000_t75" style="height:117pt;width:231.4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keepNext w:val="0"/>
        <w:keepLines w:val="0"/>
        <w:pageBreakBefore w:val="0"/>
        <w:kinsoku/>
        <w:wordWrap/>
        <w:overflowPunct/>
        <w:topLinePunct w:val="0"/>
        <w:bidi w:val="0"/>
        <w:adjustRightInd w:val="0"/>
        <w:snapToGrid w:val="0"/>
        <w:spacing w:line="360" w:lineRule="auto"/>
        <w:textAlignment w:val="auto"/>
        <w:rPr>
          <w:rFonts w:hint="default" w:ascii="黑体" w:hAnsi="宋体" w:eastAsia="黑体"/>
          <w:bCs/>
          <w:sz w:val="24"/>
          <w:lang w:val="en-US" w:eastAsia="zh-CN"/>
        </w:rPr>
      </w:pPr>
      <w:r>
        <w:rPr>
          <w:rFonts w:hint="eastAsia" w:ascii="黑体" w:hAnsi="宋体" w:eastAsia="黑体"/>
          <w:bCs/>
          <w:sz w:val="24"/>
          <w:lang w:val="en-US" w:eastAsia="zh-CN"/>
        </w:rPr>
        <w:t>2.2技术要求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szCs w:val="21"/>
        </w:rPr>
      </w:pPr>
      <w:r>
        <w:rPr>
          <w:rFonts w:hint="eastAsia" w:ascii="宋体" w:hAnsi="宋体"/>
          <w:kern w:val="0"/>
          <w:szCs w:val="20"/>
        </w:rPr>
        <w:t>本文件适用于真空熔铸方法制备的高纯</w:t>
      </w:r>
      <w:r>
        <w:rPr>
          <w:rFonts w:hint="eastAsia" w:ascii="宋体" w:hAnsi="宋体"/>
          <w:kern w:val="0"/>
          <w:szCs w:val="20"/>
          <w:lang w:eastAsia="zh-CN"/>
        </w:rPr>
        <w:t>金属镱</w:t>
      </w:r>
      <w:r>
        <w:rPr>
          <w:rFonts w:hint="eastAsia" w:ascii="宋体" w:hAnsi="宋体"/>
          <w:kern w:val="0"/>
          <w:szCs w:val="20"/>
        </w:rPr>
        <w:t>锭，再经</w:t>
      </w:r>
      <w:r>
        <w:rPr>
          <w:rFonts w:hint="eastAsia" w:ascii="宋体" w:hAnsi="宋体"/>
          <w:kern w:val="0"/>
          <w:szCs w:val="20"/>
          <w:lang w:eastAsia="zh-CN"/>
        </w:rPr>
        <w:t>热处理、</w:t>
      </w:r>
      <w:r>
        <w:rPr>
          <w:rFonts w:hint="eastAsia" w:ascii="宋体" w:hAnsi="宋体"/>
          <w:kern w:val="0"/>
          <w:szCs w:val="20"/>
        </w:rPr>
        <w:t>变形加工、机械加工等过程制得的高纯</w:t>
      </w:r>
      <w:r>
        <w:rPr>
          <w:rFonts w:hint="eastAsia" w:ascii="宋体" w:hAnsi="宋体"/>
          <w:kern w:val="0"/>
          <w:szCs w:val="20"/>
          <w:lang w:eastAsia="zh-CN"/>
        </w:rPr>
        <w:t>金属镱靶材</w:t>
      </w:r>
      <w:r>
        <w:rPr>
          <w:rFonts w:hint="eastAsia" w:ascii="宋体" w:hAnsi="宋体"/>
          <w:kern w:val="0"/>
          <w:szCs w:val="20"/>
        </w:rPr>
        <w:t>，主要用于电子信息和</w:t>
      </w:r>
      <w:r>
        <w:rPr>
          <w:rFonts w:hint="eastAsia" w:ascii="宋体" w:hAnsi="宋体"/>
          <w:kern w:val="0"/>
          <w:szCs w:val="20"/>
          <w:lang w:eastAsia="zh-CN"/>
        </w:rPr>
        <w:t>有机发光</w:t>
      </w:r>
      <w:r>
        <w:rPr>
          <w:rFonts w:hint="eastAsia" w:ascii="宋体" w:hAnsi="宋体"/>
          <w:kern w:val="0"/>
          <w:szCs w:val="20"/>
        </w:rPr>
        <w:t>显示等</w:t>
      </w:r>
      <w:r>
        <w:rPr>
          <w:rFonts w:hint="eastAsia" w:ascii="宋体" w:hAnsi="宋体"/>
          <w:kern w:val="0"/>
          <w:szCs w:val="20"/>
          <w:lang w:eastAsia="zh-CN"/>
        </w:rPr>
        <w:t>领域</w:t>
      </w:r>
      <w:r>
        <w:rPr>
          <w:rFonts w:hint="eastAsia" w:ascii="宋体" w:hAnsi="宋体"/>
          <w:kern w:val="0"/>
          <w:szCs w:val="20"/>
        </w:rPr>
        <w:t>。</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hint="eastAsia" w:ascii="宋体" w:hAnsi="宋体" w:eastAsia="宋体" w:cs="Times New Roman"/>
          <w:color w:val="000000"/>
          <w:szCs w:val="21"/>
        </w:rPr>
      </w:pPr>
      <w:r>
        <w:rPr>
          <w:rFonts w:hint="eastAsia" w:ascii="宋体" w:hAnsi="宋体" w:eastAsia="宋体" w:cs="Times New Roman"/>
          <w:color w:val="000000"/>
          <w:szCs w:val="21"/>
        </w:rPr>
        <w:t>产品的化学成分应符合表1的规定。需方如对产品有特殊要求，可由供需双方协商确定。</w:t>
      </w:r>
    </w:p>
    <w:p>
      <w:pPr>
        <w:keepNext w:val="0"/>
        <w:keepLines w:val="0"/>
        <w:pageBreakBefore w:val="0"/>
        <w:widowControl/>
        <w:kinsoku/>
        <w:wordWrap/>
        <w:overflowPunct/>
        <w:topLinePunct w:val="0"/>
        <w:bidi w:val="0"/>
        <w:adjustRightInd w:val="0"/>
        <w:snapToGrid w:val="0"/>
        <w:spacing w:line="360" w:lineRule="auto"/>
        <w:ind w:firstLine="420" w:firstLineChars="200"/>
        <w:textAlignment w:val="auto"/>
        <w:rPr>
          <w:rFonts w:hint="eastAsia" w:ascii="宋体" w:hAnsi="宋体" w:eastAsia="宋体" w:cs="Times New Roman"/>
          <w:color w:val="000000"/>
          <w:szCs w:val="21"/>
        </w:rPr>
      </w:pPr>
    </w:p>
    <w:p>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sz w:val="18"/>
          <w:szCs w:val="18"/>
        </w:rPr>
        <w:t xml:space="preserve">表1 </w:t>
      </w:r>
      <w:r>
        <w:rPr>
          <w:rFonts w:hint="eastAsia"/>
          <w:sz w:val="18"/>
          <w:szCs w:val="18"/>
          <w:lang w:eastAsia="zh-CN"/>
        </w:rPr>
        <w:t>高纯金属镱靶材</w:t>
      </w:r>
      <w:r>
        <w:rPr>
          <w:rFonts w:hint="eastAsia"/>
          <w:sz w:val="18"/>
          <w:szCs w:val="18"/>
        </w:rPr>
        <w:t>的化学纯度指标</w:t>
      </w:r>
    </w:p>
    <w:tbl>
      <w:tblPr>
        <w:tblStyle w:val="4"/>
        <w:tblW w:w="477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1"/>
        <w:gridCol w:w="1030"/>
        <w:gridCol w:w="624"/>
        <w:gridCol w:w="1751"/>
        <w:gridCol w:w="1673"/>
        <w:gridCol w:w="1673"/>
        <w:gridCol w:w="1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2242" w:type="pct"/>
            <w:gridSpan w:val="4"/>
            <w:tcBorders>
              <w:top w:val="single" w:color="auto" w:sz="18" w:space="0"/>
              <w:left w:val="single" w:color="auto" w:sz="18"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产品牌号</w:t>
            </w:r>
          </w:p>
        </w:tc>
        <w:tc>
          <w:tcPr>
            <w:tcW w:w="879" w:type="pct"/>
            <w:tcBorders>
              <w:top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rPr>
            </w:pPr>
            <w:r>
              <w:rPr>
                <w:rFonts w:ascii="宋体" w:hAnsi="宋体"/>
                <w:color w:val="000000"/>
                <w:kern w:val="0"/>
                <w:sz w:val="18"/>
                <w:szCs w:val="18"/>
              </w:rPr>
              <w:t>H</w:t>
            </w:r>
            <w:r>
              <w:rPr>
                <w:rFonts w:hint="eastAsia" w:ascii="宋体" w:hAnsi="宋体"/>
                <w:color w:val="000000"/>
                <w:kern w:val="0"/>
                <w:sz w:val="18"/>
                <w:szCs w:val="18"/>
              </w:rPr>
              <w:t>T</w:t>
            </w:r>
            <w:r>
              <w:rPr>
                <w:rFonts w:ascii="宋体" w:hAnsi="宋体"/>
                <w:color w:val="000000"/>
                <w:kern w:val="0"/>
                <w:sz w:val="18"/>
                <w:szCs w:val="18"/>
              </w:rPr>
              <w:t>-</w:t>
            </w:r>
            <w:r>
              <w:rPr>
                <w:rFonts w:hint="eastAsia" w:ascii="宋体" w:hAnsi="宋体"/>
                <w:color w:val="000000"/>
                <w:kern w:val="0"/>
                <w:sz w:val="18"/>
                <w:szCs w:val="18"/>
              </w:rPr>
              <w:t>Y</w:t>
            </w:r>
            <w:r>
              <w:rPr>
                <w:rFonts w:hint="eastAsia" w:ascii="宋体" w:hAnsi="宋体"/>
                <w:color w:val="000000"/>
                <w:kern w:val="0"/>
                <w:sz w:val="18"/>
                <w:szCs w:val="18"/>
                <w:lang w:val="en-US" w:eastAsia="zh-CN"/>
              </w:rPr>
              <w:t>b</w:t>
            </w:r>
            <w:r>
              <w:rPr>
                <w:rFonts w:ascii="宋体" w:hAnsi="宋体"/>
                <w:color w:val="000000"/>
                <w:kern w:val="0"/>
                <w:sz w:val="18"/>
                <w:szCs w:val="18"/>
              </w:rPr>
              <w:t>-4N</w:t>
            </w:r>
            <w:r>
              <w:rPr>
                <w:rFonts w:hint="eastAsia" w:ascii="宋体" w:hAnsi="宋体"/>
                <w:color w:val="000000"/>
                <w:kern w:val="0"/>
                <w:sz w:val="18"/>
                <w:szCs w:val="18"/>
                <w:vertAlign w:val="superscript"/>
                <w:lang w:val="en-US" w:eastAsia="zh-CN"/>
              </w:rPr>
              <w:t>a</w:t>
            </w:r>
          </w:p>
        </w:tc>
        <w:tc>
          <w:tcPr>
            <w:tcW w:w="879" w:type="pct"/>
            <w:tcBorders>
              <w:top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H</w:t>
            </w:r>
            <w:r>
              <w:rPr>
                <w:rFonts w:hint="eastAsia" w:ascii="宋体" w:hAnsi="宋体"/>
                <w:color w:val="000000"/>
                <w:kern w:val="0"/>
                <w:sz w:val="18"/>
                <w:szCs w:val="18"/>
              </w:rPr>
              <w:t>T</w:t>
            </w:r>
            <w:r>
              <w:rPr>
                <w:rFonts w:ascii="宋体" w:hAnsi="宋体"/>
                <w:color w:val="000000"/>
                <w:kern w:val="0"/>
                <w:sz w:val="18"/>
                <w:szCs w:val="18"/>
              </w:rPr>
              <w:t>-</w:t>
            </w:r>
            <w:r>
              <w:rPr>
                <w:rFonts w:hint="eastAsia" w:ascii="宋体" w:hAnsi="宋体"/>
                <w:color w:val="000000"/>
                <w:kern w:val="0"/>
                <w:sz w:val="18"/>
                <w:szCs w:val="18"/>
              </w:rPr>
              <w:t>Y</w:t>
            </w:r>
            <w:r>
              <w:rPr>
                <w:rFonts w:hint="eastAsia" w:ascii="宋体" w:hAnsi="宋体"/>
                <w:color w:val="000000"/>
                <w:kern w:val="0"/>
                <w:sz w:val="18"/>
                <w:szCs w:val="18"/>
                <w:lang w:val="en-US" w:eastAsia="zh-CN"/>
              </w:rPr>
              <w:t>b</w:t>
            </w:r>
            <w:r>
              <w:rPr>
                <w:rFonts w:ascii="宋体" w:hAnsi="宋体"/>
                <w:color w:val="000000"/>
                <w:kern w:val="0"/>
                <w:sz w:val="18"/>
                <w:szCs w:val="18"/>
              </w:rPr>
              <w:t>-3N</w:t>
            </w:r>
            <w:r>
              <w:rPr>
                <w:rFonts w:hint="eastAsia" w:ascii="宋体" w:hAnsi="宋体"/>
                <w:color w:val="000000"/>
                <w:kern w:val="0"/>
                <w:sz w:val="18"/>
                <w:szCs w:val="18"/>
                <w:vertAlign w:val="superscript"/>
                <w:lang w:val="en-US" w:eastAsia="zh-CN"/>
              </w:rPr>
              <w:t>a</w:t>
            </w:r>
            <w:r>
              <w:rPr>
                <w:rFonts w:ascii="宋体" w:hAnsi="宋体"/>
                <w:color w:val="000000"/>
                <w:kern w:val="0"/>
                <w:sz w:val="18"/>
                <w:szCs w:val="18"/>
              </w:rPr>
              <w:t>5</w:t>
            </w:r>
          </w:p>
        </w:tc>
        <w:tc>
          <w:tcPr>
            <w:tcW w:w="999" w:type="pct"/>
            <w:tcBorders>
              <w:top w:val="single" w:color="auto" w:sz="18"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H</w:t>
            </w:r>
            <w:r>
              <w:rPr>
                <w:rFonts w:hint="eastAsia" w:ascii="宋体" w:hAnsi="宋体"/>
                <w:color w:val="000000"/>
                <w:kern w:val="0"/>
                <w:sz w:val="18"/>
                <w:szCs w:val="18"/>
              </w:rPr>
              <w:t>T</w:t>
            </w:r>
            <w:r>
              <w:rPr>
                <w:rFonts w:ascii="宋体" w:hAnsi="宋体"/>
                <w:color w:val="000000"/>
                <w:kern w:val="0"/>
                <w:sz w:val="18"/>
                <w:szCs w:val="18"/>
              </w:rPr>
              <w:t>-</w:t>
            </w:r>
            <w:r>
              <w:rPr>
                <w:rFonts w:hint="eastAsia" w:ascii="宋体" w:hAnsi="宋体"/>
                <w:color w:val="000000"/>
                <w:kern w:val="0"/>
                <w:sz w:val="18"/>
                <w:szCs w:val="18"/>
              </w:rPr>
              <w:t>Y</w:t>
            </w:r>
            <w:r>
              <w:rPr>
                <w:rFonts w:hint="eastAsia" w:ascii="宋体" w:hAnsi="宋体"/>
                <w:color w:val="000000"/>
                <w:kern w:val="0"/>
                <w:sz w:val="18"/>
                <w:szCs w:val="18"/>
                <w:lang w:val="en-US" w:eastAsia="zh-CN"/>
              </w:rPr>
              <w:t>b</w:t>
            </w:r>
            <w:r>
              <w:rPr>
                <w:rFonts w:ascii="宋体" w:hAnsi="宋体"/>
                <w:color w:val="000000"/>
                <w:kern w:val="0"/>
                <w:sz w:val="18"/>
                <w:szCs w:val="18"/>
              </w:rPr>
              <w:t>-3N</w:t>
            </w:r>
            <w:r>
              <w:rPr>
                <w:rFonts w:hint="eastAsia" w:ascii="宋体" w:hAnsi="宋体"/>
                <w:color w:val="000000"/>
                <w:kern w:val="0"/>
                <w:sz w:val="18"/>
                <w:szCs w:val="18"/>
                <w:vertAlign w:val="superscript"/>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restart"/>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textAlignment w:val="auto"/>
              <w:rPr>
                <w:rFonts w:ascii="宋体" w:hAnsi="宋体"/>
                <w:color w:val="000000"/>
                <w:kern w:val="0"/>
                <w:sz w:val="18"/>
                <w:szCs w:val="18"/>
              </w:rPr>
            </w:pPr>
            <w:r>
              <w:rPr>
                <w:rFonts w:ascii="宋体" w:hAnsi="宋体"/>
                <w:color w:val="000000"/>
                <w:kern w:val="0"/>
                <w:sz w:val="18"/>
                <w:szCs w:val="18"/>
              </w:rPr>
              <w:t>化学成分（质量分数）/%</w:t>
            </w:r>
          </w:p>
        </w:tc>
        <w:tc>
          <w:tcPr>
            <w:tcW w:w="1789" w:type="pct"/>
            <w:gridSpan w:val="3"/>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hint="eastAsia" w:ascii="宋体" w:hAnsi="宋体"/>
                <w:color w:val="000000"/>
                <w:kern w:val="0"/>
                <w:sz w:val="18"/>
                <w:szCs w:val="18"/>
              </w:rPr>
              <w:t>Y</w:t>
            </w:r>
            <w:r>
              <w:rPr>
                <w:rFonts w:hint="eastAsia" w:ascii="宋体" w:hAnsi="宋体"/>
                <w:color w:val="000000"/>
                <w:kern w:val="0"/>
                <w:sz w:val="18"/>
                <w:szCs w:val="18"/>
                <w:lang w:val="en-US" w:eastAsia="zh-CN"/>
              </w:rPr>
              <w:t>b</w:t>
            </w:r>
            <w:r>
              <w:rPr>
                <w:rFonts w:ascii="宋体" w:hAnsi="宋体"/>
                <w:color w:val="000000"/>
                <w:kern w:val="0"/>
                <w:sz w:val="18"/>
                <w:szCs w:val="18"/>
              </w:rPr>
              <w:t>，不小于</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99.99</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99.95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restart"/>
            <w:tcBorders>
              <w:top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杂质含量，不大于</w:t>
            </w:r>
          </w:p>
        </w:tc>
        <w:tc>
          <w:tcPr>
            <w:tcW w:w="328" w:type="pct"/>
            <w:vMerge w:val="restart"/>
            <w:tcBorders>
              <w:top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稀土杂质</w:t>
            </w: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La</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0.0005</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Ce</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0.001</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Pr</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Nd</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Sm</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Eu</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Gd</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Tb</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Dy</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Ho</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Er</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Tm</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Lu</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zh-CN" w:eastAsia="zh-CN"/>
              </w:rPr>
            </w:pPr>
            <w:r>
              <w:rPr>
                <w:rFonts w:hint="eastAsia" w:ascii="宋体" w:hAnsi="宋体" w:eastAsia="宋体" w:cs="Times New Roman"/>
                <w:color w:val="000000"/>
                <w:kern w:val="0"/>
                <w:sz w:val="18"/>
                <w:szCs w:val="18"/>
                <w:lang w:val="en-US" w:eastAsia="zh-CN"/>
              </w:rPr>
              <w:t>Y</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0.0001</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rPr>
            </w:pPr>
            <w:r>
              <w:rPr>
                <w:rFonts w:hint="eastAsia" w:ascii="宋体" w:hAnsi="宋体" w:eastAsia="宋体" w:cs="Times New Roman"/>
                <w:color w:val="000000"/>
                <w:kern w:val="0"/>
                <w:sz w:val="18"/>
                <w:szCs w:val="18"/>
                <w:lang w:val="en-US" w:eastAsia="zh-CN"/>
              </w:rPr>
              <w:t>0.0002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restar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非稀土杂质</w:t>
            </w: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Al</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trike w:val="0"/>
                <w:dstrike w:val="0"/>
                <w:sz w:val="18"/>
                <w:szCs w:val="18"/>
              </w:rPr>
              <w:t>0.00</w:t>
            </w:r>
            <w:r>
              <w:rPr>
                <w:rFonts w:hint="eastAsia" w:ascii="宋体" w:hAnsi="宋体"/>
                <w:strike w:val="0"/>
                <w:dstrike w:val="0"/>
                <w:sz w:val="18"/>
                <w:szCs w:val="18"/>
                <w:lang w:val="en-US" w:eastAsia="zh-CN"/>
              </w:rPr>
              <w:t>05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5</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Ca</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olor w:val="000000"/>
                <w:kern w:val="0"/>
                <w:sz w:val="18"/>
                <w:szCs w:val="18"/>
                <w:lang w:val="en-US" w:eastAsia="zh-CN" w:bidi="ar-SA"/>
              </w:rPr>
            </w:pPr>
            <w:r>
              <w:rPr>
                <w:rFonts w:ascii="宋体" w:hAnsi="宋体"/>
                <w:sz w:val="18"/>
                <w:szCs w:val="18"/>
              </w:rPr>
              <w:t>0.001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12</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rPr>
              <w:t>Cd</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0.0001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kern w:val="2"/>
                <w:sz w:val="18"/>
                <w:szCs w:val="18"/>
                <w:lang w:val="en-US" w:eastAsia="zh-CN" w:bidi="ar-SA"/>
              </w:rPr>
            </w:pPr>
            <w:r>
              <w:rPr>
                <w:rFonts w:hint="eastAsia" w:ascii="宋体" w:hAnsi="宋体"/>
                <w:kern w:val="2"/>
                <w:sz w:val="18"/>
                <w:szCs w:val="18"/>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rPr>
              <w:t>Cl</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0.002</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0.005</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kern w:val="2"/>
                <w:sz w:val="18"/>
                <w:szCs w:val="18"/>
                <w:lang w:val="en-US" w:eastAsia="zh-CN" w:bidi="ar-SA"/>
              </w:rPr>
            </w:pPr>
            <w:r>
              <w:rPr>
                <w:rFonts w:hint="eastAsia" w:ascii="宋体" w:hAnsi="宋体"/>
                <w:kern w:val="2"/>
                <w:sz w:val="18"/>
                <w:szCs w:val="18"/>
                <w:lang w:val="en-US" w:eastAsia="zh-CN" w:bidi="ar-SA"/>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rPr>
              <w:t>Cr</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0.0002</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kern w:val="2"/>
                <w:sz w:val="18"/>
                <w:szCs w:val="18"/>
                <w:lang w:val="en-US" w:eastAsia="zh-CN" w:bidi="ar-SA"/>
              </w:rPr>
            </w:pPr>
            <w:r>
              <w:rPr>
                <w:rFonts w:hint="eastAsia" w:ascii="宋体" w:hAnsi="宋体"/>
                <w:sz w:val="18"/>
                <w:szCs w:val="18"/>
                <w:lang w:val="en-US" w:eastAsia="zh-CN"/>
              </w:rPr>
              <w:t>0.001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kern w:val="2"/>
                <w:sz w:val="18"/>
                <w:szCs w:val="18"/>
                <w:lang w:val="en-US" w:eastAsia="zh-CN" w:bidi="ar-SA"/>
              </w:rPr>
            </w:pPr>
            <w:r>
              <w:rPr>
                <w:rFonts w:hint="eastAsia" w:ascii="宋体" w:hAnsi="宋体"/>
                <w:kern w:val="2"/>
                <w:sz w:val="18"/>
                <w:szCs w:val="18"/>
                <w:lang w:val="en-US" w:eastAsia="zh-CN" w:bidi="ar-SA"/>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Cu</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01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Fe</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05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35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tabs>
                <w:tab w:val="center" w:pos="4153"/>
                <w:tab w:val="right" w:pos="8306"/>
              </w:tabs>
              <w:kinsoku/>
              <w:wordWrap/>
              <w:overflowPunct/>
              <w:topLinePunct w:val="0"/>
              <w:bidi w:val="0"/>
              <w:adjustRightInd w:val="0"/>
              <w:snapToGrid w:val="0"/>
              <w:spacing w:line="360" w:lineRule="auto"/>
              <w:jc w:val="center"/>
              <w:textAlignment w:val="auto"/>
              <w:rPr>
                <w:rFonts w:ascii="宋体" w:hAnsi="宋体"/>
                <w:color w:val="000000"/>
                <w:kern w:val="0"/>
                <w:sz w:val="18"/>
                <w:szCs w:val="18"/>
                <w:lang w:val="en-US" w:eastAsia="zh-CN" w:bidi="ar-SA"/>
              </w:rPr>
            </w:pPr>
            <w:r>
              <w:rPr>
                <w:rFonts w:ascii="宋体" w:hAnsi="宋体"/>
                <w:sz w:val="18"/>
                <w:szCs w:val="18"/>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rPr>
              <w:t>Hg</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kern w:val="2"/>
                <w:sz w:val="18"/>
                <w:szCs w:val="18"/>
                <w:lang w:val="en-US" w:eastAsia="zh-CN" w:bidi="ar-SA"/>
              </w:rPr>
            </w:pPr>
            <w:r>
              <w:rPr>
                <w:rFonts w:hint="eastAsia" w:ascii="宋体" w:hAnsi="宋体"/>
                <w:sz w:val="18"/>
                <w:szCs w:val="18"/>
                <w:lang w:val="en-US" w:eastAsia="zh-CN"/>
              </w:rPr>
              <w:t>0.0002</w:t>
            </w:r>
            <w:r>
              <w:rPr>
                <w:rFonts w:hint="eastAsia" w:ascii="宋体" w:hAnsi="宋体"/>
                <w:kern w:val="2"/>
                <w:sz w:val="18"/>
                <w:szCs w:val="18"/>
                <w:lang w:val="en-US" w:eastAsia="zh-CN" w:bidi="ar-SA"/>
              </w:rPr>
              <w:t xml:space="preserve">                                                                                                                          </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kern w:val="2"/>
                <w:sz w:val="18"/>
                <w:szCs w:val="18"/>
                <w:lang w:val="en-US" w:eastAsia="zh-CN" w:bidi="ar-SA"/>
              </w:rPr>
            </w:pPr>
            <w:r>
              <w:rPr>
                <w:rFonts w:hint="eastAsia" w:ascii="宋体" w:hAnsi="宋体"/>
                <w:sz w:val="18"/>
                <w:szCs w:val="18"/>
                <w:lang w:val="en-US" w:eastAsia="zh-CN"/>
              </w:rPr>
              <w:t>0.001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kern w:val="2"/>
                <w:sz w:val="18"/>
                <w:szCs w:val="18"/>
                <w:lang w:val="en-US" w:eastAsia="zh-CN" w:bidi="ar-SA"/>
              </w:rPr>
            </w:pPr>
            <w:r>
              <w:rPr>
                <w:rFonts w:hint="eastAsia" w:ascii="宋体" w:hAnsi="宋体"/>
                <w:sz w:val="18"/>
                <w:szCs w:val="18"/>
                <w:lang w:val="en-US" w:eastAsia="zh-CN"/>
              </w:rPr>
              <w:t>0.001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olor w:val="000000"/>
                <w:kern w:val="0"/>
                <w:sz w:val="18"/>
                <w:szCs w:val="18"/>
                <w:lang w:val="en-US" w:eastAsia="zh-CN" w:bidi="ar-SA"/>
              </w:rPr>
            </w:pPr>
            <w:r>
              <w:rPr>
                <w:rFonts w:hint="eastAsia" w:ascii="宋体" w:hAnsi="宋体"/>
                <w:color w:val="000000"/>
                <w:kern w:val="0"/>
                <w:sz w:val="18"/>
                <w:szCs w:val="18"/>
              </w:rPr>
              <w:t>Li</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rPr>
              <w:t>0.00</w:t>
            </w:r>
            <w:r>
              <w:rPr>
                <w:rFonts w:hint="eastAsia" w:ascii="宋体" w:hAnsi="宋体"/>
                <w:color w:val="000000"/>
                <w:kern w:val="0"/>
                <w:sz w:val="18"/>
                <w:szCs w:val="18"/>
                <w:lang w:val="en-US" w:eastAsia="zh-CN"/>
              </w:rPr>
              <w:t>2</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rPr>
              <w:t>0.00</w:t>
            </w:r>
            <w:r>
              <w:rPr>
                <w:rFonts w:hint="eastAsia" w:ascii="宋体" w:hAnsi="宋体"/>
                <w:color w:val="000000"/>
                <w:kern w:val="0"/>
                <w:sz w:val="18"/>
                <w:szCs w:val="18"/>
                <w:lang w:val="en-US" w:eastAsia="zh-CN"/>
              </w:rPr>
              <w:t>5</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tabs>
                <w:tab w:val="center" w:pos="4153"/>
                <w:tab w:val="right" w:pos="8306"/>
              </w:tabs>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rPr>
              <w:t>0.0</w:t>
            </w:r>
            <w:r>
              <w:rPr>
                <w:rFonts w:hint="eastAsia" w:ascii="宋体" w:hAnsi="宋体"/>
                <w:color w:val="000000"/>
                <w:kern w:val="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Mg</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12</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Mn</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0.000</w:t>
            </w:r>
            <w:r>
              <w:rPr>
                <w:rFonts w:hint="eastAsia" w:ascii="宋体" w:hAnsi="宋体"/>
                <w:sz w:val="18"/>
                <w:szCs w:val="18"/>
                <w:lang w:val="en-US" w:eastAsia="zh-CN"/>
              </w:rPr>
              <w:t>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3</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Ni</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05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2</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Pb</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0.000</w:t>
            </w:r>
            <w:r>
              <w:rPr>
                <w:rFonts w:hint="eastAsia" w:ascii="宋体" w:hAnsi="宋体"/>
                <w:sz w:val="18"/>
                <w:szCs w:val="18"/>
                <w:lang w:val="en-US" w:eastAsia="zh-CN"/>
              </w:rPr>
              <w:t>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olor w:val="000000"/>
                <w:kern w:val="0"/>
                <w:sz w:val="18"/>
                <w:szCs w:val="18"/>
                <w:lang w:val="en-US" w:eastAsia="zh-CN" w:bidi="ar-SA"/>
              </w:rPr>
            </w:pPr>
            <w:r>
              <w:rPr>
                <w:rFonts w:ascii="宋体" w:hAnsi="宋体"/>
                <w:color w:val="000000"/>
                <w:kern w:val="0"/>
                <w:sz w:val="18"/>
                <w:szCs w:val="18"/>
              </w:rPr>
              <w:t>0.00</w:t>
            </w:r>
            <w:r>
              <w:rPr>
                <w:rFonts w:hint="eastAsia" w:ascii="宋体" w:hAnsi="宋体"/>
                <w:color w:val="000000"/>
                <w:kern w:val="0"/>
                <w:sz w:val="18"/>
                <w:szCs w:val="18"/>
                <w:lang w:val="en-US" w:eastAsia="zh-CN"/>
              </w:rPr>
              <w:t>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Si</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05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3</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eastAsia="zh-CN" w:bidi="ar-SA"/>
              </w:rPr>
            </w:pPr>
            <w:r>
              <w:rPr>
                <w:rFonts w:ascii="宋体" w:hAnsi="宋体"/>
                <w:sz w:val="18"/>
                <w:szCs w:val="18"/>
              </w:rPr>
              <w:t>0.005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Ti</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eastAsia="zh-CN" w:bidi="ar-SA"/>
              </w:rPr>
            </w:pPr>
            <w:r>
              <w:rPr>
                <w:rFonts w:ascii="宋体" w:hAnsi="宋体"/>
                <w:sz w:val="18"/>
                <w:szCs w:val="18"/>
              </w:rPr>
              <w:t>0.0005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eastAsia="zh-CN" w:bidi="ar-SA"/>
              </w:rPr>
            </w:pPr>
            <w:r>
              <w:rPr>
                <w:rFonts w:ascii="宋体" w:hAnsi="宋体"/>
                <w:sz w:val="18"/>
                <w:szCs w:val="18"/>
              </w:rPr>
              <w:t>0.005</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w:t>
            </w:r>
            <w:r>
              <w:rPr>
                <w:rFonts w:hint="eastAsia" w:ascii="宋体" w:hAnsi="宋体"/>
                <w:sz w:val="18"/>
                <w:szCs w:val="18"/>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rPr>
              <w:t>Zn</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3</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sz w:val="18"/>
                <w:szCs w:val="18"/>
              </w:rPr>
              <w:t>0.00</w:t>
            </w:r>
            <w:r>
              <w:rPr>
                <w:rFonts w:hint="eastAsia" w:ascii="宋体" w:hAnsi="宋体"/>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olor w:val="000000"/>
                <w:kern w:val="0"/>
                <w:sz w:val="18"/>
                <w:szCs w:val="18"/>
                <w:lang w:val="zh-CN" w:eastAsia="zh-CN" w:bidi="ar-SA"/>
              </w:rPr>
            </w:pPr>
            <w:r>
              <w:rPr>
                <w:rFonts w:ascii="宋体" w:hAnsi="宋体"/>
                <w:color w:val="000000"/>
                <w:kern w:val="0"/>
                <w:sz w:val="18"/>
                <w:szCs w:val="18"/>
              </w:rPr>
              <w:t>Ta</w:t>
            </w:r>
            <w:r>
              <w:rPr>
                <w:rFonts w:hint="eastAsia" w:ascii="宋体" w:hAnsi="宋体"/>
                <w:color w:val="000000"/>
                <w:kern w:val="0"/>
                <w:sz w:val="18"/>
                <w:szCs w:val="18"/>
              </w:rPr>
              <w:t>+</w:t>
            </w:r>
            <w:r>
              <w:rPr>
                <w:rFonts w:ascii="宋体" w:hAnsi="宋体"/>
                <w:color w:val="000000"/>
                <w:kern w:val="0"/>
                <w:sz w:val="18"/>
                <w:szCs w:val="18"/>
              </w:rPr>
              <w:t xml:space="preserve"> Nb</w:t>
            </w:r>
            <w:r>
              <w:rPr>
                <w:rFonts w:hint="eastAsia" w:ascii="宋体" w:hAnsi="宋体"/>
                <w:color w:val="000000"/>
                <w:kern w:val="0"/>
                <w:sz w:val="18"/>
                <w:szCs w:val="18"/>
              </w:rPr>
              <w:t xml:space="preserve"> +</w:t>
            </w:r>
            <w:r>
              <w:rPr>
                <w:rFonts w:ascii="宋体" w:hAnsi="宋体"/>
                <w:color w:val="000000"/>
                <w:kern w:val="0"/>
                <w:sz w:val="18"/>
                <w:szCs w:val="18"/>
              </w:rPr>
              <w:t xml:space="preserve"> Mo</w:t>
            </w:r>
            <w:r>
              <w:rPr>
                <w:rFonts w:hint="eastAsia" w:ascii="宋体" w:hAnsi="宋体"/>
                <w:color w:val="000000"/>
                <w:kern w:val="0"/>
                <w:sz w:val="18"/>
                <w:szCs w:val="18"/>
              </w:rPr>
              <w:t xml:space="preserve"> +</w:t>
            </w:r>
            <w:r>
              <w:rPr>
                <w:rFonts w:ascii="宋体" w:hAnsi="宋体"/>
                <w:color w:val="000000"/>
                <w:kern w:val="0"/>
                <w:sz w:val="18"/>
                <w:szCs w:val="18"/>
              </w:rPr>
              <w:t xml:space="preserve"> W</w:t>
            </w:r>
            <w:r>
              <w:rPr>
                <w:rFonts w:hint="eastAsia" w:ascii="宋体" w:hAnsi="宋体"/>
                <w:color w:val="000000"/>
                <w:kern w:val="0"/>
                <w:sz w:val="18"/>
                <w:szCs w:val="18"/>
              </w:rPr>
              <w:t>合量</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color w:val="000000"/>
                <w:kern w:val="0"/>
                <w:sz w:val="18"/>
                <w:szCs w:val="18"/>
                <w:lang w:val="en-US" w:eastAsia="zh-CN" w:bidi="ar-SA"/>
              </w:rPr>
            </w:pPr>
            <w:r>
              <w:rPr>
                <w:rFonts w:ascii="宋体" w:hAnsi="宋体"/>
                <w:color w:val="000000"/>
                <w:kern w:val="0"/>
                <w:sz w:val="18"/>
                <w:szCs w:val="18"/>
              </w:rPr>
              <w:t>0.0005</w:t>
            </w:r>
          </w:p>
        </w:tc>
        <w:tc>
          <w:tcPr>
            <w:tcW w:w="87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color w:val="000000"/>
                <w:kern w:val="0"/>
                <w:sz w:val="18"/>
                <w:szCs w:val="18"/>
              </w:rPr>
              <w:t>0.00</w:t>
            </w:r>
            <w:r>
              <w:rPr>
                <w:rFonts w:hint="eastAsia" w:ascii="宋体" w:hAnsi="宋体"/>
                <w:color w:val="000000"/>
                <w:kern w:val="0"/>
                <w:sz w:val="18"/>
                <w:szCs w:val="18"/>
                <w:lang w:val="en-US" w:eastAsia="zh-CN"/>
              </w:rPr>
              <w:t>1</w:t>
            </w:r>
          </w:p>
        </w:tc>
        <w:tc>
          <w:tcPr>
            <w:tcW w:w="999" w:type="pct"/>
            <w:tcBorders>
              <w:top w:val="single" w:color="auto" w:sz="6" w:space="0"/>
              <w:bottom w:val="single" w:color="auto" w:sz="6"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bidi="ar-SA"/>
              </w:rPr>
            </w:pPr>
            <w:r>
              <w:rPr>
                <w:rFonts w:ascii="宋体" w:hAnsi="宋体"/>
                <w:color w:val="000000"/>
                <w:kern w:val="0"/>
                <w:sz w:val="18"/>
                <w:szCs w:val="18"/>
              </w:rPr>
              <w:t>0.0</w:t>
            </w:r>
            <w:r>
              <w:rPr>
                <w:rFonts w:hint="eastAsia" w:ascii="宋体" w:hAnsi="宋体"/>
                <w:color w:val="000000"/>
                <w:kern w:val="0"/>
                <w:sz w:val="18"/>
                <w:szCs w:val="18"/>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C</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rPr>
            </w:pPr>
            <w:r>
              <w:rPr>
                <w:rFonts w:ascii="宋体" w:hAnsi="宋体"/>
                <w:color w:val="000000"/>
                <w:kern w:val="0"/>
                <w:sz w:val="18"/>
                <w:szCs w:val="18"/>
              </w:rPr>
              <w:t>0.0</w:t>
            </w:r>
            <w:r>
              <w:rPr>
                <w:rFonts w:hint="eastAsia" w:ascii="宋体" w:hAnsi="宋体"/>
                <w:color w:val="000000"/>
                <w:kern w:val="0"/>
                <w:sz w:val="18"/>
                <w:szCs w:val="18"/>
                <w:lang w:val="en-US" w:eastAsia="zh-CN"/>
              </w:rPr>
              <w:t>02</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color w:val="000000"/>
                <w:kern w:val="0"/>
                <w:sz w:val="18"/>
                <w:szCs w:val="18"/>
                <w:lang w:val="en-US"/>
              </w:rPr>
            </w:pPr>
            <w:r>
              <w:rPr>
                <w:rFonts w:ascii="宋体" w:hAnsi="宋体"/>
                <w:sz w:val="18"/>
                <w:szCs w:val="18"/>
              </w:rPr>
              <w:t>0.0</w:t>
            </w:r>
            <w:r>
              <w:rPr>
                <w:rFonts w:hint="eastAsia" w:ascii="宋体" w:hAnsi="宋体"/>
                <w:sz w:val="18"/>
                <w:szCs w:val="18"/>
                <w:lang w:val="en-US" w:eastAsia="zh-CN"/>
              </w:rPr>
              <w:t>05</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rPr>
            </w:pPr>
            <w:r>
              <w:rPr>
                <w:rFonts w:ascii="宋体" w:hAnsi="宋体"/>
                <w:sz w:val="18"/>
                <w:szCs w:val="18"/>
              </w:rPr>
              <w:t>0.0</w:t>
            </w:r>
            <w:r>
              <w:rPr>
                <w:rFonts w:hint="eastAsia" w:ascii="宋体" w:hAnsi="宋体"/>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O</w:t>
            </w:r>
          </w:p>
        </w:tc>
        <w:tc>
          <w:tcPr>
            <w:tcW w:w="879" w:type="pct"/>
            <w:tcBorders>
              <w:top w:val="single" w:color="auto" w:sz="6" w:space="0"/>
              <w:bottom w:val="single" w:color="auto" w:sz="6"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eastAsia="zh-CN"/>
              </w:rPr>
            </w:pPr>
            <w:r>
              <w:rPr>
                <w:rFonts w:hint="eastAsia" w:ascii="宋体" w:hAnsi="宋体"/>
                <w:color w:val="000000"/>
                <w:kern w:val="0"/>
                <w:sz w:val="18"/>
                <w:szCs w:val="18"/>
              </w:rPr>
              <w:t>0</w:t>
            </w:r>
            <w:r>
              <w:rPr>
                <w:rFonts w:ascii="宋体" w:hAnsi="宋体"/>
                <w:color w:val="000000"/>
                <w:kern w:val="0"/>
                <w:sz w:val="18"/>
                <w:szCs w:val="18"/>
              </w:rPr>
              <w:t>.0</w:t>
            </w:r>
            <w:r>
              <w:rPr>
                <w:rFonts w:hint="eastAsia" w:ascii="宋体" w:hAnsi="宋体"/>
                <w:color w:val="000000"/>
                <w:kern w:val="0"/>
                <w:sz w:val="18"/>
                <w:szCs w:val="18"/>
                <w:lang w:val="en-US" w:eastAsia="zh-CN"/>
              </w:rPr>
              <w:t>2</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kern w:val="0"/>
                <w:sz w:val="18"/>
                <w:szCs w:val="18"/>
                <w:lang w:val="en-US" w:eastAsia="zh-CN"/>
              </w:rPr>
            </w:pPr>
            <w:r>
              <w:rPr>
                <w:rFonts w:ascii="宋体" w:hAnsi="宋体"/>
                <w:sz w:val="18"/>
                <w:szCs w:val="18"/>
              </w:rPr>
              <w:t>0.</w:t>
            </w:r>
            <w:r>
              <w:rPr>
                <w:rFonts w:hint="eastAsia" w:ascii="宋体" w:hAnsi="宋体"/>
                <w:sz w:val="18"/>
                <w:szCs w:val="18"/>
                <w:lang w:val="en-US" w:eastAsia="zh-CN"/>
              </w:rPr>
              <w:t>05</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hint="eastAsia" w:ascii="宋体" w:hAnsi="宋体"/>
                <w:sz w:val="18"/>
                <w:szCs w:val="18"/>
              </w:rPr>
              <w:t>0.</w:t>
            </w:r>
            <w:r>
              <w:rPr>
                <w:rFonts w:ascii="宋体"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N</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eastAsia="zh-CN"/>
              </w:rPr>
            </w:pPr>
            <w:r>
              <w:rPr>
                <w:rFonts w:ascii="宋体" w:hAnsi="宋体"/>
                <w:sz w:val="18"/>
                <w:szCs w:val="18"/>
              </w:rPr>
              <w:t>0.00</w:t>
            </w:r>
            <w:r>
              <w:rPr>
                <w:rFonts w:hint="eastAsia" w:ascii="宋体" w:hAnsi="宋体"/>
                <w:sz w:val="18"/>
                <w:szCs w:val="18"/>
                <w:lang w:val="en-US" w:eastAsia="zh-CN"/>
              </w:rPr>
              <w:t>5</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eastAsia="zh-CN"/>
              </w:rPr>
            </w:pPr>
            <w:r>
              <w:rPr>
                <w:rFonts w:ascii="宋体" w:hAnsi="宋体"/>
                <w:sz w:val="18"/>
                <w:szCs w:val="18"/>
              </w:rPr>
              <w:t>0.0</w:t>
            </w:r>
            <w:r>
              <w:rPr>
                <w:rFonts w:hint="eastAsia" w:ascii="宋体" w:hAnsi="宋体"/>
                <w:sz w:val="18"/>
                <w:szCs w:val="18"/>
                <w:lang w:val="en-US" w:eastAsia="zh-CN"/>
              </w:rPr>
              <w:t>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eastAsia="zh-CN"/>
              </w:rPr>
            </w:pPr>
            <w:r>
              <w:rPr>
                <w:rFonts w:ascii="宋体" w:hAnsi="宋体"/>
                <w:sz w:val="18"/>
                <w:szCs w:val="18"/>
              </w:rPr>
              <w:t>0.0</w:t>
            </w:r>
            <w:r>
              <w:rPr>
                <w:rFonts w:hint="eastAsia" w:ascii="宋体" w:hAnsi="宋体"/>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541"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328" w:type="pct"/>
            <w:vMerge w:val="continue"/>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p>
        </w:tc>
        <w:tc>
          <w:tcPr>
            <w:tcW w:w="919" w:type="pct"/>
            <w:tcBorders>
              <w:top w:val="single" w:color="auto" w:sz="6" w:space="0"/>
              <w:bottom w:val="single" w:color="auto" w:sz="6"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S</w:t>
            </w:r>
          </w:p>
        </w:tc>
        <w:tc>
          <w:tcPr>
            <w:tcW w:w="879" w:type="pct"/>
            <w:tcBorders>
              <w:top w:val="single" w:color="auto" w:sz="6" w:space="0"/>
              <w:bottom w:val="single" w:color="auto" w:sz="6" w:space="0"/>
            </w:tcBorders>
            <w:noWrap/>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宋体" w:hAnsi="宋体" w:eastAsia="宋体"/>
                <w:color w:val="000000"/>
                <w:sz w:val="18"/>
                <w:szCs w:val="18"/>
                <w:lang w:val="en-US" w:eastAsia="zh-CN"/>
              </w:rPr>
            </w:pPr>
            <w:r>
              <w:rPr>
                <w:rFonts w:ascii="宋体" w:hAnsi="宋体"/>
                <w:sz w:val="18"/>
                <w:szCs w:val="18"/>
              </w:rPr>
              <w:t>0.00</w:t>
            </w:r>
            <w:r>
              <w:rPr>
                <w:rFonts w:hint="eastAsia" w:ascii="宋体" w:hAnsi="宋体"/>
                <w:sz w:val="18"/>
                <w:szCs w:val="18"/>
                <w:lang w:val="en-US" w:eastAsia="zh-CN"/>
              </w:rPr>
              <w:t>1</w:t>
            </w:r>
          </w:p>
        </w:tc>
        <w:tc>
          <w:tcPr>
            <w:tcW w:w="879" w:type="pct"/>
            <w:tcBorders>
              <w:top w:val="single" w:color="auto" w:sz="6" w:space="0"/>
              <w:bottom w:val="single" w:color="auto" w:sz="6"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rPr>
            </w:pPr>
            <w:r>
              <w:rPr>
                <w:rFonts w:ascii="宋体" w:hAnsi="宋体"/>
                <w:sz w:val="18"/>
                <w:szCs w:val="18"/>
              </w:rPr>
              <w:t>0.00</w:t>
            </w:r>
            <w:r>
              <w:rPr>
                <w:rFonts w:hint="eastAsia" w:ascii="宋体" w:hAnsi="宋体"/>
                <w:sz w:val="18"/>
                <w:szCs w:val="18"/>
                <w:lang w:val="en-US" w:eastAsia="zh-CN"/>
              </w:rPr>
              <w:t>1</w:t>
            </w:r>
          </w:p>
        </w:tc>
        <w:tc>
          <w:tcPr>
            <w:tcW w:w="999" w:type="pct"/>
            <w:tcBorders>
              <w:top w:val="single" w:color="auto" w:sz="6" w:space="0"/>
              <w:bottom w:val="single" w:color="auto" w:sz="6" w:space="0"/>
              <w:right w:val="single" w:color="auto" w:sz="18" w:space="0"/>
            </w:tcBorders>
            <w:noWrap w:val="0"/>
            <w:vAlign w:val="top"/>
          </w:tcPr>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宋体" w:hAnsi="宋体" w:eastAsia="宋体"/>
                <w:color w:val="000000"/>
                <w:kern w:val="0"/>
                <w:sz w:val="18"/>
                <w:szCs w:val="18"/>
                <w:lang w:val="en-US" w:eastAsia="zh-CN"/>
              </w:rPr>
            </w:pPr>
            <w:r>
              <w:rPr>
                <w:rFonts w:ascii="宋体" w:hAnsi="宋体"/>
                <w:sz w:val="18"/>
                <w:szCs w:val="18"/>
              </w:rPr>
              <w:t>0.00</w:t>
            </w:r>
            <w:r>
              <w:rPr>
                <w:rFonts w:hint="eastAsia" w:ascii="宋体" w:hAnsi="宋体"/>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53" w:type="pct"/>
            <w:vMerge w:val="continue"/>
            <w:tcBorders>
              <w:top w:val="single" w:color="auto" w:sz="6" w:space="0"/>
              <w:left w:val="single" w:color="auto" w:sz="18" w:space="0"/>
              <w:bottom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olor w:val="000000"/>
                <w:kern w:val="0"/>
                <w:sz w:val="18"/>
                <w:szCs w:val="18"/>
              </w:rPr>
            </w:pPr>
          </w:p>
        </w:tc>
        <w:tc>
          <w:tcPr>
            <w:tcW w:w="1789" w:type="pct"/>
            <w:gridSpan w:val="3"/>
            <w:tcBorders>
              <w:top w:val="single" w:color="auto" w:sz="6" w:space="0"/>
              <w:bottom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kern w:val="0"/>
                <w:sz w:val="18"/>
                <w:szCs w:val="18"/>
              </w:rPr>
              <w:t>杂质合量，不大于</w:t>
            </w:r>
          </w:p>
        </w:tc>
        <w:tc>
          <w:tcPr>
            <w:tcW w:w="879" w:type="pct"/>
            <w:tcBorders>
              <w:top w:val="single" w:color="auto" w:sz="6" w:space="0"/>
              <w:bottom w:val="single" w:color="auto" w:sz="18" w:space="0"/>
            </w:tcBorders>
            <w:noWrap/>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sz w:val="18"/>
                <w:szCs w:val="18"/>
              </w:rPr>
              <w:t>0.01</w:t>
            </w:r>
          </w:p>
        </w:tc>
        <w:tc>
          <w:tcPr>
            <w:tcW w:w="879" w:type="pct"/>
            <w:tcBorders>
              <w:top w:val="single" w:color="auto" w:sz="6" w:space="0"/>
              <w:bottom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color w:val="000000"/>
                <w:sz w:val="18"/>
                <w:szCs w:val="18"/>
              </w:rPr>
              <w:t>0.05</w:t>
            </w:r>
          </w:p>
        </w:tc>
        <w:tc>
          <w:tcPr>
            <w:tcW w:w="999" w:type="pct"/>
            <w:tcBorders>
              <w:top w:val="single" w:color="auto" w:sz="6" w:space="0"/>
              <w:bottom w:val="single" w:color="auto" w:sz="18"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jc w:val="center"/>
              <w:textAlignment w:val="auto"/>
              <w:rPr>
                <w:rFonts w:ascii="宋体" w:hAnsi="宋体"/>
                <w:color w:val="000000"/>
                <w:kern w:val="0"/>
                <w:sz w:val="18"/>
                <w:szCs w:val="18"/>
              </w:rPr>
            </w:pPr>
            <w:r>
              <w:rPr>
                <w:rFonts w:ascii="宋体" w:hAnsi="宋体"/>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5000" w:type="pct"/>
            <w:gridSpan w:val="7"/>
            <w:tcBorders>
              <w:top w:val="single" w:color="auto" w:sz="18" w:space="0"/>
              <w:left w:val="single" w:color="auto" w:sz="18" w:space="0"/>
              <w:bottom w:val="single" w:color="auto" w:sz="18" w:space="0"/>
              <w:right w:val="single" w:color="auto" w:sz="18" w:space="0"/>
            </w:tcBorders>
            <w:noWrap w:val="0"/>
            <w:vAlign w:val="center"/>
          </w:tcPr>
          <w:p>
            <w:pPr>
              <w:keepNext w:val="0"/>
              <w:keepLines w:val="0"/>
              <w:pageBreakBefore w:val="0"/>
              <w:widowControl/>
              <w:kinsoku/>
              <w:wordWrap/>
              <w:overflowPunct/>
              <w:topLinePunct w:val="0"/>
              <w:bidi w:val="0"/>
              <w:adjustRightInd w:val="0"/>
              <w:snapToGrid w:val="0"/>
              <w:spacing w:line="360" w:lineRule="auto"/>
              <w:ind w:left="210" w:leftChars="100" w:firstLine="180" w:firstLineChars="100"/>
              <w:jc w:val="left"/>
              <w:textAlignment w:val="auto"/>
              <w:rPr>
                <w:rFonts w:ascii="宋体" w:hAnsi="宋体"/>
                <w:sz w:val="18"/>
                <w:szCs w:val="18"/>
              </w:rPr>
            </w:pPr>
            <w:r>
              <w:rPr>
                <w:rFonts w:hint="eastAsia" w:ascii="宋体" w:hAnsi="宋体"/>
                <w:kern w:val="0"/>
                <w:sz w:val="18"/>
                <w:szCs w:val="18"/>
              </w:rPr>
              <w:t>注：杂质含量为表中所列杂质元素实测值总和</w:t>
            </w:r>
            <w:r>
              <w:rPr>
                <w:rFonts w:hint="eastAsia" w:ascii="宋体" w:hAnsi="宋体"/>
                <w:kern w:val="0"/>
                <w:sz w:val="18"/>
                <w:szCs w:val="18"/>
                <w:lang w:eastAsia="zh-CN"/>
              </w:rPr>
              <w:t>（</w:t>
            </w:r>
            <w:r>
              <w:rPr>
                <w:rFonts w:hint="eastAsia" w:ascii="宋体" w:hAnsi="宋体"/>
                <w:kern w:val="0"/>
                <w:sz w:val="18"/>
                <w:szCs w:val="18"/>
              </w:rPr>
              <w:t>不包含C、</w:t>
            </w:r>
            <w:r>
              <w:rPr>
                <w:rFonts w:hint="eastAsia" w:ascii="宋体" w:hAnsi="宋体"/>
                <w:kern w:val="0"/>
                <w:sz w:val="18"/>
                <w:szCs w:val="18"/>
                <w:lang w:val="en-US" w:eastAsia="zh-CN"/>
              </w:rPr>
              <w:t>O</w:t>
            </w:r>
            <w:r>
              <w:rPr>
                <w:rFonts w:hint="eastAsia" w:ascii="宋体" w:hAnsi="宋体"/>
                <w:kern w:val="0"/>
                <w:sz w:val="18"/>
                <w:szCs w:val="18"/>
              </w:rPr>
              <w:t>、</w:t>
            </w:r>
            <w:r>
              <w:rPr>
                <w:rFonts w:hint="eastAsia" w:ascii="宋体" w:hAnsi="宋体"/>
                <w:kern w:val="0"/>
                <w:sz w:val="18"/>
                <w:szCs w:val="18"/>
                <w:lang w:val="en-US" w:eastAsia="zh-CN"/>
              </w:rPr>
              <w:t>N</w:t>
            </w:r>
            <w:r>
              <w:rPr>
                <w:rFonts w:hint="eastAsia" w:ascii="宋体" w:hAnsi="宋体"/>
                <w:kern w:val="0"/>
                <w:sz w:val="18"/>
                <w:szCs w:val="18"/>
              </w:rPr>
              <w:t>、S气体元素</w:t>
            </w:r>
            <w:r>
              <w:rPr>
                <w:rFonts w:hint="eastAsia" w:ascii="宋体" w:hAnsi="宋体"/>
                <w:kern w:val="0"/>
                <w:sz w:val="18"/>
                <w:szCs w:val="18"/>
                <w:lang w:eastAsia="zh-CN"/>
              </w:rPr>
              <w:t>）</w:t>
            </w:r>
          </w:p>
        </w:tc>
      </w:tr>
    </w:tbl>
    <w:p>
      <w:pPr>
        <w:keepNext w:val="0"/>
        <w:keepLines w:val="0"/>
        <w:pageBreakBefore w:val="0"/>
        <w:kinsoku/>
        <w:wordWrap/>
        <w:overflowPunct/>
        <w:topLinePunct w:val="0"/>
        <w:bidi w:val="0"/>
        <w:adjustRightInd w:val="0"/>
        <w:snapToGrid w:val="0"/>
        <w:spacing w:line="360" w:lineRule="auto"/>
        <w:textAlignment w:val="auto"/>
        <w:rPr>
          <w:rFonts w:hint="default" w:ascii="黑体" w:hAnsi="宋体" w:eastAsia="黑体"/>
          <w:bCs/>
          <w:sz w:val="24"/>
          <w:lang w:val="en-US" w:eastAsia="zh-CN"/>
        </w:rPr>
      </w:pP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Theme="minorEastAsia" w:hAnsiTheme="minorEastAsia" w:eastAsiaTheme="minorEastAsia"/>
          <w:szCs w:val="21"/>
          <w:highlight w:val="yellow"/>
        </w:rPr>
      </w:pPr>
      <w:r>
        <w:rPr>
          <w:rFonts w:hint="eastAsia" w:asciiTheme="minorEastAsia" w:hAnsiTheme="minorEastAsia" w:eastAsiaTheme="minorEastAsia"/>
          <w:szCs w:val="21"/>
        </w:rPr>
        <w:t>规定</w:t>
      </w:r>
      <w:bookmarkStart w:id="2" w:name="_Hlk109283738"/>
      <w:r>
        <w:rPr>
          <w:rFonts w:hint="eastAsia" w:asciiTheme="minorEastAsia" w:hAnsiTheme="minorEastAsia" w:eastAsiaTheme="minorEastAsia"/>
          <w:szCs w:val="21"/>
          <w:lang w:eastAsia="zh-CN"/>
        </w:rPr>
        <w:t>高纯金属镱靶材</w:t>
      </w:r>
      <w:r>
        <w:rPr>
          <w:rFonts w:hint="eastAsia" w:asciiTheme="minorEastAsia" w:hAnsiTheme="minorEastAsia" w:eastAsiaTheme="minorEastAsia"/>
          <w:szCs w:val="21"/>
        </w:rPr>
        <w:t>致密度、平均晶粒尺寸、表面粗糙度等主要性能指标</w:t>
      </w:r>
      <w:bookmarkEnd w:id="2"/>
      <w:r>
        <w:rPr>
          <w:rFonts w:hint="eastAsia" w:asciiTheme="minorEastAsia" w:hAnsiTheme="minorEastAsia" w:eastAsiaTheme="minorEastAsia"/>
          <w:szCs w:val="21"/>
        </w:rPr>
        <w:t>。</w:t>
      </w:r>
    </w:p>
    <w:p>
      <w:pPr>
        <w:keepNext w:val="0"/>
        <w:keepLines w:val="0"/>
        <w:pageBreakBefore w:val="0"/>
        <w:kinsoku/>
        <w:wordWrap/>
        <w:overflowPunct/>
        <w:topLinePunct w:val="0"/>
        <w:bidi w:val="0"/>
        <w:adjustRightInd w:val="0"/>
        <w:snapToGrid w:val="0"/>
        <w:spacing w:line="360" w:lineRule="auto"/>
        <w:jc w:val="center"/>
        <w:textAlignment w:val="auto"/>
        <w:rPr>
          <w:sz w:val="18"/>
          <w:szCs w:val="18"/>
        </w:rPr>
      </w:pPr>
      <w:r>
        <w:rPr>
          <w:rFonts w:hint="eastAsia"/>
          <w:sz w:val="18"/>
          <w:szCs w:val="18"/>
        </w:rPr>
        <w:t>表</w:t>
      </w:r>
      <w:r>
        <w:rPr>
          <w:sz w:val="18"/>
          <w:szCs w:val="18"/>
        </w:rPr>
        <w:t>2</w:t>
      </w:r>
      <w:r>
        <w:rPr>
          <w:rFonts w:hint="eastAsia"/>
          <w:sz w:val="18"/>
          <w:szCs w:val="18"/>
          <w:lang w:eastAsia="zh-CN"/>
        </w:rPr>
        <w:t>高纯金属镱靶材</w:t>
      </w:r>
      <w:r>
        <w:rPr>
          <w:rFonts w:hint="eastAsia"/>
          <w:sz w:val="18"/>
          <w:szCs w:val="18"/>
        </w:rPr>
        <w:t>主要性能指标</w:t>
      </w:r>
    </w:p>
    <w:tbl>
      <w:tblPr>
        <w:tblStyle w:val="5"/>
        <w:tblW w:w="4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4"/>
        <w:gridCol w:w="3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指标名称</w:t>
            </w:r>
          </w:p>
        </w:tc>
        <w:tc>
          <w:tcPr>
            <w:tcW w:w="2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致密度</w:t>
            </w:r>
          </w:p>
        </w:tc>
        <w:tc>
          <w:tcPr>
            <w:tcW w:w="2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w:t>
            </w:r>
            <w:r>
              <w:rPr>
                <w:sz w:val="18"/>
                <w:szCs w:val="18"/>
              </w:rPr>
              <w:t>9</w:t>
            </w:r>
            <w:r>
              <w:rPr>
                <w:rFonts w:hint="eastAsia"/>
                <w:sz w:val="18"/>
                <w:szCs w:val="18"/>
                <w:lang w:val="en-US" w:eastAsia="zh-CN"/>
              </w:rPr>
              <w:t>7</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平均晶粒尺寸</w:t>
            </w:r>
          </w:p>
        </w:tc>
        <w:tc>
          <w:tcPr>
            <w:tcW w:w="2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w:t>
            </w:r>
            <w:r>
              <w:rPr>
                <w:rFonts w:hint="eastAsia"/>
                <w:sz w:val="18"/>
                <w:szCs w:val="18"/>
                <w:lang w:val="en-US" w:eastAsia="zh-CN"/>
              </w:rPr>
              <w:t>200</w:t>
            </w:r>
            <w:r>
              <w:rPr>
                <w:rFonts w:hint="eastAsia"/>
                <w:sz w:val="18"/>
                <w:szCs w:val="18"/>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表面粗糙度</w:t>
            </w:r>
          </w:p>
        </w:tc>
        <w:tc>
          <w:tcPr>
            <w:tcW w:w="223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sz w:val="18"/>
                <w:szCs w:val="18"/>
              </w:rPr>
            </w:pPr>
            <w:r>
              <w:rPr>
                <w:rFonts w:hint="eastAsia"/>
                <w:sz w:val="18"/>
                <w:szCs w:val="18"/>
              </w:rPr>
              <w:t>≤</w:t>
            </w:r>
            <w:r>
              <w:rPr>
                <w:rFonts w:hint="eastAsia"/>
                <w:sz w:val="18"/>
                <w:szCs w:val="18"/>
                <w:lang w:val="en-US" w:eastAsia="zh-CN"/>
              </w:rPr>
              <w:t>1.6</w:t>
            </w:r>
            <w:r>
              <w:rPr>
                <w:rFonts w:hint="eastAsia"/>
                <w:sz w:val="18"/>
                <w:szCs w:val="18"/>
              </w:rPr>
              <w:t>μm</w:t>
            </w:r>
          </w:p>
        </w:tc>
      </w:tr>
    </w:tbl>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明确</w:t>
      </w:r>
      <w:r>
        <w:rPr>
          <w:rFonts w:hint="eastAsia" w:asciiTheme="minorEastAsia" w:hAnsiTheme="minorEastAsia" w:eastAsiaTheme="minorEastAsia"/>
          <w:szCs w:val="21"/>
          <w:lang w:eastAsia="zh-CN"/>
        </w:rPr>
        <w:t>高纯金属镱靶材</w:t>
      </w:r>
      <w:r>
        <w:rPr>
          <w:rFonts w:hint="eastAsia" w:asciiTheme="minorEastAsia" w:hAnsiTheme="minorEastAsia" w:eastAsiaTheme="minorEastAsia"/>
          <w:szCs w:val="21"/>
        </w:rPr>
        <w:t>内部质量、外观质量、几何尺寸和公差等要求。</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规定</w:t>
      </w:r>
      <w:r>
        <w:rPr>
          <w:rFonts w:hint="eastAsia" w:asciiTheme="minorEastAsia" w:hAnsiTheme="minorEastAsia" w:eastAsiaTheme="minorEastAsia"/>
          <w:szCs w:val="21"/>
          <w:lang w:eastAsia="zh-CN"/>
        </w:rPr>
        <w:t>高纯金属镱靶材</w:t>
      </w:r>
      <w:r>
        <w:rPr>
          <w:rFonts w:hint="eastAsia" w:ascii="宋体" w:hAnsi="宋体"/>
          <w:szCs w:val="21"/>
        </w:rPr>
        <w:t>的化学成分、致密度、平均晶粒尺寸、内部质量、表面粗糙度、几何尺寸、公差及外观质量、焊接质量试验方法以及包装、运输要求</w:t>
      </w:r>
      <w:r>
        <w:rPr>
          <w:rFonts w:hint="eastAsia" w:asciiTheme="minorEastAsia" w:hAnsiTheme="minorEastAsia" w:eastAsiaTheme="minorEastAsia"/>
          <w:szCs w:val="21"/>
        </w:rPr>
        <w:t>。</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明确</w:t>
      </w:r>
      <w:r>
        <w:rPr>
          <w:rFonts w:hint="eastAsia" w:asciiTheme="minorEastAsia" w:hAnsiTheme="minorEastAsia" w:eastAsiaTheme="minorEastAsia"/>
          <w:szCs w:val="21"/>
          <w:lang w:eastAsia="zh-CN"/>
        </w:rPr>
        <w:t>高纯金属镱靶材</w:t>
      </w:r>
      <w:r>
        <w:rPr>
          <w:rFonts w:hint="eastAsia" w:asciiTheme="minorEastAsia" w:hAnsiTheme="minorEastAsia" w:eastAsiaTheme="minorEastAsia"/>
          <w:szCs w:val="21"/>
        </w:rPr>
        <w:t>检测项目、取样及数量。</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三、试验验证的分析、综述报告，预期达到的社会效益</w:t>
      </w:r>
    </w:p>
    <w:p>
      <w:pPr>
        <w:keepNext w:val="0"/>
        <w:keepLines w:val="0"/>
        <w:pageBreakBefore w:val="0"/>
        <w:kinsoku/>
        <w:wordWrap/>
        <w:overflowPunct/>
        <w:topLinePunct w:val="0"/>
        <w:bidi w:val="0"/>
        <w:adjustRightInd w:val="0"/>
        <w:snapToGrid w:val="0"/>
        <w:spacing w:line="360" w:lineRule="auto"/>
        <w:ind w:firstLine="420" w:firstLineChars="200"/>
        <w:textAlignment w:val="auto"/>
        <w:rPr>
          <w:szCs w:val="21"/>
        </w:rPr>
      </w:pPr>
      <w:r>
        <w:rPr>
          <w:rFonts w:hint="eastAsia"/>
          <w:szCs w:val="21"/>
        </w:rPr>
        <w:t>本标准明确了</w:t>
      </w:r>
      <w:r>
        <w:rPr>
          <w:rFonts w:hint="eastAsia" w:asciiTheme="minorEastAsia" w:hAnsiTheme="minorEastAsia" w:eastAsiaTheme="minorEastAsia"/>
          <w:szCs w:val="21"/>
          <w:lang w:eastAsia="zh-CN"/>
        </w:rPr>
        <w:t>高纯金属镱靶材</w:t>
      </w:r>
      <w:r>
        <w:rPr>
          <w:rFonts w:hint="eastAsia"/>
          <w:szCs w:val="21"/>
        </w:rPr>
        <w:t>产品标准，有助于指导和规范我国高纯</w:t>
      </w:r>
      <w:r>
        <w:rPr>
          <w:rFonts w:hint="eastAsia"/>
          <w:szCs w:val="21"/>
          <w:lang w:eastAsia="zh-CN"/>
        </w:rPr>
        <w:t>镱</w:t>
      </w:r>
      <w:r>
        <w:rPr>
          <w:rFonts w:hint="eastAsia"/>
          <w:szCs w:val="21"/>
        </w:rPr>
        <w:t>靶产品的生产和销售，加速推动我国稀土靶材产业的快速健康发展，为我国半导体、显示等领域提供技术支撑，实现稀土的高质量发展；有助于完善我国关键战略型稀土材料标准体系建设，推动建设制造强国、质量强国。</w:t>
      </w:r>
    </w:p>
    <w:p>
      <w:pPr>
        <w:keepNext w:val="0"/>
        <w:keepLines w:val="0"/>
        <w:pageBreakBefore w:val="0"/>
        <w:kinsoku/>
        <w:wordWrap/>
        <w:overflowPunct/>
        <w:topLinePunct w:val="0"/>
        <w:bidi w:val="0"/>
        <w:adjustRightInd w:val="0"/>
        <w:snapToGrid w:val="0"/>
        <w:spacing w:line="360" w:lineRule="auto"/>
        <w:ind w:firstLine="420" w:firstLineChars="200"/>
        <w:textAlignment w:val="auto"/>
        <w:rPr>
          <w:szCs w:val="21"/>
        </w:rPr>
      </w:pPr>
      <w:r>
        <w:rPr>
          <w:rFonts w:hint="eastAsia"/>
          <w:szCs w:val="21"/>
        </w:rPr>
        <w:t>此外，本标准制定将会带来技术进步的竞争局面，对国内稀土靶材生产企业及相关行业的技术进步将产生积极的推动作用，对</w:t>
      </w:r>
      <w:r>
        <w:rPr>
          <w:rFonts w:hint="eastAsia" w:asciiTheme="minorEastAsia" w:hAnsiTheme="minorEastAsia" w:eastAsiaTheme="minorEastAsia"/>
          <w:szCs w:val="21"/>
          <w:lang w:eastAsia="zh-CN"/>
        </w:rPr>
        <w:t>高纯金属镱靶材</w:t>
      </w:r>
      <w:r>
        <w:rPr>
          <w:rFonts w:hint="eastAsia"/>
          <w:szCs w:val="21"/>
        </w:rPr>
        <w:t>产品的质量指标控制具有重要指导意义。另外，本标准制定还有利于规范我国</w:t>
      </w:r>
      <w:r>
        <w:rPr>
          <w:rFonts w:hint="eastAsia" w:asciiTheme="minorEastAsia" w:hAnsiTheme="minorEastAsia" w:eastAsiaTheme="minorEastAsia"/>
          <w:szCs w:val="21"/>
          <w:lang w:eastAsia="zh-CN"/>
        </w:rPr>
        <w:t>高纯金属镱靶材</w:t>
      </w:r>
      <w:r>
        <w:rPr>
          <w:rFonts w:hint="eastAsia"/>
          <w:szCs w:val="21"/>
        </w:rPr>
        <w:t>的生产和销售，建立良性市场竞争环境，促进我国稀土靶材档次和附加值的升级，增强国内稀土行业在全球的核心竞争力。</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四、与国际、国外同类标准技术内容的对比情况</w:t>
      </w:r>
    </w:p>
    <w:p>
      <w:pPr>
        <w:keepNext w:val="0"/>
        <w:keepLines w:val="0"/>
        <w:pageBreakBefore w:val="0"/>
        <w:kinsoku/>
        <w:wordWrap/>
        <w:overflowPunct/>
        <w:topLinePunct w:val="0"/>
        <w:bidi w:val="0"/>
        <w:adjustRightInd w:val="0"/>
        <w:snapToGrid w:val="0"/>
        <w:spacing w:line="360" w:lineRule="auto"/>
        <w:ind w:firstLine="420" w:firstLineChars="200"/>
        <w:textAlignment w:val="auto"/>
        <w:rPr>
          <w:szCs w:val="21"/>
        </w:rPr>
      </w:pPr>
      <w:r>
        <w:rPr>
          <w:rFonts w:hint="eastAsia"/>
          <w:szCs w:val="21"/>
        </w:rPr>
        <w:t>目前，国外还没有</w:t>
      </w:r>
      <w:r>
        <w:rPr>
          <w:rFonts w:hint="eastAsia" w:asciiTheme="minorEastAsia" w:hAnsiTheme="minorEastAsia" w:eastAsiaTheme="minorEastAsia"/>
          <w:szCs w:val="21"/>
          <w:lang w:eastAsia="zh-CN"/>
        </w:rPr>
        <w:t>高纯金属镱靶材</w:t>
      </w:r>
      <w:r>
        <w:rPr>
          <w:rFonts w:hint="eastAsia"/>
          <w:szCs w:val="21"/>
        </w:rPr>
        <w:t>相应标准。本标准是根据我国实际生产使用情况制定的，其整体内容达到国际先进水平。建议作为推荐性行业标准发布实施。</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五、采标情况，以及是否合规引用或采用国际国外标准</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Ansi="宋体"/>
        </w:rPr>
      </w:pPr>
      <w:r>
        <w:rPr>
          <w:rFonts w:hint="eastAsia" w:hAnsi="宋体"/>
        </w:rPr>
        <w:t>经查</w:t>
      </w:r>
      <w:r>
        <w:rPr>
          <w:rFonts w:hAnsi="宋体"/>
        </w:rPr>
        <w:t>，</w:t>
      </w:r>
      <w:r>
        <w:rPr>
          <w:rFonts w:hint="eastAsia" w:hAnsi="宋体"/>
        </w:rPr>
        <w:t>本标准的制订与现有的标准及制订中的标准协调配套，无重复交叉现象。</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六、与有关法律、法规的关系</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Ansi="宋体"/>
        </w:rPr>
      </w:pPr>
      <w:r>
        <w:rPr>
          <w:rFonts w:hint="eastAsia"/>
          <w:szCs w:val="21"/>
        </w:rPr>
        <w:t>本标准本文件按照GB/T 1.1-2020《标准化工作导则 第1部分：标准化文件的结构和起草规则》的规定起草。</w:t>
      </w:r>
      <w:r>
        <w:rPr>
          <w:rFonts w:hint="eastAsia" w:hAnsi="宋体"/>
        </w:rPr>
        <w:t>本标准与现行法律、法规和相关标准相协调、无冲突。</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七、重大分歧意见的处理经过和依据</w:t>
      </w:r>
    </w:p>
    <w:p>
      <w:pPr>
        <w:keepNext w:val="0"/>
        <w:keepLines w:val="0"/>
        <w:pageBreakBefore w:val="0"/>
        <w:kinsoku/>
        <w:wordWrap/>
        <w:overflowPunct/>
        <w:topLinePunct w:val="0"/>
        <w:bidi w:val="0"/>
        <w:adjustRightInd w:val="0"/>
        <w:snapToGrid w:val="0"/>
        <w:spacing w:line="360" w:lineRule="auto"/>
        <w:ind w:firstLine="420" w:firstLineChars="200"/>
        <w:textAlignment w:val="auto"/>
        <w:rPr>
          <w:rFonts w:hAnsi="宋体"/>
        </w:rPr>
      </w:pPr>
      <w:r>
        <w:rPr>
          <w:rFonts w:hint="eastAsia" w:hAnsi="宋体"/>
        </w:rPr>
        <w:t>无重大分歧。</w:t>
      </w:r>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八、涉及专利的有关说明</w:t>
      </w:r>
    </w:p>
    <w:p>
      <w:pPr>
        <w:keepNext w:val="0"/>
        <w:keepLines w:val="0"/>
        <w:pageBreakBefore w:val="0"/>
        <w:kinsoku/>
        <w:wordWrap/>
        <w:overflowPunct/>
        <w:topLinePunct w:val="0"/>
        <w:bidi w:val="0"/>
        <w:adjustRightInd w:val="0"/>
        <w:snapToGrid w:val="0"/>
        <w:spacing w:line="360" w:lineRule="auto"/>
        <w:ind w:firstLine="482"/>
        <w:textAlignment w:val="auto"/>
        <w:rPr>
          <w:szCs w:val="21"/>
        </w:rPr>
      </w:pPr>
      <w:r>
        <w:rPr>
          <w:rFonts w:hint="eastAsia"/>
          <w:szCs w:val="21"/>
        </w:rPr>
        <w:t>本标准未涉及相关知识产权。</w:t>
      </w:r>
    </w:p>
    <w:p>
      <w:pPr>
        <w:keepNext w:val="0"/>
        <w:keepLines w:val="0"/>
        <w:pageBreakBefore w:val="0"/>
        <w:kinsoku/>
        <w:wordWrap/>
        <w:overflowPunct/>
        <w:topLinePunct w:val="0"/>
        <w:bidi w:val="0"/>
        <w:adjustRightInd w:val="0"/>
        <w:snapToGrid w:val="0"/>
        <w:spacing w:line="360" w:lineRule="auto"/>
        <w:textAlignment w:val="auto"/>
        <w:rPr>
          <w:rFonts w:hint="eastAsia" w:ascii="黑体" w:hAnsi="宋体" w:eastAsia="黑体"/>
          <w:bCs/>
          <w:sz w:val="24"/>
        </w:rPr>
      </w:pPr>
      <w:r>
        <w:rPr>
          <w:rFonts w:hint="eastAsia" w:ascii="黑体" w:hAnsi="宋体" w:eastAsia="黑体"/>
          <w:bCs/>
          <w:sz w:val="24"/>
        </w:rPr>
        <w:t>九、贯彻国家标准的要求，以及组织措施、技术措施、过渡期和实施日期的建议等措施建议</w:t>
      </w:r>
    </w:p>
    <w:p>
      <w:pPr>
        <w:pStyle w:val="9"/>
        <w:tabs>
          <w:tab w:val="center" w:pos="4201"/>
          <w:tab w:val="right" w:leader="dot" w:pos="9298"/>
        </w:tabs>
        <w:spacing w:line="312" w:lineRule="auto"/>
        <w:ind w:firstLine="420"/>
        <w:rPr>
          <w:rFonts w:hint="eastAsia" w:ascii="黑体" w:hAnsi="宋体" w:eastAsia="黑体"/>
          <w:bCs/>
          <w:sz w:val="24"/>
        </w:rPr>
      </w:pPr>
      <w:r>
        <w:rPr>
          <w:rFonts w:hint="eastAsia"/>
        </w:rPr>
        <w:t>无。</w:t>
      </w:r>
      <w:bookmarkStart w:id="3" w:name="_GoBack"/>
      <w:bookmarkEnd w:id="3"/>
    </w:p>
    <w:p>
      <w:pPr>
        <w:keepNext w:val="0"/>
        <w:keepLines w:val="0"/>
        <w:pageBreakBefore w:val="0"/>
        <w:kinsoku/>
        <w:wordWrap/>
        <w:overflowPunct/>
        <w:topLinePunct w:val="0"/>
        <w:bidi w:val="0"/>
        <w:adjustRightInd w:val="0"/>
        <w:snapToGrid w:val="0"/>
        <w:spacing w:line="360" w:lineRule="auto"/>
        <w:textAlignment w:val="auto"/>
        <w:rPr>
          <w:rFonts w:ascii="黑体" w:hAnsi="宋体" w:eastAsia="黑体"/>
          <w:bCs/>
          <w:sz w:val="24"/>
        </w:rPr>
      </w:pPr>
      <w:r>
        <w:rPr>
          <w:rFonts w:hint="eastAsia" w:ascii="黑体" w:hAnsi="宋体" w:eastAsia="黑体"/>
          <w:bCs/>
          <w:sz w:val="24"/>
        </w:rPr>
        <w:t>十、其他应当说明的事项</w:t>
      </w:r>
    </w:p>
    <w:p>
      <w:pPr>
        <w:pStyle w:val="9"/>
        <w:keepNext w:val="0"/>
        <w:keepLines w:val="0"/>
        <w:pageBreakBefore w:val="0"/>
        <w:tabs>
          <w:tab w:val="center" w:pos="4201"/>
          <w:tab w:val="right" w:leader="dot" w:pos="9298"/>
        </w:tabs>
        <w:kinsoku/>
        <w:wordWrap/>
        <w:overflowPunct/>
        <w:topLinePunct w:val="0"/>
        <w:bidi w:val="0"/>
        <w:adjustRightInd w:val="0"/>
        <w:snapToGrid w:val="0"/>
        <w:spacing w:line="360" w:lineRule="auto"/>
        <w:ind w:firstLine="420"/>
        <w:textAlignment w:val="auto"/>
      </w:pPr>
      <w:r>
        <w:rPr>
          <w:rFonts w:hint="eastAsia"/>
        </w:rPr>
        <w:t>无。</w:t>
      </w:r>
    </w:p>
    <w:p>
      <w:pPr>
        <w:keepNext w:val="0"/>
        <w:keepLines w:val="0"/>
        <w:pageBreakBefore w:val="0"/>
        <w:kinsoku/>
        <w:wordWrap/>
        <w:overflowPunct/>
        <w:topLinePunct w:val="0"/>
        <w:bidi w:val="0"/>
        <w:adjustRightInd w:val="0"/>
        <w:snapToGrid w:val="0"/>
        <w:spacing w:line="360" w:lineRule="auto"/>
        <w:textAlignment w:val="auto"/>
        <w:rPr>
          <w:rFonts w:ascii="黑体" w:eastAsia="黑体"/>
          <w:sz w:val="24"/>
        </w:rPr>
      </w:pPr>
    </w:p>
    <w:p>
      <w:pPr>
        <w:keepNext w:val="0"/>
        <w:keepLines w:val="0"/>
        <w:pageBreakBefore w:val="0"/>
        <w:kinsoku/>
        <w:wordWrap/>
        <w:overflowPunct/>
        <w:topLinePunct w:val="0"/>
        <w:bidi w:val="0"/>
        <w:adjustRightInd w:val="0"/>
        <w:snapToGrid w:val="0"/>
        <w:spacing w:line="360" w:lineRule="auto"/>
        <w:ind w:firstLine="480" w:firstLineChars="200"/>
        <w:jc w:val="center"/>
        <w:textAlignment w:val="auto"/>
        <w:rPr>
          <w:szCs w:val="21"/>
        </w:rPr>
      </w:pPr>
      <w:r>
        <w:rPr>
          <w:rFonts w:hint="eastAsia"/>
          <w:sz w:val="24"/>
        </w:rPr>
        <w:t xml:space="preserve"> </w:t>
      </w:r>
      <w:r>
        <w:rPr>
          <w:sz w:val="24"/>
        </w:rPr>
        <w:t xml:space="preserve">             </w:t>
      </w:r>
      <w:r>
        <w:rPr>
          <w:szCs w:val="21"/>
        </w:rPr>
        <w:t xml:space="preserve">             </w:t>
      </w:r>
      <w:r>
        <w:rPr>
          <w:rFonts w:hint="eastAsia"/>
          <w:szCs w:val="21"/>
          <w:lang w:val="en-US" w:eastAsia="zh-CN"/>
        </w:rPr>
        <w:t xml:space="preserve">             </w:t>
      </w:r>
      <w:r>
        <w:rPr>
          <w:rFonts w:hint="eastAsia"/>
        </w:rPr>
        <w:t>标准编制工作组</w:t>
      </w:r>
    </w:p>
    <w:p>
      <w:pPr>
        <w:pStyle w:val="10"/>
        <w:keepNext w:val="0"/>
        <w:keepLines w:val="0"/>
        <w:pageBreakBefore w:val="0"/>
        <w:kinsoku/>
        <w:wordWrap/>
        <w:overflowPunct/>
        <w:topLinePunct w:val="0"/>
        <w:bidi w:val="0"/>
        <w:adjustRightInd w:val="0"/>
        <w:snapToGrid w:val="0"/>
        <w:spacing w:before="0" w:line="360" w:lineRule="auto"/>
        <w:ind w:left="0" w:leftChars="0" w:firstLine="6510" w:firstLineChars="3100"/>
        <w:jc w:val="both"/>
        <w:textAlignment w:val="auto"/>
        <w:rPr>
          <w:sz w:val="21"/>
          <w:szCs w:val="21"/>
        </w:rPr>
      </w:pPr>
      <w:r>
        <w:rPr>
          <w:sz w:val="21"/>
          <w:szCs w:val="21"/>
        </w:rPr>
        <w:t>202</w:t>
      </w:r>
      <w:r>
        <w:rPr>
          <w:rFonts w:hint="eastAsia"/>
          <w:sz w:val="21"/>
          <w:szCs w:val="21"/>
          <w:lang w:val="en-US" w:eastAsia="zh-CN"/>
        </w:rPr>
        <w:t>4</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5</w:t>
      </w:r>
      <w:r>
        <w:rPr>
          <w:rFonts w:hint="eastAsia"/>
          <w:sz w:val="21"/>
          <w:szCs w:val="21"/>
        </w:rPr>
        <w:t>日</w:t>
      </w:r>
    </w:p>
    <w:p>
      <w:pPr>
        <w:keepNext w:val="0"/>
        <w:keepLines w:val="0"/>
        <w:pageBreakBefore w:val="0"/>
        <w:kinsoku/>
        <w:wordWrap/>
        <w:overflowPunct/>
        <w:topLinePunct w:val="0"/>
        <w:bidi w:val="0"/>
        <w:adjustRightInd w:val="0"/>
        <w:snapToGrid w:val="0"/>
        <w:spacing w:line="360" w:lineRule="auto"/>
        <w:textAlignment w:val="auto"/>
      </w:pPr>
    </w:p>
    <w:sectPr>
      <w:footerReference r:id="rId3"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16B9D"/>
    <w:multiLevelType w:val="singleLevel"/>
    <w:tmpl w:val="B5616B9D"/>
    <w:lvl w:ilvl="0" w:tentative="0">
      <w:start w:val="1"/>
      <w:numFmt w:val="decimal"/>
      <w:suff w:val="nothing"/>
      <w:lvlText w:val="（%1）"/>
      <w:lvlJc w:val="left"/>
    </w:lvl>
  </w:abstractNum>
  <w:abstractNum w:abstractNumId="1">
    <w:nsid w:val="1B3A3746"/>
    <w:multiLevelType w:val="multilevel"/>
    <w:tmpl w:val="1B3A374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YzdmY2UyMzMxMTg4MTRjNDY1YmZkM2ViYTI2NWYifQ=="/>
  </w:docVars>
  <w:rsids>
    <w:rsidRoot w:val="05FD5AB6"/>
    <w:rsid w:val="05FD5AB6"/>
    <w:rsid w:val="0DE85E53"/>
    <w:rsid w:val="10174381"/>
    <w:rsid w:val="2152133A"/>
    <w:rsid w:val="24973CD7"/>
    <w:rsid w:val="2C3F0EDD"/>
    <w:rsid w:val="39D52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章标题"/>
    <w:next w:val="1"/>
    <w:autoRedefine/>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styleId="8">
    <w:name w:val="List Paragraph"/>
    <w:basedOn w:val="1"/>
    <w:autoRedefine/>
    <w:qFormat/>
    <w:uiPriority w:val="99"/>
    <w:pPr>
      <w:ind w:firstLine="420" w:firstLineChars="200"/>
    </w:pPr>
  </w:style>
  <w:style w:type="paragraph" w:customStyle="1" w:styleId="9">
    <w:name w:val="段"/>
    <w:autoRedefine/>
    <w:qFormat/>
    <w:uiPriority w:val="0"/>
    <w:pPr>
      <w:autoSpaceDE w:val="0"/>
      <w:autoSpaceDN w:val="0"/>
      <w:ind w:firstLine="200" w:firstLineChars="200"/>
      <w:jc w:val="both"/>
    </w:pPr>
    <w:rPr>
      <w:rFonts w:ascii="宋体" w:hAnsi="宋体" w:eastAsia="宋体" w:cs="Times New Roman"/>
      <w:sz w:val="21"/>
      <w:lang w:val="en-US" w:eastAsia="zh-CN" w:bidi="ar-SA"/>
    </w:rPr>
  </w:style>
  <w:style w:type="paragraph" w:customStyle="1" w:styleId="10">
    <w:name w:val="封面标准英文名称"/>
    <w:autoRedefine/>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2024-03-05T06:35:00Z</dcterms:created>
  <dc:creator>微信用户</dc:creator>
  <cp:lastModifiedBy>微信用户</cp:lastModifiedBy>
  <dcterms:modified xsi:type="dcterms:W3CDTF">2024-03-06T09:26:21Z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634C004AEDE5465495F5A020E430113B_11</vt:lpwstr>
  </property>
</Properties>
</file>