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color w:val="auto"/>
          <w:sz w:val="24"/>
          <w:highlight w:val="none"/>
        </w:rPr>
      </w:pPr>
      <w:bookmarkStart w:id="0" w:name="_GoBack"/>
      <w:bookmarkEnd w:id="0"/>
      <w:r>
        <w:rPr>
          <w:rFonts w:hint="eastAsia" w:ascii="黑体" w:eastAsia="黑体"/>
          <w:bCs/>
          <w:color w:val="auto"/>
          <w:sz w:val="24"/>
          <w:highlight w:val="none"/>
          <w:lang w:val="en-US" w:eastAsia="zh-CN"/>
        </w:rPr>
        <w:t xml:space="preserve"> </w:t>
      </w:r>
      <w:r>
        <w:rPr>
          <w:rFonts w:ascii="黑体" w:eastAsia="黑体"/>
          <w:bCs/>
          <w:color w:val="auto"/>
          <w:sz w:val="24"/>
          <w:highlight w:val="none"/>
        </w:rPr>
        <w:t>JJF</w:t>
      </w:r>
      <w:r>
        <w:rPr>
          <w:rFonts w:hint="eastAsia" w:ascii="黑体" w:eastAsia="黑体"/>
          <w:bCs/>
          <w:color w:val="auto"/>
          <w:sz w:val="24"/>
          <w:highlight w:val="none"/>
        </w:rPr>
        <w:t>（有色金属）0</w:t>
      </w:r>
      <w:r>
        <w:rPr>
          <w:rFonts w:ascii="黑体" w:eastAsia="黑体"/>
          <w:bCs/>
          <w:color w:val="auto"/>
          <w:sz w:val="24"/>
          <w:highlight w:val="none"/>
        </w:rPr>
        <w:t>0</w:t>
      </w:r>
      <w:r>
        <w:rPr>
          <w:rFonts w:hint="eastAsia" w:ascii="黑体" w:eastAsia="黑体"/>
          <w:bCs/>
          <w:color w:val="auto"/>
          <w:sz w:val="24"/>
          <w:highlight w:val="none"/>
          <w:lang w:val="en-US" w:eastAsia="zh-CN"/>
        </w:rPr>
        <w:t>5</w:t>
      </w:r>
      <w:r>
        <w:rPr>
          <w:rFonts w:ascii="黑体" w:eastAsia="黑体"/>
          <w:bCs/>
          <w:color w:val="auto"/>
          <w:sz w:val="24"/>
          <w:highlight w:val="none"/>
        </w:rPr>
        <w:t>-</w:t>
      </w:r>
      <w:r>
        <w:rPr>
          <w:rFonts w:hint="eastAsia" w:ascii="黑体" w:eastAsia="黑体"/>
          <w:bCs/>
          <w:color w:val="auto"/>
          <w:sz w:val="24"/>
          <w:highlight w:val="none"/>
        </w:rPr>
        <w:t>2</w:t>
      </w:r>
      <w:r>
        <w:rPr>
          <w:rFonts w:ascii="黑体" w:eastAsia="黑体"/>
          <w:bCs/>
          <w:color w:val="auto"/>
          <w:sz w:val="24"/>
          <w:highlight w:val="none"/>
        </w:rPr>
        <w:t>02</w:t>
      </w:r>
      <w:r>
        <w:rPr>
          <w:rFonts w:hint="eastAsia" w:ascii="黑体" w:eastAsia="黑体"/>
          <w:bCs/>
          <w:color w:val="auto"/>
          <w:sz w:val="24"/>
          <w:highlight w:val="none"/>
          <w:lang w:val="en-US" w:eastAsia="zh-CN"/>
        </w:rPr>
        <w:t>2</w:t>
      </w:r>
      <w:r>
        <w:rPr>
          <w:rFonts w:hint="eastAsia" w:ascii="黑体" w:eastAsia="黑体"/>
          <w:bCs/>
          <w:color w:val="auto"/>
          <w:sz w:val="24"/>
          <w:highlight w:val="none"/>
        </w:rPr>
        <w:t>《</w:t>
      </w:r>
      <w:r>
        <w:rPr>
          <w:rFonts w:hint="eastAsia" w:ascii="黑体" w:eastAsia="黑体"/>
          <w:bCs/>
          <w:color w:val="auto"/>
          <w:sz w:val="24"/>
          <w:highlight w:val="none"/>
          <w:lang w:val="en-US" w:eastAsia="zh-CN"/>
        </w:rPr>
        <w:t>铝板带在线测厚仪校准规范</w:t>
      </w:r>
      <w:r>
        <w:rPr>
          <w:rFonts w:hint="eastAsia" w:ascii="黑体" w:eastAsia="黑体"/>
          <w:bCs/>
          <w:color w:val="auto"/>
          <w:sz w:val="24"/>
          <w:highlight w:val="none"/>
        </w:rPr>
        <w:t>》</w:t>
      </w:r>
    </w:p>
    <w:p>
      <w:pPr>
        <w:spacing w:line="360" w:lineRule="auto"/>
        <w:jc w:val="center"/>
        <w:rPr>
          <w:rFonts w:ascii="黑体" w:eastAsia="黑体"/>
          <w:bCs/>
          <w:color w:val="auto"/>
          <w:sz w:val="24"/>
          <w:highlight w:val="none"/>
        </w:rPr>
      </w:pPr>
      <w:r>
        <w:rPr>
          <w:rFonts w:hint="eastAsia" w:ascii="黑体" w:eastAsia="黑体"/>
          <w:bCs/>
          <w:color w:val="auto"/>
          <w:sz w:val="24"/>
          <w:highlight w:val="none"/>
        </w:rPr>
        <w:t>行业计量技术规范编制说明</w:t>
      </w:r>
    </w:p>
    <w:p>
      <w:pPr>
        <w:spacing w:line="360" w:lineRule="auto"/>
        <w:rPr>
          <w:rFonts w:hint="eastAsia" w:ascii="黑体" w:hAnsi="黑体" w:eastAsia="黑体" w:cs="黑体"/>
          <w:bCs/>
          <w:color w:val="auto"/>
          <w:highlight w:val="none"/>
        </w:rPr>
      </w:pPr>
      <w:r>
        <w:rPr>
          <w:rFonts w:hint="eastAsia" w:ascii="黑体" w:hAnsi="黑体" w:eastAsia="黑体" w:cs="黑体"/>
          <w:bCs/>
          <w:color w:val="auto"/>
          <w:highlight w:val="none"/>
        </w:rPr>
        <w:t>一、工作简况</w:t>
      </w:r>
    </w:p>
    <w:p>
      <w:pPr>
        <w:numPr>
          <w:ilvl w:val="0"/>
          <w:numId w:val="2"/>
        </w:numPr>
        <w:spacing w:line="360" w:lineRule="auto"/>
        <w:ind w:left="425" w:leftChars="0" w:hanging="425" w:firstLineChars="0"/>
        <w:rPr>
          <w:rFonts w:hint="eastAsia" w:ascii="黑体" w:hAnsi="黑体" w:eastAsia="黑体" w:cs="黑体"/>
          <w:bCs/>
          <w:color w:val="auto"/>
          <w:highlight w:val="none"/>
          <w:lang w:val="en-US" w:eastAsia="zh-CN"/>
        </w:rPr>
      </w:pPr>
      <w:r>
        <w:rPr>
          <w:rFonts w:hint="eastAsia" w:ascii="黑体" w:hAnsi="黑体" w:eastAsia="黑体" w:cs="黑体"/>
          <w:bCs/>
          <w:color w:val="auto"/>
          <w:highlight w:val="none"/>
          <w:lang w:val="en-US" w:eastAsia="zh-CN"/>
        </w:rPr>
        <w:t>立项目的</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在板材、带材</w:t>
      </w:r>
      <w:r>
        <w:rPr>
          <w:rFonts w:hint="eastAsia" w:hAnsi="宋体" w:cs="Times New Roman"/>
          <w:bCs/>
          <w:color w:val="auto"/>
          <w:kern w:val="2"/>
          <w:sz w:val="21"/>
          <w:szCs w:val="21"/>
          <w:highlight w:val="none"/>
          <w:lang w:val="en-US" w:eastAsia="zh-CN" w:bidi="ar-SA"/>
        </w:rPr>
        <w:t>、箔材</w:t>
      </w:r>
      <w:r>
        <w:rPr>
          <w:rFonts w:hint="eastAsia" w:ascii="Times New Roman" w:hAnsi="宋体" w:eastAsia="宋体" w:cs="Times New Roman"/>
          <w:bCs/>
          <w:color w:val="auto"/>
          <w:kern w:val="2"/>
          <w:sz w:val="21"/>
          <w:szCs w:val="21"/>
          <w:highlight w:val="none"/>
          <w:lang w:val="en-US" w:eastAsia="zh-CN" w:bidi="ar-SA"/>
        </w:rPr>
        <w:t>高速生产线上（简称轧线）需要对产品的厚度进行在线连续、快速、非接触测量和准确控制。在线测厚仪是铝合金板</w:t>
      </w:r>
      <w:r>
        <w:rPr>
          <w:rFonts w:hint="eastAsia" w:hAnsi="宋体" w:cs="Times New Roman"/>
          <w:bCs/>
          <w:color w:val="auto"/>
          <w:kern w:val="2"/>
          <w:sz w:val="21"/>
          <w:szCs w:val="21"/>
          <w:highlight w:val="none"/>
          <w:lang w:val="en-US" w:eastAsia="zh-CN" w:bidi="ar-SA"/>
        </w:rPr>
        <w:t>材、</w:t>
      </w:r>
      <w:r>
        <w:rPr>
          <w:rFonts w:hint="eastAsia" w:ascii="Times New Roman" w:hAnsi="宋体" w:eastAsia="宋体" w:cs="Times New Roman"/>
          <w:bCs/>
          <w:color w:val="auto"/>
          <w:kern w:val="2"/>
          <w:sz w:val="21"/>
          <w:szCs w:val="21"/>
          <w:highlight w:val="none"/>
          <w:lang w:val="en-US" w:eastAsia="zh-CN" w:bidi="ar-SA"/>
        </w:rPr>
        <w:t>带材</w:t>
      </w:r>
      <w:r>
        <w:rPr>
          <w:rFonts w:hint="eastAsia" w:hAnsi="宋体" w:cs="Times New Roman"/>
          <w:bCs/>
          <w:color w:val="auto"/>
          <w:kern w:val="2"/>
          <w:sz w:val="21"/>
          <w:szCs w:val="21"/>
          <w:highlight w:val="none"/>
          <w:lang w:val="en-US" w:eastAsia="zh-CN" w:bidi="ar-SA"/>
        </w:rPr>
        <w:t>、箔材</w:t>
      </w:r>
      <w:r>
        <w:rPr>
          <w:rFonts w:hint="eastAsia" w:ascii="Times New Roman" w:hAnsi="宋体" w:eastAsia="宋体" w:cs="Times New Roman"/>
          <w:bCs/>
          <w:color w:val="auto"/>
          <w:kern w:val="2"/>
          <w:sz w:val="21"/>
          <w:szCs w:val="21"/>
          <w:highlight w:val="none"/>
          <w:lang w:val="en-US" w:eastAsia="zh-CN" w:bidi="ar-SA"/>
        </w:rPr>
        <w:t>等产品生产非常重要的在线检测设备。</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目前，国家《X射线测厚仪检定规程》给出的精度和范围不够，没有考虑在线使用时合金修正等问题，不满足铝合金在线厚度测量与控制的要求。同时，国家/行业还没有铝板带在线测厚仪的现场校准规范。</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因此，为指导、有效开展对轧线测厚仪的现场校准工作，</w:t>
      </w:r>
      <w:r>
        <w:rPr>
          <w:rFonts w:hint="eastAsia" w:hAnsi="宋体" w:cs="Times New Roman"/>
          <w:bCs/>
          <w:color w:val="auto"/>
          <w:kern w:val="2"/>
          <w:sz w:val="21"/>
          <w:szCs w:val="21"/>
          <w:highlight w:val="none"/>
          <w:lang w:val="en-US" w:eastAsia="zh-CN" w:bidi="ar-SA"/>
        </w:rPr>
        <w:t>特立项</w:t>
      </w:r>
      <w:r>
        <w:rPr>
          <w:rFonts w:hint="eastAsia" w:ascii="Times New Roman" w:hAnsi="宋体" w:eastAsia="宋体" w:cs="Times New Roman"/>
          <w:bCs/>
          <w:color w:val="auto"/>
          <w:kern w:val="2"/>
          <w:sz w:val="21"/>
          <w:szCs w:val="21"/>
          <w:highlight w:val="none"/>
          <w:lang w:val="en-US" w:eastAsia="zh-CN" w:bidi="ar-SA"/>
        </w:rPr>
        <w:t>编制《铝板带在线测厚仪校准规范》。</w:t>
      </w:r>
    </w:p>
    <w:p>
      <w:pPr>
        <w:numPr>
          <w:ilvl w:val="0"/>
          <w:numId w:val="2"/>
        </w:numPr>
        <w:spacing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任务来源</w:t>
      </w:r>
    </w:p>
    <w:p>
      <w:pPr>
        <w:pStyle w:val="11"/>
        <w:spacing w:after="0" w:line="360" w:lineRule="auto"/>
        <w:ind w:firstLine="420" w:firstLineChars="200"/>
        <w:rPr>
          <w:rFonts w:hAnsi="宋体"/>
          <w:bCs/>
          <w:color w:val="auto"/>
          <w:szCs w:val="21"/>
          <w:highlight w:val="none"/>
        </w:rPr>
      </w:pPr>
      <w:r>
        <w:rPr>
          <w:rFonts w:hint="eastAsia" w:hAnsi="宋体"/>
          <w:bCs/>
          <w:color w:val="auto"/>
          <w:szCs w:val="21"/>
          <w:highlight w:val="none"/>
        </w:rPr>
        <w:t>根据工业和信息化部《关于印发202</w:t>
      </w:r>
      <w:r>
        <w:rPr>
          <w:rFonts w:hint="eastAsia" w:hAnsi="宋体"/>
          <w:bCs/>
          <w:color w:val="auto"/>
          <w:szCs w:val="21"/>
          <w:highlight w:val="none"/>
          <w:lang w:val="en-US" w:eastAsia="zh-CN"/>
        </w:rPr>
        <w:t>2</w:t>
      </w:r>
      <w:r>
        <w:rPr>
          <w:rFonts w:hint="eastAsia" w:hAnsi="宋体"/>
          <w:bCs/>
          <w:color w:val="auto"/>
          <w:szCs w:val="21"/>
          <w:highlight w:val="none"/>
        </w:rPr>
        <w:t>年行业计量技术规范制修订计划的通知》（工厅科［202</w:t>
      </w:r>
      <w:r>
        <w:rPr>
          <w:rFonts w:hint="eastAsia" w:hAnsi="宋体"/>
          <w:bCs/>
          <w:color w:val="auto"/>
          <w:szCs w:val="21"/>
          <w:highlight w:val="none"/>
          <w:lang w:val="en-US" w:eastAsia="zh-CN"/>
        </w:rPr>
        <w:t>2</w:t>
      </w:r>
      <w:r>
        <w:rPr>
          <w:rFonts w:hint="eastAsia" w:hAnsi="宋体"/>
          <w:bCs/>
          <w:color w:val="auto"/>
          <w:szCs w:val="21"/>
          <w:highlight w:val="none"/>
        </w:rPr>
        <w:t>］</w:t>
      </w:r>
      <w:r>
        <w:rPr>
          <w:rFonts w:hint="eastAsia" w:hAnsi="宋体"/>
          <w:bCs/>
          <w:color w:val="auto"/>
          <w:szCs w:val="21"/>
          <w:highlight w:val="none"/>
          <w:lang w:val="en-US" w:eastAsia="zh-CN"/>
        </w:rPr>
        <w:t>464</w:t>
      </w:r>
      <w:r>
        <w:rPr>
          <w:rFonts w:hint="eastAsia" w:hAnsi="宋体"/>
          <w:bCs/>
          <w:color w:val="auto"/>
          <w:szCs w:val="21"/>
          <w:highlight w:val="none"/>
        </w:rPr>
        <w:t>号）文的要求，行业计量技术规范《</w:t>
      </w:r>
      <w:r>
        <w:rPr>
          <w:rFonts w:hint="eastAsia" w:hAnsi="宋体"/>
          <w:bCs/>
          <w:color w:val="auto"/>
          <w:szCs w:val="21"/>
          <w:highlight w:val="none"/>
          <w:lang w:eastAsia="zh-CN"/>
        </w:rPr>
        <w:t>铝板带在线测厚仪校准规范</w:t>
      </w:r>
      <w:r>
        <w:rPr>
          <w:rFonts w:hint="eastAsia" w:hAnsi="宋体"/>
          <w:bCs/>
          <w:color w:val="auto"/>
          <w:szCs w:val="21"/>
          <w:highlight w:val="none"/>
        </w:rPr>
        <w:t>》由</w:t>
      </w:r>
      <w:r>
        <w:rPr>
          <w:rFonts w:hint="eastAsia" w:hAnsi="宋体"/>
          <w:bCs/>
          <w:color w:val="auto"/>
          <w:szCs w:val="21"/>
          <w:highlight w:val="none"/>
          <w:lang w:val="en-US" w:eastAsia="zh-CN"/>
        </w:rPr>
        <w:t>西南铝业（集团）有限责任公司</w:t>
      </w:r>
      <w:r>
        <w:rPr>
          <w:rFonts w:hint="eastAsia" w:hAnsi="宋体"/>
          <w:bCs/>
          <w:color w:val="auto"/>
          <w:szCs w:val="21"/>
          <w:highlight w:val="none"/>
        </w:rPr>
        <w:t>负责起草。该项目计划编号为</w:t>
      </w:r>
      <w:r>
        <w:rPr>
          <w:rFonts w:hAnsi="宋体"/>
          <w:bCs/>
          <w:color w:val="auto"/>
          <w:szCs w:val="21"/>
          <w:highlight w:val="none"/>
        </w:rPr>
        <w:t>JJF</w:t>
      </w:r>
      <w:r>
        <w:rPr>
          <w:rFonts w:hint="eastAsia" w:hAnsi="宋体"/>
          <w:bCs/>
          <w:color w:val="auto"/>
          <w:szCs w:val="21"/>
          <w:highlight w:val="none"/>
        </w:rPr>
        <w:t>（有色金属）0</w:t>
      </w:r>
      <w:r>
        <w:rPr>
          <w:rFonts w:hAnsi="宋体"/>
          <w:bCs/>
          <w:color w:val="auto"/>
          <w:szCs w:val="21"/>
          <w:highlight w:val="none"/>
        </w:rPr>
        <w:t>0</w:t>
      </w:r>
      <w:r>
        <w:rPr>
          <w:rFonts w:hint="eastAsia" w:hAnsi="宋体"/>
          <w:bCs/>
          <w:color w:val="auto"/>
          <w:szCs w:val="21"/>
          <w:highlight w:val="none"/>
          <w:lang w:val="en-US" w:eastAsia="zh-CN"/>
        </w:rPr>
        <w:t>5</w:t>
      </w:r>
      <w:r>
        <w:rPr>
          <w:rFonts w:hint="eastAsia" w:hAnsi="宋体"/>
          <w:bCs/>
          <w:color w:val="auto"/>
          <w:szCs w:val="21"/>
          <w:highlight w:val="none"/>
        </w:rPr>
        <w:t>-2</w:t>
      </w:r>
      <w:r>
        <w:rPr>
          <w:rFonts w:hAnsi="宋体"/>
          <w:bCs/>
          <w:color w:val="auto"/>
          <w:szCs w:val="21"/>
          <w:highlight w:val="none"/>
        </w:rPr>
        <w:t>02</w:t>
      </w:r>
      <w:r>
        <w:rPr>
          <w:rFonts w:hint="eastAsia" w:hAnsi="宋体"/>
          <w:bCs/>
          <w:color w:val="auto"/>
          <w:szCs w:val="21"/>
          <w:highlight w:val="none"/>
          <w:lang w:val="en-US" w:eastAsia="zh-CN"/>
        </w:rPr>
        <w:t>2</w:t>
      </w:r>
      <w:r>
        <w:rPr>
          <w:rFonts w:hint="eastAsia" w:hAnsi="宋体"/>
          <w:bCs/>
          <w:color w:val="auto"/>
          <w:szCs w:val="21"/>
          <w:highlight w:val="none"/>
        </w:rPr>
        <w:t>。按计划要求，本计量规范应于</w:t>
      </w:r>
      <w:r>
        <w:rPr>
          <w:rFonts w:hAnsi="宋体"/>
          <w:bCs/>
          <w:color w:val="auto"/>
          <w:szCs w:val="21"/>
          <w:highlight w:val="none"/>
        </w:rPr>
        <w:t>202</w:t>
      </w:r>
      <w:r>
        <w:rPr>
          <w:rFonts w:hint="eastAsia" w:hAnsi="宋体"/>
          <w:bCs/>
          <w:color w:val="auto"/>
          <w:szCs w:val="21"/>
          <w:highlight w:val="none"/>
          <w:lang w:val="en-US" w:eastAsia="zh-CN"/>
        </w:rPr>
        <w:t>4</w:t>
      </w:r>
      <w:r>
        <w:rPr>
          <w:rFonts w:hint="eastAsia" w:hAnsi="宋体"/>
          <w:bCs/>
          <w:color w:val="auto"/>
          <w:szCs w:val="21"/>
          <w:highlight w:val="none"/>
        </w:rPr>
        <w:t>年完成。</w:t>
      </w:r>
    </w:p>
    <w:p>
      <w:pPr>
        <w:numPr>
          <w:ilvl w:val="0"/>
          <w:numId w:val="2"/>
        </w:numPr>
        <w:spacing w:line="360" w:lineRule="auto"/>
        <w:ind w:left="425" w:leftChars="0" w:hanging="425" w:firstLineChars="0"/>
        <w:rPr>
          <w:rFonts w:ascii="黑体" w:hAnsi="宋体" w:eastAsia="黑体"/>
          <w:bCs/>
          <w:color w:val="auto"/>
          <w:szCs w:val="21"/>
          <w:highlight w:val="none"/>
        </w:rPr>
      </w:pPr>
      <w:r>
        <w:rPr>
          <w:rFonts w:hint="eastAsia" w:ascii="黑体" w:hAnsi="宋体" w:eastAsia="黑体"/>
          <w:bCs/>
          <w:color w:val="auto"/>
          <w:szCs w:val="21"/>
          <w:highlight w:val="none"/>
        </w:rPr>
        <w:t>承担单位情况</w:t>
      </w:r>
    </w:p>
    <w:p>
      <w:pPr>
        <w:numPr>
          <w:ilvl w:val="1"/>
          <w:numId w:val="2"/>
        </w:numPr>
        <w:spacing w:line="360" w:lineRule="auto"/>
        <w:ind w:left="567" w:leftChars="0" w:hanging="567" w:firstLineChars="0"/>
        <w:rPr>
          <w:rFonts w:hint="default" w:ascii="黑体" w:hAnsi="宋体" w:eastAsia="黑体"/>
          <w:bCs/>
          <w:color w:val="auto"/>
          <w:szCs w:val="21"/>
          <w:highlight w:val="none"/>
          <w:lang w:val="en-US" w:eastAsia="zh-CN"/>
        </w:rPr>
      </w:pPr>
      <w:r>
        <w:rPr>
          <w:rFonts w:hint="eastAsia" w:ascii="黑体" w:hAnsi="宋体" w:eastAsia="黑体"/>
          <w:bCs/>
          <w:color w:val="auto"/>
          <w:szCs w:val="21"/>
          <w:highlight w:val="none"/>
          <w:lang w:val="en-US" w:eastAsia="zh-CN"/>
        </w:rPr>
        <w:t>主编单位简介</w:t>
      </w:r>
    </w:p>
    <w:p>
      <w:pPr>
        <w:spacing w:line="360" w:lineRule="auto"/>
        <w:ind w:firstLine="420" w:firstLineChars="200"/>
        <w:rPr>
          <w:rFonts w:hint="eastAsia"/>
          <w:bCs/>
          <w:color w:val="auto"/>
          <w:highlight w:val="none"/>
          <w:lang w:val="en-US" w:eastAsia="zh-CN"/>
        </w:rPr>
      </w:pPr>
      <w:r>
        <w:rPr>
          <w:rFonts w:hint="eastAsia"/>
          <w:bCs/>
          <w:color w:val="auto"/>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color w:val="auto"/>
          <w:highlight w:val="none"/>
          <w:lang w:eastAsia="zh-CN"/>
        </w:rPr>
        <w:t>西南铝建有校准实验室与检测实验室，均通过了</w:t>
      </w:r>
      <w:r>
        <w:rPr>
          <w:rFonts w:hint="eastAsia"/>
          <w:bCs/>
          <w:color w:val="auto"/>
          <w:highlight w:val="none"/>
          <w:lang w:val="en-US" w:eastAsia="zh-CN"/>
        </w:rPr>
        <w:t>CNAS认可，具备对测厚仪、标准厚度板的校准能力。西南铝累计申请专利722件，其中授权发明专利249件、授权实用新型专利473件，主持和参与国家、行业标准277项。</w:t>
      </w:r>
    </w:p>
    <w:p>
      <w:pPr>
        <w:numPr>
          <w:ilvl w:val="1"/>
          <w:numId w:val="2"/>
        </w:numPr>
        <w:spacing w:line="360" w:lineRule="auto"/>
        <w:ind w:left="567" w:leftChars="0" w:hanging="567" w:firstLineChars="0"/>
        <w:rPr>
          <w:rFonts w:hint="eastAsia" w:ascii="黑体" w:hAnsi="宋体" w:eastAsia="黑体"/>
          <w:bCs/>
          <w:color w:val="auto"/>
          <w:szCs w:val="21"/>
          <w:highlight w:val="none"/>
          <w:lang w:val="en-US" w:eastAsia="zh-CN"/>
        </w:rPr>
      </w:pPr>
      <w:r>
        <w:rPr>
          <w:rFonts w:hint="eastAsia" w:ascii="黑体" w:hAnsi="宋体" w:eastAsia="黑体"/>
          <w:bCs/>
          <w:color w:val="auto"/>
          <w:szCs w:val="21"/>
          <w:highlight w:val="none"/>
          <w:lang w:val="en-US" w:eastAsia="zh-CN"/>
        </w:rPr>
        <w:t>成员单位简介</w:t>
      </w:r>
    </w:p>
    <w:p>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numPr>
          <w:ilvl w:val="0"/>
          <w:numId w:val="0"/>
        </w:numPr>
        <w:spacing w:line="360" w:lineRule="auto"/>
        <w:ind w:left="0" w:leftChars="0" w:firstLine="420" w:firstLineChars="200"/>
        <w:rPr>
          <w:rFonts w:hint="eastAsia" w:ascii="黑体" w:hAnsi="宋体" w:eastAsia="黑体"/>
          <w:bCs/>
          <w:color w:val="auto"/>
          <w:szCs w:val="21"/>
          <w:highlight w:val="none"/>
          <w:lang w:val="en-US"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numPr>
          <w:ilvl w:val="0"/>
          <w:numId w:val="2"/>
        </w:numPr>
        <w:spacing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主要工作过程</w:t>
      </w:r>
    </w:p>
    <w:p>
      <w:pPr>
        <w:spacing w:line="360" w:lineRule="auto"/>
        <w:ind w:firstLine="420" w:firstLineChars="200"/>
        <w:rPr>
          <w:bCs/>
          <w:color w:val="auto"/>
          <w:highlight w:val="none"/>
        </w:rPr>
      </w:pPr>
      <w:r>
        <w:rPr>
          <w:rFonts w:hint="eastAsia"/>
          <w:bCs/>
          <w:color w:val="auto"/>
          <w:highlight w:val="none"/>
          <w:lang w:val="en-US" w:eastAsia="zh-CN"/>
        </w:rPr>
        <w:t>西南铝业（集团）有限责任公司计量</w:t>
      </w:r>
      <w:r>
        <w:rPr>
          <w:rFonts w:hint="eastAsia"/>
          <w:bCs/>
          <w:color w:val="auto"/>
          <w:highlight w:val="none"/>
        </w:rPr>
        <w:t>检测中心接到有色金属行业计量技术委员会转发下达的制定任务后，成立了计量规范编制组，</w:t>
      </w:r>
      <w:r>
        <w:rPr>
          <w:rFonts w:hint="eastAsia"/>
          <w:bCs/>
          <w:color w:val="auto"/>
          <w:highlight w:val="none"/>
          <w:lang w:val="en-US" w:eastAsia="zh-CN"/>
        </w:rPr>
        <w:t>成员有</w:t>
      </w:r>
      <w:r>
        <w:rPr>
          <w:rFonts w:ascii="宋体" w:hAnsi="宋体" w:eastAsia="宋体" w:cs="宋体"/>
          <w:color w:val="auto"/>
          <w:spacing w:val="-1"/>
          <w:sz w:val="22"/>
          <w:szCs w:val="22"/>
          <w:highlight w:val="none"/>
        </w:rPr>
        <w:t>广东省科学院工业分析检测中心、国合通用测试评</w:t>
      </w:r>
      <w:r>
        <w:rPr>
          <w:rFonts w:ascii="宋体" w:hAnsi="宋体" w:eastAsia="宋体" w:cs="宋体"/>
          <w:color w:val="auto"/>
          <w:sz w:val="22"/>
          <w:szCs w:val="22"/>
          <w:highlight w:val="none"/>
        </w:rPr>
        <w:t>价认证股份公司、天津新艾隆科技有限公司、山东南山铝业股份有限公司等</w:t>
      </w:r>
      <w:r>
        <w:rPr>
          <w:rFonts w:hint="eastAsia" w:ascii="宋体" w:hAnsi="宋体" w:cs="宋体"/>
          <w:color w:val="auto"/>
          <w:sz w:val="22"/>
          <w:szCs w:val="22"/>
          <w:highlight w:val="none"/>
          <w:lang w:eastAsia="zh-CN"/>
        </w:rPr>
        <w:t>。</w:t>
      </w:r>
      <w:r>
        <w:rPr>
          <w:rFonts w:hint="eastAsia"/>
          <w:bCs/>
          <w:color w:val="auto"/>
          <w:highlight w:val="none"/>
        </w:rPr>
        <w:t>对计量技术规范编写工作进行了部署和分工，制定了制定原则及计划工作。本项目主要工作过程经过了以下几个阶段：</w:t>
      </w:r>
    </w:p>
    <w:p>
      <w:pPr>
        <w:numPr>
          <w:ilvl w:val="0"/>
          <w:numId w:val="3"/>
        </w:numPr>
        <w:spacing w:line="360" w:lineRule="auto"/>
        <w:ind w:left="0" w:leftChars="0" w:firstLine="415" w:firstLineChars="0"/>
        <w:rPr>
          <w:bCs/>
          <w:color w:val="auto"/>
          <w:highlight w:val="none"/>
        </w:rPr>
      </w:pPr>
      <w:r>
        <w:rPr>
          <w:bCs/>
          <w:color w:val="auto"/>
          <w:highlight w:val="none"/>
        </w:rPr>
        <w:t>20</w:t>
      </w:r>
      <w:r>
        <w:rPr>
          <w:rFonts w:hint="eastAsia"/>
          <w:bCs/>
          <w:color w:val="auto"/>
          <w:highlight w:val="none"/>
        </w:rPr>
        <w:t>2</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val="en-US" w:eastAsia="zh-CN"/>
        </w:rPr>
        <w:t>7</w:t>
      </w:r>
      <w:r>
        <w:rPr>
          <w:rFonts w:hint="eastAsia"/>
          <w:bCs/>
          <w:color w:val="auto"/>
          <w:highlight w:val="none"/>
        </w:rPr>
        <w:t>月成立</w:t>
      </w:r>
      <w:r>
        <w:rPr>
          <w:rFonts w:hint="eastAsia"/>
          <w:bCs/>
          <w:color w:val="auto"/>
          <w:highlight w:val="none"/>
          <w:lang w:eastAsia="zh-CN"/>
        </w:rPr>
        <w:t>了</w:t>
      </w:r>
      <w:r>
        <w:rPr>
          <w:rFonts w:hint="eastAsia"/>
          <w:bCs/>
          <w:color w:val="auto"/>
          <w:highlight w:val="none"/>
        </w:rPr>
        <w:t>计量规范编制组，明确了编制组</w:t>
      </w:r>
      <w:r>
        <w:rPr>
          <w:rFonts w:hint="eastAsia"/>
          <w:bCs/>
          <w:color w:val="auto"/>
          <w:highlight w:val="none"/>
          <w:lang w:eastAsia="zh-CN"/>
        </w:rPr>
        <w:t>成员</w:t>
      </w:r>
      <w:r>
        <w:rPr>
          <w:rFonts w:hint="eastAsia"/>
          <w:bCs/>
          <w:color w:val="auto"/>
          <w:highlight w:val="none"/>
        </w:rPr>
        <w:t>各自的工作内容和任务。</w:t>
      </w:r>
    </w:p>
    <w:p>
      <w:pPr>
        <w:numPr>
          <w:ilvl w:val="0"/>
          <w:numId w:val="3"/>
        </w:numPr>
        <w:spacing w:line="360" w:lineRule="auto"/>
        <w:ind w:left="0" w:leftChars="0" w:firstLine="415" w:firstLineChars="0"/>
        <w:rPr>
          <w:rFonts w:hint="eastAsia"/>
          <w:bCs/>
          <w:color w:val="auto"/>
          <w:highlight w:val="none"/>
        </w:rPr>
      </w:pPr>
      <w:r>
        <w:rPr>
          <w:bCs/>
          <w:color w:val="auto"/>
          <w:highlight w:val="none"/>
        </w:rPr>
        <w:t>20</w:t>
      </w:r>
      <w:r>
        <w:rPr>
          <w:rFonts w:hint="eastAsia"/>
          <w:bCs/>
          <w:color w:val="auto"/>
          <w:highlight w:val="none"/>
        </w:rPr>
        <w:t>2</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val="en-US" w:eastAsia="zh-CN"/>
        </w:rPr>
        <w:t>8</w:t>
      </w:r>
      <w:r>
        <w:rPr>
          <w:rFonts w:hint="eastAsia"/>
          <w:bCs/>
          <w:color w:val="auto"/>
          <w:highlight w:val="none"/>
        </w:rPr>
        <w:t>月</w:t>
      </w:r>
      <w:r>
        <w:rPr>
          <w:rFonts w:hint="eastAsia"/>
          <w:bCs/>
          <w:color w:val="auto"/>
          <w:highlight w:val="none"/>
          <w:lang w:val="en-US" w:eastAsia="zh-CN"/>
        </w:rPr>
        <w:t>～2023年4月</w:t>
      </w:r>
      <w:r>
        <w:rPr>
          <w:rFonts w:hint="eastAsia"/>
          <w:bCs/>
          <w:color w:val="auto"/>
          <w:highlight w:val="none"/>
        </w:rPr>
        <w:t>计量规范编制组成员对</w:t>
      </w:r>
      <w:r>
        <w:rPr>
          <w:rFonts w:hint="eastAsia" w:hAnsi="宋体"/>
          <w:bCs/>
          <w:color w:val="auto"/>
          <w:szCs w:val="21"/>
          <w:highlight w:val="none"/>
          <w:lang w:eastAsia="zh-CN"/>
        </w:rPr>
        <w:t>铝板带在线测厚仪校准</w:t>
      </w:r>
      <w:r>
        <w:rPr>
          <w:rFonts w:hint="eastAsia"/>
          <w:bCs/>
          <w:color w:val="auto"/>
          <w:highlight w:val="none"/>
          <w:lang w:eastAsia="zh-CN"/>
        </w:rPr>
        <w:t>规范</w:t>
      </w:r>
      <w:r>
        <w:rPr>
          <w:rFonts w:hint="eastAsia"/>
          <w:bCs/>
          <w:color w:val="auto"/>
          <w:highlight w:val="none"/>
        </w:rPr>
        <w:t>中的计量特性及校准方法进行了讨论，确定了校准项目和方法，在</w:t>
      </w:r>
      <w:r>
        <w:rPr>
          <w:bCs/>
          <w:color w:val="auto"/>
          <w:highlight w:val="none"/>
        </w:rPr>
        <w:t>202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4</w:t>
      </w:r>
      <w:r>
        <w:rPr>
          <w:rFonts w:hint="eastAsia"/>
          <w:bCs/>
          <w:color w:val="auto"/>
          <w:highlight w:val="none"/>
        </w:rPr>
        <w:t>月形成了计量规范讨论稿。</w:t>
      </w:r>
    </w:p>
    <w:p>
      <w:pPr>
        <w:numPr>
          <w:ilvl w:val="0"/>
          <w:numId w:val="3"/>
        </w:numPr>
        <w:spacing w:line="360" w:lineRule="auto"/>
        <w:ind w:left="0" w:leftChars="0" w:firstLine="415" w:firstLineChars="0"/>
        <w:rPr>
          <w:rFonts w:hint="eastAsia"/>
          <w:bCs/>
          <w:color w:val="auto"/>
          <w:highlight w:val="none"/>
        </w:rPr>
      </w:pPr>
      <w:r>
        <w:rPr>
          <w:rFonts w:hint="eastAsia"/>
          <w:bCs/>
          <w:color w:val="auto"/>
          <w:highlight w:val="none"/>
        </w:rPr>
        <w:t>202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5</w:t>
      </w:r>
      <w:r>
        <w:rPr>
          <w:rFonts w:hint="eastAsia"/>
          <w:bCs/>
          <w:color w:val="auto"/>
          <w:highlight w:val="none"/>
        </w:rPr>
        <w:t>月</w:t>
      </w:r>
      <w:r>
        <w:rPr>
          <w:rFonts w:hint="eastAsia"/>
          <w:bCs/>
          <w:color w:val="auto"/>
          <w:highlight w:val="none"/>
          <w:lang w:val="en-US" w:eastAsia="zh-CN"/>
        </w:rPr>
        <w:t>8</w:t>
      </w:r>
      <w:r>
        <w:rPr>
          <w:rFonts w:hint="eastAsia"/>
          <w:bCs/>
          <w:color w:val="auto"/>
          <w:highlight w:val="none"/>
        </w:rPr>
        <w:t>日～</w:t>
      </w:r>
      <w:r>
        <w:rPr>
          <w:rFonts w:hint="eastAsia"/>
          <w:bCs/>
          <w:color w:val="auto"/>
          <w:highlight w:val="none"/>
          <w:lang w:val="en-US" w:eastAsia="zh-CN"/>
        </w:rPr>
        <w:t>10</w:t>
      </w:r>
      <w:r>
        <w:rPr>
          <w:rFonts w:hint="eastAsia"/>
          <w:bCs/>
          <w:color w:val="auto"/>
          <w:highlight w:val="none"/>
        </w:rPr>
        <w:t>日，计量规范编制组成员参加了由有色金属行业计量技术委员会组织的在</w:t>
      </w:r>
      <w:r>
        <w:rPr>
          <w:rFonts w:hint="eastAsia"/>
          <w:bCs/>
          <w:color w:val="auto"/>
          <w:highlight w:val="none"/>
          <w:lang w:val="en-US" w:eastAsia="zh-CN"/>
        </w:rPr>
        <w:t>西安</w:t>
      </w:r>
      <w:r>
        <w:rPr>
          <w:rFonts w:hint="eastAsia"/>
          <w:bCs/>
          <w:color w:val="auto"/>
          <w:highlight w:val="none"/>
        </w:rPr>
        <w:t>召开的202</w:t>
      </w:r>
      <w:r>
        <w:rPr>
          <w:rFonts w:hint="eastAsia"/>
          <w:bCs/>
          <w:color w:val="auto"/>
          <w:highlight w:val="none"/>
          <w:lang w:val="en-US" w:eastAsia="zh-CN"/>
        </w:rPr>
        <w:t>3</w:t>
      </w:r>
      <w:r>
        <w:rPr>
          <w:rFonts w:hint="eastAsia"/>
          <w:bCs/>
          <w:color w:val="auto"/>
          <w:highlight w:val="none"/>
        </w:rPr>
        <w:t>年有色金属行业计量技术规范讨论会，与会专家、代表对本校准规范的讨论稿提出了宝贵的意见和建议。会上确定了项目一验、二验单位，明确了各项工作时间进度要求。</w:t>
      </w:r>
    </w:p>
    <w:p>
      <w:pPr>
        <w:numPr>
          <w:ilvl w:val="0"/>
          <w:numId w:val="3"/>
        </w:numPr>
        <w:spacing w:line="360" w:lineRule="auto"/>
        <w:ind w:left="0" w:leftChars="0" w:firstLine="415" w:firstLineChars="0"/>
        <w:rPr>
          <w:rFonts w:hint="eastAsia"/>
          <w:bCs/>
          <w:color w:val="auto"/>
          <w:highlight w:val="none"/>
        </w:rPr>
      </w:pPr>
      <w:r>
        <w:rPr>
          <w:rFonts w:hint="eastAsia"/>
          <w:bCs/>
          <w:color w:val="auto"/>
          <w:highlight w:val="none"/>
          <w:lang w:val="en-US" w:eastAsia="zh-CN"/>
        </w:rPr>
        <w:t>2023年5月，针对5月西安讨论会中代表们提出的修改意见和建议，编制组开会讨论并作了相应实验收集数据，与相关单位进行了交流沟通，对讨论稿进行了修改，形成了征求意见稿。</w:t>
      </w:r>
    </w:p>
    <w:p>
      <w:pPr>
        <w:numPr>
          <w:ilvl w:val="0"/>
          <w:numId w:val="3"/>
        </w:numPr>
        <w:spacing w:line="360" w:lineRule="auto"/>
        <w:ind w:left="0" w:leftChars="0" w:firstLine="415" w:firstLineChars="0"/>
        <w:rPr>
          <w:rFonts w:hint="eastAsia"/>
          <w:bCs/>
          <w:color w:val="auto"/>
          <w:highlight w:val="none"/>
        </w:rPr>
      </w:pPr>
      <w:r>
        <w:rPr>
          <w:rFonts w:hint="eastAsia"/>
          <w:bCs/>
          <w:highlight w:val="none"/>
          <w:lang w:val="en-US" w:eastAsia="zh-CN"/>
        </w:rPr>
        <w:t>2023年8月-9月，针对征求意见稿收集到的意见和建议，编制组开会讨论并作了相应实验收集数据，对征求意见稿进行了修改，形成了预审稿。</w:t>
      </w:r>
    </w:p>
    <w:p>
      <w:pPr>
        <w:numPr>
          <w:ilvl w:val="0"/>
          <w:numId w:val="3"/>
        </w:numPr>
        <w:spacing w:line="360" w:lineRule="auto"/>
        <w:ind w:left="0" w:leftChars="0" w:firstLine="415" w:firstLineChars="0"/>
        <w:rPr>
          <w:rFonts w:hint="eastAsia"/>
          <w:bCs/>
          <w:color w:val="auto"/>
          <w:highlight w:val="none"/>
        </w:rPr>
      </w:pPr>
      <w:r>
        <w:rPr>
          <w:rFonts w:hint="eastAsia"/>
          <w:bCs/>
          <w:color w:val="auto"/>
          <w:highlight w:val="none"/>
        </w:rPr>
        <w:t>2023年11月，针对预审稿收集到的意见和建议，编制组开会讨论并对预审稿进行了修改，形成了审定稿。</w:t>
      </w:r>
    </w:p>
    <w:p>
      <w:pPr>
        <w:spacing w:line="360" w:lineRule="auto"/>
        <w:rPr>
          <w:rFonts w:ascii="黑体" w:eastAsia="黑体"/>
          <w:bCs/>
          <w:color w:val="auto"/>
          <w:szCs w:val="21"/>
          <w:highlight w:val="none"/>
        </w:rPr>
      </w:pPr>
      <w:r>
        <w:rPr>
          <w:rFonts w:hint="eastAsia"/>
          <w:bCs/>
          <w:color w:val="auto"/>
          <w:szCs w:val="21"/>
          <w:highlight w:val="none"/>
        </w:rPr>
        <w:t>二、</w:t>
      </w:r>
      <w:r>
        <w:rPr>
          <w:rFonts w:hint="eastAsia" w:ascii="黑体" w:hAnsi="宋体" w:eastAsia="黑体"/>
          <w:bCs/>
          <w:color w:val="auto"/>
          <w:szCs w:val="21"/>
          <w:highlight w:val="none"/>
        </w:rPr>
        <w:t>编制原则和依据</w:t>
      </w:r>
    </w:p>
    <w:p>
      <w:pPr>
        <w:pStyle w:val="11"/>
        <w:numPr>
          <w:ilvl w:val="0"/>
          <w:numId w:val="4"/>
        </w:numPr>
        <w:spacing w:after="0"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规范编制原则</w:t>
      </w:r>
    </w:p>
    <w:p>
      <w:pPr>
        <w:spacing w:line="360" w:lineRule="auto"/>
        <w:ind w:firstLine="435"/>
        <w:rPr>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w:t>
      </w:r>
      <w:r>
        <w:rPr>
          <w:rFonts w:hint="eastAsia" w:hAnsi="宋体"/>
          <w:bCs/>
          <w:color w:val="auto"/>
          <w:szCs w:val="21"/>
          <w:highlight w:val="none"/>
        </w:rPr>
        <w:t>本规范是以国家计量技术规范JJF 1071-2010《国家计量校准规范编写规则》、JJF 1001-2011《通用计量术语及定义》和JJF 1059.1-2012《测量不确定度评定与表示》为基础性系列规范进行编写。</w:t>
      </w:r>
    </w:p>
    <w:p>
      <w:pPr>
        <w:spacing w:line="360" w:lineRule="auto"/>
        <w:ind w:firstLine="420" w:firstLineChars="200"/>
        <w:rPr>
          <w:rFonts w:hint="eastAsia" w:ascii="宋体" w:hAnsi="宋体"/>
          <w:bCs/>
          <w:color w:val="auto"/>
          <w:szCs w:val="21"/>
          <w:highlight w:val="none"/>
        </w:rPr>
      </w:pPr>
      <w:r>
        <w:rPr>
          <w:bCs/>
          <w:color w:val="auto"/>
          <w:szCs w:val="21"/>
          <w:highlight w:val="none"/>
        </w:rPr>
        <w:t>2</w:t>
      </w:r>
      <w:r>
        <w:rPr>
          <w:rFonts w:hint="eastAsia" w:hAnsi="宋体"/>
          <w:bCs/>
          <w:color w:val="auto"/>
          <w:szCs w:val="21"/>
          <w:highlight w:val="none"/>
        </w:rPr>
        <w:t>）先进性：本规范</w:t>
      </w:r>
      <w:r>
        <w:rPr>
          <w:rFonts w:hint="eastAsia" w:hAnsi="宋体"/>
          <w:bCs/>
          <w:color w:val="auto"/>
          <w:szCs w:val="21"/>
          <w:highlight w:val="none"/>
          <w:lang w:val="en-US" w:eastAsia="zh-CN"/>
        </w:rPr>
        <w:t>参考了</w:t>
      </w:r>
      <w:r>
        <w:rPr>
          <w:rFonts w:hint="eastAsia" w:hAnsi="宋体"/>
          <w:bCs/>
          <w:color w:val="auto"/>
          <w:szCs w:val="21"/>
          <w:highlight w:val="none"/>
        </w:rPr>
        <w:t>GBT 3880.3-2012《一般工业用铝及铝合金板、带材第3部分：尺寸偏差》、GBT 3198-2020《铝及铝合金箔》</w:t>
      </w:r>
      <w:r>
        <w:rPr>
          <w:rFonts w:hint="eastAsia" w:hAnsi="宋体"/>
          <w:bCs/>
          <w:color w:val="auto"/>
          <w:szCs w:val="21"/>
          <w:highlight w:val="none"/>
          <w:lang w:eastAsia="zh-CN"/>
        </w:rPr>
        <w:t>、GBT22638.1-2016《铝箔试验方法第1部份：厚度的测定》、GBZ117-2022《工业探伤放射防护标准》</w:t>
      </w:r>
      <w:r>
        <w:rPr>
          <w:rFonts w:hint="eastAsia" w:hAnsi="宋体"/>
          <w:bCs/>
          <w:color w:val="auto"/>
          <w:szCs w:val="21"/>
          <w:highlight w:val="none"/>
        </w:rPr>
        <w:t>的技术内容</w:t>
      </w:r>
      <w:r>
        <w:rPr>
          <w:rFonts w:hint="eastAsia" w:hAnsi="宋体"/>
          <w:bCs/>
          <w:color w:val="auto"/>
          <w:szCs w:val="21"/>
          <w:highlight w:val="none"/>
          <w:lang w:val="en-US" w:eastAsia="zh-CN"/>
        </w:rPr>
        <w:t>对铝板、带、箔产品尺寸的要求，提出了对在线测厚仪计量特性要求，</w:t>
      </w:r>
      <w:r>
        <w:rPr>
          <w:rFonts w:hint="eastAsia" w:ascii="宋体" w:hAnsi="宋体"/>
          <w:bCs/>
          <w:color w:val="auto"/>
          <w:szCs w:val="21"/>
          <w:highlight w:val="none"/>
        </w:rPr>
        <w:t>制订了基本原则和编制依据，</w:t>
      </w:r>
      <w:r>
        <w:rPr>
          <w:rFonts w:hint="eastAsia" w:hAnsi="宋体"/>
          <w:bCs/>
          <w:color w:val="auto"/>
          <w:szCs w:val="21"/>
          <w:highlight w:val="none"/>
          <w:lang w:val="en-US" w:eastAsia="zh-CN"/>
        </w:rPr>
        <w:t>可对非接触式测厚仪（穿透式测厚仪、</w:t>
      </w:r>
      <w:r>
        <w:rPr>
          <w:rFonts w:hint="eastAsia"/>
          <w:color w:val="auto"/>
          <w:szCs w:val="21"/>
          <w:highlight w:val="none"/>
          <w:lang w:val="en-US" w:eastAsia="zh-CN"/>
        </w:rPr>
        <w:t>激光</w:t>
      </w:r>
      <w:r>
        <w:rPr>
          <w:rFonts w:hint="eastAsia"/>
          <w:color w:val="auto"/>
          <w:szCs w:val="21"/>
          <w:highlight w:val="none"/>
        </w:rPr>
        <w:t>测厚仪</w:t>
      </w:r>
      <w:r>
        <w:rPr>
          <w:rFonts w:hint="eastAsia"/>
          <w:color w:val="auto"/>
          <w:szCs w:val="21"/>
          <w:highlight w:val="none"/>
          <w:lang w:eastAsia="zh-CN"/>
        </w:rPr>
        <w:t>）</w:t>
      </w:r>
      <w:r>
        <w:rPr>
          <w:rFonts w:hint="eastAsia"/>
          <w:color w:val="auto"/>
          <w:szCs w:val="21"/>
          <w:highlight w:val="none"/>
          <w:lang w:val="en-US" w:eastAsia="zh-CN"/>
        </w:rPr>
        <w:t>进行校准，</w:t>
      </w:r>
      <w:r>
        <w:rPr>
          <w:rFonts w:hint="eastAsia" w:ascii="宋体" w:hAnsi="宋体"/>
          <w:bCs/>
          <w:color w:val="auto"/>
          <w:szCs w:val="21"/>
          <w:highlight w:val="none"/>
          <w:lang w:val="en-US" w:eastAsia="zh-CN"/>
        </w:rPr>
        <w:t>解决了现有检定规程</w:t>
      </w:r>
      <w:r>
        <w:rPr>
          <w:rFonts w:hint="eastAsia" w:ascii="宋体" w:hAnsi="宋体"/>
          <w:bCs/>
          <w:color w:val="auto"/>
          <w:szCs w:val="21"/>
          <w:highlight w:val="none"/>
        </w:rPr>
        <w:t>JJG 480-2007《X射线测厚仪检定规程》</w:t>
      </w:r>
      <w:r>
        <w:rPr>
          <w:rFonts w:hint="eastAsia" w:ascii="宋体" w:hAnsi="宋体"/>
          <w:bCs/>
          <w:color w:val="auto"/>
          <w:szCs w:val="21"/>
          <w:highlight w:val="none"/>
          <w:lang w:val="en-US" w:eastAsia="zh-CN"/>
        </w:rPr>
        <w:t>计量要求不适合现有测厚仪的问题</w:t>
      </w:r>
      <w:r>
        <w:rPr>
          <w:rFonts w:hint="eastAsia" w:ascii="宋体" w:hAnsi="宋体"/>
          <w:bCs/>
          <w:color w:val="auto"/>
          <w:szCs w:val="21"/>
          <w:highlight w:val="none"/>
        </w:rPr>
        <w:t>。</w:t>
      </w:r>
    </w:p>
    <w:p>
      <w:pPr>
        <w:spacing w:line="360" w:lineRule="auto"/>
        <w:ind w:firstLine="420" w:firstLineChars="200"/>
        <w:rPr>
          <w:rFonts w:hint="default" w:ascii="宋体"/>
          <w:bCs/>
          <w:color w:val="auto"/>
          <w:szCs w:val="21"/>
          <w:highlight w:val="none"/>
          <w:lang w:val="en-US"/>
        </w:rPr>
      </w:pPr>
      <w:r>
        <w:rPr>
          <w:rFonts w:ascii="宋体" w:hAnsi="宋体"/>
          <w:bCs/>
          <w:color w:val="auto"/>
          <w:szCs w:val="21"/>
          <w:highlight w:val="none"/>
        </w:rPr>
        <w:t>3</w:t>
      </w:r>
      <w:r>
        <w:rPr>
          <w:rFonts w:hint="eastAsia" w:ascii="宋体" w:hAnsi="宋体"/>
          <w:bCs/>
          <w:color w:val="auto"/>
          <w:szCs w:val="21"/>
          <w:highlight w:val="none"/>
        </w:rPr>
        <w:t>）创新性：</w:t>
      </w:r>
      <w:r>
        <w:rPr>
          <w:rFonts w:hint="eastAsia" w:ascii="宋体" w:hAnsi="宋体"/>
          <w:bCs/>
          <w:color w:val="auto"/>
          <w:szCs w:val="21"/>
          <w:highlight w:val="none"/>
          <w:lang w:val="en-US" w:eastAsia="zh-CN"/>
        </w:rPr>
        <w:t>本规范对校准</w:t>
      </w:r>
      <w:r>
        <w:rPr>
          <w:rFonts w:hint="eastAsia" w:ascii="宋体" w:hAnsi="宋体"/>
          <w:bCs/>
          <w:color w:val="auto"/>
          <w:szCs w:val="21"/>
          <w:highlight w:val="none"/>
        </w:rPr>
        <w:t>铝板带在线测厚仪</w:t>
      </w:r>
      <w:r>
        <w:rPr>
          <w:rFonts w:hint="eastAsia" w:ascii="宋体" w:hAnsi="宋体"/>
          <w:bCs/>
          <w:color w:val="auto"/>
          <w:szCs w:val="21"/>
          <w:highlight w:val="none"/>
          <w:lang w:val="en-US" w:eastAsia="zh-CN"/>
        </w:rPr>
        <w:t>的标准厚度板的制作方法和计量要求进行了详细的描述。</w:t>
      </w:r>
    </w:p>
    <w:p>
      <w:pPr>
        <w:pStyle w:val="11"/>
        <w:numPr>
          <w:ilvl w:val="0"/>
          <w:numId w:val="4"/>
        </w:numPr>
        <w:spacing w:after="0" w:line="360" w:lineRule="auto"/>
        <w:ind w:left="425" w:leftChars="0" w:hanging="425" w:firstLineChars="0"/>
        <w:rPr>
          <w:rFonts w:ascii="黑体" w:hAnsi="宋体" w:eastAsia="黑体"/>
          <w:bCs/>
          <w:color w:val="auto"/>
          <w:szCs w:val="21"/>
          <w:highlight w:val="none"/>
        </w:rPr>
      </w:pPr>
      <w:r>
        <w:rPr>
          <w:rFonts w:hint="eastAsia" w:ascii="黑体" w:hAnsi="宋体" w:eastAsia="黑体"/>
          <w:bCs/>
          <w:color w:val="auto"/>
          <w:szCs w:val="21"/>
          <w:highlight w:val="none"/>
        </w:rPr>
        <w:t>制定规范主要内容的论据</w:t>
      </w:r>
    </w:p>
    <w:p>
      <w:pPr>
        <w:pStyle w:val="11"/>
        <w:numPr>
          <w:ilvl w:val="1"/>
          <w:numId w:val="4"/>
        </w:numPr>
        <w:spacing w:after="0" w:line="360" w:lineRule="auto"/>
        <w:ind w:left="567" w:leftChars="0" w:hanging="567" w:firstLineChars="0"/>
        <w:rPr>
          <w:rFonts w:ascii="黑体" w:hAnsi="黑体" w:eastAsia="黑体"/>
          <w:bCs/>
          <w:color w:val="auto"/>
          <w:szCs w:val="21"/>
          <w:highlight w:val="none"/>
        </w:rPr>
      </w:pPr>
      <w:r>
        <w:rPr>
          <w:rFonts w:hint="eastAsia" w:ascii="黑体" w:hAnsi="黑体" w:eastAsia="黑体"/>
          <w:bCs/>
          <w:color w:val="auto"/>
          <w:szCs w:val="21"/>
          <w:highlight w:val="none"/>
        </w:rPr>
        <w:t>范围</w:t>
      </w:r>
    </w:p>
    <w:p>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本规范适用于铝板、带、箔在线测厚仪(以下简称测厚仪)的校准，其它材料板带在线测厚仪的校准可参照本规范执行</w:t>
      </w:r>
      <w:r>
        <w:rPr>
          <w:rFonts w:hint="eastAsia" w:ascii="宋体" w:hAnsi="宋体" w:cs="宋体"/>
          <w:bCs/>
          <w:color w:val="auto"/>
          <w:szCs w:val="21"/>
          <w:highlight w:val="none"/>
          <w:lang w:val="en-US" w:eastAsia="zh-CN"/>
        </w:rPr>
        <w:t>。</w:t>
      </w:r>
    </w:p>
    <w:p>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针对2023年5月西安会议专家提出本规范是否适合对铝箔在线测厚仪问题，编制组成员会后分别与西南铝业（集团）有限责任公司、山东南山铝业股份有限公司、厦顺铝箔、云南浩鑫、霍尼韦尔、IMS公司交流了铝箔在线测厚仪校准及标准板溯源情况，一致做法是用已知面积的取样工具取样标准板、用称重法称取标准板重量计算得到标准板平均厚度，再用该标准板对铝箔测厚仪进行校准。因此本校准规范适用于对铝箔在线测厚仪进行校准。</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引用文件</w:t>
      </w:r>
    </w:p>
    <w:p>
      <w:pPr>
        <w:adjustRightInd w:val="0"/>
        <w:snapToGrid w:val="0"/>
        <w:spacing w:line="360" w:lineRule="auto"/>
        <w:ind w:firstLine="210" w:firstLineChars="100"/>
        <w:rPr>
          <w:rFonts w:hint="default" w:hAnsi="宋体" w:eastAsia="宋体"/>
          <w:bCs/>
          <w:color w:val="auto"/>
          <w:szCs w:val="21"/>
          <w:highlight w:val="none"/>
          <w:lang w:val="en-US" w:eastAsia="zh-CN"/>
        </w:rPr>
      </w:pPr>
      <w:r>
        <w:rPr>
          <w:rFonts w:hint="eastAsia"/>
          <w:bCs/>
          <w:color w:val="auto"/>
          <w:szCs w:val="21"/>
          <w:highlight w:val="none"/>
        </w:rPr>
        <w:t xml:space="preserve"> </w:t>
      </w:r>
      <w:r>
        <w:rPr>
          <w:bCs/>
          <w:color w:val="auto"/>
          <w:szCs w:val="21"/>
          <w:highlight w:val="none"/>
        </w:rPr>
        <w:t xml:space="preserve"> </w:t>
      </w:r>
      <w:r>
        <w:rPr>
          <w:rFonts w:hint="eastAsia" w:hAnsi="宋体"/>
          <w:bCs/>
          <w:color w:val="auto"/>
          <w:sz w:val="21"/>
          <w:szCs w:val="21"/>
          <w:highlight w:val="none"/>
        </w:rPr>
        <w:t>本规范</w:t>
      </w:r>
      <w:r>
        <w:rPr>
          <w:rFonts w:hint="eastAsia" w:hAnsi="宋体"/>
          <w:bCs/>
          <w:color w:val="auto"/>
          <w:sz w:val="21"/>
          <w:szCs w:val="21"/>
          <w:highlight w:val="none"/>
          <w:lang w:val="en-US" w:eastAsia="zh-CN"/>
        </w:rPr>
        <w:t>引用了</w:t>
      </w:r>
      <w:r>
        <w:rPr>
          <w:rFonts w:hint="eastAsia" w:hAnsi="黑体"/>
          <w:color w:val="auto"/>
          <w:sz w:val="21"/>
          <w:szCs w:val="24"/>
          <w:highlight w:val="none"/>
        </w:rPr>
        <w:t>GBZ117</w:t>
      </w:r>
      <w:r>
        <w:rPr>
          <w:rFonts w:hint="eastAsia" w:hAnsi="黑体"/>
          <w:color w:val="auto"/>
          <w:sz w:val="21"/>
          <w:szCs w:val="24"/>
          <w:highlight w:val="none"/>
          <w:lang w:val="en-US" w:eastAsia="zh-CN"/>
        </w:rPr>
        <w:t xml:space="preserve">-2022 </w:t>
      </w:r>
      <w:r>
        <w:rPr>
          <w:rFonts w:hint="eastAsia" w:hAnsi="黑体"/>
          <w:color w:val="auto"/>
          <w:sz w:val="21"/>
          <w:szCs w:val="24"/>
          <w:highlight w:val="none"/>
        </w:rPr>
        <w:t>工业探伤放射防护标准</w:t>
      </w:r>
      <w:r>
        <w:rPr>
          <w:rFonts w:hint="eastAsia" w:hAnsi="宋体"/>
          <w:bCs/>
          <w:color w:val="auto"/>
          <w:sz w:val="21"/>
          <w:szCs w:val="21"/>
          <w:highlight w:val="none"/>
          <w:lang w:val="en-US" w:eastAsia="zh-CN"/>
        </w:rPr>
        <w:t>。</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概述</w:t>
      </w:r>
    </w:p>
    <w:p>
      <w:pPr>
        <w:adjustRightInd w:val="0"/>
        <w:snapToGrid w:val="0"/>
        <w:spacing w:line="360" w:lineRule="auto"/>
        <w:ind w:firstLine="420" w:firstLineChars="200"/>
        <w:rPr>
          <w:rFonts w:hint="eastAsia"/>
          <w:color w:val="auto"/>
          <w:highlight w:val="none"/>
          <w:lang w:val="en-US" w:eastAsia="zh-CN"/>
        </w:rPr>
      </w:pPr>
      <w:r>
        <w:rPr>
          <w:rFonts w:hint="eastAsia" w:hAnsi="宋体" w:cs="Times New Roman"/>
          <w:bCs/>
          <w:color w:val="auto"/>
          <w:szCs w:val="21"/>
          <w:highlight w:val="none"/>
          <w:lang w:val="en-US" w:eastAsia="zh-CN"/>
        </w:rPr>
        <w:t>针对2023年5月西安会议专家提出本规范概述不详细问题</w:t>
      </w:r>
      <w:r>
        <w:rPr>
          <w:rFonts w:hint="eastAsia" w:ascii="Times New Roman" w:hAnsi="宋体" w:cs="Times New Roman"/>
          <w:bCs/>
          <w:color w:val="auto"/>
          <w:szCs w:val="21"/>
          <w:highlight w:val="none"/>
          <w:lang w:val="en-US" w:eastAsia="zh-CN"/>
        </w:rPr>
        <w:t>。</w:t>
      </w:r>
      <w:r>
        <w:rPr>
          <w:rFonts w:hint="eastAsia" w:hAnsi="宋体" w:cs="Times New Roman"/>
          <w:bCs/>
          <w:color w:val="auto"/>
          <w:szCs w:val="21"/>
          <w:highlight w:val="none"/>
          <w:lang w:val="en-US" w:eastAsia="zh-CN"/>
        </w:rPr>
        <w:t>编制组成员与</w:t>
      </w:r>
      <w:r>
        <w:rPr>
          <w:rFonts w:hint="eastAsia"/>
          <w:color w:val="auto"/>
          <w:highlight w:val="none"/>
          <w:lang w:val="en-US" w:eastAsia="zh-CN"/>
        </w:rPr>
        <w:t>基恩士（中国）有限公司、深圳市凤鸣亮科技有限公司、霍尼韦尔中国、IMS公司分别交流了穿透式测厚仪和激光测厚仪的工作原理、适用范围、测量精度等。根据交流沟通结果，对概述进行了重新描述，如下：</w:t>
      </w:r>
    </w:p>
    <w:p>
      <w:pPr>
        <w:pStyle w:val="20"/>
        <w:spacing w:line="360" w:lineRule="auto"/>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铝板、带、箔厚度在线检测需要采用非接触方式，常用的方法主要有同位素检测、X射线检测、激光检测等。</w:t>
      </w:r>
    </w:p>
    <w:p>
      <w:pPr>
        <w:pStyle w:val="20"/>
        <w:spacing w:line="360" w:lineRule="auto"/>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同位素检测、X射线检测应用穿透式检测原理，主要由射线源、探头、数据处理控制器等组成，测厚仪的射线源和探头分别置于C型架中被测铝板、带、箔的上、下方，利用射线穿透被测铝材时，一部分射线被铝材吸收，另一部分穿过铝材进入探头接收。数据处理器根据探头接收射线强度的衰减变化与材料厚度相关的特性，计算出铝材厚度，穿透式测厚仪常用于测量精度要求高、相同材料的轧制生产。</w:t>
      </w:r>
    </w:p>
    <w:p>
      <w:pPr>
        <w:adjustRightInd w:val="0"/>
        <w:snapToGrid w:val="0"/>
        <w:spacing w:line="360" w:lineRule="auto"/>
        <w:ind w:firstLine="420" w:firstLineChars="200"/>
        <w:rPr>
          <w:rFonts w:hint="eastAsia" w:ascii="Times New Roman" w:hAnsi="宋体" w:cs="Times New Roman"/>
          <w:bCs/>
          <w:color w:val="auto"/>
          <w:szCs w:val="21"/>
          <w:highlight w:val="none"/>
          <w:lang w:val="en-US" w:eastAsia="zh-CN"/>
        </w:rPr>
      </w:pPr>
      <w:r>
        <w:rPr>
          <w:rFonts w:hint="eastAsia" w:ascii="宋体" w:hAnsi="宋体" w:eastAsia="宋体" w:cs="宋体"/>
          <w:bCs/>
          <w:color w:val="auto"/>
          <w:kern w:val="2"/>
          <w:sz w:val="21"/>
          <w:szCs w:val="21"/>
          <w:highlight w:val="none"/>
          <w:lang w:val="en-US" w:eastAsia="zh-CN" w:bidi="ar-SA"/>
        </w:rPr>
        <w:t>激光测厚仪主要由激光器、透镜、CCD光电转换器、控制与信号处理器等组成，上下激光测厚仪的激光器将激光束分别打在被测物的上下表面，形成两个光斑，光斑漫反射成像到CCD光电转换部件上，测厚仪利用三角测量原理，计算出发射接收器到被测物表面的距离，控制与信号处理器再根据上下发射接收器距离，计算得到被测物的厚度。激光测厚仪常用于测量精度要求一般以及复合材料的轧制生产。</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计量特性</w:t>
      </w:r>
    </w:p>
    <w:p>
      <w:pPr>
        <w:adjustRightInd w:val="0"/>
        <w:snapToGrid w:val="0"/>
        <w:spacing w:line="360" w:lineRule="auto"/>
        <w:ind w:firstLine="420" w:firstLineChars="200"/>
        <w:rPr>
          <w:rFonts w:hint="eastAsia" w:ascii="Times New Roman" w:hAnsi="宋体" w:cs="Times New Roman"/>
          <w:bCs/>
          <w:color w:val="auto"/>
          <w:szCs w:val="21"/>
          <w:highlight w:val="none"/>
          <w:lang w:val="en-US" w:eastAsia="zh-CN"/>
        </w:rPr>
      </w:pPr>
      <w:r>
        <w:rPr>
          <w:rFonts w:hint="eastAsia" w:ascii="Times New Roman" w:hAnsi="宋体" w:cs="Times New Roman"/>
          <w:bCs/>
          <w:color w:val="auto"/>
          <w:szCs w:val="21"/>
          <w:highlight w:val="none"/>
          <w:lang w:val="en-US" w:eastAsia="zh-CN"/>
        </w:rPr>
        <w:t>仪表的计量特性主要为重复性、示值误差</w:t>
      </w:r>
      <w:r>
        <w:rPr>
          <w:rFonts w:hint="eastAsia" w:hAnsi="宋体" w:cs="Times New Roman"/>
          <w:bCs/>
          <w:color w:val="auto"/>
          <w:szCs w:val="21"/>
          <w:highlight w:val="none"/>
          <w:lang w:val="en-US" w:eastAsia="zh-CN"/>
        </w:rPr>
        <w:t>、示值漂移</w:t>
      </w:r>
      <w:r>
        <w:rPr>
          <w:rFonts w:hint="eastAsia" w:ascii="Times New Roman" w:hAnsi="宋体" w:cs="Times New Roman"/>
          <w:bCs/>
          <w:color w:val="auto"/>
          <w:szCs w:val="21"/>
          <w:highlight w:val="none"/>
          <w:lang w:val="en-US" w:eastAsia="zh-CN"/>
        </w:rPr>
        <w:t>。</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本规范重复性、示值误差计量特性的提出，是根据GBT 3880.3-2012《一般工业用铝及铝合金板、带材第3部分：尺寸偏差》、GBT 3198-2020《铝及铝合金箔》对铝板、带、箔产品尺寸公差要求，采用至少1/3原则，提出了对测厚仪的计量特性技术要求。</w:t>
      </w:r>
    </w:p>
    <w:tbl>
      <w:tblPr>
        <w:tblStyle w:val="15"/>
        <w:tblpPr w:leftFromText="180" w:rightFromText="180" w:vertAnchor="text" w:horzAnchor="page" w:tblpX="1562" w:tblpY="65"/>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764"/>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998" w:type="dxa"/>
            <w:tcBorders>
              <w:tl2br w:val="nil"/>
              <w:tr2bl w:val="nil"/>
            </w:tcBorders>
            <w:vAlign w:val="center"/>
          </w:tcPr>
          <w:p>
            <w:pPr>
              <w:jc w:val="center"/>
              <w:rPr>
                <w:rStyle w:val="46"/>
                <w:rFonts w:hint="default"/>
                <w:color w:val="auto"/>
                <w:highlight w:val="none"/>
                <w:lang w:val="en-US" w:eastAsia="zh-CN"/>
              </w:rPr>
            </w:pPr>
            <w:r>
              <w:rPr>
                <w:rStyle w:val="46"/>
                <w:rFonts w:hint="eastAsia"/>
                <w:color w:val="auto"/>
                <w:highlight w:val="none"/>
                <w:lang w:val="en-US" w:eastAsia="zh-CN"/>
              </w:rPr>
              <w:t>测量范围</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rPr>
              <w:t>示值最大允许误差</w:t>
            </w:r>
          </w:p>
        </w:tc>
        <w:tc>
          <w:tcPr>
            <w:tcW w:w="3353" w:type="dxa"/>
            <w:tcBorders>
              <w:tl2br w:val="nil"/>
              <w:tr2bl w:val="nil"/>
            </w:tcBorders>
            <w:vAlign w:val="center"/>
          </w:tcPr>
          <w:p>
            <w:pPr>
              <w:jc w:val="center"/>
              <w:rPr>
                <w:rStyle w:val="46"/>
                <w:rFonts w:hint="eastAsia"/>
                <w:color w:val="auto"/>
                <w:highlight w:val="none"/>
                <w:lang w:eastAsia="zh-CN"/>
              </w:rPr>
            </w:pPr>
            <w:r>
              <w:rPr>
                <w:rStyle w:val="46"/>
                <w:rFonts w:hint="eastAsia"/>
                <w:color w:val="auto"/>
                <w:highlight w:val="none"/>
                <w:lang w:eastAsia="zh-CN"/>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default" w:ascii="Arial" w:hAnsi="Arial" w:cs="Arial"/>
                <w:strike w:val="0"/>
                <w:dstrike w:val="0"/>
                <w:color w:val="auto"/>
                <w:highlight w:val="none"/>
                <w:lang w:val="en-US" w:eastAsia="zh-CN"/>
              </w:rPr>
              <w:t>≤</w:t>
            </w:r>
            <w:r>
              <w:rPr>
                <w:rStyle w:val="46"/>
                <w:rFonts w:hint="eastAsia"/>
                <w:color w:val="auto"/>
                <w:highlight w:val="none"/>
                <w:lang w:val="en-US" w:eastAsia="zh-CN"/>
              </w:rPr>
              <w:t xml:space="preserve">0.2000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±1.5%读数或±0.1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0.75%读数或0.1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 xml:space="preserve">&gt;0.2000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±0.5%读数或±3</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0.25%读数或3</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bl>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示值漂移计量特性，引用于JJG 480-2007《X射线测厚仪检定规程》。</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default" w:hAnsi="宋体" w:cs="Times New Roman"/>
          <w:bCs/>
          <w:color w:val="auto"/>
          <w:szCs w:val="21"/>
          <w:highlight w:val="none"/>
          <w:lang w:val="en-US" w:eastAsia="zh-CN"/>
        </w:rPr>
        <w:t>针对</w:t>
      </w:r>
      <w:r>
        <w:rPr>
          <w:rFonts w:hint="eastAsia"/>
          <w:bCs/>
          <w:color w:val="auto"/>
          <w:highlight w:val="none"/>
          <w:lang w:val="en-US" w:eastAsia="zh-CN"/>
        </w:rPr>
        <w:t>2023年</w:t>
      </w:r>
      <w:r>
        <w:rPr>
          <w:rFonts w:hint="default" w:hAnsi="宋体" w:cs="Times New Roman"/>
          <w:bCs/>
          <w:color w:val="auto"/>
          <w:szCs w:val="21"/>
          <w:highlight w:val="none"/>
          <w:lang w:val="en-US" w:eastAsia="zh-CN"/>
        </w:rPr>
        <w:t>5月西安会议专家提出测厚仪</w:t>
      </w:r>
      <w:r>
        <w:rPr>
          <w:rFonts w:hint="eastAsia" w:hAnsi="宋体" w:cs="Times New Roman"/>
          <w:bCs/>
          <w:color w:val="auto"/>
          <w:szCs w:val="21"/>
          <w:highlight w:val="none"/>
          <w:lang w:val="en-US" w:eastAsia="zh-CN"/>
        </w:rPr>
        <w:t>有用于生产大于6mm铝板，将讨论稿</w:t>
      </w:r>
      <w:r>
        <w:rPr>
          <w:rFonts w:hint="default" w:hAnsi="宋体" w:cs="Times New Roman"/>
          <w:bCs/>
          <w:color w:val="auto"/>
          <w:szCs w:val="21"/>
          <w:highlight w:val="none"/>
          <w:lang w:val="en-US" w:eastAsia="zh-CN"/>
        </w:rPr>
        <w:t>表1</w:t>
      </w:r>
      <w:r>
        <w:rPr>
          <w:rFonts w:hint="eastAsia" w:hAnsi="宋体" w:cs="Times New Roman"/>
          <w:bCs/>
          <w:color w:val="auto"/>
          <w:szCs w:val="21"/>
          <w:highlight w:val="none"/>
          <w:lang w:val="en-US" w:eastAsia="zh-CN"/>
        </w:rPr>
        <w:t>测量范围</w:t>
      </w:r>
      <w:r>
        <w:rPr>
          <w:rFonts w:hint="default" w:hAnsi="宋体" w:cs="Times New Roman"/>
          <w:bCs/>
          <w:color w:val="auto"/>
          <w:szCs w:val="21"/>
          <w:highlight w:val="none"/>
          <w:lang w:val="en-US" w:eastAsia="zh-CN"/>
        </w:rPr>
        <w:t>中的</w:t>
      </w:r>
      <w:r>
        <w:rPr>
          <w:rFonts w:hint="eastAsia" w:hAnsi="宋体" w:cs="Times New Roman"/>
          <w:bCs/>
          <w:color w:val="auto"/>
          <w:szCs w:val="21"/>
          <w:highlight w:val="none"/>
          <w:lang w:val="en-US" w:eastAsia="zh-CN"/>
        </w:rPr>
        <w:t>“</w:t>
      </w:r>
      <w:r>
        <w:rPr>
          <w:rFonts w:hint="default" w:hAnsi="宋体" w:cs="Times New Roman"/>
          <w:bCs/>
          <w:color w:val="auto"/>
          <w:szCs w:val="21"/>
          <w:highlight w:val="none"/>
          <w:lang w:val="en-US" w:eastAsia="zh-CN"/>
        </w:rPr>
        <w:t>（&gt;0.2000~6.0000）mm</w:t>
      </w:r>
      <w:r>
        <w:rPr>
          <w:rFonts w:hint="eastAsia" w:hAnsi="宋体" w:cs="Times New Roman"/>
          <w:bCs/>
          <w:color w:val="auto"/>
          <w:szCs w:val="21"/>
          <w:highlight w:val="none"/>
          <w:lang w:val="en-US" w:eastAsia="zh-CN"/>
        </w:rPr>
        <w:t>”修改为“&gt;0.2000 mm”。</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ascii="宋体" w:hAnsi="宋体" w:cs="宋体"/>
          <w:bCs/>
          <w:szCs w:val="21"/>
          <w:lang w:val="en-US" w:eastAsia="zh-CN"/>
        </w:rPr>
        <w:t>根据2023年11月预审会的意见，目前用户要求比</w:t>
      </w:r>
      <w:r>
        <w:rPr>
          <w:rFonts w:hint="eastAsia" w:hAnsi="宋体" w:cs="Times New Roman"/>
          <w:bCs/>
          <w:color w:val="auto"/>
          <w:szCs w:val="21"/>
          <w:highlight w:val="none"/>
          <w:lang w:val="en-US" w:eastAsia="zh-CN"/>
        </w:rPr>
        <w:t>GBT 3880.3-2012《一般工业用铝及铝合金板、带材第3部分：尺寸偏差》、GBT 3198-2020《铝及铝合金箔》要求要高得多，在西南铝进行了调查，部份用户对厚度公差要求如下表所示。</w:t>
      </w:r>
    </w:p>
    <w:tbl>
      <w:tblPr>
        <w:tblStyle w:val="15"/>
        <w:tblW w:w="83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4"/>
        <w:gridCol w:w="1264"/>
        <w:gridCol w:w="1264"/>
        <w:gridCol w:w="225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6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厚度mm</w:t>
            </w:r>
          </w:p>
        </w:tc>
        <w:tc>
          <w:tcPr>
            <w:tcW w:w="2528" w:type="dxa"/>
            <w:gridSpan w:val="2"/>
            <w:tcBorders>
              <w:tl2br w:val="nil"/>
              <w:tr2bl w:val="nil"/>
            </w:tcBorders>
            <w:shd w:val="clear" w:color="auto" w:fill="auto"/>
            <w:noWrap/>
            <w:vAlign w:val="center"/>
          </w:tcPr>
          <w:p>
            <w:pPr>
              <w:jc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公差mm</w:t>
            </w:r>
          </w:p>
        </w:tc>
        <w:tc>
          <w:tcPr>
            <w:tcW w:w="2256" w:type="dxa"/>
            <w:vMerge w:val="restart"/>
            <w:tcBorders>
              <w:tl2br w:val="nil"/>
              <w:tr2bl w:val="nil"/>
            </w:tcBorders>
            <w:shd w:val="clear" w:color="auto" w:fill="auto"/>
            <w:noWrap/>
            <w:vAlign w:val="center"/>
          </w:tcPr>
          <w:p>
            <w:pPr>
              <w:jc w:val="center"/>
              <w:rPr>
                <w:rFonts w:hint="default" w:ascii="Times New Roman" w:hAnsi="Times New Roman" w:eastAsia="宋体" w:cs="宋体"/>
                <w:i w:val="0"/>
                <w:iCs w:val="0"/>
                <w:color w:val="000000"/>
                <w:sz w:val="21"/>
                <w:szCs w:val="22"/>
                <w:u w:val="none"/>
                <w:lang w:val="en-US"/>
              </w:rPr>
            </w:pPr>
            <w:r>
              <w:rPr>
                <w:rFonts w:hint="eastAsia" w:ascii="Times New Roman" w:hAnsi="Times New Roman" w:eastAsia="宋体" w:cs="宋体"/>
                <w:i w:val="0"/>
                <w:iCs w:val="0"/>
                <w:color w:val="000000"/>
                <w:kern w:val="0"/>
                <w:sz w:val="21"/>
                <w:szCs w:val="22"/>
                <w:u w:val="none"/>
                <w:lang w:val="en-US" w:eastAsia="zh-CN" w:bidi="ar"/>
              </w:rPr>
              <w:t>测厚仪最大允许误差mm</w:t>
            </w:r>
          </w:p>
        </w:tc>
        <w:tc>
          <w:tcPr>
            <w:tcW w:w="225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测厚仪</w:t>
            </w:r>
            <w:r>
              <w:rPr>
                <w:rFonts w:hint="eastAsia" w:ascii="Times New Roman" w:hAnsi="Times New Roman" w:cs="宋体"/>
                <w:i w:val="0"/>
                <w:iCs w:val="0"/>
                <w:color w:val="000000"/>
                <w:kern w:val="0"/>
                <w:sz w:val="21"/>
                <w:szCs w:val="22"/>
                <w:u w:val="none"/>
                <w:lang w:val="en-US" w:eastAsia="zh-CN" w:bidi="ar"/>
              </w:rPr>
              <w:t>最大允许相对</w:t>
            </w:r>
            <w:r>
              <w:rPr>
                <w:rFonts w:hint="eastAsia" w:ascii="Times New Roman" w:hAnsi="Times New Roman" w:eastAsia="宋体" w:cs="宋体"/>
                <w:i w:val="0"/>
                <w:iCs w:val="0"/>
                <w:color w:val="000000"/>
                <w:kern w:val="0"/>
                <w:sz w:val="21"/>
                <w:szCs w:val="22"/>
                <w:u w:val="none"/>
                <w:lang w:val="en-US" w:eastAsia="zh-CN" w:bidi="ar"/>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64" w:type="dxa"/>
            <w:vMerge w:val="continue"/>
            <w:tcBorders>
              <w:tl2br w:val="nil"/>
              <w:tr2bl w:val="nil"/>
            </w:tcBorders>
            <w:shd w:val="clear" w:color="auto" w:fill="auto"/>
            <w:noWrap/>
            <w:vAlign w:val="center"/>
          </w:tcPr>
          <w:p>
            <w:pPr>
              <w:jc w:val="center"/>
            </w:pPr>
          </w:p>
        </w:tc>
        <w:tc>
          <w:tcPr>
            <w:tcW w:w="1264" w:type="dxa"/>
            <w:tcBorders>
              <w:tl2br w:val="nil"/>
              <w:tr2bl w:val="nil"/>
            </w:tcBorders>
            <w:shd w:val="clear" w:color="auto" w:fill="auto"/>
            <w:noWrap/>
            <w:vAlign w:val="center"/>
          </w:tcPr>
          <w:p>
            <w:pPr>
              <w:jc w:val="center"/>
              <w:rPr>
                <w:rFonts w:hint="default" w:ascii="Times New Roman" w:hAnsi="Times New Roman" w:eastAsia="宋体" w:cs="宋体"/>
                <w:i w:val="0"/>
                <w:iCs w:val="0"/>
                <w:color w:val="000000"/>
                <w:kern w:val="0"/>
                <w:sz w:val="21"/>
                <w:szCs w:val="22"/>
                <w:u w:val="none"/>
                <w:lang w:val="en-US" w:eastAsia="zh-CN" w:bidi="ar"/>
              </w:rPr>
            </w:pPr>
            <w:r>
              <w:rPr>
                <w:rFonts w:hint="eastAsia" w:ascii="Times New Roman" w:hAnsi="Times New Roman" w:eastAsia="宋体" w:cs="宋体"/>
                <w:i w:val="0"/>
                <w:iCs w:val="0"/>
                <w:color w:val="000000"/>
                <w:kern w:val="0"/>
                <w:sz w:val="21"/>
                <w:szCs w:val="22"/>
                <w:u w:val="none"/>
                <w:lang w:val="en-US" w:eastAsia="zh-CN" w:bidi="ar"/>
              </w:rPr>
              <w:t>下偏差</w:t>
            </w:r>
          </w:p>
        </w:tc>
        <w:tc>
          <w:tcPr>
            <w:tcW w:w="1264" w:type="dxa"/>
            <w:tcBorders>
              <w:tl2br w:val="nil"/>
              <w:tr2bl w:val="nil"/>
            </w:tcBorders>
            <w:shd w:val="clear" w:color="auto" w:fill="auto"/>
            <w:noWrap/>
            <w:vAlign w:val="center"/>
          </w:tcPr>
          <w:p>
            <w:pPr>
              <w:jc w:val="center"/>
              <w:rPr>
                <w:rFonts w:hint="default" w:ascii="Times New Roman" w:hAnsi="Times New Roman" w:eastAsia="宋体" w:cs="宋体"/>
                <w:i w:val="0"/>
                <w:iCs w:val="0"/>
                <w:color w:val="000000"/>
                <w:kern w:val="0"/>
                <w:sz w:val="21"/>
                <w:szCs w:val="22"/>
                <w:u w:val="none"/>
                <w:lang w:val="en-US" w:eastAsia="zh-CN" w:bidi="ar"/>
              </w:rPr>
            </w:pPr>
            <w:r>
              <w:rPr>
                <w:rFonts w:hint="eastAsia" w:ascii="Times New Roman" w:hAnsi="Times New Roman" w:eastAsia="宋体" w:cs="宋体"/>
                <w:i w:val="0"/>
                <w:iCs w:val="0"/>
                <w:color w:val="000000"/>
                <w:kern w:val="0"/>
                <w:sz w:val="21"/>
                <w:szCs w:val="22"/>
                <w:u w:val="none"/>
                <w:lang w:val="en-US" w:eastAsia="zh-CN" w:bidi="ar"/>
              </w:rPr>
              <w:t>上偏差</w:t>
            </w:r>
          </w:p>
        </w:tc>
        <w:tc>
          <w:tcPr>
            <w:tcW w:w="2256" w:type="dxa"/>
            <w:vMerge w:val="continue"/>
            <w:tcBorders>
              <w:tl2br w:val="nil"/>
              <w:tr2bl w:val="nil"/>
            </w:tcBorders>
            <w:shd w:val="clear" w:color="auto" w:fill="auto"/>
            <w:noWrap/>
            <w:vAlign w:val="center"/>
          </w:tcPr>
          <w:p>
            <w:pPr>
              <w:jc w:val="center"/>
              <w:rPr>
                <w:rFonts w:hint="eastAsia" w:ascii="Times New Roman" w:hAnsi="Times New Roman" w:eastAsia="宋体" w:cs="宋体"/>
                <w:i w:val="0"/>
                <w:iCs w:val="0"/>
                <w:color w:val="000000"/>
                <w:kern w:val="0"/>
                <w:sz w:val="21"/>
                <w:szCs w:val="22"/>
                <w:u w:val="none"/>
                <w:lang w:val="en-US" w:eastAsia="zh-CN" w:bidi="ar"/>
              </w:rPr>
            </w:pPr>
          </w:p>
        </w:tc>
        <w:tc>
          <w:tcPr>
            <w:tcW w:w="2256" w:type="dxa"/>
            <w:vMerge w:val="continue"/>
            <w:tcBorders>
              <w:tl2br w:val="nil"/>
              <w:tr2bl w:val="nil"/>
            </w:tcBorders>
            <w:shd w:val="clear" w:color="auto" w:fill="auto"/>
            <w:noWrap/>
            <w:vAlign w:val="center"/>
          </w:tcPr>
          <w:p>
            <w:pPr>
              <w:jc w:val="center"/>
              <w:rPr>
                <w:rFonts w:hint="eastAsia" w:ascii="Times New Roman" w:hAnsi="Times New Roman" w:eastAsia="宋体" w:cs="宋体"/>
                <w:i w:val="0"/>
                <w:iCs w:val="0"/>
                <w:color w:val="000000"/>
                <w:kern w:val="0"/>
                <w:sz w:val="21"/>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0.0010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0.245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0.0010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0.0010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-0.01</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0.01</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0.0033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0.6</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-0.01</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0.015</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0.0042</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0.8</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-0.022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-0.005</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0.0028</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1</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0.02</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0.0067</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1.2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0.0100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0.0100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2.5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0.01</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0.0100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0.06</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0.0100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3.2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0.0100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4.91</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0.05</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0.0167</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5.88</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-0.15</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0.05</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0.0333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6</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-0.2</w:t>
            </w:r>
          </w:p>
        </w:tc>
        <w:tc>
          <w:tcPr>
            <w:tcW w:w="126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Times New Roman" w:hAnsi="Times New Roman" w:eastAsia="宋体" w:cs="宋体"/>
                <w:i w:val="0"/>
                <w:iCs w:val="0"/>
                <w:color w:val="000000"/>
                <w:kern w:val="0"/>
                <w:sz w:val="21"/>
                <w:szCs w:val="22"/>
                <w:u w:val="none"/>
                <w:shd w:val="clear" w:color="auto" w:fill="auto"/>
                <w:lang w:val="en-US" w:eastAsia="zh-CN" w:bidi="ar"/>
              </w:rPr>
              <w:t>0</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0.0333</w:t>
            </w:r>
          </w:p>
        </w:tc>
        <w:tc>
          <w:tcPr>
            <w:tcW w:w="22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2"/>
                <w:u w:val="none"/>
                <w:shd w:val="clear" w:color="auto" w:fill="auto"/>
              </w:rPr>
            </w:pPr>
            <w:r>
              <w:rPr>
                <w:rFonts w:hint="eastAsia" w:ascii="宋体" w:hAnsi="宋体" w:eastAsia="宋体" w:cs="宋体"/>
                <w:i w:val="0"/>
                <w:iCs w:val="0"/>
                <w:color w:val="000000"/>
                <w:kern w:val="0"/>
                <w:sz w:val="21"/>
                <w:szCs w:val="22"/>
                <w:u w:val="none"/>
                <w:lang w:val="en-US" w:eastAsia="zh-CN" w:bidi="ar"/>
              </w:rPr>
              <w:t>±</w:t>
            </w:r>
            <w:r>
              <w:rPr>
                <w:rFonts w:hint="eastAsia" w:ascii="Times New Roman" w:hAnsi="Times New Roman" w:eastAsia="宋体" w:cs="宋体"/>
                <w:i w:val="0"/>
                <w:iCs w:val="0"/>
                <w:color w:val="000000"/>
                <w:kern w:val="0"/>
                <w:sz w:val="21"/>
                <w:szCs w:val="22"/>
                <w:u w:val="none"/>
                <w:shd w:val="clear" w:color="auto" w:fill="auto"/>
                <w:lang w:val="en-US" w:eastAsia="zh-CN" w:bidi="ar"/>
              </w:rPr>
              <w:t>0.56%</w:t>
            </w:r>
          </w:p>
        </w:tc>
      </w:tr>
    </w:tbl>
    <w:p>
      <w:pPr>
        <w:adjustRightInd w:val="0"/>
        <w:snapToGrid w:val="0"/>
        <w:spacing w:line="360" w:lineRule="auto"/>
        <w:ind w:firstLine="420" w:firstLineChars="200"/>
        <w:rPr>
          <w:rFonts w:hint="eastAsia" w:hAnsi="宋体" w:cs="Times New Roman"/>
          <w:bCs/>
          <w:color w:val="auto"/>
          <w:szCs w:val="21"/>
          <w:highlight w:val="none"/>
          <w:lang w:val="en-US" w:eastAsia="zh-CN"/>
        </w:rPr>
      </w:pPr>
    </w:p>
    <w:p>
      <w:pPr>
        <w:adjustRightInd w:val="0"/>
        <w:snapToGrid w:val="0"/>
        <w:spacing w:line="360" w:lineRule="auto"/>
        <w:ind w:firstLine="420" w:firstLineChars="200"/>
        <w:rPr>
          <w:rFonts w:hint="default" w:hAnsi="宋体" w:cs="Times New Roman"/>
          <w:bCs/>
          <w:color w:val="auto"/>
          <w:szCs w:val="21"/>
          <w:highlight w:val="none"/>
          <w:lang w:val="en-US" w:eastAsia="zh-CN"/>
        </w:rPr>
      </w:pPr>
      <w:r>
        <w:rPr>
          <w:rFonts w:hint="eastAsia" w:hAnsi="宋体" w:cs="Times New Roman"/>
          <w:bCs/>
          <w:color w:val="auto"/>
          <w:szCs w:val="21"/>
          <w:highlight w:val="none"/>
          <w:lang w:val="en-US" w:eastAsia="zh-CN"/>
        </w:rPr>
        <w:t>另根据YST457-2021《铝箔用冷轧带材》，带材厚度允许偏差为带材公称厚度的3%，以及现在正起草的标准</w:t>
      </w:r>
      <w:r>
        <w:rPr>
          <w:rFonts w:hint="eastAsia" w:ascii="Times New Roman" w:hAnsi="Times New Roman" w:eastAsia="宋体" w:cs="宋体"/>
          <w:i w:val="0"/>
          <w:iCs w:val="0"/>
          <w:color w:val="000000"/>
          <w:kern w:val="0"/>
          <w:sz w:val="21"/>
          <w:szCs w:val="22"/>
          <w:u w:val="none"/>
          <w:lang w:val="en-US" w:eastAsia="zh-CN" w:bidi="ar"/>
        </w:rPr>
        <w:t>GBT3880.3-202X</w:t>
      </w:r>
      <w:r>
        <w:rPr>
          <w:rFonts w:hint="eastAsia" w:cs="宋体"/>
          <w:i w:val="0"/>
          <w:iCs w:val="0"/>
          <w:color w:val="000000"/>
          <w:kern w:val="0"/>
          <w:sz w:val="21"/>
          <w:szCs w:val="22"/>
          <w:u w:val="none"/>
          <w:lang w:val="en-US" w:eastAsia="zh-CN" w:bidi="ar"/>
        </w:rPr>
        <w:t>。</w:t>
      </w:r>
    </w:p>
    <w:tbl>
      <w:tblPr>
        <w:tblStyle w:val="15"/>
        <w:tblW w:w="81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74"/>
        <w:gridCol w:w="956"/>
        <w:gridCol w:w="956"/>
        <w:gridCol w:w="956"/>
        <w:gridCol w:w="113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2674"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21"/>
                <w:szCs w:val="22"/>
                <w:u w:val="none"/>
                <w:lang w:val="en-US" w:eastAsia="zh-CN" w:bidi="ar"/>
              </w:rPr>
            </w:pPr>
            <w:r>
              <w:rPr>
                <w:rFonts w:hint="eastAsia" w:cs="宋体"/>
                <w:i w:val="0"/>
                <w:iCs w:val="0"/>
                <w:color w:val="000000"/>
                <w:kern w:val="0"/>
                <w:sz w:val="21"/>
                <w:szCs w:val="22"/>
                <w:u w:val="none"/>
                <w:lang w:val="en-US" w:eastAsia="zh-CN" w:bidi="ar"/>
              </w:rPr>
              <w:t>引用</w:t>
            </w:r>
            <w:r>
              <w:rPr>
                <w:rFonts w:hint="eastAsia" w:ascii="Times New Roman" w:hAnsi="Times New Roman" w:cs="宋体"/>
                <w:i w:val="0"/>
                <w:iCs w:val="0"/>
                <w:color w:val="000000"/>
                <w:kern w:val="0"/>
                <w:sz w:val="21"/>
                <w:szCs w:val="22"/>
                <w:u w:val="none"/>
                <w:lang w:val="en-US" w:eastAsia="zh-CN" w:bidi="ar"/>
              </w:rPr>
              <w:t>标准</w:t>
            </w:r>
          </w:p>
        </w:tc>
        <w:tc>
          <w:tcPr>
            <w:tcW w:w="956" w:type="dxa"/>
            <w:vMerge w:val="restart"/>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2"/>
                <w:sz w:val="21"/>
                <w:szCs w:val="22"/>
                <w:u w:val="none"/>
                <w:lang w:val="en-US" w:eastAsia="zh-CN" w:bidi="ar-SA"/>
              </w:rPr>
            </w:pPr>
            <w:r>
              <w:rPr>
                <w:rFonts w:hint="eastAsia" w:ascii="Times New Roman" w:hAnsi="Times New Roman" w:eastAsia="宋体" w:cs="宋体"/>
                <w:i w:val="0"/>
                <w:iCs w:val="0"/>
                <w:color w:val="000000"/>
                <w:kern w:val="0"/>
                <w:sz w:val="21"/>
                <w:szCs w:val="22"/>
                <w:u w:val="none"/>
                <w:lang w:val="en-US" w:eastAsia="zh-CN" w:bidi="ar"/>
              </w:rPr>
              <w:t>厚度mm</w:t>
            </w:r>
          </w:p>
        </w:tc>
        <w:tc>
          <w:tcPr>
            <w:tcW w:w="1912" w:type="dxa"/>
            <w:gridSpan w:val="2"/>
            <w:shd w:val="clear" w:color="auto" w:fill="auto"/>
            <w:noWrap/>
            <w:vAlign w:val="center"/>
          </w:tcPr>
          <w:p>
            <w:pPr>
              <w:jc w:val="center"/>
              <w:rPr>
                <w:rFonts w:hint="eastAsia" w:ascii="Times New Roman" w:hAnsi="Times New Roman" w:eastAsia="宋体" w:cs="宋体"/>
                <w:i w:val="0"/>
                <w:iCs w:val="0"/>
                <w:color w:val="000000"/>
                <w:kern w:val="2"/>
                <w:sz w:val="21"/>
                <w:szCs w:val="22"/>
                <w:u w:val="none"/>
                <w:lang w:val="en-US" w:eastAsia="zh-CN" w:bidi="ar-SA"/>
              </w:rPr>
            </w:pPr>
            <w:r>
              <w:rPr>
                <w:rFonts w:hint="eastAsia" w:ascii="Times New Roman" w:hAnsi="Times New Roman" w:eastAsia="宋体" w:cs="宋体"/>
                <w:i w:val="0"/>
                <w:iCs w:val="0"/>
                <w:color w:val="000000"/>
                <w:kern w:val="0"/>
                <w:sz w:val="21"/>
                <w:szCs w:val="22"/>
                <w:u w:val="none"/>
                <w:lang w:val="en-US" w:eastAsia="zh-CN" w:bidi="ar"/>
              </w:rPr>
              <w:t>公差mm</w:t>
            </w:r>
          </w:p>
        </w:tc>
        <w:tc>
          <w:tcPr>
            <w:tcW w:w="1139" w:type="dxa"/>
            <w:vMerge w:val="restart"/>
            <w:shd w:val="clear" w:color="auto" w:fill="auto"/>
            <w:noWrap/>
            <w:vAlign w:val="center"/>
          </w:tcPr>
          <w:p>
            <w:pPr>
              <w:jc w:val="center"/>
              <w:rPr>
                <w:rFonts w:hint="eastAsia" w:ascii="Times New Roman" w:hAnsi="Times New Roman" w:eastAsia="宋体" w:cs="宋体"/>
                <w:i w:val="0"/>
                <w:iCs w:val="0"/>
                <w:color w:val="000000"/>
                <w:kern w:val="2"/>
                <w:sz w:val="21"/>
                <w:szCs w:val="22"/>
                <w:u w:val="none"/>
                <w:lang w:val="en-US" w:eastAsia="zh-CN" w:bidi="ar-SA"/>
              </w:rPr>
            </w:pPr>
            <w:r>
              <w:rPr>
                <w:rFonts w:hint="eastAsia" w:ascii="Times New Roman" w:hAnsi="Times New Roman" w:eastAsia="宋体" w:cs="宋体"/>
                <w:i w:val="0"/>
                <w:iCs w:val="0"/>
                <w:color w:val="000000"/>
                <w:kern w:val="0"/>
                <w:sz w:val="21"/>
                <w:szCs w:val="22"/>
                <w:u w:val="none"/>
                <w:lang w:val="en-US" w:eastAsia="zh-CN" w:bidi="ar"/>
              </w:rPr>
              <w:t>测厚仪最大允许误差mm</w:t>
            </w:r>
          </w:p>
        </w:tc>
        <w:tc>
          <w:tcPr>
            <w:tcW w:w="1419" w:type="dxa"/>
            <w:vMerge w:val="restart"/>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2"/>
                <w:sz w:val="21"/>
                <w:szCs w:val="22"/>
                <w:u w:val="none"/>
                <w:lang w:val="en-US" w:eastAsia="zh-CN" w:bidi="ar-SA"/>
              </w:rPr>
            </w:pPr>
            <w:r>
              <w:rPr>
                <w:rFonts w:hint="eastAsia" w:ascii="Times New Roman" w:hAnsi="Times New Roman" w:eastAsia="宋体" w:cs="宋体"/>
                <w:i w:val="0"/>
                <w:iCs w:val="0"/>
                <w:color w:val="000000"/>
                <w:kern w:val="0"/>
                <w:sz w:val="21"/>
                <w:szCs w:val="22"/>
                <w:u w:val="none"/>
                <w:lang w:val="en-US" w:eastAsia="zh-CN" w:bidi="ar"/>
              </w:rPr>
              <w:t>测厚仪</w:t>
            </w:r>
            <w:r>
              <w:rPr>
                <w:rFonts w:hint="eastAsia" w:cs="宋体"/>
                <w:i w:val="0"/>
                <w:iCs w:val="0"/>
                <w:color w:val="000000"/>
                <w:kern w:val="0"/>
                <w:sz w:val="21"/>
                <w:szCs w:val="22"/>
                <w:u w:val="none"/>
                <w:lang w:val="en-US" w:eastAsia="zh-CN" w:bidi="ar"/>
              </w:rPr>
              <w:t>最大允许</w:t>
            </w:r>
            <w:r>
              <w:rPr>
                <w:rFonts w:hint="eastAsia" w:ascii="Times New Roman" w:hAnsi="Times New Roman" w:cs="宋体"/>
                <w:i w:val="0"/>
                <w:iCs w:val="0"/>
                <w:color w:val="000000"/>
                <w:kern w:val="0"/>
                <w:sz w:val="21"/>
                <w:szCs w:val="22"/>
                <w:u w:val="none"/>
                <w:lang w:val="en-US" w:eastAsia="zh-CN" w:bidi="ar"/>
              </w:rPr>
              <w:t>相对</w:t>
            </w:r>
            <w:r>
              <w:rPr>
                <w:rFonts w:hint="eastAsia" w:ascii="Times New Roman" w:hAnsi="Times New Roman" w:eastAsia="宋体" w:cs="宋体"/>
                <w:i w:val="0"/>
                <w:iCs w:val="0"/>
                <w:color w:val="000000"/>
                <w:kern w:val="0"/>
                <w:sz w:val="21"/>
                <w:szCs w:val="22"/>
                <w:u w:val="none"/>
                <w:lang w:val="en-US" w:eastAsia="zh-CN" w:bidi="ar"/>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674" w:type="dxa"/>
            <w:vMerge w:val="continue"/>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宋体"/>
                <w:i w:val="0"/>
                <w:iCs w:val="0"/>
                <w:color w:val="000000"/>
                <w:kern w:val="0"/>
                <w:sz w:val="21"/>
                <w:szCs w:val="22"/>
                <w:u w:val="none"/>
                <w:lang w:val="en-US" w:eastAsia="zh-CN" w:bidi="ar"/>
              </w:rPr>
            </w:pPr>
          </w:p>
        </w:tc>
        <w:tc>
          <w:tcPr>
            <w:tcW w:w="956" w:type="dxa"/>
            <w:vMerge w:val="continue"/>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1"/>
                <w:szCs w:val="22"/>
                <w:u w:val="none"/>
                <w:lang w:val="en-US" w:eastAsia="zh-CN" w:bidi="ar"/>
              </w:rPr>
            </w:pPr>
          </w:p>
        </w:tc>
        <w:tc>
          <w:tcPr>
            <w:tcW w:w="956"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宋体"/>
                <w:i w:val="0"/>
                <w:iCs w:val="0"/>
                <w:color w:val="000000"/>
                <w:kern w:val="0"/>
                <w:sz w:val="21"/>
                <w:szCs w:val="22"/>
                <w:u w:val="none"/>
                <w:lang w:val="en-US" w:eastAsia="zh-CN" w:bidi="ar"/>
              </w:rPr>
            </w:pPr>
            <w:r>
              <w:rPr>
                <w:rFonts w:hint="eastAsia" w:ascii="Times New Roman" w:hAnsi="Times New Roman" w:cs="宋体"/>
                <w:i w:val="0"/>
                <w:iCs w:val="0"/>
                <w:color w:val="000000"/>
                <w:kern w:val="0"/>
                <w:sz w:val="21"/>
                <w:szCs w:val="22"/>
                <w:u w:val="none"/>
                <w:lang w:val="en-US" w:eastAsia="zh-CN" w:bidi="ar"/>
              </w:rPr>
              <w:t>上偏差</w:t>
            </w:r>
          </w:p>
        </w:tc>
        <w:tc>
          <w:tcPr>
            <w:tcW w:w="956"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宋体"/>
                <w:i w:val="0"/>
                <w:iCs w:val="0"/>
                <w:color w:val="000000"/>
                <w:kern w:val="0"/>
                <w:sz w:val="21"/>
                <w:szCs w:val="22"/>
                <w:u w:val="none"/>
                <w:lang w:val="en-US" w:eastAsia="zh-CN" w:bidi="ar"/>
              </w:rPr>
            </w:pPr>
            <w:r>
              <w:rPr>
                <w:rFonts w:hint="eastAsia" w:ascii="Times New Roman" w:hAnsi="Times New Roman" w:cs="宋体"/>
                <w:i w:val="0"/>
                <w:iCs w:val="0"/>
                <w:color w:val="000000"/>
                <w:kern w:val="0"/>
                <w:sz w:val="21"/>
                <w:szCs w:val="22"/>
                <w:u w:val="none"/>
                <w:lang w:val="en-US" w:eastAsia="zh-CN" w:bidi="ar"/>
              </w:rPr>
              <w:t>下偏差</w:t>
            </w:r>
          </w:p>
        </w:tc>
        <w:tc>
          <w:tcPr>
            <w:tcW w:w="1139" w:type="dxa"/>
            <w:vMerge w:val="continue"/>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1"/>
                <w:szCs w:val="22"/>
                <w:u w:val="none"/>
                <w:lang w:val="en-US" w:eastAsia="zh-CN" w:bidi="ar"/>
              </w:rPr>
            </w:pPr>
          </w:p>
        </w:tc>
        <w:tc>
          <w:tcPr>
            <w:tcW w:w="1419" w:type="dxa"/>
            <w:vMerge w:val="continue"/>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1"/>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674"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956" w:type="dxa"/>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w:t>
            </w:r>
          </w:p>
        </w:tc>
        <w:tc>
          <w:tcPr>
            <w:tcW w:w="956" w:type="dxa"/>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-0.01</w:t>
            </w:r>
          </w:p>
        </w:tc>
        <w:tc>
          <w:tcPr>
            <w:tcW w:w="956" w:type="dxa"/>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0.01</w:t>
            </w:r>
          </w:p>
        </w:tc>
        <w:tc>
          <w:tcPr>
            <w:tcW w:w="1139" w:type="dxa"/>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0.0033 </w:t>
            </w:r>
          </w:p>
        </w:tc>
        <w:tc>
          <w:tcPr>
            <w:tcW w:w="1419" w:type="dxa"/>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-0.02</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0.02</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0.0067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0.0100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2.5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0.0133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3.5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0.0167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0.0200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-0.07</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0.07</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0.0233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GBT3880.3-202X冷轧高精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7</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0.08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0.0267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c>
          <w:tcPr>
            <w:tcW w:w="0" w:type="auto"/>
            <w:shd w:val="clear" w:color="auto" w:fill="auto"/>
            <w:noWrap/>
            <w:vAlign w:val="center"/>
          </w:tcPr>
          <w:p>
            <w:pPr>
              <w:rPr>
                <w:rFonts w:hint="eastAsia" w:ascii="Times New Roman" w:hAnsi="Times New Roman" w:eastAsia="宋体" w:cs="宋体"/>
                <w:i w:val="0"/>
                <w:iCs w:val="0"/>
                <w:color w:val="000000"/>
                <w:sz w:val="21"/>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-0.12</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0.12</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0.0400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0.0500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0.0533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0.0600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0.0767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0.0833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20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0.1000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30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0.1167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0.1333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50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0.45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0.1500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60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0.6</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0.2000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80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0.2667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100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-0.9</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0.9</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0.3000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150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-1.1</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1.1</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0.3667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220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1.3</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0.4333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350</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1.4</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0.4667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GBT3880.3-202X热轧高精</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435</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1.8</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0.6000 </w:t>
            </w:r>
          </w:p>
        </w:tc>
        <w:tc>
          <w:tcPr>
            <w:tcW w:w="0" w:type="auto"/>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0.14%</w:t>
            </w:r>
          </w:p>
        </w:tc>
      </w:tr>
    </w:tbl>
    <w:p>
      <w:pPr>
        <w:adjustRightInd w:val="0"/>
        <w:snapToGrid w:val="0"/>
        <w:spacing w:line="360" w:lineRule="auto"/>
        <w:ind w:firstLine="420" w:firstLineChars="200"/>
        <w:rPr>
          <w:rFonts w:hint="eastAsia" w:hAnsi="宋体" w:cs="Times New Roman"/>
          <w:bCs/>
          <w:color w:val="auto"/>
          <w:szCs w:val="21"/>
          <w:highlight w:val="none"/>
          <w:lang w:val="en-US" w:eastAsia="zh-CN"/>
        </w:rPr>
      </w:pPr>
    </w:p>
    <w:p>
      <w:pPr>
        <w:adjustRightInd w:val="0"/>
        <w:snapToGrid w:val="0"/>
        <w:spacing w:line="360" w:lineRule="auto"/>
        <w:ind w:firstLine="420" w:firstLineChars="200"/>
        <w:rPr>
          <w:rFonts w:hint="default" w:hAnsi="宋体" w:cs="Times New Roman"/>
          <w:bCs/>
          <w:color w:val="auto"/>
          <w:szCs w:val="21"/>
          <w:highlight w:val="none"/>
          <w:lang w:val="en-US" w:eastAsia="zh-CN"/>
        </w:rPr>
      </w:pPr>
      <w:r>
        <w:rPr>
          <w:rFonts w:hint="eastAsia" w:hAnsi="宋体" w:cs="Times New Roman"/>
          <w:bCs/>
          <w:color w:val="auto"/>
          <w:szCs w:val="21"/>
          <w:highlight w:val="none"/>
          <w:lang w:val="en-US" w:eastAsia="zh-CN"/>
        </w:rPr>
        <w:t>因此将表1测厚仪的示值最大允许误差、重复性的要求改为如下</w:t>
      </w:r>
    </w:p>
    <w:tbl>
      <w:tblPr>
        <w:tblStyle w:val="15"/>
        <w:tblpPr w:leftFromText="180" w:rightFromText="180" w:vertAnchor="text" w:horzAnchor="page" w:tblpX="1562" w:tblpY="65"/>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764"/>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98" w:type="dxa"/>
            <w:tcBorders>
              <w:tl2br w:val="nil"/>
              <w:tr2bl w:val="nil"/>
            </w:tcBorders>
            <w:vAlign w:val="center"/>
          </w:tcPr>
          <w:p>
            <w:pPr>
              <w:jc w:val="center"/>
              <w:rPr>
                <w:rStyle w:val="46"/>
                <w:rFonts w:hint="default"/>
                <w:color w:val="auto"/>
                <w:highlight w:val="none"/>
                <w:lang w:val="en-US" w:eastAsia="zh-CN"/>
              </w:rPr>
            </w:pPr>
            <w:r>
              <w:rPr>
                <w:rStyle w:val="46"/>
                <w:rFonts w:hint="eastAsia"/>
                <w:color w:val="auto"/>
                <w:highlight w:val="none"/>
                <w:lang w:val="en-US" w:eastAsia="zh-CN"/>
              </w:rPr>
              <w:t>测量范围</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rPr>
              <w:t>示值最大允许误差</w:t>
            </w:r>
          </w:p>
        </w:tc>
        <w:tc>
          <w:tcPr>
            <w:tcW w:w="3353" w:type="dxa"/>
            <w:tcBorders>
              <w:tl2br w:val="nil"/>
              <w:tr2bl w:val="nil"/>
            </w:tcBorders>
            <w:vAlign w:val="center"/>
          </w:tcPr>
          <w:p>
            <w:pPr>
              <w:jc w:val="center"/>
              <w:rPr>
                <w:rStyle w:val="46"/>
                <w:rFonts w:hint="eastAsia"/>
                <w:color w:val="auto"/>
                <w:highlight w:val="none"/>
                <w:lang w:eastAsia="zh-CN"/>
              </w:rPr>
            </w:pPr>
            <w:r>
              <w:rPr>
                <w:rStyle w:val="46"/>
                <w:rFonts w:hint="eastAsia"/>
                <w:color w:val="auto"/>
                <w:highlight w:val="none"/>
                <w:lang w:eastAsia="zh-CN"/>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default" w:ascii="Arial" w:hAnsi="Arial" w:cs="Arial"/>
                <w:strike w:val="0"/>
                <w:dstrike w:val="0"/>
                <w:color w:val="auto"/>
                <w:highlight w:val="none"/>
                <w:lang w:val="en-US" w:eastAsia="zh-CN"/>
              </w:rPr>
              <w:t>≤</w:t>
            </w:r>
            <w:r>
              <w:rPr>
                <w:rStyle w:val="46"/>
                <w:rFonts w:hint="eastAsia"/>
                <w:color w:val="auto"/>
                <w:highlight w:val="none"/>
                <w:lang w:val="en-US" w:eastAsia="zh-CN"/>
              </w:rPr>
              <w:t xml:space="preserve">0.2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±0.5%读数或±0.1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0.25%读数或0.1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Style w:val="46"/>
                <w:rFonts w:hint="eastAsia"/>
                <w:color w:val="auto"/>
                <w:highlight w:val="none"/>
                <w:lang w:val="en-US" w:eastAsia="zh-CN"/>
              </w:rPr>
              <w:t xml:space="preserve">&gt;0.2 </w:t>
            </w:r>
            <w:r>
              <w:rPr>
                <w:rStyle w:val="46"/>
                <w:rFonts w:hint="default"/>
                <w:color w:val="auto"/>
                <w:highlight w:val="none"/>
                <w:lang w:val="en-US" w:eastAsia="zh-CN"/>
              </w:rPr>
              <w:t>mm</w:t>
            </w:r>
            <w:r>
              <w:rPr>
                <w:rStyle w:val="46"/>
                <w:rFonts w:hint="eastAsia" w:ascii="宋体" w:hAnsi="宋体" w:eastAsia="宋体" w:cs="宋体"/>
                <w:color w:val="auto"/>
                <w:highlight w:val="none"/>
                <w:lang w:val="en-US" w:eastAsia="zh-CN"/>
              </w:rPr>
              <w:t>～</w:t>
            </w:r>
            <w:r>
              <w:rPr>
                <w:rStyle w:val="46"/>
                <w:rFonts w:hint="eastAsia"/>
                <w:color w:val="auto"/>
                <w:highlight w:val="none"/>
                <w:lang w:val="en-US" w:eastAsia="zh-CN"/>
              </w:rPr>
              <w:t>10 mm</w:t>
            </w:r>
          </w:p>
        </w:tc>
        <w:tc>
          <w:tcPr>
            <w:tcW w:w="3764" w:type="dxa"/>
            <w:tcBorders>
              <w:tl2br w:val="nil"/>
              <w:tr2bl w:val="nil"/>
            </w:tcBorders>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Style w:val="46"/>
                <w:rFonts w:hint="eastAsia"/>
                <w:color w:val="auto"/>
                <w:highlight w:val="none"/>
                <w:lang w:val="en-US" w:eastAsia="zh-CN"/>
              </w:rPr>
              <w:t>±0.2%读数或±1</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Style w:val="46"/>
                <w:rFonts w:hint="eastAsia"/>
                <w:color w:val="auto"/>
                <w:highlight w:val="none"/>
                <w:lang w:val="en-US" w:eastAsia="zh-CN"/>
              </w:rPr>
              <w:t>0.15%读数或1</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 xml:space="preserve">&gt;10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±0.1%读数或±20</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0.10%读数或20</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bl>
    <w:p>
      <w:pPr>
        <w:adjustRightInd w:val="0"/>
        <w:snapToGrid w:val="0"/>
        <w:spacing w:line="360" w:lineRule="auto"/>
        <w:ind w:firstLine="420" w:firstLineChars="200"/>
        <w:rPr>
          <w:rFonts w:hint="default" w:hAnsi="宋体" w:cs="Times New Roman"/>
          <w:bCs/>
          <w:color w:val="auto"/>
          <w:szCs w:val="21"/>
          <w:highlight w:val="none"/>
          <w:lang w:val="en-US" w:eastAsia="zh-CN"/>
        </w:rPr>
      </w:pP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校准条件</w:t>
      </w:r>
    </w:p>
    <w:p>
      <w:pPr>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校准条件包括校准用计量标准、校准环境条件和其它条件，为了使穿透式在线测厚仪的漏射线不影响工作人员身体健康，规范要求漏射线最大剂量当量率应符合有关规定；为使测量结果具有尽可能小的不确定度，需要具备一定准确度要求的计量标准以满足用户对测量不确定度的要求、能覆盖被校设备实际校准范围。本规范是按上述原则确定校准条件的。</w:t>
      </w:r>
    </w:p>
    <w:p>
      <w:pPr>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根据2023年7月征求意见稿反馈意见，将“穿透式测厚仪的漏射线最大剂量当量率应符合有关规定。”，修改为：“穿透式测厚仪的漏射线最大剂量当量率应符合GBZ117-2022《工业探伤放射防护标准》要求”。</w:t>
      </w:r>
    </w:p>
    <w:p>
      <w:pPr>
        <w:spacing w:line="360" w:lineRule="auto"/>
        <w:ind w:firstLine="420" w:firstLineChars="200"/>
        <w:rPr>
          <w:rFonts w:hint="eastAsia"/>
          <w:bCs/>
          <w:color w:val="auto"/>
          <w:highlight w:val="none"/>
          <w:lang w:val="en-US" w:eastAsia="zh-CN"/>
        </w:rPr>
      </w:pPr>
      <w:r>
        <w:rPr>
          <w:rFonts w:hint="default"/>
          <w:bCs/>
          <w:color w:val="auto"/>
          <w:highlight w:val="none"/>
          <w:lang w:val="en-US" w:eastAsia="zh-CN"/>
        </w:rPr>
        <w:t>根据</w:t>
      </w:r>
      <w:r>
        <w:rPr>
          <w:rFonts w:hint="eastAsia"/>
          <w:bCs/>
          <w:color w:val="auto"/>
          <w:highlight w:val="none"/>
          <w:lang w:val="en-US" w:eastAsia="zh-CN"/>
        </w:rPr>
        <w:t>2023年</w:t>
      </w:r>
      <w:r>
        <w:rPr>
          <w:rFonts w:hint="default"/>
          <w:bCs/>
          <w:color w:val="auto"/>
          <w:highlight w:val="none"/>
          <w:lang w:val="en-US" w:eastAsia="zh-CN"/>
        </w:rPr>
        <w:t>7月征求意见稿反馈意见，将</w:t>
      </w:r>
      <w:r>
        <w:rPr>
          <w:rFonts w:hint="eastAsia"/>
          <w:bCs/>
          <w:color w:val="auto"/>
          <w:highlight w:val="none"/>
          <w:lang w:val="en-US" w:eastAsia="zh-CN"/>
        </w:rPr>
        <w:t>“环境温度控制在10℃～45℃”根据JJG480-2007,修改为“校准室内温度: (20±10)℃,其温度变化不大于5℃/h;环境相对湿度不大于75%”。</w:t>
      </w:r>
    </w:p>
    <w:p>
      <w:pPr>
        <w:spacing w:line="360" w:lineRule="auto"/>
        <w:ind w:firstLine="420" w:firstLineChars="200"/>
        <w:rPr>
          <w:rFonts w:hint="default"/>
          <w:bCs/>
          <w:color w:val="auto"/>
          <w:highlight w:val="none"/>
          <w:lang w:val="en-US" w:eastAsia="zh-CN"/>
        </w:rPr>
      </w:pPr>
      <w:r>
        <w:rPr>
          <w:rFonts w:hint="eastAsia"/>
          <w:bCs/>
          <w:color w:val="auto"/>
          <w:highlight w:val="none"/>
          <w:lang w:val="en-US" w:eastAsia="zh-CN"/>
        </w:rPr>
        <w:t>根据2023年11月预审会意见，将表2中的技术要求“标准厚度板厚度测量不确定度不超过测厚仪最大允许误差的1/3，其板形必须平整，无划伤、毛刺、凹凸、霉点等缺陷。”，修改为：“见附录C、附录D”。</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ascii="黑体" w:eastAsia="黑体"/>
          <w:bCs/>
          <w:color w:val="auto"/>
          <w:szCs w:val="21"/>
          <w:highlight w:val="none"/>
        </w:rPr>
        <w:t xml:space="preserve"> </w:t>
      </w:r>
      <w:r>
        <w:rPr>
          <w:rFonts w:hint="eastAsia" w:ascii="黑体" w:hAnsi="宋体" w:eastAsia="黑体"/>
          <w:bCs/>
          <w:color w:val="auto"/>
          <w:szCs w:val="21"/>
          <w:highlight w:val="none"/>
        </w:rPr>
        <w:t>校准项目和校准方法</w:t>
      </w:r>
    </w:p>
    <w:p>
      <w:p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1）关于校准项目</w:t>
      </w:r>
    </w:p>
    <w:p>
      <w:p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校准项目：重复性、示值误差、示值漂移。</w:t>
      </w:r>
    </w:p>
    <w:p>
      <w:pPr>
        <w:numPr>
          <w:ilvl w:val="0"/>
          <w:numId w:val="5"/>
        </w:num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关于校准方法</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规范对测厚仪的重复性、示值漂移的校准参考了JJG 480-2007《X射线测厚仪检定规程》，规范对校准方法进行了的详细描述，给出了相应的计算公式。规范能较好地指导校准人员对铝板带在线测厚仪进行校准，具有较强的可操作性。</w:t>
      </w:r>
    </w:p>
    <w:p>
      <w:pPr>
        <w:adjustRightInd w:val="0"/>
        <w:snapToGrid w:val="0"/>
        <w:spacing w:line="360" w:lineRule="auto"/>
        <w:ind w:firstLine="420" w:firstLineChars="200"/>
        <w:rPr>
          <w:rFonts w:hint="default" w:hAnsi="宋体" w:cs="Times New Roman"/>
          <w:bCs/>
          <w:color w:val="auto"/>
          <w:szCs w:val="21"/>
          <w:highlight w:val="none"/>
          <w:lang w:val="en-US" w:eastAsia="zh-CN"/>
        </w:rPr>
      </w:pPr>
      <w:r>
        <w:rPr>
          <w:rFonts w:hint="eastAsia" w:hAnsi="宋体" w:cs="Times New Roman"/>
          <w:bCs/>
          <w:color w:val="auto"/>
          <w:szCs w:val="21"/>
          <w:highlight w:val="none"/>
          <w:lang w:val="en-US" w:eastAsia="zh-CN"/>
        </w:rPr>
        <w:t>根据</w:t>
      </w:r>
      <w:r>
        <w:rPr>
          <w:rFonts w:hint="default" w:hAnsi="宋体" w:cs="Times New Roman"/>
          <w:bCs/>
          <w:color w:val="auto"/>
          <w:szCs w:val="21"/>
          <w:highlight w:val="none"/>
          <w:lang w:val="en-US" w:eastAsia="zh-CN"/>
        </w:rPr>
        <w:t>5月西安会议</w:t>
      </w:r>
      <w:r>
        <w:rPr>
          <w:rFonts w:hint="eastAsia" w:hAnsi="宋体" w:cs="Times New Roman"/>
          <w:bCs/>
          <w:color w:val="auto"/>
          <w:szCs w:val="21"/>
          <w:highlight w:val="none"/>
          <w:lang w:val="en-US" w:eastAsia="zh-CN"/>
        </w:rPr>
        <w:t>意见，将讨论稿的“在测厚仪的测量范围内均匀选择5个点作为校准点”中将“测量范围”改为“使用范围”。</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校准结果表达</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校准结果表达中的描述采用了JJF1071-2010中规定的内容。详细列出了校准证书应具备的信息和说明</w:t>
      </w:r>
      <w:r>
        <w:rPr>
          <w:rFonts w:hint="eastAsia" w:ascii="宋体" w:hAnsi="宋体"/>
          <w:bCs/>
          <w:color w:val="auto"/>
          <w:szCs w:val="21"/>
          <w:highlight w:val="none"/>
        </w:rPr>
        <w:t>。</w:t>
      </w:r>
    </w:p>
    <w:p>
      <w:pPr>
        <w:pStyle w:val="11"/>
        <w:numPr>
          <w:ilvl w:val="1"/>
          <w:numId w:val="4"/>
        </w:numPr>
        <w:spacing w:after="0" w:line="360" w:lineRule="auto"/>
        <w:ind w:left="567" w:leftChars="0" w:hanging="567" w:firstLineChars="0"/>
        <w:rPr>
          <w:rFonts w:hint="eastAsia" w:ascii="黑体" w:hAnsi="宋体" w:eastAsia="黑体"/>
          <w:bCs/>
          <w:color w:val="auto"/>
          <w:szCs w:val="21"/>
          <w:highlight w:val="none"/>
        </w:rPr>
      </w:pPr>
      <w:r>
        <w:rPr>
          <w:rFonts w:hint="eastAsia" w:ascii="黑体" w:hAnsi="宋体" w:eastAsia="黑体"/>
          <w:bCs/>
          <w:color w:val="auto"/>
          <w:szCs w:val="21"/>
          <w:highlight w:val="none"/>
        </w:rPr>
        <w:t>复校时间间隔</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给出了最长12个月复校时间间隔的建议。但客户可根据使用情况自主决定复校时间间隔。</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附录</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设置了5个附录，便于校准时参考和规范化。</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附录A 铝板带在线测厚仪校准记录参考格式</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附录B 铝板带在线测厚仪校准证书内页参考格式</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附录C  0.2mm以上厚度标准厚度板的技术要求及测量方法</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附录D  0.2mm及以下厚度标准厚度板制作方法</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1）</w:t>
      </w:r>
      <w:r>
        <w:rPr>
          <w:rFonts w:hint="default"/>
          <w:bCs/>
          <w:color w:val="auto"/>
          <w:highlight w:val="none"/>
          <w:lang w:val="en-US" w:eastAsia="zh-CN"/>
        </w:rPr>
        <w:t>根据</w:t>
      </w:r>
      <w:r>
        <w:rPr>
          <w:rFonts w:hint="eastAsia"/>
          <w:bCs/>
          <w:color w:val="auto"/>
          <w:highlight w:val="none"/>
          <w:lang w:val="en-US" w:eastAsia="zh-CN"/>
        </w:rPr>
        <w:t>2023年</w:t>
      </w:r>
      <w:r>
        <w:rPr>
          <w:rFonts w:hint="default"/>
          <w:bCs/>
          <w:color w:val="auto"/>
          <w:highlight w:val="none"/>
          <w:lang w:val="en-US" w:eastAsia="zh-CN"/>
        </w:rPr>
        <w:t>7月征求意见稿反馈意见，将</w:t>
      </w:r>
      <w:r>
        <w:rPr>
          <w:rFonts w:hint="eastAsia"/>
          <w:bCs/>
          <w:color w:val="auto"/>
          <w:highlight w:val="none"/>
          <w:lang w:val="en-US" w:eastAsia="zh-CN"/>
        </w:rPr>
        <w:t>D2.2“取样面积S需检测，最大允许误差不大于0.01% ”修改为“取样面积S需检测，最大允许误差不大于0.3%”</w:t>
      </w:r>
    </w:p>
    <w:p>
      <w:pPr>
        <w:adjustRightInd w:val="0"/>
        <w:snapToGrid w:val="0"/>
        <w:spacing w:line="360" w:lineRule="auto"/>
        <w:ind w:firstLine="420" w:firstLineChars="200"/>
        <w:rPr>
          <w:rFonts w:hint="eastAsia"/>
          <w:lang w:val="en-US" w:eastAsia="zh-CN"/>
        </w:rPr>
      </w:pPr>
      <w:r>
        <w:rPr>
          <w:rFonts w:hint="eastAsia"/>
          <w:lang w:val="en-US" w:eastAsia="zh-CN"/>
        </w:rPr>
        <w:t>2）根据</w:t>
      </w:r>
      <w:r>
        <w:rPr>
          <w:rFonts w:hint="eastAsia"/>
          <w:bCs/>
          <w:color w:val="auto"/>
          <w:highlight w:val="none"/>
          <w:lang w:val="en-US" w:eastAsia="zh-CN"/>
        </w:rPr>
        <w:t>2023年</w:t>
      </w:r>
      <w:r>
        <w:rPr>
          <w:rFonts w:hint="eastAsia"/>
          <w:lang w:val="en-US" w:eastAsia="zh-CN"/>
        </w:rPr>
        <w:t>7月征求意见稿反馈意见，将D.1“铝合金箔材”修改为“非复合铝箔”。</w:t>
      </w:r>
    </w:p>
    <w:p>
      <w:pPr>
        <w:adjustRightInd w:val="0"/>
        <w:snapToGri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lang w:val="en-US" w:eastAsia="zh-CN"/>
        </w:rPr>
        <w:t>3）根据</w:t>
      </w:r>
      <w:r>
        <w:rPr>
          <w:rFonts w:hint="eastAsia"/>
          <w:bCs/>
          <w:color w:val="auto"/>
          <w:highlight w:val="none"/>
          <w:lang w:val="en-US" w:eastAsia="zh-CN"/>
        </w:rPr>
        <w:t>2023年</w:t>
      </w:r>
      <w:r>
        <w:rPr>
          <w:rFonts w:hint="eastAsia"/>
          <w:lang w:val="en-US" w:eastAsia="zh-CN"/>
        </w:rPr>
        <w:t>7月征求意见稿反馈意见，</w:t>
      </w:r>
      <w:r>
        <w:rPr>
          <w:rFonts w:hint="eastAsia" w:ascii="Times New Roman" w:hAnsi="Times New Roman" w:eastAsia="宋体" w:cs="Times New Roman"/>
          <w:color w:val="auto"/>
          <w:sz w:val="21"/>
          <w:szCs w:val="21"/>
          <w:highlight w:val="none"/>
          <w:lang w:val="en-US" w:eastAsia="zh-CN"/>
        </w:rPr>
        <w:t xml:space="preserve">将 </w:t>
      </w:r>
      <w:r>
        <w:rPr>
          <w:rFonts w:hint="eastAsia" w:ascii="Times New Roman" w:hAnsi="Times New Roman" w:eastAsia="宋体" w:cs="Times New Roman"/>
          <w:i/>
          <w:iCs/>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en-US" w:eastAsia="zh-CN"/>
        </w:rPr>
        <w:t xml:space="preserve"> ——标准厚度板面积，cm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；修改为：</w:t>
      </w:r>
    </w:p>
    <w:p>
      <w:pPr>
        <w:adjustRightInd w:val="0"/>
        <w:snapToGrid w:val="0"/>
        <w:spacing w:line="360" w:lineRule="auto"/>
        <w:ind w:firstLine="420" w:firstLineChars="200"/>
        <w:rPr>
          <w:rFonts w:hint="eastAsia" w:ascii="Times New Roman" w:hAnsi="Times New Roman" w:eastAsia="宋体" w:cs="Times New Roman"/>
          <w:color w:val="auto"/>
          <w:sz w:val="21"/>
          <w:szCs w:val="21"/>
          <w:highlight w:val="none"/>
          <w:vertAlign w:val="superscript"/>
          <w:lang w:val="en-US" w:eastAsia="zh-CN"/>
        </w:rPr>
      </w:pPr>
      <w:r>
        <w:rPr>
          <w:rFonts w:hint="eastAsia" w:ascii="Times New Roman" w:hAnsi="Times New Roman" w:eastAsia="宋体" w:cs="Times New Roman"/>
          <w:i/>
          <w:iCs/>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en-US" w:eastAsia="zh-CN"/>
        </w:rPr>
        <w:t xml:space="preserve"> ——标准厚度板面积，mm</w:t>
      </w:r>
      <w:r>
        <w:rPr>
          <w:rFonts w:hint="eastAsia" w:ascii="Times New Roman" w:hAnsi="Times New Roman" w:eastAsia="宋体" w:cs="Times New Roman"/>
          <w:color w:val="auto"/>
          <w:sz w:val="21"/>
          <w:szCs w:val="21"/>
          <w:highlight w:val="none"/>
          <w:vertAlign w:val="superscript"/>
          <w:lang w:val="en-US" w:eastAsia="zh-CN"/>
        </w:rPr>
        <w:t>2</w:t>
      </w:r>
    </w:p>
    <w:p>
      <w:pPr>
        <w:adjustRightInd w:val="0"/>
        <w:snapToGri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公式D.</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p>
    <w:p>
      <w:pPr>
        <w:adjustRightInd w:val="0"/>
        <w:snapToGrid w:val="0"/>
        <w:spacing w:line="360" w:lineRule="auto"/>
        <w:ind w:firstLine="480" w:firstLineChars="200"/>
        <w:jc w:val="center"/>
        <w:rPr>
          <w:rFonts w:hint="eastAsia" w:ascii="Times New Roman" w:hAnsi="Times New Roman" w:eastAsia="宋体" w:cs="Times New Roman"/>
          <w:i/>
          <w:iCs/>
          <w:color w:val="auto"/>
          <w:position w:val="-24"/>
          <w:sz w:val="24"/>
          <w:highlight w:val="none"/>
          <w:lang w:val="en-US" w:eastAsia="zh-CN" w:bidi="ar-SA"/>
        </w:rPr>
      </w:pPr>
      <w:r>
        <w:rPr>
          <w:rFonts w:hint="eastAsia" w:ascii="Times New Roman" w:hAnsi="Times New Roman" w:eastAsia="宋体" w:cs="Times New Roman"/>
          <w:i/>
          <w:iCs/>
          <w:color w:val="auto"/>
          <w:position w:val="-24"/>
          <w:sz w:val="24"/>
          <w:highlight w:val="none"/>
          <w:lang w:val="en-US" w:eastAsia="zh-CN" w:bidi="ar-SA"/>
        </w:rPr>
        <w:object>
          <v:shape id="_x0000_i1025" o:spt="75" type="#_x0000_t75" style="height:33pt;width:48pt;" o:ole="t" fillcolor="#FFFFFF" filled="f" o:preferrelative="t" stroked="f" coordsize="21600,21600">
            <v:path/>
            <v:fill on="f" color2="#FFFFFF" focussize="0,0"/>
            <v:stroke on="f"/>
            <v:imagedata r:id="rId7" o:title=""/>
            <o:lock v:ext="edit" grouping="f" rotation="f" text="f" aspectratio="t"/>
            <w10:wrap type="none"/>
            <w10:anchorlock/>
          </v:shape>
          <o:OLEObject Type="Embed" ProgID="" ShapeID="_x0000_i1025" DrawAspect="Content" ObjectID="_1468075725" r:id="rId6">
            <o:LockedField>false</o:LockedField>
          </o:OLEObject>
        </w:object>
      </w:r>
    </w:p>
    <w:p>
      <w:pPr>
        <w:adjustRightInd w:val="0"/>
        <w:snapToGri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修改为：</w:t>
      </w:r>
    </w:p>
    <w:p>
      <w:pPr>
        <w:adjustRightInd w:val="0"/>
        <w:snapToGrid w:val="0"/>
        <w:spacing w:line="360" w:lineRule="auto"/>
        <w:ind w:firstLine="480" w:firstLineChars="200"/>
        <w:jc w:val="center"/>
        <w:rPr>
          <w:rFonts w:hint="default" w:ascii="Times New Roman" w:hAnsi="Times New Roman" w:eastAsia="宋体" w:cs="Times New Roman"/>
          <w:color w:val="auto"/>
          <w:sz w:val="21"/>
          <w:szCs w:val="21"/>
          <w:highlight w:val="none"/>
          <w:vertAlign w:val="superscript"/>
          <w:lang w:val="en-US" w:eastAsia="zh-CN"/>
        </w:rPr>
      </w:pPr>
      <w:r>
        <w:rPr>
          <w:rFonts w:hint="eastAsia" w:ascii="Times New Roman" w:hAnsi="Times New Roman" w:eastAsia="宋体" w:cs="Times New Roman"/>
          <w:i/>
          <w:iCs/>
          <w:color w:val="auto"/>
          <w:position w:val="-24"/>
          <w:sz w:val="24"/>
          <w:highlight w:val="none"/>
          <w:lang w:val="en-US" w:eastAsia="zh-CN" w:bidi="ar-SA"/>
        </w:rPr>
        <w:object>
          <v:shape id="_x0000_i1026" o:spt="75" type="#_x0000_t75" style="height:33pt;width:60.9pt;" o:ole="t" filled="f" o:preferrelative="t" stroked="f" coordsize="21600,21600">
            <v:path/>
            <v:fill on="f" focussize="0,0"/>
            <v:stroke on="f"/>
            <v:imagedata r:id="rId9" o:title=""/>
            <o:lock v:ext="edit" aspectratio="t"/>
            <w10:wrap type="none"/>
            <w10:anchorlock/>
          </v:shape>
          <o:OLEObject Type="Embed" ProgID="" ShapeID="_x0000_i1026" DrawAspect="Content" ObjectID="_1468075726" r:id="rId8">
            <o:LockedField>false</o:LockedField>
          </o:OLEObject>
        </w:object>
      </w:r>
    </w:p>
    <w:p>
      <w:pPr>
        <w:numPr>
          <w:ilvl w:val="0"/>
          <w:numId w:val="5"/>
        </w:numPr>
        <w:adjustRightInd w:val="0"/>
        <w:snapToGrid w:val="0"/>
        <w:spacing w:line="360" w:lineRule="auto"/>
        <w:ind w:left="0" w:leftChars="0" w:firstLine="420" w:firstLineChars="200"/>
        <w:rPr>
          <w:rFonts w:hint="eastAsia"/>
          <w:bCs/>
          <w:color w:val="auto"/>
          <w:highlight w:val="none"/>
          <w:lang w:val="en-US" w:eastAsia="zh-CN"/>
        </w:rPr>
      </w:pPr>
      <w:r>
        <w:rPr>
          <w:rFonts w:hint="eastAsia"/>
          <w:bCs/>
          <w:color w:val="auto"/>
          <w:highlight w:val="none"/>
          <w:lang w:val="en-US" w:eastAsia="zh-CN"/>
        </w:rPr>
        <w:t>根据2023年11月预审会意见，将“附录D  0.2mm及以下厚度标准厚度板制作方法”修改为：“附录D  0.2mm及以下厚度标准厚度板的技术要求及制作方法”，增加了：</w:t>
      </w:r>
    </w:p>
    <w:p>
      <w:pPr>
        <w:pStyle w:val="20"/>
        <w:ind w:left="0" w:leftChars="0" w:firstLine="420" w:firstLineChars="200"/>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D.1  标准厚度板技术要求：</w:t>
      </w:r>
    </w:p>
    <w:p>
      <w:pPr>
        <w:pStyle w:val="20"/>
        <w:ind w:left="0" w:leftChars="0" w:firstLine="420" w:firstLineChars="20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标准厚度板板形必须平整，无划伤、毛刺、凹凸、霉点等缺陷，当测厚仪为穿透式时，标准厚度板的材料应选用与测厚仪待测产品材料同类型号材质。</w:t>
      </w:r>
    </w:p>
    <w:p>
      <w:pPr>
        <w:pStyle w:val="20"/>
        <w:ind w:left="0" w:leftChars="0" w:firstLine="420" w:firstLineChars="200"/>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修改D2.2“取样面积S需检测，最大允许误差不大于0.3% ”为D3.2“取样面积S需检测，最大允许误差不大于0.1% ”</w:t>
      </w:r>
    </w:p>
    <w:p>
      <w:pPr>
        <w:adjustRightInd w:val="0"/>
        <w:snapToGrid w:val="0"/>
        <w:spacing w:line="360" w:lineRule="auto"/>
        <w:ind w:firstLine="420" w:firstLineChars="200"/>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附录E 测厚仪示值误差测量不确定度评定示例</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根据现有在线测厚仪技术性能及产品技术要求提出了对在线测厚仪的计量要求，以校准在线测厚仪的标准厚度板的技术要求、制作方法，制订了对测厚仪计量特性的校准方法，规范可操作性强，水平达到国内领先。</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四、与有关的现行法律、法规和强制性国家标准的关系</w:t>
      </w:r>
    </w:p>
    <w:p>
      <w:pPr>
        <w:adjustRightInd w:val="0"/>
        <w:spacing w:line="360" w:lineRule="auto"/>
        <w:ind w:firstLine="420" w:firstLineChars="200"/>
        <w:rPr>
          <w:rFonts w:hAnsi="宋体"/>
          <w:bCs/>
          <w:color w:val="auto"/>
          <w:szCs w:val="21"/>
          <w:highlight w:val="none"/>
        </w:rPr>
      </w:pPr>
      <w:r>
        <w:rPr>
          <w:rFonts w:hint="eastAsia" w:hAnsi="宋体"/>
          <w:bCs/>
          <w:color w:val="auto"/>
          <w:szCs w:val="21"/>
          <w:highlight w:val="none"/>
        </w:rPr>
        <w:t>本规范与有关的现行法律、法规和国家计量技术规范具有一致性，无冲突之处。</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五、重大分歧意见的处理经过和依据</w:t>
      </w:r>
    </w:p>
    <w:p>
      <w:pPr>
        <w:adjustRightIn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六、规范作为强制性或推荐性国家（或行业）</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的建议</w:t>
      </w:r>
    </w:p>
    <w:p>
      <w:pPr>
        <w:adjustRightInd w:val="0"/>
        <w:spacing w:line="360" w:lineRule="auto"/>
        <w:ind w:firstLine="420" w:firstLineChars="200"/>
        <w:rPr>
          <w:rFonts w:hAnsi="宋体"/>
          <w:bCs/>
          <w:color w:val="auto"/>
          <w:szCs w:val="21"/>
          <w:highlight w:val="none"/>
        </w:rPr>
      </w:pPr>
      <w:r>
        <w:rPr>
          <w:rFonts w:hint="eastAsia" w:hAnsi="宋体"/>
          <w:bCs/>
          <w:color w:val="auto"/>
          <w:szCs w:val="21"/>
          <w:highlight w:val="none"/>
        </w:rPr>
        <w:t>建议本规范作为推荐性行业计量技术规范，供相关行业参考采用。</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七、贯彻</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的要求和措施建议</w:t>
      </w:r>
    </w:p>
    <w:p>
      <w:pPr>
        <w:adjustRightIn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adjustRightInd w:val="0"/>
        <w:snapToGri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八、废止现行有关</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的建议</w:t>
      </w:r>
    </w:p>
    <w:p>
      <w:pPr>
        <w:adjustRightInd w:val="0"/>
        <w:snapToGri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spacing w:line="360" w:lineRule="auto"/>
        <w:rPr>
          <w:rFonts w:ascii="黑体" w:eastAsia="黑体"/>
          <w:bCs/>
          <w:color w:val="auto"/>
          <w:highlight w:val="none"/>
        </w:rPr>
      </w:pPr>
      <w:r>
        <w:rPr>
          <w:rFonts w:hint="eastAsia" w:ascii="黑体" w:eastAsia="黑体"/>
          <w:bCs/>
          <w:color w:val="auto"/>
          <w:highlight w:val="none"/>
        </w:rPr>
        <w:t>九、预期效果</w:t>
      </w:r>
    </w:p>
    <w:p>
      <w:pPr>
        <w:adjustRightInd w:val="0"/>
        <w:snapToGrid w:val="0"/>
        <w:spacing w:line="360" w:lineRule="auto"/>
        <w:ind w:firstLine="420" w:firstLineChars="200"/>
        <w:rPr>
          <w:rFonts w:eastAsia="方正行楷简体"/>
          <w:bCs/>
          <w:color w:val="auto"/>
          <w:highlight w:val="none"/>
        </w:rPr>
      </w:pPr>
      <w:r>
        <w:rPr>
          <w:rFonts w:hint="eastAsia"/>
          <w:bCs/>
          <w:color w:val="auto"/>
          <w:highlight w:val="none"/>
        </w:rPr>
        <w:t>本规范的制定使</w:t>
      </w:r>
      <w:r>
        <w:rPr>
          <w:rFonts w:hint="eastAsia" w:ascii="宋体" w:hAnsi="宋体"/>
          <w:bCs/>
          <w:color w:val="auto"/>
          <w:szCs w:val="21"/>
          <w:highlight w:val="none"/>
          <w:lang w:val="en-US" w:eastAsia="zh-CN"/>
        </w:rPr>
        <w:t>铝板带在线测厚仪</w:t>
      </w:r>
      <w:r>
        <w:rPr>
          <w:rFonts w:hint="eastAsia" w:ascii="宋体" w:hAnsi="宋体"/>
          <w:bCs/>
          <w:color w:val="auto"/>
          <w:szCs w:val="21"/>
          <w:highlight w:val="none"/>
        </w:rPr>
        <w:t>的</w:t>
      </w:r>
      <w:r>
        <w:rPr>
          <w:rFonts w:hint="eastAsia" w:ascii="宋体" w:eastAsia="方正行楷简体"/>
          <w:bCs/>
          <w:color w:val="auto"/>
          <w:kern w:val="0"/>
          <w:szCs w:val="21"/>
          <w:highlight w:val="none"/>
        </w:rPr>
        <w:t>校准</w:t>
      </w:r>
      <w:r>
        <w:rPr>
          <w:rFonts w:hint="eastAsia" w:ascii="宋体" w:eastAsia="方正行楷简体"/>
          <w:bCs/>
          <w:color w:val="auto"/>
          <w:kern w:val="0"/>
          <w:szCs w:val="21"/>
          <w:highlight w:val="none"/>
          <w:lang w:val="en-US" w:eastAsia="zh-CN"/>
        </w:rPr>
        <w:t>更加全面、明确，且</w:t>
      </w:r>
      <w:r>
        <w:rPr>
          <w:rFonts w:hint="eastAsia" w:ascii="宋体" w:eastAsia="方正行楷简体"/>
          <w:bCs/>
          <w:color w:val="auto"/>
          <w:kern w:val="0"/>
          <w:szCs w:val="21"/>
          <w:highlight w:val="none"/>
        </w:rPr>
        <w:t>有了可靠依据。</w:t>
      </w:r>
    </w:p>
    <w:p>
      <w:pPr>
        <w:adjustRightInd w:val="0"/>
        <w:snapToGri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十、其他应予说明的事项</w:t>
      </w:r>
    </w:p>
    <w:p>
      <w:pPr>
        <w:spacing w:line="360" w:lineRule="auto"/>
        <w:ind w:firstLine="420" w:firstLineChars="200"/>
        <w:rPr>
          <w:rFonts w:hint="eastAsia" w:eastAsia="宋体"/>
          <w:bCs/>
          <w:color w:val="auto"/>
          <w:highlight w:val="none"/>
          <w:lang w:eastAsia="zh-CN"/>
        </w:rPr>
      </w:pPr>
      <w:r>
        <w:rPr>
          <w:rFonts w:hint="eastAsia"/>
          <w:bCs/>
          <w:color w:val="auto"/>
          <w:highlight w:val="none"/>
        </w:rPr>
        <w:t>无</w:t>
      </w:r>
      <w:r>
        <w:rPr>
          <w:rFonts w:hint="eastAsia"/>
          <w:bCs/>
          <w:color w:val="auto"/>
          <w:highlight w:val="none"/>
          <w:lang w:eastAsia="zh-CN"/>
        </w:rPr>
        <w:t>。</w:t>
      </w:r>
    </w:p>
    <w:p>
      <w:pPr>
        <w:spacing w:line="360" w:lineRule="auto"/>
        <w:jc w:val="right"/>
        <w:rPr>
          <w:rFonts w:hint="eastAsia" w:ascii="宋体" w:hAnsi="宋体" w:eastAsia="宋体" w:cs="宋体"/>
          <w:bCs/>
          <w:color w:val="auto"/>
          <w:sz w:val="21"/>
          <w:szCs w:val="21"/>
          <w:highlight w:val="none"/>
        </w:rPr>
      </w:pPr>
      <w:r>
        <w:rPr>
          <w:rFonts w:ascii="黑体" w:eastAsia="黑体"/>
          <w:bCs/>
          <w:color w:val="auto"/>
          <w:highlight w:val="none"/>
        </w:rPr>
        <w:t xml:space="preserve">         </w:t>
      </w:r>
      <w:r>
        <w:rPr>
          <w:rFonts w:ascii="黑体" w:hAnsi="黑体" w:eastAsia="黑体"/>
          <w:bCs/>
          <w:color w:val="auto"/>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铝板带在线测厚仪校准规范</w:t>
      </w:r>
      <w:r>
        <w:rPr>
          <w:rFonts w:hint="eastAsia" w:ascii="宋体" w:hAnsi="宋体" w:eastAsia="宋体" w:cs="宋体"/>
          <w:bCs/>
          <w:color w:val="auto"/>
          <w:kern w:val="0"/>
          <w:sz w:val="21"/>
          <w:szCs w:val="21"/>
          <w:highlight w:val="none"/>
        </w:rPr>
        <w:t>》规范编制组</w:t>
      </w:r>
    </w:p>
    <w:p>
      <w:pPr>
        <w:wordWrap w:val="0"/>
        <w:adjustRightInd w:val="0"/>
        <w:snapToGrid w:val="0"/>
        <w:spacing w:line="360" w:lineRule="auto"/>
        <w:ind w:right="105"/>
        <w:jc w:val="right"/>
        <w:textAlignment w:val="top"/>
        <w:rPr>
          <w:rFonts w:hint="eastAsia" w:ascii="宋体" w:hAnsi="宋体" w:eastAsia="宋体" w:cs="宋体"/>
          <w:bCs/>
          <w:color w:val="auto"/>
          <w:highlight w:val="none"/>
        </w:rPr>
      </w:pPr>
      <w:r>
        <w:rPr>
          <w:rFonts w:hint="eastAsia" w:ascii="宋体" w:hAnsi="宋体" w:eastAsia="宋体" w:cs="宋体"/>
          <w:bCs/>
          <w:color w:val="auto"/>
          <w:highlight w:val="none"/>
        </w:rPr>
        <w:t>202</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年</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月</w:t>
      </w:r>
      <w:r>
        <w:rPr>
          <w:rFonts w:hint="eastAsia" w:ascii="宋体" w:hAnsi="宋体" w:cs="宋体"/>
          <w:bCs/>
          <w:color w:val="auto"/>
          <w:highlight w:val="none"/>
          <w:lang w:val="en-US" w:eastAsia="zh-CN"/>
        </w:rPr>
        <w:t>25</w:t>
      </w:r>
      <w:r>
        <w:rPr>
          <w:rFonts w:hint="eastAsia" w:ascii="宋体" w:hAnsi="宋体" w:eastAsia="宋体" w:cs="宋体"/>
          <w:bCs/>
          <w:color w:val="auto"/>
          <w:highlight w:val="none"/>
        </w:rPr>
        <w:t>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1">
                      <a:spAutoFit/>
                    </wps:bodyPr>
                  </wps:wsp>
                </a:graphicData>
              </a:graphic>
            </wp:anchor>
          </w:drawing>
        </mc:Choice>
        <mc:Fallback>
          <w:pict>
            <v:rect id="文本框 1" o:spid="_x0000_s1026" o:spt="1"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3v6RvYAAAACwEAAA8AAAAAAAAAAQAgAAAAIgAAAGRycy9kb3ducmV2&#10;LnhtbFBLAQIUABQAAAAIAIdO4kC2AeOPwwEAAI8DAAAOAAAAAAAAAAEAIAAAACcBAABkcnMvZTJv&#10;RG9jLnhtbFBLBQYAAAAABgAGAFkBAABcBQAAAAA=&#10;">
              <v:fill on="f" focussize="0,0"/>
              <v:stroke on="f"/>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271F"/>
    <w:multiLevelType w:val="singleLevel"/>
    <w:tmpl w:val="A130271F"/>
    <w:lvl w:ilvl="0" w:tentative="0">
      <w:start w:val="2"/>
      <w:numFmt w:val="decimal"/>
      <w:suff w:val="nothing"/>
      <w:lvlText w:val="%1）"/>
      <w:lvlJc w:val="left"/>
    </w:lvl>
  </w:abstractNum>
  <w:abstractNum w:abstractNumId="1">
    <w:nsid w:val="CD17680F"/>
    <w:multiLevelType w:val="multilevel"/>
    <w:tmpl w:val="CD17680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6AD5B3F3"/>
    <w:multiLevelType w:val="multilevel"/>
    <w:tmpl w:val="6AD5B3F3"/>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6CEA2025"/>
    <w:multiLevelType w:val="multilevel"/>
    <w:tmpl w:val="6CEA2025"/>
    <w:lvl w:ilvl="0" w:tentative="0">
      <w:start w:val="1"/>
      <w:numFmt w:val="none"/>
      <w:pStyle w:val="22"/>
      <w:suff w:val="nothing"/>
      <w:lvlText w:val="%1"/>
      <w:lvlJc w:val="left"/>
      <w:rPr>
        <w:rFonts w:hint="default" w:ascii="Times New Roman" w:hAnsi="Times New Roman" w:cs="Times New Roman"/>
        <w:b/>
        <w:i w:val="0"/>
        <w:sz w:val="21"/>
      </w:rPr>
    </w:lvl>
    <w:lvl w:ilvl="1" w:tentative="0">
      <w:start w:val="1"/>
      <w:numFmt w:val="decimal"/>
      <w:pStyle w:val="23"/>
      <w:suff w:val="nothing"/>
      <w:lvlText w:val="%1%2　"/>
      <w:lvlJc w:val="left"/>
      <w:rPr>
        <w:rFonts w:hint="eastAsia" w:ascii="黑体" w:hAnsi="Times New Roman" w:eastAsia="黑体" w:cs="Times New Roman"/>
        <w:b w:val="0"/>
        <w:i w:val="0"/>
        <w:sz w:val="21"/>
      </w:rPr>
    </w:lvl>
    <w:lvl w:ilvl="2" w:tentative="0">
      <w:start w:val="1"/>
      <w:numFmt w:val="decimal"/>
      <w:pStyle w:val="24"/>
      <w:suff w:val="nothing"/>
      <w:lvlText w:val="%1%2.%3　"/>
      <w:lvlJc w:val="left"/>
      <w:rPr>
        <w:rFonts w:hint="eastAsia" w:ascii="黑体" w:hAnsi="Times New Roman" w:eastAsia="黑体" w:cs="Times New Roman"/>
        <w:b w:val="0"/>
        <w:i w:val="0"/>
        <w:sz w:val="21"/>
      </w:rPr>
    </w:lvl>
    <w:lvl w:ilvl="3" w:tentative="0">
      <w:start w:val="1"/>
      <w:numFmt w:val="decimal"/>
      <w:pStyle w:val="25"/>
      <w:suff w:val="nothing"/>
      <w:lvlText w:val="%1%2.%3.%4　"/>
      <w:lvlJc w:val="left"/>
      <w:rPr>
        <w:rFonts w:hint="eastAsia" w:ascii="黑体" w:hAnsi="Times New Roman" w:eastAsia="黑体" w:cs="Times New Roman"/>
        <w:b w:val="0"/>
        <w:i w:val="0"/>
        <w:sz w:val="21"/>
      </w:rPr>
    </w:lvl>
    <w:lvl w:ilvl="4" w:tentative="0">
      <w:start w:val="1"/>
      <w:numFmt w:val="decimal"/>
      <w:pStyle w:val="26"/>
      <w:suff w:val="nothing"/>
      <w:lvlText w:val="%1%2.%3.%4.%5　"/>
      <w:lvlJc w:val="left"/>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sz w:val="21"/>
      </w:rPr>
    </w:lvl>
    <w:lvl w:ilvl="6" w:tentative="0">
      <w:start w:val="1"/>
      <w:numFmt w:val="decimal"/>
      <w:pStyle w:val="2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76B1ECCD"/>
    <w:multiLevelType w:val="singleLevel"/>
    <w:tmpl w:val="76B1ECC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55B2633"/>
    <w:rsid w:val="06886367"/>
    <w:rsid w:val="07E44B05"/>
    <w:rsid w:val="0808616E"/>
    <w:rsid w:val="09402D37"/>
    <w:rsid w:val="0B510E78"/>
    <w:rsid w:val="0DB103FD"/>
    <w:rsid w:val="0DB62202"/>
    <w:rsid w:val="0F046843"/>
    <w:rsid w:val="0F4960E8"/>
    <w:rsid w:val="0FD961E1"/>
    <w:rsid w:val="0FFD1EEF"/>
    <w:rsid w:val="11580B6C"/>
    <w:rsid w:val="117B1938"/>
    <w:rsid w:val="126E7A09"/>
    <w:rsid w:val="13F10A99"/>
    <w:rsid w:val="14251CC4"/>
    <w:rsid w:val="14E223F3"/>
    <w:rsid w:val="154C457C"/>
    <w:rsid w:val="15F63B09"/>
    <w:rsid w:val="163F2D2D"/>
    <w:rsid w:val="17AA7BFD"/>
    <w:rsid w:val="181878E8"/>
    <w:rsid w:val="181E6B1A"/>
    <w:rsid w:val="19312429"/>
    <w:rsid w:val="196656B5"/>
    <w:rsid w:val="19D813C6"/>
    <w:rsid w:val="1A7B17FC"/>
    <w:rsid w:val="1B3E222D"/>
    <w:rsid w:val="1D5758D7"/>
    <w:rsid w:val="1DFD3AB5"/>
    <w:rsid w:val="236269FD"/>
    <w:rsid w:val="24500F51"/>
    <w:rsid w:val="24AD3BE8"/>
    <w:rsid w:val="250273A3"/>
    <w:rsid w:val="264362D5"/>
    <w:rsid w:val="2B6A69EA"/>
    <w:rsid w:val="2E545310"/>
    <w:rsid w:val="2F3C2D66"/>
    <w:rsid w:val="2F3F109E"/>
    <w:rsid w:val="2FCB3085"/>
    <w:rsid w:val="2FF65D56"/>
    <w:rsid w:val="31D30F8D"/>
    <w:rsid w:val="32CF2B4C"/>
    <w:rsid w:val="33A855B9"/>
    <w:rsid w:val="34915439"/>
    <w:rsid w:val="36294EFF"/>
    <w:rsid w:val="366B4F50"/>
    <w:rsid w:val="367B6EA8"/>
    <w:rsid w:val="36F938A3"/>
    <w:rsid w:val="380E6AC5"/>
    <w:rsid w:val="3A6A7A9F"/>
    <w:rsid w:val="3C2D4B77"/>
    <w:rsid w:val="3C4804B8"/>
    <w:rsid w:val="3D540C00"/>
    <w:rsid w:val="3D8250CD"/>
    <w:rsid w:val="3FFB769C"/>
    <w:rsid w:val="407825E7"/>
    <w:rsid w:val="41303C10"/>
    <w:rsid w:val="424972B2"/>
    <w:rsid w:val="42CD2859"/>
    <w:rsid w:val="433F136A"/>
    <w:rsid w:val="442D6861"/>
    <w:rsid w:val="444E58F2"/>
    <w:rsid w:val="461756FA"/>
    <w:rsid w:val="46E43C6C"/>
    <w:rsid w:val="49ED573E"/>
    <w:rsid w:val="4B923D95"/>
    <w:rsid w:val="4CF47669"/>
    <w:rsid w:val="4EB238A5"/>
    <w:rsid w:val="4ED03064"/>
    <w:rsid w:val="519E65DF"/>
    <w:rsid w:val="51C34A47"/>
    <w:rsid w:val="529E3887"/>
    <w:rsid w:val="5359222A"/>
    <w:rsid w:val="53E53868"/>
    <w:rsid w:val="55BF234C"/>
    <w:rsid w:val="55CC27F2"/>
    <w:rsid w:val="56073252"/>
    <w:rsid w:val="57415D20"/>
    <w:rsid w:val="588B31DD"/>
    <w:rsid w:val="5A8913F1"/>
    <w:rsid w:val="5B9F2DFD"/>
    <w:rsid w:val="5BBE3B49"/>
    <w:rsid w:val="5E361946"/>
    <w:rsid w:val="614771FF"/>
    <w:rsid w:val="62C244A7"/>
    <w:rsid w:val="635C4B8E"/>
    <w:rsid w:val="645D0E2E"/>
    <w:rsid w:val="66471C44"/>
    <w:rsid w:val="673927C8"/>
    <w:rsid w:val="6AD2505B"/>
    <w:rsid w:val="6C0D48EE"/>
    <w:rsid w:val="6C715A3C"/>
    <w:rsid w:val="6D1337BB"/>
    <w:rsid w:val="6D4F6A9B"/>
    <w:rsid w:val="6E8413D2"/>
    <w:rsid w:val="6FE72B43"/>
    <w:rsid w:val="74145A7A"/>
    <w:rsid w:val="75411574"/>
    <w:rsid w:val="76475005"/>
    <w:rsid w:val="76657642"/>
    <w:rsid w:val="77001769"/>
    <w:rsid w:val="772339A6"/>
    <w:rsid w:val="77266CAE"/>
    <w:rsid w:val="7D6D5AB9"/>
    <w:rsid w:val="7E0D45A7"/>
    <w:rsid w:val="7ECD3AB0"/>
    <w:rsid w:val="7F08297D"/>
    <w:rsid w:val="7F6E152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4"/>
    <w:autoRedefine/>
    <w:qFormat/>
    <w:uiPriority w:val="99"/>
    <w:pPr>
      <w:spacing w:after="120"/>
    </w:pPr>
  </w:style>
  <w:style w:type="paragraph" w:styleId="5">
    <w:name w:val="Body Text Indent"/>
    <w:basedOn w:val="1"/>
    <w:link w:val="42"/>
    <w:qFormat/>
    <w:uiPriority w:val="99"/>
    <w:pPr>
      <w:spacing w:after="120"/>
      <w:ind w:left="420" w:leftChars="200"/>
    </w:pPr>
  </w:style>
  <w:style w:type="paragraph" w:styleId="6">
    <w:name w:val="Date"/>
    <w:basedOn w:val="1"/>
    <w:next w:val="1"/>
    <w:link w:val="33"/>
    <w:qFormat/>
    <w:uiPriority w:val="99"/>
    <w:pPr>
      <w:ind w:left="100" w:leftChars="2500"/>
    </w:pPr>
  </w:style>
  <w:style w:type="paragraph" w:styleId="7">
    <w:name w:val="Body Text Indent 2"/>
    <w:basedOn w:val="1"/>
    <w:link w:val="41"/>
    <w:qFormat/>
    <w:uiPriority w:val="99"/>
    <w:pPr>
      <w:spacing w:after="120" w:line="480" w:lineRule="auto"/>
      <w:ind w:left="420" w:leftChars="200"/>
    </w:pPr>
  </w:style>
  <w:style w:type="paragraph" w:styleId="8">
    <w:name w:val="Balloon Text"/>
    <w:basedOn w:val="1"/>
    <w:link w:val="34"/>
    <w:autoRedefine/>
    <w:qFormat/>
    <w:uiPriority w:val="99"/>
    <w:rPr>
      <w:sz w:val="18"/>
      <w:szCs w:val="18"/>
    </w:rPr>
  </w:style>
  <w:style w:type="paragraph" w:styleId="9">
    <w:name w:val="footer"/>
    <w:basedOn w:val="1"/>
    <w:link w:val="35"/>
    <w:autoRedefine/>
    <w:qFormat/>
    <w:uiPriority w:val="99"/>
    <w:pPr>
      <w:tabs>
        <w:tab w:val="center" w:pos="4153"/>
        <w:tab w:val="right" w:pos="8306"/>
      </w:tabs>
      <w:snapToGrid w:val="0"/>
      <w:jc w:val="left"/>
    </w:pPr>
    <w:rPr>
      <w:sz w:val="18"/>
      <w:szCs w:val="18"/>
    </w:rPr>
  </w:style>
  <w:style w:type="paragraph" w:styleId="10">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7"/>
    <w:autoRedefine/>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5"/>
    <w:autoRedefine/>
    <w:qFormat/>
    <w:uiPriority w:val="99"/>
    <w:pPr>
      <w:ind w:firstLine="420" w:firstLineChars="100"/>
    </w:pPr>
  </w:style>
  <w:style w:type="paragraph" w:styleId="14">
    <w:name w:val="Body Text First Indent 2"/>
    <w:basedOn w:val="5"/>
    <w:link w:val="43"/>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autoRedefine/>
    <w:unhideWhenUsed/>
    <w:qFormat/>
    <w:uiPriority w:val="99"/>
    <w:rPr>
      <w:rFonts w:ascii="Times New Roman" w:hAnsi="Times New Roman" w:eastAsia="宋体"/>
      <w:sz w:val="18"/>
    </w:rPr>
  </w:style>
  <w:style w:type="character" w:styleId="19">
    <w:name w:val="annotation reference"/>
    <w:basedOn w:val="17"/>
    <w:autoRedefine/>
    <w:semiHidden/>
    <w:qFormat/>
    <w:uiPriority w:val="99"/>
    <w:rPr>
      <w:rFonts w:cs="Times New Roman"/>
      <w:sz w:val="21"/>
      <w:szCs w:val="21"/>
    </w:rPr>
  </w:style>
  <w:style w:type="paragraph" w:customStyle="1" w:styleId="20">
    <w:name w:val="段"/>
    <w:link w:val="38"/>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List Paragraph"/>
    <w:basedOn w:val="1"/>
    <w:autoRedefine/>
    <w:qFormat/>
    <w:uiPriority w:val="99"/>
    <w:pPr>
      <w:ind w:firstLine="420" w:firstLineChars="200"/>
    </w:pPr>
  </w:style>
  <w:style w:type="paragraph" w:customStyle="1" w:styleId="22">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章标题"/>
    <w:next w:val="20"/>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24">
    <w:name w:val="一级条标题"/>
    <w:basedOn w:val="23"/>
    <w:next w:val="20"/>
    <w:link w:val="40"/>
    <w:autoRedefine/>
    <w:qFormat/>
    <w:uiPriority w:val="99"/>
    <w:pPr>
      <w:numPr>
        <w:ilvl w:val="2"/>
        <w:numId w:val="1"/>
      </w:numPr>
      <w:spacing w:beforeLines="0" w:afterLines="0"/>
      <w:outlineLvl w:val="2"/>
    </w:pPr>
    <w:rPr>
      <w:sz w:val="21"/>
    </w:rPr>
  </w:style>
  <w:style w:type="paragraph" w:customStyle="1" w:styleId="25">
    <w:name w:val="二级条标题"/>
    <w:basedOn w:val="24"/>
    <w:next w:val="20"/>
    <w:autoRedefine/>
    <w:qFormat/>
    <w:uiPriority w:val="99"/>
    <w:pPr>
      <w:numPr>
        <w:ilvl w:val="3"/>
        <w:numId w:val="1"/>
      </w:numPr>
      <w:ind w:left="2310" w:hanging="420"/>
      <w:outlineLvl w:val="3"/>
    </w:pPr>
  </w:style>
  <w:style w:type="paragraph" w:customStyle="1" w:styleId="26">
    <w:name w:val="三级条标题"/>
    <w:basedOn w:val="25"/>
    <w:next w:val="20"/>
    <w:autoRedefine/>
    <w:qFormat/>
    <w:uiPriority w:val="99"/>
    <w:pPr>
      <w:numPr>
        <w:ilvl w:val="4"/>
        <w:numId w:val="1"/>
      </w:numPr>
      <w:ind w:left="2730"/>
      <w:outlineLvl w:val="4"/>
    </w:pPr>
  </w:style>
  <w:style w:type="paragraph" w:customStyle="1" w:styleId="27">
    <w:name w:val="四级条标题"/>
    <w:basedOn w:val="26"/>
    <w:next w:val="20"/>
    <w:autoRedefine/>
    <w:qFormat/>
    <w:uiPriority w:val="99"/>
    <w:pPr>
      <w:numPr>
        <w:ilvl w:val="5"/>
        <w:numId w:val="1"/>
      </w:numPr>
      <w:ind w:left="3150"/>
      <w:outlineLvl w:val="5"/>
    </w:pPr>
  </w:style>
  <w:style w:type="paragraph" w:customStyle="1" w:styleId="28">
    <w:name w:val="五级条标题"/>
    <w:basedOn w:val="27"/>
    <w:next w:val="20"/>
    <w:autoRedefine/>
    <w:qFormat/>
    <w:uiPriority w:val="99"/>
    <w:pPr>
      <w:numPr>
        <w:ilvl w:val="6"/>
        <w:numId w:val="1"/>
      </w:numPr>
      <w:ind w:left="3570"/>
      <w:outlineLvl w:val="6"/>
    </w:pPr>
  </w:style>
  <w:style w:type="paragraph" w:customStyle="1" w:styleId="29">
    <w:name w:val="封面标准英文名称"/>
    <w:autoRedefine/>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30">
    <w:name w:val="标准书脚_偶数页"/>
    <w:autoRedefine/>
    <w:qFormat/>
    <w:uiPriority w:val="0"/>
    <w:pPr>
      <w:spacing w:before="120"/>
    </w:pPr>
    <w:rPr>
      <w:rFonts w:ascii="Times New Roman" w:hAnsi="Times New Roman" w:eastAsia="Batang" w:cs="Times New Roman"/>
      <w:sz w:val="18"/>
      <w:lang w:val="en-US" w:eastAsia="zh-CN" w:bidi="ar-SA"/>
    </w:rPr>
  </w:style>
  <w:style w:type="paragraph" w:customStyle="1" w:styleId="31">
    <w:name w:val="标准书脚_奇数页"/>
    <w:autoRedefine/>
    <w:qFormat/>
    <w:uiPriority w:val="0"/>
    <w:pPr>
      <w:spacing w:before="120"/>
      <w:jc w:val="right"/>
    </w:pPr>
    <w:rPr>
      <w:rFonts w:ascii="Times New Roman" w:hAnsi="Times New Roman" w:eastAsia="Batang" w:cs="Times New Roman"/>
      <w:sz w:val="18"/>
      <w:lang w:val="en-US" w:eastAsia="zh-CN" w:bidi="ar-SA"/>
    </w:rPr>
  </w:style>
  <w:style w:type="character" w:customStyle="1" w:styleId="32">
    <w:name w:val="标题 2 字符"/>
    <w:basedOn w:val="17"/>
    <w:link w:val="2"/>
    <w:autoRedefine/>
    <w:qFormat/>
    <w:locked/>
    <w:uiPriority w:val="99"/>
    <w:rPr>
      <w:rFonts w:ascii="Arial" w:hAnsi="Arial" w:eastAsia="黑体" w:cs="Times New Roman"/>
      <w:b/>
      <w:bCs/>
      <w:kern w:val="2"/>
      <w:sz w:val="32"/>
      <w:szCs w:val="32"/>
    </w:rPr>
  </w:style>
  <w:style w:type="character" w:customStyle="1" w:styleId="33">
    <w:name w:val="日期 字符"/>
    <w:basedOn w:val="17"/>
    <w:link w:val="6"/>
    <w:autoRedefine/>
    <w:qFormat/>
    <w:locked/>
    <w:uiPriority w:val="99"/>
    <w:rPr>
      <w:rFonts w:cs="Times New Roman"/>
      <w:kern w:val="2"/>
      <w:sz w:val="24"/>
      <w:szCs w:val="24"/>
    </w:rPr>
  </w:style>
  <w:style w:type="character" w:customStyle="1" w:styleId="34">
    <w:name w:val="批注框文本 字符"/>
    <w:basedOn w:val="17"/>
    <w:link w:val="8"/>
    <w:autoRedefine/>
    <w:qFormat/>
    <w:locked/>
    <w:uiPriority w:val="99"/>
    <w:rPr>
      <w:rFonts w:cs="Times New Roman"/>
      <w:kern w:val="2"/>
      <w:sz w:val="18"/>
      <w:szCs w:val="18"/>
    </w:rPr>
  </w:style>
  <w:style w:type="character" w:customStyle="1" w:styleId="35">
    <w:name w:val="页脚 字符"/>
    <w:basedOn w:val="17"/>
    <w:link w:val="9"/>
    <w:autoRedefine/>
    <w:qFormat/>
    <w:locked/>
    <w:uiPriority w:val="99"/>
    <w:rPr>
      <w:rFonts w:cs="Times New Roman"/>
      <w:kern w:val="2"/>
      <w:sz w:val="18"/>
      <w:szCs w:val="18"/>
    </w:rPr>
  </w:style>
  <w:style w:type="character" w:customStyle="1" w:styleId="36">
    <w:name w:val="页眉 字符"/>
    <w:basedOn w:val="17"/>
    <w:link w:val="10"/>
    <w:autoRedefine/>
    <w:semiHidden/>
    <w:qFormat/>
    <w:locked/>
    <w:uiPriority w:val="99"/>
    <w:rPr>
      <w:rFonts w:cs="Times New Roman"/>
      <w:sz w:val="18"/>
      <w:szCs w:val="18"/>
    </w:rPr>
  </w:style>
  <w:style w:type="character" w:customStyle="1" w:styleId="37">
    <w:name w:val="正文文本 2 字符"/>
    <w:basedOn w:val="17"/>
    <w:link w:val="11"/>
    <w:autoRedefine/>
    <w:semiHidden/>
    <w:qFormat/>
    <w:locked/>
    <w:uiPriority w:val="99"/>
    <w:rPr>
      <w:rFonts w:cs="Times New Roman"/>
      <w:sz w:val="24"/>
      <w:szCs w:val="24"/>
    </w:rPr>
  </w:style>
  <w:style w:type="character" w:customStyle="1" w:styleId="38">
    <w:name w:val="段 Char"/>
    <w:basedOn w:val="17"/>
    <w:link w:val="20"/>
    <w:qFormat/>
    <w:locked/>
    <w:uiPriority w:val="99"/>
    <w:rPr>
      <w:rFonts w:ascii="宋体" w:cs="Times New Roman"/>
      <w:sz w:val="21"/>
      <w:lang w:val="en-US" w:eastAsia="zh-CN" w:bidi="ar-SA"/>
    </w:rPr>
  </w:style>
  <w:style w:type="character" w:customStyle="1" w:styleId="39">
    <w:name w:val="Placeholder Text"/>
    <w:basedOn w:val="17"/>
    <w:semiHidden/>
    <w:qFormat/>
    <w:uiPriority w:val="99"/>
    <w:rPr>
      <w:rFonts w:cs="Times New Roman"/>
      <w:color w:val="808080"/>
    </w:rPr>
  </w:style>
  <w:style w:type="character" w:customStyle="1" w:styleId="40">
    <w:name w:val="一级条标题 Char"/>
    <w:basedOn w:val="17"/>
    <w:link w:val="24"/>
    <w:autoRedefine/>
    <w:qFormat/>
    <w:locked/>
    <w:uiPriority w:val="99"/>
    <w:rPr>
      <w:rFonts w:ascii="黑体" w:eastAsia="黑体"/>
      <w:sz w:val="21"/>
      <w:lang w:val="en-US" w:eastAsia="zh-CN"/>
    </w:rPr>
  </w:style>
  <w:style w:type="character" w:customStyle="1" w:styleId="41">
    <w:name w:val="正文文本缩进 2 字符"/>
    <w:basedOn w:val="17"/>
    <w:link w:val="7"/>
    <w:autoRedefine/>
    <w:semiHidden/>
    <w:qFormat/>
    <w:locked/>
    <w:uiPriority w:val="99"/>
    <w:rPr>
      <w:rFonts w:cs="Times New Roman"/>
      <w:sz w:val="24"/>
      <w:szCs w:val="24"/>
    </w:rPr>
  </w:style>
  <w:style w:type="character" w:customStyle="1" w:styleId="42">
    <w:name w:val="正文文本缩进 字符"/>
    <w:basedOn w:val="17"/>
    <w:link w:val="5"/>
    <w:autoRedefine/>
    <w:semiHidden/>
    <w:qFormat/>
    <w:locked/>
    <w:uiPriority w:val="99"/>
    <w:rPr>
      <w:rFonts w:cs="Times New Roman"/>
      <w:sz w:val="24"/>
      <w:szCs w:val="24"/>
    </w:rPr>
  </w:style>
  <w:style w:type="character" w:customStyle="1" w:styleId="43">
    <w:name w:val="正文文本首行缩进 2 字符"/>
    <w:basedOn w:val="42"/>
    <w:link w:val="14"/>
    <w:autoRedefine/>
    <w:semiHidden/>
    <w:qFormat/>
    <w:locked/>
    <w:uiPriority w:val="99"/>
    <w:rPr>
      <w:rFonts w:cs="Times New Roman"/>
      <w:sz w:val="24"/>
      <w:szCs w:val="24"/>
    </w:rPr>
  </w:style>
  <w:style w:type="character" w:customStyle="1" w:styleId="44">
    <w:name w:val="正文文本 字符"/>
    <w:basedOn w:val="17"/>
    <w:link w:val="4"/>
    <w:autoRedefine/>
    <w:semiHidden/>
    <w:qFormat/>
    <w:locked/>
    <w:uiPriority w:val="99"/>
    <w:rPr>
      <w:rFonts w:cs="Times New Roman"/>
      <w:sz w:val="24"/>
      <w:szCs w:val="24"/>
    </w:rPr>
  </w:style>
  <w:style w:type="character" w:customStyle="1" w:styleId="45">
    <w:name w:val="正文文本首行缩进 字符"/>
    <w:basedOn w:val="44"/>
    <w:link w:val="13"/>
    <w:autoRedefine/>
    <w:semiHidden/>
    <w:qFormat/>
    <w:locked/>
    <w:uiPriority w:val="99"/>
    <w:rPr>
      <w:rFonts w:cs="Times New Roman"/>
      <w:sz w:val="24"/>
      <w:szCs w:val="24"/>
    </w:rPr>
  </w:style>
  <w:style w:type="character" w:customStyle="1" w:styleId="46">
    <w:name w:val="图题及表格"/>
    <w:basedOn w:val="17"/>
    <w:autoRedefine/>
    <w:qFormat/>
    <w:uiPriority w:val="0"/>
    <w:rPr>
      <w:rFonts w:ascii="Times New Roman" w:hAnsi="Times New Roman" w:eastAsia="宋体"/>
      <w:sz w:val="21"/>
    </w:rPr>
  </w:style>
  <w:style w:type="character" w:customStyle="1" w:styleId="47">
    <w:name w:val="表题"/>
    <w:autoRedefine/>
    <w:qFormat/>
    <w:uiPriority w:val="0"/>
    <w:rPr>
      <w:rFonts w:hint="eastAsia" w:ascii="Times New Roman" w:hAnsi="Times New Roman" w:eastAsia="黑体" w:cs="黑体"/>
      <w:color w:val="000000"/>
      <w:sz w:val="21"/>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5263</Words>
  <Characters>5713</Characters>
  <Lines>3</Lines>
  <Paragraphs>8</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闫中南</cp:lastModifiedBy>
  <cp:lastPrinted>2023-05-04T08:21:00Z</cp:lastPrinted>
  <dcterms:modified xsi:type="dcterms:W3CDTF">2024-02-29T03:02:45Z</dcterms:modified>
  <dc:title>GB/T11105-2011《金属粉末-压坯的拉托拉试验》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10C50CEB756442CC82BAC967BBC27B66_13</vt:lpwstr>
  </property>
</Properties>
</file>