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8"/>
        <w:jc w:val="center"/>
        <w:rPr>
          <w:rFonts w:ascii="黑体" w:hAnsi="黑体" w:eastAsia="黑体"/>
          <w:sz w:val="24"/>
          <w:szCs w:val="24"/>
        </w:rPr>
      </w:pPr>
      <w:bookmarkStart w:id="0" w:name="_Toc464728891"/>
      <w:bookmarkStart w:id="1" w:name="SectionMark4"/>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r>
        <mc:AlternateContent>
          <mc:Choice Requires="wps">
            <w:drawing>
              <wp:anchor distT="0" distB="0" distL="114300" distR="114300" simplePos="0" relativeHeight="251659264" behindDoc="0" locked="1" layoutInCell="1" allowOverlap="1">
                <wp:simplePos x="0" y="0"/>
                <wp:positionH relativeFrom="margin">
                  <wp:posOffset>66675</wp:posOffset>
                </wp:positionH>
                <wp:positionV relativeFrom="margin">
                  <wp:posOffset>1544955</wp:posOffset>
                </wp:positionV>
                <wp:extent cx="6120130" cy="2383790"/>
                <wp:effectExtent l="0" t="0" r="0" b="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5"/>
                              <w:rPr>
                                <w:rFonts w:hAnsi="黑体" w:cs="黑体"/>
                                <w:sz w:val="44"/>
                                <w:szCs w:val="44"/>
                              </w:rPr>
                            </w:pPr>
                            <w:bookmarkStart w:id="71" w:name="_Hlk23687263"/>
                            <w:r>
                              <w:rPr>
                                <w:rFonts w:hint="eastAsia" w:hAnsi="黑体" w:cs="黑体"/>
                                <w:sz w:val="44"/>
                                <w:szCs w:val="44"/>
                              </w:rPr>
                              <w:t>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71"/>
                          <w:p>
                            <w:pPr>
                              <w:pStyle w:val="75"/>
                              <w:rPr>
                                <w:rFonts w:hAnsi="黑体" w:cs="黑体"/>
                                <w:szCs w:val="52"/>
                              </w:rPr>
                            </w:pPr>
                            <w:r>
                              <w:rPr>
                                <w:rFonts w:hint="eastAsia" w:hAnsi="黑体" w:cs="黑体"/>
                                <w:szCs w:val="52"/>
                              </w:rPr>
                              <w:t>激光标距刻线机校准规范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5.25pt;margin-top:121.65pt;height:187.7pt;width:481.9pt;mso-position-horizontal-relative:margin;mso-position-vertical-relative:margin;z-index:251659264;mso-width-relative:page;mso-height-relative:page;" fillcolor="#FFFFFF" filled="t" stroked="f" coordsize="21600,21600" o:gfxdata="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2vt/d1wAAAAoBAAAPAAAAAAAAAAEAIAAAACIAAABkcnMv&#10;ZG93bnJldi54bWxQSwECFAAUAAAACACHTuJAY/5bKMsBAACSAwAADgAAAAAAAAABACAAAAAmAQAA&#10;ZHJzL2Uyb0RvYy54bWxQSwUGAAAAAAYABgBZAQAAYwUAAAAA&#10;">
                <v:fill on="t" focussize="0,0"/>
                <v:stroke on="f"/>
                <v:imagedata o:title=""/>
                <o:lock v:ext="edit" aspectratio="f"/>
                <v:textbox inset="0mm,0mm,0mm,0mm">
                  <w:txbxContent>
                    <w:p>
                      <w:pPr>
                        <w:pStyle w:val="75"/>
                        <w:rPr>
                          <w:rFonts w:hAnsi="黑体" w:cs="黑体"/>
                          <w:sz w:val="44"/>
                          <w:szCs w:val="44"/>
                        </w:rPr>
                      </w:pPr>
                      <w:bookmarkStart w:id="71" w:name="_Hlk23687263"/>
                      <w:r>
                        <w:rPr>
                          <w:rFonts w:hint="eastAsia" w:hAnsi="黑体" w:cs="黑体"/>
                          <w:sz w:val="44"/>
                          <w:szCs w:val="44"/>
                        </w:rPr>
                        <w:t>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71"/>
                    <w:p>
                      <w:pPr>
                        <w:pStyle w:val="75"/>
                        <w:rPr>
                          <w:rFonts w:hAnsi="黑体" w:cs="黑体"/>
                          <w:szCs w:val="52"/>
                        </w:rPr>
                      </w:pPr>
                      <w:r>
                        <w:rPr>
                          <w:rFonts w:hint="eastAsia" w:hAnsi="黑体" w:cs="黑体"/>
                          <w:szCs w:val="52"/>
                        </w:rPr>
                        <w:t>激光标距刻线机校准规范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r>
        <mc:AlternateContent>
          <mc:Choice Requires="wps">
            <w:drawing>
              <wp:anchor distT="0" distB="0" distL="114300" distR="114300" simplePos="0" relativeHeight="251660288" behindDoc="0" locked="1" layoutInCell="1" allowOverlap="1">
                <wp:simplePos x="0" y="0"/>
                <wp:positionH relativeFrom="margin">
                  <wp:posOffset>153670</wp:posOffset>
                </wp:positionH>
                <wp:positionV relativeFrom="margin">
                  <wp:posOffset>4848860</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7"/>
                              <w:spacing w:before="600"/>
                              <w:rPr>
                                <w:rFonts w:ascii="黑体" w:hAnsi="黑体" w:eastAsia="黑体"/>
                                <w:sz w:val="36"/>
                                <w:szCs w:val="36"/>
                              </w:rPr>
                            </w:pPr>
                            <w:r>
                              <w:rPr>
                                <w:rFonts w:hint="eastAsia" w:ascii="黑体" w:hAnsi="黑体" w:eastAsia="黑体"/>
                                <w:sz w:val="36"/>
                                <w:szCs w:val="36"/>
                                <w:lang w:val="en-US" w:eastAsia="zh-CN"/>
                              </w:rPr>
                              <w:t>送审</w:t>
                            </w:r>
                            <w:r>
                              <w:rPr>
                                <w:rFonts w:hint="eastAsia" w:ascii="黑体" w:hAnsi="黑体" w:eastAsia="黑体"/>
                                <w:sz w:val="36"/>
                                <w:szCs w:val="36"/>
                              </w:rPr>
                              <w:t>稿</w:t>
                            </w:r>
                          </w:p>
                          <w:p>
                            <w:pPr>
                              <w:pStyle w:val="67"/>
                              <w:spacing w:before="600"/>
                              <w:rPr>
                                <w:rFonts w:hint="eastAsia" w:ascii="黑体" w:hAnsi="黑体" w:eastAsia="黑体"/>
                                <w:sz w:val="36"/>
                                <w:szCs w:val="36"/>
                                <w:lang w:eastAsia="zh-CN"/>
                              </w:rPr>
                            </w:pPr>
                            <w:r>
                              <w:rPr>
                                <w:rFonts w:hint="eastAsia" w:ascii="黑体" w:hAnsi="黑体" w:eastAsia="黑体"/>
                                <w:sz w:val="36"/>
                                <w:szCs w:val="36"/>
                              </w:rPr>
                              <w:t>20</w:t>
                            </w:r>
                            <w:r>
                              <w:rPr>
                                <w:rFonts w:ascii="黑体" w:hAnsi="黑体" w:eastAsia="黑体"/>
                                <w:sz w:val="36"/>
                                <w:szCs w:val="36"/>
                              </w:rPr>
                              <w:t>2</w:t>
                            </w:r>
                            <w:r>
                              <w:rPr>
                                <w:rFonts w:hint="eastAsia" w:ascii="黑体" w:hAnsi="黑体" w:eastAsia="黑体"/>
                                <w:sz w:val="36"/>
                                <w:szCs w:val="36"/>
                                <w:lang w:val="en-US" w:eastAsia="zh-CN"/>
                              </w:rPr>
                              <w:t>4</w:t>
                            </w:r>
                            <w:r>
                              <w:rPr>
                                <w:rFonts w:hint="eastAsia" w:ascii="黑体" w:hAnsi="黑体" w:eastAsia="黑体"/>
                                <w:sz w:val="36"/>
                                <w:szCs w:val="36"/>
                              </w:rPr>
                              <w:t>-0</w:t>
                            </w:r>
                            <w:r>
                              <w:rPr>
                                <w:rFonts w:hint="eastAsia" w:ascii="黑体" w:hAnsi="黑体" w:eastAsia="黑体"/>
                                <w:sz w:val="36"/>
                                <w:szCs w:val="36"/>
                                <w:lang w:val="en-US" w:eastAsia="zh-CN"/>
                              </w:rPr>
                              <w:t>3</w:t>
                            </w:r>
                          </w:p>
                        </w:txbxContent>
                      </wps:txbx>
                      <wps:bodyPr lIns="0" tIns="0" rIns="0" bIns="0" upright="1"/>
                    </wps:wsp>
                  </a:graphicData>
                </a:graphic>
              </wp:anchor>
            </w:drawing>
          </mc:Choice>
          <mc:Fallback>
            <w:pict>
              <v:rect id="文本框 5" o:spid="_x0000_s1026" o:spt="1" style="position:absolute;left:0pt;margin-left:12.1pt;margin-top:381.8pt;height:140.1pt;width:470pt;mso-position-horizontal-relative:margin;mso-position-vertical-relative:margin;z-index:251660288;mso-width-relative:page;mso-height-relative:page;" fillcolor="#FFFFFF" filled="t" stroked="f" coordsize="21600,21600" o:gfxdata="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QgCV/1wAAAAsBAAAPAAAAAAAAAAEAIAAAACIAAABkcnMv&#10;ZG93bnJldi54bWxQSwECFAAUAAAACACHTuJAMTvMIMsBAACSAwAADgAAAAAAAAABACAAAAAmAQAA&#10;ZHJzL2Uyb0RvYy54bWxQSwUGAAAAAAYABgBZAQAAYwUAAAAA&#10;">
                <v:fill on="t" focussize="0,0"/>
                <v:stroke on="f"/>
                <v:imagedata o:title=""/>
                <o:lock v:ext="edit" aspectratio="f"/>
                <v:textbox inset="0mm,0mm,0mm,0mm">
                  <w:txbxContent>
                    <w:p>
                      <w:pPr>
                        <w:pStyle w:val="67"/>
                        <w:spacing w:before="600"/>
                        <w:rPr>
                          <w:rFonts w:ascii="黑体" w:hAnsi="黑体" w:eastAsia="黑体"/>
                          <w:sz w:val="36"/>
                          <w:szCs w:val="36"/>
                        </w:rPr>
                      </w:pPr>
                      <w:r>
                        <w:rPr>
                          <w:rFonts w:hint="eastAsia" w:ascii="黑体" w:hAnsi="黑体" w:eastAsia="黑体"/>
                          <w:sz w:val="36"/>
                          <w:szCs w:val="36"/>
                          <w:lang w:val="en-US" w:eastAsia="zh-CN"/>
                        </w:rPr>
                        <w:t>送审</w:t>
                      </w:r>
                      <w:r>
                        <w:rPr>
                          <w:rFonts w:hint="eastAsia" w:ascii="黑体" w:hAnsi="黑体" w:eastAsia="黑体"/>
                          <w:sz w:val="36"/>
                          <w:szCs w:val="36"/>
                        </w:rPr>
                        <w:t>稿</w:t>
                      </w:r>
                    </w:p>
                    <w:p>
                      <w:pPr>
                        <w:pStyle w:val="67"/>
                        <w:spacing w:before="600"/>
                        <w:rPr>
                          <w:rFonts w:hint="eastAsia" w:ascii="黑体" w:hAnsi="黑体" w:eastAsia="黑体"/>
                          <w:sz w:val="36"/>
                          <w:szCs w:val="36"/>
                          <w:lang w:eastAsia="zh-CN"/>
                        </w:rPr>
                      </w:pPr>
                      <w:r>
                        <w:rPr>
                          <w:rFonts w:hint="eastAsia" w:ascii="黑体" w:hAnsi="黑体" w:eastAsia="黑体"/>
                          <w:sz w:val="36"/>
                          <w:szCs w:val="36"/>
                        </w:rPr>
                        <w:t>20</w:t>
                      </w:r>
                      <w:r>
                        <w:rPr>
                          <w:rFonts w:ascii="黑体" w:hAnsi="黑体" w:eastAsia="黑体"/>
                          <w:sz w:val="36"/>
                          <w:szCs w:val="36"/>
                        </w:rPr>
                        <w:t>2</w:t>
                      </w:r>
                      <w:r>
                        <w:rPr>
                          <w:rFonts w:hint="eastAsia" w:ascii="黑体" w:hAnsi="黑体" w:eastAsia="黑体"/>
                          <w:sz w:val="36"/>
                          <w:szCs w:val="36"/>
                          <w:lang w:val="en-US" w:eastAsia="zh-CN"/>
                        </w:rPr>
                        <w:t>4</w:t>
                      </w:r>
                      <w:r>
                        <w:rPr>
                          <w:rFonts w:hint="eastAsia" w:ascii="黑体" w:hAnsi="黑体" w:eastAsia="黑体"/>
                          <w:sz w:val="36"/>
                          <w:szCs w:val="36"/>
                        </w:rPr>
                        <w:t>-0</w:t>
                      </w:r>
                      <w:r>
                        <w:rPr>
                          <w:rFonts w:hint="eastAsia" w:ascii="黑体" w:hAnsi="黑体" w:eastAsia="黑体"/>
                          <w:sz w:val="36"/>
                          <w:szCs w:val="36"/>
                          <w:lang w:val="en-US" w:eastAsia="zh-CN"/>
                        </w:rPr>
                        <w:t>3</w:t>
                      </w:r>
                    </w:p>
                  </w:txbxContent>
                </v:textbox>
                <w10:anchorlock/>
              </v:rect>
            </w:pict>
          </mc:Fallback>
        </mc:AlternateContent>
      </w: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b/>
          <w:sz w:val="24"/>
          <w:szCs w:val="24"/>
        </w:rPr>
      </w:pPr>
      <w:r>
        <mc:AlternateContent>
          <mc:Choice Requires="wps">
            <w:drawing>
              <wp:anchor distT="0" distB="0" distL="114300" distR="114300" simplePos="0" relativeHeight="251661312" behindDoc="0" locked="1" layoutInCell="1" allowOverlap="1">
                <wp:simplePos x="0" y="0"/>
                <wp:positionH relativeFrom="margin">
                  <wp:posOffset>144145</wp:posOffset>
                </wp:positionH>
                <wp:positionV relativeFrom="margin">
                  <wp:posOffset>7559040</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pStyle w:val="75"/>
                              <w:rPr>
                                <w:rFonts w:ascii="宋体" w:hAnsi="宋体" w:eastAsia="宋体" w:cs="宋体"/>
                                <w:spacing w:val="58"/>
                                <w:w w:val="120"/>
                                <w:kern w:val="2"/>
                                <w:sz w:val="28"/>
                                <w:szCs w:val="28"/>
                              </w:rPr>
                            </w:pPr>
                          </w:p>
                          <w:p>
                            <w:pPr>
                              <w:jc w:val="center"/>
                              <w:rPr>
                                <w:rFonts w:ascii="宋体" w:hAnsi="宋体" w:cs="宋体"/>
                                <w:spacing w:val="58"/>
                                <w:w w:val="120"/>
                                <w:sz w:val="28"/>
                                <w:szCs w:val="28"/>
                              </w:rPr>
                            </w:pPr>
                            <w:r>
                              <w:rPr>
                                <w:rFonts w:hint="eastAsia" w:ascii="宋体" w:hAnsi="宋体" w:cs="宋体"/>
                                <w:spacing w:val="58"/>
                                <w:w w:val="120"/>
                                <w:sz w:val="28"/>
                                <w:szCs w:val="28"/>
                              </w:rPr>
                              <w:t>激光标距刻线机校准规范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wps:txbx>
                      <wps:bodyPr lIns="0" tIns="0" rIns="0" bIns="0" upright="1"/>
                    </wps:wsp>
                  </a:graphicData>
                </a:graphic>
              </wp:anchor>
            </w:drawing>
          </mc:Choice>
          <mc:Fallback>
            <w:pict>
              <v:rect id="fmFrame7" o:spid="_x0000_s1026" o:spt="1" style="position:absolute;left:0pt;margin-left:11.35pt;margin-top:595.2pt;height:121.6pt;width:481.9pt;mso-position-horizontal-relative:margin;mso-position-vertical-relative:margin;z-index:251661312;mso-width-relative:page;mso-height-relative:page;" fillcolor="#FFFFFF" filled="t" stroked="f" coordsize="21600,21600" o:gfxdata="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H+TSXYAAAADAEAAA8AAAAAAAAAAQAgAAAAIgAAAGRycy9kb3ducmV2LnhtbFBLAQIU&#10;ABQAAAAIAIdO4kBYM7RfugEAAI8DAAAOAAAAAAAAAAEAIAAAACcBAABkcnMvZTJvRG9jLnhtbFBL&#10;BQYAAAAABgAGAFkBAABTBQAAAAA=&#10;">
                <v:fill on="t" focussize="0,0"/>
                <v:stroke on="f"/>
                <v:imagedata o:title=""/>
                <o:lock v:ext="edit" aspectratio="f"/>
                <v:textbox inset="0mm,0mm,0mm,0mm">
                  <w:txbxContent>
                    <w:p>
                      <w:pPr>
                        <w:pStyle w:val="75"/>
                        <w:rPr>
                          <w:rFonts w:ascii="宋体" w:hAnsi="宋体" w:eastAsia="宋体" w:cs="宋体"/>
                          <w:spacing w:val="58"/>
                          <w:w w:val="120"/>
                          <w:kern w:val="2"/>
                          <w:sz w:val="28"/>
                          <w:szCs w:val="28"/>
                        </w:rPr>
                      </w:pPr>
                    </w:p>
                    <w:p>
                      <w:pPr>
                        <w:jc w:val="center"/>
                        <w:rPr>
                          <w:rFonts w:ascii="宋体" w:hAnsi="宋体" w:cs="宋体"/>
                          <w:spacing w:val="58"/>
                          <w:w w:val="120"/>
                          <w:sz w:val="28"/>
                          <w:szCs w:val="28"/>
                        </w:rPr>
                      </w:pPr>
                      <w:r>
                        <w:rPr>
                          <w:rFonts w:hint="eastAsia" w:ascii="宋体" w:hAnsi="宋体" w:cs="宋体"/>
                          <w:spacing w:val="58"/>
                          <w:w w:val="120"/>
                          <w:sz w:val="28"/>
                          <w:szCs w:val="28"/>
                        </w:rPr>
                        <w:t>激光标距刻线机校准规范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v:textbox>
                <w10:anchorlock/>
              </v:rect>
            </w:pict>
          </mc:Fallback>
        </mc:AlternateContent>
      </w: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2"/>
        <w:spacing w:before="156" w:after="156"/>
      </w:pPr>
      <w:r>
        <w:rPr>
          <w:rFonts w:hint="eastAsia"/>
        </w:rPr>
        <w:t>一、工作简况</w:t>
      </w:r>
      <w:bookmarkEnd w:id="0"/>
      <w:bookmarkStart w:id="2" w:name="_Toc464728896"/>
    </w:p>
    <w:p>
      <w:pPr>
        <w:pStyle w:val="3"/>
        <w:spacing w:before="156" w:after="156"/>
      </w:pPr>
      <w:r>
        <w:rPr>
          <w:rFonts w:hint="eastAsia"/>
        </w:rPr>
        <w:t>1.立项目的</w:t>
      </w:r>
    </w:p>
    <w:p>
      <w:pPr>
        <w:spacing w:line="400" w:lineRule="exact"/>
        <w:ind w:firstLine="555"/>
        <w:rPr>
          <w:rFonts w:hAnsi="宋体"/>
          <w:bCs/>
          <w:szCs w:val="21"/>
        </w:rPr>
      </w:pPr>
      <w:r>
        <w:rPr>
          <w:rFonts w:hAnsi="宋体"/>
          <w:bCs/>
          <w:szCs w:val="21"/>
        </w:rPr>
        <w:t>激光标距刻线机是以激光作为刻线源，通过计算机程序控制激光镜头以及激光焦距实现设定图形和标距的刻线仪器。主要用于金属拉伸试样的分段标记，用来测量试样伸长率和断后伸长率。其性能的好坏直接影响测量结果的准确性，甚至造成重大事故。为了保障激光标距刻线机性能准确可靠，需要对其进行计量，保证其量值准确、可靠、有源可溯。</w:t>
      </w:r>
    </w:p>
    <w:p>
      <w:pPr>
        <w:pStyle w:val="21"/>
        <w:spacing w:line="400" w:lineRule="exact"/>
        <w:ind w:firstLine="420" w:firstLineChars="200"/>
        <w:rPr>
          <w:rFonts w:hAnsi="宋体"/>
          <w:bCs/>
          <w:szCs w:val="21"/>
        </w:rPr>
      </w:pPr>
      <w:r>
        <w:rPr>
          <w:rFonts w:hAnsi="宋体"/>
          <w:bCs/>
          <w:szCs w:val="21"/>
        </w:rPr>
        <w:t>本规范重点解决了激光标距刻线仪校准方法不统一、校准方法差异化、计量标准器技术指标不明确、校准点的选择不统一、激光刻线机的校准方法未规定等问题，弥补激光刻线机校准的空白，为准确提供量值传递提供保证，从而提高刻线精度的准确性。</w:t>
      </w:r>
    </w:p>
    <w:p>
      <w:pPr>
        <w:pStyle w:val="3"/>
        <w:spacing w:before="156" w:after="156"/>
      </w:pPr>
      <w:r>
        <w:rPr>
          <w:rFonts w:hint="eastAsia"/>
        </w:rPr>
        <w:t>2.任务来源</w:t>
      </w:r>
      <w:bookmarkEnd w:id="2"/>
    </w:p>
    <w:p>
      <w:pPr>
        <w:pStyle w:val="35"/>
        <w:spacing w:after="0" w:line="400" w:lineRule="exact"/>
        <w:ind w:firstLine="420" w:firstLineChars="200"/>
        <w:rPr>
          <w:rFonts w:hAnsi="宋体"/>
          <w:bCs/>
          <w:szCs w:val="21"/>
        </w:rPr>
      </w:pPr>
      <w:r>
        <w:rPr>
          <w:rFonts w:hint="eastAsia" w:hAnsi="宋体"/>
          <w:bCs/>
          <w:szCs w:val="21"/>
        </w:rPr>
        <w:t>根据工业和信息化部《关于印发2022年行业计量技术规范制修订计划的通知》（工厅科［2022］464号）文的要求，行业计量技术规范《激光标距刻线机校准规范》由西安汉唐分析检测有限公司负责起草。该项目计划编号为</w:t>
      </w:r>
      <w:r>
        <w:rPr>
          <w:rFonts w:hAnsi="宋体"/>
          <w:bCs/>
          <w:szCs w:val="21"/>
        </w:rPr>
        <w:t>JJF</w:t>
      </w:r>
      <w:r>
        <w:rPr>
          <w:rFonts w:hint="eastAsia" w:hAnsi="宋体"/>
          <w:bCs/>
          <w:szCs w:val="21"/>
        </w:rPr>
        <w:t>Z（有色金属）0</w:t>
      </w:r>
      <w:r>
        <w:rPr>
          <w:rFonts w:hAnsi="宋体"/>
          <w:bCs/>
          <w:szCs w:val="21"/>
        </w:rPr>
        <w:t>10</w:t>
      </w:r>
      <w:r>
        <w:rPr>
          <w:rFonts w:hint="eastAsia" w:hAnsi="宋体"/>
          <w:bCs/>
          <w:szCs w:val="21"/>
        </w:rPr>
        <w:t>-2</w:t>
      </w:r>
      <w:r>
        <w:rPr>
          <w:rFonts w:hAnsi="宋体"/>
          <w:bCs/>
          <w:szCs w:val="21"/>
        </w:rPr>
        <w:t>02</w:t>
      </w:r>
      <w:r>
        <w:rPr>
          <w:rFonts w:hint="eastAsia" w:hAnsi="宋体"/>
          <w:bCs/>
          <w:szCs w:val="21"/>
        </w:rPr>
        <w:t>2。按计划要求，本计量规范应于</w:t>
      </w:r>
      <w:r>
        <w:rPr>
          <w:rFonts w:hAnsi="宋体"/>
          <w:bCs/>
          <w:szCs w:val="21"/>
        </w:rPr>
        <w:t>202</w:t>
      </w:r>
      <w:r>
        <w:rPr>
          <w:rFonts w:hint="eastAsia" w:hAnsi="宋体"/>
          <w:bCs/>
          <w:szCs w:val="21"/>
        </w:rPr>
        <w:t>4年完成。</w:t>
      </w:r>
    </w:p>
    <w:p>
      <w:pPr>
        <w:pStyle w:val="3"/>
        <w:spacing w:before="156" w:after="156"/>
      </w:pPr>
      <w:r>
        <w:rPr>
          <w:rFonts w:hint="eastAsia"/>
        </w:rPr>
        <w:t>3.项目编制组单位简况</w:t>
      </w:r>
    </w:p>
    <w:p>
      <w:pPr>
        <w:pStyle w:val="4"/>
        <w:spacing w:before="156" w:after="156"/>
      </w:pPr>
      <w:r>
        <w:rPr>
          <w:rFonts w:hint="eastAsia"/>
        </w:rPr>
        <w:t>3.1编制组成员单位</w:t>
      </w:r>
    </w:p>
    <w:p>
      <w:pPr>
        <w:widowControl/>
        <w:autoSpaceDE w:val="0"/>
        <w:autoSpaceDN w:val="0"/>
        <w:spacing w:line="400" w:lineRule="exact"/>
        <w:ind w:firstLine="420" w:firstLineChars="200"/>
        <w:rPr>
          <w:szCs w:val="21"/>
        </w:rPr>
      </w:pPr>
      <w:bookmarkStart w:id="3" w:name="_Toc462884344"/>
      <w:bookmarkStart w:id="4" w:name="_Toc464728900"/>
      <w:r>
        <w:rPr>
          <w:rFonts w:hint="eastAsia"/>
          <w:szCs w:val="21"/>
        </w:rPr>
        <w:t>本规范的编制组单位为：西安汉唐分析检测有限公司。</w:t>
      </w:r>
    </w:p>
    <w:p>
      <w:pPr>
        <w:pStyle w:val="4"/>
        <w:spacing w:before="156" w:after="156"/>
      </w:pPr>
      <w:r>
        <w:rPr>
          <w:rFonts w:hint="eastAsia"/>
        </w:rPr>
        <w:t>3.2 主编单位简介</w:t>
      </w:r>
    </w:p>
    <w:bookmarkEnd w:id="3"/>
    <w:bookmarkEnd w:id="4"/>
    <w:p>
      <w:pPr>
        <w:spacing w:line="400" w:lineRule="exact"/>
        <w:ind w:firstLine="420" w:firstLineChars="200"/>
        <w:rPr>
          <w:szCs w:val="21"/>
        </w:rPr>
      </w:pPr>
      <w:r>
        <w:rPr>
          <w:rFonts w:hint="eastAsia"/>
          <w:szCs w:val="21"/>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w:t>
      </w:r>
    </w:p>
    <w:p>
      <w:pPr>
        <w:spacing w:line="400" w:lineRule="exact"/>
        <w:ind w:firstLine="420" w:firstLineChars="200"/>
        <w:rPr>
          <w:szCs w:val="21"/>
        </w:rPr>
      </w:pPr>
      <w:r>
        <w:rPr>
          <w:rFonts w:hint="eastAsia"/>
          <w:szCs w:val="21"/>
        </w:rPr>
        <w:t>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pPr>
        <w:spacing w:line="400" w:lineRule="exact"/>
        <w:ind w:firstLine="420" w:firstLineChars="200"/>
        <w:rPr>
          <w:szCs w:val="21"/>
        </w:rPr>
      </w:pPr>
      <w:r>
        <w:rPr>
          <w:rFonts w:hint="eastAsia"/>
          <w:szCs w:val="21"/>
        </w:rPr>
        <w:t>近10年起草有色金属国家/行业规范共80余项、发表论文120余篇、授权专利30余项。先后荣获中国有色金属工业一等奖、二等奖20余次。</w:t>
      </w:r>
    </w:p>
    <w:p>
      <w:pPr>
        <w:spacing w:line="400" w:lineRule="exact"/>
        <w:ind w:firstLine="420" w:firstLineChars="200"/>
        <w:contextualSpacing/>
        <w:jc w:val="left"/>
        <w:rPr>
          <w:szCs w:val="21"/>
        </w:rPr>
      </w:pPr>
      <w:r>
        <w:rPr>
          <w:rFonts w:hint="eastAsia"/>
          <w:szCs w:val="21"/>
        </w:rPr>
        <w:t>本单位积极组织编制组各次工作会议，开展相关的校准，有效组织参编单位多次对规范的各版《征求意见稿》进行认真的讨论和审议，提出大量有益的意见和建议，在编制组中发挥了牵头作用。</w:t>
      </w:r>
    </w:p>
    <w:p>
      <w:pPr>
        <w:pStyle w:val="4"/>
        <w:spacing w:before="156" w:after="156"/>
      </w:pPr>
      <w:r>
        <w:rPr>
          <w:rFonts w:hint="eastAsia"/>
        </w:rPr>
        <w:t>3.3 成员单位简介</w:t>
      </w:r>
    </w:p>
    <w:p>
      <w:pPr>
        <w:spacing w:line="360" w:lineRule="auto"/>
        <w:contextualSpacing/>
        <w:jc w:val="left"/>
        <w:rPr>
          <w:rFonts w:ascii="黑体" w:hAnsi="黑体" w:eastAsia="黑体"/>
          <w:szCs w:val="21"/>
        </w:rPr>
      </w:pPr>
    </w:p>
    <w:p>
      <w:pPr>
        <w:pStyle w:val="4"/>
        <w:spacing w:before="156" w:after="156"/>
      </w:pPr>
      <w:bookmarkStart w:id="5" w:name="_Toc464728913"/>
      <w:bookmarkStart w:id="6" w:name="_Toc462884357"/>
      <w:r>
        <w:rPr>
          <w:rFonts w:hint="eastAsia"/>
        </w:rPr>
        <w:t>4.主要工作过程</w:t>
      </w:r>
      <w:bookmarkEnd w:id="5"/>
      <w:bookmarkEnd w:id="6"/>
    </w:p>
    <w:p>
      <w:pPr>
        <w:spacing w:line="400" w:lineRule="exact"/>
        <w:ind w:firstLine="420" w:firstLineChars="200"/>
        <w:rPr>
          <w:bCs/>
        </w:rPr>
      </w:pPr>
      <w:bookmarkStart w:id="7" w:name="_Hlk134448643"/>
      <w:r>
        <w:rPr>
          <w:rFonts w:hint="eastAsia"/>
          <w:bCs/>
        </w:rPr>
        <w:t>西安汉唐分析检测有限公司计量检测中心接到有色金属行业计量技术委员会转发下达的制定任务后，成立了计量规范编制组，对计量技术规范编写工作进行了部署和分工，制定了制定原则及计划工作。本项目主要工作过程经过了以下几个阶段：</w:t>
      </w:r>
    </w:p>
    <w:p>
      <w:pPr>
        <w:spacing w:line="400" w:lineRule="exact"/>
        <w:ind w:firstLine="420" w:firstLineChars="200"/>
        <w:rPr>
          <w:bCs/>
          <w:color w:val="auto"/>
        </w:rPr>
      </w:pPr>
      <w:r>
        <w:rPr>
          <w:bCs/>
          <w:color w:val="auto"/>
        </w:rPr>
        <w:t>1</w:t>
      </w:r>
      <w:r>
        <w:rPr>
          <w:rFonts w:hint="eastAsia"/>
          <w:bCs/>
          <w:color w:val="auto"/>
        </w:rPr>
        <w:t>）</w:t>
      </w:r>
      <w:r>
        <w:rPr>
          <w:bCs/>
          <w:color w:val="auto"/>
        </w:rPr>
        <w:t>20</w:t>
      </w:r>
      <w:r>
        <w:rPr>
          <w:rFonts w:hint="eastAsia"/>
          <w:bCs/>
          <w:color w:val="auto"/>
        </w:rPr>
        <w:t>22年</w:t>
      </w:r>
      <w:r>
        <w:rPr>
          <w:bCs/>
          <w:color w:val="auto"/>
        </w:rPr>
        <w:t>8</w:t>
      </w:r>
      <w:r>
        <w:rPr>
          <w:rFonts w:hint="eastAsia"/>
          <w:bCs/>
          <w:color w:val="auto"/>
        </w:rPr>
        <w:t>月成立了计量规范编制组，明确了编制组成员各自的工作内容和任务。</w:t>
      </w:r>
    </w:p>
    <w:p>
      <w:pPr>
        <w:spacing w:line="400" w:lineRule="exact"/>
        <w:ind w:firstLine="420" w:firstLineChars="200"/>
        <w:rPr>
          <w:bCs/>
          <w:color w:val="auto"/>
        </w:rPr>
      </w:pPr>
      <w:r>
        <w:rPr>
          <w:bCs/>
          <w:color w:val="auto"/>
        </w:rPr>
        <w:t>2</w:t>
      </w:r>
      <w:r>
        <w:rPr>
          <w:rFonts w:hint="eastAsia"/>
          <w:bCs/>
          <w:color w:val="auto"/>
        </w:rPr>
        <w:t>）</w:t>
      </w:r>
      <w:r>
        <w:rPr>
          <w:bCs/>
          <w:color w:val="auto"/>
        </w:rPr>
        <w:t>20</w:t>
      </w:r>
      <w:r>
        <w:rPr>
          <w:rFonts w:hint="eastAsia"/>
          <w:bCs/>
          <w:color w:val="auto"/>
        </w:rPr>
        <w:t>22年</w:t>
      </w:r>
      <w:r>
        <w:rPr>
          <w:bCs/>
          <w:color w:val="auto"/>
        </w:rPr>
        <w:t>9</w:t>
      </w:r>
      <w:r>
        <w:rPr>
          <w:rFonts w:hint="eastAsia"/>
          <w:bCs/>
          <w:color w:val="auto"/>
        </w:rPr>
        <w:t>月～2023年4月计量规范编制组成员对激光标距刻线机校准规范中的计量特性及校准方法进行了讨论，确定了校准项目和方法，在</w:t>
      </w:r>
      <w:r>
        <w:rPr>
          <w:bCs/>
          <w:color w:val="auto"/>
        </w:rPr>
        <w:t>202</w:t>
      </w:r>
      <w:r>
        <w:rPr>
          <w:rFonts w:hint="eastAsia"/>
          <w:bCs/>
          <w:color w:val="auto"/>
        </w:rPr>
        <w:t>3年4月形成了计量规范讨论稿。</w:t>
      </w:r>
    </w:p>
    <w:p>
      <w:pPr>
        <w:spacing w:line="400" w:lineRule="exact"/>
        <w:ind w:firstLine="420" w:firstLineChars="200"/>
        <w:rPr>
          <w:color w:val="auto"/>
        </w:rPr>
      </w:pPr>
      <w:r>
        <w:rPr>
          <w:rFonts w:hint="eastAsia"/>
          <w:bCs/>
          <w:color w:val="auto"/>
        </w:rPr>
        <w:t>3）2023年5月8日~10日，在陕西省西安市西安华山酒店召开有色金属计量技术规范研讨会，</w:t>
      </w:r>
      <w:r>
        <w:rPr>
          <w:rFonts w:hint="eastAsia"/>
          <w:color w:val="auto"/>
          <w:szCs w:val="21"/>
        </w:rPr>
        <w:t>会上对《</w:t>
      </w:r>
      <w:r>
        <w:rPr>
          <w:rFonts w:hint="eastAsia" w:hAnsi="宋体"/>
          <w:bCs/>
          <w:color w:val="auto"/>
          <w:szCs w:val="21"/>
        </w:rPr>
        <w:t>激光标距刻线机校准规范</w:t>
      </w:r>
      <w:r>
        <w:rPr>
          <w:rFonts w:hint="eastAsia"/>
          <w:color w:val="auto"/>
          <w:szCs w:val="21"/>
        </w:rPr>
        <w:t>-讨论稿》等15项有色金属行业计量技术规范进行了讨论，会上有来自不同单位的计量委员会委员、专家、代表对《</w:t>
      </w:r>
      <w:r>
        <w:rPr>
          <w:rFonts w:hint="eastAsia" w:hAnsi="宋体"/>
          <w:bCs/>
          <w:color w:val="auto"/>
          <w:szCs w:val="21"/>
        </w:rPr>
        <w:t>激光标距刻线机校准规范</w:t>
      </w:r>
      <w:r>
        <w:rPr>
          <w:rFonts w:hint="eastAsia"/>
          <w:color w:val="auto"/>
          <w:szCs w:val="21"/>
        </w:rPr>
        <w:t>-讨论稿》提出了修改建议和意见，</w:t>
      </w:r>
      <w:r>
        <w:rPr>
          <w:rFonts w:hint="eastAsia"/>
          <w:color w:val="auto"/>
        </w:rPr>
        <w:t>会上确定了项目负责起草单位、起草单位及一验、二验单位，明确了各项工作时间进度要求。修改形成征求意见稿。</w:t>
      </w:r>
    </w:p>
    <w:p>
      <w:pPr>
        <w:spacing w:line="360" w:lineRule="auto"/>
        <w:ind w:firstLine="210" w:firstLineChars="100"/>
        <w:jc w:val="center"/>
      </w:pPr>
      <w:r>
        <w:rPr>
          <w:rFonts w:hint="eastAsia"/>
        </w:rPr>
        <w:t>表1 有色金属计量技术规范研讨会会议纪要</w:t>
      </w:r>
    </w:p>
    <w:bookmarkEnd w:id="7"/>
    <w:tbl>
      <w:tblPr>
        <w:tblStyle w:val="41"/>
        <w:tblW w:w="4765" w:type="pct"/>
        <w:jc w:val="center"/>
        <w:tblLayout w:type="fixed"/>
        <w:tblCellMar>
          <w:top w:w="0" w:type="dxa"/>
          <w:left w:w="108" w:type="dxa"/>
          <w:bottom w:w="0" w:type="dxa"/>
          <w:right w:w="108" w:type="dxa"/>
        </w:tblCellMar>
      </w:tblPr>
      <w:tblGrid>
        <w:gridCol w:w="839"/>
        <w:gridCol w:w="1025"/>
        <w:gridCol w:w="3689"/>
        <w:gridCol w:w="2148"/>
        <w:gridCol w:w="1420"/>
      </w:tblGrid>
      <w:tr>
        <w:tblPrEx>
          <w:tblCellMar>
            <w:top w:w="0" w:type="dxa"/>
            <w:left w:w="108" w:type="dxa"/>
            <w:bottom w:w="0" w:type="dxa"/>
            <w:right w:w="108" w:type="dxa"/>
          </w:tblCellMar>
        </w:tblPrEx>
        <w:trPr>
          <w:trHeight w:val="567" w:hRule="atLeast"/>
          <w:jc w:val="center"/>
        </w:trPr>
        <w:tc>
          <w:tcPr>
            <w:tcW w:w="18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bCs/>
              </w:rPr>
            </w:pPr>
            <w:r>
              <w:rPr>
                <w:rFonts w:hint="eastAsia"/>
                <w:bCs/>
              </w:rPr>
              <w:t>参会单位及人员</w:t>
            </w:r>
          </w:p>
        </w:tc>
        <w:tc>
          <w:tcPr>
            <w:tcW w:w="7257" w:type="dxa"/>
            <w:gridSpan w:val="3"/>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420" w:firstLineChars="200"/>
              <w:jc w:val="center"/>
              <w:rPr>
                <w:bCs/>
              </w:rPr>
            </w:pPr>
            <w:r>
              <w:rPr>
                <w:rFonts w:hint="eastAsia"/>
                <w:bCs/>
              </w:rPr>
              <w:t>见会议签到表</w:t>
            </w:r>
          </w:p>
        </w:tc>
      </w:tr>
      <w:tr>
        <w:tblPrEx>
          <w:tblCellMar>
            <w:top w:w="0" w:type="dxa"/>
            <w:left w:w="108" w:type="dxa"/>
            <w:bottom w:w="0" w:type="dxa"/>
            <w:right w:w="108" w:type="dxa"/>
          </w:tblCellMar>
        </w:tblPrEx>
        <w:trPr>
          <w:trHeight w:val="567" w:hRule="atLeast"/>
          <w:jc w:val="center"/>
        </w:trPr>
        <w:tc>
          <w:tcPr>
            <w:tcW w:w="18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bCs/>
              </w:rPr>
            </w:pPr>
            <w:r>
              <w:rPr>
                <w:rFonts w:hint="eastAsia"/>
                <w:bCs/>
              </w:rPr>
              <w:t>拟参与编制单位、一验二验单位</w:t>
            </w:r>
          </w:p>
        </w:tc>
        <w:tc>
          <w:tcPr>
            <w:tcW w:w="725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ind w:firstLine="420" w:firstLineChars="200"/>
              <w:jc w:val="left"/>
              <w:rPr>
                <w:rFonts w:cs="宋体"/>
                <w:color w:val="000000"/>
                <w:kern w:val="0"/>
                <w:szCs w:val="21"/>
              </w:rPr>
            </w:pPr>
            <w:r>
              <w:rPr>
                <w:rFonts w:cs="宋体"/>
                <w:color w:val="000000"/>
                <w:kern w:val="0"/>
                <w:szCs w:val="21"/>
              </w:rPr>
              <w:t>拟参与编制单位</w:t>
            </w:r>
            <w:r>
              <w:rPr>
                <w:rFonts w:hint="eastAsia" w:cs="宋体"/>
                <w:color w:val="000000"/>
                <w:kern w:val="0"/>
                <w:szCs w:val="21"/>
              </w:rPr>
              <w:t>：</w:t>
            </w:r>
            <w:r>
              <w:rPr>
                <w:rFonts w:cs="宋体"/>
                <w:color w:val="000000"/>
                <w:kern w:val="0"/>
                <w:szCs w:val="21"/>
              </w:rPr>
              <w:t>陕西天成航空材料有限公司</w:t>
            </w:r>
            <w:r>
              <w:rPr>
                <w:rFonts w:hint="eastAsia" w:cs="宋体"/>
                <w:color w:val="000000"/>
                <w:kern w:val="0"/>
                <w:szCs w:val="21"/>
              </w:rPr>
              <w:t>、</w:t>
            </w:r>
            <w:r>
              <w:rPr>
                <w:rFonts w:cs="宋体"/>
                <w:color w:val="000000"/>
                <w:kern w:val="0"/>
                <w:szCs w:val="21"/>
              </w:rPr>
              <w:t>延安检验认证集团有限公司</w:t>
            </w:r>
            <w:r>
              <w:rPr>
                <w:rFonts w:hint="eastAsia" w:cs="宋体"/>
                <w:color w:val="000000"/>
                <w:kern w:val="0"/>
                <w:szCs w:val="21"/>
              </w:rPr>
              <w:t>、</w:t>
            </w:r>
            <w:r>
              <w:rPr>
                <w:rFonts w:cs="宋体"/>
                <w:color w:val="000000"/>
                <w:kern w:val="0"/>
                <w:szCs w:val="21"/>
              </w:rPr>
              <w:t>核工业二零三研究所</w:t>
            </w:r>
            <w:r>
              <w:rPr>
                <w:rFonts w:hint="eastAsia" w:cs="宋体"/>
                <w:color w:val="000000"/>
                <w:kern w:val="0"/>
                <w:szCs w:val="21"/>
              </w:rPr>
              <w:t>、</w:t>
            </w:r>
            <w:r>
              <w:rPr>
                <w:rFonts w:cs="宋体"/>
                <w:color w:val="000000"/>
                <w:kern w:val="0"/>
                <w:szCs w:val="21"/>
              </w:rPr>
              <w:t>广东省阳江市质量计量监督检测所</w:t>
            </w:r>
            <w:r>
              <w:rPr>
                <w:rFonts w:hint="eastAsia" w:cs="宋体"/>
                <w:color w:val="000000"/>
                <w:kern w:val="0"/>
                <w:szCs w:val="21"/>
              </w:rPr>
              <w:t>、</w:t>
            </w:r>
            <w:r>
              <w:rPr>
                <w:rFonts w:cs="宋体"/>
                <w:color w:val="000000"/>
                <w:kern w:val="0"/>
                <w:szCs w:val="21"/>
              </w:rPr>
              <w:t>中国石油集团工程材料研究院有限公司</w:t>
            </w:r>
            <w:r>
              <w:rPr>
                <w:rFonts w:hint="eastAsia" w:cs="宋体"/>
                <w:color w:val="000000"/>
                <w:kern w:val="0"/>
                <w:szCs w:val="21"/>
              </w:rPr>
              <w:t>、</w:t>
            </w:r>
            <w:r>
              <w:rPr>
                <w:rFonts w:cs="宋体"/>
                <w:color w:val="000000"/>
                <w:kern w:val="0"/>
                <w:szCs w:val="21"/>
              </w:rPr>
              <w:t>新乡金航检测技术有限公司</w:t>
            </w:r>
            <w:r>
              <w:rPr>
                <w:rFonts w:hint="eastAsia" w:cs="宋体"/>
                <w:color w:val="000000"/>
                <w:kern w:val="0"/>
                <w:szCs w:val="21"/>
              </w:rPr>
              <w:t>、</w:t>
            </w:r>
            <w:r>
              <w:rPr>
                <w:rFonts w:cs="宋体"/>
                <w:color w:val="000000"/>
                <w:kern w:val="0"/>
                <w:szCs w:val="21"/>
              </w:rPr>
              <w:t>西安艾申航空技术有限公司</w:t>
            </w:r>
            <w:r>
              <w:rPr>
                <w:rFonts w:hint="eastAsia" w:cs="宋体"/>
                <w:color w:val="000000"/>
                <w:kern w:val="0"/>
                <w:szCs w:val="21"/>
              </w:rPr>
              <w:t>、</w:t>
            </w:r>
            <w:r>
              <w:rPr>
                <w:rFonts w:cs="宋体"/>
                <w:color w:val="000000"/>
                <w:kern w:val="0"/>
                <w:szCs w:val="21"/>
              </w:rPr>
              <w:t>新疆湘润新材料科技有限公司</w:t>
            </w:r>
            <w:r>
              <w:rPr>
                <w:rFonts w:hint="eastAsia" w:cs="宋体"/>
                <w:color w:val="000000"/>
                <w:kern w:val="0"/>
                <w:szCs w:val="21"/>
              </w:rPr>
              <w:t>、</w:t>
            </w:r>
            <w:r>
              <w:rPr>
                <w:rFonts w:cs="宋体"/>
                <w:color w:val="000000"/>
                <w:kern w:val="0"/>
                <w:szCs w:val="21"/>
              </w:rPr>
              <w:t>陕西亿创钛锆检测有限公司</w:t>
            </w:r>
            <w:r>
              <w:rPr>
                <w:rFonts w:hint="eastAsia" w:cs="宋体"/>
                <w:color w:val="000000"/>
                <w:kern w:val="0"/>
                <w:szCs w:val="21"/>
              </w:rPr>
              <w:t>、</w:t>
            </w:r>
            <w:r>
              <w:rPr>
                <w:rFonts w:cs="宋体"/>
                <w:color w:val="000000"/>
                <w:kern w:val="0"/>
                <w:szCs w:val="21"/>
              </w:rPr>
              <w:t>中国石油集团工程材料研究院有限公司</w:t>
            </w:r>
            <w:r>
              <w:rPr>
                <w:rFonts w:hint="eastAsia" w:cs="宋体"/>
                <w:color w:val="000000"/>
                <w:kern w:val="0"/>
                <w:szCs w:val="21"/>
              </w:rPr>
              <w:t>、</w:t>
            </w:r>
            <w:r>
              <w:rPr>
                <w:rFonts w:cs="宋体"/>
                <w:color w:val="000000"/>
                <w:kern w:val="0"/>
                <w:szCs w:val="21"/>
              </w:rPr>
              <w:t>洛阳航辉新材料有限公司等</w:t>
            </w:r>
          </w:p>
          <w:p>
            <w:pPr>
              <w:widowControl/>
              <w:ind w:firstLine="420" w:firstLineChars="200"/>
              <w:jc w:val="left"/>
              <w:rPr>
                <w:rFonts w:cs="宋体"/>
                <w:color w:val="000000"/>
                <w:kern w:val="0"/>
                <w:szCs w:val="21"/>
              </w:rPr>
            </w:pPr>
            <w:r>
              <w:rPr>
                <w:rFonts w:hint="eastAsia" w:cs="宋体"/>
                <w:color w:val="000000"/>
                <w:kern w:val="0"/>
                <w:szCs w:val="21"/>
              </w:rPr>
              <w:t>一验：广东省科学院工业分析检测中心</w:t>
            </w:r>
          </w:p>
          <w:p>
            <w:pPr>
              <w:spacing w:line="360" w:lineRule="auto"/>
              <w:ind w:firstLine="420" w:firstLineChars="200"/>
              <w:rPr>
                <w:bCs/>
              </w:rPr>
            </w:pPr>
            <w:r>
              <w:rPr>
                <w:rFonts w:hint="eastAsia" w:cs="宋体"/>
                <w:color w:val="000000"/>
                <w:kern w:val="0"/>
                <w:szCs w:val="21"/>
              </w:rPr>
              <w:t>二验：国标（北京）检验认证有限公司、西南铝业（集团）有限责任公司、新疆湘润新材料科技有限公司</w:t>
            </w:r>
          </w:p>
        </w:tc>
      </w:tr>
      <w:tr>
        <w:tblPrEx>
          <w:tblCellMar>
            <w:top w:w="0" w:type="dxa"/>
            <w:left w:w="108" w:type="dxa"/>
            <w:bottom w:w="0" w:type="dxa"/>
            <w:right w:w="108" w:type="dxa"/>
          </w:tblCellMar>
        </w:tblPrEx>
        <w:trPr>
          <w:trHeight w:val="567" w:hRule="atLeast"/>
          <w:jc w:val="center"/>
        </w:trPr>
        <w:tc>
          <w:tcPr>
            <w:tcW w:w="18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bCs/>
              </w:rPr>
            </w:pPr>
            <w:r>
              <w:rPr>
                <w:rFonts w:hint="eastAsia"/>
                <w:bCs/>
              </w:rPr>
              <w:t>时间节点安排</w:t>
            </w:r>
          </w:p>
        </w:tc>
        <w:tc>
          <w:tcPr>
            <w:tcW w:w="7257" w:type="dxa"/>
            <w:gridSpan w:val="3"/>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420" w:firstLineChars="200"/>
              <w:rPr>
                <w:bCs/>
              </w:rPr>
            </w:pPr>
            <w:r>
              <w:rPr>
                <w:rFonts w:hint="eastAsia"/>
                <w:bCs/>
              </w:rPr>
              <w:t>2024年完成规范报批</w:t>
            </w:r>
          </w:p>
        </w:tc>
      </w:tr>
      <w:tr>
        <w:tblPrEx>
          <w:tblCellMar>
            <w:top w:w="0" w:type="dxa"/>
            <w:left w:w="108" w:type="dxa"/>
            <w:bottom w:w="0" w:type="dxa"/>
            <w:right w:w="108" w:type="dxa"/>
          </w:tblCellMar>
        </w:tblPrEx>
        <w:trPr>
          <w:trHeight w:val="567" w:hRule="atLeast"/>
          <w:jc w:val="center"/>
        </w:trPr>
        <w:tc>
          <w:tcPr>
            <w:tcW w:w="83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bCs/>
              </w:rPr>
            </w:pPr>
            <w:r>
              <w:rPr>
                <w:rFonts w:hint="eastAsia"/>
                <w:bCs/>
              </w:rPr>
              <w:t>序号</w:t>
            </w:r>
          </w:p>
        </w:tc>
        <w:tc>
          <w:tcPr>
            <w:tcW w:w="1025" w:type="dxa"/>
            <w:tcBorders>
              <w:top w:val="single" w:color="auto" w:sz="4" w:space="0"/>
              <w:left w:val="nil"/>
              <w:bottom w:val="single" w:color="auto" w:sz="4" w:space="0"/>
              <w:right w:val="single" w:color="auto" w:sz="4" w:space="0"/>
            </w:tcBorders>
            <w:shd w:val="clear" w:color="auto" w:fill="auto"/>
            <w:vAlign w:val="center"/>
          </w:tcPr>
          <w:p>
            <w:pPr>
              <w:spacing w:line="360" w:lineRule="auto"/>
              <w:rPr>
                <w:bCs/>
              </w:rPr>
            </w:pPr>
            <w:r>
              <w:rPr>
                <w:rFonts w:hint="eastAsia"/>
                <w:bCs/>
              </w:rPr>
              <w:t>标准章条编号</w:t>
            </w:r>
          </w:p>
        </w:tc>
        <w:tc>
          <w:tcPr>
            <w:tcW w:w="3689"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420" w:firstLineChars="200"/>
              <w:rPr>
                <w:bCs/>
              </w:rPr>
            </w:pPr>
            <w:r>
              <w:rPr>
                <w:rFonts w:hint="eastAsia"/>
                <w:bCs/>
              </w:rPr>
              <w:t>意见内容</w:t>
            </w:r>
          </w:p>
        </w:tc>
        <w:tc>
          <w:tcPr>
            <w:tcW w:w="2148"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rPr>
                <w:bCs/>
              </w:rPr>
            </w:pPr>
            <w:r>
              <w:rPr>
                <w:rFonts w:hint="eastAsia"/>
                <w:bCs/>
              </w:rPr>
              <w:t>提出单位及提出人（可简写）</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rPr>
                <w:bCs/>
              </w:rPr>
            </w:pPr>
            <w:r>
              <w:rPr>
                <w:rFonts w:hint="eastAsia"/>
                <w:bCs/>
              </w:rPr>
              <w:t>处理意见</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1"/>
              </w:numPr>
              <w:ind w:firstLineChars="0"/>
              <w:jc w:val="center"/>
              <w:rPr>
                <w:bCs/>
              </w:rPr>
            </w:pPr>
          </w:p>
        </w:tc>
        <w:tc>
          <w:tcPr>
            <w:tcW w:w="102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hint="eastAsia" w:cs="宋体"/>
                <w:color w:val="000000"/>
                <w:kern w:val="0"/>
                <w:szCs w:val="21"/>
              </w:rPr>
              <w:t>——</w:t>
            </w:r>
          </w:p>
        </w:tc>
        <w:tc>
          <w:tcPr>
            <w:tcW w:w="3689"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cs="宋体"/>
                <w:color w:val="000000"/>
                <w:kern w:val="0"/>
                <w:szCs w:val="21"/>
              </w:rPr>
              <w:t>字体统一</w:t>
            </w:r>
          </w:p>
        </w:tc>
        <w:tc>
          <w:tcPr>
            <w:tcW w:w="2148"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hint="eastAsia" w:cs="宋体"/>
                <w:color w:val="000000"/>
                <w:kern w:val="0"/>
                <w:szCs w:val="21"/>
              </w:rPr>
              <w:t>新疆湘润新材料科技有限公司，杨再江</w:t>
            </w:r>
          </w:p>
        </w:tc>
        <w:tc>
          <w:tcPr>
            <w:tcW w:w="142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cs="宋体"/>
                <w:color w:val="000000"/>
                <w:kern w:val="0"/>
                <w:szCs w:val="21"/>
              </w:rPr>
              <w:t>统一字体</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1"/>
              </w:numPr>
              <w:ind w:firstLineChars="0"/>
              <w:jc w:val="center"/>
              <w:rPr>
                <w:bCs/>
              </w:rPr>
            </w:pPr>
          </w:p>
        </w:tc>
        <w:tc>
          <w:tcPr>
            <w:tcW w:w="102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hint="eastAsia" w:cs="宋体"/>
                <w:color w:val="000000"/>
                <w:kern w:val="0"/>
                <w:szCs w:val="21"/>
              </w:rPr>
              <w:t>5.1</w:t>
            </w:r>
          </w:p>
        </w:tc>
        <w:tc>
          <w:tcPr>
            <w:tcW w:w="3689"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cs="宋体"/>
                <w:color w:val="000000"/>
                <w:kern w:val="0"/>
                <w:szCs w:val="21"/>
              </w:rPr>
              <w:t>湿度单位统一</w:t>
            </w:r>
          </w:p>
        </w:tc>
        <w:tc>
          <w:tcPr>
            <w:tcW w:w="2148"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cs="宋体"/>
                <w:color w:val="000000"/>
                <w:kern w:val="0"/>
                <w:szCs w:val="21"/>
              </w:rPr>
              <w:t>东北轻合金有限责任公司</w:t>
            </w:r>
            <w:r>
              <w:rPr>
                <w:rFonts w:hint="eastAsia" w:cs="宋体"/>
                <w:color w:val="000000"/>
                <w:kern w:val="0"/>
                <w:szCs w:val="21"/>
              </w:rPr>
              <w:t>，</w:t>
            </w:r>
            <w:r>
              <w:rPr>
                <w:rFonts w:cs="宋体"/>
                <w:color w:val="000000"/>
                <w:kern w:val="0"/>
                <w:szCs w:val="21"/>
              </w:rPr>
              <w:t>马金萍</w:t>
            </w:r>
          </w:p>
        </w:tc>
        <w:tc>
          <w:tcPr>
            <w:tcW w:w="142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cs="宋体"/>
                <w:color w:val="000000"/>
                <w:kern w:val="0"/>
                <w:szCs w:val="21"/>
              </w:rPr>
              <w:t>统一湿度单位</w:t>
            </w:r>
            <w:r>
              <w:rPr>
                <w:rFonts w:hint="eastAsia" w:cs="宋体"/>
                <w:color w:val="000000"/>
                <w:kern w:val="0"/>
                <w:szCs w:val="21"/>
              </w:rPr>
              <w:t>“%RH”</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1"/>
              </w:numPr>
              <w:ind w:firstLineChars="0"/>
              <w:jc w:val="center"/>
              <w:rPr>
                <w:bCs/>
              </w:rPr>
            </w:pPr>
          </w:p>
        </w:tc>
        <w:tc>
          <w:tcPr>
            <w:tcW w:w="102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hint="eastAsia" w:cs="宋体"/>
                <w:color w:val="000000"/>
                <w:kern w:val="0"/>
                <w:szCs w:val="21"/>
              </w:rPr>
              <w:t>5.2</w:t>
            </w:r>
          </w:p>
        </w:tc>
        <w:tc>
          <w:tcPr>
            <w:tcW w:w="3689"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cs="宋体"/>
                <w:color w:val="000000"/>
                <w:kern w:val="0"/>
                <w:szCs w:val="21"/>
              </w:rPr>
              <w:t>注释放在表格内</w:t>
            </w:r>
            <w:r>
              <w:rPr>
                <w:rFonts w:hint="eastAsia" w:cs="宋体"/>
                <w:color w:val="000000"/>
                <w:kern w:val="0"/>
                <w:szCs w:val="21"/>
              </w:rPr>
              <w:t>，</w:t>
            </w:r>
            <w:r>
              <w:rPr>
                <w:rFonts w:cs="宋体"/>
                <w:color w:val="000000"/>
                <w:kern w:val="0"/>
                <w:szCs w:val="21"/>
              </w:rPr>
              <w:t>计量特性取要求最大的</w:t>
            </w:r>
            <w:r>
              <w:rPr>
                <w:rFonts w:hint="eastAsia" w:cs="宋体"/>
                <w:color w:val="000000"/>
                <w:kern w:val="0"/>
                <w:szCs w:val="21"/>
              </w:rPr>
              <w:t>，单位说明</w:t>
            </w:r>
          </w:p>
        </w:tc>
        <w:tc>
          <w:tcPr>
            <w:tcW w:w="2148"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cs="宋体"/>
                <w:color w:val="000000"/>
                <w:kern w:val="0"/>
                <w:szCs w:val="21"/>
              </w:rPr>
              <w:t>国标</w:t>
            </w:r>
            <w:r>
              <w:rPr>
                <w:rFonts w:hint="eastAsia" w:cs="宋体"/>
                <w:color w:val="000000"/>
                <w:kern w:val="0"/>
                <w:szCs w:val="21"/>
              </w:rPr>
              <w:t>（北京检验认证有限公司），</w:t>
            </w:r>
            <w:r>
              <w:rPr>
                <w:rFonts w:cs="宋体"/>
                <w:color w:val="000000"/>
                <w:kern w:val="0"/>
                <w:szCs w:val="21"/>
              </w:rPr>
              <w:t>樊志罡</w:t>
            </w:r>
          </w:p>
        </w:tc>
        <w:tc>
          <w:tcPr>
            <w:tcW w:w="142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cs="宋体"/>
                <w:color w:val="000000"/>
                <w:kern w:val="0"/>
                <w:szCs w:val="21"/>
              </w:rPr>
              <w:t>取影像仪</w:t>
            </w:r>
            <w:r>
              <w:rPr>
                <w:rFonts w:hint="eastAsia" w:cs="宋体"/>
                <w:color w:val="000000"/>
                <w:kern w:val="0"/>
                <w:szCs w:val="21"/>
              </w:rPr>
              <w:t>“MPE：±（5+</w:t>
            </w:r>
            <w:r>
              <w:rPr>
                <w:rFonts w:hint="eastAsia" w:cs="宋体"/>
                <w:i/>
                <w:color w:val="000000"/>
                <w:kern w:val="0"/>
                <w:szCs w:val="21"/>
              </w:rPr>
              <w:t>L</w:t>
            </w:r>
            <w:r>
              <w:rPr>
                <w:rFonts w:hint="eastAsia" w:cs="宋体"/>
                <w:color w:val="000000"/>
                <w:kern w:val="0"/>
                <w:szCs w:val="21"/>
              </w:rPr>
              <w:t>/100）μm，</w:t>
            </w:r>
            <w:r>
              <w:rPr>
                <w:rFonts w:hint="eastAsia" w:cs="宋体"/>
                <w:i/>
                <w:color w:val="000000"/>
                <w:kern w:val="0"/>
                <w:szCs w:val="21"/>
              </w:rPr>
              <w:t>L</w:t>
            </w:r>
            <w:r>
              <w:rPr>
                <w:rFonts w:hint="eastAsia" w:cs="宋体"/>
                <w:color w:val="000000"/>
                <w:kern w:val="0"/>
                <w:szCs w:val="21"/>
              </w:rPr>
              <w:t>：mm”，</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1"/>
              </w:numPr>
              <w:ind w:firstLineChars="0"/>
              <w:jc w:val="center"/>
              <w:rPr>
                <w:bCs/>
              </w:rPr>
            </w:pPr>
          </w:p>
        </w:tc>
        <w:tc>
          <w:tcPr>
            <w:tcW w:w="102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hint="eastAsia" w:cs="宋体"/>
                <w:color w:val="000000"/>
                <w:kern w:val="0"/>
                <w:szCs w:val="21"/>
              </w:rPr>
              <w:t>6</w:t>
            </w:r>
          </w:p>
        </w:tc>
        <w:tc>
          <w:tcPr>
            <w:tcW w:w="3689"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cs="宋体"/>
                <w:color w:val="000000"/>
                <w:kern w:val="0"/>
                <w:szCs w:val="21"/>
              </w:rPr>
              <w:t>校准项目和校准区别</w:t>
            </w:r>
          </w:p>
        </w:tc>
        <w:tc>
          <w:tcPr>
            <w:tcW w:w="2148"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cs="宋体"/>
                <w:color w:val="000000"/>
                <w:kern w:val="0"/>
                <w:szCs w:val="21"/>
              </w:rPr>
              <w:t>东北轻合金有限责任公司</w:t>
            </w:r>
            <w:r>
              <w:rPr>
                <w:rFonts w:hint="eastAsia" w:cs="宋体"/>
                <w:color w:val="000000"/>
                <w:kern w:val="0"/>
                <w:szCs w:val="21"/>
              </w:rPr>
              <w:t>，</w:t>
            </w:r>
            <w:r>
              <w:rPr>
                <w:rFonts w:cs="宋体"/>
                <w:color w:val="000000"/>
                <w:kern w:val="0"/>
                <w:szCs w:val="21"/>
              </w:rPr>
              <w:t>马金萍</w:t>
            </w:r>
          </w:p>
        </w:tc>
        <w:tc>
          <w:tcPr>
            <w:tcW w:w="142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cs="宋体"/>
                <w:color w:val="000000"/>
                <w:kern w:val="0"/>
                <w:szCs w:val="21"/>
              </w:rPr>
              <w:t>校准项目和校准方法</w:t>
            </w:r>
            <w:r>
              <w:rPr>
                <w:rFonts w:hint="eastAsia" w:cs="宋体"/>
                <w:color w:val="000000"/>
                <w:kern w:val="0"/>
                <w:szCs w:val="21"/>
              </w:rPr>
              <w:t>，</w:t>
            </w:r>
            <w:r>
              <w:rPr>
                <w:rFonts w:cs="宋体"/>
                <w:color w:val="000000"/>
                <w:kern w:val="0"/>
                <w:szCs w:val="21"/>
              </w:rPr>
              <w:t>分别描述</w:t>
            </w:r>
            <w:r>
              <w:rPr>
                <w:rFonts w:hint="eastAsia" w:cs="宋体"/>
                <w:color w:val="000000"/>
                <w:kern w:val="0"/>
                <w:szCs w:val="21"/>
              </w:rPr>
              <w:t>，</w:t>
            </w:r>
            <w:r>
              <w:rPr>
                <w:rFonts w:cs="宋体"/>
                <w:color w:val="000000"/>
                <w:kern w:val="0"/>
                <w:szCs w:val="21"/>
              </w:rPr>
              <w:t>对应的校准项目使用对应的校准方法</w:t>
            </w:r>
            <w:r>
              <w:rPr>
                <w:rFonts w:hint="eastAsia" w:cs="宋体"/>
                <w:color w:val="000000"/>
                <w:kern w:val="0"/>
                <w:szCs w:val="21"/>
              </w:rPr>
              <w:t>。</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1"/>
              </w:numPr>
              <w:ind w:firstLineChars="0"/>
              <w:jc w:val="center"/>
              <w:rPr>
                <w:bCs/>
              </w:rPr>
            </w:pPr>
          </w:p>
        </w:tc>
        <w:tc>
          <w:tcPr>
            <w:tcW w:w="102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hint="eastAsia" w:cs="宋体"/>
                <w:color w:val="000000"/>
                <w:kern w:val="0"/>
                <w:szCs w:val="21"/>
              </w:rPr>
              <w:t>6.1</w:t>
            </w:r>
          </w:p>
        </w:tc>
        <w:tc>
          <w:tcPr>
            <w:tcW w:w="3689"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cs="宋体"/>
                <w:color w:val="000000"/>
                <w:kern w:val="0"/>
                <w:szCs w:val="21"/>
              </w:rPr>
              <w:t>刻线标距示值误差测量过程描述不准确</w:t>
            </w:r>
            <w:r>
              <w:rPr>
                <w:rFonts w:hint="eastAsia" w:cs="宋体"/>
                <w:color w:val="000000"/>
                <w:kern w:val="0"/>
                <w:szCs w:val="21"/>
              </w:rPr>
              <w:t>。</w:t>
            </w:r>
          </w:p>
        </w:tc>
        <w:tc>
          <w:tcPr>
            <w:tcW w:w="2148"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cs="宋体"/>
                <w:color w:val="000000"/>
                <w:kern w:val="0"/>
                <w:szCs w:val="21"/>
              </w:rPr>
              <w:t>国标</w:t>
            </w:r>
            <w:r>
              <w:rPr>
                <w:rFonts w:hint="eastAsia" w:cs="宋体"/>
                <w:color w:val="000000"/>
                <w:kern w:val="0"/>
                <w:szCs w:val="21"/>
              </w:rPr>
              <w:t>（北京检验认证有限公司），</w:t>
            </w:r>
            <w:r>
              <w:rPr>
                <w:rFonts w:cs="宋体"/>
                <w:color w:val="000000"/>
                <w:kern w:val="0"/>
                <w:szCs w:val="21"/>
              </w:rPr>
              <w:t>樊志罡</w:t>
            </w:r>
          </w:p>
        </w:tc>
        <w:tc>
          <w:tcPr>
            <w:tcW w:w="142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cs="宋体"/>
                <w:color w:val="000000"/>
                <w:kern w:val="0"/>
                <w:szCs w:val="21"/>
              </w:rPr>
              <w:t>对刻线标距示值误差的测量方法进行准确描述</w:t>
            </w:r>
            <w:r>
              <w:rPr>
                <w:rFonts w:hint="eastAsia" w:cs="宋体"/>
                <w:color w:val="000000"/>
                <w:kern w:val="0"/>
                <w:szCs w:val="21"/>
              </w:rPr>
              <w:t>，</w:t>
            </w:r>
            <w:r>
              <w:rPr>
                <w:rFonts w:cs="宋体"/>
                <w:color w:val="000000"/>
                <w:kern w:val="0"/>
                <w:szCs w:val="21"/>
              </w:rPr>
              <w:t>确定标距刻线的刻画方式</w:t>
            </w:r>
            <w:r>
              <w:rPr>
                <w:rFonts w:hint="eastAsia" w:cs="宋体"/>
                <w:color w:val="000000"/>
                <w:kern w:val="0"/>
                <w:szCs w:val="21"/>
              </w:rPr>
              <w:t>。</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1"/>
              </w:numPr>
              <w:ind w:firstLineChars="0"/>
              <w:jc w:val="center"/>
              <w:rPr>
                <w:bCs/>
              </w:rPr>
            </w:pPr>
          </w:p>
        </w:tc>
        <w:tc>
          <w:tcPr>
            <w:tcW w:w="102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cs="宋体"/>
                <w:color w:val="000000"/>
                <w:kern w:val="0"/>
                <w:szCs w:val="21"/>
              </w:rPr>
              <w:t>附录A</w:t>
            </w:r>
          </w:p>
        </w:tc>
        <w:tc>
          <w:tcPr>
            <w:tcW w:w="3689"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cs="宋体"/>
                <w:color w:val="000000"/>
                <w:kern w:val="0"/>
                <w:szCs w:val="21"/>
              </w:rPr>
              <w:t>依据技术文件</w:t>
            </w:r>
          </w:p>
        </w:tc>
        <w:tc>
          <w:tcPr>
            <w:tcW w:w="2148"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hint="eastAsia" w:cs="宋体"/>
                <w:color w:val="000000"/>
                <w:kern w:val="0"/>
                <w:szCs w:val="21"/>
              </w:rPr>
              <w:t>新疆湘润新材料科技有限公司，杨再江</w:t>
            </w:r>
          </w:p>
        </w:tc>
        <w:tc>
          <w:tcPr>
            <w:tcW w:w="142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Cs w:val="21"/>
              </w:rPr>
            </w:pPr>
            <w:r>
              <w:rPr>
                <w:rFonts w:cs="宋体"/>
                <w:color w:val="000000"/>
                <w:kern w:val="0"/>
                <w:szCs w:val="21"/>
              </w:rPr>
              <w:t>JJFZ</w:t>
            </w:r>
            <w:r>
              <w:rPr>
                <w:rFonts w:hint="eastAsia" w:cs="宋体"/>
                <w:color w:val="000000"/>
                <w:kern w:val="0"/>
                <w:szCs w:val="21"/>
              </w:rPr>
              <w:t>（有色金属）010-2022</w:t>
            </w:r>
          </w:p>
        </w:tc>
      </w:tr>
    </w:tbl>
    <w:p>
      <w:pPr>
        <w:spacing w:line="360" w:lineRule="auto"/>
        <w:ind w:firstLine="420" w:firstLineChars="200"/>
        <w:rPr>
          <w:color w:val="auto"/>
        </w:rPr>
      </w:pPr>
      <w:r>
        <w:rPr>
          <w:rFonts w:eastAsiaTheme="minorEastAsia"/>
          <w:color w:val="auto"/>
        </w:rPr>
        <w:t>2023.11.03</w:t>
      </w:r>
      <w:r>
        <w:rPr>
          <w:rFonts w:hint="eastAsia" w:eastAsiaTheme="minorEastAsia"/>
          <w:color w:val="auto"/>
        </w:rPr>
        <w:t>在昆明举行有色金属计量技术规范研讨会，</w:t>
      </w:r>
      <w:r>
        <w:rPr>
          <w:rFonts w:hint="eastAsia" w:eastAsiaTheme="minorEastAsia"/>
          <w:color w:val="auto"/>
          <w:szCs w:val="21"/>
        </w:rPr>
        <w:t>会上对《</w:t>
      </w:r>
      <w:r>
        <w:rPr>
          <w:rFonts w:hint="eastAsia" w:hAnsi="宋体"/>
          <w:bCs/>
          <w:color w:val="auto"/>
          <w:szCs w:val="21"/>
        </w:rPr>
        <w:t>激光标距刻线机校准规范</w:t>
      </w:r>
      <w:r>
        <w:rPr>
          <w:rFonts w:hint="eastAsia" w:eastAsiaTheme="minorEastAsia"/>
          <w:color w:val="auto"/>
          <w:szCs w:val="21"/>
        </w:rPr>
        <w:t>》等项有色金属行业计量技术规范进行了讨论，会上有来自不同单位的计量委员会委员、专家、代表对《</w:t>
      </w:r>
      <w:r>
        <w:rPr>
          <w:rFonts w:hint="eastAsia" w:hAnsi="宋体"/>
          <w:bCs/>
          <w:color w:val="auto"/>
          <w:szCs w:val="21"/>
        </w:rPr>
        <w:t>激光标距刻线机校准规范</w:t>
      </w:r>
      <w:r>
        <w:rPr>
          <w:rFonts w:hint="eastAsia" w:eastAsiaTheme="minorEastAsia"/>
          <w:color w:val="auto"/>
          <w:szCs w:val="21"/>
        </w:rPr>
        <w:t>》提出了修改建议和意见。</w:t>
      </w:r>
      <w:r>
        <w:rPr>
          <w:rFonts w:hint="eastAsia"/>
          <w:color w:val="auto"/>
        </w:rPr>
        <w:t>修改形成征求审定稿。</w:t>
      </w:r>
    </w:p>
    <w:p>
      <w:pPr>
        <w:spacing w:line="360" w:lineRule="auto"/>
        <w:ind w:firstLine="210" w:firstLineChars="100"/>
        <w:jc w:val="center"/>
      </w:pPr>
      <w:r>
        <w:rPr>
          <w:rFonts w:asciiTheme="minorEastAsia" w:hAnsiTheme="minorEastAsia" w:eastAsiaTheme="minorEastAsia"/>
        </w:rPr>
        <w:tab/>
      </w:r>
      <w:r>
        <w:rPr>
          <w:rFonts w:asciiTheme="minorEastAsia" w:hAnsiTheme="minorEastAsia" w:eastAsiaTheme="minorEastAsia"/>
        </w:rPr>
        <w:tab/>
      </w:r>
      <w:r>
        <w:rPr>
          <w:rFonts w:hint="eastAsia"/>
        </w:rPr>
        <w:t>表2有色金属计量技术规范研讨会会议纪要</w:t>
      </w:r>
    </w:p>
    <w:tbl>
      <w:tblPr>
        <w:tblStyle w:val="41"/>
        <w:tblW w:w="5005" w:type="pct"/>
        <w:tblInd w:w="-5" w:type="dxa"/>
        <w:tblLayout w:type="fixed"/>
        <w:tblCellMar>
          <w:top w:w="0" w:type="dxa"/>
          <w:left w:w="108" w:type="dxa"/>
          <w:bottom w:w="0" w:type="dxa"/>
          <w:right w:w="108" w:type="dxa"/>
        </w:tblCellMar>
      </w:tblPr>
      <w:tblGrid>
        <w:gridCol w:w="840"/>
        <w:gridCol w:w="1025"/>
        <w:gridCol w:w="4428"/>
        <w:gridCol w:w="1410"/>
        <w:gridCol w:w="1420"/>
        <w:gridCol w:w="458"/>
      </w:tblGrid>
      <w:tr>
        <w:tblPrEx>
          <w:tblCellMar>
            <w:top w:w="0" w:type="dxa"/>
            <w:left w:w="108" w:type="dxa"/>
            <w:bottom w:w="0" w:type="dxa"/>
            <w:right w:w="108" w:type="dxa"/>
          </w:tblCellMar>
        </w:tblPrEx>
        <w:trPr>
          <w:trHeight w:val="567" w:hRule="atLeast"/>
        </w:trPr>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bCs/>
                <w:color w:val="000000"/>
                <w:kern w:val="0"/>
                <w:szCs w:val="21"/>
              </w:rPr>
            </w:pPr>
            <w:r>
              <w:rPr>
                <w:bCs/>
                <w:color w:val="000000"/>
                <w:kern w:val="0"/>
                <w:szCs w:val="21"/>
              </w:rPr>
              <w:t>序号</w:t>
            </w:r>
          </w:p>
        </w:tc>
        <w:tc>
          <w:tcPr>
            <w:tcW w:w="535" w:type="pct"/>
            <w:tcBorders>
              <w:top w:val="single" w:color="auto" w:sz="4" w:space="0"/>
              <w:left w:val="nil"/>
              <w:bottom w:val="single" w:color="auto" w:sz="4" w:space="0"/>
              <w:right w:val="single" w:color="auto" w:sz="4" w:space="0"/>
            </w:tcBorders>
            <w:shd w:val="clear" w:color="auto" w:fill="auto"/>
            <w:vAlign w:val="center"/>
          </w:tcPr>
          <w:p>
            <w:pPr>
              <w:widowControl/>
              <w:jc w:val="center"/>
              <w:rPr>
                <w:bCs/>
                <w:color w:val="000000"/>
                <w:kern w:val="0"/>
                <w:szCs w:val="21"/>
              </w:rPr>
            </w:pPr>
            <w:r>
              <w:rPr>
                <w:bCs/>
                <w:color w:val="000000"/>
                <w:kern w:val="0"/>
                <w:szCs w:val="21"/>
              </w:rPr>
              <w:t>标准章条</w:t>
            </w:r>
          </w:p>
          <w:p>
            <w:pPr>
              <w:widowControl/>
              <w:jc w:val="center"/>
              <w:rPr>
                <w:bCs/>
                <w:color w:val="000000"/>
                <w:kern w:val="0"/>
                <w:szCs w:val="21"/>
              </w:rPr>
            </w:pPr>
            <w:r>
              <w:rPr>
                <w:bCs/>
                <w:color w:val="000000"/>
                <w:kern w:val="0"/>
                <w:szCs w:val="21"/>
              </w:rPr>
              <w:t>编号</w:t>
            </w:r>
          </w:p>
        </w:tc>
        <w:tc>
          <w:tcPr>
            <w:tcW w:w="231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bCs/>
                <w:color w:val="000000"/>
                <w:kern w:val="0"/>
                <w:szCs w:val="21"/>
              </w:rPr>
            </w:pPr>
            <w:r>
              <w:rPr>
                <w:bCs/>
                <w:color w:val="000000"/>
                <w:kern w:val="0"/>
                <w:szCs w:val="21"/>
              </w:rPr>
              <w:t>意见内容</w:t>
            </w:r>
          </w:p>
        </w:tc>
        <w:tc>
          <w:tcPr>
            <w:tcW w:w="73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bCs/>
                <w:color w:val="000000"/>
                <w:kern w:val="0"/>
                <w:szCs w:val="21"/>
              </w:rPr>
            </w:pPr>
            <w:r>
              <w:rPr>
                <w:bCs/>
                <w:color w:val="000000"/>
                <w:kern w:val="0"/>
                <w:szCs w:val="21"/>
              </w:rPr>
              <w:t>提出单位及提出人</w:t>
            </w:r>
          </w:p>
          <w:p>
            <w:pPr>
              <w:widowControl/>
              <w:jc w:val="center"/>
              <w:rPr>
                <w:bCs/>
                <w:color w:val="000000"/>
                <w:kern w:val="0"/>
                <w:szCs w:val="21"/>
              </w:rPr>
            </w:pPr>
            <w:r>
              <w:rPr>
                <w:bCs/>
                <w:color w:val="000000"/>
                <w:kern w:val="0"/>
                <w:szCs w:val="21"/>
              </w:rPr>
              <w:t>（可简写）</w:t>
            </w:r>
          </w:p>
        </w:tc>
        <w:tc>
          <w:tcPr>
            <w:tcW w:w="74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bCs/>
                <w:color w:val="000000"/>
                <w:kern w:val="0"/>
                <w:szCs w:val="21"/>
              </w:rPr>
            </w:pPr>
            <w:r>
              <w:rPr>
                <w:bCs/>
                <w:color w:val="000000"/>
                <w:kern w:val="0"/>
                <w:szCs w:val="21"/>
              </w:rPr>
              <w:t>处理意见</w:t>
            </w:r>
          </w:p>
        </w:tc>
        <w:tc>
          <w:tcPr>
            <w:tcW w:w="23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bCs/>
                <w:color w:val="000000"/>
                <w:kern w:val="0"/>
                <w:szCs w:val="21"/>
              </w:rPr>
            </w:pPr>
            <w:r>
              <w:rPr>
                <w:bCs/>
                <w:color w:val="000000"/>
                <w:kern w:val="0"/>
                <w:szCs w:val="21"/>
              </w:rPr>
              <w:t>备注</w:t>
            </w:r>
          </w:p>
        </w:tc>
      </w:tr>
      <w:tr>
        <w:tblPrEx>
          <w:tblCellMar>
            <w:top w:w="0" w:type="dxa"/>
            <w:left w:w="108" w:type="dxa"/>
            <w:bottom w:w="0" w:type="dxa"/>
            <w:right w:w="108" w:type="dxa"/>
          </w:tblCellMar>
        </w:tblPrEx>
        <w:trPr>
          <w:trHeight w:val="567" w:hRule="atLeast"/>
        </w:trPr>
        <w:tc>
          <w:tcPr>
            <w:tcW w:w="438" w:type="pct"/>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1"/>
              </w:numPr>
              <w:ind w:firstLineChars="0"/>
              <w:jc w:val="center"/>
              <w:rPr>
                <w:color w:val="000000"/>
                <w:kern w:val="0"/>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4.</w:t>
            </w:r>
          </w:p>
        </w:tc>
        <w:tc>
          <w:tcPr>
            <w:tcW w:w="2311"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计量特性，注解不需要，最大允许误差的描述不准确</w:t>
            </w:r>
          </w:p>
        </w:tc>
        <w:tc>
          <w:tcPr>
            <w:tcW w:w="736"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副秘书长，闫艳楠</w:t>
            </w:r>
          </w:p>
        </w:tc>
        <w:tc>
          <w:tcPr>
            <w:tcW w:w="741"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删除注解，更改最大允许误差的描述</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p>
        </w:tc>
      </w:tr>
      <w:tr>
        <w:tblPrEx>
          <w:tblCellMar>
            <w:top w:w="0" w:type="dxa"/>
            <w:left w:w="108" w:type="dxa"/>
            <w:bottom w:w="0" w:type="dxa"/>
            <w:right w:w="108" w:type="dxa"/>
          </w:tblCellMar>
        </w:tblPrEx>
        <w:trPr>
          <w:trHeight w:val="567" w:hRule="atLeast"/>
        </w:trPr>
        <w:tc>
          <w:tcPr>
            <w:tcW w:w="438" w:type="pct"/>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1"/>
              </w:numPr>
              <w:ind w:firstLineChars="0"/>
              <w:jc w:val="center"/>
              <w:rPr>
                <w:color w:val="000000"/>
                <w:kern w:val="0"/>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5.2</w:t>
            </w:r>
          </w:p>
        </w:tc>
        <w:tc>
          <w:tcPr>
            <w:tcW w:w="2311"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对标准器校验棒的要求不严谨</w:t>
            </w:r>
          </w:p>
        </w:tc>
        <w:tc>
          <w:tcPr>
            <w:tcW w:w="736"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西安铝业（集团）有限责任公司，谭本清</w:t>
            </w:r>
          </w:p>
        </w:tc>
        <w:tc>
          <w:tcPr>
            <w:tcW w:w="741"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增加校验棒表面粗糙度的描述参数</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p>
        </w:tc>
      </w:tr>
      <w:tr>
        <w:tblPrEx>
          <w:tblCellMar>
            <w:top w:w="0" w:type="dxa"/>
            <w:left w:w="108" w:type="dxa"/>
            <w:bottom w:w="0" w:type="dxa"/>
            <w:right w:w="108" w:type="dxa"/>
          </w:tblCellMar>
        </w:tblPrEx>
        <w:trPr>
          <w:trHeight w:val="567" w:hRule="atLeast"/>
        </w:trPr>
        <w:tc>
          <w:tcPr>
            <w:tcW w:w="438" w:type="pct"/>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1"/>
              </w:numPr>
              <w:ind w:firstLineChars="0"/>
              <w:jc w:val="center"/>
              <w:rPr>
                <w:color w:val="000000"/>
                <w:kern w:val="0"/>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6.1.1与6.1.2</w:t>
            </w:r>
          </w:p>
        </w:tc>
        <w:tc>
          <w:tcPr>
            <w:tcW w:w="2311"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6.1.1与6.1.2两个小标题的描述重复</w:t>
            </w:r>
          </w:p>
        </w:tc>
        <w:tc>
          <w:tcPr>
            <w:tcW w:w="736"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副秘书长，闫艳楠</w:t>
            </w:r>
          </w:p>
        </w:tc>
        <w:tc>
          <w:tcPr>
            <w:tcW w:w="741"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将6.1.1和6.1.2合并为一句话</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p>
        </w:tc>
      </w:tr>
      <w:tr>
        <w:tblPrEx>
          <w:tblCellMar>
            <w:top w:w="0" w:type="dxa"/>
            <w:left w:w="108" w:type="dxa"/>
            <w:bottom w:w="0" w:type="dxa"/>
            <w:right w:w="108" w:type="dxa"/>
          </w:tblCellMar>
        </w:tblPrEx>
        <w:trPr>
          <w:trHeight w:val="567" w:hRule="atLeast"/>
        </w:trPr>
        <w:tc>
          <w:tcPr>
            <w:tcW w:w="438" w:type="pct"/>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1"/>
              </w:numPr>
              <w:ind w:firstLineChars="0"/>
              <w:jc w:val="center"/>
              <w:rPr>
                <w:color w:val="000000"/>
                <w:kern w:val="0"/>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6.2.1</w:t>
            </w:r>
          </w:p>
        </w:tc>
        <w:tc>
          <w:tcPr>
            <w:tcW w:w="2311"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6.2.1中的举例描述非必要，小标号“1）、2）”删除，“2）”中对极差法的描述不准确</w:t>
            </w:r>
          </w:p>
        </w:tc>
        <w:tc>
          <w:tcPr>
            <w:tcW w:w="736"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副秘书长，闫艳楠</w:t>
            </w:r>
          </w:p>
        </w:tc>
        <w:tc>
          <w:tcPr>
            <w:tcW w:w="741"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删除6.2.1中举例描述，删除标号“1）、2）”，完善对极差法使用的描述</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p>
        </w:tc>
      </w:tr>
      <w:tr>
        <w:tblPrEx>
          <w:tblCellMar>
            <w:top w:w="0" w:type="dxa"/>
            <w:left w:w="108" w:type="dxa"/>
            <w:bottom w:w="0" w:type="dxa"/>
            <w:right w:w="108" w:type="dxa"/>
          </w:tblCellMar>
        </w:tblPrEx>
        <w:trPr>
          <w:trHeight w:val="567" w:hRule="atLeast"/>
        </w:trPr>
        <w:tc>
          <w:tcPr>
            <w:tcW w:w="438" w:type="pct"/>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1"/>
              </w:numPr>
              <w:ind w:firstLineChars="0"/>
              <w:jc w:val="center"/>
              <w:rPr>
                <w:color w:val="000000"/>
                <w:kern w:val="0"/>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附录A</w:t>
            </w:r>
          </w:p>
        </w:tc>
        <w:tc>
          <w:tcPr>
            <w:tcW w:w="2311"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附录A中对示值重复性与示值误差的表述不准确</w:t>
            </w:r>
          </w:p>
        </w:tc>
        <w:tc>
          <w:tcPr>
            <w:tcW w:w="736"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副秘书长，闫艳楠</w:t>
            </w:r>
          </w:p>
        </w:tc>
        <w:tc>
          <w:tcPr>
            <w:tcW w:w="741"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对示值重复性与数值误差区分开单独表述</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p>
        </w:tc>
      </w:tr>
      <w:tr>
        <w:tblPrEx>
          <w:tblCellMar>
            <w:top w:w="0" w:type="dxa"/>
            <w:left w:w="108" w:type="dxa"/>
            <w:bottom w:w="0" w:type="dxa"/>
            <w:right w:w="108" w:type="dxa"/>
          </w:tblCellMar>
        </w:tblPrEx>
        <w:trPr>
          <w:trHeight w:val="567" w:hRule="atLeast"/>
        </w:trPr>
        <w:tc>
          <w:tcPr>
            <w:tcW w:w="438" w:type="pct"/>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1"/>
              </w:numPr>
              <w:ind w:firstLineChars="0"/>
              <w:jc w:val="center"/>
              <w:rPr>
                <w:color w:val="000000"/>
                <w:kern w:val="0"/>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附录C</w:t>
            </w:r>
          </w:p>
        </w:tc>
        <w:tc>
          <w:tcPr>
            <w:tcW w:w="2311"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大标题不统一</w:t>
            </w:r>
          </w:p>
        </w:tc>
        <w:tc>
          <w:tcPr>
            <w:tcW w:w="736"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副秘书长，闫艳楠</w:t>
            </w:r>
          </w:p>
        </w:tc>
        <w:tc>
          <w:tcPr>
            <w:tcW w:w="741"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统一大标题，完善不确定度评定</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p>
        </w:tc>
      </w:tr>
    </w:tbl>
    <w:p>
      <w:pPr>
        <w:pStyle w:val="2"/>
        <w:spacing w:before="156" w:after="156"/>
      </w:pPr>
      <w:r>
        <w:rPr>
          <w:rFonts w:hint="eastAsia"/>
        </w:rPr>
        <w:t>二、编制原则和依据</w:t>
      </w:r>
    </w:p>
    <w:p>
      <w:pPr>
        <w:pStyle w:val="3"/>
        <w:spacing w:before="156" w:after="156"/>
      </w:pPr>
      <w:bookmarkStart w:id="8" w:name="_Toc464728925"/>
      <w:r>
        <w:rPr>
          <w:rFonts w:hint="eastAsia"/>
        </w:rPr>
        <w:t>（一）编制原则</w:t>
      </w:r>
      <w:bookmarkEnd w:id="8"/>
    </w:p>
    <w:p>
      <w:pPr>
        <w:pStyle w:val="58"/>
        <w:spacing w:line="400" w:lineRule="exact"/>
        <w:ind w:firstLineChars="0"/>
        <w:rPr>
          <w:rFonts w:ascii="Times New Roman" w:hAnsi="Times New Roman"/>
          <w:kern w:val="2"/>
          <w:szCs w:val="21"/>
        </w:rPr>
      </w:pPr>
      <w:bookmarkStart w:id="9" w:name="_Toc464728926"/>
      <w:r>
        <w:rPr>
          <w:rFonts w:hint="eastAsia" w:ascii="Times New Roman" w:hAnsi="Times New Roman"/>
          <w:kern w:val="2"/>
          <w:szCs w:val="21"/>
        </w:rPr>
        <w:t>本规范是以</w:t>
      </w:r>
      <w:r>
        <w:rPr>
          <w:rFonts w:ascii="Times New Roman" w:hAnsi="Times New Roman"/>
          <w:kern w:val="2"/>
          <w:szCs w:val="21"/>
        </w:rPr>
        <w:t>JJF 1071-2010</w:t>
      </w:r>
      <w:r>
        <w:rPr>
          <w:rFonts w:hint="eastAsia" w:ascii="Times New Roman" w:hAnsi="Times New Roman"/>
          <w:kern w:val="2"/>
          <w:szCs w:val="21"/>
        </w:rPr>
        <w:t>《国家计量校准规范编写规则》、JJF 1001-2011《通用计量术语及定义》和JJF 1059.1-2012《测量不确定度评定与表示》为基础性系列规范进行编写。</w:t>
      </w:r>
    </w:p>
    <w:p>
      <w:pPr>
        <w:spacing w:line="400" w:lineRule="exact"/>
        <w:ind w:firstLine="420" w:firstLineChars="200"/>
        <w:rPr>
          <w:szCs w:val="21"/>
        </w:rPr>
      </w:pPr>
      <w:r>
        <w:rPr>
          <w:rFonts w:hint="eastAsia"/>
          <w:szCs w:val="21"/>
        </w:rPr>
        <w:t>本规范引用了</w:t>
      </w:r>
      <w:r>
        <w:rPr>
          <w:rFonts w:hint="eastAsia"/>
          <w:kern w:val="0"/>
        </w:rPr>
        <w:t>GB/T 228.1 金属材料拉伸试验第一部分：室温试验方法</w:t>
      </w:r>
      <w:r>
        <w:rPr>
          <w:szCs w:val="21"/>
        </w:rPr>
        <w:t>和</w:t>
      </w:r>
      <w:r>
        <w:t>ASTM E8/E8M</w:t>
      </w:r>
      <w:r>
        <w:rPr>
          <w:rFonts w:hint="eastAsia"/>
        </w:rPr>
        <w:t xml:space="preserve"> </w:t>
      </w:r>
      <w:r>
        <w:rPr>
          <w:rFonts w:hint="eastAsia"/>
          <w:kern w:val="0"/>
        </w:rPr>
        <w:t>金属材料拉伸试验标准试验方法（</w:t>
      </w:r>
      <w:r>
        <w:t>Standard Test Methods for Tension Testing of Metallic Materials）</w:t>
      </w:r>
      <w:r>
        <w:rPr>
          <w:szCs w:val="21"/>
        </w:rPr>
        <w:t>等相关内容。提出了对激光标距刻线机计量特性的要去</w:t>
      </w:r>
      <w:r>
        <w:rPr>
          <w:rFonts w:hint="eastAsia"/>
          <w:szCs w:val="21"/>
        </w:rPr>
        <w:t>，</w:t>
      </w:r>
      <w:r>
        <w:rPr>
          <w:szCs w:val="21"/>
        </w:rPr>
        <w:t>制定了基本原则和编制依据</w:t>
      </w:r>
      <w:r>
        <w:rPr>
          <w:rFonts w:hint="eastAsia"/>
          <w:szCs w:val="21"/>
        </w:rPr>
        <w:t>，</w:t>
      </w:r>
      <w:r>
        <w:rPr>
          <w:szCs w:val="21"/>
        </w:rPr>
        <w:t>可对激光标距刻线机进行校准</w:t>
      </w:r>
      <w:r>
        <w:rPr>
          <w:rFonts w:hint="eastAsia"/>
          <w:szCs w:val="21"/>
        </w:rPr>
        <w:t>，</w:t>
      </w:r>
      <w:r>
        <w:rPr>
          <w:szCs w:val="21"/>
        </w:rPr>
        <w:t>解决了目前没有激光标距刻线机校准方法的难题</w:t>
      </w:r>
      <w:r>
        <w:rPr>
          <w:rFonts w:hint="eastAsia"/>
          <w:szCs w:val="21"/>
        </w:rPr>
        <w:t>。</w:t>
      </w:r>
    </w:p>
    <w:p>
      <w:pPr>
        <w:pStyle w:val="3"/>
        <w:spacing w:before="156" w:after="156"/>
        <w:rPr>
          <w:rFonts w:ascii="宋体" w:hAnsi="宋体"/>
        </w:rPr>
      </w:pPr>
      <w:r>
        <w:rPr>
          <w:rFonts w:hint="eastAsia"/>
        </w:rPr>
        <w:t>（二）确定主要内</w:t>
      </w:r>
      <w:bookmarkEnd w:id="9"/>
      <w:r>
        <w:rPr>
          <w:rFonts w:hint="eastAsia"/>
        </w:rPr>
        <w:t>容</w:t>
      </w:r>
    </w:p>
    <w:p>
      <w:pPr>
        <w:pStyle w:val="4"/>
        <w:spacing w:before="156" w:after="156"/>
      </w:pPr>
      <w:bookmarkStart w:id="10" w:name="_Toc193860208"/>
      <w:bookmarkStart w:id="11" w:name="_Toc23837_WPSOffice_Level1"/>
      <w:bookmarkStart w:id="12" w:name="_Toc193860177"/>
      <w:bookmarkStart w:id="13" w:name="_Toc193860027"/>
      <w:bookmarkStart w:id="14" w:name="_Toc500258929"/>
      <w:bookmarkStart w:id="15" w:name="_Toc464728964"/>
      <w:r>
        <w:rPr>
          <w:rFonts w:hint="eastAsia"/>
        </w:rPr>
        <w:t>1范围</w:t>
      </w:r>
      <w:bookmarkEnd w:id="10"/>
      <w:bookmarkEnd w:id="11"/>
      <w:bookmarkEnd w:id="12"/>
      <w:bookmarkEnd w:id="13"/>
      <w:bookmarkEnd w:id="14"/>
    </w:p>
    <w:p>
      <w:pPr>
        <w:spacing w:line="400" w:lineRule="exact"/>
        <w:ind w:firstLine="420" w:firstLineChars="200"/>
        <w:rPr>
          <w:rFonts w:eastAsiaTheme="minorEastAsia"/>
          <w:kern w:val="0"/>
          <w:szCs w:val="21"/>
        </w:rPr>
      </w:pPr>
      <w:r>
        <w:rPr>
          <w:bCs/>
          <w:color w:val="000000" w:themeColor="text1"/>
          <w14:textFill>
            <w14:solidFill>
              <w14:schemeClr w14:val="tx1"/>
            </w14:solidFill>
          </w14:textFill>
        </w:rPr>
        <w:t>本规范</w:t>
      </w:r>
      <w:r>
        <w:rPr>
          <w:bCs/>
        </w:rPr>
        <w:t>适用于激光标距刻线机的校准</w:t>
      </w:r>
      <w:r>
        <w:rPr>
          <w:rFonts w:hint="eastAsia" w:eastAsiaTheme="minorEastAsia"/>
          <w:kern w:val="0"/>
          <w:szCs w:val="21"/>
        </w:rPr>
        <w:t>。</w:t>
      </w:r>
    </w:p>
    <w:p>
      <w:pPr>
        <w:pStyle w:val="4"/>
        <w:spacing w:before="156" w:after="156"/>
      </w:pPr>
      <w:bookmarkStart w:id="16" w:name="_Toc193860209"/>
      <w:bookmarkStart w:id="17" w:name="_Toc193860028"/>
      <w:bookmarkStart w:id="18" w:name="_Toc193860178"/>
      <w:bookmarkStart w:id="19" w:name="_Toc500258930"/>
      <w:bookmarkStart w:id="20" w:name="_Toc7848_WPSOffice_Level1"/>
      <w:r>
        <w:rPr>
          <w:rFonts w:hint="eastAsia"/>
        </w:rPr>
        <w:t>2 引用文</w:t>
      </w:r>
      <w:bookmarkEnd w:id="16"/>
      <w:bookmarkEnd w:id="17"/>
      <w:bookmarkEnd w:id="18"/>
      <w:r>
        <w:rPr>
          <w:rFonts w:hint="eastAsia"/>
        </w:rPr>
        <w:t>件</w:t>
      </w:r>
      <w:bookmarkEnd w:id="19"/>
      <w:bookmarkEnd w:id="20"/>
    </w:p>
    <w:p>
      <w:pPr>
        <w:autoSpaceDE w:val="0"/>
        <w:autoSpaceDN w:val="0"/>
        <w:adjustRightInd w:val="0"/>
        <w:spacing w:line="400" w:lineRule="exact"/>
        <w:ind w:firstLine="420" w:firstLineChars="200"/>
        <w:rPr>
          <w:kern w:val="0"/>
        </w:rPr>
      </w:pPr>
      <w:r>
        <w:rPr>
          <w:rFonts w:hint="eastAsia" w:eastAsiaTheme="minorEastAsia"/>
          <w:kern w:val="0"/>
          <w:szCs w:val="21"/>
        </w:rPr>
        <w:t>本规范主要计量特性参数引自</w:t>
      </w:r>
      <w:r>
        <w:rPr>
          <w:rFonts w:hint="eastAsia"/>
          <w:kern w:val="0"/>
        </w:rPr>
        <w:t>GB/T 228.1 金属材料拉伸试验第一部分：室温试验方法</w:t>
      </w:r>
    </w:p>
    <w:p>
      <w:pPr>
        <w:spacing w:line="400" w:lineRule="exact"/>
        <w:ind w:firstLine="420" w:firstLineChars="200"/>
        <w:rPr>
          <w:rFonts w:eastAsiaTheme="minorEastAsia"/>
          <w:kern w:val="0"/>
          <w:szCs w:val="21"/>
        </w:rPr>
      </w:pPr>
      <w:r>
        <w:t>ASTM E8/E8M</w:t>
      </w:r>
      <w:r>
        <w:rPr>
          <w:rFonts w:hint="eastAsia"/>
        </w:rPr>
        <w:t xml:space="preserve"> </w:t>
      </w:r>
      <w:r>
        <w:rPr>
          <w:rFonts w:hint="eastAsia"/>
          <w:kern w:val="0"/>
        </w:rPr>
        <w:t>金属材料拉伸试验标准试验方法（</w:t>
      </w:r>
      <w:r>
        <w:t>Standard Test Methods for Tension Testing of Metallic Materials）</w:t>
      </w:r>
      <w:r>
        <w:rPr>
          <w:rFonts w:hint="eastAsia" w:eastAsiaTheme="minorEastAsia"/>
          <w:kern w:val="0"/>
          <w:szCs w:val="21"/>
        </w:rPr>
        <w:t>。</w:t>
      </w:r>
    </w:p>
    <w:p>
      <w:pPr>
        <w:pStyle w:val="4"/>
        <w:spacing w:before="156" w:after="156"/>
      </w:pPr>
      <w:bookmarkStart w:id="21" w:name="_Toc193860030"/>
      <w:bookmarkStart w:id="22" w:name="_Toc193860211"/>
      <w:bookmarkStart w:id="23" w:name="_Toc13054_WPSOffice_Level1"/>
      <w:bookmarkStart w:id="24" w:name="_Toc193860180"/>
      <w:bookmarkStart w:id="25" w:name="_Toc193619097"/>
      <w:bookmarkStart w:id="26" w:name="_Toc500258937"/>
      <w:bookmarkStart w:id="27" w:name="_Toc193618952"/>
      <w:bookmarkStart w:id="28" w:name="_Toc193619055"/>
      <w:r>
        <w:rPr>
          <w:rFonts w:hint="eastAsia"/>
        </w:rPr>
        <w:t>3 概述</w:t>
      </w:r>
      <w:bookmarkEnd w:id="21"/>
      <w:bookmarkEnd w:id="22"/>
      <w:bookmarkEnd w:id="23"/>
      <w:bookmarkEnd w:id="24"/>
      <w:bookmarkEnd w:id="25"/>
      <w:bookmarkEnd w:id="26"/>
      <w:bookmarkEnd w:id="27"/>
      <w:bookmarkEnd w:id="28"/>
    </w:p>
    <w:p>
      <w:pPr>
        <w:autoSpaceDE w:val="0"/>
        <w:autoSpaceDN w:val="0"/>
        <w:adjustRightInd w:val="0"/>
        <w:spacing w:line="400" w:lineRule="exact"/>
        <w:ind w:firstLine="420" w:firstLineChars="200"/>
        <w:rPr>
          <w:rFonts w:eastAsiaTheme="minorEastAsia"/>
          <w:color w:val="FF0000"/>
          <w:kern w:val="0"/>
          <w:szCs w:val="21"/>
        </w:rPr>
      </w:pPr>
      <w:r>
        <w:t>激光标距刻线机是以激光作为刻线源，通过计算机程序控制光学系统激光器以及聚焦透镜实现设定图形和标距的刻线仪器。主要用于棒材、板材</w:t>
      </w:r>
      <w:r>
        <w:rPr>
          <w:rFonts w:hint="eastAsia"/>
        </w:rPr>
        <w:t>、管材等</w:t>
      </w:r>
      <w:r>
        <w:t>金属拉伸试样的分段标记，也</w:t>
      </w:r>
      <w:r>
        <w:rPr>
          <w:rFonts w:hint="eastAsia"/>
        </w:rPr>
        <w:t>可</w:t>
      </w:r>
      <w:r>
        <w:t>用于卡尺、纹线尺的标尺</w:t>
      </w:r>
      <w:r>
        <w:rPr>
          <w:rFonts w:hint="eastAsia"/>
        </w:rPr>
        <w:t>标记</w:t>
      </w:r>
      <w:r>
        <w:t>等</w:t>
      </w:r>
      <w:r>
        <w:rPr>
          <w:rFonts w:hint="eastAsia"/>
        </w:rPr>
        <w:t>的标记刻划</w:t>
      </w:r>
      <w:r>
        <w:rPr>
          <w:rFonts w:hint="eastAsia" w:eastAsiaTheme="minorEastAsia"/>
          <w:kern w:val="0"/>
          <w:szCs w:val="21"/>
        </w:rPr>
        <w:t>。</w:t>
      </w:r>
      <w:r>
        <w:rPr>
          <w:rFonts w:hint="eastAsia"/>
        </w:rPr>
        <w:t>其主要由计算机控制系统、</w:t>
      </w:r>
      <w:r>
        <w:t>光学系统激光器</w:t>
      </w:r>
      <w:r>
        <w:rPr>
          <w:rFonts w:hint="eastAsia"/>
        </w:rPr>
        <w:t>、</w:t>
      </w:r>
      <w:r>
        <w:t>聚焦透镜、</w:t>
      </w:r>
      <w:r>
        <w:rPr>
          <w:rFonts w:hint="eastAsia"/>
        </w:rPr>
        <w:t>机架、试样架等组成。</w:t>
      </w:r>
    </w:p>
    <w:p>
      <w:pPr>
        <w:pStyle w:val="4"/>
        <w:spacing w:before="156" w:after="156"/>
      </w:pPr>
      <w:bookmarkStart w:id="29" w:name="_Toc193860181"/>
      <w:bookmarkStart w:id="30" w:name="_Toc193860031"/>
      <w:bookmarkStart w:id="31" w:name="_Toc193860212"/>
      <w:bookmarkStart w:id="32" w:name="_Toc193619056"/>
      <w:bookmarkStart w:id="33" w:name="_Toc193619098"/>
      <w:bookmarkStart w:id="34" w:name="_Toc500258938"/>
      <w:bookmarkStart w:id="35" w:name="_Toc19851_WPSOffice_Level1"/>
      <w:bookmarkStart w:id="36" w:name="_Toc193618953"/>
      <w:r>
        <w:rPr>
          <w:rFonts w:hint="eastAsia"/>
        </w:rPr>
        <w:t>4计量特性</w:t>
      </w:r>
      <w:bookmarkEnd w:id="29"/>
      <w:bookmarkEnd w:id="30"/>
      <w:bookmarkEnd w:id="31"/>
      <w:bookmarkEnd w:id="32"/>
      <w:bookmarkEnd w:id="33"/>
      <w:bookmarkEnd w:id="34"/>
      <w:bookmarkEnd w:id="35"/>
      <w:bookmarkEnd w:id="36"/>
      <w:bookmarkStart w:id="37" w:name="_Toc25829_WPSOffice_Level1"/>
    </w:p>
    <w:p>
      <w:pPr>
        <w:spacing w:line="400" w:lineRule="exact"/>
        <w:rPr>
          <w:rFonts w:cstheme="majorBidi"/>
          <w:kern w:val="44"/>
        </w:rPr>
      </w:pPr>
      <w:r>
        <w:rPr>
          <w:rFonts w:hint="eastAsia" w:cstheme="majorBidi"/>
          <w:kern w:val="44"/>
        </w:rPr>
        <w:t xml:space="preserve">4.1 </w:t>
      </w:r>
      <w:r>
        <w:rPr>
          <w:rFonts w:cstheme="majorBidi"/>
          <w:kern w:val="44"/>
        </w:rPr>
        <w:t>刻线标距示值误差</w:t>
      </w:r>
    </w:p>
    <w:p>
      <w:pPr>
        <w:spacing w:line="400" w:lineRule="exact"/>
        <w:ind w:firstLine="480"/>
        <w:rPr>
          <w:rFonts w:cstheme="majorBidi"/>
          <w:kern w:val="44"/>
        </w:rPr>
      </w:pPr>
      <w:r>
        <w:rPr>
          <w:rFonts w:cstheme="majorBidi"/>
          <w:kern w:val="44"/>
        </w:rPr>
        <w:t>刻线标距示值</w:t>
      </w:r>
      <w:r>
        <w:rPr>
          <w:rFonts w:hint="eastAsia" w:cstheme="majorBidi"/>
          <w:kern w:val="44"/>
        </w:rPr>
        <w:t>最大允许误差</w:t>
      </w:r>
      <w:r>
        <w:rPr>
          <w:rFonts w:cstheme="majorBidi"/>
          <w:kern w:val="44"/>
        </w:rPr>
        <w:t>±</w:t>
      </w:r>
      <w:r>
        <w:rPr>
          <w:rFonts w:hint="eastAsia" w:cstheme="majorBidi"/>
          <w:kern w:val="44"/>
        </w:rPr>
        <w:t>1.0 %。</w:t>
      </w:r>
    </w:p>
    <w:p>
      <w:pPr>
        <w:spacing w:line="400" w:lineRule="exact"/>
        <w:rPr>
          <w:rFonts w:cstheme="majorBidi"/>
          <w:kern w:val="44"/>
        </w:rPr>
      </w:pPr>
      <w:r>
        <w:rPr>
          <w:rFonts w:hint="eastAsia" w:cstheme="majorBidi"/>
          <w:kern w:val="44"/>
        </w:rPr>
        <w:t xml:space="preserve">4.2 </w:t>
      </w:r>
      <w:r>
        <w:rPr>
          <w:rFonts w:cstheme="majorBidi"/>
          <w:kern w:val="44"/>
        </w:rPr>
        <w:t>刻线标距重复性</w:t>
      </w:r>
    </w:p>
    <w:p>
      <w:pPr>
        <w:spacing w:line="400" w:lineRule="exact"/>
        <w:ind w:firstLine="480"/>
        <w:rPr>
          <w:rFonts w:cstheme="majorBidi"/>
          <w:kern w:val="44"/>
        </w:rPr>
      </w:pPr>
      <w:r>
        <w:rPr>
          <w:rFonts w:cstheme="majorBidi"/>
          <w:kern w:val="44"/>
        </w:rPr>
        <w:t>刻线标距重复性</w:t>
      </w:r>
      <w:r>
        <w:rPr>
          <w:rFonts w:hint="eastAsia" w:cstheme="majorBidi"/>
          <w:kern w:val="44"/>
        </w:rPr>
        <w:t>不大于0</w:t>
      </w:r>
      <w:r>
        <w:rPr>
          <w:rFonts w:cstheme="majorBidi"/>
          <w:kern w:val="44"/>
        </w:rPr>
        <w:t>.</w:t>
      </w:r>
      <w:r>
        <w:rPr>
          <w:rFonts w:hint="eastAsia" w:cstheme="majorBidi"/>
          <w:kern w:val="44"/>
        </w:rPr>
        <w:t>5 %。</w:t>
      </w:r>
    </w:p>
    <w:p>
      <w:pPr>
        <w:pStyle w:val="4"/>
        <w:spacing w:before="156" w:after="156"/>
      </w:pPr>
      <w:r>
        <w:rPr>
          <w:rFonts w:hint="eastAsia"/>
        </w:rPr>
        <w:t>5 校准条件</w:t>
      </w:r>
      <w:bookmarkEnd w:id="37"/>
      <w:bookmarkStart w:id="38" w:name="_Toc193860033"/>
      <w:bookmarkStart w:id="39" w:name="_Toc193860214"/>
      <w:bookmarkStart w:id="40" w:name="_Toc500258942"/>
      <w:bookmarkStart w:id="41" w:name="_Toc193860183"/>
    </w:p>
    <w:p>
      <w:pPr>
        <w:spacing w:line="360" w:lineRule="auto"/>
        <w:ind w:firstLine="420" w:firstLineChars="200"/>
        <w:rPr>
          <w:rFonts w:eastAsiaTheme="minorEastAsia"/>
          <w:szCs w:val="21"/>
        </w:rPr>
      </w:pPr>
      <w:r>
        <w:rPr>
          <w:rFonts w:hint="eastAsia" w:eastAsiaTheme="minorEastAsia"/>
          <w:szCs w:val="21"/>
        </w:rPr>
        <w:t>校准前，实验室环境条件温度、湿度、温度波动度应满足要求，测量标准和被校仪器同时置于仪器工作台上，平衡温度一定时间。</w:t>
      </w:r>
    </w:p>
    <w:bookmarkEnd w:id="38"/>
    <w:bookmarkEnd w:id="39"/>
    <w:bookmarkEnd w:id="40"/>
    <w:bookmarkEnd w:id="41"/>
    <w:p>
      <w:pPr>
        <w:pStyle w:val="4"/>
        <w:spacing w:before="156" w:after="156"/>
      </w:pPr>
      <w:bookmarkStart w:id="42" w:name="_Toc193860035"/>
      <w:bookmarkStart w:id="43" w:name="_Toc193860216"/>
      <w:bookmarkStart w:id="44" w:name="_Toc500258944"/>
      <w:bookmarkStart w:id="45" w:name="_Toc2741_WPSOffice_Level1"/>
      <w:bookmarkStart w:id="46" w:name="_Toc193618955"/>
      <w:bookmarkStart w:id="47" w:name="_Toc193619058"/>
      <w:bookmarkStart w:id="48" w:name="_Toc193860185"/>
      <w:bookmarkStart w:id="49" w:name="_Toc193619100"/>
      <w:r>
        <w:rPr>
          <w:rFonts w:hint="eastAsia"/>
        </w:rPr>
        <w:t>6 校准项目和校准方法</w:t>
      </w:r>
      <w:bookmarkEnd w:id="42"/>
      <w:bookmarkEnd w:id="43"/>
      <w:bookmarkEnd w:id="44"/>
      <w:bookmarkEnd w:id="45"/>
      <w:bookmarkEnd w:id="46"/>
      <w:bookmarkEnd w:id="47"/>
      <w:bookmarkEnd w:id="48"/>
      <w:bookmarkEnd w:id="49"/>
    </w:p>
    <w:p>
      <w:pPr>
        <w:spacing w:line="360" w:lineRule="auto"/>
        <w:ind w:firstLine="420" w:firstLineChars="200"/>
        <w:rPr>
          <w:rFonts w:eastAsiaTheme="minorEastAsia"/>
          <w:kern w:val="0"/>
          <w:szCs w:val="21"/>
        </w:rPr>
      </w:pPr>
      <w:bookmarkStart w:id="50" w:name="_Toc22718_WPSOffice_Level2"/>
      <w:bookmarkStart w:id="51" w:name="_Toc500258945"/>
      <w:r>
        <w:rPr>
          <w:rFonts w:hint="eastAsia"/>
          <w:kern w:val="0"/>
          <w:szCs w:val="21"/>
        </w:rPr>
        <w:t>校准项目包含</w:t>
      </w:r>
      <w:r>
        <w:t>刻线标距示值误差</w:t>
      </w:r>
      <w:r>
        <w:rPr>
          <w:rFonts w:hint="eastAsia"/>
        </w:rPr>
        <w:t>、</w:t>
      </w:r>
      <w:r>
        <w:t>刻线标距重复性</w:t>
      </w:r>
      <w:r>
        <w:rPr>
          <w:rFonts w:hint="eastAsia" w:eastAsiaTheme="minorEastAsia"/>
          <w:kern w:val="0"/>
          <w:szCs w:val="21"/>
        </w:rPr>
        <w:t>以及具体的校准方法。</w:t>
      </w:r>
    </w:p>
    <w:bookmarkEnd w:id="50"/>
    <w:bookmarkEnd w:id="51"/>
    <w:p>
      <w:pPr>
        <w:pStyle w:val="4"/>
        <w:spacing w:before="156" w:after="156"/>
      </w:pPr>
      <w:bookmarkStart w:id="52" w:name="_Toc193860219"/>
      <w:bookmarkStart w:id="53" w:name="_Toc193619101"/>
      <w:bookmarkStart w:id="54" w:name="_Toc193860038"/>
      <w:bookmarkStart w:id="55" w:name="_Toc193619059"/>
      <w:bookmarkStart w:id="56" w:name="_Toc193860188"/>
      <w:bookmarkStart w:id="57" w:name="_Toc193618956"/>
      <w:bookmarkStart w:id="58" w:name="_Toc25466_WPSOffice_Level1"/>
      <w:bookmarkStart w:id="59" w:name="_Toc500258947"/>
      <w:r>
        <w:rPr>
          <w:rFonts w:hint="eastAsia"/>
        </w:rPr>
        <w:t>7 校准结果</w:t>
      </w:r>
      <w:bookmarkEnd w:id="52"/>
      <w:bookmarkEnd w:id="53"/>
      <w:bookmarkEnd w:id="54"/>
      <w:bookmarkEnd w:id="55"/>
      <w:bookmarkEnd w:id="56"/>
      <w:bookmarkEnd w:id="57"/>
      <w:r>
        <w:rPr>
          <w:rFonts w:hint="eastAsia"/>
        </w:rPr>
        <w:t>表达</w:t>
      </w:r>
      <w:bookmarkEnd w:id="58"/>
      <w:bookmarkEnd w:id="59"/>
    </w:p>
    <w:p>
      <w:pPr>
        <w:pStyle w:val="58"/>
        <w:spacing w:line="360" w:lineRule="auto"/>
        <w:ind w:firstLine="420"/>
        <w:rPr>
          <w:rFonts w:ascii="Times New Roman" w:hAnsi="Times New Roman" w:eastAsiaTheme="minorEastAsia"/>
          <w:kern w:val="2"/>
          <w:szCs w:val="21"/>
        </w:rPr>
      </w:pPr>
      <w:r>
        <w:rPr>
          <w:rFonts w:hint="eastAsia" w:ascii="Times New Roman" w:hAnsi="Times New Roman" w:eastAsiaTheme="minorEastAsia"/>
          <w:kern w:val="2"/>
          <w:szCs w:val="21"/>
        </w:rPr>
        <w:t>根据实验室环境要求、校准项目校准结果、测量不确定度评定结果等，按照推荐的校准报告格式，出具校准证书。</w:t>
      </w:r>
    </w:p>
    <w:p>
      <w:pPr>
        <w:pStyle w:val="4"/>
        <w:spacing w:before="156" w:after="156"/>
      </w:pPr>
      <w:bookmarkStart w:id="60" w:name="_Toc193860189"/>
      <w:bookmarkStart w:id="61" w:name="_Toc193860220"/>
      <w:bookmarkStart w:id="62" w:name="_Toc14803_WPSOffice_Level1"/>
      <w:bookmarkStart w:id="63" w:name="_Toc5529"/>
      <w:bookmarkStart w:id="64" w:name="_Toc193860040"/>
      <w:bookmarkStart w:id="65" w:name="_Toc193860041"/>
      <w:r>
        <w:rPr>
          <w:rFonts w:hint="eastAsia"/>
        </w:rPr>
        <w:t>8 复校</w:t>
      </w:r>
      <w:bookmarkEnd w:id="60"/>
      <w:bookmarkEnd w:id="61"/>
      <w:bookmarkEnd w:id="62"/>
      <w:bookmarkEnd w:id="63"/>
      <w:bookmarkEnd w:id="64"/>
      <w:r>
        <w:rPr>
          <w:rFonts w:hint="eastAsia"/>
        </w:rPr>
        <w:t>时间间隔</w:t>
      </w:r>
    </w:p>
    <w:bookmarkEnd w:id="65"/>
    <w:p>
      <w:pPr>
        <w:pStyle w:val="58"/>
        <w:spacing w:line="360" w:lineRule="auto"/>
        <w:ind w:firstLine="420"/>
        <w:rPr>
          <w:rFonts w:ascii="Times New Roman" w:hAnsi="Times New Roman" w:eastAsiaTheme="minorEastAsia"/>
          <w:kern w:val="2"/>
          <w:szCs w:val="21"/>
        </w:rPr>
      </w:pPr>
      <w:r>
        <w:rPr>
          <w:rFonts w:hint="eastAsia" w:ascii="Times New Roman" w:hAnsi="Times New Roman" w:eastAsiaTheme="minorEastAsia"/>
          <w:kern w:val="2"/>
          <w:szCs w:val="21"/>
        </w:rPr>
        <w:t>建议复校时间间隔为</w:t>
      </w:r>
      <w:r>
        <w:rPr>
          <w:rFonts w:ascii="Times New Roman" w:hAnsi="Times New Roman" w:eastAsiaTheme="minorEastAsia"/>
          <w:kern w:val="2"/>
          <w:szCs w:val="21"/>
        </w:rPr>
        <w:t>1</w:t>
      </w:r>
      <w:r>
        <w:rPr>
          <w:rFonts w:hint="eastAsia" w:ascii="Times New Roman" w:hAnsi="Times New Roman" w:eastAsiaTheme="minorEastAsia"/>
          <w:kern w:val="2"/>
          <w:szCs w:val="21"/>
        </w:rPr>
        <w:t>年。标定器使用频繁时应适当缩短周期，在使用过程中标定器经过修理、更换重要部件的应重新校准。</w:t>
      </w:r>
    </w:p>
    <w:p>
      <w:pPr>
        <w:pStyle w:val="4"/>
        <w:spacing w:before="156" w:after="156"/>
      </w:pPr>
      <w:r>
        <w:rPr>
          <w:rFonts w:hint="eastAsia"/>
        </w:rPr>
        <w:t>9附录</w:t>
      </w:r>
    </w:p>
    <w:p>
      <w:pPr>
        <w:pStyle w:val="58"/>
        <w:spacing w:line="360" w:lineRule="auto"/>
        <w:ind w:firstLine="420"/>
        <w:rPr>
          <w:rFonts w:ascii="Times New Roman" w:hAnsi="Times New Roman" w:eastAsiaTheme="minorEastAsia"/>
          <w:kern w:val="2"/>
          <w:szCs w:val="21"/>
        </w:rPr>
      </w:pPr>
      <w:r>
        <w:rPr>
          <w:rFonts w:hint="eastAsia" w:ascii="Times New Roman" w:hAnsi="Times New Roman" w:eastAsiaTheme="minorEastAsia"/>
          <w:kern w:val="2"/>
          <w:szCs w:val="21"/>
        </w:rPr>
        <w:t>附录主要包含校准原始记录参考格式、校准证书内页参考格式、刻线机示值误差测量结果不确定度评定示例。</w:t>
      </w:r>
    </w:p>
    <w:p>
      <w:pPr>
        <w:adjustRightInd w:val="0"/>
        <w:snapToGrid w:val="0"/>
        <w:spacing w:line="360" w:lineRule="auto"/>
        <w:ind w:firstLine="420" w:firstLineChars="200"/>
        <w:rPr>
          <w:bCs/>
        </w:rPr>
      </w:pPr>
      <w:r>
        <w:rPr>
          <w:rFonts w:hint="eastAsia"/>
          <w:bCs/>
        </w:rPr>
        <w:t>设置了</w:t>
      </w:r>
      <w:r>
        <w:rPr>
          <w:bCs/>
        </w:rPr>
        <w:t>3</w:t>
      </w:r>
      <w:r>
        <w:rPr>
          <w:rFonts w:hint="eastAsia"/>
          <w:bCs/>
        </w:rPr>
        <w:t>个附录，便于校准时参考和规范化。</w:t>
      </w:r>
    </w:p>
    <w:p>
      <w:pPr>
        <w:adjustRightInd w:val="0"/>
        <w:snapToGrid w:val="0"/>
        <w:spacing w:line="360" w:lineRule="auto"/>
        <w:ind w:firstLine="420" w:firstLineChars="200"/>
        <w:rPr>
          <w:bCs/>
        </w:rPr>
      </w:pPr>
      <w:r>
        <w:rPr>
          <w:rFonts w:hint="eastAsia"/>
          <w:bCs/>
        </w:rPr>
        <w:t>附录A 激光标距刻线机校准记录参考格式</w:t>
      </w:r>
    </w:p>
    <w:p>
      <w:pPr>
        <w:adjustRightInd w:val="0"/>
        <w:snapToGrid w:val="0"/>
        <w:spacing w:line="360" w:lineRule="auto"/>
        <w:ind w:firstLine="420" w:firstLineChars="200"/>
        <w:rPr>
          <w:bCs/>
        </w:rPr>
      </w:pPr>
      <w:r>
        <w:rPr>
          <w:rFonts w:hint="eastAsia"/>
          <w:bCs/>
        </w:rPr>
        <w:t>附录B 激光标距刻线机校准证书内页参考格式</w:t>
      </w:r>
    </w:p>
    <w:p>
      <w:pPr>
        <w:adjustRightInd w:val="0"/>
        <w:snapToGrid w:val="0"/>
        <w:spacing w:line="360" w:lineRule="auto"/>
        <w:ind w:firstLine="420" w:firstLineChars="200"/>
        <w:rPr>
          <w:bCs/>
        </w:rPr>
      </w:pPr>
      <w:r>
        <w:rPr>
          <w:rFonts w:hint="eastAsia"/>
          <w:bCs/>
        </w:rPr>
        <w:t>附录C 刻线机示值误差测量结果不确定度评定示例</w:t>
      </w:r>
    </w:p>
    <w:bookmarkEnd w:id="1"/>
    <w:bookmarkEnd w:id="15"/>
    <w:p>
      <w:pPr>
        <w:pStyle w:val="2"/>
        <w:spacing w:before="156" w:after="156"/>
      </w:pPr>
      <w:bookmarkStart w:id="66" w:name="_Toc464728965"/>
      <w:r>
        <w:rPr>
          <w:rFonts w:hint="eastAsia"/>
        </w:rPr>
        <w:t>三、规范水平分析</w:t>
      </w:r>
      <w:bookmarkEnd w:id="66"/>
    </w:p>
    <w:p>
      <w:pPr>
        <w:adjustRightInd w:val="0"/>
        <w:spacing w:line="360" w:lineRule="auto"/>
        <w:ind w:firstLine="420" w:firstLineChars="200"/>
        <w:rPr>
          <w:rFonts w:ascii="宋体" w:hAnsi="宋体"/>
          <w:bCs/>
          <w:szCs w:val="21"/>
        </w:rPr>
      </w:pPr>
      <w:r>
        <w:t>目前，国家和各省检定规程和校准规范中，类似的校准规范如JJF(吉)96-2016《激光标线仪校准规范》、JJF (津) 01-2019《激光投线仪校准规范》只针对以激光为标尺，进行空间坐标的校准，主要用于室内装潢等领域，而JJG(苏)67-2006 钢筋标距仪只针对钢筋标距检定做了规定，而激光标距校准和检定无统一的规范依据</w:t>
      </w:r>
      <w:r>
        <w:rPr>
          <w:rFonts w:hint="eastAsia" w:ascii="宋体" w:hAnsi="宋体"/>
          <w:bCs/>
          <w:szCs w:val="21"/>
        </w:rPr>
        <w:t>。目前国外没有相关技术规范，本规范水平达到国外先进水平。</w:t>
      </w:r>
    </w:p>
    <w:p>
      <w:pPr>
        <w:pStyle w:val="2"/>
        <w:spacing w:before="156" w:after="156"/>
      </w:pPr>
      <w:r>
        <w:rPr>
          <w:rFonts w:hint="eastAsia"/>
        </w:rPr>
        <w:t>四、与有关的现行法律、法规和强制性国家标准的关系</w:t>
      </w:r>
    </w:p>
    <w:p>
      <w:pPr>
        <w:pStyle w:val="58"/>
        <w:spacing w:line="300" w:lineRule="auto"/>
        <w:ind w:firstLine="420"/>
      </w:pPr>
      <w:r>
        <w:rPr>
          <w:rFonts w:hint="eastAsia"/>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pPr>
        <w:pStyle w:val="2"/>
        <w:spacing w:before="156" w:after="156"/>
      </w:pPr>
      <w:bookmarkStart w:id="67" w:name="_Toc464728973"/>
      <w:r>
        <w:rPr>
          <w:rFonts w:hint="eastAsia"/>
        </w:rPr>
        <w:t>五、规范中涉及的专利或知识产权说明</w:t>
      </w:r>
      <w:bookmarkEnd w:id="67"/>
    </w:p>
    <w:p>
      <w:pPr>
        <w:pStyle w:val="58"/>
        <w:spacing w:line="300" w:lineRule="auto"/>
        <w:ind w:firstLineChars="0"/>
        <w:contextualSpacing/>
        <w:rPr>
          <w:szCs w:val="21"/>
        </w:rPr>
      </w:pPr>
      <w:bookmarkStart w:id="68" w:name="_Toc464728974"/>
      <w:r>
        <w:rPr>
          <w:rFonts w:hint="eastAsia"/>
          <w:szCs w:val="21"/>
        </w:rPr>
        <w:t>（无）</w:t>
      </w:r>
    </w:p>
    <w:p>
      <w:pPr>
        <w:pStyle w:val="2"/>
        <w:spacing w:before="156" w:after="156"/>
      </w:pPr>
      <w:r>
        <w:rPr>
          <w:rFonts w:hint="eastAsia"/>
        </w:rPr>
        <w:t>六、重大分歧意见的处理经过和依据</w:t>
      </w:r>
      <w:bookmarkEnd w:id="68"/>
    </w:p>
    <w:p>
      <w:pPr>
        <w:pStyle w:val="58"/>
        <w:spacing w:line="300" w:lineRule="auto"/>
        <w:ind w:firstLine="420"/>
        <w:contextualSpacing/>
        <w:rPr>
          <w:szCs w:val="21"/>
        </w:rPr>
      </w:pPr>
      <w:r>
        <w:rPr>
          <w:rFonts w:hint="eastAsia"/>
          <w:szCs w:val="21"/>
        </w:rPr>
        <w:t>（无）</w:t>
      </w:r>
    </w:p>
    <w:p>
      <w:pPr>
        <w:pStyle w:val="2"/>
        <w:spacing w:before="156" w:after="156"/>
      </w:pPr>
      <w:r>
        <w:rPr>
          <w:rFonts w:hint="eastAsia"/>
        </w:rPr>
        <w:t>七、规范作为强制性或推荐性国家（或行业）标准的建议</w:t>
      </w:r>
    </w:p>
    <w:p>
      <w:pPr>
        <w:adjustRightInd w:val="0"/>
        <w:spacing w:line="360" w:lineRule="auto"/>
        <w:ind w:firstLine="420" w:firstLineChars="200"/>
        <w:rPr>
          <w:rFonts w:hAnsi="宋体"/>
          <w:bCs/>
          <w:szCs w:val="21"/>
        </w:rPr>
      </w:pPr>
      <w:r>
        <w:rPr>
          <w:rFonts w:hint="eastAsia" w:hAnsi="宋体"/>
          <w:bCs/>
          <w:szCs w:val="21"/>
        </w:rPr>
        <w:t>建议本规范作为推荐性行业计量技术规范，供相关行业参考采用。</w:t>
      </w:r>
    </w:p>
    <w:p>
      <w:pPr>
        <w:pStyle w:val="2"/>
        <w:spacing w:before="156" w:after="156"/>
      </w:pPr>
      <w:bookmarkStart w:id="69" w:name="_Toc464728976"/>
      <w:r>
        <w:rPr>
          <w:rFonts w:hint="eastAsia"/>
        </w:rPr>
        <w:t>八、贯彻规范的要求和措施建议</w:t>
      </w:r>
      <w:bookmarkEnd w:id="69"/>
    </w:p>
    <w:p>
      <w:pPr>
        <w:pStyle w:val="58"/>
        <w:spacing w:line="300" w:lineRule="auto"/>
        <w:ind w:firstLine="420"/>
        <w:contextualSpacing/>
        <w:rPr>
          <w:szCs w:val="21"/>
        </w:rPr>
      </w:pPr>
      <w:r>
        <w:rPr>
          <w:rFonts w:hint="eastAsia"/>
          <w:szCs w:val="21"/>
        </w:rPr>
        <w:t>本规范发布后，中国有色金属行业协会和有色金属行业计量技术委员会应加强本规范的宣传力度，以促进我国企业的技术进步和产品质量上档次，提高我国产品在国际国内市场的竞争能力。</w:t>
      </w:r>
    </w:p>
    <w:p>
      <w:pPr>
        <w:pStyle w:val="2"/>
        <w:spacing w:before="156" w:after="156"/>
      </w:pPr>
      <w:bookmarkStart w:id="70" w:name="_Toc464728977"/>
      <w:r>
        <w:rPr>
          <w:rFonts w:hint="eastAsia"/>
        </w:rPr>
        <w:t>九、废止现行有关规范的建议</w:t>
      </w:r>
      <w:bookmarkEnd w:id="70"/>
    </w:p>
    <w:p>
      <w:pPr>
        <w:pStyle w:val="58"/>
        <w:spacing w:line="300" w:lineRule="auto"/>
        <w:ind w:firstLine="420"/>
        <w:contextualSpacing/>
        <w:rPr>
          <w:szCs w:val="21"/>
        </w:rPr>
      </w:pPr>
      <w:r>
        <w:rPr>
          <w:rFonts w:hint="eastAsia"/>
          <w:szCs w:val="21"/>
        </w:rPr>
        <w:t>（无）。</w:t>
      </w:r>
    </w:p>
    <w:p>
      <w:pPr>
        <w:pStyle w:val="2"/>
        <w:spacing w:before="156" w:after="156"/>
      </w:pPr>
      <w:r>
        <w:rPr>
          <w:rFonts w:hint="eastAsia"/>
        </w:rPr>
        <w:t>十、预期效果</w:t>
      </w:r>
    </w:p>
    <w:p>
      <w:pPr>
        <w:ind w:firstLine="420" w:firstLineChars="200"/>
        <w:rPr>
          <w:rFonts w:ascii="宋体" w:hAnsi="宋体"/>
          <w:kern w:val="0"/>
          <w:szCs w:val="21"/>
        </w:rPr>
      </w:pPr>
      <w:r>
        <w:rPr>
          <w:rFonts w:ascii="宋体" w:hAnsi="宋体"/>
          <w:kern w:val="0"/>
          <w:szCs w:val="21"/>
        </w:rPr>
        <w:t>规范重点解决了激光标距刻线仪校准方法不统一、校准方法差异化、计量标准器技术指标不明确、校准点的选择不统一、激光刻线机的校准方法未规定等问题，弥补激光刻线机校准的空白，为准确提供量值传递提供保证，从而提高刻线精度的准确性。</w:t>
      </w:r>
    </w:p>
    <w:p>
      <w:pPr>
        <w:pStyle w:val="2"/>
        <w:spacing w:before="156" w:after="156"/>
      </w:pPr>
      <w:r>
        <w:rPr>
          <w:rFonts w:hint="eastAsia"/>
        </w:rPr>
        <w:t>十一、其他应予说明的事项</w:t>
      </w:r>
    </w:p>
    <w:p>
      <w:pPr>
        <w:pStyle w:val="58"/>
        <w:spacing w:line="300" w:lineRule="auto"/>
        <w:ind w:firstLineChars="0"/>
        <w:contextualSpacing/>
        <w:rPr>
          <w:rFonts w:ascii="Times New Roman" w:hAnsi="Times New Roman"/>
          <w:szCs w:val="21"/>
        </w:rPr>
      </w:pPr>
      <w:r>
        <w:rPr>
          <w:rFonts w:hint="eastAsia"/>
          <w:szCs w:val="21"/>
        </w:rPr>
        <w:t>（无）。</w:t>
      </w:r>
    </w:p>
    <w:p>
      <w:pPr>
        <w:pStyle w:val="58"/>
        <w:spacing w:line="300" w:lineRule="auto"/>
        <w:ind w:firstLineChars="0"/>
        <w:contextualSpacing/>
        <w:jc w:val="right"/>
        <w:rPr>
          <w:rFonts w:ascii="Times New Roman" w:hAnsi="Times New Roman"/>
          <w:szCs w:val="21"/>
        </w:rPr>
      </w:pPr>
      <w:r>
        <w:rPr>
          <w:rFonts w:ascii="Times New Roman" w:hAnsi="Times New Roman" w:eastAsia="黑体"/>
          <w:bCs/>
        </w:rPr>
        <w:t xml:space="preserve">  </w:t>
      </w:r>
      <w:r>
        <w:rPr>
          <w:rFonts w:ascii="Times New Roman" w:hAnsi="Times New Roman" w:eastAsia="方正行楷简体"/>
          <w:bCs/>
          <w:szCs w:val="21"/>
        </w:rPr>
        <w:t>《</w:t>
      </w:r>
      <w:r>
        <w:rPr>
          <w:rFonts w:hint="eastAsia" w:ascii="Times New Roman" w:hAnsi="Times New Roman"/>
          <w:szCs w:val="21"/>
        </w:rPr>
        <w:t>激光</w:t>
      </w:r>
      <w:r>
        <w:rPr>
          <w:rFonts w:ascii="Times New Roman" w:hAnsi="Times New Roman"/>
          <w:szCs w:val="21"/>
        </w:rPr>
        <w:t>标距刻线机校准规范</w:t>
      </w:r>
      <w:r>
        <w:rPr>
          <w:rFonts w:ascii="Times New Roman" w:hAnsi="Times New Roman" w:eastAsia="方正行楷简体"/>
          <w:bCs/>
          <w:szCs w:val="21"/>
        </w:rPr>
        <w:t xml:space="preserve">》编制组  </w:t>
      </w:r>
      <w:bookmarkStart w:id="72" w:name="_GoBack"/>
      <w:bookmarkEnd w:id="72"/>
      <w:r>
        <w:rPr>
          <w:rFonts w:ascii="Times New Roman" w:hAnsi="Times New Roman" w:eastAsia="方正行楷简体"/>
          <w:bCs/>
          <w:szCs w:val="21"/>
        </w:rPr>
        <w:t>202</w:t>
      </w:r>
      <w:r>
        <w:rPr>
          <w:rFonts w:hint="eastAsia" w:ascii="Times New Roman" w:hAnsi="Times New Roman" w:eastAsia="方正行楷简体"/>
          <w:bCs/>
          <w:szCs w:val="21"/>
        </w:rPr>
        <w:t>4</w:t>
      </w:r>
      <w:r>
        <w:rPr>
          <w:rFonts w:ascii="Times New Roman" w:hAnsi="Times New Roman" w:eastAsia="方正行楷简体"/>
          <w:bCs/>
          <w:szCs w:val="21"/>
        </w:rPr>
        <w:t>年</w:t>
      </w:r>
      <w:r>
        <w:rPr>
          <w:rFonts w:hint="eastAsia" w:ascii="Times New Roman" w:hAnsi="Times New Roman" w:eastAsia="方正行楷简体"/>
          <w:bCs/>
          <w:szCs w:val="21"/>
        </w:rPr>
        <w:t>2</w:t>
      </w:r>
      <w:r>
        <w:rPr>
          <w:rFonts w:ascii="Times New Roman" w:hAnsi="Times New Roman" w:eastAsia="方正行楷简体"/>
          <w:bCs/>
          <w:szCs w:val="21"/>
        </w:rPr>
        <w:t>月2</w:t>
      </w:r>
      <w:r>
        <w:rPr>
          <w:rFonts w:hint="eastAsia" w:ascii="Times New Roman" w:hAnsi="Times New Roman" w:eastAsia="方正行楷简体"/>
          <w:bCs/>
          <w:szCs w:val="21"/>
        </w:rPr>
        <w:t>4</w:t>
      </w:r>
      <w:r>
        <w:rPr>
          <w:rFonts w:ascii="Times New Roman" w:hAnsi="Times New Roman" w:eastAsia="方正行楷简体"/>
          <w:bCs/>
          <w:szCs w:val="21"/>
        </w:rPr>
        <w:t>日</w:t>
      </w:r>
    </w:p>
    <w:p>
      <w:pPr>
        <w:pStyle w:val="58"/>
        <w:spacing w:line="300" w:lineRule="auto"/>
        <w:ind w:firstLine="420"/>
        <w:contextualSpacing/>
        <w:rPr>
          <w:szCs w:val="21"/>
        </w:rPr>
      </w:pPr>
    </w:p>
    <w:sectPr>
      <w:footerReference r:id="rId5" w:type="first"/>
      <w:headerReference r:id="rId3" w:type="default"/>
      <w:footerReference r:id="rId4"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jc w:val="center"/>
      <w:rPr>
        <w:rStyle w:val="45"/>
      </w:rPr>
    </w:pPr>
    <w:r>
      <w:fldChar w:fldCharType="begin"/>
    </w:r>
    <w:r>
      <w:rPr>
        <w:rStyle w:val="45"/>
      </w:rPr>
      <w:instrText xml:space="preserve">PAGE  </w:instrText>
    </w:r>
    <w:r>
      <w:fldChar w:fldCharType="separate"/>
    </w:r>
    <w:r>
      <w:rPr>
        <w:rStyle w:val="45"/>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none"/>
      <w:pStyle w:val="8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1"/>
      <w:numFmt w:val="none"/>
      <w:pStyle w:val="10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0"/>
    <w:multiLevelType w:val="multilevel"/>
    <w:tmpl w:val="00000010"/>
    <w:lvl w:ilvl="0" w:tentative="0">
      <w:start w:val="1"/>
      <w:numFmt w:val="none"/>
      <w:pStyle w:val="9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8"/>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pStyle w:val="116"/>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8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14"/>
    <w:multiLevelType w:val="multilevel"/>
    <w:tmpl w:val="00000014"/>
    <w:lvl w:ilvl="0" w:tentative="0">
      <w:start w:val="1"/>
      <w:numFmt w:val="none"/>
      <w:pStyle w:val="115"/>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5"/>
    <w:multiLevelType w:val="multilevel"/>
    <w:tmpl w:val="00000015"/>
    <w:lvl w:ilvl="0" w:tentative="0">
      <w:start w:val="1"/>
      <w:numFmt w:val="upperLetter"/>
      <w:pStyle w:val="6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9"/>
      <w:lvlText w:val="（%2）"/>
      <w:lvlJc w:val="left"/>
      <w:pPr>
        <w:ind w:left="0" w:firstLine="0"/>
      </w:pPr>
      <w:rPr>
        <w:rFonts w:hint="default"/>
        <w:b w:val="0"/>
        <w:i w:val="0"/>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102"/>
      <w:suff w:val="nothing"/>
      <w:lvlText w:val="%1.%2.%3.%4　"/>
      <w:lvlJc w:val="left"/>
      <w:pPr>
        <w:ind w:left="0"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9"/>
    <w:multiLevelType w:val="multilevel"/>
    <w:tmpl w:val="00000019"/>
    <w:lvl w:ilvl="0" w:tentative="0">
      <w:start w:val="1"/>
      <w:numFmt w:val="decimal"/>
      <w:pStyle w:val="107"/>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7">
    <w:nsid w:val="00000022"/>
    <w:multiLevelType w:val="multilevel"/>
    <w:tmpl w:val="00000022"/>
    <w:lvl w:ilvl="0" w:tentative="0">
      <w:start w:val="1"/>
      <w:numFmt w:val="decimal"/>
      <w:pStyle w:val="90"/>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00000025"/>
    <w:multiLevelType w:val="multilevel"/>
    <w:tmpl w:val="00000025"/>
    <w:lvl w:ilvl="0" w:tentative="0">
      <w:start w:val="1"/>
      <w:numFmt w:val="none"/>
      <w:pStyle w:val="66"/>
      <w:suff w:val="nothing"/>
      <w:lvlText w:val="%1"/>
      <w:lvlJc w:val="left"/>
      <w:pPr>
        <w:ind w:left="0" w:firstLine="0"/>
      </w:pPr>
      <w:rPr>
        <w:rFonts w:hint="default" w:ascii="Times New Roman" w:hAnsi="Times New Roman"/>
        <w:b/>
        <w:i w:val="0"/>
        <w:sz w:val="21"/>
      </w:rPr>
    </w:lvl>
    <w:lvl w:ilvl="1" w:tentative="0">
      <w:start w:val="1"/>
      <w:numFmt w:val="decimal"/>
      <w:pStyle w:val="61"/>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pStyle w:val="60"/>
      <w:suff w:val="nothing"/>
      <w:lvlText w:val="%1%2.%3　"/>
      <w:lvlJc w:val="left"/>
      <w:pPr>
        <w:ind w:left="0" w:firstLine="0"/>
      </w:pPr>
      <w:rPr>
        <w:rFonts w:hint="eastAsia" w:ascii="黑体" w:hAnsi="Times New Roman" w:eastAsia="黑体"/>
        <w:b w:val="0"/>
        <w:i w:val="0"/>
        <w:sz w:val="21"/>
      </w:rPr>
    </w:lvl>
    <w:lvl w:ilvl="3" w:tentative="0">
      <w:start w:val="1"/>
      <w:numFmt w:val="decimal"/>
      <w:pStyle w:val="59"/>
      <w:suff w:val="nothing"/>
      <w:lvlText w:val="%1%2.%3.%4　"/>
      <w:lvlJc w:val="left"/>
      <w:pPr>
        <w:ind w:left="284" w:firstLine="0"/>
      </w:pPr>
      <w:rPr>
        <w:rFonts w:hint="eastAsia" w:ascii="黑体" w:hAnsi="Times New Roman" w:eastAsia="黑体"/>
        <w:b w:val="0"/>
        <w:i w:val="0"/>
        <w:sz w:val="21"/>
      </w:rPr>
    </w:lvl>
    <w:lvl w:ilvl="4" w:tentative="0">
      <w:start w:val="1"/>
      <w:numFmt w:val="decimal"/>
      <w:pStyle w:val="71"/>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70"/>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7"/>
    <w:multiLevelType w:val="multilevel"/>
    <w:tmpl w:val="00000027"/>
    <w:lvl w:ilvl="0" w:tentative="0">
      <w:start w:val="1"/>
      <w:numFmt w:val="none"/>
      <w:pStyle w:val="7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49D2325A"/>
    <w:multiLevelType w:val="multilevel"/>
    <w:tmpl w:val="49D2325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5"/>
  </w:num>
  <w:num w:numId="3">
    <w:abstractNumId w:val="9"/>
  </w:num>
  <w:num w:numId="4">
    <w:abstractNumId w:val="0"/>
  </w:num>
  <w:num w:numId="5">
    <w:abstractNumId w:val="3"/>
  </w:num>
  <w:num w:numId="6">
    <w:abstractNumId w:val="7"/>
  </w:num>
  <w:num w:numId="7">
    <w:abstractNumId w:val="2"/>
  </w:num>
  <w:num w:numId="8">
    <w:abstractNumId w:val="6"/>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hideSpellingErrors/>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NDNlZWQxYmMyNTU4YWQ1OWIwMDVlZTVmMGE4NzAifQ=="/>
  </w:docVars>
  <w:rsids>
    <w:rsidRoot w:val="00693668"/>
    <w:rsid w:val="000038F0"/>
    <w:rsid w:val="00004648"/>
    <w:rsid w:val="00014C66"/>
    <w:rsid w:val="000211BF"/>
    <w:rsid w:val="000237D4"/>
    <w:rsid w:val="000309D7"/>
    <w:rsid w:val="00032F98"/>
    <w:rsid w:val="00034584"/>
    <w:rsid w:val="00036A21"/>
    <w:rsid w:val="00036F02"/>
    <w:rsid w:val="0004299E"/>
    <w:rsid w:val="00043D6D"/>
    <w:rsid w:val="0005764E"/>
    <w:rsid w:val="000657B2"/>
    <w:rsid w:val="0006679C"/>
    <w:rsid w:val="0007070D"/>
    <w:rsid w:val="00073A74"/>
    <w:rsid w:val="00084878"/>
    <w:rsid w:val="000971D5"/>
    <w:rsid w:val="000C1F88"/>
    <w:rsid w:val="000C772A"/>
    <w:rsid w:val="000F15FB"/>
    <w:rsid w:val="000F714B"/>
    <w:rsid w:val="00100912"/>
    <w:rsid w:val="00104CBC"/>
    <w:rsid w:val="001164A0"/>
    <w:rsid w:val="0012155C"/>
    <w:rsid w:val="00122AD8"/>
    <w:rsid w:val="00136813"/>
    <w:rsid w:val="0014120B"/>
    <w:rsid w:val="00150062"/>
    <w:rsid w:val="00151323"/>
    <w:rsid w:val="001527ED"/>
    <w:rsid w:val="001859F4"/>
    <w:rsid w:val="0019431C"/>
    <w:rsid w:val="001A4F75"/>
    <w:rsid w:val="001C13CE"/>
    <w:rsid w:val="001C7BB8"/>
    <w:rsid w:val="001D0501"/>
    <w:rsid w:val="001E0288"/>
    <w:rsid w:val="001E09C6"/>
    <w:rsid w:val="00235374"/>
    <w:rsid w:val="00244291"/>
    <w:rsid w:val="00247A7D"/>
    <w:rsid w:val="00255EB1"/>
    <w:rsid w:val="002732FF"/>
    <w:rsid w:val="00275F7A"/>
    <w:rsid w:val="00280BE9"/>
    <w:rsid w:val="002849BB"/>
    <w:rsid w:val="00291548"/>
    <w:rsid w:val="00293085"/>
    <w:rsid w:val="002977EC"/>
    <w:rsid w:val="002A1305"/>
    <w:rsid w:val="002D0634"/>
    <w:rsid w:val="002D2103"/>
    <w:rsid w:val="002E6C19"/>
    <w:rsid w:val="002F4E61"/>
    <w:rsid w:val="003012C4"/>
    <w:rsid w:val="00305CB9"/>
    <w:rsid w:val="00307A90"/>
    <w:rsid w:val="00314BA2"/>
    <w:rsid w:val="00322078"/>
    <w:rsid w:val="0032338B"/>
    <w:rsid w:val="0033057E"/>
    <w:rsid w:val="003318C1"/>
    <w:rsid w:val="00335FEC"/>
    <w:rsid w:val="0034125E"/>
    <w:rsid w:val="00352269"/>
    <w:rsid w:val="00366AF1"/>
    <w:rsid w:val="00373555"/>
    <w:rsid w:val="00397407"/>
    <w:rsid w:val="003B0148"/>
    <w:rsid w:val="003C2376"/>
    <w:rsid w:val="003C685D"/>
    <w:rsid w:val="003E10E7"/>
    <w:rsid w:val="003E237F"/>
    <w:rsid w:val="003F2C11"/>
    <w:rsid w:val="00400BF2"/>
    <w:rsid w:val="0040777C"/>
    <w:rsid w:val="00411DC2"/>
    <w:rsid w:val="00415481"/>
    <w:rsid w:val="004257BB"/>
    <w:rsid w:val="00425D1F"/>
    <w:rsid w:val="004508BB"/>
    <w:rsid w:val="00455FE9"/>
    <w:rsid w:val="0046211B"/>
    <w:rsid w:val="00464019"/>
    <w:rsid w:val="00472194"/>
    <w:rsid w:val="00482AD2"/>
    <w:rsid w:val="0048362B"/>
    <w:rsid w:val="00497039"/>
    <w:rsid w:val="004A27E5"/>
    <w:rsid w:val="004B1DE2"/>
    <w:rsid w:val="004B3BD5"/>
    <w:rsid w:val="004C6FDF"/>
    <w:rsid w:val="004E1361"/>
    <w:rsid w:val="004E4C45"/>
    <w:rsid w:val="004E5080"/>
    <w:rsid w:val="00521FA9"/>
    <w:rsid w:val="0052761B"/>
    <w:rsid w:val="005305AE"/>
    <w:rsid w:val="00531FA0"/>
    <w:rsid w:val="00536268"/>
    <w:rsid w:val="00536BFA"/>
    <w:rsid w:val="005535AA"/>
    <w:rsid w:val="0055489A"/>
    <w:rsid w:val="00556AC4"/>
    <w:rsid w:val="005608DA"/>
    <w:rsid w:val="00567271"/>
    <w:rsid w:val="005709C3"/>
    <w:rsid w:val="0059121E"/>
    <w:rsid w:val="005B3A80"/>
    <w:rsid w:val="005B5BAB"/>
    <w:rsid w:val="005C0BE7"/>
    <w:rsid w:val="005C2448"/>
    <w:rsid w:val="005C769A"/>
    <w:rsid w:val="005E67C7"/>
    <w:rsid w:val="005F42DD"/>
    <w:rsid w:val="00601ADF"/>
    <w:rsid w:val="00606487"/>
    <w:rsid w:val="00623451"/>
    <w:rsid w:val="00624A40"/>
    <w:rsid w:val="00625140"/>
    <w:rsid w:val="00627726"/>
    <w:rsid w:val="00633572"/>
    <w:rsid w:val="00636E32"/>
    <w:rsid w:val="00637AB5"/>
    <w:rsid w:val="00644C6D"/>
    <w:rsid w:val="006510D6"/>
    <w:rsid w:val="00660A77"/>
    <w:rsid w:val="00667FDB"/>
    <w:rsid w:val="00670276"/>
    <w:rsid w:val="00672533"/>
    <w:rsid w:val="006738AA"/>
    <w:rsid w:val="006820CD"/>
    <w:rsid w:val="00683E68"/>
    <w:rsid w:val="00686643"/>
    <w:rsid w:val="0069243E"/>
    <w:rsid w:val="00693668"/>
    <w:rsid w:val="006B3185"/>
    <w:rsid w:val="006B43C4"/>
    <w:rsid w:val="006C188A"/>
    <w:rsid w:val="006C2258"/>
    <w:rsid w:val="006C2AF8"/>
    <w:rsid w:val="006D1B98"/>
    <w:rsid w:val="006D7E99"/>
    <w:rsid w:val="006E11F0"/>
    <w:rsid w:val="00707309"/>
    <w:rsid w:val="00724E03"/>
    <w:rsid w:val="00733C71"/>
    <w:rsid w:val="00735A75"/>
    <w:rsid w:val="007373AB"/>
    <w:rsid w:val="00740702"/>
    <w:rsid w:val="00743BA2"/>
    <w:rsid w:val="00743BAC"/>
    <w:rsid w:val="00746BAC"/>
    <w:rsid w:val="00750ED3"/>
    <w:rsid w:val="00764D0A"/>
    <w:rsid w:val="00765621"/>
    <w:rsid w:val="007901C0"/>
    <w:rsid w:val="007902D1"/>
    <w:rsid w:val="00796CF0"/>
    <w:rsid w:val="007A3BEE"/>
    <w:rsid w:val="007C15E3"/>
    <w:rsid w:val="007D5B84"/>
    <w:rsid w:val="007E56C9"/>
    <w:rsid w:val="00804BC8"/>
    <w:rsid w:val="00820F69"/>
    <w:rsid w:val="00824B04"/>
    <w:rsid w:val="00826DAA"/>
    <w:rsid w:val="008461B6"/>
    <w:rsid w:val="0085122B"/>
    <w:rsid w:val="00854EC4"/>
    <w:rsid w:val="0086056F"/>
    <w:rsid w:val="0086378F"/>
    <w:rsid w:val="008754EE"/>
    <w:rsid w:val="00876D87"/>
    <w:rsid w:val="008B22FC"/>
    <w:rsid w:val="008C672E"/>
    <w:rsid w:val="008E415E"/>
    <w:rsid w:val="008F5DCA"/>
    <w:rsid w:val="009052E4"/>
    <w:rsid w:val="009111C1"/>
    <w:rsid w:val="00913ED1"/>
    <w:rsid w:val="00933D2C"/>
    <w:rsid w:val="00946B7D"/>
    <w:rsid w:val="009513C5"/>
    <w:rsid w:val="009542EF"/>
    <w:rsid w:val="00954DA4"/>
    <w:rsid w:val="00967A11"/>
    <w:rsid w:val="00971240"/>
    <w:rsid w:val="00977A4A"/>
    <w:rsid w:val="009A12AB"/>
    <w:rsid w:val="009B4929"/>
    <w:rsid w:val="009C0597"/>
    <w:rsid w:val="009C2D10"/>
    <w:rsid w:val="009D79FA"/>
    <w:rsid w:val="009E3D09"/>
    <w:rsid w:val="009F420F"/>
    <w:rsid w:val="00A06113"/>
    <w:rsid w:val="00A11A21"/>
    <w:rsid w:val="00A12727"/>
    <w:rsid w:val="00A1378A"/>
    <w:rsid w:val="00A1497C"/>
    <w:rsid w:val="00A15577"/>
    <w:rsid w:val="00A3211C"/>
    <w:rsid w:val="00A363F7"/>
    <w:rsid w:val="00A40E4F"/>
    <w:rsid w:val="00A47FE2"/>
    <w:rsid w:val="00A56163"/>
    <w:rsid w:val="00A77511"/>
    <w:rsid w:val="00A7790F"/>
    <w:rsid w:val="00A8043A"/>
    <w:rsid w:val="00A8426B"/>
    <w:rsid w:val="00A86AF0"/>
    <w:rsid w:val="00A87866"/>
    <w:rsid w:val="00AC0924"/>
    <w:rsid w:val="00AD093B"/>
    <w:rsid w:val="00AE0B35"/>
    <w:rsid w:val="00AE47AC"/>
    <w:rsid w:val="00AF7111"/>
    <w:rsid w:val="00B056DA"/>
    <w:rsid w:val="00B05E25"/>
    <w:rsid w:val="00B07D3B"/>
    <w:rsid w:val="00B369B6"/>
    <w:rsid w:val="00B43636"/>
    <w:rsid w:val="00B45E9C"/>
    <w:rsid w:val="00B53389"/>
    <w:rsid w:val="00B60FA7"/>
    <w:rsid w:val="00B614F2"/>
    <w:rsid w:val="00B706F7"/>
    <w:rsid w:val="00B7116A"/>
    <w:rsid w:val="00B75677"/>
    <w:rsid w:val="00B817F8"/>
    <w:rsid w:val="00BB316D"/>
    <w:rsid w:val="00BB4554"/>
    <w:rsid w:val="00BB7985"/>
    <w:rsid w:val="00BC66A0"/>
    <w:rsid w:val="00BC6B82"/>
    <w:rsid w:val="00BF1D43"/>
    <w:rsid w:val="00BF4703"/>
    <w:rsid w:val="00C03A4F"/>
    <w:rsid w:val="00C058B2"/>
    <w:rsid w:val="00C10883"/>
    <w:rsid w:val="00C113A5"/>
    <w:rsid w:val="00C2681C"/>
    <w:rsid w:val="00C27739"/>
    <w:rsid w:val="00C40CAE"/>
    <w:rsid w:val="00C5059F"/>
    <w:rsid w:val="00C53BDD"/>
    <w:rsid w:val="00C5550F"/>
    <w:rsid w:val="00C57BAB"/>
    <w:rsid w:val="00C66C85"/>
    <w:rsid w:val="00C70EA3"/>
    <w:rsid w:val="00C7537E"/>
    <w:rsid w:val="00C8056F"/>
    <w:rsid w:val="00C81A49"/>
    <w:rsid w:val="00C86EE5"/>
    <w:rsid w:val="00CB3949"/>
    <w:rsid w:val="00CB750D"/>
    <w:rsid w:val="00CB7CDF"/>
    <w:rsid w:val="00CC3C55"/>
    <w:rsid w:val="00CC3DDD"/>
    <w:rsid w:val="00CC491D"/>
    <w:rsid w:val="00CC52E3"/>
    <w:rsid w:val="00CD2D13"/>
    <w:rsid w:val="00CD759E"/>
    <w:rsid w:val="00CF3CAA"/>
    <w:rsid w:val="00D01726"/>
    <w:rsid w:val="00D16568"/>
    <w:rsid w:val="00D17115"/>
    <w:rsid w:val="00D436F5"/>
    <w:rsid w:val="00D6471A"/>
    <w:rsid w:val="00D81C1D"/>
    <w:rsid w:val="00D85454"/>
    <w:rsid w:val="00D86648"/>
    <w:rsid w:val="00D903E4"/>
    <w:rsid w:val="00DA22D1"/>
    <w:rsid w:val="00DB4F65"/>
    <w:rsid w:val="00DD6769"/>
    <w:rsid w:val="00DD7D39"/>
    <w:rsid w:val="00DE144C"/>
    <w:rsid w:val="00E002FF"/>
    <w:rsid w:val="00E019C6"/>
    <w:rsid w:val="00E15312"/>
    <w:rsid w:val="00E179CE"/>
    <w:rsid w:val="00E22714"/>
    <w:rsid w:val="00E23465"/>
    <w:rsid w:val="00E31A7B"/>
    <w:rsid w:val="00E32480"/>
    <w:rsid w:val="00E71DCC"/>
    <w:rsid w:val="00E82471"/>
    <w:rsid w:val="00E911BC"/>
    <w:rsid w:val="00EB2994"/>
    <w:rsid w:val="00EC149D"/>
    <w:rsid w:val="00ED5F91"/>
    <w:rsid w:val="00EE5988"/>
    <w:rsid w:val="00F10C9E"/>
    <w:rsid w:val="00F32186"/>
    <w:rsid w:val="00F3447A"/>
    <w:rsid w:val="00F379EC"/>
    <w:rsid w:val="00F45BA8"/>
    <w:rsid w:val="00F507FB"/>
    <w:rsid w:val="00F5644A"/>
    <w:rsid w:val="00F7167F"/>
    <w:rsid w:val="00F71F31"/>
    <w:rsid w:val="00F80059"/>
    <w:rsid w:val="00F812C6"/>
    <w:rsid w:val="00F91E84"/>
    <w:rsid w:val="00FA4CA4"/>
    <w:rsid w:val="00FA6198"/>
    <w:rsid w:val="00FC7BF3"/>
    <w:rsid w:val="00FD235D"/>
    <w:rsid w:val="00FD7FCA"/>
    <w:rsid w:val="00FE0C1C"/>
    <w:rsid w:val="00FE17CA"/>
    <w:rsid w:val="00FE1932"/>
    <w:rsid w:val="00FE1A74"/>
    <w:rsid w:val="00FF5630"/>
    <w:rsid w:val="02F703B0"/>
    <w:rsid w:val="07DC0ED5"/>
    <w:rsid w:val="0904785D"/>
    <w:rsid w:val="09573966"/>
    <w:rsid w:val="09BF43ED"/>
    <w:rsid w:val="0A781AE7"/>
    <w:rsid w:val="0CCA0314"/>
    <w:rsid w:val="14317D7D"/>
    <w:rsid w:val="14FE0CE9"/>
    <w:rsid w:val="158E7867"/>
    <w:rsid w:val="174C2AB4"/>
    <w:rsid w:val="18520ADB"/>
    <w:rsid w:val="1F5A1A25"/>
    <w:rsid w:val="1F714057"/>
    <w:rsid w:val="208E75B3"/>
    <w:rsid w:val="218A16C9"/>
    <w:rsid w:val="21BE3478"/>
    <w:rsid w:val="21D04080"/>
    <w:rsid w:val="22423DCF"/>
    <w:rsid w:val="23A74BBD"/>
    <w:rsid w:val="23D43A72"/>
    <w:rsid w:val="29846CB3"/>
    <w:rsid w:val="29E46257"/>
    <w:rsid w:val="2A4110A1"/>
    <w:rsid w:val="2AB85E2C"/>
    <w:rsid w:val="2C281A12"/>
    <w:rsid w:val="2FBE527A"/>
    <w:rsid w:val="31B57A58"/>
    <w:rsid w:val="325F3B1A"/>
    <w:rsid w:val="34745E77"/>
    <w:rsid w:val="36AE69D8"/>
    <w:rsid w:val="38B6063A"/>
    <w:rsid w:val="39E63C45"/>
    <w:rsid w:val="3A910669"/>
    <w:rsid w:val="3BFA1058"/>
    <w:rsid w:val="3EBA5BC3"/>
    <w:rsid w:val="420E5348"/>
    <w:rsid w:val="44100726"/>
    <w:rsid w:val="44347A9B"/>
    <w:rsid w:val="456D3D97"/>
    <w:rsid w:val="45E87405"/>
    <w:rsid w:val="46474D73"/>
    <w:rsid w:val="48BE5C4B"/>
    <w:rsid w:val="49214E6F"/>
    <w:rsid w:val="4D432356"/>
    <w:rsid w:val="4E3430C7"/>
    <w:rsid w:val="52A97DDB"/>
    <w:rsid w:val="56154CA2"/>
    <w:rsid w:val="5A931503"/>
    <w:rsid w:val="5A971C98"/>
    <w:rsid w:val="5AFA5C95"/>
    <w:rsid w:val="5CDE078E"/>
    <w:rsid w:val="5DC655CC"/>
    <w:rsid w:val="5F776EED"/>
    <w:rsid w:val="605176D9"/>
    <w:rsid w:val="63F828E6"/>
    <w:rsid w:val="654D6460"/>
    <w:rsid w:val="6AB57C02"/>
    <w:rsid w:val="6B27051F"/>
    <w:rsid w:val="6B753BDA"/>
    <w:rsid w:val="6B770841"/>
    <w:rsid w:val="6E8A0C2B"/>
    <w:rsid w:val="6EF60757"/>
    <w:rsid w:val="70FA146A"/>
    <w:rsid w:val="710228B1"/>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qFormat="1" w:unhideWhenUsed="0" w:uiPriority="99"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0"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5"/>
    <w:autoRedefine/>
    <w:qFormat/>
    <w:uiPriority w:val="0"/>
    <w:pPr>
      <w:keepNext/>
      <w:keepLines/>
      <w:spacing w:before="50" w:beforeLines="50" w:after="50" w:afterLines="50"/>
      <w:outlineLvl w:val="0"/>
    </w:pPr>
    <w:rPr>
      <w:rFonts w:eastAsia="黑体"/>
      <w:b/>
      <w:bCs/>
      <w:kern w:val="44"/>
      <w:sz w:val="28"/>
      <w:szCs w:val="44"/>
    </w:rPr>
  </w:style>
  <w:style w:type="paragraph" w:styleId="3">
    <w:name w:val="heading 2"/>
    <w:basedOn w:val="1"/>
    <w:next w:val="1"/>
    <w:link w:val="306"/>
    <w:autoRedefine/>
    <w:qFormat/>
    <w:uiPriority w:val="0"/>
    <w:pPr>
      <w:keepNext/>
      <w:keepLines/>
      <w:spacing w:before="50" w:beforeLines="50" w:after="50" w:afterLines="50" w:line="360" w:lineRule="auto"/>
      <w:outlineLvl w:val="1"/>
    </w:pPr>
    <w:rPr>
      <w:rFonts w:ascii="Arial" w:hAnsi="Arial" w:eastAsia="黑体"/>
      <w:b/>
      <w:bCs/>
      <w:sz w:val="24"/>
      <w:szCs w:val="32"/>
    </w:rPr>
  </w:style>
  <w:style w:type="paragraph" w:styleId="4">
    <w:name w:val="heading 3"/>
    <w:basedOn w:val="1"/>
    <w:next w:val="1"/>
    <w:link w:val="307"/>
    <w:autoRedefine/>
    <w:qFormat/>
    <w:uiPriority w:val="0"/>
    <w:pPr>
      <w:keepNext/>
      <w:keepLines/>
      <w:spacing w:before="50" w:beforeLines="50" w:after="50" w:afterLines="50"/>
      <w:outlineLvl w:val="2"/>
    </w:pPr>
    <w:rPr>
      <w:rFonts w:eastAsia="黑体"/>
      <w:b/>
      <w:bCs/>
      <w:szCs w:val="32"/>
    </w:rPr>
  </w:style>
  <w:style w:type="paragraph" w:styleId="5">
    <w:name w:val="heading 4"/>
    <w:basedOn w:val="1"/>
    <w:next w:val="1"/>
    <w:autoRedefine/>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autoRedefine/>
    <w:qFormat/>
    <w:uiPriority w:val="0"/>
    <w:pPr>
      <w:keepNext/>
      <w:keepLines/>
      <w:spacing w:before="280" w:after="290" w:line="372" w:lineRule="auto"/>
      <w:outlineLvl w:val="4"/>
    </w:pPr>
    <w:rPr>
      <w:b/>
      <w:bCs/>
      <w:sz w:val="28"/>
      <w:szCs w:val="28"/>
    </w:rPr>
  </w:style>
  <w:style w:type="paragraph" w:styleId="7">
    <w:name w:val="heading 6"/>
    <w:basedOn w:val="1"/>
    <w:next w:val="1"/>
    <w:autoRedefine/>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autoRedefine/>
    <w:qFormat/>
    <w:uiPriority w:val="0"/>
    <w:pPr>
      <w:keepNext/>
      <w:keepLines/>
      <w:spacing w:before="240" w:after="64" w:line="317" w:lineRule="auto"/>
      <w:outlineLvl w:val="6"/>
    </w:pPr>
    <w:rPr>
      <w:b/>
      <w:bCs/>
      <w:sz w:val="24"/>
    </w:rPr>
  </w:style>
  <w:style w:type="paragraph" w:styleId="9">
    <w:name w:val="heading 8"/>
    <w:basedOn w:val="1"/>
    <w:next w:val="1"/>
    <w:autoRedefine/>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autoRedefine/>
    <w:qFormat/>
    <w:uiPriority w:val="0"/>
    <w:pPr>
      <w:keepNext/>
      <w:keepLines/>
      <w:spacing w:before="240" w:after="64" w:line="317" w:lineRule="auto"/>
      <w:outlineLvl w:val="8"/>
    </w:pPr>
    <w:rPr>
      <w:rFonts w:ascii="Arial" w:hAnsi="Arial" w:eastAsia="黑体"/>
      <w:szCs w:val="21"/>
    </w:rPr>
  </w:style>
  <w:style w:type="character" w:default="1" w:styleId="43">
    <w:name w:val="Default Paragraph Font"/>
    <w:autoRedefine/>
    <w:semiHidden/>
    <w:unhideWhenUsed/>
    <w:qFormat/>
    <w:uiPriority w:val="1"/>
  </w:style>
  <w:style w:type="table" w:default="1" w:styleId="41">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2"/>
    <w:next w:val="1"/>
    <w:autoRedefine/>
    <w:qFormat/>
    <w:uiPriority w:val="0"/>
  </w:style>
  <w:style w:type="paragraph" w:styleId="12">
    <w:name w:val="toc 6"/>
    <w:basedOn w:val="13"/>
    <w:next w:val="1"/>
    <w:autoRedefine/>
    <w:qFormat/>
    <w:uiPriority w:val="0"/>
  </w:style>
  <w:style w:type="paragraph" w:styleId="13">
    <w:name w:val="toc 5"/>
    <w:basedOn w:val="14"/>
    <w:next w:val="1"/>
    <w:autoRedefine/>
    <w:qFormat/>
    <w:uiPriority w:val="0"/>
  </w:style>
  <w:style w:type="paragraph" w:styleId="14">
    <w:name w:val="toc 4"/>
    <w:basedOn w:val="15"/>
    <w:next w:val="1"/>
    <w:autoRedefine/>
    <w:qFormat/>
    <w:uiPriority w:val="0"/>
  </w:style>
  <w:style w:type="paragraph" w:styleId="15">
    <w:name w:val="toc 3"/>
    <w:basedOn w:val="16"/>
    <w:next w:val="1"/>
    <w:autoRedefine/>
    <w:qFormat/>
    <w:uiPriority w:val="39"/>
  </w:style>
  <w:style w:type="paragraph" w:styleId="16">
    <w:name w:val="toc 2"/>
    <w:basedOn w:val="17"/>
    <w:next w:val="1"/>
    <w:autoRedefine/>
    <w:qFormat/>
    <w:uiPriority w:val="39"/>
  </w:style>
  <w:style w:type="paragraph" w:styleId="17">
    <w:name w:val="toc 1"/>
    <w:next w:val="1"/>
    <w:autoRedefine/>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autoRedefine/>
    <w:qFormat/>
    <w:uiPriority w:val="0"/>
    <w:pPr>
      <w:spacing w:before="152" w:after="160"/>
    </w:pPr>
    <w:rPr>
      <w:rFonts w:ascii="Arial" w:hAnsi="Arial" w:eastAsia="黑体"/>
      <w:szCs w:val="20"/>
    </w:rPr>
  </w:style>
  <w:style w:type="paragraph" w:styleId="20">
    <w:name w:val="annotation text"/>
    <w:basedOn w:val="1"/>
    <w:link w:val="288"/>
    <w:autoRedefine/>
    <w:qFormat/>
    <w:uiPriority w:val="0"/>
    <w:pPr>
      <w:jc w:val="left"/>
    </w:pPr>
  </w:style>
  <w:style w:type="paragraph" w:styleId="21">
    <w:name w:val="Body Text"/>
    <w:basedOn w:val="1"/>
    <w:link w:val="283"/>
    <w:autoRedefine/>
    <w:qFormat/>
    <w:uiPriority w:val="0"/>
    <w:pPr>
      <w:spacing w:after="120"/>
    </w:pPr>
  </w:style>
  <w:style w:type="paragraph" w:styleId="22">
    <w:name w:val="Body Text Indent"/>
    <w:basedOn w:val="1"/>
    <w:link w:val="286"/>
    <w:autoRedefine/>
    <w:qFormat/>
    <w:uiPriority w:val="0"/>
    <w:pPr>
      <w:spacing w:line="360" w:lineRule="exact"/>
      <w:ind w:left="420" w:firstLine="480"/>
    </w:pPr>
    <w:rPr>
      <w:sz w:val="24"/>
      <w:szCs w:val="20"/>
    </w:rPr>
  </w:style>
  <w:style w:type="paragraph" w:styleId="23">
    <w:name w:val="HTML Address"/>
    <w:basedOn w:val="1"/>
    <w:autoRedefine/>
    <w:qFormat/>
    <w:uiPriority w:val="0"/>
    <w:rPr>
      <w:i/>
      <w:iCs/>
    </w:rPr>
  </w:style>
  <w:style w:type="paragraph" w:styleId="24">
    <w:name w:val="Plain Text"/>
    <w:basedOn w:val="1"/>
    <w:link w:val="280"/>
    <w:autoRedefine/>
    <w:qFormat/>
    <w:uiPriority w:val="99"/>
    <w:rPr>
      <w:rFonts w:ascii="宋体" w:hAnsi="Courier New"/>
      <w:szCs w:val="21"/>
    </w:rPr>
  </w:style>
  <w:style w:type="paragraph" w:styleId="25">
    <w:name w:val="toc 8"/>
    <w:basedOn w:val="11"/>
    <w:next w:val="1"/>
    <w:autoRedefine/>
    <w:qFormat/>
    <w:uiPriority w:val="0"/>
  </w:style>
  <w:style w:type="paragraph" w:styleId="26">
    <w:name w:val="Date"/>
    <w:basedOn w:val="1"/>
    <w:next w:val="1"/>
    <w:link w:val="292"/>
    <w:qFormat/>
    <w:uiPriority w:val="99"/>
    <w:pPr>
      <w:ind w:left="100" w:leftChars="2500"/>
    </w:pPr>
    <w:rPr>
      <w:sz w:val="24"/>
      <w:szCs w:val="20"/>
    </w:rPr>
  </w:style>
  <w:style w:type="paragraph" w:styleId="27">
    <w:name w:val="Body Text Indent 2"/>
    <w:basedOn w:val="1"/>
    <w:link w:val="291"/>
    <w:autoRedefine/>
    <w:qFormat/>
    <w:uiPriority w:val="0"/>
    <w:pPr>
      <w:spacing w:after="120" w:line="480" w:lineRule="auto"/>
      <w:ind w:left="420" w:leftChars="200"/>
    </w:pPr>
  </w:style>
  <w:style w:type="paragraph" w:styleId="28">
    <w:name w:val="endnote text"/>
    <w:basedOn w:val="1"/>
    <w:qFormat/>
    <w:uiPriority w:val="0"/>
    <w:pPr>
      <w:snapToGrid w:val="0"/>
    </w:pPr>
  </w:style>
  <w:style w:type="paragraph" w:styleId="29">
    <w:name w:val="Balloon Text"/>
    <w:basedOn w:val="1"/>
    <w:link w:val="282"/>
    <w:qFormat/>
    <w:uiPriority w:val="0"/>
    <w:rPr>
      <w:sz w:val="18"/>
      <w:szCs w:val="18"/>
    </w:rPr>
  </w:style>
  <w:style w:type="paragraph" w:styleId="30">
    <w:name w:val="footer"/>
    <w:basedOn w:val="1"/>
    <w:link w:val="285"/>
    <w:autoRedefine/>
    <w:qFormat/>
    <w:uiPriority w:val="0"/>
    <w:pPr>
      <w:tabs>
        <w:tab w:val="center" w:pos="4153"/>
        <w:tab w:val="right" w:pos="8306"/>
      </w:tabs>
      <w:snapToGrid w:val="0"/>
      <w:ind w:right="210" w:rightChars="100"/>
      <w:jc w:val="right"/>
    </w:pPr>
    <w:rPr>
      <w:sz w:val="18"/>
      <w:szCs w:val="18"/>
    </w:rPr>
  </w:style>
  <w:style w:type="paragraph" w:styleId="31">
    <w:name w:val="header"/>
    <w:basedOn w:val="1"/>
    <w:link w:val="290"/>
    <w:qFormat/>
    <w:uiPriority w:val="0"/>
    <w:pPr>
      <w:pBdr>
        <w:bottom w:val="single" w:color="auto" w:sz="6" w:space="1"/>
      </w:pBdr>
      <w:tabs>
        <w:tab w:val="center" w:pos="4153"/>
        <w:tab w:val="right" w:pos="8306"/>
      </w:tabs>
      <w:snapToGrid w:val="0"/>
      <w:jc w:val="center"/>
    </w:pPr>
    <w:rPr>
      <w:sz w:val="18"/>
      <w:szCs w:val="18"/>
    </w:rPr>
  </w:style>
  <w:style w:type="paragraph" w:styleId="32">
    <w:name w:val="footnote text"/>
    <w:basedOn w:val="1"/>
    <w:link w:val="309"/>
    <w:qFormat/>
    <w:uiPriority w:val="0"/>
    <w:pPr>
      <w:snapToGrid w:val="0"/>
      <w:jc w:val="left"/>
    </w:pPr>
    <w:rPr>
      <w:sz w:val="18"/>
      <w:szCs w:val="18"/>
    </w:rPr>
  </w:style>
  <w:style w:type="paragraph" w:styleId="33">
    <w:name w:val="Body Text Indent 3"/>
    <w:basedOn w:val="1"/>
    <w:autoRedefine/>
    <w:qFormat/>
    <w:uiPriority w:val="0"/>
    <w:pPr>
      <w:widowControl/>
      <w:spacing w:line="360" w:lineRule="auto"/>
      <w:ind w:firstLine="420"/>
    </w:pPr>
    <w:rPr>
      <w:rFonts w:hAnsi="宋体"/>
      <w:sz w:val="18"/>
    </w:rPr>
  </w:style>
  <w:style w:type="paragraph" w:styleId="34">
    <w:name w:val="toc 9"/>
    <w:basedOn w:val="25"/>
    <w:next w:val="1"/>
    <w:qFormat/>
    <w:uiPriority w:val="0"/>
  </w:style>
  <w:style w:type="paragraph" w:styleId="35">
    <w:name w:val="Body Text 2"/>
    <w:basedOn w:val="1"/>
    <w:link w:val="323"/>
    <w:autoRedefine/>
    <w:qFormat/>
    <w:uiPriority w:val="99"/>
    <w:pPr>
      <w:spacing w:after="120" w:line="480" w:lineRule="auto"/>
    </w:pPr>
  </w:style>
  <w:style w:type="paragraph" w:styleId="36">
    <w:name w:val="HTML Preformatted"/>
    <w:basedOn w:val="1"/>
    <w:qFormat/>
    <w:uiPriority w:val="0"/>
    <w:rPr>
      <w:rFonts w:ascii="Courier New" w:hAnsi="Courier New" w:cs="Courier New"/>
      <w:sz w:val="20"/>
      <w:szCs w:val="20"/>
    </w:rPr>
  </w:style>
  <w:style w:type="paragraph" w:styleId="37">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38">
    <w:name w:val="Title"/>
    <w:basedOn w:val="1"/>
    <w:link w:val="308"/>
    <w:autoRedefine/>
    <w:qFormat/>
    <w:uiPriority w:val="0"/>
    <w:pPr>
      <w:spacing w:before="240" w:after="60"/>
      <w:jc w:val="center"/>
      <w:outlineLvl w:val="0"/>
    </w:pPr>
    <w:rPr>
      <w:rFonts w:ascii="Arial" w:hAnsi="Arial" w:cs="Arial"/>
      <w:b/>
      <w:bCs/>
      <w:sz w:val="32"/>
      <w:szCs w:val="32"/>
    </w:rPr>
  </w:style>
  <w:style w:type="paragraph" w:styleId="39">
    <w:name w:val="annotation subject"/>
    <w:basedOn w:val="20"/>
    <w:next w:val="20"/>
    <w:link w:val="289"/>
    <w:autoRedefine/>
    <w:qFormat/>
    <w:uiPriority w:val="0"/>
    <w:rPr>
      <w:b/>
      <w:bCs/>
    </w:rPr>
  </w:style>
  <w:style w:type="paragraph" w:styleId="40">
    <w:name w:val="Body Text First Indent"/>
    <w:basedOn w:val="21"/>
    <w:autoRedefine/>
    <w:qFormat/>
    <w:uiPriority w:val="0"/>
    <w:pPr>
      <w:ind w:firstLine="420"/>
    </w:pPr>
    <w:rPr>
      <w:szCs w:val="20"/>
    </w:rPr>
  </w:style>
  <w:style w:type="table" w:styleId="42">
    <w:name w:val="Table Grid"/>
    <w:basedOn w:val="41"/>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44">
    <w:name w:val="Strong"/>
    <w:qFormat/>
    <w:uiPriority w:val="22"/>
    <w:rPr>
      <w:b/>
      <w:bCs/>
    </w:rPr>
  </w:style>
  <w:style w:type="character" w:styleId="45">
    <w:name w:val="page number"/>
    <w:qFormat/>
    <w:uiPriority w:val="0"/>
    <w:rPr>
      <w:rFonts w:ascii="Times New Roman" w:hAnsi="Times New Roman" w:eastAsia="宋体"/>
      <w:sz w:val="18"/>
    </w:rPr>
  </w:style>
  <w:style w:type="character" w:styleId="46">
    <w:name w:val="FollowedHyperlink"/>
    <w:autoRedefine/>
    <w:unhideWhenUsed/>
    <w:qFormat/>
    <w:uiPriority w:val="0"/>
    <w:rPr>
      <w:color w:val="800080"/>
      <w:u w:val="single"/>
    </w:rPr>
  </w:style>
  <w:style w:type="character" w:styleId="47">
    <w:name w:val="HTML Definition"/>
    <w:autoRedefine/>
    <w:qFormat/>
    <w:uiPriority w:val="0"/>
    <w:rPr>
      <w:i/>
      <w:iCs/>
    </w:rPr>
  </w:style>
  <w:style w:type="character" w:styleId="48">
    <w:name w:val="HTML Typewriter"/>
    <w:autoRedefine/>
    <w:qFormat/>
    <w:uiPriority w:val="0"/>
    <w:rPr>
      <w:rFonts w:ascii="Courier New" w:hAnsi="Courier New"/>
      <w:sz w:val="20"/>
      <w:szCs w:val="20"/>
    </w:rPr>
  </w:style>
  <w:style w:type="character" w:styleId="49">
    <w:name w:val="HTML Acronym"/>
    <w:basedOn w:val="43"/>
    <w:autoRedefine/>
    <w:qFormat/>
    <w:uiPriority w:val="0"/>
  </w:style>
  <w:style w:type="character" w:styleId="50">
    <w:name w:val="HTML Variable"/>
    <w:autoRedefine/>
    <w:qFormat/>
    <w:uiPriority w:val="0"/>
    <w:rPr>
      <w:i/>
      <w:iCs/>
    </w:rPr>
  </w:style>
  <w:style w:type="character" w:styleId="51">
    <w:name w:val="Hyperlink"/>
    <w:basedOn w:val="43"/>
    <w:autoRedefine/>
    <w:qFormat/>
    <w:uiPriority w:val="99"/>
    <w:rPr>
      <w:rFonts w:ascii="Times New Roman" w:hAnsi="Times New Roman" w:eastAsia="宋体"/>
      <w:color w:val="auto"/>
      <w:spacing w:val="0"/>
      <w:w w:val="100"/>
      <w:position w:val="0"/>
      <w:sz w:val="21"/>
      <w:u w:val="none"/>
    </w:rPr>
  </w:style>
  <w:style w:type="character" w:styleId="52">
    <w:name w:val="HTML Code"/>
    <w:autoRedefine/>
    <w:qFormat/>
    <w:uiPriority w:val="0"/>
    <w:rPr>
      <w:rFonts w:ascii="Courier New" w:hAnsi="Courier New"/>
      <w:sz w:val="20"/>
      <w:szCs w:val="20"/>
    </w:rPr>
  </w:style>
  <w:style w:type="character" w:styleId="53">
    <w:name w:val="annotation reference"/>
    <w:autoRedefine/>
    <w:qFormat/>
    <w:uiPriority w:val="0"/>
    <w:rPr>
      <w:sz w:val="21"/>
      <w:szCs w:val="21"/>
    </w:rPr>
  </w:style>
  <w:style w:type="character" w:styleId="54">
    <w:name w:val="HTML Cite"/>
    <w:qFormat/>
    <w:uiPriority w:val="0"/>
    <w:rPr>
      <w:i/>
      <w:iCs/>
    </w:rPr>
  </w:style>
  <w:style w:type="character" w:styleId="55">
    <w:name w:val="footnote reference"/>
    <w:autoRedefine/>
    <w:qFormat/>
    <w:uiPriority w:val="0"/>
    <w:rPr>
      <w:vertAlign w:val="superscript"/>
    </w:rPr>
  </w:style>
  <w:style w:type="character" w:styleId="56">
    <w:name w:val="HTML Keyboard"/>
    <w:autoRedefine/>
    <w:qFormat/>
    <w:uiPriority w:val="0"/>
    <w:rPr>
      <w:rFonts w:ascii="Courier New" w:hAnsi="Courier New"/>
      <w:sz w:val="20"/>
      <w:szCs w:val="20"/>
    </w:rPr>
  </w:style>
  <w:style w:type="character" w:styleId="57">
    <w:name w:val="HTML Sample"/>
    <w:autoRedefine/>
    <w:qFormat/>
    <w:uiPriority w:val="0"/>
    <w:rPr>
      <w:rFonts w:ascii="Courier New" w:hAnsi="Courier New"/>
    </w:rPr>
  </w:style>
  <w:style w:type="paragraph" w:customStyle="1" w:styleId="58">
    <w:name w:val="段"/>
    <w:link w:val="275"/>
    <w:autoRedefine/>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9">
    <w:name w:val="二级条标题"/>
    <w:basedOn w:val="60"/>
    <w:next w:val="58"/>
    <w:link w:val="277"/>
    <w:autoRedefine/>
    <w:qFormat/>
    <w:uiPriority w:val="0"/>
    <w:pPr>
      <w:numPr>
        <w:ilvl w:val="3"/>
      </w:numPr>
      <w:outlineLvl w:val="3"/>
    </w:pPr>
    <w:rPr>
      <w:rFonts w:hAnsi="黑体"/>
      <w:color w:val="000000" w:themeColor="text1"/>
      <w:spacing w:val="-6"/>
      <w14:textFill>
        <w14:solidFill>
          <w14:schemeClr w14:val="tx1"/>
        </w14:solidFill>
      </w14:textFill>
    </w:rPr>
  </w:style>
  <w:style w:type="paragraph" w:customStyle="1" w:styleId="60">
    <w:name w:val="一级条标题"/>
    <w:basedOn w:val="61"/>
    <w:next w:val="58"/>
    <w:link w:val="279"/>
    <w:autoRedefine/>
    <w:qFormat/>
    <w:uiPriority w:val="0"/>
    <w:pPr>
      <w:numPr>
        <w:ilvl w:val="2"/>
      </w:numPr>
      <w:spacing w:beforeLines="0" w:afterLines="0" w:line="300" w:lineRule="auto"/>
      <w:outlineLvl w:val="2"/>
    </w:pPr>
    <w:rPr>
      <w:color w:val="FF0000"/>
      <w:spacing w:val="-4"/>
      <w:szCs w:val="24"/>
    </w:rPr>
  </w:style>
  <w:style w:type="paragraph" w:customStyle="1" w:styleId="61">
    <w:name w:val="章标题"/>
    <w:next w:val="58"/>
    <w:link w:val="278"/>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2">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3">
    <w:name w:val="封面标准号2"/>
    <w:basedOn w:val="64"/>
    <w:autoRedefine/>
    <w:qFormat/>
    <w:uiPriority w:val="0"/>
    <w:pPr>
      <w:adjustRightInd w:val="0"/>
      <w:spacing w:before="357" w:line="280" w:lineRule="exact"/>
    </w:pPr>
  </w:style>
  <w:style w:type="paragraph" w:customStyle="1" w:styleId="64">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5">
    <w:name w:val="附录标识"/>
    <w:basedOn w:val="66"/>
    <w:link w:val="300"/>
    <w:autoRedefine/>
    <w:qFormat/>
    <w:uiPriority w:val="0"/>
    <w:pPr>
      <w:numPr>
        <w:ilvl w:val="0"/>
        <w:numId w:val="2"/>
      </w:numPr>
      <w:tabs>
        <w:tab w:val="left" w:pos="6405"/>
      </w:tabs>
      <w:spacing w:after="200"/>
    </w:pPr>
    <w:rPr>
      <w:sz w:val="21"/>
    </w:rPr>
  </w:style>
  <w:style w:type="paragraph" w:customStyle="1" w:styleId="66">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7">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8">
    <w:name w:val="发布部门"/>
    <w:next w:val="58"/>
    <w:autoRedefine/>
    <w:qFormat/>
    <w:uiPriority w:val="0"/>
    <w:pPr>
      <w:jc w:val="center"/>
    </w:pPr>
    <w:rPr>
      <w:rFonts w:ascii="宋体" w:hAnsi="Times New Roman" w:eastAsia="宋体" w:cs="Times New Roman"/>
      <w:b/>
      <w:spacing w:val="20"/>
      <w:w w:val="135"/>
      <w:sz w:val="36"/>
      <w:lang w:val="en-US" w:eastAsia="zh-CN" w:bidi="ar-SA"/>
    </w:rPr>
  </w:style>
  <w:style w:type="paragraph" w:customStyle="1" w:styleId="69">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70">
    <w:name w:val="四级条标题"/>
    <w:basedOn w:val="71"/>
    <w:next w:val="58"/>
    <w:autoRedefine/>
    <w:qFormat/>
    <w:uiPriority w:val="0"/>
    <w:pPr>
      <w:numPr>
        <w:ilvl w:val="5"/>
      </w:numPr>
      <w:outlineLvl w:val="5"/>
    </w:pPr>
  </w:style>
  <w:style w:type="paragraph" w:customStyle="1" w:styleId="71">
    <w:name w:val="三级条标题"/>
    <w:basedOn w:val="59"/>
    <w:next w:val="58"/>
    <w:link w:val="281"/>
    <w:qFormat/>
    <w:uiPriority w:val="0"/>
    <w:pPr>
      <w:numPr>
        <w:ilvl w:val="4"/>
      </w:numPr>
      <w:outlineLvl w:val="4"/>
    </w:pPr>
  </w:style>
  <w:style w:type="paragraph" w:customStyle="1" w:styleId="72">
    <w:name w:val="列项——"/>
    <w:autoRedefine/>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4">
    <w:name w:val="参考文献、索引标题"/>
    <w:basedOn w:val="66"/>
    <w:next w:val="1"/>
    <w:autoRedefine/>
    <w:qFormat/>
    <w:uiPriority w:val="0"/>
    <w:pPr>
      <w:numPr>
        <w:numId w:val="0"/>
      </w:numPr>
      <w:spacing w:after="200"/>
    </w:pPr>
    <w:rPr>
      <w:sz w:val="21"/>
    </w:rPr>
  </w:style>
  <w:style w:type="paragraph" w:customStyle="1" w:styleId="75">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实施日期"/>
    <w:basedOn w:val="77"/>
    <w:autoRedefine/>
    <w:qFormat/>
    <w:uiPriority w:val="0"/>
    <w:pPr>
      <w:jc w:val="right"/>
    </w:pPr>
  </w:style>
  <w:style w:type="paragraph" w:customStyle="1" w:styleId="77">
    <w:name w:val="发布日期"/>
    <w:autoRedefine/>
    <w:qFormat/>
    <w:uiPriority w:val="0"/>
    <w:rPr>
      <w:rFonts w:ascii="Times New Roman" w:hAnsi="Times New Roman" w:eastAsia="黑体" w:cs="Times New Roman"/>
      <w:sz w:val="28"/>
      <w:lang w:val="en-US" w:eastAsia="zh-CN" w:bidi="ar-SA"/>
    </w:rPr>
  </w:style>
  <w:style w:type="paragraph" w:customStyle="1" w:styleId="78">
    <w:name w:val="条文脚注"/>
    <w:basedOn w:val="32"/>
    <w:autoRedefine/>
    <w:qFormat/>
    <w:uiPriority w:val="0"/>
    <w:pPr>
      <w:ind w:left="780" w:leftChars="200" w:hanging="360" w:hangingChars="200"/>
      <w:jc w:val="both"/>
    </w:pPr>
    <w:rPr>
      <w:rFonts w:ascii="宋体"/>
    </w:rPr>
  </w:style>
  <w:style w:type="paragraph" w:customStyle="1" w:styleId="79">
    <w:name w:val="附录章标题"/>
    <w:next w:val="58"/>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注×："/>
    <w:autoRedefine/>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1">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2">
    <w:name w:val="图表脚注"/>
    <w:next w:val="58"/>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3">
    <w:name w:val="五级无标题条"/>
    <w:basedOn w:val="1"/>
    <w:qFormat/>
    <w:uiPriority w:val="0"/>
    <w:pPr>
      <w:numPr>
        <w:ilvl w:val="6"/>
        <w:numId w:val="5"/>
      </w:numPr>
    </w:pPr>
  </w:style>
  <w:style w:type="paragraph" w:customStyle="1" w:styleId="84">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5">
    <w:name w:val="Char"/>
    <w:basedOn w:val="1"/>
    <w:qFormat/>
    <w:uiPriority w:val="0"/>
    <w:pPr>
      <w:widowControl/>
      <w:spacing w:after="160" w:line="240" w:lineRule="exact"/>
      <w:jc w:val="left"/>
    </w:pPr>
  </w:style>
  <w:style w:type="paragraph" w:customStyle="1" w:styleId="86">
    <w:name w:val="无标题条"/>
    <w:next w:val="58"/>
    <w:qFormat/>
    <w:uiPriority w:val="0"/>
    <w:pPr>
      <w:jc w:val="both"/>
    </w:pPr>
    <w:rPr>
      <w:rFonts w:ascii="Times New Roman" w:hAnsi="Times New Roman" w:eastAsia="宋体" w:cs="Times New Roman"/>
      <w:sz w:val="21"/>
      <w:lang w:val="en-US" w:eastAsia="zh-CN" w:bidi="ar-SA"/>
    </w:rPr>
  </w:style>
  <w:style w:type="paragraph" w:customStyle="1" w:styleId="87">
    <w:name w:val="五级条标题"/>
    <w:basedOn w:val="70"/>
    <w:next w:val="58"/>
    <w:qFormat/>
    <w:uiPriority w:val="0"/>
    <w:pPr>
      <w:numPr>
        <w:ilvl w:val="6"/>
      </w:numPr>
      <w:outlineLvl w:val="6"/>
    </w:pPr>
  </w:style>
  <w:style w:type="paragraph" w:customStyle="1" w:styleId="88">
    <w:name w:val="Default"/>
    <w:autoRedefine/>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0">
    <w:name w:val="正文图标题"/>
    <w:next w:val="58"/>
    <w:autoRedefine/>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1">
    <w:name w:val="注："/>
    <w:next w:val="58"/>
    <w:link w:val="284"/>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2">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3">
    <w:name w:val="标准书眉_偶数页"/>
    <w:basedOn w:val="89"/>
    <w:next w:val="1"/>
    <w:qFormat/>
    <w:uiPriority w:val="0"/>
    <w:pPr>
      <w:jc w:val="left"/>
    </w:pPr>
  </w:style>
  <w:style w:type="paragraph" w:customStyle="1" w:styleId="94">
    <w:name w:val="二级无标题条"/>
    <w:basedOn w:val="1"/>
    <w:qFormat/>
    <w:uiPriority w:val="0"/>
    <w:pPr>
      <w:numPr>
        <w:ilvl w:val="3"/>
        <w:numId w:val="5"/>
      </w:numPr>
    </w:pPr>
  </w:style>
  <w:style w:type="paragraph" w:customStyle="1" w:styleId="95">
    <w:name w:val="附录表标题"/>
    <w:next w:val="58"/>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6">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7">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98">
    <w:name w:val="封面正文"/>
    <w:autoRedefine/>
    <w:qFormat/>
    <w:uiPriority w:val="0"/>
    <w:pPr>
      <w:jc w:val="both"/>
    </w:pPr>
    <w:rPr>
      <w:rFonts w:ascii="Times New Roman" w:hAnsi="Times New Roman" w:eastAsia="宋体" w:cs="Times New Roman"/>
      <w:lang w:val="en-US" w:eastAsia="zh-CN" w:bidi="ar-SA"/>
    </w:rPr>
  </w:style>
  <w:style w:type="paragraph" w:customStyle="1" w:styleId="99">
    <w:name w:val="附录五级条标题"/>
    <w:basedOn w:val="100"/>
    <w:next w:val="58"/>
    <w:autoRedefine/>
    <w:qFormat/>
    <w:uiPriority w:val="0"/>
    <w:pPr>
      <w:numPr>
        <w:ilvl w:val="6"/>
      </w:numPr>
      <w:outlineLvl w:val="6"/>
    </w:pPr>
  </w:style>
  <w:style w:type="paragraph" w:customStyle="1" w:styleId="100">
    <w:name w:val="附录四级条标题"/>
    <w:basedOn w:val="101"/>
    <w:next w:val="58"/>
    <w:qFormat/>
    <w:uiPriority w:val="0"/>
    <w:pPr>
      <w:numPr>
        <w:ilvl w:val="5"/>
      </w:numPr>
      <w:outlineLvl w:val="5"/>
    </w:pPr>
  </w:style>
  <w:style w:type="paragraph" w:customStyle="1" w:styleId="101">
    <w:name w:val="附录三级条标题"/>
    <w:basedOn w:val="102"/>
    <w:next w:val="58"/>
    <w:qFormat/>
    <w:uiPriority w:val="0"/>
    <w:pPr>
      <w:numPr>
        <w:ilvl w:val="4"/>
      </w:numPr>
      <w:outlineLvl w:val="4"/>
    </w:pPr>
  </w:style>
  <w:style w:type="paragraph" w:customStyle="1" w:styleId="102">
    <w:name w:val="附录二级条标题"/>
    <w:basedOn w:val="103"/>
    <w:next w:val="58"/>
    <w:qFormat/>
    <w:uiPriority w:val="0"/>
    <w:pPr>
      <w:numPr>
        <w:ilvl w:val="3"/>
      </w:numPr>
      <w:outlineLvl w:val="3"/>
    </w:pPr>
  </w:style>
  <w:style w:type="paragraph" w:customStyle="1" w:styleId="103">
    <w:name w:val="附录一级条标题"/>
    <w:basedOn w:val="79"/>
    <w:next w:val="58"/>
    <w:autoRedefine/>
    <w:qFormat/>
    <w:uiPriority w:val="0"/>
    <w:pPr>
      <w:numPr>
        <w:ilvl w:val="2"/>
      </w:numPr>
      <w:autoSpaceDN w:val="0"/>
      <w:spacing w:beforeLines="0" w:afterLines="0"/>
      <w:outlineLvl w:val="2"/>
    </w:pPr>
  </w:style>
  <w:style w:type="paragraph" w:customStyle="1" w:styleId="104">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5">
    <w:name w:val="附录图标题"/>
    <w:next w:val="58"/>
    <w:qFormat/>
    <w:uiPriority w:val="0"/>
    <w:pPr>
      <w:jc w:val="center"/>
    </w:pPr>
    <w:rPr>
      <w:rFonts w:ascii="黑体" w:hAnsi="Times New Roman" w:eastAsia="黑体" w:cs="Times New Roman"/>
      <w:sz w:val="21"/>
      <w:lang w:val="en-US" w:eastAsia="zh-CN" w:bidi="ar-SA"/>
    </w:rPr>
  </w:style>
  <w:style w:type="paragraph" w:customStyle="1" w:styleId="106">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7">
    <w:name w:val="正文表标题"/>
    <w:next w:val="58"/>
    <w:autoRedefine/>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8">
    <w:name w:val="示例"/>
    <w:next w:val="58"/>
    <w:autoRedefine/>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9">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10">
    <w:name w:val="四级无标题条"/>
    <w:basedOn w:val="1"/>
    <w:autoRedefine/>
    <w:qFormat/>
    <w:uiPriority w:val="0"/>
    <w:pPr>
      <w:numPr>
        <w:ilvl w:val="5"/>
        <w:numId w:val="5"/>
      </w:numPr>
    </w:pPr>
  </w:style>
  <w:style w:type="paragraph" w:customStyle="1" w:styleId="111">
    <w:name w:val="目次、标准名称标题"/>
    <w:basedOn w:val="66"/>
    <w:next w:val="58"/>
    <w:autoRedefine/>
    <w:qFormat/>
    <w:uiPriority w:val="0"/>
    <w:pPr>
      <w:numPr>
        <w:numId w:val="0"/>
      </w:numPr>
      <w:spacing w:line="460" w:lineRule="exact"/>
    </w:pPr>
  </w:style>
  <w:style w:type="paragraph" w:customStyle="1" w:styleId="112">
    <w:name w:val="标准书眉一"/>
    <w:autoRedefine/>
    <w:qFormat/>
    <w:uiPriority w:val="0"/>
    <w:pPr>
      <w:jc w:val="both"/>
    </w:pPr>
    <w:rPr>
      <w:rFonts w:ascii="Times New Roman" w:hAnsi="Times New Roman" w:eastAsia="宋体" w:cs="Times New Roman"/>
      <w:lang w:val="en-US" w:eastAsia="zh-CN" w:bidi="ar-SA"/>
    </w:rPr>
  </w:style>
  <w:style w:type="paragraph" w:customStyle="1" w:styleId="113">
    <w:name w:val="标准称谓"/>
    <w:next w:val="1"/>
    <w:autoRedefine/>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4">
    <w:name w:val="其他发布部门"/>
    <w:basedOn w:val="68"/>
    <w:qFormat/>
    <w:uiPriority w:val="0"/>
    <w:pPr>
      <w:spacing w:line="0" w:lineRule="atLeast"/>
    </w:pPr>
    <w:rPr>
      <w:rFonts w:ascii="黑体" w:eastAsia="黑体"/>
      <w:b w:val="0"/>
    </w:rPr>
  </w:style>
  <w:style w:type="paragraph" w:customStyle="1" w:styleId="115">
    <w:name w:val="列项·"/>
    <w:autoRedefine/>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6">
    <w:name w:val="三级无标题条"/>
    <w:basedOn w:val="1"/>
    <w:autoRedefine/>
    <w:qFormat/>
    <w:uiPriority w:val="0"/>
    <w:pPr>
      <w:numPr>
        <w:ilvl w:val="4"/>
        <w:numId w:val="5"/>
      </w:numPr>
    </w:pPr>
  </w:style>
  <w:style w:type="paragraph" w:customStyle="1" w:styleId="117">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一级无标题条"/>
    <w:basedOn w:val="1"/>
    <w:autoRedefine/>
    <w:qFormat/>
    <w:uiPriority w:val="0"/>
    <w:pPr>
      <w:numPr>
        <w:ilvl w:val="2"/>
        <w:numId w:val="5"/>
      </w:numPr>
    </w:pPr>
  </w:style>
  <w:style w:type="paragraph" w:customStyle="1" w:styleId="119">
    <w:name w:val="封面标准代替信息"/>
    <w:basedOn w:val="63"/>
    <w:autoRedefine/>
    <w:qFormat/>
    <w:uiPriority w:val="0"/>
    <w:pPr>
      <w:spacing w:before="57"/>
    </w:pPr>
    <w:rPr>
      <w:rFonts w:ascii="宋体"/>
      <w:sz w:val="21"/>
    </w:rPr>
  </w:style>
  <w:style w:type="paragraph" w:customStyle="1" w:styleId="120">
    <w:name w:val="标准正文"/>
    <w:basedOn w:val="1"/>
    <w:autoRedefine/>
    <w:qFormat/>
    <w:uiPriority w:val="0"/>
    <w:pPr>
      <w:adjustRightInd w:val="0"/>
      <w:spacing w:line="360" w:lineRule="atLeast"/>
      <w:ind w:firstLine="425"/>
      <w:jc w:val="left"/>
      <w:textAlignment w:val="baseline"/>
    </w:pPr>
    <w:rPr>
      <w:spacing w:val="-4"/>
      <w:kern w:val="21"/>
      <w:szCs w:val="20"/>
    </w:rPr>
  </w:style>
  <w:style w:type="paragraph" w:customStyle="1" w:styleId="121">
    <w:name w:val="font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22">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23">
    <w:name w:val="font6"/>
    <w:basedOn w:val="1"/>
    <w:autoRedefine/>
    <w:qFormat/>
    <w:uiPriority w:val="0"/>
    <w:pPr>
      <w:widowControl/>
      <w:spacing w:before="100" w:beforeAutospacing="1" w:after="100" w:afterAutospacing="1"/>
      <w:jc w:val="left"/>
    </w:pPr>
    <w:rPr>
      <w:b/>
      <w:bCs/>
      <w:kern w:val="0"/>
      <w:sz w:val="20"/>
      <w:szCs w:val="20"/>
    </w:rPr>
  </w:style>
  <w:style w:type="paragraph" w:customStyle="1" w:styleId="124">
    <w:name w:val="font7"/>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8"/>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9"/>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0"/>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8">
    <w:name w:val="font11"/>
    <w:basedOn w:val="1"/>
    <w:autoRedefine/>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9">
    <w:name w:val="xl78"/>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0">
    <w:name w:val="xl79"/>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1">
    <w:name w:val="xl80"/>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2">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4">
    <w:name w:val="xl8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3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0">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4">
    <w:name w:val="xl9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xl94"/>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6">
    <w:name w:val="c封面标准名称"/>
    <w:basedOn w:val="1"/>
    <w:autoRedefine/>
    <w:qFormat/>
    <w:uiPriority w:val="0"/>
    <w:pPr>
      <w:adjustRightInd w:val="0"/>
      <w:jc w:val="center"/>
    </w:pPr>
    <w:rPr>
      <w:rFonts w:eastAsia="黑体"/>
      <w:kern w:val="0"/>
      <w:sz w:val="52"/>
      <w:szCs w:val="20"/>
    </w:rPr>
  </w:style>
  <w:style w:type="paragraph" w:customStyle="1" w:styleId="147">
    <w:name w:val="样式2"/>
    <w:basedOn w:val="71"/>
    <w:autoRedefine/>
    <w:qFormat/>
    <w:uiPriority w:val="0"/>
    <w:pPr>
      <w:numPr>
        <w:numId w:val="0"/>
      </w:numPr>
      <w:spacing w:line="240" w:lineRule="auto"/>
      <w:ind w:left="454"/>
    </w:pPr>
    <w:rPr>
      <w:color w:val="auto"/>
      <w:spacing w:val="0"/>
      <w:szCs w:val="20"/>
    </w:rPr>
  </w:style>
  <w:style w:type="paragraph" w:customStyle="1" w:styleId="148">
    <w:name w:val="列出段落1"/>
    <w:basedOn w:val="1"/>
    <w:autoRedefine/>
    <w:qFormat/>
    <w:uiPriority w:val="34"/>
    <w:pPr>
      <w:ind w:firstLine="420" w:firstLineChars="200"/>
    </w:pPr>
    <w:rPr>
      <w:rFonts w:ascii="Calibri" w:hAnsi="Calibri"/>
      <w:szCs w:val="22"/>
    </w:rPr>
  </w:style>
  <w:style w:type="paragraph" w:customStyle="1" w:styleId="149">
    <w:name w:val="图表脚注说明"/>
    <w:basedOn w:val="1"/>
    <w:autoRedefine/>
    <w:qFormat/>
    <w:uiPriority w:val="0"/>
    <w:rPr>
      <w:rFonts w:ascii="宋体"/>
      <w:sz w:val="18"/>
      <w:szCs w:val="18"/>
    </w:rPr>
  </w:style>
  <w:style w:type="paragraph" w:customStyle="1" w:styleId="150">
    <w:name w:val="Char11"/>
    <w:basedOn w:val="1"/>
    <w:autoRedefine/>
    <w:qFormat/>
    <w:uiPriority w:val="0"/>
    <w:pPr>
      <w:widowControl/>
      <w:spacing w:after="160" w:line="240" w:lineRule="exact"/>
      <w:jc w:val="left"/>
    </w:pPr>
  </w:style>
  <w:style w:type="paragraph" w:customStyle="1" w:styleId="151">
    <w:name w:val="ordinary-output"/>
    <w:basedOn w:val="1"/>
    <w:autoRedefine/>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2">
    <w:name w:val="列出段落11"/>
    <w:basedOn w:val="1"/>
    <w:qFormat/>
    <w:uiPriority w:val="34"/>
    <w:pPr>
      <w:ind w:firstLine="420" w:firstLineChars="200"/>
    </w:pPr>
    <w:rPr>
      <w:sz w:val="24"/>
    </w:rPr>
  </w:style>
  <w:style w:type="paragraph" w:customStyle="1" w:styleId="153">
    <w:name w:val="Char1 Char Char Char"/>
    <w:basedOn w:val="1"/>
    <w:autoRedefine/>
    <w:qFormat/>
    <w:uiPriority w:val="0"/>
    <w:rPr>
      <w:szCs w:val="20"/>
    </w:rPr>
  </w:style>
  <w:style w:type="paragraph" w:customStyle="1" w:styleId="154">
    <w:name w:val="Char1"/>
    <w:basedOn w:val="1"/>
    <w:autoRedefine/>
    <w:qFormat/>
    <w:uiPriority w:val="0"/>
    <w:pPr>
      <w:widowControl/>
      <w:spacing w:after="160" w:line="240" w:lineRule="exact"/>
      <w:jc w:val="left"/>
    </w:pPr>
  </w:style>
  <w:style w:type="paragraph" w:customStyle="1" w:styleId="155">
    <w:name w:val="Decimal Aligned"/>
    <w:basedOn w:val="1"/>
    <w:autoRedefine/>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6">
    <w:name w:val="xl65"/>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69"/>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8">
    <w:name w:val="xl121"/>
    <w:basedOn w:val="1"/>
    <w:autoRedefine/>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9">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0">
    <w:name w:val="xl165"/>
    <w:basedOn w:val="1"/>
    <w:autoRedefine/>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1">
    <w:name w:val="xl120"/>
    <w:basedOn w:val="1"/>
    <w:autoRedefine/>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2">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16"/>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102"/>
    <w:basedOn w:val="1"/>
    <w:autoRedefine/>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97"/>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6">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7">
    <w:name w:val="xl7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8">
    <w:name w:val="xl73"/>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9">
    <w:name w:val="xl183"/>
    <w:basedOn w:val="1"/>
    <w:autoRedefine/>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0">
    <w:name w:val="xl184"/>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1">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2">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3">
    <w:name w:val="xl182"/>
    <w:basedOn w:val="1"/>
    <w:autoRedefine/>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4">
    <w:name w:val="xl130"/>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5">
    <w:name w:val="xl71"/>
    <w:basedOn w:val="1"/>
    <w:autoRedefine/>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6">
    <w:name w:val="xl1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7">
    <w:name w:val="xl135"/>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8">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9">
    <w:name w:val="xl63"/>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6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2">
    <w:name w:val="xl6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3">
    <w:name w:val="xl178"/>
    <w:basedOn w:val="1"/>
    <w:autoRedefine/>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4">
    <w:name w:val="xl170"/>
    <w:basedOn w:val="1"/>
    <w:autoRedefine/>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75"/>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6">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7">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8">
    <w:name w:val="xl168"/>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9">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90">
    <w:name w:val="xl74"/>
    <w:basedOn w:val="1"/>
    <w:autoRedefine/>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1">
    <w:name w:val="xl174"/>
    <w:basedOn w:val="1"/>
    <w:autoRedefine/>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2">
    <w:name w:val="xl150"/>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3">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4">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5">
    <w:name w:val="xl12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6">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7">
    <w:name w:val="xl72"/>
    <w:basedOn w:val="1"/>
    <w:autoRedefine/>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8">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00">
    <w:name w:val="xl10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1">
    <w:name w:val="xl117"/>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2">
    <w:name w:val="xl103"/>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3">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4">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5">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6">
    <w:name w:val="xl114"/>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7">
    <w:name w:val="xl159"/>
    <w:basedOn w:val="1"/>
    <w:autoRedefine/>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8">
    <w:name w:val="xl11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9">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0">
    <w:name w:val="xl95"/>
    <w:basedOn w:val="1"/>
    <w:autoRedefine/>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1">
    <w:name w:val="xl108"/>
    <w:basedOn w:val="1"/>
    <w:autoRedefine/>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2">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3">
    <w:name w:val="xl118"/>
    <w:basedOn w:val="1"/>
    <w:autoRedefine/>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4">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5">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6">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7">
    <w:name w:val="xl99"/>
    <w:basedOn w:val="1"/>
    <w:autoRedefine/>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8">
    <w:name w:val="xl140"/>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20">
    <w:name w:val="xl14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1">
    <w:name w:val="xl138"/>
    <w:basedOn w:val="1"/>
    <w:autoRedefine/>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2">
    <w:name w:val="xl119"/>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3">
    <w:name w:val="xl105"/>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4">
    <w:name w:val="xl143"/>
    <w:basedOn w:val="1"/>
    <w:autoRedefine/>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5">
    <w:name w:val="xl115"/>
    <w:basedOn w:val="1"/>
    <w:autoRedefine/>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6">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7">
    <w:name w:val="xl144"/>
    <w:basedOn w:val="1"/>
    <w:autoRedefine/>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8">
    <w:name w:val="xl100"/>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9">
    <w:name w:val="xl141"/>
    <w:basedOn w:val="1"/>
    <w:autoRedefine/>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30">
    <w:name w:val="xl96"/>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1">
    <w:name w:val="xl171"/>
    <w:basedOn w:val="1"/>
    <w:autoRedefine/>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2">
    <w:name w:val="xl125"/>
    <w:basedOn w:val="1"/>
    <w:autoRedefine/>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3">
    <w:name w:val="xl18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4">
    <w:name w:val="xl179"/>
    <w:basedOn w:val="1"/>
    <w:autoRedefine/>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6">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7">
    <w:name w:val="xl127"/>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8">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9">
    <w:name w:val="xl131"/>
    <w:basedOn w:val="1"/>
    <w:autoRedefine/>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0">
    <w:name w:val="xl132"/>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1">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2">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3">
    <w:name w:val="xl133"/>
    <w:basedOn w:val="1"/>
    <w:autoRedefine/>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4">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5">
    <w:name w:val="xl134"/>
    <w:basedOn w:val="1"/>
    <w:autoRedefine/>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6">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7">
    <w:name w:val="xl137"/>
    <w:basedOn w:val="1"/>
    <w:autoRedefine/>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8">
    <w:name w:val="xl147"/>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9">
    <w:name w:val="xl139"/>
    <w:basedOn w:val="1"/>
    <w:autoRedefine/>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50">
    <w:name w:val="xl142"/>
    <w:basedOn w:val="1"/>
    <w:autoRedefine/>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1">
    <w:name w:val="xl172"/>
    <w:basedOn w:val="1"/>
    <w:autoRedefine/>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2">
    <w:name w:val="xl1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3">
    <w:name w:val="xl173"/>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4">
    <w:name w:val="xl14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5">
    <w:name w:val="xl161"/>
    <w:basedOn w:val="1"/>
    <w:autoRedefine/>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53"/>
    <w:basedOn w:val="1"/>
    <w:autoRedefine/>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64"/>
    <w:basedOn w:val="1"/>
    <w:autoRedefine/>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8">
    <w:name w:val="xl156"/>
    <w:basedOn w:val="1"/>
    <w:autoRedefine/>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9">
    <w:name w:val="xl158"/>
    <w:basedOn w:val="1"/>
    <w:autoRedefine/>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60">
    <w:name w:val="xl166"/>
    <w:basedOn w:val="1"/>
    <w:autoRedefine/>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2">
    <w:name w:val="xl188"/>
    <w:basedOn w:val="1"/>
    <w:autoRedefine/>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3">
    <w:name w:val="xl180"/>
    <w:basedOn w:val="1"/>
    <w:autoRedefine/>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xl181"/>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5">
    <w:name w:val="Char2"/>
    <w:basedOn w:val="1"/>
    <w:autoRedefine/>
    <w:qFormat/>
    <w:uiPriority w:val="0"/>
    <w:pPr>
      <w:widowControl/>
      <w:spacing w:after="160" w:line="240" w:lineRule="exact"/>
      <w:jc w:val="left"/>
    </w:pPr>
  </w:style>
  <w:style w:type="paragraph" w:customStyle="1" w:styleId="266">
    <w:name w:val="正文1"/>
    <w:autoRedefine/>
    <w:qFormat/>
    <w:uiPriority w:val="0"/>
    <w:pPr>
      <w:jc w:val="both"/>
    </w:pPr>
    <w:rPr>
      <w:rFonts w:ascii="Calibri" w:hAnsi="Calibri" w:eastAsia="宋体" w:cs="Calibri"/>
      <w:kern w:val="2"/>
      <w:sz w:val="21"/>
      <w:szCs w:val="21"/>
      <w:lang w:val="en-US" w:eastAsia="zh-CN" w:bidi="ar-SA"/>
    </w:rPr>
  </w:style>
  <w:style w:type="paragraph" w:customStyle="1" w:styleId="267">
    <w:name w:val="Char3"/>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68">
    <w:name w:val="p0"/>
    <w:basedOn w:val="1"/>
    <w:autoRedefine/>
    <w:qFormat/>
    <w:uiPriority w:val="0"/>
    <w:pPr>
      <w:widowControl/>
      <w:jc w:val="left"/>
    </w:pPr>
    <w:rPr>
      <w:kern w:val="0"/>
      <w:szCs w:val="21"/>
    </w:rPr>
  </w:style>
  <w:style w:type="paragraph" w:customStyle="1" w:styleId="269">
    <w:name w:val="正文2"/>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70">
    <w:name w:val="Char4"/>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1">
    <w:name w:val="Char5"/>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2">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3">
    <w:name w:val="发布"/>
    <w:autoRedefine/>
    <w:qFormat/>
    <w:uiPriority w:val="0"/>
    <w:rPr>
      <w:rFonts w:ascii="黑体" w:eastAsia="黑体"/>
      <w:spacing w:val="22"/>
      <w:w w:val="100"/>
      <w:position w:val="3"/>
      <w:sz w:val="28"/>
    </w:rPr>
  </w:style>
  <w:style w:type="character" w:customStyle="1" w:styleId="274">
    <w:name w:val="个人答复风格"/>
    <w:qFormat/>
    <w:uiPriority w:val="0"/>
    <w:rPr>
      <w:rFonts w:ascii="Arial" w:hAnsi="Arial" w:eastAsia="宋体" w:cs="Arial"/>
      <w:color w:val="auto"/>
      <w:sz w:val="20"/>
    </w:rPr>
  </w:style>
  <w:style w:type="character" w:customStyle="1" w:styleId="275">
    <w:name w:val="段 Char"/>
    <w:link w:val="58"/>
    <w:autoRedefine/>
    <w:qFormat/>
    <w:uiPriority w:val="0"/>
    <w:rPr>
      <w:rFonts w:ascii="宋体" w:hAnsi="宋体" w:eastAsia="宋体"/>
      <w:sz w:val="21"/>
      <w:lang w:val="en-US" w:eastAsia="zh-CN" w:bidi="ar-SA"/>
    </w:rPr>
  </w:style>
  <w:style w:type="character" w:customStyle="1" w:styleId="276">
    <w:name w:val="个人撰写风格"/>
    <w:qFormat/>
    <w:uiPriority w:val="0"/>
    <w:rPr>
      <w:rFonts w:ascii="Arial" w:hAnsi="Arial" w:eastAsia="宋体" w:cs="Arial"/>
      <w:color w:val="auto"/>
      <w:sz w:val="20"/>
    </w:rPr>
  </w:style>
  <w:style w:type="character" w:customStyle="1" w:styleId="277">
    <w:name w:val="二级条标题 Char"/>
    <w:link w:val="59"/>
    <w:autoRedefine/>
    <w:qFormat/>
    <w:uiPriority w:val="0"/>
    <w:rPr>
      <w:rFonts w:ascii="黑体" w:hAnsi="黑体" w:eastAsia="黑体" w:cs="Times New Roman"/>
      <w:color w:val="000000" w:themeColor="text1"/>
      <w:spacing w:val="-6"/>
      <w:sz w:val="21"/>
      <w:szCs w:val="24"/>
      <w14:textFill>
        <w14:solidFill>
          <w14:schemeClr w14:val="tx1"/>
        </w14:solidFill>
      </w14:textFill>
    </w:rPr>
  </w:style>
  <w:style w:type="character" w:customStyle="1" w:styleId="278">
    <w:name w:val="章标题 Char"/>
    <w:link w:val="61"/>
    <w:autoRedefine/>
    <w:qFormat/>
    <w:uiPriority w:val="0"/>
    <w:rPr>
      <w:rFonts w:ascii="黑体" w:hAnsi="Times New Roman" w:eastAsia="黑体" w:cs="Times New Roman"/>
      <w:sz w:val="21"/>
    </w:rPr>
  </w:style>
  <w:style w:type="character" w:customStyle="1" w:styleId="279">
    <w:name w:val="一级条标题 Char"/>
    <w:link w:val="60"/>
    <w:autoRedefine/>
    <w:qFormat/>
    <w:uiPriority w:val="0"/>
    <w:rPr>
      <w:rFonts w:ascii="黑体" w:hAnsi="Times New Roman" w:eastAsia="黑体" w:cs="Times New Roman"/>
      <w:color w:val="FF0000"/>
      <w:spacing w:val="-4"/>
      <w:sz w:val="21"/>
      <w:szCs w:val="24"/>
    </w:rPr>
  </w:style>
  <w:style w:type="character" w:customStyle="1" w:styleId="280">
    <w:name w:val="纯文本 Char"/>
    <w:link w:val="24"/>
    <w:autoRedefine/>
    <w:qFormat/>
    <w:uiPriority w:val="99"/>
    <w:rPr>
      <w:rFonts w:ascii="宋体" w:hAnsi="Courier New" w:cs="Courier New"/>
      <w:kern w:val="2"/>
      <w:sz w:val="21"/>
      <w:szCs w:val="21"/>
    </w:rPr>
  </w:style>
  <w:style w:type="character" w:customStyle="1" w:styleId="281">
    <w:name w:val="三级条标题 Char"/>
    <w:link w:val="71"/>
    <w:autoRedefine/>
    <w:qFormat/>
    <w:uiPriority w:val="0"/>
    <w:rPr>
      <w:rFonts w:ascii="黑体" w:eastAsia="黑体"/>
      <w:color w:val="FF0000"/>
      <w:spacing w:val="-4"/>
      <w:sz w:val="21"/>
      <w:szCs w:val="24"/>
    </w:rPr>
  </w:style>
  <w:style w:type="character" w:customStyle="1" w:styleId="282">
    <w:name w:val="批注框文本 Char"/>
    <w:link w:val="29"/>
    <w:qFormat/>
    <w:uiPriority w:val="0"/>
    <w:rPr>
      <w:kern w:val="2"/>
      <w:sz w:val="18"/>
      <w:szCs w:val="18"/>
    </w:rPr>
  </w:style>
  <w:style w:type="character" w:customStyle="1" w:styleId="283">
    <w:name w:val="正文文本 Char"/>
    <w:link w:val="21"/>
    <w:autoRedefine/>
    <w:qFormat/>
    <w:uiPriority w:val="0"/>
    <w:rPr>
      <w:kern w:val="2"/>
      <w:sz w:val="21"/>
      <w:szCs w:val="24"/>
    </w:rPr>
  </w:style>
  <w:style w:type="character" w:customStyle="1" w:styleId="284">
    <w:name w:val="注： Char"/>
    <w:link w:val="91"/>
    <w:autoRedefine/>
    <w:qFormat/>
    <w:uiPriority w:val="0"/>
    <w:rPr>
      <w:rFonts w:ascii="宋体"/>
      <w:sz w:val="18"/>
    </w:rPr>
  </w:style>
  <w:style w:type="character" w:customStyle="1" w:styleId="285">
    <w:name w:val="页脚 Char"/>
    <w:link w:val="30"/>
    <w:autoRedefine/>
    <w:qFormat/>
    <w:uiPriority w:val="99"/>
    <w:rPr>
      <w:kern w:val="2"/>
      <w:sz w:val="18"/>
      <w:szCs w:val="18"/>
    </w:rPr>
  </w:style>
  <w:style w:type="character" w:customStyle="1" w:styleId="286">
    <w:name w:val="正文文本缩进 Char"/>
    <w:link w:val="22"/>
    <w:autoRedefine/>
    <w:qFormat/>
    <w:uiPriority w:val="0"/>
    <w:rPr>
      <w:kern w:val="2"/>
      <w:sz w:val="24"/>
    </w:rPr>
  </w:style>
  <w:style w:type="character" w:customStyle="1" w:styleId="287">
    <w:name w:val="表中文字"/>
    <w:autoRedefine/>
    <w:qFormat/>
    <w:uiPriority w:val="0"/>
    <w:rPr>
      <w:rFonts w:ascii="宋体" w:eastAsia="宋体"/>
      <w:sz w:val="18"/>
    </w:rPr>
  </w:style>
  <w:style w:type="character" w:customStyle="1" w:styleId="288">
    <w:name w:val="批注文字 Char"/>
    <w:link w:val="20"/>
    <w:autoRedefine/>
    <w:qFormat/>
    <w:uiPriority w:val="0"/>
    <w:rPr>
      <w:kern w:val="2"/>
      <w:sz w:val="21"/>
      <w:szCs w:val="24"/>
    </w:rPr>
  </w:style>
  <w:style w:type="character" w:customStyle="1" w:styleId="289">
    <w:name w:val="批注主题 Char"/>
    <w:link w:val="39"/>
    <w:autoRedefine/>
    <w:qFormat/>
    <w:uiPriority w:val="0"/>
    <w:rPr>
      <w:b/>
      <w:bCs/>
      <w:kern w:val="2"/>
      <w:sz w:val="21"/>
      <w:szCs w:val="24"/>
    </w:rPr>
  </w:style>
  <w:style w:type="character" w:customStyle="1" w:styleId="290">
    <w:name w:val="页眉 Char"/>
    <w:link w:val="31"/>
    <w:autoRedefine/>
    <w:qFormat/>
    <w:uiPriority w:val="99"/>
    <w:rPr>
      <w:kern w:val="2"/>
      <w:sz w:val="18"/>
      <w:szCs w:val="18"/>
    </w:rPr>
  </w:style>
  <w:style w:type="character" w:customStyle="1" w:styleId="291">
    <w:name w:val="正文文本缩进 2 Char"/>
    <w:link w:val="27"/>
    <w:autoRedefine/>
    <w:qFormat/>
    <w:uiPriority w:val="0"/>
    <w:rPr>
      <w:kern w:val="2"/>
      <w:sz w:val="21"/>
      <w:szCs w:val="24"/>
    </w:rPr>
  </w:style>
  <w:style w:type="character" w:customStyle="1" w:styleId="292">
    <w:name w:val="日期 Char"/>
    <w:link w:val="26"/>
    <w:autoRedefine/>
    <w:qFormat/>
    <w:uiPriority w:val="99"/>
    <w:rPr>
      <w:kern w:val="2"/>
      <w:sz w:val="24"/>
    </w:rPr>
  </w:style>
  <w:style w:type="character" w:customStyle="1" w:styleId="293">
    <w:name w:val="访问过的超链接1"/>
    <w:autoRedefine/>
    <w:qFormat/>
    <w:uiPriority w:val="99"/>
    <w:rPr>
      <w:color w:val="800080"/>
      <w:u w:val="single"/>
    </w:rPr>
  </w:style>
  <w:style w:type="character" w:customStyle="1" w:styleId="294">
    <w:name w:val="段 Char Char Char Char"/>
    <w:autoRedefine/>
    <w:qFormat/>
    <w:uiPriority w:val="0"/>
    <w:rPr>
      <w:rFonts w:ascii="宋体"/>
      <w:sz w:val="21"/>
      <w:lang w:val="en-US" w:eastAsia="zh-CN" w:bidi="ar-SA"/>
    </w:rPr>
  </w:style>
  <w:style w:type="character" w:customStyle="1" w:styleId="295">
    <w:name w:val="章标题 Char Char"/>
    <w:autoRedefine/>
    <w:qFormat/>
    <w:uiPriority w:val="0"/>
    <w:rPr>
      <w:rFonts w:ascii="黑体" w:eastAsia="黑体"/>
      <w:sz w:val="21"/>
      <w:lang w:val="en-US" w:eastAsia="zh-CN" w:bidi="ar-SA"/>
    </w:rPr>
  </w:style>
  <w:style w:type="character" w:customStyle="1" w:styleId="296">
    <w:name w:val="正文文本缩进 Char1"/>
    <w:autoRedefine/>
    <w:qFormat/>
    <w:uiPriority w:val="0"/>
    <w:rPr>
      <w:kern w:val="2"/>
      <w:sz w:val="21"/>
      <w:szCs w:val="24"/>
    </w:rPr>
  </w:style>
  <w:style w:type="character" w:customStyle="1" w:styleId="297">
    <w:name w:val="font21"/>
    <w:autoRedefine/>
    <w:qFormat/>
    <w:uiPriority w:val="0"/>
    <w:rPr>
      <w:rFonts w:hint="eastAsia" w:ascii="宋体" w:hAnsi="宋体" w:eastAsia="宋体" w:cs="宋体"/>
      <w:b/>
      <w:color w:val="FF0000"/>
      <w:sz w:val="21"/>
      <w:szCs w:val="21"/>
      <w:u w:val="none"/>
    </w:rPr>
  </w:style>
  <w:style w:type="character" w:customStyle="1" w:styleId="298">
    <w:name w:val="font41"/>
    <w:autoRedefine/>
    <w:qFormat/>
    <w:uiPriority w:val="0"/>
    <w:rPr>
      <w:rFonts w:hint="eastAsia" w:ascii="宋体" w:hAnsi="宋体" w:eastAsia="宋体" w:cs="宋体"/>
      <w:b/>
      <w:color w:val="FF0000"/>
      <w:sz w:val="21"/>
      <w:szCs w:val="21"/>
      <w:u w:val="none"/>
    </w:rPr>
  </w:style>
  <w:style w:type="character" w:customStyle="1" w:styleId="299">
    <w:name w:val="font01"/>
    <w:autoRedefine/>
    <w:qFormat/>
    <w:uiPriority w:val="0"/>
    <w:rPr>
      <w:rFonts w:hint="eastAsia" w:ascii="宋体" w:hAnsi="宋体" w:eastAsia="宋体"/>
      <w:color w:val="000000"/>
      <w:sz w:val="24"/>
      <w:szCs w:val="24"/>
      <w:u w:val="none"/>
    </w:rPr>
  </w:style>
  <w:style w:type="character" w:customStyle="1" w:styleId="300">
    <w:name w:val="附录标识 Char"/>
    <w:link w:val="65"/>
    <w:autoRedefine/>
    <w:qFormat/>
    <w:uiPriority w:val="0"/>
    <w:rPr>
      <w:sz w:val="21"/>
    </w:rPr>
  </w:style>
  <w:style w:type="character" w:customStyle="1" w:styleId="301">
    <w:name w:val="font31"/>
    <w:autoRedefine/>
    <w:qFormat/>
    <w:uiPriority w:val="0"/>
    <w:rPr>
      <w:rFonts w:hint="eastAsia" w:ascii="宋体" w:hAnsi="宋体" w:eastAsia="宋体" w:cs="宋体"/>
      <w:color w:val="000000"/>
      <w:sz w:val="22"/>
      <w:szCs w:val="22"/>
      <w:u w:val="none"/>
    </w:rPr>
  </w:style>
  <w:style w:type="paragraph" w:styleId="302">
    <w:name w:val="List Paragraph"/>
    <w:basedOn w:val="1"/>
    <w:autoRedefine/>
    <w:qFormat/>
    <w:uiPriority w:val="34"/>
    <w:pPr>
      <w:ind w:firstLine="420" w:firstLineChars="200"/>
    </w:pPr>
  </w:style>
  <w:style w:type="paragraph" w:customStyle="1" w:styleId="303">
    <w:name w:val="Table Paragraph"/>
    <w:basedOn w:val="1"/>
    <w:autoRedefine/>
    <w:qFormat/>
    <w:uiPriority w:val="1"/>
    <w:pPr>
      <w:autoSpaceDE w:val="0"/>
      <w:autoSpaceDN w:val="0"/>
      <w:jc w:val="left"/>
    </w:pPr>
    <w:rPr>
      <w:rFonts w:ascii="仿宋" w:hAnsi="仿宋" w:eastAsia="仿宋" w:cs="仿宋"/>
      <w:kern w:val="0"/>
      <w:sz w:val="22"/>
      <w:szCs w:val="22"/>
      <w:lang w:val="zh-CN" w:bidi="zh-CN"/>
    </w:rPr>
  </w:style>
  <w:style w:type="character" w:customStyle="1" w:styleId="304">
    <w:name w:val="fontstyle01"/>
    <w:basedOn w:val="43"/>
    <w:autoRedefine/>
    <w:qFormat/>
    <w:uiPriority w:val="0"/>
    <w:rPr>
      <w:rFonts w:hint="eastAsia" w:ascii="宋体" w:hAnsi="宋体" w:eastAsia="宋体"/>
      <w:color w:val="000000"/>
      <w:sz w:val="24"/>
      <w:szCs w:val="24"/>
    </w:rPr>
  </w:style>
  <w:style w:type="character" w:customStyle="1" w:styleId="305">
    <w:name w:val="标题 1 Char"/>
    <w:basedOn w:val="43"/>
    <w:link w:val="2"/>
    <w:autoRedefine/>
    <w:qFormat/>
    <w:uiPriority w:val="0"/>
    <w:rPr>
      <w:rFonts w:ascii="Times New Roman" w:hAnsi="Times New Roman" w:eastAsia="黑体" w:cs="Times New Roman"/>
      <w:b/>
      <w:bCs/>
      <w:kern w:val="44"/>
      <w:sz w:val="28"/>
      <w:szCs w:val="44"/>
    </w:rPr>
  </w:style>
  <w:style w:type="character" w:customStyle="1" w:styleId="306">
    <w:name w:val="标题 2 Char"/>
    <w:basedOn w:val="43"/>
    <w:link w:val="3"/>
    <w:qFormat/>
    <w:uiPriority w:val="0"/>
    <w:rPr>
      <w:rFonts w:ascii="Arial" w:hAnsi="Arial" w:eastAsia="黑体" w:cs="Times New Roman"/>
      <w:b/>
      <w:bCs/>
      <w:kern w:val="2"/>
      <w:sz w:val="24"/>
      <w:szCs w:val="32"/>
    </w:rPr>
  </w:style>
  <w:style w:type="character" w:customStyle="1" w:styleId="307">
    <w:name w:val="标题 3 Char"/>
    <w:basedOn w:val="43"/>
    <w:link w:val="4"/>
    <w:autoRedefine/>
    <w:qFormat/>
    <w:uiPriority w:val="0"/>
    <w:rPr>
      <w:rFonts w:ascii="Times New Roman" w:hAnsi="Times New Roman" w:eastAsia="黑体" w:cs="Times New Roman"/>
      <w:b/>
      <w:bCs/>
      <w:kern w:val="2"/>
      <w:sz w:val="21"/>
      <w:szCs w:val="32"/>
    </w:rPr>
  </w:style>
  <w:style w:type="character" w:customStyle="1" w:styleId="308">
    <w:name w:val="标题 Char"/>
    <w:link w:val="38"/>
    <w:autoRedefine/>
    <w:qFormat/>
    <w:uiPriority w:val="0"/>
    <w:rPr>
      <w:rFonts w:ascii="Arial" w:hAnsi="Arial" w:eastAsia="宋体" w:cs="Arial"/>
      <w:b/>
      <w:bCs/>
      <w:kern w:val="2"/>
      <w:sz w:val="32"/>
      <w:szCs w:val="32"/>
    </w:rPr>
  </w:style>
  <w:style w:type="character" w:customStyle="1" w:styleId="309">
    <w:name w:val="脚注文本 Char"/>
    <w:link w:val="32"/>
    <w:autoRedefine/>
    <w:qFormat/>
    <w:uiPriority w:val="0"/>
    <w:rPr>
      <w:rFonts w:ascii="Times New Roman" w:hAnsi="Times New Roman" w:eastAsia="宋体" w:cs="Times New Roman"/>
      <w:kern w:val="2"/>
      <w:sz w:val="18"/>
      <w:szCs w:val="18"/>
    </w:rPr>
  </w:style>
  <w:style w:type="character" w:customStyle="1" w:styleId="310">
    <w:name w:val="未处理的提及1"/>
    <w:autoRedefine/>
    <w:unhideWhenUsed/>
    <w:qFormat/>
    <w:uiPriority w:val="99"/>
    <w:rPr>
      <w:color w:val="605E5C"/>
      <w:shd w:val="clear" w:color="auto" w:fill="E1DFDD"/>
    </w:rPr>
  </w:style>
  <w:style w:type="character" w:customStyle="1" w:styleId="311">
    <w:name w:val="批注框文本 Char1"/>
    <w:basedOn w:val="43"/>
    <w:autoRedefine/>
    <w:semiHidden/>
    <w:qFormat/>
    <w:uiPriority w:val="99"/>
    <w:rPr>
      <w:rFonts w:ascii="Calibri" w:hAnsi="Calibri" w:eastAsia="宋体" w:cs="Times New Roman"/>
      <w:sz w:val="18"/>
      <w:szCs w:val="18"/>
    </w:rPr>
  </w:style>
  <w:style w:type="character" w:customStyle="1" w:styleId="312">
    <w:name w:val="脚注文本 Char1"/>
    <w:basedOn w:val="43"/>
    <w:autoRedefine/>
    <w:semiHidden/>
    <w:qFormat/>
    <w:uiPriority w:val="99"/>
    <w:rPr>
      <w:rFonts w:ascii="Calibri" w:hAnsi="Calibri" w:eastAsia="宋体" w:cs="Times New Roman"/>
      <w:sz w:val="18"/>
      <w:szCs w:val="18"/>
    </w:rPr>
  </w:style>
  <w:style w:type="character" w:customStyle="1" w:styleId="313">
    <w:name w:val="标题 Char1"/>
    <w:basedOn w:val="43"/>
    <w:autoRedefine/>
    <w:qFormat/>
    <w:uiPriority w:val="10"/>
    <w:rPr>
      <w:rFonts w:eastAsia="宋体" w:asciiTheme="majorHAnsi" w:hAnsiTheme="majorHAnsi" w:cstheme="majorBidi"/>
      <w:b/>
      <w:bCs/>
      <w:sz w:val="32"/>
      <w:szCs w:val="32"/>
    </w:rPr>
  </w:style>
  <w:style w:type="paragraph" w:customStyle="1" w:styleId="314">
    <w:name w:val="默认段落字体 Para Char Char Char Char Char Char Char Char Char Char"/>
    <w:basedOn w:val="1"/>
    <w:autoRedefine/>
    <w:qFormat/>
    <w:uiPriority w:val="0"/>
  </w:style>
  <w:style w:type="paragraph" w:customStyle="1" w:styleId="315">
    <w:name w:val="WPSOffice手动目录 1"/>
    <w:autoRedefine/>
    <w:qFormat/>
    <w:uiPriority w:val="0"/>
    <w:rPr>
      <w:rFonts w:ascii="Calibri" w:hAnsi="Calibri" w:eastAsia="宋体" w:cs="Times New Roman"/>
      <w:lang w:val="en-US" w:eastAsia="zh-CN" w:bidi="ar-SA"/>
    </w:rPr>
  </w:style>
  <w:style w:type="paragraph" w:customStyle="1" w:styleId="316">
    <w:name w:val="1"/>
    <w:basedOn w:val="1"/>
    <w:next w:val="22"/>
    <w:autoRedefine/>
    <w:uiPriority w:val="0"/>
    <w:pPr>
      <w:adjustRightInd w:val="0"/>
      <w:spacing w:line="360" w:lineRule="auto"/>
      <w:ind w:firstLine="480" w:firstLineChars="200"/>
      <w:textAlignment w:val="baseline"/>
      <w:outlineLvl w:val="0"/>
    </w:pPr>
    <w:rPr>
      <w:kern w:val="0"/>
      <w:sz w:val="24"/>
      <w:szCs w:val="20"/>
    </w:rPr>
  </w:style>
  <w:style w:type="paragraph" w:customStyle="1" w:styleId="317">
    <w:name w:val="Char Char"/>
    <w:basedOn w:val="1"/>
    <w:autoRedefine/>
    <w:qFormat/>
    <w:uiPriority w:val="0"/>
  </w:style>
  <w:style w:type="paragraph" w:customStyle="1" w:styleId="318">
    <w:name w:val="WPSOffice手动目录 2"/>
    <w:autoRedefine/>
    <w:uiPriority w:val="0"/>
    <w:pPr>
      <w:ind w:left="200" w:leftChars="200"/>
    </w:pPr>
    <w:rPr>
      <w:rFonts w:ascii="Calibri" w:hAnsi="Calibri" w:eastAsia="宋体" w:cs="Times New Roman"/>
      <w:lang w:val="en-US" w:eastAsia="zh-CN" w:bidi="ar-SA"/>
    </w:rPr>
  </w:style>
  <w:style w:type="table" w:customStyle="1" w:styleId="319">
    <w:name w:val="网格型1"/>
    <w:basedOn w:val="41"/>
    <w:autoRedefine/>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0">
    <w:name w:val="Placeholder Text"/>
    <w:basedOn w:val="43"/>
    <w:semiHidden/>
    <w:qFormat/>
    <w:uiPriority w:val="99"/>
    <w:rPr>
      <w:color w:val="808080"/>
    </w:rPr>
  </w:style>
  <w:style w:type="table" w:customStyle="1" w:styleId="321">
    <w:name w:val="Table Normal"/>
    <w:autoRedefine/>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322">
    <w:name w:val="标题 21"/>
    <w:basedOn w:val="1"/>
    <w:autoRedefine/>
    <w:qFormat/>
    <w:uiPriority w:val="1"/>
    <w:pPr>
      <w:autoSpaceDE w:val="0"/>
      <w:autoSpaceDN w:val="0"/>
      <w:ind w:left="216"/>
      <w:jc w:val="left"/>
      <w:outlineLvl w:val="2"/>
    </w:pPr>
    <w:rPr>
      <w:rFonts w:eastAsia="Times New Roman"/>
      <w:kern w:val="0"/>
      <w:sz w:val="28"/>
      <w:szCs w:val="28"/>
      <w:lang w:eastAsia="en-US" w:bidi="en-US"/>
    </w:rPr>
  </w:style>
  <w:style w:type="character" w:customStyle="1" w:styleId="323">
    <w:name w:val="正文文本 2 Char"/>
    <w:basedOn w:val="43"/>
    <w:link w:val="35"/>
    <w:autoRedefine/>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ED942C-513B-4A02-A68A-3FB09DE23DEE}">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7</Pages>
  <Words>692</Words>
  <Characters>3951</Characters>
  <Lines>32</Lines>
  <Paragraphs>9</Paragraphs>
  <TotalTime>574</TotalTime>
  <ScaleCrop>false</ScaleCrop>
  <LinksUpToDate>false</LinksUpToDate>
  <CharactersWithSpaces>4634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2022-01-09T10:10:00Z</dcterms:created>
  <dc:creator>标准李瑞山9585</dc:creator>
  <cp:lastModifiedBy>喆@瑶爸</cp:lastModifiedBy>
  <cp:lastPrinted>2016-10-20T04:13:00Z</cp:lastPrinted>
  <dcterms:modified xsi:type="dcterms:W3CDTF">2024-02-27T06:32:55Z</dcterms:modified>
  <dc:title>标准名称</dc:title>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1AF6B1942E934CBA9084FA9CF9CCD4B5</vt:lpwstr>
  </property>
</Properties>
</file>