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jc w:val="center"/>
        <w:rPr>
          <w:rFonts w:eastAsia="黑体"/>
          <w:sz w:val="24"/>
          <w:szCs w:val="24"/>
        </w:rPr>
      </w:pPr>
      <w:bookmarkStart w:id="0" w:name="_Toc464728891"/>
      <w:bookmarkStart w:id="1" w:name="SectionMark4"/>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r>
        <mc:AlternateContent>
          <mc:Choice Requires="wps">
            <w:drawing>
              <wp:anchor distT="0" distB="0" distL="114300" distR="114300" simplePos="0" relativeHeight="251659264" behindDoc="0" locked="1" layoutInCell="1" allowOverlap="1">
                <wp:simplePos x="0" y="0"/>
                <wp:positionH relativeFrom="margin">
                  <wp:posOffset>-118110</wp:posOffset>
                </wp:positionH>
                <wp:positionV relativeFrom="margin">
                  <wp:posOffset>1492885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Ansi="黑体" w:cs="黑体"/>
                                <w:sz w:val="44"/>
                                <w:szCs w:val="44"/>
                              </w:rPr>
                            </w:pPr>
                            <w:bookmarkStart w:id="77"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7"/>
                          <w:p>
                            <w:pPr>
                              <w:pStyle w:val="75"/>
                              <w:rPr>
                                <w:rFonts w:hAnsi="黑体" w:cs="黑体"/>
                                <w:szCs w:val="52"/>
                              </w:rPr>
                            </w:pPr>
                            <w:r>
                              <w:rPr>
                                <w:rFonts w:hint="eastAsia" w:hAnsi="黑体" w:cs="黑体"/>
                                <w:szCs w:val="52"/>
                              </w:rPr>
                              <w:t>光学显微镜畸变校准规范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9.3pt;margin-top:117.55pt;height:187.7pt;width:481.9pt;mso-position-horizontal-relative:margin;mso-position-vertical-relative:margin;z-index:251659264;mso-width-relative:page;mso-height-relative:page;" fillcolor="#FFFFFF" filled="t" stroked="f" coordsize="21600,21600" o:gfxdata="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y1R3NgAAAALAQAADwAAAAAAAAABACAAAAAiAAAAZHJz&#10;L2Rvd25yZXYueG1sUEsBAhQAFAAAAAgAh07iQGP+WyjLAQAAkgMAAA4AAAAAAAAAAQAgAAAAJwEA&#10;AGRycy9lMm9Eb2MueG1sUEsFBgAAAAAGAAYAWQEAAGQFAAAAAA==&#10;">
                <v:fill on="t" focussize="0,0"/>
                <v:stroke on="f"/>
                <v:imagedata o:title=""/>
                <o:lock v:ext="edit" aspectratio="f"/>
                <v:textbox inset="0mm,0mm,0mm,0mm">
                  <w:txbxContent>
                    <w:p>
                      <w:pPr>
                        <w:pStyle w:val="75"/>
                        <w:rPr>
                          <w:rFonts w:hAnsi="黑体" w:cs="黑体"/>
                          <w:sz w:val="44"/>
                          <w:szCs w:val="44"/>
                        </w:rPr>
                      </w:pPr>
                      <w:bookmarkStart w:id="77"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7"/>
                    <w:p>
                      <w:pPr>
                        <w:pStyle w:val="75"/>
                        <w:rPr>
                          <w:rFonts w:hAnsi="黑体" w:cs="黑体"/>
                          <w:szCs w:val="52"/>
                        </w:rPr>
                      </w:pPr>
                      <w:r>
                        <w:rPr>
                          <w:rFonts w:hint="eastAsia" w:hAnsi="黑体" w:cs="黑体"/>
                          <w:szCs w:val="52"/>
                        </w:rPr>
                        <w:t>光学显微镜畸变校准规范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r>
        <mc:AlternateContent>
          <mc:Choice Requires="wps">
            <w:drawing>
              <wp:anchor distT="0" distB="0" distL="114300" distR="114300" simplePos="0" relativeHeight="251660288" behindDoc="0" locked="1" layoutInCell="1" allowOverlap="1">
                <wp:simplePos x="0" y="0"/>
                <wp:positionH relativeFrom="margin">
                  <wp:posOffset>36830</wp:posOffset>
                </wp:positionH>
                <wp:positionV relativeFrom="margin">
                  <wp:posOffset>4874260</wp:posOffset>
                </wp:positionV>
                <wp:extent cx="5969000" cy="1779270"/>
                <wp:effectExtent l="0" t="0" r="0" b="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ascii="黑体" w:hAnsi="黑体" w:eastAsia="黑体"/>
                                <w:sz w:val="36"/>
                                <w:szCs w:val="36"/>
                              </w:rPr>
                            </w:pPr>
                            <w:r>
                              <w:rPr>
                                <w:rFonts w:hint="eastAsia" w:ascii="黑体" w:hAnsi="黑体" w:eastAsia="黑体"/>
                                <w:sz w:val="36"/>
                                <w:szCs w:val="36"/>
                                <w:lang w:val="en-US" w:eastAsia="zh-CN"/>
                              </w:rPr>
                              <w:t>送审</w:t>
                            </w:r>
                            <w:r>
                              <w:rPr>
                                <w:rFonts w:hint="eastAsia" w:ascii="黑体" w:hAnsi="黑体" w:eastAsia="黑体"/>
                                <w:sz w:val="36"/>
                                <w:szCs w:val="36"/>
                              </w:rPr>
                              <w:t>稿</w:t>
                            </w:r>
                          </w:p>
                          <w:p>
                            <w:pPr>
                              <w:pStyle w:val="67"/>
                              <w:spacing w:before="600"/>
                              <w:rPr>
                                <w:rFonts w:ascii="黑体" w:hAnsi="黑体" w:eastAsia="黑体"/>
                                <w:sz w:val="36"/>
                                <w:szCs w:val="36"/>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4-02</w:t>
                            </w:r>
                          </w:p>
                        </w:txbxContent>
                      </wps:txbx>
                      <wps:bodyPr lIns="0" tIns="0" rIns="0" bIns="0" upright="1"/>
                    </wps:wsp>
                  </a:graphicData>
                </a:graphic>
              </wp:anchor>
            </w:drawing>
          </mc:Choice>
          <mc:Fallback>
            <w:pict>
              <v:rect id="文本框 5" o:spid="_x0000_s1026" o:spt="1" style="position:absolute;left:0pt;margin-left:2.9pt;margin-top:383.8pt;height:140.1pt;width:470pt;mso-position-horizontal-relative:margin;mso-position-vertical-relative:margin;z-index:251660288;mso-width-relative:page;mso-height-relative:page;" fillcolor="#FFFFFF" filled="t" stroked="f" coordsize="21600,21600" o:gfxdata="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9+t2jWAAAACgEAAA8AAAAAAAAAAQAgAAAAIgAAAGRycy9k&#10;b3ducmV2LnhtbFBLAQIUABQAAAAIAIdO4kAxO8wgywEAAJIDAAAOAAAAAAAAAAEAIAAAACUBAABk&#10;cnMvZTJvRG9jLnhtbFBLBQYAAAAABgAGAFkBAABiBQAAAAA=&#10;">
                <v:fill on="t" focussize="0,0"/>
                <v:stroke on="f"/>
                <v:imagedata o:title=""/>
                <o:lock v:ext="edit" aspectratio="f"/>
                <v:textbox inset="0mm,0mm,0mm,0mm">
                  <w:txbxContent>
                    <w:p>
                      <w:pPr>
                        <w:pStyle w:val="67"/>
                        <w:spacing w:before="600"/>
                        <w:rPr>
                          <w:rFonts w:ascii="黑体" w:hAnsi="黑体" w:eastAsia="黑体"/>
                          <w:sz w:val="36"/>
                          <w:szCs w:val="36"/>
                        </w:rPr>
                      </w:pPr>
                      <w:r>
                        <w:rPr>
                          <w:rFonts w:hint="eastAsia" w:ascii="黑体" w:hAnsi="黑体" w:eastAsia="黑体"/>
                          <w:sz w:val="36"/>
                          <w:szCs w:val="36"/>
                          <w:lang w:val="en-US" w:eastAsia="zh-CN"/>
                        </w:rPr>
                        <w:t>送审</w:t>
                      </w:r>
                      <w:r>
                        <w:rPr>
                          <w:rFonts w:hint="eastAsia" w:ascii="黑体" w:hAnsi="黑体" w:eastAsia="黑体"/>
                          <w:sz w:val="36"/>
                          <w:szCs w:val="36"/>
                        </w:rPr>
                        <w:t>稿</w:t>
                      </w:r>
                    </w:p>
                    <w:p>
                      <w:pPr>
                        <w:pStyle w:val="67"/>
                        <w:spacing w:before="600"/>
                        <w:rPr>
                          <w:rFonts w:ascii="黑体" w:hAnsi="黑体" w:eastAsia="黑体"/>
                          <w:sz w:val="36"/>
                          <w:szCs w:val="36"/>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4-02</w:t>
                      </w:r>
                    </w:p>
                  </w:txbxContent>
                </v:textbox>
                <w10:anchorlock/>
              </v:rect>
            </w:pict>
          </mc:Fallback>
        </mc:AlternateContent>
      </w: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光学显微镜畸变校准规范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光学显微镜畸变校准规范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2"/>
        <w:spacing w:before="156" w:after="156"/>
      </w:pPr>
      <w:r>
        <w:rPr>
          <w:rFonts w:hint="eastAsia"/>
        </w:rPr>
        <w:t>一、工作简况</w:t>
      </w:r>
      <w:bookmarkEnd w:id="0"/>
      <w:bookmarkStart w:id="2" w:name="_Toc464728896"/>
    </w:p>
    <w:p>
      <w:pPr>
        <w:pStyle w:val="3"/>
        <w:spacing w:before="156" w:after="156"/>
      </w:pPr>
      <w:r>
        <w:rPr>
          <w:rFonts w:hint="eastAsia"/>
        </w:rPr>
        <w:t>1.立项目的</w:t>
      </w:r>
    </w:p>
    <w:p>
      <w:pPr>
        <w:spacing w:line="400" w:lineRule="exact"/>
        <w:ind w:firstLine="420" w:firstLineChars="200"/>
        <w:rPr>
          <w:szCs w:val="21"/>
        </w:rPr>
      </w:pPr>
      <w:r>
        <w:rPr>
          <w:rFonts w:hint="eastAsia"/>
          <w:szCs w:val="21"/>
        </w:rPr>
        <w:t>本规范基于提高显微镜的分辨能力、分析检测能力，研究、规范显微镜畸变的测量方法，旨在推动我国显微镜产品技术升级，确保显微镜的溯源性，确保通过显微镜可以获得观察样品中更多、更微小细节信息，满足行业检测需求。</w:t>
      </w:r>
    </w:p>
    <w:p>
      <w:pPr>
        <w:spacing w:line="400" w:lineRule="exact"/>
        <w:ind w:firstLine="420" w:firstLineChars="200"/>
        <w:rPr>
          <w:szCs w:val="21"/>
        </w:rPr>
      </w:pPr>
      <w:r>
        <w:rPr>
          <w:rFonts w:hint="eastAsia"/>
          <w:szCs w:val="21"/>
        </w:rPr>
        <w:t>“光学显微镜畸变校准标准化研究”已经在2021年9月30日获得“广东省科学技术情报研究所”的查新报告。查新范围：检索范围：1. 《中国学术期刊全文数据库》；2. 《中国学位论文全文数据库》；3. 《中国学术会议文献数据库》；4. 《中国专利全文数据库》；5. 《中国科技成果文献数据库》；6. 《中国标准题录数据库》。报告指出：未见到国内有与委托项目“光学显微镜畸变校准标准化研究”的科学技术要点及查新点内容相同的文献报道。</w:t>
      </w:r>
    </w:p>
    <w:p>
      <w:pPr>
        <w:spacing w:line="400" w:lineRule="exact"/>
        <w:ind w:firstLine="420" w:firstLineChars="200"/>
        <w:rPr>
          <w:szCs w:val="21"/>
        </w:rPr>
      </w:pPr>
      <w:r>
        <w:rPr>
          <w:rFonts w:hint="eastAsia"/>
          <w:szCs w:val="21"/>
        </w:rPr>
        <w:t>即国家、本行业或其他行业无有相关技术规范（查新报告）。</w:t>
      </w:r>
    </w:p>
    <w:p>
      <w:pPr>
        <w:pStyle w:val="3"/>
        <w:spacing w:before="156" w:after="156"/>
      </w:pPr>
      <w:r>
        <w:rPr>
          <w:rFonts w:hint="eastAsia"/>
        </w:rPr>
        <w:t>2.任务来源</w:t>
      </w:r>
      <w:bookmarkEnd w:id="2"/>
    </w:p>
    <w:p>
      <w:pPr>
        <w:pStyle w:val="35"/>
        <w:spacing w:after="0" w:line="400" w:lineRule="exact"/>
        <w:ind w:firstLine="420" w:firstLineChars="200"/>
        <w:rPr>
          <w:bCs/>
          <w:szCs w:val="21"/>
        </w:rPr>
      </w:pPr>
      <w:bookmarkStart w:id="3" w:name="_Toc464728898"/>
      <w:bookmarkStart w:id="4" w:name="_Toc462884342"/>
      <w:r>
        <w:rPr>
          <w:rFonts w:hint="eastAsia"/>
          <w:bCs/>
          <w:szCs w:val="21"/>
        </w:rPr>
        <w:t>根据工业和信息化部《关于印发2022年行业计量技术规范制修订计划的通知》（工厅科［2022］464号）文的要求，行业计量技术规范《光学显微镜畸变校准规范》由西安汉唐分析检测有限公司负责起草。该项目计划编号为</w:t>
      </w:r>
      <w:r>
        <w:rPr>
          <w:bCs/>
          <w:szCs w:val="21"/>
        </w:rPr>
        <w:t>JJF</w:t>
      </w:r>
      <w:r>
        <w:rPr>
          <w:rFonts w:hint="eastAsia"/>
          <w:bCs/>
          <w:szCs w:val="21"/>
        </w:rPr>
        <w:t>Z（有色金属）0</w:t>
      </w:r>
      <w:r>
        <w:rPr>
          <w:bCs/>
          <w:szCs w:val="21"/>
        </w:rPr>
        <w:t>09</w:t>
      </w:r>
      <w:r>
        <w:rPr>
          <w:rFonts w:hint="eastAsia"/>
          <w:bCs/>
          <w:szCs w:val="21"/>
        </w:rPr>
        <w:t>-2</w:t>
      </w:r>
      <w:r>
        <w:rPr>
          <w:bCs/>
          <w:szCs w:val="21"/>
        </w:rPr>
        <w:t>02</w:t>
      </w:r>
      <w:r>
        <w:rPr>
          <w:rFonts w:hint="eastAsia"/>
          <w:bCs/>
          <w:szCs w:val="21"/>
        </w:rPr>
        <w:t>2。按计划要求，本计量规范应于</w:t>
      </w:r>
      <w:r>
        <w:rPr>
          <w:bCs/>
          <w:szCs w:val="21"/>
        </w:rPr>
        <w:t>202</w:t>
      </w:r>
      <w:r>
        <w:rPr>
          <w:rFonts w:hint="eastAsia"/>
          <w:bCs/>
          <w:szCs w:val="21"/>
        </w:rPr>
        <w:t>4年完成。</w:t>
      </w:r>
    </w:p>
    <w:bookmarkEnd w:id="3"/>
    <w:bookmarkEnd w:id="4"/>
    <w:p>
      <w:pPr>
        <w:pStyle w:val="3"/>
        <w:spacing w:before="156" w:after="156"/>
      </w:pPr>
      <w:r>
        <w:rPr>
          <w:rFonts w:hint="eastAsia"/>
        </w:rPr>
        <w:t>3.项目编制组单位简况</w:t>
      </w:r>
    </w:p>
    <w:p>
      <w:pPr>
        <w:pStyle w:val="4"/>
        <w:spacing w:before="156" w:after="156"/>
      </w:pPr>
      <w:r>
        <w:rPr>
          <w:rFonts w:hint="eastAsia"/>
        </w:rPr>
        <w:t>3.1 编制组成员单位</w:t>
      </w:r>
    </w:p>
    <w:p>
      <w:pPr>
        <w:pStyle w:val="58"/>
        <w:ind w:firstLine="420"/>
        <w:rPr>
          <w:rFonts w:ascii="Times New Roman" w:hAnsi="Times New Roman"/>
          <w:kern w:val="2"/>
          <w:szCs w:val="21"/>
        </w:rPr>
      </w:pPr>
      <w:r>
        <w:rPr>
          <w:rFonts w:hint="eastAsia" w:ascii="Times New Roman" w:hAnsi="Times New Roman"/>
          <w:kern w:val="2"/>
          <w:szCs w:val="21"/>
        </w:rPr>
        <w:t>本规范的编制组单位为：西安汉唐分析检测有限公司。</w:t>
      </w:r>
    </w:p>
    <w:p>
      <w:pPr>
        <w:pStyle w:val="4"/>
        <w:spacing w:before="156" w:after="156"/>
      </w:pPr>
      <w:r>
        <w:rPr>
          <w:rFonts w:hint="eastAsia"/>
        </w:rPr>
        <w:t>3.2 主编单位简介</w:t>
      </w:r>
      <w:r>
        <w:t xml:space="preserve"> </w:t>
      </w:r>
    </w:p>
    <w:p>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pPr>
        <w:spacing w:line="360" w:lineRule="auto"/>
        <w:ind w:firstLine="420" w:firstLineChars="200"/>
        <w:contextualSpacing/>
        <w:jc w:val="left"/>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4"/>
        <w:spacing w:before="156" w:after="156"/>
      </w:pPr>
      <w:r>
        <w:rPr>
          <w:rFonts w:hint="eastAsia"/>
        </w:rPr>
        <w:t>3.3 成员单位简介</w:t>
      </w:r>
    </w:p>
    <w:p>
      <w:pPr>
        <w:spacing w:line="360" w:lineRule="auto"/>
        <w:contextualSpacing/>
        <w:jc w:val="left"/>
        <w:rPr>
          <w:rFonts w:eastAsia="黑体"/>
          <w:kern w:val="0"/>
          <w:szCs w:val="20"/>
        </w:rPr>
      </w:pPr>
    </w:p>
    <w:p>
      <w:pPr>
        <w:pStyle w:val="3"/>
        <w:spacing w:before="156" w:after="156"/>
      </w:pPr>
      <w:bookmarkStart w:id="5" w:name="_Toc464728913"/>
      <w:bookmarkStart w:id="6" w:name="_Toc462884357"/>
      <w:r>
        <w:rPr>
          <w:rFonts w:hint="eastAsia"/>
        </w:rPr>
        <w:t>4.主要工作过程</w:t>
      </w:r>
      <w:bookmarkEnd w:id="5"/>
      <w:bookmarkEnd w:id="6"/>
    </w:p>
    <w:p>
      <w:pPr>
        <w:spacing w:line="360" w:lineRule="auto"/>
        <w:ind w:firstLine="420" w:firstLineChars="200"/>
        <w:rPr>
          <w:bCs/>
        </w:rPr>
      </w:pPr>
      <w:r>
        <w:rPr>
          <w:rFonts w:hint="eastAsia"/>
          <w:bCs/>
        </w:rPr>
        <w:t>西安汉唐分析检测有限公司计量检测中心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360" w:lineRule="auto"/>
        <w:ind w:firstLine="420" w:firstLineChars="200"/>
        <w:rPr>
          <w:bCs/>
          <w:color w:val="auto"/>
        </w:rPr>
      </w:pPr>
      <w:r>
        <w:rPr>
          <w:bCs/>
          <w:color w:val="auto"/>
        </w:rPr>
        <w:t>1</w:t>
      </w:r>
      <w:r>
        <w:rPr>
          <w:rFonts w:hint="eastAsia"/>
          <w:bCs/>
          <w:color w:val="auto"/>
        </w:rPr>
        <w:t>）</w:t>
      </w:r>
      <w:r>
        <w:rPr>
          <w:bCs/>
          <w:color w:val="auto"/>
        </w:rPr>
        <w:t>20</w:t>
      </w:r>
      <w:r>
        <w:rPr>
          <w:rFonts w:hint="eastAsia"/>
          <w:bCs/>
          <w:color w:val="auto"/>
        </w:rPr>
        <w:t>22年</w:t>
      </w:r>
      <w:r>
        <w:rPr>
          <w:bCs/>
          <w:color w:val="auto"/>
        </w:rPr>
        <w:t>8</w:t>
      </w:r>
      <w:r>
        <w:rPr>
          <w:rFonts w:hint="eastAsia"/>
          <w:bCs/>
          <w:color w:val="auto"/>
        </w:rPr>
        <w:t>月成立了计量规范编制组，明确了编制组成员各自的工作内容和任务。</w:t>
      </w:r>
    </w:p>
    <w:p>
      <w:pPr>
        <w:spacing w:line="360" w:lineRule="auto"/>
        <w:ind w:firstLine="420" w:firstLineChars="200"/>
        <w:rPr>
          <w:bCs/>
          <w:color w:val="auto"/>
        </w:rPr>
      </w:pPr>
      <w:r>
        <w:rPr>
          <w:bCs/>
          <w:color w:val="auto"/>
        </w:rPr>
        <w:t>2</w:t>
      </w:r>
      <w:r>
        <w:rPr>
          <w:rFonts w:hint="eastAsia"/>
          <w:bCs/>
          <w:color w:val="auto"/>
        </w:rPr>
        <w:t>）</w:t>
      </w:r>
      <w:r>
        <w:rPr>
          <w:bCs/>
          <w:color w:val="auto"/>
        </w:rPr>
        <w:t>20</w:t>
      </w:r>
      <w:r>
        <w:rPr>
          <w:rFonts w:hint="eastAsia"/>
          <w:bCs/>
          <w:color w:val="auto"/>
        </w:rPr>
        <w:t>22年</w:t>
      </w:r>
      <w:r>
        <w:rPr>
          <w:bCs/>
          <w:color w:val="auto"/>
        </w:rPr>
        <w:t>9</w:t>
      </w:r>
      <w:r>
        <w:rPr>
          <w:rFonts w:hint="eastAsia"/>
          <w:bCs/>
          <w:color w:val="auto"/>
        </w:rPr>
        <w:t>月～2023年4月计量规范编制组成员对光学显微镜畸变校准规范中的计量特性及校准方法进行了讨论，确定了校准项目和方法，在</w:t>
      </w:r>
      <w:r>
        <w:rPr>
          <w:bCs/>
          <w:color w:val="auto"/>
        </w:rPr>
        <w:t>202</w:t>
      </w:r>
      <w:r>
        <w:rPr>
          <w:rFonts w:hint="eastAsia"/>
          <w:bCs/>
          <w:color w:val="auto"/>
        </w:rPr>
        <w:t>3年4月形成了计量规范讨论稿。</w:t>
      </w:r>
    </w:p>
    <w:p>
      <w:pPr>
        <w:spacing w:line="360" w:lineRule="auto"/>
        <w:ind w:firstLine="420" w:firstLineChars="200"/>
      </w:pPr>
      <w:r>
        <w:rPr>
          <w:rFonts w:hint="eastAsia"/>
          <w:bCs/>
          <w:color w:val="auto"/>
        </w:rPr>
        <w:t>3）2023年5月8日~10日，在陕西省西安市西安华山酒店召开有色金属计量技术规范研讨会，</w:t>
      </w:r>
      <w:r>
        <w:rPr>
          <w:rFonts w:hint="eastAsia"/>
          <w:color w:val="auto"/>
          <w:szCs w:val="21"/>
        </w:rPr>
        <w:t>会上对《</w:t>
      </w:r>
      <w:r>
        <w:rPr>
          <w:rFonts w:hint="eastAsia"/>
          <w:bCs/>
          <w:color w:val="auto"/>
        </w:rPr>
        <w:t>光学显微镜畸变校准规范</w:t>
      </w:r>
      <w:r>
        <w:rPr>
          <w:rFonts w:hint="eastAsia"/>
          <w:color w:val="auto"/>
          <w:szCs w:val="21"/>
        </w:rPr>
        <w:t>-讨论稿》等</w:t>
      </w:r>
      <w:r>
        <w:rPr>
          <w:rFonts w:hint="eastAsia"/>
          <w:szCs w:val="21"/>
        </w:rPr>
        <w:t>15项有色金属行业计量技术规范进行了讨论，会上有来自不同单位的计量委员会委员、专家、代表对《</w:t>
      </w:r>
      <w:r>
        <w:rPr>
          <w:rFonts w:hint="eastAsia"/>
          <w:bCs/>
        </w:rPr>
        <w:t>光学显微镜畸变校准规范</w:t>
      </w:r>
      <w:r>
        <w:rPr>
          <w:rFonts w:hint="eastAsia"/>
          <w:szCs w:val="21"/>
        </w:rPr>
        <w:t>-讨论稿》提出了修改建议和意见，</w:t>
      </w:r>
      <w:r>
        <w:rPr>
          <w:rFonts w:hint="eastAsia"/>
        </w:rPr>
        <w:t>会上确定了项目负责起草单位、起草单位及一验、二验单位，明确了各项工作时间进度要求。修改形成征求意见稿。</w:t>
      </w:r>
    </w:p>
    <w:p>
      <w:pPr>
        <w:spacing w:line="360" w:lineRule="auto"/>
        <w:ind w:firstLine="210" w:firstLineChars="100"/>
        <w:jc w:val="center"/>
      </w:pPr>
      <w:r>
        <w:rPr>
          <w:rFonts w:hint="eastAsia"/>
        </w:rPr>
        <w:t>表1 有色金属计量技术规范研讨会会议纪要</w:t>
      </w:r>
    </w:p>
    <w:tbl>
      <w:tblPr>
        <w:tblStyle w:val="41"/>
        <w:tblW w:w="4765" w:type="pct"/>
        <w:jc w:val="center"/>
        <w:tblLayout w:type="fixed"/>
        <w:tblCellMar>
          <w:top w:w="0" w:type="dxa"/>
          <w:left w:w="108" w:type="dxa"/>
          <w:bottom w:w="0" w:type="dxa"/>
          <w:right w:w="108" w:type="dxa"/>
        </w:tblCellMar>
      </w:tblPr>
      <w:tblGrid>
        <w:gridCol w:w="839"/>
        <w:gridCol w:w="1025"/>
        <w:gridCol w:w="3264"/>
        <w:gridCol w:w="2573"/>
        <w:gridCol w:w="1420"/>
      </w:tblGrid>
      <w:tr>
        <w:tblPrEx>
          <w:tblCellMar>
            <w:top w:w="0" w:type="dxa"/>
            <w:left w:w="108" w:type="dxa"/>
            <w:bottom w:w="0" w:type="dxa"/>
            <w:right w:w="108" w:type="dxa"/>
          </w:tblCellMar>
        </w:tblPrEx>
        <w:trPr>
          <w:trHeight w:val="567" w:hRule="atLeast"/>
          <w:jc w:val="center"/>
        </w:trPr>
        <w:tc>
          <w:tcPr>
            <w:tcW w:w="18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bCs/>
              </w:rPr>
            </w:pPr>
            <w:r>
              <w:rPr>
                <w:rFonts w:hint="eastAsia"/>
                <w:bCs/>
              </w:rPr>
              <w:t>参会单位及人员</w:t>
            </w:r>
          </w:p>
        </w:tc>
        <w:tc>
          <w:tcPr>
            <w:tcW w:w="7257" w:type="dxa"/>
            <w:gridSpan w:val="3"/>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rPr>
                <w:bCs/>
              </w:rPr>
            </w:pPr>
            <w:r>
              <w:rPr>
                <w:rFonts w:hint="eastAsia"/>
                <w:bCs/>
              </w:rPr>
              <w:t>见会议签到表</w:t>
            </w:r>
          </w:p>
        </w:tc>
      </w:tr>
      <w:tr>
        <w:tblPrEx>
          <w:tblCellMar>
            <w:top w:w="0" w:type="dxa"/>
            <w:left w:w="108" w:type="dxa"/>
            <w:bottom w:w="0" w:type="dxa"/>
            <w:right w:w="108" w:type="dxa"/>
          </w:tblCellMar>
        </w:tblPrEx>
        <w:trPr>
          <w:trHeight w:val="567" w:hRule="atLeast"/>
          <w:jc w:val="center"/>
        </w:trPr>
        <w:tc>
          <w:tcPr>
            <w:tcW w:w="18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bCs/>
              </w:rPr>
            </w:pPr>
            <w:r>
              <w:rPr>
                <w:rFonts w:hint="eastAsia"/>
                <w:bCs/>
              </w:rPr>
              <w:t>拟参与编制单位、一验二验单位</w:t>
            </w:r>
          </w:p>
        </w:tc>
        <w:tc>
          <w:tcPr>
            <w:tcW w:w="7257"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ind w:firstLine="420" w:firstLineChars="200"/>
              <w:jc w:val="left"/>
              <w:rPr>
                <w:rFonts w:cs="宋体"/>
                <w:color w:val="000000"/>
                <w:kern w:val="0"/>
                <w:szCs w:val="21"/>
              </w:rPr>
            </w:pPr>
            <w:r>
              <w:rPr>
                <w:rFonts w:cs="宋体"/>
                <w:color w:val="000000"/>
                <w:kern w:val="0"/>
                <w:szCs w:val="21"/>
              </w:rPr>
              <w:t>拟参</w:t>
            </w:r>
            <w:r>
              <w:rPr>
                <w:rFonts w:hint="eastAsia" w:cs="宋体"/>
                <w:color w:val="000000"/>
                <w:kern w:val="0"/>
                <w:szCs w:val="21"/>
              </w:rPr>
              <w:t>：</w:t>
            </w:r>
            <w:r>
              <w:rPr>
                <w:rFonts w:cs="宋体"/>
                <w:color w:val="000000"/>
                <w:kern w:val="0"/>
                <w:szCs w:val="21"/>
              </w:rPr>
              <w:t>富平县检验检测中心</w:t>
            </w:r>
            <w:r>
              <w:rPr>
                <w:rFonts w:hint="eastAsia" w:cs="宋体"/>
                <w:color w:val="000000"/>
                <w:kern w:val="0"/>
                <w:szCs w:val="21"/>
              </w:rPr>
              <w:t>、</w:t>
            </w:r>
            <w:r>
              <w:rPr>
                <w:rFonts w:cs="宋体"/>
                <w:color w:val="000000"/>
                <w:kern w:val="0"/>
                <w:szCs w:val="21"/>
              </w:rPr>
              <w:t>昆明理工大学</w:t>
            </w:r>
            <w:r>
              <w:rPr>
                <w:rFonts w:hint="eastAsia" w:cs="宋体"/>
                <w:color w:val="000000"/>
                <w:kern w:val="0"/>
                <w:szCs w:val="21"/>
              </w:rPr>
              <w:t>、</w:t>
            </w:r>
            <w:r>
              <w:rPr>
                <w:rFonts w:cs="宋体"/>
                <w:color w:val="000000"/>
                <w:kern w:val="0"/>
                <w:szCs w:val="21"/>
              </w:rPr>
              <w:t>青海大学</w:t>
            </w:r>
            <w:r>
              <w:rPr>
                <w:rFonts w:hint="eastAsia" w:cs="宋体"/>
                <w:color w:val="000000"/>
                <w:kern w:val="0"/>
                <w:szCs w:val="21"/>
              </w:rPr>
              <w:t>、</w:t>
            </w:r>
            <w:r>
              <w:rPr>
                <w:rFonts w:cs="宋体"/>
                <w:color w:val="000000"/>
                <w:kern w:val="0"/>
                <w:szCs w:val="21"/>
              </w:rPr>
              <w:t>广东省阳江市质量计量监督检测所</w:t>
            </w:r>
            <w:r>
              <w:rPr>
                <w:rFonts w:hint="eastAsia" w:cs="宋体"/>
                <w:color w:val="000000"/>
                <w:kern w:val="0"/>
                <w:szCs w:val="21"/>
              </w:rPr>
              <w:t>、</w:t>
            </w:r>
            <w:r>
              <w:rPr>
                <w:rFonts w:cs="宋体"/>
                <w:color w:val="000000"/>
                <w:kern w:val="0"/>
                <w:szCs w:val="21"/>
              </w:rPr>
              <w:t>延长油田股份有限公司</w:t>
            </w:r>
            <w:r>
              <w:rPr>
                <w:rFonts w:hint="eastAsia" w:cs="宋体"/>
                <w:color w:val="000000"/>
                <w:kern w:val="0"/>
                <w:szCs w:val="21"/>
              </w:rPr>
              <w:t>、</w:t>
            </w:r>
            <w:r>
              <w:rPr>
                <w:rFonts w:cs="宋体"/>
                <w:color w:val="000000"/>
                <w:kern w:val="0"/>
                <w:szCs w:val="21"/>
              </w:rPr>
              <w:t>新疆湘润新材料科技有限公司</w:t>
            </w:r>
            <w:r>
              <w:rPr>
                <w:rFonts w:hint="eastAsia" w:cs="宋体"/>
                <w:color w:val="000000"/>
                <w:kern w:val="0"/>
                <w:szCs w:val="21"/>
              </w:rPr>
              <w:t>、中国石油集团工程材料研究院有限公司等</w:t>
            </w:r>
          </w:p>
          <w:p>
            <w:pPr>
              <w:widowControl/>
              <w:spacing w:line="360" w:lineRule="auto"/>
              <w:ind w:firstLine="420" w:firstLineChars="200"/>
              <w:jc w:val="left"/>
              <w:rPr>
                <w:rFonts w:cs="宋体"/>
                <w:color w:val="000000"/>
                <w:kern w:val="0"/>
                <w:szCs w:val="21"/>
              </w:rPr>
            </w:pPr>
            <w:r>
              <w:rPr>
                <w:rFonts w:hint="eastAsia" w:cs="宋体"/>
                <w:color w:val="000000"/>
                <w:kern w:val="0"/>
                <w:szCs w:val="21"/>
              </w:rPr>
              <w:t>一验：新疆湘润新材料科技有限公司</w:t>
            </w:r>
          </w:p>
          <w:p>
            <w:pPr>
              <w:spacing w:line="360" w:lineRule="auto"/>
              <w:ind w:firstLine="420" w:firstLineChars="200"/>
              <w:rPr>
                <w:bCs/>
              </w:rPr>
            </w:pPr>
            <w:r>
              <w:rPr>
                <w:rFonts w:hint="eastAsia" w:cs="宋体"/>
                <w:color w:val="000000"/>
                <w:kern w:val="0"/>
                <w:szCs w:val="21"/>
              </w:rPr>
              <w:t>二验：山东南山铝业股份有限公司、西南铝业（集团）有限责任公司</w:t>
            </w:r>
          </w:p>
        </w:tc>
      </w:tr>
      <w:tr>
        <w:tblPrEx>
          <w:tblCellMar>
            <w:top w:w="0" w:type="dxa"/>
            <w:left w:w="108" w:type="dxa"/>
            <w:bottom w:w="0" w:type="dxa"/>
            <w:right w:w="108" w:type="dxa"/>
          </w:tblCellMar>
        </w:tblPrEx>
        <w:trPr>
          <w:trHeight w:val="567" w:hRule="atLeast"/>
          <w:jc w:val="center"/>
        </w:trPr>
        <w:tc>
          <w:tcPr>
            <w:tcW w:w="18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bCs/>
              </w:rPr>
            </w:pPr>
            <w:r>
              <w:rPr>
                <w:rFonts w:hint="eastAsia"/>
                <w:bCs/>
              </w:rPr>
              <w:t>时间节点安排</w:t>
            </w:r>
          </w:p>
        </w:tc>
        <w:tc>
          <w:tcPr>
            <w:tcW w:w="7257" w:type="dxa"/>
            <w:gridSpan w:val="3"/>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rPr>
                <w:bCs/>
              </w:rPr>
            </w:pPr>
            <w:r>
              <w:rPr>
                <w:rFonts w:hint="eastAsia"/>
                <w:bCs/>
              </w:rPr>
              <w:t>2024年完成规范报批</w:t>
            </w:r>
          </w:p>
        </w:tc>
      </w:tr>
      <w:tr>
        <w:tblPrEx>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bCs/>
              </w:rPr>
            </w:pPr>
            <w:r>
              <w:rPr>
                <w:rFonts w:hint="eastAsia"/>
                <w:bCs/>
              </w:rPr>
              <w:t>序号</w:t>
            </w:r>
          </w:p>
        </w:tc>
        <w:tc>
          <w:tcPr>
            <w:tcW w:w="102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bCs/>
              </w:rPr>
            </w:pPr>
            <w:r>
              <w:rPr>
                <w:rFonts w:hint="eastAsia"/>
                <w:bCs/>
              </w:rPr>
              <w:t>标准章条编号</w:t>
            </w:r>
          </w:p>
        </w:tc>
        <w:tc>
          <w:tcPr>
            <w:tcW w:w="3264"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rPr>
                <w:bCs/>
              </w:rPr>
            </w:pPr>
            <w:r>
              <w:rPr>
                <w:rFonts w:hint="eastAsia"/>
                <w:bCs/>
              </w:rPr>
              <w:t>意见内容</w:t>
            </w:r>
          </w:p>
        </w:tc>
        <w:tc>
          <w:tcPr>
            <w:tcW w:w="2573"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bCs/>
              </w:rPr>
            </w:pPr>
            <w:r>
              <w:rPr>
                <w:rFonts w:hint="eastAsia"/>
                <w:bCs/>
              </w:rPr>
              <w:t>提出单位及提出人（可简写）</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bCs/>
              </w:rPr>
            </w:pPr>
            <w:r>
              <w:rPr>
                <w:rFonts w:hint="eastAsia"/>
                <w:bCs/>
              </w:rPr>
              <w:t>处理意见</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1"/>
              </w:numPr>
              <w:ind w:firstLineChars="0"/>
              <w:rPr>
                <w:bCs/>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1.和3.</w:t>
            </w:r>
          </w:p>
        </w:tc>
        <w:tc>
          <w:tcPr>
            <w:tcW w:w="3264" w:type="dxa"/>
            <w:tcBorders>
              <w:top w:val="nil"/>
              <w:left w:val="nil"/>
              <w:bottom w:val="single" w:color="auto" w:sz="4" w:space="0"/>
              <w:right w:val="single" w:color="auto" w:sz="4" w:space="0"/>
            </w:tcBorders>
            <w:shd w:val="clear" w:color="auto" w:fill="auto"/>
            <w:noWrap/>
            <w:vAlign w:val="center"/>
          </w:tcPr>
          <w:p>
            <w:pPr>
              <w:widowControl/>
              <w:rPr>
                <w:color w:val="000000"/>
                <w:kern w:val="0"/>
                <w:szCs w:val="21"/>
              </w:rPr>
            </w:pPr>
            <w:r>
              <w:rPr>
                <w:color w:val="000000"/>
                <w:kern w:val="0"/>
                <w:szCs w:val="21"/>
              </w:rPr>
              <w:t>（1.范围）和（3.概述）中对2000×的描述不统一</w:t>
            </w:r>
          </w:p>
        </w:tc>
        <w:tc>
          <w:tcPr>
            <w:tcW w:w="2573" w:type="dxa"/>
            <w:tcBorders>
              <w:top w:val="nil"/>
              <w:left w:val="nil"/>
              <w:bottom w:val="single" w:color="auto" w:sz="4" w:space="0"/>
              <w:right w:val="single" w:color="auto" w:sz="4" w:space="0"/>
            </w:tcBorders>
            <w:shd w:val="clear" w:color="auto" w:fill="auto"/>
            <w:noWrap/>
            <w:vAlign w:val="center"/>
          </w:tcPr>
          <w:p>
            <w:pPr>
              <w:widowControl/>
              <w:rPr>
                <w:color w:val="000000"/>
                <w:kern w:val="0"/>
                <w:szCs w:val="21"/>
              </w:rPr>
            </w:pPr>
            <w:r>
              <w:rPr>
                <w:color w:val="000000"/>
                <w:kern w:val="0"/>
                <w:szCs w:val="21"/>
              </w:rPr>
              <w:t>国标（北京检验认证有限公司），樊志罡</w:t>
            </w:r>
          </w:p>
        </w:tc>
        <w:tc>
          <w:tcPr>
            <w:tcW w:w="1420" w:type="dxa"/>
            <w:tcBorders>
              <w:top w:val="nil"/>
              <w:left w:val="nil"/>
              <w:bottom w:val="single" w:color="auto" w:sz="4" w:space="0"/>
              <w:right w:val="single" w:color="auto" w:sz="4" w:space="0"/>
            </w:tcBorders>
            <w:shd w:val="clear" w:color="auto" w:fill="auto"/>
            <w:noWrap/>
            <w:vAlign w:val="center"/>
          </w:tcPr>
          <w:p>
            <w:pPr>
              <w:widowControl/>
              <w:rPr>
                <w:color w:val="000000"/>
                <w:kern w:val="0"/>
                <w:szCs w:val="21"/>
              </w:rPr>
            </w:pPr>
            <w:r>
              <w:rPr>
                <w:color w:val="000000"/>
                <w:kern w:val="0"/>
                <w:szCs w:val="21"/>
              </w:rPr>
              <w:t>将两处统一为“不超过2000×”。</w:t>
            </w:r>
          </w:p>
        </w:tc>
      </w:tr>
      <w:tr>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1"/>
              </w:numPr>
              <w:ind w:firstLineChars="0"/>
              <w:jc w:val="center"/>
              <w:rPr>
                <w:bCs/>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w:t>
            </w:r>
          </w:p>
        </w:tc>
        <w:tc>
          <w:tcPr>
            <w:tcW w:w="3264" w:type="dxa"/>
            <w:tcBorders>
              <w:top w:val="nil"/>
              <w:left w:val="nil"/>
              <w:bottom w:val="single" w:color="auto" w:sz="4" w:space="0"/>
              <w:right w:val="single" w:color="auto" w:sz="4" w:space="0"/>
            </w:tcBorders>
            <w:shd w:val="clear" w:color="auto" w:fill="auto"/>
            <w:noWrap/>
            <w:vAlign w:val="center"/>
          </w:tcPr>
          <w:p>
            <w:pPr>
              <w:widowControl/>
              <w:rPr>
                <w:color w:val="000000"/>
                <w:kern w:val="0"/>
                <w:szCs w:val="21"/>
              </w:rPr>
            </w:pPr>
            <w:r>
              <w:rPr>
                <w:color w:val="000000"/>
                <w:kern w:val="0"/>
                <w:szCs w:val="21"/>
              </w:rPr>
              <w:t>术语描述不准确</w:t>
            </w:r>
          </w:p>
        </w:tc>
        <w:tc>
          <w:tcPr>
            <w:tcW w:w="2573" w:type="dxa"/>
            <w:tcBorders>
              <w:top w:val="nil"/>
              <w:left w:val="nil"/>
              <w:bottom w:val="single" w:color="auto" w:sz="4" w:space="0"/>
              <w:right w:val="single" w:color="auto" w:sz="4" w:space="0"/>
            </w:tcBorders>
            <w:shd w:val="clear" w:color="auto" w:fill="auto"/>
            <w:noWrap/>
            <w:vAlign w:val="center"/>
          </w:tcPr>
          <w:p>
            <w:pPr>
              <w:widowControl/>
              <w:rPr>
                <w:color w:val="000000"/>
                <w:kern w:val="0"/>
                <w:szCs w:val="21"/>
              </w:rPr>
            </w:pPr>
            <w:r>
              <w:rPr>
                <w:color w:val="000000"/>
                <w:kern w:val="0"/>
                <w:szCs w:val="21"/>
              </w:rPr>
              <w:t>东北轻合金有限责任公司，马金萍</w:t>
            </w:r>
          </w:p>
        </w:tc>
        <w:tc>
          <w:tcPr>
            <w:tcW w:w="1420" w:type="dxa"/>
            <w:tcBorders>
              <w:top w:val="nil"/>
              <w:left w:val="nil"/>
              <w:bottom w:val="single" w:color="auto" w:sz="4" w:space="0"/>
              <w:right w:val="single" w:color="auto" w:sz="4" w:space="0"/>
            </w:tcBorders>
            <w:shd w:val="clear" w:color="auto" w:fill="auto"/>
            <w:noWrap/>
            <w:vAlign w:val="center"/>
          </w:tcPr>
          <w:p>
            <w:pPr>
              <w:widowControl/>
              <w:rPr>
                <w:color w:val="000000"/>
                <w:kern w:val="0"/>
                <w:szCs w:val="21"/>
              </w:rPr>
            </w:pPr>
            <w:r>
              <w:rPr>
                <w:color w:val="000000"/>
                <w:kern w:val="0"/>
                <w:szCs w:val="21"/>
              </w:rPr>
              <w:t>查找规范、资料等对准确的表述术语。</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1"/>
              </w:numPr>
              <w:ind w:firstLineChars="0"/>
              <w:jc w:val="center"/>
              <w:rPr>
                <w:bCs/>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w:t>
            </w:r>
          </w:p>
        </w:tc>
        <w:tc>
          <w:tcPr>
            <w:tcW w:w="3264" w:type="dxa"/>
            <w:tcBorders>
              <w:top w:val="nil"/>
              <w:left w:val="nil"/>
              <w:bottom w:val="single" w:color="auto" w:sz="4" w:space="0"/>
              <w:right w:val="single" w:color="auto" w:sz="4" w:space="0"/>
            </w:tcBorders>
            <w:shd w:val="clear" w:color="auto" w:fill="auto"/>
            <w:noWrap/>
            <w:vAlign w:val="center"/>
          </w:tcPr>
          <w:p>
            <w:pPr>
              <w:widowControl/>
              <w:rPr>
                <w:color w:val="000000"/>
                <w:kern w:val="0"/>
                <w:szCs w:val="21"/>
              </w:rPr>
            </w:pPr>
            <w:r>
              <w:rPr>
                <w:color w:val="000000"/>
                <w:kern w:val="0"/>
                <w:szCs w:val="21"/>
              </w:rPr>
              <w:t>标题表述</w:t>
            </w:r>
          </w:p>
        </w:tc>
        <w:tc>
          <w:tcPr>
            <w:tcW w:w="2573" w:type="dxa"/>
            <w:tcBorders>
              <w:top w:val="nil"/>
              <w:left w:val="nil"/>
              <w:bottom w:val="single" w:color="auto" w:sz="4" w:space="0"/>
              <w:right w:val="single" w:color="auto" w:sz="4" w:space="0"/>
            </w:tcBorders>
            <w:shd w:val="clear" w:color="auto" w:fill="auto"/>
            <w:noWrap/>
            <w:vAlign w:val="center"/>
          </w:tcPr>
          <w:p>
            <w:pPr>
              <w:widowControl/>
              <w:rPr>
                <w:color w:val="000000"/>
                <w:kern w:val="0"/>
                <w:szCs w:val="21"/>
              </w:rPr>
            </w:pPr>
            <w:r>
              <w:rPr>
                <w:color w:val="000000"/>
                <w:kern w:val="0"/>
                <w:szCs w:val="21"/>
              </w:rPr>
              <w:t>东北轻合金有限责任公司，马金萍</w:t>
            </w:r>
          </w:p>
        </w:tc>
        <w:tc>
          <w:tcPr>
            <w:tcW w:w="1420" w:type="dxa"/>
            <w:tcBorders>
              <w:top w:val="nil"/>
              <w:left w:val="nil"/>
              <w:bottom w:val="single" w:color="auto" w:sz="4" w:space="0"/>
              <w:right w:val="single" w:color="auto" w:sz="4" w:space="0"/>
            </w:tcBorders>
            <w:shd w:val="clear" w:color="auto" w:fill="auto"/>
            <w:noWrap/>
            <w:vAlign w:val="center"/>
          </w:tcPr>
          <w:p>
            <w:pPr>
              <w:widowControl/>
              <w:rPr>
                <w:color w:val="000000"/>
                <w:kern w:val="0"/>
                <w:szCs w:val="21"/>
              </w:rPr>
            </w:pPr>
            <w:r>
              <w:rPr>
                <w:color w:val="000000"/>
                <w:kern w:val="0"/>
                <w:szCs w:val="21"/>
              </w:rPr>
              <w:t>重新定义标题。</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1"/>
              </w:numPr>
              <w:ind w:firstLineChars="0"/>
              <w:jc w:val="center"/>
              <w:rPr>
                <w:bCs/>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w:t>
            </w:r>
          </w:p>
        </w:tc>
        <w:tc>
          <w:tcPr>
            <w:tcW w:w="3264" w:type="dxa"/>
            <w:tcBorders>
              <w:top w:val="nil"/>
              <w:left w:val="nil"/>
              <w:bottom w:val="single" w:color="auto" w:sz="4" w:space="0"/>
              <w:right w:val="single" w:color="auto" w:sz="4" w:space="0"/>
            </w:tcBorders>
            <w:shd w:val="clear" w:color="auto" w:fill="auto"/>
            <w:noWrap/>
            <w:vAlign w:val="center"/>
          </w:tcPr>
          <w:p>
            <w:pPr>
              <w:widowControl/>
              <w:rPr>
                <w:color w:val="000000"/>
                <w:kern w:val="0"/>
                <w:szCs w:val="21"/>
              </w:rPr>
            </w:pPr>
            <w:r>
              <w:rPr>
                <w:color w:val="000000"/>
                <w:kern w:val="0"/>
                <w:szCs w:val="21"/>
              </w:rPr>
              <w:t>对显微镜畸变的校准方法添加详细的图述，A、B型线纹尺使用条件的区分</w:t>
            </w:r>
          </w:p>
        </w:tc>
        <w:tc>
          <w:tcPr>
            <w:tcW w:w="2573" w:type="dxa"/>
            <w:tcBorders>
              <w:top w:val="nil"/>
              <w:left w:val="nil"/>
              <w:bottom w:val="single" w:color="auto" w:sz="4" w:space="0"/>
              <w:right w:val="single" w:color="auto" w:sz="4" w:space="0"/>
            </w:tcBorders>
            <w:shd w:val="clear" w:color="auto" w:fill="auto"/>
            <w:noWrap/>
            <w:vAlign w:val="center"/>
          </w:tcPr>
          <w:p>
            <w:pPr>
              <w:widowControl/>
              <w:rPr>
                <w:color w:val="000000"/>
                <w:kern w:val="0"/>
                <w:szCs w:val="21"/>
              </w:rPr>
            </w:pPr>
            <w:r>
              <w:rPr>
                <w:color w:val="000000"/>
                <w:kern w:val="0"/>
                <w:szCs w:val="21"/>
              </w:rPr>
              <w:t>东北轻合金有限责任公司，马金萍</w:t>
            </w:r>
          </w:p>
        </w:tc>
        <w:tc>
          <w:tcPr>
            <w:tcW w:w="1420" w:type="dxa"/>
            <w:tcBorders>
              <w:top w:val="nil"/>
              <w:left w:val="nil"/>
              <w:bottom w:val="single" w:color="auto" w:sz="4" w:space="0"/>
              <w:right w:val="single" w:color="auto" w:sz="4" w:space="0"/>
            </w:tcBorders>
            <w:shd w:val="clear" w:color="auto" w:fill="auto"/>
            <w:noWrap/>
            <w:vAlign w:val="center"/>
          </w:tcPr>
          <w:p>
            <w:pPr>
              <w:widowControl/>
              <w:rPr>
                <w:color w:val="000000"/>
                <w:kern w:val="0"/>
                <w:szCs w:val="21"/>
              </w:rPr>
            </w:pPr>
            <w:r>
              <w:rPr>
                <w:color w:val="000000"/>
                <w:kern w:val="0"/>
                <w:szCs w:val="21"/>
              </w:rPr>
              <w:t>添加详细的测量图解，并对A、B型线纹尺的使用条件或情况进行详细描述。</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1"/>
              </w:numPr>
              <w:ind w:firstLineChars="0"/>
              <w:jc w:val="center"/>
              <w:rPr>
                <w:bCs/>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附录C</w:t>
            </w:r>
          </w:p>
        </w:tc>
        <w:tc>
          <w:tcPr>
            <w:tcW w:w="3264" w:type="dxa"/>
            <w:tcBorders>
              <w:top w:val="nil"/>
              <w:left w:val="nil"/>
              <w:bottom w:val="single" w:color="auto" w:sz="4" w:space="0"/>
              <w:right w:val="single" w:color="auto" w:sz="4" w:space="0"/>
            </w:tcBorders>
            <w:shd w:val="clear" w:color="auto" w:fill="auto"/>
            <w:noWrap/>
            <w:vAlign w:val="center"/>
          </w:tcPr>
          <w:p>
            <w:pPr>
              <w:widowControl/>
              <w:rPr>
                <w:color w:val="000000"/>
                <w:kern w:val="0"/>
                <w:szCs w:val="21"/>
              </w:rPr>
            </w:pPr>
            <w:r>
              <w:rPr>
                <w:color w:val="000000"/>
                <w:kern w:val="0"/>
                <w:szCs w:val="21"/>
              </w:rPr>
              <w:t>不确定度的评定需要考虑实际操作中的不同因素</w:t>
            </w:r>
          </w:p>
        </w:tc>
        <w:tc>
          <w:tcPr>
            <w:tcW w:w="2573" w:type="dxa"/>
            <w:tcBorders>
              <w:top w:val="nil"/>
              <w:left w:val="nil"/>
              <w:bottom w:val="single" w:color="auto" w:sz="4" w:space="0"/>
              <w:right w:val="single" w:color="auto" w:sz="4" w:space="0"/>
            </w:tcBorders>
            <w:shd w:val="clear" w:color="auto" w:fill="auto"/>
            <w:noWrap/>
            <w:vAlign w:val="center"/>
          </w:tcPr>
          <w:p>
            <w:pPr>
              <w:widowControl/>
              <w:rPr>
                <w:color w:val="000000"/>
                <w:kern w:val="0"/>
                <w:szCs w:val="21"/>
              </w:rPr>
            </w:pPr>
            <w:r>
              <w:rPr>
                <w:color w:val="000000"/>
                <w:kern w:val="0"/>
                <w:szCs w:val="21"/>
              </w:rPr>
              <w:t>国标（北京检验认证有限公司），樊志罡</w:t>
            </w:r>
          </w:p>
        </w:tc>
        <w:tc>
          <w:tcPr>
            <w:tcW w:w="1420" w:type="dxa"/>
            <w:tcBorders>
              <w:top w:val="nil"/>
              <w:left w:val="nil"/>
              <w:bottom w:val="single" w:color="auto" w:sz="4" w:space="0"/>
              <w:right w:val="single" w:color="auto" w:sz="4" w:space="0"/>
            </w:tcBorders>
            <w:shd w:val="clear" w:color="auto" w:fill="auto"/>
            <w:noWrap/>
            <w:vAlign w:val="center"/>
          </w:tcPr>
          <w:p>
            <w:pPr>
              <w:widowControl/>
              <w:rPr>
                <w:color w:val="000000"/>
                <w:kern w:val="0"/>
                <w:szCs w:val="21"/>
              </w:rPr>
            </w:pPr>
            <w:r>
              <w:rPr>
                <w:color w:val="000000"/>
                <w:kern w:val="0"/>
                <w:szCs w:val="21"/>
              </w:rPr>
              <w:t>重新评定不确定度，考虑实际操作中人为误差、环境温度等影响因素。</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1"/>
              </w:numPr>
              <w:ind w:firstLineChars="0"/>
              <w:jc w:val="center"/>
              <w:rPr>
                <w:bCs/>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附录E</w:t>
            </w:r>
          </w:p>
        </w:tc>
        <w:tc>
          <w:tcPr>
            <w:tcW w:w="3264" w:type="dxa"/>
            <w:tcBorders>
              <w:top w:val="nil"/>
              <w:left w:val="nil"/>
              <w:bottom w:val="single" w:color="auto" w:sz="4" w:space="0"/>
              <w:right w:val="single" w:color="auto" w:sz="4" w:space="0"/>
            </w:tcBorders>
            <w:shd w:val="clear" w:color="auto" w:fill="auto"/>
            <w:noWrap/>
            <w:vAlign w:val="center"/>
          </w:tcPr>
          <w:p>
            <w:pPr>
              <w:widowControl/>
              <w:rPr>
                <w:color w:val="000000"/>
                <w:kern w:val="0"/>
                <w:szCs w:val="21"/>
              </w:rPr>
            </w:pPr>
            <w:r>
              <w:rPr>
                <w:color w:val="000000"/>
                <w:kern w:val="0"/>
                <w:szCs w:val="21"/>
              </w:rPr>
              <w:t>附录E未表明在规范中那一项内容中使用</w:t>
            </w:r>
          </w:p>
        </w:tc>
        <w:tc>
          <w:tcPr>
            <w:tcW w:w="2573" w:type="dxa"/>
            <w:tcBorders>
              <w:top w:val="nil"/>
              <w:left w:val="nil"/>
              <w:bottom w:val="single" w:color="auto" w:sz="4" w:space="0"/>
              <w:right w:val="single" w:color="auto" w:sz="4" w:space="0"/>
            </w:tcBorders>
            <w:shd w:val="clear" w:color="auto" w:fill="auto"/>
            <w:noWrap/>
            <w:vAlign w:val="center"/>
          </w:tcPr>
          <w:p>
            <w:pPr>
              <w:widowControl/>
              <w:rPr>
                <w:color w:val="000000"/>
                <w:kern w:val="0"/>
                <w:szCs w:val="21"/>
              </w:rPr>
            </w:pPr>
            <w:r>
              <w:rPr>
                <w:color w:val="000000"/>
                <w:kern w:val="0"/>
                <w:szCs w:val="21"/>
              </w:rPr>
              <w:t>国标（北京检验认证有限公司），樊志罡</w:t>
            </w:r>
          </w:p>
        </w:tc>
        <w:tc>
          <w:tcPr>
            <w:tcW w:w="1420" w:type="dxa"/>
            <w:tcBorders>
              <w:top w:val="nil"/>
              <w:left w:val="nil"/>
              <w:bottom w:val="single" w:color="auto" w:sz="4" w:space="0"/>
              <w:right w:val="single" w:color="auto" w:sz="4" w:space="0"/>
            </w:tcBorders>
            <w:shd w:val="clear" w:color="auto" w:fill="auto"/>
            <w:noWrap/>
            <w:vAlign w:val="center"/>
          </w:tcPr>
          <w:p>
            <w:pPr>
              <w:widowControl/>
              <w:rPr>
                <w:color w:val="000000"/>
                <w:kern w:val="0"/>
                <w:szCs w:val="21"/>
              </w:rPr>
            </w:pPr>
            <w:r>
              <w:rPr>
                <w:color w:val="000000"/>
                <w:kern w:val="0"/>
                <w:szCs w:val="21"/>
              </w:rPr>
              <w:t>明确附录E使用的环境与前文相关联。</w:t>
            </w:r>
          </w:p>
        </w:tc>
      </w:tr>
    </w:tbl>
    <w:p>
      <w:pPr>
        <w:spacing w:line="360" w:lineRule="auto"/>
        <w:ind w:firstLine="420" w:firstLineChars="200"/>
      </w:pPr>
      <w:bookmarkStart w:id="7" w:name="_Toc464728924"/>
      <w:r>
        <w:rPr>
          <w:rFonts w:eastAsiaTheme="minorEastAsia"/>
          <w:color w:val="auto"/>
        </w:rPr>
        <w:t>2023.11.03</w:t>
      </w:r>
      <w:r>
        <w:rPr>
          <w:rFonts w:hint="eastAsia" w:eastAsiaTheme="minorEastAsia"/>
          <w:color w:val="auto"/>
        </w:rPr>
        <w:t>在</w:t>
      </w:r>
      <w:r>
        <w:rPr>
          <w:rFonts w:hint="eastAsia" w:eastAsiaTheme="minorEastAsia"/>
        </w:rPr>
        <w:t>昆明举行有色金属计量技术规范研讨会，</w:t>
      </w:r>
      <w:r>
        <w:rPr>
          <w:rFonts w:hint="eastAsia" w:eastAsiaTheme="minorEastAsia"/>
          <w:szCs w:val="21"/>
        </w:rPr>
        <w:t>会上对《</w:t>
      </w:r>
      <w:r>
        <w:rPr>
          <w:rFonts w:hint="eastAsia" w:eastAsiaTheme="minorEastAsia"/>
          <w:bCs/>
        </w:rPr>
        <w:t>光学显微镜畸变校准规范</w:t>
      </w:r>
      <w:r>
        <w:rPr>
          <w:rFonts w:hint="eastAsia" w:eastAsiaTheme="minorEastAsia"/>
          <w:szCs w:val="21"/>
        </w:rPr>
        <w:t>》等项有色金属行业计量技术规范进行了讨论，会上有来自不同单位的计量委员会委员、专家、代表对《</w:t>
      </w:r>
      <w:r>
        <w:rPr>
          <w:rFonts w:hint="eastAsia" w:eastAsiaTheme="minorEastAsia"/>
          <w:bCs/>
        </w:rPr>
        <w:t>光学显微镜畸变校准规范</w:t>
      </w:r>
      <w:r>
        <w:rPr>
          <w:rFonts w:hint="eastAsia" w:eastAsiaTheme="minorEastAsia"/>
          <w:szCs w:val="21"/>
        </w:rPr>
        <w:t>》提出了修改建议和意见。</w:t>
      </w:r>
      <w:r>
        <w:rPr>
          <w:rFonts w:hint="eastAsia"/>
        </w:rPr>
        <w:t>修改形成征求审定稿。</w:t>
      </w:r>
    </w:p>
    <w:p>
      <w:pPr>
        <w:spacing w:line="360" w:lineRule="auto"/>
        <w:ind w:firstLine="210" w:firstLineChars="100"/>
        <w:jc w:val="center"/>
      </w:pPr>
      <w:r>
        <w:rPr>
          <w:rFonts w:hint="eastAsia"/>
        </w:rPr>
        <w:t>表2有色金属计量技术规范研讨会会议纪要</w:t>
      </w:r>
    </w:p>
    <w:tbl>
      <w:tblPr>
        <w:tblStyle w:val="41"/>
        <w:tblW w:w="0" w:type="auto"/>
        <w:tblInd w:w="0" w:type="dxa"/>
        <w:tblLayout w:type="fixed"/>
        <w:tblCellMar>
          <w:top w:w="0" w:type="dxa"/>
          <w:left w:w="108" w:type="dxa"/>
          <w:bottom w:w="0" w:type="dxa"/>
          <w:right w:w="108" w:type="dxa"/>
        </w:tblCellMar>
      </w:tblPr>
      <w:tblGrid>
        <w:gridCol w:w="534"/>
        <w:gridCol w:w="992"/>
        <w:gridCol w:w="2268"/>
        <w:gridCol w:w="2295"/>
        <w:gridCol w:w="3482"/>
      </w:tblGrid>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bCs/>
                <w:color w:val="000000"/>
                <w:kern w:val="0"/>
                <w:szCs w:val="21"/>
              </w:rPr>
            </w:pPr>
            <w:r>
              <w:rPr>
                <w:rFonts w:hint="eastAsia" w:cs="宋体"/>
                <w:bCs/>
                <w:color w:val="000000"/>
                <w:kern w:val="0"/>
                <w:szCs w:val="21"/>
              </w:rPr>
              <w:t>序号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bCs/>
                <w:color w:val="000000"/>
                <w:kern w:val="0"/>
                <w:szCs w:val="21"/>
              </w:rPr>
            </w:pPr>
            <w:r>
              <w:rPr>
                <w:rFonts w:hint="eastAsia" w:cs="宋体"/>
                <w:bCs/>
                <w:color w:val="000000"/>
                <w:kern w:val="0"/>
                <w:szCs w:val="21"/>
              </w:rPr>
              <w:t>标准章条</w:t>
            </w:r>
          </w:p>
          <w:p>
            <w:pPr>
              <w:widowControl/>
              <w:jc w:val="center"/>
              <w:rPr>
                <w:rFonts w:cs="宋体"/>
                <w:bCs/>
                <w:color w:val="000000"/>
                <w:kern w:val="0"/>
                <w:szCs w:val="21"/>
              </w:rPr>
            </w:pPr>
            <w:r>
              <w:rPr>
                <w:rFonts w:hint="eastAsia" w:cs="宋体"/>
                <w:bCs/>
                <w:color w:val="000000"/>
                <w:kern w:val="0"/>
                <w:szCs w:val="21"/>
              </w:rPr>
              <w:t>编号</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bCs/>
                <w:color w:val="000000"/>
                <w:kern w:val="0"/>
                <w:szCs w:val="21"/>
              </w:rPr>
            </w:pPr>
            <w:r>
              <w:rPr>
                <w:rFonts w:hint="eastAsia" w:cs="宋体"/>
                <w:bCs/>
                <w:color w:val="000000"/>
                <w:kern w:val="0"/>
                <w:szCs w:val="21"/>
              </w:rPr>
              <w:t>意见内容</w:t>
            </w:r>
          </w:p>
        </w:tc>
        <w:tc>
          <w:tcPr>
            <w:tcW w:w="22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bCs/>
                <w:color w:val="000000"/>
                <w:kern w:val="0"/>
                <w:szCs w:val="21"/>
              </w:rPr>
            </w:pPr>
            <w:r>
              <w:rPr>
                <w:rFonts w:hint="eastAsia" w:cs="宋体"/>
                <w:bCs/>
                <w:color w:val="000000"/>
                <w:kern w:val="0"/>
                <w:szCs w:val="21"/>
              </w:rPr>
              <w:t>提出单位及提出人</w:t>
            </w:r>
          </w:p>
          <w:p>
            <w:pPr>
              <w:widowControl/>
              <w:jc w:val="center"/>
              <w:rPr>
                <w:rFonts w:cs="宋体"/>
                <w:bCs/>
                <w:color w:val="000000"/>
                <w:kern w:val="0"/>
                <w:szCs w:val="21"/>
              </w:rPr>
            </w:pPr>
            <w:r>
              <w:rPr>
                <w:rFonts w:hint="eastAsia" w:cs="宋体"/>
                <w:bCs/>
                <w:color w:val="000000"/>
                <w:kern w:val="0"/>
                <w:szCs w:val="21"/>
              </w:rPr>
              <w:t>（可简写）</w:t>
            </w:r>
          </w:p>
        </w:tc>
        <w:tc>
          <w:tcPr>
            <w:tcW w:w="34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bCs/>
                <w:color w:val="000000"/>
                <w:kern w:val="0"/>
                <w:szCs w:val="21"/>
              </w:rPr>
            </w:pPr>
            <w:r>
              <w:rPr>
                <w:rFonts w:hint="eastAsia" w:cs="宋体"/>
                <w:bCs/>
                <w:color w:val="000000"/>
                <w:kern w:val="0"/>
                <w:szCs w:val="21"/>
              </w:rPr>
              <w:t>处理意见</w:t>
            </w:r>
          </w:p>
        </w:tc>
      </w:tr>
      <w:tr>
        <w:tblPrEx>
          <w:tblCellMar>
            <w:top w:w="0" w:type="dxa"/>
            <w:left w:w="108" w:type="dxa"/>
            <w:bottom w:w="0" w:type="dxa"/>
            <w:right w:w="108" w:type="dxa"/>
          </w:tblCellMar>
        </w:tblPrEx>
        <w:trPr>
          <w:trHeight w:val="567"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0" w:firstLineChars="0"/>
              <w:jc w:val="center"/>
              <w:rPr>
                <w:rFonts w:cs="宋体"/>
                <w:color w:val="000000"/>
                <w:kern w:val="0"/>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4.概述</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图</w:t>
            </w:r>
            <w:r>
              <w:rPr>
                <w:rFonts w:hint="eastAsia" w:cs="宋体"/>
                <w:color w:val="000000"/>
                <w:kern w:val="0"/>
                <w:szCs w:val="21"/>
              </w:rPr>
              <w:t>1中图片有的有框有的无框统一格式，图片间距不一</w:t>
            </w:r>
          </w:p>
        </w:tc>
        <w:tc>
          <w:tcPr>
            <w:tcW w:w="2295"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副秘书长</w:t>
            </w:r>
            <w:r>
              <w:rPr>
                <w:rFonts w:hint="eastAsia" w:cs="宋体"/>
                <w:color w:val="000000"/>
                <w:kern w:val="0"/>
                <w:szCs w:val="21"/>
              </w:rPr>
              <w:t>，</w:t>
            </w:r>
            <w:r>
              <w:rPr>
                <w:rFonts w:cs="宋体"/>
                <w:color w:val="000000"/>
                <w:kern w:val="0"/>
                <w:szCs w:val="21"/>
              </w:rPr>
              <w:t>闫艳楠</w:t>
            </w:r>
          </w:p>
        </w:tc>
        <w:tc>
          <w:tcPr>
            <w:tcW w:w="348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统一图片格式</w:t>
            </w:r>
          </w:p>
        </w:tc>
      </w:tr>
      <w:tr>
        <w:tblPrEx>
          <w:tblCellMar>
            <w:top w:w="0" w:type="dxa"/>
            <w:left w:w="108" w:type="dxa"/>
            <w:bottom w:w="0" w:type="dxa"/>
            <w:right w:w="108" w:type="dxa"/>
          </w:tblCellMar>
        </w:tblPrEx>
        <w:trPr>
          <w:trHeight w:val="567"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0" w:firstLineChars="0"/>
              <w:jc w:val="center"/>
              <w:rPr>
                <w:rFonts w:cs="宋体"/>
                <w:color w:val="000000"/>
                <w:kern w:val="0"/>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5.1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总放大倍数误差要求参考了JJF</w:t>
            </w:r>
            <w:r>
              <w:rPr>
                <w:rFonts w:hint="eastAsia" w:cs="宋体"/>
                <w:color w:val="000000"/>
                <w:kern w:val="0"/>
                <w:szCs w:val="21"/>
              </w:rPr>
              <w:t xml:space="preserve"> 1914文中未体现</w:t>
            </w:r>
          </w:p>
        </w:tc>
        <w:tc>
          <w:tcPr>
            <w:tcW w:w="2295"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副秘书长</w:t>
            </w:r>
            <w:r>
              <w:rPr>
                <w:rFonts w:hint="eastAsia" w:cs="宋体"/>
                <w:color w:val="000000"/>
                <w:kern w:val="0"/>
                <w:szCs w:val="21"/>
              </w:rPr>
              <w:t>，</w:t>
            </w:r>
            <w:r>
              <w:rPr>
                <w:rFonts w:cs="宋体"/>
                <w:color w:val="000000"/>
                <w:kern w:val="0"/>
                <w:szCs w:val="21"/>
              </w:rPr>
              <w:t>闫艳楠</w:t>
            </w:r>
          </w:p>
        </w:tc>
        <w:tc>
          <w:tcPr>
            <w:tcW w:w="348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特性见JJF</w:t>
            </w:r>
            <w:r>
              <w:rPr>
                <w:rFonts w:hint="eastAsia" w:cs="宋体"/>
                <w:color w:val="000000"/>
                <w:kern w:val="0"/>
                <w:szCs w:val="21"/>
              </w:rPr>
              <w:t xml:space="preserve"> 1914引用</w:t>
            </w:r>
          </w:p>
        </w:tc>
      </w:tr>
      <w:tr>
        <w:tblPrEx>
          <w:tblCellMar>
            <w:top w:w="0" w:type="dxa"/>
            <w:left w:w="108" w:type="dxa"/>
            <w:bottom w:w="0" w:type="dxa"/>
            <w:right w:w="108" w:type="dxa"/>
          </w:tblCellMar>
        </w:tblPrEx>
        <w:trPr>
          <w:trHeight w:val="567"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left="420" w:hanging="420" w:firstLineChars="0"/>
              <w:jc w:val="center"/>
              <w:rPr>
                <w:rFonts w:cs="宋体"/>
                <w:color w:val="000000"/>
                <w:kern w:val="0"/>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5.2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第二段内容的描述</w:t>
            </w:r>
            <w:r>
              <w:rPr>
                <w:rFonts w:hint="eastAsia" w:cs="宋体"/>
                <w:color w:val="000000"/>
                <w:kern w:val="0"/>
                <w:szCs w:val="21"/>
              </w:rPr>
              <w:t>，</w:t>
            </w:r>
            <w:r>
              <w:rPr>
                <w:rFonts w:cs="宋体"/>
                <w:color w:val="000000"/>
                <w:kern w:val="0"/>
                <w:szCs w:val="21"/>
              </w:rPr>
              <w:t>与计量特性无关</w:t>
            </w:r>
          </w:p>
        </w:tc>
        <w:tc>
          <w:tcPr>
            <w:tcW w:w="2295"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西安铝业</w:t>
            </w:r>
            <w:r>
              <w:rPr>
                <w:rFonts w:hint="eastAsia" w:cs="宋体"/>
                <w:color w:val="000000"/>
                <w:kern w:val="0"/>
                <w:szCs w:val="21"/>
              </w:rPr>
              <w:t>（集团）有限责任公司，</w:t>
            </w:r>
            <w:r>
              <w:rPr>
                <w:rFonts w:cs="宋体"/>
                <w:color w:val="000000"/>
                <w:kern w:val="0"/>
                <w:szCs w:val="21"/>
              </w:rPr>
              <w:t>谭本清</w:t>
            </w:r>
          </w:p>
        </w:tc>
        <w:tc>
          <w:tcPr>
            <w:tcW w:w="348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将第二段的内容</w:t>
            </w:r>
            <w:r>
              <w:rPr>
                <w:rFonts w:hint="eastAsia" w:cs="宋体"/>
                <w:color w:val="000000"/>
                <w:kern w:val="0"/>
                <w:szCs w:val="21"/>
              </w:rPr>
              <w:t>，</w:t>
            </w:r>
            <w:r>
              <w:rPr>
                <w:rFonts w:cs="宋体"/>
                <w:color w:val="000000"/>
                <w:kern w:val="0"/>
                <w:szCs w:val="21"/>
              </w:rPr>
              <w:t>移到概述中</w:t>
            </w:r>
          </w:p>
        </w:tc>
      </w:tr>
      <w:tr>
        <w:tblPrEx>
          <w:tblCellMar>
            <w:top w:w="0" w:type="dxa"/>
            <w:left w:w="108" w:type="dxa"/>
            <w:bottom w:w="0" w:type="dxa"/>
            <w:right w:w="108" w:type="dxa"/>
          </w:tblCellMar>
        </w:tblPrEx>
        <w:trPr>
          <w:trHeight w:val="567"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left="420" w:hanging="420" w:firstLineChars="0"/>
              <w:jc w:val="center"/>
              <w:rPr>
                <w:rFonts w:cs="宋体"/>
                <w:color w:val="000000"/>
                <w:kern w:val="0"/>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6.2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注解的位置有问题</w:t>
            </w:r>
            <w:r>
              <w:rPr>
                <w:rFonts w:hint="eastAsia" w:cs="宋体"/>
                <w:color w:val="000000"/>
                <w:kern w:val="0"/>
                <w:szCs w:val="21"/>
              </w:rPr>
              <w:t>，</w:t>
            </w:r>
            <w:r>
              <w:rPr>
                <w:rFonts w:cs="宋体"/>
                <w:color w:val="000000"/>
                <w:kern w:val="0"/>
                <w:szCs w:val="21"/>
              </w:rPr>
              <w:t>表</w:t>
            </w:r>
            <w:r>
              <w:rPr>
                <w:rFonts w:hint="eastAsia" w:cs="宋体"/>
                <w:color w:val="000000"/>
                <w:kern w:val="0"/>
                <w:szCs w:val="21"/>
              </w:rPr>
              <w:t>1的出现没有引句</w:t>
            </w:r>
          </w:p>
        </w:tc>
        <w:tc>
          <w:tcPr>
            <w:tcW w:w="2295"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副秘书长</w:t>
            </w:r>
            <w:r>
              <w:rPr>
                <w:rFonts w:hint="eastAsia" w:cs="宋体"/>
                <w:color w:val="000000"/>
                <w:kern w:val="0"/>
                <w:szCs w:val="21"/>
              </w:rPr>
              <w:t>，</w:t>
            </w:r>
            <w:r>
              <w:rPr>
                <w:rFonts w:cs="宋体"/>
                <w:color w:val="000000"/>
                <w:kern w:val="0"/>
                <w:szCs w:val="21"/>
              </w:rPr>
              <w:t>闫艳楠</w:t>
            </w:r>
          </w:p>
        </w:tc>
        <w:tc>
          <w:tcPr>
            <w:tcW w:w="348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在</w:t>
            </w:r>
            <w:r>
              <w:rPr>
                <w:rFonts w:hint="eastAsia" w:cs="宋体"/>
                <w:color w:val="000000"/>
                <w:kern w:val="0"/>
                <w:szCs w:val="21"/>
              </w:rPr>
              <w:t>6.2标题下面加一段引句引出表1，注解放在表1中</w:t>
            </w:r>
          </w:p>
        </w:tc>
      </w:tr>
      <w:tr>
        <w:tblPrEx>
          <w:tblCellMar>
            <w:top w:w="0" w:type="dxa"/>
            <w:left w:w="108" w:type="dxa"/>
            <w:bottom w:w="0" w:type="dxa"/>
            <w:right w:w="108" w:type="dxa"/>
          </w:tblCellMar>
        </w:tblPrEx>
        <w:trPr>
          <w:trHeight w:val="567"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left="420" w:hanging="420" w:firstLineChars="0"/>
              <w:jc w:val="center"/>
              <w:rPr>
                <w:rFonts w:cs="宋体"/>
                <w:color w:val="000000"/>
                <w:kern w:val="0"/>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7.1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7.1下面的两个小标题重复</w:t>
            </w:r>
          </w:p>
        </w:tc>
        <w:tc>
          <w:tcPr>
            <w:tcW w:w="2295"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副秘书长</w:t>
            </w:r>
            <w:r>
              <w:rPr>
                <w:rFonts w:hint="eastAsia" w:cs="宋体"/>
                <w:color w:val="000000"/>
                <w:kern w:val="0"/>
                <w:szCs w:val="21"/>
              </w:rPr>
              <w:t>，</w:t>
            </w:r>
            <w:r>
              <w:rPr>
                <w:rFonts w:cs="宋体"/>
                <w:color w:val="000000"/>
                <w:kern w:val="0"/>
                <w:szCs w:val="21"/>
              </w:rPr>
              <w:t>闫艳楠</w:t>
            </w:r>
          </w:p>
        </w:tc>
        <w:tc>
          <w:tcPr>
            <w:tcW w:w="348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将</w:t>
            </w:r>
            <w:r>
              <w:rPr>
                <w:rFonts w:hint="eastAsia" w:cs="宋体"/>
                <w:color w:val="000000"/>
                <w:kern w:val="0"/>
                <w:szCs w:val="21"/>
              </w:rPr>
              <w:t>7.1.1和7.1.2合并为一句话。</w:t>
            </w:r>
          </w:p>
        </w:tc>
      </w:tr>
      <w:tr>
        <w:tblPrEx>
          <w:tblCellMar>
            <w:top w:w="0" w:type="dxa"/>
            <w:left w:w="108" w:type="dxa"/>
            <w:bottom w:w="0" w:type="dxa"/>
            <w:right w:w="108" w:type="dxa"/>
          </w:tblCellMar>
        </w:tblPrEx>
        <w:trPr>
          <w:trHeight w:val="567"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left="420" w:hanging="420" w:firstLineChars="0"/>
              <w:jc w:val="center"/>
              <w:rPr>
                <w:rFonts w:cs="宋体"/>
                <w:color w:val="000000"/>
                <w:kern w:val="0"/>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7.2.2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第一段对标准值的赋值描述不准确</w:t>
            </w:r>
            <w:r>
              <w:rPr>
                <w:rFonts w:hint="eastAsia" w:cs="宋体"/>
                <w:color w:val="000000"/>
                <w:kern w:val="0"/>
                <w:szCs w:val="21"/>
              </w:rPr>
              <w:t>，</w:t>
            </w:r>
            <w:r>
              <w:rPr>
                <w:rFonts w:cs="宋体"/>
                <w:color w:val="000000"/>
                <w:kern w:val="0"/>
                <w:szCs w:val="21"/>
              </w:rPr>
              <w:t>缺少公式</w:t>
            </w:r>
            <w:r>
              <w:rPr>
                <w:rFonts w:hint="eastAsia" w:cs="宋体"/>
                <w:color w:val="000000"/>
                <w:kern w:val="0"/>
                <w:szCs w:val="21"/>
              </w:rPr>
              <w:t>（1）的引出，a，b的单位不明确</w:t>
            </w:r>
          </w:p>
        </w:tc>
        <w:tc>
          <w:tcPr>
            <w:tcW w:w="2295"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西安铝业</w:t>
            </w:r>
            <w:r>
              <w:rPr>
                <w:rFonts w:hint="eastAsia" w:cs="宋体"/>
                <w:color w:val="000000"/>
                <w:kern w:val="0"/>
                <w:szCs w:val="21"/>
              </w:rPr>
              <w:t>（集团）有限责任公司，</w:t>
            </w:r>
            <w:r>
              <w:rPr>
                <w:rFonts w:cs="宋体"/>
                <w:color w:val="000000"/>
                <w:kern w:val="0"/>
                <w:szCs w:val="21"/>
              </w:rPr>
              <w:t>谭本清</w:t>
            </w:r>
            <w:r>
              <w:rPr>
                <w:rFonts w:hint="eastAsia" w:cs="宋体"/>
                <w:color w:val="000000"/>
                <w:kern w:val="0"/>
                <w:szCs w:val="21"/>
              </w:rPr>
              <w:t>，新疆湘润新材料科技有限公司，杨再江</w:t>
            </w:r>
          </w:p>
        </w:tc>
        <w:tc>
          <w:tcPr>
            <w:tcW w:w="348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在第一段中添加在限定条件下对标准值的赋值描述</w:t>
            </w:r>
            <w:r>
              <w:rPr>
                <w:rFonts w:hint="eastAsia" w:cs="宋体"/>
                <w:color w:val="000000"/>
                <w:kern w:val="0"/>
                <w:szCs w:val="21"/>
              </w:rPr>
              <w:t>，</w:t>
            </w:r>
            <w:r>
              <w:rPr>
                <w:rFonts w:cs="宋体"/>
                <w:color w:val="000000"/>
                <w:kern w:val="0"/>
                <w:szCs w:val="21"/>
              </w:rPr>
              <w:t>添加见公式</w:t>
            </w:r>
            <w:r>
              <w:rPr>
                <w:rFonts w:hint="eastAsia" w:cs="宋体"/>
                <w:color w:val="000000"/>
                <w:kern w:val="0"/>
                <w:szCs w:val="21"/>
              </w:rPr>
              <w:t>（1），a，b关于像素的描述放在名称描述前。</w:t>
            </w:r>
          </w:p>
        </w:tc>
      </w:tr>
      <w:tr>
        <w:tblPrEx>
          <w:tblCellMar>
            <w:top w:w="0" w:type="dxa"/>
            <w:left w:w="108" w:type="dxa"/>
            <w:bottom w:w="0" w:type="dxa"/>
            <w:right w:w="108" w:type="dxa"/>
          </w:tblCellMar>
        </w:tblPrEx>
        <w:trPr>
          <w:trHeight w:val="567"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left="420" w:hanging="420" w:firstLineChars="0"/>
              <w:jc w:val="center"/>
              <w:rPr>
                <w:rFonts w:cs="宋体"/>
                <w:color w:val="000000"/>
                <w:kern w:val="0"/>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7.2.3</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式中对k</w:t>
            </w:r>
            <w:r>
              <w:rPr>
                <w:rFonts w:hint="eastAsia" w:cs="宋体"/>
                <w:color w:val="000000"/>
                <w:kern w:val="0"/>
                <w:szCs w:val="21"/>
              </w:rPr>
              <w:t>、</w:t>
            </w:r>
            <w:r>
              <w:rPr>
                <w:rFonts w:cs="宋体"/>
                <w:color w:val="000000"/>
                <w:kern w:val="0"/>
                <w:szCs w:val="21"/>
              </w:rPr>
              <w:t>D</w:t>
            </w:r>
            <w:r>
              <w:rPr>
                <w:rFonts w:hint="eastAsia" w:cs="宋体"/>
                <w:color w:val="000000"/>
                <w:kern w:val="0"/>
                <w:szCs w:val="21"/>
              </w:rPr>
              <w:t>、</w:t>
            </w:r>
            <w:r>
              <w:rPr>
                <w:rFonts w:cs="宋体"/>
                <w:color w:val="000000"/>
                <w:kern w:val="0"/>
                <w:szCs w:val="21"/>
              </w:rPr>
              <w:t>d的描述不准确</w:t>
            </w:r>
            <w:r>
              <w:rPr>
                <w:rFonts w:hint="eastAsia" w:cs="宋体"/>
                <w:color w:val="000000"/>
                <w:kern w:val="0"/>
                <w:szCs w:val="21"/>
              </w:rPr>
              <w:t>，</w:t>
            </w:r>
            <w:r>
              <w:rPr>
                <w:rFonts w:cs="宋体"/>
                <w:color w:val="000000"/>
                <w:kern w:val="0"/>
                <w:szCs w:val="21"/>
              </w:rPr>
              <w:t>公式</w:t>
            </w:r>
            <w:r>
              <w:rPr>
                <w:rFonts w:hint="eastAsia" w:cs="宋体"/>
                <w:color w:val="000000"/>
                <w:kern w:val="0"/>
                <w:szCs w:val="21"/>
              </w:rPr>
              <w:t>（2）表述不正确</w:t>
            </w:r>
          </w:p>
        </w:tc>
        <w:tc>
          <w:tcPr>
            <w:tcW w:w="2295"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西安铝业</w:t>
            </w:r>
            <w:r>
              <w:rPr>
                <w:rFonts w:hint="eastAsia" w:cs="宋体"/>
                <w:color w:val="000000"/>
                <w:kern w:val="0"/>
                <w:szCs w:val="21"/>
              </w:rPr>
              <w:t>（集团）有限责任公司，</w:t>
            </w:r>
            <w:r>
              <w:rPr>
                <w:rFonts w:cs="宋体"/>
                <w:color w:val="000000"/>
                <w:kern w:val="0"/>
                <w:szCs w:val="21"/>
              </w:rPr>
              <w:t>谭本清</w:t>
            </w:r>
          </w:p>
        </w:tc>
        <w:tc>
          <w:tcPr>
            <w:tcW w:w="348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式中</w:t>
            </w:r>
            <w:r>
              <w:rPr>
                <w:rFonts w:hint="eastAsia" w:cs="宋体"/>
                <w:color w:val="000000"/>
                <w:kern w:val="0"/>
                <w:szCs w:val="21"/>
              </w:rPr>
              <w:t>：</w:t>
            </w:r>
            <w:r>
              <w:rPr>
                <w:rFonts w:cs="宋体"/>
                <w:color w:val="000000"/>
                <w:kern w:val="0"/>
                <w:szCs w:val="21"/>
              </w:rPr>
              <w:t>k</w:t>
            </w:r>
            <w:r>
              <w:rPr>
                <w:rFonts w:hint="eastAsia" w:cs="宋体"/>
                <w:color w:val="000000"/>
                <w:kern w:val="0"/>
                <w:szCs w:val="21"/>
              </w:rPr>
              <w:t>、</w:t>
            </w:r>
            <w:r>
              <w:rPr>
                <w:rFonts w:cs="宋体"/>
                <w:color w:val="000000"/>
                <w:kern w:val="0"/>
                <w:szCs w:val="21"/>
              </w:rPr>
              <w:t>D</w:t>
            </w:r>
            <w:r>
              <w:rPr>
                <w:rFonts w:hint="eastAsia" w:cs="宋体"/>
                <w:color w:val="000000"/>
                <w:kern w:val="0"/>
                <w:szCs w:val="21"/>
              </w:rPr>
              <w:t>、</w:t>
            </w:r>
            <w:r>
              <w:rPr>
                <w:rFonts w:cs="宋体"/>
                <w:color w:val="000000"/>
                <w:kern w:val="0"/>
                <w:szCs w:val="21"/>
              </w:rPr>
              <w:t>d分开描述</w:t>
            </w:r>
            <w:r>
              <w:rPr>
                <w:rFonts w:hint="eastAsia" w:cs="宋体"/>
                <w:color w:val="000000"/>
                <w:kern w:val="0"/>
                <w:szCs w:val="21"/>
              </w:rPr>
              <w:t>，</w:t>
            </w:r>
            <w:r>
              <w:rPr>
                <w:rFonts w:cs="宋体"/>
                <w:color w:val="000000"/>
                <w:kern w:val="0"/>
                <w:szCs w:val="21"/>
              </w:rPr>
              <w:t>k尽量取最大值</w:t>
            </w:r>
            <w:r>
              <w:rPr>
                <w:rFonts w:hint="eastAsia" w:cs="宋体"/>
                <w:color w:val="000000"/>
                <w:kern w:val="0"/>
                <w:szCs w:val="21"/>
              </w:rPr>
              <w:t>，</w:t>
            </w:r>
            <w:r>
              <w:rPr>
                <w:rFonts w:cs="宋体"/>
                <w:color w:val="000000"/>
                <w:kern w:val="0"/>
                <w:szCs w:val="21"/>
              </w:rPr>
              <w:t>公式</w:t>
            </w:r>
            <w:r>
              <w:rPr>
                <w:rFonts w:hint="eastAsia" w:cs="宋体"/>
                <w:color w:val="000000"/>
                <w:kern w:val="0"/>
                <w:szCs w:val="21"/>
              </w:rPr>
              <w:t>（2）</w:t>
            </w:r>
            <w:r>
              <w:rPr>
                <w:rFonts w:cs="宋体"/>
                <w:color w:val="000000"/>
                <w:kern w:val="0"/>
                <w:position w:val="-12"/>
                <w:szCs w:val="21"/>
              </w:rPr>
              <w:object>
                <v:shape id="_x0000_i1025" o:spt="75" type="#_x0000_t75" style="height:19pt;width:14.2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cs="宋体"/>
                <w:color w:val="000000"/>
                <w:kern w:val="0"/>
                <w:szCs w:val="21"/>
              </w:rPr>
              <w:t>换为</w:t>
            </w:r>
            <w:r>
              <w:rPr>
                <w:rFonts w:cs="宋体"/>
                <w:color w:val="000000"/>
                <w:kern w:val="0"/>
                <w:position w:val="-10"/>
                <w:szCs w:val="21"/>
              </w:rPr>
              <w:object>
                <v:shape id="_x0000_i1026" o:spt="75" type="#_x0000_t75" style="height:18.35pt;width:14.2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cs="宋体"/>
                <w:color w:val="000000"/>
                <w:kern w:val="0"/>
                <w:szCs w:val="21"/>
              </w:rPr>
              <w:t>，</w:t>
            </w:r>
            <w:r>
              <w:rPr>
                <w:rFonts w:cs="宋体"/>
                <w:color w:val="000000"/>
                <w:kern w:val="0"/>
                <w:position w:val="-12"/>
                <w:szCs w:val="21"/>
              </w:rPr>
              <w:object>
                <v:shape id="_x0000_i1027" o:spt="75" type="#_x0000_t75" style="height:19pt;width:14.2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cs="宋体"/>
                <w:color w:val="000000"/>
                <w:kern w:val="0"/>
                <w:szCs w:val="21"/>
              </w:rPr>
              <w:t>用其他公式表述</w:t>
            </w:r>
            <w:r>
              <w:rPr>
                <w:rFonts w:hint="eastAsia" w:cs="宋体"/>
                <w:color w:val="000000"/>
                <w:kern w:val="0"/>
                <w:szCs w:val="21"/>
              </w:rPr>
              <w:t>。</w:t>
            </w:r>
          </w:p>
        </w:tc>
      </w:tr>
      <w:tr>
        <w:tblPrEx>
          <w:tblCellMar>
            <w:top w:w="0" w:type="dxa"/>
            <w:left w:w="108" w:type="dxa"/>
            <w:bottom w:w="0" w:type="dxa"/>
            <w:right w:w="108" w:type="dxa"/>
          </w:tblCellMar>
        </w:tblPrEx>
        <w:trPr>
          <w:trHeight w:val="567"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left="420" w:hanging="420" w:firstLineChars="0"/>
              <w:jc w:val="center"/>
              <w:rPr>
                <w:rFonts w:cs="宋体"/>
                <w:color w:val="000000"/>
                <w:kern w:val="0"/>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7.2.4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使用数显卡尺测量，结果可信度较差</w:t>
            </w:r>
          </w:p>
        </w:tc>
        <w:tc>
          <w:tcPr>
            <w:tcW w:w="2295"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西安铝业</w:t>
            </w:r>
            <w:r>
              <w:rPr>
                <w:rFonts w:hint="eastAsia" w:cs="宋体"/>
                <w:color w:val="000000"/>
                <w:kern w:val="0"/>
                <w:szCs w:val="21"/>
              </w:rPr>
              <w:t>（集团）有限责任公司，</w:t>
            </w:r>
            <w:r>
              <w:rPr>
                <w:rFonts w:cs="宋体"/>
                <w:color w:val="000000"/>
                <w:kern w:val="0"/>
                <w:szCs w:val="21"/>
              </w:rPr>
              <w:t>谭本清</w:t>
            </w:r>
          </w:p>
        </w:tc>
        <w:tc>
          <w:tcPr>
            <w:tcW w:w="348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将数显卡尺更换为玻璃线纹尺</w:t>
            </w:r>
            <w:r>
              <w:rPr>
                <w:rFonts w:hint="eastAsia" w:cs="宋体"/>
                <w:color w:val="000000"/>
                <w:kern w:val="0"/>
                <w:szCs w:val="21"/>
              </w:rPr>
              <w:t>，</w:t>
            </w:r>
            <w:r>
              <w:rPr>
                <w:rFonts w:cs="宋体"/>
                <w:color w:val="000000"/>
                <w:kern w:val="0"/>
                <w:szCs w:val="21"/>
              </w:rPr>
              <w:t>添加配套设备放大镜</w:t>
            </w:r>
            <w:r>
              <w:rPr>
                <w:rFonts w:hint="eastAsia" w:cs="宋体"/>
                <w:color w:val="000000"/>
                <w:kern w:val="0"/>
                <w:szCs w:val="21"/>
              </w:rPr>
              <w:t>。</w:t>
            </w:r>
          </w:p>
        </w:tc>
      </w:tr>
      <w:tr>
        <w:tblPrEx>
          <w:tblCellMar>
            <w:top w:w="0" w:type="dxa"/>
            <w:left w:w="108" w:type="dxa"/>
            <w:bottom w:w="0" w:type="dxa"/>
            <w:right w:w="108" w:type="dxa"/>
          </w:tblCellMar>
        </w:tblPrEx>
        <w:trPr>
          <w:trHeight w:val="567"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left="420" w:hanging="420" w:firstLineChars="0"/>
              <w:jc w:val="center"/>
              <w:rPr>
                <w:rFonts w:cs="宋体"/>
                <w:color w:val="000000"/>
                <w:kern w:val="0"/>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8</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最后一句话的描述位置不准确</w:t>
            </w:r>
          </w:p>
        </w:tc>
        <w:tc>
          <w:tcPr>
            <w:tcW w:w="2295"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副秘书长</w:t>
            </w:r>
            <w:r>
              <w:rPr>
                <w:rFonts w:hint="eastAsia" w:cs="宋体"/>
                <w:color w:val="000000"/>
                <w:kern w:val="0"/>
                <w:szCs w:val="21"/>
              </w:rPr>
              <w:t>，</w:t>
            </w:r>
            <w:r>
              <w:rPr>
                <w:rFonts w:cs="宋体"/>
                <w:color w:val="000000"/>
                <w:kern w:val="0"/>
                <w:szCs w:val="21"/>
              </w:rPr>
              <w:t>闫艳楠</w:t>
            </w:r>
          </w:p>
        </w:tc>
        <w:tc>
          <w:tcPr>
            <w:tcW w:w="348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将最后一句话放在</w:t>
            </w:r>
            <w:r>
              <w:rPr>
                <w:rFonts w:hint="eastAsia" w:cs="宋体"/>
                <w:color w:val="000000"/>
                <w:kern w:val="0"/>
                <w:szCs w:val="21"/>
              </w:rPr>
              <w:t>8.的开始位置。</w:t>
            </w:r>
          </w:p>
        </w:tc>
      </w:tr>
      <w:tr>
        <w:tblPrEx>
          <w:tblCellMar>
            <w:top w:w="0" w:type="dxa"/>
            <w:left w:w="108" w:type="dxa"/>
            <w:bottom w:w="0" w:type="dxa"/>
            <w:right w:w="108" w:type="dxa"/>
          </w:tblCellMar>
        </w:tblPrEx>
        <w:trPr>
          <w:trHeight w:val="567"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left="420" w:hanging="420" w:firstLineChars="0"/>
              <w:jc w:val="center"/>
              <w:rPr>
                <w:rFonts w:cs="宋体"/>
                <w:color w:val="000000"/>
                <w:kern w:val="0"/>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附录</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附录标号顺序不对</w:t>
            </w:r>
          </w:p>
        </w:tc>
        <w:tc>
          <w:tcPr>
            <w:tcW w:w="2295"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副秘书长</w:t>
            </w:r>
            <w:r>
              <w:rPr>
                <w:rFonts w:hint="eastAsia" w:cs="宋体"/>
                <w:color w:val="000000"/>
                <w:kern w:val="0"/>
                <w:szCs w:val="21"/>
              </w:rPr>
              <w:t>，</w:t>
            </w:r>
            <w:r>
              <w:rPr>
                <w:rFonts w:cs="宋体"/>
                <w:color w:val="000000"/>
                <w:kern w:val="0"/>
                <w:szCs w:val="21"/>
              </w:rPr>
              <w:t>闫艳楠</w:t>
            </w:r>
          </w:p>
        </w:tc>
        <w:tc>
          <w:tcPr>
            <w:tcW w:w="348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先出现的附录放在附录A</w:t>
            </w:r>
            <w:r>
              <w:rPr>
                <w:rFonts w:hint="eastAsia" w:cs="宋体"/>
                <w:color w:val="000000"/>
                <w:kern w:val="0"/>
                <w:szCs w:val="21"/>
              </w:rPr>
              <w:t>，</w:t>
            </w:r>
            <w:r>
              <w:rPr>
                <w:rFonts w:cs="宋体"/>
                <w:color w:val="000000"/>
                <w:kern w:val="0"/>
                <w:szCs w:val="21"/>
              </w:rPr>
              <w:t>其他依次排列</w:t>
            </w:r>
            <w:r>
              <w:rPr>
                <w:rFonts w:hint="eastAsia" w:cs="宋体"/>
                <w:color w:val="000000"/>
                <w:kern w:val="0"/>
                <w:szCs w:val="21"/>
              </w:rPr>
              <w:t>。</w:t>
            </w:r>
          </w:p>
        </w:tc>
      </w:tr>
      <w:tr>
        <w:tblPrEx>
          <w:tblCellMar>
            <w:top w:w="0" w:type="dxa"/>
            <w:left w:w="108" w:type="dxa"/>
            <w:bottom w:w="0" w:type="dxa"/>
            <w:right w:w="108" w:type="dxa"/>
          </w:tblCellMar>
        </w:tblPrEx>
        <w:trPr>
          <w:trHeight w:val="567"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left="420" w:hanging="420" w:firstLineChars="0"/>
              <w:jc w:val="center"/>
              <w:rPr>
                <w:rFonts w:cs="宋体"/>
                <w:color w:val="000000"/>
                <w:kern w:val="0"/>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附录C C2.1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相对误差表述不正确</w:t>
            </w:r>
          </w:p>
        </w:tc>
        <w:tc>
          <w:tcPr>
            <w:tcW w:w="2295"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西安铝业</w:t>
            </w:r>
            <w:r>
              <w:rPr>
                <w:rFonts w:hint="eastAsia" w:cs="宋体"/>
                <w:color w:val="000000"/>
                <w:kern w:val="0"/>
                <w:szCs w:val="21"/>
              </w:rPr>
              <w:t>（集团）有限责任公司，</w:t>
            </w:r>
            <w:r>
              <w:rPr>
                <w:rFonts w:cs="宋体"/>
                <w:color w:val="000000"/>
                <w:kern w:val="0"/>
                <w:szCs w:val="21"/>
              </w:rPr>
              <w:t>谭本清</w:t>
            </w:r>
          </w:p>
        </w:tc>
        <w:tc>
          <w:tcPr>
            <w:tcW w:w="348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相对误差更改为相对畸变</w:t>
            </w:r>
            <w:r>
              <w:rPr>
                <w:rFonts w:hint="eastAsia" w:cs="宋体"/>
                <w:color w:val="000000"/>
                <w:kern w:val="0"/>
                <w:szCs w:val="21"/>
              </w:rPr>
              <w:t>，各分量使用表格描述。</w:t>
            </w:r>
          </w:p>
        </w:tc>
      </w:tr>
      <w:tr>
        <w:tblPrEx>
          <w:tblCellMar>
            <w:top w:w="0" w:type="dxa"/>
            <w:left w:w="108" w:type="dxa"/>
            <w:bottom w:w="0" w:type="dxa"/>
            <w:right w:w="108" w:type="dxa"/>
          </w:tblCellMar>
        </w:tblPrEx>
        <w:trPr>
          <w:trHeight w:val="567"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left="420" w:hanging="420" w:firstLineChars="0"/>
              <w:jc w:val="center"/>
              <w:rPr>
                <w:rFonts w:cs="宋体"/>
                <w:color w:val="000000"/>
                <w:kern w:val="0"/>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C3.2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格式不正确，各分量无法区分</w:t>
            </w:r>
          </w:p>
        </w:tc>
        <w:tc>
          <w:tcPr>
            <w:tcW w:w="2295"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西安铝业</w:t>
            </w:r>
            <w:r>
              <w:rPr>
                <w:rFonts w:hint="eastAsia" w:cs="宋体"/>
                <w:color w:val="000000"/>
                <w:kern w:val="0"/>
                <w:szCs w:val="21"/>
              </w:rPr>
              <w:t>（集团）有限责任公司，</w:t>
            </w:r>
            <w:r>
              <w:rPr>
                <w:rFonts w:cs="宋体"/>
                <w:color w:val="000000"/>
                <w:kern w:val="0"/>
                <w:szCs w:val="21"/>
              </w:rPr>
              <w:t>谭本清</w:t>
            </w:r>
          </w:p>
        </w:tc>
        <w:tc>
          <w:tcPr>
            <w:tcW w:w="348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细分各种分量</w:t>
            </w:r>
            <w:r>
              <w:rPr>
                <w:rFonts w:hint="eastAsia" w:cs="宋体"/>
                <w:color w:val="000000"/>
                <w:kern w:val="0"/>
                <w:szCs w:val="21"/>
              </w:rPr>
              <w:t>，</w:t>
            </w:r>
            <w:r>
              <w:rPr>
                <w:rFonts w:cs="宋体"/>
                <w:color w:val="000000"/>
                <w:kern w:val="0"/>
                <w:szCs w:val="21"/>
              </w:rPr>
              <w:t>不同分量做小标题</w:t>
            </w:r>
          </w:p>
        </w:tc>
      </w:tr>
      <w:tr>
        <w:tblPrEx>
          <w:tblCellMar>
            <w:top w:w="0" w:type="dxa"/>
            <w:left w:w="108" w:type="dxa"/>
            <w:bottom w:w="0" w:type="dxa"/>
            <w:right w:w="108" w:type="dxa"/>
          </w:tblCellMar>
        </w:tblPrEx>
        <w:trPr>
          <w:trHeight w:val="567"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left="420" w:hanging="420" w:firstLineChars="0"/>
              <w:jc w:val="center"/>
              <w:rPr>
                <w:rFonts w:cs="宋体"/>
                <w:color w:val="000000"/>
                <w:kern w:val="0"/>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附录D</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线纹尺的平面度</w:t>
            </w:r>
            <w:r>
              <w:rPr>
                <w:rFonts w:hint="eastAsia" w:cs="宋体"/>
                <w:color w:val="000000"/>
                <w:kern w:val="0"/>
                <w:szCs w:val="21"/>
              </w:rPr>
              <w:t>、</w:t>
            </w:r>
            <w:r>
              <w:rPr>
                <w:rFonts w:cs="宋体"/>
                <w:color w:val="000000"/>
                <w:kern w:val="0"/>
                <w:szCs w:val="21"/>
              </w:rPr>
              <w:t>垂直度未做要求</w:t>
            </w:r>
          </w:p>
        </w:tc>
        <w:tc>
          <w:tcPr>
            <w:tcW w:w="2295"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西安铝业</w:t>
            </w:r>
            <w:r>
              <w:rPr>
                <w:rFonts w:hint="eastAsia" w:cs="宋体"/>
                <w:color w:val="000000"/>
                <w:kern w:val="0"/>
                <w:szCs w:val="21"/>
              </w:rPr>
              <w:t>（集团）有限责任公司，</w:t>
            </w:r>
            <w:r>
              <w:rPr>
                <w:rFonts w:cs="宋体"/>
                <w:color w:val="000000"/>
                <w:kern w:val="0"/>
                <w:szCs w:val="21"/>
              </w:rPr>
              <w:t>谭本清</w:t>
            </w:r>
          </w:p>
        </w:tc>
        <w:tc>
          <w:tcPr>
            <w:tcW w:w="348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Cs w:val="21"/>
              </w:rPr>
              <w:t>添加线纹尺的平面度</w:t>
            </w:r>
            <w:r>
              <w:rPr>
                <w:rFonts w:hint="eastAsia" w:cs="宋体"/>
                <w:color w:val="000000"/>
                <w:kern w:val="0"/>
                <w:szCs w:val="21"/>
              </w:rPr>
              <w:t>、</w:t>
            </w:r>
            <w:r>
              <w:rPr>
                <w:rFonts w:cs="宋体"/>
                <w:color w:val="000000"/>
                <w:kern w:val="0"/>
                <w:szCs w:val="21"/>
              </w:rPr>
              <w:t>垂直度要求</w:t>
            </w:r>
            <w:r>
              <w:rPr>
                <w:rFonts w:hint="eastAsia" w:cs="宋体"/>
                <w:color w:val="000000"/>
                <w:kern w:val="0"/>
                <w:szCs w:val="21"/>
              </w:rPr>
              <w:t>。</w:t>
            </w:r>
          </w:p>
        </w:tc>
      </w:tr>
    </w:tbl>
    <w:p>
      <w:pPr>
        <w:pStyle w:val="2"/>
        <w:spacing w:before="156" w:after="156"/>
      </w:pPr>
      <w:r>
        <w:rPr>
          <w:rFonts w:hint="eastAsia"/>
        </w:rPr>
        <w:t>二、规范编制原则和</w:t>
      </w:r>
      <w:bookmarkEnd w:id="7"/>
      <w:r>
        <w:rPr>
          <w:rFonts w:hint="eastAsia"/>
        </w:rPr>
        <w:t>依据</w:t>
      </w:r>
    </w:p>
    <w:p>
      <w:pPr>
        <w:pStyle w:val="3"/>
        <w:spacing w:before="156" w:after="156"/>
      </w:pPr>
      <w:bookmarkStart w:id="8" w:name="_Toc464728925"/>
      <w:r>
        <w:rPr>
          <w:rFonts w:hint="eastAsia"/>
        </w:rPr>
        <w:t>（一）规范编制原则</w:t>
      </w:r>
      <w:bookmarkEnd w:id="8"/>
    </w:p>
    <w:p>
      <w:pPr>
        <w:pStyle w:val="58"/>
        <w:numPr>
          <w:ilvl w:val="0"/>
          <w:numId w:val="0"/>
        </w:numPr>
        <w:spacing w:line="400" w:lineRule="exact"/>
        <w:ind w:leftChars="0" w:firstLine="420" w:firstLineChars="200"/>
        <w:rPr>
          <w:rFonts w:ascii="Times New Roman" w:hAnsi="Times New Roman"/>
          <w:kern w:val="2"/>
          <w:szCs w:val="21"/>
        </w:rPr>
      </w:pPr>
      <w:bookmarkStart w:id="9" w:name="_Toc464728926"/>
      <w:r>
        <w:rPr>
          <w:rFonts w:hint="eastAsia" w:ascii="Times New Roman" w:hAnsi="Times New Roman"/>
          <w:kern w:val="2"/>
          <w:szCs w:val="21"/>
          <w:lang w:val="en-US" w:eastAsia="zh-CN"/>
        </w:rPr>
        <w:t>1）</w:t>
      </w:r>
      <w:r>
        <w:rPr>
          <w:rFonts w:hint="eastAsia" w:ascii="Times New Roman" w:hAnsi="Times New Roman"/>
          <w:kern w:val="2"/>
          <w:szCs w:val="21"/>
        </w:rPr>
        <w:t>本规范是以</w:t>
      </w:r>
      <w:r>
        <w:rPr>
          <w:rFonts w:ascii="Times New Roman" w:hAnsi="Times New Roman"/>
          <w:kern w:val="2"/>
          <w:szCs w:val="21"/>
        </w:rPr>
        <w:t>JJF 1071-2010</w:t>
      </w:r>
      <w:r>
        <w:rPr>
          <w:rFonts w:hint="eastAsia" w:ascii="Times New Roman" w:hAnsi="Times New Roman"/>
          <w:kern w:val="2"/>
          <w:szCs w:val="21"/>
        </w:rPr>
        <w:t>《国家计量校准规范编写规则》、JJF 1001-2011《通用计量术语及定义》和JJF 1059.1-2012《测量不确定度评定与表示》为基础性系列规范进行编写。</w:t>
      </w:r>
      <w:r>
        <w:rPr>
          <w:rFonts w:hint="eastAsia" w:ascii="Times New Roman" w:hAnsi="Times New Roman"/>
          <w:szCs w:val="21"/>
        </w:rPr>
        <w:t xml:space="preserve"> </w:t>
      </w:r>
    </w:p>
    <w:p>
      <w:pPr>
        <w:pStyle w:val="302"/>
        <w:numPr>
          <w:ilvl w:val="0"/>
          <w:numId w:val="0"/>
        </w:numPr>
        <w:spacing w:line="400" w:lineRule="exact"/>
        <w:ind w:leftChars="0" w:firstLine="420" w:firstLineChars="200"/>
        <w:rPr>
          <w:szCs w:val="21"/>
        </w:rPr>
      </w:pPr>
      <w:r>
        <w:rPr>
          <w:rFonts w:hint="eastAsia"/>
          <w:szCs w:val="21"/>
          <w:lang w:val="en-US" w:eastAsia="zh-CN"/>
        </w:rPr>
        <w:t>2）</w:t>
      </w:r>
      <w:r>
        <w:rPr>
          <w:szCs w:val="21"/>
        </w:rPr>
        <w:t>创新性</w:t>
      </w:r>
      <w:r>
        <w:rPr>
          <w:rFonts w:hint="eastAsia"/>
          <w:szCs w:val="21"/>
        </w:rPr>
        <w:t>：目前，针对显微镜的畸变，卡尔蔡司显微镜公司技术人员在我国申请了“具有低畸变像差的显微镜”的发明专利，发明了降低光学显微镜畸变的方法，但没有明确指标要求和测量方法。国内相关国家、行业、地方标准以及计量技术规程/规范没有对显微镜各透镜畸变、不同总放大倍率下目镜中观察图像的畸变以及相应的畸变测量方法做出规定。国外ASTM相关校准规范也未涉及畸变及其测量方法。（自主创新）</w:t>
      </w:r>
    </w:p>
    <w:bookmarkEnd w:id="9"/>
    <w:p>
      <w:pPr>
        <w:pStyle w:val="3"/>
        <w:spacing w:before="156" w:after="156"/>
      </w:pPr>
      <w:bookmarkStart w:id="10" w:name="_Toc23837_WPSOffice_Level1"/>
      <w:bookmarkStart w:id="11" w:name="_Toc193860208"/>
      <w:bookmarkStart w:id="12" w:name="_Toc193860027"/>
      <w:bookmarkStart w:id="13" w:name="_Toc193860177"/>
      <w:bookmarkStart w:id="14" w:name="_Toc500258929"/>
      <w:bookmarkStart w:id="15" w:name="_Toc464728964"/>
      <w:r>
        <w:rPr>
          <w:rFonts w:hint="eastAsia"/>
        </w:rPr>
        <w:t>（二）确定主要内容</w:t>
      </w:r>
    </w:p>
    <w:p>
      <w:pPr>
        <w:pStyle w:val="4"/>
        <w:spacing w:before="156" w:after="156"/>
      </w:pPr>
      <w:r>
        <w:rPr>
          <w:rFonts w:hint="eastAsia"/>
        </w:rPr>
        <w:t>1 范围</w:t>
      </w:r>
      <w:bookmarkEnd w:id="10"/>
      <w:bookmarkEnd w:id="11"/>
      <w:bookmarkEnd w:id="12"/>
      <w:bookmarkEnd w:id="13"/>
      <w:bookmarkEnd w:id="14"/>
    </w:p>
    <w:p>
      <w:pPr>
        <w:spacing w:line="400" w:lineRule="exact"/>
        <w:ind w:firstLine="420" w:firstLineChars="200"/>
        <w:rPr>
          <w:rFonts w:eastAsiaTheme="minorEastAsia"/>
          <w:kern w:val="0"/>
          <w:szCs w:val="21"/>
        </w:rPr>
      </w:pPr>
      <w:r>
        <w:rPr>
          <w:rFonts w:hint="eastAsia" w:eastAsiaTheme="minorEastAsia"/>
          <w:kern w:val="0"/>
          <w:szCs w:val="21"/>
        </w:rPr>
        <w:t>本规范适用于适用于放大倍数不超过2000</w:t>
      </w:r>
      <w:r>
        <w:rPr>
          <w:rFonts w:eastAsiaTheme="minorEastAsia"/>
          <w:kern w:val="0"/>
          <w:szCs w:val="21"/>
        </w:rPr>
        <w:t>×的</w:t>
      </w:r>
      <w:r>
        <w:rPr>
          <w:rFonts w:hint="eastAsia" w:eastAsiaTheme="minorEastAsia"/>
          <w:kern w:val="0"/>
          <w:szCs w:val="21"/>
        </w:rPr>
        <w:t>光学显微镜畸变的校准</w:t>
      </w:r>
      <w:r>
        <w:rPr>
          <w:rFonts w:eastAsiaTheme="minorEastAsia"/>
          <w:kern w:val="0"/>
          <w:szCs w:val="21"/>
        </w:rPr>
        <w:t>，</w:t>
      </w:r>
      <w:r>
        <w:rPr>
          <w:rFonts w:hint="eastAsia" w:eastAsiaTheme="minorEastAsia"/>
          <w:kern w:val="0"/>
          <w:szCs w:val="21"/>
        </w:rPr>
        <w:t>其他类型的光学显微镜可参照本规范进行校准。</w:t>
      </w:r>
    </w:p>
    <w:p>
      <w:pPr>
        <w:pStyle w:val="4"/>
        <w:spacing w:before="156" w:after="156"/>
      </w:pPr>
      <w:bookmarkStart w:id="16" w:name="_Toc193860178"/>
      <w:bookmarkStart w:id="17" w:name="_Toc193860028"/>
      <w:bookmarkStart w:id="18" w:name="_Toc193860209"/>
      <w:bookmarkStart w:id="19" w:name="_Toc7848_WPSOffice_Level1"/>
      <w:bookmarkStart w:id="20" w:name="_Toc500258930"/>
      <w:r>
        <w:rPr>
          <w:rFonts w:hint="eastAsia"/>
        </w:rPr>
        <w:t>2 引用文</w:t>
      </w:r>
      <w:bookmarkEnd w:id="16"/>
      <w:bookmarkEnd w:id="17"/>
      <w:bookmarkEnd w:id="18"/>
      <w:r>
        <w:rPr>
          <w:rFonts w:hint="eastAsia"/>
        </w:rPr>
        <w:t>件</w:t>
      </w:r>
      <w:bookmarkEnd w:id="19"/>
      <w:bookmarkEnd w:id="20"/>
    </w:p>
    <w:p>
      <w:pPr>
        <w:spacing w:line="360" w:lineRule="auto"/>
        <w:ind w:firstLine="420" w:firstLineChars="200"/>
        <w:rPr>
          <w:rFonts w:eastAsiaTheme="minorEastAsia"/>
          <w:kern w:val="0"/>
          <w:szCs w:val="21"/>
        </w:rPr>
      </w:pPr>
      <w:r>
        <w:rPr>
          <w:rFonts w:hint="eastAsia" w:eastAsiaTheme="minorEastAsia"/>
          <w:kern w:val="0"/>
          <w:szCs w:val="21"/>
        </w:rPr>
        <w:t>本规范主要计量特性参数引自</w:t>
      </w:r>
      <w:r>
        <w:rPr>
          <w:szCs w:val="21"/>
        </w:rPr>
        <w:t>JJF 1</w:t>
      </w:r>
      <w:r>
        <w:rPr>
          <w:rFonts w:hint="eastAsia"/>
          <w:szCs w:val="21"/>
        </w:rPr>
        <w:t>914</w:t>
      </w:r>
      <w:r>
        <w:rPr>
          <w:szCs w:val="21"/>
        </w:rPr>
        <w:t xml:space="preserve"> </w:t>
      </w:r>
      <w:r>
        <w:rPr>
          <w:rFonts w:hint="eastAsia"/>
          <w:szCs w:val="21"/>
        </w:rPr>
        <w:t>金相</w:t>
      </w:r>
      <w:r>
        <w:rPr>
          <w:szCs w:val="21"/>
        </w:rPr>
        <w:t>显微镜校准规范</w:t>
      </w:r>
      <w:r>
        <w:rPr>
          <w:rFonts w:hint="eastAsia" w:eastAsiaTheme="minorEastAsia"/>
          <w:kern w:val="0"/>
          <w:szCs w:val="21"/>
        </w:rPr>
        <w:t>。</w:t>
      </w:r>
    </w:p>
    <w:p>
      <w:pPr>
        <w:pStyle w:val="4"/>
        <w:spacing w:before="156" w:after="156"/>
      </w:pPr>
      <w:bookmarkStart w:id="21" w:name="_Toc193860030"/>
      <w:bookmarkStart w:id="22" w:name="_Toc193618952"/>
      <w:bookmarkStart w:id="23" w:name="_Toc193619055"/>
      <w:bookmarkStart w:id="24" w:name="_Toc13054_WPSOffice_Level1"/>
      <w:bookmarkStart w:id="25" w:name="_Toc500258937"/>
      <w:bookmarkStart w:id="26" w:name="_Toc193860180"/>
      <w:bookmarkStart w:id="27" w:name="_Toc193619097"/>
      <w:bookmarkStart w:id="28" w:name="_Toc193860211"/>
      <w:r>
        <w:rPr>
          <w:rFonts w:hint="eastAsia"/>
        </w:rPr>
        <w:t>3 概述</w:t>
      </w:r>
      <w:bookmarkEnd w:id="21"/>
      <w:bookmarkEnd w:id="22"/>
      <w:bookmarkEnd w:id="23"/>
      <w:bookmarkEnd w:id="24"/>
      <w:bookmarkEnd w:id="25"/>
      <w:bookmarkEnd w:id="26"/>
      <w:bookmarkEnd w:id="27"/>
      <w:bookmarkEnd w:id="28"/>
    </w:p>
    <w:p>
      <w:pPr>
        <w:autoSpaceDE w:val="0"/>
        <w:autoSpaceDN w:val="0"/>
        <w:adjustRightInd w:val="0"/>
        <w:spacing w:line="440" w:lineRule="exact"/>
        <w:ind w:firstLine="420" w:firstLineChars="200"/>
        <w:rPr>
          <w:rFonts w:eastAsiaTheme="minorEastAsia"/>
          <w:color w:val="FF0000"/>
          <w:kern w:val="0"/>
          <w:szCs w:val="21"/>
        </w:rPr>
      </w:pPr>
      <w:r>
        <w:rPr>
          <w:rFonts w:hint="eastAsia" w:eastAsiaTheme="minorEastAsia"/>
          <w:szCs w:val="21"/>
        </w:rPr>
        <w:t>光学显微镜是进行材料微观检测分析的重要设备，由物镜、中间透镜和目镜组成，其总放大倍率一般小于2000×被广泛应用于生物、医学、地矿、材料、纺织等领域。由于透镜材料的特性或折射或反射表面的几何形状的原因，在光学显微镜中观察到的实际像与理想像的存在一定的像差，即光学显微镜的畸变。由于透镜材料的特性或折射或反射表面的几何形状的原因，在光学显微镜中观察到的实际像与理想像的存在一定的像差，即光学显微镜的畸变。光学显微镜的畸变分为桶形畸变、枕形畸变和透视畸变。</w:t>
      </w:r>
      <w:r>
        <w:rPr>
          <w:rFonts w:eastAsiaTheme="minorEastAsia"/>
          <w:color w:val="FF0000"/>
          <w:kern w:val="0"/>
          <w:szCs w:val="21"/>
        </w:rPr>
        <w:t xml:space="preserve"> </w:t>
      </w:r>
    </w:p>
    <w:p>
      <w:pPr>
        <w:pStyle w:val="4"/>
        <w:spacing w:before="156" w:after="156"/>
      </w:pPr>
      <w:bookmarkStart w:id="29" w:name="_Toc500258938"/>
      <w:bookmarkStart w:id="30" w:name="_Toc193860031"/>
      <w:bookmarkStart w:id="31" w:name="_Toc193619098"/>
      <w:bookmarkStart w:id="32" w:name="_Toc19851_WPSOffice_Level1"/>
      <w:bookmarkStart w:id="33" w:name="_Toc193619056"/>
      <w:bookmarkStart w:id="34" w:name="_Toc193860212"/>
      <w:bookmarkStart w:id="35" w:name="_Toc193860181"/>
      <w:bookmarkStart w:id="36" w:name="_Toc193618953"/>
      <w:r>
        <w:t>4</w:t>
      </w:r>
      <w:r>
        <w:rPr>
          <w:rFonts w:hint="eastAsia"/>
        </w:rPr>
        <w:t>计量特性</w:t>
      </w:r>
      <w:bookmarkEnd w:id="29"/>
      <w:bookmarkEnd w:id="30"/>
      <w:bookmarkEnd w:id="31"/>
      <w:bookmarkEnd w:id="32"/>
      <w:bookmarkEnd w:id="33"/>
      <w:bookmarkEnd w:id="34"/>
      <w:bookmarkEnd w:id="35"/>
      <w:bookmarkEnd w:id="36"/>
    </w:p>
    <w:p>
      <w:pPr>
        <w:spacing w:line="400" w:lineRule="exact"/>
      </w:pPr>
      <w:bookmarkStart w:id="37" w:name="_Toc25829_WPSOffice_Level1"/>
      <w:r>
        <w:rPr>
          <w:rFonts w:hint="eastAsia" w:eastAsiaTheme="minorEastAsia"/>
        </w:rPr>
        <w:t>4.1</w:t>
      </w:r>
      <w:r>
        <w:rPr>
          <w:rFonts w:eastAsiaTheme="minorEastAsia"/>
        </w:rPr>
        <w:t>显微镜总放大倍数相对误差</w:t>
      </w:r>
      <w:r>
        <w:object>
          <v:shape id="_x0000_i1028" o:spt="75" type="#_x0000_t75" style="height:19pt;width:18.3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p>
    <w:p>
      <w:pPr>
        <w:spacing w:line="400" w:lineRule="exact"/>
        <w:ind w:firstLine="420" w:firstLineChars="200"/>
      </w:pPr>
      <w:r>
        <w:t>总放大倍数相对误差一般不超过±5 %（见JJF 1914-2022要求）。</w:t>
      </w:r>
    </w:p>
    <w:p>
      <w:pPr>
        <w:spacing w:line="400" w:lineRule="exact"/>
      </w:pPr>
      <w:bookmarkStart w:id="38" w:name="_Toc159342858"/>
      <w:r>
        <w:rPr>
          <w:rFonts w:hint="eastAsia"/>
        </w:rPr>
        <w:t>4.2</w:t>
      </w:r>
      <w:r>
        <w:t>显微镜目镜观察图像上的相对畸变</w:t>
      </w:r>
      <w:r>
        <w:rPr>
          <w:i/>
          <w:iCs/>
        </w:rPr>
        <w:t>q</w:t>
      </w:r>
      <w:r>
        <w:rPr>
          <w:iCs/>
          <w:vertAlign w:val="subscript"/>
        </w:rPr>
        <w:t>目</w:t>
      </w:r>
      <w:bookmarkEnd w:id="38"/>
    </w:p>
    <w:p>
      <w:pPr>
        <w:spacing w:line="400" w:lineRule="exact"/>
        <w:ind w:firstLine="420" w:firstLineChars="200"/>
        <w:rPr>
          <w:rFonts w:eastAsiaTheme="minorEastAsia"/>
          <w:kern w:val="0"/>
        </w:rPr>
      </w:pPr>
      <w:r>
        <w:rPr>
          <w:rFonts w:eastAsiaTheme="minorEastAsia"/>
          <w:kern w:val="0"/>
        </w:rPr>
        <w:t>显微镜目镜观察图像相对畸变的最大允许误差一般不超过±4%。</w:t>
      </w:r>
    </w:p>
    <w:p>
      <w:pPr>
        <w:spacing w:line="400" w:lineRule="exact"/>
        <w:rPr>
          <w:iCs/>
          <w:vertAlign w:val="subscript"/>
        </w:rPr>
      </w:pPr>
      <w:bookmarkStart w:id="39" w:name="_Toc159342859"/>
      <w:r>
        <w:rPr>
          <w:rFonts w:hint="eastAsia"/>
        </w:rPr>
        <w:t>4.3</w:t>
      </w:r>
      <w:r>
        <w:t>显示器（屏）图像上的相对畸变</w:t>
      </w:r>
      <w:r>
        <w:rPr>
          <w:i/>
          <w:iCs/>
        </w:rPr>
        <w:t>q</w:t>
      </w:r>
      <w:r>
        <w:rPr>
          <w:iCs/>
          <w:vertAlign w:val="subscript"/>
        </w:rPr>
        <w:t>屏</w:t>
      </w:r>
      <w:bookmarkEnd w:id="39"/>
    </w:p>
    <w:p>
      <w:pPr>
        <w:spacing w:line="400" w:lineRule="exact"/>
        <w:ind w:firstLine="420" w:firstLineChars="200"/>
        <w:rPr>
          <w:iCs/>
          <w:vertAlign w:val="subscript"/>
        </w:rPr>
      </w:pPr>
      <w:r>
        <w:rPr>
          <w:rFonts w:eastAsiaTheme="minorEastAsia"/>
          <w:kern w:val="0"/>
        </w:rPr>
        <w:t>显示器（屏）图像上相对畸变的最大允许误差一般不超过±4%。</w:t>
      </w:r>
    </w:p>
    <w:p>
      <w:pPr>
        <w:pStyle w:val="4"/>
        <w:spacing w:before="156" w:after="156"/>
      </w:pPr>
      <w:r>
        <w:t>5</w:t>
      </w:r>
      <w:r>
        <w:rPr>
          <w:rFonts w:hint="eastAsia"/>
        </w:rPr>
        <w:t xml:space="preserve"> 校准条件</w:t>
      </w:r>
      <w:bookmarkEnd w:id="37"/>
      <w:bookmarkStart w:id="40" w:name="_Toc500258942"/>
      <w:bookmarkStart w:id="41" w:name="_Toc193860214"/>
      <w:bookmarkStart w:id="42" w:name="_Toc193860183"/>
      <w:bookmarkStart w:id="43" w:name="_Toc193860033"/>
    </w:p>
    <w:p>
      <w:pPr>
        <w:spacing w:line="400" w:lineRule="exact"/>
        <w:ind w:firstLine="420" w:firstLineChars="200"/>
        <w:rPr>
          <w:rFonts w:eastAsiaTheme="minorEastAsia"/>
          <w:szCs w:val="21"/>
        </w:rPr>
      </w:pPr>
      <w:r>
        <w:rPr>
          <w:rFonts w:hint="eastAsia" w:eastAsiaTheme="minorEastAsia"/>
          <w:szCs w:val="21"/>
        </w:rPr>
        <w:t>校准前，实验室环境条件温度、湿度、温度波动度应满足要求，测量标准和被校仪器同时置于仪器工作台上，平衡温度一定时间。</w:t>
      </w:r>
    </w:p>
    <w:bookmarkEnd w:id="40"/>
    <w:bookmarkEnd w:id="41"/>
    <w:bookmarkEnd w:id="42"/>
    <w:bookmarkEnd w:id="43"/>
    <w:p>
      <w:pPr>
        <w:pStyle w:val="4"/>
        <w:spacing w:before="156" w:after="156"/>
      </w:pPr>
      <w:bookmarkStart w:id="44" w:name="_Toc2741_WPSOffice_Level1"/>
      <w:bookmarkStart w:id="45" w:name="_Toc500258944"/>
      <w:bookmarkStart w:id="46" w:name="_Toc193619100"/>
      <w:bookmarkStart w:id="47" w:name="_Toc193619058"/>
      <w:bookmarkStart w:id="48" w:name="_Toc193860185"/>
      <w:bookmarkStart w:id="49" w:name="_Toc193860216"/>
      <w:bookmarkStart w:id="50" w:name="_Toc193860035"/>
      <w:bookmarkStart w:id="51" w:name="_Toc193618955"/>
      <w:r>
        <w:t>6</w:t>
      </w:r>
      <w:r>
        <w:rPr>
          <w:rFonts w:hint="eastAsia"/>
        </w:rPr>
        <w:t>校准项目和校准方法</w:t>
      </w:r>
      <w:bookmarkEnd w:id="44"/>
      <w:bookmarkEnd w:id="45"/>
      <w:bookmarkEnd w:id="46"/>
      <w:bookmarkEnd w:id="47"/>
      <w:bookmarkEnd w:id="48"/>
      <w:bookmarkEnd w:id="49"/>
      <w:bookmarkEnd w:id="50"/>
      <w:bookmarkEnd w:id="51"/>
    </w:p>
    <w:p>
      <w:pPr>
        <w:spacing w:line="400" w:lineRule="exact"/>
        <w:ind w:firstLine="420" w:firstLineChars="200"/>
        <w:rPr>
          <w:rFonts w:eastAsiaTheme="minorEastAsia"/>
          <w:szCs w:val="21"/>
        </w:rPr>
      </w:pPr>
      <w:bookmarkStart w:id="52" w:name="_Toc22718_WPSOffice_Level2"/>
      <w:bookmarkStart w:id="53" w:name="_Toc500258945"/>
      <w:r>
        <w:rPr>
          <w:rFonts w:hint="eastAsia" w:eastAsiaTheme="minorEastAsia"/>
          <w:szCs w:val="21"/>
        </w:rPr>
        <w:t>校准项目包含显微镜总放大倍数；显微镜目镜观察图像上的特定方向的相对畸变q目；显示器（屏）图像上的相对畸变q屏以及具体的校准方法。</w:t>
      </w:r>
      <w:bookmarkEnd w:id="52"/>
      <w:bookmarkEnd w:id="53"/>
      <w:bookmarkStart w:id="54" w:name="_Toc193860188"/>
      <w:bookmarkStart w:id="55" w:name="_Toc193860219"/>
      <w:bookmarkStart w:id="56" w:name="_Toc193619101"/>
      <w:bookmarkStart w:id="57" w:name="_Toc193619059"/>
      <w:bookmarkStart w:id="58" w:name="_Toc193860038"/>
      <w:bookmarkStart w:id="59" w:name="_Toc193618956"/>
      <w:bookmarkStart w:id="60" w:name="_Toc500258947"/>
      <w:bookmarkStart w:id="61" w:name="_Toc25466_WPSOffice_Level1"/>
    </w:p>
    <w:p>
      <w:pPr>
        <w:pStyle w:val="4"/>
        <w:spacing w:before="156" w:after="156"/>
      </w:pPr>
      <w:r>
        <w:t>7</w:t>
      </w:r>
      <w:r>
        <w:rPr>
          <w:rFonts w:hint="eastAsia"/>
        </w:rPr>
        <w:t>校准结果</w:t>
      </w:r>
      <w:bookmarkEnd w:id="54"/>
      <w:bookmarkEnd w:id="55"/>
      <w:bookmarkEnd w:id="56"/>
      <w:bookmarkEnd w:id="57"/>
      <w:bookmarkEnd w:id="58"/>
      <w:bookmarkEnd w:id="59"/>
      <w:r>
        <w:rPr>
          <w:rFonts w:hint="eastAsia"/>
        </w:rPr>
        <w:t>表达</w:t>
      </w:r>
      <w:bookmarkEnd w:id="60"/>
      <w:bookmarkEnd w:id="61"/>
    </w:p>
    <w:p>
      <w:pPr>
        <w:pStyle w:val="58"/>
        <w:spacing w:line="400" w:lineRule="exact"/>
        <w:ind w:firstLine="420"/>
        <w:rPr>
          <w:rFonts w:ascii="Times New Roman" w:hAnsi="Times New Roman" w:eastAsiaTheme="minorEastAsia"/>
          <w:kern w:val="2"/>
          <w:szCs w:val="21"/>
        </w:rPr>
      </w:pPr>
      <w:r>
        <w:rPr>
          <w:rFonts w:hint="eastAsia" w:ascii="Times New Roman" w:hAnsi="Times New Roman" w:eastAsiaTheme="minorEastAsia"/>
          <w:kern w:val="2"/>
          <w:szCs w:val="21"/>
        </w:rPr>
        <w:t>根据实验室环境要求、校准项目校准结果、测量不确定度评定结果等，按照推荐的校准报告格式，出具校准证书。</w:t>
      </w:r>
    </w:p>
    <w:p>
      <w:pPr>
        <w:pStyle w:val="4"/>
        <w:spacing w:before="156" w:after="156"/>
      </w:pPr>
      <w:bookmarkStart w:id="62" w:name="_Toc193860040"/>
      <w:bookmarkStart w:id="63" w:name="_Toc193860220"/>
      <w:bookmarkStart w:id="64" w:name="_Toc193860189"/>
      <w:bookmarkStart w:id="65" w:name="_Toc14803_WPSOffice_Level1"/>
      <w:bookmarkStart w:id="66" w:name="_Toc5529"/>
      <w:bookmarkStart w:id="67" w:name="_Toc193860041"/>
      <w:r>
        <w:t>8</w:t>
      </w:r>
      <w:r>
        <w:rPr>
          <w:rFonts w:hint="eastAsia"/>
        </w:rPr>
        <w:t xml:space="preserve"> 复校</w:t>
      </w:r>
      <w:bookmarkEnd w:id="62"/>
      <w:bookmarkEnd w:id="63"/>
      <w:bookmarkEnd w:id="64"/>
      <w:bookmarkEnd w:id="65"/>
      <w:bookmarkEnd w:id="66"/>
      <w:r>
        <w:rPr>
          <w:rFonts w:hint="eastAsia"/>
        </w:rPr>
        <w:t>时间间隔</w:t>
      </w:r>
    </w:p>
    <w:bookmarkEnd w:id="67"/>
    <w:p>
      <w:pPr>
        <w:pStyle w:val="58"/>
        <w:spacing w:line="400" w:lineRule="exact"/>
        <w:ind w:firstLine="420"/>
        <w:rPr>
          <w:rFonts w:ascii="Times New Roman" w:hAnsi="Times New Roman" w:eastAsiaTheme="minorEastAsia"/>
          <w:kern w:val="2"/>
          <w:szCs w:val="21"/>
        </w:rPr>
      </w:pPr>
      <w:r>
        <w:rPr>
          <w:rFonts w:hint="eastAsia" w:ascii="Times New Roman" w:hAnsi="Times New Roman" w:eastAsiaTheme="minorEastAsia"/>
          <w:kern w:val="2"/>
          <w:szCs w:val="21"/>
        </w:rPr>
        <w:t>建议复校时间间隔为</w:t>
      </w:r>
      <w:r>
        <w:rPr>
          <w:rFonts w:ascii="Times New Roman" w:hAnsi="Times New Roman" w:eastAsiaTheme="minorEastAsia"/>
          <w:kern w:val="2"/>
          <w:szCs w:val="21"/>
        </w:rPr>
        <w:t>1</w:t>
      </w:r>
      <w:r>
        <w:rPr>
          <w:rFonts w:hint="eastAsia" w:ascii="Times New Roman" w:hAnsi="Times New Roman" w:eastAsiaTheme="minorEastAsia"/>
          <w:kern w:val="2"/>
          <w:szCs w:val="21"/>
        </w:rPr>
        <w:t>年。标定器使用频繁时应适当缩短周期，在使用过程中标定器经过修理、更换重要部件的应重新校准。</w:t>
      </w:r>
    </w:p>
    <w:p>
      <w:pPr>
        <w:pStyle w:val="4"/>
        <w:spacing w:before="156" w:after="156"/>
      </w:pPr>
      <w:r>
        <w:t>9</w:t>
      </w:r>
      <w:r>
        <w:rPr>
          <w:rFonts w:hint="eastAsia"/>
        </w:rPr>
        <w:t>附录</w:t>
      </w:r>
    </w:p>
    <w:p>
      <w:pPr>
        <w:pStyle w:val="58"/>
        <w:spacing w:line="400" w:lineRule="exact"/>
        <w:ind w:firstLine="420"/>
        <w:rPr>
          <w:rFonts w:hint="eastAsia" w:ascii="Times New Roman" w:hAnsi="Times New Roman" w:eastAsiaTheme="minorEastAsia"/>
          <w:kern w:val="2"/>
          <w:szCs w:val="21"/>
        </w:rPr>
      </w:pPr>
      <w:r>
        <w:rPr>
          <w:rFonts w:hint="eastAsia" w:ascii="Times New Roman" w:hAnsi="Times New Roman" w:eastAsiaTheme="minorEastAsia"/>
          <w:kern w:val="2"/>
          <w:szCs w:val="21"/>
        </w:rPr>
        <w:t>附录主要包含校准原始记录参考格式、校准证书内页参考格式、显微镜畸变测量结果测量结果不确定度评定示例、标准器规格、畸变测量系统畸变校准。</w:t>
      </w:r>
    </w:p>
    <w:p>
      <w:pPr>
        <w:adjustRightInd w:val="0"/>
        <w:snapToGrid w:val="0"/>
        <w:spacing w:line="400" w:lineRule="exact"/>
        <w:ind w:firstLine="420" w:firstLineChars="200"/>
        <w:rPr>
          <w:bCs/>
        </w:rPr>
      </w:pPr>
      <w:r>
        <w:rPr>
          <w:rFonts w:hint="eastAsia"/>
          <w:bCs/>
        </w:rPr>
        <w:t>设置了5个附录，便于校准时参考和规范化。</w:t>
      </w:r>
    </w:p>
    <w:p>
      <w:pPr>
        <w:pStyle w:val="58"/>
        <w:spacing w:line="400" w:lineRule="exact"/>
        <w:ind w:firstLine="420"/>
        <w:rPr>
          <w:rFonts w:hint="eastAsia" w:ascii="Times New Roman" w:hAnsi="Times New Roman" w:eastAsiaTheme="minorEastAsia"/>
          <w:kern w:val="2"/>
          <w:szCs w:val="21"/>
        </w:rPr>
      </w:pPr>
      <w:r>
        <w:rPr>
          <w:rFonts w:ascii="Times New Roman" w:hAnsi="Times New Roman" w:eastAsiaTheme="minorEastAsia"/>
          <w:kern w:val="2"/>
          <w:szCs w:val="21"/>
        </w:rPr>
        <w:t>附录A</w:t>
      </w:r>
      <w:r>
        <w:rPr>
          <w:rFonts w:hint="eastAsia" w:ascii="Times New Roman" w:hAnsi="Times New Roman" w:eastAsiaTheme="minorEastAsia"/>
          <w:kern w:val="2"/>
          <w:szCs w:val="21"/>
        </w:rPr>
        <w:t xml:space="preserve"> </w:t>
      </w:r>
      <w:r>
        <w:rPr>
          <w:rFonts w:hint="eastAsia" w:ascii="Times New Roman" w:hAnsi="Times New Roman"/>
          <w:bCs/>
          <w:kern w:val="2"/>
          <w:szCs w:val="24"/>
        </w:rPr>
        <w:t>线纹尺技术规格</w:t>
      </w:r>
    </w:p>
    <w:p>
      <w:pPr>
        <w:pStyle w:val="58"/>
        <w:spacing w:line="400" w:lineRule="exact"/>
        <w:ind w:firstLine="420"/>
        <w:rPr>
          <w:rFonts w:hint="eastAsia" w:ascii="黑体" w:hAnsi="黑体" w:eastAsia="黑体"/>
          <w:sz w:val="24"/>
          <w:szCs w:val="24"/>
        </w:rPr>
      </w:pPr>
      <w:r>
        <w:rPr>
          <w:rFonts w:hint="eastAsia" w:ascii="Times New Roman" w:hAnsi="Times New Roman" w:eastAsiaTheme="minorEastAsia"/>
          <w:kern w:val="2"/>
          <w:szCs w:val="21"/>
        </w:rPr>
        <w:t xml:space="preserve">附录B </w:t>
      </w:r>
      <w:r>
        <w:rPr>
          <w:rFonts w:hint="eastAsia" w:ascii="Times New Roman" w:hAnsi="Times New Roman"/>
          <w:bCs/>
          <w:kern w:val="2"/>
          <w:szCs w:val="24"/>
        </w:rPr>
        <w:t>畸变测量系统畸变校准</w:t>
      </w:r>
    </w:p>
    <w:p>
      <w:pPr>
        <w:pStyle w:val="58"/>
        <w:spacing w:line="400" w:lineRule="exact"/>
        <w:ind w:firstLine="420"/>
        <w:rPr>
          <w:rFonts w:hint="eastAsia" w:ascii="Times New Roman" w:hAnsi="Times New Roman"/>
          <w:bCs/>
          <w:kern w:val="2"/>
          <w:szCs w:val="24"/>
        </w:rPr>
      </w:pPr>
      <w:r>
        <w:rPr>
          <w:rFonts w:hint="eastAsia" w:ascii="Times New Roman" w:hAnsi="Times New Roman" w:eastAsiaTheme="minorEastAsia"/>
          <w:kern w:val="2"/>
          <w:szCs w:val="21"/>
        </w:rPr>
        <w:t>附录C</w:t>
      </w:r>
      <w:bookmarkStart w:id="68" w:name="_Toc15031_WPSOffice_Level2"/>
      <w:bookmarkStart w:id="69" w:name="_Toc18788_WPSOffice_Level2"/>
      <w:r>
        <w:rPr>
          <w:rFonts w:hint="eastAsia" w:ascii="Times New Roman" w:hAnsi="Times New Roman" w:eastAsiaTheme="minorEastAsia"/>
          <w:kern w:val="2"/>
          <w:szCs w:val="21"/>
        </w:rPr>
        <w:t xml:space="preserve"> </w:t>
      </w:r>
      <w:r>
        <w:rPr>
          <w:rFonts w:hint="eastAsia" w:ascii="Times New Roman" w:hAnsi="Times New Roman"/>
          <w:bCs/>
          <w:kern w:val="2"/>
          <w:szCs w:val="24"/>
        </w:rPr>
        <w:t>校准原始记录参考格式</w:t>
      </w:r>
      <w:bookmarkEnd w:id="68"/>
      <w:bookmarkEnd w:id="69"/>
    </w:p>
    <w:p>
      <w:pPr>
        <w:pStyle w:val="58"/>
        <w:spacing w:line="400" w:lineRule="exact"/>
        <w:ind w:firstLine="420"/>
        <w:rPr>
          <w:rFonts w:hint="eastAsia" w:ascii="Times New Roman" w:hAnsi="Times New Roman"/>
          <w:bCs/>
          <w:kern w:val="2"/>
          <w:szCs w:val="24"/>
        </w:rPr>
      </w:pPr>
      <w:r>
        <w:rPr>
          <w:rFonts w:hint="eastAsia" w:ascii="Times New Roman" w:hAnsi="Times New Roman"/>
          <w:bCs/>
          <w:kern w:val="2"/>
          <w:szCs w:val="24"/>
        </w:rPr>
        <w:t>附录D</w:t>
      </w:r>
      <w:r>
        <w:rPr>
          <w:rFonts w:hint="eastAsia"/>
          <w:bCs/>
        </w:rPr>
        <w:t xml:space="preserve"> </w:t>
      </w:r>
      <w:r>
        <w:rPr>
          <w:rFonts w:hint="eastAsia" w:ascii="Times New Roman" w:hAnsi="Times New Roman"/>
          <w:bCs/>
        </w:rPr>
        <w:t>校准证书内页参考格式</w:t>
      </w:r>
    </w:p>
    <w:p>
      <w:pPr>
        <w:pStyle w:val="58"/>
        <w:spacing w:line="400" w:lineRule="exact"/>
        <w:ind w:firstLine="420"/>
        <w:rPr>
          <w:rFonts w:ascii="Times New Roman" w:hAnsi="Times New Roman"/>
          <w:bCs/>
          <w:kern w:val="2"/>
          <w:szCs w:val="24"/>
        </w:rPr>
      </w:pPr>
      <w:r>
        <w:rPr>
          <w:rFonts w:ascii="Times New Roman" w:hAnsi="Times New Roman"/>
          <w:bCs/>
          <w:kern w:val="2"/>
          <w:szCs w:val="24"/>
        </w:rPr>
        <w:t>附录E</w:t>
      </w:r>
      <w:bookmarkStart w:id="70" w:name="_Toc20189_WPSOffice_Level1"/>
      <w:bookmarkStart w:id="71" w:name="_Toc23687_WPSOffice_Level1"/>
      <w:r>
        <w:rPr>
          <w:rFonts w:hint="eastAsia" w:ascii="Times New Roman" w:hAnsi="Times New Roman"/>
          <w:bCs/>
          <w:kern w:val="2"/>
          <w:szCs w:val="24"/>
        </w:rPr>
        <w:t xml:space="preserve"> 显微镜畸变测量结果不确定度评定</w:t>
      </w:r>
      <w:bookmarkEnd w:id="70"/>
      <w:bookmarkEnd w:id="71"/>
      <w:r>
        <w:rPr>
          <w:rFonts w:hint="eastAsia" w:ascii="Times New Roman" w:hAnsi="Times New Roman"/>
          <w:bCs/>
          <w:kern w:val="2"/>
          <w:szCs w:val="24"/>
        </w:rPr>
        <w:t>示例</w:t>
      </w:r>
    </w:p>
    <w:bookmarkEnd w:id="1"/>
    <w:bookmarkEnd w:id="15"/>
    <w:p>
      <w:pPr>
        <w:pStyle w:val="2"/>
        <w:spacing w:before="156" w:after="156"/>
      </w:pPr>
      <w:bookmarkStart w:id="72" w:name="_Toc464728965"/>
      <w:r>
        <w:rPr>
          <w:rFonts w:hint="eastAsia"/>
        </w:rPr>
        <w:t>三、规范水平分析</w:t>
      </w:r>
      <w:bookmarkEnd w:id="72"/>
    </w:p>
    <w:p>
      <w:pPr>
        <w:adjustRightInd w:val="0"/>
        <w:spacing w:line="400" w:lineRule="exact"/>
        <w:ind w:firstLine="420" w:firstLineChars="200"/>
        <w:rPr>
          <w:bCs/>
          <w:szCs w:val="21"/>
        </w:rPr>
      </w:pPr>
      <w:r>
        <w:rPr>
          <w:rFonts w:hint="eastAsia"/>
          <w:bCs/>
          <w:szCs w:val="21"/>
        </w:rPr>
        <w:t>据查，目前国内外没有针对光学</w:t>
      </w:r>
      <w:r>
        <w:rPr>
          <w:rFonts w:hint="eastAsia" w:eastAsiaTheme="minorEastAsia"/>
          <w:szCs w:val="21"/>
        </w:rPr>
        <w:t>显微镜畸变</w:t>
      </w:r>
      <w:r>
        <w:rPr>
          <w:rFonts w:hint="eastAsia"/>
          <w:bCs/>
          <w:szCs w:val="21"/>
        </w:rPr>
        <w:t>的校准规范，计量检测机构也未开展该类仪器项目的检定校准。目前国外没有相关技术规范，本规范水平达到国外先进水平。</w:t>
      </w:r>
    </w:p>
    <w:p>
      <w:pPr>
        <w:pStyle w:val="2"/>
        <w:spacing w:before="156" w:after="156"/>
      </w:pPr>
      <w:r>
        <w:rPr>
          <w:rFonts w:hint="eastAsia"/>
        </w:rPr>
        <w:t>四、与有关的现行法律、法规和强制性国家标准的关系</w:t>
      </w:r>
    </w:p>
    <w:p>
      <w:pPr>
        <w:pStyle w:val="58"/>
        <w:spacing w:line="400" w:lineRule="exact"/>
        <w:ind w:firstLine="420"/>
        <w:rPr>
          <w:rFonts w:ascii="Times New Roman" w:hAnsi="Times New Roman"/>
        </w:rPr>
      </w:pPr>
      <w:r>
        <w:rPr>
          <w:rFonts w:hint="eastAsia" w:ascii="Times New Roman" w:hAnsi="Times New Roman"/>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2"/>
        <w:spacing w:before="156" w:after="156"/>
      </w:pPr>
      <w:bookmarkStart w:id="73" w:name="_Toc464728973"/>
      <w:r>
        <w:rPr>
          <w:rFonts w:hint="eastAsia"/>
        </w:rPr>
        <w:t>五、规范中涉及的专利或知识产权说明</w:t>
      </w:r>
      <w:bookmarkEnd w:id="73"/>
    </w:p>
    <w:p>
      <w:pPr>
        <w:pStyle w:val="58"/>
        <w:spacing w:line="300" w:lineRule="auto"/>
        <w:ind w:firstLineChars="0"/>
        <w:contextualSpacing/>
        <w:rPr>
          <w:rFonts w:ascii="Times New Roman" w:hAnsi="Times New Roman"/>
          <w:szCs w:val="21"/>
        </w:rPr>
      </w:pPr>
      <w:bookmarkStart w:id="74" w:name="_Toc464728974"/>
      <w:r>
        <w:rPr>
          <w:rFonts w:hint="eastAsia" w:ascii="Times New Roman" w:hAnsi="Times New Roman"/>
          <w:szCs w:val="21"/>
        </w:rPr>
        <w:t>（无）</w:t>
      </w:r>
    </w:p>
    <w:p>
      <w:pPr>
        <w:pStyle w:val="2"/>
        <w:spacing w:before="156" w:after="156"/>
      </w:pPr>
      <w:r>
        <w:rPr>
          <w:rFonts w:hint="eastAsia"/>
        </w:rPr>
        <w:t>六、重大分歧意见的处理经过和依据</w:t>
      </w:r>
      <w:bookmarkEnd w:id="74"/>
    </w:p>
    <w:p>
      <w:pPr>
        <w:pStyle w:val="58"/>
        <w:spacing w:line="300" w:lineRule="auto"/>
        <w:ind w:firstLine="420"/>
        <w:contextualSpacing/>
        <w:rPr>
          <w:rFonts w:ascii="Times New Roman" w:hAnsi="Times New Roman"/>
          <w:szCs w:val="21"/>
        </w:rPr>
      </w:pPr>
      <w:r>
        <w:rPr>
          <w:rFonts w:hint="eastAsia" w:ascii="Times New Roman" w:hAnsi="Times New Roman"/>
          <w:szCs w:val="21"/>
        </w:rPr>
        <w:t>（无）</w:t>
      </w:r>
    </w:p>
    <w:p>
      <w:pPr>
        <w:pStyle w:val="2"/>
        <w:spacing w:before="156" w:after="156"/>
      </w:pPr>
      <w:r>
        <w:rPr>
          <w:rFonts w:hint="eastAsia"/>
        </w:rPr>
        <w:t>七、规范作为强制性或推荐性国家（或行业）标准的建议</w:t>
      </w:r>
    </w:p>
    <w:p>
      <w:pPr>
        <w:adjustRightInd w:val="0"/>
        <w:spacing w:line="400" w:lineRule="exact"/>
        <w:ind w:firstLine="420" w:firstLineChars="200"/>
        <w:rPr>
          <w:bCs/>
          <w:szCs w:val="21"/>
        </w:rPr>
      </w:pPr>
      <w:r>
        <w:rPr>
          <w:rFonts w:hint="eastAsia"/>
          <w:bCs/>
          <w:szCs w:val="21"/>
        </w:rPr>
        <w:t>建议本规范作为推荐性行业计量技术规范，供相关行业参考采用。</w:t>
      </w:r>
    </w:p>
    <w:p>
      <w:pPr>
        <w:pStyle w:val="2"/>
        <w:spacing w:before="156" w:after="156"/>
      </w:pPr>
      <w:bookmarkStart w:id="75" w:name="_Toc464728976"/>
      <w:r>
        <w:rPr>
          <w:rFonts w:hint="eastAsia"/>
        </w:rPr>
        <w:t>八、贯彻规范的要求和措施建议</w:t>
      </w:r>
      <w:bookmarkEnd w:id="75"/>
    </w:p>
    <w:p>
      <w:pPr>
        <w:pStyle w:val="58"/>
        <w:spacing w:line="400" w:lineRule="exact"/>
        <w:ind w:firstLine="420"/>
        <w:contextualSpacing/>
        <w:rPr>
          <w:rFonts w:ascii="Times New Roman" w:hAnsi="Times New Roman"/>
          <w:szCs w:val="21"/>
        </w:rPr>
      </w:pPr>
      <w:r>
        <w:rPr>
          <w:rFonts w:hint="eastAsia" w:ascii="Times New Roman" w:hAnsi="Times New Roman"/>
          <w:szCs w:val="21"/>
        </w:rPr>
        <w:t>本规范发布后，中国有色金属行业协会和有色金属行业计量技术委员会应加强本规范的宣传力度，以促进我国企业的技术进步和产品质量上档次，提高我国产品在国际国内市场的竞争能力。</w:t>
      </w:r>
    </w:p>
    <w:p>
      <w:pPr>
        <w:pStyle w:val="2"/>
        <w:spacing w:before="156" w:after="156"/>
      </w:pPr>
      <w:bookmarkStart w:id="76" w:name="_Toc464728977"/>
      <w:r>
        <w:rPr>
          <w:rFonts w:hint="eastAsia"/>
        </w:rPr>
        <w:t>九、废止现行有关规范的建议</w:t>
      </w:r>
      <w:bookmarkEnd w:id="76"/>
    </w:p>
    <w:p>
      <w:pPr>
        <w:pStyle w:val="58"/>
        <w:spacing w:line="300" w:lineRule="auto"/>
        <w:ind w:firstLine="420"/>
        <w:contextualSpacing/>
        <w:rPr>
          <w:rFonts w:ascii="Times New Roman" w:hAnsi="Times New Roman"/>
          <w:szCs w:val="21"/>
        </w:rPr>
      </w:pPr>
      <w:r>
        <w:rPr>
          <w:rFonts w:hint="eastAsia" w:ascii="Times New Roman" w:hAnsi="Times New Roman"/>
          <w:szCs w:val="21"/>
        </w:rPr>
        <w:t>（无）。</w:t>
      </w:r>
    </w:p>
    <w:p>
      <w:pPr>
        <w:pStyle w:val="2"/>
        <w:spacing w:before="156" w:after="156"/>
      </w:pPr>
      <w:r>
        <w:rPr>
          <w:rFonts w:hint="eastAsia"/>
        </w:rPr>
        <w:t>十、预期效果</w:t>
      </w:r>
    </w:p>
    <w:p>
      <w:pPr>
        <w:pStyle w:val="58"/>
        <w:spacing w:line="400" w:lineRule="exact"/>
        <w:ind w:firstLineChars="0"/>
        <w:contextualSpacing/>
        <w:rPr>
          <w:rFonts w:ascii="Times New Roman" w:hAnsi="Times New Roman"/>
          <w:szCs w:val="21"/>
        </w:rPr>
      </w:pPr>
      <w:r>
        <w:rPr>
          <w:rFonts w:hint="eastAsia" w:ascii="Times New Roman" w:hAnsi="Times New Roman"/>
          <w:szCs w:val="21"/>
        </w:rPr>
        <w:t>本规范基于提高显微镜的分辨能力、分析检测能力，研究、规范显微镜畸变的测量方法，旨在推动我国显微镜产品技术升级，确保显微镜的溯源性，确保通过显微镜可以获得观察样品中更多、更微小细节信息，满足行业检测需求。</w:t>
      </w:r>
    </w:p>
    <w:p>
      <w:pPr>
        <w:pStyle w:val="2"/>
        <w:spacing w:before="156" w:after="156"/>
      </w:pPr>
      <w:r>
        <w:rPr>
          <w:rFonts w:hint="eastAsia"/>
        </w:rPr>
        <w:t>十一、其他应予说明的事项</w:t>
      </w:r>
    </w:p>
    <w:p>
      <w:pPr>
        <w:pStyle w:val="58"/>
        <w:spacing w:line="300" w:lineRule="auto"/>
        <w:ind w:firstLineChars="0"/>
        <w:contextualSpacing/>
        <w:rPr>
          <w:rFonts w:ascii="Times New Roman" w:hAnsi="Times New Roman"/>
          <w:szCs w:val="21"/>
        </w:rPr>
      </w:pPr>
      <w:r>
        <w:rPr>
          <w:rFonts w:hint="eastAsia" w:ascii="Times New Roman" w:hAnsi="Times New Roman"/>
          <w:szCs w:val="21"/>
        </w:rPr>
        <w:t>（无）。</w:t>
      </w:r>
    </w:p>
    <w:p>
      <w:pPr>
        <w:pStyle w:val="58"/>
        <w:spacing w:line="300" w:lineRule="auto"/>
        <w:ind w:firstLineChars="0"/>
        <w:contextualSpacing/>
        <w:jc w:val="right"/>
        <w:rPr>
          <w:rFonts w:ascii="Times New Roman" w:hAnsi="Times New Roman"/>
          <w:szCs w:val="21"/>
        </w:rPr>
      </w:pPr>
      <w:r>
        <w:rPr>
          <w:rFonts w:ascii="Times New Roman" w:hAnsi="Times New Roman" w:eastAsia="黑体"/>
          <w:bCs/>
        </w:rPr>
        <w:t xml:space="preserve">  </w:t>
      </w:r>
      <w:r>
        <w:rPr>
          <w:rFonts w:ascii="Times New Roman" w:hAnsi="Times New Roman" w:eastAsia="方正行楷简体"/>
          <w:bCs/>
          <w:szCs w:val="21"/>
        </w:rPr>
        <w:t>《</w:t>
      </w:r>
      <w:r>
        <w:rPr>
          <w:rFonts w:hint="eastAsia" w:ascii="Times New Roman" w:hAnsi="Times New Roman"/>
          <w:szCs w:val="21"/>
        </w:rPr>
        <w:t>光学</w:t>
      </w:r>
      <w:r>
        <w:rPr>
          <w:rFonts w:ascii="Times New Roman" w:hAnsi="Times New Roman"/>
          <w:szCs w:val="21"/>
        </w:rPr>
        <w:t>显微镜畸变校准规范</w:t>
      </w:r>
      <w:r>
        <w:rPr>
          <w:rFonts w:ascii="Times New Roman" w:hAnsi="Times New Roman" w:eastAsia="方正行楷简体"/>
          <w:bCs/>
          <w:szCs w:val="21"/>
        </w:rPr>
        <w:t xml:space="preserve">》编制组  </w:t>
      </w:r>
      <w:bookmarkStart w:id="78" w:name="_GoBack"/>
      <w:bookmarkEnd w:id="78"/>
      <w:r>
        <w:rPr>
          <w:rFonts w:ascii="Times New Roman" w:hAnsi="Times New Roman" w:eastAsia="方正行楷简体"/>
          <w:bCs/>
          <w:szCs w:val="21"/>
        </w:rPr>
        <w:t>202</w:t>
      </w:r>
      <w:r>
        <w:rPr>
          <w:rFonts w:hint="eastAsia" w:ascii="Times New Roman" w:hAnsi="Times New Roman" w:eastAsia="方正行楷简体"/>
          <w:bCs/>
          <w:szCs w:val="21"/>
        </w:rPr>
        <w:t>4</w:t>
      </w:r>
      <w:r>
        <w:rPr>
          <w:rFonts w:ascii="Times New Roman" w:hAnsi="Times New Roman" w:eastAsia="方正行楷简体"/>
          <w:bCs/>
          <w:szCs w:val="21"/>
        </w:rPr>
        <w:t>年</w:t>
      </w:r>
      <w:r>
        <w:rPr>
          <w:rFonts w:hint="eastAsia" w:ascii="Times New Roman" w:hAnsi="Times New Roman" w:eastAsia="方正行楷简体"/>
          <w:bCs/>
          <w:szCs w:val="21"/>
        </w:rPr>
        <w:t>2</w:t>
      </w:r>
      <w:r>
        <w:rPr>
          <w:rFonts w:ascii="Times New Roman" w:hAnsi="Times New Roman" w:eastAsia="方正行楷简体"/>
          <w:bCs/>
          <w:szCs w:val="21"/>
        </w:rPr>
        <w:t>月2</w:t>
      </w:r>
      <w:r>
        <w:rPr>
          <w:rFonts w:hint="eastAsia" w:ascii="Times New Roman" w:hAnsi="Times New Roman" w:eastAsia="方正行楷简体"/>
          <w:bCs/>
          <w:szCs w:val="21"/>
        </w:rPr>
        <w:t>4</w:t>
      </w:r>
      <w:r>
        <w:rPr>
          <w:rFonts w:ascii="Times New Roman" w:hAnsi="Times New Roman" w:eastAsia="方正行楷简体"/>
          <w:bCs/>
          <w:szCs w:val="21"/>
        </w:rPr>
        <w:t>日</w:t>
      </w:r>
    </w:p>
    <w:p>
      <w:pPr>
        <w:pStyle w:val="58"/>
        <w:spacing w:line="300" w:lineRule="auto"/>
        <w:ind w:firstLine="420"/>
        <w:contextualSpacing/>
        <w:rPr>
          <w:rFonts w:ascii="Times New Roman" w:hAnsi="Times New Roman"/>
          <w:szCs w:val="21"/>
        </w:rPr>
      </w:pPr>
    </w:p>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70C654F"/>
    <w:multiLevelType w:val="multilevel"/>
    <w:tmpl w:val="470C654F"/>
    <w:lvl w:ilvl="0" w:tentative="0">
      <w:start w:val="1"/>
      <w:numFmt w:val="decimal"/>
      <w:suff w:val="space"/>
      <w:lvlText w:val="%1"/>
      <w:lvlJc w:val="center"/>
      <w:pPr>
        <w:ind w:left="0" w:firstLine="288"/>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49D2325A"/>
    <w:multiLevelType w:val="multilevel"/>
    <w:tmpl w:val="49D2325A"/>
    <w:lvl w:ilvl="0" w:tentative="0">
      <w:start w:val="1"/>
      <w:numFmt w:val="decimal"/>
      <w:suff w:val="space"/>
      <w:lvlText w:val="%1"/>
      <w:lvlJc w:val="center"/>
      <w:pPr>
        <w:ind w:left="0" w:firstLine="288"/>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NDNlZWQxYmMyNTU4YWQ1OWIwMDVlZTVmMGE4NzAifQ=="/>
  </w:docVars>
  <w:rsids>
    <w:rsidRoot w:val="00693668"/>
    <w:rsid w:val="000024BB"/>
    <w:rsid w:val="000038F0"/>
    <w:rsid w:val="00004648"/>
    <w:rsid w:val="00014C66"/>
    <w:rsid w:val="000211BF"/>
    <w:rsid w:val="000237D4"/>
    <w:rsid w:val="000309D7"/>
    <w:rsid w:val="00032F98"/>
    <w:rsid w:val="00034584"/>
    <w:rsid w:val="00036097"/>
    <w:rsid w:val="00036A21"/>
    <w:rsid w:val="00036F02"/>
    <w:rsid w:val="0004299E"/>
    <w:rsid w:val="00043D6D"/>
    <w:rsid w:val="0005764E"/>
    <w:rsid w:val="000657B2"/>
    <w:rsid w:val="0006679C"/>
    <w:rsid w:val="0007070D"/>
    <w:rsid w:val="00073A74"/>
    <w:rsid w:val="00084878"/>
    <w:rsid w:val="000971D5"/>
    <w:rsid w:val="000C772A"/>
    <w:rsid w:val="000F15FB"/>
    <w:rsid w:val="000F714B"/>
    <w:rsid w:val="00100912"/>
    <w:rsid w:val="001024EC"/>
    <w:rsid w:val="00104CBC"/>
    <w:rsid w:val="001164A0"/>
    <w:rsid w:val="0012155C"/>
    <w:rsid w:val="00122AD8"/>
    <w:rsid w:val="00136813"/>
    <w:rsid w:val="0014120B"/>
    <w:rsid w:val="00150062"/>
    <w:rsid w:val="001527ED"/>
    <w:rsid w:val="00184B5D"/>
    <w:rsid w:val="001859F4"/>
    <w:rsid w:val="0019431C"/>
    <w:rsid w:val="001A4F75"/>
    <w:rsid w:val="001C13CE"/>
    <w:rsid w:val="001C7BB8"/>
    <w:rsid w:val="001D0501"/>
    <w:rsid w:val="001E0288"/>
    <w:rsid w:val="001E09C6"/>
    <w:rsid w:val="001E2EFA"/>
    <w:rsid w:val="00235374"/>
    <w:rsid w:val="00247A7D"/>
    <w:rsid w:val="00254128"/>
    <w:rsid w:val="00255EB1"/>
    <w:rsid w:val="002732FF"/>
    <w:rsid w:val="00275F7A"/>
    <w:rsid w:val="00280BE9"/>
    <w:rsid w:val="002849BB"/>
    <w:rsid w:val="00291548"/>
    <w:rsid w:val="00293085"/>
    <w:rsid w:val="002977EC"/>
    <w:rsid w:val="002A1305"/>
    <w:rsid w:val="002A309D"/>
    <w:rsid w:val="002C2D1F"/>
    <w:rsid w:val="002D0634"/>
    <w:rsid w:val="002D2103"/>
    <w:rsid w:val="002E6C19"/>
    <w:rsid w:val="002F4E61"/>
    <w:rsid w:val="003012C4"/>
    <w:rsid w:val="00305CB9"/>
    <w:rsid w:val="00307A90"/>
    <w:rsid w:val="00314BA2"/>
    <w:rsid w:val="00322078"/>
    <w:rsid w:val="0032338B"/>
    <w:rsid w:val="0033057E"/>
    <w:rsid w:val="003318C1"/>
    <w:rsid w:val="00335FEC"/>
    <w:rsid w:val="0034125E"/>
    <w:rsid w:val="00341992"/>
    <w:rsid w:val="00352269"/>
    <w:rsid w:val="00366AF1"/>
    <w:rsid w:val="00373555"/>
    <w:rsid w:val="00397354"/>
    <w:rsid w:val="00397407"/>
    <w:rsid w:val="0039790A"/>
    <w:rsid w:val="003A415E"/>
    <w:rsid w:val="003B0148"/>
    <w:rsid w:val="003C2376"/>
    <w:rsid w:val="003C685D"/>
    <w:rsid w:val="003E10E7"/>
    <w:rsid w:val="003E237F"/>
    <w:rsid w:val="003F2C11"/>
    <w:rsid w:val="00400BF2"/>
    <w:rsid w:val="0040777C"/>
    <w:rsid w:val="00411DC2"/>
    <w:rsid w:val="00415481"/>
    <w:rsid w:val="004257BB"/>
    <w:rsid w:val="00425D1F"/>
    <w:rsid w:val="004508BB"/>
    <w:rsid w:val="00455FE9"/>
    <w:rsid w:val="0046211B"/>
    <w:rsid w:val="00464019"/>
    <w:rsid w:val="0048362B"/>
    <w:rsid w:val="00483637"/>
    <w:rsid w:val="00494613"/>
    <w:rsid w:val="00497039"/>
    <w:rsid w:val="004A27E5"/>
    <w:rsid w:val="004B1DE2"/>
    <w:rsid w:val="004B3BD5"/>
    <w:rsid w:val="004B5235"/>
    <w:rsid w:val="004C6E7F"/>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75478"/>
    <w:rsid w:val="006820CD"/>
    <w:rsid w:val="00683E68"/>
    <w:rsid w:val="00686643"/>
    <w:rsid w:val="00693668"/>
    <w:rsid w:val="006B3185"/>
    <w:rsid w:val="006B43C4"/>
    <w:rsid w:val="006C188A"/>
    <w:rsid w:val="006C2258"/>
    <w:rsid w:val="006C2AF8"/>
    <w:rsid w:val="006C3C34"/>
    <w:rsid w:val="006D1B98"/>
    <w:rsid w:val="006D7E99"/>
    <w:rsid w:val="006E11F0"/>
    <w:rsid w:val="00724E03"/>
    <w:rsid w:val="00733C71"/>
    <w:rsid w:val="00735A75"/>
    <w:rsid w:val="007373AB"/>
    <w:rsid w:val="00740702"/>
    <w:rsid w:val="00743BA2"/>
    <w:rsid w:val="00743BAC"/>
    <w:rsid w:val="007469CC"/>
    <w:rsid w:val="00746BAC"/>
    <w:rsid w:val="00750ED3"/>
    <w:rsid w:val="00764D0A"/>
    <w:rsid w:val="00765621"/>
    <w:rsid w:val="007901C0"/>
    <w:rsid w:val="007902D1"/>
    <w:rsid w:val="007A3BEE"/>
    <w:rsid w:val="007C15E3"/>
    <w:rsid w:val="007C1FF4"/>
    <w:rsid w:val="007E56C9"/>
    <w:rsid w:val="00804BC8"/>
    <w:rsid w:val="00820F69"/>
    <w:rsid w:val="00824B04"/>
    <w:rsid w:val="008461B6"/>
    <w:rsid w:val="0085122B"/>
    <w:rsid w:val="0086056F"/>
    <w:rsid w:val="0086378F"/>
    <w:rsid w:val="008754EE"/>
    <w:rsid w:val="00876D87"/>
    <w:rsid w:val="008B22FC"/>
    <w:rsid w:val="008C672E"/>
    <w:rsid w:val="008D49EF"/>
    <w:rsid w:val="008E415E"/>
    <w:rsid w:val="008F5DCA"/>
    <w:rsid w:val="009052E4"/>
    <w:rsid w:val="009111C1"/>
    <w:rsid w:val="00913ED1"/>
    <w:rsid w:val="00933D2C"/>
    <w:rsid w:val="00946B7D"/>
    <w:rsid w:val="009513C5"/>
    <w:rsid w:val="00954DA4"/>
    <w:rsid w:val="00967A11"/>
    <w:rsid w:val="00971240"/>
    <w:rsid w:val="009A12AB"/>
    <w:rsid w:val="009B4929"/>
    <w:rsid w:val="009C0597"/>
    <w:rsid w:val="009C2D10"/>
    <w:rsid w:val="009D79FA"/>
    <w:rsid w:val="009E3D09"/>
    <w:rsid w:val="009F420F"/>
    <w:rsid w:val="00A06113"/>
    <w:rsid w:val="00A11A21"/>
    <w:rsid w:val="00A12727"/>
    <w:rsid w:val="00A1378A"/>
    <w:rsid w:val="00A1497C"/>
    <w:rsid w:val="00A15577"/>
    <w:rsid w:val="00A3211C"/>
    <w:rsid w:val="00A363F7"/>
    <w:rsid w:val="00A40E4F"/>
    <w:rsid w:val="00A47FE2"/>
    <w:rsid w:val="00A56163"/>
    <w:rsid w:val="00A77511"/>
    <w:rsid w:val="00A7790F"/>
    <w:rsid w:val="00A8043A"/>
    <w:rsid w:val="00A8426B"/>
    <w:rsid w:val="00A86AF0"/>
    <w:rsid w:val="00A87866"/>
    <w:rsid w:val="00AC0924"/>
    <w:rsid w:val="00AD093B"/>
    <w:rsid w:val="00AD4A51"/>
    <w:rsid w:val="00AE0B35"/>
    <w:rsid w:val="00AE47AC"/>
    <w:rsid w:val="00AF7111"/>
    <w:rsid w:val="00B056DA"/>
    <w:rsid w:val="00B05E25"/>
    <w:rsid w:val="00B07D3B"/>
    <w:rsid w:val="00B369B6"/>
    <w:rsid w:val="00B43636"/>
    <w:rsid w:val="00B45E9C"/>
    <w:rsid w:val="00B53389"/>
    <w:rsid w:val="00B60FA7"/>
    <w:rsid w:val="00B614F2"/>
    <w:rsid w:val="00B706F7"/>
    <w:rsid w:val="00B7116A"/>
    <w:rsid w:val="00B75677"/>
    <w:rsid w:val="00B817F8"/>
    <w:rsid w:val="00BB316D"/>
    <w:rsid w:val="00BB4554"/>
    <w:rsid w:val="00BB7985"/>
    <w:rsid w:val="00BC66A0"/>
    <w:rsid w:val="00BC6B82"/>
    <w:rsid w:val="00BE27C0"/>
    <w:rsid w:val="00BF4703"/>
    <w:rsid w:val="00C03A4F"/>
    <w:rsid w:val="00C058B2"/>
    <w:rsid w:val="00C10883"/>
    <w:rsid w:val="00C113A5"/>
    <w:rsid w:val="00C2681C"/>
    <w:rsid w:val="00C27739"/>
    <w:rsid w:val="00C40CAE"/>
    <w:rsid w:val="00C458B7"/>
    <w:rsid w:val="00C5059F"/>
    <w:rsid w:val="00C53BDD"/>
    <w:rsid w:val="00C5550F"/>
    <w:rsid w:val="00C57BAB"/>
    <w:rsid w:val="00C62B03"/>
    <w:rsid w:val="00C66C85"/>
    <w:rsid w:val="00C70EA3"/>
    <w:rsid w:val="00C72490"/>
    <w:rsid w:val="00C7537E"/>
    <w:rsid w:val="00C8056F"/>
    <w:rsid w:val="00C81A49"/>
    <w:rsid w:val="00C86EE5"/>
    <w:rsid w:val="00CB750D"/>
    <w:rsid w:val="00CB7CDF"/>
    <w:rsid w:val="00CC3C55"/>
    <w:rsid w:val="00CC3DDD"/>
    <w:rsid w:val="00CC491D"/>
    <w:rsid w:val="00CC52E3"/>
    <w:rsid w:val="00CD1DF0"/>
    <w:rsid w:val="00CD2D13"/>
    <w:rsid w:val="00CD759E"/>
    <w:rsid w:val="00CF3CAA"/>
    <w:rsid w:val="00D004F4"/>
    <w:rsid w:val="00D01726"/>
    <w:rsid w:val="00D16568"/>
    <w:rsid w:val="00D17115"/>
    <w:rsid w:val="00D436F5"/>
    <w:rsid w:val="00D6471A"/>
    <w:rsid w:val="00D81C1D"/>
    <w:rsid w:val="00D85454"/>
    <w:rsid w:val="00D86648"/>
    <w:rsid w:val="00D903E4"/>
    <w:rsid w:val="00DA22D1"/>
    <w:rsid w:val="00DB4F65"/>
    <w:rsid w:val="00DD6769"/>
    <w:rsid w:val="00DD7D39"/>
    <w:rsid w:val="00DE144C"/>
    <w:rsid w:val="00DE41AC"/>
    <w:rsid w:val="00E019C6"/>
    <w:rsid w:val="00E22714"/>
    <w:rsid w:val="00E22B54"/>
    <w:rsid w:val="00E23465"/>
    <w:rsid w:val="00E3183A"/>
    <w:rsid w:val="00E31A7B"/>
    <w:rsid w:val="00E32480"/>
    <w:rsid w:val="00E71DCC"/>
    <w:rsid w:val="00E82471"/>
    <w:rsid w:val="00E911BC"/>
    <w:rsid w:val="00EB2994"/>
    <w:rsid w:val="00EC149D"/>
    <w:rsid w:val="00ED18B7"/>
    <w:rsid w:val="00ED5F91"/>
    <w:rsid w:val="00EE5988"/>
    <w:rsid w:val="00F10C9E"/>
    <w:rsid w:val="00F32186"/>
    <w:rsid w:val="00F3447A"/>
    <w:rsid w:val="00F45BA8"/>
    <w:rsid w:val="00F507FB"/>
    <w:rsid w:val="00F53718"/>
    <w:rsid w:val="00F5644A"/>
    <w:rsid w:val="00F62BC7"/>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E266E"/>
    <w:rsid w:val="00FF5630"/>
    <w:rsid w:val="02F703B0"/>
    <w:rsid w:val="07DC0ED5"/>
    <w:rsid w:val="0904785D"/>
    <w:rsid w:val="09573966"/>
    <w:rsid w:val="0A781AE7"/>
    <w:rsid w:val="0CCA0314"/>
    <w:rsid w:val="14317D7D"/>
    <w:rsid w:val="14FE0CE9"/>
    <w:rsid w:val="158E7867"/>
    <w:rsid w:val="174C2AB4"/>
    <w:rsid w:val="1C0E4173"/>
    <w:rsid w:val="1F5A1A25"/>
    <w:rsid w:val="1F714057"/>
    <w:rsid w:val="208E75B3"/>
    <w:rsid w:val="218A16C9"/>
    <w:rsid w:val="21BE3478"/>
    <w:rsid w:val="21D04080"/>
    <w:rsid w:val="22423DCF"/>
    <w:rsid w:val="23A74BBD"/>
    <w:rsid w:val="23C80E14"/>
    <w:rsid w:val="23D43A72"/>
    <w:rsid w:val="29846CB3"/>
    <w:rsid w:val="29E46257"/>
    <w:rsid w:val="2A4110A1"/>
    <w:rsid w:val="2AB85E2C"/>
    <w:rsid w:val="2C281A12"/>
    <w:rsid w:val="2FBE527A"/>
    <w:rsid w:val="31B57A58"/>
    <w:rsid w:val="325F3B1A"/>
    <w:rsid w:val="34745E77"/>
    <w:rsid w:val="36AE69D8"/>
    <w:rsid w:val="38B6063A"/>
    <w:rsid w:val="39E63C45"/>
    <w:rsid w:val="3A910669"/>
    <w:rsid w:val="3BFA1058"/>
    <w:rsid w:val="3EBA5BC3"/>
    <w:rsid w:val="420E5348"/>
    <w:rsid w:val="44100726"/>
    <w:rsid w:val="44347A9B"/>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54D6460"/>
    <w:rsid w:val="68CA6A6A"/>
    <w:rsid w:val="692A2F42"/>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autoRedefine/>
    <w:qFormat/>
    <w:uiPriority w:val="0"/>
    <w:pPr>
      <w:keepNext/>
      <w:keepLines/>
      <w:spacing w:before="50" w:beforeLines="50" w:after="50" w:afterLines="50" w:line="360" w:lineRule="auto"/>
      <w:outlineLvl w:val="0"/>
    </w:pPr>
    <w:rPr>
      <w:rFonts w:eastAsia="黑体"/>
      <w:b/>
      <w:bCs/>
      <w:kern w:val="44"/>
      <w:sz w:val="28"/>
      <w:szCs w:val="44"/>
    </w:rPr>
  </w:style>
  <w:style w:type="paragraph" w:styleId="3">
    <w:name w:val="heading 2"/>
    <w:basedOn w:val="1"/>
    <w:next w:val="1"/>
    <w:link w:val="306"/>
    <w:autoRedefine/>
    <w:qFormat/>
    <w:uiPriority w:val="0"/>
    <w:pPr>
      <w:keepNext/>
      <w:keepLines/>
      <w:spacing w:before="50" w:beforeLines="50" w:after="50" w:afterLines="50" w:line="360" w:lineRule="auto"/>
      <w:outlineLvl w:val="1"/>
    </w:pPr>
    <w:rPr>
      <w:rFonts w:ascii="Arial" w:hAnsi="Arial" w:eastAsia="黑体"/>
      <w:b/>
      <w:bCs/>
      <w:sz w:val="24"/>
      <w:szCs w:val="32"/>
    </w:rPr>
  </w:style>
  <w:style w:type="paragraph" w:styleId="4">
    <w:name w:val="heading 3"/>
    <w:basedOn w:val="1"/>
    <w:next w:val="1"/>
    <w:link w:val="307"/>
    <w:autoRedefine/>
    <w:qFormat/>
    <w:uiPriority w:val="0"/>
    <w:pPr>
      <w:keepNext/>
      <w:keepLines/>
      <w:spacing w:before="50" w:beforeLines="50" w:after="50" w:afterLines="50"/>
      <w:outlineLvl w:val="2"/>
    </w:pPr>
    <w:rPr>
      <w:rFonts w:eastAsia="黑体"/>
      <w:b/>
      <w:bCs/>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17" w:lineRule="auto"/>
      <w:outlineLvl w:val="6"/>
    </w:pPr>
    <w:rPr>
      <w:b/>
      <w:bCs/>
      <w:sz w:val="24"/>
    </w:rPr>
  </w:style>
  <w:style w:type="paragraph" w:styleId="9">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autoRedefine/>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autoRedefine/>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autoRedefine/>
    <w:qFormat/>
    <w:uiPriority w:val="0"/>
    <w:rPr>
      <w:sz w:val="18"/>
      <w:szCs w:val="18"/>
    </w:rPr>
  </w:style>
  <w:style w:type="paragraph" w:styleId="30">
    <w:name w:val="footer"/>
    <w:basedOn w:val="1"/>
    <w:link w:val="285"/>
    <w:autoRedefine/>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autoRedefine/>
    <w:qFormat/>
    <w:uiPriority w:val="0"/>
    <w:pPr>
      <w:widowControl/>
      <w:spacing w:line="360" w:lineRule="auto"/>
      <w:ind w:firstLine="420"/>
    </w:pPr>
    <w:rPr>
      <w:rFonts w:hAnsi="宋体"/>
      <w:sz w:val="18"/>
    </w:rPr>
  </w:style>
  <w:style w:type="paragraph" w:styleId="34">
    <w:name w:val="toc 9"/>
    <w:basedOn w:val="25"/>
    <w:next w:val="1"/>
    <w:autoRedefine/>
    <w:qFormat/>
    <w:uiPriority w:val="0"/>
  </w:style>
  <w:style w:type="paragraph" w:styleId="35">
    <w:name w:val="Body Text 2"/>
    <w:basedOn w:val="1"/>
    <w:link w:val="323"/>
    <w:autoRedefine/>
    <w:qFormat/>
    <w:uiPriority w:val="99"/>
    <w:pPr>
      <w:spacing w:after="120" w:line="480" w:lineRule="auto"/>
    </w:pPr>
  </w:style>
  <w:style w:type="paragraph" w:styleId="36">
    <w:name w:val="HTML Preformatted"/>
    <w:basedOn w:val="1"/>
    <w:autoRedefine/>
    <w:qFormat/>
    <w:uiPriority w:val="0"/>
    <w:rPr>
      <w:rFonts w:ascii="Courier New" w:hAnsi="Courier New" w:cs="Courier New"/>
      <w:sz w:val="20"/>
      <w:szCs w:val="20"/>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autoRedefine/>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autoRedefine/>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autoRedefine/>
    <w:qFormat/>
    <w:uiPriority w:val="22"/>
    <w:rPr>
      <w:b/>
      <w:bCs/>
    </w:rPr>
  </w:style>
  <w:style w:type="character" w:styleId="45">
    <w:name w:val="page number"/>
    <w:autoRedefine/>
    <w:qFormat/>
    <w:uiPriority w:val="0"/>
    <w:rPr>
      <w:rFonts w:ascii="Times New Roman" w:hAnsi="Times New Roman" w:eastAsia="宋体"/>
      <w:sz w:val="18"/>
    </w:rPr>
  </w:style>
  <w:style w:type="character" w:styleId="46">
    <w:name w:val="FollowedHyperlink"/>
    <w:autoRedefine/>
    <w:unhideWhenUsed/>
    <w:qFormat/>
    <w:uiPriority w:val="0"/>
    <w:rPr>
      <w:color w:val="800080"/>
      <w:u w:val="single"/>
    </w:rPr>
  </w:style>
  <w:style w:type="character" w:styleId="47">
    <w:name w:val="HTML Definition"/>
    <w:autoRedefine/>
    <w:qFormat/>
    <w:uiPriority w:val="0"/>
    <w:rPr>
      <w:i/>
      <w:iCs/>
    </w:rPr>
  </w:style>
  <w:style w:type="character" w:styleId="48">
    <w:name w:val="HTML Typewriter"/>
    <w:autoRedefine/>
    <w:qFormat/>
    <w:uiPriority w:val="0"/>
    <w:rPr>
      <w:rFonts w:ascii="Courier New" w:hAnsi="Courier New"/>
      <w:sz w:val="20"/>
      <w:szCs w:val="20"/>
    </w:rPr>
  </w:style>
  <w:style w:type="character" w:styleId="49">
    <w:name w:val="HTML Acronym"/>
    <w:basedOn w:val="43"/>
    <w:autoRedefine/>
    <w:qFormat/>
    <w:uiPriority w:val="0"/>
  </w:style>
  <w:style w:type="character" w:styleId="50">
    <w:name w:val="HTML Variable"/>
    <w:autoRedefine/>
    <w:qFormat/>
    <w:uiPriority w:val="0"/>
    <w:rPr>
      <w:i/>
      <w:iCs/>
    </w:rPr>
  </w:style>
  <w:style w:type="character" w:styleId="51">
    <w:name w:val="Hyperlink"/>
    <w:basedOn w:val="43"/>
    <w:autoRedefine/>
    <w:qFormat/>
    <w:uiPriority w:val="99"/>
    <w:rPr>
      <w:rFonts w:ascii="Times New Roman" w:hAnsi="Times New Roman" w:eastAsia="宋体"/>
      <w:color w:val="auto"/>
      <w:spacing w:val="0"/>
      <w:w w:val="100"/>
      <w:position w:val="0"/>
      <w:sz w:val="21"/>
      <w:u w:val="none"/>
    </w:rPr>
  </w:style>
  <w:style w:type="character" w:styleId="52">
    <w:name w:val="HTML Code"/>
    <w:autoRedefine/>
    <w:qFormat/>
    <w:uiPriority w:val="0"/>
    <w:rPr>
      <w:rFonts w:ascii="Courier New" w:hAnsi="Courier New"/>
      <w:sz w:val="20"/>
      <w:szCs w:val="20"/>
    </w:rPr>
  </w:style>
  <w:style w:type="character" w:styleId="53">
    <w:name w:val="annotation reference"/>
    <w:autoRedefine/>
    <w:qFormat/>
    <w:uiPriority w:val="0"/>
    <w:rPr>
      <w:sz w:val="21"/>
      <w:szCs w:val="21"/>
    </w:rPr>
  </w:style>
  <w:style w:type="character" w:styleId="54">
    <w:name w:val="HTML Cite"/>
    <w:autoRedefine/>
    <w:qFormat/>
    <w:uiPriority w:val="0"/>
    <w:rPr>
      <w:i/>
      <w:iCs/>
    </w:rPr>
  </w:style>
  <w:style w:type="character" w:styleId="55">
    <w:name w:val="footnote reference"/>
    <w:autoRedefine/>
    <w:qFormat/>
    <w:uiPriority w:val="0"/>
    <w:rPr>
      <w:vertAlign w:val="superscript"/>
    </w:rPr>
  </w:style>
  <w:style w:type="character" w:styleId="56">
    <w:name w:val="HTML Keyboard"/>
    <w:autoRedefine/>
    <w:qFormat/>
    <w:uiPriority w:val="0"/>
    <w:rPr>
      <w:rFonts w:ascii="Courier New" w:hAnsi="Courier New"/>
      <w:sz w:val="20"/>
      <w:szCs w:val="20"/>
    </w:rPr>
  </w:style>
  <w:style w:type="character" w:styleId="57">
    <w:name w:val="HTML Sample"/>
    <w:autoRedefine/>
    <w:qFormat/>
    <w:uiPriority w:val="0"/>
    <w:rPr>
      <w:rFonts w:ascii="Courier New" w:hAnsi="Courier New"/>
    </w:rPr>
  </w:style>
  <w:style w:type="paragraph" w:customStyle="1" w:styleId="58">
    <w:name w:val="段"/>
    <w:link w:val="275"/>
    <w:autoRedefine/>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autoRedefine/>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autoRedefine/>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autoRedefine/>
    <w:qFormat/>
    <w:uiPriority w:val="0"/>
    <w:pPr>
      <w:adjustRightInd w:val="0"/>
      <w:spacing w:before="357" w:line="280" w:lineRule="exact"/>
    </w:pPr>
  </w:style>
  <w:style w:type="paragraph" w:customStyle="1" w:styleId="6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autoRedefine/>
    <w:qFormat/>
    <w:uiPriority w:val="0"/>
    <w:pPr>
      <w:numPr>
        <w:ilvl w:val="0"/>
        <w:numId w:val="2"/>
      </w:numPr>
      <w:tabs>
        <w:tab w:val="left" w:pos="6405"/>
      </w:tabs>
      <w:spacing w:after="200"/>
    </w:pPr>
    <w:rPr>
      <w:sz w:val="21"/>
    </w:rPr>
  </w:style>
  <w:style w:type="paragraph" w:customStyle="1" w:styleId="66">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numPr>
        <w:ilvl w:val="5"/>
      </w:numPr>
      <w:outlineLvl w:val="5"/>
    </w:pPr>
  </w:style>
  <w:style w:type="paragraph" w:customStyle="1" w:styleId="71">
    <w:name w:val="三级条标题"/>
    <w:basedOn w:val="59"/>
    <w:next w:val="58"/>
    <w:link w:val="281"/>
    <w:autoRedefine/>
    <w:qFormat/>
    <w:uiPriority w:val="0"/>
    <w:pPr>
      <w:numPr>
        <w:ilvl w:val="4"/>
      </w:numPr>
      <w:outlineLvl w:val="4"/>
    </w:pPr>
  </w:style>
  <w:style w:type="paragraph" w:customStyle="1" w:styleId="72">
    <w:name w:val="列项——"/>
    <w:autoRedefine/>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autoRedefine/>
    <w:qFormat/>
    <w:uiPriority w:val="0"/>
    <w:pPr>
      <w:numPr>
        <w:numId w:val="0"/>
      </w:numPr>
      <w:spacing w:after="200"/>
    </w:pPr>
    <w:rPr>
      <w:sz w:val="21"/>
    </w:rPr>
  </w:style>
  <w:style w:type="paragraph" w:customStyle="1" w:styleId="75">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autoRedefine/>
    <w:qFormat/>
    <w:uiPriority w:val="0"/>
    <w:rPr>
      <w:rFonts w:ascii="Times New Roman" w:hAnsi="Times New Roman" w:eastAsia="黑体" w:cs="Times New Roman"/>
      <w:sz w:val="28"/>
      <w:lang w:val="en-US" w:eastAsia="zh-CN" w:bidi="ar-SA"/>
    </w:rPr>
  </w:style>
  <w:style w:type="paragraph" w:customStyle="1" w:styleId="78">
    <w:name w:val="条文脚注"/>
    <w:basedOn w:val="32"/>
    <w:autoRedefine/>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autoRedefine/>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autoRedefine/>
    <w:qFormat/>
    <w:uiPriority w:val="0"/>
    <w:pPr>
      <w:numPr>
        <w:ilvl w:val="6"/>
        <w:numId w:val="5"/>
      </w:numPr>
    </w:pPr>
  </w:style>
  <w:style w:type="paragraph" w:customStyle="1" w:styleId="8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autoRedefine/>
    <w:qFormat/>
    <w:uiPriority w:val="0"/>
    <w:pPr>
      <w:widowControl/>
      <w:spacing w:after="160" w:line="240" w:lineRule="exact"/>
      <w:jc w:val="left"/>
    </w:pPr>
  </w:style>
  <w:style w:type="paragraph" w:customStyle="1" w:styleId="86">
    <w:name w:val="无标题条"/>
    <w:next w:val="58"/>
    <w:autoRedefine/>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autoRedefine/>
    <w:qFormat/>
    <w:uiPriority w:val="0"/>
    <w:pPr>
      <w:numPr>
        <w:ilvl w:val="6"/>
      </w:numPr>
      <w:outlineLvl w:val="6"/>
    </w:pPr>
  </w:style>
  <w:style w:type="paragraph" w:customStyle="1" w:styleId="88">
    <w:name w:val="Default"/>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autoRedefine/>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autoRedefine/>
    <w:qFormat/>
    <w:uiPriority w:val="0"/>
    <w:pPr>
      <w:jc w:val="left"/>
    </w:pPr>
  </w:style>
  <w:style w:type="paragraph" w:customStyle="1" w:styleId="94">
    <w:name w:val="二级无标题条"/>
    <w:basedOn w:val="1"/>
    <w:autoRedefine/>
    <w:qFormat/>
    <w:uiPriority w:val="0"/>
    <w:pPr>
      <w:numPr>
        <w:ilvl w:val="3"/>
        <w:numId w:val="5"/>
      </w:numPr>
    </w:pPr>
  </w:style>
  <w:style w:type="paragraph" w:customStyle="1" w:styleId="95">
    <w:name w:val="附录表标题"/>
    <w:next w:val="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autoRedefine/>
    <w:qFormat/>
    <w:uiPriority w:val="0"/>
    <w:pPr>
      <w:numPr>
        <w:ilvl w:val="6"/>
      </w:numPr>
      <w:outlineLvl w:val="6"/>
    </w:pPr>
  </w:style>
  <w:style w:type="paragraph" w:customStyle="1" w:styleId="100">
    <w:name w:val="附录四级条标题"/>
    <w:basedOn w:val="101"/>
    <w:next w:val="58"/>
    <w:autoRedefine/>
    <w:qFormat/>
    <w:uiPriority w:val="0"/>
    <w:pPr>
      <w:numPr>
        <w:ilvl w:val="5"/>
      </w:numPr>
      <w:outlineLvl w:val="5"/>
    </w:pPr>
  </w:style>
  <w:style w:type="paragraph" w:customStyle="1" w:styleId="101">
    <w:name w:val="附录三级条标题"/>
    <w:basedOn w:val="102"/>
    <w:next w:val="58"/>
    <w:autoRedefine/>
    <w:qFormat/>
    <w:uiPriority w:val="0"/>
    <w:pPr>
      <w:numPr>
        <w:ilvl w:val="4"/>
      </w:numPr>
      <w:outlineLvl w:val="4"/>
    </w:pPr>
  </w:style>
  <w:style w:type="paragraph" w:customStyle="1" w:styleId="102">
    <w:name w:val="附录二级条标题"/>
    <w:basedOn w:val="103"/>
    <w:next w:val="58"/>
    <w:autoRedefine/>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beforeLines="0"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autoRedefine/>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autoRedefine/>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autoRedefine/>
    <w:qFormat/>
    <w:uiPriority w:val="0"/>
    <w:pPr>
      <w:numPr>
        <w:ilvl w:val="5"/>
        <w:numId w:val="5"/>
      </w:numPr>
    </w:pPr>
  </w:style>
  <w:style w:type="paragraph" w:customStyle="1" w:styleId="111">
    <w:name w:val="目次、标准名称标题"/>
    <w:basedOn w:val="66"/>
    <w:next w:val="58"/>
    <w:autoRedefine/>
    <w:qFormat/>
    <w:uiPriority w:val="0"/>
    <w:pPr>
      <w:numPr>
        <w:numId w:val="0"/>
      </w:numPr>
      <w:spacing w:line="460" w:lineRule="exact"/>
    </w:pPr>
  </w:style>
  <w:style w:type="paragraph" w:customStyle="1" w:styleId="11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autoRedefine/>
    <w:qFormat/>
    <w:uiPriority w:val="0"/>
    <w:pPr>
      <w:spacing w:line="0" w:lineRule="atLeast"/>
    </w:pPr>
    <w:rPr>
      <w:rFonts w:ascii="黑体" w:eastAsia="黑体"/>
      <w:b w:val="0"/>
    </w:rPr>
  </w:style>
  <w:style w:type="paragraph" w:customStyle="1" w:styleId="115">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autoRedefine/>
    <w:qFormat/>
    <w:uiPriority w:val="0"/>
    <w:pPr>
      <w:numPr>
        <w:ilvl w:val="4"/>
        <w:numId w:val="5"/>
      </w:numPr>
    </w:pPr>
  </w:style>
  <w:style w:type="paragraph" w:customStyle="1" w:styleId="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autoRedefine/>
    <w:qFormat/>
    <w:uiPriority w:val="0"/>
    <w:pPr>
      <w:numPr>
        <w:ilvl w:val="2"/>
        <w:numId w:val="5"/>
      </w:numPr>
    </w:pPr>
  </w:style>
  <w:style w:type="paragraph" w:customStyle="1" w:styleId="119">
    <w:name w:val="封面标准代替信息"/>
    <w:basedOn w:val="63"/>
    <w:autoRedefine/>
    <w:qFormat/>
    <w:uiPriority w:val="0"/>
    <w:pPr>
      <w:spacing w:before="57"/>
    </w:pPr>
    <w:rPr>
      <w:rFonts w:ascii="宋体"/>
      <w:sz w:val="21"/>
    </w:rPr>
  </w:style>
  <w:style w:type="paragraph" w:customStyle="1" w:styleId="120">
    <w:name w:val="标准正文"/>
    <w:basedOn w:val="1"/>
    <w:autoRedefine/>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autoRedefine/>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numPr>
        <w:numId w:val="0"/>
      </w:numPr>
      <w:spacing w:line="240" w:lineRule="auto"/>
      <w:ind w:left="454"/>
    </w:pPr>
    <w:rPr>
      <w:color w:val="auto"/>
      <w:spacing w:val="0"/>
      <w:szCs w:val="20"/>
    </w:rPr>
  </w:style>
  <w:style w:type="paragraph" w:customStyle="1" w:styleId="148">
    <w:name w:val="列出段落1"/>
    <w:basedOn w:val="1"/>
    <w:autoRedefine/>
    <w:qFormat/>
    <w:uiPriority w:val="34"/>
    <w:pPr>
      <w:ind w:firstLine="420" w:firstLineChars="200"/>
    </w:pPr>
    <w:rPr>
      <w:rFonts w:ascii="Calibri" w:hAnsi="Calibri"/>
      <w:szCs w:val="22"/>
    </w:rPr>
  </w:style>
  <w:style w:type="paragraph" w:customStyle="1" w:styleId="149">
    <w:name w:val="图表脚注说明"/>
    <w:basedOn w:val="1"/>
    <w:autoRedefine/>
    <w:qFormat/>
    <w:uiPriority w:val="0"/>
    <w:rPr>
      <w:rFonts w:ascii="宋体"/>
      <w:sz w:val="18"/>
      <w:szCs w:val="18"/>
    </w:rPr>
  </w:style>
  <w:style w:type="paragraph" w:customStyle="1" w:styleId="150">
    <w:name w:val="Char11"/>
    <w:basedOn w:val="1"/>
    <w:autoRedefine/>
    <w:qFormat/>
    <w:uiPriority w:val="0"/>
    <w:pPr>
      <w:widowControl/>
      <w:spacing w:after="160" w:line="240" w:lineRule="exact"/>
      <w:jc w:val="left"/>
    </w:pPr>
  </w:style>
  <w:style w:type="paragraph" w:customStyle="1" w:styleId="151">
    <w:name w:val="ordinary-output"/>
    <w:basedOn w:val="1"/>
    <w:autoRedefine/>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autoRedefine/>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autoRedefine/>
    <w:qFormat/>
    <w:uiPriority w:val="0"/>
    <w:pPr>
      <w:widowControl/>
      <w:spacing w:after="160" w:line="240" w:lineRule="exact"/>
      <w:jc w:val="left"/>
    </w:pPr>
  </w:style>
  <w:style w:type="paragraph" w:customStyle="1" w:styleId="155">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autoRedefine/>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autoRedefine/>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autoRedefine/>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autoRedefine/>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autoRedefine/>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autoRedefine/>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autoRedefine/>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autoRedefine/>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autoRedefine/>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autoRedefine/>
    <w:qFormat/>
    <w:uiPriority w:val="0"/>
    <w:rPr>
      <w:rFonts w:ascii="宋体" w:hAnsi="宋体" w:eastAsia="宋体"/>
      <w:sz w:val="21"/>
      <w:lang w:val="en-US" w:eastAsia="zh-CN" w:bidi="ar-SA"/>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autoRedefine/>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autoRedefine/>
    <w:qFormat/>
    <w:uiPriority w:val="0"/>
    <w:rPr>
      <w:rFonts w:ascii="黑体" w:hAnsi="Times New Roman" w:eastAsia="黑体" w:cs="Times New Roman"/>
      <w:sz w:val="21"/>
    </w:rPr>
  </w:style>
  <w:style w:type="character" w:customStyle="1" w:styleId="279">
    <w:name w:val="一级条标题 Char"/>
    <w:link w:val="60"/>
    <w:autoRedefine/>
    <w:qFormat/>
    <w:uiPriority w:val="0"/>
    <w:rPr>
      <w:rFonts w:ascii="黑体" w:hAnsi="Times New Roman" w:eastAsia="黑体" w:cs="Times New Roman"/>
      <w:color w:val="FF0000"/>
      <w:spacing w:val="-4"/>
      <w:sz w:val="21"/>
      <w:szCs w:val="24"/>
    </w:rPr>
  </w:style>
  <w:style w:type="character" w:customStyle="1" w:styleId="280">
    <w:name w:val="纯文本 Char"/>
    <w:link w:val="24"/>
    <w:autoRedefine/>
    <w:qFormat/>
    <w:uiPriority w:val="99"/>
    <w:rPr>
      <w:rFonts w:ascii="宋体" w:hAnsi="Courier New" w:cs="Courier New"/>
      <w:kern w:val="2"/>
      <w:sz w:val="21"/>
      <w:szCs w:val="21"/>
    </w:rPr>
  </w:style>
  <w:style w:type="character" w:customStyle="1" w:styleId="281">
    <w:name w:val="三级条标题 Char"/>
    <w:link w:val="71"/>
    <w:autoRedefine/>
    <w:qFormat/>
    <w:uiPriority w:val="0"/>
    <w:rPr>
      <w:rFonts w:ascii="黑体" w:eastAsia="黑体"/>
      <w:color w:val="FF0000"/>
      <w:spacing w:val="-4"/>
      <w:sz w:val="21"/>
      <w:szCs w:val="24"/>
    </w:rPr>
  </w:style>
  <w:style w:type="character" w:customStyle="1" w:styleId="282">
    <w:name w:val="批注框文本 Char"/>
    <w:link w:val="29"/>
    <w:autoRedefine/>
    <w:qFormat/>
    <w:uiPriority w:val="0"/>
    <w:rPr>
      <w:kern w:val="2"/>
      <w:sz w:val="18"/>
      <w:szCs w:val="18"/>
    </w:rPr>
  </w:style>
  <w:style w:type="character" w:customStyle="1" w:styleId="283">
    <w:name w:val="正文文本 Char"/>
    <w:link w:val="21"/>
    <w:autoRedefine/>
    <w:qFormat/>
    <w:uiPriority w:val="0"/>
    <w:rPr>
      <w:kern w:val="2"/>
      <w:sz w:val="21"/>
      <w:szCs w:val="24"/>
    </w:rPr>
  </w:style>
  <w:style w:type="character" w:customStyle="1" w:styleId="284">
    <w:name w:val="注： Char"/>
    <w:link w:val="91"/>
    <w:autoRedefine/>
    <w:qFormat/>
    <w:uiPriority w:val="0"/>
    <w:rPr>
      <w:rFonts w:ascii="宋体"/>
      <w:sz w:val="18"/>
    </w:rPr>
  </w:style>
  <w:style w:type="character" w:customStyle="1" w:styleId="285">
    <w:name w:val="页脚 Char"/>
    <w:link w:val="30"/>
    <w:autoRedefine/>
    <w:qFormat/>
    <w:uiPriority w:val="99"/>
    <w:rPr>
      <w:kern w:val="2"/>
      <w:sz w:val="18"/>
      <w:szCs w:val="18"/>
    </w:rPr>
  </w:style>
  <w:style w:type="character" w:customStyle="1" w:styleId="286">
    <w:name w:val="正文文本缩进 Char"/>
    <w:link w:val="22"/>
    <w:autoRedefine/>
    <w:qFormat/>
    <w:uiPriority w:val="0"/>
    <w:rPr>
      <w:kern w:val="2"/>
      <w:sz w:val="24"/>
    </w:rPr>
  </w:style>
  <w:style w:type="character" w:customStyle="1" w:styleId="287">
    <w:name w:val="表中文字"/>
    <w:autoRedefine/>
    <w:qFormat/>
    <w:uiPriority w:val="0"/>
    <w:rPr>
      <w:rFonts w:ascii="宋体" w:eastAsia="宋体"/>
      <w:sz w:val="18"/>
    </w:rPr>
  </w:style>
  <w:style w:type="character" w:customStyle="1" w:styleId="288">
    <w:name w:val="批注文字 Char"/>
    <w:link w:val="20"/>
    <w:autoRedefine/>
    <w:qFormat/>
    <w:uiPriority w:val="0"/>
    <w:rPr>
      <w:kern w:val="2"/>
      <w:sz w:val="21"/>
      <w:szCs w:val="24"/>
    </w:rPr>
  </w:style>
  <w:style w:type="character" w:customStyle="1" w:styleId="289">
    <w:name w:val="批注主题 Char"/>
    <w:link w:val="39"/>
    <w:autoRedefine/>
    <w:qFormat/>
    <w:uiPriority w:val="0"/>
    <w:rPr>
      <w:b/>
      <w:bCs/>
      <w:kern w:val="2"/>
      <w:sz w:val="21"/>
      <w:szCs w:val="24"/>
    </w:rPr>
  </w:style>
  <w:style w:type="character" w:customStyle="1" w:styleId="290">
    <w:name w:val="页眉 Char"/>
    <w:link w:val="31"/>
    <w:autoRedefine/>
    <w:qFormat/>
    <w:uiPriority w:val="99"/>
    <w:rPr>
      <w:kern w:val="2"/>
      <w:sz w:val="18"/>
      <w:szCs w:val="18"/>
    </w:rPr>
  </w:style>
  <w:style w:type="character" w:customStyle="1" w:styleId="291">
    <w:name w:val="正文文本缩进 2 Char"/>
    <w:link w:val="27"/>
    <w:autoRedefine/>
    <w:qFormat/>
    <w:uiPriority w:val="0"/>
    <w:rPr>
      <w:kern w:val="2"/>
      <w:sz w:val="21"/>
      <w:szCs w:val="24"/>
    </w:rPr>
  </w:style>
  <w:style w:type="character" w:customStyle="1" w:styleId="292">
    <w:name w:val="日期 Char"/>
    <w:link w:val="26"/>
    <w:autoRedefine/>
    <w:qFormat/>
    <w:uiPriority w:val="99"/>
    <w:rPr>
      <w:kern w:val="2"/>
      <w:sz w:val="24"/>
    </w:rPr>
  </w:style>
  <w:style w:type="character" w:customStyle="1" w:styleId="293">
    <w:name w:val="访问过的超链接1"/>
    <w:autoRedefine/>
    <w:qFormat/>
    <w:uiPriority w:val="99"/>
    <w:rPr>
      <w:color w:val="800080"/>
      <w:u w:val="single"/>
    </w:rPr>
  </w:style>
  <w:style w:type="character" w:customStyle="1" w:styleId="294">
    <w:name w:val="段 Char Char Char Char"/>
    <w:autoRedefine/>
    <w:qFormat/>
    <w:uiPriority w:val="0"/>
    <w:rPr>
      <w:rFonts w:ascii="宋体"/>
      <w:sz w:val="21"/>
      <w:lang w:val="en-US" w:eastAsia="zh-CN" w:bidi="ar-SA"/>
    </w:rPr>
  </w:style>
  <w:style w:type="character" w:customStyle="1" w:styleId="295">
    <w:name w:val="章标题 Char Char"/>
    <w:autoRedefine/>
    <w:qFormat/>
    <w:uiPriority w:val="0"/>
    <w:rPr>
      <w:rFonts w:ascii="黑体" w:eastAsia="黑体"/>
      <w:sz w:val="21"/>
      <w:lang w:val="en-US" w:eastAsia="zh-CN" w:bidi="ar-SA"/>
    </w:rPr>
  </w:style>
  <w:style w:type="character" w:customStyle="1" w:styleId="296">
    <w:name w:val="正文文本缩进 Char1"/>
    <w:autoRedefine/>
    <w:qFormat/>
    <w:uiPriority w:val="0"/>
    <w:rPr>
      <w:kern w:val="2"/>
      <w:sz w:val="21"/>
      <w:szCs w:val="24"/>
    </w:rPr>
  </w:style>
  <w:style w:type="character" w:customStyle="1" w:styleId="297">
    <w:name w:val="font21"/>
    <w:autoRedefine/>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autoRedefine/>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autoRedefine/>
    <w:qFormat/>
    <w:uiPriority w:val="0"/>
    <w:rPr>
      <w:rFonts w:hint="eastAsia" w:ascii="宋体" w:hAnsi="宋体" w:eastAsia="宋体" w:cs="宋体"/>
      <w:color w:val="000000"/>
      <w:sz w:val="22"/>
      <w:szCs w:val="22"/>
      <w:u w:val="none"/>
    </w:rPr>
  </w:style>
  <w:style w:type="paragraph" w:styleId="302">
    <w:name w:val="List Paragraph"/>
    <w:basedOn w:val="1"/>
    <w:autoRedefine/>
    <w:qFormat/>
    <w:uiPriority w:val="34"/>
    <w:pPr>
      <w:ind w:firstLine="420" w:firstLineChars="200"/>
    </w:pPr>
  </w:style>
  <w:style w:type="paragraph" w:customStyle="1" w:styleId="303">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黑体" w:cs="Times New Roman"/>
      <w:b/>
      <w:bCs/>
      <w:kern w:val="44"/>
      <w:sz w:val="28"/>
      <w:szCs w:val="44"/>
    </w:rPr>
  </w:style>
  <w:style w:type="character" w:customStyle="1" w:styleId="306">
    <w:name w:val="标题 2 Char"/>
    <w:basedOn w:val="43"/>
    <w:link w:val="3"/>
    <w:autoRedefine/>
    <w:qFormat/>
    <w:uiPriority w:val="0"/>
    <w:rPr>
      <w:rFonts w:ascii="Arial" w:hAnsi="Arial" w:eastAsia="黑体" w:cs="Times New Roman"/>
      <w:b/>
      <w:bCs/>
      <w:kern w:val="2"/>
      <w:sz w:val="24"/>
      <w:szCs w:val="32"/>
    </w:rPr>
  </w:style>
  <w:style w:type="character" w:customStyle="1" w:styleId="307">
    <w:name w:val="标题 3 Char"/>
    <w:basedOn w:val="43"/>
    <w:link w:val="4"/>
    <w:autoRedefine/>
    <w:uiPriority w:val="0"/>
    <w:rPr>
      <w:rFonts w:ascii="Times New Roman" w:hAnsi="Times New Roman" w:eastAsia="黑体" w:cs="Times New Roman"/>
      <w:b/>
      <w:bCs/>
      <w:kern w:val="2"/>
      <w:sz w:val="21"/>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1"/>
    <w:autoRedefine/>
    <w:unhideWhenUsed/>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autoRedefine/>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E37B35-3441-4B26-8DEC-8F6012590BC0}">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8</Pages>
  <Words>810</Words>
  <Characters>4620</Characters>
  <Lines>38</Lines>
  <Paragraphs>10</Paragraphs>
  <TotalTime>620</TotalTime>
  <ScaleCrop>false</ScaleCrop>
  <LinksUpToDate>false</LinksUpToDate>
  <CharactersWithSpaces>5420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喆@瑶爸</cp:lastModifiedBy>
  <cp:lastPrinted>2016-10-20T04:13:00Z</cp:lastPrinted>
  <dcterms:modified xsi:type="dcterms:W3CDTF">2024-02-27T06:32:37Z</dcterms:modified>
  <dc:title>标准名称</dc:title>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1AF6B1942E934CBA9084FA9CF9CCD4B5</vt:lpwstr>
  </property>
</Properties>
</file>