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240" w:lineRule="auto"/>
        <w:ind w:firstLine="0" w:firstLineChars="0"/>
        <w:jc w:val="center"/>
        <w:rPr>
          <w:rFonts w:eastAsia="黑体"/>
          <w:color w:val="000000"/>
          <w:sz w:val="30"/>
          <w:szCs w:val="30"/>
        </w:rPr>
      </w:pPr>
      <w:r>
        <w:rPr>
          <w:rFonts w:hint="eastAsia" w:eastAsia="黑体"/>
          <w:color w:val="000000"/>
          <w:sz w:val="30"/>
          <w:szCs w:val="30"/>
          <w:lang w:val="en-US" w:eastAsia="zh-CN"/>
        </w:rPr>
        <w:t>行业</w:t>
      </w:r>
      <w:bookmarkStart w:id="33" w:name="_GoBack"/>
      <w:bookmarkEnd w:id="33"/>
      <w:r>
        <w:rPr>
          <w:rFonts w:eastAsia="黑体"/>
          <w:color w:val="000000"/>
          <w:sz w:val="30"/>
          <w:szCs w:val="30"/>
        </w:rPr>
        <w:t>标准《</w:t>
      </w:r>
      <w:r>
        <w:rPr>
          <w:rFonts w:hint="eastAsia" w:eastAsia="黑体"/>
          <w:color w:val="000000"/>
          <w:sz w:val="30"/>
          <w:szCs w:val="30"/>
        </w:rPr>
        <w:t>多晶硅还原炉用氮化硅制品</w:t>
      </w:r>
      <w:r>
        <w:rPr>
          <w:rFonts w:eastAsia="黑体"/>
          <w:color w:val="000000"/>
          <w:sz w:val="30"/>
          <w:szCs w:val="30"/>
        </w:rPr>
        <w:t>》编制说明</w:t>
      </w:r>
      <w:r>
        <w:rPr>
          <w:rFonts w:hint="eastAsia" w:eastAsia="黑体"/>
          <w:color w:val="000000"/>
          <w:sz w:val="30"/>
          <w:szCs w:val="30"/>
        </w:rPr>
        <w:t>（送审稿）</w:t>
      </w:r>
    </w:p>
    <w:p>
      <w:pPr>
        <w:pStyle w:val="7"/>
        <w:spacing w:line="276" w:lineRule="auto"/>
        <w:ind w:firstLine="600"/>
        <w:jc w:val="center"/>
        <w:rPr>
          <w:rFonts w:ascii="Times New Roman" w:eastAsia="黑体"/>
          <w:color w:val="000000"/>
          <w:sz w:val="30"/>
          <w:szCs w:val="30"/>
        </w:rPr>
      </w:pPr>
    </w:p>
    <w:p>
      <w:pPr>
        <w:pStyle w:val="2"/>
        <w:rPr>
          <w:color w:val="000000"/>
        </w:rPr>
      </w:pPr>
      <w:bookmarkStart w:id="0" w:name="_Toc511234377"/>
      <w:bookmarkStart w:id="1" w:name="_Toc497309492"/>
      <w:r>
        <w:rPr>
          <w:rFonts w:hint="eastAsia"/>
          <w:color w:val="000000"/>
        </w:rPr>
        <w:t>一、</w:t>
      </w:r>
      <w:r>
        <w:rPr>
          <w:color w:val="000000"/>
        </w:rPr>
        <w:t>工作简况</w:t>
      </w:r>
      <w:bookmarkEnd w:id="0"/>
      <w:bookmarkEnd w:id="1"/>
    </w:p>
    <w:p>
      <w:pPr>
        <w:pStyle w:val="3"/>
      </w:pPr>
      <w:bookmarkStart w:id="2" w:name="_Toc497309493"/>
      <w:bookmarkStart w:id="3" w:name="_Toc508985095"/>
      <w:bookmarkStart w:id="4" w:name="_Toc511234378"/>
      <w:r>
        <w:rPr>
          <w:rFonts w:hint="eastAsia"/>
        </w:rPr>
        <w:t>1</w:t>
      </w:r>
      <w:r>
        <w:t>.1 立项目的</w:t>
      </w:r>
      <w:bookmarkEnd w:id="2"/>
      <w:bookmarkEnd w:id="3"/>
      <w:bookmarkEnd w:id="4"/>
    </w:p>
    <w:p>
      <w:pPr>
        <w:ind w:firstLine="420"/>
        <w:rPr>
          <w:color w:val="000000"/>
          <w:szCs w:val="21"/>
        </w:rPr>
      </w:pPr>
      <w:r>
        <w:rPr>
          <w:rFonts w:hint="eastAsia"/>
          <w:color w:val="000000"/>
          <w:szCs w:val="21"/>
        </w:rPr>
        <w:t>在《中国制造2025》中第三章战略任务和重点的第六条大力推动重点领域突破发展第九款：新材料中明确国家对新材料的发展需要及支持。以特种金属功能材料、高性能结构材料、功能性高分子材料、特种无机非金属材料和先进复合材料为发展重点，加快研发先进熔炼、凝固成型、气相沉积、型材加工、高效合成等新材料制备关键技术和装备，加强基础研究和体系建设，突破产业化制备瓶颈。积极发展军民共用特种新材料，加快技术双向转移转化，促进新材料产业军民融合发展。高度关注颠覆性新材料对传统材料的影响，做好超导材料、纳米材料、石墨烯、生物基材料等战略前沿材料提前布局和研制。加快基础材料升级换代。</w:t>
      </w:r>
    </w:p>
    <w:p>
      <w:pPr>
        <w:ind w:firstLine="420"/>
        <w:rPr>
          <w:color w:val="000000"/>
          <w:szCs w:val="21"/>
        </w:rPr>
      </w:pPr>
      <w:r>
        <w:rPr>
          <w:rFonts w:hint="eastAsia"/>
          <w:color w:val="000000"/>
          <w:szCs w:val="21"/>
        </w:rPr>
        <w:t>氮化硅陶瓷不但具有一般工程陶瓷材料的耐高温、高强度、高硬度、耐磨损等优良性能，而且还具有远高于一般陶瓷材料的高韧性，以及良好的抗热冲击性能。氮化硅陶瓷的优异性能使其在航空航天、电子信息、清洁能源等领域具有广阔的应用前景，特别地，氮化硅陶瓷还具有独特的自润滑性能，无需添加其他润滑剂，这使其广泛用在陶瓷轴承领域，是传统工业改造、新兴产业和高新技术领域中不可缺少的高端材料。</w:t>
      </w:r>
    </w:p>
    <w:p>
      <w:pPr>
        <w:ind w:firstLine="420"/>
        <w:rPr>
          <w:color w:val="000000"/>
          <w:szCs w:val="21"/>
        </w:rPr>
      </w:pPr>
      <w:r>
        <w:rPr>
          <w:rFonts w:hint="eastAsia"/>
          <w:color w:val="000000"/>
          <w:szCs w:val="21"/>
        </w:rPr>
        <w:t>《战略性新兴产业分类（2018）》中代码：3.4.2.1；名称：结构陶瓷制造；国民经济行业代码：3073*；国民经济行业名称：特种陶瓷制品制造、氮化硅陶瓷刀具。《重点新材料首批次应用示范指导目录（2019年版）序号173条，高性能氮化硅陶瓷材料。在国家新材料产业指导目录中有明确的指出氮化硅材料是战略新材料，是非金属新材发展的方向。</w:t>
      </w:r>
    </w:p>
    <w:p>
      <w:pPr>
        <w:ind w:firstLine="420"/>
        <w:rPr>
          <w:color w:val="000000"/>
          <w:szCs w:val="21"/>
          <w:lang w:eastAsia="zh-Hans"/>
        </w:rPr>
      </w:pPr>
      <w:r>
        <w:rPr>
          <w:rFonts w:hint="eastAsia"/>
          <w:color w:val="000000"/>
          <w:szCs w:val="21"/>
          <w:lang w:eastAsia="zh-Hans"/>
        </w:rPr>
        <w:t>在多晶硅</w:t>
      </w:r>
      <w:r>
        <w:rPr>
          <w:rFonts w:hint="eastAsia"/>
          <w:color w:val="000000"/>
          <w:szCs w:val="21"/>
        </w:rPr>
        <w:t>还原炉</w:t>
      </w:r>
      <w:r>
        <w:rPr>
          <w:rFonts w:hint="eastAsia"/>
          <w:color w:val="000000"/>
          <w:szCs w:val="21"/>
          <w:lang w:eastAsia="zh-Hans"/>
        </w:rPr>
        <w:t>的生产中电极</w:t>
      </w:r>
      <w:r>
        <w:rPr>
          <w:rFonts w:hint="eastAsia"/>
          <w:color w:val="000000"/>
          <w:szCs w:val="21"/>
        </w:rPr>
        <w:t>需要</w:t>
      </w:r>
      <w:r>
        <w:rPr>
          <w:rFonts w:hint="eastAsia"/>
          <w:color w:val="000000"/>
          <w:szCs w:val="21"/>
          <w:lang w:eastAsia="zh-Hans"/>
        </w:rPr>
        <w:t>使用</w:t>
      </w:r>
      <w:r>
        <w:rPr>
          <w:rFonts w:hint="eastAsia"/>
          <w:color w:val="000000"/>
          <w:szCs w:val="21"/>
        </w:rPr>
        <w:t>具有</w:t>
      </w:r>
      <w:r>
        <w:rPr>
          <w:rFonts w:hint="eastAsia"/>
          <w:color w:val="000000"/>
          <w:szCs w:val="21"/>
          <w:lang w:eastAsia="zh-Hans"/>
        </w:rPr>
        <w:t>绝缘</w:t>
      </w:r>
      <w:r>
        <w:rPr>
          <w:rFonts w:hint="eastAsia"/>
          <w:color w:val="000000"/>
          <w:szCs w:val="21"/>
        </w:rPr>
        <w:t>性能的</w:t>
      </w:r>
      <w:r>
        <w:rPr>
          <w:rFonts w:hint="eastAsia"/>
          <w:color w:val="000000"/>
          <w:szCs w:val="21"/>
          <w:lang w:eastAsia="zh-Hans"/>
        </w:rPr>
        <w:t>瓷环</w:t>
      </w:r>
      <w:r>
        <w:rPr>
          <w:rFonts w:hint="eastAsia"/>
          <w:color w:val="000000"/>
          <w:szCs w:val="21"/>
        </w:rPr>
        <w:t>进行保护处理，通常称为电极保护套，以前的绝缘瓷环使用的是氧化铝材质</w:t>
      </w:r>
      <w:r>
        <w:rPr>
          <w:rFonts w:hint="eastAsia"/>
          <w:color w:val="000000"/>
          <w:szCs w:val="21"/>
          <w:lang w:eastAsia="zh-Hans"/>
        </w:rPr>
        <w:t>绝缘瓷环</w:t>
      </w:r>
      <w:r>
        <w:rPr>
          <w:rFonts w:hint="eastAsia"/>
          <w:color w:val="000000"/>
          <w:szCs w:val="21"/>
        </w:rPr>
        <w:t>，由于</w:t>
      </w:r>
      <w:r>
        <w:rPr>
          <w:rFonts w:hint="eastAsia"/>
          <w:color w:val="000000"/>
          <w:szCs w:val="21"/>
          <w:lang w:eastAsia="zh-Hans"/>
        </w:rPr>
        <w:t>氧化铝</w:t>
      </w:r>
      <w:r>
        <w:rPr>
          <w:rFonts w:hint="eastAsia"/>
          <w:color w:val="000000"/>
          <w:szCs w:val="21"/>
        </w:rPr>
        <w:t>材料热震性较差，不能耐受骤冷骤热的工艺条件</w:t>
      </w:r>
      <w:r>
        <w:rPr>
          <w:rFonts w:hint="eastAsia"/>
          <w:color w:val="000000"/>
          <w:szCs w:val="21"/>
          <w:lang w:eastAsia="zh-Hans"/>
        </w:rPr>
        <w:t>，</w:t>
      </w:r>
      <w:r>
        <w:rPr>
          <w:rFonts w:hint="eastAsia"/>
          <w:color w:val="000000"/>
          <w:szCs w:val="21"/>
        </w:rPr>
        <w:t>还原炉</w:t>
      </w:r>
      <w:r>
        <w:rPr>
          <w:rFonts w:hint="eastAsia"/>
          <w:color w:val="000000"/>
          <w:szCs w:val="21"/>
          <w:lang w:eastAsia="zh-Hans"/>
        </w:rPr>
        <w:t>使用的损耗比较大，每炉次的瓷环损耗在</w:t>
      </w:r>
      <w:r>
        <w:rPr>
          <w:rFonts w:hint="eastAsia"/>
          <w:color w:val="000000"/>
          <w:szCs w:val="21"/>
        </w:rPr>
        <w:t>60%以上</w:t>
      </w:r>
      <w:r>
        <w:rPr>
          <w:rFonts w:hint="eastAsia"/>
          <w:color w:val="000000"/>
          <w:szCs w:val="21"/>
          <w:lang w:eastAsia="zh-Hans"/>
        </w:rPr>
        <w:t>，改用氮化硅</w:t>
      </w:r>
      <w:r>
        <w:rPr>
          <w:rFonts w:hint="eastAsia"/>
          <w:color w:val="000000"/>
          <w:szCs w:val="21"/>
        </w:rPr>
        <w:t>绝缘环</w:t>
      </w:r>
      <w:r>
        <w:rPr>
          <w:rFonts w:hint="eastAsia"/>
          <w:color w:val="000000"/>
          <w:szCs w:val="21"/>
          <w:lang w:eastAsia="zh-Hans"/>
        </w:rPr>
        <w:t>之后</w:t>
      </w:r>
      <w:r>
        <w:rPr>
          <w:rFonts w:hint="eastAsia"/>
          <w:color w:val="000000"/>
          <w:szCs w:val="21"/>
        </w:rPr>
        <w:t>，</w:t>
      </w:r>
      <w:r>
        <w:rPr>
          <w:rFonts w:hint="eastAsia"/>
          <w:color w:val="000000"/>
          <w:szCs w:val="21"/>
          <w:lang w:eastAsia="zh-Hans"/>
        </w:rPr>
        <w:t>因氮化硅</w:t>
      </w:r>
      <w:r>
        <w:rPr>
          <w:rFonts w:hint="eastAsia"/>
          <w:color w:val="000000"/>
          <w:szCs w:val="21"/>
        </w:rPr>
        <w:t>优异</w:t>
      </w:r>
      <w:r>
        <w:rPr>
          <w:rFonts w:hint="eastAsia"/>
          <w:color w:val="000000"/>
          <w:szCs w:val="21"/>
          <w:lang w:eastAsia="zh-Hans"/>
        </w:rPr>
        <w:t>的性能</w:t>
      </w:r>
      <w:r>
        <w:rPr>
          <w:rFonts w:hint="eastAsia"/>
          <w:color w:val="000000"/>
          <w:szCs w:val="21"/>
        </w:rPr>
        <w:t>致使</w:t>
      </w:r>
      <w:r>
        <w:rPr>
          <w:rFonts w:hint="eastAsia"/>
          <w:color w:val="000000"/>
          <w:szCs w:val="21"/>
          <w:lang w:eastAsia="zh-Hans"/>
        </w:rPr>
        <w:t>其损耗</w:t>
      </w:r>
      <w:r>
        <w:rPr>
          <w:rFonts w:hint="eastAsia"/>
          <w:color w:val="000000"/>
          <w:szCs w:val="21"/>
        </w:rPr>
        <w:t>大幅降低，因为氮化硅瓷环</w:t>
      </w:r>
      <w:r>
        <w:rPr>
          <w:rFonts w:hint="eastAsia"/>
          <w:color w:val="000000"/>
          <w:szCs w:val="21"/>
          <w:lang w:eastAsia="zh-Hans"/>
        </w:rPr>
        <w:t>绝缘性能更好，耐热性更好，强度高，使用周期更长</w:t>
      </w:r>
      <w:r>
        <w:rPr>
          <w:rFonts w:hint="eastAsia"/>
          <w:color w:val="000000"/>
          <w:szCs w:val="21"/>
        </w:rPr>
        <w:t>，每一个绝缘瓷环的使用寿命在1-2年，大大降低了生产成本</w:t>
      </w:r>
      <w:r>
        <w:rPr>
          <w:rFonts w:hint="eastAsia"/>
          <w:color w:val="000000"/>
          <w:szCs w:val="21"/>
          <w:lang w:eastAsia="zh-Hans"/>
        </w:rPr>
        <w:t>。目前几乎大多数的多晶硅厂家都已经改用氮化硅绝缘</w:t>
      </w:r>
      <w:r>
        <w:rPr>
          <w:rFonts w:hint="eastAsia"/>
          <w:color w:val="000000"/>
          <w:szCs w:val="21"/>
        </w:rPr>
        <w:t>瓷环</w:t>
      </w:r>
      <w:r>
        <w:rPr>
          <w:rFonts w:hint="eastAsia"/>
          <w:color w:val="000000"/>
          <w:szCs w:val="21"/>
          <w:lang w:eastAsia="zh-Hans"/>
        </w:rPr>
        <w:t>。</w:t>
      </w:r>
    </w:p>
    <w:p>
      <w:pPr>
        <w:ind w:firstLine="420"/>
        <w:rPr>
          <w:color w:val="000000"/>
          <w:szCs w:val="21"/>
        </w:rPr>
      </w:pPr>
      <w:r>
        <w:rPr>
          <w:rFonts w:hint="eastAsia"/>
          <w:color w:val="000000"/>
          <w:szCs w:val="21"/>
        </w:rPr>
        <w:t>在多晶硅生产中除了绝缘瓷环（电极保护套）之外，还使用耐高温、耐腐蚀、耐磨损的尾气回收管的气流罩。罩在尾气管上保护硅渣不落入尾气管，不会因为倒炉使得保护管损坏，如果是氧化铝陶瓷较脆，倒炉就会砸碎，如果是不锈钢因为和底盘之间有磨损，会引入金属杂质，所以使用氮化硅制品，发挥其强度高、耐磨损的优势。</w:t>
      </w:r>
    </w:p>
    <w:p>
      <w:pPr>
        <w:ind w:firstLine="420"/>
        <w:rPr>
          <w:color w:val="000000"/>
          <w:szCs w:val="21"/>
        </w:rPr>
      </w:pPr>
      <w:r>
        <w:rPr>
          <w:rFonts w:hint="eastAsia"/>
          <w:color w:val="000000"/>
          <w:szCs w:val="21"/>
        </w:rPr>
        <w:t>在多晶硅还原炉中部分底盘的进料喷嘴也使用氮化硅的材料，使用寿命长，对多晶硅的污染少。</w:t>
      </w:r>
    </w:p>
    <w:p>
      <w:pPr>
        <w:ind w:firstLine="420"/>
        <w:rPr>
          <w:color w:val="000000"/>
          <w:szCs w:val="21"/>
        </w:rPr>
      </w:pPr>
      <w:r>
        <w:rPr>
          <w:rFonts w:hint="eastAsia"/>
          <w:color w:val="000000"/>
          <w:szCs w:val="21"/>
        </w:rPr>
        <w:t>氮化硅的产品应用于多晶硅生产中的类别目前不是特别广泛，也是近两年才开始尝试，但是其优异的性能已经凸显，所以对于后续的生产和发展，氮化硅的产品在多晶硅生产和后续的破碎清洗包装都会应用的越来越多。</w:t>
      </w:r>
    </w:p>
    <w:p>
      <w:pPr>
        <w:ind w:firstLine="420"/>
        <w:rPr>
          <w:color w:val="000000"/>
          <w:szCs w:val="21"/>
        </w:rPr>
      </w:pPr>
      <w:r>
        <w:rPr>
          <w:rFonts w:hint="eastAsia"/>
          <w:color w:val="000000"/>
          <w:szCs w:val="21"/>
        </w:rPr>
        <w:t>目前，应用于多晶硅的氮化硅陶瓷制品，都使用在还原炉内部，对于多晶硅的品质有一定的影响，所以对于多晶硅行业使用的氮化硅产品，我们需要从原料的纯度、陶瓷成型和烧结的方法、产品的力学性能、热学性能、表观质量及最终产品的清洗包装这几个方面来要求多晶硅用氮化硅产品，因为这些指标才是氮化硅产品影响多晶硅生产过程的关键因素，而不仅仅是氮化硅陶瓷产品本身具有的物理性能。</w:t>
      </w:r>
    </w:p>
    <w:p>
      <w:pPr>
        <w:ind w:firstLine="420"/>
        <w:rPr>
          <w:color w:val="000000"/>
        </w:rPr>
      </w:pPr>
      <w:r>
        <w:rPr>
          <w:rFonts w:hint="eastAsia"/>
          <w:color w:val="000000"/>
          <w:szCs w:val="21"/>
          <w:lang w:eastAsia="zh-Hans"/>
        </w:rPr>
        <w:t>对于此标准的制定有助于多晶硅厂家的使用规范和更好的要求生产厂家对</w:t>
      </w:r>
      <w:r>
        <w:rPr>
          <w:rFonts w:hint="eastAsia"/>
          <w:color w:val="000000"/>
          <w:szCs w:val="21"/>
        </w:rPr>
        <w:t>多晶硅用氮化硅陶瓷制品</w:t>
      </w:r>
      <w:r>
        <w:rPr>
          <w:rFonts w:hint="eastAsia"/>
          <w:color w:val="000000"/>
          <w:szCs w:val="21"/>
          <w:lang w:eastAsia="zh-Hans"/>
        </w:rPr>
        <w:t>性能的关注和质量的提升</w:t>
      </w:r>
      <w:r>
        <w:rPr>
          <w:rFonts w:hint="eastAsia"/>
          <w:color w:val="000000"/>
          <w:szCs w:val="21"/>
        </w:rPr>
        <w:t xml:space="preserve">。 </w:t>
      </w:r>
    </w:p>
    <w:p>
      <w:pPr>
        <w:pStyle w:val="3"/>
      </w:pPr>
      <w:bookmarkStart w:id="5" w:name="_Toc511234379"/>
      <w:bookmarkStart w:id="6" w:name="_Toc508985096"/>
      <w:bookmarkStart w:id="7" w:name="_Toc497309494"/>
      <w:r>
        <w:t>1.2 任务来源</w:t>
      </w:r>
      <w:bookmarkEnd w:id="5"/>
      <w:bookmarkEnd w:id="6"/>
      <w:bookmarkEnd w:id="7"/>
    </w:p>
    <w:p>
      <w:pPr>
        <w:pStyle w:val="7"/>
        <w:spacing w:line="360" w:lineRule="auto"/>
        <w:ind w:firstLine="420"/>
        <w:contextualSpacing/>
        <w:rPr>
          <w:rFonts w:ascii="Times New Roman" w:hAnsi="Times New Roman"/>
          <w:color w:val="000000"/>
          <w:szCs w:val="24"/>
        </w:rPr>
      </w:pPr>
      <w:bookmarkStart w:id="8" w:name="_Toc511234380"/>
      <w:bookmarkStart w:id="9" w:name="_Toc508985097"/>
      <w:bookmarkStart w:id="10" w:name="_Toc497309497"/>
      <w:r>
        <w:rPr>
          <w:rFonts w:ascii="Times New Roman" w:hAnsi="Times New Roman"/>
          <w:color w:val="000000"/>
          <w:szCs w:val="24"/>
        </w:rPr>
        <w:t>根据《</w:t>
      </w:r>
      <w:r>
        <w:rPr>
          <w:rFonts w:hint="eastAsia" w:ascii="Times New Roman" w:hAnsi="Times New Roman"/>
          <w:color w:val="000000"/>
          <w:szCs w:val="24"/>
        </w:rPr>
        <w:t>关于召开半导体材料标准项目论证会暨标准制修订工作会议的通知</w:t>
      </w:r>
      <w:r>
        <w:rPr>
          <w:rFonts w:ascii="Times New Roman" w:hAnsi="Times New Roman"/>
          <w:color w:val="000000"/>
          <w:szCs w:val="24"/>
        </w:rPr>
        <w:t>》（</w:t>
      </w:r>
      <w:r>
        <w:rPr>
          <w:rFonts w:hint="eastAsia" w:ascii="Times New Roman" w:hAnsi="Times New Roman"/>
          <w:color w:val="000000"/>
          <w:szCs w:val="24"/>
        </w:rPr>
        <w:t>半材标委</w:t>
      </w:r>
      <w:r>
        <w:rPr>
          <w:rFonts w:ascii="Times New Roman" w:hAnsi="Times New Roman"/>
          <w:color w:val="000000"/>
          <w:szCs w:val="24"/>
        </w:rPr>
        <w:t>[20</w:t>
      </w:r>
      <w:r>
        <w:rPr>
          <w:rFonts w:hint="eastAsia" w:ascii="Times New Roman" w:hAnsi="Times New Roman"/>
          <w:color w:val="000000"/>
          <w:szCs w:val="24"/>
        </w:rPr>
        <w:t>23</w:t>
      </w:r>
      <w:r>
        <w:rPr>
          <w:rFonts w:ascii="Times New Roman" w:hAnsi="Times New Roman"/>
          <w:color w:val="000000"/>
          <w:szCs w:val="24"/>
        </w:rPr>
        <w:t>]</w:t>
      </w:r>
      <w:r>
        <w:rPr>
          <w:rFonts w:hint="eastAsia" w:ascii="Times New Roman" w:hAnsi="Times New Roman"/>
          <w:color w:val="000000"/>
          <w:szCs w:val="24"/>
        </w:rPr>
        <w:t>14</w:t>
      </w:r>
      <w:r>
        <w:rPr>
          <w:rFonts w:ascii="Times New Roman" w:hAnsi="Times New Roman"/>
          <w:color w:val="000000"/>
          <w:szCs w:val="24"/>
        </w:rPr>
        <w:t>号）的要求，《</w:t>
      </w:r>
      <w:r>
        <w:rPr>
          <w:rFonts w:hint="eastAsia" w:ascii="Times New Roman" w:hAnsi="Times New Roman"/>
          <w:color w:val="000000"/>
          <w:szCs w:val="24"/>
        </w:rPr>
        <w:t>多晶硅还原炉用氮化硅制品</w:t>
      </w:r>
      <w:r>
        <w:rPr>
          <w:rFonts w:ascii="Times New Roman" w:hAnsi="Times New Roman"/>
          <w:color w:val="000000"/>
          <w:szCs w:val="24"/>
        </w:rPr>
        <w:t>》由新疆晶硕新材料有限公司牵头起草，计划编号为 20</w:t>
      </w:r>
      <w:r>
        <w:rPr>
          <w:rFonts w:hint="eastAsia" w:ascii="Times New Roman" w:hAnsi="Times New Roman"/>
          <w:color w:val="000000"/>
          <w:szCs w:val="24"/>
        </w:rPr>
        <w:t>23</w:t>
      </w:r>
      <w:r>
        <w:rPr>
          <w:rFonts w:ascii="Times New Roman" w:hAnsi="Times New Roman"/>
          <w:color w:val="000000"/>
          <w:szCs w:val="24"/>
        </w:rPr>
        <w:t>-0</w:t>
      </w:r>
      <w:r>
        <w:rPr>
          <w:rFonts w:hint="eastAsia" w:ascii="Times New Roman" w:hAnsi="Times New Roman"/>
          <w:color w:val="000000"/>
          <w:szCs w:val="24"/>
        </w:rPr>
        <w:t>**</w:t>
      </w:r>
      <w:r>
        <w:rPr>
          <w:rFonts w:ascii="Times New Roman" w:hAnsi="Times New Roman"/>
          <w:color w:val="000000"/>
          <w:szCs w:val="24"/>
        </w:rPr>
        <w:t>-T/CNIA，由全国有色金属标准化技术委员会、全国半导体设备和材料标准化技术委员会材料分技术委员会归口，全国半导体设备和材料标准化技术委员会材料分技术委员会负责组织。</w:t>
      </w:r>
    </w:p>
    <w:p>
      <w:pPr>
        <w:pStyle w:val="3"/>
      </w:pPr>
      <w:r>
        <w:t>1.3 项目编制组单位简况</w:t>
      </w:r>
      <w:bookmarkEnd w:id="8"/>
      <w:bookmarkEnd w:id="9"/>
      <w:bookmarkEnd w:id="10"/>
    </w:p>
    <w:p>
      <w:pPr>
        <w:ind w:firstLine="420"/>
        <w:rPr>
          <w:color w:val="000000"/>
        </w:rPr>
      </w:pPr>
      <w:r>
        <w:rPr>
          <w:color w:val="000000"/>
        </w:rPr>
        <w:t>本项目由</w:t>
      </w:r>
      <w:r>
        <w:rPr>
          <w:rFonts w:hint="eastAsia"/>
          <w:color w:val="000000"/>
        </w:rPr>
        <w:t>新疆晶硕新材料有限公司</w:t>
      </w:r>
      <w:r>
        <w:rPr>
          <w:color w:val="000000"/>
        </w:rPr>
        <w:t>编制组</w:t>
      </w:r>
      <w:r>
        <w:rPr>
          <w:rFonts w:hint="eastAsia"/>
          <w:color w:val="000000"/>
        </w:rPr>
        <w:t xml:space="preserve">。新疆晶硕新材料有限公司（以下简称“晶硕公司”）于 2017 年 7 月在乌鲁木齐甘泉堡国家级经济技术开发区注册成立，注册资本 </w:t>
      </w:r>
      <w:r>
        <w:rPr>
          <w:color w:val="000000"/>
        </w:rPr>
        <w:t>2000</w:t>
      </w:r>
      <w:r>
        <w:rPr>
          <w:rFonts w:hint="eastAsia"/>
          <w:color w:val="000000"/>
        </w:rPr>
        <w:t>万元。公司现有职工400余人，拥有多年从事工艺技术研究的行业顶级专家5人，博士 2人，研究生 8人，中高级技术职称 14 人。晶硕公司是专业从事特种陶瓷材料研制、纳米级粉体材料产品研发及技术应用的高新技术企业。在氮化硅领域，新疆晶硕公司投资8000万元建设年产100吨氮化硅粉和100000件氮化硅陶瓷环的生产线。氮化硅产品主要应用于轴承、冶金、化工、能源、环保、航空航天和国防军事及新能源汽车逆变器等新能源及新材料领域。</w:t>
      </w:r>
    </w:p>
    <w:p>
      <w:pPr>
        <w:ind w:firstLine="420"/>
        <w:rPr>
          <w:color w:val="000000"/>
        </w:rPr>
      </w:pPr>
      <w:r>
        <w:rPr>
          <w:rFonts w:hint="eastAsia"/>
          <w:color w:val="000000"/>
        </w:rPr>
        <w:t>通过自主研发，形成技术专利30项，其中发明专利18项，实用新型专利12项。在国内，通过与中科院理化所、天津大学、南昌大学、上硅所、华东理工等科研院所进行产学研合作，在国外，聘任美国、日本的外籍专家，进行新产品的研发；多项产品填补了国内空白，在氮化硅陶瓷材料研究、开发及应用方面居国内领先水平。</w:t>
      </w:r>
    </w:p>
    <w:p>
      <w:pPr>
        <w:pStyle w:val="3"/>
      </w:pPr>
      <w:bookmarkStart w:id="11" w:name="_Toc511234384"/>
      <w:r>
        <w:rPr>
          <w:rFonts w:hint="eastAsia"/>
        </w:rPr>
        <w:t>1</w:t>
      </w:r>
      <w:r>
        <w:t xml:space="preserve">.4 </w:t>
      </w:r>
      <w:r>
        <w:rPr>
          <w:rFonts w:hint="eastAsia"/>
        </w:rPr>
        <w:t>工作过程</w:t>
      </w:r>
      <w:bookmarkEnd w:id="11"/>
    </w:p>
    <w:p>
      <w:pPr>
        <w:ind w:firstLine="0" w:firstLineChars="0"/>
        <w:rPr>
          <w:color w:val="000000"/>
        </w:rPr>
      </w:pPr>
      <w:r>
        <w:rPr>
          <w:rFonts w:hint="eastAsia"/>
          <w:color w:val="000000"/>
        </w:rPr>
        <w:t>1.4.1起草阶段</w:t>
      </w:r>
    </w:p>
    <w:p>
      <w:pPr>
        <w:ind w:firstLine="420"/>
        <w:rPr>
          <w:color w:val="000000"/>
        </w:rPr>
      </w:pPr>
      <w:r>
        <w:rPr>
          <w:rFonts w:hint="eastAsia"/>
          <w:color w:val="000000"/>
        </w:rPr>
        <w:t>标准起草单位和参与单位在接到中国有色金属工业协会下达的项目任务后，成立了专门的《多晶硅还原炉用氮化硅制品》编制组，其中包括领导组、技术组和专家组，并制定了相关工作计划。根据工作计划进度安排，标准编制组收集查阅了国内外相关政策、标准、文献，认真学习编制原则和需要注意的内容。编制组对我国氮化硅企业生产现状进行调研，调研方式主要有：资料调研、网上调研等。在调研工作的基础上，经逐步修改完善，形成《多晶硅还原炉用氮化硅制品》讨论稿。</w:t>
      </w:r>
    </w:p>
    <w:p>
      <w:pPr>
        <w:ind w:firstLine="420"/>
        <w:rPr>
          <w:color w:val="000000"/>
        </w:rPr>
      </w:pPr>
      <w:r>
        <w:rPr>
          <w:rFonts w:hint="eastAsia"/>
          <w:color w:val="000000"/>
        </w:rPr>
        <w:t>2023年4月27日，全国半导体标准化技术委员会组织在四川乐山召开标准讨论会。会上，各位专家将对已经形成的《多晶硅还原炉用氮化硅制品》讨论稿及其编制说明进行讨论，对文本的格式和内容提出建议，会后，编制组人员根据参会专家意见进行修改调整，形成征求意见稿后在本次的标准研讨会进行审查。</w:t>
      </w:r>
    </w:p>
    <w:p>
      <w:pPr>
        <w:ind w:firstLine="420"/>
        <w:rPr>
          <w:color w:val="000000"/>
        </w:rPr>
      </w:pPr>
      <w:r>
        <w:rPr>
          <w:rFonts w:hint="eastAsia"/>
          <w:color w:val="000000"/>
        </w:rPr>
        <w:t>2023年7月19日，全国半导体标准化技术委员会组织在安徽铜陵召开标准讨论会。会上，各位专家将对已经形成的《多晶硅还原炉用氮化硅制品》预审稿进行讨论，对文本的格式和内容提出建议，会后，编制组人员根据参会专家意见进行修改调整，形成送审稿后在本次的标准研讨会进行审查。</w:t>
      </w:r>
    </w:p>
    <w:p>
      <w:pPr>
        <w:pStyle w:val="2"/>
        <w:rPr>
          <w:color w:val="000000"/>
        </w:rPr>
      </w:pPr>
      <w:bookmarkStart w:id="12" w:name="_Toc511234385"/>
      <w:bookmarkStart w:id="13" w:name="_Toc497309525"/>
      <w:r>
        <w:rPr>
          <w:rFonts w:hint="eastAsia"/>
          <w:color w:val="000000"/>
        </w:rPr>
        <w:t>二、</w:t>
      </w:r>
      <w:r>
        <w:rPr>
          <w:color w:val="000000"/>
        </w:rPr>
        <w:t>标准编制原则和确定标准主要内容</w:t>
      </w:r>
      <w:bookmarkEnd w:id="12"/>
      <w:bookmarkEnd w:id="13"/>
    </w:p>
    <w:p>
      <w:pPr>
        <w:pStyle w:val="3"/>
        <w:rPr>
          <w:rFonts w:hAnsi="宋体"/>
          <w:b/>
          <w:sz w:val="21"/>
          <w:szCs w:val="21"/>
        </w:rPr>
      </w:pPr>
      <w:bookmarkStart w:id="14" w:name="_Toc511234386"/>
      <w:bookmarkStart w:id="15" w:name="_Toc497309526"/>
      <w:bookmarkStart w:id="16" w:name="_Toc508985102"/>
      <w:r>
        <w:rPr>
          <w:rFonts w:hint="eastAsia"/>
        </w:rPr>
        <w:t>2</w:t>
      </w:r>
      <w:r>
        <w:t>.1编制原则</w:t>
      </w:r>
      <w:bookmarkEnd w:id="14"/>
      <w:bookmarkEnd w:id="15"/>
      <w:bookmarkEnd w:id="16"/>
      <w:bookmarkStart w:id="17" w:name="_Toc511234398"/>
      <w:bookmarkStart w:id="18" w:name="_Toc497309549"/>
    </w:p>
    <w:p>
      <w:pPr>
        <w:ind w:firstLine="420"/>
        <w:rPr>
          <w:color w:val="000000"/>
        </w:rPr>
      </w:pPr>
      <w:r>
        <w:rPr>
          <w:rFonts w:hint="eastAsia"/>
          <w:color w:val="000000"/>
        </w:rPr>
        <w:t>本标准按照GB/T 1.1-2020《标准化工作导则 第1部分：标准的结构和编写的要求进行编写。标准中简述了方法原理，确定了适用范围、等级划分及其杂质含量要求、检验规则、包装、运输、贮存等技术内容。</w:t>
      </w:r>
    </w:p>
    <w:p>
      <w:pPr>
        <w:pStyle w:val="3"/>
      </w:pPr>
      <w:r>
        <w:rPr>
          <w:rFonts w:hint="eastAsia"/>
        </w:rPr>
        <w:t>2.2标准主要内容说明</w:t>
      </w:r>
    </w:p>
    <w:p>
      <w:pPr>
        <w:ind w:left="420" w:leftChars="200" w:firstLine="0" w:firstLineChars="0"/>
        <w:rPr>
          <w:rFonts w:ascii="宋体" w:hAnsi="宋体" w:cs="宋体"/>
          <w:bCs/>
          <w:color w:val="000000"/>
          <w:szCs w:val="21"/>
        </w:rPr>
      </w:pPr>
      <w:r>
        <w:rPr>
          <w:rFonts w:hint="eastAsia" w:ascii="宋体" w:hAnsi="宋体" w:cs="宋体"/>
          <w:bCs/>
          <w:color w:val="000000"/>
          <w:szCs w:val="21"/>
        </w:rPr>
        <w:t>根据目前市场销售及相关厂家的合同指标进行确认，得出下列指标要求。</w:t>
      </w:r>
    </w:p>
    <w:p>
      <w:pPr>
        <w:pStyle w:val="5"/>
        <w:numPr>
          <w:ilvl w:val="0"/>
          <w:numId w:val="0"/>
        </w:numPr>
        <w:spacing w:before="156" w:after="156" w:line="300" w:lineRule="exact"/>
        <w:rPr>
          <w:color w:val="000000"/>
        </w:rPr>
      </w:pPr>
      <w:r>
        <w:rPr>
          <w:rFonts w:hint="eastAsia"/>
          <w:color w:val="000000"/>
        </w:rPr>
        <w:t>2.2.1技术要求</w:t>
      </w:r>
    </w:p>
    <w:p>
      <w:pPr>
        <w:pStyle w:val="28"/>
        <w:numPr>
          <w:ilvl w:val="0"/>
          <w:numId w:val="0"/>
        </w:numPr>
        <w:spacing w:line="360" w:lineRule="auto"/>
        <w:rPr>
          <w:rFonts w:ascii="Times New Roman"/>
          <w:color w:val="000000"/>
          <w:spacing w:val="0"/>
          <w:kern w:val="2"/>
        </w:rPr>
      </w:pPr>
      <w:r>
        <w:rPr>
          <w:rFonts w:hint="eastAsia" w:ascii="Times New Roman"/>
          <w:color w:val="000000"/>
          <w:spacing w:val="0"/>
          <w:kern w:val="2"/>
        </w:rPr>
        <w:t>2.2.1.1外观质量</w:t>
      </w:r>
    </w:p>
    <w:p>
      <w:pPr>
        <w:pStyle w:val="7"/>
        <w:tabs>
          <w:tab w:val="center" w:pos="4201"/>
          <w:tab w:val="right" w:leader="dot" w:pos="9298"/>
        </w:tabs>
        <w:spacing w:line="360" w:lineRule="auto"/>
        <w:ind w:firstLine="420"/>
        <w:rPr>
          <w:rFonts w:ascii="Times New Roman" w:hAnsi="Times New Roman"/>
          <w:color w:val="000000"/>
          <w:szCs w:val="24"/>
        </w:rPr>
      </w:pPr>
      <w:r>
        <w:rPr>
          <w:rFonts w:hint="eastAsia" w:ascii="Times New Roman" w:hAnsi="Times New Roman"/>
          <w:color w:val="000000"/>
          <w:szCs w:val="24"/>
        </w:rPr>
        <w:t>多晶硅还原炉用氮化硅制品表观要求为色泽均匀的黑色/深灰色完整结构件，不允许存在肉眼可见裂纹，不能有尺寸大于5mm的斑点，每平方厘米上小于5mm的斑点数量不应大于2个，崩缺尺寸不应大于2mm。</w:t>
      </w:r>
    </w:p>
    <w:p>
      <w:pPr>
        <w:pStyle w:val="5"/>
        <w:numPr>
          <w:ilvl w:val="0"/>
          <w:numId w:val="0"/>
        </w:numPr>
        <w:spacing w:before="156" w:after="156" w:line="300" w:lineRule="exact"/>
        <w:rPr>
          <w:rFonts w:ascii="宋体" w:eastAsia="宋体"/>
          <w:color w:val="000000"/>
        </w:rPr>
      </w:pPr>
      <w:r>
        <w:rPr>
          <w:rFonts w:hint="eastAsia" w:ascii="宋体" w:eastAsia="宋体"/>
          <w:color w:val="000000"/>
        </w:rPr>
        <w:t>2.2.1.2 技术指标</w:t>
      </w:r>
    </w:p>
    <w:p>
      <w:pPr>
        <w:pStyle w:val="7"/>
        <w:tabs>
          <w:tab w:val="center" w:pos="4201"/>
          <w:tab w:val="right" w:leader="dot" w:pos="9298"/>
        </w:tabs>
        <w:ind w:firstLine="420"/>
      </w:pPr>
      <w:r>
        <w:rPr>
          <w:rFonts w:hint="eastAsia"/>
        </w:rPr>
        <w:t>多晶硅还原炉用氮化硅陶瓷制品对应技术指标要求见表1。</w:t>
      </w:r>
    </w:p>
    <w:p>
      <w:pPr>
        <w:pStyle w:val="7"/>
        <w:tabs>
          <w:tab w:val="center" w:pos="4201"/>
          <w:tab w:val="right" w:leader="dot" w:pos="9298"/>
        </w:tabs>
        <w:ind w:firstLine="420"/>
        <w:jc w:val="center"/>
      </w:pPr>
      <w:r>
        <w:rPr>
          <w:rFonts w:hint="eastAsia"/>
        </w:rPr>
        <w:t>表1 多晶硅还原炉用氮化硅陶瓷制品理化指标</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3"/>
        <w:gridCol w:w="2350"/>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项目</w:t>
            </w:r>
          </w:p>
        </w:tc>
        <w:tc>
          <w:tcPr>
            <w:tcW w:w="1450" w:type="pct"/>
            <w:vAlign w:val="center"/>
          </w:tcPr>
          <w:p>
            <w:pPr>
              <w:pStyle w:val="7"/>
              <w:widowControl w:val="0"/>
              <w:tabs>
                <w:tab w:val="center" w:pos="4201"/>
                <w:tab w:val="right" w:leader="dot" w:pos="9298"/>
              </w:tabs>
              <w:ind w:firstLine="0" w:firstLineChars="0"/>
              <w:jc w:val="center"/>
              <w:rPr>
                <w:rFonts w:hAnsi="Times New Roman"/>
                <w:color w:val="000000"/>
                <w:sz w:val="18"/>
                <w:szCs w:val="18"/>
              </w:rPr>
            </w:pPr>
            <w:r>
              <w:rPr>
                <w:rFonts w:hint="eastAsia"/>
                <w:color w:val="000000"/>
                <w:sz w:val="18"/>
                <w:szCs w:val="18"/>
              </w:rPr>
              <w:t>指标</w:t>
            </w:r>
          </w:p>
        </w:tc>
        <w:tc>
          <w:tcPr>
            <w:tcW w:w="1473"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密度 （≥）</w:t>
            </w:r>
          </w:p>
        </w:tc>
        <w:tc>
          <w:tcPr>
            <w:tcW w:w="2350" w:type="dxa"/>
            <w:vAlign w:val="center"/>
          </w:tcPr>
          <w:p>
            <w:pPr>
              <w:pStyle w:val="7"/>
              <w:widowControl w:val="0"/>
              <w:tabs>
                <w:tab w:val="center" w:pos="4201"/>
                <w:tab w:val="right" w:leader="dot" w:pos="9298"/>
              </w:tabs>
              <w:ind w:firstLine="0" w:firstLineChars="0"/>
              <w:jc w:val="center"/>
              <w:rPr>
                <w:rFonts w:hAnsi="Times New Roman"/>
                <w:color w:val="000000"/>
                <w:sz w:val="18"/>
                <w:szCs w:val="18"/>
              </w:rPr>
            </w:pPr>
            <w:r>
              <w:rPr>
                <w:rFonts w:hint="eastAsia"/>
                <w:color w:val="000000"/>
                <w:sz w:val="18"/>
                <w:szCs w:val="18"/>
              </w:rPr>
              <w:t>3.0-3.4</w:t>
            </w:r>
          </w:p>
        </w:tc>
        <w:tc>
          <w:tcPr>
            <w:tcW w:w="1473"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 xml:space="preserve"> g/cm</w:t>
            </w:r>
            <w:r>
              <w:rPr>
                <w:rFonts w:hint="eastAsia" w:cs="宋体"/>
                <w:color w:val="000000"/>
                <w:sz w:val="18"/>
                <w:szCs w:val="18"/>
              </w:rPr>
              <w:t>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三点抗弯强度 （≥）</w:t>
            </w:r>
          </w:p>
        </w:tc>
        <w:tc>
          <w:tcPr>
            <w:tcW w:w="2350" w:type="dxa"/>
            <w:vAlign w:val="center"/>
          </w:tcPr>
          <w:p>
            <w:pPr>
              <w:pStyle w:val="7"/>
              <w:widowControl w:val="0"/>
              <w:tabs>
                <w:tab w:val="center" w:pos="4201"/>
                <w:tab w:val="right" w:leader="dot" w:pos="9298"/>
              </w:tabs>
              <w:ind w:firstLine="0" w:firstLineChars="0"/>
              <w:jc w:val="center"/>
              <w:rPr>
                <w:rFonts w:hAnsi="Times New Roman"/>
                <w:color w:val="000000"/>
                <w:sz w:val="18"/>
                <w:szCs w:val="18"/>
              </w:rPr>
            </w:pPr>
            <w:r>
              <w:rPr>
                <w:rFonts w:hint="eastAsia"/>
                <w:color w:val="000000"/>
                <w:sz w:val="18"/>
                <w:szCs w:val="18"/>
              </w:rPr>
              <w:t>600</w:t>
            </w:r>
          </w:p>
        </w:tc>
        <w:tc>
          <w:tcPr>
            <w:tcW w:w="1473"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体积电阻率（≥）</w:t>
            </w:r>
          </w:p>
        </w:tc>
        <w:tc>
          <w:tcPr>
            <w:tcW w:w="2350" w:type="dxa"/>
            <w:vAlign w:val="center"/>
          </w:tcPr>
          <w:p>
            <w:pPr>
              <w:pStyle w:val="7"/>
              <w:widowControl w:val="0"/>
              <w:tabs>
                <w:tab w:val="center" w:pos="4201"/>
                <w:tab w:val="right" w:leader="dot" w:pos="9298"/>
              </w:tabs>
              <w:ind w:firstLine="0" w:firstLineChars="0"/>
              <w:jc w:val="center"/>
              <w:rPr>
                <w:rFonts w:hAnsi="Times New Roman"/>
                <w:color w:val="000000"/>
                <w:sz w:val="18"/>
                <w:szCs w:val="18"/>
              </w:rPr>
            </w:pPr>
            <w:r>
              <w:rPr>
                <w:rFonts w:hint="eastAsia"/>
                <w:color w:val="000000"/>
                <w:sz w:val="18"/>
                <w:szCs w:val="18"/>
              </w:rPr>
              <w:t>10</w:t>
            </w:r>
            <w:r>
              <w:rPr>
                <w:rFonts w:hint="eastAsia"/>
                <w:color w:val="000000"/>
                <w:sz w:val="18"/>
                <w:szCs w:val="18"/>
                <w:vertAlign w:val="superscript"/>
              </w:rPr>
              <w:t>14</w:t>
            </w:r>
          </w:p>
        </w:tc>
        <w:tc>
          <w:tcPr>
            <w:tcW w:w="1473"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Ω·cm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themeColor="text1"/>
                <w:sz w:val="18"/>
                <w:szCs w:val="18"/>
                <w14:textFill>
                  <w14:solidFill>
                    <w14:schemeClr w14:val="tx1"/>
                  </w14:solidFill>
                </w14:textFill>
              </w:rPr>
              <w:t>击穿强度</w:t>
            </w:r>
            <w:r>
              <w:rPr>
                <w:rFonts w:hint="eastAsia"/>
                <w:color w:val="000000"/>
                <w:sz w:val="18"/>
                <w:szCs w:val="18"/>
              </w:rPr>
              <w:t>（＞）</w:t>
            </w:r>
          </w:p>
        </w:tc>
        <w:tc>
          <w:tcPr>
            <w:tcW w:w="2350" w:type="dxa"/>
            <w:vAlign w:val="center"/>
          </w:tcPr>
          <w:p>
            <w:pPr>
              <w:pStyle w:val="7"/>
              <w:widowControl w:val="0"/>
              <w:tabs>
                <w:tab w:val="center" w:pos="4201"/>
                <w:tab w:val="right" w:leader="dot" w:pos="9298"/>
              </w:tabs>
              <w:ind w:firstLine="0" w:firstLineChars="0"/>
              <w:jc w:val="center"/>
              <w:rPr>
                <w:rFonts w:hAnsi="Times New Roman"/>
                <w:color w:val="000000"/>
                <w:sz w:val="18"/>
                <w:szCs w:val="18"/>
              </w:rPr>
            </w:pPr>
            <w:r>
              <w:rPr>
                <w:rFonts w:hint="eastAsia"/>
                <w:color w:val="000000"/>
                <w:sz w:val="18"/>
                <w:szCs w:val="18"/>
              </w:rPr>
              <w:t>10</w:t>
            </w:r>
          </w:p>
        </w:tc>
        <w:tc>
          <w:tcPr>
            <w:tcW w:w="1473"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themeColor="text1"/>
                <w:sz w:val="18"/>
                <w:szCs w:val="18"/>
                <w14:textFill>
                  <w14:solidFill>
                    <w14:schemeClr w14:val="tx1"/>
                  </w14:solidFill>
                </w14:textFill>
              </w:rPr>
              <w:t>kV/mm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线膨胀系数（RT-500）（≤）</w:t>
            </w:r>
          </w:p>
        </w:tc>
        <w:tc>
          <w:tcPr>
            <w:tcW w:w="2350" w:type="dxa"/>
            <w:vAlign w:val="center"/>
          </w:tcPr>
          <w:p>
            <w:pPr>
              <w:pStyle w:val="7"/>
              <w:widowControl w:val="0"/>
              <w:tabs>
                <w:tab w:val="center" w:pos="4201"/>
                <w:tab w:val="right" w:leader="dot" w:pos="9298"/>
              </w:tabs>
              <w:ind w:firstLine="0" w:firstLineChars="0"/>
              <w:jc w:val="center"/>
              <w:rPr>
                <w:rFonts w:hAnsi="Times New Roman"/>
                <w:color w:val="000000"/>
                <w:sz w:val="18"/>
                <w:szCs w:val="18"/>
              </w:rPr>
            </w:pPr>
            <w:r>
              <w:rPr>
                <w:rFonts w:hint="eastAsia"/>
                <w:color w:val="000000"/>
                <w:sz w:val="18"/>
                <w:szCs w:val="18"/>
              </w:rPr>
              <w:t>3.4</w:t>
            </w:r>
          </w:p>
        </w:tc>
        <w:tc>
          <w:tcPr>
            <w:tcW w:w="1473"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*10</w:t>
            </w:r>
            <w:r>
              <w:rPr>
                <w:rFonts w:hint="eastAsia"/>
                <w:color w:val="000000"/>
                <w:sz w:val="18"/>
                <w:szCs w:val="18"/>
                <w:vertAlign w:val="superscript"/>
              </w:rPr>
              <w:t>-6</w:t>
            </w: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维氏硬度（≥）</w:t>
            </w:r>
          </w:p>
        </w:tc>
        <w:tc>
          <w:tcPr>
            <w:tcW w:w="2350" w:type="dxa"/>
            <w:vAlign w:val="center"/>
          </w:tcPr>
          <w:p>
            <w:pPr>
              <w:pStyle w:val="7"/>
              <w:widowControl w:val="0"/>
              <w:tabs>
                <w:tab w:val="center" w:pos="4201"/>
                <w:tab w:val="right" w:leader="dot" w:pos="9298"/>
              </w:tabs>
              <w:ind w:firstLine="0" w:firstLineChars="0"/>
              <w:jc w:val="center"/>
              <w:rPr>
                <w:rFonts w:hAnsi="Times New Roman"/>
                <w:color w:val="000000"/>
                <w:sz w:val="18"/>
                <w:szCs w:val="18"/>
              </w:rPr>
            </w:pPr>
            <w:r>
              <w:rPr>
                <w:rFonts w:hint="eastAsia"/>
                <w:color w:val="000000"/>
                <w:sz w:val="18"/>
                <w:szCs w:val="18"/>
              </w:rPr>
              <w:t>1300</w:t>
            </w:r>
          </w:p>
        </w:tc>
        <w:tc>
          <w:tcPr>
            <w:tcW w:w="1473"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kgf/mm</w:t>
            </w:r>
            <w:r>
              <w:rPr>
                <w:rFonts w:hint="eastAsia"/>
                <w:color w:val="000000"/>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断裂韧性（≥）</w:t>
            </w:r>
          </w:p>
        </w:tc>
        <w:tc>
          <w:tcPr>
            <w:tcW w:w="2350" w:type="dxa"/>
            <w:vAlign w:val="center"/>
          </w:tcPr>
          <w:p>
            <w:pPr>
              <w:pStyle w:val="7"/>
              <w:widowControl w:val="0"/>
              <w:tabs>
                <w:tab w:val="center" w:pos="4201"/>
                <w:tab w:val="right" w:leader="dot" w:pos="9298"/>
              </w:tabs>
              <w:ind w:firstLine="0" w:firstLineChars="0"/>
              <w:jc w:val="center"/>
              <w:rPr>
                <w:rFonts w:hAnsi="Times New Roman"/>
                <w:color w:val="000000"/>
                <w:sz w:val="18"/>
                <w:szCs w:val="18"/>
              </w:rPr>
            </w:pPr>
            <w:r>
              <w:rPr>
                <w:rFonts w:hint="eastAsia"/>
                <w:color w:val="000000"/>
                <w:sz w:val="18"/>
                <w:szCs w:val="18"/>
              </w:rPr>
              <w:t>5.0</w:t>
            </w:r>
          </w:p>
        </w:tc>
        <w:tc>
          <w:tcPr>
            <w:tcW w:w="1473"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MPa·m</w:t>
            </w:r>
            <w:r>
              <w:rPr>
                <w:rFonts w:hint="eastAsia"/>
                <w:color w:val="000000"/>
                <w:sz w:val="18"/>
                <w:szCs w:val="18"/>
                <w:vertAlign w:val="superscript"/>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表面粗糙度Ra（≤）</w:t>
            </w:r>
          </w:p>
        </w:tc>
        <w:tc>
          <w:tcPr>
            <w:tcW w:w="2350" w:type="dxa"/>
            <w:vAlign w:val="center"/>
          </w:tcPr>
          <w:p>
            <w:pPr>
              <w:pStyle w:val="7"/>
              <w:widowControl w:val="0"/>
              <w:tabs>
                <w:tab w:val="center" w:pos="4201"/>
                <w:tab w:val="right" w:leader="dot" w:pos="9298"/>
              </w:tabs>
              <w:ind w:firstLine="0" w:firstLineChars="0"/>
              <w:jc w:val="center"/>
              <w:rPr>
                <w:rFonts w:hAnsi="Times New Roman"/>
                <w:color w:val="000000"/>
                <w:sz w:val="18"/>
                <w:szCs w:val="18"/>
              </w:rPr>
            </w:pPr>
            <w:r>
              <w:rPr>
                <w:rFonts w:hint="eastAsia"/>
                <w:color w:val="000000"/>
                <w:sz w:val="18"/>
                <w:szCs w:val="18"/>
              </w:rPr>
              <w:t>6.3</w:t>
            </w:r>
          </w:p>
        </w:tc>
        <w:tc>
          <w:tcPr>
            <w:tcW w:w="1473"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尺寸偏差（≤）</w:t>
            </w:r>
          </w:p>
        </w:tc>
        <w:tc>
          <w:tcPr>
            <w:tcW w:w="2350" w:type="dxa"/>
            <w:vAlign w:val="center"/>
          </w:tcPr>
          <w:p>
            <w:pPr>
              <w:pStyle w:val="7"/>
              <w:widowControl w:val="0"/>
              <w:tabs>
                <w:tab w:val="center" w:pos="4201"/>
                <w:tab w:val="right" w:leader="dot" w:pos="9298"/>
              </w:tabs>
              <w:ind w:firstLine="0" w:firstLineChars="0"/>
              <w:jc w:val="center"/>
              <w:rPr>
                <w:rFonts w:hAnsi="Times New Roman"/>
                <w:color w:val="000000"/>
                <w:sz w:val="18"/>
                <w:szCs w:val="18"/>
              </w:rPr>
            </w:pPr>
            <w:r>
              <w:rPr>
                <w:rFonts w:hint="eastAsia"/>
                <w:color w:val="000000"/>
                <w:sz w:val="18"/>
                <w:szCs w:val="18"/>
              </w:rPr>
              <w:t>0.5</w:t>
            </w:r>
          </w:p>
        </w:tc>
        <w:tc>
          <w:tcPr>
            <w:tcW w:w="1473" w:type="pct"/>
            <w:vAlign w:val="center"/>
          </w:tcPr>
          <w:p>
            <w:pPr>
              <w:pStyle w:val="7"/>
              <w:widowControl w:val="0"/>
              <w:tabs>
                <w:tab w:val="center" w:pos="4201"/>
                <w:tab w:val="right" w:leader="dot" w:pos="9298"/>
              </w:tabs>
              <w:ind w:firstLine="0" w:firstLineChars="0"/>
              <w:jc w:val="center"/>
              <w:rPr>
                <w:color w:val="000000"/>
                <w:sz w:val="18"/>
                <w:szCs w:val="18"/>
              </w:rPr>
            </w:pPr>
            <w:r>
              <w:rPr>
                <w:rFonts w:hint="eastAsia"/>
                <w:color w:val="000000"/>
                <w:sz w:val="18"/>
                <w:szCs w:val="18"/>
              </w:rPr>
              <w:t>%</w:t>
            </w:r>
          </w:p>
        </w:tc>
      </w:tr>
    </w:tbl>
    <w:p>
      <w:pPr>
        <w:pStyle w:val="6"/>
        <w:numPr>
          <w:ilvl w:val="0"/>
          <w:numId w:val="0"/>
        </w:numPr>
        <w:spacing w:before="156" w:after="156" w:line="360" w:lineRule="auto"/>
        <w:ind w:firstLine="420" w:firstLineChars="200"/>
        <w:rPr>
          <w:rFonts w:ascii="宋体" w:hAnsi="Calibri" w:eastAsia="宋体"/>
          <w:color w:val="000000"/>
          <w:kern w:val="2"/>
          <w:szCs w:val="22"/>
        </w:rPr>
      </w:pPr>
      <w:r>
        <w:rPr>
          <w:rFonts w:hint="eastAsia" w:ascii="宋体" w:hAnsi="Calibri" w:eastAsia="宋体"/>
          <w:color w:val="000000"/>
          <w:kern w:val="2"/>
          <w:szCs w:val="22"/>
        </w:rPr>
        <w:t>在技术参数中除氮化硅陶瓷制品的电化学性能参数外，从客户体验的角度增加了陶瓷制品的力学性能及外观质量要求，在中高端陶瓷制品领域对产品力学性能及表观的控制都有很严格的要求，因此在多晶硅还原炉用氮化硅制品的标准制定中增加力学性能及表观质量的控制要求，以满足终端市场的需要。</w:t>
      </w:r>
    </w:p>
    <w:p>
      <w:pPr>
        <w:pStyle w:val="6"/>
        <w:numPr>
          <w:ilvl w:val="0"/>
          <w:numId w:val="0"/>
        </w:numPr>
        <w:spacing w:before="156" w:after="156"/>
      </w:pPr>
      <w:r>
        <w:rPr>
          <w:rFonts w:hint="eastAsia"/>
          <w:color w:val="000000"/>
        </w:rPr>
        <w:t>2.</w:t>
      </w:r>
      <w:r>
        <w:rPr>
          <w:rFonts w:hint="eastAsia"/>
        </w:rPr>
        <w:t>2.2检验方法</w:t>
      </w:r>
    </w:p>
    <w:p>
      <w:pPr>
        <w:pStyle w:val="7"/>
        <w:ind w:firstLine="420"/>
      </w:pPr>
      <w:r>
        <w:rPr>
          <w:rFonts w:hint="eastAsia"/>
        </w:rPr>
        <w:t>检验方法是根据先进陶瓷材料测定的国家标准方法进行实验，检测结果得到相应客户的认可。</w:t>
      </w:r>
    </w:p>
    <w:p>
      <w:pPr>
        <w:pStyle w:val="5"/>
        <w:numPr>
          <w:ilvl w:val="2"/>
          <w:numId w:val="0"/>
        </w:numPr>
        <w:spacing w:before="156" w:after="156"/>
        <w:ind w:left="284"/>
        <w:rPr>
          <w:color w:val="auto"/>
        </w:rPr>
      </w:pPr>
      <w:r>
        <w:rPr>
          <w:rFonts w:hint="eastAsia"/>
          <w:color w:val="auto"/>
        </w:rPr>
        <w:t>1 外观</w:t>
      </w:r>
    </w:p>
    <w:p>
      <w:pPr>
        <w:pStyle w:val="7"/>
        <w:tabs>
          <w:tab w:val="center" w:pos="4201"/>
          <w:tab w:val="right" w:leader="dot" w:pos="9298"/>
        </w:tabs>
        <w:ind w:firstLine="420"/>
      </w:pPr>
      <w:r>
        <w:rPr>
          <w:rFonts w:hint="eastAsia"/>
          <w:color w:val="000000" w:themeColor="text1"/>
          <w14:textFill>
            <w14:solidFill>
              <w14:schemeClr w14:val="tx1"/>
            </w14:solidFill>
          </w14:textFill>
        </w:rPr>
        <w:t>多晶硅还原炉用氮化硅制品外观检验，在光线良好的环境下目测表观的斑点及加工过程造成的崩缺情况。</w:t>
      </w:r>
    </w:p>
    <w:p>
      <w:pPr>
        <w:pStyle w:val="5"/>
        <w:numPr>
          <w:ilvl w:val="2"/>
          <w:numId w:val="0"/>
        </w:numPr>
        <w:spacing w:before="156" w:after="156"/>
        <w:ind w:left="284"/>
        <w:rPr>
          <w:color w:val="auto"/>
        </w:rPr>
      </w:pPr>
      <w:r>
        <w:rPr>
          <w:rFonts w:hint="eastAsia"/>
          <w:color w:val="auto"/>
        </w:rPr>
        <w:t>2 密度</w:t>
      </w:r>
    </w:p>
    <w:p>
      <w:pPr>
        <w:pStyle w:val="7"/>
        <w:tabs>
          <w:tab w:val="center" w:pos="4201"/>
          <w:tab w:val="right" w:leader="dot" w:pos="9298"/>
        </w:tabs>
        <w:ind w:firstLine="420"/>
      </w:pPr>
      <w:r>
        <w:rPr>
          <w:rFonts w:hint="eastAsia"/>
          <w:color w:val="000000" w:themeColor="text1"/>
          <w14:textFill>
            <w14:solidFill>
              <w14:schemeClr w14:val="tx1"/>
            </w14:solidFill>
          </w14:textFill>
        </w:rPr>
        <w:t>多晶硅还原炉用氮化硅制品密度检验</w:t>
      </w:r>
      <w:r>
        <w:rPr>
          <w:rFonts w:hint="eastAsia"/>
        </w:rPr>
        <w:t>按GB/T 25995 规定的方法进行。</w:t>
      </w:r>
    </w:p>
    <w:p>
      <w:pPr>
        <w:pStyle w:val="5"/>
        <w:numPr>
          <w:ilvl w:val="2"/>
          <w:numId w:val="0"/>
        </w:numPr>
        <w:spacing w:before="156" w:after="156"/>
        <w:ind w:left="284"/>
        <w:rPr>
          <w:color w:val="auto"/>
        </w:rPr>
      </w:pPr>
      <w:r>
        <w:rPr>
          <w:rFonts w:hint="eastAsia"/>
          <w:color w:val="auto"/>
        </w:rPr>
        <w:t>3 三点抗弯强度</w:t>
      </w:r>
    </w:p>
    <w:p>
      <w:pPr>
        <w:pStyle w:val="7"/>
        <w:tabs>
          <w:tab w:val="center" w:pos="4201"/>
          <w:tab w:val="right" w:leader="dot" w:pos="9298"/>
        </w:tabs>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多晶硅还原炉用氮化硅制品三点抗弯强度检验按GB/T 6569 规定的方法进行。</w:t>
      </w:r>
    </w:p>
    <w:p>
      <w:pPr>
        <w:pStyle w:val="5"/>
        <w:numPr>
          <w:ilvl w:val="2"/>
          <w:numId w:val="0"/>
        </w:numPr>
        <w:spacing w:before="156" w:after="156"/>
        <w:ind w:left="284"/>
        <w:rPr>
          <w:color w:val="auto"/>
        </w:rPr>
      </w:pPr>
      <w:r>
        <w:rPr>
          <w:rFonts w:hint="eastAsia"/>
          <w:color w:val="auto"/>
        </w:rPr>
        <w:t>4 体积电阻率</w:t>
      </w:r>
    </w:p>
    <w:p>
      <w:pPr>
        <w:pStyle w:val="7"/>
        <w:tabs>
          <w:tab w:val="center" w:pos="4201"/>
          <w:tab w:val="right" w:leader="dot" w:pos="9298"/>
        </w:tabs>
        <w:ind w:firstLine="420"/>
      </w:pPr>
      <w:r>
        <w:rPr>
          <w:rFonts w:hint="eastAsia"/>
          <w:color w:val="000000" w:themeColor="text1"/>
          <w14:textFill>
            <w14:solidFill>
              <w14:schemeClr w14:val="tx1"/>
            </w14:solidFill>
          </w14:textFill>
        </w:rPr>
        <w:t>多晶硅还原炉用氮化硅制品含水量检验按GB/T 5594.5 规定的方法进行。</w:t>
      </w:r>
    </w:p>
    <w:p>
      <w:pPr>
        <w:pStyle w:val="5"/>
        <w:numPr>
          <w:ilvl w:val="2"/>
          <w:numId w:val="0"/>
        </w:numPr>
        <w:spacing w:before="156" w:after="156"/>
        <w:ind w:left="284"/>
        <w:rPr>
          <w:color w:val="auto"/>
        </w:rPr>
      </w:pPr>
      <w:r>
        <w:rPr>
          <w:rFonts w:hint="eastAsia"/>
          <w:color w:val="auto"/>
        </w:rPr>
        <w:t>5 击穿强度</w:t>
      </w:r>
    </w:p>
    <w:p>
      <w:pPr>
        <w:pStyle w:val="7"/>
        <w:tabs>
          <w:tab w:val="center" w:pos="4201"/>
          <w:tab w:val="right" w:leader="dot" w:pos="9298"/>
        </w:tabs>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多晶硅还原炉用氮化硅制品击穿强度检验按GB/T5593 规定的方法进行。</w:t>
      </w:r>
    </w:p>
    <w:p>
      <w:pPr>
        <w:pStyle w:val="5"/>
        <w:numPr>
          <w:ilvl w:val="2"/>
          <w:numId w:val="0"/>
        </w:numPr>
        <w:spacing w:before="156" w:after="156"/>
        <w:ind w:left="284"/>
        <w:rPr>
          <w:color w:val="auto"/>
        </w:rPr>
      </w:pPr>
      <w:r>
        <w:rPr>
          <w:rFonts w:hint="eastAsia"/>
          <w:color w:val="auto"/>
        </w:rPr>
        <w:t>6 线膨胀系数</w:t>
      </w:r>
    </w:p>
    <w:p>
      <w:pPr>
        <w:pStyle w:val="7"/>
        <w:tabs>
          <w:tab w:val="center" w:pos="4201"/>
          <w:tab w:val="right" w:leader="dot" w:pos="9298"/>
        </w:tabs>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多晶硅还原炉用氮化硅制品膨胀系数检验</w:t>
      </w:r>
      <w:r>
        <w:rPr>
          <w:rFonts w:hint="eastAsia"/>
        </w:rPr>
        <w:t>按</w:t>
      </w:r>
      <w:r>
        <w:rPr>
          <w:rFonts w:hint="eastAsia" w:hAnsi="Times New Roman"/>
          <w:kern w:val="0"/>
          <w:szCs w:val="20"/>
        </w:rPr>
        <w:t>GB/T 16535</w:t>
      </w:r>
      <w:r>
        <w:rPr>
          <w:rFonts w:hint="eastAsia"/>
        </w:rPr>
        <w:t xml:space="preserve"> </w:t>
      </w:r>
      <w:r>
        <w:rPr>
          <w:rFonts w:hint="eastAsia"/>
          <w:color w:val="000000" w:themeColor="text1"/>
          <w14:textFill>
            <w14:solidFill>
              <w14:schemeClr w14:val="tx1"/>
            </w14:solidFill>
          </w14:textFill>
        </w:rPr>
        <w:t>规定的方法进行。</w:t>
      </w:r>
    </w:p>
    <w:p>
      <w:pPr>
        <w:pStyle w:val="5"/>
        <w:numPr>
          <w:ilvl w:val="2"/>
          <w:numId w:val="0"/>
        </w:numPr>
        <w:spacing w:before="156" w:after="156"/>
        <w:ind w:left="284"/>
        <w:rPr>
          <w:color w:val="auto"/>
        </w:rPr>
      </w:pPr>
      <w:r>
        <w:rPr>
          <w:rFonts w:hint="eastAsia"/>
          <w:color w:val="auto"/>
        </w:rPr>
        <w:t>7 维氏硬度</w:t>
      </w:r>
    </w:p>
    <w:p>
      <w:pPr>
        <w:pStyle w:val="7"/>
        <w:tabs>
          <w:tab w:val="center" w:pos="4201"/>
          <w:tab w:val="right" w:leader="dot" w:pos="9298"/>
        </w:tabs>
        <w:ind w:firstLine="420"/>
      </w:pPr>
      <w:r>
        <w:rPr>
          <w:rFonts w:hint="eastAsia"/>
          <w:color w:val="000000" w:themeColor="text1"/>
          <w14:textFill>
            <w14:solidFill>
              <w14:schemeClr w14:val="tx1"/>
            </w14:solidFill>
          </w14:textFill>
        </w:rPr>
        <w:t>多晶硅还原炉用氮化硅制品维氏硬度检验按照GB/T 16534 规定的方法进行。</w:t>
      </w:r>
    </w:p>
    <w:p>
      <w:pPr>
        <w:pStyle w:val="5"/>
        <w:numPr>
          <w:ilvl w:val="2"/>
          <w:numId w:val="0"/>
        </w:numPr>
        <w:spacing w:before="156" w:after="156"/>
        <w:ind w:left="284"/>
        <w:rPr>
          <w:color w:val="auto"/>
        </w:rPr>
      </w:pPr>
      <w:r>
        <w:rPr>
          <w:rFonts w:hint="eastAsia"/>
          <w:color w:val="auto"/>
        </w:rPr>
        <w:t>8 断裂韧性</w:t>
      </w:r>
    </w:p>
    <w:p>
      <w:pPr>
        <w:pStyle w:val="7"/>
        <w:tabs>
          <w:tab w:val="center" w:pos="4201"/>
          <w:tab w:val="right" w:leader="dot" w:pos="9298"/>
        </w:tabs>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多晶硅还原炉用氮化硅制品断裂韧性检验按照GB/T 23806 规定的方法进行。</w:t>
      </w:r>
    </w:p>
    <w:p>
      <w:pPr>
        <w:pStyle w:val="5"/>
        <w:numPr>
          <w:ilvl w:val="2"/>
          <w:numId w:val="0"/>
        </w:numPr>
        <w:spacing w:before="156" w:after="156"/>
        <w:ind w:left="284"/>
        <w:rPr>
          <w:color w:val="auto"/>
        </w:rPr>
      </w:pPr>
      <w:r>
        <w:rPr>
          <w:rFonts w:hint="eastAsia"/>
          <w:color w:val="auto"/>
        </w:rPr>
        <w:t>9 表面粗糙度</w:t>
      </w:r>
    </w:p>
    <w:p>
      <w:pPr>
        <w:ind w:firstLine="420"/>
      </w:pPr>
      <w:r>
        <w:rPr>
          <w:rFonts w:hint="eastAsia"/>
          <w:color w:val="000000" w:themeColor="text1"/>
          <w14:textFill>
            <w14:solidFill>
              <w14:schemeClr w14:val="tx1"/>
            </w14:solidFill>
          </w14:textFill>
        </w:rPr>
        <w:t>多晶硅还原炉用氮化硅制品表面粗糙度检验</w:t>
      </w:r>
      <w:r>
        <w:rPr>
          <w:rFonts w:hint="eastAsia"/>
        </w:rPr>
        <w:t>按GB/T 10610</w:t>
      </w:r>
      <w:r>
        <w:rPr>
          <w:rFonts w:hint="eastAsia"/>
          <w:sz w:val="24"/>
        </w:rPr>
        <w:t xml:space="preserve"> </w:t>
      </w:r>
      <w:r>
        <w:rPr>
          <w:rFonts w:hint="eastAsia"/>
        </w:rPr>
        <w:t>规定的方法进行。</w:t>
      </w:r>
    </w:p>
    <w:p>
      <w:pPr>
        <w:pStyle w:val="5"/>
        <w:numPr>
          <w:ilvl w:val="2"/>
          <w:numId w:val="0"/>
        </w:numPr>
        <w:spacing w:before="156" w:after="156"/>
        <w:ind w:left="284"/>
        <w:rPr>
          <w:color w:val="auto"/>
        </w:rPr>
      </w:pPr>
      <w:r>
        <w:rPr>
          <w:rFonts w:hint="eastAsia"/>
          <w:color w:val="auto"/>
        </w:rPr>
        <w:t>10 崩缺缺陷尺寸</w:t>
      </w:r>
    </w:p>
    <w:p>
      <w:pPr>
        <w:pStyle w:val="7"/>
        <w:tabs>
          <w:tab w:val="center" w:pos="4201"/>
          <w:tab w:val="right" w:leader="dot" w:pos="9298"/>
        </w:tabs>
        <w:ind w:firstLine="420"/>
      </w:pPr>
      <w:r>
        <w:rPr>
          <w:rFonts w:hint="eastAsia"/>
          <w:color w:val="000000" w:themeColor="text1"/>
          <w14:textFill>
            <w14:solidFill>
              <w14:schemeClr w14:val="tx1"/>
            </w14:solidFill>
          </w14:textFill>
        </w:rPr>
        <w:t>多晶硅还原炉用氮化硅制品的崩缺缺陷尺寸检验采用精度为0.01mm 的游标卡尺进行检验</w:t>
      </w:r>
      <w:r>
        <w:rPr>
          <w:rFonts w:hint="eastAsia"/>
        </w:rPr>
        <w:t>。</w:t>
      </w:r>
    </w:p>
    <w:p>
      <w:pPr>
        <w:pStyle w:val="5"/>
        <w:numPr>
          <w:ilvl w:val="2"/>
          <w:numId w:val="0"/>
        </w:numPr>
        <w:spacing w:before="156" w:after="156"/>
        <w:ind w:left="284"/>
        <w:rPr>
          <w:color w:val="auto"/>
        </w:rPr>
      </w:pPr>
      <w:r>
        <w:rPr>
          <w:rFonts w:hint="eastAsia"/>
          <w:color w:val="auto"/>
        </w:rPr>
        <w:t>11 尺寸偏差</w:t>
      </w:r>
    </w:p>
    <w:p>
      <w:pPr>
        <w:ind w:firstLine="420"/>
      </w:pPr>
      <w:r>
        <w:rPr>
          <w:rFonts w:hint="eastAsia"/>
          <w:color w:val="000000" w:themeColor="text1"/>
          <w14:textFill>
            <w14:solidFill>
              <w14:schemeClr w14:val="tx1"/>
            </w14:solidFill>
          </w14:textFill>
        </w:rPr>
        <w:t>多晶硅还原炉用氮化硅制品尺寸检验采用最小精度为0.01mm 的游标卡尺进行检验</w:t>
      </w:r>
      <w:r>
        <w:rPr>
          <w:rFonts w:hint="eastAsia"/>
        </w:rPr>
        <w:t>。</w:t>
      </w:r>
    </w:p>
    <w:p>
      <w:pPr>
        <w:pStyle w:val="5"/>
        <w:numPr>
          <w:ilvl w:val="2"/>
          <w:numId w:val="0"/>
        </w:numPr>
        <w:spacing w:before="156" w:after="156"/>
        <w:ind w:left="284"/>
        <w:rPr>
          <w:color w:val="auto"/>
        </w:rPr>
      </w:pPr>
      <w:r>
        <w:rPr>
          <w:rFonts w:hint="eastAsia"/>
          <w:color w:val="auto"/>
        </w:rPr>
        <w:t>12 表面杂质</w:t>
      </w:r>
    </w:p>
    <w:p>
      <w:pPr>
        <w:ind w:firstLine="420"/>
      </w:pPr>
      <w:r>
        <w:rPr>
          <w:rFonts w:hint="eastAsia"/>
          <w:color w:val="000000" w:themeColor="text1"/>
          <w14:textFill>
            <w14:solidFill>
              <w14:schemeClr w14:val="tx1"/>
            </w14:solidFill>
          </w14:textFill>
        </w:rPr>
        <w:t>多晶硅还原炉用氮化硅制品表面杂质检验采用GB/T 30902 进行检验</w:t>
      </w:r>
      <w:r>
        <w:rPr>
          <w:rFonts w:hint="eastAsia"/>
        </w:rPr>
        <w:t>。</w:t>
      </w:r>
    </w:p>
    <w:p>
      <w:pPr>
        <w:pStyle w:val="2"/>
        <w:rPr>
          <w:color w:val="000000"/>
        </w:rPr>
      </w:pPr>
      <w:r>
        <w:rPr>
          <w:rFonts w:hint="eastAsia"/>
          <w:color w:val="000000"/>
        </w:rPr>
        <w:t>三、</w:t>
      </w:r>
      <w:r>
        <w:rPr>
          <w:color w:val="000000"/>
        </w:rPr>
        <w:t>标准水平分析</w:t>
      </w:r>
      <w:bookmarkEnd w:id="17"/>
      <w:bookmarkEnd w:id="18"/>
    </w:p>
    <w:p>
      <w:pPr>
        <w:ind w:firstLine="420"/>
        <w:rPr>
          <w:rFonts w:ascii="宋体" w:hAnsi="宋体"/>
          <w:color w:val="000000"/>
          <w:szCs w:val="21"/>
        </w:rPr>
      </w:pPr>
      <w:r>
        <w:rPr>
          <w:color w:val="000000"/>
        </w:rPr>
        <w:t>本标准属首次制定</w:t>
      </w:r>
      <w:r>
        <w:rPr>
          <w:rFonts w:hint="eastAsia"/>
          <w:color w:val="000000"/>
        </w:rPr>
        <w:t>，</w:t>
      </w:r>
      <w:r>
        <w:rPr>
          <w:color w:val="000000"/>
        </w:rPr>
        <w:t>标准指标</w:t>
      </w:r>
      <w:r>
        <w:rPr>
          <w:rFonts w:hint="eastAsia"/>
          <w:color w:val="000000"/>
        </w:rPr>
        <w:t>同比国内及国际上知名的厂家的需求指标。</w:t>
      </w:r>
    </w:p>
    <w:p>
      <w:pPr>
        <w:pStyle w:val="2"/>
        <w:rPr>
          <w:color w:val="000000"/>
        </w:rPr>
      </w:pPr>
      <w:bookmarkStart w:id="19" w:name="_Toc511234399"/>
      <w:bookmarkStart w:id="20" w:name="_Toc497309557"/>
      <w:r>
        <w:rPr>
          <w:rFonts w:hint="eastAsia"/>
          <w:color w:val="000000"/>
        </w:rPr>
        <w:t>四、</w:t>
      </w:r>
      <w:r>
        <w:rPr>
          <w:color w:val="000000"/>
        </w:rPr>
        <w:t>与现行相关法律、法规、规章及相关标准，特别是强制性标准的协调性</w:t>
      </w:r>
      <w:bookmarkEnd w:id="19"/>
      <w:bookmarkEnd w:id="20"/>
    </w:p>
    <w:p>
      <w:pPr>
        <w:ind w:firstLine="420"/>
        <w:rPr>
          <w:color w:val="000000"/>
        </w:rPr>
      </w:pPr>
      <w:r>
        <w:rPr>
          <w:color w:val="000000"/>
        </w:rPr>
        <w:t>本标准是新制定</w:t>
      </w:r>
      <w:r>
        <w:rPr>
          <w:rFonts w:hint="eastAsia"/>
          <w:color w:val="000000"/>
        </w:rPr>
        <w:t>的团体</w:t>
      </w:r>
      <w:r>
        <w:rPr>
          <w:color w:val="000000"/>
        </w:rPr>
        <w:t>标准</w:t>
      </w:r>
      <w:r>
        <w:rPr>
          <w:rFonts w:hint="eastAsia"/>
          <w:color w:val="000000"/>
        </w:rPr>
        <w:t>。</w:t>
      </w:r>
      <w:r>
        <w:rPr>
          <w:color w:val="000000"/>
        </w:rPr>
        <w:t>本标准的制定是</w:t>
      </w:r>
      <w:r>
        <w:rPr>
          <w:rFonts w:hint="eastAsia"/>
          <w:color w:val="000000"/>
        </w:rPr>
        <w:t>我国氮化硅行业</w:t>
      </w:r>
      <w:r>
        <w:rPr>
          <w:color w:val="000000"/>
        </w:rPr>
        <w:t>标准体系的完善和补充。本标准的制定与现行的相关法律、法规、规章及相关标准的关系不矛盾、不冲突，其相互关系非常协调。</w:t>
      </w:r>
    </w:p>
    <w:p>
      <w:pPr>
        <w:pStyle w:val="2"/>
        <w:rPr>
          <w:color w:val="000000"/>
        </w:rPr>
      </w:pPr>
      <w:bookmarkStart w:id="21" w:name="_Toc511234400"/>
      <w:bookmarkStart w:id="22" w:name="_Toc497309558"/>
      <w:r>
        <w:rPr>
          <w:rFonts w:hint="eastAsia"/>
          <w:color w:val="000000"/>
        </w:rPr>
        <w:t>五、</w:t>
      </w:r>
      <w:r>
        <w:rPr>
          <w:color w:val="000000"/>
        </w:rPr>
        <w:t>标准中涉及的专利或知识产权说明</w:t>
      </w:r>
      <w:bookmarkEnd w:id="21"/>
      <w:bookmarkEnd w:id="22"/>
    </w:p>
    <w:p>
      <w:pPr>
        <w:ind w:firstLine="420"/>
        <w:rPr>
          <w:color w:val="000000"/>
        </w:rPr>
      </w:pPr>
      <w:r>
        <w:rPr>
          <w:color w:val="000000"/>
        </w:rPr>
        <w:t>本标准不涉及任何专利或知识产权。</w:t>
      </w:r>
    </w:p>
    <w:p>
      <w:pPr>
        <w:pStyle w:val="2"/>
        <w:rPr>
          <w:color w:val="000000"/>
        </w:rPr>
      </w:pPr>
      <w:bookmarkStart w:id="23" w:name="_Toc511234401"/>
      <w:bookmarkStart w:id="24" w:name="_Toc497309559"/>
      <w:r>
        <w:rPr>
          <w:rFonts w:hint="eastAsia"/>
          <w:color w:val="000000"/>
        </w:rPr>
        <w:t>六、</w:t>
      </w:r>
      <w:r>
        <w:rPr>
          <w:color w:val="000000"/>
        </w:rPr>
        <w:t>重大分歧意见的处理经过和依据</w:t>
      </w:r>
      <w:bookmarkEnd w:id="23"/>
      <w:bookmarkEnd w:id="24"/>
    </w:p>
    <w:p>
      <w:pPr>
        <w:ind w:firstLine="420"/>
        <w:rPr>
          <w:color w:val="000000"/>
        </w:rPr>
      </w:pPr>
      <w:r>
        <w:rPr>
          <w:color w:val="000000"/>
        </w:rPr>
        <w:t>（无）</w:t>
      </w:r>
    </w:p>
    <w:p>
      <w:pPr>
        <w:pStyle w:val="2"/>
        <w:rPr>
          <w:color w:val="000000"/>
        </w:rPr>
      </w:pPr>
      <w:bookmarkStart w:id="25" w:name="_Toc497309560"/>
      <w:bookmarkStart w:id="26" w:name="_Toc511234402"/>
      <w:r>
        <w:rPr>
          <w:rFonts w:hint="eastAsia"/>
          <w:color w:val="000000"/>
        </w:rPr>
        <w:t>七、</w:t>
      </w:r>
      <w:r>
        <w:rPr>
          <w:color w:val="000000"/>
        </w:rPr>
        <w:t>标准作为强制性或推荐性</w:t>
      </w:r>
      <w:r>
        <w:rPr>
          <w:rFonts w:hint="eastAsia"/>
          <w:color w:val="000000"/>
        </w:rPr>
        <w:t>行业</w:t>
      </w:r>
      <w:r>
        <w:rPr>
          <w:color w:val="000000"/>
        </w:rPr>
        <w:t>标准的建议</w:t>
      </w:r>
      <w:bookmarkEnd w:id="25"/>
      <w:bookmarkEnd w:id="26"/>
    </w:p>
    <w:p>
      <w:pPr>
        <w:ind w:firstLine="420"/>
        <w:rPr>
          <w:color w:val="000000"/>
        </w:rPr>
      </w:pPr>
      <w:r>
        <w:rPr>
          <w:color w:val="000000"/>
        </w:rPr>
        <w:t>本标准建议不作为强制性标准，而建议作为推荐性标准。</w:t>
      </w:r>
    </w:p>
    <w:p>
      <w:pPr>
        <w:pStyle w:val="2"/>
        <w:rPr>
          <w:color w:val="000000"/>
        </w:rPr>
      </w:pPr>
      <w:bookmarkStart w:id="27" w:name="_Toc497309561"/>
      <w:bookmarkStart w:id="28" w:name="_Toc511234403"/>
      <w:r>
        <w:rPr>
          <w:rFonts w:hint="eastAsia"/>
          <w:color w:val="000000"/>
        </w:rPr>
        <w:t>八、</w:t>
      </w:r>
      <w:r>
        <w:rPr>
          <w:color w:val="000000"/>
        </w:rPr>
        <w:t>贯彻标准的要求和措施建议</w:t>
      </w:r>
      <w:bookmarkEnd w:id="27"/>
      <w:bookmarkEnd w:id="28"/>
    </w:p>
    <w:p>
      <w:pPr>
        <w:widowControl/>
        <w:ind w:firstLine="420"/>
        <w:rPr>
          <w:color w:val="000000"/>
        </w:rPr>
      </w:pPr>
      <w:r>
        <w:rPr>
          <w:color w:val="000000"/>
        </w:rPr>
        <w:t>本标准发布后，中国有色金属工业协会</w:t>
      </w:r>
      <w:r>
        <w:rPr>
          <w:rFonts w:hint="eastAsia"/>
          <w:color w:val="000000"/>
        </w:rPr>
        <w:t>、</w:t>
      </w:r>
      <w:r>
        <w:rPr>
          <w:color w:val="000000"/>
        </w:rPr>
        <w:t>全国</w:t>
      </w:r>
      <w:r>
        <w:rPr>
          <w:rFonts w:hint="eastAsia"/>
          <w:color w:val="000000"/>
        </w:rPr>
        <w:t>半导体</w:t>
      </w:r>
      <w:r>
        <w:rPr>
          <w:color w:val="000000"/>
        </w:rPr>
        <w:t>标准化技术委员会应加强</w:t>
      </w:r>
      <w:r>
        <w:rPr>
          <w:rFonts w:hint="eastAsia"/>
          <w:color w:val="000000"/>
        </w:rPr>
        <w:t>对</w:t>
      </w:r>
      <w:r>
        <w:rPr>
          <w:color w:val="000000"/>
        </w:rPr>
        <w:t>本标准的宣传力度，</w:t>
      </w:r>
      <w:r>
        <w:rPr>
          <w:rFonts w:hint="eastAsia"/>
          <w:color w:val="000000"/>
        </w:rPr>
        <w:t>介绍本标准的核心技术内容及实施的关键技术要素，促进更多地企业和科研单位了解、掌握科学的多晶硅还原炉用氮化硅制品标准，促进标准的顺利实施。</w:t>
      </w:r>
    </w:p>
    <w:p>
      <w:pPr>
        <w:pStyle w:val="2"/>
        <w:rPr>
          <w:color w:val="000000"/>
        </w:rPr>
      </w:pPr>
      <w:bookmarkStart w:id="29" w:name="_Toc497309562"/>
      <w:bookmarkStart w:id="30" w:name="_Toc511234406"/>
      <w:r>
        <w:rPr>
          <w:rFonts w:hint="eastAsia"/>
          <w:color w:val="000000"/>
        </w:rPr>
        <w:t>九、</w:t>
      </w:r>
      <w:r>
        <w:rPr>
          <w:color w:val="000000"/>
        </w:rPr>
        <w:t>废止现行有关标准的建议</w:t>
      </w:r>
      <w:bookmarkEnd w:id="29"/>
      <w:bookmarkEnd w:id="30"/>
    </w:p>
    <w:p>
      <w:pPr>
        <w:ind w:firstLine="420"/>
        <w:rPr>
          <w:color w:val="000000"/>
        </w:rPr>
      </w:pPr>
      <w:r>
        <w:rPr>
          <w:color w:val="000000"/>
        </w:rPr>
        <w:t>（无）。</w:t>
      </w:r>
    </w:p>
    <w:p>
      <w:pPr>
        <w:pStyle w:val="2"/>
        <w:rPr>
          <w:color w:val="000000"/>
        </w:rPr>
      </w:pPr>
      <w:bookmarkStart w:id="31" w:name="_Toc497309563"/>
      <w:bookmarkStart w:id="32" w:name="_Toc511234407"/>
      <w:r>
        <w:rPr>
          <w:rFonts w:hint="eastAsia"/>
          <w:color w:val="000000"/>
        </w:rPr>
        <w:t>十、</w:t>
      </w:r>
      <w:r>
        <w:rPr>
          <w:color w:val="000000"/>
        </w:rPr>
        <w:t>产业化情况、推广应用论证和预期达到的经济效果</w:t>
      </w:r>
      <w:bookmarkEnd w:id="31"/>
      <w:bookmarkEnd w:id="32"/>
    </w:p>
    <w:p>
      <w:pPr>
        <w:pStyle w:val="31"/>
        <w:ind w:firstLine="420"/>
        <w:rPr>
          <w:rFonts w:ascii="Times New Roman" w:hAnsi="Times New Roman" w:cs="Times New Roman"/>
          <w:color w:val="000000"/>
          <w:kern w:val="2"/>
          <w:szCs w:val="24"/>
        </w:rPr>
      </w:pPr>
      <w:r>
        <w:rPr>
          <w:rFonts w:hint="eastAsia" w:ascii="Times New Roman" w:hAnsi="Times New Roman" w:cs="Times New Roman"/>
          <w:color w:val="000000"/>
          <w:kern w:val="2"/>
          <w:szCs w:val="24"/>
        </w:rPr>
        <w:t>该标准的制定，有利于生产单位对质量的管控，对保证行业内多晶硅还原炉用氮化硅制品产品质量具有重要的作用。本标准的发布和实施能有效的规范多晶硅还原炉用氮化硅制品生产单位对多晶硅还原炉用氮化硅制品质量的把控，这对于提高我国多晶硅还原炉用氮化硅制品的产品质量有深远的意义。</w:t>
      </w:r>
    </w:p>
    <w:p>
      <w:pPr>
        <w:ind w:firstLine="420"/>
        <w:rPr>
          <w:color w:val="000000"/>
        </w:rPr>
      </w:pPr>
    </w:p>
    <w:p>
      <w:pPr>
        <w:ind w:firstLine="420"/>
        <w:rPr>
          <w:color w:val="000000"/>
        </w:rPr>
      </w:pPr>
    </w:p>
    <w:p>
      <w:pPr>
        <w:ind w:firstLine="420"/>
        <w:rPr>
          <w:rFonts w:ascii="宋体" w:hAnsi="宋体" w:cs="宋体"/>
          <w:color w:val="000000"/>
          <w:kern w:val="0"/>
          <w:szCs w:val="21"/>
        </w:rPr>
      </w:pPr>
      <w:r>
        <w:rPr>
          <w:rFonts w:hint="eastAsia"/>
          <w:color w:val="000000"/>
        </w:rPr>
        <w:t xml:space="preserve">                                             </w:t>
      </w:r>
      <w:r>
        <w:rPr>
          <w:rFonts w:hint="eastAsia" w:ascii="宋体" w:hAnsi="宋体" w:cs="宋体"/>
          <w:color w:val="000000"/>
          <w:kern w:val="0"/>
          <w:sz w:val="24"/>
        </w:rPr>
        <w:t xml:space="preserve">   </w:t>
      </w:r>
      <w:r>
        <w:rPr>
          <w:rFonts w:hint="eastAsia" w:ascii="宋体" w:hAnsi="宋体" w:cs="宋体"/>
          <w:color w:val="000000"/>
          <w:kern w:val="0"/>
          <w:szCs w:val="21"/>
        </w:rPr>
        <w:t>新疆晶硕标准编制组</w:t>
      </w:r>
    </w:p>
    <w:p>
      <w:pPr>
        <w:ind w:firstLine="420"/>
        <w:jc w:val="center"/>
        <w:rPr>
          <w:rFonts w:ascii="宋体" w:hAnsi="宋体" w:cs="宋体"/>
          <w:color w:val="000000"/>
          <w:kern w:val="0"/>
          <w:szCs w:val="21"/>
        </w:rPr>
      </w:pPr>
      <w:r>
        <w:rPr>
          <w:rFonts w:hint="eastAsia" w:ascii="宋体" w:hAnsi="宋体" w:cs="宋体"/>
          <w:color w:val="000000"/>
          <w:kern w:val="0"/>
          <w:szCs w:val="21"/>
        </w:rPr>
        <w:t xml:space="preserve">                                           2024.2.20</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222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Style w:val="20"/>
      </w:rPr>
    </w:pPr>
    <w:r>
      <w:fldChar w:fldCharType="begin"/>
    </w:r>
    <w:r>
      <w:rPr>
        <w:rStyle w:val="20"/>
      </w:rPr>
      <w:instrText xml:space="preserve">PAGE  </w:instrText>
    </w:r>
    <w:r>
      <w:fldChar w:fldCharType="separate"/>
    </w:r>
    <w:r>
      <w:rPr>
        <w:rStyle w:val="20"/>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20"/>
      </w:rPr>
    </w:pPr>
    <w:r>
      <w:fldChar w:fldCharType="begin"/>
    </w:r>
    <w:r>
      <w:rPr>
        <w:rStyle w:val="20"/>
      </w:rPr>
      <w:instrText xml:space="preserve">PAGE  </w:instrText>
    </w:r>
    <w:r>
      <w:fldChar w:fldCharType="separate"/>
    </w:r>
    <w:r>
      <w:rPr>
        <w:rStyle w:val="20"/>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42" w:firstLine="0"/>
      </w:pPr>
      <w:rPr>
        <w:rFonts w:hint="eastAsia" w:ascii="黑体" w:hAnsi="Times New Roman" w:eastAsia="黑体"/>
        <w:b w:val="0"/>
        <w:i w:val="0"/>
        <w:sz w:val="21"/>
      </w:rPr>
    </w:lvl>
    <w:lvl w:ilvl="2" w:tentative="0">
      <w:start w:val="1"/>
      <w:numFmt w:val="decimal"/>
      <w:pStyle w:val="5"/>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28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7D6007"/>
    <w:rsid w:val="000A31D2"/>
    <w:rsid w:val="00265196"/>
    <w:rsid w:val="00293D9E"/>
    <w:rsid w:val="00412EC7"/>
    <w:rsid w:val="0046451C"/>
    <w:rsid w:val="00511939"/>
    <w:rsid w:val="00515855"/>
    <w:rsid w:val="005B173E"/>
    <w:rsid w:val="005B7993"/>
    <w:rsid w:val="006339AD"/>
    <w:rsid w:val="006D693D"/>
    <w:rsid w:val="007309AE"/>
    <w:rsid w:val="007429CF"/>
    <w:rsid w:val="007D6007"/>
    <w:rsid w:val="007F03B5"/>
    <w:rsid w:val="0087688A"/>
    <w:rsid w:val="008B3999"/>
    <w:rsid w:val="00994EE6"/>
    <w:rsid w:val="00AE5536"/>
    <w:rsid w:val="00B8713A"/>
    <w:rsid w:val="00BE6407"/>
    <w:rsid w:val="00C12E5B"/>
    <w:rsid w:val="00E55F3D"/>
    <w:rsid w:val="00F24070"/>
    <w:rsid w:val="00FD70DD"/>
    <w:rsid w:val="024C08EB"/>
    <w:rsid w:val="026A3424"/>
    <w:rsid w:val="050B16E7"/>
    <w:rsid w:val="05C71354"/>
    <w:rsid w:val="06473896"/>
    <w:rsid w:val="064E35E8"/>
    <w:rsid w:val="09451486"/>
    <w:rsid w:val="0C2B2D14"/>
    <w:rsid w:val="0C400524"/>
    <w:rsid w:val="0C5B7F23"/>
    <w:rsid w:val="10C942B5"/>
    <w:rsid w:val="11621192"/>
    <w:rsid w:val="13C74749"/>
    <w:rsid w:val="149C2EBA"/>
    <w:rsid w:val="160C0BD9"/>
    <w:rsid w:val="16BC2837"/>
    <w:rsid w:val="16CC4B8B"/>
    <w:rsid w:val="17700978"/>
    <w:rsid w:val="17E420C9"/>
    <w:rsid w:val="1A0E1ACA"/>
    <w:rsid w:val="1ADD6F4B"/>
    <w:rsid w:val="1F332CA6"/>
    <w:rsid w:val="212112E9"/>
    <w:rsid w:val="246C67BC"/>
    <w:rsid w:val="264239CA"/>
    <w:rsid w:val="2A1E4E03"/>
    <w:rsid w:val="2ABE513C"/>
    <w:rsid w:val="2B8650B2"/>
    <w:rsid w:val="2CA6795F"/>
    <w:rsid w:val="31524423"/>
    <w:rsid w:val="36E36AF5"/>
    <w:rsid w:val="3A897050"/>
    <w:rsid w:val="3B7F3683"/>
    <w:rsid w:val="3D032769"/>
    <w:rsid w:val="3DCC2505"/>
    <w:rsid w:val="3DD005BB"/>
    <w:rsid w:val="40AD5D1F"/>
    <w:rsid w:val="40E54674"/>
    <w:rsid w:val="428B43FD"/>
    <w:rsid w:val="43B006B0"/>
    <w:rsid w:val="446773DE"/>
    <w:rsid w:val="4C040308"/>
    <w:rsid w:val="4C796A0A"/>
    <w:rsid w:val="4D104273"/>
    <w:rsid w:val="50CC486C"/>
    <w:rsid w:val="519303DB"/>
    <w:rsid w:val="56042F00"/>
    <w:rsid w:val="61CE19F6"/>
    <w:rsid w:val="67801F5C"/>
    <w:rsid w:val="67EB5421"/>
    <w:rsid w:val="6B4652AE"/>
    <w:rsid w:val="6BCB2619"/>
    <w:rsid w:val="6EDC5B3C"/>
    <w:rsid w:val="71AF52FC"/>
    <w:rsid w:val="74802EAD"/>
    <w:rsid w:val="75FA4664"/>
    <w:rsid w:val="776642E5"/>
    <w:rsid w:val="7A1347DE"/>
    <w:rsid w:val="7B3C53FB"/>
    <w:rsid w:val="7CE64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ind w:firstLine="0" w:firstLineChars="0"/>
      <w:outlineLvl w:val="0"/>
    </w:pPr>
    <w:rPr>
      <w:rFonts w:eastAsia="黑体"/>
      <w:b/>
      <w:bCs/>
      <w:kern w:val="44"/>
      <w:sz w:val="28"/>
      <w:szCs w:val="44"/>
    </w:rPr>
  </w:style>
  <w:style w:type="paragraph" w:styleId="3">
    <w:name w:val="heading 2"/>
    <w:basedOn w:val="1"/>
    <w:next w:val="1"/>
    <w:autoRedefine/>
    <w:qFormat/>
    <w:uiPriority w:val="0"/>
    <w:pPr>
      <w:keepNext/>
      <w:keepLines/>
      <w:spacing w:before="120"/>
      <w:ind w:firstLine="0" w:firstLineChars="0"/>
      <w:outlineLvl w:val="1"/>
    </w:pPr>
    <w:rPr>
      <w:rFonts w:ascii="Arial" w:hAnsi="Arial" w:eastAsia="黑体"/>
      <w:bCs/>
      <w:sz w:val="28"/>
      <w:szCs w:val="32"/>
    </w:rPr>
  </w:style>
  <w:style w:type="paragraph" w:styleId="4">
    <w:name w:val="heading 3"/>
    <w:basedOn w:val="5"/>
    <w:next w:val="1"/>
    <w:qFormat/>
    <w:uiPriority w:val="0"/>
    <w:pPr>
      <w:numPr>
        <w:ilvl w:val="0"/>
        <w:numId w:val="0"/>
      </w:numPr>
      <w:spacing w:beforeLines="50" w:afterLines="50" w:line="240" w:lineRule="auto"/>
      <w:ind w:left="142"/>
      <w:jc w:val="left"/>
    </w:pPr>
    <w:rPr>
      <w:rFonts w:ascii="Times New Roman"/>
      <w:color w:val="000000"/>
      <w:sz w:val="24"/>
    </w:rPr>
  </w:style>
  <w:style w:type="paragraph" w:styleId="8">
    <w:name w:val="heading 4"/>
    <w:basedOn w:val="1"/>
    <w:next w:val="1"/>
    <w:autoRedefine/>
    <w:qFormat/>
    <w:uiPriority w:val="0"/>
    <w:pPr>
      <w:keepNext/>
      <w:keepLines/>
      <w:outlineLvl w:val="3"/>
    </w:pPr>
    <w:rPr>
      <w:rFonts w:ascii="Arial" w:hAnsi="Arial"/>
      <w:b/>
      <w:bCs/>
      <w:szCs w:val="28"/>
    </w:rPr>
  </w:style>
  <w:style w:type="character" w:default="1" w:styleId="19">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5">
    <w:name w:val="一级条标题"/>
    <w:basedOn w:val="6"/>
    <w:next w:val="7"/>
    <w:autoRedefine/>
    <w:qFormat/>
    <w:uiPriority w:val="0"/>
    <w:pPr>
      <w:numPr>
        <w:ilvl w:val="2"/>
      </w:numPr>
      <w:spacing w:beforeLines="0" w:afterLines="0" w:line="300" w:lineRule="auto"/>
      <w:outlineLvl w:val="2"/>
    </w:pPr>
    <w:rPr>
      <w:color w:val="FF0000"/>
      <w:spacing w:val="-4"/>
      <w:szCs w:val="24"/>
    </w:rPr>
  </w:style>
  <w:style w:type="paragraph" w:customStyle="1" w:styleId="6">
    <w:name w:val="章标题"/>
    <w:next w:val="7"/>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
    <w:name w:val="段"/>
    <w:autoRedefine/>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styleId="9">
    <w:name w:val="Body Text"/>
    <w:basedOn w:val="1"/>
    <w:autoRedefine/>
    <w:qFormat/>
    <w:uiPriority w:val="0"/>
    <w:pPr>
      <w:spacing w:after="120"/>
    </w:pPr>
  </w:style>
  <w:style w:type="paragraph" w:styleId="10">
    <w:name w:val="Body Text Indent"/>
    <w:basedOn w:val="1"/>
    <w:link w:val="21"/>
    <w:autoRedefine/>
    <w:qFormat/>
    <w:uiPriority w:val="0"/>
    <w:pPr>
      <w:spacing w:after="120"/>
      <w:ind w:left="420" w:leftChars="200"/>
    </w:pPr>
  </w:style>
  <w:style w:type="paragraph" w:styleId="11">
    <w:name w:val="Balloon Text"/>
    <w:basedOn w:val="1"/>
    <w:link w:val="22"/>
    <w:autoRedefine/>
    <w:qFormat/>
    <w:uiPriority w:val="0"/>
    <w:pPr>
      <w:spacing w:line="240" w:lineRule="auto"/>
    </w:pPr>
    <w:rPr>
      <w:sz w:val="18"/>
      <w:szCs w:val="18"/>
    </w:rPr>
  </w:style>
  <w:style w:type="paragraph" w:styleId="12">
    <w:name w:val="footer"/>
    <w:basedOn w:val="1"/>
    <w:autoRedefine/>
    <w:unhideWhenUsed/>
    <w:qFormat/>
    <w:uiPriority w:val="99"/>
    <w:pPr>
      <w:tabs>
        <w:tab w:val="center" w:pos="4153"/>
        <w:tab w:val="right" w:pos="8306"/>
      </w:tabs>
      <w:jc w:val="left"/>
    </w:pPr>
    <w:rPr>
      <w:sz w:val="18"/>
      <w:szCs w:val="18"/>
    </w:rPr>
  </w:style>
  <w:style w:type="paragraph" w:styleId="13">
    <w:name w:val="header"/>
    <w:basedOn w:val="1"/>
    <w:link w:val="23"/>
    <w:autoRedefine/>
    <w:qFormat/>
    <w:uiPriority w:val="0"/>
    <w:pPr>
      <w:pBdr>
        <w:bottom w:val="single" w:color="auto" w:sz="6" w:space="1"/>
      </w:pBdr>
      <w:tabs>
        <w:tab w:val="center" w:pos="4153"/>
        <w:tab w:val="right" w:pos="8306"/>
      </w:tabs>
      <w:spacing w:line="240" w:lineRule="auto"/>
      <w:jc w:val="center"/>
    </w:pPr>
    <w:rPr>
      <w:sz w:val="18"/>
      <w:szCs w:val="18"/>
    </w:rPr>
  </w:style>
  <w:style w:type="paragraph" w:styleId="14">
    <w:name w:val="Normal (Web)"/>
    <w:basedOn w:val="1"/>
    <w:autoRedefine/>
    <w:unhideWhenUsed/>
    <w:qFormat/>
    <w:uiPriority w:val="99"/>
    <w:pPr>
      <w:spacing w:before="100" w:beforeAutospacing="1" w:after="100" w:afterAutospacing="1"/>
      <w:jc w:val="left"/>
    </w:pPr>
    <w:rPr>
      <w:kern w:val="0"/>
      <w:sz w:val="24"/>
    </w:rPr>
  </w:style>
  <w:style w:type="paragraph" w:styleId="15">
    <w:name w:val="Body Text First Indent"/>
    <w:basedOn w:val="9"/>
    <w:autoRedefine/>
    <w:qFormat/>
    <w:uiPriority w:val="0"/>
    <w:pPr>
      <w:spacing w:after="0" w:line="240" w:lineRule="atLeast"/>
      <w:jc w:val="left"/>
      <w:textAlignment w:val="baseline"/>
    </w:pPr>
    <w:rPr>
      <w:rFonts w:ascii="宋体" w:hAnsi="宋体"/>
      <w:color w:val="000000"/>
    </w:rPr>
  </w:style>
  <w:style w:type="paragraph" w:styleId="16">
    <w:name w:val="Body Text First Indent 2"/>
    <w:basedOn w:val="10"/>
    <w:link w:val="24"/>
    <w:autoRedefine/>
    <w:qFormat/>
    <w:uiPriority w:val="0"/>
    <w:pPr>
      <w:ind w:firstLine="420"/>
    </w:pPr>
  </w:style>
  <w:style w:type="table" w:styleId="18">
    <w:name w:val="Table Grid"/>
    <w:basedOn w:val="1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rPr>
      <w:rFonts w:ascii="Times New Roman" w:hAnsi="Times New Roman" w:eastAsia="宋体"/>
      <w:sz w:val="18"/>
    </w:rPr>
  </w:style>
  <w:style w:type="character" w:customStyle="1" w:styleId="21">
    <w:name w:val="正文文本缩进 字符"/>
    <w:link w:val="10"/>
    <w:autoRedefine/>
    <w:qFormat/>
    <w:uiPriority w:val="0"/>
    <w:rPr>
      <w:kern w:val="2"/>
      <w:sz w:val="21"/>
      <w:szCs w:val="24"/>
    </w:rPr>
  </w:style>
  <w:style w:type="character" w:customStyle="1" w:styleId="22">
    <w:name w:val="批注框文本 字符"/>
    <w:link w:val="11"/>
    <w:autoRedefine/>
    <w:qFormat/>
    <w:uiPriority w:val="0"/>
    <w:rPr>
      <w:kern w:val="2"/>
      <w:sz w:val="18"/>
      <w:szCs w:val="18"/>
    </w:rPr>
  </w:style>
  <w:style w:type="character" w:customStyle="1" w:styleId="23">
    <w:name w:val="页眉 字符"/>
    <w:link w:val="13"/>
    <w:autoRedefine/>
    <w:qFormat/>
    <w:uiPriority w:val="0"/>
    <w:rPr>
      <w:kern w:val="2"/>
      <w:sz w:val="18"/>
      <w:szCs w:val="18"/>
    </w:rPr>
  </w:style>
  <w:style w:type="character" w:customStyle="1" w:styleId="24">
    <w:name w:val="正文文本首行缩进 2 字符"/>
    <w:basedOn w:val="21"/>
    <w:link w:val="16"/>
    <w:autoRedefine/>
    <w:qFormat/>
    <w:uiPriority w:val="0"/>
    <w:rPr>
      <w:kern w:val="2"/>
      <w:sz w:val="21"/>
      <w:szCs w:val="24"/>
    </w:rPr>
  </w:style>
  <w:style w:type="paragraph" w:customStyle="1" w:styleId="2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6">
    <w:name w:val="标准书眉一"/>
    <w:autoRedefine/>
    <w:qFormat/>
    <w:uiPriority w:val="0"/>
    <w:pPr>
      <w:jc w:val="both"/>
    </w:pPr>
    <w:rPr>
      <w:rFonts w:ascii="Times New Roman" w:hAnsi="Times New Roman" w:eastAsia="宋体" w:cs="Times New Roman"/>
      <w:lang w:val="en-US" w:eastAsia="zh-CN" w:bidi="ar-SA"/>
    </w:rPr>
  </w:style>
  <w:style w:type="paragraph" w:customStyle="1" w:styleId="27">
    <w:name w:val="样式 正文首行缩进 2 + 首行缩进:  2 字符"/>
    <w:basedOn w:val="1"/>
    <w:next w:val="9"/>
    <w:autoRedefine/>
    <w:qFormat/>
    <w:uiPriority w:val="0"/>
    <w:pPr>
      <w:adjustRightInd/>
      <w:snapToGrid/>
      <w:spacing w:line="400" w:lineRule="exact"/>
      <w:ind w:firstLine="480"/>
    </w:pPr>
    <w:rPr>
      <w:rFonts w:cs="宋体"/>
      <w:sz w:val="24"/>
      <w:szCs w:val="20"/>
    </w:rPr>
  </w:style>
  <w:style w:type="paragraph" w:customStyle="1" w:styleId="28">
    <w:name w:val="二级无"/>
    <w:basedOn w:val="29"/>
    <w:autoRedefine/>
    <w:qFormat/>
    <w:uiPriority w:val="0"/>
    <w:pPr>
      <w:spacing w:before="0" w:after="0"/>
    </w:pPr>
    <w:rPr>
      <w:rFonts w:ascii="宋体" w:eastAsia="宋体"/>
    </w:rPr>
  </w:style>
  <w:style w:type="paragraph" w:customStyle="1" w:styleId="29">
    <w:name w:val="二级条标题"/>
    <w:basedOn w:val="5"/>
    <w:next w:val="7"/>
    <w:autoRedefine/>
    <w:qFormat/>
    <w:uiPriority w:val="99"/>
    <w:pPr>
      <w:numPr>
        <w:numId w:val="2"/>
      </w:numPr>
      <w:spacing w:before="50" w:after="50"/>
      <w:outlineLvl w:val="3"/>
    </w:pPr>
  </w:style>
  <w:style w:type="paragraph" w:customStyle="1" w:styleId="30">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31">
    <w:name w:val="p0"/>
    <w:basedOn w:val="1"/>
    <w:autoRedefine/>
    <w:qFormat/>
    <w:uiPriority w:val="0"/>
    <w:pPr>
      <w:widowControl/>
    </w:pPr>
    <w:rPr>
      <w:rFonts w:ascii="Calibri" w:hAnsi="Calibri" w:cs="宋体"/>
      <w:kern w:val="0"/>
      <w:szCs w:val="21"/>
    </w:rPr>
  </w:style>
  <w:style w:type="paragraph" w:customStyle="1" w:styleId="32">
    <w:name w:val="正文表标题"/>
    <w:next w:val="7"/>
    <w:autoRedefine/>
    <w:qFormat/>
    <w:uiPriority w:val="0"/>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34">
    <w:name w:val="标准书眉_偶数页"/>
    <w:basedOn w:val="25"/>
    <w:next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684</Words>
  <Characters>3899</Characters>
  <Lines>32</Lines>
  <Paragraphs>9</Paragraphs>
  <TotalTime>14</TotalTime>
  <ScaleCrop>false</ScaleCrop>
  <LinksUpToDate>false</LinksUpToDate>
  <CharactersWithSpaces>4574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2020-09-11T08:09:00Z</dcterms:created>
  <dc:creator>XTJC-liuguoxia</dc:creator>
  <cp:lastModifiedBy>素素</cp:lastModifiedBy>
  <dcterms:modified xsi:type="dcterms:W3CDTF">2024-03-01T03:08:03Z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9F60309CD8254A6CAA5E744977A01410_13</vt:lpwstr>
  </property>
</Properties>
</file>