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pPr>
      <w:bookmarkStart w:id="16" w:name="_GoBack"/>
      <w:bookmarkEnd w:id="16"/>
      <w:r>
        <w:rPr>
          <w:rFonts w:ascii="Times New Roman"/>
        </w:rPr>
        <w:t>ICS</w:t>
      </w:r>
      <w:r>
        <w:rPr>
          <w:rFonts w:hAnsi="黑体"/>
        </w:rPr>
        <w:t xml:space="preserve"> </w:t>
      </w:r>
      <w:r>
        <w:t>77.120.99</w:t>
      </w:r>
    </w:p>
    <w:p>
      <w:pPr>
        <w:pStyle w:val="127"/>
      </w:pPr>
      <w:r>
        <w:t>CCS H 66</w:t>
      </w:r>
    </w:p>
    <w:p>
      <w:pPr>
        <w:pStyle w:val="70"/>
      </w:pPr>
      <w:r>
        <w:rPr>
          <w:rFonts w:hint="eastAsia"/>
        </w:rPr>
        <w:t>YS</w:t>
      </w:r>
    </w:p>
    <w:p>
      <w:pPr>
        <w:pStyle w:val="114"/>
      </w:pPr>
      <w:r>
        <w:rPr>
          <w:rFonts w:hint="eastAsia"/>
        </w:rPr>
        <w:t>中华人民共和国</w:t>
      </w:r>
      <w:r>
        <w:fldChar w:fldCharType="begin">
          <w:ffData>
            <w:name w:val="c2"/>
            <w:enabled/>
            <w:calcOnExit w:val="0"/>
            <w:textInput/>
          </w:ffData>
        </w:fldChar>
      </w:r>
      <w:bookmarkStart w:id="0" w:name="c2"/>
      <w:r>
        <w:instrText xml:space="preserve"> FORMTEXT </w:instrText>
      </w:r>
      <w:r>
        <w:fldChar w:fldCharType="separate"/>
      </w:r>
      <w:r>
        <w:rPr>
          <w:rFonts w:hint="eastAsia"/>
        </w:rPr>
        <w:t>有色金属</w:t>
      </w:r>
      <w:r>
        <w:fldChar w:fldCharType="end"/>
      </w:r>
      <w:bookmarkEnd w:id="0"/>
      <w:r>
        <w:rPr>
          <w:rFonts w:hint="eastAsia"/>
        </w:rPr>
        <w:t>行业标准</w:t>
      </w:r>
    </w:p>
    <w:p>
      <w:pPr>
        <w:pStyle w:val="51"/>
      </w:pPr>
      <w:r>
        <w:rPr>
          <w:rFonts w:ascii="Times New Roman"/>
        </w:rPr>
        <w:fldChar w:fldCharType="begin">
          <w:ffData>
            <w:name w:val="StdNo0"/>
            <w:enabled/>
            <w:calcOnExit w:val="0"/>
            <w:textInput>
              <w:default w:val="XX"/>
              <w:maxLength w:val="2"/>
            </w:textInput>
          </w:ffData>
        </w:fldChar>
      </w:r>
      <w:bookmarkStart w:id="1" w:name="StdNo0"/>
      <w:r>
        <w:rPr>
          <w:rFonts w:ascii="Times New Roman"/>
        </w:rPr>
        <w:instrText xml:space="preserve"> FORMTEXT </w:instrText>
      </w:r>
      <w:r>
        <w:rPr>
          <w:rFonts w:ascii="Times New Roman"/>
        </w:rPr>
        <w:fldChar w:fldCharType="separate"/>
      </w:r>
      <w:r>
        <w:rPr>
          <w:rFonts w:hint="eastAsia" w:ascii="Times New Roman"/>
        </w:rPr>
        <w:t>YS</w:t>
      </w:r>
      <w:r>
        <w:rPr>
          <w:rFonts w:ascii="Times New Roman"/>
        </w:rPr>
        <w:fldChar w:fldCharType="end"/>
      </w:r>
      <w:bookmarkEnd w:id="1"/>
      <w:r>
        <w:rPr>
          <w:rFonts w:ascii="Times New Roman"/>
        </w:rPr>
        <w:t xml:space="preserve">/T </w:t>
      </w:r>
      <w:r>
        <w:t>XXXX—</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80"/>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textInput/>
                </w:ffData>
              </w:fldChar>
            </w:r>
            <w:bookmarkStart w:id="3" w:name="DT"/>
            <w:r>
              <w:instrText xml:space="preserve"> FORMTEXT </w:instrText>
            </w:r>
            <w:r>
              <w:fldChar w:fldCharType="separate"/>
            </w:r>
            <w:r>
              <w:t>     </w:t>
            </w:r>
            <w:r>
              <w:fldChar w:fldCharType="end"/>
            </w:r>
            <w:bookmarkEnd w:id="3"/>
          </w:p>
        </w:tc>
      </w:tr>
    </w:tbl>
    <w:p>
      <w:pPr>
        <w:pStyle w:val="51"/>
      </w:pPr>
    </w:p>
    <w:p>
      <w:pPr>
        <w:pStyle w:val="51"/>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noWrap w:val="0"/>
            <w:vAlign w:val="top"/>
          </w:tcPr>
          <w:p>
            <w:pPr>
              <w:pStyle w:val="82"/>
              <w:framePr w:x="1441" w:y="6481"/>
              <w:rPr>
                <w:rFonts w:hint="default" w:eastAsia="黑体"/>
                <w:lang w:val="en-US" w:eastAsia="zh-CN"/>
              </w:rPr>
            </w:pPr>
            <w:r>
              <w:rPr>
                <w:rFonts w:hint="eastAsia"/>
                <w:lang w:val="en-US" w:eastAsia="zh-CN"/>
              </w:rPr>
              <w:t>多晶硅还原炉用氮化硅制品</w:t>
            </w:r>
          </w:p>
          <w:p>
            <w:pPr>
              <w:pStyle w:val="84"/>
              <w:framePr w:x="1441" w:y="6481"/>
            </w:pPr>
            <w:r>
              <w:rPr>
                <w:rFonts w:hint="eastAsia" w:ascii="Times New Roman" w:eastAsia="黑体"/>
              </w:rPr>
              <w:t>Silicon nitride products for polycrystalline silicon reduction furnaces</w:t>
            </w:r>
          </w:p>
          <w:p>
            <w:pPr>
              <w:pStyle w:val="85"/>
              <w:framePr w:x="1441" w:y="6481"/>
            </w:pPr>
            <w:r>
              <w:rPr>
                <w:rFonts w:hint="eastAsia"/>
              </w:rPr>
              <w:t>（</w:t>
            </w:r>
            <w:r>
              <w:rPr>
                <w:rFonts w:hint="eastAsia"/>
                <w:lang w:val="en-US" w:eastAsia="zh-CN"/>
              </w:rPr>
              <w:t>送审稿</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86"/>
              <w:framePr w:x="1441" w:y="6481"/>
            </w:pPr>
            <w:r>
              <w:rPr>
                <w:rFonts w:hint="eastAsia"/>
              </w:rPr>
              <w:t>（本稿完成日期：202</w:t>
            </w:r>
            <w:r>
              <w:rPr>
                <w:rFonts w:hint="eastAsia"/>
                <w:lang w:val="en-US" w:eastAsia="zh-CN"/>
              </w:rPr>
              <w:t>3</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p>
          <w:p>
            <w:pPr>
              <w:pStyle w:val="86"/>
              <w:framePr w:x="1441" w:y="6481"/>
            </w:pPr>
          </w:p>
          <w:p>
            <w:pPr>
              <w:pStyle w:val="86"/>
              <w:framePr w:x="1441" w:y="6481"/>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86"/>
              <w:framePr w:x="1441" w:y="6481"/>
              <w:rPr>
                <w:rFonts w:hint="eastAsia"/>
                <w:lang w:val="en-US" w:eastAsia="zh-CN"/>
              </w:rPr>
            </w:pPr>
          </w:p>
          <w:p>
            <w:pPr>
              <w:pStyle w:val="86"/>
              <w:framePr w:x="1441" w:y="6481"/>
              <w:rPr>
                <w:rFonts w:hint="eastAsia"/>
                <w:lang w:val="en-US" w:eastAsia="zh-CN"/>
              </w:rPr>
            </w:pPr>
          </w:p>
          <w:p>
            <w:pPr>
              <w:pStyle w:val="86"/>
              <w:framePr w:x="1441" w:y="6481"/>
              <w:rPr>
                <w:rFonts w:hint="eastAsia"/>
                <w:lang w:val="en-US" w:eastAsia="zh-CN"/>
              </w:rPr>
            </w:pPr>
          </w:p>
          <w:p>
            <w:pPr>
              <w:pStyle w:val="86"/>
              <w:framePr w:x="1441" w:y="6481"/>
              <w:rPr>
                <w:rFonts w:hint="eastAsia"/>
                <w:lang w:val="en-US" w:eastAsia="zh-CN"/>
              </w:rPr>
            </w:pPr>
          </w:p>
          <w:p>
            <w:pPr>
              <w:pStyle w:val="86"/>
              <w:framePr w:x="1441" w:y="6481"/>
              <w:rPr>
                <w:rFonts w:hint="eastAsia"/>
                <w:lang w:val="en-US" w:eastAsia="zh-CN"/>
              </w:rPr>
            </w:pPr>
          </w:p>
          <w:p>
            <w:pPr>
              <w:pStyle w:val="86"/>
              <w:framePr w:x="1441" w:y="6481"/>
              <w:rPr>
                <w:rFonts w:hint="eastAsia"/>
                <w:lang w:val="en-US" w:eastAsia="zh-CN"/>
              </w:rPr>
            </w:pPr>
          </w:p>
          <w:p>
            <w:pPr>
              <w:pStyle w:val="86"/>
              <w:framePr w:x="1441" w:y="6481"/>
              <w:rPr>
                <w:rFonts w:hint="eastAsia"/>
                <w:lang w:val="en-US" w:eastAsia="zh-CN"/>
              </w:rPr>
            </w:pPr>
          </w:p>
          <w:p>
            <w:pPr>
              <w:pStyle w:val="86"/>
              <w:framePr w:x="1441" w:y="6481"/>
              <w:rPr>
                <w:rFonts w:hint="eastAsia"/>
              </w:rPr>
            </w:pPr>
            <w:r>
              <w:rPr>
                <w:rFonts w:hint="eastAsia"/>
                <w:lang w:val="en-US" w:eastAsia="zh-CN"/>
              </w:rPr>
              <w:t>在提交本文件时，请将您知道的相关专利连同支持性文件一并附上</w:t>
            </w:r>
          </w:p>
        </w:tc>
      </w:tr>
    </w:tbl>
    <w:p>
      <w:pPr>
        <w:pStyle w:val="134"/>
      </w:pPr>
      <w:r>
        <w:rPr>
          <w:rFonts w:ascii="黑体"/>
        </w:rPr>
        <w:fldChar w:fldCharType="begin">
          <w:ffData>
            <w:name w:val="FY"/>
            <w:enabled/>
            <w:calcOnExit w:val="0"/>
            <w:entryMacro w:val="ShowHelp8"/>
            <w:textInput>
              <w:default w:val="XXXX"/>
              <w:maxLength w:val="4"/>
            </w:textInput>
          </w:ffData>
        </w:fldChar>
      </w:r>
      <w:bookmarkStart w:id="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bookmarkStart w:id="5"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kUT4j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WkSOHNgqeFP3388/fzF&#10;6iLOGLChmHu3iSRV3mHYxMz00EWb/8SBHYqgx7Og6pCYoMPbmli9Ja3Fs6+6XAwR00flLctGy412&#10;mSs0sP+EiZJR6HNIPjaOjS1/f7O4ITigweuo4WTaQMWj68td9EbLB21MvoGx396byPaQm1++3G/C&#10;/SssJ1kDDlNccU1jMSiQH5xk6RhIFkevgecSrJKcGUWPJ1tlgBJoc00kpTaOKrjomK2tl0dqwi5E&#10;3Q+kRF2qzB5qeqn3NKB5qv7cF6TL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pFE+I&#10;5gEAANwDAAAOAAAAAAAAAAEAIAAAACUBAABkcnMvZTJvRG9jLnhtbFBLBQYAAAAABgAGAFkBAAB9&#10;BQAAAAA=&#10;">
                <v:fill on="f" focussize="0,0"/>
                <v:stroke color="#000000" joinstyle="round"/>
                <v:imagedata o:title=""/>
                <o:lock v:ext="edit" aspectratio="f"/>
                <w10:anchorlock/>
              </v:line>
            </w:pict>
          </mc:Fallback>
        </mc:AlternateContent>
      </w:r>
    </w:p>
    <w:p>
      <w:pPr>
        <w:pStyle w:val="135"/>
      </w:pPr>
      <w:r>
        <w:rPr>
          <w:rFonts w:ascii="黑体"/>
        </w:rPr>
        <w:fldChar w:fldCharType="begin">
          <w:ffData>
            <w:name w:val="SY"/>
            <w:enabled/>
            <w:calcOnExit w:val="0"/>
            <w:entryMacro w:val="ShowHelp9"/>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5"/>
      </w:pPr>
      <w:r>
        <w:fldChar w:fldCharType="begin">
          <w:ffData>
            <w:name w:val="fm"/>
            <w:enabled/>
            <w:calcOnExit w:val="0"/>
            <w:textInput/>
          </w:ffData>
        </w:fldChar>
      </w:r>
      <w:r>
        <w:instrText xml:space="preserve"> FORMTEXT </w:instrText>
      </w:r>
      <w:r>
        <w:fldChar w:fldCharType="separate"/>
      </w:r>
      <w:r>
        <w:rPr>
          <w:rFonts w:hint="eastAsia"/>
        </w:rPr>
        <w:t>中华人民共和国工业和信息化部</w:t>
      </w:r>
      <w:r>
        <w:fldChar w:fldCharType="end"/>
      </w:r>
      <w:r>
        <w:t>   </w:t>
      </w:r>
      <w:r>
        <w:rPr>
          <w:rStyle w:val="77"/>
          <w:rFonts w:hint="eastAsia"/>
        </w:rPr>
        <w:t>发布</w:t>
      </w:r>
    </w:p>
    <w:p>
      <w:pPr>
        <w:pStyle w:val="78"/>
      </w:pPr>
    </w:p>
    <w:p>
      <w:pPr>
        <w:pStyle w:val="24"/>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frisc5wEAANwDAAAOAAAAZHJzL2Uyb0RvYy54bWytU0tu&#10;2zAQ3RfoHQjua1kuEr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q2fMGZA0sNf/j56+H3&#10;H1bXWZwxYEMxt24TTzsMm5iZHrpo8584sEMR9HgWVB0SE3R4XROr96S1ePRVTxdDxPRZecuy0XKj&#10;XeYKDey/YKJkFPoYko+NY2PLP14trggOaPA6ajiZNlDx6PpyF73R8k4bk29g7Le3JrI95OaXL1Mi&#10;3P/CcpI14DDFFdc0FoMC+clJlo6BZHH0GnguwSrJmVH0eLJFgNAk0OaSSEptHFWQVZ10zNbWyyM1&#10;YRei7gdSoghfYqjppd7TgOap+ndfkJ4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J+u&#10;KxznAQAA3AMAAA4AAAAAAAAAAQAgAAAAJgEAAGRycy9lMm9Eb2MueG1sUEsFBgAAAAAGAAYAWQEA&#10;AH8FAAAAAA==&#10;">
                <v:fill on="f" focussize="0,0"/>
                <v:stroke color="#000000" joinstyle="round"/>
                <v:imagedata o:title=""/>
                <o:lock v:ext="edit" aspectratio="f"/>
              </v:line>
            </w:pict>
          </mc:Fallback>
        </mc:AlternateContent>
      </w:r>
    </w:p>
    <w:p>
      <w:pPr>
        <w:pStyle w:val="116"/>
        <w:rPr>
          <w:rFonts w:hint="eastAsia"/>
        </w:rPr>
      </w:pPr>
      <w:r>
        <w:rPr>
          <w:rFonts w:hint="eastAsia"/>
        </w:rPr>
        <w:t>前</w:t>
      </w:r>
      <w:bookmarkStart w:id="10" w:name="BKQY"/>
      <w:r>
        <w:rPr>
          <w:rFonts w:hAnsi="黑体"/>
        </w:rPr>
        <w:t>  </w:t>
      </w:r>
      <w:r>
        <w:rPr>
          <w:rFonts w:hint="eastAsia"/>
        </w:rPr>
        <w:t>言</w:t>
      </w:r>
      <w:bookmarkEnd w:id="10"/>
    </w:p>
    <w:p>
      <w:pPr>
        <w:pStyle w:val="24"/>
        <w:rPr>
          <w:rFonts w:hint="eastAsia"/>
          <w:szCs w:val="22"/>
          <w:lang w:val="en-US" w:eastAsia="zh-CN"/>
        </w:rPr>
      </w:pPr>
      <w:r>
        <w:rPr>
          <w:rFonts w:hint="eastAsia"/>
          <w:szCs w:val="22"/>
          <w:lang w:val="en-US" w:eastAsia="zh-CN"/>
        </w:rPr>
        <w:t>本文件按照GB/T 1.1-2020《标准化工导则 第1部分：标准化文件的结构和起草规则》的规定起草。</w:t>
      </w:r>
    </w:p>
    <w:p>
      <w:pPr>
        <w:pStyle w:val="24"/>
        <w:ind w:firstLine="420"/>
        <w:rPr>
          <w:rFonts w:hint="eastAsia"/>
          <w:color w:val="000000"/>
        </w:rPr>
      </w:pPr>
      <w:r>
        <w:rPr>
          <w:rFonts w:hint="eastAsia"/>
          <w:color w:val="000000"/>
        </w:rPr>
        <w:t>请注意本文件的某些内容可能涉及专利。本文件的发布机构不承担识别专利的责任。</w:t>
      </w:r>
    </w:p>
    <w:p>
      <w:pPr>
        <w:ind w:firstLine="420" w:firstLineChars="200"/>
        <w:rPr>
          <w:rFonts w:hint="eastAsia"/>
          <w:color w:val="000000"/>
        </w:rPr>
      </w:pPr>
      <w:r>
        <w:rPr>
          <w:rFonts w:hint="eastAsia" w:ascii="宋体"/>
          <w:color w:val="000000"/>
        </w:rPr>
        <w:t>本文件由中国有色金属工业协会提出。</w:t>
      </w:r>
    </w:p>
    <w:p>
      <w:pPr>
        <w:pStyle w:val="24"/>
        <w:rPr>
          <w:rFonts w:hint="eastAsia"/>
          <w:szCs w:val="22"/>
          <w:lang w:val="en-US" w:eastAsia="zh-CN"/>
        </w:rPr>
      </w:pPr>
      <w:r>
        <w:rPr>
          <w:rFonts w:hint="eastAsia"/>
          <w:szCs w:val="22"/>
          <w:lang w:val="en-US" w:eastAsia="zh-CN"/>
        </w:rPr>
        <w:t>本文件由全国有色金属标准化技术委员会（SAC/TC 243）、全国半导体设备和材料标准化技术委员会材料分技术委员会（SAC/TC 203/SC2）提出并归口。</w:t>
      </w:r>
    </w:p>
    <w:p>
      <w:pPr>
        <w:pStyle w:val="24"/>
      </w:pPr>
      <w:r>
        <w:rPr>
          <w:rFonts w:hint="eastAsia"/>
        </w:rPr>
        <w:t>本</w:t>
      </w:r>
      <w:r>
        <w:rPr>
          <w:rFonts w:hint="eastAsia"/>
          <w:lang w:val="en-US" w:eastAsia="zh-CN"/>
        </w:rPr>
        <w:t>文件</w:t>
      </w:r>
      <w:r>
        <w:rPr>
          <w:rFonts w:hint="eastAsia"/>
        </w:rPr>
        <w:t>起草单位：新疆晶硕新材料有限公司</w:t>
      </w:r>
    </w:p>
    <w:p>
      <w:pPr>
        <w:pStyle w:val="24"/>
      </w:pPr>
      <w:r>
        <w:rPr>
          <w:rFonts w:hint="eastAsia"/>
        </w:rPr>
        <w:t>本</w:t>
      </w:r>
      <w:r>
        <w:rPr>
          <w:rFonts w:hint="eastAsia"/>
          <w:lang w:val="en-US" w:eastAsia="zh-CN"/>
        </w:rPr>
        <w:t>文件</w:t>
      </w:r>
      <w:r>
        <w:rPr>
          <w:rFonts w:hint="eastAsia"/>
        </w:rPr>
        <w:t>主要起草人：</w:t>
      </w:r>
    </w:p>
    <w:p>
      <w:pPr>
        <w:ind w:left="15"/>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54"/>
        <w:rPr>
          <w:rFonts w:hint="eastAsia"/>
        </w:rPr>
      </w:pPr>
      <w:r>
        <w:rPr>
          <w:rFonts w:hint="eastAsia"/>
          <w:lang w:val="en-US" w:eastAsia="zh-CN"/>
        </w:rPr>
        <w:t>多晶硅还原炉用氮化硅制品</w:t>
      </w:r>
    </w:p>
    <w:p>
      <w:pPr>
        <w:pStyle w:val="49"/>
        <w:rPr>
          <w:rFonts w:hint="eastAsia"/>
        </w:rPr>
      </w:pPr>
      <w:r>
        <w:rPr>
          <w:rFonts w:hint="eastAsia"/>
        </w:rPr>
        <w:t>范围</w:t>
      </w:r>
    </w:p>
    <w:p>
      <w:pPr>
        <w:pStyle w:val="24"/>
        <w:rPr>
          <w:rFonts w:hint="eastAsia"/>
          <w:szCs w:val="22"/>
        </w:rPr>
      </w:pPr>
      <w:r>
        <w:rPr>
          <w:rFonts w:hint="eastAsia"/>
          <w:szCs w:val="22"/>
          <w:lang w:val="en-US" w:eastAsia="zh-CN"/>
        </w:rPr>
        <w:t>本文件规定了多晶硅还原炉用氮化硅制品的技术要求、试验方法、检验规则、</w:t>
      </w:r>
      <w:r>
        <w:rPr>
          <w:rFonts w:hint="eastAsia" w:ascii="宋体" w:hAnsi="Times New Roman" w:eastAsia="宋体" w:cs="Times New Roman"/>
          <w:color w:val="auto"/>
          <w:kern w:val="0"/>
          <w:sz w:val="21"/>
          <w:szCs w:val="22"/>
          <w:lang w:val="en-US" w:eastAsia="zh-CN"/>
        </w:rPr>
        <w:t>标志、包装、运输、贮存、随行文件及订货单内容</w:t>
      </w:r>
      <w:r>
        <w:rPr>
          <w:rFonts w:hint="eastAsia"/>
          <w:szCs w:val="22"/>
        </w:rPr>
        <w:t>。</w:t>
      </w:r>
    </w:p>
    <w:p>
      <w:pPr>
        <w:pStyle w:val="24"/>
        <w:rPr>
          <w:rFonts w:hint="eastAsia"/>
        </w:rPr>
      </w:pPr>
      <w:r>
        <w:rPr>
          <w:rFonts w:hint="eastAsia"/>
        </w:rPr>
        <w:t>本</w:t>
      </w:r>
      <w:r>
        <w:rPr>
          <w:rFonts w:hint="eastAsia"/>
          <w:lang w:val="en-US" w:eastAsia="zh-CN"/>
        </w:rPr>
        <w:t>文件</w:t>
      </w:r>
      <w:r>
        <w:rPr>
          <w:rFonts w:hint="eastAsia"/>
        </w:rPr>
        <w:t>适用于</w:t>
      </w:r>
      <w:r>
        <w:rPr>
          <w:rFonts w:hint="eastAsia"/>
          <w:lang w:val="en-US" w:eastAsia="zh-CN"/>
        </w:rPr>
        <w:t>气压烧结、无压烧结工艺制备的</w:t>
      </w:r>
      <w:r>
        <w:rPr>
          <w:rFonts w:hint="eastAsia"/>
        </w:rPr>
        <w:t>氮化硅</w:t>
      </w:r>
      <w:r>
        <w:rPr>
          <w:rFonts w:hint="eastAsia"/>
          <w:lang w:val="en-US" w:eastAsia="zh-CN"/>
        </w:rPr>
        <w:t>陶瓷</w:t>
      </w:r>
      <w:r>
        <w:rPr>
          <w:rFonts w:hint="eastAsia"/>
        </w:rPr>
        <w:t>产品</w:t>
      </w:r>
      <w:r>
        <w:rPr>
          <w:rFonts w:hint="eastAsia" w:ascii="宋体" w:hAnsi="宋体" w:eastAsia="宋体" w:cs="宋体"/>
          <w:color w:val="000000"/>
          <w:kern w:val="0"/>
          <w:sz w:val="21"/>
          <w:szCs w:val="21"/>
          <w:lang w:val="en-US" w:eastAsia="zh-CN"/>
        </w:rPr>
        <w:t>的测试、检验和评价</w:t>
      </w:r>
      <w:r>
        <w:rPr>
          <w:rFonts w:hint="eastAsia"/>
        </w:rPr>
        <w:t>。</w:t>
      </w:r>
    </w:p>
    <w:p>
      <w:pPr>
        <w:pStyle w:val="49"/>
        <w:rPr>
          <w:rFonts w:hint="eastAsia"/>
        </w:rPr>
      </w:pPr>
      <w:bookmarkStart w:id="11" w:name="_Hlk50886142"/>
      <w:r>
        <w:rPr>
          <w:rFonts w:hint="eastAsia"/>
        </w:rPr>
        <w:t>规范性引用文件</w:t>
      </w:r>
    </w:p>
    <w:bookmarkEnd w:id="11"/>
    <w:p>
      <w:pPr>
        <w:pStyle w:val="24"/>
        <w:keepNext w:val="0"/>
        <w:keepLines w:val="0"/>
        <w:pageBreakBefore w:val="0"/>
        <w:widowControl/>
        <w:kinsoku/>
        <w:wordWrap/>
        <w:overflowPunct/>
        <w:topLinePunct w:val="0"/>
        <w:autoSpaceDE w:val="0"/>
        <w:autoSpaceDN w:val="0"/>
        <w:bidi w:val="0"/>
        <w:adjustRightInd/>
        <w:snapToGrid/>
        <w:textAlignment w:val="auto"/>
        <w:rPr>
          <w:rFonts w:hint="eastAsia"/>
          <w:color w:val="000000"/>
          <w:highlight w:val="none"/>
        </w:rPr>
      </w:pPr>
      <w:bookmarkStart w:id="12" w:name="BKCKWX"/>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w:t>
      </w:r>
      <w:r>
        <w:rPr>
          <w:rFonts w:hint="eastAsia"/>
          <w:color w:val="000000"/>
          <w:highlight w:val="none"/>
        </w:rPr>
        <w:t>件。</w:t>
      </w:r>
    </w:p>
    <w:p>
      <w:pPr>
        <w:pStyle w:val="24"/>
        <w:keepNext w:val="0"/>
        <w:keepLines w:val="0"/>
        <w:pageBreakBefore w:val="0"/>
        <w:widowControl/>
        <w:kinsoku/>
        <w:wordWrap/>
        <w:overflowPunct/>
        <w:topLinePunct w:val="0"/>
        <w:autoSpaceDE w:val="0"/>
        <w:autoSpaceDN w:val="0"/>
        <w:bidi w:val="0"/>
        <w:adjustRightInd/>
        <w:snapToGrid/>
        <w:textAlignment w:val="auto"/>
        <w:rPr>
          <w:rFonts w:hint="default" w:ascii="宋体" w:hAnsi="Times New Roman" w:eastAsia="宋体" w:cs="Times New Roman"/>
          <w:b w:val="0"/>
          <w:bCs w:val="0"/>
          <w:i w:val="0"/>
          <w:iCs w:val="0"/>
          <w:caps w:val="0"/>
          <w:color w:val="auto"/>
          <w:spacing w:val="0"/>
          <w:sz w:val="21"/>
          <w:szCs w:val="20"/>
          <w:u w:val="none"/>
          <w:shd w:val="clear" w:fill="auto"/>
        </w:rPr>
      </w:pPr>
      <w:r>
        <w:rPr>
          <w:rFonts w:hint="eastAsia"/>
          <w:szCs w:val="22"/>
          <w:lang w:val="en-US" w:eastAsia="zh-CN"/>
        </w:rPr>
        <w:t>GB/T 141</w:t>
      </w:r>
      <w:r>
        <w:rPr>
          <w:rFonts w:hint="default"/>
          <w:szCs w:val="20"/>
          <w:lang w:val="en-US" w:eastAsia="zh-CN"/>
        </w:rPr>
        <w:t xml:space="preserve">0 </w:t>
      </w:r>
      <w:r>
        <w:rPr>
          <w:rFonts w:ascii="宋体" w:hAnsi="Times New Roman" w:eastAsia="宋体" w:cs="Times New Roman"/>
          <w:b w:val="0"/>
          <w:bCs w:val="0"/>
          <w:i w:val="0"/>
          <w:iCs w:val="0"/>
          <w:caps w:val="0"/>
          <w:color w:val="auto"/>
          <w:spacing w:val="0"/>
          <w:sz w:val="21"/>
          <w:szCs w:val="20"/>
          <w:u w:val="none"/>
          <w:shd w:val="clear" w:fill="auto"/>
        </w:rPr>
        <w:fldChar w:fldCharType="begin"/>
      </w:r>
      <w:r>
        <w:rPr>
          <w:rFonts w:ascii="宋体" w:hAnsi="Times New Roman" w:eastAsia="宋体" w:cs="Times New Roman"/>
          <w:b w:val="0"/>
          <w:bCs w:val="0"/>
          <w:i w:val="0"/>
          <w:iCs w:val="0"/>
          <w:caps w:val="0"/>
          <w:color w:val="auto"/>
          <w:spacing w:val="0"/>
          <w:sz w:val="21"/>
          <w:szCs w:val="20"/>
          <w:u w:val="none"/>
          <w:shd w:val="clear" w:fill="auto"/>
        </w:rPr>
        <w:instrText xml:space="preserve"> HYPERLINK "javascript:void(0)" </w:instrText>
      </w:r>
      <w:r>
        <w:rPr>
          <w:rFonts w:ascii="宋体" w:hAnsi="Times New Roman" w:eastAsia="宋体" w:cs="Times New Roman"/>
          <w:b w:val="0"/>
          <w:bCs w:val="0"/>
          <w:i w:val="0"/>
          <w:iCs w:val="0"/>
          <w:caps w:val="0"/>
          <w:color w:val="auto"/>
          <w:spacing w:val="0"/>
          <w:sz w:val="21"/>
          <w:szCs w:val="20"/>
          <w:u w:val="none"/>
          <w:shd w:val="clear" w:fill="auto"/>
        </w:rPr>
        <w:fldChar w:fldCharType="separate"/>
      </w:r>
      <w:r>
        <w:rPr>
          <w:rStyle w:val="36"/>
          <w:rFonts w:hint="default" w:ascii="宋体" w:hAnsi="Times New Roman" w:eastAsia="宋体" w:cs="Times New Roman"/>
          <w:b w:val="0"/>
          <w:bCs w:val="0"/>
          <w:i w:val="0"/>
          <w:iCs w:val="0"/>
          <w:caps w:val="0"/>
          <w:spacing w:val="0"/>
          <w:sz w:val="21"/>
          <w:szCs w:val="20"/>
          <w:u w:val="none"/>
          <w:shd w:val="clear"/>
        </w:rPr>
        <w:t>固体绝缘材料体积电阻率和表面电阻率试验方法</w:t>
      </w:r>
      <w:r>
        <w:rPr>
          <w:rFonts w:hint="default" w:ascii="宋体" w:hAnsi="Times New Roman" w:eastAsia="宋体" w:cs="Times New Roman"/>
          <w:b w:val="0"/>
          <w:bCs w:val="0"/>
          <w:i w:val="0"/>
          <w:iCs w:val="0"/>
          <w:caps w:val="0"/>
          <w:color w:val="auto"/>
          <w:spacing w:val="0"/>
          <w:sz w:val="21"/>
          <w:szCs w:val="20"/>
          <w:u w:val="none"/>
          <w:shd w:val="clear" w:fill="auto"/>
        </w:rPr>
        <w:fldChar w:fldCharType="end"/>
      </w:r>
    </w:p>
    <w:p>
      <w:pPr>
        <w:pStyle w:val="24"/>
        <w:keepNext w:val="0"/>
        <w:keepLines w:val="0"/>
        <w:pageBreakBefore w:val="0"/>
        <w:widowControl/>
        <w:kinsoku/>
        <w:wordWrap/>
        <w:overflowPunct/>
        <w:topLinePunct w:val="0"/>
        <w:autoSpaceDE w:val="0"/>
        <w:autoSpaceDN w:val="0"/>
        <w:bidi w:val="0"/>
        <w:adjustRightInd/>
        <w:snapToGrid/>
        <w:textAlignment w:val="auto"/>
        <w:rPr>
          <w:rFonts w:hint="default"/>
          <w:lang w:val="en-US"/>
        </w:rPr>
      </w:pPr>
      <w:r>
        <w:rPr>
          <w:rFonts w:hint="default"/>
          <w:lang w:val="en-US"/>
        </w:rPr>
        <w:fldChar w:fldCharType="begin"/>
      </w:r>
      <w:r>
        <w:rPr>
          <w:rFonts w:hint="default"/>
          <w:lang w:val="en-US"/>
        </w:rPr>
        <w:instrText xml:space="preserve"> HYPERLINK "http://www.baidu.com/link?url=b9waw9Qn38utwiiboXNusOJKnxT056io1njH40RI5z-TbsD_jNnQJ74sxQlzagRCkpGNJDcxjP8cRCPnHWliT_" \t "https://www.baidu.com/_blank" </w:instrText>
      </w:r>
      <w:r>
        <w:rPr>
          <w:rFonts w:hint="default"/>
          <w:lang w:val="en-US"/>
        </w:rPr>
        <w:fldChar w:fldCharType="separate"/>
      </w:r>
      <w:r>
        <w:rPr>
          <w:rFonts w:hint="default"/>
          <w:lang w:val="en-US"/>
        </w:rPr>
        <w:t>GB</w:t>
      </w:r>
      <w:r>
        <w:rPr>
          <w:rFonts w:hint="eastAsia"/>
          <w:lang w:val="en-US" w:eastAsia="zh-CN"/>
        </w:rPr>
        <w:t>/</w:t>
      </w:r>
      <w:r>
        <w:rPr>
          <w:rFonts w:hint="default"/>
          <w:lang w:val="en-US"/>
        </w:rPr>
        <w:t>T 5593 电子元器件结构陶瓷材料</w:t>
      </w:r>
      <w:r>
        <w:rPr>
          <w:rFonts w:hint="default"/>
          <w:lang w:val="en-US"/>
        </w:rPr>
        <w:fldChar w:fldCharType="end"/>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color w:val="auto"/>
          <w:szCs w:val="21"/>
        </w:rPr>
      </w:pPr>
      <w:r>
        <w:rPr>
          <w:rFonts w:hint="eastAsia"/>
        </w:rPr>
        <w:fldChar w:fldCharType="begin"/>
      </w:r>
      <w:r>
        <w:rPr>
          <w:rFonts w:hint="eastAsia"/>
        </w:rPr>
        <w:instrText xml:space="preserve"> HYPERLINK "http://www.baidu.com/link?url=XDv81SeIQBmebHgxveLgzNXwMVdrt4sm2XwEz7-yHNZuXOZjiy8LRIbIm3R6ZUDP" \t "https://www.baidu.com/_blank" </w:instrText>
      </w:r>
      <w:r>
        <w:rPr>
          <w:rFonts w:hint="eastAsia"/>
        </w:rPr>
        <w:fldChar w:fldCharType="separate"/>
      </w:r>
      <w:r>
        <w:rPr>
          <w:rFonts w:hint="eastAsia"/>
        </w:rPr>
        <w:t>GB/T 5594.5 电子元器件结构陶瓷材料性能测试方法</w:t>
      </w:r>
      <w:r>
        <w:rPr>
          <w:rFonts w:hint="eastAsia"/>
        </w:rPr>
        <w:fldChar w:fldCharType="end"/>
      </w:r>
      <w:r>
        <w:rPr>
          <w:rFonts w:hint="eastAsia"/>
          <w:lang w:val="en-US" w:eastAsia="zh-CN"/>
        </w:rPr>
        <w:t xml:space="preserve">  体积电阻率测试方法</w:t>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fldChar w:fldCharType="begin"/>
      </w:r>
      <w:r>
        <w:rPr>
          <w:rFonts w:hint="eastAsia"/>
          <w:color w:val="000000" w:themeColor="text1"/>
          <w:highlight w:val="none"/>
          <w:lang w:eastAsia="zh-CN"/>
          <w14:textFill>
            <w14:solidFill>
              <w14:schemeClr w14:val="tx1"/>
            </w14:solidFill>
          </w14:textFill>
        </w:rPr>
        <w:instrText xml:space="preserve"> HYPERLINK "http://www.baidu.com/link?url=t7_2m4WgiO5n9RZKJCqDKZlVckS-iWwZ6KAMouohQNQYzj8Gd6vcE1UvQntOzAyqAYuBa5_BF67Mo8aGlVOiSe65HVk9LTV6xghgkVofnOu" \t "https://www.baidu.com/_blank" </w:instrText>
      </w:r>
      <w:r>
        <w:rPr>
          <w:rFonts w:hint="eastAsia"/>
          <w:color w:val="000000" w:themeColor="text1"/>
          <w:highlight w:val="none"/>
          <w:lang w:eastAsia="zh-CN"/>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GB</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6569</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精细陶瓷弯曲强度试验方法</w:t>
      </w:r>
      <w:r>
        <w:rPr>
          <w:rFonts w:hint="eastAsia"/>
          <w:color w:val="000000" w:themeColor="text1"/>
          <w:highlight w:val="none"/>
          <w:lang w:eastAsia="zh-CN"/>
          <w14:textFill>
            <w14:solidFill>
              <w14:schemeClr w14:val="tx1"/>
            </w14:solidFill>
          </w14:textFill>
        </w:rPr>
        <w:fldChar w:fldCharType="end"/>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10610 产品几何技术规范(GPS) 表面结构 轮廓法 评定表面结构的规则和方法</w:t>
      </w:r>
    </w:p>
    <w:p>
      <w:pPr>
        <w:pStyle w:val="24"/>
        <w:keepNext w:val="0"/>
        <w:keepLines w:val="0"/>
        <w:pageBreakBefore w:val="0"/>
        <w:widowControl/>
        <w:kinsoku/>
        <w:wordWrap/>
        <w:overflowPunct/>
        <w:topLinePunct w:val="0"/>
        <w:autoSpaceDE w:val="0"/>
        <w:autoSpaceDN w:val="0"/>
        <w:bidi w:val="0"/>
        <w:adjustRightInd/>
        <w:snapToGrid/>
        <w:textAlignment w:val="auto"/>
        <w:rPr>
          <w:rFonts w:hint="default" w:eastAsia="宋体"/>
          <w:color w:val="000000" w:themeColor="text1"/>
          <w:highlight w:val="none"/>
          <w:lang w:val="en-US" w:eastAsia="zh-CN"/>
          <w14:textFill>
            <w14:solidFill>
              <w14:schemeClr w14:val="tx1"/>
            </w14:solidFill>
          </w14:textFill>
        </w:rPr>
      </w:pPr>
      <w:r>
        <w:rPr>
          <w:rFonts w:hint="eastAsia"/>
          <w:szCs w:val="22"/>
          <w:lang w:val="en-US" w:eastAsia="zh-CN"/>
        </w:rPr>
        <w:t>GB/T 10623</w:t>
      </w:r>
      <w:r>
        <w:rPr>
          <w:rFonts w:hint="default"/>
          <w:color w:val="000000" w:themeColor="text1"/>
          <w:szCs w:val="20"/>
          <w:highlight w:val="none"/>
          <w:lang w:val="en-US" w:eastAsia="zh-CN"/>
          <w14:textFill>
            <w14:solidFill>
              <w14:schemeClr w14:val="tx1"/>
            </w14:solidFill>
          </w14:textFill>
        </w:rPr>
        <w:t xml:space="preserve"> </w: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begin"/>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instrText xml:space="preserve"> HYPERLINK "javascript:void(0)" </w:instrTex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separate"/>
      </w:r>
      <w:r>
        <w:rPr>
          <w:rStyle w:val="36"/>
          <w:rFonts w:hint="default" w:ascii="宋体" w:hAnsi="Times New Roman" w:eastAsia="宋体" w:cs="Times New Roman"/>
          <w:b w:val="0"/>
          <w:bCs w:val="0"/>
          <w:i w:val="0"/>
          <w:iCs w:val="0"/>
          <w:caps w:val="0"/>
          <w:color w:val="000000" w:themeColor="text1"/>
          <w:spacing w:val="0"/>
          <w:sz w:val="21"/>
          <w:szCs w:val="20"/>
          <w:highlight w:val="none"/>
          <w:u w:val="none"/>
          <w:shd w:val="clear"/>
          <w14:textFill>
            <w14:solidFill>
              <w14:schemeClr w14:val="tx1"/>
            </w14:solidFill>
          </w14:textFill>
        </w:rPr>
        <w:t>金属材料 力学性能试验术语</w:t>
      </w:r>
      <w:r>
        <w:rPr>
          <w:rFonts w:hint="default"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end"/>
      </w:r>
    </w:p>
    <w:p>
      <w:pPr>
        <w:pStyle w:val="24"/>
        <w:keepNext w:val="0"/>
        <w:keepLines w:val="0"/>
        <w:pageBreakBefore w:val="0"/>
        <w:widowControl/>
        <w:kinsoku/>
        <w:wordWrap/>
        <w:overflowPunct/>
        <w:topLinePunct w:val="0"/>
        <w:autoSpaceDE w:val="0"/>
        <w:autoSpaceDN w:val="0"/>
        <w:bidi w:val="0"/>
        <w:adjustRightInd/>
        <w:snapToGrid/>
        <w:textAlignment w:val="auto"/>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GB/T</w:t>
      </w:r>
      <w:r>
        <w:rPr>
          <w:rFonts w:hint="eastAsia"/>
          <w:color w:val="000000" w:themeColor="text1"/>
          <w:lang w:val="en-US" w:eastAsia="zh-CN"/>
          <w14:textFill>
            <w14:solidFill>
              <w14:schemeClr w14:val="tx1"/>
            </w14:solidFill>
          </w14:textFill>
        </w:rPr>
        <w:t xml:space="preserve"> </w:t>
      </w:r>
      <w:r>
        <w:rPr>
          <w:rFonts w:hint="eastAsia"/>
          <w:szCs w:val="22"/>
          <w:lang w:val="en-US" w:eastAsia="zh-CN"/>
        </w:rPr>
        <w:t>15463 静电安全术语</w:t>
      </w:r>
    </w:p>
    <w:p>
      <w:pPr>
        <w:pStyle w:val="24"/>
        <w:rPr>
          <w:rFonts w:hint="eastAsia"/>
        </w:rPr>
      </w:pPr>
      <w:r>
        <w:rPr>
          <w:rFonts w:hint="eastAsia"/>
        </w:rPr>
        <w:fldChar w:fldCharType="begin"/>
      </w:r>
      <w:r>
        <w:rPr>
          <w:rFonts w:hint="eastAsia"/>
        </w:rPr>
        <w:instrText xml:space="preserve"> HYPERLINK "http://www.baidu.com/link?url=xhm_ED2APSY1w9ENTY5i_QK1VLoDMkRFT-CI2mokL3-icLrPL9K2otdHdv-tZ4dFxrwQnwxsYwb5OfGr0SrZwUE5bMpzJ_me_lFyT1hQz2G" \t "https://www.baidu.com/_blank" </w:instrText>
      </w:r>
      <w:r>
        <w:rPr>
          <w:rFonts w:hint="eastAsia"/>
        </w:rPr>
        <w:fldChar w:fldCharType="separate"/>
      </w:r>
      <w:r>
        <w:rPr>
          <w:rFonts w:hint="eastAsia"/>
        </w:rPr>
        <w:t>GB</w:t>
      </w:r>
      <w:r>
        <w:rPr>
          <w:rFonts w:hint="eastAsia"/>
          <w:lang w:val="en-US" w:eastAsia="zh-CN"/>
        </w:rPr>
        <w:t>/</w:t>
      </w:r>
      <w:r>
        <w:rPr>
          <w:rFonts w:hint="eastAsia"/>
        </w:rPr>
        <w:t>T 16534</w:t>
      </w:r>
      <w:r>
        <w:rPr>
          <w:rFonts w:hint="eastAsia"/>
          <w:lang w:val="en-US" w:eastAsia="zh-CN"/>
        </w:rPr>
        <w:t xml:space="preserve"> </w:t>
      </w:r>
      <w:r>
        <w:rPr>
          <w:rFonts w:hint="eastAsia"/>
        </w:rPr>
        <w:t>精细陶瓷室温硬度试验方法</w:t>
      </w:r>
      <w:r>
        <w:rPr>
          <w:rFonts w:hint="eastAsia"/>
        </w:rPr>
        <w:fldChar w:fldCharType="end"/>
      </w:r>
    </w:p>
    <w:p>
      <w:pPr>
        <w:pStyle w:val="24"/>
        <w:rPr>
          <w:rFonts w:hint="default" w:eastAsia="宋体"/>
          <w:color w:val="000000" w:themeColor="text1"/>
          <w:highlight w:val="none"/>
          <w:lang w:val="en-US" w:eastAsia="zh-CN"/>
          <w14:textFill>
            <w14:solidFill>
              <w14:schemeClr w14:val="tx1"/>
            </w14:solidFill>
          </w14:textFill>
        </w:rPr>
      </w:pPr>
      <w:r>
        <w:rPr>
          <w:rFonts w:hint="default" w:eastAsia="宋体"/>
          <w:color w:val="000000" w:themeColor="text1"/>
          <w:highlight w:val="none"/>
          <w:lang w:val="en-US" w:eastAsia="zh-CN"/>
          <w14:textFill>
            <w14:solidFill>
              <w14:schemeClr w14:val="tx1"/>
            </w14:solidFill>
          </w14:textFill>
        </w:rPr>
        <w:fldChar w:fldCharType="begin"/>
      </w:r>
      <w:r>
        <w:rPr>
          <w:rFonts w:hint="default" w:eastAsia="宋体"/>
          <w:color w:val="000000" w:themeColor="text1"/>
          <w:highlight w:val="none"/>
          <w:lang w:val="en-US" w:eastAsia="zh-CN"/>
          <w14:textFill>
            <w14:solidFill>
              <w14:schemeClr w14:val="tx1"/>
            </w14:solidFill>
          </w14:textFill>
        </w:rPr>
        <w:instrText xml:space="preserve"> HYPERLINK "http://www.baidu.com/link?url=bWr8XCF5QurasRG2-w8QRUxQ7HVgSC4LHm8_XgunZAfudGAZhgiZs3tMNk-uyh64umCiHdLWkunwLxvOAGTDUq" \t "https://www.baidu.com/_blank" </w:instrText>
      </w:r>
      <w:r>
        <w:rPr>
          <w:rFonts w:hint="default" w:eastAsia="宋体"/>
          <w:color w:val="000000" w:themeColor="text1"/>
          <w:highlight w:val="none"/>
          <w:lang w:val="en-US" w:eastAsia="zh-CN"/>
          <w14:textFill>
            <w14:solidFill>
              <w14:schemeClr w14:val="tx1"/>
            </w14:solidFill>
          </w14:textFill>
        </w:rPr>
        <w:fldChar w:fldCharType="separate"/>
      </w:r>
      <w:r>
        <w:rPr>
          <w:rFonts w:hint="default" w:eastAsia="宋体"/>
          <w:color w:val="000000" w:themeColor="text1"/>
          <w:highlight w:val="none"/>
          <w:lang w:val="en-US" w:eastAsia="zh-CN"/>
          <w14:textFill>
            <w14:solidFill>
              <w14:schemeClr w14:val="tx1"/>
            </w14:solidFill>
          </w14:textFill>
        </w:rPr>
        <w:t>GB/T 16535 精细陶瓷线热膨胀系数试验方法 顶杆法</w:t>
      </w:r>
      <w:r>
        <w:rPr>
          <w:rFonts w:hint="default" w:eastAsia="宋体"/>
          <w:color w:val="000000" w:themeColor="text1"/>
          <w:highlight w:val="none"/>
          <w:lang w:val="en-US" w:eastAsia="zh-CN"/>
          <w14:textFill>
            <w14:solidFill>
              <w14:schemeClr w14:val="tx1"/>
            </w14:solidFill>
          </w14:textFill>
        </w:rPr>
        <w:fldChar w:fldCharType="end"/>
      </w:r>
    </w:p>
    <w:p>
      <w:pPr>
        <w:pStyle w:val="24"/>
        <w:rPr>
          <w:rFonts w:hint="default" w:eastAsia="宋体"/>
          <w:color w:val="000000" w:themeColor="text1"/>
          <w:highlight w:val="none"/>
          <w:lang w:val="en-US" w:eastAsia="zh-CN"/>
          <w14:textFill>
            <w14:solidFill>
              <w14:schemeClr w14:val="tx1"/>
            </w14:solidFill>
          </w14:textFill>
        </w:rPr>
      </w:pPr>
      <w:r>
        <w:rPr>
          <w:rFonts w:hint="eastAsia"/>
          <w:szCs w:val="22"/>
          <w:lang w:val="en-US" w:eastAsia="zh-CN"/>
        </w:rPr>
        <w:t>GB/T 1</w:t>
      </w:r>
      <w:r>
        <w:rPr>
          <w:rFonts w:hint="default"/>
          <w:color w:val="000000" w:themeColor="text1"/>
          <w:szCs w:val="20"/>
          <w:highlight w:val="none"/>
          <w:u w:val="none"/>
          <w:lang w:val="en-US" w:eastAsia="zh-CN"/>
          <w14:textFill>
            <w14:solidFill>
              <w14:schemeClr w14:val="tx1"/>
            </w14:solidFill>
          </w14:textFill>
        </w:rPr>
        <w:t xml:space="preserve">7991 </w: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begin"/>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instrText xml:space="preserve"> HYPERLINK "javascript:void(0)" </w:instrText>
      </w:r>
      <w:r>
        <w:rPr>
          <w:rFonts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separate"/>
      </w:r>
      <w:r>
        <w:rPr>
          <w:rStyle w:val="36"/>
          <w:rFonts w:hint="default" w:ascii="宋体" w:hAnsi="Times New Roman" w:eastAsia="宋体" w:cs="Times New Roman"/>
          <w:b w:val="0"/>
          <w:bCs w:val="0"/>
          <w:i w:val="0"/>
          <w:iCs w:val="0"/>
          <w:caps w:val="0"/>
          <w:color w:val="000000" w:themeColor="text1"/>
          <w:spacing w:val="0"/>
          <w:sz w:val="21"/>
          <w:szCs w:val="20"/>
          <w:highlight w:val="none"/>
          <w:u w:val="none"/>
          <w:shd w:val="clear"/>
          <w14:textFill>
            <w14:solidFill>
              <w14:schemeClr w14:val="tx1"/>
            </w14:solidFill>
          </w14:textFill>
        </w:rPr>
        <w:t>精细陶瓷术语</w:t>
      </w:r>
      <w:r>
        <w:rPr>
          <w:rFonts w:hint="default" w:ascii="宋体" w:hAnsi="Times New Roman" w:eastAsia="宋体" w:cs="Times New Roman"/>
          <w:b w:val="0"/>
          <w:bCs w:val="0"/>
          <w:i w:val="0"/>
          <w:iCs w:val="0"/>
          <w:caps w:val="0"/>
          <w:color w:val="000000" w:themeColor="text1"/>
          <w:spacing w:val="0"/>
          <w:sz w:val="21"/>
          <w:szCs w:val="20"/>
          <w:highlight w:val="none"/>
          <w:u w:val="none"/>
          <w:shd w:val="clear" w:fill="auto"/>
          <w14:textFill>
            <w14:solidFill>
              <w14:schemeClr w14:val="tx1"/>
            </w14:solidFill>
          </w14:textFill>
        </w:rPr>
        <w:fldChar w:fldCharType="end"/>
      </w:r>
    </w:p>
    <w:p>
      <w:pPr>
        <w:pStyle w:val="24"/>
        <w:rPr>
          <w:rFonts w:hint="default"/>
          <w:lang w:val="en-US"/>
        </w:rPr>
      </w:pPr>
      <w:r>
        <w:rPr>
          <w:rFonts w:hint="default"/>
          <w:lang w:val="en-US"/>
        </w:rPr>
        <w:t>GB/T</w:t>
      </w:r>
      <w:r>
        <w:rPr>
          <w:rFonts w:hint="eastAsia"/>
          <w:lang w:val="en-US" w:eastAsia="zh-CN"/>
        </w:rPr>
        <w:t xml:space="preserve"> </w:t>
      </w:r>
      <w:r>
        <w:rPr>
          <w:rFonts w:hint="default"/>
          <w:lang w:val="en-US"/>
        </w:rPr>
        <w:t>23806</w:t>
      </w:r>
      <w:r>
        <w:rPr>
          <w:rFonts w:hint="eastAsia"/>
          <w:lang w:val="en-US" w:eastAsia="zh-CN"/>
        </w:rPr>
        <w:t xml:space="preserve"> </w:t>
      </w:r>
      <w:r>
        <w:rPr>
          <w:rFonts w:hint="default"/>
          <w:lang w:val="en-US"/>
        </w:rPr>
        <w:t>精细陶瓷断裂韧性试验方法单边预裂纹梁(SEPB)法</w:t>
      </w:r>
    </w:p>
    <w:p>
      <w:pPr>
        <w:pStyle w:val="24"/>
        <w:rPr>
          <w:rFonts w:hint="eastAsia"/>
          <w:color w:val="auto"/>
          <w:szCs w:val="21"/>
        </w:rPr>
      </w:pPr>
      <w:r>
        <w:rPr>
          <w:rFonts w:hint="eastAsia"/>
          <w:color w:val="auto"/>
          <w:szCs w:val="21"/>
        </w:rPr>
        <w:fldChar w:fldCharType="begin"/>
      </w:r>
      <w:r>
        <w:rPr>
          <w:rFonts w:hint="eastAsia"/>
          <w:color w:val="auto"/>
          <w:szCs w:val="21"/>
        </w:rPr>
        <w:instrText xml:space="preserve"> HYPERLINK "https://www.baidu.com/link?url=XmAUMbkc5skF6yh9tqxO0AfnR3q9XYocXqwKnDNbKs7nv2VzZdBospMbtfpEZ9fIINwyOexbYy3VbtApwI1ud_&amp;wd=&amp;eqid=937a3ca8001a362b00000002643792cd" \t "https://www.baidu.com/_blank" </w:instrText>
      </w:r>
      <w:r>
        <w:rPr>
          <w:rFonts w:hint="eastAsia"/>
          <w:color w:val="auto"/>
          <w:szCs w:val="21"/>
        </w:rPr>
        <w:fldChar w:fldCharType="separate"/>
      </w:r>
      <w:r>
        <w:rPr>
          <w:rFonts w:hint="eastAsia"/>
          <w:color w:val="auto"/>
          <w:szCs w:val="21"/>
        </w:rPr>
        <w:t>GB/T 25995 精细陶瓷密度和显气孔率试验方法</w:t>
      </w:r>
      <w:r>
        <w:rPr>
          <w:rFonts w:hint="eastAsia"/>
          <w:color w:val="auto"/>
          <w:szCs w:val="21"/>
        </w:rPr>
        <w:fldChar w:fldCharType="end"/>
      </w:r>
    </w:p>
    <w:p>
      <w:pPr>
        <w:pStyle w:val="24"/>
        <w:keepNext w:val="0"/>
        <w:keepLines w:val="0"/>
        <w:pageBreakBefore w:val="0"/>
        <w:widowControl/>
        <w:kinsoku/>
        <w:wordWrap/>
        <w:overflowPunct/>
        <w:topLinePunct w:val="0"/>
        <w:autoSpaceDE w:val="0"/>
        <w:autoSpaceDN w:val="0"/>
        <w:bidi w:val="0"/>
        <w:adjustRightInd/>
        <w:snapToGrid/>
        <w:textAlignment w:val="auto"/>
        <w:rPr>
          <w:rFonts w:hint="default" w:ascii="宋体" w:hAnsi="Times New Roman" w:eastAsia="宋体" w:cs="Times New Roman"/>
          <w:b w:val="0"/>
          <w:bCs w:val="0"/>
          <w:i w:val="0"/>
          <w:iCs w:val="0"/>
          <w:caps w:val="0"/>
          <w:color w:val="auto"/>
          <w:spacing w:val="0"/>
          <w:sz w:val="21"/>
          <w:szCs w:val="20"/>
          <w:highlight w:val="none"/>
          <w:u w:val="none"/>
          <w:shd w:val="clear" w:fill="auto"/>
          <w:lang w:val="en-US"/>
        </w:rPr>
      </w:pPr>
      <w:r>
        <w:rPr>
          <w:rFonts w:hint="eastAsia"/>
          <w:color w:val="000000" w:themeColor="text1"/>
          <w:highlight w:val="none"/>
          <w:lang w:val="en-US" w:eastAsia="zh-CN"/>
          <w14:textFill>
            <w14:solidFill>
              <w14:schemeClr w14:val="tx1"/>
            </w14:solidFill>
          </w14:textFill>
        </w:rPr>
        <w:t>GB/T 30902 无机化工产品 杂质元素的测定 电感耦合等离子体发射光谱法</w:t>
      </w:r>
    </w:p>
    <w:p>
      <w:pPr>
        <w:pStyle w:val="24"/>
        <w:rPr>
          <w:rFonts w:hint="eastAsia"/>
          <w:color w:val="auto"/>
          <w:szCs w:val="21"/>
        </w:rPr>
      </w:pPr>
    </w:p>
    <w:p>
      <w:pPr>
        <w:pStyle w:val="49"/>
      </w:pPr>
      <w:r>
        <w:rPr>
          <w:rFonts w:hint="eastAsia"/>
        </w:rPr>
        <w:t>术语和定义</w:t>
      </w:r>
    </w:p>
    <w:p>
      <w:pPr>
        <w:pStyle w:val="24"/>
        <w:rPr>
          <w:rFonts w:hint="eastAsia"/>
        </w:rPr>
      </w:pPr>
      <w:r>
        <w:rPr>
          <w:rFonts w:hint="eastAsia"/>
          <w:szCs w:val="22"/>
          <w:lang w:val="en-US" w:eastAsia="zh-CN"/>
        </w:rPr>
        <w:t>GB/T 17991、</w:t>
      </w:r>
      <w:bookmarkStart w:id="13" w:name="dttl"/>
      <w:r>
        <w:rPr>
          <w:rFonts w:hint="eastAsia" w:ascii="宋体" w:hAnsi="宋体" w:eastAsia="宋体" w:cs="宋体"/>
          <w:color w:val="000000"/>
          <w:kern w:val="0"/>
          <w:sz w:val="21"/>
          <w:szCs w:val="21"/>
          <w:lang w:val="en-US" w:eastAsia="zh-CN"/>
        </w:rPr>
        <w:t>GB/T 15463</w:t>
      </w:r>
      <w:r>
        <w:rPr>
          <w:rFonts w:hint="eastAsia" w:hAnsi="宋体" w:cs="宋体"/>
          <w:color w:val="000000"/>
          <w:kern w:val="0"/>
          <w:sz w:val="21"/>
          <w:szCs w:val="21"/>
          <w:lang w:val="en-US" w:eastAsia="zh-CN"/>
        </w:rPr>
        <w:t>、</w:t>
      </w:r>
      <w:r>
        <w:rPr>
          <w:rFonts w:hint="eastAsia"/>
          <w:szCs w:val="22"/>
          <w:lang w:val="en-US" w:eastAsia="zh-CN"/>
        </w:rPr>
        <w:t xml:space="preserve"> </w:t>
      </w:r>
      <w:r>
        <w:rPr>
          <w:rFonts w:hint="eastAsia"/>
          <w:szCs w:val="22"/>
          <w:lang w:val="en-US" w:eastAsia="zh-CN"/>
        </w:rPr>
        <w:fldChar w:fldCharType="begin"/>
      </w:r>
      <w:r>
        <w:rPr>
          <w:rFonts w:hint="eastAsia"/>
          <w:szCs w:val="22"/>
          <w:lang w:val="en-US" w:eastAsia="zh-CN"/>
        </w:rPr>
        <w:instrText xml:space="preserve"> HYPERLINK "https://www.sogou.com/link?url=DSOYnZeCC_qeydi8L0jQ9jNeRfAMNaa_ycqivIvkGT1fvBhWxX5VEzh3ZfoXRJBg" \t "https://www.sogou.com/_blank" </w:instrText>
      </w:r>
      <w:r>
        <w:rPr>
          <w:rFonts w:hint="eastAsia"/>
          <w:szCs w:val="22"/>
          <w:lang w:val="en-US" w:eastAsia="zh-CN"/>
        </w:rPr>
        <w:fldChar w:fldCharType="separate"/>
      </w:r>
      <w:bookmarkEnd w:id="13"/>
      <w:r>
        <w:rPr>
          <w:rFonts w:hint="eastAsia"/>
          <w:szCs w:val="22"/>
          <w:lang w:val="en-US" w:eastAsia="zh-CN"/>
        </w:rPr>
        <w:t>GB/T 10623和GB/T 1410界定</w:t>
      </w:r>
      <w:r>
        <w:rPr>
          <w:rFonts w:hint="default"/>
          <w:szCs w:val="22"/>
          <w:lang w:val="en-US" w:eastAsia="zh-CN"/>
        </w:rPr>
        <w:fldChar w:fldCharType="end"/>
      </w:r>
      <w:r>
        <w:rPr>
          <w:rFonts w:hint="eastAsia"/>
          <w:szCs w:val="22"/>
          <w:lang w:val="en-US" w:eastAsia="zh-CN"/>
        </w:rPr>
        <w:t>的术语和定义适用于本文件</w:t>
      </w:r>
      <w:r>
        <w:rPr>
          <w:rFonts w:hint="eastAsia"/>
        </w:rPr>
        <w:t>。</w:t>
      </w:r>
    </w:p>
    <w:p>
      <w:pPr>
        <w:pStyle w:val="49"/>
        <w:rPr>
          <w:rFonts w:hint="eastAsia"/>
        </w:rPr>
      </w:pPr>
      <w:r>
        <w:rPr>
          <w:rFonts w:hint="eastAsia"/>
        </w:rPr>
        <w:t>分类</w:t>
      </w:r>
    </w:p>
    <w:p>
      <w:pPr>
        <w:pStyle w:val="24"/>
        <w:rPr>
          <w:rFonts w:hint="eastAsia"/>
        </w:rPr>
      </w:pPr>
      <w:r>
        <w:rPr>
          <w:rFonts w:hint="eastAsia"/>
          <w:lang w:val="en-US" w:eastAsia="zh-CN"/>
        </w:rPr>
        <w:t>产品</w:t>
      </w:r>
      <w:r>
        <w:rPr>
          <w:rFonts w:hint="eastAsia"/>
        </w:rPr>
        <w:t>按照</w:t>
      </w:r>
      <w:r>
        <w:rPr>
          <w:rFonts w:hint="eastAsia"/>
          <w:lang w:val="en-US" w:eastAsia="zh-CN"/>
        </w:rPr>
        <w:t>用途</w:t>
      </w:r>
      <w:r>
        <w:rPr>
          <w:rFonts w:hint="eastAsia"/>
        </w:rPr>
        <w:t>分为</w:t>
      </w:r>
      <w:r>
        <w:rPr>
          <w:rFonts w:hint="eastAsia"/>
          <w:lang w:val="en-US" w:eastAsia="zh-CN"/>
        </w:rPr>
        <w:t>氮化硅绝缘环、氮化硅尾气罩和氮化硅喷嘴</w:t>
      </w:r>
      <w:r>
        <w:rPr>
          <w:rFonts w:hint="eastAsia"/>
        </w:rPr>
        <w:t>。</w:t>
      </w:r>
    </w:p>
    <w:p>
      <w:pPr>
        <w:pStyle w:val="49"/>
        <w:rPr>
          <w:rFonts w:hint="eastAsia"/>
        </w:rPr>
      </w:pPr>
      <w:r>
        <w:rPr>
          <w:rFonts w:hint="eastAsia"/>
        </w:rPr>
        <w:t>技术要求</w:t>
      </w:r>
    </w:p>
    <w:p>
      <w:pPr>
        <w:pStyle w:val="46"/>
        <w:ind w:left="0"/>
      </w:pPr>
      <w:r>
        <w:rPr>
          <w:rFonts w:hint="eastAsia"/>
        </w:rPr>
        <w:t>外观</w:t>
      </w:r>
    </w:p>
    <w:p>
      <w:pPr>
        <w:pStyle w:val="24"/>
        <w:rPr>
          <w:rFonts w:hint="eastAsia"/>
        </w:rPr>
      </w:pPr>
      <w:r>
        <w:rPr>
          <w:rFonts w:hint="eastAsia"/>
          <w:lang w:val="en-US" w:eastAsia="zh-CN"/>
        </w:rPr>
        <w:t>多晶硅还原炉用氮化硅制品表观要求为色泽均匀的黑色/深灰色完整结构件，不允许存在肉眼可见裂纹，不应有尺寸大于5mm的斑点，每平方厘米上小于5mm的斑点数量不应大于2个，崩缺尺寸不应大于2mm</w:t>
      </w:r>
      <w:r>
        <w:rPr>
          <w:rFonts w:hint="eastAsia"/>
        </w:rPr>
        <w:t>。</w:t>
      </w:r>
    </w:p>
    <w:p>
      <w:pPr>
        <w:pStyle w:val="4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rPr>
      </w:pPr>
      <w:bookmarkStart w:id="14" w:name="_Toc58915727"/>
      <w:bookmarkStart w:id="15" w:name="_Toc41299123"/>
      <w:r>
        <w:rPr>
          <w:rFonts w:hint="eastAsia"/>
          <w:lang w:val="en-US" w:eastAsia="zh-CN"/>
        </w:rPr>
        <w:t>尺寸</w:t>
      </w:r>
    </w:p>
    <w:p>
      <w:pPr>
        <w:pStyle w:val="24"/>
      </w:pPr>
      <w:r>
        <w:rPr>
          <w:rFonts w:hint="eastAsia"/>
          <w:lang w:val="en-US" w:eastAsia="zh-CN"/>
        </w:rPr>
        <w:t>多晶硅还原炉用氮化硅制品为按图加工结构件</w:t>
      </w:r>
      <w:r>
        <w:rPr>
          <w:rFonts w:hint="eastAsia"/>
        </w:rPr>
        <w:t>。</w:t>
      </w:r>
    </w:p>
    <w:p>
      <w:pPr>
        <w:pStyle w:val="4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hAnsi="Times New Roman" w:cs="Times New Roman"/>
        </w:rPr>
      </w:pPr>
      <w:r>
        <w:rPr>
          <w:rFonts w:hint="eastAsia" w:hAnsi="Times New Roman" w:cs="Times New Roman"/>
          <w:lang w:val="en-US" w:eastAsia="zh-CN"/>
        </w:rPr>
        <w:t>技术指标</w:t>
      </w:r>
    </w:p>
    <w:p>
      <w:pPr>
        <w:pStyle w:val="24"/>
        <w:rPr>
          <w:rFonts w:hint="eastAsia"/>
          <w:lang w:val="en-US" w:eastAsia="zh-CN"/>
        </w:rPr>
      </w:pPr>
      <w:r>
        <w:rPr>
          <w:rFonts w:hint="eastAsia"/>
          <w:lang w:val="en-US" w:eastAsia="zh-CN"/>
        </w:rPr>
        <w:t>多晶硅还原炉用</w:t>
      </w:r>
      <w:r>
        <w:rPr>
          <w:rFonts w:hint="eastAsia"/>
        </w:rPr>
        <w:t>氮化硅</w:t>
      </w:r>
      <w:r>
        <w:rPr>
          <w:rFonts w:hint="eastAsia"/>
          <w:lang w:val="en-US" w:eastAsia="zh-CN"/>
        </w:rPr>
        <w:t>陶瓷制品对应技术指标要求见表1。</w:t>
      </w:r>
    </w:p>
    <w:p>
      <w:pPr>
        <w:pStyle w:val="24"/>
        <w:jc w:val="center"/>
        <w:rPr>
          <w:rFonts w:hint="eastAsia"/>
          <w:lang w:val="en-US" w:eastAsia="zh-CN"/>
        </w:rPr>
      </w:pPr>
    </w:p>
    <w:p>
      <w:pPr>
        <w:pStyle w:val="24"/>
        <w:jc w:val="center"/>
        <w:rPr>
          <w:rFonts w:hint="eastAsia"/>
          <w:lang w:val="en-US" w:eastAsia="zh-CN"/>
        </w:rPr>
      </w:pPr>
    </w:p>
    <w:p>
      <w:pPr>
        <w:pStyle w:val="24"/>
        <w:jc w:val="center"/>
        <w:rPr>
          <w:rFonts w:hint="default"/>
          <w:highlight w:val="green"/>
          <w:lang w:val="en-US" w:eastAsia="zh-CN"/>
        </w:rPr>
      </w:pPr>
      <w:r>
        <w:rPr>
          <w:rFonts w:hint="eastAsia"/>
          <w:highlight w:val="none"/>
          <w:lang w:val="en-US" w:eastAsia="zh-CN"/>
        </w:rPr>
        <w:t>表1 多晶硅还原炉用</w:t>
      </w:r>
      <w:r>
        <w:rPr>
          <w:rFonts w:hint="eastAsia"/>
          <w:highlight w:val="none"/>
        </w:rPr>
        <w:t>氮化硅</w:t>
      </w:r>
      <w:r>
        <w:rPr>
          <w:rFonts w:hint="eastAsia"/>
          <w:highlight w:val="none"/>
          <w:lang w:val="en-US" w:eastAsia="zh-CN"/>
        </w:rPr>
        <w:t>陶瓷制品理化指标</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1"/>
        <w:gridCol w:w="2776"/>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项目</w:t>
            </w:r>
          </w:p>
        </w:tc>
        <w:tc>
          <w:tcPr>
            <w:tcW w:w="1450" w:type="pct"/>
            <w:noWrap w:val="0"/>
            <w:vAlign w:val="center"/>
          </w:tcPr>
          <w:p>
            <w:pPr>
              <w:pStyle w:val="24"/>
              <w:ind w:left="0" w:leftChars="0" w:firstLine="0" w:firstLineChars="0"/>
              <w:jc w:val="center"/>
              <w:rPr>
                <w:rFonts w:hint="eastAsia" w:ascii="宋体" w:hAnsi="Times New Roman" w:eastAsia="宋体" w:cs="Times New Roman"/>
                <w:color w:val="000000"/>
                <w:sz w:val="18"/>
                <w:szCs w:val="18"/>
                <w:vertAlign w:val="baseline"/>
                <w:lang w:val="en-US" w:eastAsia="zh-CN" w:bidi="ar-SA"/>
              </w:rPr>
            </w:pPr>
            <w:r>
              <w:rPr>
                <w:rFonts w:hint="eastAsia"/>
                <w:color w:val="000000"/>
                <w:sz w:val="18"/>
                <w:szCs w:val="18"/>
                <w:vertAlign w:val="baseline"/>
                <w:lang w:val="en-US" w:eastAsia="zh-CN"/>
              </w:rPr>
              <w:t>指标</w:t>
            </w:r>
          </w:p>
        </w:tc>
        <w:tc>
          <w:tcPr>
            <w:tcW w:w="1473" w:type="pct"/>
            <w:noWrap w:val="0"/>
            <w:vAlign w:val="center"/>
          </w:tcPr>
          <w:p>
            <w:pPr>
              <w:pStyle w:val="24"/>
              <w:ind w:left="0" w:leftChars="0" w:firstLine="0" w:firstLineChars="0"/>
              <w:jc w:val="center"/>
              <w:rPr>
                <w:rFonts w:hint="default"/>
                <w:color w:val="000000"/>
                <w:sz w:val="18"/>
                <w:szCs w:val="18"/>
                <w:vertAlign w:val="baseline"/>
                <w:lang w:val="en-US" w:eastAsia="zh-CN"/>
              </w:rPr>
            </w:pPr>
            <w:r>
              <w:rPr>
                <w:rFonts w:hint="eastAsia"/>
                <w:color w:val="000000"/>
                <w:sz w:val="18"/>
                <w:szCs w:val="1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eastAsia" w:eastAsia="宋体"/>
                <w:color w:val="000000"/>
                <w:sz w:val="18"/>
                <w:szCs w:val="18"/>
                <w:vertAlign w:val="baseline"/>
                <w:lang w:eastAsia="zh-CN"/>
              </w:rPr>
            </w:pPr>
            <w:r>
              <w:rPr>
                <w:rFonts w:hint="eastAsia"/>
                <w:color w:val="000000"/>
                <w:sz w:val="18"/>
                <w:szCs w:val="18"/>
              </w:rPr>
              <w:t>密度</w:t>
            </w:r>
            <w:r>
              <w:rPr>
                <w:rFonts w:hint="eastAsia"/>
                <w:color w:val="000000"/>
                <w:sz w:val="18"/>
                <w:szCs w:val="18"/>
                <w:lang w:val="en-US" w:eastAsia="zh-CN"/>
              </w:rPr>
              <w:t xml:space="preserve"> （≥）</w:t>
            </w:r>
          </w:p>
        </w:tc>
        <w:tc>
          <w:tcPr>
            <w:tcW w:w="1450" w:type="pct"/>
            <w:noWrap w:val="0"/>
            <w:vAlign w:val="center"/>
          </w:tcPr>
          <w:p>
            <w:pPr>
              <w:pStyle w:val="24"/>
              <w:ind w:firstLine="0" w:firstLineChars="0"/>
              <w:jc w:val="center"/>
              <w:rPr>
                <w:rFonts w:hint="default" w:ascii="宋体" w:hAnsi="Times New Roman" w:eastAsia="宋体" w:cs="Times New Roman"/>
                <w:color w:val="000000"/>
                <w:sz w:val="18"/>
                <w:szCs w:val="18"/>
                <w:vertAlign w:val="baseline"/>
                <w:lang w:val="en-US" w:eastAsia="zh-CN" w:bidi="ar-SA"/>
              </w:rPr>
            </w:pPr>
            <w:r>
              <w:rPr>
                <w:rFonts w:hint="eastAsia"/>
                <w:color w:val="000000"/>
                <w:sz w:val="18"/>
                <w:szCs w:val="18"/>
                <w:lang w:val="en-US" w:eastAsia="zh-CN"/>
              </w:rPr>
              <w:t>3.0-3.4</w:t>
            </w:r>
          </w:p>
        </w:tc>
        <w:tc>
          <w:tcPr>
            <w:tcW w:w="1473" w:type="pct"/>
            <w:noWrap w:val="0"/>
            <w:vAlign w:val="center"/>
          </w:tcPr>
          <w:p>
            <w:pPr>
              <w:pStyle w:val="24"/>
              <w:ind w:firstLine="0" w:firstLineChars="0"/>
              <w:jc w:val="center"/>
              <w:rPr>
                <w:rFonts w:hint="eastAsia"/>
                <w:color w:val="000000"/>
                <w:sz w:val="18"/>
                <w:szCs w:val="18"/>
                <w:lang w:val="en-US" w:eastAsia="zh-CN"/>
              </w:rPr>
            </w:pPr>
            <w:r>
              <w:rPr>
                <w:rFonts w:hint="eastAsia"/>
                <w:color w:val="000000"/>
                <w:sz w:val="18"/>
                <w:szCs w:val="18"/>
                <w:lang w:val="en-US" w:eastAsia="zh-CN"/>
              </w:rPr>
              <w:t xml:space="preserve"> </w:t>
            </w:r>
            <w:r>
              <w:rPr>
                <w:rFonts w:hint="eastAsia"/>
                <w:color w:val="000000"/>
                <w:sz w:val="18"/>
                <w:szCs w:val="18"/>
              </w:rPr>
              <w:t>g/</w:t>
            </w:r>
            <w:r>
              <w:rPr>
                <w:rFonts w:hint="eastAsia"/>
                <w:color w:val="000000"/>
                <w:sz w:val="18"/>
                <w:szCs w:val="18"/>
                <w:lang w:val="en-US" w:eastAsia="zh-CN"/>
              </w:rPr>
              <w:t>c</w:t>
            </w:r>
            <w:r>
              <w:rPr>
                <w:rFonts w:hint="eastAsia"/>
                <w:color w:val="000000"/>
                <w:sz w:val="18"/>
                <w:szCs w:val="18"/>
              </w:rPr>
              <w:t>m</w:t>
            </w:r>
            <w:r>
              <w:rPr>
                <w:rFonts w:hint="eastAsia" w:cs="宋体"/>
                <w:color w:val="000000"/>
                <w:sz w:val="18"/>
                <w:szCs w:val="18"/>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sz w:val="18"/>
                <w:szCs w:val="18"/>
                <w:lang w:val="en-US" w:eastAsia="zh-CN"/>
              </w:rPr>
              <w:t>三点抗弯强度 （≥）</w:t>
            </w:r>
          </w:p>
        </w:tc>
        <w:tc>
          <w:tcPr>
            <w:tcW w:w="1450" w:type="pct"/>
            <w:noWrap w:val="0"/>
            <w:vAlign w:val="center"/>
          </w:tcPr>
          <w:p>
            <w:pPr>
              <w:pStyle w:val="24"/>
              <w:ind w:firstLine="0" w:firstLineChars="0"/>
              <w:jc w:val="center"/>
              <w:rPr>
                <w:rFonts w:hint="default" w:ascii="宋体" w:hAnsi="Times New Roman" w:eastAsia="宋体" w:cs="Times New Roman"/>
                <w:color w:val="000000"/>
                <w:sz w:val="18"/>
                <w:szCs w:val="18"/>
                <w:vertAlign w:val="baseline"/>
                <w:lang w:val="en-US" w:eastAsia="zh-CN" w:bidi="ar-SA"/>
              </w:rPr>
            </w:pPr>
            <w:r>
              <w:rPr>
                <w:rFonts w:hint="eastAsia"/>
                <w:color w:val="000000"/>
                <w:sz w:val="18"/>
                <w:szCs w:val="18"/>
                <w:lang w:val="en-US" w:eastAsia="zh-CN"/>
              </w:rPr>
              <w:t>600</w:t>
            </w:r>
          </w:p>
        </w:tc>
        <w:tc>
          <w:tcPr>
            <w:tcW w:w="1473" w:type="pct"/>
            <w:noWrap w:val="0"/>
            <w:vAlign w:val="center"/>
          </w:tcPr>
          <w:p>
            <w:pPr>
              <w:pStyle w:val="24"/>
              <w:ind w:firstLine="0" w:firstLineChars="0"/>
              <w:jc w:val="center"/>
              <w:rPr>
                <w:rFonts w:hint="eastAsia"/>
                <w:color w:val="000000"/>
                <w:sz w:val="18"/>
                <w:szCs w:val="18"/>
                <w:lang w:val="en-US" w:eastAsia="zh-CN"/>
              </w:rPr>
            </w:pPr>
            <w:r>
              <w:rPr>
                <w:rFonts w:hint="eastAsia"/>
                <w:color w:val="000000"/>
                <w:sz w:val="18"/>
                <w:szCs w:val="18"/>
                <w:lang w:val="en-US" w:eastAsia="zh-CN"/>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sz w:val="18"/>
                <w:szCs w:val="18"/>
                <w:lang w:val="en-US" w:eastAsia="zh-CN"/>
              </w:rPr>
              <w:t>体积电阻率（≥）</w:t>
            </w:r>
          </w:p>
        </w:tc>
        <w:tc>
          <w:tcPr>
            <w:tcW w:w="1450" w:type="pct"/>
            <w:noWrap w:val="0"/>
            <w:vAlign w:val="center"/>
          </w:tcPr>
          <w:p>
            <w:pPr>
              <w:pStyle w:val="24"/>
              <w:ind w:left="0" w:leftChars="0" w:firstLine="0" w:firstLineChars="0"/>
              <w:jc w:val="center"/>
              <w:rPr>
                <w:rFonts w:hint="eastAsia" w:ascii="宋体" w:hAnsi="Times New Roman" w:eastAsia="宋体" w:cs="Times New Roman"/>
                <w:color w:val="000000"/>
                <w:sz w:val="18"/>
                <w:szCs w:val="18"/>
                <w:vertAlign w:val="baseline"/>
                <w:lang w:val="en-US" w:eastAsia="zh-CN" w:bidi="ar-SA"/>
              </w:rPr>
            </w:pPr>
            <w:r>
              <w:rPr>
                <w:rFonts w:hint="eastAsia"/>
                <w:color w:val="000000"/>
                <w:sz w:val="18"/>
                <w:szCs w:val="18"/>
                <w:lang w:val="en-US" w:eastAsia="zh-CN"/>
              </w:rPr>
              <w:t>10</w:t>
            </w:r>
            <w:r>
              <w:rPr>
                <w:rFonts w:hint="eastAsia"/>
                <w:color w:val="000000"/>
                <w:sz w:val="18"/>
                <w:szCs w:val="18"/>
                <w:vertAlign w:val="superscript"/>
                <w:lang w:val="en-US" w:eastAsia="zh-CN"/>
              </w:rPr>
              <w:t>14</w:t>
            </w:r>
          </w:p>
        </w:tc>
        <w:tc>
          <w:tcPr>
            <w:tcW w:w="1473" w:type="pct"/>
            <w:noWrap w:val="0"/>
            <w:vAlign w:val="center"/>
          </w:tcPr>
          <w:p>
            <w:pPr>
              <w:pStyle w:val="24"/>
              <w:ind w:left="0" w:leftChars="0" w:firstLine="0" w:firstLineChars="0"/>
              <w:jc w:val="center"/>
              <w:rPr>
                <w:rFonts w:hint="eastAsia"/>
                <w:color w:val="000000"/>
                <w:sz w:val="18"/>
                <w:szCs w:val="18"/>
                <w:lang w:val="en-US" w:eastAsia="zh-CN"/>
              </w:rPr>
            </w:pPr>
            <w:r>
              <w:rPr>
                <w:rFonts w:hint="eastAsia"/>
                <w:color w:val="000000"/>
                <w:sz w:val="18"/>
                <w:szCs w:val="18"/>
                <w:lang w:val="en-US" w:eastAsia="zh-CN"/>
              </w:rPr>
              <w:t>Ω·cm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eastAsia="宋体"/>
                <w:color w:val="000000"/>
                <w:sz w:val="18"/>
                <w:szCs w:val="18"/>
                <w:vertAlign w:val="baseline"/>
                <w:lang w:val="en-US" w:eastAsia="zh-CN"/>
              </w:rPr>
            </w:pPr>
            <w:r>
              <w:rPr>
                <w:rFonts w:hint="eastAsia"/>
                <w:color w:val="000000" w:themeColor="text1"/>
                <w:sz w:val="18"/>
                <w:szCs w:val="18"/>
                <w:lang w:val="en-US" w:eastAsia="zh-CN"/>
                <w14:textFill>
                  <w14:solidFill>
                    <w14:schemeClr w14:val="tx1"/>
                  </w14:solidFill>
                </w14:textFill>
              </w:rPr>
              <w:t>击穿强度</w:t>
            </w:r>
            <w:r>
              <w:rPr>
                <w:rFonts w:hint="eastAsia"/>
                <w:color w:val="000000"/>
                <w:sz w:val="18"/>
                <w:szCs w:val="18"/>
                <w:lang w:val="en-US" w:eastAsia="zh-CN"/>
              </w:rPr>
              <w:t>（＞）</w:t>
            </w:r>
          </w:p>
        </w:tc>
        <w:tc>
          <w:tcPr>
            <w:tcW w:w="1450" w:type="pct"/>
            <w:noWrap w:val="0"/>
            <w:vAlign w:val="center"/>
          </w:tcPr>
          <w:p>
            <w:pPr>
              <w:pStyle w:val="24"/>
              <w:ind w:left="0" w:leftChars="0" w:firstLine="0" w:firstLineChars="0"/>
              <w:jc w:val="center"/>
              <w:rPr>
                <w:rFonts w:hint="eastAsia" w:ascii="宋体" w:hAnsi="Times New Roman" w:eastAsia="宋体" w:cs="Times New Roman"/>
                <w:color w:val="000000"/>
                <w:sz w:val="18"/>
                <w:szCs w:val="18"/>
                <w:vertAlign w:val="baseline"/>
                <w:lang w:val="en-US" w:eastAsia="zh-CN" w:bidi="ar-SA"/>
              </w:rPr>
            </w:pPr>
            <w:r>
              <w:rPr>
                <w:rFonts w:hint="eastAsia"/>
                <w:color w:val="000000"/>
                <w:sz w:val="18"/>
                <w:szCs w:val="18"/>
                <w:lang w:val="en-US" w:eastAsia="zh-CN"/>
              </w:rPr>
              <w:t>1</w:t>
            </w:r>
            <w:r>
              <w:rPr>
                <w:rFonts w:hint="eastAsia"/>
                <w:color w:val="000000"/>
                <w:sz w:val="18"/>
                <w:szCs w:val="18"/>
              </w:rPr>
              <w:t>0</w:t>
            </w:r>
          </w:p>
        </w:tc>
        <w:tc>
          <w:tcPr>
            <w:tcW w:w="1473" w:type="pct"/>
            <w:noWrap w:val="0"/>
            <w:vAlign w:val="center"/>
          </w:tcPr>
          <w:p>
            <w:pPr>
              <w:pStyle w:val="24"/>
              <w:ind w:left="0" w:leftChars="0" w:firstLine="0" w:firstLineChars="0"/>
              <w:jc w:val="center"/>
              <w:rPr>
                <w:rFonts w:hint="eastAsia"/>
                <w:color w:val="000000"/>
                <w:sz w:val="18"/>
                <w:szCs w:val="18"/>
                <w:lang w:val="en-US" w:eastAsia="zh-CN"/>
              </w:rPr>
            </w:pPr>
            <w:r>
              <w:rPr>
                <w:rFonts w:hint="eastAsia"/>
                <w:color w:val="000000" w:themeColor="text1"/>
                <w:sz w:val="18"/>
                <w:szCs w:val="18"/>
                <w:lang w:val="en-US" w:eastAsia="zh-CN"/>
                <w14:textFill>
                  <w14:solidFill>
                    <w14:schemeClr w14:val="tx1"/>
                  </w14:solidFill>
                </w14:textFill>
              </w:rPr>
              <w:t>kV/mm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eastAsia="宋体"/>
                <w:color w:val="000000"/>
                <w:sz w:val="18"/>
                <w:szCs w:val="18"/>
                <w:lang w:val="en-US" w:eastAsia="zh-CN"/>
              </w:rPr>
            </w:pPr>
            <w:r>
              <w:rPr>
                <w:rFonts w:hint="eastAsia"/>
                <w:color w:val="000000"/>
                <w:sz w:val="18"/>
                <w:szCs w:val="18"/>
                <w:lang w:val="en-US" w:eastAsia="zh-CN"/>
              </w:rPr>
              <w:t>线膨胀系数（RT-500）（</w:t>
            </w:r>
            <w:r>
              <w:rPr>
                <w:rFonts w:hint="eastAsia"/>
                <w:color w:val="000000"/>
                <w:sz w:val="18"/>
                <w:szCs w:val="18"/>
                <w:vertAlign w:val="baseline"/>
                <w:lang w:val="en-US" w:eastAsia="zh-CN"/>
              </w:rPr>
              <w:t>≤</w:t>
            </w:r>
            <w:r>
              <w:rPr>
                <w:rFonts w:hint="eastAsia"/>
                <w:color w:val="000000"/>
                <w:sz w:val="18"/>
                <w:szCs w:val="18"/>
                <w:lang w:val="en-US" w:eastAsia="zh-CN"/>
              </w:rPr>
              <w:t>）</w:t>
            </w:r>
          </w:p>
        </w:tc>
        <w:tc>
          <w:tcPr>
            <w:tcW w:w="1450" w:type="pct"/>
            <w:noWrap w:val="0"/>
            <w:vAlign w:val="center"/>
          </w:tcPr>
          <w:p>
            <w:pPr>
              <w:pStyle w:val="24"/>
              <w:ind w:left="0" w:leftChars="0" w:firstLine="0" w:firstLineChars="0"/>
              <w:jc w:val="center"/>
              <w:rPr>
                <w:rFonts w:hint="eastAsia" w:ascii="宋体" w:hAnsi="Times New Roman" w:eastAsia="宋体" w:cs="Times New Roman"/>
                <w:color w:val="000000"/>
                <w:sz w:val="18"/>
                <w:szCs w:val="18"/>
                <w:vertAlign w:val="baseline"/>
                <w:lang w:val="en-US" w:eastAsia="zh-CN" w:bidi="ar-SA"/>
              </w:rPr>
            </w:pPr>
            <w:r>
              <w:rPr>
                <w:rFonts w:hint="eastAsia"/>
                <w:color w:val="000000"/>
                <w:sz w:val="18"/>
                <w:szCs w:val="18"/>
                <w:vertAlign w:val="baseline"/>
                <w:lang w:val="en-US" w:eastAsia="zh-CN"/>
              </w:rPr>
              <w:t>3.4</w:t>
            </w:r>
          </w:p>
        </w:tc>
        <w:tc>
          <w:tcPr>
            <w:tcW w:w="1473" w:type="pct"/>
            <w:noWrap w:val="0"/>
            <w:vAlign w:val="center"/>
          </w:tcPr>
          <w:p>
            <w:pPr>
              <w:pStyle w:val="24"/>
              <w:ind w:left="0" w:leftChars="0" w:firstLine="0" w:firstLineChars="0"/>
              <w:jc w:val="center"/>
              <w:rPr>
                <w:rFonts w:hint="eastAsia"/>
                <w:color w:val="000000"/>
                <w:sz w:val="18"/>
                <w:szCs w:val="18"/>
                <w:vertAlign w:val="baseline"/>
                <w:lang w:val="en-US" w:eastAsia="zh-CN"/>
              </w:rPr>
            </w:pPr>
            <w:r>
              <w:rPr>
                <w:rFonts w:hint="eastAsia"/>
                <w:color w:val="000000"/>
                <w:sz w:val="18"/>
                <w:szCs w:val="18"/>
                <w:lang w:val="en-US" w:eastAsia="zh-CN"/>
              </w:rPr>
              <w:t>*10</w:t>
            </w:r>
            <w:r>
              <w:rPr>
                <w:rFonts w:hint="eastAsia"/>
                <w:color w:val="000000"/>
                <w:sz w:val="18"/>
                <w:szCs w:val="18"/>
                <w:vertAlign w:val="superscript"/>
                <w:lang w:val="en-US" w:eastAsia="zh-CN"/>
              </w:rPr>
              <w:t>-6</w:t>
            </w:r>
            <w:r>
              <w:rPr>
                <w:rFonts w:hint="eastAsia"/>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维氏硬度（≥）</w:t>
            </w:r>
          </w:p>
        </w:tc>
        <w:tc>
          <w:tcPr>
            <w:tcW w:w="1450" w:type="pct"/>
            <w:noWrap w:val="0"/>
            <w:vAlign w:val="center"/>
          </w:tcPr>
          <w:p>
            <w:pPr>
              <w:pStyle w:val="24"/>
              <w:ind w:left="0" w:leftChars="0" w:firstLine="0" w:firstLineChars="0"/>
              <w:jc w:val="center"/>
              <w:rPr>
                <w:rFonts w:hint="eastAsia" w:ascii="宋体" w:hAnsi="Times New Roman" w:eastAsia="宋体" w:cs="Times New Roman"/>
                <w:color w:val="000000"/>
                <w:sz w:val="18"/>
                <w:szCs w:val="18"/>
                <w:lang w:val="en-US" w:eastAsia="zh-CN" w:bidi="ar-SA"/>
              </w:rPr>
            </w:pPr>
            <w:r>
              <w:rPr>
                <w:rFonts w:hint="eastAsia"/>
                <w:color w:val="000000"/>
                <w:sz w:val="18"/>
                <w:szCs w:val="18"/>
                <w:lang w:val="en-US" w:eastAsia="zh-CN"/>
              </w:rPr>
              <w:t>1300</w:t>
            </w:r>
          </w:p>
        </w:tc>
        <w:tc>
          <w:tcPr>
            <w:tcW w:w="1473" w:type="pct"/>
            <w:noWrap w:val="0"/>
            <w:vAlign w:val="center"/>
          </w:tcPr>
          <w:p>
            <w:pPr>
              <w:pStyle w:val="24"/>
              <w:ind w:left="0" w:leftChars="0" w:firstLine="0" w:firstLineChars="0"/>
              <w:jc w:val="center"/>
              <w:rPr>
                <w:rFonts w:hint="eastAsia"/>
                <w:color w:val="000000"/>
                <w:sz w:val="18"/>
                <w:szCs w:val="18"/>
                <w:lang w:val="en-US" w:eastAsia="zh-CN"/>
              </w:rPr>
            </w:pPr>
            <w:r>
              <w:rPr>
                <w:rFonts w:hint="eastAsia"/>
                <w:color w:val="000000"/>
                <w:sz w:val="18"/>
                <w:szCs w:val="18"/>
                <w:lang w:val="en-US" w:eastAsia="zh-CN"/>
              </w:rPr>
              <w:t>kgf/mm</w:t>
            </w:r>
            <w:r>
              <w:rPr>
                <w:rFonts w:hint="eastAsia"/>
                <w:color w:val="000000"/>
                <w:sz w:val="18"/>
                <w:szCs w:val="1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断裂韧性（≥）</w:t>
            </w:r>
          </w:p>
        </w:tc>
        <w:tc>
          <w:tcPr>
            <w:tcW w:w="1450" w:type="pct"/>
            <w:noWrap w:val="0"/>
            <w:vAlign w:val="center"/>
          </w:tcPr>
          <w:p>
            <w:pPr>
              <w:pStyle w:val="24"/>
              <w:ind w:left="0" w:leftChars="0" w:firstLine="0" w:firstLineChars="0"/>
              <w:jc w:val="center"/>
              <w:rPr>
                <w:rFonts w:hint="default" w:ascii="宋体" w:hAnsi="Times New Roman" w:eastAsia="宋体" w:cs="Times New Roman"/>
                <w:color w:val="000000"/>
                <w:sz w:val="18"/>
                <w:szCs w:val="18"/>
                <w:lang w:val="en-US" w:eastAsia="zh-CN" w:bidi="ar-SA"/>
              </w:rPr>
            </w:pPr>
            <w:r>
              <w:rPr>
                <w:rFonts w:hint="eastAsia"/>
                <w:color w:val="000000"/>
                <w:sz w:val="18"/>
                <w:szCs w:val="18"/>
                <w:lang w:val="en-US" w:eastAsia="zh-CN"/>
              </w:rPr>
              <w:t>5.0</w:t>
            </w:r>
          </w:p>
        </w:tc>
        <w:tc>
          <w:tcPr>
            <w:tcW w:w="1473" w:type="pct"/>
            <w:noWrap w:val="0"/>
            <w:vAlign w:val="center"/>
          </w:tcPr>
          <w:p>
            <w:pPr>
              <w:pStyle w:val="24"/>
              <w:ind w:left="0" w:leftChars="0" w:firstLine="0" w:firstLineChars="0"/>
              <w:jc w:val="center"/>
              <w:rPr>
                <w:rFonts w:hint="eastAsia"/>
                <w:color w:val="000000"/>
                <w:sz w:val="18"/>
                <w:szCs w:val="18"/>
                <w:lang w:val="en-US" w:eastAsia="zh-CN"/>
              </w:rPr>
            </w:pPr>
            <w:r>
              <w:rPr>
                <w:rFonts w:hint="eastAsia"/>
                <w:color w:val="000000"/>
                <w:sz w:val="18"/>
                <w:szCs w:val="18"/>
                <w:lang w:val="en-US" w:eastAsia="zh-CN"/>
              </w:rPr>
              <w:t>MPa·m</w:t>
            </w:r>
            <w:r>
              <w:rPr>
                <w:rFonts w:hint="eastAsia"/>
                <w:color w:val="000000"/>
                <w:sz w:val="18"/>
                <w:szCs w:val="18"/>
                <w:vertAlign w:val="superscript"/>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表面粗糙度Ra（≤）</w:t>
            </w:r>
          </w:p>
        </w:tc>
        <w:tc>
          <w:tcPr>
            <w:tcW w:w="1450" w:type="pct"/>
            <w:noWrap w:val="0"/>
            <w:vAlign w:val="center"/>
          </w:tcPr>
          <w:p>
            <w:pPr>
              <w:pStyle w:val="24"/>
              <w:ind w:left="0" w:leftChars="0" w:firstLine="0" w:firstLineChars="0"/>
              <w:jc w:val="center"/>
              <w:rPr>
                <w:rFonts w:hint="eastAsia" w:ascii="宋体" w:hAnsi="Times New Roman" w:eastAsia="宋体" w:cs="Times New Roman"/>
                <w:color w:val="000000"/>
                <w:sz w:val="18"/>
                <w:szCs w:val="18"/>
                <w:lang w:val="en-US" w:eastAsia="zh-CN" w:bidi="ar-SA"/>
              </w:rPr>
            </w:pPr>
            <w:r>
              <w:rPr>
                <w:rFonts w:hint="eastAsia"/>
                <w:color w:val="000000"/>
                <w:sz w:val="18"/>
                <w:szCs w:val="18"/>
                <w:lang w:val="en-US" w:eastAsia="zh-CN"/>
              </w:rPr>
              <w:t>6.3</w:t>
            </w:r>
          </w:p>
        </w:tc>
        <w:tc>
          <w:tcPr>
            <w:tcW w:w="1473" w:type="pct"/>
            <w:noWrap w:val="0"/>
            <w:vAlign w:val="center"/>
          </w:tcPr>
          <w:p>
            <w:pPr>
              <w:pStyle w:val="24"/>
              <w:ind w:left="0" w:leftChars="0" w:firstLine="0" w:firstLineChars="0"/>
              <w:jc w:val="center"/>
              <w:rPr>
                <w:rFonts w:hint="eastAsia"/>
                <w:color w:val="000000"/>
                <w:sz w:val="18"/>
                <w:szCs w:val="18"/>
                <w:lang w:val="en-US" w:eastAsia="zh-CN"/>
              </w:rPr>
            </w:pPr>
            <w:r>
              <w:rPr>
                <w:rFonts w:hint="eastAsia"/>
                <w:color w:val="000000"/>
                <w:sz w:val="18"/>
                <w:szCs w:val="18"/>
                <w:lang w:val="en-US" w:eastAsia="zh-CN"/>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尺寸偏差（≤）</w:t>
            </w:r>
          </w:p>
        </w:tc>
        <w:tc>
          <w:tcPr>
            <w:tcW w:w="1450" w:type="pct"/>
            <w:noWrap w:val="0"/>
            <w:vAlign w:val="center"/>
          </w:tcPr>
          <w:p>
            <w:pPr>
              <w:pStyle w:val="24"/>
              <w:ind w:left="0" w:leftChars="0" w:firstLine="0" w:firstLineChars="0"/>
              <w:jc w:val="center"/>
              <w:rPr>
                <w:rFonts w:hint="eastAsia" w:ascii="宋体" w:hAnsi="Times New Roman" w:eastAsia="宋体" w:cs="Times New Roman"/>
                <w:color w:val="000000"/>
                <w:sz w:val="18"/>
                <w:szCs w:val="18"/>
                <w:lang w:val="en-US" w:eastAsia="zh-CN" w:bidi="ar-SA"/>
              </w:rPr>
            </w:pPr>
            <w:r>
              <w:rPr>
                <w:rFonts w:hint="eastAsia"/>
                <w:color w:val="000000"/>
                <w:sz w:val="18"/>
                <w:szCs w:val="18"/>
                <w:lang w:val="en-US" w:eastAsia="zh-CN"/>
              </w:rPr>
              <w:t>0.5</w:t>
            </w:r>
          </w:p>
        </w:tc>
        <w:tc>
          <w:tcPr>
            <w:tcW w:w="1473" w:type="pct"/>
            <w:noWrap w:val="0"/>
            <w:vAlign w:val="center"/>
          </w:tcPr>
          <w:p>
            <w:pPr>
              <w:pStyle w:val="24"/>
              <w:ind w:left="0" w:leftChars="0" w:firstLine="0" w:firstLineChars="0"/>
              <w:jc w:val="center"/>
              <w:rPr>
                <w:rFonts w:hint="eastAsia"/>
                <w:color w:val="000000"/>
                <w:sz w:val="18"/>
                <w:szCs w:val="18"/>
                <w:lang w:val="en-US" w:eastAsia="zh-CN"/>
              </w:rPr>
            </w:pPr>
            <w:r>
              <w:rPr>
                <w:rFonts w:hint="eastAsia"/>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highlight w:val="none"/>
                <w:lang w:val="en-US" w:eastAsia="zh-CN"/>
              </w:rPr>
              <w:t>表面杂质（Fe、Al、Ca、Na、Cu、Ni、Cr、Ti、Zn、K、Mg、B、P的总含量）≤</w:t>
            </w:r>
          </w:p>
        </w:tc>
        <w:tc>
          <w:tcPr>
            <w:tcW w:w="1450" w:type="pct"/>
            <w:noWrap w:val="0"/>
            <w:vAlign w:val="center"/>
          </w:tcPr>
          <w:p>
            <w:pPr>
              <w:pStyle w:val="24"/>
              <w:ind w:left="0" w:leftChars="0" w:firstLine="0" w:firstLineChars="0"/>
              <w:jc w:val="center"/>
              <w:rPr>
                <w:rFonts w:hint="default"/>
                <w:color w:val="000000"/>
                <w:sz w:val="18"/>
                <w:szCs w:val="18"/>
                <w:lang w:val="en-US" w:eastAsia="zh-CN"/>
              </w:rPr>
            </w:pPr>
            <w:r>
              <w:rPr>
                <w:rFonts w:hint="eastAsia"/>
                <w:color w:val="000000"/>
                <w:sz w:val="18"/>
                <w:szCs w:val="18"/>
                <w:lang w:val="en-US" w:eastAsia="zh-CN"/>
              </w:rPr>
              <w:t>0.5</w:t>
            </w:r>
          </w:p>
        </w:tc>
        <w:tc>
          <w:tcPr>
            <w:tcW w:w="1473" w:type="pct"/>
            <w:noWrap w:val="0"/>
            <w:vAlign w:val="center"/>
          </w:tcPr>
          <w:p>
            <w:pPr>
              <w:pStyle w:val="24"/>
              <w:ind w:left="0" w:leftChars="0" w:firstLine="0" w:firstLineChars="0"/>
              <w:jc w:val="center"/>
              <w:rPr>
                <w:rFonts w:hint="default"/>
                <w:color w:val="000000"/>
                <w:sz w:val="18"/>
                <w:szCs w:val="18"/>
                <w:lang w:val="en-US" w:eastAsia="zh-CN"/>
              </w:rPr>
            </w:pPr>
            <w:r>
              <w:rPr>
                <w:rFonts w:ascii="Arial" w:hAnsi="Arial" w:eastAsia="Arial" w:cs="Arial"/>
                <w:b w:val="0"/>
                <w:bCs w:val="0"/>
                <w:i w:val="0"/>
                <w:iCs w:val="0"/>
                <w:caps w:val="0"/>
                <w:color w:val="000000"/>
                <w:spacing w:val="0"/>
                <w:sz w:val="15"/>
                <w:szCs w:val="15"/>
                <w:shd w:val="clear" w:fill="FFFFFF"/>
              </w:rPr>
              <w:t>mg/kg</w:t>
            </w:r>
          </w:p>
        </w:tc>
      </w:tr>
      <w:bookmarkEnd w:id="12"/>
      <w:bookmarkEnd w:id="14"/>
      <w:bookmarkEnd w:id="15"/>
    </w:tbl>
    <w:p>
      <w:pPr>
        <w:pStyle w:val="49"/>
        <w:keepNext w:val="0"/>
        <w:keepLines w:val="0"/>
        <w:pageBreakBefore w:val="0"/>
        <w:widowControl/>
        <w:kinsoku/>
        <w:wordWrap/>
        <w:overflowPunct/>
        <w:topLinePunct w:val="0"/>
        <w:autoSpaceDE/>
        <w:autoSpaceDN/>
        <w:bidi w:val="0"/>
        <w:adjustRightInd/>
        <w:snapToGrid/>
        <w:spacing w:before="312" w:after="312"/>
        <w:textAlignment w:val="auto"/>
      </w:pPr>
      <w:r>
        <w:rPr>
          <w:rFonts w:hint="eastAsia"/>
          <w:lang w:val="en-US" w:eastAsia="zh-CN"/>
        </w:rPr>
        <w:t>试验</w:t>
      </w:r>
      <w:r>
        <w:rPr>
          <w:rFonts w:hint="eastAsia"/>
        </w:rPr>
        <w:t>方法</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pPr>
      <w:r>
        <w:rPr>
          <w:rFonts w:hint="eastAsia"/>
          <w:lang w:val="en-US" w:eastAsia="zh-CN"/>
        </w:rPr>
        <w:t>外观</w:t>
      </w:r>
    </w:p>
    <w:p>
      <w:pPr>
        <w:pStyle w:val="24"/>
        <w:rPr>
          <w:rFonts w:hint="eastAsia" w:eastAsia="宋体"/>
          <w:color w:val="000000" w:themeColor="text1"/>
          <w:szCs w:val="22"/>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多晶硅还原炉用氮化硅制品外观检验，在光线良好的环境下目测表观的斑点数量</w:t>
      </w:r>
      <w:r>
        <w:rPr>
          <w:rFonts w:hint="eastAsia"/>
          <w:color w:val="000000" w:themeColor="text1"/>
          <w:highlight w:val="none"/>
          <w:lang w:eastAsia="zh-CN"/>
          <w14:textFill>
            <w14:solidFill>
              <w14:schemeClr w14:val="tx1"/>
            </w14:solidFill>
          </w14:textFill>
        </w:rPr>
        <w:t>。</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pPr>
      <w:r>
        <w:rPr>
          <w:rFonts w:hint="eastAsia"/>
          <w:lang w:val="en-US" w:eastAsia="zh-CN"/>
        </w:rPr>
        <w:t>密度</w:t>
      </w:r>
    </w:p>
    <w:p>
      <w:pPr>
        <w:pStyle w:val="24"/>
      </w:pPr>
      <w:r>
        <w:rPr>
          <w:rFonts w:hint="eastAsia"/>
          <w:color w:val="000000" w:themeColor="text1"/>
          <w:highlight w:val="none"/>
          <w:lang w:val="en-US" w:eastAsia="zh-CN"/>
          <w14:textFill>
            <w14:solidFill>
              <w14:schemeClr w14:val="tx1"/>
            </w14:solidFill>
          </w14:textFill>
        </w:rPr>
        <w:t>多晶硅还原炉用氮化硅制品密度检验</w:t>
      </w:r>
      <w:r>
        <w:rPr>
          <w:rFonts w:hint="eastAsia"/>
        </w:rPr>
        <w:t>按GB/T 25995</w:t>
      </w:r>
      <w:r>
        <w:rPr>
          <w:rFonts w:hint="eastAsia"/>
          <w:lang w:val="en-US" w:eastAsia="zh-CN"/>
        </w:rPr>
        <w:t xml:space="preserve"> </w:t>
      </w:r>
      <w:r>
        <w:rPr>
          <w:rFonts w:hint="eastAsia"/>
        </w:rPr>
        <w:t>规定的方法进行。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pPr>
      <w:r>
        <w:rPr>
          <w:rFonts w:hint="eastAsia"/>
          <w:u w:val="dotted"/>
          <w:lang w:val="en-US" w:eastAsia="zh-CN"/>
        </w:rPr>
        <w:t>三</w:t>
      </w:r>
      <w:r>
        <w:rPr>
          <w:rFonts w:hint="eastAsia"/>
          <w:lang w:val="en-US" w:eastAsia="zh-CN"/>
        </w:rPr>
        <w:t>点抗弯</w:t>
      </w:r>
      <w:r>
        <w:rPr>
          <w:rFonts w:hint="eastAsia" w:hAnsi="Times New Roman" w:cs="Times New Roman"/>
          <w:lang w:val="en-US" w:eastAsia="zh-CN"/>
        </w:rPr>
        <w:t>强度</w:t>
      </w:r>
    </w:p>
    <w:p>
      <w:pPr>
        <w:pStyle w:val="24"/>
        <w:rPr>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多晶硅还原炉用氮化硅制品三点抗弯强度检验</w:t>
      </w:r>
      <w:r>
        <w:rPr>
          <w:rFonts w:hint="eastAsia"/>
          <w:color w:val="000000" w:themeColor="text1"/>
          <w14:textFill>
            <w14:solidFill>
              <w14:schemeClr w14:val="tx1"/>
            </w14:solidFill>
          </w14:textFill>
        </w:rPr>
        <w:t>按GB/T 6569</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规定的方法进行。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color w:val="000000" w:themeColor="text1"/>
          <w14:textFill>
            <w14:solidFill>
              <w14:schemeClr w14:val="tx1"/>
            </w14:solidFill>
          </w14:textFill>
        </w:rPr>
      </w:pPr>
      <w:r>
        <w:rPr>
          <w:rFonts w:hint="eastAsia"/>
          <w:lang w:val="en-US" w:eastAsia="zh-CN"/>
        </w:rPr>
        <w:t>体积电阻率</w:t>
      </w:r>
    </w:p>
    <w:p>
      <w:pPr>
        <w:pStyle w:val="24"/>
        <w:rPr>
          <w:rFonts w:hint="eastAsia"/>
        </w:rPr>
      </w:pPr>
      <w:r>
        <w:rPr>
          <w:rFonts w:hint="eastAsia"/>
          <w:color w:val="000000" w:themeColor="text1"/>
          <w:highlight w:val="none"/>
          <w:lang w:val="en-US" w:eastAsia="zh-CN"/>
          <w14:textFill>
            <w14:solidFill>
              <w14:schemeClr w14:val="tx1"/>
            </w14:solidFill>
          </w14:textFill>
        </w:rPr>
        <w:t>多晶硅还原炉用氮化硅制品体积电阻率检验</w:t>
      </w:r>
      <w:r>
        <w:rPr>
          <w:rFonts w:hint="eastAsia"/>
          <w:color w:val="000000" w:themeColor="text1"/>
          <w14:textFill>
            <w14:solidFill>
              <w14:schemeClr w14:val="tx1"/>
            </w14:solidFill>
          </w14:textFill>
        </w:rPr>
        <w:t>按</w:t>
      </w:r>
      <w:r>
        <w:rPr>
          <w:rFonts w:hint="eastAsia"/>
          <w:color w:val="000000" w:themeColor="text1"/>
          <w:highlight w:val="none"/>
          <w:lang w:val="en-US" w:eastAsia="zh-CN"/>
          <w14:textFill>
            <w14:solidFill>
              <w14:schemeClr w14:val="tx1"/>
            </w14:solidFill>
          </w14:textFill>
        </w:rPr>
        <w:t xml:space="preserve">GB/T 5594.5 </w:t>
      </w:r>
      <w:r>
        <w:rPr>
          <w:rFonts w:hint="eastAsia"/>
          <w:color w:val="000000" w:themeColor="text1"/>
          <w:highlight w:val="none"/>
          <w14:textFill>
            <w14:solidFill>
              <w14:schemeClr w14:val="tx1"/>
            </w14:solidFill>
          </w14:textFill>
        </w:rPr>
        <w:t>规</w:t>
      </w:r>
      <w:r>
        <w:rPr>
          <w:rFonts w:hint="eastAsia"/>
          <w:color w:val="000000" w:themeColor="text1"/>
          <w14:textFill>
            <w14:solidFill>
              <w14:schemeClr w14:val="tx1"/>
            </w14:solidFill>
          </w14:textFill>
        </w:rPr>
        <w:t>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rPr>
      </w:pPr>
      <w:r>
        <w:rPr>
          <w:rFonts w:hint="eastAsia"/>
          <w:lang w:val="en-US" w:eastAsia="zh-CN"/>
        </w:rPr>
        <w:t>击穿强度</w:t>
      </w:r>
    </w:p>
    <w:p>
      <w:pPr>
        <w:pStyle w:val="24"/>
        <w:rPr>
          <w:rFonts w:hint="eastAsia"/>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多晶硅还原炉用氮化硅制品击穿强度检验</w:t>
      </w:r>
      <w:r>
        <w:rPr>
          <w:rFonts w:hint="eastAsia"/>
          <w:color w:val="000000" w:themeColor="text1"/>
          <w14:textFill>
            <w14:solidFill>
              <w14:schemeClr w14:val="tx1"/>
            </w14:solidFill>
          </w14:textFill>
        </w:rPr>
        <w:t>按GB/T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5593</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规定的方法进行。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highlight w:val="none"/>
        </w:rPr>
      </w:pPr>
      <w:r>
        <w:rPr>
          <w:rFonts w:hint="eastAsia"/>
          <w:highlight w:val="none"/>
          <w:lang w:val="en-US" w:eastAsia="zh-CN"/>
        </w:rPr>
        <w:t>线膨胀系数</w:t>
      </w:r>
    </w:p>
    <w:p>
      <w:pPr>
        <w:pStyle w:val="24"/>
        <w:rPr>
          <w:rFonts w:hint="eastAsia"/>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多晶硅还原炉用氮化硅制品膨胀系数检验</w:t>
      </w:r>
      <w:r>
        <w:rPr>
          <w:rFonts w:hint="eastAsia"/>
          <w:lang w:val="en-US" w:eastAsia="zh-CN"/>
        </w:rPr>
        <w:t>按</w:t>
      </w:r>
      <w:r>
        <w:rPr>
          <w:rFonts w:hint="eastAsia" w:ascii="宋体" w:hAnsi="Times New Roman" w:eastAsia="宋体" w:cs="Times New Roman"/>
          <w:b w:val="0"/>
          <w:bCs w:val="0"/>
          <w:kern w:val="0"/>
          <w:sz w:val="21"/>
          <w:szCs w:val="20"/>
          <w:lang w:val="en-US" w:eastAsia="zh-CN" w:bidi="ar-SA"/>
        </w:rPr>
        <w:t>GB/T 16535</w:t>
      </w:r>
      <w:r>
        <w:rPr>
          <w:rFonts w:hint="eastAsia"/>
        </w:rPr>
        <w:t xml:space="preserve"> </w:t>
      </w:r>
      <w:r>
        <w:rPr>
          <w:rFonts w:hint="eastAsia"/>
          <w:color w:val="000000" w:themeColor="text1"/>
          <w14:textFill>
            <w14:solidFill>
              <w14:schemeClr w14:val="tx1"/>
            </w14:solidFill>
          </w14:textFill>
        </w:rPr>
        <w:t>规定的方法进行。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lang w:val="en-US" w:eastAsia="zh-CN"/>
        </w:rPr>
      </w:pPr>
      <w:r>
        <w:rPr>
          <w:rFonts w:hint="eastAsia"/>
          <w:lang w:val="en-US" w:eastAsia="zh-CN"/>
        </w:rPr>
        <w:t>维氏硬度</w:t>
      </w:r>
    </w:p>
    <w:p>
      <w:pPr>
        <w:pStyle w:val="24"/>
        <w:ind w:firstLine="420" w:firstLineChars="200"/>
        <w:rPr>
          <w:rFonts w:hint="eastAsia"/>
          <w:lang w:val="en-US" w:eastAsia="zh-CN"/>
        </w:rPr>
      </w:pPr>
      <w:r>
        <w:rPr>
          <w:rFonts w:hint="eastAsia"/>
          <w:color w:val="000000" w:themeColor="text1"/>
          <w:highlight w:val="none"/>
          <w:lang w:val="en-US" w:eastAsia="zh-CN"/>
          <w14:textFill>
            <w14:solidFill>
              <w14:schemeClr w14:val="tx1"/>
            </w14:solidFill>
          </w14:textFill>
        </w:rPr>
        <w:t>多晶硅</w:t>
      </w:r>
      <w:r>
        <w:rPr>
          <w:rFonts w:hint="eastAsia"/>
          <w:color w:val="000000" w:themeColor="text1"/>
          <w:lang w:val="en-US" w:eastAsia="zh-CN"/>
          <w14:textFill>
            <w14:solidFill>
              <w14:schemeClr w14:val="tx1"/>
            </w14:solidFill>
          </w14:textFill>
        </w:rPr>
        <w:t>还原炉用氮化硅制品维氏硬度检验按照GB/T 16534 规定的方法进行。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default"/>
          <w:lang w:val="en-US" w:eastAsia="zh-CN"/>
        </w:rPr>
      </w:pPr>
      <w:r>
        <w:rPr>
          <w:rFonts w:hint="eastAsia"/>
          <w:lang w:val="en-US" w:eastAsia="zh-CN"/>
        </w:rPr>
        <w:t>断裂韧性</w:t>
      </w:r>
    </w:p>
    <w:p>
      <w:pPr>
        <w:pStyle w:val="2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多晶硅还原炉用氮化硅制品断裂韧性检验按照GB/T 23806 规定的方法进行。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rPr>
      </w:pPr>
      <w:r>
        <w:rPr>
          <w:rFonts w:hint="eastAsia"/>
          <w:lang w:val="en-US" w:eastAsia="zh-CN"/>
        </w:rPr>
        <w:t>表面粗糙度</w:t>
      </w:r>
    </w:p>
    <w:p>
      <w:pPr>
        <w:pStyle w:val="24"/>
        <w:rPr>
          <w:rFonts w:hint="eastAsia"/>
        </w:rPr>
      </w:pPr>
      <w:r>
        <w:rPr>
          <w:rFonts w:hint="eastAsia"/>
          <w:color w:val="000000" w:themeColor="text1"/>
          <w:highlight w:val="none"/>
          <w:lang w:val="en-US" w:eastAsia="zh-CN"/>
          <w14:textFill>
            <w14:solidFill>
              <w14:schemeClr w14:val="tx1"/>
            </w14:solidFill>
          </w14:textFill>
        </w:rPr>
        <w:t>多晶硅还原炉用氮化硅制品表面粗糙度检验</w:t>
      </w:r>
      <w:r>
        <w:rPr>
          <w:rFonts w:hint="eastAsia"/>
        </w:rPr>
        <w:t>按</w:t>
      </w:r>
      <w:r>
        <w:rPr>
          <w:rFonts w:hint="eastAsia"/>
          <w:lang w:val="en-US" w:eastAsia="zh-CN"/>
        </w:rPr>
        <w:t>GB/T 10610</w:t>
      </w:r>
      <w:r>
        <w:rPr>
          <w:rFonts w:hint="eastAsia"/>
          <w:sz w:val="24"/>
          <w:szCs w:val="24"/>
          <w:lang w:val="en-US" w:eastAsia="zh-CN"/>
        </w:rPr>
        <w:t xml:space="preserve"> </w:t>
      </w:r>
      <w:r>
        <w:rPr>
          <w:rFonts w:hint="eastAsia"/>
          <w:highlight w:val="none"/>
        </w:rPr>
        <w:t>规</w:t>
      </w:r>
      <w:r>
        <w:rPr>
          <w:rFonts w:hint="eastAsia"/>
        </w:rPr>
        <w:t>定的方法进行。</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lang w:val="en-US" w:eastAsia="zh-CN"/>
        </w:rPr>
      </w:pPr>
      <w:r>
        <w:rPr>
          <w:rFonts w:hint="eastAsia"/>
          <w:lang w:val="en-US" w:eastAsia="zh-CN"/>
        </w:rPr>
        <w:t>崩缺</w:t>
      </w:r>
      <w:r>
        <w:rPr>
          <w:rFonts w:hint="eastAsia" w:hAnsi="Times New Roman" w:cs="Times New Roman"/>
          <w:lang w:val="en-US" w:eastAsia="zh-CN"/>
        </w:rPr>
        <w:t>尺寸</w:t>
      </w:r>
    </w:p>
    <w:p>
      <w:pPr>
        <w:pStyle w:val="24"/>
      </w:pPr>
      <w:r>
        <w:rPr>
          <w:rFonts w:hint="eastAsia"/>
          <w:color w:val="000000" w:themeColor="text1"/>
          <w:highlight w:val="none"/>
          <w:lang w:val="en-US" w:eastAsia="zh-CN"/>
          <w14:textFill>
            <w14:solidFill>
              <w14:schemeClr w14:val="tx1"/>
            </w14:solidFill>
          </w14:textFill>
        </w:rPr>
        <w:t>多晶硅还原炉用氮化硅制品的崩缺尺寸检验采用精度为0.01mm 的游标卡尺进行检验</w:t>
      </w:r>
      <w:r>
        <w:rPr>
          <w:rFonts w:hint="eastAsia"/>
        </w:rPr>
        <w:t>。</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pPr>
      <w:r>
        <w:rPr>
          <w:rFonts w:hint="eastAsia"/>
          <w:lang w:val="en-US" w:eastAsia="zh-CN"/>
        </w:rPr>
        <w:t>尺寸偏差</w:t>
      </w:r>
    </w:p>
    <w:p>
      <w:pPr>
        <w:pStyle w:val="24"/>
        <w:rPr>
          <w:rFonts w:hint="eastAsia"/>
        </w:rPr>
      </w:pPr>
      <w:r>
        <w:rPr>
          <w:rFonts w:hint="eastAsia"/>
          <w:color w:val="000000" w:themeColor="text1"/>
          <w:highlight w:val="none"/>
          <w:lang w:val="en-US" w:eastAsia="zh-CN"/>
          <w14:textFill>
            <w14:solidFill>
              <w14:schemeClr w14:val="tx1"/>
            </w14:solidFill>
          </w14:textFill>
        </w:rPr>
        <w:t>多晶硅还原炉用氮化硅制品尺寸偏差检验采用精度为0.01mm 的游标卡尺进行检验</w:t>
      </w:r>
      <w:r>
        <w:rPr>
          <w:rFonts w:hint="eastAsia"/>
        </w:rPr>
        <w:t>。</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pPr>
      <w:r>
        <w:rPr>
          <w:rFonts w:hint="eastAsia"/>
          <w:lang w:val="en-US" w:eastAsia="zh-CN"/>
        </w:rPr>
        <w:t>表面杂质</w:t>
      </w:r>
    </w:p>
    <w:p>
      <w:pPr>
        <w:pStyle w:val="24"/>
      </w:pPr>
      <w:r>
        <w:rPr>
          <w:rFonts w:hint="eastAsia"/>
          <w:color w:val="000000" w:themeColor="text1"/>
          <w:highlight w:val="none"/>
          <w:lang w:val="en-US" w:eastAsia="zh-CN"/>
          <w14:textFill>
            <w14:solidFill>
              <w14:schemeClr w14:val="tx1"/>
            </w14:solidFill>
          </w14:textFill>
        </w:rPr>
        <w:t>多晶硅还原炉用氮化硅制品表面杂质检验采用GB/T 30902 进行检验</w:t>
      </w:r>
      <w:r>
        <w:rPr>
          <w:rFonts w:hint="eastAsia"/>
        </w:rPr>
        <w:t>。</w:t>
      </w:r>
    </w:p>
    <w:p>
      <w:pPr>
        <w:pStyle w:val="24"/>
        <w:rPr>
          <w:rFonts w:hint="eastAsia"/>
        </w:rPr>
      </w:pPr>
    </w:p>
    <w:p>
      <w:pPr>
        <w:pStyle w:val="49"/>
        <w:keepNext w:val="0"/>
        <w:keepLines w:val="0"/>
        <w:pageBreakBefore w:val="0"/>
        <w:widowControl/>
        <w:kinsoku/>
        <w:wordWrap/>
        <w:overflowPunct/>
        <w:topLinePunct w:val="0"/>
        <w:autoSpaceDE/>
        <w:autoSpaceDN/>
        <w:bidi w:val="0"/>
        <w:adjustRightInd/>
        <w:snapToGrid/>
        <w:spacing w:before="312" w:after="312"/>
        <w:textAlignment w:val="auto"/>
      </w:pPr>
      <w:r>
        <w:rPr>
          <w:rFonts w:hint="eastAsia"/>
          <w:lang w:val="en-US" w:eastAsia="zh-CN"/>
        </w:rPr>
        <w:t xml:space="preserve"> </w:t>
      </w:r>
      <w:r>
        <w:rPr>
          <w:rFonts w:hint="eastAsia"/>
        </w:rPr>
        <w:t>检验</w:t>
      </w:r>
      <w:r>
        <w:rPr>
          <w:rFonts w:hint="eastAsia"/>
          <w:lang w:val="en-US" w:eastAsia="zh-CN"/>
        </w:rPr>
        <w:t>规则</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pPr>
      <w:r>
        <w:rPr>
          <w:rFonts w:hint="eastAsia"/>
          <w:lang w:val="en-US" w:eastAsia="zh-CN"/>
        </w:rPr>
        <w:t xml:space="preserve"> </w:t>
      </w:r>
      <w:r>
        <w:rPr>
          <w:rFonts w:hint="eastAsia"/>
        </w:rPr>
        <w:t>检</w:t>
      </w:r>
      <w:r>
        <w:rPr>
          <w:rFonts w:hint="eastAsia"/>
          <w:lang w:val="en-US" w:eastAsia="zh-CN"/>
        </w:rPr>
        <w:t>查</w:t>
      </w:r>
      <w:r>
        <w:rPr>
          <w:rFonts w:hint="eastAsia"/>
        </w:rPr>
        <w:t>和验收</w:t>
      </w:r>
    </w:p>
    <w:p>
      <w:pPr>
        <w:pStyle w:val="67"/>
        <w:keepNext w:val="0"/>
        <w:keepLines w:val="0"/>
        <w:pageBreakBefore w:val="0"/>
        <w:widowControl/>
        <w:numPr>
          <w:ilvl w:val="2"/>
          <w:numId w:val="0"/>
        </w:numPr>
        <w:kinsoku/>
        <w:wordWrap/>
        <w:overflowPunct/>
        <w:topLinePunct w:val="0"/>
        <w:bidi w:val="0"/>
        <w:adjustRightInd/>
        <w:snapToGrid/>
        <w:spacing w:before="0" w:beforeLines="0" w:after="0" w:afterLines="0"/>
        <w:ind w:leftChars="0"/>
        <w:textAlignment w:val="auto"/>
        <w:rPr>
          <w:rFonts w:hint="eastAsia"/>
        </w:rPr>
      </w:pPr>
      <w:r>
        <w:rPr>
          <w:rFonts w:hint="eastAsia"/>
          <w:lang w:val="en-US" w:eastAsia="zh-CN"/>
        </w:rPr>
        <w:t xml:space="preserve">7.1.1 </w:t>
      </w:r>
      <w:r>
        <w:rPr>
          <w:rFonts w:hint="eastAsia"/>
        </w:rPr>
        <w:t>出厂检验规则</w:t>
      </w:r>
    </w:p>
    <w:p>
      <w:pPr>
        <w:pStyle w:val="24"/>
        <w:keepNext w:val="0"/>
        <w:keepLines w:val="0"/>
        <w:pageBreakBefore w:val="0"/>
        <w:widowControl/>
        <w:kinsoku/>
        <w:wordWrap/>
        <w:overflowPunct/>
        <w:topLinePunct w:val="0"/>
        <w:bidi w:val="0"/>
        <w:adjustRightInd/>
        <w:snapToGrid/>
        <w:textAlignment w:val="auto"/>
        <w:rPr>
          <w:rFonts w:hint="eastAsia"/>
        </w:rPr>
      </w:pPr>
      <w:r>
        <w:rPr>
          <w:rFonts w:hint="eastAsia"/>
          <w:lang w:val="en-US" w:eastAsia="zh-CN"/>
        </w:rPr>
        <w:t>多晶硅还原炉用氮化硅制品</w:t>
      </w:r>
      <w:r>
        <w:rPr>
          <w:rFonts w:hint="eastAsia"/>
        </w:rPr>
        <w:t>应由供方技术（质量）监督部门进行检验，</w:t>
      </w:r>
      <w:r>
        <w:rPr>
          <w:rFonts w:hint="eastAsia"/>
          <w:lang w:val="en-US" w:eastAsia="zh-CN"/>
        </w:rPr>
        <w:t>对表观情况、尺寸及密度进行检验，</w:t>
      </w:r>
      <w:r>
        <w:rPr>
          <w:rFonts w:hint="eastAsia"/>
        </w:rPr>
        <w:t>保证产品质量符合本标准和订货单的规定，并填写质量证明书。</w:t>
      </w:r>
    </w:p>
    <w:p>
      <w:pPr>
        <w:pStyle w:val="67"/>
        <w:keepNext w:val="0"/>
        <w:keepLines w:val="0"/>
        <w:pageBreakBefore w:val="0"/>
        <w:widowControl/>
        <w:numPr>
          <w:ilvl w:val="2"/>
          <w:numId w:val="0"/>
        </w:numPr>
        <w:kinsoku/>
        <w:wordWrap/>
        <w:overflowPunct/>
        <w:topLinePunct w:val="0"/>
        <w:bidi w:val="0"/>
        <w:adjustRightInd/>
        <w:snapToGrid/>
        <w:spacing w:before="0" w:beforeLines="0" w:after="0" w:afterLines="0"/>
        <w:ind w:leftChars="0"/>
        <w:textAlignment w:val="auto"/>
        <w:rPr>
          <w:rFonts w:hint="eastAsia"/>
          <w:lang w:val="en-US" w:eastAsia="zh-CN"/>
        </w:rPr>
      </w:pPr>
      <w:r>
        <w:rPr>
          <w:rFonts w:hint="eastAsia"/>
          <w:lang w:val="en-US" w:eastAsia="zh-CN"/>
        </w:rPr>
        <w:t>7.1.2 需方可对收到的样品进行检验。</w:t>
      </w:r>
    </w:p>
    <w:p>
      <w:pPr>
        <w:pStyle w:val="24"/>
        <w:keepNext w:val="0"/>
        <w:keepLines w:val="0"/>
        <w:pageBreakBefore w:val="0"/>
        <w:widowControl/>
        <w:kinsoku/>
        <w:wordWrap/>
        <w:overflowPunct/>
        <w:topLinePunct w:val="0"/>
        <w:bidi w:val="0"/>
        <w:adjustRightInd/>
        <w:snapToGrid/>
        <w:textAlignment w:val="auto"/>
        <w:rPr>
          <w:rFonts w:hint="eastAsia"/>
          <w:lang w:val="en-US" w:eastAsia="zh-CN"/>
        </w:rPr>
      </w:pPr>
      <w:r>
        <w:rPr>
          <w:rFonts w:hint="eastAsia"/>
          <w:lang w:val="en-US" w:eastAsia="zh-CN"/>
        </w:rPr>
        <w:t>若检验结果与本标准规定不符时，应在收到产品之日起3个月内向供方提出，由供需双方协商确定。</w:t>
      </w:r>
    </w:p>
    <w:p>
      <w:pPr>
        <w:pStyle w:val="67"/>
        <w:keepNext w:val="0"/>
        <w:keepLines w:val="0"/>
        <w:pageBreakBefore w:val="0"/>
        <w:widowControl/>
        <w:numPr>
          <w:ilvl w:val="2"/>
          <w:numId w:val="0"/>
        </w:numPr>
        <w:kinsoku/>
        <w:wordWrap/>
        <w:overflowPunct/>
        <w:topLinePunct w:val="0"/>
        <w:bidi w:val="0"/>
        <w:adjustRightInd/>
        <w:snapToGrid/>
        <w:spacing w:before="0" w:beforeLines="0" w:after="0" w:afterLines="0"/>
        <w:ind w:leftChars="0"/>
        <w:textAlignment w:val="auto"/>
        <w:rPr>
          <w:rFonts w:hint="eastAsia"/>
        </w:rPr>
      </w:pPr>
      <w:r>
        <w:rPr>
          <w:rFonts w:hint="eastAsia"/>
          <w:lang w:val="en-US" w:eastAsia="zh-CN"/>
        </w:rPr>
        <w:t>7.1.3 形式</w:t>
      </w:r>
      <w:r>
        <w:rPr>
          <w:rFonts w:hint="eastAsia"/>
        </w:rPr>
        <w:t>检验规则</w:t>
      </w:r>
    </w:p>
    <w:p>
      <w:pPr>
        <w:pStyle w:val="24"/>
        <w:keepNext w:val="0"/>
        <w:keepLines w:val="0"/>
        <w:pageBreakBefore w:val="0"/>
        <w:widowControl/>
        <w:kinsoku/>
        <w:wordWrap/>
        <w:overflowPunct/>
        <w:topLinePunct w:val="0"/>
        <w:bidi w:val="0"/>
        <w:adjustRightInd/>
        <w:snapToGrid/>
        <w:textAlignment w:val="auto"/>
        <w:rPr>
          <w:rFonts w:hint="default"/>
          <w:lang w:val="en-US" w:eastAsia="zh-CN"/>
        </w:rPr>
      </w:pPr>
      <w:r>
        <w:rPr>
          <w:rFonts w:hint="eastAsia"/>
          <w:lang w:val="en-US" w:eastAsia="zh-CN"/>
        </w:rPr>
        <w:t>供方每年对多晶硅还原炉用氮化硅制品内在品质包括抗弯强度、体积电阻、击穿强度、线膨胀系数、维氏硬度、断裂韧性的性能进行形式检验，应由第三方出具报告。</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rPr>
      </w:pPr>
      <w:r>
        <w:rPr>
          <w:rFonts w:hint="eastAsia"/>
          <w:lang w:val="en-US" w:eastAsia="zh-CN"/>
        </w:rPr>
        <w:t xml:space="preserve"> </w:t>
      </w:r>
      <w:r>
        <w:rPr>
          <w:rFonts w:hint="eastAsia"/>
        </w:rPr>
        <w:t>组批</w:t>
      </w:r>
    </w:p>
    <w:p>
      <w:pPr>
        <w:pStyle w:val="24"/>
        <w:rPr>
          <w:rFonts w:hint="eastAsia"/>
        </w:rPr>
      </w:pPr>
      <w:r>
        <w:rPr>
          <w:rFonts w:hint="eastAsia"/>
        </w:rPr>
        <w:t>产品指标按批次为单位进行验收，</w:t>
      </w:r>
      <w:r>
        <w:rPr>
          <w:rFonts w:hint="eastAsia" w:ascii="宋体" w:hAnsi="宋体" w:eastAsia="宋体" w:cs="宋体"/>
          <w:color w:val="000000"/>
          <w:kern w:val="0"/>
          <w:sz w:val="21"/>
          <w:szCs w:val="21"/>
          <w:lang w:val="en-US" w:eastAsia="zh-CN"/>
        </w:rPr>
        <w:t>每批产品应有同一原料、同样制备工艺、同样质量技术要求、同样检验标准</w:t>
      </w:r>
      <w:r>
        <w:rPr>
          <w:rFonts w:hint="eastAsia"/>
        </w:rPr>
        <w:t>。</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rPr>
      </w:pPr>
      <w:r>
        <w:rPr>
          <w:rFonts w:hint="eastAsia"/>
          <w:lang w:val="en-US" w:eastAsia="zh-CN"/>
        </w:rPr>
        <w:t xml:space="preserve"> 检验项目</w:t>
      </w:r>
    </w:p>
    <w:p>
      <w:pPr>
        <w:pStyle w:val="24"/>
      </w:pPr>
      <w:r>
        <w:rPr>
          <w:rFonts w:hint="eastAsia"/>
          <w:lang w:val="en-US" w:eastAsia="zh-CN"/>
        </w:rPr>
        <w:t>每批产品应对</w:t>
      </w:r>
      <w:r>
        <w:rPr>
          <w:rFonts w:hint="eastAsia"/>
          <w:color w:val="000000" w:themeColor="text1"/>
          <w14:textFill>
            <w14:solidFill>
              <w14:schemeClr w14:val="tx1"/>
            </w14:solidFill>
          </w14:textFill>
        </w:rPr>
        <w:t>外观质量</w:t>
      </w:r>
      <w:r>
        <w:rPr>
          <w:rFonts w:hint="eastAsia"/>
          <w:lang w:val="en-US" w:eastAsia="zh-CN"/>
        </w:rPr>
        <w:t>、尺寸</w:t>
      </w:r>
      <w:r>
        <w:rPr>
          <w:rFonts w:hint="eastAsia"/>
          <w:color w:val="000000" w:themeColor="text1"/>
          <w14:textFill>
            <w14:solidFill>
              <w14:schemeClr w14:val="tx1"/>
            </w14:solidFill>
          </w14:textFill>
        </w:rPr>
        <w:t>、</w:t>
      </w:r>
      <w:r>
        <w:rPr>
          <w:rFonts w:hint="eastAsia"/>
          <w:lang w:val="en-US" w:eastAsia="zh-CN"/>
        </w:rPr>
        <w:t>密度进行检验</w:t>
      </w:r>
      <w:r>
        <w:rPr>
          <w:rFonts w:hint="eastAsia"/>
        </w:rPr>
        <w:t>。</w:t>
      </w:r>
    </w:p>
    <w:p>
      <w:pPr>
        <w:pStyle w:val="46"/>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hint="eastAsia"/>
          <w:lang w:val="en-US" w:eastAsia="zh-CN"/>
        </w:rPr>
      </w:pPr>
      <w:r>
        <w:rPr>
          <w:rFonts w:hint="eastAsia"/>
          <w:lang w:val="en-US" w:eastAsia="zh-CN"/>
        </w:rPr>
        <w:t xml:space="preserve"> 检验结果的判定</w:t>
      </w:r>
    </w:p>
    <w:p>
      <w:pPr>
        <w:pStyle w:val="67"/>
        <w:numPr>
          <w:ilvl w:val="2"/>
          <w:numId w:val="0"/>
        </w:numPr>
        <w:ind w:leftChars="0"/>
        <w:rPr>
          <w:rFonts w:hint="eastAsia"/>
        </w:rPr>
      </w:pPr>
      <w:r>
        <w:rPr>
          <w:rFonts w:hint="eastAsia" w:ascii="黑体" w:hAnsi="黑体" w:eastAsia="黑体" w:cs="黑体"/>
          <w:lang w:val="en-US" w:eastAsia="zh-CN"/>
        </w:rPr>
        <w:t xml:space="preserve">7.4.1 </w:t>
      </w:r>
      <w:r>
        <w:rPr>
          <w:rFonts w:hint="eastAsia"/>
        </w:rPr>
        <w:t>产品检验结果如全部符合对应标准要求则判定为</w:t>
      </w:r>
      <w:r>
        <w:rPr>
          <w:rFonts w:hint="eastAsia"/>
          <w:lang w:val="en-US" w:eastAsia="zh-CN"/>
        </w:rPr>
        <w:t>合格</w:t>
      </w:r>
      <w:r>
        <w:rPr>
          <w:rFonts w:hint="eastAsia"/>
        </w:rPr>
        <w:t>。其中有一个指标不符合标准要求</w:t>
      </w:r>
      <w:r>
        <w:rPr>
          <w:rFonts w:hint="eastAsia"/>
          <w:lang w:eastAsia="zh-CN"/>
        </w:rPr>
        <w:t>，</w:t>
      </w:r>
      <w:r>
        <w:rPr>
          <w:rFonts w:hint="eastAsia"/>
        </w:rPr>
        <w:t>加倍抽样复检，如果复检结果仍有指标不符合标准则判定为不合格。</w:t>
      </w:r>
    </w:p>
    <w:p>
      <w:pPr>
        <w:pStyle w:val="67"/>
        <w:numPr>
          <w:ilvl w:val="2"/>
          <w:numId w:val="0"/>
        </w:numPr>
        <w:ind w:leftChars="0"/>
        <w:rPr>
          <w:rFonts w:hint="eastAsia"/>
          <w:color w:val="auto"/>
        </w:rPr>
      </w:pPr>
      <w:r>
        <w:rPr>
          <w:rFonts w:hint="eastAsia" w:ascii="黑体" w:hAnsi="黑体" w:eastAsia="黑体" w:cs="黑体"/>
          <w:color w:val="auto"/>
          <w:lang w:val="en-US" w:eastAsia="zh-CN"/>
        </w:rPr>
        <w:t xml:space="preserve">7.4.2 </w:t>
      </w:r>
      <w:r>
        <w:rPr>
          <w:rFonts w:hint="eastAsia"/>
          <w:color w:val="auto"/>
          <w:lang w:val="en-US" w:eastAsia="zh-CN"/>
        </w:rPr>
        <w:t>供方</w:t>
      </w:r>
      <w:r>
        <w:rPr>
          <w:rFonts w:hint="eastAsia"/>
          <w:color w:val="auto"/>
        </w:rPr>
        <w:t>根据批次检测结果进行判</w:t>
      </w:r>
      <w:r>
        <w:rPr>
          <w:rFonts w:hint="eastAsia"/>
          <w:color w:val="auto"/>
          <w:lang w:val="en-US" w:eastAsia="zh-CN"/>
        </w:rPr>
        <w:t>定</w:t>
      </w:r>
      <w:r>
        <w:rPr>
          <w:rFonts w:hint="eastAsia"/>
          <w:color w:val="auto"/>
        </w:rPr>
        <w:t>，并出具检验报告</w:t>
      </w:r>
      <w:r>
        <w:rPr>
          <w:rFonts w:hint="eastAsia"/>
          <w:color w:val="auto"/>
          <w:lang w:val="en-US" w:eastAsia="zh-CN"/>
        </w:rPr>
        <w:t>或</w:t>
      </w:r>
      <w:r>
        <w:rPr>
          <w:rFonts w:hint="eastAsia"/>
          <w:color w:val="auto"/>
        </w:rPr>
        <w:t>质量</w:t>
      </w:r>
      <w:r>
        <w:rPr>
          <w:rFonts w:hint="eastAsia"/>
          <w:color w:val="auto"/>
          <w:lang w:val="en-US" w:eastAsia="zh-CN"/>
        </w:rPr>
        <w:t>证明书</w:t>
      </w:r>
      <w:r>
        <w:rPr>
          <w:rFonts w:hint="eastAsia"/>
          <w:color w:val="auto"/>
        </w:rPr>
        <w:t>。</w:t>
      </w:r>
    </w:p>
    <w:p>
      <w:pPr>
        <w:pStyle w:val="67"/>
        <w:numPr>
          <w:ilvl w:val="2"/>
          <w:numId w:val="0"/>
        </w:numPr>
        <w:ind w:leftChars="0"/>
        <w:rPr>
          <w:rFonts w:hint="eastAsia"/>
          <w:color w:val="auto"/>
        </w:rPr>
      </w:pPr>
      <w:r>
        <w:rPr>
          <w:rFonts w:hint="eastAsia" w:ascii="黑体" w:hAnsi="黑体" w:eastAsia="黑体" w:cs="黑体"/>
          <w:color w:val="auto"/>
          <w:lang w:val="en-US" w:eastAsia="zh-CN"/>
        </w:rPr>
        <w:t xml:space="preserve">7.4.3 </w:t>
      </w:r>
      <w:r>
        <w:rPr>
          <w:rFonts w:hint="eastAsia"/>
          <w:color w:val="auto"/>
        </w:rPr>
        <w:t>如果</w:t>
      </w:r>
      <w:r>
        <w:rPr>
          <w:rFonts w:hint="eastAsia"/>
          <w:color w:val="auto"/>
          <w:lang w:val="en-US" w:eastAsia="zh-CN"/>
        </w:rPr>
        <w:t>订货单</w:t>
      </w:r>
      <w:r>
        <w:rPr>
          <w:rFonts w:hint="eastAsia"/>
          <w:color w:val="auto"/>
        </w:rPr>
        <w:t>对</w:t>
      </w:r>
      <w:r>
        <w:rPr>
          <w:rFonts w:hint="eastAsia"/>
          <w:color w:val="auto"/>
          <w:lang w:eastAsia="zh-CN"/>
        </w:rPr>
        <w:t>多晶硅还原炉用氮化硅制品</w:t>
      </w:r>
      <w:r>
        <w:rPr>
          <w:rFonts w:hint="eastAsia"/>
          <w:color w:val="auto"/>
        </w:rPr>
        <w:t>指标另有要求的，由供需双方协商后进行备注说明。</w:t>
      </w:r>
    </w:p>
    <w:p>
      <w:pPr>
        <w:pStyle w:val="49"/>
        <w:numPr>
          <w:ilvl w:val="0"/>
          <w:numId w:val="0"/>
        </w:numPr>
        <w:spacing w:before="312" w:after="312"/>
        <w:ind w:leftChars="0"/>
        <w:rPr>
          <w:rFonts w:hint="eastAsia" w:eastAsia="黑体"/>
          <w:lang w:eastAsia="zh-CN"/>
        </w:rPr>
      </w:pPr>
      <w:r>
        <w:rPr>
          <w:rFonts w:hint="eastAsia"/>
          <w:lang w:val="en-US" w:eastAsia="zh-CN"/>
        </w:rPr>
        <w:t xml:space="preserve">8  </w:t>
      </w:r>
      <w:r>
        <w:rPr>
          <w:rFonts w:hint="eastAsia"/>
        </w:rPr>
        <w:t>标志、包装、运输</w:t>
      </w:r>
      <w:r>
        <w:rPr>
          <w:rFonts w:hint="eastAsia"/>
          <w:lang w:eastAsia="zh-CN"/>
        </w:rPr>
        <w:t>、</w:t>
      </w:r>
      <w:r>
        <w:rPr>
          <w:rFonts w:hint="eastAsia"/>
        </w:rPr>
        <w:t>贮存</w:t>
      </w:r>
      <w:r>
        <w:rPr>
          <w:rFonts w:hint="eastAsia"/>
          <w:lang w:val="en-US" w:eastAsia="zh-CN"/>
        </w:rPr>
        <w:t>和随行文件</w:t>
      </w:r>
    </w:p>
    <w:p>
      <w:pPr>
        <w:pStyle w:val="46"/>
        <w:numPr>
          <w:ilvl w:val="1"/>
          <w:numId w:val="0"/>
        </w:numPr>
        <w:spacing w:before="156" w:after="156"/>
        <w:ind w:leftChars="0"/>
      </w:pPr>
      <w:r>
        <w:rPr>
          <w:rFonts w:hint="eastAsia"/>
          <w:lang w:val="en-US" w:eastAsia="zh-CN"/>
        </w:rPr>
        <w:t xml:space="preserve">8.1 </w:t>
      </w:r>
      <w:r>
        <w:rPr>
          <w:rFonts w:hint="eastAsia"/>
        </w:rPr>
        <w:t>标志</w:t>
      </w:r>
    </w:p>
    <w:p>
      <w:pPr>
        <w:pStyle w:val="24"/>
        <w:rPr>
          <w:rFonts w:hint="eastAsia"/>
        </w:rPr>
      </w:pPr>
      <w:r>
        <w:rPr>
          <w:rFonts w:hint="eastAsia" w:ascii="宋体" w:hAnsi="宋体" w:eastAsia="宋体" w:cs="宋体"/>
          <w:color w:val="000000"/>
          <w:kern w:val="0"/>
          <w:sz w:val="21"/>
          <w:szCs w:val="21"/>
          <w:lang w:val="en-US" w:eastAsia="zh-CN"/>
        </w:rPr>
        <w:t>包装箱外应至少注明以下内容</w:t>
      </w:r>
      <w:r>
        <w:rPr>
          <w:rFonts w:hint="eastAsia"/>
        </w:rPr>
        <w:t>：</w:t>
      </w:r>
    </w:p>
    <w:p>
      <w:pPr>
        <w:pStyle w:val="24"/>
        <w:numPr>
          <w:ilvl w:val="0"/>
          <w:numId w:val="19"/>
        </w:numPr>
        <w:rPr>
          <w:rFonts w:hint="eastAsia"/>
        </w:rPr>
      </w:pPr>
      <w:r>
        <w:rPr>
          <w:rFonts w:hint="eastAsia"/>
        </w:rPr>
        <w:t>供方名称；</w:t>
      </w:r>
    </w:p>
    <w:p>
      <w:pPr>
        <w:pStyle w:val="24"/>
        <w:numPr>
          <w:ilvl w:val="0"/>
          <w:numId w:val="19"/>
        </w:numPr>
        <w:rPr>
          <w:rFonts w:hint="eastAsia"/>
        </w:rPr>
      </w:pPr>
      <w:r>
        <w:rPr>
          <w:rFonts w:hint="eastAsia"/>
        </w:rPr>
        <w:t>产品名称；</w:t>
      </w:r>
    </w:p>
    <w:p>
      <w:pPr>
        <w:pStyle w:val="24"/>
        <w:numPr>
          <w:ilvl w:val="0"/>
          <w:numId w:val="19"/>
        </w:numPr>
        <w:rPr>
          <w:rFonts w:hint="eastAsia"/>
        </w:rPr>
      </w:pPr>
      <w:r>
        <w:rPr>
          <w:rFonts w:hint="eastAsia"/>
        </w:rPr>
        <w:t>批号、</w:t>
      </w:r>
      <w:r>
        <w:rPr>
          <w:rFonts w:hint="eastAsia"/>
          <w:lang w:val="en-US" w:eastAsia="zh-CN"/>
        </w:rPr>
        <w:t>规格型号</w:t>
      </w:r>
      <w:r>
        <w:rPr>
          <w:rFonts w:hint="eastAsia"/>
        </w:rPr>
        <w:t>；</w:t>
      </w:r>
    </w:p>
    <w:p>
      <w:pPr>
        <w:pStyle w:val="24"/>
        <w:numPr>
          <w:ilvl w:val="0"/>
          <w:numId w:val="19"/>
        </w:numPr>
        <w:rPr>
          <w:rFonts w:hint="eastAsia"/>
        </w:rPr>
      </w:pPr>
      <w:r>
        <w:rPr>
          <w:rFonts w:hint="eastAsia"/>
          <w:lang w:val="en-US" w:eastAsia="zh-CN"/>
        </w:rPr>
        <w:t>入库</w:t>
      </w:r>
      <w:r>
        <w:rPr>
          <w:rFonts w:hint="eastAsia"/>
        </w:rPr>
        <w:t>日期；</w:t>
      </w:r>
    </w:p>
    <w:p>
      <w:pPr>
        <w:pStyle w:val="24"/>
        <w:numPr>
          <w:ilvl w:val="0"/>
          <w:numId w:val="19"/>
        </w:numPr>
        <w:rPr>
          <w:rFonts w:hint="eastAsia"/>
        </w:rPr>
      </w:pPr>
      <w:r>
        <w:rPr>
          <w:rFonts w:hint="eastAsia"/>
          <w:lang w:val="en-US" w:eastAsia="zh-CN"/>
        </w:rPr>
        <w:t>数</w:t>
      </w:r>
      <w:r>
        <w:rPr>
          <w:rFonts w:hint="eastAsia"/>
          <w:u w:val="dotted"/>
          <w:lang w:val="en-US" w:eastAsia="zh-CN"/>
        </w:rPr>
        <w:t>量</w:t>
      </w:r>
      <w:r>
        <w:rPr>
          <w:rFonts w:hint="eastAsia"/>
        </w:rPr>
        <w:t>；</w:t>
      </w:r>
    </w:p>
    <w:p>
      <w:pPr>
        <w:pStyle w:val="24"/>
        <w:numPr>
          <w:ilvl w:val="0"/>
          <w:numId w:val="19"/>
        </w:numPr>
      </w:pPr>
      <w:r>
        <w:rPr>
          <w:rFonts w:hint="eastAsia"/>
        </w:rPr>
        <w:t>“小心轻放”</w:t>
      </w:r>
      <w:r>
        <w:rPr>
          <w:rFonts w:hint="eastAsia"/>
          <w:lang w:eastAsia="zh-CN"/>
        </w:rPr>
        <w:t>、“</w:t>
      </w:r>
      <w:r>
        <w:rPr>
          <w:rFonts w:hint="eastAsia"/>
          <w:lang w:val="en-US" w:eastAsia="zh-CN"/>
        </w:rPr>
        <w:t>易碎品</w:t>
      </w:r>
      <w:r>
        <w:rPr>
          <w:rFonts w:hint="eastAsia"/>
          <w:lang w:eastAsia="zh-CN"/>
        </w:rPr>
        <w:t>”、“</w:t>
      </w:r>
      <w:r>
        <w:rPr>
          <w:rFonts w:hint="eastAsia"/>
          <w:lang w:val="en-US" w:eastAsia="zh-CN"/>
        </w:rPr>
        <w:t>勿摔勿压</w:t>
      </w:r>
      <w:r>
        <w:rPr>
          <w:rFonts w:hint="eastAsia"/>
          <w:lang w:eastAsia="zh-CN"/>
        </w:rPr>
        <w:t>”、</w:t>
      </w:r>
      <w:r>
        <w:rPr>
          <w:rFonts w:hint="eastAsia"/>
        </w:rPr>
        <w:t>“防潮”、“向上”字样。</w:t>
      </w:r>
    </w:p>
    <w:p>
      <w:pPr>
        <w:pStyle w:val="46"/>
        <w:numPr>
          <w:ilvl w:val="1"/>
          <w:numId w:val="0"/>
        </w:numPr>
        <w:spacing w:before="156" w:after="156"/>
        <w:ind w:leftChars="0"/>
      </w:pPr>
      <w:r>
        <w:rPr>
          <w:rFonts w:hint="eastAsia"/>
          <w:lang w:val="en-US" w:eastAsia="zh-CN"/>
        </w:rPr>
        <w:t xml:space="preserve">8.2 </w:t>
      </w:r>
      <w:r>
        <w:rPr>
          <w:rFonts w:hint="eastAsia"/>
        </w:rPr>
        <w:t>包装</w:t>
      </w:r>
    </w:p>
    <w:p>
      <w:pPr>
        <w:pStyle w:val="24"/>
        <w:rPr>
          <w:color w:val="000000"/>
        </w:rPr>
      </w:pPr>
      <w:r>
        <w:rPr>
          <w:rFonts w:hint="eastAsia"/>
          <w:color w:val="000000"/>
          <w:lang w:eastAsia="zh-CN"/>
        </w:rPr>
        <w:t>多晶硅还原炉用氮化硅制品</w:t>
      </w:r>
      <w:r>
        <w:rPr>
          <w:rFonts w:hint="eastAsia"/>
          <w:color w:val="000000"/>
        </w:rPr>
        <w:t>装入洁净的聚乙烯</w:t>
      </w:r>
      <w:r>
        <w:rPr>
          <w:rFonts w:hint="eastAsia"/>
          <w:color w:val="000000"/>
          <w:lang w:val="en-US" w:eastAsia="zh-CN"/>
        </w:rPr>
        <w:t>气泡</w:t>
      </w:r>
      <w:r>
        <w:rPr>
          <w:rFonts w:hint="eastAsia"/>
          <w:color w:val="000000"/>
        </w:rPr>
        <w:t>包装袋内，</w:t>
      </w:r>
      <w:r>
        <w:rPr>
          <w:rFonts w:hint="eastAsia"/>
          <w:color w:val="000000"/>
          <w:lang w:val="en-US" w:eastAsia="zh-CN"/>
        </w:rPr>
        <w:t>双层包裹</w:t>
      </w:r>
      <w:r>
        <w:rPr>
          <w:rFonts w:hint="eastAsia"/>
          <w:color w:val="000000"/>
        </w:rPr>
        <w:t>，然后再将包装袋装入</w:t>
      </w:r>
      <w:r>
        <w:rPr>
          <w:rFonts w:hint="eastAsia"/>
          <w:color w:val="000000"/>
          <w:lang w:val="en-US" w:eastAsia="zh-CN"/>
        </w:rPr>
        <w:t>包装箱</w:t>
      </w:r>
      <w:r>
        <w:rPr>
          <w:rFonts w:hint="eastAsia"/>
          <w:color w:val="000000"/>
        </w:rPr>
        <w:t>内。包装时应防止聚乙烯包装袋破损，以避免产品外来沾污。</w:t>
      </w:r>
    </w:p>
    <w:p>
      <w:pPr>
        <w:pStyle w:val="46"/>
        <w:numPr>
          <w:ilvl w:val="1"/>
          <w:numId w:val="0"/>
        </w:numPr>
        <w:spacing w:before="156" w:after="156"/>
        <w:ind w:leftChars="0"/>
      </w:pPr>
      <w:r>
        <w:rPr>
          <w:rFonts w:hint="eastAsia"/>
          <w:lang w:val="en-US" w:eastAsia="zh-CN"/>
        </w:rPr>
        <w:t xml:space="preserve">8.3 </w:t>
      </w:r>
      <w:r>
        <w:rPr>
          <w:rFonts w:hint="eastAsia"/>
        </w:rPr>
        <w:t>运输</w:t>
      </w:r>
    </w:p>
    <w:p>
      <w:pPr>
        <w:pStyle w:val="24"/>
      </w:pPr>
      <w:r>
        <w:rPr>
          <w:rFonts w:hint="eastAsia"/>
        </w:rPr>
        <w:t>产品运输时应防止雨淋潮湿，不</w:t>
      </w:r>
      <w:r>
        <w:rPr>
          <w:rFonts w:hint="eastAsia"/>
          <w:lang w:val="en-US" w:eastAsia="zh-CN"/>
        </w:rPr>
        <w:t>允</w:t>
      </w:r>
      <w:r>
        <w:rPr>
          <w:rFonts w:hint="eastAsia"/>
        </w:rPr>
        <w:t>许剧烈碰撞。</w:t>
      </w:r>
    </w:p>
    <w:p>
      <w:pPr>
        <w:pStyle w:val="46"/>
        <w:numPr>
          <w:ilvl w:val="1"/>
          <w:numId w:val="0"/>
        </w:numPr>
        <w:spacing w:before="156" w:after="156"/>
        <w:ind w:leftChars="0"/>
      </w:pPr>
      <w:r>
        <w:rPr>
          <w:rFonts w:hint="eastAsia"/>
          <w:lang w:val="en-US" w:eastAsia="zh-CN"/>
        </w:rPr>
        <w:t xml:space="preserve">8.4 </w:t>
      </w:r>
      <w:r>
        <w:rPr>
          <w:rFonts w:hint="eastAsia"/>
        </w:rPr>
        <w:t>贮存</w:t>
      </w:r>
    </w:p>
    <w:p>
      <w:pPr>
        <w:pStyle w:val="24"/>
      </w:pPr>
      <w:r>
        <w:rPr>
          <w:rFonts w:hint="eastAsia" w:ascii="宋体" w:hAnsi="宋体" w:cs="宋体"/>
          <w:color w:val="auto"/>
          <w:kern w:val="0"/>
          <w:szCs w:val="21"/>
        </w:rPr>
        <w:t>产品</w:t>
      </w:r>
      <w:r>
        <w:rPr>
          <w:rFonts w:hint="eastAsia" w:hAnsi="宋体" w:cs="宋体"/>
          <w:color w:val="auto"/>
          <w:kern w:val="0"/>
          <w:szCs w:val="21"/>
          <w:lang w:val="en-US" w:eastAsia="zh-CN"/>
        </w:rPr>
        <w:t>包装后</w:t>
      </w:r>
      <w:r>
        <w:rPr>
          <w:rFonts w:hint="eastAsia" w:ascii="宋体" w:hAnsi="宋体" w:cs="宋体"/>
          <w:color w:val="auto"/>
          <w:kern w:val="0"/>
          <w:szCs w:val="21"/>
        </w:rPr>
        <w:t>应存放于干燥、</w:t>
      </w:r>
      <w:r>
        <w:rPr>
          <w:rFonts w:hint="eastAsia" w:hAnsi="宋体" w:cs="宋体"/>
          <w:color w:val="auto"/>
          <w:kern w:val="0"/>
          <w:szCs w:val="21"/>
          <w:lang w:val="en-US" w:eastAsia="zh-CN"/>
        </w:rPr>
        <w:t>洁净</w:t>
      </w:r>
      <w:r>
        <w:rPr>
          <w:rFonts w:hint="eastAsia" w:ascii="宋体" w:hAnsi="宋体" w:cs="宋体"/>
          <w:color w:val="auto"/>
          <w:kern w:val="0"/>
          <w:szCs w:val="21"/>
        </w:rPr>
        <w:t>环境中，堆放高度需避免产品的</w:t>
      </w:r>
      <w:r>
        <w:rPr>
          <w:rFonts w:hint="eastAsia" w:hAnsi="宋体" w:cs="宋体"/>
          <w:color w:val="auto"/>
          <w:kern w:val="0"/>
          <w:szCs w:val="21"/>
          <w:lang w:val="en-US" w:eastAsia="zh-CN"/>
        </w:rPr>
        <w:t>外包装</w:t>
      </w:r>
      <w:r>
        <w:rPr>
          <w:rFonts w:hint="eastAsia" w:ascii="宋体" w:hAnsi="宋体" w:cs="宋体"/>
          <w:color w:val="auto"/>
          <w:kern w:val="0"/>
          <w:szCs w:val="21"/>
        </w:rPr>
        <w:t>变形和垮塌</w:t>
      </w:r>
      <w:r>
        <w:rPr>
          <w:rFonts w:hint="eastAsia"/>
        </w:rPr>
        <w:t>。</w:t>
      </w:r>
    </w:p>
    <w:p>
      <w:pPr>
        <w:pStyle w:val="46"/>
        <w:numPr>
          <w:ilvl w:val="1"/>
          <w:numId w:val="0"/>
        </w:numPr>
        <w:spacing w:before="156" w:after="156"/>
        <w:ind w:leftChars="0"/>
        <w:rPr>
          <w:rFonts w:hint="eastAsia" w:eastAsia="黑体"/>
          <w:lang w:eastAsia="zh-CN"/>
        </w:rPr>
      </w:pPr>
      <w:r>
        <w:rPr>
          <w:rFonts w:hint="eastAsia"/>
          <w:lang w:val="en-US" w:eastAsia="zh-CN"/>
        </w:rPr>
        <w:t>8.5 随行文件</w:t>
      </w:r>
    </w:p>
    <w:p>
      <w:pPr>
        <w:pStyle w:val="24"/>
        <w:rPr>
          <w:rFonts w:hint="eastAsia"/>
          <w:lang w:eastAsia="zh-CN"/>
        </w:rPr>
      </w:pPr>
      <w:r>
        <w:rPr>
          <w:rFonts w:hint="eastAsia"/>
          <w:lang w:eastAsia="zh-CN"/>
        </w:rPr>
        <w:t>每批产品应附有随行文件，其中除应包括供方信息、产品信息、本文件编号、出厂日期或包装日期外，还宜包括：</w:t>
      </w:r>
    </w:p>
    <w:p>
      <w:pPr>
        <w:pStyle w:val="24"/>
        <w:rPr>
          <w:rFonts w:hint="eastAsia"/>
          <w:lang w:eastAsia="zh-CN"/>
        </w:rPr>
      </w:pPr>
      <w:r>
        <w:rPr>
          <w:rFonts w:hint="eastAsia"/>
          <w:lang w:val="en-US" w:eastAsia="zh-CN"/>
        </w:rPr>
        <w:t xml:space="preserve">a </w:t>
      </w:r>
      <w:r>
        <w:rPr>
          <w:rFonts w:hint="eastAsia"/>
          <w:lang w:eastAsia="zh-CN"/>
        </w:rPr>
        <w:t>产品合格证，包括以下内容：</w:t>
      </w:r>
    </w:p>
    <w:p>
      <w:pPr>
        <w:pStyle w:val="24"/>
        <w:numPr>
          <w:ilvl w:val="-1"/>
          <w:numId w:val="0"/>
        </w:numPr>
        <w:ind w:firstLine="420" w:firstLineChars="200"/>
        <w:rPr>
          <w:rFonts w:hint="eastAsia"/>
          <w:lang w:eastAsia="zh-CN"/>
        </w:rPr>
      </w:pPr>
      <w:r>
        <w:rPr>
          <w:rFonts w:hint="eastAsia"/>
          <w:lang w:val="en-US" w:eastAsia="zh-CN"/>
        </w:rPr>
        <w:t xml:space="preserve">① </w:t>
      </w:r>
      <w:r>
        <w:rPr>
          <w:rFonts w:hint="eastAsia"/>
          <w:lang w:eastAsia="zh-CN"/>
        </w:rPr>
        <w:t>检验项目及其结果；</w:t>
      </w:r>
    </w:p>
    <w:p>
      <w:pPr>
        <w:pStyle w:val="24"/>
        <w:rPr>
          <w:rFonts w:hint="eastAsia"/>
          <w:lang w:eastAsia="zh-CN"/>
        </w:rPr>
      </w:pPr>
      <w:r>
        <w:rPr>
          <w:rFonts w:hint="eastAsia"/>
          <w:lang w:val="en-US" w:eastAsia="zh-CN"/>
        </w:rPr>
        <w:t xml:space="preserve">② </w:t>
      </w:r>
      <w:r>
        <w:rPr>
          <w:rFonts w:hint="eastAsia"/>
          <w:lang w:eastAsia="zh-CN"/>
        </w:rPr>
        <w:t>批量或批号；</w:t>
      </w:r>
    </w:p>
    <w:p>
      <w:pPr>
        <w:pStyle w:val="24"/>
        <w:rPr>
          <w:rFonts w:hint="eastAsia"/>
          <w:lang w:eastAsia="zh-CN"/>
        </w:rPr>
      </w:pPr>
      <w:r>
        <w:rPr>
          <w:rFonts w:hint="eastAsia"/>
          <w:lang w:val="en-US" w:eastAsia="zh-CN"/>
        </w:rPr>
        <w:t xml:space="preserve">③ </w:t>
      </w:r>
      <w:r>
        <w:rPr>
          <w:rFonts w:hint="eastAsia"/>
          <w:lang w:eastAsia="zh-CN"/>
        </w:rPr>
        <w:t>检验日期；</w:t>
      </w:r>
    </w:p>
    <w:p>
      <w:pPr>
        <w:pStyle w:val="24"/>
        <w:rPr>
          <w:rFonts w:hint="eastAsia"/>
          <w:lang w:eastAsia="zh-CN"/>
        </w:rPr>
      </w:pPr>
      <w:r>
        <w:rPr>
          <w:rFonts w:hint="eastAsia"/>
          <w:lang w:val="en-US" w:eastAsia="zh-CN"/>
        </w:rPr>
        <w:t xml:space="preserve">④ </w:t>
      </w:r>
      <w:r>
        <w:rPr>
          <w:rFonts w:hint="eastAsia"/>
          <w:lang w:eastAsia="zh-CN"/>
        </w:rPr>
        <w:t>检验员签名</w:t>
      </w:r>
      <w:r>
        <w:rPr>
          <w:rFonts w:hint="eastAsia"/>
          <w:lang w:val="en-US" w:eastAsia="zh-CN"/>
        </w:rPr>
        <w:t>及</w:t>
      </w:r>
      <w:r>
        <w:rPr>
          <w:rFonts w:hint="eastAsia"/>
          <w:lang w:eastAsia="zh-CN"/>
        </w:rPr>
        <w:t>印章。</w:t>
      </w:r>
    </w:p>
    <w:p>
      <w:pPr>
        <w:pStyle w:val="24"/>
        <w:rPr>
          <w:rFonts w:hint="eastAsia"/>
          <w:lang w:eastAsia="zh-CN"/>
        </w:rPr>
      </w:pPr>
      <w:r>
        <w:rPr>
          <w:rFonts w:hint="eastAsia"/>
          <w:lang w:val="en-US" w:eastAsia="zh-CN"/>
        </w:rPr>
        <w:t xml:space="preserve">b </w:t>
      </w:r>
      <w:r>
        <w:rPr>
          <w:rFonts w:hint="eastAsia"/>
          <w:lang w:eastAsia="zh-CN"/>
        </w:rPr>
        <w:t>产品质量控制过程中的检验报告及成品检验报告；</w:t>
      </w:r>
    </w:p>
    <w:p>
      <w:pPr>
        <w:pStyle w:val="24"/>
        <w:rPr>
          <w:rFonts w:hint="eastAsia"/>
          <w:lang w:eastAsia="zh-CN"/>
        </w:rPr>
      </w:pPr>
      <w:r>
        <w:rPr>
          <w:rFonts w:hint="eastAsia"/>
          <w:lang w:val="en-US" w:eastAsia="zh-CN"/>
        </w:rPr>
        <w:t xml:space="preserve">c </w:t>
      </w:r>
      <w:r>
        <w:rPr>
          <w:rFonts w:hint="eastAsia"/>
          <w:lang w:eastAsia="zh-CN"/>
        </w:rPr>
        <w:t>产品使用说明：正确搬运、使用、贮存方法等；</w:t>
      </w:r>
    </w:p>
    <w:p>
      <w:pPr>
        <w:pStyle w:val="24"/>
        <w:rPr>
          <w:rFonts w:hint="eastAsia" w:eastAsia="宋体"/>
          <w:lang w:eastAsia="zh-CN"/>
        </w:rPr>
      </w:pPr>
      <w:r>
        <w:rPr>
          <w:rFonts w:hint="eastAsia"/>
          <w:lang w:val="en-US" w:eastAsia="zh-CN"/>
        </w:rPr>
        <w:t xml:space="preserve">d </w:t>
      </w:r>
      <w:r>
        <w:rPr>
          <w:rFonts w:hint="eastAsia" w:ascii="宋体" w:hAnsi="宋体" w:eastAsia="宋体" w:cs="宋体"/>
          <w:color w:val="000000"/>
          <w:kern w:val="0"/>
          <w:sz w:val="21"/>
          <w:szCs w:val="21"/>
          <w:lang w:val="en-US" w:eastAsia="zh-CN"/>
        </w:rPr>
        <w:t>供需双方若有其他需求，协商处理</w:t>
      </w:r>
      <w:r>
        <w:rPr>
          <w:rFonts w:hint="eastAsia"/>
          <w:lang w:eastAsia="zh-CN"/>
        </w:rPr>
        <w:t>。</w:t>
      </w:r>
    </w:p>
    <w:p>
      <w:pPr>
        <w:pStyle w:val="49"/>
        <w:numPr>
          <w:ilvl w:val="0"/>
          <w:numId w:val="0"/>
        </w:numPr>
        <w:spacing w:before="312" w:after="312"/>
        <w:ind w:leftChars="0"/>
        <w:rPr>
          <w:rFonts w:hint="eastAsia"/>
          <w:lang w:val="en-US" w:eastAsia="zh-CN"/>
        </w:rPr>
      </w:pPr>
      <w:r>
        <w:rPr>
          <w:rFonts w:hint="eastAsia"/>
          <w:lang w:val="en-US" w:eastAsia="zh-CN"/>
        </w:rPr>
        <w:t>9  订货单内容</w:t>
      </w:r>
    </w:p>
    <w:p>
      <w:pPr>
        <w:widowControl/>
        <w:tabs>
          <w:tab w:val="center" w:pos="4201"/>
          <w:tab w:val="right" w:leader="dot" w:pos="9298"/>
        </w:tabs>
        <w:autoSpaceDE w:val="0"/>
        <w:autoSpaceDN w:val="0"/>
        <w:ind w:firstLine="420" w:firstLineChars="200"/>
        <w:rPr>
          <w:rFonts w:ascii="宋体"/>
          <w:color w:val="auto"/>
          <w:kern w:val="0"/>
          <w:szCs w:val="20"/>
          <w:lang w:val="en-US" w:eastAsia="zh-CN"/>
        </w:rPr>
      </w:pPr>
      <w:r>
        <w:rPr>
          <w:rFonts w:hint="eastAsia" w:ascii="宋体"/>
          <w:color w:val="auto"/>
          <w:kern w:val="0"/>
          <w:szCs w:val="20"/>
          <w:lang w:val="en-US"/>
        </w:rPr>
        <w:t>需方可根据自身的需要，在订购本文件所列产品的订货单内，列出如下内容</w:t>
      </w:r>
      <w:r>
        <w:rPr>
          <w:rFonts w:ascii="宋体"/>
          <w:color w:val="auto"/>
          <w:kern w:val="0"/>
          <w:szCs w:val="20"/>
          <w:lang w:val="en-US" w:eastAsia="zh-CN"/>
        </w:rPr>
        <w:t>：</w:t>
      </w:r>
    </w:p>
    <w:p>
      <w:pPr>
        <w:widowControl/>
        <w:numPr>
          <w:ilvl w:val="0"/>
          <w:numId w:val="0"/>
        </w:numPr>
        <w:adjustRightInd w:val="0"/>
        <w:snapToGrid w:val="0"/>
        <w:ind w:left="420" w:leftChars="0"/>
        <w:jc w:val="left"/>
        <w:rPr>
          <w:rFonts w:ascii="宋体" w:hAnsi="宋体" w:cs="宋体"/>
          <w:color w:val="auto"/>
          <w:kern w:val="0"/>
          <w:szCs w:val="21"/>
        </w:rPr>
      </w:pPr>
      <w:r>
        <w:rPr>
          <w:rFonts w:hint="eastAsia" w:ascii="宋体" w:hAnsi="宋体" w:cs="宋体"/>
          <w:color w:val="auto"/>
          <w:kern w:val="0"/>
          <w:szCs w:val="21"/>
          <w:lang w:val="en-US" w:eastAsia="zh-CN"/>
        </w:rPr>
        <w:t xml:space="preserve">a </w:t>
      </w:r>
      <w:r>
        <w:rPr>
          <w:rFonts w:hint="eastAsia" w:ascii="宋体" w:hAnsi="宋体" w:cs="宋体"/>
          <w:color w:val="auto"/>
          <w:kern w:val="0"/>
          <w:szCs w:val="21"/>
        </w:rPr>
        <w:t>产品名称及牌号；</w:t>
      </w:r>
    </w:p>
    <w:p>
      <w:pPr>
        <w:widowControl/>
        <w:numPr>
          <w:ilvl w:val="0"/>
          <w:numId w:val="0"/>
        </w:numPr>
        <w:adjustRightInd w:val="0"/>
        <w:snapToGrid w:val="0"/>
        <w:ind w:left="420" w:leftChars="0"/>
        <w:jc w:val="left"/>
        <w:rPr>
          <w:rFonts w:ascii="宋体" w:hAnsi="宋体" w:cs="宋体"/>
          <w:color w:val="auto"/>
          <w:kern w:val="0"/>
          <w:szCs w:val="21"/>
        </w:rPr>
      </w:pPr>
      <w:r>
        <w:rPr>
          <w:rFonts w:hint="eastAsia" w:ascii="宋体" w:hAnsi="宋体" w:cs="宋体"/>
          <w:color w:val="auto"/>
          <w:kern w:val="0"/>
          <w:szCs w:val="21"/>
          <w:lang w:val="en-US" w:eastAsia="zh-CN"/>
        </w:rPr>
        <w:t xml:space="preserve">b </w:t>
      </w:r>
      <w:r>
        <w:rPr>
          <w:rFonts w:hint="eastAsia" w:ascii="宋体" w:hAnsi="宋体" w:cs="宋体"/>
          <w:color w:val="auto"/>
          <w:kern w:val="0"/>
          <w:szCs w:val="21"/>
        </w:rPr>
        <w:t>数量；</w:t>
      </w:r>
    </w:p>
    <w:p>
      <w:pPr>
        <w:widowControl/>
        <w:numPr>
          <w:ilvl w:val="0"/>
          <w:numId w:val="0"/>
        </w:numPr>
        <w:adjustRightInd w:val="0"/>
        <w:snapToGrid w:val="0"/>
        <w:ind w:left="420" w:leftChars="0"/>
        <w:jc w:val="left"/>
        <w:rPr>
          <w:rFonts w:ascii="宋体" w:hAnsi="宋体" w:cs="宋体"/>
          <w:color w:val="auto"/>
          <w:kern w:val="0"/>
          <w:szCs w:val="21"/>
        </w:rPr>
      </w:pPr>
      <w:r>
        <w:rPr>
          <w:rFonts w:hint="eastAsia" w:ascii="宋体" w:hAnsi="宋体" w:cs="宋体"/>
          <w:color w:val="auto"/>
          <w:kern w:val="0"/>
          <w:szCs w:val="21"/>
          <w:lang w:val="en-US" w:eastAsia="zh-CN"/>
        </w:rPr>
        <w:t xml:space="preserve">c </w:t>
      </w:r>
      <w:r>
        <w:rPr>
          <w:rFonts w:hint="eastAsia" w:ascii="宋体" w:hAnsi="宋体" w:cs="宋体"/>
          <w:color w:val="auto"/>
          <w:kern w:val="0"/>
          <w:szCs w:val="21"/>
        </w:rPr>
        <w:t>技术要求；</w:t>
      </w:r>
    </w:p>
    <w:p>
      <w:pPr>
        <w:widowControl/>
        <w:numPr>
          <w:ilvl w:val="0"/>
          <w:numId w:val="0"/>
        </w:numPr>
        <w:adjustRightInd w:val="0"/>
        <w:snapToGrid w:val="0"/>
        <w:ind w:left="420" w:leftChars="0"/>
        <w:jc w:val="left"/>
        <w:rPr>
          <w:rFonts w:ascii="宋体" w:hAnsi="宋体" w:cs="宋体"/>
          <w:color w:val="auto"/>
          <w:kern w:val="0"/>
          <w:szCs w:val="21"/>
        </w:rPr>
      </w:pPr>
      <w:r>
        <w:rPr>
          <w:rFonts w:hint="eastAsia" w:ascii="宋体" w:hAnsi="宋体" w:cs="宋体"/>
          <w:color w:val="auto"/>
          <w:kern w:val="0"/>
          <w:szCs w:val="21"/>
          <w:lang w:val="en-US" w:eastAsia="zh-CN"/>
        </w:rPr>
        <w:t xml:space="preserve">d </w:t>
      </w:r>
      <w:r>
        <w:rPr>
          <w:rFonts w:hint="eastAsia" w:ascii="宋体" w:hAnsi="宋体" w:cs="宋体"/>
          <w:color w:val="auto"/>
          <w:kern w:val="0"/>
          <w:szCs w:val="21"/>
        </w:rPr>
        <w:t>本文件编号；</w:t>
      </w:r>
    </w:p>
    <w:p>
      <w:pPr>
        <w:widowControl/>
        <w:numPr>
          <w:ilvl w:val="0"/>
          <w:numId w:val="0"/>
        </w:numPr>
        <w:adjustRightInd w:val="0"/>
        <w:snapToGrid w:val="0"/>
        <w:ind w:left="420" w:leftChars="0"/>
        <w:jc w:val="left"/>
        <w:rPr>
          <w:rFonts w:ascii="宋体" w:hAnsi="宋体" w:cs="宋体"/>
          <w:color w:val="auto"/>
          <w:kern w:val="0"/>
          <w:szCs w:val="21"/>
        </w:rPr>
      </w:pPr>
      <w:r>
        <w:rPr>
          <w:rFonts w:hint="eastAsia" w:ascii="宋体" w:hAnsi="宋体" w:cs="宋体"/>
          <w:color w:val="auto"/>
          <w:kern w:val="0"/>
          <w:szCs w:val="21"/>
          <w:lang w:val="en-US" w:eastAsia="zh-CN"/>
        </w:rPr>
        <w:t xml:space="preserve">e </w:t>
      </w:r>
      <w:r>
        <w:rPr>
          <w:rFonts w:hint="eastAsia" w:ascii="宋体" w:hAnsi="宋体" w:cs="宋体"/>
          <w:color w:val="auto"/>
          <w:kern w:val="0"/>
          <w:szCs w:val="21"/>
        </w:rPr>
        <w:t>本文件规定应在订货单中注明的内容；</w:t>
      </w:r>
    </w:p>
    <w:p>
      <w:pPr>
        <w:pStyle w:val="24"/>
        <w:rPr>
          <w:rFonts w:hint="eastAsia"/>
        </w:rPr>
      </w:pPr>
      <w:r>
        <w:rPr>
          <w:rFonts w:hint="eastAsia" w:hAnsi="宋体" w:cs="宋体"/>
          <w:color w:val="auto"/>
          <w:kern w:val="0"/>
          <w:szCs w:val="21"/>
          <w:lang w:val="en-US" w:eastAsia="zh-CN"/>
        </w:rPr>
        <w:t xml:space="preserve">f </w:t>
      </w:r>
      <w:r>
        <w:rPr>
          <w:rFonts w:hint="eastAsia" w:ascii="宋体" w:hAnsi="宋体" w:cs="宋体"/>
          <w:color w:val="auto"/>
          <w:kern w:val="0"/>
          <w:szCs w:val="21"/>
        </w:rPr>
        <w:t>其他</w:t>
      </w:r>
      <w:r>
        <w:rPr>
          <w:rFonts w:hint="eastAsia"/>
        </w:rPr>
        <w:t>。</w:t>
      </w:r>
      <w:r>
        <w:rPr>
          <w:rFonts w:hint="eastAsia"/>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880745</wp:posOffset>
                </wp:positionV>
                <wp:extent cx="2200275" cy="0"/>
                <wp:effectExtent l="0" t="4445" r="0" b="5080"/>
                <wp:wrapNone/>
                <wp:docPr id="4" name="自选图形 400"/>
                <wp:cNvGraphicFramePr/>
                <a:graphic xmlns:a="http://schemas.openxmlformats.org/drawingml/2006/main">
                  <a:graphicData uri="http://schemas.microsoft.com/office/word/2010/wordprocessingShape">
                    <wps:wsp>
                      <wps:cNvCnPr/>
                      <wps:spPr>
                        <a:xfrm flipV="1">
                          <a:off x="0" y="0"/>
                          <a:ext cx="2200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00" o:spid="_x0000_s1026" o:spt="32" type="#_x0000_t32" style="position:absolute;left:0pt;flip:y;margin-left:133.85pt;margin-top:69.35pt;height:0pt;width:173.25pt;z-index:251662336;mso-width-relative:page;mso-height-relative:page;" filled="f" stroked="t" coordsize="21600,21600" o:gfxdata="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cBDfXAAAACwEAAA8AAAAAAAAAAQAgAAAAIgAAAGRycy9kb3du&#10;cmV2LnhtbFBLAQIUABQAAAAIAIdO4kDy3r8ZAAIAAP0DAAAOAAAAAAAAAAEAIAAAACYBAABkcnMv&#10;ZTJvRG9jLnhtbFBLBQYAAAAABgAGAFkBAACYBQAAAAA=&#10;">
                <v:fill on="f" focussize="0,0"/>
                <v:stroke color="#000000" joinstyle="round"/>
                <v:imagedata o:title=""/>
                <o:lock v:ext="edit" aspectratio="f"/>
              </v:shape>
            </w:pict>
          </mc:Fallback>
        </mc:AlternateContent>
      </w:r>
    </w:p>
    <w:sectPr>
      <w:pgSz w:w="11906" w:h="16838"/>
      <w:pgMar w:top="567" w:right="1134" w:bottom="1134" w:left="1417"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YS/T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rFonts w:hint="eastAsia"/>
      </w:rPr>
      <w:t>YS/T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9"/>
      <w:suff w:val="nothing"/>
      <w:lvlText w:val="%1%2.%3　"/>
      <w:lvlJc w:val="left"/>
      <w:pPr>
        <w:ind w:left="0"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145"/>
      <w:suff w:val="nothing"/>
      <w:lvlText w:val="%1%2.%3.%4.%5　"/>
      <w:lvlJc w:val="left"/>
      <w:pPr>
        <w:ind w:left="0" w:firstLine="0"/>
      </w:pPr>
      <w:rPr>
        <w:rFonts w:hint="eastAsia" w:ascii="黑体" w:hAnsi="Times New Roman" w:eastAsia="黑体"/>
        <w:b w:val="0"/>
        <w:i w:val="0"/>
        <w:sz w:val="21"/>
      </w:rPr>
    </w:lvl>
    <w:lvl w:ilvl="5" w:tentative="0">
      <w:start w:val="1"/>
      <w:numFmt w:val="decimal"/>
      <w:pStyle w:val="146"/>
      <w:suff w:val="nothing"/>
      <w:lvlText w:val="%1%2.%3.%4.%5.%6　"/>
      <w:lvlJc w:val="left"/>
      <w:pPr>
        <w:ind w:left="0" w:firstLine="0"/>
      </w:pPr>
      <w:rPr>
        <w:rFonts w:hint="eastAsia" w:ascii="黑体" w:hAnsi="Times New Roman" w:eastAsia="黑体"/>
        <w:b w:val="0"/>
        <w:i w:val="0"/>
        <w:sz w:val="21"/>
      </w:rPr>
    </w:lvl>
    <w:lvl w:ilvl="6" w:tentative="0">
      <w:start w:val="1"/>
      <w:numFmt w:val="decimal"/>
      <w:pStyle w:val="1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9"/>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6">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42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0"/>
      <w:suff w:val="nothing"/>
      <w:lvlText w:val="%1.%2.%3　"/>
      <w:lvlJc w:val="left"/>
      <w:pPr>
        <w:ind w:left="2127"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1C2755D"/>
    <w:multiLevelType w:val="multilevel"/>
    <w:tmpl w:val="41C2755D"/>
    <w:lvl w:ilvl="0" w:tentative="0">
      <w:start w:val="1"/>
      <w:numFmt w:val="lowerLetter"/>
      <w:pStyle w:val="6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6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21DED53"/>
    <w:multiLevelType w:val="singleLevel"/>
    <w:tmpl w:val="521DED53"/>
    <w:lvl w:ilvl="0" w:tentative="0">
      <w:start w:val="1"/>
      <w:numFmt w:val="lowerLetter"/>
      <w:suff w:val="space"/>
      <w:lvlText w:val="%1)"/>
      <w:lvlJc w:val="left"/>
    </w:lvl>
  </w:abstractNum>
  <w:abstractNum w:abstractNumId="13">
    <w:nsid w:val="557C2AF5"/>
    <w:multiLevelType w:val="multilevel"/>
    <w:tmpl w:val="557C2AF5"/>
    <w:lvl w:ilvl="0" w:tentative="0">
      <w:start w:val="1"/>
      <w:numFmt w:val="decimal"/>
      <w:pStyle w:val="1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0"/>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6">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1"/>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8"/>
  </w:num>
  <w:num w:numId="7">
    <w:abstractNumId w:val="1"/>
  </w:num>
  <w:num w:numId="8">
    <w:abstractNumId w:val="11"/>
  </w:num>
  <w:num w:numId="9">
    <w:abstractNumId w:val="5"/>
  </w:num>
  <w:num w:numId="10">
    <w:abstractNumId w:val="16"/>
  </w:num>
  <w:num w:numId="11">
    <w:abstractNumId w:val="14"/>
  </w:num>
  <w:num w:numId="12">
    <w:abstractNumId w:val="17"/>
  </w:num>
  <w:num w:numId="13">
    <w:abstractNumId w:val="7"/>
  </w:num>
  <w:num w:numId="14">
    <w:abstractNumId w:val="2"/>
  </w:num>
  <w:num w:numId="15">
    <w:abstractNumId w:val="4"/>
  </w:num>
  <w:num w:numId="16">
    <w:abstractNumId w:val="15"/>
  </w:num>
  <w:num w:numId="17">
    <w:abstractNumId w:val="13"/>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Y2U4MGQwNWFkNTM3NjA1YzM2Y2VkOTI4NzJlMzQifQ=="/>
  </w:docVars>
  <w:rsids>
    <w:rsidRoot w:val="00035925"/>
    <w:rsid w:val="00000244"/>
    <w:rsid w:val="00000A3C"/>
    <w:rsid w:val="00000C43"/>
    <w:rsid w:val="0000185F"/>
    <w:rsid w:val="00003A03"/>
    <w:rsid w:val="0000586F"/>
    <w:rsid w:val="00006A4A"/>
    <w:rsid w:val="0001079B"/>
    <w:rsid w:val="00010BEC"/>
    <w:rsid w:val="00011001"/>
    <w:rsid w:val="00011155"/>
    <w:rsid w:val="00011DB9"/>
    <w:rsid w:val="00012D4C"/>
    <w:rsid w:val="00013D86"/>
    <w:rsid w:val="00013E02"/>
    <w:rsid w:val="00016323"/>
    <w:rsid w:val="000174C9"/>
    <w:rsid w:val="00017C78"/>
    <w:rsid w:val="00020216"/>
    <w:rsid w:val="0002143C"/>
    <w:rsid w:val="00021BEB"/>
    <w:rsid w:val="00025A65"/>
    <w:rsid w:val="0002655A"/>
    <w:rsid w:val="00026C31"/>
    <w:rsid w:val="00026CB0"/>
    <w:rsid w:val="00027280"/>
    <w:rsid w:val="0002768F"/>
    <w:rsid w:val="000320A7"/>
    <w:rsid w:val="00032EC2"/>
    <w:rsid w:val="000331DF"/>
    <w:rsid w:val="00033212"/>
    <w:rsid w:val="00034C1B"/>
    <w:rsid w:val="00035121"/>
    <w:rsid w:val="00035925"/>
    <w:rsid w:val="00036CB3"/>
    <w:rsid w:val="00040CF8"/>
    <w:rsid w:val="0004133B"/>
    <w:rsid w:val="000415D6"/>
    <w:rsid w:val="00041BAD"/>
    <w:rsid w:val="00042EE0"/>
    <w:rsid w:val="00044817"/>
    <w:rsid w:val="00045929"/>
    <w:rsid w:val="00045AF8"/>
    <w:rsid w:val="00050D85"/>
    <w:rsid w:val="00051917"/>
    <w:rsid w:val="00051A0B"/>
    <w:rsid w:val="000544B4"/>
    <w:rsid w:val="00054FEF"/>
    <w:rsid w:val="00055706"/>
    <w:rsid w:val="00060D53"/>
    <w:rsid w:val="00067CDF"/>
    <w:rsid w:val="00070471"/>
    <w:rsid w:val="00071782"/>
    <w:rsid w:val="00074FBE"/>
    <w:rsid w:val="0007546E"/>
    <w:rsid w:val="00076D61"/>
    <w:rsid w:val="0008002A"/>
    <w:rsid w:val="00080F3A"/>
    <w:rsid w:val="00083861"/>
    <w:rsid w:val="00083A09"/>
    <w:rsid w:val="00083AE0"/>
    <w:rsid w:val="000855F0"/>
    <w:rsid w:val="0008633B"/>
    <w:rsid w:val="0009005E"/>
    <w:rsid w:val="000905D6"/>
    <w:rsid w:val="00091811"/>
    <w:rsid w:val="00091D31"/>
    <w:rsid w:val="00092208"/>
    <w:rsid w:val="000924C8"/>
    <w:rsid w:val="00092857"/>
    <w:rsid w:val="000939DF"/>
    <w:rsid w:val="000948DA"/>
    <w:rsid w:val="000949E5"/>
    <w:rsid w:val="00094C99"/>
    <w:rsid w:val="00094CC0"/>
    <w:rsid w:val="00097428"/>
    <w:rsid w:val="00097AE4"/>
    <w:rsid w:val="00097E49"/>
    <w:rsid w:val="000A0FAC"/>
    <w:rsid w:val="000A1367"/>
    <w:rsid w:val="000A20A9"/>
    <w:rsid w:val="000A21B4"/>
    <w:rsid w:val="000A2D55"/>
    <w:rsid w:val="000A3535"/>
    <w:rsid w:val="000A3A2A"/>
    <w:rsid w:val="000A3CB2"/>
    <w:rsid w:val="000A45C7"/>
    <w:rsid w:val="000A48B1"/>
    <w:rsid w:val="000A4CD8"/>
    <w:rsid w:val="000A6471"/>
    <w:rsid w:val="000B3143"/>
    <w:rsid w:val="000B7DA8"/>
    <w:rsid w:val="000C2637"/>
    <w:rsid w:val="000C5525"/>
    <w:rsid w:val="000C6B05"/>
    <w:rsid w:val="000C6DD6"/>
    <w:rsid w:val="000C73D4"/>
    <w:rsid w:val="000C7D6F"/>
    <w:rsid w:val="000D1F72"/>
    <w:rsid w:val="000D2A01"/>
    <w:rsid w:val="000D2BFC"/>
    <w:rsid w:val="000D3D4C"/>
    <w:rsid w:val="000D4C3F"/>
    <w:rsid w:val="000D4F51"/>
    <w:rsid w:val="000D695A"/>
    <w:rsid w:val="000D718B"/>
    <w:rsid w:val="000E0C46"/>
    <w:rsid w:val="000E1927"/>
    <w:rsid w:val="000E31CF"/>
    <w:rsid w:val="000E3289"/>
    <w:rsid w:val="000E3718"/>
    <w:rsid w:val="000E5447"/>
    <w:rsid w:val="000E6344"/>
    <w:rsid w:val="000E71C1"/>
    <w:rsid w:val="000E7276"/>
    <w:rsid w:val="000F030C"/>
    <w:rsid w:val="000F129C"/>
    <w:rsid w:val="000F373F"/>
    <w:rsid w:val="000F4386"/>
    <w:rsid w:val="000F5829"/>
    <w:rsid w:val="000F6207"/>
    <w:rsid w:val="000F6492"/>
    <w:rsid w:val="00102B26"/>
    <w:rsid w:val="0010360F"/>
    <w:rsid w:val="00104C43"/>
    <w:rsid w:val="00104FBC"/>
    <w:rsid w:val="001056DE"/>
    <w:rsid w:val="00106259"/>
    <w:rsid w:val="00107736"/>
    <w:rsid w:val="00107FE0"/>
    <w:rsid w:val="00111745"/>
    <w:rsid w:val="001124C0"/>
    <w:rsid w:val="00112CF3"/>
    <w:rsid w:val="00113880"/>
    <w:rsid w:val="00114873"/>
    <w:rsid w:val="00115223"/>
    <w:rsid w:val="00116C30"/>
    <w:rsid w:val="001175D8"/>
    <w:rsid w:val="00117C1A"/>
    <w:rsid w:val="0012394D"/>
    <w:rsid w:val="00124397"/>
    <w:rsid w:val="0012541C"/>
    <w:rsid w:val="00125854"/>
    <w:rsid w:val="00125F93"/>
    <w:rsid w:val="00130A03"/>
    <w:rsid w:val="0013175F"/>
    <w:rsid w:val="00131FC3"/>
    <w:rsid w:val="00132407"/>
    <w:rsid w:val="00132BAF"/>
    <w:rsid w:val="00132D3A"/>
    <w:rsid w:val="0013629F"/>
    <w:rsid w:val="0013701E"/>
    <w:rsid w:val="00144E68"/>
    <w:rsid w:val="00145B11"/>
    <w:rsid w:val="00150BF4"/>
    <w:rsid w:val="001512B4"/>
    <w:rsid w:val="001515C4"/>
    <w:rsid w:val="00151763"/>
    <w:rsid w:val="00152C77"/>
    <w:rsid w:val="00152D7C"/>
    <w:rsid w:val="00154C10"/>
    <w:rsid w:val="00155790"/>
    <w:rsid w:val="00155A30"/>
    <w:rsid w:val="00155CCF"/>
    <w:rsid w:val="00155F40"/>
    <w:rsid w:val="001563EA"/>
    <w:rsid w:val="00160694"/>
    <w:rsid w:val="00160B87"/>
    <w:rsid w:val="001620A5"/>
    <w:rsid w:val="00163634"/>
    <w:rsid w:val="001649EF"/>
    <w:rsid w:val="00164B11"/>
    <w:rsid w:val="00164E53"/>
    <w:rsid w:val="0016699D"/>
    <w:rsid w:val="001669E5"/>
    <w:rsid w:val="00166B3F"/>
    <w:rsid w:val="00167D23"/>
    <w:rsid w:val="0017168A"/>
    <w:rsid w:val="00171C36"/>
    <w:rsid w:val="00173E33"/>
    <w:rsid w:val="00175159"/>
    <w:rsid w:val="00175B9F"/>
    <w:rsid w:val="00176208"/>
    <w:rsid w:val="001818A5"/>
    <w:rsid w:val="0018211B"/>
    <w:rsid w:val="0018212B"/>
    <w:rsid w:val="00182447"/>
    <w:rsid w:val="001828B2"/>
    <w:rsid w:val="00182B1F"/>
    <w:rsid w:val="001840D3"/>
    <w:rsid w:val="00185B25"/>
    <w:rsid w:val="00186358"/>
    <w:rsid w:val="00186831"/>
    <w:rsid w:val="00187DD6"/>
    <w:rsid w:val="001900F8"/>
    <w:rsid w:val="00190285"/>
    <w:rsid w:val="00190946"/>
    <w:rsid w:val="00191258"/>
    <w:rsid w:val="001916A8"/>
    <w:rsid w:val="00191896"/>
    <w:rsid w:val="00191A52"/>
    <w:rsid w:val="00191D23"/>
    <w:rsid w:val="00192680"/>
    <w:rsid w:val="00193037"/>
    <w:rsid w:val="00193A2C"/>
    <w:rsid w:val="001942B6"/>
    <w:rsid w:val="0019454D"/>
    <w:rsid w:val="001948DF"/>
    <w:rsid w:val="00194B95"/>
    <w:rsid w:val="00196D35"/>
    <w:rsid w:val="001A288E"/>
    <w:rsid w:val="001A38E8"/>
    <w:rsid w:val="001A4794"/>
    <w:rsid w:val="001B3069"/>
    <w:rsid w:val="001B35F2"/>
    <w:rsid w:val="001B4855"/>
    <w:rsid w:val="001B6DC2"/>
    <w:rsid w:val="001C149C"/>
    <w:rsid w:val="001C21AC"/>
    <w:rsid w:val="001C2558"/>
    <w:rsid w:val="001C47BA"/>
    <w:rsid w:val="001C55A8"/>
    <w:rsid w:val="001C59EA"/>
    <w:rsid w:val="001C644A"/>
    <w:rsid w:val="001C76BD"/>
    <w:rsid w:val="001C7C81"/>
    <w:rsid w:val="001D406C"/>
    <w:rsid w:val="001D4089"/>
    <w:rsid w:val="001D41EE"/>
    <w:rsid w:val="001D5384"/>
    <w:rsid w:val="001E0380"/>
    <w:rsid w:val="001E0FC6"/>
    <w:rsid w:val="001E13B1"/>
    <w:rsid w:val="001E195F"/>
    <w:rsid w:val="001E2FFE"/>
    <w:rsid w:val="001E52A6"/>
    <w:rsid w:val="001E67C1"/>
    <w:rsid w:val="001F135F"/>
    <w:rsid w:val="001F1F0B"/>
    <w:rsid w:val="001F2838"/>
    <w:rsid w:val="001F3A19"/>
    <w:rsid w:val="001F41C7"/>
    <w:rsid w:val="001F57B2"/>
    <w:rsid w:val="001F70C6"/>
    <w:rsid w:val="001F7FAE"/>
    <w:rsid w:val="002053D0"/>
    <w:rsid w:val="00205504"/>
    <w:rsid w:val="0020567F"/>
    <w:rsid w:val="002069AF"/>
    <w:rsid w:val="00210447"/>
    <w:rsid w:val="002116B0"/>
    <w:rsid w:val="00214787"/>
    <w:rsid w:val="00216A25"/>
    <w:rsid w:val="00216A61"/>
    <w:rsid w:val="00220C00"/>
    <w:rsid w:val="00222DB5"/>
    <w:rsid w:val="00224129"/>
    <w:rsid w:val="0022502A"/>
    <w:rsid w:val="00226A7F"/>
    <w:rsid w:val="00234467"/>
    <w:rsid w:val="00234E8B"/>
    <w:rsid w:val="002370C5"/>
    <w:rsid w:val="00237D8D"/>
    <w:rsid w:val="00241DA2"/>
    <w:rsid w:val="00242A30"/>
    <w:rsid w:val="00244FCD"/>
    <w:rsid w:val="00245B28"/>
    <w:rsid w:val="00246AA9"/>
    <w:rsid w:val="00247FEE"/>
    <w:rsid w:val="00250E7D"/>
    <w:rsid w:val="002528A4"/>
    <w:rsid w:val="002565D5"/>
    <w:rsid w:val="0025798C"/>
    <w:rsid w:val="002622C0"/>
    <w:rsid w:val="00262DB2"/>
    <w:rsid w:val="00263153"/>
    <w:rsid w:val="00265ECD"/>
    <w:rsid w:val="002662A1"/>
    <w:rsid w:val="0026707A"/>
    <w:rsid w:val="00267CF9"/>
    <w:rsid w:val="00271DBD"/>
    <w:rsid w:val="00272B27"/>
    <w:rsid w:val="002747CA"/>
    <w:rsid w:val="00275F08"/>
    <w:rsid w:val="002778AE"/>
    <w:rsid w:val="0028269A"/>
    <w:rsid w:val="00283590"/>
    <w:rsid w:val="00284635"/>
    <w:rsid w:val="00285175"/>
    <w:rsid w:val="0028531B"/>
    <w:rsid w:val="00286973"/>
    <w:rsid w:val="00290640"/>
    <w:rsid w:val="002933C6"/>
    <w:rsid w:val="00294E70"/>
    <w:rsid w:val="00295D22"/>
    <w:rsid w:val="00296557"/>
    <w:rsid w:val="002967F0"/>
    <w:rsid w:val="0029774B"/>
    <w:rsid w:val="002A1924"/>
    <w:rsid w:val="002A1C6E"/>
    <w:rsid w:val="002A570B"/>
    <w:rsid w:val="002A5D2F"/>
    <w:rsid w:val="002A7420"/>
    <w:rsid w:val="002B0955"/>
    <w:rsid w:val="002B0F12"/>
    <w:rsid w:val="002B1308"/>
    <w:rsid w:val="002B14BC"/>
    <w:rsid w:val="002B1CC7"/>
    <w:rsid w:val="002B2A20"/>
    <w:rsid w:val="002B2FFE"/>
    <w:rsid w:val="002B4259"/>
    <w:rsid w:val="002B4554"/>
    <w:rsid w:val="002B55DE"/>
    <w:rsid w:val="002B6BA1"/>
    <w:rsid w:val="002B76C9"/>
    <w:rsid w:val="002B7BF6"/>
    <w:rsid w:val="002B7D3A"/>
    <w:rsid w:val="002C013F"/>
    <w:rsid w:val="002C33F3"/>
    <w:rsid w:val="002C55AB"/>
    <w:rsid w:val="002C72D8"/>
    <w:rsid w:val="002D11FA"/>
    <w:rsid w:val="002D15EF"/>
    <w:rsid w:val="002D4DAB"/>
    <w:rsid w:val="002D65AA"/>
    <w:rsid w:val="002E0DDF"/>
    <w:rsid w:val="002E1B10"/>
    <w:rsid w:val="002E1DFA"/>
    <w:rsid w:val="002E2906"/>
    <w:rsid w:val="002E2A8E"/>
    <w:rsid w:val="002E3EF3"/>
    <w:rsid w:val="002E4CBF"/>
    <w:rsid w:val="002E5635"/>
    <w:rsid w:val="002E5F9B"/>
    <w:rsid w:val="002E610A"/>
    <w:rsid w:val="002E64C3"/>
    <w:rsid w:val="002E6A2C"/>
    <w:rsid w:val="002F0168"/>
    <w:rsid w:val="002F1D8C"/>
    <w:rsid w:val="002F1E5B"/>
    <w:rsid w:val="002F21DA"/>
    <w:rsid w:val="002F2BA8"/>
    <w:rsid w:val="002F3390"/>
    <w:rsid w:val="002F5B0F"/>
    <w:rsid w:val="002F74F8"/>
    <w:rsid w:val="002F7778"/>
    <w:rsid w:val="00300AFA"/>
    <w:rsid w:val="003011BC"/>
    <w:rsid w:val="00301F39"/>
    <w:rsid w:val="00304B87"/>
    <w:rsid w:val="003106D4"/>
    <w:rsid w:val="00310EBB"/>
    <w:rsid w:val="00314981"/>
    <w:rsid w:val="00316223"/>
    <w:rsid w:val="00317533"/>
    <w:rsid w:val="00320951"/>
    <w:rsid w:val="003245ED"/>
    <w:rsid w:val="00325926"/>
    <w:rsid w:val="00327A8A"/>
    <w:rsid w:val="00336610"/>
    <w:rsid w:val="00336AA6"/>
    <w:rsid w:val="00336DA2"/>
    <w:rsid w:val="003372E8"/>
    <w:rsid w:val="00337EFA"/>
    <w:rsid w:val="003406D9"/>
    <w:rsid w:val="00341039"/>
    <w:rsid w:val="00341606"/>
    <w:rsid w:val="00343000"/>
    <w:rsid w:val="00343F73"/>
    <w:rsid w:val="00345060"/>
    <w:rsid w:val="003470EF"/>
    <w:rsid w:val="00350795"/>
    <w:rsid w:val="00350FE2"/>
    <w:rsid w:val="00351E48"/>
    <w:rsid w:val="00351FAF"/>
    <w:rsid w:val="0035323B"/>
    <w:rsid w:val="00354AD7"/>
    <w:rsid w:val="003566FD"/>
    <w:rsid w:val="00356B80"/>
    <w:rsid w:val="003575E3"/>
    <w:rsid w:val="003609D2"/>
    <w:rsid w:val="003612AE"/>
    <w:rsid w:val="00361CD4"/>
    <w:rsid w:val="00363F22"/>
    <w:rsid w:val="00365F89"/>
    <w:rsid w:val="0036717D"/>
    <w:rsid w:val="00372938"/>
    <w:rsid w:val="00373541"/>
    <w:rsid w:val="00375564"/>
    <w:rsid w:val="003807D3"/>
    <w:rsid w:val="00380926"/>
    <w:rsid w:val="00382126"/>
    <w:rsid w:val="00383191"/>
    <w:rsid w:val="00386DED"/>
    <w:rsid w:val="00387706"/>
    <w:rsid w:val="00390126"/>
    <w:rsid w:val="00390465"/>
    <w:rsid w:val="00390CF9"/>
    <w:rsid w:val="003912E7"/>
    <w:rsid w:val="00392200"/>
    <w:rsid w:val="003938CA"/>
    <w:rsid w:val="00393947"/>
    <w:rsid w:val="00397049"/>
    <w:rsid w:val="003A2275"/>
    <w:rsid w:val="003A3DEC"/>
    <w:rsid w:val="003A51D7"/>
    <w:rsid w:val="003A589F"/>
    <w:rsid w:val="003A6A4F"/>
    <w:rsid w:val="003A7088"/>
    <w:rsid w:val="003A794D"/>
    <w:rsid w:val="003B0033"/>
    <w:rsid w:val="003B00DF"/>
    <w:rsid w:val="003B02DA"/>
    <w:rsid w:val="003B1275"/>
    <w:rsid w:val="003B1778"/>
    <w:rsid w:val="003B3DD2"/>
    <w:rsid w:val="003B5F9B"/>
    <w:rsid w:val="003B76BB"/>
    <w:rsid w:val="003B7CB1"/>
    <w:rsid w:val="003C11CB"/>
    <w:rsid w:val="003C188E"/>
    <w:rsid w:val="003C1947"/>
    <w:rsid w:val="003C2DEB"/>
    <w:rsid w:val="003C480C"/>
    <w:rsid w:val="003C75F3"/>
    <w:rsid w:val="003C76EA"/>
    <w:rsid w:val="003C78A3"/>
    <w:rsid w:val="003D0811"/>
    <w:rsid w:val="003D295F"/>
    <w:rsid w:val="003D2A9B"/>
    <w:rsid w:val="003D5703"/>
    <w:rsid w:val="003D5ADE"/>
    <w:rsid w:val="003D73A8"/>
    <w:rsid w:val="003D7B0D"/>
    <w:rsid w:val="003E0142"/>
    <w:rsid w:val="003E02D0"/>
    <w:rsid w:val="003E10C8"/>
    <w:rsid w:val="003E1867"/>
    <w:rsid w:val="003E39B2"/>
    <w:rsid w:val="003E3B72"/>
    <w:rsid w:val="003E530E"/>
    <w:rsid w:val="003E5729"/>
    <w:rsid w:val="003E6835"/>
    <w:rsid w:val="003F1B4B"/>
    <w:rsid w:val="003F239D"/>
    <w:rsid w:val="003F3806"/>
    <w:rsid w:val="003F4436"/>
    <w:rsid w:val="003F4EE0"/>
    <w:rsid w:val="003F6DBB"/>
    <w:rsid w:val="003F6F58"/>
    <w:rsid w:val="00400CF8"/>
    <w:rsid w:val="00402153"/>
    <w:rsid w:val="004029C6"/>
    <w:rsid w:val="00402FC1"/>
    <w:rsid w:val="00404636"/>
    <w:rsid w:val="0040577C"/>
    <w:rsid w:val="00411FEA"/>
    <w:rsid w:val="00412F50"/>
    <w:rsid w:val="00414DEC"/>
    <w:rsid w:val="004159EC"/>
    <w:rsid w:val="00415AB9"/>
    <w:rsid w:val="00417B1A"/>
    <w:rsid w:val="00420A41"/>
    <w:rsid w:val="004226B3"/>
    <w:rsid w:val="00425082"/>
    <w:rsid w:val="00425AD8"/>
    <w:rsid w:val="00427539"/>
    <w:rsid w:val="0042775B"/>
    <w:rsid w:val="0043035D"/>
    <w:rsid w:val="00430E7A"/>
    <w:rsid w:val="00431BB6"/>
    <w:rsid w:val="00431DEB"/>
    <w:rsid w:val="00432580"/>
    <w:rsid w:val="00433DA9"/>
    <w:rsid w:val="00435995"/>
    <w:rsid w:val="00437852"/>
    <w:rsid w:val="00440A0C"/>
    <w:rsid w:val="00442E90"/>
    <w:rsid w:val="00446626"/>
    <w:rsid w:val="00446987"/>
    <w:rsid w:val="00446B29"/>
    <w:rsid w:val="00446C01"/>
    <w:rsid w:val="00447025"/>
    <w:rsid w:val="004511A8"/>
    <w:rsid w:val="00453F9A"/>
    <w:rsid w:val="00460ED2"/>
    <w:rsid w:val="00461B68"/>
    <w:rsid w:val="00462492"/>
    <w:rsid w:val="004629F6"/>
    <w:rsid w:val="0046364E"/>
    <w:rsid w:val="00464422"/>
    <w:rsid w:val="00464F3B"/>
    <w:rsid w:val="0046550E"/>
    <w:rsid w:val="00466350"/>
    <w:rsid w:val="00470D36"/>
    <w:rsid w:val="00471E91"/>
    <w:rsid w:val="00472C59"/>
    <w:rsid w:val="00474675"/>
    <w:rsid w:val="0047470C"/>
    <w:rsid w:val="00475008"/>
    <w:rsid w:val="004800A1"/>
    <w:rsid w:val="004802E9"/>
    <w:rsid w:val="00484197"/>
    <w:rsid w:val="00485435"/>
    <w:rsid w:val="00487248"/>
    <w:rsid w:val="00491BF4"/>
    <w:rsid w:val="00495502"/>
    <w:rsid w:val="004A35F9"/>
    <w:rsid w:val="004A41AD"/>
    <w:rsid w:val="004A6945"/>
    <w:rsid w:val="004A6F67"/>
    <w:rsid w:val="004A742F"/>
    <w:rsid w:val="004B24C1"/>
    <w:rsid w:val="004B3422"/>
    <w:rsid w:val="004B399C"/>
    <w:rsid w:val="004B4711"/>
    <w:rsid w:val="004B479D"/>
    <w:rsid w:val="004C292F"/>
    <w:rsid w:val="004C2B6C"/>
    <w:rsid w:val="004C4F94"/>
    <w:rsid w:val="004C5D02"/>
    <w:rsid w:val="004D2186"/>
    <w:rsid w:val="004D26C0"/>
    <w:rsid w:val="004D617E"/>
    <w:rsid w:val="004D7DC3"/>
    <w:rsid w:val="004E1B7A"/>
    <w:rsid w:val="004E3A1C"/>
    <w:rsid w:val="004E4D8A"/>
    <w:rsid w:val="004F1089"/>
    <w:rsid w:val="004F5048"/>
    <w:rsid w:val="004F5976"/>
    <w:rsid w:val="004F6A91"/>
    <w:rsid w:val="00504690"/>
    <w:rsid w:val="0050491B"/>
    <w:rsid w:val="0050586D"/>
    <w:rsid w:val="005069B3"/>
    <w:rsid w:val="00507BB7"/>
    <w:rsid w:val="00510280"/>
    <w:rsid w:val="00513D73"/>
    <w:rsid w:val="005141D9"/>
    <w:rsid w:val="00514A43"/>
    <w:rsid w:val="00515525"/>
    <w:rsid w:val="00515609"/>
    <w:rsid w:val="005174E5"/>
    <w:rsid w:val="00521C8B"/>
    <w:rsid w:val="00522393"/>
    <w:rsid w:val="00522620"/>
    <w:rsid w:val="005227A6"/>
    <w:rsid w:val="00522CA9"/>
    <w:rsid w:val="00523290"/>
    <w:rsid w:val="0052516F"/>
    <w:rsid w:val="00525656"/>
    <w:rsid w:val="00525B5D"/>
    <w:rsid w:val="0052617A"/>
    <w:rsid w:val="00530F05"/>
    <w:rsid w:val="005344C4"/>
    <w:rsid w:val="0053474C"/>
    <w:rsid w:val="005347D0"/>
    <w:rsid w:val="00534C02"/>
    <w:rsid w:val="00536EA1"/>
    <w:rsid w:val="00537AF0"/>
    <w:rsid w:val="00537BBC"/>
    <w:rsid w:val="0054264B"/>
    <w:rsid w:val="005426C5"/>
    <w:rsid w:val="00543786"/>
    <w:rsid w:val="00545E88"/>
    <w:rsid w:val="00546358"/>
    <w:rsid w:val="005472CA"/>
    <w:rsid w:val="00551581"/>
    <w:rsid w:val="0055162D"/>
    <w:rsid w:val="0055233A"/>
    <w:rsid w:val="00552762"/>
    <w:rsid w:val="0055327B"/>
    <w:rsid w:val="005533D7"/>
    <w:rsid w:val="00554048"/>
    <w:rsid w:val="00554955"/>
    <w:rsid w:val="00560BEE"/>
    <w:rsid w:val="005620E2"/>
    <w:rsid w:val="0056446D"/>
    <w:rsid w:val="0056616B"/>
    <w:rsid w:val="005703DE"/>
    <w:rsid w:val="00570441"/>
    <w:rsid w:val="00573C17"/>
    <w:rsid w:val="00574A31"/>
    <w:rsid w:val="00575716"/>
    <w:rsid w:val="005761C6"/>
    <w:rsid w:val="0057709E"/>
    <w:rsid w:val="00581BCD"/>
    <w:rsid w:val="00583001"/>
    <w:rsid w:val="00583994"/>
    <w:rsid w:val="0058464E"/>
    <w:rsid w:val="00590418"/>
    <w:rsid w:val="00590AF8"/>
    <w:rsid w:val="00591612"/>
    <w:rsid w:val="00593BBE"/>
    <w:rsid w:val="00594EAA"/>
    <w:rsid w:val="005A01CB"/>
    <w:rsid w:val="005A12AD"/>
    <w:rsid w:val="005A1A18"/>
    <w:rsid w:val="005A22D5"/>
    <w:rsid w:val="005A5012"/>
    <w:rsid w:val="005A58FF"/>
    <w:rsid w:val="005A5A15"/>
    <w:rsid w:val="005A5EAF"/>
    <w:rsid w:val="005A64C0"/>
    <w:rsid w:val="005B05E4"/>
    <w:rsid w:val="005B0728"/>
    <w:rsid w:val="005B0A2A"/>
    <w:rsid w:val="005B1820"/>
    <w:rsid w:val="005B3197"/>
    <w:rsid w:val="005B3C11"/>
    <w:rsid w:val="005B6F47"/>
    <w:rsid w:val="005B761E"/>
    <w:rsid w:val="005C081C"/>
    <w:rsid w:val="005C1C28"/>
    <w:rsid w:val="005C21F3"/>
    <w:rsid w:val="005C2D00"/>
    <w:rsid w:val="005C6348"/>
    <w:rsid w:val="005C6DB5"/>
    <w:rsid w:val="005D03AE"/>
    <w:rsid w:val="005D1B4D"/>
    <w:rsid w:val="005D6022"/>
    <w:rsid w:val="005D6773"/>
    <w:rsid w:val="005E19E7"/>
    <w:rsid w:val="005E3DAC"/>
    <w:rsid w:val="005E47A4"/>
    <w:rsid w:val="005E5599"/>
    <w:rsid w:val="005E7F53"/>
    <w:rsid w:val="005F128D"/>
    <w:rsid w:val="005F1A56"/>
    <w:rsid w:val="005F3281"/>
    <w:rsid w:val="005F4ADF"/>
    <w:rsid w:val="005F5376"/>
    <w:rsid w:val="005F741C"/>
    <w:rsid w:val="006015AE"/>
    <w:rsid w:val="00602DD3"/>
    <w:rsid w:val="00605FA3"/>
    <w:rsid w:val="00610984"/>
    <w:rsid w:val="00610DFD"/>
    <w:rsid w:val="00612086"/>
    <w:rsid w:val="00613F81"/>
    <w:rsid w:val="006141C4"/>
    <w:rsid w:val="00615609"/>
    <w:rsid w:val="006166C1"/>
    <w:rsid w:val="0061716C"/>
    <w:rsid w:val="006173CF"/>
    <w:rsid w:val="00621342"/>
    <w:rsid w:val="00622ED0"/>
    <w:rsid w:val="006243A1"/>
    <w:rsid w:val="00625C53"/>
    <w:rsid w:val="00625EDB"/>
    <w:rsid w:val="006274DE"/>
    <w:rsid w:val="00632E56"/>
    <w:rsid w:val="006334BD"/>
    <w:rsid w:val="0063482D"/>
    <w:rsid w:val="00634BEA"/>
    <w:rsid w:val="00635CBA"/>
    <w:rsid w:val="0063640C"/>
    <w:rsid w:val="00636889"/>
    <w:rsid w:val="00636FB2"/>
    <w:rsid w:val="006403D7"/>
    <w:rsid w:val="00641D6F"/>
    <w:rsid w:val="0064338B"/>
    <w:rsid w:val="006441A0"/>
    <w:rsid w:val="00644DCE"/>
    <w:rsid w:val="00646542"/>
    <w:rsid w:val="006504F4"/>
    <w:rsid w:val="00650574"/>
    <w:rsid w:val="00654BC9"/>
    <w:rsid w:val="006552FD"/>
    <w:rsid w:val="00656D7B"/>
    <w:rsid w:val="00656EDA"/>
    <w:rsid w:val="00660E14"/>
    <w:rsid w:val="00661D9F"/>
    <w:rsid w:val="00661FFD"/>
    <w:rsid w:val="00663AF3"/>
    <w:rsid w:val="00666045"/>
    <w:rsid w:val="00666B59"/>
    <w:rsid w:val="00666B6C"/>
    <w:rsid w:val="00674961"/>
    <w:rsid w:val="006754B3"/>
    <w:rsid w:val="00681907"/>
    <w:rsid w:val="00682682"/>
    <w:rsid w:val="00682702"/>
    <w:rsid w:val="00684E35"/>
    <w:rsid w:val="00685960"/>
    <w:rsid w:val="00686A25"/>
    <w:rsid w:val="00692368"/>
    <w:rsid w:val="00694B20"/>
    <w:rsid w:val="006951D8"/>
    <w:rsid w:val="006A0725"/>
    <w:rsid w:val="006A20B8"/>
    <w:rsid w:val="006A251E"/>
    <w:rsid w:val="006A2EBC"/>
    <w:rsid w:val="006A4903"/>
    <w:rsid w:val="006A5C19"/>
    <w:rsid w:val="006A5EA0"/>
    <w:rsid w:val="006A6157"/>
    <w:rsid w:val="006A670B"/>
    <w:rsid w:val="006A783B"/>
    <w:rsid w:val="006A7B33"/>
    <w:rsid w:val="006B049B"/>
    <w:rsid w:val="006B0A33"/>
    <w:rsid w:val="006B0DE3"/>
    <w:rsid w:val="006B0E65"/>
    <w:rsid w:val="006B1BE3"/>
    <w:rsid w:val="006B4E13"/>
    <w:rsid w:val="006B75DD"/>
    <w:rsid w:val="006B7C56"/>
    <w:rsid w:val="006B7E4C"/>
    <w:rsid w:val="006C023B"/>
    <w:rsid w:val="006C15CB"/>
    <w:rsid w:val="006C1FB2"/>
    <w:rsid w:val="006C26C2"/>
    <w:rsid w:val="006C2CA4"/>
    <w:rsid w:val="006C55BA"/>
    <w:rsid w:val="006C67E0"/>
    <w:rsid w:val="006C7ABA"/>
    <w:rsid w:val="006D0D60"/>
    <w:rsid w:val="006D1122"/>
    <w:rsid w:val="006D1965"/>
    <w:rsid w:val="006D3C00"/>
    <w:rsid w:val="006D5523"/>
    <w:rsid w:val="006D7930"/>
    <w:rsid w:val="006D7B78"/>
    <w:rsid w:val="006E02DD"/>
    <w:rsid w:val="006E239E"/>
    <w:rsid w:val="006E3675"/>
    <w:rsid w:val="006E3DFF"/>
    <w:rsid w:val="006E4A7F"/>
    <w:rsid w:val="006E5216"/>
    <w:rsid w:val="006E603E"/>
    <w:rsid w:val="006E636B"/>
    <w:rsid w:val="006F2D9D"/>
    <w:rsid w:val="006F3CAB"/>
    <w:rsid w:val="006F411E"/>
    <w:rsid w:val="006F537E"/>
    <w:rsid w:val="006F5879"/>
    <w:rsid w:val="006F58FE"/>
    <w:rsid w:val="00702153"/>
    <w:rsid w:val="0070360C"/>
    <w:rsid w:val="00703813"/>
    <w:rsid w:val="00704DF6"/>
    <w:rsid w:val="00705E31"/>
    <w:rsid w:val="00705F17"/>
    <w:rsid w:val="0070651C"/>
    <w:rsid w:val="00710518"/>
    <w:rsid w:val="007130D1"/>
    <w:rsid w:val="007132A3"/>
    <w:rsid w:val="00715313"/>
    <w:rsid w:val="00716421"/>
    <w:rsid w:val="00724EFB"/>
    <w:rsid w:val="00725A71"/>
    <w:rsid w:val="00726E84"/>
    <w:rsid w:val="00730625"/>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02EF"/>
    <w:rsid w:val="007525CC"/>
    <w:rsid w:val="00753036"/>
    <w:rsid w:val="00753D2B"/>
    <w:rsid w:val="00753EBC"/>
    <w:rsid w:val="0075415C"/>
    <w:rsid w:val="0075501A"/>
    <w:rsid w:val="00755321"/>
    <w:rsid w:val="007559BF"/>
    <w:rsid w:val="00755D4B"/>
    <w:rsid w:val="00756562"/>
    <w:rsid w:val="00756668"/>
    <w:rsid w:val="00756764"/>
    <w:rsid w:val="00760C6C"/>
    <w:rsid w:val="007620F6"/>
    <w:rsid w:val="00763502"/>
    <w:rsid w:val="0076352F"/>
    <w:rsid w:val="007656A5"/>
    <w:rsid w:val="00765DF6"/>
    <w:rsid w:val="00767131"/>
    <w:rsid w:val="00771499"/>
    <w:rsid w:val="0077164E"/>
    <w:rsid w:val="00775AE0"/>
    <w:rsid w:val="007765A0"/>
    <w:rsid w:val="00776EBA"/>
    <w:rsid w:val="00781D64"/>
    <w:rsid w:val="007847F7"/>
    <w:rsid w:val="00785406"/>
    <w:rsid w:val="00785B9A"/>
    <w:rsid w:val="007861D8"/>
    <w:rsid w:val="007913AB"/>
    <w:rsid w:val="007914F7"/>
    <w:rsid w:val="00792641"/>
    <w:rsid w:val="007927F2"/>
    <w:rsid w:val="00792D05"/>
    <w:rsid w:val="00793D8B"/>
    <w:rsid w:val="00795D4F"/>
    <w:rsid w:val="00796971"/>
    <w:rsid w:val="007A2F79"/>
    <w:rsid w:val="007A3229"/>
    <w:rsid w:val="007A352A"/>
    <w:rsid w:val="007B0388"/>
    <w:rsid w:val="007B1625"/>
    <w:rsid w:val="007B221D"/>
    <w:rsid w:val="007B3309"/>
    <w:rsid w:val="007B6161"/>
    <w:rsid w:val="007B706E"/>
    <w:rsid w:val="007B71EB"/>
    <w:rsid w:val="007C45B5"/>
    <w:rsid w:val="007C6205"/>
    <w:rsid w:val="007C686A"/>
    <w:rsid w:val="007C728E"/>
    <w:rsid w:val="007C737E"/>
    <w:rsid w:val="007C7FA5"/>
    <w:rsid w:val="007D2268"/>
    <w:rsid w:val="007D2754"/>
    <w:rsid w:val="007D2C53"/>
    <w:rsid w:val="007D3D60"/>
    <w:rsid w:val="007D55A5"/>
    <w:rsid w:val="007D6F7F"/>
    <w:rsid w:val="007D70D4"/>
    <w:rsid w:val="007E1980"/>
    <w:rsid w:val="007E305C"/>
    <w:rsid w:val="007E4B76"/>
    <w:rsid w:val="007E52CB"/>
    <w:rsid w:val="007E5EA8"/>
    <w:rsid w:val="007E6262"/>
    <w:rsid w:val="007F03AC"/>
    <w:rsid w:val="007F0CF1"/>
    <w:rsid w:val="007F0DDB"/>
    <w:rsid w:val="007F12A5"/>
    <w:rsid w:val="007F1A2E"/>
    <w:rsid w:val="007F2042"/>
    <w:rsid w:val="007F4CF1"/>
    <w:rsid w:val="007F4FDE"/>
    <w:rsid w:val="007F60F9"/>
    <w:rsid w:val="007F758D"/>
    <w:rsid w:val="007F7D52"/>
    <w:rsid w:val="008004D2"/>
    <w:rsid w:val="008018D0"/>
    <w:rsid w:val="00801A22"/>
    <w:rsid w:val="008029D1"/>
    <w:rsid w:val="0080654C"/>
    <w:rsid w:val="00807186"/>
    <w:rsid w:val="008071C6"/>
    <w:rsid w:val="00810734"/>
    <w:rsid w:val="00810994"/>
    <w:rsid w:val="008115CD"/>
    <w:rsid w:val="00812802"/>
    <w:rsid w:val="00813917"/>
    <w:rsid w:val="00816E08"/>
    <w:rsid w:val="00817A00"/>
    <w:rsid w:val="00820B9A"/>
    <w:rsid w:val="00823418"/>
    <w:rsid w:val="00823654"/>
    <w:rsid w:val="00825950"/>
    <w:rsid w:val="00830353"/>
    <w:rsid w:val="00830A5A"/>
    <w:rsid w:val="00831175"/>
    <w:rsid w:val="00833450"/>
    <w:rsid w:val="00835436"/>
    <w:rsid w:val="00835DB3"/>
    <w:rsid w:val="00836083"/>
    <w:rsid w:val="0083617B"/>
    <w:rsid w:val="00836704"/>
    <w:rsid w:val="00836EFE"/>
    <w:rsid w:val="008371BD"/>
    <w:rsid w:val="00837725"/>
    <w:rsid w:val="0084063C"/>
    <w:rsid w:val="00842A7E"/>
    <w:rsid w:val="00844091"/>
    <w:rsid w:val="00844ADE"/>
    <w:rsid w:val="00846647"/>
    <w:rsid w:val="00846E6B"/>
    <w:rsid w:val="00846E97"/>
    <w:rsid w:val="00847BA5"/>
    <w:rsid w:val="008504A8"/>
    <w:rsid w:val="0085186F"/>
    <w:rsid w:val="00852153"/>
    <w:rsid w:val="0085282E"/>
    <w:rsid w:val="00853524"/>
    <w:rsid w:val="008538F3"/>
    <w:rsid w:val="00854C90"/>
    <w:rsid w:val="00857704"/>
    <w:rsid w:val="008620AA"/>
    <w:rsid w:val="0086275E"/>
    <w:rsid w:val="00864B30"/>
    <w:rsid w:val="0086544E"/>
    <w:rsid w:val="00866FAB"/>
    <w:rsid w:val="008675F4"/>
    <w:rsid w:val="00871049"/>
    <w:rsid w:val="0087198C"/>
    <w:rsid w:val="008725EF"/>
    <w:rsid w:val="00872C1F"/>
    <w:rsid w:val="00873458"/>
    <w:rsid w:val="00873B42"/>
    <w:rsid w:val="00873D8F"/>
    <w:rsid w:val="00877B12"/>
    <w:rsid w:val="008804CC"/>
    <w:rsid w:val="0088051B"/>
    <w:rsid w:val="008813A4"/>
    <w:rsid w:val="008827C0"/>
    <w:rsid w:val="008856D8"/>
    <w:rsid w:val="00887A05"/>
    <w:rsid w:val="00890295"/>
    <w:rsid w:val="008911AA"/>
    <w:rsid w:val="00891617"/>
    <w:rsid w:val="00892E82"/>
    <w:rsid w:val="008946E2"/>
    <w:rsid w:val="0089510A"/>
    <w:rsid w:val="0089590B"/>
    <w:rsid w:val="00896964"/>
    <w:rsid w:val="00897500"/>
    <w:rsid w:val="008A2146"/>
    <w:rsid w:val="008A35C6"/>
    <w:rsid w:val="008A3D50"/>
    <w:rsid w:val="008A64B0"/>
    <w:rsid w:val="008B16EC"/>
    <w:rsid w:val="008B29C0"/>
    <w:rsid w:val="008C1B58"/>
    <w:rsid w:val="008C39AE"/>
    <w:rsid w:val="008C3E78"/>
    <w:rsid w:val="008C4612"/>
    <w:rsid w:val="008C590D"/>
    <w:rsid w:val="008C6175"/>
    <w:rsid w:val="008D42DB"/>
    <w:rsid w:val="008D6D76"/>
    <w:rsid w:val="008D79E8"/>
    <w:rsid w:val="008E031B"/>
    <w:rsid w:val="008E2135"/>
    <w:rsid w:val="008E2F36"/>
    <w:rsid w:val="008E7029"/>
    <w:rsid w:val="008E7EF6"/>
    <w:rsid w:val="008F0B43"/>
    <w:rsid w:val="008F1948"/>
    <w:rsid w:val="008F1A97"/>
    <w:rsid w:val="008F1F98"/>
    <w:rsid w:val="008F4862"/>
    <w:rsid w:val="008F6758"/>
    <w:rsid w:val="008F77F1"/>
    <w:rsid w:val="00902A76"/>
    <w:rsid w:val="009040DD"/>
    <w:rsid w:val="00905A8A"/>
    <w:rsid w:val="00905B47"/>
    <w:rsid w:val="0090737F"/>
    <w:rsid w:val="009101B5"/>
    <w:rsid w:val="00910619"/>
    <w:rsid w:val="00912CE2"/>
    <w:rsid w:val="0091331C"/>
    <w:rsid w:val="009205BB"/>
    <w:rsid w:val="00921C7A"/>
    <w:rsid w:val="0092292E"/>
    <w:rsid w:val="00924B0D"/>
    <w:rsid w:val="009279DE"/>
    <w:rsid w:val="00930116"/>
    <w:rsid w:val="00931C8E"/>
    <w:rsid w:val="0093538C"/>
    <w:rsid w:val="0093779A"/>
    <w:rsid w:val="0094212C"/>
    <w:rsid w:val="009433BA"/>
    <w:rsid w:val="00943981"/>
    <w:rsid w:val="00945BDE"/>
    <w:rsid w:val="009470D3"/>
    <w:rsid w:val="00951ADF"/>
    <w:rsid w:val="00952E22"/>
    <w:rsid w:val="00953691"/>
    <w:rsid w:val="00954689"/>
    <w:rsid w:val="009556E0"/>
    <w:rsid w:val="00956CDE"/>
    <w:rsid w:val="00957528"/>
    <w:rsid w:val="00957A4E"/>
    <w:rsid w:val="009606EA"/>
    <w:rsid w:val="0096088F"/>
    <w:rsid w:val="009617C9"/>
    <w:rsid w:val="00961C93"/>
    <w:rsid w:val="009652C7"/>
    <w:rsid w:val="00965324"/>
    <w:rsid w:val="00966246"/>
    <w:rsid w:val="0097091E"/>
    <w:rsid w:val="00972C7F"/>
    <w:rsid w:val="00974760"/>
    <w:rsid w:val="009747A3"/>
    <w:rsid w:val="00974C48"/>
    <w:rsid w:val="00974CB8"/>
    <w:rsid w:val="009760D3"/>
    <w:rsid w:val="00977132"/>
    <w:rsid w:val="00980FC8"/>
    <w:rsid w:val="009817A3"/>
    <w:rsid w:val="00981A4B"/>
    <w:rsid w:val="00982501"/>
    <w:rsid w:val="00983007"/>
    <w:rsid w:val="00986536"/>
    <w:rsid w:val="00987569"/>
    <w:rsid w:val="009877D3"/>
    <w:rsid w:val="0099119A"/>
    <w:rsid w:val="00994E8F"/>
    <w:rsid w:val="009951DC"/>
    <w:rsid w:val="009959BB"/>
    <w:rsid w:val="00995ECB"/>
    <w:rsid w:val="00997158"/>
    <w:rsid w:val="009976DA"/>
    <w:rsid w:val="009A06F8"/>
    <w:rsid w:val="009A167F"/>
    <w:rsid w:val="009A1D0A"/>
    <w:rsid w:val="009A1EEA"/>
    <w:rsid w:val="009A257D"/>
    <w:rsid w:val="009A3A7C"/>
    <w:rsid w:val="009A5003"/>
    <w:rsid w:val="009B0267"/>
    <w:rsid w:val="009B03EA"/>
    <w:rsid w:val="009B13CD"/>
    <w:rsid w:val="009B22AF"/>
    <w:rsid w:val="009B2ADB"/>
    <w:rsid w:val="009B2B29"/>
    <w:rsid w:val="009B2E24"/>
    <w:rsid w:val="009B3193"/>
    <w:rsid w:val="009B4DE2"/>
    <w:rsid w:val="009B603A"/>
    <w:rsid w:val="009B65DC"/>
    <w:rsid w:val="009C06CE"/>
    <w:rsid w:val="009C266D"/>
    <w:rsid w:val="009C2D0E"/>
    <w:rsid w:val="009C3DAC"/>
    <w:rsid w:val="009C42E0"/>
    <w:rsid w:val="009C4AF5"/>
    <w:rsid w:val="009D1C80"/>
    <w:rsid w:val="009D209B"/>
    <w:rsid w:val="009D25E7"/>
    <w:rsid w:val="009D5362"/>
    <w:rsid w:val="009D540C"/>
    <w:rsid w:val="009D6C21"/>
    <w:rsid w:val="009E1415"/>
    <w:rsid w:val="009E16DE"/>
    <w:rsid w:val="009E3B9C"/>
    <w:rsid w:val="009E42C2"/>
    <w:rsid w:val="009E453B"/>
    <w:rsid w:val="009E4A21"/>
    <w:rsid w:val="009E6116"/>
    <w:rsid w:val="009E7579"/>
    <w:rsid w:val="009F0371"/>
    <w:rsid w:val="009F138E"/>
    <w:rsid w:val="009F13C5"/>
    <w:rsid w:val="009F2A30"/>
    <w:rsid w:val="009F3910"/>
    <w:rsid w:val="009F3AB4"/>
    <w:rsid w:val="009F5DEF"/>
    <w:rsid w:val="009F60B0"/>
    <w:rsid w:val="00A02E43"/>
    <w:rsid w:val="00A02E47"/>
    <w:rsid w:val="00A02FD0"/>
    <w:rsid w:val="00A03EB3"/>
    <w:rsid w:val="00A065F9"/>
    <w:rsid w:val="00A0661C"/>
    <w:rsid w:val="00A069B4"/>
    <w:rsid w:val="00A070B3"/>
    <w:rsid w:val="00A07B3B"/>
    <w:rsid w:val="00A07F34"/>
    <w:rsid w:val="00A105B8"/>
    <w:rsid w:val="00A121E1"/>
    <w:rsid w:val="00A153D5"/>
    <w:rsid w:val="00A1663B"/>
    <w:rsid w:val="00A206DE"/>
    <w:rsid w:val="00A22154"/>
    <w:rsid w:val="00A2491A"/>
    <w:rsid w:val="00A25C38"/>
    <w:rsid w:val="00A2605F"/>
    <w:rsid w:val="00A26143"/>
    <w:rsid w:val="00A31687"/>
    <w:rsid w:val="00A33367"/>
    <w:rsid w:val="00A334DA"/>
    <w:rsid w:val="00A33B9B"/>
    <w:rsid w:val="00A3544A"/>
    <w:rsid w:val="00A36059"/>
    <w:rsid w:val="00A36908"/>
    <w:rsid w:val="00A36BBE"/>
    <w:rsid w:val="00A37409"/>
    <w:rsid w:val="00A40F81"/>
    <w:rsid w:val="00A4307A"/>
    <w:rsid w:val="00A45ED6"/>
    <w:rsid w:val="00A46781"/>
    <w:rsid w:val="00A47040"/>
    <w:rsid w:val="00A47EBB"/>
    <w:rsid w:val="00A5144F"/>
    <w:rsid w:val="00A51505"/>
    <w:rsid w:val="00A51CDD"/>
    <w:rsid w:val="00A52FAE"/>
    <w:rsid w:val="00A544BE"/>
    <w:rsid w:val="00A54604"/>
    <w:rsid w:val="00A54AA0"/>
    <w:rsid w:val="00A55586"/>
    <w:rsid w:val="00A55E22"/>
    <w:rsid w:val="00A578C7"/>
    <w:rsid w:val="00A647F8"/>
    <w:rsid w:val="00A6730D"/>
    <w:rsid w:val="00A71625"/>
    <w:rsid w:val="00A71B9B"/>
    <w:rsid w:val="00A73F67"/>
    <w:rsid w:val="00A74437"/>
    <w:rsid w:val="00A747F5"/>
    <w:rsid w:val="00A74C44"/>
    <w:rsid w:val="00A74CE2"/>
    <w:rsid w:val="00A751C7"/>
    <w:rsid w:val="00A75488"/>
    <w:rsid w:val="00A80077"/>
    <w:rsid w:val="00A806CD"/>
    <w:rsid w:val="00A81E9B"/>
    <w:rsid w:val="00A83081"/>
    <w:rsid w:val="00A87844"/>
    <w:rsid w:val="00A940DD"/>
    <w:rsid w:val="00A95527"/>
    <w:rsid w:val="00A970D1"/>
    <w:rsid w:val="00A97B28"/>
    <w:rsid w:val="00A97E37"/>
    <w:rsid w:val="00AA038C"/>
    <w:rsid w:val="00AA0D04"/>
    <w:rsid w:val="00AA164B"/>
    <w:rsid w:val="00AA2306"/>
    <w:rsid w:val="00AA4341"/>
    <w:rsid w:val="00AA4932"/>
    <w:rsid w:val="00AA528C"/>
    <w:rsid w:val="00AA5905"/>
    <w:rsid w:val="00AA6B01"/>
    <w:rsid w:val="00AA7A09"/>
    <w:rsid w:val="00AB0015"/>
    <w:rsid w:val="00AB0C7C"/>
    <w:rsid w:val="00AB38EC"/>
    <w:rsid w:val="00AB3B50"/>
    <w:rsid w:val="00AB5072"/>
    <w:rsid w:val="00AB60F9"/>
    <w:rsid w:val="00AB7FB6"/>
    <w:rsid w:val="00AC0399"/>
    <w:rsid w:val="00AC05B1"/>
    <w:rsid w:val="00AC1FFA"/>
    <w:rsid w:val="00AC3584"/>
    <w:rsid w:val="00AD356C"/>
    <w:rsid w:val="00AD6785"/>
    <w:rsid w:val="00AE2914"/>
    <w:rsid w:val="00AE2D52"/>
    <w:rsid w:val="00AE3775"/>
    <w:rsid w:val="00AE4A83"/>
    <w:rsid w:val="00AE6D15"/>
    <w:rsid w:val="00AE70E7"/>
    <w:rsid w:val="00AE713E"/>
    <w:rsid w:val="00AF1D66"/>
    <w:rsid w:val="00AF1F4C"/>
    <w:rsid w:val="00AF4BE0"/>
    <w:rsid w:val="00B00F7D"/>
    <w:rsid w:val="00B0191C"/>
    <w:rsid w:val="00B0267C"/>
    <w:rsid w:val="00B04182"/>
    <w:rsid w:val="00B04421"/>
    <w:rsid w:val="00B06DA2"/>
    <w:rsid w:val="00B07AE3"/>
    <w:rsid w:val="00B07F31"/>
    <w:rsid w:val="00B1052E"/>
    <w:rsid w:val="00B10C13"/>
    <w:rsid w:val="00B11430"/>
    <w:rsid w:val="00B12FB6"/>
    <w:rsid w:val="00B20859"/>
    <w:rsid w:val="00B23542"/>
    <w:rsid w:val="00B24005"/>
    <w:rsid w:val="00B24E7D"/>
    <w:rsid w:val="00B25F90"/>
    <w:rsid w:val="00B2608E"/>
    <w:rsid w:val="00B26714"/>
    <w:rsid w:val="00B26803"/>
    <w:rsid w:val="00B27C96"/>
    <w:rsid w:val="00B3225B"/>
    <w:rsid w:val="00B32450"/>
    <w:rsid w:val="00B32DAD"/>
    <w:rsid w:val="00B33746"/>
    <w:rsid w:val="00B341D5"/>
    <w:rsid w:val="00B34EF6"/>
    <w:rsid w:val="00B353EB"/>
    <w:rsid w:val="00B35A70"/>
    <w:rsid w:val="00B40337"/>
    <w:rsid w:val="00B419F7"/>
    <w:rsid w:val="00B41B25"/>
    <w:rsid w:val="00B439C4"/>
    <w:rsid w:val="00B4535E"/>
    <w:rsid w:val="00B4592F"/>
    <w:rsid w:val="00B46C91"/>
    <w:rsid w:val="00B5067A"/>
    <w:rsid w:val="00B50F8E"/>
    <w:rsid w:val="00B52A8C"/>
    <w:rsid w:val="00B52AB9"/>
    <w:rsid w:val="00B52D1A"/>
    <w:rsid w:val="00B53F5A"/>
    <w:rsid w:val="00B5571C"/>
    <w:rsid w:val="00B557BD"/>
    <w:rsid w:val="00B56FF0"/>
    <w:rsid w:val="00B609FA"/>
    <w:rsid w:val="00B60FDD"/>
    <w:rsid w:val="00B6223D"/>
    <w:rsid w:val="00B6230A"/>
    <w:rsid w:val="00B6271F"/>
    <w:rsid w:val="00B62975"/>
    <w:rsid w:val="00B636A8"/>
    <w:rsid w:val="00B64099"/>
    <w:rsid w:val="00B665C6"/>
    <w:rsid w:val="00B676F0"/>
    <w:rsid w:val="00B70B1D"/>
    <w:rsid w:val="00B710B5"/>
    <w:rsid w:val="00B72074"/>
    <w:rsid w:val="00B72808"/>
    <w:rsid w:val="00B734F3"/>
    <w:rsid w:val="00B74BFE"/>
    <w:rsid w:val="00B769C4"/>
    <w:rsid w:val="00B805AF"/>
    <w:rsid w:val="00B818CB"/>
    <w:rsid w:val="00B834EB"/>
    <w:rsid w:val="00B869EC"/>
    <w:rsid w:val="00B9134D"/>
    <w:rsid w:val="00B91458"/>
    <w:rsid w:val="00B91735"/>
    <w:rsid w:val="00B92541"/>
    <w:rsid w:val="00B93159"/>
    <w:rsid w:val="00B9397A"/>
    <w:rsid w:val="00B961AE"/>
    <w:rsid w:val="00B9633D"/>
    <w:rsid w:val="00B966E7"/>
    <w:rsid w:val="00B97632"/>
    <w:rsid w:val="00BA2B29"/>
    <w:rsid w:val="00BA2EBE"/>
    <w:rsid w:val="00BA4FE5"/>
    <w:rsid w:val="00BA6181"/>
    <w:rsid w:val="00BA63E8"/>
    <w:rsid w:val="00BA6F27"/>
    <w:rsid w:val="00BB0251"/>
    <w:rsid w:val="00BB0F28"/>
    <w:rsid w:val="00BB3EA3"/>
    <w:rsid w:val="00BB3F3C"/>
    <w:rsid w:val="00BB458A"/>
    <w:rsid w:val="00BB50F8"/>
    <w:rsid w:val="00BB5895"/>
    <w:rsid w:val="00BB7CB8"/>
    <w:rsid w:val="00BC18F4"/>
    <w:rsid w:val="00BC1E9C"/>
    <w:rsid w:val="00BC36C0"/>
    <w:rsid w:val="00BC56B5"/>
    <w:rsid w:val="00BC6ECF"/>
    <w:rsid w:val="00BD00D3"/>
    <w:rsid w:val="00BD06E6"/>
    <w:rsid w:val="00BD1659"/>
    <w:rsid w:val="00BD3AA9"/>
    <w:rsid w:val="00BD4A18"/>
    <w:rsid w:val="00BD6DB2"/>
    <w:rsid w:val="00BD705F"/>
    <w:rsid w:val="00BE0F3A"/>
    <w:rsid w:val="00BE11CF"/>
    <w:rsid w:val="00BE21AB"/>
    <w:rsid w:val="00BE3168"/>
    <w:rsid w:val="00BE3E90"/>
    <w:rsid w:val="00BE45B3"/>
    <w:rsid w:val="00BE55CB"/>
    <w:rsid w:val="00BE5A2D"/>
    <w:rsid w:val="00BF2B31"/>
    <w:rsid w:val="00BF37A0"/>
    <w:rsid w:val="00BF617A"/>
    <w:rsid w:val="00C0379D"/>
    <w:rsid w:val="00C03931"/>
    <w:rsid w:val="00C044FD"/>
    <w:rsid w:val="00C05004"/>
    <w:rsid w:val="00C05FE3"/>
    <w:rsid w:val="00C063D5"/>
    <w:rsid w:val="00C076A4"/>
    <w:rsid w:val="00C13B26"/>
    <w:rsid w:val="00C14E13"/>
    <w:rsid w:val="00C158A4"/>
    <w:rsid w:val="00C17113"/>
    <w:rsid w:val="00C17583"/>
    <w:rsid w:val="00C20FD4"/>
    <w:rsid w:val="00C2136D"/>
    <w:rsid w:val="00C2144A"/>
    <w:rsid w:val="00C214EE"/>
    <w:rsid w:val="00C2314B"/>
    <w:rsid w:val="00C24971"/>
    <w:rsid w:val="00C249EB"/>
    <w:rsid w:val="00C24EE7"/>
    <w:rsid w:val="00C26BE5"/>
    <w:rsid w:val="00C26E4D"/>
    <w:rsid w:val="00C27909"/>
    <w:rsid w:val="00C27B03"/>
    <w:rsid w:val="00C30570"/>
    <w:rsid w:val="00C314E1"/>
    <w:rsid w:val="00C32A62"/>
    <w:rsid w:val="00C32E99"/>
    <w:rsid w:val="00C33106"/>
    <w:rsid w:val="00C34397"/>
    <w:rsid w:val="00C3572E"/>
    <w:rsid w:val="00C37AFC"/>
    <w:rsid w:val="00C4030D"/>
    <w:rsid w:val="00C405F2"/>
    <w:rsid w:val="00C4095D"/>
    <w:rsid w:val="00C44054"/>
    <w:rsid w:val="00C441C6"/>
    <w:rsid w:val="00C44BB2"/>
    <w:rsid w:val="00C55FF8"/>
    <w:rsid w:val="00C569D8"/>
    <w:rsid w:val="00C601D2"/>
    <w:rsid w:val="00C6084F"/>
    <w:rsid w:val="00C60B33"/>
    <w:rsid w:val="00C63067"/>
    <w:rsid w:val="00C636D5"/>
    <w:rsid w:val="00C64347"/>
    <w:rsid w:val="00C65BCC"/>
    <w:rsid w:val="00C65D1E"/>
    <w:rsid w:val="00C66610"/>
    <w:rsid w:val="00C66970"/>
    <w:rsid w:val="00C67E4E"/>
    <w:rsid w:val="00C733E1"/>
    <w:rsid w:val="00C76843"/>
    <w:rsid w:val="00C76DBF"/>
    <w:rsid w:val="00C77CBA"/>
    <w:rsid w:val="00C80374"/>
    <w:rsid w:val="00C815DE"/>
    <w:rsid w:val="00C8257C"/>
    <w:rsid w:val="00C82D18"/>
    <w:rsid w:val="00C83B33"/>
    <w:rsid w:val="00C85F6A"/>
    <w:rsid w:val="00C8691C"/>
    <w:rsid w:val="00C90A4D"/>
    <w:rsid w:val="00C92079"/>
    <w:rsid w:val="00C92E9C"/>
    <w:rsid w:val="00C938AE"/>
    <w:rsid w:val="00C9401F"/>
    <w:rsid w:val="00C9781E"/>
    <w:rsid w:val="00C97C3E"/>
    <w:rsid w:val="00CA0115"/>
    <w:rsid w:val="00CA168A"/>
    <w:rsid w:val="00CA1C2A"/>
    <w:rsid w:val="00CA215B"/>
    <w:rsid w:val="00CA357E"/>
    <w:rsid w:val="00CA44F9"/>
    <w:rsid w:val="00CA4A69"/>
    <w:rsid w:val="00CA7655"/>
    <w:rsid w:val="00CA7E5E"/>
    <w:rsid w:val="00CB10BE"/>
    <w:rsid w:val="00CB169F"/>
    <w:rsid w:val="00CB2D04"/>
    <w:rsid w:val="00CB3FD9"/>
    <w:rsid w:val="00CB4131"/>
    <w:rsid w:val="00CB6128"/>
    <w:rsid w:val="00CB645D"/>
    <w:rsid w:val="00CB6694"/>
    <w:rsid w:val="00CB6F1C"/>
    <w:rsid w:val="00CB764A"/>
    <w:rsid w:val="00CC061F"/>
    <w:rsid w:val="00CC0BC2"/>
    <w:rsid w:val="00CC2DD8"/>
    <w:rsid w:val="00CC3E0C"/>
    <w:rsid w:val="00CC453A"/>
    <w:rsid w:val="00CC5550"/>
    <w:rsid w:val="00CC58D3"/>
    <w:rsid w:val="00CC5AE9"/>
    <w:rsid w:val="00CC6A62"/>
    <w:rsid w:val="00CC75EF"/>
    <w:rsid w:val="00CC784D"/>
    <w:rsid w:val="00CD3115"/>
    <w:rsid w:val="00CD609A"/>
    <w:rsid w:val="00CD6351"/>
    <w:rsid w:val="00CD7B92"/>
    <w:rsid w:val="00CE1630"/>
    <w:rsid w:val="00CE1F26"/>
    <w:rsid w:val="00CE30EE"/>
    <w:rsid w:val="00CE406F"/>
    <w:rsid w:val="00CE4D92"/>
    <w:rsid w:val="00CE6159"/>
    <w:rsid w:val="00CE6167"/>
    <w:rsid w:val="00CE66CD"/>
    <w:rsid w:val="00CF45FF"/>
    <w:rsid w:val="00CF5633"/>
    <w:rsid w:val="00D00A9F"/>
    <w:rsid w:val="00D0337B"/>
    <w:rsid w:val="00D03EFF"/>
    <w:rsid w:val="00D03F71"/>
    <w:rsid w:val="00D04DAF"/>
    <w:rsid w:val="00D06B38"/>
    <w:rsid w:val="00D06FDC"/>
    <w:rsid w:val="00D079B2"/>
    <w:rsid w:val="00D10888"/>
    <w:rsid w:val="00D114E9"/>
    <w:rsid w:val="00D123DB"/>
    <w:rsid w:val="00D12FE6"/>
    <w:rsid w:val="00D17465"/>
    <w:rsid w:val="00D178EF"/>
    <w:rsid w:val="00D204A0"/>
    <w:rsid w:val="00D22B2A"/>
    <w:rsid w:val="00D25490"/>
    <w:rsid w:val="00D32BF2"/>
    <w:rsid w:val="00D345BB"/>
    <w:rsid w:val="00D375CE"/>
    <w:rsid w:val="00D3767D"/>
    <w:rsid w:val="00D40868"/>
    <w:rsid w:val="00D40C8F"/>
    <w:rsid w:val="00D4201E"/>
    <w:rsid w:val="00D4229F"/>
    <w:rsid w:val="00D429C6"/>
    <w:rsid w:val="00D4489F"/>
    <w:rsid w:val="00D44B3E"/>
    <w:rsid w:val="00D44E48"/>
    <w:rsid w:val="00D47748"/>
    <w:rsid w:val="00D50889"/>
    <w:rsid w:val="00D50CB8"/>
    <w:rsid w:val="00D5369F"/>
    <w:rsid w:val="00D54CC3"/>
    <w:rsid w:val="00D55DA9"/>
    <w:rsid w:val="00D565E2"/>
    <w:rsid w:val="00D56896"/>
    <w:rsid w:val="00D60143"/>
    <w:rsid w:val="00D6041A"/>
    <w:rsid w:val="00D60A77"/>
    <w:rsid w:val="00D633EB"/>
    <w:rsid w:val="00D63614"/>
    <w:rsid w:val="00D639E8"/>
    <w:rsid w:val="00D665E3"/>
    <w:rsid w:val="00D6681E"/>
    <w:rsid w:val="00D669E8"/>
    <w:rsid w:val="00D704F3"/>
    <w:rsid w:val="00D72F90"/>
    <w:rsid w:val="00D74F99"/>
    <w:rsid w:val="00D750FA"/>
    <w:rsid w:val="00D774EE"/>
    <w:rsid w:val="00D82FF7"/>
    <w:rsid w:val="00D847FE"/>
    <w:rsid w:val="00D87AAA"/>
    <w:rsid w:val="00D9028F"/>
    <w:rsid w:val="00D9104A"/>
    <w:rsid w:val="00D918C2"/>
    <w:rsid w:val="00D9350B"/>
    <w:rsid w:val="00D964EA"/>
    <w:rsid w:val="00D966D0"/>
    <w:rsid w:val="00D96D3D"/>
    <w:rsid w:val="00D97240"/>
    <w:rsid w:val="00D97510"/>
    <w:rsid w:val="00D97D16"/>
    <w:rsid w:val="00DA0C59"/>
    <w:rsid w:val="00DA3991"/>
    <w:rsid w:val="00DA40B2"/>
    <w:rsid w:val="00DA54EF"/>
    <w:rsid w:val="00DA749E"/>
    <w:rsid w:val="00DB0DA5"/>
    <w:rsid w:val="00DB0EEE"/>
    <w:rsid w:val="00DB2D96"/>
    <w:rsid w:val="00DB3FF5"/>
    <w:rsid w:val="00DB513F"/>
    <w:rsid w:val="00DB661F"/>
    <w:rsid w:val="00DB7E6C"/>
    <w:rsid w:val="00DC0E35"/>
    <w:rsid w:val="00DC5525"/>
    <w:rsid w:val="00DC55E6"/>
    <w:rsid w:val="00DC6BF3"/>
    <w:rsid w:val="00DC7A46"/>
    <w:rsid w:val="00DD24F0"/>
    <w:rsid w:val="00DD33B3"/>
    <w:rsid w:val="00DD3475"/>
    <w:rsid w:val="00DD5A29"/>
    <w:rsid w:val="00DD5D9D"/>
    <w:rsid w:val="00DD672E"/>
    <w:rsid w:val="00DE0CEB"/>
    <w:rsid w:val="00DE35CB"/>
    <w:rsid w:val="00DE45AA"/>
    <w:rsid w:val="00DF21E9"/>
    <w:rsid w:val="00DF2277"/>
    <w:rsid w:val="00E002D1"/>
    <w:rsid w:val="00E00F14"/>
    <w:rsid w:val="00E01003"/>
    <w:rsid w:val="00E062AE"/>
    <w:rsid w:val="00E06386"/>
    <w:rsid w:val="00E10662"/>
    <w:rsid w:val="00E10A8E"/>
    <w:rsid w:val="00E1420B"/>
    <w:rsid w:val="00E157D7"/>
    <w:rsid w:val="00E17B6A"/>
    <w:rsid w:val="00E22018"/>
    <w:rsid w:val="00E23B2F"/>
    <w:rsid w:val="00E24EB4"/>
    <w:rsid w:val="00E25505"/>
    <w:rsid w:val="00E25F96"/>
    <w:rsid w:val="00E275ED"/>
    <w:rsid w:val="00E27E64"/>
    <w:rsid w:val="00E320ED"/>
    <w:rsid w:val="00E32E1E"/>
    <w:rsid w:val="00E33AFB"/>
    <w:rsid w:val="00E34218"/>
    <w:rsid w:val="00E34AB7"/>
    <w:rsid w:val="00E34B34"/>
    <w:rsid w:val="00E40549"/>
    <w:rsid w:val="00E40CD5"/>
    <w:rsid w:val="00E411C0"/>
    <w:rsid w:val="00E41A40"/>
    <w:rsid w:val="00E43241"/>
    <w:rsid w:val="00E44C93"/>
    <w:rsid w:val="00E46282"/>
    <w:rsid w:val="00E46AF2"/>
    <w:rsid w:val="00E46D61"/>
    <w:rsid w:val="00E50216"/>
    <w:rsid w:val="00E5216E"/>
    <w:rsid w:val="00E52F7F"/>
    <w:rsid w:val="00E5422F"/>
    <w:rsid w:val="00E656DC"/>
    <w:rsid w:val="00E66EB3"/>
    <w:rsid w:val="00E675D8"/>
    <w:rsid w:val="00E707E1"/>
    <w:rsid w:val="00E70EC2"/>
    <w:rsid w:val="00E72C50"/>
    <w:rsid w:val="00E7560D"/>
    <w:rsid w:val="00E7766B"/>
    <w:rsid w:val="00E77D16"/>
    <w:rsid w:val="00E80825"/>
    <w:rsid w:val="00E80DC6"/>
    <w:rsid w:val="00E80E8C"/>
    <w:rsid w:val="00E8108B"/>
    <w:rsid w:val="00E816CF"/>
    <w:rsid w:val="00E8192E"/>
    <w:rsid w:val="00E82344"/>
    <w:rsid w:val="00E8283D"/>
    <w:rsid w:val="00E83FEE"/>
    <w:rsid w:val="00E848AD"/>
    <w:rsid w:val="00E84C82"/>
    <w:rsid w:val="00E84CD1"/>
    <w:rsid w:val="00E84D64"/>
    <w:rsid w:val="00E85125"/>
    <w:rsid w:val="00E87408"/>
    <w:rsid w:val="00E876CA"/>
    <w:rsid w:val="00E914C4"/>
    <w:rsid w:val="00E934F5"/>
    <w:rsid w:val="00E93CF0"/>
    <w:rsid w:val="00E93DB6"/>
    <w:rsid w:val="00E9478D"/>
    <w:rsid w:val="00E95CF9"/>
    <w:rsid w:val="00E96961"/>
    <w:rsid w:val="00E96E47"/>
    <w:rsid w:val="00E973B3"/>
    <w:rsid w:val="00EA0C61"/>
    <w:rsid w:val="00EA13A7"/>
    <w:rsid w:val="00EA15F7"/>
    <w:rsid w:val="00EA23DD"/>
    <w:rsid w:val="00EA30AC"/>
    <w:rsid w:val="00EA72EC"/>
    <w:rsid w:val="00EA7B96"/>
    <w:rsid w:val="00EB11CB"/>
    <w:rsid w:val="00EB136A"/>
    <w:rsid w:val="00EB153D"/>
    <w:rsid w:val="00EB1545"/>
    <w:rsid w:val="00EB1BDE"/>
    <w:rsid w:val="00EB275A"/>
    <w:rsid w:val="00EB64C1"/>
    <w:rsid w:val="00EB676D"/>
    <w:rsid w:val="00EB786A"/>
    <w:rsid w:val="00EC09D1"/>
    <w:rsid w:val="00EC0C16"/>
    <w:rsid w:val="00EC1578"/>
    <w:rsid w:val="00EC181C"/>
    <w:rsid w:val="00EC1C72"/>
    <w:rsid w:val="00EC31D9"/>
    <w:rsid w:val="00EC3CC9"/>
    <w:rsid w:val="00EC4C97"/>
    <w:rsid w:val="00EC61D7"/>
    <w:rsid w:val="00EC680A"/>
    <w:rsid w:val="00EC6B1D"/>
    <w:rsid w:val="00ED333D"/>
    <w:rsid w:val="00ED7789"/>
    <w:rsid w:val="00EE0570"/>
    <w:rsid w:val="00EE2080"/>
    <w:rsid w:val="00EE2BED"/>
    <w:rsid w:val="00EE374B"/>
    <w:rsid w:val="00EE6046"/>
    <w:rsid w:val="00EE7545"/>
    <w:rsid w:val="00EF0941"/>
    <w:rsid w:val="00EF09E7"/>
    <w:rsid w:val="00EF1B73"/>
    <w:rsid w:val="00F0173E"/>
    <w:rsid w:val="00F04CB1"/>
    <w:rsid w:val="00F051C6"/>
    <w:rsid w:val="00F06607"/>
    <w:rsid w:val="00F06BAF"/>
    <w:rsid w:val="00F06E49"/>
    <w:rsid w:val="00F07CF0"/>
    <w:rsid w:val="00F106D7"/>
    <w:rsid w:val="00F11BB5"/>
    <w:rsid w:val="00F12BDC"/>
    <w:rsid w:val="00F12CC5"/>
    <w:rsid w:val="00F132E5"/>
    <w:rsid w:val="00F1417B"/>
    <w:rsid w:val="00F1547C"/>
    <w:rsid w:val="00F17D72"/>
    <w:rsid w:val="00F2134C"/>
    <w:rsid w:val="00F23A57"/>
    <w:rsid w:val="00F244AB"/>
    <w:rsid w:val="00F24E99"/>
    <w:rsid w:val="00F33ACD"/>
    <w:rsid w:val="00F34B99"/>
    <w:rsid w:val="00F34C9C"/>
    <w:rsid w:val="00F350BD"/>
    <w:rsid w:val="00F376BE"/>
    <w:rsid w:val="00F402F7"/>
    <w:rsid w:val="00F41269"/>
    <w:rsid w:val="00F41B2D"/>
    <w:rsid w:val="00F5123A"/>
    <w:rsid w:val="00F524C7"/>
    <w:rsid w:val="00F52DAB"/>
    <w:rsid w:val="00F53B81"/>
    <w:rsid w:val="00F54331"/>
    <w:rsid w:val="00F543F0"/>
    <w:rsid w:val="00F561BF"/>
    <w:rsid w:val="00F5717E"/>
    <w:rsid w:val="00F575A2"/>
    <w:rsid w:val="00F57847"/>
    <w:rsid w:val="00F604BA"/>
    <w:rsid w:val="00F63F03"/>
    <w:rsid w:val="00F64D28"/>
    <w:rsid w:val="00F6592D"/>
    <w:rsid w:val="00F67F37"/>
    <w:rsid w:val="00F70A29"/>
    <w:rsid w:val="00F71A5B"/>
    <w:rsid w:val="00F7259A"/>
    <w:rsid w:val="00F80F3F"/>
    <w:rsid w:val="00F81D29"/>
    <w:rsid w:val="00F830C5"/>
    <w:rsid w:val="00F83274"/>
    <w:rsid w:val="00F85E71"/>
    <w:rsid w:val="00F91134"/>
    <w:rsid w:val="00F91C4D"/>
    <w:rsid w:val="00F92FD9"/>
    <w:rsid w:val="00F94920"/>
    <w:rsid w:val="00F95689"/>
    <w:rsid w:val="00F962CA"/>
    <w:rsid w:val="00F96C82"/>
    <w:rsid w:val="00FA0780"/>
    <w:rsid w:val="00FA0F26"/>
    <w:rsid w:val="00FA2662"/>
    <w:rsid w:val="00FA34B1"/>
    <w:rsid w:val="00FA3C1D"/>
    <w:rsid w:val="00FA4738"/>
    <w:rsid w:val="00FA61DC"/>
    <w:rsid w:val="00FA6607"/>
    <w:rsid w:val="00FA6684"/>
    <w:rsid w:val="00FA731E"/>
    <w:rsid w:val="00FA76F5"/>
    <w:rsid w:val="00FB12D9"/>
    <w:rsid w:val="00FB1B3A"/>
    <w:rsid w:val="00FB20FD"/>
    <w:rsid w:val="00FB2556"/>
    <w:rsid w:val="00FB2B38"/>
    <w:rsid w:val="00FB331B"/>
    <w:rsid w:val="00FB4AAA"/>
    <w:rsid w:val="00FB54D0"/>
    <w:rsid w:val="00FC0E55"/>
    <w:rsid w:val="00FC1B41"/>
    <w:rsid w:val="00FC1B53"/>
    <w:rsid w:val="00FC318F"/>
    <w:rsid w:val="00FC4511"/>
    <w:rsid w:val="00FC5F3F"/>
    <w:rsid w:val="00FC6358"/>
    <w:rsid w:val="00FC66EF"/>
    <w:rsid w:val="00FC6C6C"/>
    <w:rsid w:val="00FC7AC6"/>
    <w:rsid w:val="00FD08C4"/>
    <w:rsid w:val="00FD0A5F"/>
    <w:rsid w:val="00FD320D"/>
    <w:rsid w:val="00FD544F"/>
    <w:rsid w:val="00FD6275"/>
    <w:rsid w:val="00FD70A5"/>
    <w:rsid w:val="00FD7206"/>
    <w:rsid w:val="00FE23DE"/>
    <w:rsid w:val="00FE48F4"/>
    <w:rsid w:val="00FE662E"/>
    <w:rsid w:val="00FE66C9"/>
    <w:rsid w:val="00FF19ED"/>
    <w:rsid w:val="00FF623B"/>
    <w:rsid w:val="00FF6F6A"/>
    <w:rsid w:val="00FF7E0E"/>
    <w:rsid w:val="1F3F20C1"/>
    <w:rsid w:val="24F57CFE"/>
    <w:rsid w:val="26E22FEA"/>
    <w:rsid w:val="2D143B50"/>
    <w:rsid w:val="340C3D59"/>
    <w:rsid w:val="36547C42"/>
    <w:rsid w:val="3D322C9D"/>
    <w:rsid w:val="3EBD4647"/>
    <w:rsid w:val="4D4952BF"/>
    <w:rsid w:val="566374E7"/>
    <w:rsid w:val="5E6C285B"/>
    <w:rsid w:val="6A500349"/>
    <w:rsid w:val="7D697BD3"/>
    <w:rsid w:val="7F306F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autoRedefine/>
    <w:semiHidden/>
    <w:qFormat/>
    <w:uiPriority w:val="0"/>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Normal Indent"/>
    <w:basedOn w:val="1"/>
    <w:autoRedefine/>
    <w:qFormat/>
    <w:uiPriority w:val="0"/>
    <w:pPr>
      <w:adjustRightInd w:val="0"/>
      <w:spacing w:line="360" w:lineRule="atLeast"/>
      <w:ind w:firstLine="420"/>
      <w:jc w:val="left"/>
      <w:textAlignment w:val="baseline"/>
    </w:pPr>
    <w:rPr>
      <w:kern w:val="0"/>
      <w:sz w:val="24"/>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150"/>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link w:val="141"/>
    <w:autoRedefine/>
    <w:qFormat/>
    <w:uiPriority w:val="0"/>
    <w:pPr>
      <w:spacing w:after="120"/>
    </w:p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endnote text"/>
    <w:basedOn w:val="1"/>
    <w:autoRedefine/>
    <w:semiHidden/>
    <w:qFormat/>
    <w:uiPriority w:val="0"/>
    <w:pPr>
      <w:snapToGrid w:val="0"/>
      <w:jc w:val="left"/>
    </w:pPr>
  </w:style>
  <w:style w:type="paragraph" w:styleId="17">
    <w:name w:val="Balloon Text"/>
    <w:basedOn w:val="1"/>
    <w:link w:val="143"/>
    <w:autoRedefine/>
    <w:qFormat/>
    <w:uiPriority w:val="0"/>
    <w:rPr>
      <w:sz w:val="18"/>
      <w:szCs w:val="18"/>
    </w:rPr>
  </w:style>
  <w:style w:type="paragraph" w:styleId="18">
    <w:name w:val="footer"/>
    <w:basedOn w:val="1"/>
    <w:autoRedefine/>
    <w:qFormat/>
    <w:uiPriority w:val="0"/>
    <w:pPr>
      <w:snapToGrid w:val="0"/>
      <w:ind w:right="210" w:rightChars="100"/>
      <w:jc w:val="right"/>
    </w:pPr>
    <w:rPr>
      <w:sz w:val="18"/>
      <w:szCs w:val="18"/>
    </w:rPr>
  </w:style>
  <w:style w:type="paragraph" w:styleId="19">
    <w:name w:val="header"/>
    <w:basedOn w:val="1"/>
    <w:autoRedefine/>
    <w:qFormat/>
    <w:uiPriority w:val="0"/>
    <w:pPr>
      <w:snapToGrid w:val="0"/>
      <w:jc w:val="left"/>
    </w:pPr>
    <w:rPr>
      <w:sz w:val="18"/>
      <w:szCs w:val="18"/>
    </w:rPr>
  </w:style>
  <w:style w:type="paragraph" w:styleId="20">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1">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autoRedefine/>
    <w:qFormat/>
    <w:uiPriority w:val="0"/>
    <w:pPr>
      <w:spacing w:before="120" w:after="120"/>
      <w:jc w:val="center"/>
    </w:pPr>
    <w:rPr>
      <w:rFonts w:ascii="Calibri" w:hAnsi="Calibri"/>
      <w:b/>
      <w:bCs/>
      <w:iCs/>
      <w:szCs w:val="20"/>
    </w:rPr>
  </w:style>
  <w:style w:type="paragraph" w:styleId="23">
    <w:name w:val="index 1"/>
    <w:basedOn w:val="1"/>
    <w:next w:val="24"/>
    <w:autoRedefine/>
    <w:qFormat/>
    <w:uiPriority w:val="0"/>
    <w:pPr>
      <w:tabs>
        <w:tab w:val="right" w:leader="dot" w:pos="9299"/>
      </w:tabs>
      <w:jc w:val="left"/>
    </w:pPr>
    <w:rPr>
      <w:rFonts w:ascii="宋体"/>
      <w:szCs w:val="21"/>
    </w:rPr>
  </w:style>
  <w:style w:type="paragraph" w:customStyle="1" w:styleId="24">
    <w:name w:val="段"/>
    <w:link w:val="4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autoRedefine/>
    <w:qFormat/>
    <w:uiPriority w:val="0"/>
    <w:pPr>
      <w:numPr>
        <w:ilvl w:val="0"/>
        <w:numId w:val="1"/>
      </w:numPr>
      <w:snapToGrid w:val="0"/>
      <w:jc w:val="left"/>
    </w:pPr>
    <w:rPr>
      <w:rFonts w:ascii="宋体"/>
      <w:sz w:val="18"/>
      <w:szCs w:val="18"/>
    </w:rPr>
  </w:style>
  <w:style w:type="paragraph" w:styleId="26">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7">
    <w:name w:val="index 7"/>
    <w:basedOn w:val="1"/>
    <w:next w:val="1"/>
    <w:autoRedefine/>
    <w:qFormat/>
    <w:uiPriority w:val="0"/>
    <w:pPr>
      <w:ind w:left="1470" w:hanging="210"/>
      <w:jc w:val="left"/>
    </w:pPr>
    <w:rPr>
      <w:rFonts w:ascii="Calibri" w:hAnsi="Calibri"/>
      <w:sz w:val="20"/>
      <w:szCs w:val="20"/>
    </w:rPr>
  </w:style>
  <w:style w:type="paragraph" w:styleId="28">
    <w:name w:val="index 9"/>
    <w:basedOn w:val="1"/>
    <w:next w:val="1"/>
    <w:autoRedefine/>
    <w:qFormat/>
    <w:uiPriority w:val="0"/>
    <w:pPr>
      <w:ind w:left="1890" w:hanging="210"/>
      <w:jc w:val="left"/>
    </w:pPr>
    <w:rPr>
      <w:rFonts w:ascii="Calibri" w:hAnsi="Calibri"/>
      <w:sz w:val="20"/>
      <w:szCs w:val="20"/>
    </w:rPr>
  </w:style>
  <w:style w:type="paragraph" w:styleId="29">
    <w:name w:val="toc 2"/>
    <w:basedOn w:val="1"/>
    <w:next w:val="1"/>
    <w:autoRedefine/>
    <w:semiHidden/>
    <w:qFormat/>
    <w:uiPriority w:val="0"/>
    <w:pPr>
      <w:tabs>
        <w:tab w:val="right" w:leader="dot" w:pos="9242"/>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index 2"/>
    <w:basedOn w:val="1"/>
    <w:next w:val="1"/>
    <w:autoRedefine/>
    <w:qFormat/>
    <w:uiPriority w:val="0"/>
    <w:pPr>
      <w:ind w:left="420" w:hanging="210"/>
      <w:jc w:val="left"/>
    </w:pPr>
    <w:rPr>
      <w:rFonts w:ascii="Calibri" w:hAnsi="Calibri"/>
      <w:sz w:val="20"/>
      <w:szCs w:val="20"/>
    </w:rPr>
  </w:style>
  <w:style w:type="paragraph" w:styleId="32">
    <w:name w:val="annotation subject"/>
    <w:basedOn w:val="8"/>
    <w:next w:val="8"/>
    <w:link w:val="151"/>
    <w:autoRedefine/>
    <w:qFormat/>
    <w:uiPriority w:val="0"/>
    <w:rPr>
      <w:b/>
      <w:bCs/>
    </w:rPr>
  </w:style>
  <w:style w:type="paragraph" w:styleId="33">
    <w:name w:val="Body Text First Indent"/>
    <w:basedOn w:val="10"/>
    <w:link w:val="142"/>
    <w:autoRedefine/>
    <w:qFormat/>
    <w:uiPriority w:val="0"/>
    <w:pPr>
      <w:adjustRightInd w:val="0"/>
      <w:spacing w:after="0" w:line="240" w:lineRule="atLeast"/>
      <w:jc w:val="left"/>
      <w:textAlignment w:val="baseline"/>
    </w:pPr>
    <w:rPr>
      <w:rFonts w:ascii="宋体" w:hAnsi="宋体"/>
      <w:color w:val="000000"/>
    </w:rPr>
  </w:style>
  <w:style w:type="table" w:styleId="35">
    <w:name w:val="Table Grid"/>
    <w:basedOn w:val="34"/>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autoRedefine/>
    <w:qFormat/>
    <w:uiPriority w:val="0"/>
    <w:rPr>
      <w:b/>
    </w:rPr>
  </w:style>
  <w:style w:type="character" w:styleId="38">
    <w:name w:val="endnote reference"/>
    <w:autoRedefin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autoRedefine/>
    <w:qFormat/>
    <w:uiPriority w:val="0"/>
    <w:rPr>
      <w:color w:val="800080"/>
      <w:u w:val="single"/>
    </w:rPr>
  </w:style>
  <w:style w:type="character" w:styleId="41">
    <w:name w:val="Emphasis"/>
    <w:autoRedefine/>
    <w:qFormat/>
    <w:uiPriority w:val="20"/>
    <w:rPr>
      <w:color w:val="CC0000"/>
    </w:rPr>
  </w:style>
  <w:style w:type="character" w:styleId="42">
    <w:name w:val="Hyperlink"/>
    <w:autoRedefine/>
    <w:qFormat/>
    <w:uiPriority w:val="0"/>
    <w:rPr>
      <w:color w:val="0000FF"/>
      <w:spacing w:val="0"/>
      <w:w w:val="100"/>
      <w:szCs w:val="21"/>
      <w:u w:val="single"/>
    </w:rPr>
  </w:style>
  <w:style w:type="character" w:styleId="43">
    <w:name w:val="annotation reference"/>
    <w:autoRedefine/>
    <w:qFormat/>
    <w:uiPriority w:val="0"/>
    <w:rPr>
      <w:sz w:val="21"/>
      <w:szCs w:val="21"/>
    </w:rPr>
  </w:style>
  <w:style w:type="character" w:styleId="44">
    <w:name w:val="footnote reference"/>
    <w:autoRedefine/>
    <w:semiHidden/>
    <w:qFormat/>
    <w:uiPriority w:val="0"/>
    <w:rPr>
      <w:vertAlign w:val="superscript"/>
    </w:rPr>
  </w:style>
  <w:style w:type="character" w:customStyle="1" w:styleId="45">
    <w:name w:val="段 Char"/>
    <w:link w:val="24"/>
    <w:autoRedefine/>
    <w:qFormat/>
    <w:uiPriority w:val="0"/>
    <w:rPr>
      <w:rFonts w:ascii="宋体"/>
      <w:sz w:val="21"/>
      <w:lang w:val="en-US" w:eastAsia="zh-CN" w:bidi="ar-SA"/>
    </w:rPr>
  </w:style>
  <w:style w:type="paragraph" w:customStyle="1" w:styleId="46">
    <w:name w:val="一级条标题"/>
    <w:next w:val="24"/>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4"/>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4"/>
    <w:autoRedefine/>
    <w:qFormat/>
    <w:uiPriority w:val="0"/>
    <w:pPr>
      <w:numPr>
        <w:ilvl w:val="2"/>
        <w:numId w:val="2"/>
      </w:numPr>
      <w:spacing w:before="50" w:after="50"/>
      <w:outlineLvl w:val="3"/>
    </w:pPr>
  </w:style>
  <w:style w:type="paragraph" w:customStyle="1" w:styleId="5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4"/>
    <w:autoRedefine/>
    <w:qFormat/>
    <w:uiPriority w:val="0"/>
    <w:pPr>
      <w:numPr>
        <w:ilvl w:val="3"/>
        <w:numId w:val="2"/>
      </w:numPr>
      <w:outlineLvl w:val="4"/>
    </w:pPr>
  </w:style>
  <w:style w:type="paragraph" w:customStyle="1" w:styleId="56">
    <w:name w:val="示例"/>
    <w:next w:val="57"/>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7">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9">
    <w:name w:val="四级条标题"/>
    <w:basedOn w:val="55"/>
    <w:next w:val="24"/>
    <w:autoRedefine/>
    <w:qFormat/>
    <w:uiPriority w:val="0"/>
    <w:pPr>
      <w:numPr>
        <w:ilvl w:val="4"/>
        <w:numId w:val="2"/>
      </w:numPr>
      <w:outlineLvl w:val="5"/>
    </w:pPr>
  </w:style>
  <w:style w:type="paragraph" w:customStyle="1" w:styleId="60">
    <w:name w:val="五级条标题"/>
    <w:basedOn w:val="59"/>
    <w:next w:val="24"/>
    <w:autoRedefine/>
    <w:qFormat/>
    <w:uiPriority w:val="0"/>
    <w:pPr>
      <w:numPr>
        <w:ilvl w:val="5"/>
        <w:numId w:val="2"/>
      </w:numPr>
      <w:outlineLvl w:val="6"/>
    </w:pPr>
  </w:style>
  <w:style w:type="paragraph" w:customStyle="1" w:styleId="61">
    <w:name w:val="注："/>
    <w:next w:val="24"/>
    <w:autoRedefine/>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62">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3">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autoRedefine/>
    <w:qFormat/>
    <w:uiPriority w:val="0"/>
    <w:pPr>
      <w:numPr>
        <w:ilvl w:val="2"/>
        <w:numId w:val="3"/>
      </w:numPr>
    </w:pPr>
    <w:rPr>
      <w:rFonts w:ascii="宋体"/>
      <w:szCs w:val="21"/>
    </w:rPr>
  </w:style>
  <w:style w:type="paragraph" w:customStyle="1" w:styleId="65">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6">
    <w:name w:val="示例×："/>
    <w:basedOn w:val="49"/>
    <w:autoRedefine/>
    <w:qFormat/>
    <w:uiPriority w:val="0"/>
    <w:pPr>
      <w:numPr>
        <w:ilvl w:val="0"/>
        <w:numId w:val="8"/>
      </w:numPr>
      <w:spacing w:before="0" w:beforeLines="0" w:after="0" w:afterLines="0"/>
      <w:outlineLvl w:val="9"/>
    </w:pPr>
    <w:rPr>
      <w:rFonts w:ascii="宋体" w:eastAsia="宋体"/>
      <w:sz w:val="18"/>
      <w:szCs w:val="18"/>
    </w:rPr>
  </w:style>
  <w:style w:type="paragraph" w:customStyle="1" w:styleId="67">
    <w:name w:val="二级无"/>
    <w:basedOn w:val="50"/>
    <w:autoRedefine/>
    <w:qFormat/>
    <w:uiPriority w:val="0"/>
    <w:pPr>
      <w:spacing w:before="0" w:beforeLines="0" w:after="0" w:afterLines="0"/>
      <w:ind w:left="0"/>
    </w:pPr>
    <w:rPr>
      <w:rFonts w:ascii="宋体" w:eastAsia="宋体"/>
    </w:rPr>
  </w:style>
  <w:style w:type="paragraph" w:customStyle="1" w:styleId="68">
    <w:name w:val="注：（正文）"/>
    <w:basedOn w:val="61"/>
    <w:next w:val="24"/>
    <w:autoRedefine/>
    <w:qFormat/>
    <w:uiPriority w:val="0"/>
  </w:style>
  <w:style w:type="paragraph" w:customStyle="1" w:styleId="69">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autoRedefine/>
    <w:qFormat/>
    <w:uiPriority w:val="0"/>
    <w:pPr>
      <w:jc w:val="left"/>
    </w:pPr>
    <w:rPr>
      <w:rFonts w:ascii="黑体" w:eastAsia="黑体"/>
    </w:rPr>
  </w:style>
  <w:style w:type="paragraph" w:customStyle="1" w:styleId="74">
    <w:name w:val="标准书眉一"/>
    <w:autoRedefine/>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autoRedefine/>
    <w:qFormat/>
    <w:uiPriority w:val="0"/>
    <w:rPr>
      <w:rFonts w:ascii="黑体" w:eastAsia="黑体"/>
      <w:spacing w:val="85"/>
      <w:w w:val="100"/>
      <w:position w:val="3"/>
      <w:sz w:val="28"/>
      <w:szCs w:val="28"/>
    </w:rPr>
  </w:style>
  <w:style w:type="paragraph" w:customStyle="1" w:styleId="78">
    <w:name w:val="发布部门"/>
    <w:next w:val="2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autoRedefine/>
    <w:qFormat/>
    <w:uiPriority w:val="0"/>
    <w:pPr>
      <w:spacing w:before="370" w:line="400" w:lineRule="exact"/>
    </w:pPr>
    <w:rPr>
      <w:rFonts w:ascii="Times New Roman"/>
      <w:sz w:val="28"/>
      <w:szCs w:val="28"/>
    </w:rPr>
  </w:style>
  <w:style w:type="paragraph" w:customStyle="1" w:styleId="84">
    <w:name w:val="封面一致性程度标识"/>
    <w:basedOn w:val="83"/>
    <w:autoRedefine/>
    <w:qFormat/>
    <w:uiPriority w:val="0"/>
    <w:pPr>
      <w:spacing w:before="440"/>
    </w:pPr>
    <w:rPr>
      <w:rFonts w:ascii="宋体" w:eastAsia="宋体"/>
    </w:rPr>
  </w:style>
  <w:style w:type="paragraph" w:customStyle="1" w:styleId="85">
    <w:name w:val="封面标准文稿类别"/>
    <w:basedOn w:val="84"/>
    <w:autoRedefine/>
    <w:qFormat/>
    <w:uiPriority w:val="0"/>
    <w:pPr>
      <w:spacing w:after="160" w:line="240" w:lineRule="auto"/>
    </w:pPr>
    <w:rPr>
      <w:sz w:val="24"/>
    </w:rPr>
  </w:style>
  <w:style w:type="paragraph" w:customStyle="1" w:styleId="86">
    <w:name w:val="封面标准文稿编辑信息"/>
    <w:basedOn w:val="85"/>
    <w:autoRedefine/>
    <w:qFormat/>
    <w:uiPriority w:val="0"/>
    <w:pPr>
      <w:spacing w:before="180" w:line="180" w:lineRule="exact"/>
    </w:pPr>
    <w:rPr>
      <w:sz w:val="21"/>
    </w:rPr>
  </w:style>
  <w:style w:type="paragraph" w:customStyle="1" w:styleId="87">
    <w:name w:val="封面正文"/>
    <w:autoRedefine/>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4"/>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4"/>
    <w:next w:val="24"/>
    <w:autoRedefine/>
    <w:qFormat/>
    <w:uiPriority w:val="0"/>
    <w:pPr>
      <w:ind w:firstLine="0" w:firstLineChars="0"/>
      <w:jc w:val="center"/>
    </w:pPr>
    <w:rPr>
      <w:rFonts w:ascii="黑体" w:eastAsia="黑体"/>
    </w:rPr>
  </w:style>
  <w:style w:type="paragraph" w:customStyle="1" w:styleId="90">
    <w:name w:val="附录表标号"/>
    <w:basedOn w:val="1"/>
    <w:next w:val="24"/>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1">
    <w:name w:val="附录表标题"/>
    <w:basedOn w:val="1"/>
    <w:next w:val="24"/>
    <w:autoRedefine/>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2">
    <w:name w:val="附录二级条标题"/>
    <w:basedOn w:val="1"/>
    <w:next w:val="24"/>
    <w:autoRedefine/>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3">
    <w:name w:val="附录二级无"/>
    <w:basedOn w:val="92"/>
    <w:autoRedefine/>
    <w:qFormat/>
    <w:uiPriority w:val="0"/>
    <w:pPr>
      <w:tabs>
        <w:tab w:val="clear" w:pos="360"/>
      </w:tabs>
      <w:spacing w:before="0" w:beforeLines="0" w:after="0" w:afterLines="0"/>
    </w:pPr>
    <w:rPr>
      <w:rFonts w:ascii="宋体" w:eastAsia="宋体"/>
      <w:szCs w:val="21"/>
    </w:rPr>
  </w:style>
  <w:style w:type="paragraph" w:customStyle="1" w:styleId="94">
    <w:name w:val="附录公式"/>
    <w:basedOn w:val="24"/>
    <w:next w:val="24"/>
    <w:link w:val="95"/>
    <w:autoRedefine/>
    <w:qFormat/>
    <w:uiPriority w:val="0"/>
  </w:style>
  <w:style w:type="character" w:customStyle="1" w:styleId="95">
    <w:name w:val="附录公式 Char"/>
    <w:basedOn w:val="45"/>
    <w:link w:val="94"/>
    <w:autoRedefine/>
    <w:qFormat/>
    <w:uiPriority w:val="0"/>
  </w:style>
  <w:style w:type="paragraph" w:customStyle="1" w:styleId="96">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4"/>
    <w:autoRedefine/>
    <w:qFormat/>
    <w:uiPriority w:val="0"/>
    <w:pPr>
      <w:numPr>
        <w:ilvl w:val="4"/>
        <w:numId w:val="10"/>
      </w:numPr>
      <w:outlineLvl w:val="4"/>
    </w:pPr>
  </w:style>
  <w:style w:type="paragraph" w:customStyle="1" w:styleId="98">
    <w:name w:val="附录三级无"/>
    <w:basedOn w:val="97"/>
    <w:autoRedefine/>
    <w:qFormat/>
    <w:uiPriority w:val="0"/>
    <w:pPr>
      <w:tabs>
        <w:tab w:val="clear" w:pos="360"/>
      </w:tabs>
      <w:spacing w:before="0" w:beforeLines="0" w:after="0" w:afterLines="0"/>
    </w:pPr>
    <w:rPr>
      <w:rFonts w:ascii="宋体" w:eastAsia="宋体"/>
      <w:szCs w:val="21"/>
    </w:rPr>
  </w:style>
  <w:style w:type="paragraph" w:customStyle="1" w:styleId="99">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100">
    <w:name w:val="附录四级条标题"/>
    <w:basedOn w:val="97"/>
    <w:next w:val="24"/>
    <w:autoRedefine/>
    <w:qFormat/>
    <w:uiPriority w:val="0"/>
    <w:pPr>
      <w:numPr>
        <w:ilvl w:val="5"/>
        <w:numId w:val="10"/>
      </w:numPr>
      <w:outlineLvl w:val="5"/>
    </w:pPr>
  </w:style>
  <w:style w:type="paragraph" w:customStyle="1" w:styleId="101">
    <w:name w:val="附录四级无"/>
    <w:basedOn w:val="100"/>
    <w:autoRedefine/>
    <w:qFormat/>
    <w:uiPriority w:val="0"/>
    <w:pPr>
      <w:tabs>
        <w:tab w:val="clear" w:pos="360"/>
      </w:tabs>
      <w:spacing w:before="0" w:beforeLines="0" w:after="0" w:afterLines="0"/>
    </w:pPr>
    <w:rPr>
      <w:rFonts w:ascii="宋体" w:eastAsia="宋体"/>
      <w:szCs w:val="21"/>
    </w:rPr>
  </w:style>
  <w:style w:type="paragraph" w:customStyle="1" w:styleId="102">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3">
    <w:name w:val="附录图标题"/>
    <w:basedOn w:val="1"/>
    <w:next w:val="24"/>
    <w:autoRedefine/>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4">
    <w:name w:val="附录五级条标题"/>
    <w:basedOn w:val="100"/>
    <w:next w:val="24"/>
    <w:autoRedefine/>
    <w:qFormat/>
    <w:uiPriority w:val="0"/>
    <w:pPr>
      <w:numPr>
        <w:ilvl w:val="6"/>
        <w:numId w:val="10"/>
      </w:numPr>
      <w:outlineLvl w:val="6"/>
    </w:pPr>
  </w:style>
  <w:style w:type="paragraph" w:customStyle="1" w:styleId="105">
    <w:name w:val="附录五级无"/>
    <w:basedOn w:val="104"/>
    <w:autoRedefine/>
    <w:qFormat/>
    <w:uiPriority w:val="0"/>
    <w:pPr>
      <w:tabs>
        <w:tab w:val="clear" w:pos="360"/>
      </w:tabs>
      <w:spacing w:before="0" w:beforeLines="0" w:after="0" w:afterLines="0"/>
    </w:pPr>
    <w:rPr>
      <w:rFonts w:ascii="宋体" w:eastAsia="宋体"/>
      <w:szCs w:val="21"/>
    </w:rPr>
  </w:style>
  <w:style w:type="paragraph" w:customStyle="1" w:styleId="106">
    <w:name w:val="附录章标题"/>
    <w:next w:val="24"/>
    <w:autoRedefine/>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4"/>
    <w:autoRedefine/>
    <w:qFormat/>
    <w:uiPriority w:val="0"/>
    <w:pPr>
      <w:numPr>
        <w:ilvl w:val="2"/>
        <w:numId w:val="10"/>
      </w:numPr>
      <w:autoSpaceDN w:val="0"/>
      <w:spacing w:before="50" w:beforeLines="50" w:after="50" w:afterLines="50"/>
      <w:outlineLvl w:val="2"/>
    </w:pPr>
  </w:style>
  <w:style w:type="paragraph" w:customStyle="1" w:styleId="108">
    <w:name w:val="附录一级无"/>
    <w:basedOn w:val="107"/>
    <w:autoRedefine/>
    <w:qFormat/>
    <w:uiPriority w:val="0"/>
    <w:pPr>
      <w:tabs>
        <w:tab w:val="clear" w:pos="360"/>
      </w:tabs>
      <w:spacing w:before="0" w:beforeLines="0" w:after="0" w:afterLines="0"/>
    </w:pPr>
    <w:rPr>
      <w:rFonts w:ascii="宋体" w:eastAsia="宋体"/>
      <w:szCs w:val="21"/>
    </w:rPr>
  </w:style>
  <w:style w:type="paragraph" w:customStyle="1" w:styleId="109">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1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autoRedefine/>
    <w:qFormat/>
    <w:uiPriority w:val="0"/>
    <w:pPr>
      <w:framePr w:w="6101" w:vAnchor="page" w:hAnchor="page" w:x="4673" w:y="942"/>
    </w:pPr>
    <w:rPr>
      <w:w w:val="130"/>
    </w:rPr>
  </w:style>
  <w:style w:type="paragraph" w:customStyle="1" w:styleId="11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autoRedefine/>
    <w:qFormat/>
    <w:uiPriority w:val="0"/>
    <w:pPr>
      <w:framePr w:y="15310"/>
      <w:spacing w:line="0" w:lineRule="atLeast"/>
    </w:pPr>
    <w:rPr>
      <w:rFonts w:ascii="黑体" w:eastAsia="黑体"/>
      <w:b w:val="0"/>
    </w:rPr>
  </w:style>
  <w:style w:type="paragraph" w:customStyle="1" w:styleId="116">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autoRedefine/>
    <w:qFormat/>
    <w:uiPriority w:val="0"/>
    <w:pPr>
      <w:spacing w:before="0" w:beforeLines="0" w:after="0" w:afterLines="0"/>
    </w:pPr>
    <w:rPr>
      <w:rFonts w:ascii="宋体" w:eastAsia="宋体"/>
    </w:rPr>
  </w:style>
  <w:style w:type="paragraph" w:customStyle="1" w:styleId="118">
    <w:name w:val="实施日期"/>
    <w:basedOn w:val="79"/>
    <w:autoRedefine/>
    <w:qFormat/>
    <w:uiPriority w:val="0"/>
    <w:pPr>
      <w:framePr w:vAnchor="page" w:hAnchor="page"/>
      <w:jc w:val="right"/>
    </w:pPr>
  </w:style>
  <w:style w:type="paragraph" w:customStyle="1" w:styleId="119">
    <w:name w:val="示例后文字"/>
    <w:basedOn w:val="24"/>
    <w:next w:val="24"/>
    <w:autoRedefine/>
    <w:qFormat/>
    <w:uiPriority w:val="0"/>
    <w:pPr>
      <w:ind w:firstLine="360"/>
    </w:pPr>
    <w:rPr>
      <w:sz w:val="18"/>
    </w:rPr>
  </w:style>
  <w:style w:type="paragraph" w:customStyle="1" w:styleId="120">
    <w:name w:val="首示例"/>
    <w:next w:val="24"/>
    <w:link w:val="121"/>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1">
    <w:name w:val="首示例 Char"/>
    <w:link w:val="120"/>
    <w:autoRedefine/>
    <w:qFormat/>
    <w:uiPriority w:val="0"/>
    <w:rPr>
      <w:rFonts w:ascii="宋体" w:hAnsi="宋体"/>
      <w:kern w:val="2"/>
      <w:sz w:val="18"/>
      <w:szCs w:val="18"/>
      <w:lang w:bidi="ar-SA"/>
    </w:rPr>
  </w:style>
  <w:style w:type="paragraph" w:customStyle="1" w:styleId="122">
    <w:name w:val="四级无"/>
    <w:basedOn w:val="59"/>
    <w:autoRedefine/>
    <w:qFormat/>
    <w:uiPriority w:val="0"/>
    <w:pPr>
      <w:spacing w:before="0" w:beforeLines="0" w:after="0" w:afterLines="0"/>
    </w:pPr>
    <w:rPr>
      <w:rFonts w:ascii="宋体" w:eastAsia="宋体"/>
    </w:rPr>
  </w:style>
  <w:style w:type="paragraph" w:customStyle="1" w:styleId="123">
    <w:name w:val="条文脚注"/>
    <w:basedOn w:val="25"/>
    <w:autoRedefine/>
    <w:qFormat/>
    <w:uiPriority w:val="0"/>
    <w:pPr>
      <w:numPr>
        <w:ilvl w:val="0"/>
        <w:numId w:val="0"/>
      </w:numPr>
      <w:tabs>
        <w:tab w:val="clear" w:pos="0"/>
      </w:tabs>
      <w:jc w:val="both"/>
    </w:pPr>
    <w:rPr>
      <w:rFonts w:ascii="宋体"/>
    </w:rPr>
  </w:style>
  <w:style w:type="paragraph" w:customStyle="1" w:styleId="124">
    <w:name w:val="图标脚注说明"/>
    <w:basedOn w:val="24"/>
    <w:autoRedefine/>
    <w:qFormat/>
    <w:uiPriority w:val="0"/>
    <w:pPr>
      <w:ind w:left="840" w:hanging="420" w:firstLineChars="0"/>
    </w:pPr>
    <w:rPr>
      <w:sz w:val="18"/>
      <w:szCs w:val="18"/>
    </w:rPr>
  </w:style>
  <w:style w:type="paragraph" w:customStyle="1" w:styleId="125">
    <w:name w:val="图表脚注说明"/>
    <w:basedOn w:val="1"/>
    <w:autoRedefine/>
    <w:qFormat/>
    <w:uiPriority w:val="0"/>
    <w:pPr>
      <w:numPr>
        <w:ilvl w:val="0"/>
        <w:numId w:val="15"/>
      </w:numPr>
    </w:pPr>
    <w:rPr>
      <w:rFonts w:ascii="宋体"/>
      <w:sz w:val="18"/>
      <w:szCs w:val="18"/>
    </w:rPr>
  </w:style>
  <w:style w:type="paragraph" w:customStyle="1" w:styleId="126">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autoRedefine/>
    <w:qFormat/>
    <w:uiPriority w:val="0"/>
    <w:pPr>
      <w:spacing w:before="0" w:beforeLines="0" w:after="0" w:afterLines="0"/>
    </w:pPr>
    <w:rPr>
      <w:rFonts w:ascii="宋体" w:eastAsia="宋体"/>
    </w:rPr>
  </w:style>
  <w:style w:type="paragraph" w:customStyle="1" w:styleId="129">
    <w:name w:val="一级无"/>
    <w:basedOn w:val="46"/>
    <w:autoRedefine/>
    <w:qFormat/>
    <w:uiPriority w:val="0"/>
    <w:pPr>
      <w:spacing w:before="0" w:beforeLines="0" w:after="0" w:afterLines="0"/>
    </w:pPr>
    <w:rPr>
      <w:rFonts w:ascii="宋体" w:eastAsia="宋体"/>
    </w:rPr>
  </w:style>
  <w:style w:type="paragraph" w:customStyle="1" w:styleId="130">
    <w:name w:val="正文表标题"/>
    <w:next w:val="24"/>
    <w:autoRedefine/>
    <w:qFormat/>
    <w:uiPriority w:val="0"/>
    <w:pPr>
      <w:numPr>
        <w:ilvl w:val="0"/>
        <w:numId w:val="1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31">
    <w:name w:val="正文公式编号制表符"/>
    <w:basedOn w:val="24"/>
    <w:next w:val="24"/>
    <w:autoRedefine/>
    <w:qFormat/>
    <w:uiPriority w:val="0"/>
    <w:pPr>
      <w:ind w:firstLine="0" w:firstLineChars="0"/>
    </w:pPr>
  </w:style>
  <w:style w:type="paragraph" w:customStyle="1" w:styleId="132">
    <w:name w:val="正文图标题"/>
    <w:next w:val="24"/>
    <w:autoRedefine/>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终结线"/>
    <w:basedOn w:val="1"/>
    <w:autoRedefine/>
    <w:qFormat/>
    <w:uiPriority w:val="0"/>
    <w:pPr>
      <w:framePr w:hSpace="181" w:vSpace="181" w:wrap="around" w:vAnchor="text" w:hAnchor="margin" w:xAlign="center" w:y="285"/>
    </w:pPr>
  </w:style>
  <w:style w:type="paragraph" w:customStyle="1" w:styleId="134">
    <w:name w:val="其他发布日期"/>
    <w:basedOn w:val="79"/>
    <w:autoRedefine/>
    <w:qFormat/>
    <w:uiPriority w:val="0"/>
    <w:pPr>
      <w:framePr w:vAnchor="page" w:hAnchor="page" w:x="1419"/>
    </w:pPr>
  </w:style>
  <w:style w:type="paragraph" w:customStyle="1" w:styleId="135">
    <w:name w:val="其他实施日期"/>
    <w:basedOn w:val="118"/>
    <w:autoRedefine/>
    <w:qFormat/>
    <w:uiPriority w:val="0"/>
  </w:style>
  <w:style w:type="paragraph" w:customStyle="1" w:styleId="136">
    <w:name w:val="封面标准名称2"/>
    <w:basedOn w:val="82"/>
    <w:autoRedefine/>
    <w:qFormat/>
    <w:uiPriority w:val="0"/>
    <w:pPr>
      <w:framePr w:y="4469"/>
      <w:spacing w:before="630" w:beforeLines="630"/>
    </w:pPr>
  </w:style>
  <w:style w:type="paragraph" w:customStyle="1" w:styleId="137">
    <w:name w:val="封面标准英文名称2"/>
    <w:basedOn w:val="83"/>
    <w:autoRedefine/>
    <w:qFormat/>
    <w:uiPriority w:val="0"/>
    <w:pPr>
      <w:framePr w:y="4469"/>
    </w:pPr>
  </w:style>
  <w:style w:type="paragraph" w:customStyle="1" w:styleId="138">
    <w:name w:val="封面一致性程度标识2"/>
    <w:basedOn w:val="84"/>
    <w:autoRedefine/>
    <w:qFormat/>
    <w:uiPriority w:val="0"/>
    <w:pPr>
      <w:framePr w:y="4469"/>
    </w:pPr>
  </w:style>
  <w:style w:type="paragraph" w:customStyle="1" w:styleId="139">
    <w:name w:val="封面标准文稿类别2"/>
    <w:basedOn w:val="85"/>
    <w:autoRedefine/>
    <w:qFormat/>
    <w:uiPriority w:val="0"/>
    <w:pPr>
      <w:framePr w:y="4469"/>
    </w:pPr>
  </w:style>
  <w:style w:type="paragraph" w:customStyle="1" w:styleId="140">
    <w:name w:val="封面标准文稿编辑信息2"/>
    <w:basedOn w:val="86"/>
    <w:autoRedefine/>
    <w:qFormat/>
    <w:uiPriority w:val="0"/>
    <w:pPr>
      <w:framePr w:y="4469"/>
    </w:pPr>
  </w:style>
  <w:style w:type="character" w:customStyle="1" w:styleId="141">
    <w:name w:val="正文文本 Char"/>
    <w:link w:val="10"/>
    <w:autoRedefine/>
    <w:qFormat/>
    <w:uiPriority w:val="0"/>
    <w:rPr>
      <w:kern w:val="2"/>
      <w:sz w:val="21"/>
      <w:szCs w:val="24"/>
    </w:rPr>
  </w:style>
  <w:style w:type="character" w:customStyle="1" w:styleId="142">
    <w:name w:val="正文首行缩进 Char"/>
    <w:link w:val="33"/>
    <w:autoRedefine/>
    <w:qFormat/>
    <w:uiPriority w:val="0"/>
    <w:rPr>
      <w:rFonts w:ascii="宋体" w:hAnsi="宋体"/>
      <w:color w:val="000000"/>
      <w:kern w:val="2"/>
      <w:sz w:val="21"/>
      <w:szCs w:val="24"/>
    </w:rPr>
  </w:style>
  <w:style w:type="character" w:customStyle="1" w:styleId="143">
    <w:name w:val="批注框文本 Char"/>
    <w:link w:val="17"/>
    <w:autoRedefine/>
    <w:qFormat/>
    <w:uiPriority w:val="0"/>
    <w:rPr>
      <w:kern w:val="2"/>
      <w:sz w:val="18"/>
      <w:szCs w:val="18"/>
    </w:rPr>
  </w:style>
  <w:style w:type="paragraph" w:customStyle="1" w:styleId="144">
    <w:name w:val="二级无标题条"/>
    <w:basedOn w:val="1"/>
    <w:autoRedefine/>
    <w:qFormat/>
    <w:uiPriority w:val="0"/>
    <w:pPr>
      <w:numPr>
        <w:ilvl w:val="3"/>
        <w:numId w:val="18"/>
      </w:numPr>
    </w:pPr>
  </w:style>
  <w:style w:type="paragraph" w:customStyle="1" w:styleId="145">
    <w:name w:val="三级无标题条"/>
    <w:basedOn w:val="1"/>
    <w:autoRedefine/>
    <w:qFormat/>
    <w:uiPriority w:val="0"/>
    <w:pPr>
      <w:numPr>
        <w:ilvl w:val="4"/>
        <w:numId w:val="18"/>
      </w:numPr>
    </w:pPr>
  </w:style>
  <w:style w:type="paragraph" w:customStyle="1" w:styleId="146">
    <w:name w:val="四级无标题条"/>
    <w:basedOn w:val="1"/>
    <w:autoRedefine/>
    <w:qFormat/>
    <w:uiPriority w:val="0"/>
    <w:pPr>
      <w:numPr>
        <w:ilvl w:val="5"/>
        <w:numId w:val="18"/>
      </w:numPr>
    </w:pPr>
  </w:style>
  <w:style w:type="paragraph" w:customStyle="1" w:styleId="147">
    <w:name w:val="图表脚注"/>
    <w:next w:val="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8">
    <w:name w:val="五级无标题条"/>
    <w:basedOn w:val="1"/>
    <w:autoRedefine/>
    <w:qFormat/>
    <w:uiPriority w:val="0"/>
    <w:pPr>
      <w:numPr>
        <w:ilvl w:val="6"/>
        <w:numId w:val="18"/>
      </w:numPr>
    </w:pPr>
  </w:style>
  <w:style w:type="paragraph" w:customStyle="1" w:styleId="149">
    <w:name w:val="一级无标题条"/>
    <w:basedOn w:val="1"/>
    <w:autoRedefine/>
    <w:qFormat/>
    <w:uiPriority w:val="0"/>
    <w:pPr>
      <w:numPr>
        <w:ilvl w:val="2"/>
        <w:numId w:val="18"/>
      </w:numPr>
    </w:pPr>
  </w:style>
  <w:style w:type="character" w:customStyle="1" w:styleId="150">
    <w:name w:val="批注文字 Char"/>
    <w:link w:val="8"/>
    <w:autoRedefine/>
    <w:qFormat/>
    <w:uiPriority w:val="0"/>
    <w:rPr>
      <w:kern w:val="2"/>
      <w:sz w:val="21"/>
      <w:szCs w:val="24"/>
    </w:rPr>
  </w:style>
  <w:style w:type="character" w:customStyle="1" w:styleId="151">
    <w:name w:val="批注主题 Char"/>
    <w:link w:val="32"/>
    <w:autoRedefine/>
    <w:qFormat/>
    <w:uiPriority w:val="0"/>
    <w:rPr>
      <w:b/>
      <w:bCs/>
      <w:kern w:val="2"/>
      <w:sz w:val="21"/>
      <w:szCs w:val="24"/>
    </w:rPr>
  </w:style>
  <w:style w:type="paragraph" w:customStyle="1" w:styleId="15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3">
    <w:name w:val="_Style 151"/>
    <w:autoRedefine/>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682</Words>
  <Characters>3892</Characters>
  <Lines>32</Lines>
  <Paragraphs>9</Paragraphs>
  <TotalTime>67</TotalTime>
  <ScaleCrop>false</ScaleCrop>
  <LinksUpToDate>false</LinksUpToDate>
  <CharactersWithSpaces>4565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2021-03-02T03:10:00Z</dcterms:created>
  <dc:creator>CNIS</dc:creator>
  <cp:lastModifiedBy>刘国霞</cp:lastModifiedBy>
  <cp:lastPrinted>2021-06-25T07:47:00Z</cp:lastPrinted>
  <dcterms:modified xsi:type="dcterms:W3CDTF">2024-02-29T11:34:03Z</dcterms:modified>
  <dc:title>标准名称</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BB8F31E2299B445EB259BB23712DF553_13</vt:lpwstr>
  </property>
</Properties>
</file>