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hint="default" w:ascii="Times New Roman" w:hAnsi="Times New Roman" w:cs="Times New Roman"/>
          <w:b/>
          <w:color w:val="auto"/>
          <w:kern w:val="0"/>
          <w:sz w:val="36"/>
          <w:szCs w:val="31"/>
          <w:highlight w:val="none"/>
          <w:lang w:val="en-US" w:eastAsia="zh-CN"/>
        </w:rPr>
        <w:t>团体</w:t>
      </w:r>
      <w:r>
        <w:rPr>
          <w:rFonts w:ascii="Times New Roman" w:hAnsi="Times New Roman" w:eastAsia="宋体" w:cs="Times New Roman"/>
          <w:b/>
          <w:color w:val="auto"/>
          <w:kern w:val="0"/>
          <w:sz w:val="36"/>
          <w:szCs w:val="31"/>
          <w:highlight w:val="none"/>
        </w:rPr>
        <w:t>标准</w:t>
      </w:r>
    </w:p>
    <w:p>
      <w:pPr>
        <w:keepNext w:val="0"/>
        <w:keepLines w:val="0"/>
        <w:pageBreakBefore w:val="0"/>
        <w:widowControl/>
        <w:kinsoku/>
        <w:wordWrap/>
        <w:overflowPunct/>
        <w:topLinePunct w:val="0"/>
        <w:bidi w:val="0"/>
        <w:adjustRightInd w:val="0"/>
        <w:snapToGrid w:val="0"/>
        <w:spacing w:before="156" w:beforeLines="50" w:after="156" w:afterLines="50"/>
        <w:ind w:left="0" w:leftChars="0" w:firstLine="0" w:firstLineChars="0"/>
        <w:jc w:val="center"/>
        <w:textAlignment w:val="auto"/>
        <w:rPr>
          <w:rFonts w:ascii="Times New Roman" w:hAnsi="Times New Roman" w:eastAsia="宋体" w:cs="Times New Roman"/>
          <w:b/>
          <w:color w:val="auto"/>
          <w:kern w:val="0"/>
          <w:sz w:val="40"/>
          <w:szCs w:val="31"/>
          <w:highlight w:val="none"/>
        </w:rPr>
      </w:pPr>
      <w:r>
        <w:rPr>
          <w:rFonts w:ascii="Times New Roman" w:hAnsi="Times New Roman" w:eastAsia="宋体" w:cs="Times New Roman"/>
          <w:b/>
          <w:color w:val="auto"/>
          <w:kern w:val="0"/>
          <w:sz w:val="40"/>
          <w:szCs w:val="31"/>
          <w:highlight w:val="none"/>
        </w:rPr>
        <w:t>《</w:t>
      </w:r>
      <w:bookmarkStart w:id="0" w:name="_Toc107043138"/>
      <w:bookmarkStart w:id="1" w:name="_Toc107043653"/>
      <w:r>
        <w:rPr>
          <w:rFonts w:hint="default" w:ascii="Times New Roman" w:hAnsi="Times New Roman" w:eastAsia="宋体" w:cs="Times New Roman"/>
          <w:b/>
          <w:color w:val="auto"/>
          <w:kern w:val="0"/>
          <w:sz w:val="40"/>
          <w:szCs w:val="31"/>
          <w:highlight w:val="none"/>
        </w:rPr>
        <w:t xml:space="preserve">绿色设计产品评价技术规范 </w:t>
      </w:r>
      <w:r>
        <w:rPr>
          <w:rFonts w:hint="eastAsia" w:cs="Times New Roman"/>
          <w:b/>
          <w:color w:val="auto"/>
          <w:kern w:val="0"/>
          <w:sz w:val="40"/>
          <w:szCs w:val="31"/>
          <w:highlight w:val="none"/>
          <w:lang w:val="en-US" w:eastAsia="zh-CN"/>
        </w:rPr>
        <w:t>锗单晶和锗单晶片</w:t>
      </w:r>
      <w:bookmarkEnd w:id="0"/>
      <w:bookmarkEnd w:id="1"/>
      <w:r>
        <w:rPr>
          <w:rFonts w:ascii="Times New Roman" w:hAnsi="Times New Roman" w:eastAsia="宋体" w:cs="Times New Roman"/>
          <w:b/>
          <w:color w:val="auto"/>
          <w:kern w:val="0"/>
          <w:sz w:val="40"/>
          <w:szCs w:val="31"/>
          <w:highlight w:val="none"/>
        </w:rPr>
        <w:t>》</w:t>
      </w: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编制说明</w:t>
      </w: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w:t>
      </w:r>
      <w:r>
        <w:rPr>
          <w:rFonts w:hint="default" w:ascii="Times New Roman" w:hAnsi="Times New Roman" w:cs="Times New Roman"/>
          <w:b/>
          <w:color w:val="auto"/>
          <w:kern w:val="0"/>
          <w:sz w:val="36"/>
          <w:szCs w:val="31"/>
          <w:highlight w:val="none"/>
          <w:lang w:val="en-US" w:eastAsia="zh-CN"/>
        </w:rPr>
        <w:t>讨论</w:t>
      </w:r>
      <w:r>
        <w:rPr>
          <w:rFonts w:ascii="Times New Roman" w:hAnsi="Times New Roman" w:eastAsia="宋体" w:cs="Times New Roman"/>
          <w:b/>
          <w:color w:val="auto"/>
          <w:kern w:val="0"/>
          <w:sz w:val="36"/>
          <w:szCs w:val="31"/>
          <w:highlight w:val="none"/>
        </w:rPr>
        <w:t>稿）</w:t>
      </w: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eastAsia="宋体" w:cs="Times New Roman"/>
          <w:b/>
          <w:color w:val="auto"/>
          <w:kern w:val="0"/>
          <w:sz w:val="36"/>
          <w:szCs w:val="31"/>
          <w:highlight w:val="none"/>
        </w:rPr>
      </w:pPr>
      <w:r>
        <w:rPr>
          <w:rFonts w:ascii="Times New Roman" w:hAnsi="Times New Roman" w:eastAsia="宋体" w:cs="Times New Roman"/>
          <w:b/>
          <w:color w:val="auto"/>
          <w:kern w:val="0"/>
          <w:sz w:val="36"/>
          <w:szCs w:val="31"/>
          <w:highlight w:val="none"/>
        </w:rPr>
        <w:t>《</w:t>
      </w:r>
      <w:r>
        <w:rPr>
          <w:rFonts w:hint="default" w:ascii="Times New Roman" w:hAnsi="Times New Roman" w:eastAsia="宋体" w:cs="Times New Roman"/>
          <w:b/>
          <w:color w:val="auto"/>
          <w:kern w:val="0"/>
          <w:sz w:val="36"/>
          <w:szCs w:val="31"/>
          <w:highlight w:val="none"/>
        </w:rPr>
        <w:t xml:space="preserve">绿色设计产品评价技术规范 </w:t>
      </w:r>
      <w:r>
        <w:rPr>
          <w:rFonts w:ascii="Times New Roman" w:hAnsi="Times New Roman" w:eastAsia="宋体" w:cs="Times New Roman"/>
          <w:b/>
          <w:color w:val="auto"/>
          <w:kern w:val="0"/>
          <w:sz w:val="36"/>
          <w:szCs w:val="31"/>
          <w:highlight w:val="none"/>
        </w:rPr>
        <w:t xml:space="preserve"> </w:t>
      </w:r>
      <w:r>
        <w:rPr>
          <w:rFonts w:hint="eastAsia" w:cs="Times New Roman"/>
          <w:b/>
          <w:color w:val="auto"/>
          <w:kern w:val="0"/>
          <w:sz w:val="36"/>
          <w:szCs w:val="31"/>
          <w:highlight w:val="none"/>
          <w:lang w:val="en-US" w:eastAsia="zh-CN"/>
        </w:rPr>
        <w:t>锗单晶和锗单晶片</w:t>
      </w:r>
      <w:r>
        <w:rPr>
          <w:rFonts w:ascii="Times New Roman" w:hAnsi="Times New Roman" w:eastAsia="宋体" w:cs="Times New Roman"/>
          <w:b/>
          <w:color w:val="auto"/>
          <w:kern w:val="0"/>
          <w:sz w:val="36"/>
          <w:szCs w:val="31"/>
          <w:highlight w:val="none"/>
        </w:rPr>
        <w:t>》编制组</w:t>
      </w:r>
    </w:p>
    <w:p>
      <w:pPr>
        <w:keepNext w:val="0"/>
        <w:keepLines w:val="0"/>
        <w:pageBreakBefore w:val="0"/>
        <w:widowControl/>
        <w:kinsoku/>
        <w:wordWrap/>
        <w:overflowPunct/>
        <w:topLinePunct w:val="0"/>
        <w:bidi w:val="0"/>
        <w:adjustRightInd w:val="0"/>
        <w:snapToGrid w:val="0"/>
        <w:ind w:firstLine="0" w:firstLineChars="0"/>
        <w:jc w:val="center"/>
        <w:textAlignment w:val="auto"/>
        <w:rPr>
          <w:rFonts w:ascii="Times New Roman" w:hAnsi="Times New Roman" w:cs="Times New Roman"/>
          <w:color w:val="auto"/>
          <w:highlight w:val="none"/>
        </w:rPr>
        <w:sectPr>
          <w:headerReference r:id="rId5" w:type="default"/>
          <w:footerReference r:id="rId7" w:type="default"/>
          <w:headerReference r:id="rId6" w:type="even"/>
          <w:footerReference r:id="rId8" w:type="even"/>
          <w:pgSz w:w="11906" w:h="16838"/>
          <w:pgMar w:top="567" w:right="1134" w:bottom="1134" w:left="1418" w:header="1417" w:footer="1134" w:gutter="0"/>
          <w:pgNumType w:fmt="upperRoman" w:start="1"/>
          <w:cols w:space="425" w:num="1"/>
          <w:docGrid w:type="lines" w:linePitch="312" w:charSpace="0"/>
        </w:sectPr>
      </w:pPr>
      <w:r>
        <w:rPr>
          <w:rFonts w:ascii="Times New Roman" w:hAnsi="Times New Roman" w:eastAsia="宋体" w:cs="Times New Roman"/>
          <w:b/>
          <w:color w:val="auto"/>
          <w:kern w:val="0"/>
          <w:sz w:val="36"/>
          <w:szCs w:val="31"/>
          <w:highlight w:val="none"/>
        </w:rPr>
        <w:t>202</w:t>
      </w:r>
      <w:r>
        <w:rPr>
          <w:rFonts w:hint="default" w:ascii="Times New Roman" w:hAnsi="Times New Roman" w:cs="Times New Roman"/>
          <w:b/>
          <w:color w:val="auto"/>
          <w:kern w:val="0"/>
          <w:sz w:val="36"/>
          <w:szCs w:val="31"/>
          <w:highlight w:val="none"/>
          <w:lang w:val="en-US" w:eastAsia="zh-CN"/>
        </w:rPr>
        <w:t>4</w:t>
      </w:r>
      <w:r>
        <w:rPr>
          <w:rFonts w:ascii="Times New Roman" w:hAnsi="Times New Roman" w:eastAsia="宋体" w:cs="Times New Roman"/>
          <w:b/>
          <w:color w:val="auto"/>
          <w:kern w:val="0"/>
          <w:sz w:val="36"/>
          <w:szCs w:val="31"/>
          <w:highlight w:val="none"/>
        </w:rPr>
        <w:t>年</w:t>
      </w:r>
      <w:r>
        <w:rPr>
          <w:rFonts w:hint="default" w:ascii="Times New Roman" w:hAnsi="Times New Roman" w:cs="Times New Roman"/>
          <w:b/>
          <w:color w:val="auto"/>
          <w:kern w:val="0"/>
          <w:sz w:val="36"/>
          <w:szCs w:val="31"/>
          <w:highlight w:val="none"/>
          <w:lang w:val="en-US" w:eastAsia="zh-CN"/>
        </w:rPr>
        <w:t>2</w:t>
      </w:r>
      <w:r>
        <w:rPr>
          <w:rFonts w:ascii="Times New Roman" w:hAnsi="Times New Roman" w:eastAsia="宋体" w:cs="Times New Roman"/>
          <w:b/>
          <w:color w:val="auto"/>
          <w:kern w:val="0"/>
          <w:sz w:val="36"/>
          <w:szCs w:val="31"/>
          <w:highlight w:val="none"/>
        </w:rPr>
        <w:t>月</w:t>
      </w:r>
      <w:bookmarkStart w:id="2" w:name="_Toc107043651"/>
    </w:p>
    <w:bookmarkEnd w:id="2"/>
    <w:p>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eastAsia="黑体"/>
          <w:sz w:val="28"/>
          <w:szCs w:val="28"/>
        </w:rPr>
      </w:pPr>
      <w:r>
        <w:rPr>
          <w:rFonts w:hint="default" w:eastAsia="黑体"/>
          <w:sz w:val="28"/>
          <w:szCs w:val="28"/>
        </w:rPr>
        <w:t>团体</w:t>
      </w:r>
      <w:r>
        <w:rPr>
          <w:rFonts w:eastAsia="黑体"/>
          <w:sz w:val="28"/>
          <w:szCs w:val="28"/>
        </w:rPr>
        <w:t>标准</w:t>
      </w:r>
      <w:r>
        <w:rPr>
          <w:rFonts w:hint="default" w:eastAsia="黑体"/>
          <w:sz w:val="28"/>
          <w:szCs w:val="28"/>
        </w:rPr>
        <w:t>《</w:t>
      </w:r>
      <w:r>
        <w:rPr>
          <w:rFonts w:eastAsia="黑体"/>
          <w:sz w:val="28"/>
          <w:szCs w:val="28"/>
        </w:rPr>
        <w:t>绿色设计产品评价技术规范</w:t>
      </w:r>
      <w:r>
        <w:rPr>
          <w:rFonts w:hint="default" w:eastAsia="黑体"/>
          <w:sz w:val="28"/>
          <w:szCs w:val="28"/>
        </w:rPr>
        <w:t xml:space="preserve">  </w:t>
      </w:r>
      <w:r>
        <w:rPr>
          <w:rFonts w:hint="eastAsia" w:eastAsia="黑体"/>
          <w:sz w:val="28"/>
          <w:szCs w:val="28"/>
          <w:lang w:val="en-US" w:eastAsia="zh-CN"/>
        </w:rPr>
        <w:t>锗单晶和锗单晶片</w:t>
      </w:r>
      <w:r>
        <w:rPr>
          <w:rFonts w:hint="default" w:eastAsia="黑体"/>
          <w:sz w:val="28"/>
          <w:szCs w:val="28"/>
        </w:rPr>
        <w:t>》</w:t>
      </w:r>
    </w:p>
    <w:p>
      <w:pPr>
        <w:pStyle w:val="8"/>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ascii="Times New Roman" w:hAnsi="Times New Roman" w:eastAsia="黑体"/>
          <w:sz w:val="28"/>
          <w:szCs w:val="28"/>
        </w:rPr>
      </w:pPr>
      <w:r>
        <w:rPr>
          <w:rFonts w:ascii="Times New Roman" w:hAnsi="Times New Roman" w:eastAsia="黑体"/>
          <w:sz w:val="28"/>
          <w:szCs w:val="28"/>
        </w:rPr>
        <w:t>编制说明</w:t>
      </w:r>
      <w:r>
        <w:rPr>
          <w:rFonts w:hint="default" w:ascii="Times New Roman" w:hAnsi="Times New Roman" w:eastAsia="黑体"/>
          <w:sz w:val="28"/>
          <w:szCs w:val="28"/>
        </w:rPr>
        <w:t>（</w:t>
      </w:r>
      <w:r>
        <w:rPr>
          <w:rFonts w:hint="default" w:ascii="Times New Roman" w:hAnsi="Times New Roman" w:eastAsia="黑体"/>
          <w:sz w:val="28"/>
          <w:szCs w:val="28"/>
          <w:lang w:val="en-US" w:eastAsia="zh-CN"/>
        </w:rPr>
        <w:t>讨论稿</w:t>
      </w:r>
      <w:r>
        <w:rPr>
          <w:rFonts w:hint="default" w:ascii="Times New Roman" w:hAnsi="Times New Roman" w:eastAsia="黑体"/>
          <w:sz w:val="28"/>
          <w:szCs w:val="28"/>
        </w:rPr>
        <w:t>）</w:t>
      </w:r>
    </w:p>
    <w:p>
      <w:pPr>
        <w:pStyle w:val="3"/>
        <w:rPr>
          <w:rFonts w:ascii="Times New Roman" w:hAnsi="Times New Roman" w:eastAsia="宋体"/>
          <w:sz w:val="24"/>
          <w:szCs w:val="24"/>
        </w:rPr>
      </w:pPr>
      <w:bookmarkStart w:id="3" w:name="_Toc497309492"/>
      <w:bookmarkStart w:id="4" w:name="_Toc511234377"/>
      <w:r>
        <w:rPr>
          <w:rFonts w:hint="eastAsia" w:ascii="Times New Roman" w:hAnsi="Times New Roman" w:eastAsia="宋体" w:cs="Times New Roman"/>
          <w:sz w:val="24"/>
          <w:szCs w:val="24"/>
          <w:lang w:val="en-US" w:eastAsia="zh-CN"/>
        </w:rPr>
        <w:t>一</w:t>
      </w:r>
      <w:r>
        <w:rPr>
          <w:rFonts w:hint="default" w:ascii="Times New Roman" w:hAnsi="Times New Roman" w:eastAsia="宋体"/>
          <w:sz w:val="24"/>
          <w:szCs w:val="24"/>
        </w:rPr>
        <w:t>、</w:t>
      </w:r>
      <w:r>
        <w:rPr>
          <w:rFonts w:ascii="Times New Roman" w:hAnsi="Times New Roman" w:eastAsia="宋体"/>
          <w:sz w:val="24"/>
          <w:szCs w:val="24"/>
        </w:rPr>
        <w:t>工作简况</w:t>
      </w:r>
      <w:bookmarkEnd w:id="3"/>
      <w:bookmarkEnd w:id="4"/>
    </w:p>
    <w:p>
      <w:pPr>
        <w:pStyle w:val="4"/>
        <w:rPr>
          <w:rFonts w:ascii="Times New Roman" w:hAnsi="Times New Roman" w:eastAsia="宋体"/>
          <w:b/>
          <w:sz w:val="24"/>
          <w:szCs w:val="24"/>
        </w:rPr>
      </w:pPr>
      <w:bookmarkStart w:id="5" w:name="_Toc511234378"/>
      <w:bookmarkStart w:id="6" w:name="_Toc508985095"/>
      <w:bookmarkStart w:id="7" w:name="_Toc497309493"/>
      <w:r>
        <w:rPr>
          <w:rFonts w:hint="default" w:ascii="Times New Roman" w:hAnsi="Times New Roman" w:eastAsia="宋体"/>
          <w:b/>
          <w:sz w:val="24"/>
          <w:szCs w:val="24"/>
          <w:lang w:val="en-US" w:eastAsia="zh-CN"/>
        </w:rPr>
        <w:t xml:space="preserve">1.1 </w:t>
      </w:r>
      <w:r>
        <w:rPr>
          <w:rFonts w:ascii="Times New Roman" w:hAnsi="Times New Roman" w:eastAsia="宋体"/>
          <w:b/>
          <w:sz w:val="24"/>
          <w:szCs w:val="24"/>
        </w:rPr>
        <w:t>立项</w:t>
      </w:r>
      <w:r>
        <w:rPr>
          <w:rFonts w:hint="default" w:ascii="Times New Roman" w:hAnsi="Times New Roman" w:eastAsia="宋体"/>
          <w:b/>
          <w:sz w:val="24"/>
          <w:szCs w:val="24"/>
        </w:rPr>
        <w:t>的</w:t>
      </w:r>
      <w:r>
        <w:rPr>
          <w:rFonts w:ascii="Times New Roman" w:hAnsi="Times New Roman" w:eastAsia="宋体"/>
          <w:b/>
          <w:sz w:val="24"/>
          <w:szCs w:val="24"/>
        </w:rPr>
        <w:t>目的</w:t>
      </w:r>
      <w:bookmarkEnd w:id="5"/>
      <w:bookmarkEnd w:id="6"/>
      <w:bookmarkEnd w:id="7"/>
      <w:r>
        <w:rPr>
          <w:rFonts w:hint="default" w:ascii="Times New Roman" w:hAnsi="Times New Roman" w:eastAsia="宋体"/>
          <w:b/>
          <w:sz w:val="24"/>
          <w:szCs w:val="24"/>
        </w:rPr>
        <w:t>及意义</w:t>
      </w:r>
    </w:p>
    <w:p>
      <w:pPr>
        <w:ind w:firstLine="480"/>
        <w:rPr>
          <w:rFonts w:hint="default"/>
          <w:sz w:val="24"/>
        </w:rPr>
      </w:pPr>
      <w:r>
        <w:rPr>
          <w:rFonts w:hint="default"/>
          <w:sz w:val="24"/>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ind w:firstLine="480"/>
        <w:rPr>
          <w:rFonts w:hint="default" w:ascii="Times New Roman" w:hAnsi="Times New Roman" w:cs="Times New Roman"/>
          <w:sz w:val="24"/>
        </w:rPr>
      </w:pPr>
      <w:r>
        <w:rPr>
          <w:rFonts w:hint="default" w:ascii="Times New Roman" w:hAnsi="Times New Roman" w:cs="Times New Roman"/>
          <w:sz w:val="24"/>
        </w:rPr>
        <w:t>为贯彻国家“创新、协调、绿色、开放、共享”的战略发展理念，落实《绿色制造工程实施指南(2016-2020年)》的目标，全面推行绿色制造战略任务，实施绿色制造标准化提升工程。2017年，工业和信息化部发布了《工业节能与绿色标准化行动计划（2017-2019）》，鼓励社会组织和企业共同制定市场和创新需要的团体标准，强化产品全生命周期绿色管理。《中国制造2025》提出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国务院办公厅关于印发国家标准化体系建设发展规划（2016-2020 年）的通知国办发〔2015〕89 号文中指出，“加强生态文明标准化，服务绿色发展”，明确了要提升绿色产品的标准化进程。</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锗单晶和锗单晶片广泛应用红外光学领域，生产红外光学器件、红外成像夜视仪、探测器窗口。</w:t>
      </w:r>
      <w:r>
        <w:rPr>
          <w:rFonts w:hint="default" w:ascii="Times New Roman" w:hAnsi="Times New Roman" w:cs="Times New Roman"/>
          <w:sz w:val="24"/>
        </w:rPr>
        <w:t>随着科技的突飞猛进，高速发展，特别是技术、经济与生态环境的不协调发展，人类赖以生存生活的自然环境遭到了极大破坏，环境、资源、人口已成为当今人类社会面临的三大主要难题，而制造业就是突出的资源消耗者及环境污染者之一。因此，大力发展绿色制造具有重要意义：</w:t>
      </w:r>
    </w:p>
    <w:p>
      <w:pPr>
        <w:ind w:firstLine="480"/>
        <w:rPr>
          <w:rFonts w:hint="default"/>
          <w:sz w:val="24"/>
          <w:lang w:val="en-US" w:eastAsia="zh-CN"/>
        </w:rPr>
      </w:pPr>
      <w:r>
        <w:rPr>
          <w:rFonts w:hint="eastAsia"/>
          <w:sz w:val="24"/>
          <w:lang w:val="en-US" w:eastAsia="zh-CN"/>
        </w:rPr>
        <w:t>第一，</w:t>
      </w:r>
      <w:r>
        <w:rPr>
          <w:rFonts w:hint="default"/>
          <w:sz w:val="24"/>
          <w:lang w:val="en-US" w:eastAsia="zh-CN"/>
        </w:rPr>
        <w:t>绿色设计产品是以绿色制造实现供给侧结构性改革的最终体现，侧重于产品全生命周期的绿色化。积极开展绿色设计，按照全生命周期的理念，在产品设计开发阶段系统考虑原材料选用、生产、销售、使用、回收、处理等各个环节对资源环境造成的影响，有助于实现产品对能源资源消耗最低化、生态环境影响最小化、再生率最大化。</w:t>
      </w:r>
    </w:p>
    <w:p>
      <w:pPr>
        <w:ind w:firstLine="480"/>
        <w:rPr>
          <w:rFonts w:hint="default"/>
          <w:sz w:val="24"/>
          <w:lang w:val="en-US" w:eastAsia="zh-CN"/>
        </w:rPr>
      </w:pPr>
      <w:r>
        <w:rPr>
          <w:rFonts w:hint="eastAsia"/>
          <w:sz w:val="24"/>
          <w:lang w:val="en-US" w:eastAsia="zh-CN"/>
        </w:rPr>
        <w:t>第二，</w:t>
      </w:r>
      <w:r>
        <w:rPr>
          <w:rFonts w:hint="default"/>
          <w:sz w:val="24"/>
          <w:lang w:val="en-US" w:eastAsia="zh-CN"/>
        </w:rPr>
        <w:t>建立统一的绿色产品标准、认证、标识体系，是推动绿色低碳循环发展、培育绿色市场的必然要求，是加强供给侧结构性改革、提升绿色产品供给质量和效率的重要举措，是引导产业转型升级、提升中国制造竞争力的紧迫任务，是引领绿色消费、保障和改善民生的有效途径，是履行国际减排承诺、提升我国参与全球治理制度性话语权的现实需要。</w:t>
      </w:r>
    </w:p>
    <w:p>
      <w:pPr>
        <w:ind w:firstLine="480"/>
        <w:rPr>
          <w:rFonts w:hint="default"/>
          <w:sz w:val="24"/>
          <w:lang w:val="en-US" w:eastAsia="zh-CN"/>
        </w:rPr>
      </w:pPr>
      <w:r>
        <w:rPr>
          <w:rFonts w:hint="eastAsia"/>
          <w:sz w:val="24"/>
          <w:lang w:val="en-US" w:eastAsia="zh-CN"/>
        </w:rPr>
        <w:t>第三，</w:t>
      </w:r>
      <w:r>
        <w:rPr>
          <w:rFonts w:hint="default"/>
          <w:sz w:val="24"/>
          <w:lang w:val="en-US" w:eastAsia="zh-CN"/>
        </w:rPr>
        <w:t>统一绿色产品内涵和评价方法。绿色产品内涵应兼顾资源能源消耗少、污染物排放低、低毒少害、易回收处理和再利用、健康安全和质量品质高等特征。采用定量与定性评价相结合、产品与组织评价相结合的方法，统筹考虑资源、能源、环境、品质等属性，科学确定绿色产品评价的关键阶段和关键指标，建立评价方法与指标体系。</w:t>
      </w:r>
    </w:p>
    <w:p>
      <w:pPr>
        <w:ind w:firstLine="480"/>
        <w:rPr>
          <w:rFonts w:hint="default"/>
          <w:sz w:val="24"/>
          <w:lang w:val="en-US" w:eastAsia="zh-CN"/>
        </w:rPr>
      </w:pPr>
      <w:r>
        <w:rPr>
          <w:rFonts w:hint="eastAsia"/>
          <w:sz w:val="24"/>
          <w:lang w:val="en-US" w:eastAsia="zh-CN"/>
        </w:rPr>
        <w:t>第四，</w:t>
      </w:r>
      <w:r>
        <w:rPr>
          <w:rFonts w:hint="default"/>
          <w:sz w:val="24"/>
          <w:lang w:val="en-US" w:eastAsia="zh-CN"/>
        </w:rPr>
        <w:t>开展绿色产品标准体系顶层设计和系统规划，充分发挥各行业主管部门的职能作用，共同编制绿色产品标准体系框架和标准明细表，统一构建以绿色产品评价标准子体系为牵引、以绿色产品的产业支撑标准子体系为辅助的绿色产品标准体系。参考国际实践，建立符合中国国情的绿色产品认证与标识体系，统一制定认证实施规则和认证标识，并发布认证标识使用管理办法。</w:t>
      </w:r>
    </w:p>
    <w:p>
      <w:pPr>
        <w:ind w:firstLine="480"/>
        <w:rPr>
          <w:rFonts w:hint="default"/>
          <w:sz w:val="24"/>
          <w:lang w:val="en-US" w:eastAsia="zh-CN"/>
        </w:rPr>
      </w:pPr>
      <w:r>
        <w:rPr>
          <w:rFonts w:hint="eastAsia"/>
          <w:sz w:val="24"/>
          <w:lang w:val="en-US" w:eastAsia="zh-CN"/>
        </w:rPr>
        <w:t>第五，</w:t>
      </w:r>
      <w:r>
        <w:rPr>
          <w:rFonts w:hint="default"/>
          <w:sz w:val="24"/>
          <w:lang w:val="en-US" w:eastAsia="zh-CN"/>
        </w:rPr>
        <w:t>在锗单晶和锗单晶片的整个生产过程中引入绿色设计产品评价技术规范有利于减少企业在生产过程中对当地生态环境的影响，实现企业及生态环境的可持续发展，指导和规范锗行业绿色设计产品的评价工作，为绿色设计产品的政策和运行机制做好基础性支撑工作，为企业绿色设计产品的审核提供有效手段。</w:t>
      </w:r>
    </w:p>
    <w:p>
      <w:pPr>
        <w:spacing w:before="0" w:beforeLines="-2147483648"/>
        <w:ind w:firstLine="480"/>
        <w:contextualSpacing w:val="0"/>
        <w:rPr>
          <w:sz w:val="24"/>
        </w:rPr>
      </w:pPr>
      <w:r>
        <w:rPr>
          <w:rFonts w:hint="default"/>
          <w:sz w:val="24"/>
        </w:rPr>
        <w:t>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w:t>
      </w:r>
      <w:r>
        <w:rPr>
          <w:rFonts w:hint="eastAsia"/>
          <w:sz w:val="24"/>
          <w:lang w:val="en-US" w:eastAsia="zh-CN"/>
        </w:rPr>
        <w:t>锗单晶和锗单晶片</w:t>
      </w:r>
      <w:r>
        <w:rPr>
          <w:rFonts w:hint="default"/>
          <w:sz w:val="24"/>
        </w:rPr>
        <w:t>产品为研究目标，制定《绿色设计产品评价技术规范</w:t>
      </w:r>
      <w:r>
        <w:rPr>
          <w:sz w:val="24"/>
        </w:rPr>
        <w:t xml:space="preserve">  </w:t>
      </w:r>
      <w:r>
        <w:rPr>
          <w:rFonts w:hint="eastAsia"/>
          <w:sz w:val="24"/>
          <w:lang w:val="en-US" w:eastAsia="zh-CN"/>
        </w:rPr>
        <w:t>锗单晶和锗单晶片</w:t>
      </w:r>
      <w:r>
        <w:rPr>
          <w:rFonts w:hint="default"/>
          <w:sz w:val="24"/>
        </w:rPr>
        <w:t>》标准，成为</w:t>
      </w:r>
      <w:r>
        <w:rPr>
          <w:rFonts w:hint="default"/>
          <w:sz w:val="24"/>
          <w:lang w:val="en-US" w:eastAsia="zh-CN"/>
        </w:rPr>
        <w:t>锗单晶和锗单晶片</w:t>
      </w:r>
      <w:r>
        <w:rPr>
          <w:rFonts w:hint="default"/>
          <w:sz w:val="24"/>
        </w:rPr>
        <w:t>实现绿色发展的必要选择。</w:t>
      </w:r>
    </w:p>
    <w:p>
      <w:pPr>
        <w:pStyle w:val="4"/>
        <w:rPr>
          <w:rFonts w:ascii="Times New Roman" w:hAnsi="Times New Roman" w:eastAsia="宋体"/>
          <w:b/>
          <w:sz w:val="24"/>
          <w:szCs w:val="24"/>
        </w:rPr>
      </w:pPr>
      <w:bookmarkStart w:id="8" w:name="_Toc511234379"/>
      <w:bookmarkStart w:id="9" w:name="_Toc497309494"/>
      <w:bookmarkStart w:id="10" w:name="_Toc508985096"/>
      <w:r>
        <w:rPr>
          <w:rFonts w:hint="default" w:ascii="Times New Roman" w:hAnsi="Times New Roman" w:eastAsia="宋体"/>
          <w:b/>
          <w:sz w:val="24"/>
          <w:szCs w:val="24"/>
          <w:lang w:val="en-US" w:eastAsia="zh-CN"/>
        </w:rPr>
        <w:t xml:space="preserve">1.2 </w:t>
      </w:r>
      <w:r>
        <w:rPr>
          <w:rFonts w:ascii="Times New Roman" w:hAnsi="Times New Roman" w:eastAsia="宋体"/>
          <w:b/>
          <w:sz w:val="24"/>
          <w:szCs w:val="24"/>
        </w:rPr>
        <w:t>任务来源</w:t>
      </w:r>
      <w:bookmarkEnd w:id="8"/>
      <w:bookmarkEnd w:id="9"/>
      <w:bookmarkEnd w:id="10"/>
    </w:p>
    <w:p>
      <w:pPr>
        <w:ind w:firstLine="480"/>
        <w:rPr>
          <w:sz w:val="24"/>
        </w:rPr>
      </w:pPr>
      <w:bookmarkStart w:id="11" w:name="_Toc497309497"/>
      <w:bookmarkStart w:id="12" w:name="_Toc508985097"/>
      <w:bookmarkStart w:id="13" w:name="_Toc511234380"/>
      <w:r>
        <w:rPr>
          <w:rFonts w:hint="default"/>
          <w:sz w:val="24"/>
        </w:rPr>
        <w:t>根据</w:t>
      </w:r>
      <w:r>
        <w:rPr>
          <w:rFonts w:hint="default"/>
          <w:sz w:val="24"/>
          <w:lang w:val="en-US" w:eastAsia="zh-CN"/>
        </w:rPr>
        <w:t>全国有色金属标准化技术委员会</w:t>
      </w:r>
      <w:r>
        <w:rPr>
          <w:rFonts w:hint="default"/>
          <w:sz w:val="24"/>
        </w:rPr>
        <w:t>《关于</w:t>
      </w:r>
      <w:r>
        <w:rPr>
          <w:rFonts w:hint="default"/>
          <w:sz w:val="24"/>
          <w:lang w:val="en-US" w:eastAsia="zh-CN"/>
        </w:rPr>
        <w:t>转发2023年第三批有色金属行业、协会标准制（修）订项目计划及征集起草单位的通知</w:t>
      </w:r>
      <w:r>
        <w:rPr>
          <w:rFonts w:hint="default" w:ascii="Times New Roman" w:hAnsi="Times New Roman"/>
          <w:sz w:val="24"/>
        </w:rPr>
        <w:t>》（</w:t>
      </w:r>
      <w:r>
        <w:rPr>
          <w:rFonts w:hint="default" w:ascii="Times New Roman" w:hAnsi="Times New Roman"/>
          <w:sz w:val="24"/>
          <w:lang w:val="en-US" w:eastAsia="zh-CN"/>
        </w:rPr>
        <w:t>有色标委</w:t>
      </w:r>
      <w:r>
        <w:rPr>
          <w:rFonts w:hint="default" w:ascii="Times New Roman" w:hAnsi="Times New Roman" w:eastAsia="宋体" w:cs="Times New Roman"/>
          <w:sz w:val="24"/>
          <w:lang w:val="en-US" w:eastAsia="zh-CN"/>
        </w:rPr>
        <w:t>〔</w:t>
      </w:r>
      <w:r>
        <w:rPr>
          <w:rFonts w:hint="default" w:ascii="Times New Roman" w:hAnsi="Times New Roman"/>
          <w:sz w:val="24"/>
          <w:lang w:val="en-US" w:eastAsia="zh-CN"/>
        </w:rPr>
        <w:t>2023</w:t>
      </w:r>
      <w:r>
        <w:rPr>
          <w:rFonts w:hint="default" w:ascii="Times New Roman" w:hAnsi="Times New Roman" w:eastAsia="宋体" w:cs="Times New Roman"/>
          <w:sz w:val="24"/>
          <w:lang w:val="en-US" w:eastAsia="zh-CN"/>
        </w:rPr>
        <w:t>〕</w:t>
      </w:r>
      <w:r>
        <w:rPr>
          <w:rFonts w:hint="default" w:ascii="Times New Roman" w:hAnsi="Times New Roman"/>
          <w:sz w:val="24"/>
          <w:lang w:val="en-US" w:eastAsia="zh-CN"/>
        </w:rPr>
        <w:t>97</w:t>
      </w:r>
      <w:r>
        <w:rPr>
          <w:rFonts w:hint="default" w:ascii="Times New Roman" w:hAnsi="Times New Roman"/>
          <w:sz w:val="24"/>
        </w:rPr>
        <w:t>号）</w:t>
      </w:r>
      <w:r>
        <w:rPr>
          <w:rFonts w:hint="default"/>
          <w:sz w:val="24"/>
        </w:rPr>
        <w:t>的要求，《绿色设计产品评价技术规范</w:t>
      </w:r>
      <w:r>
        <w:rPr>
          <w:sz w:val="24"/>
        </w:rPr>
        <w:t xml:space="preserve"> </w:t>
      </w:r>
      <w:r>
        <w:rPr>
          <w:rFonts w:hint="eastAsia"/>
          <w:sz w:val="24"/>
          <w:lang w:val="en-US" w:eastAsia="zh-CN"/>
        </w:rPr>
        <w:t>锗单晶和锗单晶片</w:t>
      </w:r>
      <w:r>
        <w:rPr>
          <w:rFonts w:hint="default"/>
          <w:sz w:val="24"/>
        </w:rPr>
        <w:t>》由</w:t>
      </w:r>
      <w:r>
        <w:rPr>
          <w:rFonts w:hint="default"/>
          <w:sz w:val="24"/>
          <w:lang w:val="en-US" w:eastAsia="zh-CN"/>
        </w:rPr>
        <w:t>云南驰宏国际锗业有限公司</w:t>
      </w:r>
      <w:r>
        <w:rPr>
          <w:rFonts w:hint="default"/>
          <w:sz w:val="24"/>
        </w:rPr>
        <w:t>牵头起草，由全国有色金属标准化技术委员会、全国半导体设备和材料标准化技术委员会材料分技术委员会归口，全国半导体设备和材料标准化技术委员会材料分技术委员会负责组织</w:t>
      </w:r>
      <w:r>
        <w:rPr>
          <w:rFonts w:hint="default"/>
          <w:sz w:val="24"/>
          <w:lang w:eastAsia="zh-CN"/>
        </w:rPr>
        <w:t>，计划号</w:t>
      </w:r>
      <w:r>
        <w:rPr>
          <w:rFonts w:hint="default"/>
          <w:sz w:val="24"/>
          <w:lang w:eastAsia="zh-CN"/>
        </w:rPr>
        <w:fldChar w:fldCharType="begin"/>
      </w:r>
      <w:r>
        <w:rPr>
          <w:rFonts w:hint="default"/>
          <w:sz w:val="24"/>
          <w:lang w:eastAsia="zh-CN"/>
        </w:rPr>
        <w:instrText xml:space="preserve"> HYPERLINK "http://219.239.107.155:8080/TaskBook.aspx?id=20211248TYS" </w:instrText>
      </w:r>
      <w:r>
        <w:rPr>
          <w:rFonts w:hint="default"/>
          <w:sz w:val="24"/>
          <w:lang w:eastAsia="zh-CN"/>
        </w:rPr>
        <w:fldChar w:fldCharType="separate"/>
      </w:r>
      <w:r>
        <w:rPr>
          <w:rFonts w:hint="default"/>
          <w:sz w:val="24"/>
          <w:lang w:eastAsia="zh-CN"/>
        </w:rPr>
        <w:t>202</w:t>
      </w:r>
      <w:r>
        <w:rPr>
          <w:rFonts w:hint="default"/>
          <w:sz w:val="24"/>
          <w:lang w:val="en-US" w:eastAsia="zh-CN"/>
        </w:rPr>
        <w:t>3</w:t>
      </w:r>
      <w:r>
        <w:rPr>
          <w:rFonts w:hint="default"/>
          <w:sz w:val="24"/>
          <w:lang w:eastAsia="zh-CN"/>
        </w:rPr>
        <w:t>-</w:t>
      </w:r>
      <w:r>
        <w:rPr>
          <w:rFonts w:hint="default"/>
          <w:sz w:val="24"/>
          <w:lang w:val="en-US" w:eastAsia="zh-CN"/>
        </w:rPr>
        <w:t>03</w:t>
      </w:r>
      <w:r>
        <w:rPr>
          <w:rFonts w:hint="eastAsia"/>
          <w:sz w:val="24"/>
          <w:lang w:val="en-US" w:eastAsia="zh-CN"/>
        </w:rPr>
        <w:t>8</w:t>
      </w:r>
      <w:r>
        <w:rPr>
          <w:rFonts w:hint="default"/>
          <w:sz w:val="24"/>
          <w:lang w:eastAsia="zh-CN"/>
        </w:rPr>
        <w:t>-</w:t>
      </w:r>
      <w:r>
        <w:rPr>
          <w:rFonts w:hint="default"/>
          <w:sz w:val="24"/>
          <w:lang w:val="en-US" w:eastAsia="zh-CN"/>
        </w:rPr>
        <w:t>T/CHIA</w:t>
      </w:r>
      <w:r>
        <w:rPr>
          <w:rFonts w:hint="default"/>
          <w:sz w:val="24"/>
          <w:lang w:eastAsia="zh-CN"/>
        </w:rPr>
        <w:fldChar w:fldCharType="end"/>
      </w:r>
      <w:r>
        <w:rPr>
          <w:rFonts w:hint="default"/>
          <w:sz w:val="24"/>
          <w:lang w:eastAsia="zh-CN"/>
        </w:rPr>
        <w:t>，计划完成时间为202</w:t>
      </w:r>
      <w:r>
        <w:rPr>
          <w:rFonts w:hint="default"/>
          <w:sz w:val="24"/>
          <w:lang w:val="en-US" w:eastAsia="zh-CN"/>
        </w:rPr>
        <w:t>4</w:t>
      </w:r>
      <w:r>
        <w:rPr>
          <w:rFonts w:hint="default"/>
          <w:sz w:val="24"/>
          <w:lang w:eastAsia="zh-CN"/>
        </w:rPr>
        <w:t>年</w:t>
      </w:r>
      <w:r>
        <w:rPr>
          <w:rFonts w:hint="default"/>
          <w:sz w:val="24"/>
        </w:rPr>
        <w:t>。</w:t>
      </w:r>
    </w:p>
    <w:p>
      <w:pPr>
        <w:pStyle w:val="4"/>
        <w:rPr>
          <w:rFonts w:ascii="Times New Roman" w:hAnsi="Times New Roman" w:eastAsia="宋体"/>
          <w:b/>
          <w:sz w:val="24"/>
          <w:szCs w:val="24"/>
        </w:rPr>
      </w:pPr>
      <w:r>
        <w:rPr>
          <w:rFonts w:hint="default" w:ascii="Times New Roman" w:hAnsi="Times New Roman" w:eastAsia="宋体"/>
          <w:b/>
          <w:sz w:val="24"/>
          <w:szCs w:val="24"/>
          <w:lang w:val="en-US" w:eastAsia="zh-CN"/>
        </w:rPr>
        <w:t xml:space="preserve">1.3 </w:t>
      </w:r>
      <w:r>
        <w:rPr>
          <w:rFonts w:ascii="Times New Roman" w:hAnsi="Times New Roman" w:eastAsia="宋体"/>
          <w:b/>
          <w:sz w:val="24"/>
          <w:szCs w:val="24"/>
        </w:rPr>
        <w:t>项目编制组单位简况</w:t>
      </w:r>
      <w:bookmarkEnd w:id="11"/>
      <w:bookmarkEnd w:id="12"/>
      <w:bookmarkEnd w:id="13"/>
    </w:p>
    <w:p>
      <w:pPr>
        <w:pStyle w:val="4"/>
        <w:rPr>
          <w:rFonts w:ascii="Times New Roman" w:hAnsi="Times New Roman" w:eastAsia="宋体"/>
          <w:b/>
          <w:sz w:val="24"/>
          <w:szCs w:val="24"/>
        </w:rPr>
      </w:pPr>
      <w:bookmarkStart w:id="14" w:name="_Toc458287585"/>
      <w:bookmarkStart w:id="15" w:name="_Toc511234381"/>
      <w:bookmarkStart w:id="16" w:name="_Toc497309498"/>
      <w:bookmarkStart w:id="17" w:name="_Toc508985098"/>
      <w:r>
        <w:rPr>
          <w:rFonts w:hint="default" w:ascii="Times New Roman" w:hAnsi="Times New Roman" w:eastAsia="宋体"/>
          <w:b/>
          <w:sz w:val="24"/>
          <w:szCs w:val="24"/>
          <w:lang w:val="en-US" w:eastAsia="zh-CN"/>
        </w:rPr>
        <w:t xml:space="preserve">1.3.1 </w:t>
      </w:r>
      <w:r>
        <w:rPr>
          <w:rFonts w:ascii="Times New Roman" w:hAnsi="Times New Roman" w:eastAsia="宋体"/>
          <w:b/>
          <w:sz w:val="24"/>
          <w:szCs w:val="24"/>
        </w:rPr>
        <w:t>编制组成员单位</w:t>
      </w:r>
      <w:bookmarkEnd w:id="14"/>
      <w:bookmarkEnd w:id="15"/>
      <w:bookmarkEnd w:id="16"/>
      <w:bookmarkEnd w:id="17"/>
    </w:p>
    <w:p>
      <w:pPr>
        <w:ind w:firstLine="480"/>
        <w:rPr>
          <w:sz w:val="24"/>
        </w:rPr>
      </w:pPr>
      <w:r>
        <w:rPr>
          <w:rFonts w:hint="default"/>
          <w:sz w:val="24"/>
          <w:lang w:val="en-US" w:eastAsia="zh-CN"/>
        </w:rPr>
        <w:t>本项目由云南驰宏国际锗业有限公司、</w:t>
      </w:r>
      <w:r>
        <w:rPr>
          <w:rFonts w:hint="default"/>
          <w:sz w:val="24"/>
          <w:lang w:eastAsia="zh-CN"/>
        </w:rPr>
        <w:t>江苏宁达环保股份有限公司、</w:t>
      </w:r>
      <w:r>
        <w:rPr>
          <w:rFonts w:hint="default"/>
          <w:sz w:val="24"/>
        </w:rPr>
        <w:t>云南临沧鑫圆锗业股份有限公司</w:t>
      </w:r>
      <w:r>
        <w:rPr>
          <w:rFonts w:hint="default"/>
          <w:sz w:val="24"/>
          <w:lang w:eastAsia="zh-CN"/>
        </w:rPr>
        <w:t>、</w:t>
      </w:r>
      <w:r>
        <w:rPr>
          <w:rFonts w:hint="default"/>
          <w:sz w:val="24"/>
        </w:rPr>
        <w:t>云南驰宏锌锗股份有限公司</w:t>
      </w:r>
      <w:r>
        <w:rPr>
          <w:rFonts w:hint="default"/>
          <w:sz w:val="24"/>
          <w:lang w:val="en-US" w:eastAsia="zh-CN"/>
        </w:rPr>
        <w:t>等</w:t>
      </w:r>
      <w:r>
        <w:rPr>
          <w:rFonts w:hint="default"/>
          <w:sz w:val="24"/>
        </w:rPr>
        <w:t>单位共同起草，</w:t>
      </w:r>
      <w:r>
        <w:rPr>
          <w:sz w:val="24"/>
        </w:rPr>
        <w:t>这些编制组成员单位均是我国</w:t>
      </w:r>
      <w:r>
        <w:rPr>
          <w:rFonts w:hint="eastAsia" w:ascii="Times New Roman" w:eastAsia="宋体"/>
          <w:sz w:val="24"/>
          <w:lang w:val="en-US" w:eastAsia="zh-CN"/>
        </w:rPr>
        <w:t>锗单晶和锗单晶片</w:t>
      </w:r>
      <w:r>
        <w:rPr>
          <w:sz w:val="24"/>
        </w:rPr>
        <w:t>的主要生产、科研、产品检测或使用单位。</w:t>
      </w:r>
      <w:bookmarkStart w:id="18" w:name="_Toc508985099"/>
      <w:bookmarkStart w:id="19" w:name="_Toc497309499"/>
      <w:bookmarkStart w:id="20" w:name="_Toc458287586"/>
      <w:bookmarkStart w:id="21" w:name="_Toc511234382"/>
    </w:p>
    <w:p>
      <w:pPr>
        <w:ind w:firstLine="0" w:firstLineChars="0"/>
        <w:rPr>
          <w:b/>
          <w:bCs/>
          <w:sz w:val="24"/>
        </w:rPr>
      </w:pPr>
      <w:r>
        <w:rPr>
          <w:rFonts w:hint="default"/>
          <w:b/>
          <w:bCs/>
          <w:sz w:val="24"/>
          <w:lang w:val="en-US" w:eastAsia="zh-CN"/>
        </w:rPr>
        <w:t xml:space="preserve">1.3.2 </w:t>
      </w:r>
      <w:r>
        <w:rPr>
          <w:b/>
          <w:bCs/>
          <w:sz w:val="24"/>
        </w:rPr>
        <w:t>主编单位简介</w:t>
      </w:r>
      <w:bookmarkEnd w:id="18"/>
      <w:bookmarkEnd w:id="19"/>
      <w:bookmarkEnd w:id="20"/>
      <w:bookmarkEnd w:id="21"/>
    </w:p>
    <w:p>
      <w:pPr>
        <w:adjustRightInd/>
        <w:snapToGrid/>
        <w:ind w:firstLine="480"/>
        <w:rPr>
          <w:rFonts w:hint="default"/>
          <w:sz w:val="24"/>
        </w:rPr>
      </w:pPr>
      <w:r>
        <w:rPr>
          <w:rFonts w:hint="default"/>
          <w:sz w:val="24"/>
        </w:rPr>
        <w:t>云南驰宏国际锗业有限公司（以下简称</w:t>
      </w:r>
      <w:r>
        <w:rPr>
          <w:rFonts w:hint="default"/>
          <w:sz w:val="24"/>
          <w:lang w:eastAsia="zh-CN"/>
        </w:rPr>
        <w:t>“</w:t>
      </w:r>
      <w:r>
        <w:rPr>
          <w:rFonts w:hint="default"/>
          <w:sz w:val="24"/>
        </w:rPr>
        <w:t>驰宏锗业”）为国有A股上市公司云南驰宏锌锗股份有限公司（以下简称“驰宏锌锗”）全资子公司，成立于2018年3月16日，注册资本2.5亿元，是驰宏锌锗战略性锗产业发展的专业公司，也是中铝集团、中国铜业和驰宏锌锗重点打造的“科改示范企业”。</w:t>
      </w:r>
    </w:p>
    <w:p>
      <w:pPr>
        <w:adjustRightInd/>
        <w:snapToGrid/>
        <w:ind w:firstLine="480"/>
        <w:rPr>
          <w:rFonts w:hint="default"/>
          <w:sz w:val="24"/>
        </w:rPr>
      </w:pPr>
      <w:r>
        <w:rPr>
          <w:rFonts w:hint="default"/>
          <w:sz w:val="24"/>
          <w:lang w:val="en-US" w:eastAsia="zh-CN"/>
        </w:rPr>
        <w:t>驰宏锗业</w:t>
      </w:r>
      <w:r>
        <w:rPr>
          <w:rFonts w:hint="default"/>
          <w:sz w:val="24"/>
        </w:rPr>
        <w:t>以科技创新为驱动，现已发展成为全国最大的原生锗生产企业，原生锗产能产量居国内第一，市场份额约占全国1/3、全球1/4；构建了从原料到高端材料，再到红外光学器件、综合红外光电系统的全产业链。</w:t>
      </w:r>
      <w:r>
        <w:rPr>
          <w:rFonts w:hint="default"/>
          <w:sz w:val="24"/>
          <w:lang w:val="en-US" w:eastAsia="zh-CN"/>
        </w:rPr>
        <w:t>驰宏锗业</w:t>
      </w:r>
      <w:r>
        <w:rPr>
          <w:rFonts w:hint="default"/>
          <w:sz w:val="24"/>
        </w:rPr>
        <w:t>已建成30t/年光纤级四氯化锗生产线，是国内外少数掌握光纤用超高纯四氯化锗制备技术的企业；红外锗镜片远销国内外红外领域领先企业；推出“工业CT”红外热成像系统，可结合多种应用场景实现定制化生产，为工矿企业安全生产保驾护航。</w:t>
      </w:r>
    </w:p>
    <w:p>
      <w:pPr>
        <w:adjustRightInd/>
        <w:snapToGrid/>
        <w:ind w:firstLine="48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驰宏锗业</w:t>
      </w:r>
      <w:r>
        <w:rPr>
          <w:rFonts w:hint="default" w:ascii="Times New Roman" w:hAnsi="Times New Roman" w:cs="Times New Roman"/>
          <w:sz w:val="24"/>
        </w:rPr>
        <w:t>先后通过国家专精特新“小巨人”企业、国家高新技术企业、云南省知识产权优势企业、云南省科技型中小企业认定，拥有云南省锗资源综合高值利用工程研究中心、云南省企业技术中心、中铝集团锗高纯材料及产业发展研究中心、院士（专家）工作站等多个研究平台，是中国科学院光电研究院、暨南大学、昆明理工大学等知名院所高校的合作伙伴。2022年入选国务院国资委“科改示范企业”，2023年入围国务院国资委“创建世界一流专业领军示范企业”，先后申报专利120项（其中发明45项），目前已取得授权91项（发明14项），软件著作权2项；先后获中国有色金属工业协会科学技术二等奖1项、中国铜业科技进步一等奖2项、中国铜业科技进步三等奖1项、驰宏锌锗科技进步特等奖1项。主导制定《高纯锗粉》《锗行业绿色工厂评价要求》等行业标准，参与制修订《正电子发射断层扫描仪用锗酸铋闪烁晶体》《金属锗化学分析方法 第3部分痕量杂质元素的测定 辉光放电质谱法》等国家标准及《绿色设计产品评价技术规范 区熔锗锭》等团体标准共计10项，展现出</w:t>
      </w:r>
      <w:r>
        <w:rPr>
          <w:rFonts w:hint="default" w:ascii="Times New Roman" w:hAnsi="Times New Roman" w:cs="Times New Roman"/>
          <w:sz w:val="24"/>
          <w:lang w:val="en-US" w:eastAsia="zh-CN"/>
        </w:rPr>
        <w:t>极强</w:t>
      </w:r>
      <w:r>
        <w:rPr>
          <w:rFonts w:hint="default" w:ascii="Times New Roman" w:hAnsi="Times New Roman" w:cs="Times New Roman"/>
          <w:sz w:val="24"/>
        </w:rPr>
        <w:t>的技术研发创新能力</w:t>
      </w:r>
      <w:r>
        <w:rPr>
          <w:rFonts w:hint="default" w:ascii="Times New Roman" w:hAnsi="Times New Roman" w:cs="Times New Roman"/>
          <w:sz w:val="24"/>
          <w:lang w:eastAsia="zh-CN"/>
        </w:rPr>
        <w:t>，</w:t>
      </w:r>
      <w:r>
        <w:rPr>
          <w:rFonts w:hint="default" w:ascii="Times New Roman" w:hAnsi="Times New Roman" w:cs="Times New Roman"/>
          <w:sz w:val="24"/>
        </w:rPr>
        <w:t>是国内专业化的锗系列产品的主要供应商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2023年荣获“第五届云南省人民政府质量奖提名奖”。</w:t>
      </w:r>
      <w:bookmarkStart w:id="22" w:name="_Toc24123"/>
      <w:bookmarkStart w:id="23" w:name="_Toc131619670"/>
      <w:bookmarkStart w:id="24" w:name="_Toc25408"/>
      <w:bookmarkStart w:id="25" w:name="_Toc511234383"/>
    </w:p>
    <w:bookmarkEnd w:id="22"/>
    <w:bookmarkEnd w:id="23"/>
    <w:bookmarkEnd w:id="24"/>
    <w:bookmarkEnd w:id="25"/>
    <w:p>
      <w:pPr>
        <w:pStyle w:val="4"/>
        <w:ind w:firstLineChars="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1.3.3 主要参与单位简介</w:t>
      </w:r>
    </w:p>
    <w:p>
      <w:pPr>
        <w:adjustRightInd/>
        <w:snapToGrid/>
        <w:ind w:firstLine="48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江苏宁达环保股份有限公司（原扬州宁达贵金属有限公司）成立于2004年4月，位于扬州市江都区宜陵镇工业园区，注册资金1.875亿元，现有员工400余人。</w:t>
      </w:r>
      <w:r>
        <w:rPr>
          <w:rFonts w:hint="default" w:ascii="Times New Roman" w:hAnsi="Times New Roman" w:eastAsia="宋体" w:cs="Times New Roman"/>
          <w:color w:val="auto"/>
          <w:sz w:val="24"/>
          <w:szCs w:val="24"/>
          <w:highlight w:val="none"/>
          <w:lang w:val="en-US" w:eastAsia="zh-CN"/>
        </w:rPr>
        <w:t>公司</w:t>
      </w:r>
      <w:r>
        <w:rPr>
          <w:rFonts w:hint="default" w:ascii="Times New Roman" w:hAnsi="Times New Roman" w:eastAsia="宋体" w:cs="Times New Roman"/>
          <w:color w:val="auto"/>
          <w:sz w:val="24"/>
          <w:szCs w:val="24"/>
          <w:highlight w:val="none"/>
        </w:rPr>
        <w:t>现具备年产高纯锗系列产品40吨/年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公司为国家火炬计划重点高新技术企业、江苏省专精特新企业，城市矿产示范企业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有江苏省工程技术研究中心、江苏省博士后创新实践基地和江苏省研究生工作站等研发平台。公司成立以来，高度重视技术创新，与中南大学、上海交通大学、同济大学、常州工学院、江苏理工学院等省内外著名高校建立了产学研合作关系。公司先后承担了国家科技支撑计划、科技部中小企业创新基金项目、江苏省科技成果转化项目等国家、省市计划项目20多项，主持参与制定行标5件项，公司获授权专利44件，其中发明专利25件，先后荣获教育部科学技术奖、中国有色金属工业协会科学技术奖和省市级科学技术奖等20余项。</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临沧鑫圆锗业股份有限公司是集锗矿开采、锗高效提取、锗产品精深加工及锗新材料研发生产为一体的世界知名企业，是中国第一、亚洲最大的锗系列产品生产商和供应商。公司拥有丰富的锗矿资源，资源储量占到了全国的27%以上，是国内锗资源保有储量最大的企业。公司主要生产经营区熔锗锭、高纯二氧化锗、有机锗、红外光学锗单晶及元器件、太阳能电池用锗单晶片、光纤级四氯化锗、砷化镓单晶及晶片等高新技术产品，是中国锗行业的龙头企业。云南锗业具有强大的自主开发和技术创新能力，公司建有“企业技术中心”、“分析测试中心”和“云南省锗材料工程技术研究中心”等多个研发机构，配备有先进的仪器设备和专业的技术人才，研发新产品、新工艺。通过自主创新，先后承担国家科技支撑计划项目课题2项、国家863计划项目课题1项、云南省重点新产品等省市级科技计划项目10余项。2010年公司被科技部认定为国家火炬计划重点高新技术企业，云南临沧国家锗材料基地骨干企业，公司技术中心于2015年12月被认定为国家级企业技术中心，技术中心配备了国内外各种大型的检测实验设备，有以30余名专业技术人员组成的省级锗材料创新团队，先后承担了40余项的国家标准和国家标准样品的研制项目，具有丰富的标准制修订经验和很强的标准制修订能力，2014年被云南省科技厅认定为科技型企业，公司分析测试中心于2017年3月通过了中国合格评定国家认可委员会（CNAS）的认可，范围涵盖了锗系列产品的分析检测技术领域，在锗的检测方面跨入了国内先进行列。</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驰宏锌锗股份有限公司（简称“驰宏锌锗”）由中国铝业集团有限公司控股的上市公司，公司成立于2000年7月，注册资本1，667，560，890元人民币，现有员工10014人，是一户以铅、锌产业为主，集地质勘探、采矿、选矿、冶金、化工、深加工、贸易和科研为一体的央企控股A股上市公司。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 。</w:t>
      </w:r>
    </w:p>
    <w:p>
      <w:pPr>
        <w:pStyle w:val="4"/>
        <w:rPr>
          <w:rFonts w:ascii="Times New Roman" w:hAnsi="Times New Roman" w:eastAsia="宋体"/>
          <w:b/>
          <w:sz w:val="24"/>
          <w:szCs w:val="24"/>
        </w:rPr>
      </w:pPr>
      <w:bookmarkStart w:id="26" w:name="_Toc511234384"/>
      <w:r>
        <w:rPr>
          <w:rFonts w:hint="default" w:ascii="Times New Roman" w:hAnsi="Times New Roman" w:eastAsia="宋体"/>
          <w:b/>
          <w:sz w:val="24"/>
          <w:szCs w:val="24"/>
          <w:lang w:val="en-US" w:eastAsia="zh-CN"/>
        </w:rPr>
        <w:t xml:space="preserve">1.4 </w:t>
      </w:r>
      <w:r>
        <w:rPr>
          <w:rFonts w:hint="default" w:ascii="Times New Roman" w:hAnsi="Times New Roman" w:eastAsia="宋体"/>
          <w:b/>
          <w:sz w:val="24"/>
          <w:szCs w:val="24"/>
        </w:rPr>
        <w:t>工作过程</w:t>
      </w:r>
      <w:bookmarkEnd w:id="26"/>
    </w:p>
    <w:p>
      <w:pPr>
        <w:ind w:firstLine="480"/>
        <w:rPr>
          <w:sz w:val="24"/>
        </w:rPr>
      </w:pPr>
      <w:r>
        <w:rPr>
          <w:rFonts w:hint="default"/>
          <w:sz w:val="24"/>
        </w:rPr>
        <w:t>标准起草单位接到</w:t>
      </w:r>
      <w:r>
        <w:rPr>
          <w:rFonts w:hint="default"/>
          <w:sz w:val="24"/>
          <w:lang w:val="en-US" w:eastAsia="zh-CN"/>
        </w:rPr>
        <w:t>项目任务后</w:t>
      </w:r>
      <w:r>
        <w:rPr>
          <w:rFonts w:hint="default"/>
          <w:sz w:val="24"/>
        </w:rPr>
        <w:t xml:space="preserve">，成立了专门的《绿色设计产品评价技术规范  </w:t>
      </w:r>
      <w:r>
        <w:rPr>
          <w:rFonts w:hint="default"/>
          <w:sz w:val="24"/>
          <w:lang w:val="en-US" w:eastAsia="zh-CN"/>
        </w:rPr>
        <w:t>锗单晶和锗单晶片</w:t>
      </w:r>
      <w:r>
        <w:rPr>
          <w:rFonts w:hint="default"/>
          <w:sz w:val="24"/>
        </w:rPr>
        <w:t>》编制组</w:t>
      </w:r>
      <w:r>
        <w:rPr>
          <w:rFonts w:hint="default"/>
          <w:sz w:val="24"/>
          <w:lang w:eastAsia="zh-CN"/>
        </w:rPr>
        <w:t>，其中包括领导组、技术组和专家组，并制定了相关工作计划。</w:t>
      </w:r>
      <w:r>
        <w:rPr>
          <w:rFonts w:hint="default"/>
          <w:sz w:val="24"/>
        </w:rPr>
        <w:t>根据工作计划进度安排，标准编制组收集查阅了国内外相关政策、标准、文献，认真学习绿色设计产品评价技术规范相关标准的编制原则和需要注意的内容。编制组对我国</w:t>
      </w:r>
      <w:r>
        <w:rPr>
          <w:rFonts w:hint="default"/>
          <w:sz w:val="24"/>
          <w:lang w:val="en-US" w:eastAsia="zh-CN"/>
        </w:rPr>
        <w:t>锗单晶和锗单晶片</w:t>
      </w:r>
      <w:r>
        <w:rPr>
          <w:rFonts w:hint="default"/>
          <w:sz w:val="24"/>
        </w:rPr>
        <w:t>企业生产现状进行调研，</w:t>
      </w:r>
      <w:r>
        <w:rPr>
          <w:rFonts w:hint="default"/>
          <w:sz w:val="24"/>
          <w:lang w:val="en-US" w:eastAsia="zh-CN"/>
        </w:rPr>
        <w:t>调研方式主要有</w:t>
      </w:r>
      <w:r>
        <w:rPr>
          <w:rFonts w:hint="default"/>
          <w:sz w:val="24"/>
        </w:rPr>
        <w:t>资料调研、网上调研</w:t>
      </w:r>
      <w:r>
        <w:rPr>
          <w:rFonts w:hint="default"/>
          <w:sz w:val="24"/>
          <w:lang w:eastAsia="zh-CN"/>
        </w:rPr>
        <w:t>、</w:t>
      </w:r>
      <w:r>
        <w:rPr>
          <w:rFonts w:hint="default"/>
          <w:sz w:val="24"/>
          <w:lang w:val="en-US" w:eastAsia="zh-CN"/>
        </w:rPr>
        <w:t>现场调研</w:t>
      </w:r>
      <w:r>
        <w:rPr>
          <w:rFonts w:hint="default"/>
          <w:sz w:val="24"/>
        </w:rPr>
        <w:t xml:space="preserve">等。在调研工作的基础上，经逐步修改完善，形成《绿色设计产品评价技术规范  </w:t>
      </w:r>
      <w:r>
        <w:rPr>
          <w:rFonts w:hint="default"/>
          <w:sz w:val="24"/>
          <w:lang w:val="en-US" w:eastAsia="zh-CN"/>
        </w:rPr>
        <w:t>锗单晶和锗单晶片</w:t>
      </w:r>
      <w:r>
        <w:rPr>
          <w:rFonts w:hint="default"/>
          <w:sz w:val="24"/>
        </w:rPr>
        <w:t>》讨论稿。</w:t>
      </w:r>
    </w:p>
    <w:p>
      <w:pPr>
        <w:pStyle w:val="3"/>
        <w:rPr>
          <w:rFonts w:eastAsia="宋体"/>
          <w:sz w:val="24"/>
          <w:szCs w:val="24"/>
        </w:rPr>
      </w:pPr>
      <w:bookmarkStart w:id="27" w:name="_Toc511234385"/>
      <w:bookmarkStart w:id="28" w:name="_Toc497309525"/>
      <w:r>
        <w:rPr>
          <w:rFonts w:hint="eastAsia" w:ascii="Times New Roman" w:hAnsi="Times New Roman" w:eastAsia="宋体" w:cs="Times New Roman"/>
          <w:sz w:val="24"/>
          <w:szCs w:val="24"/>
          <w:lang w:val="en-US" w:eastAsia="zh-CN"/>
        </w:rPr>
        <w:t>二</w:t>
      </w:r>
      <w:r>
        <w:rPr>
          <w:rFonts w:hint="default" w:eastAsia="宋体"/>
          <w:sz w:val="24"/>
          <w:szCs w:val="24"/>
        </w:rPr>
        <w:t>、</w:t>
      </w:r>
      <w:r>
        <w:rPr>
          <w:rFonts w:eastAsia="宋体"/>
          <w:sz w:val="24"/>
          <w:szCs w:val="24"/>
        </w:rPr>
        <w:t>标准编制原则和确定标准主要内容</w:t>
      </w:r>
      <w:bookmarkEnd w:id="27"/>
      <w:bookmarkEnd w:id="28"/>
      <w:r>
        <w:rPr>
          <w:rFonts w:hint="default" w:eastAsia="宋体"/>
          <w:sz w:val="24"/>
          <w:szCs w:val="24"/>
        </w:rPr>
        <w:t>的依据</w:t>
      </w:r>
    </w:p>
    <w:p>
      <w:pPr>
        <w:pStyle w:val="4"/>
        <w:rPr>
          <w:rFonts w:ascii="Times New Roman" w:hAnsi="Times New Roman" w:eastAsia="宋体"/>
          <w:b/>
          <w:sz w:val="24"/>
          <w:szCs w:val="24"/>
        </w:rPr>
      </w:pPr>
      <w:bookmarkStart w:id="29" w:name="_Toc508985102"/>
      <w:bookmarkStart w:id="30" w:name="_Toc511234386"/>
      <w:bookmarkStart w:id="31" w:name="_Toc497309526"/>
      <w:r>
        <w:rPr>
          <w:rFonts w:hint="default" w:ascii="Times New Roman" w:hAnsi="Times New Roman" w:eastAsia="宋体"/>
          <w:b/>
          <w:sz w:val="24"/>
          <w:szCs w:val="24"/>
          <w:lang w:val="en-US" w:eastAsia="zh-CN"/>
        </w:rPr>
        <w:t xml:space="preserve">2.1 </w:t>
      </w:r>
      <w:r>
        <w:rPr>
          <w:rFonts w:ascii="Times New Roman" w:hAnsi="Times New Roman" w:eastAsia="宋体"/>
          <w:b/>
          <w:sz w:val="24"/>
          <w:szCs w:val="24"/>
        </w:rPr>
        <w:t>编制原则</w:t>
      </w:r>
      <w:bookmarkEnd w:id="29"/>
      <w:bookmarkEnd w:id="30"/>
      <w:bookmarkEnd w:id="31"/>
    </w:p>
    <w:p>
      <w:pPr>
        <w:pStyle w:val="5"/>
        <w:numPr>
          <w:ilvl w:val="-1"/>
          <w:numId w:val="0"/>
        </w:numPr>
        <w:spacing w:before="156" w:after="156"/>
        <w:ind w:left="0"/>
        <w:rPr>
          <w:rFonts w:ascii="Times New Roman" w:eastAsia="宋体"/>
          <w:b/>
          <w:color w:val="auto"/>
        </w:rPr>
      </w:pPr>
      <w:bookmarkStart w:id="32" w:name="_Toc511234387"/>
      <w:bookmarkStart w:id="33" w:name="_Toc508985103"/>
      <w:r>
        <w:rPr>
          <w:rFonts w:hint="default" w:ascii="Times New Roman" w:eastAsia="宋体"/>
          <w:b/>
          <w:color w:val="auto"/>
          <w:lang w:val="en-US" w:eastAsia="zh-CN"/>
        </w:rPr>
        <w:t xml:space="preserve">2.1.1 </w:t>
      </w:r>
      <w:r>
        <w:rPr>
          <w:rFonts w:hint="default" w:ascii="Times New Roman" w:eastAsia="宋体"/>
          <w:b/>
          <w:color w:val="auto"/>
        </w:rPr>
        <w:t>指标选取的原则</w:t>
      </w:r>
      <w:bookmarkEnd w:id="32"/>
      <w:bookmarkEnd w:id="33"/>
    </w:p>
    <w:p>
      <w:pPr>
        <w:ind w:firstLine="480"/>
        <w:rPr>
          <w:sz w:val="24"/>
        </w:rPr>
      </w:pPr>
      <w:r>
        <w:rPr>
          <w:rFonts w:hint="default"/>
          <w:sz w:val="24"/>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设计产品评价指标体系。</w:t>
      </w:r>
    </w:p>
    <w:p>
      <w:pPr>
        <w:ind w:firstLine="480"/>
        <w:rPr>
          <w:sz w:val="24"/>
        </w:rPr>
      </w:pPr>
      <w:r>
        <w:rPr>
          <w:rFonts w:hint="default"/>
          <w:sz w:val="24"/>
        </w:rPr>
        <w:t>产品绿色性能的提升不应牺牲产品的质量性能，产品质量、安全或其他一些强制性标准，以此作为绿色产品评价的基础。</w:t>
      </w:r>
      <w:bookmarkStart w:id="34" w:name="_Toc511234388"/>
      <w:bookmarkStart w:id="35" w:name="_Toc508985104"/>
    </w:p>
    <w:p>
      <w:pPr>
        <w:ind w:firstLine="0" w:firstLineChars="0"/>
        <w:rPr>
          <w:b/>
          <w:sz w:val="24"/>
        </w:rPr>
      </w:pPr>
      <w:r>
        <w:rPr>
          <w:rFonts w:hint="default"/>
          <w:b/>
          <w:sz w:val="24"/>
          <w:lang w:val="en-US" w:eastAsia="zh-CN"/>
        </w:rPr>
        <w:t xml:space="preserve">2.1.2 </w:t>
      </w:r>
      <w:r>
        <w:rPr>
          <w:b/>
          <w:sz w:val="24"/>
        </w:rPr>
        <w:t>生命周期评价与指标评价</w:t>
      </w:r>
      <w:r>
        <w:rPr>
          <w:rFonts w:hint="default"/>
          <w:b/>
          <w:sz w:val="24"/>
        </w:rPr>
        <w:t>相结合的原则</w:t>
      </w:r>
      <w:bookmarkEnd w:id="34"/>
      <w:bookmarkEnd w:id="35"/>
    </w:p>
    <w:p>
      <w:pPr>
        <w:adjustRightInd/>
        <w:snapToGrid/>
        <w:ind w:firstLine="480"/>
        <w:rPr>
          <w:sz w:val="24"/>
        </w:rPr>
      </w:pPr>
      <w:r>
        <w:rPr>
          <w:rFonts w:hint="default"/>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5"/>
        <w:numPr>
          <w:ilvl w:val="-1"/>
          <w:numId w:val="0"/>
        </w:numPr>
        <w:spacing w:beforeLines="0" w:afterLines="0" w:line="360" w:lineRule="auto"/>
        <w:ind w:left="0"/>
        <w:rPr>
          <w:rFonts w:ascii="Times New Roman" w:eastAsia="宋体"/>
          <w:b/>
          <w:color w:val="auto"/>
        </w:rPr>
      </w:pPr>
      <w:bookmarkStart w:id="36" w:name="_Toc511234389"/>
      <w:bookmarkStart w:id="37" w:name="_Toc508985105"/>
      <w:r>
        <w:rPr>
          <w:rFonts w:hint="default" w:ascii="Times New Roman" w:eastAsia="宋体"/>
          <w:b/>
          <w:color w:val="auto"/>
          <w:lang w:val="en-US" w:eastAsia="zh-CN"/>
        </w:rPr>
        <w:t xml:space="preserve">2.1.3 </w:t>
      </w:r>
      <w:r>
        <w:rPr>
          <w:rFonts w:hint="default" w:ascii="Times New Roman" w:eastAsia="宋体"/>
          <w:b/>
          <w:color w:val="auto"/>
        </w:rPr>
        <w:t>环境影响种类最优选取原则</w:t>
      </w:r>
      <w:bookmarkEnd w:id="36"/>
      <w:bookmarkEnd w:id="37"/>
    </w:p>
    <w:p>
      <w:pPr>
        <w:adjustRightInd/>
        <w:snapToGrid/>
        <w:ind w:firstLine="480"/>
        <w:rPr>
          <w:sz w:val="24"/>
        </w:rPr>
      </w:pPr>
      <w:r>
        <w:rPr>
          <w:rFonts w:hint="default"/>
          <w:sz w:val="24"/>
        </w:rPr>
        <w:t>为降低生命周期评价的难度，应根据产品特点，选取具有影响大、社会关注度高、关键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太多。</w:t>
      </w:r>
    </w:p>
    <w:p>
      <w:pPr>
        <w:pStyle w:val="5"/>
        <w:numPr>
          <w:ilvl w:val="-1"/>
          <w:numId w:val="0"/>
        </w:numPr>
        <w:spacing w:beforeLines="0" w:afterLines="0" w:line="360" w:lineRule="auto"/>
        <w:ind w:left="0"/>
        <w:rPr>
          <w:rFonts w:ascii="Times New Roman" w:eastAsia="宋体"/>
          <w:b/>
          <w:color w:val="auto"/>
        </w:rPr>
      </w:pPr>
      <w:bookmarkStart w:id="38" w:name="_Toc511234390"/>
      <w:bookmarkStart w:id="39" w:name="_Toc508985106"/>
      <w:r>
        <w:rPr>
          <w:rFonts w:hint="default" w:ascii="Times New Roman" w:eastAsia="宋体"/>
          <w:b/>
          <w:color w:val="auto"/>
          <w:lang w:val="en-US" w:eastAsia="zh-CN"/>
        </w:rPr>
        <w:t xml:space="preserve">2.1.4 </w:t>
      </w:r>
      <w:r>
        <w:rPr>
          <w:rFonts w:hint="default" w:ascii="Times New Roman" w:eastAsia="宋体"/>
          <w:b/>
          <w:color w:val="auto"/>
        </w:rPr>
        <w:t>持续改进原则</w:t>
      </w:r>
      <w:bookmarkEnd w:id="38"/>
      <w:bookmarkEnd w:id="39"/>
    </w:p>
    <w:p>
      <w:pPr>
        <w:adjustRightInd/>
        <w:snapToGrid/>
        <w:ind w:firstLine="480"/>
        <w:rPr>
          <w:sz w:val="24"/>
        </w:rPr>
      </w:pPr>
      <w:r>
        <w:rPr>
          <w:rFonts w:hint="default"/>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pPr>
        <w:pStyle w:val="4"/>
        <w:rPr>
          <w:rFonts w:ascii="Times New Roman" w:hAnsi="Times New Roman" w:eastAsia="宋体"/>
          <w:b/>
          <w:sz w:val="24"/>
          <w:szCs w:val="24"/>
        </w:rPr>
      </w:pPr>
      <w:bookmarkStart w:id="40" w:name="_Toc508985107"/>
      <w:bookmarkStart w:id="41" w:name="_Toc408414427"/>
      <w:bookmarkStart w:id="42" w:name="_Toc511234391"/>
      <w:r>
        <w:rPr>
          <w:rFonts w:hint="default" w:ascii="Times New Roman" w:hAnsi="Times New Roman" w:eastAsia="宋体"/>
          <w:b/>
          <w:sz w:val="24"/>
          <w:szCs w:val="24"/>
          <w:lang w:val="en-US" w:eastAsia="zh-CN"/>
        </w:rPr>
        <w:t xml:space="preserve">2.2 </w:t>
      </w:r>
      <w:r>
        <w:rPr>
          <w:rFonts w:hint="default" w:ascii="Times New Roman" w:hAnsi="Times New Roman" w:eastAsia="宋体"/>
          <w:b/>
          <w:sz w:val="24"/>
          <w:szCs w:val="24"/>
        </w:rPr>
        <w:t>评价方法</w:t>
      </w:r>
      <w:bookmarkEnd w:id="40"/>
      <w:bookmarkEnd w:id="41"/>
      <w:bookmarkEnd w:id="42"/>
    </w:p>
    <w:p>
      <w:pPr>
        <w:ind w:firstLine="480"/>
        <w:rPr>
          <w:rFonts w:hint="default"/>
          <w:sz w:val="24"/>
          <w:szCs w:val="22"/>
          <w:lang w:eastAsia="zh-CN"/>
        </w:rPr>
      </w:pPr>
      <w:r>
        <w:rPr>
          <w:sz w:val="24"/>
        </w:rPr>
        <w:t>按照</w:t>
      </w:r>
      <w:r>
        <w:rPr>
          <w:rFonts w:hint="default"/>
          <w:sz w:val="24"/>
        </w:rPr>
        <w:t xml:space="preserve">《绿色设计产品评价技术规范 </w:t>
      </w:r>
      <w:r>
        <w:rPr>
          <w:sz w:val="24"/>
        </w:rPr>
        <w:t xml:space="preserve"> </w:t>
      </w:r>
      <w:r>
        <w:rPr>
          <w:rFonts w:hint="eastAsia"/>
          <w:sz w:val="24"/>
          <w:lang w:val="en-US" w:eastAsia="zh-CN"/>
        </w:rPr>
        <w:t>锗单晶和锗单晶片</w:t>
      </w:r>
      <w:r>
        <w:rPr>
          <w:rFonts w:hint="default"/>
          <w:sz w:val="24"/>
        </w:rPr>
        <w:t>》中“</w:t>
      </w:r>
      <w:r>
        <w:rPr>
          <w:sz w:val="24"/>
        </w:rPr>
        <w:t>4.1 基本要求</w:t>
      </w:r>
      <w:r>
        <w:rPr>
          <w:rFonts w:hint="default"/>
          <w:sz w:val="24"/>
        </w:rPr>
        <w:t>”</w:t>
      </w:r>
      <w:r>
        <w:rPr>
          <w:sz w:val="24"/>
        </w:rPr>
        <w:t>和</w:t>
      </w:r>
      <w:r>
        <w:rPr>
          <w:rFonts w:hint="default"/>
          <w:sz w:val="24"/>
        </w:rPr>
        <w:t>“</w:t>
      </w:r>
      <w:r>
        <w:rPr>
          <w:sz w:val="24"/>
        </w:rPr>
        <w:t>4.2 评价指标要求</w:t>
      </w:r>
      <w:r>
        <w:rPr>
          <w:rFonts w:hint="default"/>
          <w:sz w:val="24"/>
        </w:rPr>
        <w:t>”</w:t>
      </w:r>
      <w:r>
        <w:rPr>
          <w:sz w:val="24"/>
        </w:rPr>
        <w:t>开展自我评价或第三方评价，</w:t>
      </w:r>
      <w:r>
        <w:rPr>
          <w:rFonts w:hint="default"/>
          <w:sz w:val="24"/>
        </w:rPr>
        <w:t>采用指标评价与生命周期评价相结合的方法</w:t>
      </w:r>
      <w:r>
        <w:rPr>
          <w:rFonts w:hint="default"/>
          <w:sz w:val="24"/>
          <w:lang w:eastAsia="zh-CN"/>
        </w:rPr>
        <w:t>，在满足评价指标要求的基础上，采用生命周期评价方法，进行生命周期影响评价，编制生命周期评价报告。</w:t>
      </w:r>
      <w:r>
        <w:rPr>
          <w:rFonts w:hint="default"/>
          <w:sz w:val="24"/>
          <w:lang w:val="en-US" w:eastAsia="zh-CN"/>
        </w:rPr>
        <w:t>锗单晶和锗单晶片</w:t>
      </w:r>
      <w:r>
        <w:rPr>
          <w:rFonts w:hint="default"/>
          <w:sz w:val="24"/>
          <w:lang w:eastAsia="zh-CN"/>
        </w:rPr>
        <w:t>产品同时满足以下条件，可判定为绿色设计产品：</w:t>
      </w:r>
    </w:p>
    <w:p>
      <w:pPr>
        <w:numPr>
          <w:ilvl w:val="0"/>
          <w:numId w:val="2"/>
        </w:numPr>
        <w:adjustRightInd/>
        <w:snapToGrid/>
        <w:spacing w:line="240" w:lineRule="auto"/>
        <w:ind w:left="420" w:leftChars="200" w:firstLine="0" w:firstLineChars="0"/>
        <w:rPr>
          <w:sz w:val="24"/>
          <w:szCs w:val="22"/>
        </w:rPr>
      </w:pPr>
      <w:r>
        <w:rPr>
          <w:sz w:val="24"/>
          <w:szCs w:val="22"/>
        </w:rPr>
        <w:t>满足基本要求（见4.1）和评价指标要求（见4.2）；</w:t>
      </w:r>
    </w:p>
    <w:p>
      <w:pPr>
        <w:numPr>
          <w:ilvl w:val="0"/>
          <w:numId w:val="2"/>
        </w:numPr>
        <w:adjustRightInd/>
        <w:snapToGrid/>
        <w:spacing w:line="240" w:lineRule="auto"/>
        <w:ind w:left="420" w:leftChars="200" w:firstLine="0" w:firstLineChars="0"/>
        <w:rPr>
          <w:sz w:val="24"/>
          <w:szCs w:val="22"/>
        </w:rPr>
      </w:pPr>
      <w:r>
        <w:rPr>
          <w:sz w:val="24"/>
          <w:szCs w:val="22"/>
        </w:rPr>
        <w:t>提供</w:t>
      </w:r>
      <w:r>
        <w:rPr>
          <w:rFonts w:hint="eastAsia"/>
          <w:sz w:val="24"/>
          <w:szCs w:val="22"/>
          <w:lang w:val="en-US" w:eastAsia="zh-CN"/>
        </w:rPr>
        <w:t>锗单晶和锗单晶片</w:t>
      </w:r>
      <w:r>
        <w:rPr>
          <w:rFonts w:hint="default"/>
          <w:sz w:val="24"/>
          <w:szCs w:val="22"/>
        </w:rPr>
        <w:t>产品</w:t>
      </w:r>
      <w:r>
        <w:rPr>
          <w:sz w:val="24"/>
          <w:szCs w:val="22"/>
        </w:rPr>
        <w:t>生命周期评价报告</w:t>
      </w:r>
      <w:r>
        <w:rPr>
          <w:rFonts w:hint="default"/>
          <w:sz w:val="24"/>
          <w:szCs w:val="22"/>
        </w:rPr>
        <w:t>（见5</w:t>
      </w:r>
      <w:r>
        <w:rPr>
          <w:sz w:val="24"/>
          <w:szCs w:val="22"/>
        </w:rPr>
        <w:t>.2</w:t>
      </w:r>
      <w:r>
        <w:rPr>
          <w:rFonts w:hint="default"/>
          <w:sz w:val="24"/>
          <w:szCs w:val="22"/>
        </w:rPr>
        <w:t>）</w:t>
      </w:r>
      <w:r>
        <w:rPr>
          <w:sz w:val="24"/>
          <w:szCs w:val="22"/>
        </w:rPr>
        <w:t>。</w:t>
      </w:r>
    </w:p>
    <w:p>
      <w:pPr>
        <w:pStyle w:val="4"/>
        <w:rPr>
          <w:rFonts w:ascii="Times New Roman" w:hAnsi="Times New Roman" w:eastAsia="宋体"/>
          <w:b/>
          <w:sz w:val="24"/>
          <w:szCs w:val="24"/>
        </w:rPr>
      </w:pPr>
      <w:bookmarkStart w:id="43" w:name="_Toc511234392"/>
      <w:bookmarkStart w:id="44" w:name="_Toc508985108"/>
      <w:r>
        <w:rPr>
          <w:rFonts w:hint="default" w:ascii="Times New Roman" w:hAnsi="Times New Roman" w:eastAsia="宋体"/>
          <w:b/>
          <w:sz w:val="24"/>
          <w:szCs w:val="24"/>
          <w:lang w:val="en-US" w:eastAsia="zh-CN"/>
        </w:rPr>
        <w:t xml:space="preserve">2.3 </w:t>
      </w:r>
      <w:r>
        <w:rPr>
          <w:rFonts w:hint="default" w:ascii="Times New Roman" w:hAnsi="Times New Roman" w:eastAsia="宋体"/>
          <w:b/>
          <w:sz w:val="24"/>
          <w:szCs w:val="24"/>
        </w:rPr>
        <w:t>评价流程</w:t>
      </w:r>
      <w:bookmarkEnd w:id="43"/>
      <w:bookmarkEnd w:id="44"/>
    </w:p>
    <w:p>
      <w:pPr>
        <w:ind w:firstLine="480"/>
        <w:rPr>
          <w:rFonts w:hint="default"/>
          <w:sz w:val="24"/>
          <w:highlight w:val="none"/>
        </w:rPr>
      </w:pPr>
      <w:bookmarkStart w:id="45" w:name="_Toc497309527"/>
      <w:bookmarkStart w:id="46" w:name="_Toc508985109"/>
      <w:bookmarkStart w:id="47" w:name="_Toc511234393"/>
      <w:r>
        <w:rPr>
          <w:rFonts w:hint="default"/>
          <w:sz w:val="24"/>
          <w:highlight w:val="none"/>
        </w:rPr>
        <w:t>根据</w:t>
      </w:r>
      <w:r>
        <w:rPr>
          <w:rFonts w:hint="default"/>
          <w:sz w:val="24"/>
          <w:highlight w:val="none"/>
          <w:lang w:val="en-US" w:eastAsia="zh-CN"/>
        </w:rPr>
        <w:t>锗单晶和锗单晶片</w:t>
      </w:r>
      <w:r>
        <w:rPr>
          <w:rFonts w:hint="default"/>
          <w:sz w:val="24"/>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1所示。</w:t>
      </w:r>
    </w:p>
    <w:p>
      <w:pPr>
        <w:ind w:firstLine="0" w:firstLineChars="0"/>
        <w:jc w:val="center"/>
        <w:rPr>
          <w:szCs w:val="21"/>
        </w:rPr>
      </w:pPr>
      <w:bookmarkStart w:id="48" w:name="_MON_1585144401"/>
      <w:bookmarkEnd w:id="48"/>
    </w:p>
    <w:p>
      <w:pPr>
        <w:ind w:firstLine="0" w:firstLineChars="0"/>
        <w:jc w:val="center"/>
        <w:rPr>
          <w:szCs w:val="21"/>
        </w:rPr>
      </w:pPr>
    </w:p>
    <w:p>
      <w:pPr>
        <w:ind w:firstLine="0" w:firstLineChars="0"/>
        <w:jc w:val="center"/>
        <w:rPr>
          <w:b/>
          <w:sz w:val="18"/>
          <w:szCs w:val="18"/>
        </w:rPr>
      </w:pPr>
      <w:r>
        <mc:AlternateContent>
          <mc:Choice Requires="wpc">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4916805" cy="4457700"/>
                <wp:effectExtent l="0" t="5080" r="17145"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Group 16"/>
                        <wpg:cNvGrpSpPr/>
                        <wpg:grpSpPr>
                          <a:xfrm>
                            <a:off x="53975" y="0"/>
                            <a:ext cx="4791710" cy="4258945"/>
                            <a:chOff x="2291" y="1680"/>
                            <a:chExt cx="6693"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ind w:firstLine="0" w:firstLineChars="0"/>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5"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96"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97"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206" y="3501"/>
                              <a:ext cx="394" cy="915"/>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99" name="Oval 28"/>
                          <wps:cNvSpPr>
                            <a:spLocks noChangeArrowheads="1"/>
                          </wps:cNvSpPr>
                          <wps:spPr bwMode="auto">
                            <a:xfrm>
                              <a:off x="4241" y="3716"/>
                              <a:ext cx="1731" cy="560"/>
                            </a:xfrm>
                            <a:prstGeom prst="ellipse">
                              <a:avLst/>
                            </a:prstGeom>
                            <a:solidFill>
                              <a:srgbClr val="FFFFFF"/>
                            </a:solidFill>
                            <a:ln w="9525">
                              <a:solidFill>
                                <a:srgbClr val="000000"/>
                              </a:solidFill>
                              <a:round/>
                            </a:ln>
                          </wps:spPr>
                          <wps:txbx>
                            <w:txbxContent>
                              <w:p>
                                <w:pPr>
                                  <w:ind w:firstLine="0" w:firstLineChars="0"/>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300" name="AutoShape 29"/>
                          <wps:cNvCnPr>
                            <a:cxnSpLocks noChangeShapeType="1"/>
                            <a:endCxn id="299" idx="0"/>
                          </wps:cNvCnPr>
                          <wps:spPr bwMode="auto">
                            <a:xfrm>
                              <a:off x="4013" y="2964"/>
                              <a:ext cx="1095" cy="752"/>
                            </a:xfrm>
                            <a:prstGeom prst="bentConnector2">
                              <a:avLst/>
                            </a:prstGeom>
                            <a:noFill/>
                            <a:ln w="9525">
                              <a:solidFill>
                                <a:srgbClr val="000000"/>
                              </a:solidFill>
                              <a:miter lim="800000"/>
                              <a:tailEnd type="triangle" w="med" len="med"/>
                            </a:ln>
                          </wps:spPr>
                          <wps:bodyPr/>
                        </wps:wsp>
                        <wps:wsp>
                          <wps:cNvPr id="301" name="AutoShape 30"/>
                          <wps:cNvCnPr>
                            <a:cxnSpLocks noChangeShapeType="1"/>
                            <a:endCxn id="299" idx="4"/>
                          </wps:cNvCnPr>
                          <wps:spPr bwMode="auto">
                            <a:xfrm flipV="1">
                              <a:off x="4007" y="4276"/>
                              <a:ext cx="1100" cy="699"/>
                            </a:xfrm>
                            <a:prstGeom prst="bentConnector2">
                              <a:avLst/>
                            </a:prstGeom>
                            <a:noFill/>
                            <a:ln w="9525">
                              <a:solidFill>
                                <a:srgbClr val="000000"/>
                              </a:solidFill>
                              <a:miter lim="800000"/>
                              <a:tailEnd type="triangle" w="med" len="med"/>
                            </a:ln>
                          </wps:spPr>
                          <wps:bodyPr/>
                        </wps:wsp>
                        <wps:wsp>
                          <wps:cNvPr id="302" name="AutoShape 31"/>
                          <wps:cNvCnPr>
                            <a:cxnSpLocks noChangeShapeType="1"/>
                            <a:stCxn id="4" idx="2"/>
                          </wps:cNvCnPr>
                          <wps:spPr bwMode="auto">
                            <a:xfrm>
                              <a:off x="8016" y="4218"/>
                              <a:ext cx="11" cy="520"/>
                            </a:xfrm>
                            <a:prstGeom prst="straightConnector1">
                              <a:avLst/>
                            </a:prstGeom>
                            <a:noFill/>
                            <a:ln w="9525">
                              <a:solidFill>
                                <a:srgbClr val="000000"/>
                              </a:solidFill>
                              <a:round/>
                              <a:tailEnd type="triangle" w="med" len="med"/>
                            </a:ln>
                          </wps:spPr>
                          <wps:bodyPr/>
                        </wps:wsp>
                        <wps:wsp>
                          <wps:cNvPr id="303" name="AutoShape 32"/>
                          <wps:cNvCnPr>
                            <a:cxnSpLocks noChangeShapeType="1"/>
                            <a:endCxn id="299" idx="6"/>
                          </wps:cNvCnPr>
                          <wps:spPr bwMode="auto">
                            <a:xfrm rot="10800000">
                              <a:off x="5972" y="3995"/>
                              <a:ext cx="1051" cy="979"/>
                            </a:xfrm>
                            <a:prstGeom prst="bentConnector3">
                              <a:avLst>
                                <a:gd name="adj1" fmla="val 49958"/>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4083" y="2647"/>
                              <a:ext cx="1084" cy="279"/>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5" name="Text Box 34"/>
                          <wps:cNvSpPr txBox="1">
                            <a:spLocks noChangeArrowheads="1"/>
                          </wps:cNvSpPr>
                          <wps:spPr bwMode="auto">
                            <a:xfrm>
                              <a:off x="4108" y="4647"/>
                              <a:ext cx="977" cy="279"/>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6" name="Text Box 35"/>
                          <wps:cNvSpPr txBox="1">
                            <a:spLocks noChangeArrowheads="1"/>
                          </wps:cNvSpPr>
                          <wps:spPr bwMode="auto">
                            <a:xfrm>
                              <a:off x="6085" y="4049"/>
                              <a:ext cx="395" cy="1049"/>
                            </a:xfrm>
                            <a:prstGeom prst="rect">
                              <a:avLst/>
                            </a:prstGeom>
                            <a:solidFill>
                              <a:srgbClr val="FFFFFF"/>
                            </a:solidFill>
                            <a:ln>
                              <a:noFill/>
                            </a:ln>
                          </wps:spPr>
                          <wps:txbx>
                            <w:txbxContent>
                              <w:p>
                                <w:pPr>
                                  <w:ind w:firstLine="0" w:firstLineChars="0"/>
                                  <w:jc w:val="center"/>
                                  <w:rPr>
                                    <w:sz w:val="18"/>
                                    <w:szCs w:val="18"/>
                                  </w:rPr>
                                </w:pPr>
                                <w:r>
                                  <w:rPr>
                                    <w:rFonts w:hint="eastAsia"/>
                                    <w:sz w:val="20"/>
                                  </w:rPr>
                                  <w:t>未通过审核</w:t>
                                </w:r>
                              </w:p>
                            </w:txbxContent>
                          </wps:txbx>
                          <wps:bodyPr rot="0" vert="eaVert" wrap="square" lIns="18000" tIns="10800" rIns="18000" bIns="10800" anchor="ctr" anchorCtr="0" upright="1">
                            <a:noAutofit/>
                          </wps:bodyPr>
                        </wps:wsp>
                        <wps:wsp>
                          <wps:cNvPr id="308" name="AutoShape 36"/>
                          <wps:cNvSpPr>
                            <a:spLocks noChangeArrowheads="1"/>
                          </wps:cNvSpPr>
                          <wps:spPr bwMode="auto">
                            <a:xfrm>
                              <a:off x="4482" y="5772"/>
                              <a:ext cx="2343" cy="903"/>
                            </a:xfrm>
                            <a:prstGeom prst="diamond">
                              <a:avLst/>
                            </a:prstGeom>
                            <a:solidFill>
                              <a:srgbClr val="FFFFFF"/>
                            </a:solidFill>
                            <a:ln w="9525">
                              <a:solidFill>
                                <a:srgbClr val="000000"/>
                              </a:solidFill>
                              <a:miter lim="800000"/>
                            </a:ln>
                          </wps:spPr>
                          <wps:txbx>
                            <w:txbxContent>
                              <w:p>
                                <w:pPr>
                                  <w:ind w:firstLine="0" w:firstLineChars="0"/>
                                  <w:jc w:val="center"/>
                                  <w:rPr>
                                    <w:sz w:val="18"/>
                                    <w:szCs w:val="18"/>
                                  </w:rPr>
                                </w:pPr>
                                <w:r>
                                  <w:rPr>
                                    <w:rFonts w:hint="eastAsia"/>
                                    <w:sz w:val="18"/>
                                    <w:szCs w:val="18"/>
                                  </w:rPr>
                                  <w:t>同时满足</w:t>
                                </w:r>
                              </w:p>
                            </w:txbxContent>
                          </wps:txbx>
                          <wps:bodyPr rot="0" vert="horz" wrap="square" lIns="18000" tIns="10800" rIns="18000" bIns="10800" anchor="t" anchorCtr="0" upright="1">
                            <a:noAutofit/>
                          </wps:bodyPr>
                        </wps:wsp>
                        <wps:wsp>
                          <wps:cNvPr id="309" name="AutoShape 37"/>
                          <wps:cNvCnPr>
                            <a:cxnSpLocks noChangeShapeType="1"/>
                            <a:endCxn id="308" idx="1"/>
                          </wps:cNvCnPr>
                          <wps:spPr bwMode="auto">
                            <a:xfrm>
                              <a:off x="3149" y="5213"/>
                              <a:ext cx="1333" cy="1011"/>
                            </a:xfrm>
                            <a:prstGeom prst="bentConnector3">
                              <a:avLst>
                                <a:gd name="adj1" fmla="val 708"/>
                              </a:avLst>
                            </a:prstGeom>
                            <a:noFill/>
                            <a:ln w="9525">
                              <a:solidFill>
                                <a:srgbClr val="000000"/>
                              </a:solidFill>
                              <a:miter lim="800000"/>
                              <a:tailEnd type="triangle" w="med" len="med"/>
                            </a:ln>
                          </wps:spPr>
                          <wps:bodyPr/>
                        </wps:wsp>
                        <wps:wsp>
                          <wps:cNvPr id="310" name="AutoShape 38"/>
                          <wps:cNvCnPr>
                            <a:cxnSpLocks noChangeShapeType="1"/>
                            <a:endCxn id="308" idx="3"/>
                          </wps:cNvCnPr>
                          <wps:spPr bwMode="auto">
                            <a:xfrm rot="10800000" flipV="1">
                              <a:off x="6825" y="5212"/>
                              <a:ext cx="1181" cy="1011"/>
                            </a:xfrm>
                            <a:prstGeom prst="bentConnector3">
                              <a:avLst>
                                <a:gd name="adj1" fmla="val 101"/>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199" y="5868"/>
                              <a:ext cx="823" cy="279"/>
                            </a:xfrm>
                            <a:prstGeom prst="rect">
                              <a:avLst/>
                            </a:prstGeom>
                            <a:solidFill>
                              <a:srgbClr val="FFFFFF"/>
                            </a:solidFill>
                            <a:ln>
                              <a:noFill/>
                            </a:ln>
                          </wps:spPr>
                          <wps:txbx>
                            <w:txbxContent>
                              <w:p>
                                <w:pPr>
                                  <w:ind w:firstLine="0" w:firstLineChars="0"/>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7067" y="5877"/>
                              <a:ext cx="823" cy="279"/>
                            </a:xfrm>
                            <a:prstGeom prst="rect">
                              <a:avLst/>
                            </a:prstGeom>
                            <a:solidFill>
                              <a:srgbClr val="FFFFFF"/>
                            </a:solidFill>
                            <a:ln>
                              <a:noFill/>
                            </a:ln>
                          </wps:spPr>
                          <wps:txbx>
                            <w:txbxContent>
                              <w:p>
                                <w:pPr>
                                  <w:ind w:firstLine="0" w:firstLineChars="0"/>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ind w:firstLine="0" w:firstLineChars="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6" y="6684"/>
                              <a:ext cx="13" cy="843"/>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692" y="6858"/>
                              <a:ext cx="396" cy="385"/>
                            </a:xfrm>
                            <a:prstGeom prst="rect">
                              <a:avLst/>
                            </a:prstGeom>
                            <a:solidFill>
                              <a:srgbClr val="FFFFFF"/>
                            </a:solidFill>
                            <a:ln>
                              <a:noFill/>
                            </a:ln>
                          </wps:spPr>
                          <wps:txbx>
                            <w:txbxContent>
                              <w:p>
                                <w:pPr>
                                  <w:ind w:firstLine="0" w:firstLineChars="0"/>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19" name="Rectangle 21"/>
                        <wps:cNvSpPr>
                          <a:spLocks noChangeArrowheads="1"/>
                        </wps:cNvSpPr>
                        <wps:spPr bwMode="auto">
                          <a:xfrm>
                            <a:off x="3471545" y="1310005"/>
                            <a:ext cx="1362710" cy="301625"/>
                          </a:xfrm>
                          <a:prstGeom prst="rect">
                            <a:avLst/>
                          </a:prstGeom>
                          <a:solidFill>
                            <a:srgbClr val="FFFFFF"/>
                          </a:solidFill>
                          <a:ln w="9525">
                            <a:solidFill>
                              <a:srgbClr val="000000"/>
                            </a:solidFill>
                            <a:miter lim="800000"/>
                          </a:ln>
                        </wps:spPr>
                        <wps:txbx>
                          <w:txbxContent>
                            <w:p>
                              <w:pPr>
                                <w:ind w:firstLine="0" w:firstLineChars="0"/>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20" name="AutoShape 23"/>
                        <wps:cNvCnPr>
                          <a:cxnSpLocks noChangeShapeType="1"/>
                          <a:endCxn id="4" idx="0"/>
                        </wps:cNvCnPr>
                        <wps:spPr bwMode="auto">
                          <a:xfrm>
                            <a:off x="4150995" y="965835"/>
                            <a:ext cx="1905" cy="344170"/>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top:3.9pt;height:351pt;width:387.15pt;mso-position-horizontal:center;mso-position-horizontal-relative:margin;mso-wrap-distance-bottom:0pt;mso-wrap-distance-top:0pt;z-index:251659264;mso-width-relative:page;mso-height-relative:page;" coordsize="4916805,4457700" editas="canvas"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">
                <o:lock v:ext="edit" aspectratio="f"/>
                <v:shape id="_x0000_s1026" o:spid="_x0000_s1026" style="position:absolute;left:0;top:0;height:4457700;width:4916805;" filled="f" stroked="f" coordsize="21600,21600"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">
                  <v:fill on="f" focussize="0,0"/>
                  <v:stroke on="f"/>
                  <v:imagedata o:title=""/>
                  <o:lock v:ext="edit" aspectratio="t"/>
                </v:shape>
                <v:group id="Group 16" o:spid="_x0000_s1026" o:spt="203" style="position:absolute;left:53975;top:0;height:4258945;width:4791710;" coordorigin="2291,1680" coordsize="6693,6707" o:gfxdata="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IvEPoL8AAADc&#10;AAAADwAAAGRycy9kb3ducmV2LnhtbEWPQWsCMRSE7wX/Q3iCl6LJepC6NYpIi5b24K699PbYvG4W&#10;Ny/LJq7235tCocdhZr5hVpuba8VAfWg8a8hmCgRx5U3DtYbP0+v0CUSIyAZbz6ThhwJs1qOHFebG&#10;X7mgoYy1SBAOOWqwMXa5lKGy5DDMfEecvG/fO4xJ9rU0PV4T3LVyrtRCOmw4LVjsaGepOpcXp+HL&#10;f/iXraJ9Z09vcXjcFu/HstB6Ms7UM4hIt/gf/msfjIb5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D6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firstLine="0" w:firstLineChars="0"/>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206;top:350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18"/>
                              <w:szCs w:val="18"/>
                            </w:rPr>
                            <w:t>符合要求</w:t>
                          </w:r>
                        </w:p>
                      </w:txbxContent>
                    </v:textbox>
                  </v:shape>
                  <v:shape id="Oval 28" o:spid="_x0000_s1026" o:spt="3" type="#_x0000_t3" style="position:absolute;left:4241;top:3716;height:560;width:1731;" fillcolor="#FFFFFF" filled="t" stroked="t" coordsize="21600,21600" o:gfxdata="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9E&#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5mm,0.850393700787402pt,0.5mm,0.850393700787402pt">
                      <w:txbxContent>
                        <w:p>
                          <w:pPr>
                            <w:ind w:firstLine="0" w:firstLineChars="0"/>
                            <w:jc w:val="center"/>
                            <w:rPr>
                              <w:sz w:val="18"/>
                              <w:szCs w:val="18"/>
                            </w:rPr>
                          </w:pPr>
                          <w:r>
                            <w:rPr>
                              <w:rFonts w:hint="eastAsia"/>
                              <w:sz w:val="18"/>
                              <w:szCs w:val="18"/>
                            </w:rPr>
                            <w:t>非绿色设计产品</w:t>
                          </w:r>
                        </w:p>
                      </w:txbxContent>
                    </v:textbox>
                  </v:shape>
                  <v:shape id="AutoShape 29" o:spid="_x0000_s1026" o:spt="33" type="#_x0000_t33" style="position:absolute;left:4013;top:2964;height:752;width:1095;" filled="f" stroked="t" coordsize="21600,21600" o:gfxdata="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WICe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0" o:spid="_x0000_s1026" o:spt="33" type="#_x0000_t33" style="position:absolute;left:4007;top:4276;flip:y;height:699;width:1100;" filled="f" stroked="t" coordsize="21600,21600" o:gfxdata="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bhje/&#10;AAAA3A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16;top:4218;height:520;width:11;" filled="f" stroked="t" coordsize="21600,21600" o:gfxdata="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cA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4" type="#_x0000_t34" style="position:absolute;left:5972;top:3995;height:979;width:1051;rotation:11796480f;" filled="f" stroked="t" coordsize="21600,21600" o:gfxdata="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zcPugAAANwA&#10;AAAPAAAAAAAAAAEAIAAAACIAAABkcnMvZG93bnJldi54bWxQSwECFAAUAAAACACHTuJAMy8FnjsA&#10;AAA5AAAAEAAAAAAAAAABACAAAAAJAQAAZHJzL3NoYXBleG1sLnhtbFBLBQYAAAAABgAGAFsBAACz&#10;AwAAAAA=&#10;" adj="10791">
                    <v:fill on="f" focussize="0,0"/>
                    <v:stroke color="#000000" miterlimit="8" joinstyle="miter" endarrow="block"/>
                    <v:imagedata o:title=""/>
                    <o:lock v:ext="edit" aspectratio="f"/>
                  </v:shape>
                  <v:shape id="Text Box 33" o:spid="_x0000_s1026" o:spt="202" type="#_x0000_t202" style="position:absolute;left:4083;top:2647;height:279;width:1084;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sz w:val="18"/>
                              <w:szCs w:val="18"/>
                            </w:rPr>
                          </w:pPr>
                          <w:r>
                            <w:rPr>
                              <w:rFonts w:hint="eastAsia"/>
                              <w:sz w:val="18"/>
                              <w:szCs w:val="18"/>
                            </w:rPr>
                            <w:t>未符合要求</w:t>
                          </w:r>
                        </w:p>
                      </w:txbxContent>
                    </v:textbox>
                  </v:shape>
                  <v:shape id="Text Box 34" o:spid="_x0000_s1026" o:spt="202" type="#_x0000_t202" style="position:absolute;left:4108;top:4647;height:279;width:977;v-text-anchor:middle;" fillcolor="#FFFFFF" filled="t" stroked="f" coordsize="21600,21600" o:gfxdata="UEsDBAoAAAAAAIdO4kAAAAAAAAAAAAAAAAAEAAAAZHJzL1BLAwQUAAAACACHTuJAJTdrp78AAADc&#10;AAAADwAAAGRycy9kb3ducmV2LnhtbEWPQWsCMRSE7wX/Q3hCbzXRU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3a6e/&#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sz w:val="18"/>
                              <w:szCs w:val="18"/>
                            </w:rPr>
                          </w:pPr>
                          <w:r>
                            <w:rPr>
                              <w:rFonts w:hint="eastAsia"/>
                              <w:sz w:val="18"/>
                              <w:szCs w:val="18"/>
                            </w:rPr>
                            <w:t>未符合要求</w:t>
                          </w:r>
                        </w:p>
                      </w:txbxContent>
                    </v:textbox>
                  </v:shape>
                  <v:shape id="Text Box 35" o:spid="_x0000_s1026" o:spt="202" type="#_x0000_t202" style="position:absolute;left:6085;top:4049;height:1049;width:395;v-text-anchor:middle;" fillcolor="#FFFFFF" filled="t" stroked="f" coordsize="21600,21600" o:gfxdata="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zxtq/&#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20"/>
                            </w:rPr>
                            <w:t>未通过审核</w:t>
                          </w:r>
                        </w:p>
                      </w:txbxContent>
                    </v:textbox>
                  </v:shape>
                  <v:shape id="AutoShape 36" o:spid="_x0000_s1026" o:spt="4" type="#_x0000_t4" style="position:absolute;left:4482;top:5772;height:903;width:2343;" fillcolor="#FFFFFF" filled="t" stroked="t" coordsize="21600,21600" o:gfxdata="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rUS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5mm,0.850393700787402pt,0.5mm,0.850393700787402pt">
                      <w:txbxContent>
                        <w:p>
                          <w:pPr>
                            <w:ind w:firstLine="0" w:firstLineChars="0"/>
                            <w:jc w:val="center"/>
                            <w:rPr>
                              <w:sz w:val="18"/>
                              <w:szCs w:val="18"/>
                            </w:rPr>
                          </w:pPr>
                          <w:r>
                            <w:rPr>
                              <w:rFonts w:hint="eastAsia"/>
                              <w:sz w:val="18"/>
                              <w:szCs w:val="18"/>
                            </w:rPr>
                            <w:t>同时满足</w:t>
                          </w:r>
                        </w:p>
                      </w:txbxContent>
                    </v:textbox>
                  </v:shape>
                  <v:shape id="AutoShape 37" o:spid="_x0000_s1026" o:spt="34" type="#_x0000_t34" style="position:absolute;left:3149;top:5213;height:1011;width:1333;" filled="f" stroked="t" coordsize="21600,21600" o:gfxdata="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gj02/&#10;AAAA3AAAAA8AAAAAAAAAAQAgAAAAIgAAAGRycy9kb3ducmV2LnhtbFBLAQIUABQAAAAIAIdO4kAz&#10;LwWeOwAAADkAAAAQAAAAAAAAAAEAIAAAAA4BAABkcnMvc2hhcGV4bWwueG1sUEsFBgAAAAAGAAYA&#10;WwEAALgDAAAAAA==&#10;" adj="153">
                    <v:fill on="f" focussize="0,0"/>
                    <v:stroke color="#000000" miterlimit="8" joinstyle="miter" endarrow="block"/>
                    <v:imagedata o:title=""/>
                    <o:lock v:ext="edit" aspectratio="f"/>
                  </v:shape>
                  <v:shape id="AutoShape 38" o:spid="_x0000_s1026" o:spt="34" type="#_x0000_t34" style="position:absolute;left:6825;top:5212;flip:y;height:1011;width:1181;rotation:11796480f;" filled="f" stroked="t" coordsize="21600,21600" o:gfxdata="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DjfugAAANwA&#10;AAAPAAAAAAAAAAEAIAAAACIAAABkcnMvZG93bnJldi54bWxQSwECFAAUAAAACACHTuJAMy8FnjsA&#10;AAA5AAAAEAAAAAAAAAABACAAAAAJAQAAZHJzL3NoYXBleG1sLnhtbFBLBQYAAAAABgAGAFsBAACz&#10;AwAAAAA=&#10;" adj="22">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850393700787402pt,0.5mm,0.850393700787402pt">
                      <w:txbxContent>
                        <w:p>
                          <w:pPr>
                            <w:ind w:firstLine="0" w:firstLineChars="0"/>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7067;top:5877;height:279;width:823;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w:txbxContent>
                        <w:p>
                          <w:pPr>
                            <w:ind w:firstLine="0" w:firstLineChars="0"/>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850393700787402pt,0.5mm,0.850393700787402pt">
                      <w:txbxContent>
                        <w:p>
                          <w:pPr>
                            <w:ind w:firstLine="0" w:firstLineChars="0"/>
                            <w:jc w:val="center"/>
                            <w:rPr>
                              <w:sz w:val="18"/>
                              <w:szCs w:val="18"/>
                            </w:rPr>
                          </w:pPr>
                          <w:r>
                            <w:rPr>
                              <w:rFonts w:hint="eastAsia"/>
                              <w:sz w:val="18"/>
                              <w:szCs w:val="18"/>
                            </w:rPr>
                            <w:t>绿色设计产品</w:t>
                          </w:r>
                        </w:p>
                      </w:txbxContent>
                    </v:textbox>
                  </v:shape>
                  <v:shape id="AutoShape 42" o:spid="_x0000_s1026" o:spt="32" type="#_x0000_t32" style="position:absolute;left:5646;top:6684;height:843;width:13;"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692;top:6858;height:385;width:396;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850393700787402pt,0.5mm,0.850393700787402pt" style="layout-flow:vertical-ideographic;">
                      <w:txbxContent>
                        <w:p>
                          <w:pPr>
                            <w:ind w:firstLine="0" w:firstLineChars="0"/>
                            <w:jc w:val="center"/>
                            <w:rPr>
                              <w:sz w:val="18"/>
                              <w:szCs w:val="18"/>
                            </w:rPr>
                          </w:pPr>
                          <w:r>
                            <w:rPr>
                              <w:rFonts w:hint="eastAsia"/>
                              <w:sz w:val="18"/>
                              <w:szCs w:val="18"/>
                            </w:rPr>
                            <w:t>是</w:t>
                          </w:r>
                        </w:p>
                      </w:txbxContent>
                    </v:textbox>
                  </v:shape>
                </v:group>
                <v:rect id="Rectangle 21" o:spid="_x0000_s1026" o:spt="1" style="position:absolute;left:3471545;top:1310005;height:301625;width:1362710;v-text-anchor:middle;" fillcolor="#FFFFFF" filled="t" stroked="t" coordsize="21600,21600" o:gfxdata="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PYsm1wAAAAYBAAAPAAAAAAAAAAEAIAAAACIAAABkcnMvZG93&#10;bnJldi54bWxQSwECFAAUAAAACACHTuJAiAyijjoCAACNBAAADgAAAAAAAAABACAAAAAmAQAAZHJz&#10;L2Uyb0RvYy54bWxQSwUGAAAAAAYABgBZAQAA0gUAAAAA&#10;">
                  <v:fill on="t" focussize="0,0"/>
                  <v:stroke color="#000000" miterlimit="8" joinstyle="miter"/>
                  <v:imagedata o:title=""/>
                  <o:lock v:ext="edit" aspectratio="f"/>
                  <v:textbox>
                    <w:txbxContent>
                      <w:p>
                        <w:pPr>
                          <w:ind w:firstLine="0" w:firstLineChars="0"/>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4150995;top:965835;height:344170;width:1905;" filled="f" stroked="t" coordsize="21600,21600" o:gfxdata="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q7YvXAAAABgEAAA8AAAAAAAAAAQAgAAAA&#10;IgAAAGRycy9kb3ducmV2LnhtbFBLAQIUABQAAAAIAIdO4kBNa1sfDAIAAAkEAAAOAAAAAAAAAAEA&#10;IAAAACYBAABkcnMvZTJvRG9jLnhtbFBLBQYAAAAABgAGAFkBAACkBQAAAAA=&#10;">
                  <v:fill on="f" focussize="0,0"/>
                  <v:stroke color="#000000" joinstyle="round" endarrow="block"/>
                  <v:imagedata o:title=""/>
                  <o:lock v:ext="edit" aspectratio="f"/>
                </v:shape>
                <w10:wrap type="topAndBottom"/>
              </v:group>
            </w:pict>
          </mc:Fallback>
        </mc:AlternateContent>
      </w:r>
      <w:r>
        <w:rPr>
          <w:b/>
          <w:sz w:val="18"/>
          <w:szCs w:val="18"/>
        </w:rPr>
        <w:t xml:space="preserve">图1  </w:t>
      </w:r>
      <w:r>
        <w:rPr>
          <w:rFonts w:hint="eastAsia"/>
          <w:b/>
          <w:sz w:val="18"/>
          <w:szCs w:val="18"/>
          <w:lang w:val="en-US" w:eastAsia="zh-CN"/>
        </w:rPr>
        <w:t>锗单晶和锗单晶片</w:t>
      </w:r>
      <w:r>
        <w:rPr>
          <w:b/>
          <w:sz w:val="18"/>
          <w:szCs w:val="18"/>
        </w:rPr>
        <w:t>绿色设计产品评价流程</w:t>
      </w:r>
    </w:p>
    <w:p>
      <w:pPr>
        <w:pStyle w:val="4"/>
        <w:rPr>
          <w:rFonts w:ascii="Times New Roman" w:hAnsi="Times New Roman" w:eastAsia="宋体"/>
          <w:b/>
          <w:sz w:val="24"/>
          <w:szCs w:val="24"/>
        </w:rPr>
      </w:pPr>
      <w:r>
        <w:rPr>
          <w:rFonts w:hint="default" w:ascii="Times New Roman" w:hAnsi="Times New Roman" w:eastAsia="宋体"/>
          <w:b/>
          <w:sz w:val="24"/>
          <w:szCs w:val="24"/>
          <w:lang w:val="en-US" w:eastAsia="zh-CN"/>
        </w:rPr>
        <w:t xml:space="preserve">2.4 </w:t>
      </w:r>
      <w:r>
        <w:rPr>
          <w:rFonts w:ascii="Times New Roman" w:hAnsi="Times New Roman" w:eastAsia="宋体"/>
          <w:b/>
          <w:sz w:val="24"/>
          <w:szCs w:val="24"/>
        </w:rPr>
        <w:t>确定标准主要内容</w:t>
      </w:r>
      <w:bookmarkEnd w:id="45"/>
      <w:bookmarkEnd w:id="46"/>
      <w:bookmarkEnd w:id="47"/>
      <w:r>
        <w:rPr>
          <w:rFonts w:hint="default" w:ascii="Times New Roman" w:hAnsi="Times New Roman" w:eastAsia="宋体"/>
          <w:b/>
          <w:sz w:val="24"/>
          <w:szCs w:val="24"/>
        </w:rPr>
        <w:t>的依据</w:t>
      </w:r>
    </w:p>
    <w:p>
      <w:pPr>
        <w:pStyle w:val="5"/>
        <w:numPr>
          <w:ilvl w:val="-1"/>
          <w:numId w:val="0"/>
        </w:numPr>
        <w:spacing w:before="156" w:after="156" w:line="360" w:lineRule="auto"/>
        <w:ind w:left="0"/>
        <w:rPr>
          <w:rFonts w:ascii="Times New Roman" w:eastAsia="宋体"/>
          <w:b/>
          <w:color w:val="auto"/>
        </w:rPr>
      </w:pPr>
      <w:bookmarkStart w:id="49" w:name="_Toc508985110"/>
      <w:bookmarkStart w:id="50" w:name="_Toc497309528"/>
      <w:bookmarkStart w:id="51" w:name="_Toc511234394"/>
      <w:r>
        <w:rPr>
          <w:rFonts w:hint="default" w:ascii="Times New Roman" w:eastAsia="宋体"/>
          <w:b/>
          <w:color w:val="auto"/>
          <w:lang w:val="en-US" w:eastAsia="zh-CN"/>
        </w:rPr>
        <w:t xml:space="preserve">2.4.1 </w:t>
      </w:r>
      <w:r>
        <w:rPr>
          <w:rFonts w:ascii="Times New Roman" w:eastAsia="宋体"/>
          <w:b/>
          <w:color w:val="auto"/>
        </w:rPr>
        <w:t>范围</w:t>
      </w:r>
      <w:bookmarkEnd w:id="49"/>
      <w:bookmarkEnd w:id="50"/>
      <w:bookmarkEnd w:id="51"/>
    </w:p>
    <w:p>
      <w:pPr>
        <w:ind w:firstLine="480"/>
        <w:jc w:val="left"/>
        <w:rPr>
          <w:rFonts w:hint="default"/>
          <w:sz w:val="24"/>
        </w:rPr>
      </w:pPr>
      <w:bookmarkStart w:id="52" w:name="_Toc508985111"/>
      <w:bookmarkStart w:id="53" w:name="_Toc497309529"/>
      <w:bookmarkStart w:id="54" w:name="_Toc511234395"/>
      <w:r>
        <w:rPr>
          <w:rFonts w:hint="default"/>
          <w:sz w:val="24"/>
        </w:rPr>
        <w:t>本文件规定了</w:t>
      </w:r>
      <w:r>
        <w:rPr>
          <w:rFonts w:hint="default"/>
          <w:sz w:val="24"/>
          <w:lang w:val="en-US" w:eastAsia="zh-CN"/>
        </w:rPr>
        <w:t>锗单晶和锗单晶片</w:t>
      </w:r>
      <w:r>
        <w:rPr>
          <w:rFonts w:hint="default"/>
          <w:sz w:val="24"/>
        </w:rPr>
        <w:t>绿色设计产品评价的评价要求、产品生命周期评价报告编制方法以及评价方法、评价流程。</w:t>
      </w:r>
    </w:p>
    <w:p>
      <w:pPr>
        <w:ind w:firstLine="480"/>
        <w:jc w:val="left"/>
        <w:rPr>
          <w:rFonts w:hint="default"/>
          <w:sz w:val="24"/>
        </w:rPr>
      </w:pPr>
      <w:r>
        <w:rPr>
          <w:rFonts w:hint="default"/>
          <w:sz w:val="24"/>
        </w:rPr>
        <w:t>本文件适用于以锗精矿、再生锗原料</w:t>
      </w:r>
      <w:r>
        <w:rPr>
          <w:rFonts w:hint="default"/>
          <w:sz w:val="24"/>
          <w:lang w:val="en-US" w:eastAsia="zh-CN"/>
        </w:rPr>
        <w:t>等含锗</w:t>
      </w:r>
      <w:r>
        <w:rPr>
          <w:rFonts w:hint="default"/>
          <w:sz w:val="24"/>
        </w:rPr>
        <w:t>原料生产的</w:t>
      </w:r>
      <w:r>
        <w:rPr>
          <w:rFonts w:hint="default"/>
          <w:sz w:val="24"/>
          <w:lang w:val="en-US" w:eastAsia="zh-CN"/>
        </w:rPr>
        <w:t>锗单晶和锗单晶片</w:t>
      </w:r>
      <w:r>
        <w:rPr>
          <w:rFonts w:hint="default"/>
          <w:sz w:val="24"/>
        </w:rPr>
        <w:t>的绿色设计产品评价。</w:t>
      </w:r>
    </w:p>
    <w:bookmarkEnd w:id="52"/>
    <w:bookmarkEnd w:id="53"/>
    <w:bookmarkEnd w:id="54"/>
    <w:p>
      <w:pPr>
        <w:pStyle w:val="5"/>
        <w:numPr>
          <w:ilvl w:val="-1"/>
          <w:numId w:val="0"/>
        </w:numPr>
        <w:spacing w:before="156" w:after="156" w:line="360" w:lineRule="auto"/>
        <w:ind w:left="0"/>
        <w:rPr>
          <w:rFonts w:hint="default" w:ascii="Times New Roman" w:eastAsia="宋体"/>
          <w:b/>
          <w:color w:val="auto"/>
        </w:rPr>
      </w:pPr>
      <w:bookmarkStart w:id="55" w:name="_Toc511234396"/>
      <w:bookmarkStart w:id="56" w:name="_Toc497309556"/>
      <w:r>
        <w:rPr>
          <w:rFonts w:hint="default" w:ascii="Times New Roman" w:eastAsia="宋体"/>
          <w:b/>
          <w:color w:val="auto"/>
          <w:lang w:val="en-US" w:eastAsia="zh-CN"/>
        </w:rPr>
        <w:t xml:space="preserve">2.4.2 </w:t>
      </w:r>
      <w:r>
        <w:rPr>
          <w:rFonts w:hint="default" w:ascii="Times New Roman" w:eastAsia="宋体"/>
          <w:b/>
          <w:color w:val="auto"/>
        </w:rPr>
        <w:t>基本要求</w:t>
      </w:r>
      <w:bookmarkEnd w:id="55"/>
    </w:p>
    <w:p>
      <w:pPr>
        <w:ind w:firstLine="0" w:firstLineChars="0"/>
        <w:rPr>
          <w:sz w:val="24"/>
        </w:rPr>
      </w:pPr>
      <w:r>
        <w:rPr>
          <w:rFonts w:hint="default"/>
          <w:sz w:val="24"/>
          <w:lang w:val="en-US" w:eastAsia="zh-CN"/>
        </w:rPr>
        <w:t>2.4.2.1 生产</w:t>
      </w:r>
      <w:r>
        <w:rPr>
          <w:rFonts w:hint="default"/>
          <w:sz w:val="24"/>
        </w:rPr>
        <w:t>企业近三年无重大安全、环境污染和质量事故，污染物的排放应达到国家</w:t>
      </w:r>
      <w:r>
        <w:rPr>
          <w:rFonts w:hint="default"/>
          <w:sz w:val="24"/>
          <w:lang w:val="en-US" w:eastAsia="zh-CN"/>
        </w:rPr>
        <w:t>和</w:t>
      </w:r>
      <w:r>
        <w:rPr>
          <w:rFonts w:hint="default"/>
          <w:sz w:val="24"/>
        </w:rPr>
        <w:t>地方相关污染物排放标准的管理要求。</w:t>
      </w:r>
    </w:p>
    <w:p>
      <w:pPr>
        <w:ind w:firstLine="0" w:firstLineChars="0"/>
        <w:rPr>
          <w:rFonts w:hint="default"/>
          <w:sz w:val="24"/>
        </w:rPr>
      </w:pPr>
      <w:r>
        <w:rPr>
          <w:rFonts w:hint="default" w:ascii="Times New Roman" w:hAnsi="Times New Roman" w:eastAsia="宋体" w:cs="Times New Roman"/>
          <w:sz w:val="24"/>
          <w:lang w:val="en-US" w:eastAsia="zh-CN"/>
        </w:rPr>
        <w:t xml:space="preserve">2.4.2.2 </w:t>
      </w:r>
      <w:r>
        <w:rPr>
          <w:rFonts w:hint="default"/>
          <w:sz w:val="24"/>
        </w:rPr>
        <w:t>生产企业的污染物总量控制，应达到国家和地方污染物排放总量控制指标。</w:t>
      </w:r>
    </w:p>
    <w:p>
      <w:pPr>
        <w:ind w:firstLine="0" w:firstLineChars="0"/>
        <w:rPr>
          <w:rFonts w:hint="default"/>
          <w:sz w:val="24"/>
        </w:rPr>
      </w:pPr>
      <w:r>
        <w:rPr>
          <w:rFonts w:hint="default" w:ascii="Times New Roman" w:hAnsi="Times New Roman" w:eastAsia="宋体" w:cs="Times New Roman"/>
          <w:sz w:val="24"/>
          <w:lang w:val="en-US" w:eastAsia="zh-CN"/>
        </w:rPr>
        <w:t xml:space="preserve">2.4.2.3 </w:t>
      </w:r>
      <w:r>
        <w:rPr>
          <w:rFonts w:hint="default"/>
          <w:sz w:val="24"/>
        </w:rPr>
        <w:t xml:space="preserve">生产企业安全管理应符合GB/T 33000的规定；生产企业应按照GB/T 19001、GB/T 24001、GB/T </w:t>
      </w:r>
      <w:r>
        <w:rPr>
          <w:rFonts w:hint="default"/>
          <w:sz w:val="24"/>
          <w:lang w:eastAsia="zh-CN"/>
        </w:rPr>
        <w:t>45001</w:t>
      </w:r>
      <w:r>
        <w:rPr>
          <w:rFonts w:hint="default"/>
          <w:sz w:val="24"/>
        </w:rPr>
        <w:t>及GB/T 23331分别建立、实施、保持并持续改进质量管理体系、环境管理体系、职业健康安全管理体系和能源管理体系。</w:t>
      </w:r>
    </w:p>
    <w:p>
      <w:pPr>
        <w:ind w:firstLine="0" w:firstLineChars="0"/>
        <w:rPr>
          <w:sz w:val="24"/>
        </w:rPr>
      </w:pPr>
      <w:r>
        <w:rPr>
          <w:rFonts w:hint="default" w:ascii="Times New Roman" w:hAnsi="Times New Roman" w:eastAsia="宋体" w:cs="Times New Roman"/>
          <w:sz w:val="24"/>
          <w:lang w:val="en-US" w:eastAsia="zh-CN"/>
        </w:rPr>
        <w:t>2.4.2.4 锗单晶和锗单晶片</w:t>
      </w:r>
      <w:r>
        <w:rPr>
          <w:rFonts w:hint="default"/>
          <w:sz w:val="24"/>
        </w:rPr>
        <w:t>的单位产品能源消耗限额应符合</w:t>
      </w:r>
      <w:r>
        <w:rPr>
          <w:sz w:val="24"/>
        </w:rPr>
        <w:t xml:space="preserve">GB </w:t>
      </w:r>
      <w:r>
        <w:rPr>
          <w:rFonts w:hint="default"/>
          <w:sz w:val="24"/>
          <w:lang w:eastAsia="zh-CN"/>
        </w:rPr>
        <w:t>29447</w:t>
      </w:r>
      <w:r>
        <w:rPr>
          <w:rFonts w:hint="default"/>
          <w:sz w:val="24"/>
        </w:rPr>
        <w:t>的规定。</w:t>
      </w:r>
    </w:p>
    <w:p>
      <w:pPr>
        <w:ind w:firstLine="0" w:firstLineChars="0"/>
        <w:rPr>
          <w:sz w:val="24"/>
        </w:rPr>
      </w:pPr>
      <w:r>
        <w:rPr>
          <w:rFonts w:hint="default" w:ascii="Times New Roman" w:hAnsi="Times New Roman" w:eastAsia="宋体" w:cs="Times New Roman"/>
          <w:sz w:val="24"/>
          <w:lang w:val="en-US" w:eastAsia="zh-CN"/>
        </w:rPr>
        <w:t xml:space="preserve">2.4.2.5 </w:t>
      </w:r>
      <w:r>
        <w:rPr>
          <w:rFonts w:hint="default"/>
          <w:sz w:val="24"/>
          <w:lang w:val="en-US" w:eastAsia="zh-CN"/>
        </w:rPr>
        <w:t>生产</w:t>
      </w:r>
      <w:r>
        <w:rPr>
          <w:rFonts w:hint="default"/>
          <w:sz w:val="24"/>
        </w:rPr>
        <w:t>企业应对产品主要原材料的供应方、生产协作方、相关服务提供方等提出相关质量、环境、能源和安全等方面的管理要求，</w:t>
      </w:r>
      <w:r>
        <w:rPr>
          <w:rFonts w:hint="default"/>
          <w:sz w:val="24"/>
          <w:lang w:val="en-US" w:eastAsia="zh-CN"/>
        </w:rPr>
        <w:t>宜</w:t>
      </w:r>
      <w:r>
        <w:rPr>
          <w:rFonts w:hint="default"/>
          <w:sz w:val="24"/>
        </w:rPr>
        <w:t>开展绿色供应链管理，并建立绿色供应链管理的绩效评价机制、程序，确定评价指标和评价方法。</w:t>
      </w:r>
    </w:p>
    <w:p>
      <w:pPr>
        <w:ind w:firstLine="0" w:firstLineChars="0"/>
        <w:rPr>
          <w:sz w:val="24"/>
        </w:rPr>
      </w:pPr>
      <w:r>
        <w:rPr>
          <w:rFonts w:hint="default" w:ascii="Times New Roman" w:hAnsi="Times New Roman" w:eastAsia="宋体" w:cs="Times New Roman"/>
          <w:sz w:val="24"/>
          <w:lang w:val="en-US" w:eastAsia="zh-CN"/>
        </w:rPr>
        <w:t xml:space="preserve">2.4.2.6 </w:t>
      </w:r>
      <w:r>
        <w:rPr>
          <w:rFonts w:hint="default"/>
          <w:sz w:val="24"/>
        </w:rPr>
        <w:t>生产企业应采用国家鼓励的先进技术、工艺和装备，不应使用国家或有关部门发布的淘汰或禁止的技术、工艺、装备及相关物质，设计、生产过程中应以节约材料为原则制定要求。</w:t>
      </w:r>
    </w:p>
    <w:p>
      <w:pPr>
        <w:ind w:firstLine="0" w:firstLineChars="0"/>
        <w:rPr>
          <w:sz w:val="24"/>
        </w:rPr>
      </w:pPr>
      <w:r>
        <w:rPr>
          <w:rFonts w:hint="default" w:ascii="Times New Roman" w:hAnsi="Times New Roman" w:eastAsia="宋体" w:cs="Times New Roman"/>
          <w:sz w:val="24"/>
          <w:lang w:val="en-US" w:eastAsia="zh-CN"/>
        </w:rPr>
        <w:t xml:space="preserve">2.4.2.7 </w:t>
      </w:r>
      <w:r>
        <w:rPr>
          <w:rFonts w:hint="default"/>
          <w:sz w:val="24"/>
        </w:rPr>
        <w:t>生产废渣应分类存放处置，一般工业固体废物的处置应符合</w:t>
      </w:r>
      <w:r>
        <w:rPr>
          <w:sz w:val="24"/>
        </w:rPr>
        <w:t>GB 18599</w:t>
      </w:r>
      <w:r>
        <w:rPr>
          <w:rFonts w:hint="default"/>
          <w:sz w:val="24"/>
        </w:rPr>
        <w:t>的规定，危险废物的处置应符合</w:t>
      </w:r>
      <w:r>
        <w:rPr>
          <w:sz w:val="24"/>
        </w:rPr>
        <w:t>GB 18597</w:t>
      </w:r>
      <w:r>
        <w:rPr>
          <w:rFonts w:hint="default"/>
          <w:sz w:val="24"/>
        </w:rPr>
        <w:t>的规定。</w:t>
      </w:r>
    </w:p>
    <w:p>
      <w:pPr>
        <w:ind w:firstLine="0" w:firstLineChars="0"/>
        <w:rPr>
          <w:sz w:val="24"/>
        </w:rPr>
      </w:pPr>
      <w:r>
        <w:rPr>
          <w:rFonts w:hint="default" w:ascii="Times New Roman" w:hAnsi="Times New Roman" w:eastAsia="宋体" w:cs="Times New Roman"/>
          <w:sz w:val="24"/>
          <w:lang w:val="en-US" w:eastAsia="zh-CN"/>
        </w:rPr>
        <w:t xml:space="preserve">2.4.2.8 </w:t>
      </w:r>
      <w:r>
        <w:rPr>
          <w:rFonts w:hint="default"/>
          <w:sz w:val="24"/>
        </w:rPr>
        <w:t>产品包装材料应采用可再生利用或可降解的材料。</w:t>
      </w:r>
    </w:p>
    <w:bookmarkEnd w:id="56"/>
    <w:p>
      <w:pPr>
        <w:pStyle w:val="9"/>
        <w:ind w:firstLine="0" w:firstLineChars="0"/>
        <w:rPr>
          <w:rFonts w:ascii="Times New Roman" w:hAnsi="Times New Roman"/>
          <w:sz w:val="24"/>
          <w:szCs w:val="24"/>
        </w:rPr>
      </w:pPr>
      <w:r>
        <w:rPr>
          <w:rFonts w:hint="default" w:ascii="Times New Roman" w:hAnsi="Times New Roman"/>
          <w:bCs w:val="0"/>
          <w:color w:val="auto"/>
          <w:spacing w:val="-4"/>
          <w:kern w:val="0"/>
          <w:sz w:val="24"/>
          <w:szCs w:val="24"/>
          <w:lang w:val="en-US" w:eastAsia="zh-CN"/>
        </w:rPr>
        <w:t xml:space="preserve">2.4.3 </w:t>
      </w:r>
      <w:r>
        <w:rPr>
          <w:rFonts w:hint="default" w:ascii="Times New Roman" w:hAnsi="Times New Roman" w:cs="Times New Roman"/>
          <w:bCs w:val="0"/>
          <w:color w:val="auto"/>
          <w:spacing w:val="-4"/>
          <w:kern w:val="0"/>
          <w:sz w:val="24"/>
          <w:szCs w:val="24"/>
          <w:lang w:val="en-US" w:eastAsia="zh-CN"/>
        </w:rPr>
        <w:t>标准评价指标的制定分析</w:t>
      </w:r>
    </w:p>
    <w:p>
      <w:pPr>
        <w:ind w:firstLine="0" w:firstLineChars="0"/>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2.4.3.1 标准评价指标的主要内容</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本</w:t>
      </w:r>
      <w:r>
        <w:rPr>
          <w:rFonts w:hint="eastAsia" w:ascii="Times New Roman" w:hAnsi="Times New Roman" w:cs="Times New Roman"/>
          <w:sz w:val="24"/>
          <w:lang w:val="en-US" w:eastAsia="zh-CN"/>
        </w:rPr>
        <w:t>文件</w:t>
      </w:r>
      <w:r>
        <w:rPr>
          <w:rFonts w:hint="default" w:ascii="Times New Roman" w:hAnsi="Times New Roman" w:cs="Times New Roman"/>
          <w:sz w:val="24"/>
          <w:lang w:eastAsia="zh-CN"/>
        </w:rPr>
        <w:t>的绿色评价指标由一级指标和二级指标组成。其中，一级指标包括资源属性指标、能源属性指标、环境属性指标和产品属性指标等四类，每类指标又由若干个二级指标组成。绿色特性指标依据</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产品特点、对环境和人体健康影响程度，现有标准实施情况以及实际现状等侧重选取。</w:t>
      </w:r>
    </w:p>
    <w:p>
      <w:pPr>
        <w:ind w:firstLine="480"/>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其中，资源属性是描述</w:t>
      </w:r>
      <w:r>
        <w:rPr>
          <w:rFonts w:hint="default" w:ascii="Times New Roman" w:hAnsi="Times New Roman" w:cs="Times New Roman"/>
          <w:sz w:val="24"/>
          <w:highlight w:val="none"/>
          <w:lang w:val="en-US" w:eastAsia="zh-CN"/>
        </w:rPr>
        <w:t>锗单晶和锗单晶片</w:t>
      </w:r>
      <w:r>
        <w:rPr>
          <w:rFonts w:hint="default" w:ascii="Times New Roman" w:hAnsi="Times New Roman" w:cs="Times New Roman"/>
          <w:sz w:val="24"/>
          <w:highlight w:val="none"/>
          <w:lang w:eastAsia="zh-CN"/>
        </w:rPr>
        <w:t>产品生命周期中所消耗的资源，重点选取生产阶段原辅材料消耗和再生利用等方面的指标，如锗综合回收率</w:t>
      </w:r>
      <w:r>
        <w:rPr>
          <w:rFonts w:hint="default" w:cs="Times New Roman"/>
          <w:sz w:val="24"/>
          <w:highlight w:val="none"/>
          <w:lang w:eastAsia="zh-CN"/>
        </w:rPr>
        <w:t>、</w:t>
      </w:r>
      <w:r>
        <w:rPr>
          <w:rFonts w:hint="default" w:ascii="Times New Roman" w:hAnsi="Times New Roman" w:cs="Times New Roman"/>
          <w:sz w:val="24"/>
          <w:highlight w:val="none"/>
          <w:lang w:eastAsia="zh-CN"/>
        </w:rPr>
        <w:t>单位产品新鲜水消耗量</w:t>
      </w:r>
      <w:r>
        <w:rPr>
          <w:rFonts w:hint="eastAsia" w:ascii="Times New Roman" w:hAnsi="Times New Roman" w:cs="Times New Roman"/>
          <w:sz w:val="24"/>
          <w:highlight w:val="none"/>
          <w:lang w:val="en-US" w:eastAsia="zh-CN"/>
        </w:rPr>
        <w:t>两</w:t>
      </w:r>
      <w:r>
        <w:rPr>
          <w:rFonts w:hint="default" w:ascii="Times New Roman" w:hAnsi="Times New Roman" w:cs="Times New Roman"/>
          <w:sz w:val="24"/>
          <w:highlight w:val="none"/>
          <w:lang w:eastAsia="zh-CN"/>
        </w:rPr>
        <w:t>项指标。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能源属性重点选取产品在生产过程中能源消耗方面的指标，如锗单位产品</w:t>
      </w:r>
      <w:r>
        <w:rPr>
          <w:rFonts w:hint="default" w:ascii="Times New Roman" w:hAnsi="Times New Roman" w:cs="Times New Roman"/>
          <w:sz w:val="24"/>
          <w:lang w:val="en-US" w:eastAsia="zh-CN"/>
        </w:rPr>
        <w:t>综合能耗</w:t>
      </w:r>
      <w:r>
        <w:rPr>
          <w:rFonts w:hint="default" w:ascii="Times New Roman" w:hAnsi="Times New Roman" w:cs="Times New Roman"/>
          <w:sz w:val="24"/>
          <w:lang w:eastAsia="zh-CN"/>
        </w:rPr>
        <w:t>。</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环境属性是描述</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产品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水污染物排放限制、大气污染物排放限值等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产品属性重点以产品的性能为准，如产品等级指标。</w:t>
      </w:r>
    </w:p>
    <w:p>
      <w:pPr>
        <w:ind w:firstLine="0" w:firstLineChars="0"/>
        <w:rPr>
          <w:rFonts w:hint="default" w:ascii="Times New Roman" w:hAnsi="Times New Roman" w:cs="Times New Roman"/>
          <w:b/>
          <w:bCs/>
          <w:sz w:val="24"/>
          <w:lang w:eastAsia="zh-CN"/>
        </w:rPr>
      </w:pPr>
      <w:r>
        <w:rPr>
          <w:rFonts w:hint="default" w:cs="Times New Roman"/>
          <w:b/>
          <w:bCs/>
          <w:sz w:val="24"/>
          <w:lang w:val="en-US" w:eastAsia="zh-CN"/>
        </w:rPr>
        <w:t xml:space="preserve">2.4.3.2 </w:t>
      </w:r>
      <w:r>
        <w:rPr>
          <w:rFonts w:hint="default" w:ascii="Times New Roman" w:hAnsi="Times New Roman" w:cs="Times New Roman"/>
          <w:b/>
          <w:bCs/>
          <w:sz w:val="24"/>
          <w:lang w:eastAsia="zh-CN"/>
        </w:rPr>
        <w:t>指标基准值的确定</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项目开展以来，编制组对我国主要</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企业生产现状进行大量调研，调研方式包括资料调研、网上调研、发放调研表等。在上述工作的基础上，根据产品和行业特点，以评价筛选绿色设计产品为目的，以国家标准和行业标准为基础，经过一定规模的测试，并在广泛征询行业专家、生产厂商意见的基础上，科学、合理确定指标基准值。</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2.4.3.2.1 </w:t>
      </w:r>
      <w:r>
        <w:rPr>
          <w:rFonts w:hint="default" w:ascii="Times New Roman" w:hAnsi="Times New Roman" w:cs="Times New Roman"/>
          <w:sz w:val="24"/>
          <w:lang w:eastAsia="zh-CN"/>
        </w:rPr>
        <w:t>资源属性指标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资源属性重点选取生产阶段原辅材料消耗和再生利用等方面的指标，由于</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生产的关键原材料为锗精矿，再生利用方面，</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生产对水的消耗为关键资源，因此设定新鲜水消耗量和重复利用率，根据以上分析，制定出锗综合回收率、单位产品新鲜水消耗量</w:t>
      </w:r>
      <w:r>
        <w:rPr>
          <w:rFonts w:hint="default" w:ascii="Times New Roman" w:hAnsi="Times New Roman" w:cs="Times New Roman"/>
          <w:sz w:val="24"/>
          <w:lang w:val="en-US" w:eastAsia="zh-CN"/>
        </w:rPr>
        <w:t>两</w:t>
      </w:r>
      <w:r>
        <w:rPr>
          <w:rFonts w:hint="default" w:ascii="Times New Roman" w:hAnsi="Times New Roman" w:cs="Times New Roman"/>
          <w:sz w:val="24"/>
          <w:lang w:eastAsia="zh-CN"/>
        </w:rPr>
        <w:t>项指标。通过调研，并根据各</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生产企业的生产状况给出先进的指标值。</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2.4.3.2.2 </w:t>
      </w:r>
      <w:r>
        <w:rPr>
          <w:rFonts w:hint="default" w:ascii="Times New Roman" w:hAnsi="Times New Roman" w:cs="Times New Roman"/>
          <w:sz w:val="24"/>
          <w:lang w:eastAsia="zh-CN"/>
        </w:rPr>
        <w:t>能源属性指标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能源属性选取了单位产品综合能耗指标，指标基准值是结合</w:t>
      </w:r>
      <w:r>
        <w:rPr>
          <w:rFonts w:hint="eastAsia" w:ascii="Times New Roman" w:hAnsi="Times New Roman" w:cs="Times New Roman"/>
          <w:sz w:val="24"/>
          <w:lang w:val="en-US" w:eastAsia="zh-CN"/>
        </w:rPr>
        <w:t>2022</w:t>
      </w:r>
      <w:r>
        <w:rPr>
          <w:rFonts w:hint="default" w:ascii="Times New Roman" w:hAnsi="Times New Roman" w:cs="Times New Roman"/>
          <w:sz w:val="24"/>
          <w:lang w:eastAsia="zh-CN"/>
        </w:rPr>
        <w:t>年完成的国家标准GB</w:t>
      </w:r>
      <w:r>
        <w:rPr>
          <w:rFonts w:hint="eastAsia"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eastAsia"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《多晶硅和锗单位产品能源消耗限额》确定的。</w:t>
      </w:r>
    </w:p>
    <w:p>
      <w:pPr>
        <w:ind w:firstLine="0" w:firstLineChars="0"/>
        <w:rPr>
          <w:rFonts w:hint="default" w:ascii="Times New Roman" w:hAnsi="Times New Roman" w:cs="Times New Roman"/>
          <w:sz w:val="24"/>
          <w:lang w:eastAsia="zh-CN"/>
        </w:rPr>
      </w:pPr>
      <w:r>
        <w:rPr>
          <w:rFonts w:hint="eastAsia" w:ascii="Times New Roman" w:hAnsi="Times New Roman" w:cs="Times New Roman"/>
          <w:sz w:val="24"/>
          <w:lang w:val="en-US" w:eastAsia="zh-CN"/>
        </w:rPr>
        <w:t xml:space="preserve">2.4.3.2.3 </w:t>
      </w:r>
      <w:r>
        <w:rPr>
          <w:rFonts w:hint="default" w:ascii="Times New Roman" w:hAnsi="Times New Roman" w:cs="Times New Roman"/>
          <w:sz w:val="24"/>
          <w:lang w:eastAsia="zh-CN"/>
        </w:rPr>
        <w:t>环境属性指标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环境属性重点选取水污染物排放限制和大气污染物排放限值两项指标。污染物产生指标是通过调研并结合GB 8978《污水综合排放标准》、GB 16297《大气污染物综合排放标准》来确定的。</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2.4.3.2.</w:t>
      </w:r>
      <w:r>
        <w:rPr>
          <w:rFonts w:hint="default" w:cs="Times New Roman"/>
          <w:sz w:val="24"/>
          <w:lang w:val="en-US" w:eastAsia="zh-CN"/>
        </w:rPr>
        <w:t xml:space="preserve">4 </w:t>
      </w:r>
      <w:r>
        <w:rPr>
          <w:rFonts w:hint="default" w:ascii="Times New Roman" w:hAnsi="Times New Roman" w:cs="Times New Roman"/>
          <w:sz w:val="24"/>
          <w:lang w:eastAsia="zh-CN"/>
        </w:rPr>
        <w:t>产品属性指标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 xml:space="preserve">产品属性重点以产品的性能为准。产品性能是根据国家该产品标准GB/T </w:t>
      </w:r>
      <w:r>
        <w:rPr>
          <w:rFonts w:hint="eastAsia" w:cs="Times New Roman"/>
          <w:sz w:val="24"/>
          <w:lang w:val="en-US" w:eastAsia="zh-CN"/>
        </w:rPr>
        <w:t>5238</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》及现有行业生产工艺及技术水平确定的。</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最终的评价指标结果见表1</w:t>
      </w:r>
      <w:r>
        <w:rPr>
          <w:rFonts w:hint="eastAsia" w:ascii="Times New Roman" w:hAnsi="Times New Roman" w:cs="Times New Roman"/>
          <w:sz w:val="24"/>
          <w:lang w:eastAsia="zh-CN"/>
        </w:rPr>
        <w:t>。</w:t>
      </w:r>
    </w:p>
    <w:p>
      <w:pPr>
        <w:widowControl/>
        <w:autoSpaceDE/>
        <w:autoSpaceDN/>
        <w:snapToGrid/>
        <w:spacing w:before="0" w:beforeLines="-2147483648" w:after="0" w:afterLines="-2147483648" w:line="240" w:lineRule="auto"/>
        <w:ind w:firstLine="0" w:firstLineChars="0"/>
        <w:jc w:val="center"/>
        <w:rPr>
          <w:rFonts w:eastAsia="黑体"/>
          <w:kern w:val="0"/>
          <w:szCs w:val="20"/>
        </w:rPr>
      </w:pPr>
      <w:r>
        <w:rPr>
          <w:rFonts w:hint="default" w:eastAsia="黑体"/>
          <w:kern w:val="0"/>
          <w:szCs w:val="20"/>
        </w:rPr>
        <w:t>表1</w:t>
      </w:r>
      <w:r>
        <w:rPr>
          <w:rFonts w:eastAsia="黑体"/>
          <w:kern w:val="0"/>
          <w:szCs w:val="20"/>
        </w:rPr>
        <w:t xml:space="preserve">  </w:t>
      </w:r>
      <w:r>
        <w:rPr>
          <w:rFonts w:hint="default" w:eastAsia="黑体"/>
          <w:kern w:val="0"/>
          <w:szCs w:val="20"/>
        </w:rPr>
        <w:t>评价指标要求</w:t>
      </w:r>
    </w:p>
    <w:tbl>
      <w:tblPr>
        <w:tblStyle w:val="16"/>
        <w:tblpPr w:leftFromText="180" w:rightFromText="180" w:vertAnchor="text" w:horzAnchor="margin" w:tblpXSpec="center" w:tblpY="15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083"/>
        <w:gridCol w:w="988"/>
        <w:gridCol w:w="2068"/>
        <w:gridCol w:w="2646"/>
        <w:gridCol w:w="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基准值</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判定依据</w:t>
            </w:r>
          </w:p>
        </w:tc>
        <w:tc>
          <w:tcPr>
            <w:tcW w:w="357" w:type="pct"/>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98" w:type="pct"/>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资源属性</w:t>
            </w:r>
          </w:p>
        </w:tc>
        <w:tc>
          <w:tcPr>
            <w:tcW w:w="1082"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w:t>
            </w:r>
          </w:p>
        </w:tc>
        <w:tc>
          <w:tcPr>
            <w:tcW w:w="10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9</w:t>
            </w:r>
            <w:r>
              <w:rPr>
                <w:rFonts w:hint="default" w:ascii="Times New Roman" w:hAnsi="Times New Roman" w:cs="Times New Roman"/>
                <w:kern w:val="0"/>
                <w:sz w:val="18"/>
                <w:szCs w:val="18"/>
                <w:lang w:val="en-US" w:eastAsia="zh-CN"/>
              </w:rPr>
              <w:t>7</w:t>
            </w:r>
          </w:p>
        </w:tc>
        <w:tc>
          <w:tcPr>
            <w:tcW w:w="13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现场监测数据或分析检验结果</w:t>
            </w:r>
          </w:p>
        </w:tc>
        <w:tc>
          <w:tcPr>
            <w:tcW w:w="357" w:type="pct"/>
            <w:vMerge w:val="restart"/>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产品</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新鲜水消耗量</w:t>
            </w:r>
            <w:r>
              <w:rPr>
                <w:rFonts w:hint="default" w:ascii="Times New Roman" w:hAnsi="Times New Roman" w:cs="Times New Roman"/>
                <w:kern w:val="0"/>
                <w:szCs w:val="21"/>
                <w:highlight w:val="none"/>
                <w:vertAlign w:val="superscript"/>
                <w:lang w:val="en-US" w:eastAsia="zh-CN"/>
              </w:rPr>
              <w:t>a</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kern w:val="0"/>
                <w:sz w:val="18"/>
                <w:szCs w:val="18"/>
                <w:highlight w:val="none"/>
              </w:rPr>
              <w:t>m</w:t>
            </w:r>
            <w:r>
              <w:rPr>
                <w:rFonts w:ascii="Times New Roman" w:hAnsi="Times New Roman"/>
                <w:kern w:val="0"/>
                <w:sz w:val="18"/>
                <w:szCs w:val="18"/>
                <w:highlight w:val="none"/>
                <w:vertAlign w:val="superscript"/>
              </w:rPr>
              <w:t>3</w:t>
            </w:r>
            <w:r>
              <w:rPr>
                <w:rFonts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rPr>
              <w:t>kg</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hint="eastAsia" w:cs="Times New Roman"/>
                <w:kern w:val="0"/>
                <w:sz w:val="18"/>
                <w:szCs w:val="18"/>
                <w:highlight w:val="none"/>
                <w:lang w:val="en-US" w:eastAsia="zh-CN"/>
              </w:rPr>
              <w:t>1.2</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能源属性</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单位产品综合能耗</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kgce</w:t>
            </w:r>
            <w:r>
              <w:rPr>
                <w:rFonts w:ascii="Times New Roman" w:hAnsi="Times New Roman" w:cs="Times New Roman"/>
                <w:kern w:val="0"/>
                <w:sz w:val="18"/>
                <w:szCs w:val="18"/>
              </w:rPr>
              <w:t>/</w:t>
            </w:r>
            <w:r>
              <w:rPr>
                <w:rFonts w:hint="default" w:ascii="Times New Roman" w:hAnsi="Times New Roman" w:cs="Times New Roman"/>
                <w:kern w:val="0"/>
                <w:sz w:val="18"/>
                <w:szCs w:val="18"/>
              </w:rPr>
              <w:t>kg</w:t>
            </w:r>
          </w:p>
        </w:tc>
        <w:tc>
          <w:tcPr>
            <w:tcW w:w="10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w:t>
            </w:r>
            <w:r>
              <w:rPr>
                <w:rFonts w:hint="eastAsia" w:cs="Times New Roman"/>
                <w:kern w:val="0"/>
                <w:sz w:val="18"/>
                <w:szCs w:val="18"/>
                <w:lang w:val="en-US" w:eastAsia="zh-CN"/>
              </w:rPr>
              <w:t>39.9</w:t>
            </w:r>
          </w:p>
        </w:tc>
        <w:tc>
          <w:tcPr>
            <w:tcW w:w="13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98" w:type="pct"/>
            <w:vMerge w:val="restar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环境属性</w:t>
            </w:r>
            <w:r>
              <w:rPr>
                <w:rFonts w:hint="default" w:ascii="Times New Roman" w:hAnsi="Times New Roman" w:cs="Times New Roman"/>
                <w:kern w:val="0"/>
                <w:sz w:val="18"/>
                <w:szCs w:val="18"/>
                <w:vertAlign w:val="superscript"/>
                <w:lang w:val="en-US" w:eastAsia="zh-CN"/>
              </w:rPr>
              <w:t>b</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水污染物排放限值</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mg</w:t>
            </w:r>
            <w:r>
              <w:rPr>
                <w:rFonts w:ascii="Times New Roman" w:hAnsi="Times New Roman" w:cs="Times New Roman"/>
                <w:kern w:val="0"/>
                <w:sz w:val="18"/>
                <w:szCs w:val="18"/>
              </w:rPr>
              <w:t>/L</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sz w:val="18"/>
                <w:szCs w:val="18"/>
              </w:rPr>
              <w:t>应符合</w:t>
            </w:r>
            <w:r>
              <w:rPr>
                <w:rFonts w:ascii="Times New Roman" w:hAnsi="Times New Roman"/>
                <w:sz w:val="18"/>
                <w:szCs w:val="18"/>
              </w:rPr>
              <w:t>GB 8978</w:t>
            </w:r>
            <w:r>
              <w:rPr>
                <w:rFonts w:hint="default" w:ascii="Times New Roman" w:hAnsi="Times New Roman"/>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ascii="Times New Roman" w:hAnsi="Times New Roman"/>
                <w:sz w:val="18"/>
                <w:szCs w:val="18"/>
              </w:rPr>
              <w:t>GB 8978</w:t>
            </w:r>
            <w:r>
              <w:rPr>
                <w:rFonts w:hint="default" w:ascii="Times New Roman" w:hAnsi="Times New Roman"/>
                <w:sz w:val="18"/>
                <w:szCs w:val="18"/>
              </w:rPr>
              <w:t>，</w:t>
            </w:r>
            <w:r>
              <w:rPr>
                <w:rFonts w:hint="default" w:ascii="Times New Roman" w:hAnsi="Times New Roman" w:cs="Times New Roman"/>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cs="Times New Roman"/>
                <w:kern w:val="0"/>
                <w:sz w:val="18"/>
                <w:szCs w:val="18"/>
                <w:highlight w:val="none"/>
              </w:rPr>
              <w:t>L/</w:t>
            </w:r>
            <w:r>
              <w:rPr>
                <w:rFonts w:hint="default" w:ascii="Times New Roman" w:hAnsi="Times New Roman" w:cs="Times New Roman"/>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hint="eastAsia" w:cs="Times New Roman"/>
                <w:kern w:val="0"/>
                <w:sz w:val="18"/>
                <w:szCs w:val="18"/>
                <w:highlight w:val="none"/>
                <w:lang w:val="en-US" w:eastAsia="zh-CN"/>
              </w:rPr>
              <w:t>65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现场监测统计数据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大气污染物排放限值</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mg</w:t>
            </w:r>
            <w:r>
              <w:rPr>
                <w:rFonts w:ascii="Times New Roman" w:hAnsi="Times New Roman" w:cs="Times New Roman"/>
                <w:kern w:val="0"/>
                <w:sz w:val="18"/>
                <w:szCs w:val="18"/>
              </w:rPr>
              <w:t>/</w:t>
            </w:r>
            <w:r>
              <w:rPr>
                <w:rFonts w:hint="default" w:ascii="Times New Roman" w:hAnsi="Times New Roman" w:cs="Times New Roman"/>
                <w:kern w:val="0"/>
                <w:sz w:val="18"/>
                <w:szCs w:val="18"/>
              </w:rPr>
              <w:t>m</w:t>
            </w:r>
            <w:r>
              <w:rPr>
                <w:rFonts w:hint="default" w:ascii="Times New Roman" w:hAnsi="Times New Roman" w:cs="Times New Roman"/>
                <w:kern w:val="0"/>
                <w:sz w:val="18"/>
                <w:szCs w:val="18"/>
                <w:vertAlign w:val="superscript"/>
              </w:rPr>
              <w:t>3</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sz w:val="18"/>
                <w:szCs w:val="18"/>
              </w:rPr>
              <w:t>应符合</w:t>
            </w:r>
            <w:r>
              <w:rPr>
                <w:rFonts w:ascii="Times New Roman" w:hAnsi="Times New Roman"/>
                <w:sz w:val="18"/>
                <w:szCs w:val="18"/>
              </w:rPr>
              <w:t>GB 16297</w:t>
            </w:r>
            <w:r>
              <w:rPr>
                <w:rFonts w:hint="default" w:ascii="Times New Roman" w:hAnsi="Times New Roman"/>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ascii="Times New Roman" w:hAnsi="Times New Roman"/>
                <w:sz w:val="18"/>
                <w:szCs w:val="18"/>
              </w:rPr>
              <w:t>GB 16297</w:t>
            </w:r>
            <w:r>
              <w:rPr>
                <w:rFonts w:hint="default" w:ascii="Times New Roman" w:hAnsi="Times New Roman"/>
                <w:sz w:val="18"/>
                <w:szCs w:val="18"/>
              </w:rPr>
              <w:t>，</w:t>
            </w:r>
            <w:r>
              <w:rPr>
                <w:rFonts w:hint="default" w:ascii="Times New Roman" w:hAnsi="Times New Roman" w:cs="Times New Roman"/>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4" w:hRule="atLeast"/>
          <w:jc w:val="center"/>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b</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highlight w:val="none"/>
              </w:rPr>
            </w:pPr>
            <w:r>
              <w:rPr>
                <w:rFonts w:ascii="Times New Roman" w:hAnsi="Times New Roman"/>
                <w:color w:val="000000"/>
                <w:kern w:val="0"/>
                <w:sz w:val="18"/>
                <w:szCs w:val="18"/>
                <w:highlight w:val="none"/>
              </w:rPr>
              <w:t>m</w:t>
            </w:r>
            <w:r>
              <w:rPr>
                <w:rFonts w:ascii="Times New Roman" w:hAnsi="Times New Roman"/>
                <w:color w:val="000000"/>
                <w:kern w:val="0"/>
                <w:sz w:val="18"/>
                <w:szCs w:val="18"/>
                <w:highlight w:val="none"/>
                <w:vertAlign w:val="superscript"/>
              </w:rPr>
              <w:t>3</w:t>
            </w:r>
            <w:r>
              <w:rPr>
                <w:rFonts w:ascii="Times New Roman" w:hAnsi="Times New Roman" w:cs="Times New Roman"/>
                <w:color w:val="000000"/>
                <w:kern w:val="0"/>
                <w:sz w:val="18"/>
                <w:szCs w:val="18"/>
                <w:highlight w:val="none"/>
              </w:rPr>
              <w:t>/</w:t>
            </w:r>
            <w:r>
              <w:rPr>
                <w:rFonts w:hint="default" w:ascii="Times New Roman" w:hAnsi="Times New Roman" w:cs="Times New Roman"/>
                <w:color w:val="000000"/>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sz w:val="18"/>
                <w:szCs w:val="18"/>
                <w:highlight w:val="none"/>
                <w:lang w:val="en-US" w:eastAsia="zh-CN"/>
              </w:rPr>
            </w:pPr>
            <w:r>
              <w:rPr>
                <w:rFonts w:hint="default" w:ascii="Times New Roman" w:hAnsi="Times New Roman" w:cs="Times New Roman"/>
                <w:kern w:val="0"/>
                <w:sz w:val="18"/>
                <w:szCs w:val="18"/>
                <w:highlight w:val="none"/>
              </w:rPr>
              <w:t>≤</w:t>
            </w:r>
            <w:r>
              <w:rPr>
                <w:rFonts w:ascii="Times New Roman" w:hAnsi="Times New Roman" w:cs="Times New Roman"/>
                <w:kern w:val="0"/>
                <w:sz w:val="18"/>
                <w:szCs w:val="18"/>
                <w:highlight w:val="none"/>
              </w:rPr>
              <w:t>0.</w:t>
            </w:r>
            <w:r>
              <w:rPr>
                <w:rFonts w:hint="eastAsia" w:cs="Times New Roman"/>
                <w:kern w:val="0"/>
                <w:sz w:val="18"/>
                <w:szCs w:val="18"/>
                <w:highlight w:val="none"/>
                <w:lang w:val="en-US" w:eastAsia="zh-CN"/>
              </w:rPr>
              <w:t>55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ascii="Times New Roman" w:hAnsi="Times New Roman"/>
                <w:sz w:val="18"/>
                <w:szCs w:val="18"/>
              </w:rPr>
              <w:t>GB 18597、GB 18599</w:t>
            </w:r>
            <w:r>
              <w:rPr>
                <w:rFonts w:hint="default" w:ascii="Times New Roman" w:hAnsi="Times New Roman"/>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98" w:type="pct"/>
            <w:vMerge w:val="continue"/>
            <w:tcBorders>
              <w:left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工业固体废物综合利用率</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olor w:val="000000"/>
                <w:kern w:val="0"/>
                <w:sz w:val="18"/>
                <w:szCs w:val="18"/>
              </w:rPr>
            </w:pPr>
            <w:r>
              <w:rPr>
                <w:rFonts w:hint="default" w:ascii="Times New Roman" w:hAnsi="Times New Roman"/>
                <w:color w:val="000000"/>
                <w:kern w:val="0"/>
                <w:sz w:val="18"/>
                <w:szCs w:val="18"/>
              </w:rPr>
              <w:t>%</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lang w:val="en-US"/>
              </w:rPr>
            </w:pPr>
            <w:r>
              <w:rPr>
                <w:rFonts w:hint="default" w:ascii="Times New Roman" w:hAnsi="Times New Roman" w:cs="Times New Roman"/>
                <w:kern w:val="0"/>
                <w:sz w:val="18"/>
                <w:szCs w:val="18"/>
                <w:lang w:val="en-US" w:eastAsia="zh-CN"/>
              </w:rPr>
              <w:t>≥95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sz w:val="18"/>
                <w:szCs w:val="18"/>
              </w:rPr>
            </w:pPr>
            <w:r>
              <w:rPr>
                <w:rFonts w:hint="default" w:ascii="Times New Roman" w:hAnsi="Times New Roman"/>
                <w:sz w:val="18"/>
                <w:szCs w:val="18"/>
              </w:rPr>
              <w:t>统计监测数据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tcBorders>
              <w:top w:val="single" w:color="auto" w:sz="4"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产品属性</w:t>
            </w:r>
          </w:p>
        </w:tc>
        <w:tc>
          <w:tcPr>
            <w:tcW w:w="1082"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lang w:val="en-US" w:eastAsia="zh-CN"/>
              </w:rPr>
              <w:t>锗单晶和锗单晶片</w:t>
            </w:r>
            <w:r>
              <w:rPr>
                <w:rFonts w:hint="default" w:ascii="Times New Roman" w:hAnsi="Times New Roman" w:cs="Times New Roman"/>
                <w:kern w:val="0"/>
                <w:sz w:val="18"/>
                <w:szCs w:val="18"/>
              </w:rPr>
              <w:t>技术要求</w:t>
            </w:r>
          </w:p>
        </w:tc>
        <w:tc>
          <w:tcPr>
            <w:tcW w:w="513"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w:t>
            </w:r>
          </w:p>
        </w:tc>
        <w:tc>
          <w:tcPr>
            <w:tcW w:w="10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应符合G</w:t>
            </w:r>
            <w:r>
              <w:rPr>
                <w:rFonts w:ascii="Times New Roman" w:hAnsi="Times New Roman" w:cs="Times New Roman"/>
                <w:kern w:val="0"/>
                <w:sz w:val="18"/>
                <w:szCs w:val="18"/>
              </w:rPr>
              <w:t>B/T</w:t>
            </w:r>
            <w:r>
              <w:rPr>
                <w:rFonts w:hint="default" w:ascii="Times New Roman" w:hAnsi="Times New Roman" w:cs="Times New Roman"/>
                <w:kern w:val="0"/>
                <w:sz w:val="18"/>
                <w:szCs w:val="18"/>
              </w:rPr>
              <w:t xml:space="preserve"> </w:t>
            </w:r>
            <w:r>
              <w:rPr>
                <w:rFonts w:hint="eastAsia" w:cs="Times New Roman"/>
                <w:kern w:val="0"/>
                <w:sz w:val="18"/>
                <w:szCs w:val="18"/>
                <w:lang w:val="en-US" w:eastAsia="zh-CN"/>
              </w:rPr>
              <w:t>5238</w:t>
            </w:r>
            <w:r>
              <w:rPr>
                <w:rFonts w:hint="default" w:ascii="Times New Roman" w:hAnsi="Times New Roman" w:cs="Times New Roman"/>
                <w:kern w:val="0"/>
                <w:sz w:val="18"/>
                <w:szCs w:val="18"/>
              </w:rPr>
              <w:t>的</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规定</w:t>
            </w:r>
          </w:p>
        </w:tc>
        <w:tc>
          <w:tcPr>
            <w:tcW w:w="13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r>
              <w:rPr>
                <w:rFonts w:hint="default" w:ascii="Times New Roman" w:hAnsi="Times New Roman" w:cs="Times New Roman"/>
                <w:kern w:val="0"/>
                <w:sz w:val="18"/>
                <w:szCs w:val="18"/>
              </w:rPr>
              <w:t>G</w:t>
            </w:r>
            <w:r>
              <w:rPr>
                <w:rFonts w:ascii="Times New Roman" w:hAnsi="Times New Roman" w:cs="Times New Roman"/>
                <w:kern w:val="0"/>
                <w:sz w:val="18"/>
                <w:szCs w:val="18"/>
              </w:rPr>
              <w:t xml:space="preserve">B/T </w:t>
            </w:r>
            <w:r>
              <w:rPr>
                <w:rFonts w:hint="eastAsia" w:cs="Times New Roman"/>
                <w:kern w:val="0"/>
                <w:sz w:val="18"/>
                <w:szCs w:val="18"/>
                <w:lang w:val="en-US" w:eastAsia="zh-CN"/>
              </w:rPr>
              <w:t>5238</w:t>
            </w:r>
            <w:r>
              <w:rPr>
                <w:rFonts w:hint="default" w:ascii="Times New Roman" w:hAnsi="Times New Roman" w:cs="Times New Roman"/>
                <w:kern w:val="0"/>
                <w:sz w:val="18"/>
                <w:szCs w:val="18"/>
              </w:rPr>
              <w:t>，分析检验结果</w:t>
            </w:r>
          </w:p>
        </w:tc>
        <w:tc>
          <w:tcPr>
            <w:tcW w:w="357"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6"/>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Times New Roman" w:hAnsi="Times New Roman" w:cs="Times New Roman"/>
                <w:kern w:val="0"/>
                <w:sz w:val="15"/>
                <w:szCs w:val="15"/>
              </w:rPr>
            </w:pPr>
            <w:r>
              <w:rPr>
                <w:rFonts w:hint="default" w:ascii="Times New Roman" w:hAnsi="Times New Roman" w:cs="Times New Roman"/>
                <w:kern w:val="0"/>
                <w:sz w:val="15"/>
                <w:szCs w:val="15"/>
                <w:vertAlign w:val="superscript"/>
                <w:lang w:val="en-US" w:eastAsia="zh-CN"/>
              </w:rPr>
              <w:t>a</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新鲜水的取水范围包括工业生产用水、辅助生产用水和附属生产用水，取水种类包括地表水、自来水、井水、中水等。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Times New Roman" w:hAnsi="Times New Roman" w:cs="Times New Roman"/>
                <w:kern w:val="0"/>
                <w:sz w:val="18"/>
                <w:szCs w:val="18"/>
              </w:rPr>
            </w:pPr>
            <w:r>
              <w:rPr>
                <w:rFonts w:hint="default" w:ascii="Times New Roman" w:hAnsi="Times New Roman" w:cs="Times New Roman"/>
                <w:kern w:val="0"/>
                <w:sz w:val="15"/>
                <w:szCs w:val="15"/>
                <w:vertAlign w:val="superscript"/>
                <w:lang w:val="en-US" w:eastAsia="zh-CN"/>
              </w:rPr>
              <w:t>b</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对于无固体废物排放的企业不评价固体废物排放指标，有固体废物排放的企业评价指标参照0.</w:t>
            </w:r>
            <w:r>
              <w:rPr>
                <w:rFonts w:hint="eastAsia" w:cs="Times New Roman"/>
                <w:kern w:val="0"/>
                <w:sz w:val="15"/>
                <w:szCs w:val="15"/>
                <w:lang w:val="en-US" w:eastAsia="zh-CN"/>
              </w:rPr>
              <w:t>55</w:t>
            </w:r>
            <w:r>
              <w:rPr>
                <w:rFonts w:ascii="Times New Roman" w:hAnsi="Times New Roman" w:cs="Times New Roman"/>
                <w:kern w:val="0"/>
                <w:sz w:val="15"/>
                <w:szCs w:val="15"/>
              </w:rPr>
              <w:t xml:space="preserve"> </w:t>
            </w:r>
            <w:r>
              <w:rPr>
                <w:rFonts w:ascii="Times New Roman" w:hAnsi="Times New Roman"/>
                <w:color w:val="000000"/>
                <w:kern w:val="0"/>
                <w:sz w:val="15"/>
                <w:szCs w:val="15"/>
              </w:rPr>
              <w:t>m</w:t>
            </w:r>
            <w:r>
              <w:rPr>
                <w:rFonts w:ascii="Times New Roman" w:hAnsi="Times New Roman"/>
                <w:color w:val="000000"/>
                <w:kern w:val="0"/>
                <w:sz w:val="15"/>
                <w:szCs w:val="15"/>
                <w:vertAlign w:val="superscript"/>
              </w:rPr>
              <w:t>3</w:t>
            </w:r>
            <w:r>
              <w:rPr>
                <w:rFonts w:ascii="Times New Roman" w:hAnsi="Times New Roman" w:cs="Times New Roman"/>
                <w:color w:val="000000"/>
                <w:kern w:val="0"/>
                <w:sz w:val="15"/>
                <w:szCs w:val="15"/>
              </w:rPr>
              <w:t>/</w:t>
            </w:r>
            <w:r>
              <w:rPr>
                <w:rFonts w:hint="default" w:ascii="Times New Roman" w:hAnsi="Times New Roman" w:cs="Times New Roman"/>
                <w:color w:val="000000"/>
                <w:kern w:val="0"/>
                <w:sz w:val="15"/>
                <w:szCs w:val="15"/>
              </w:rPr>
              <w:t>kg</w:t>
            </w:r>
            <w:r>
              <w:rPr>
                <w:rFonts w:hint="default" w:ascii="Times New Roman" w:hAnsi="Times New Roman" w:cs="Times New Roman"/>
                <w:kern w:val="0"/>
                <w:sz w:val="15"/>
                <w:szCs w:val="15"/>
              </w:rPr>
              <w:t>进行。</w:t>
            </w:r>
          </w:p>
        </w:tc>
      </w:tr>
    </w:tbl>
    <w:p>
      <w:pPr>
        <w:pStyle w:val="4"/>
        <w:spacing w:after="120"/>
        <w:rPr>
          <w:rFonts w:hint="default" w:ascii="Times New Roman" w:hAnsi="Times New Roman" w:eastAsia="宋体"/>
          <w:b/>
          <w:bCs w:val="0"/>
          <w:color w:val="auto"/>
          <w:spacing w:val="-4"/>
          <w:kern w:val="0"/>
          <w:sz w:val="24"/>
          <w:szCs w:val="24"/>
        </w:rPr>
      </w:pPr>
      <w:r>
        <w:rPr>
          <w:rFonts w:hint="default" w:ascii="Times New Roman" w:hAnsi="Times New Roman" w:eastAsia="宋体" w:cs="Times New Roman"/>
          <w:b/>
          <w:bCs w:val="0"/>
          <w:color w:val="auto"/>
          <w:spacing w:val="-4"/>
          <w:kern w:val="0"/>
          <w:sz w:val="24"/>
          <w:szCs w:val="24"/>
          <w:lang w:val="en-US" w:eastAsia="zh-CN"/>
        </w:rPr>
        <w:t>2.4.4 产品生命周期评价报告编制方法</w:t>
      </w:r>
    </w:p>
    <w:p>
      <w:pPr>
        <w:pStyle w:val="5"/>
        <w:numPr>
          <w:ilvl w:val="-1"/>
          <w:numId w:val="0"/>
        </w:numPr>
        <w:spacing w:before="156" w:after="156" w:line="312" w:lineRule="auto"/>
        <w:ind w:left="0"/>
        <w:rPr>
          <w:rFonts w:ascii="Times New Roman" w:eastAsia="宋体"/>
          <w:b/>
          <w:bCs/>
          <w:color w:val="auto"/>
          <w:spacing w:val="0"/>
          <w:kern w:val="2"/>
        </w:rPr>
      </w:pPr>
      <w:bookmarkStart w:id="57" w:name="_Toc513736017"/>
      <w:r>
        <w:rPr>
          <w:rFonts w:hint="default" w:ascii="Times New Roman" w:eastAsia="宋体"/>
          <w:b/>
          <w:bCs/>
          <w:color w:val="auto"/>
          <w:spacing w:val="0"/>
          <w:kern w:val="2"/>
          <w:lang w:val="en-US" w:eastAsia="zh-CN"/>
        </w:rPr>
        <w:t>2.4.4.1 生命周期评价方法</w:t>
      </w:r>
      <w:bookmarkEnd w:id="57"/>
    </w:p>
    <w:p>
      <w:pPr>
        <w:ind w:firstLine="480"/>
        <w:rPr>
          <w:rFonts w:hint="default"/>
          <w:sz w:val="24"/>
        </w:rPr>
      </w:pPr>
      <w:r>
        <w:rPr>
          <w:rFonts w:hint="default"/>
          <w:sz w:val="24"/>
        </w:rPr>
        <w:t>按照附录A中规定的生命周期评价方法和附录B中表格收集的数据，对</w:t>
      </w:r>
      <w:r>
        <w:rPr>
          <w:rFonts w:hint="default"/>
          <w:sz w:val="24"/>
          <w:lang w:val="en-US" w:eastAsia="zh-CN"/>
        </w:rPr>
        <w:t>锗单晶和锗单晶片</w:t>
      </w:r>
      <w:r>
        <w:rPr>
          <w:rFonts w:hint="default"/>
          <w:sz w:val="24"/>
        </w:rPr>
        <w:t>产品进行生命周期评价。</w:t>
      </w:r>
    </w:p>
    <w:p>
      <w:pPr>
        <w:spacing w:before="156" w:after="156" w:line="312" w:lineRule="auto"/>
        <w:ind w:left="0" w:firstLine="0" w:firstLineChars="0"/>
        <w:rPr>
          <w:rFonts w:hint="default" w:ascii="Times New Roman" w:hAnsi="Times New Roman" w:eastAsia="宋体" w:cs="Times New Roman"/>
          <w:b/>
          <w:bCs/>
          <w:color w:val="auto"/>
          <w:spacing w:val="0"/>
          <w:kern w:val="2"/>
          <w:sz w:val="24"/>
        </w:rPr>
      </w:pPr>
      <w:bookmarkStart w:id="58" w:name="_Toc513736018"/>
      <w:r>
        <w:rPr>
          <w:rFonts w:hint="default" w:ascii="Times New Roman" w:hAnsi="Times New Roman" w:eastAsia="宋体" w:cs="Times New Roman"/>
          <w:b/>
          <w:bCs/>
          <w:color w:val="auto"/>
          <w:spacing w:val="0"/>
          <w:kern w:val="2"/>
          <w:sz w:val="24"/>
          <w:lang w:val="en-US" w:eastAsia="zh-CN"/>
        </w:rPr>
        <w:t xml:space="preserve">2.4.4.2 </w:t>
      </w:r>
      <w:r>
        <w:rPr>
          <w:rFonts w:hint="default" w:ascii="Times New Roman" w:hAnsi="Times New Roman" w:eastAsia="宋体" w:cs="Times New Roman"/>
          <w:b/>
          <w:bCs/>
          <w:color w:val="auto"/>
          <w:spacing w:val="0"/>
          <w:kern w:val="2"/>
          <w:sz w:val="24"/>
        </w:rPr>
        <w:t>评价范围的确定</w:t>
      </w:r>
      <w:bookmarkEnd w:id="58"/>
    </w:p>
    <w:p>
      <w:pPr>
        <w:ind w:firstLine="480"/>
        <w:rPr>
          <w:sz w:val="24"/>
        </w:rPr>
      </w:pPr>
      <w:r>
        <w:rPr>
          <w:rFonts w:hint="default"/>
          <w:sz w:val="24"/>
          <w:lang w:val="en-US" w:eastAsia="zh-CN"/>
        </w:rPr>
        <w:t>锗单晶和锗单晶片产品生命周期的系统边界包括锗单晶和锗单晶片生产和锗单晶和锗单晶片包装阶段。锗单晶和锗单晶片生产包括锗精矿（YS/T 300）和再生锗原料（GB/T 23522）等的氯化蒸馏、粗四氯化锗复蒸、四氯化锗精馏提纯、高纯四氯化锗水解、高纯二氧化锗烘干、高纯二氧化锗氢还原、还原锗锭区熔提纯、锗单晶拉制、切片等工艺过程</w:t>
      </w:r>
      <w:r>
        <w:rPr>
          <w:rFonts w:hint="default"/>
          <w:sz w:val="24"/>
        </w:rPr>
        <w:t>。</w:t>
      </w:r>
    </w:p>
    <w:p>
      <w:pPr>
        <w:ind w:firstLine="480"/>
        <w:rPr>
          <w:sz w:val="24"/>
        </w:rPr>
      </w:pPr>
      <w:r>
        <w:rPr>
          <w:sz w:val="24"/>
        </w:rPr>
        <w:t>单元过程数据种类很多，应对数据进行适当的取舍，原则如下：</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bookmarkStart w:id="59" w:name="_Toc513736019"/>
      <w:r>
        <w:rPr>
          <w:rFonts w:hint="default" w:ascii="Times New Roman" w:eastAsia="宋体"/>
          <w:color w:val="auto"/>
          <w:spacing w:val="0"/>
          <w:kern w:val="2"/>
        </w:rPr>
        <w:t>能源的所有输入均列出；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原料的所有输入均列出；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辅料质量小于原料总耗0.1%的项目输入可忽略；</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lang w:val="en-US" w:eastAsia="zh-CN"/>
        </w:rPr>
        <w:t>对</w:t>
      </w:r>
      <w:r>
        <w:rPr>
          <w:rFonts w:hint="default" w:ascii="Times New Roman" w:eastAsia="宋体"/>
          <w:color w:val="auto"/>
          <w:spacing w:val="0"/>
          <w:kern w:val="2"/>
        </w:rPr>
        <w:t>大气、水体、土壤的各种排放物和废弃物均列出；</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小于固体废弃物排放总量1%的一般性固体废弃物可忽略；</w:t>
      </w:r>
    </w:p>
    <w:p>
      <w:pPr>
        <w:pStyle w:val="5"/>
        <w:numPr>
          <w:ilvl w:val="0"/>
          <w:numId w:val="3"/>
        </w:numPr>
        <w:adjustRightInd w:val="0"/>
        <w:snapToGrid w:val="0"/>
        <w:spacing w:beforeLines="0" w:afterLines="0" w:line="360" w:lineRule="auto"/>
        <w:ind w:left="817"/>
        <w:rPr>
          <w:rFonts w:hint="default" w:ascii="Times New Roman" w:eastAsia="宋体"/>
          <w:color w:val="auto"/>
          <w:spacing w:val="0"/>
          <w:kern w:val="2"/>
        </w:rPr>
      </w:pPr>
      <w:r>
        <w:rPr>
          <w:rFonts w:hint="default" w:ascii="Times New Roman" w:eastAsia="宋体"/>
          <w:color w:val="auto"/>
          <w:spacing w:val="0"/>
          <w:kern w:val="2"/>
        </w:rPr>
        <w:t>道路和厂房的基础设施、各工序的设备、厂区内人员及生活设施的消耗和排放，均忽略；</w:t>
      </w:r>
    </w:p>
    <w:p>
      <w:pPr>
        <w:pStyle w:val="5"/>
        <w:numPr>
          <w:ilvl w:val="0"/>
          <w:numId w:val="3"/>
        </w:numPr>
        <w:adjustRightInd w:val="0"/>
        <w:snapToGrid w:val="0"/>
        <w:spacing w:beforeLines="0" w:afterLines="0" w:line="360" w:lineRule="auto"/>
        <w:ind w:left="817"/>
        <w:rPr>
          <w:rFonts w:ascii="Times New Roman" w:eastAsia="宋体"/>
          <w:color w:val="auto"/>
          <w:spacing w:val="0"/>
          <w:kern w:val="2"/>
        </w:rPr>
      </w:pPr>
      <w:r>
        <w:rPr>
          <w:rFonts w:hint="default" w:ascii="Times New Roman" w:eastAsia="宋体"/>
          <w:color w:val="auto"/>
          <w:spacing w:val="0"/>
          <w:kern w:val="2"/>
        </w:rPr>
        <w:t>取舍原则不适用于有毒有害物质，任何有毒有害的材料和物质均应包含于清单中。</w:t>
      </w:r>
    </w:p>
    <w:p>
      <w:pPr>
        <w:pStyle w:val="5"/>
        <w:numPr>
          <w:ilvl w:val="-1"/>
          <w:numId w:val="0"/>
        </w:numPr>
        <w:spacing w:before="156" w:after="156" w:line="312" w:lineRule="auto"/>
        <w:ind w:left="0"/>
        <w:rPr>
          <w:rFonts w:hint="default" w:ascii="Times New Roman" w:eastAsia="宋体"/>
          <w:b/>
          <w:bCs/>
          <w:color w:val="auto"/>
          <w:spacing w:val="0"/>
          <w:kern w:val="2"/>
        </w:rPr>
      </w:pPr>
      <w:r>
        <w:rPr>
          <w:rFonts w:hint="default" w:ascii="Times New Roman" w:eastAsia="宋体"/>
          <w:b/>
          <w:bCs/>
          <w:color w:val="auto"/>
          <w:spacing w:val="0"/>
          <w:kern w:val="2"/>
          <w:lang w:val="en-US" w:eastAsia="zh-CN"/>
        </w:rPr>
        <w:t xml:space="preserve">2.4.4.3 </w:t>
      </w:r>
      <w:r>
        <w:rPr>
          <w:rFonts w:hint="default" w:ascii="Times New Roman" w:eastAsia="宋体"/>
          <w:b/>
          <w:bCs/>
          <w:color w:val="auto"/>
          <w:spacing w:val="0"/>
          <w:kern w:val="2"/>
        </w:rPr>
        <w:t>生命周期清单分析</w:t>
      </w:r>
      <w:bookmarkEnd w:id="59"/>
    </w:p>
    <w:p>
      <w:pPr>
        <w:ind w:firstLine="480"/>
        <w:rPr>
          <w:sz w:val="24"/>
        </w:rPr>
      </w:pPr>
      <w:r>
        <w:rPr>
          <w:rFonts w:hint="default"/>
          <w:sz w:val="24"/>
        </w:rPr>
        <w:t>对生命周期清单进行分析，明确数据范围，采集各个阶段的现场数据和背景数据，对采集的数据进行计算，合并相同类型数据，有多个产品的，还要基于“重量分配”原则对数据进行分配。</w:t>
      </w:r>
    </w:p>
    <w:p>
      <w:pPr>
        <w:pStyle w:val="5"/>
        <w:numPr>
          <w:ilvl w:val="-1"/>
          <w:numId w:val="0"/>
        </w:numPr>
        <w:spacing w:before="156" w:after="156" w:line="312" w:lineRule="auto"/>
        <w:ind w:left="0"/>
        <w:rPr>
          <w:rFonts w:ascii="Times New Roman" w:eastAsia="宋体"/>
          <w:b/>
          <w:color w:val="auto"/>
        </w:rPr>
      </w:pPr>
      <w:bookmarkStart w:id="60" w:name="_Toc513736020"/>
      <w:r>
        <w:rPr>
          <w:rFonts w:hint="default" w:ascii="Times New Roman" w:eastAsia="宋体"/>
          <w:b/>
          <w:color w:val="auto"/>
          <w:lang w:val="en-US" w:eastAsia="zh-CN"/>
        </w:rPr>
        <w:t xml:space="preserve">2.4.4.4 </w:t>
      </w:r>
      <w:r>
        <w:rPr>
          <w:rFonts w:hint="default" w:ascii="Times New Roman" w:eastAsia="宋体"/>
          <w:b/>
          <w:color w:val="auto"/>
        </w:rPr>
        <w:t>生命周期影响评价</w:t>
      </w:r>
      <w:bookmarkEnd w:id="60"/>
    </w:p>
    <w:p>
      <w:pPr>
        <w:ind w:firstLine="480"/>
        <w:rPr>
          <w:sz w:val="24"/>
        </w:rPr>
      </w:pPr>
      <w:r>
        <w:rPr>
          <w:rFonts w:hint="default"/>
          <w:sz w:val="24"/>
        </w:rPr>
        <w:t>对所整理的数据开展</w:t>
      </w:r>
      <w:r>
        <w:rPr>
          <w:rFonts w:hint="eastAsia"/>
          <w:sz w:val="24"/>
          <w:lang w:val="en-US" w:eastAsia="zh-CN"/>
        </w:rPr>
        <w:t>锗单晶和锗单晶片</w:t>
      </w:r>
      <w:r>
        <w:rPr>
          <w:rFonts w:hint="default"/>
          <w:sz w:val="24"/>
        </w:rPr>
        <w:t>产品生命周期影响评价，对潜在的影响进行评价。环境影响类型可分为资源消耗、气候变化、酸化、富营养化、光化学烟雾、固体废弃物以及可吸入颗粒物等，对影响类型的影响区域也进行了说明，具有全球影响的有资源消耗、气候变化，具有区域性影响的有酸化、富营养化等，具有局地性影响的有可吸入颗粒物和工业固体废弃物。</w:t>
      </w:r>
    </w:p>
    <w:p>
      <w:pPr>
        <w:ind w:firstLine="480"/>
        <w:rPr>
          <w:sz w:val="24"/>
        </w:rPr>
      </w:pPr>
      <w:r>
        <w:rPr>
          <w:rFonts w:hint="default"/>
          <w:sz w:val="24"/>
        </w:rPr>
        <w:t>气候变化、酸化、富营养化等影响类型的清单因子，根据</w:t>
      </w:r>
      <w:r>
        <w:rPr>
          <w:rFonts w:hint="default"/>
          <w:sz w:val="24"/>
          <w:lang w:val="en-US" w:eastAsia="zh-CN"/>
        </w:rPr>
        <w:t>锗单晶和锗单晶片</w:t>
      </w:r>
      <w:r>
        <w:rPr>
          <w:rFonts w:hint="default"/>
          <w:sz w:val="24"/>
        </w:rPr>
        <w:t>产品的实际情况和特点，分别选取了不同的物质。对于各个影响类别的特征化因子也进行了进一步说明，以便进行分类汇总，特征化因子见表2。资源消耗、可吸入颗粒物以及</w:t>
      </w:r>
      <w:r>
        <w:rPr>
          <w:sz w:val="24"/>
        </w:rPr>
        <w:t>工业固体废弃物影响因子较单一，则无需对其进行特征化处理。</w:t>
      </w:r>
    </w:p>
    <w:p>
      <w:pPr>
        <w:widowControl/>
        <w:adjustRightInd/>
        <w:snapToGrid/>
        <w:spacing w:line="240" w:lineRule="auto"/>
        <w:ind w:firstLine="0" w:firstLineChars="0"/>
        <w:jc w:val="center"/>
        <w:rPr>
          <w:rFonts w:eastAsia="黑体"/>
          <w:szCs w:val="21"/>
        </w:rPr>
      </w:pPr>
      <w:r>
        <w:rPr>
          <w:rFonts w:hint="default" w:eastAsia="黑体"/>
          <w:szCs w:val="21"/>
        </w:rPr>
        <w:t>表2 特征化因子</w:t>
      </w:r>
    </w:p>
    <w:tbl>
      <w:tblPr>
        <w:tblStyle w:val="16"/>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2570"/>
        <w:gridCol w:w="2572"/>
        <w:gridCol w:w="257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88"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bookmarkStart w:id="61" w:name="_Toc513736021"/>
            <w:r>
              <w:rPr>
                <w:rFonts w:hint="default" w:ascii="Times New Roman" w:hAnsi="Times New Roman"/>
                <w:sz w:val="18"/>
                <w:szCs w:val="18"/>
              </w:rPr>
              <w:t>影响类别</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单位</w:t>
            </w:r>
          </w:p>
        </w:tc>
        <w:tc>
          <w:tcPr>
            <w:tcW w:w="1327"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指标参数</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88"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资源消耗</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kg，Ge</w:t>
            </w:r>
            <w:r>
              <w:rPr>
                <w:rFonts w:ascii="Times New Roman" w:hAnsi="Times New Roman"/>
                <w:sz w:val="18"/>
                <w:szCs w:val="18"/>
                <w:vertAlign w:val="subscript"/>
              </w:rPr>
              <w:t>eq.</w:t>
            </w:r>
            <w:r>
              <w:rPr>
                <w:rFonts w:ascii="Times New Roman" w:hAnsi="Times New Roman"/>
                <w:sz w:val="18"/>
                <w:szCs w:val="18"/>
                <w:vertAlign w:val="baseline"/>
              </w:rPr>
              <w:t>/kg</w:t>
            </w:r>
          </w:p>
        </w:tc>
        <w:tc>
          <w:tcPr>
            <w:tcW w:w="1327"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Ge</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气候变化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kg，CO</w:t>
            </w:r>
            <w:r>
              <w:rPr>
                <w:rFonts w:ascii="Times New Roman" w:hAnsi="Times New Roman"/>
                <w:sz w:val="18"/>
                <w:szCs w:val="18"/>
                <w:vertAlign w:val="subscript"/>
              </w:rPr>
              <w:t>2 e</w:t>
            </w:r>
            <w:r>
              <w:rPr>
                <w:rFonts w:hint="default" w:ascii="Times New Roman" w:hAnsi="Times New Roman"/>
                <w:sz w:val="18"/>
                <w:szCs w:val="18"/>
                <w:vertAlign w:val="subscript"/>
                <w:lang w:val="en-US" w:eastAsia="zh-CN"/>
              </w:rPr>
              <w:t>q</w:t>
            </w:r>
            <w:r>
              <w:rPr>
                <w:rFonts w:ascii="Times New Roman" w:hAnsi="Times New Roman"/>
                <w:sz w:val="18"/>
                <w:szCs w:val="18"/>
                <w:vertAlign w:val="subscript"/>
              </w:rPr>
              <w:t>.</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CH</w:t>
            </w:r>
            <w:r>
              <w:rPr>
                <w:rFonts w:ascii="Times New Roman" w:hAnsi="Times New Roman"/>
                <w:sz w:val="18"/>
                <w:szCs w:val="18"/>
                <w:vertAlign w:val="subscript"/>
              </w:rPr>
              <w:t>4</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酸化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kg，SO</w:t>
            </w:r>
            <w:r>
              <w:rPr>
                <w:rFonts w:ascii="Times New Roman" w:hAnsi="Times New Roman"/>
                <w:sz w:val="18"/>
                <w:szCs w:val="18"/>
                <w:vertAlign w:val="subscript"/>
              </w:rPr>
              <w:t>2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HCl</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HF</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富营养化</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kg，PO</w:t>
            </w:r>
            <w:r>
              <w:rPr>
                <w:rFonts w:ascii="Times New Roman" w:hAnsi="Times New Roman"/>
                <w:sz w:val="18"/>
                <w:szCs w:val="18"/>
                <w:vertAlign w:val="subscript"/>
              </w:rPr>
              <w:t>4</w:t>
            </w:r>
            <w:r>
              <w:rPr>
                <w:rFonts w:ascii="Times New Roman" w:hAnsi="Times New Roman"/>
                <w:sz w:val="18"/>
                <w:szCs w:val="18"/>
                <w:vertAlign w:val="superscript"/>
              </w:rPr>
              <w:t>3-</w:t>
            </w:r>
            <w:r>
              <w:rPr>
                <w:rFonts w:ascii="Times New Roman" w:hAnsi="Times New Roman"/>
                <w:sz w:val="18"/>
                <w:szCs w:val="18"/>
                <w:vertAlign w:val="subscript"/>
              </w:rPr>
              <w:t xml:space="preserve">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COD</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hint="default" w:ascii="Times New Roman" w:hAnsi="Times New Roman"/>
                <w:sz w:val="18"/>
                <w:szCs w:val="18"/>
              </w:rPr>
              <w:t>光化学烟雾</w:t>
            </w:r>
          </w:p>
        </w:tc>
        <w:tc>
          <w:tcPr>
            <w:tcW w:w="1326"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kg，C</w:t>
            </w:r>
            <w:r>
              <w:rPr>
                <w:rFonts w:ascii="Times New Roman" w:hAnsi="Times New Roman"/>
                <w:sz w:val="18"/>
                <w:szCs w:val="18"/>
                <w:vertAlign w:val="subscript"/>
              </w:rPr>
              <w:t>2</w:t>
            </w:r>
            <w:r>
              <w:rPr>
                <w:rFonts w:ascii="Times New Roman" w:hAnsi="Times New Roman"/>
                <w:sz w:val="18"/>
                <w:szCs w:val="18"/>
              </w:rPr>
              <w:t>H</w:t>
            </w:r>
            <w:r>
              <w:rPr>
                <w:rFonts w:ascii="Times New Roman" w:hAnsi="Times New Roman"/>
                <w:sz w:val="18"/>
                <w:szCs w:val="18"/>
                <w:vertAlign w:val="subscript"/>
              </w:rPr>
              <w:t>4 eq.</w:t>
            </w:r>
            <w:r>
              <w:rPr>
                <w:rFonts w:ascii="Times New Roman" w:hAnsi="Times New Roman"/>
                <w:sz w:val="18"/>
                <w:szCs w:val="18"/>
                <w:vertAlign w:val="baseline"/>
              </w:rPr>
              <w:t>/kg</w:t>
            </w: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CO</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88"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sz w:val="18"/>
                <w:szCs w:val="18"/>
              </w:rPr>
            </w:pPr>
          </w:p>
        </w:tc>
        <w:tc>
          <w:tcPr>
            <w:tcW w:w="1327"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326" w:type="pct"/>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0.028</w:t>
            </w:r>
          </w:p>
        </w:tc>
      </w:tr>
    </w:tbl>
    <w:p>
      <w:pPr>
        <w:pStyle w:val="5"/>
        <w:numPr>
          <w:ilvl w:val="-1"/>
          <w:numId w:val="0"/>
        </w:numPr>
        <w:spacing w:before="156" w:after="156" w:line="312" w:lineRule="auto"/>
        <w:ind w:left="0"/>
        <w:rPr>
          <w:rFonts w:hint="default" w:ascii="Times New Roman" w:eastAsia="宋体"/>
          <w:b/>
          <w:color w:val="auto"/>
        </w:rPr>
      </w:pPr>
      <w:r>
        <w:rPr>
          <w:rFonts w:hint="default" w:ascii="Times New Roman" w:eastAsia="宋体"/>
          <w:b/>
          <w:color w:val="auto"/>
          <w:lang w:val="en-US" w:eastAsia="zh-CN"/>
        </w:rPr>
        <w:t xml:space="preserve">2.4.4.5 </w:t>
      </w:r>
      <w:r>
        <w:rPr>
          <w:rFonts w:hint="default" w:ascii="Times New Roman" w:eastAsia="宋体"/>
          <w:b/>
          <w:color w:val="auto"/>
        </w:rPr>
        <w:t>绿色设计改进方案</w:t>
      </w:r>
      <w:bookmarkEnd w:id="61"/>
    </w:p>
    <w:p>
      <w:pPr>
        <w:ind w:firstLine="480"/>
        <w:rPr>
          <w:sz w:val="24"/>
        </w:rPr>
      </w:pPr>
      <w:r>
        <w:rPr>
          <w:rFonts w:hint="default"/>
          <w:sz w:val="24"/>
        </w:rPr>
        <w:t>根据标准中评价的产品开展绿色设计改进。</w:t>
      </w:r>
    </w:p>
    <w:p>
      <w:pPr>
        <w:pStyle w:val="5"/>
        <w:numPr>
          <w:ilvl w:val="-1"/>
          <w:numId w:val="0"/>
        </w:numPr>
        <w:spacing w:before="156" w:after="156" w:line="312" w:lineRule="auto"/>
        <w:ind w:left="0"/>
        <w:rPr>
          <w:rFonts w:hint="default" w:ascii="Times New Roman" w:eastAsia="宋体"/>
          <w:b/>
          <w:color w:val="auto"/>
        </w:rPr>
      </w:pPr>
      <w:bookmarkStart w:id="62" w:name="_Toc513736022"/>
      <w:r>
        <w:rPr>
          <w:rFonts w:hint="default" w:ascii="Times New Roman" w:eastAsia="宋体"/>
          <w:b/>
          <w:color w:val="auto"/>
          <w:lang w:val="en-US" w:eastAsia="zh-CN"/>
        </w:rPr>
        <w:t xml:space="preserve">2.4.4.6 </w:t>
      </w:r>
      <w:r>
        <w:rPr>
          <w:rFonts w:hint="default" w:ascii="Times New Roman" w:eastAsia="宋体"/>
          <w:b/>
          <w:color w:val="auto"/>
        </w:rPr>
        <w:t>评价报告主要结论</w:t>
      </w:r>
      <w:bookmarkEnd w:id="62"/>
    </w:p>
    <w:p>
      <w:pPr>
        <w:ind w:firstLine="480"/>
        <w:rPr>
          <w:sz w:val="24"/>
        </w:rPr>
      </w:pPr>
      <w:r>
        <w:rPr>
          <w:rFonts w:hint="default"/>
          <w:sz w:val="24"/>
        </w:rPr>
        <w:t>根据前述内容，并根据评价结论初步判断该产品是否为绿色设计产品。</w:t>
      </w:r>
    </w:p>
    <w:p>
      <w:pPr>
        <w:pStyle w:val="4"/>
        <w:ind w:firstLineChars="0"/>
        <w:outlineLvl w:val="0"/>
        <w:rPr>
          <w:rFonts w:ascii="Times New Roman" w:hAnsi="Times New Roman" w:eastAsia="宋体" w:cs="Times New Roman"/>
          <w:b/>
          <w:spacing w:val="0"/>
          <w:kern w:val="2"/>
          <w:sz w:val="24"/>
          <w:szCs w:val="24"/>
        </w:rPr>
      </w:pPr>
      <w:r>
        <w:rPr>
          <w:rFonts w:hint="default" w:ascii="Times New Roman" w:hAnsi="Times New Roman" w:eastAsia="宋体" w:cs="Times New Roman"/>
          <w:b/>
          <w:spacing w:val="0"/>
          <w:kern w:val="2"/>
          <w:sz w:val="24"/>
          <w:szCs w:val="24"/>
          <w:lang w:val="en-US" w:eastAsia="zh-CN"/>
        </w:rPr>
        <w:t xml:space="preserve">2.5 </w:t>
      </w:r>
      <w:r>
        <w:rPr>
          <w:rFonts w:hint="default" w:ascii="Times New Roman" w:hAnsi="Times New Roman" w:eastAsia="宋体" w:cs="Times New Roman"/>
          <w:b/>
          <w:spacing w:val="0"/>
          <w:kern w:val="2"/>
          <w:sz w:val="24"/>
          <w:szCs w:val="24"/>
        </w:rPr>
        <w:t>其他</w:t>
      </w:r>
    </w:p>
    <w:p>
      <w:pPr>
        <w:spacing w:before="156" w:beforeLines="50" w:after="156" w:afterLines="50"/>
        <w:ind w:firstLine="420" w:firstLineChars="200"/>
        <w:jc w:val="left"/>
        <w:rPr>
          <w:rFonts w:ascii="宋体" w:hAnsi="宋体"/>
          <w:color w:val="FF0000"/>
          <w:szCs w:val="21"/>
        </w:rPr>
      </w:pPr>
      <w: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262255</wp:posOffset>
                </wp:positionV>
                <wp:extent cx="210185" cy="4421505"/>
                <wp:effectExtent l="4445" t="4445" r="13970" b="12700"/>
                <wp:wrapNone/>
                <wp:docPr id="13" name="左大括号 13"/>
                <wp:cNvGraphicFramePr/>
                <a:graphic xmlns:a="http://schemas.openxmlformats.org/drawingml/2006/main">
                  <a:graphicData uri="http://schemas.microsoft.com/office/word/2010/wordprocessingShape">
                    <wps:wsp>
                      <wps:cNvSpPr/>
                      <wps:spPr bwMode="auto">
                        <a:xfrm>
                          <a:off x="0" y="0"/>
                          <a:ext cx="210185" cy="442150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348.15pt;width:16.55pt;z-index:251663360;mso-width-relative:page;mso-height-relative:page;" filled="f" stroked="t" coordsize="21600,21600" o:gfxdata="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UBdefaAAAACgEAAA8AAAAAAAAAAQAg&#10;AAAAIgAAAGRycy9kb3ducmV2LnhtbFBLAQIUABQAAAAIAIdO4kBgGzc4RQIAAHUEAAAOAAAAAAAA&#10;AAEAIAAAACkBAABkcnMvZTJvRG9jLnhtbFBLBQYAAAAABgAGAFkBAADgBQAAAAA=&#10;" adj="413,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4198620</wp:posOffset>
                </wp:positionH>
                <wp:positionV relativeFrom="paragraph">
                  <wp:posOffset>245110</wp:posOffset>
                </wp:positionV>
                <wp:extent cx="208915" cy="4429125"/>
                <wp:effectExtent l="0" t="4445" r="19685" b="5080"/>
                <wp:wrapNone/>
                <wp:docPr id="12" name="右大括号 12"/>
                <wp:cNvGraphicFramePr/>
                <a:graphic xmlns:a="http://schemas.openxmlformats.org/drawingml/2006/main">
                  <a:graphicData uri="http://schemas.microsoft.com/office/word/2010/wordprocessingShape">
                    <wps:wsp>
                      <wps:cNvSpPr/>
                      <wps:spPr bwMode="auto">
                        <a:xfrm>
                          <a:off x="0" y="0"/>
                          <a:ext cx="208915" cy="442912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348.75pt;width:16.45pt;z-index:251664384;mso-width-relative:page;mso-height-relative:page;" filled="f" stroked="t" coordsize="21600,21600" o:gfxdata="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qhqFNoAAAAKAQAADwAAAAAAAAAB&#10;ACAAAAAiAAAAZHJzL2Rvd25yZXYueG1sUEsBAhQAFAAAAAgAh07iQGBC9AdHAgAAdgQAAA4AAAAA&#10;AAAAAQAgAAAAKQEAAGRycy9lMm9Eb2MueG1sUEsFBgAAAAAGAAYAWQEAAOIFAAAAAA==&#10;" adj="344,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1312;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N8hli5R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073ddkAAAAJAQAA&#10;DwAAAAAAAAABACAAAAAiAAAAZHJzL2Rvd25yZXYueG1sUEsBAhQAFAAAAAgAh07iQN8hli5RAgAA&#10;oQQAAA4AAAAAAAAAAQAgAAAAKAEAAGRycy9lMm9Eb2MueG1sUEsFBgAAAAAGAAYAWQEAAOsFAAAA&#10;AA==&#10;">
                <v:fill on="t" focussize="0,0"/>
                <v:stroke color="#000000" miterlimit="8" joinstyle="miter"/>
                <v:imagedata o:title=""/>
                <o:lock v:ext="edit" aspectratio="f"/>
                <v:textbox>
                  <w:txbxContent>
                    <w:p>
                      <w:pPr>
                        <w:pStyle w:val="14"/>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48895</wp:posOffset>
                </wp:positionV>
                <wp:extent cx="4949825" cy="4739640"/>
                <wp:effectExtent l="5080" t="5080" r="17145" b="1778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4739640"/>
                        </a:xfrm>
                        <a:prstGeom prst="rect">
                          <a:avLst/>
                        </a:prstGeom>
                        <a:no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373.2pt;width:389.75pt;z-index:251660288;mso-width-relative:page;mso-height-relative:page;" filled="f" stroked="t" coordsize="21600,21600" o:gfxdata="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FLVVnWAAAACAEAAA8AAAAAAAAAAQAgAAAAIgAA&#10;AGRycy9kb3ducmV2LnhtbFBLAQIUABQAAAAIAIdO4kCr1tQPQwIAAH8EAAAOAAAAAAAAAAEAIAAA&#10;ACUBAABkcnMvZTJvRG9jLnhtbFBLBQYAAAAABgAGAFkBAADaBQAAAAA=&#10;">
                <v:fill on="f" focussize="0,0"/>
                <v:stroke color="#000000" miterlimit="8" joinstyle="miter"/>
                <v:imagedata o:title=""/>
                <o:lock v:ext="edit" rotation="t" aspectratio="t"/>
                <v:textbox>
                  <w:txbxContent>
                    <w:p>
                      <w:pPr>
                        <w:jc w:val="center"/>
                      </w:pPr>
                    </w:p>
                  </w:txbxContent>
                </v:textbox>
              </v:rect>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3251835</wp:posOffset>
                </wp:positionH>
                <wp:positionV relativeFrom="paragraph">
                  <wp:posOffset>196215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15.45pt;height:19.9pt;width:0.1pt;z-index:251665408;mso-width-relative:page;mso-height-relative:page;" filled="f" stroked="t" coordsize="21600,21600" o:gfxdata="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ebbXZAAAACQEAAA8AAAAA&#10;AAAAAQAgAAAAIgAAAGRycy9kb3ducmV2LnhtbFBLAQIUABQAAAAIAIdO4kCZ8qwUEwIAAAoEAAAO&#10;AAAAAAAAAAEAIAAAACg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74624" behindDoc="0" locked="0" layoutInCell="1" allowOverlap="1">
                <wp:simplePos x="0" y="0"/>
                <wp:positionH relativeFrom="column">
                  <wp:posOffset>2319020</wp:posOffset>
                </wp:positionH>
                <wp:positionV relativeFrom="paragraph">
                  <wp:posOffset>14605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1.15pt;height:24.75pt;width:147pt;z-index:251674624;mso-width-relative:page;mso-height-relative:page;" fillcolor="#FFFFFF" filled="t" stroked="t" coordsize="21600,21600" o:gfxdata="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xvinNgAAAAI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pPr>
                        <w:pStyle w:val="14"/>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6432" behindDoc="0" locked="0" layoutInCell="1" allowOverlap="1">
                <wp:simplePos x="0" y="0"/>
                <wp:positionH relativeFrom="column">
                  <wp:posOffset>535305</wp:posOffset>
                </wp:positionH>
                <wp:positionV relativeFrom="paragraph">
                  <wp:posOffset>138430</wp:posOffset>
                </wp:positionV>
                <wp:extent cx="894715" cy="332740"/>
                <wp:effectExtent l="4445" t="4445" r="15240" b="5715"/>
                <wp:wrapNone/>
                <wp:docPr id="1" name="流程图: 过程 1"/>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10.9pt;height:26.2pt;width:70.45pt;z-index:251666432;mso-width-relative:page;mso-height-relative:page;" fillcolor="#FFFFFF" filled="t" stroked="t" coordsize="21600,21600" o:gfxdata="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4M6PL1wAAAAgB&#10;AAAPAAAAAAAAAAEAIAAAACIAAABkcnMvZG93bnJldi54bWxQSwECFAAUAAAACACHTuJALQMamVUC&#10;AACeBAAADgAAAAAAAAABACAAAAAmAQAAZHJzL2Uyb0RvYy54bWxQSwUGAAAAAAYABgBZAQAA7QUA&#10;AAAA&#10;">
                <v:fill on="t" focussize="0,0"/>
                <v:stroke color="#000000" miterlimit="8" joinstyle="miter"/>
                <v:imagedata o:title=""/>
                <o:lock v:ext="edit" aspectratio="f"/>
                <v:textbox>
                  <w:txbxContent>
                    <w:p>
                      <w:pPr>
                        <w:pStyle w:val="14"/>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v:textbox>
              </v:shape>
            </w:pict>
          </mc:Fallback>
        </mc:AlternateContent>
      </w:r>
      <w:r>
        <w:rPr>
          <w:szCs w:val="21"/>
        </w:rPr>
        <mc:AlternateContent>
          <mc:Choice Requires="wps">
            <w:drawing>
              <wp:anchor distT="0" distB="0" distL="114300" distR="114300" simplePos="0" relativeHeight="251677696" behindDoc="0" locked="0" layoutInCell="1" allowOverlap="1">
                <wp:simplePos x="0" y="0"/>
                <wp:positionH relativeFrom="column">
                  <wp:posOffset>3255645</wp:posOffset>
                </wp:positionH>
                <wp:positionV relativeFrom="paragraph">
                  <wp:posOffset>147320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11.6pt;height:19.9pt;width:0.1pt;z-index:251677696;mso-width-relative:page;mso-height-relative:page;" filled="f" stroked="t" coordsize="21600,21600" o:gfxdata="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i4+/ZAAAACQEAAA8AAAAA&#10;AAAAAQAgAAAAIgAAAGRycy9kb3ducmV2LnhtbFBLAQIUABQAAAAIAIdO4kDDHg2QEwIAAAoEAAAO&#10;AAAAAAAAAAEAIAAAACg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67456" behindDoc="0" locked="0" layoutInCell="1" allowOverlap="1">
                <wp:simplePos x="0" y="0"/>
                <wp:positionH relativeFrom="column">
                  <wp:posOffset>1430020</wp:posOffset>
                </wp:positionH>
                <wp:positionV relativeFrom="paragraph">
                  <wp:posOffset>109220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8.6pt;height:0pt;width:41.45pt;z-index:251667456;mso-width-relative:page;mso-height-relative:page;" filled="f" stroked="t" coordsize="21600,21600" o:gfxdata="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iukAdgAAAAJAQAADwAAAAAA&#10;AAABACAAAAAiAAAAZHJzL2Rvd25yZXYueG1sUEsBAhQAFAAAAAgAh07iQPAQWTUTAgAA+wMAAA4A&#10;AAAAAAAAAQAgAAAAJw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2328545</wp:posOffset>
                </wp:positionH>
                <wp:positionV relativeFrom="paragraph">
                  <wp:posOffset>188595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4.85pt;height:36.95pt;width:147pt;z-index:251675648;mso-width-relative:page;mso-height-relative:page;" fillcolor="#FFFFFF" filled="t" stroked="t" coordsize="21600,21600" o:gfxdata="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PfAsnZAAAA&#10;Cg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pPr>
                        <w:pStyle w:val="14"/>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130810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10.3pt;height:26.2pt;width:70.45pt;z-index:251668480;mso-width-relative:page;mso-height-relative:page;" fillcolor="#FFFFFF" filled="t" stroked="t" coordsize="21600,21600" o:gfxdata="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3rnd31gAAAAgB&#10;AAAPAAAAAAAAAAEAIAAAACIAAABkcnMvZG93bnJldi54bWxQSwECFAAUAAAACACHTuJAgXk1rlYC&#10;AACgBAAADgAAAAAAAAABACAAAAAlAQAAZHJzL2Uyb0RvYy54bWxQSwUGAAAAAAYABgBZAQAA7QUA&#10;AAAA&#10;">
                <v:fill on="t" focussize="0,0"/>
                <v:stroke color="#000000" miterlimit="8" joinstyle="miter"/>
                <v:imagedata o:title=""/>
                <o:lock v:ext="edit" aspectratio="f"/>
                <v:textbo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9504" behindDoc="0" locked="0" layoutInCell="1" allowOverlap="1">
                <wp:simplePos x="0" y="0"/>
                <wp:positionH relativeFrom="column">
                  <wp:posOffset>1428115</wp:posOffset>
                </wp:positionH>
                <wp:positionV relativeFrom="paragraph">
                  <wp:posOffset>102235</wp:posOffset>
                </wp:positionV>
                <wp:extent cx="526415" cy="0"/>
                <wp:effectExtent l="0" t="38100" r="698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8.05pt;height:0pt;width:41.45pt;z-index:251669504;mso-width-relative:page;mso-height-relative:page;" filled="f" stroked="t" coordsize="21600,21600" o:gfxdata="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Jgz&#10;Jzp68Zv31z/ffbr59vXHx+tf3z8k+8tnRn4Sq/ehpJy5u8BEV27cpT8H+TYwB/NWuEbnpq+2noBG&#10;KaP4KyUdgqeSy/4lKIoRqwhZuU2NXYIkTdgmP9D2+EB6E5mky8n45Ml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8XMrrYAAAACQEAAA8AAAAA&#10;AAAAAQAgAAAAIgAAAGRycy9kb3ducmV2LnhtbFBLAQIUABQAAAAIAIdO4kDZ+YUD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4481830</wp:posOffset>
                </wp:positionH>
                <wp:positionV relativeFrom="paragraph">
                  <wp:posOffset>225425</wp:posOffset>
                </wp:positionV>
                <wp:extent cx="894715" cy="332740"/>
                <wp:effectExtent l="4445" t="4445" r="15240" b="571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17.75pt;height:26.2pt;width:70.45pt;z-index:251662336;mso-width-relative:page;mso-height-relative:page;" fillcolor="#FFFFFF" filled="t" stroked="t" coordsize="21600,21600" o:gfxdata="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MQBP9gAAAAI&#10;AQAADwAAAAAAAAABACAAAAAiAAAAZHJzL2Rvd25yZXYueG1sUEsBAhQAFAAAAAgAh07iQJIbYj5V&#10;AgAAngQAAA4AAAAAAAAAAQAgAAAAJwEAAGRycy9lMm9Eb2MueG1sUEsFBgAAAAAGAAYAWQEAAO4F&#10;AAAAAA==&#10;">
                <v:fill on="t" focussize="0,0"/>
                <v:stroke color="#000000" miterlimit="8" joinstyle="miter"/>
                <v:imagedata o:title=""/>
                <o:lock v:ext="edit" aspectratio="f"/>
                <v:textbox>
                  <w:txbxContent>
                    <w:p>
                      <w:pPr>
                        <w:pStyle w:val="14"/>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3259455</wp:posOffset>
                </wp:positionH>
                <wp:positionV relativeFrom="paragraph">
                  <wp:posOffset>8255</wp:posOffset>
                </wp:positionV>
                <wp:extent cx="1270" cy="252730"/>
                <wp:effectExtent l="37465" t="0" r="37465" b="13970"/>
                <wp:wrapNone/>
                <wp:docPr id="34" name="直接箭头连接符 3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0.65pt;height:19.9pt;width:0.1pt;z-index:251678720;mso-width-relative:page;mso-height-relative:page;" filled="f" stroked="t" coordsize="21600,21600" o:gfxdata="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P3nI&#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neM5vYAAAACAEAAA8AAAAA&#10;AAAAAQAgAAAAIgAAAGRycy9kb3ducmV2LnhtbFBLAQIUABQAAAAIAIdO4kCmzkZUFAIAAAoEAAAO&#10;AAAAAAAAAAEAIAAAACc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53340</wp:posOffset>
                </wp:positionV>
                <wp:extent cx="1866900" cy="314325"/>
                <wp:effectExtent l="5080" t="4445" r="13970" b="5080"/>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4.2pt;height:24.75pt;width:147pt;z-index:251676672;mso-width-relative:page;mso-height-relative:page;" fillcolor="#FFFFFF" filled="t" stroked="t" coordsize="21600,21600" o:gfxdata="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80uzdgAAAAIAQAA&#10;DwAAAAAAAAABACAAAAAiAAAAZHJzL2Rvd25yZXYueG1sUEsBAhQAFAAAAAgAh07iQFzvhalSAgAA&#10;oQQAAA4AAAAAAAAAAQAgAAAAJwEAAGRycy9lMm9Eb2MueG1sUEsFBgAAAAAGAAYAWQEAAOsFAAAA&#10;AA==&#10;">
                <v:fill on="t" focussize="0,0"/>
                <v:stroke color="#000000" miterlimit="8" joinstyle="miter"/>
                <v:imagedata o:title=""/>
                <o:lock v:ext="edit" aspectratio="f"/>
                <v:textbox>
                  <w:txbxContent>
                    <w:p>
                      <w:pPr>
                        <w:pStyle w:val="14"/>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0528" behindDoc="0" locked="0" layoutInCell="1" allowOverlap="1">
                <wp:simplePos x="0" y="0"/>
                <wp:positionH relativeFrom="column">
                  <wp:posOffset>544830</wp:posOffset>
                </wp:positionH>
                <wp:positionV relativeFrom="paragraph">
                  <wp:posOffset>62230</wp:posOffset>
                </wp:positionV>
                <wp:extent cx="894715" cy="332740"/>
                <wp:effectExtent l="4445" t="4445" r="15240" b="57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4.9pt;height:26.2pt;width:70.45pt;z-index:251670528;mso-width-relative:page;mso-height-relative:page;" fillcolor="#FFFFFF" filled="t" stroked="t" coordsize="21600,21600" o:gfxdata="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vLOTLYAAAA&#10;CAEAAA8AAAAAAAAAAQAgAAAAIgAAAGRycy9kb3ducmV2LnhtbFBLAQIUABQAAAAIAIdO4kAyZBRp&#10;VgIAAKAEAAAOAAAAAAAAAAEAIAAAACcBAABkcnMvZTJvRG9jLnhtbFBLBQYAAAAABgAGAFkBAADv&#10;BQAAAAA=&#10;">
                <v:fill on="t" focussize="0,0"/>
                <v:stroke color="#000000" miterlimit="8" joinstyle="miter"/>
                <v:imagedata o:title=""/>
                <o:lock v:ext="edit" aspectratio="f"/>
                <v:textbo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v:textbox>
              </v:shape>
            </w:pict>
          </mc:Fallback>
        </mc:AlternateContent>
      </w:r>
      <w:r>
        <w:rPr>
          <w:szCs w:val="21"/>
        </w:rPr>
        <mc:AlternateContent>
          <mc:Choice Requires="wps">
            <w:drawing>
              <wp:anchor distT="0" distB="0" distL="114300" distR="114300" simplePos="0" relativeHeight="251682816" behindDoc="0" locked="0" layoutInCell="1" allowOverlap="1">
                <wp:simplePos x="0" y="0"/>
                <wp:positionH relativeFrom="column">
                  <wp:posOffset>3259455</wp:posOffset>
                </wp:positionH>
                <wp:positionV relativeFrom="paragraph">
                  <wp:posOffset>179070</wp:posOffset>
                </wp:positionV>
                <wp:extent cx="1270" cy="252730"/>
                <wp:effectExtent l="37465" t="0" r="37465" b="13970"/>
                <wp:wrapNone/>
                <wp:docPr id="10" name="直接箭头连接符 10"/>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14.1pt;height:19.9pt;width:0.1pt;z-index:251682816;mso-width-relative:page;mso-height-relative:page;" filled="f" stroked="t" coordsize="21600,21600" o:gfxdata="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CIW8tkAAAAJAQAADwAAAAAA&#10;AAABACAAAAAiAAAAZHJzL2Rvd25yZXYueG1sUEsBAhQAFAAAAAgAh07iQNWEqjgSAgAACgQAAA4A&#10;AAAAAAAAAQAgAAAAKAEAAGRycy9lMm9Eb2MueG1sUEsFBgAAAAAGAAYAWQEAAKwFA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33020</wp:posOffset>
                </wp:positionV>
                <wp:extent cx="526415" cy="0"/>
                <wp:effectExtent l="0" t="38100" r="6985"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2.6pt;height:0pt;width:41.45pt;z-index:251671552;mso-width-relative:page;mso-height-relative:page;" filled="f" stroked="t" coordsize="21600,21600" o:gfxdata="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IQz&#10;Jzp68Zv31z/ffbr59vXHx+tf3z8k+8tnRn4Sq/ehpJy5u8BEV27cpT8H+TYwB/NWuEbnpq+2noBG&#10;KaP4KyUdgqeSy/4lKIoRqwhZuU2NXYIkTdgmP9D2+EB6E5mky8n45PF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WkGnYAAAACQEAAA8AAAAA&#10;AAAAAQAgAAAAIgAAAGRycy9kb3ducmV2LnhtbFBLAQIUABQAAAAIAIdO4kCLKzxu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2328545</wp:posOffset>
                </wp:positionH>
                <wp:positionV relativeFrom="paragraph">
                  <wp:posOffset>225425</wp:posOffset>
                </wp:positionV>
                <wp:extent cx="1866900" cy="314325"/>
                <wp:effectExtent l="5080" t="4445" r="13970" b="5080"/>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7.75pt;height:24.75pt;width:147pt;z-index:251679744;mso-width-relative:page;mso-height-relative:page;" fillcolor="#FFFFFF" filled="t" stroked="t" coordsize="21600,21600" o:gfxdata="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WZVfk2AAAAAkBAAAP&#10;AAAAAAAAAAEAIAAAACIAAABkcnMvZG93bnJldi54bWxQSwECFAAUAAAACACHTuJAyciKRlECAACf&#10;BAAADgAAAAAAAAABACAAAAAnAQAAZHJzL2Uyb0RvYy54bWxQSwUGAAAAAAYABgBZAQAA6gUAAAAA&#10;">
                <v:fill on="t" focussize="0,0"/>
                <v:stroke color="#000000" miterlimit="8" joinstyle="miter"/>
                <v:imagedata o:title=""/>
                <o:lock v:ext="edit" aspectratio="f"/>
                <v:textbox>
                  <w:txbxContent>
                    <w:p>
                      <w:pPr>
                        <w:pStyle w:val="14"/>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54610</wp:posOffset>
                </wp:positionV>
                <wp:extent cx="894715" cy="332740"/>
                <wp:effectExtent l="4445" t="4445" r="15240" b="5715"/>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4.3pt;height:26.2pt;width:70.45pt;z-index:251672576;mso-width-relative:page;mso-height-relative:page;" fillcolor="#FFFFFF" filled="t" stroked="t" coordsize="21600,21600" o:gfxdata="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grV89cAAAAI&#10;AQAADwAAAAAAAAABACAAAAAiAAAAZHJzL2Rvd25yZXYueG1sUEsBAhQAFAAAAAgAh07iQF9JLnVW&#10;AgAAoAQAAA4AAAAAAAAAAQAgAAAAJgEAAGRycy9lMm9Eb2MueG1sUEsFBgAAAAAGAAYAWQEAAO4F&#10;AAAAAA==&#10;">
                <v:fill on="t" focussize="0,0"/>
                <v:stroke color="#000000" miterlimit="8" joinstyle="miter"/>
                <v:imagedata o:title=""/>
                <o:lock v:ext="edit" aspectratio="f"/>
                <v:textbox>
                  <w:txbxContent>
                    <w:p>
                      <w:pPr>
                        <w:pStyle w:val="14"/>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v:textbox>
              </v:shape>
            </w:pict>
          </mc:Fallback>
        </mc:AlternateContent>
      </w:r>
      <w:r>
        <w:rPr>
          <w:szCs w:val="21"/>
        </w:rPr>
        <mc:AlternateContent>
          <mc:Choice Requires="wps">
            <w:drawing>
              <wp:anchor distT="0" distB="0" distL="114300" distR="114300" simplePos="0" relativeHeight="251683840" behindDoc="0" locked="0" layoutInCell="1" allowOverlap="1">
                <wp:simplePos x="0" y="0"/>
                <wp:positionH relativeFrom="column">
                  <wp:posOffset>3259455</wp:posOffset>
                </wp:positionH>
                <wp:positionV relativeFrom="paragraph">
                  <wp:posOffset>132080</wp:posOffset>
                </wp:positionV>
                <wp:extent cx="1270" cy="252730"/>
                <wp:effectExtent l="37465" t="0" r="37465" b="13970"/>
                <wp:wrapNone/>
                <wp:docPr id="43" name="直接箭头连接符 4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10.4pt;height:19.9pt;width:0.1pt;z-index:251683840;mso-width-relative:page;mso-height-relative:page;" filled="f" stroked="t" coordsize="21600,21600" o:gfxdata="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f3jC&#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Gft3YAAAACQEAAA8AAAAA&#10;AAAAAQAgAAAAIgAAAGRycy9kb3ducmV2LnhtbFBLAQIUABQAAAAIAIdO4kDEwBGtFAIAAAoEAAAO&#10;AAAAAAAAAAEAIAAAACc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73600" behindDoc="0" locked="0" layoutInCell="1" allowOverlap="1">
                <wp:simplePos x="0" y="0"/>
                <wp:positionH relativeFrom="column">
                  <wp:posOffset>1437640</wp:posOffset>
                </wp:positionH>
                <wp:positionV relativeFrom="paragraph">
                  <wp:posOffset>25400</wp:posOffset>
                </wp:positionV>
                <wp:extent cx="526415" cy="0"/>
                <wp:effectExtent l="0" t="38100" r="6985" b="381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2pt;height:0pt;width:41.45pt;z-index:251673600;mso-width-relative:page;mso-height-relative:page;" filled="f" stroked="t" coordsize="21600,21600" o:gfxdata="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Wce3HYAAAACQEAAA8AAAAA&#10;AAAAAQAgAAAAIgAAAGRycy9kb3ducmV2LnhtbFBLAQIUABQAAAAIAIdO4kBUtCru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2323465</wp:posOffset>
                </wp:positionH>
                <wp:positionV relativeFrom="paragraph">
                  <wp:posOffset>180340</wp:posOffset>
                </wp:positionV>
                <wp:extent cx="1866900" cy="314325"/>
                <wp:effectExtent l="5080" t="4445" r="13970" b="508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95pt;margin-top:14.2pt;height:24.75pt;width:147pt;z-index:251680768;mso-width-relative:page;mso-height-relative:page;" fillcolor="#FFFFFF" filled="t" stroked="t" coordsize="21600,21600" o:gfxdata="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cetkAAAAJAQAA&#10;DwAAAAAAAAABACAAAAAiAAAAZHJzL2Rvd25yZXYueG1sUEsBAhQAFAAAAAgAh07iQO52991RAgAA&#10;nwQAAA4AAAAAAAAAAQAgAAAAKAEAAGRycy9lMm9Eb2MueG1sUEsFBgAAAAAGAAYAWQEAAOsFAAAA&#10;AA==&#10;">
                <v:fill on="t" focussize="0,0"/>
                <v:stroke color="#000000" miterlimit="8" joinstyle="miter"/>
                <v:imagedata o:title=""/>
                <o:lock v:ext="edit" aspectratio="f"/>
                <v:textbox>
                  <w:txbxContent>
                    <w:p>
                      <w:pPr>
                        <w:pStyle w:val="14"/>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r>
        <mc:AlternateContent>
          <mc:Choice Requires="wps">
            <w:drawing>
              <wp:anchor distT="0" distB="0" distL="114300" distR="114300" simplePos="0" relativeHeight="251681792" behindDoc="0" locked="0" layoutInCell="1" allowOverlap="1">
                <wp:simplePos x="0" y="0"/>
                <wp:positionH relativeFrom="column">
                  <wp:posOffset>2318385</wp:posOffset>
                </wp:positionH>
                <wp:positionV relativeFrom="paragraph">
                  <wp:posOffset>271780</wp:posOffset>
                </wp:positionV>
                <wp:extent cx="1866900" cy="314325"/>
                <wp:effectExtent l="5080" t="4445" r="13970" b="5080"/>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55pt;margin-top:21.4pt;height:24.75pt;width:147pt;z-index:251681792;mso-width-relative:page;mso-height-relative:page;" fillcolor="#FFFFFF" filled="t" stroked="t" coordsize="21600,21600" o:gfxdata="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ZAS2QAAAAkBAAAP&#10;AAAAAAAAAAEAIAAAACIAAABkcnMvZG93bnJldi54bWxQSwECFAAUAAAACACHTuJAxrIAq1ACAACf&#10;BAAADgAAAAAAAAABACAAAAAoAQAAZHJzL2Uyb0RvYy54bWxQSwUGAAAAAAYABgBZAQAA6gUAAAAA&#10;">
                <v:fill on="t" focussize="0,0"/>
                <v:stroke color="#000000" miterlimit="8" joinstyle="miter"/>
                <v:imagedata o:title=""/>
                <o:lock v:ext="edit" aspectratio="f"/>
                <v:textbox>
                  <w:txbxContent>
                    <w:p>
                      <w:pPr>
                        <w:pStyle w:val="14"/>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txbxContent>
                </v:textbox>
              </v:shape>
            </w:pict>
          </mc:Fallback>
        </mc:AlternateContent>
      </w:r>
      <w:r>
        <w:rPr>
          <w:szCs w:val="21"/>
        </w:rPr>
        <mc:AlternateContent>
          <mc:Choice Requires="wps">
            <w:drawing>
              <wp:anchor distT="0" distB="0" distL="114300" distR="114300" simplePos="0" relativeHeight="251684864" behindDoc="0" locked="0" layoutInCell="1" allowOverlap="1">
                <wp:simplePos x="0" y="0"/>
                <wp:positionH relativeFrom="column">
                  <wp:posOffset>3259455</wp:posOffset>
                </wp:positionH>
                <wp:positionV relativeFrom="paragraph">
                  <wp:posOffset>6350</wp:posOffset>
                </wp:positionV>
                <wp:extent cx="1270" cy="252730"/>
                <wp:effectExtent l="37465" t="0" r="37465" b="13970"/>
                <wp:wrapNone/>
                <wp:docPr id="44" name="直接箭头连接符 4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0.5pt;height:19.9pt;width:0.1pt;z-index:251684864;mso-width-relative:page;mso-height-relative:page;" filled="f" stroked="t" coordsize="21600,21600" o:gfxdata="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u8D92QAAAAkBAAAPAAAA&#10;AAAAAAEAIAAAACIAAABkcnMvZG93bnJldi54bWxQSwECFAAUAAAACACHTuJAoRBaaRQCAAAKBAAA&#10;DgAAAAAAAAABACAAAAAoAQAAZHJzL2Uyb0RvYy54bWxQSwUGAAAAAAYABgBZAQAArgUAAAAA&#10;">
                <v:fill on="f" focussize="0,0"/>
                <v:stroke color="#000000 [321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eastAsia="黑体"/>
          <w:szCs w:val="21"/>
        </w:rPr>
      </w:pPr>
      <w:r>
        <w:rPr>
          <w:rFonts w:hint="default" w:eastAsia="黑体"/>
          <w:szCs w:val="21"/>
        </w:rPr>
        <w:t>图</w:t>
      </w:r>
      <w:r>
        <w:rPr>
          <w:rFonts w:eastAsia="黑体"/>
          <w:szCs w:val="21"/>
        </w:rPr>
        <w:t xml:space="preserve">2  </w:t>
      </w:r>
      <w:r>
        <w:rPr>
          <w:rFonts w:hint="eastAsia" w:eastAsia="黑体"/>
          <w:szCs w:val="21"/>
          <w:lang w:val="en-US" w:eastAsia="zh-CN"/>
        </w:rPr>
        <w:t>锗单晶和锗单晶片</w:t>
      </w:r>
      <w:r>
        <w:rPr>
          <w:rFonts w:hint="default" w:eastAsia="黑体"/>
          <w:szCs w:val="21"/>
        </w:rPr>
        <w:t>产品生命周期评价的系统边界</w:t>
      </w:r>
    </w:p>
    <w:p>
      <w:pPr>
        <w:pStyle w:val="3"/>
        <w:rPr>
          <w:rFonts w:eastAsia="宋体"/>
          <w:sz w:val="24"/>
          <w:szCs w:val="24"/>
        </w:rPr>
      </w:pPr>
      <w:bookmarkStart w:id="63" w:name="_Toc497309549"/>
      <w:bookmarkStart w:id="64" w:name="_Toc511234398"/>
      <w:r>
        <w:rPr>
          <w:rFonts w:hint="eastAsia" w:ascii="Times New Roman" w:hAnsi="Times New Roman" w:eastAsia="宋体" w:cs="Times New Roman"/>
          <w:sz w:val="24"/>
          <w:szCs w:val="21"/>
          <w:highlight w:val="none"/>
          <w:lang w:val="en-US" w:eastAsia="zh-CN"/>
        </w:rPr>
        <w:t>三</w:t>
      </w:r>
      <w:r>
        <w:rPr>
          <w:rFonts w:hint="default" w:eastAsia="宋体"/>
          <w:sz w:val="24"/>
          <w:szCs w:val="24"/>
        </w:rPr>
        <w:t>、</w:t>
      </w:r>
      <w:r>
        <w:rPr>
          <w:rFonts w:eastAsia="宋体"/>
          <w:sz w:val="24"/>
          <w:szCs w:val="24"/>
        </w:rPr>
        <w:t>标准水平分析</w:t>
      </w:r>
      <w:bookmarkEnd w:id="63"/>
      <w:bookmarkEnd w:id="64"/>
      <w:bookmarkStart w:id="83" w:name="_GoBack"/>
      <w:bookmarkEnd w:id="83"/>
    </w:p>
    <w:p>
      <w:pPr>
        <w:ind w:firstLine="480"/>
        <w:rPr>
          <w:sz w:val="24"/>
        </w:rPr>
      </w:pPr>
      <w:r>
        <w:rPr>
          <w:sz w:val="24"/>
        </w:rPr>
        <w:t>本</w:t>
      </w:r>
      <w:r>
        <w:rPr>
          <w:rFonts w:hint="eastAsia" w:ascii="Times New Roman" w:hAnsi="Times New Roman" w:cs="Times New Roman"/>
          <w:sz w:val="24"/>
          <w:lang w:val="en-US" w:eastAsia="zh-CN"/>
        </w:rPr>
        <w:t>标准</w:t>
      </w:r>
      <w:r>
        <w:rPr>
          <w:sz w:val="24"/>
        </w:rPr>
        <w:t>属首次制定。最终确定标准水平后进行补充解释。</w:t>
      </w:r>
    </w:p>
    <w:p>
      <w:pPr>
        <w:pStyle w:val="3"/>
        <w:rPr>
          <w:rFonts w:eastAsia="宋体"/>
          <w:sz w:val="24"/>
          <w:szCs w:val="24"/>
        </w:rPr>
      </w:pPr>
      <w:bookmarkStart w:id="65" w:name="_Toc511234399"/>
      <w:bookmarkStart w:id="66" w:name="_Toc497309557"/>
      <w:r>
        <w:rPr>
          <w:rFonts w:hint="eastAsia" w:ascii="Times New Roman" w:hAnsi="Times New Roman" w:eastAsia="宋体" w:cs="Times New Roman"/>
          <w:sz w:val="24"/>
          <w:szCs w:val="24"/>
          <w:lang w:val="en-US" w:eastAsia="zh-CN"/>
        </w:rPr>
        <w:t>四</w:t>
      </w:r>
      <w:r>
        <w:rPr>
          <w:rFonts w:hint="default" w:eastAsia="宋体"/>
          <w:sz w:val="24"/>
          <w:szCs w:val="24"/>
        </w:rPr>
        <w:t>、</w:t>
      </w:r>
      <w:r>
        <w:rPr>
          <w:rFonts w:eastAsia="宋体"/>
          <w:sz w:val="24"/>
          <w:szCs w:val="24"/>
        </w:rPr>
        <w:t>与现行相关法律、法规、规章及相关标准，特别是强制性标准的协调性</w:t>
      </w:r>
      <w:bookmarkEnd w:id="65"/>
      <w:bookmarkEnd w:id="66"/>
    </w:p>
    <w:p>
      <w:pPr>
        <w:ind w:firstLine="480"/>
        <w:rPr>
          <w:sz w:val="24"/>
        </w:rPr>
      </w:pPr>
      <w:r>
        <w:rPr>
          <w:sz w:val="24"/>
        </w:rPr>
        <w:t>目前我国无</w:t>
      </w:r>
      <w:r>
        <w:rPr>
          <w:rFonts w:hint="eastAsia"/>
          <w:sz w:val="24"/>
          <w:lang w:val="en-US" w:eastAsia="zh-CN"/>
        </w:rPr>
        <w:t>锗单晶和锗单晶片</w:t>
      </w:r>
      <w:r>
        <w:rPr>
          <w:rFonts w:hint="default"/>
          <w:sz w:val="24"/>
        </w:rPr>
        <w:t>绿色设计产品评价</w:t>
      </w:r>
      <w:r>
        <w:rPr>
          <w:sz w:val="24"/>
        </w:rPr>
        <w:t>的国家</w:t>
      </w:r>
      <w:r>
        <w:rPr>
          <w:rFonts w:hint="default"/>
          <w:sz w:val="24"/>
        </w:rPr>
        <w:t>标准</w:t>
      </w:r>
      <w:r>
        <w:rPr>
          <w:sz w:val="24"/>
        </w:rPr>
        <w:t>或行业标准，本标准是新制定</w:t>
      </w:r>
      <w:r>
        <w:rPr>
          <w:rFonts w:hint="default"/>
          <w:sz w:val="24"/>
        </w:rPr>
        <w:t>的团体</w:t>
      </w:r>
      <w:r>
        <w:rPr>
          <w:sz w:val="24"/>
        </w:rPr>
        <w:t>标准</w:t>
      </w:r>
      <w:r>
        <w:rPr>
          <w:rFonts w:hint="default"/>
          <w:sz w:val="24"/>
        </w:rPr>
        <w:t>。</w:t>
      </w:r>
      <w:r>
        <w:rPr>
          <w:sz w:val="24"/>
        </w:rPr>
        <w:t>本标准的制定是</w:t>
      </w:r>
      <w:r>
        <w:rPr>
          <w:rFonts w:hint="default"/>
          <w:sz w:val="24"/>
        </w:rPr>
        <w:t>我国锗行业</w:t>
      </w:r>
      <w:r>
        <w:rPr>
          <w:sz w:val="24"/>
        </w:rPr>
        <w:t>标准体系的完善和补充。本标准的制定与现行的相关法律、法规、规章及相关标准的关系不矛盾、不冲突，关系协调</w:t>
      </w:r>
      <w:r>
        <w:rPr>
          <w:rFonts w:hint="default"/>
          <w:sz w:val="24"/>
        </w:rPr>
        <w:t>一致</w:t>
      </w:r>
      <w:r>
        <w:rPr>
          <w:sz w:val="24"/>
        </w:rPr>
        <w:t>。</w:t>
      </w:r>
    </w:p>
    <w:p>
      <w:pPr>
        <w:pStyle w:val="3"/>
        <w:rPr>
          <w:rFonts w:eastAsia="宋体"/>
          <w:sz w:val="24"/>
          <w:szCs w:val="24"/>
        </w:rPr>
      </w:pPr>
      <w:bookmarkStart w:id="67" w:name="_Toc497309558"/>
      <w:bookmarkStart w:id="68" w:name="_Toc511234400"/>
      <w:r>
        <w:rPr>
          <w:rFonts w:hint="eastAsia" w:ascii="Times New Roman" w:hAnsi="Times New Roman" w:eastAsia="宋体" w:cs="Times New Roman"/>
          <w:sz w:val="24"/>
          <w:szCs w:val="24"/>
          <w:lang w:val="en-US" w:eastAsia="zh-CN"/>
        </w:rPr>
        <w:t>五</w:t>
      </w:r>
      <w:r>
        <w:rPr>
          <w:rFonts w:hint="default" w:eastAsia="宋体"/>
          <w:sz w:val="24"/>
          <w:szCs w:val="24"/>
        </w:rPr>
        <w:t>、</w:t>
      </w:r>
      <w:r>
        <w:rPr>
          <w:rFonts w:eastAsia="宋体"/>
          <w:sz w:val="24"/>
          <w:szCs w:val="24"/>
        </w:rPr>
        <w:t>标准中涉及的专利或知识产权说明</w:t>
      </w:r>
      <w:bookmarkEnd w:id="67"/>
      <w:bookmarkEnd w:id="68"/>
    </w:p>
    <w:p>
      <w:pPr>
        <w:ind w:firstLine="480"/>
        <w:rPr>
          <w:sz w:val="24"/>
        </w:rPr>
      </w:pPr>
      <w:r>
        <w:rPr>
          <w:sz w:val="24"/>
        </w:rPr>
        <w:t>本标准不涉及任何专利或知识产权。</w:t>
      </w:r>
    </w:p>
    <w:p>
      <w:pPr>
        <w:pStyle w:val="3"/>
        <w:rPr>
          <w:rFonts w:eastAsia="宋体"/>
          <w:sz w:val="24"/>
          <w:szCs w:val="24"/>
        </w:rPr>
      </w:pPr>
      <w:bookmarkStart w:id="69" w:name="_Toc511234401"/>
      <w:bookmarkStart w:id="70" w:name="_Toc497309559"/>
      <w:r>
        <w:rPr>
          <w:rFonts w:hint="eastAsia" w:ascii="Times New Roman" w:hAnsi="Times New Roman" w:eastAsia="宋体" w:cs="Times New Roman"/>
          <w:sz w:val="24"/>
          <w:szCs w:val="24"/>
          <w:lang w:val="en-US" w:eastAsia="zh-CN"/>
        </w:rPr>
        <w:t>六</w:t>
      </w:r>
      <w:r>
        <w:rPr>
          <w:rFonts w:hint="default" w:eastAsia="宋体"/>
          <w:sz w:val="24"/>
          <w:szCs w:val="24"/>
        </w:rPr>
        <w:t>、</w:t>
      </w:r>
      <w:r>
        <w:rPr>
          <w:rFonts w:eastAsia="宋体"/>
          <w:sz w:val="24"/>
          <w:szCs w:val="24"/>
        </w:rPr>
        <w:t>重大分歧意见的处理经过和依据</w:t>
      </w:r>
      <w:bookmarkEnd w:id="69"/>
      <w:bookmarkEnd w:id="70"/>
    </w:p>
    <w:p>
      <w:pPr>
        <w:ind w:firstLine="480"/>
        <w:rPr>
          <w:sz w:val="24"/>
        </w:rPr>
      </w:pPr>
      <w:r>
        <w:rPr>
          <w:sz w:val="24"/>
        </w:rPr>
        <w:t>无</w:t>
      </w:r>
      <w:r>
        <w:rPr>
          <w:rFonts w:hint="default"/>
          <w:sz w:val="24"/>
        </w:rPr>
        <w:t>。</w:t>
      </w:r>
    </w:p>
    <w:p>
      <w:pPr>
        <w:pStyle w:val="3"/>
        <w:rPr>
          <w:rFonts w:eastAsia="宋体"/>
          <w:sz w:val="24"/>
          <w:szCs w:val="24"/>
        </w:rPr>
      </w:pPr>
      <w:bookmarkStart w:id="71" w:name="_Toc511234402"/>
      <w:bookmarkStart w:id="72" w:name="_Toc497309560"/>
      <w:r>
        <w:rPr>
          <w:rFonts w:hint="eastAsia" w:ascii="Times New Roman" w:hAnsi="Times New Roman" w:eastAsia="宋体" w:cs="Times New Roman"/>
          <w:sz w:val="24"/>
          <w:szCs w:val="24"/>
          <w:lang w:val="en-US" w:eastAsia="zh-CN"/>
        </w:rPr>
        <w:t>七</w:t>
      </w:r>
      <w:r>
        <w:rPr>
          <w:rFonts w:hint="default" w:eastAsia="宋体"/>
          <w:sz w:val="24"/>
          <w:szCs w:val="24"/>
        </w:rPr>
        <w:t>、</w:t>
      </w:r>
      <w:r>
        <w:rPr>
          <w:rFonts w:eastAsia="宋体"/>
          <w:sz w:val="24"/>
          <w:szCs w:val="24"/>
        </w:rPr>
        <w:t>标准作为强制性或推荐性标准的建议</w:t>
      </w:r>
      <w:bookmarkEnd w:id="71"/>
      <w:bookmarkEnd w:id="72"/>
    </w:p>
    <w:p>
      <w:pPr>
        <w:ind w:firstLine="480"/>
        <w:rPr>
          <w:sz w:val="24"/>
        </w:rPr>
      </w:pPr>
      <w:r>
        <w:rPr>
          <w:sz w:val="24"/>
        </w:rPr>
        <w:t>本标准建议作为推荐性标准</w:t>
      </w:r>
      <w:r>
        <w:rPr>
          <w:rFonts w:hint="default"/>
          <w:sz w:val="24"/>
        </w:rPr>
        <w:t>发布实施</w:t>
      </w:r>
      <w:r>
        <w:rPr>
          <w:sz w:val="24"/>
        </w:rPr>
        <w:t>。</w:t>
      </w:r>
    </w:p>
    <w:p>
      <w:pPr>
        <w:pStyle w:val="3"/>
        <w:rPr>
          <w:rFonts w:eastAsia="宋体"/>
          <w:sz w:val="24"/>
          <w:szCs w:val="24"/>
        </w:rPr>
      </w:pPr>
      <w:bookmarkStart w:id="73" w:name="_Toc497309561"/>
      <w:bookmarkStart w:id="74" w:name="_Toc511234403"/>
      <w:r>
        <w:rPr>
          <w:rFonts w:hint="eastAsia" w:ascii="Times New Roman" w:hAnsi="Times New Roman" w:eastAsia="宋体" w:cs="Times New Roman"/>
          <w:sz w:val="24"/>
          <w:szCs w:val="24"/>
          <w:lang w:val="en-US" w:eastAsia="zh-CN"/>
        </w:rPr>
        <w:t>八</w:t>
      </w:r>
      <w:r>
        <w:rPr>
          <w:rFonts w:hint="default" w:eastAsia="宋体"/>
          <w:sz w:val="24"/>
          <w:szCs w:val="24"/>
        </w:rPr>
        <w:t>、</w:t>
      </w:r>
      <w:r>
        <w:rPr>
          <w:rFonts w:eastAsia="宋体"/>
          <w:sz w:val="24"/>
          <w:szCs w:val="24"/>
        </w:rPr>
        <w:t>贯彻标准的要求和措施建议</w:t>
      </w:r>
      <w:bookmarkEnd w:id="73"/>
      <w:bookmarkEnd w:id="74"/>
    </w:p>
    <w:p>
      <w:pPr>
        <w:pStyle w:val="4"/>
        <w:rPr>
          <w:rFonts w:ascii="Times New Roman" w:hAnsi="Times New Roman" w:eastAsia="宋体"/>
          <w:b/>
          <w:bCs w:val="0"/>
          <w:sz w:val="24"/>
          <w:szCs w:val="24"/>
        </w:rPr>
      </w:pPr>
      <w:bookmarkStart w:id="75" w:name="_Toc508985119"/>
      <w:bookmarkStart w:id="76" w:name="_Toc511234404"/>
      <w:r>
        <w:rPr>
          <w:rFonts w:hint="default" w:ascii="Times New Roman" w:hAnsi="Times New Roman" w:eastAsia="宋体"/>
          <w:b/>
          <w:bCs w:val="0"/>
          <w:sz w:val="24"/>
          <w:szCs w:val="24"/>
        </w:rPr>
        <w:t>8</w:t>
      </w:r>
      <w:r>
        <w:rPr>
          <w:rFonts w:ascii="Times New Roman" w:hAnsi="Times New Roman" w:eastAsia="宋体"/>
          <w:b/>
          <w:bCs w:val="0"/>
          <w:sz w:val="24"/>
          <w:szCs w:val="24"/>
        </w:rPr>
        <w:t xml:space="preserve">.1 </w:t>
      </w:r>
      <w:r>
        <w:rPr>
          <w:rFonts w:hint="default" w:ascii="Times New Roman" w:hAnsi="Times New Roman" w:eastAsia="宋体"/>
          <w:b/>
          <w:bCs w:val="0"/>
          <w:sz w:val="24"/>
          <w:szCs w:val="24"/>
        </w:rPr>
        <w:t>组织措施</w:t>
      </w:r>
      <w:bookmarkEnd w:id="75"/>
      <w:bookmarkEnd w:id="76"/>
    </w:p>
    <w:p>
      <w:pPr>
        <w:widowControl/>
        <w:ind w:firstLine="480"/>
        <w:rPr>
          <w:sz w:val="24"/>
        </w:rPr>
      </w:pPr>
      <w:r>
        <w:rPr>
          <w:sz w:val="24"/>
        </w:rPr>
        <w:t>本标准发布后，</w:t>
      </w:r>
      <w:r>
        <w:rPr>
          <w:rFonts w:hint="default"/>
          <w:sz w:val="24"/>
        </w:rPr>
        <w:t>由</w:t>
      </w:r>
      <w:r>
        <w:rPr>
          <w:sz w:val="24"/>
        </w:rPr>
        <w:t>中国有色金属工业协会</w:t>
      </w:r>
      <w:r>
        <w:rPr>
          <w:rFonts w:hint="default"/>
          <w:sz w:val="24"/>
        </w:rPr>
        <w:t>、全国半导体设备和材料标准化技术委员会材料分技术委员会、编制组单位等</w:t>
      </w:r>
      <w:r>
        <w:rPr>
          <w:sz w:val="24"/>
        </w:rPr>
        <w:t>加强</w:t>
      </w:r>
      <w:r>
        <w:rPr>
          <w:rFonts w:hint="default"/>
          <w:sz w:val="24"/>
        </w:rPr>
        <w:t>对</w:t>
      </w:r>
      <w:r>
        <w:rPr>
          <w:sz w:val="24"/>
        </w:rPr>
        <w:t>本标准的宣传力度，</w:t>
      </w:r>
      <w:r>
        <w:rPr>
          <w:rFonts w:hint="default"/>
          <w:sz w:val="24"/>
        </w:rPr>
        <w:t>介绍本标准的核心技术内容及实施的关键技术要素，促进更多的企业和科研单位了解、掌握科学的</w:t>
      </w:r>
      <w:r>
        <w:rPr>
          <w:rFonts w:hint="default"/>
          <w:sz w:val="24"/>
          <w:lang w:val="en-US" w:eastAsia="zh-CN"/>
        </w:rPr>
        <w:t>锗单晶和锗单晶片</w:t>
      </w:r>
      <w:r>
        <w:rPr>
          <w:rFonts w:hint="default"/>
          <w:sz w:val="24"/>
        </w:rPr>
        <w:t>绿色设计产品评价规范，促进标准的顺利实施。</w:t>
      </w:r>
    </w:p>
    <w:p>
      <w:pPr>
        <w:pStyle w:val="4"/>
        <w:rPr>
          <w:rFonts w:ascii="Times New Roman" w:hAnsi="Times New Roman" w:eastAsia="宋体"/>
          <w:b/>
          <w:bCs w:val="0"/>
          <w:sz w:val="24"/>
          <w:szCs w:val="24"/>
        </w:rPr>
      </w:pPr>
      <w:bookmarkStart w:id="77" w:name="_Toc508985120"/>
      <w:bookmarkStart w:id="78" w:name="_Toc511234405"/>
      <w:r>
        <w:rPr>
          <w:rFonts w:ascii="Times New Roman" w:hAnsi="Times New Roman" w:eastAsia="宋体"/>
          <w:b/>
          <w:bCs w:val="0"/>
          <w:sz w:val="24"/>
          <w:szCs w:val="24"/>
        </w:rPr>
        <w:t>8</w:t>
      </w:r>
      <w:r>
        <w:rPr>
          <w:rFonts w:hint="default" w:ascii="Times New Roman" w:hAnsi="Times New Roman" w:eastAsia="宋体"/>
          <w:b/>
          <w:bCs w:val="0"/>
          <w:sz w:val="24"/>
          <w:szCs w:val="24"/>
        </w:rPr>
        <w:t>.2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b/>
          <w:bCs w:val="0"/>
          <w:sz w:val="24"/>
          <w:szCs w:val="24"/>
        </w:rPr>
        <w:t>技术措施</w:t>
      </w:r>
      <w:bookmarkEnd w:id="77"/>
      <w:bookmarkEnd w:id="78"/>
    </w:p>
    <w:p>
      <w:pPr>
        <w:widowControl/>
        <w:ind w:firstLine="480"/>
        <w:rPr>
          <w:sz w:val="24"/>
        </w:rPr>
      </w:pPr>
      <w:r>
        <w:rPr>
          <w:rFonts w:hint="default"/>
          <w:sz w:val="24"/>
        </w:rPr>
        <w:t>该标准给出的术语和定义、计算方法和评价方法等，企业应按照本标准，结合本企业实际生产情况，统筹考虑资源、能源、环境、</w:t>
      </w:r>
      <w:r>
        <w:rPr>
          <w:rFonts w:hint="eastAsia" w:ascii="Times New Roman" w:hAnsi="Times New Roman" w:cs="Times New Roman"/>
          <w:sz w:val="24"/>
          <w:lang w:eastAsia="zh-CN"/>
        </w:rPr>
        <w:t>产品</w:t>
      </w:r>
      <w:r>
        <w:rPr>
          <w:rFonts w:hint="default"/>
          <w:sz w:val="24"/>
        </w:rPr>
        <w:t>等属性，科学确定企业产品评价的关键阶段和关键指标，确定正确的评价结果。</w:t>
      </w:r>
    </w:p>
    <w:p>
      <w:pPr>
        <w:pStyle w:val="3"/>
        <w:rPr>
          <w:rFonts w:eastAsia="宋体"/>
          <w:sz w:val="24"/>
          <w:szCs w:val="24"/>
        </w:rPr>
      </w:pPr>
      <w:bookmarkStart w:id="79" w:name="_Toc511234406"/>
      <w:bookmarkStart w:id="80" w:name="_Toc497309562"/>
      <w:r>
        <w:rPr>
          <w:rFonts w:hint="eastAsia" w:ascii="Times New Roman" w:hAnsi="Times New Roman" w:eastAsia="宋体" w:cs="Times New Roman"/>
          <w:sz w:val="24"/>
          <w:szCs w:val="24"/>
          <w:lang w:val="en-US" w:eastAsia="zh-CN"/>
        </w:rPr>
        <w:t>九</w:t>
      </w:r>
      <w:r>
        <w:rPr>
          <w:rFonts w:hint="default" w:eastAsia="宋体"/>
          <w:sz w:val="24"/>
          <w:szCs w:val="24"/>
        </w:rPr>
        <w:t>、</w:t>
      </w:r>
      <w:r>
        <w:rPr>
          <w:rFonts w:eastAsia="宋体"/>
          <w:sz w:val="24"/>
          <w:szCs w:val="24"/>
        </w:rPr>
        <w:t>废止现行有关标准的建议</w:t>
      </w:r>
      <w:bookmarkEnd w:id="79"/>
      <w:bookmarkEnd w:id="80"/>
    </w:p>
    <w:p>
      <w:pPr>
        <w:ind w:firstLine="480"/>
        <w:rPr>
          <w:sz w:val="24"/>
        </w:rPr>
      </w:pPr>
      <w:r>
        <w:rPr>
          <w:sz w:val="24"/>
        </w:rPr>
        <w:t>无。</w:t>
      </w:r>
    </w:p>
    <w:p>
      <w:pPr>
        <w:pStyle w:val="3"/>
        <w:rPr>
          <w:rFonts w:eastAsia="宋体"/>
          <w:sz w:val="24"/>
          <w:szCs w:val="24"/>
        </w:rPr>
      </w:pPr>
      <w:bookmarkStart w:id="81" w:name="_Toc511234407"/>
      <w:bookmarkStart w:id="82" w:name="_Toc497309563"/>
      <w:r>
        <w:rPr>
          <w:rFonts w:hint="default" w:ascii="Times New Roman" w:hAnsi="Times New Roman" w:eastAsia="宋体" w:cs="Times New Roman"/>
          <w:sz w:val="24"/>
          <w:szCs w:val="24"/>
          <w:lang w:val="en-US"/>
        </w:rPr>
        <w:t>十、重要内容的解释和其他应予以说明的事项</w:t>
      </w:r>
      <w:bookmarkEnd w:id="81"/>
      <w:bookmarkEnd w:id="82"/>
    </w:p>
    <w:p>
      <w:pPr>
        <w:widowControl/>
        <w:ind w:firstLine="480" w:firstLineChars="0"/>
        <w:jc w:val="left"/>
        <w:rPr>
          <w:rFonts w:hint="eastAsia"/>
          <w:sz w:val="24"/>
        </w:rPr>
      </w:pPr>
      <w:r>
        <w:rPr>
          <w:rFonts w:hint="eastAsia" w:ascii="Times New Roman" w:hAnsi="Times New Roman" w:cs="Times New Roman"/>
          <w:sz w:val="24"/>
          <w:lang w:val="en-US" w:eastAsia="zh-CN"/>
        </w:rPr>
        <w:t>无。</w:t>
      </w:r>
    </w:p>
    <w:p>
      <w:pPr>
        <w:ind w:firstLine="480" w:firstLineChars="0"/>
        <w:rPr>
          <w:sz w:val="24"/>
        </w:rPr>
      </w:pPr>
    </w:p>
    <w:p>
      <w:pPr>
        <w:pStyle w:val="21"/>
        <w:rPr>
          <w:sz w:val="24"/>
        </w:rPr>
      </w:pPr>
    </w:p>
    <w:p>
      <w:pPr>
        <w:pStyle w:val="21"/>
        <w:rPr>
          <w:sz w:val="24"/>
        </w:rPr>
      </w:pPr>
    </w:p>
    <w:p>
      <w:pPr>
        <w:spacing w:line="360" w:lineRule="auto"/>
        <w:ind w:firstLine="435"/>
        <w:jc w:val="right"/>
        <w:rPr>
          <w:sz w:val="24"/>
        </w:rPr>
      </w:pPr>
      <w:r>
        <w:rPr>
          <w:sz w:val="24"/>
        </w:rPr>
        <w:t xml:space="preserve">《绿色设计产品评价技术规范 </w:t>
      </w:r>
      <w:r>
        <w:rPr>
          <w:rFonts w:hint="eastAsia"/>
          <w:sz w:val="24"/>
          <w:lang w:val="en-US" w:eastAsia="zh-CN"/>
        </w:rPr>
        <w:t>锗单晶和锗单晶片</w:t>
      </w:r>
      <w:r>
        <w:rPr>
          <w:sz w:val="24"/>
        </w:rPr>
        <w:t>》编制组</w:t>
      </w:r>
    </w:p>
    <w:p>
      <w:pPr>
        <w:spacing w:line="360" w:lineRule="auto"/>
        <w:ind w:firstLine="6240" w:firstLineChars="2600"/>
        <w:jc w:val="both"/>
        <w:rPr>
          <w:sz w:val="24"/>
        </w:rPr>
      </w:pPr>
      <w:r>
        <w:rPr>
          <w:sz w:val="24"/>
        </w:rPr>
        <w:t>202</w:t>
      </w:r>
      <w:r>
        <w:rPr>
          <w:rFonts w:hint="default"/>
          <w:sz w:val="24"/>
          <w:lang w:val="en-US" w:eastAsia="zh-CN"/>
        </w:rPr>
        <w:t>4</w:t>
      </w:r>
      <w:r>
        <w:rPr>
          <w:sz w:val="24"/>
        </w:rPr>
        <w:t>年2月</w:t>
      </w:r>
    </w:p>
    <w:p>
      <w:pPr>
        <w:pStyle w:val="21"/>
        <w:jc w:val="right"/>
        <w:rPr>
          <w:sz w:val="24"/>
        </w:rPr>
      </w:pPr>
    </w:p>
    <w:p>
      <w:pPr>
        <w:ind w:firstLine="420"/>
      </w:pPr>
    </w:p>
    <w:sectPr>
      <w:headerReference r:id="rId11" w:type="first"/>
      <w:footerReference r:id="rId14" w:type="first"/>
      <w:headerReference r:id="rId9" w:type="default"/>
      <w:footerReference r:id="rId12" w:type="default"/>
      <w:headerReference r:id="rId10" w:type="even"/>
      <w:footerReference r:id="rId13" w:type="even"/>
      <w:pgSz w:w="11906" w:h="16838"/>
      <w:pgMar w:top="1247" w:right="1247" w:bottom="1134" w:left="1247"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8"/>
      </w:rPr>
    </w:pPr>
    <w:r>
      <w:fldChar w:fldCharType="begin"/>
    </w:r>
    <w:r>
      <w:rPr>
        <w:rStyle w:val="18"/>
      </w:rPr>
      <w:instrText xml:space="preserve">PAGE  </w:instrText>
    </w:r>
    <w:r>
      <w:fldChar w:fldCharType="separate"/>
    </w:r>
    <w:r>
      <w:rPr>
        <w:rStyle w:val="18"/>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w:fldChar w:fldCharType="begin"/>
    </w:r>
    <w:r>
      <w:rPr>
        <w:rStyle w:val="18"/>
      </w:rPr>
      <w:instrText xml:space="preserve">PAGE  </w:instrText>
    </w:r>
    <w:r>
      <w:fldChar w:fldCharType="separate"/>
    </w:r>
    <w:r>
      <w:rPr>
        <w:rStyle w:val="18"/>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GB/TXXX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142" w:firstLine="0"/>
      </w:pPr>
      <w:rPr>
        <w:rFonts w:hint="eastAsia" w:ascii="黑体" w:hAnsi="Times New Roman" w:eastAsia="黑体"/>
        <w:b w:val="0"/>
        <w:i w:val="0"/>
        <w:sz w:val="21"/>
      </w:rPr>
    </w:lvl>
    <w:lvl w:ilvl="2" w:tentative="0">
      <w:start w:val="1"/>
      <w:numFmt w:val="decimal"/>
      <w:pStyle w:val="6"/>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E4C1F44"/>
    <w:multiLevelType w:val="multilevel"/>
    <w:tmpl w:val="6E4C1F44"/>
    <w:lvl w:ilvl="0" w:tentative="0">
      <w:start w:val="1"/>
      <w:numFmt w:val="lowerLetter"/>
      <w:lvlText w:val="%1)"/>
      <w:lvlJc w:val="left"/>
      <w:pPr>
        <w:ind w:left="562" w:hanging="420"/>
      </w:pPr>
      <w:rPr>
        <w:rFonts w:hint="default" w:ascii="宋体" w:hAnsi="宋体" w:eastAsia="宋体"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C"/>
    <w:rsid w:val="00010EB0"/>
    <w:rsid w:val="001221D4"/>
    <w:rsid w:val="001279D8"/>
    <w:rsid w:val="00163432"/>
    <w:rsid w:val="00216981"/>
    <w:rsid w:val="00232ABE"/>
    <w:rsid w:val="002B0212"/>
    <w:rsid w:val="002B5CAF"/>
    <w:rsid w:val="002B6D9F"/>
    <w:rsid w:val="00320C98"/>
    <w:rsid w:val="0032716D"/>
    <w:rsid w:val="003B156B"/>
    <w:rsid w:val="00436997"/>
    <w:rsid w:val="00446775"/>
    <w:rsid w:val="0047023C"/>
    <w:rsid w:val="004B39D9"/>
    <w:rsid w:val="004D4C1F"/>
    <w:rsid w:val="00516FEF"/>
    <w:rsid w:val="00523AFE"/>
    <w:rsid w:val="005645AD"/>
    <w:rsid w:val="005978AB"/>
    <w:rsid w:val="006C4AB3"/>
    <w:rsid w:val="00764C06"/>
    <w:rsid w:val="007A120C"/>
    <w:rsid w:val="008E41D3"/>
    <w:rsid w:val="00904E0E"/>
    <w:rsid w:val="00947844"/>
    <w:rsid w:val="00966ED1"/>
    <w:rsid w:val="009A58EB"/>
    <w:rsid w:val="009E3DBF"/>
    <w:rsid w:val="009F6DC1"/>
    <w:rsid w:val="00A06A5E"/>
    <w:rsid w:val="00A411BD"/>
    <w:rsid w:val="00AD7AC3"/>
    <w:rsid w:val="00BC1081"/>
    <w:rsid w:val="00C07D2C"/>
    <w:rsid w:val="00C873F9"/>
    <w:rsid w:val="00CE6372"/>
    <w:rsid w:val="00D43621"/>
    <w:rsid w:val="00DD0BC1"/>
    <w:rsid w:val="00E26679"/>
    <w:rsid w:val="00E51462"/>
    <w:rsid w:val="00F40984"/>
    <w:rsid w:val="00F529D2"/>
    <w:rsid w:val="00F53400"/>
    <w:rsid w:val="00FA1B94"/>
    <w:rsid w:val="00FE2D4E"/>
    <w:rsid w:val="02B2032D"/>
    <w:rsid w:val="0522470B"/>
    <w:rsid w:val="0B092D8A"/>
    <w:rsid w:val="12973323"/>
    <w:rsid w:val="18BA198A"/>
    <w:rsid w:val="22E53421"/>
    <w:rsid w:val="2DC638B0"/>
    <w:rsid w:val="31E87E9C"/>
    <w:rsid w:val="37C25A17"/>
    <w:rsid w:val="39EB776C"/>
    <w:rsid w:val="3A3226AB"/>
    <w:rsid w:val="3CFA6818"/>
    <w:rsid w:val="40F46B29"/>
    <w:rsid w:val="4CCC00DF"/>
    <w:rsid w:val="54043CC9"/>
    <w:rsid w:val="5A81785F"/>
    <w:rsid w:val="5B7128BB"/>
    <w:rsid w:val="644928BA"/>
    <w:rsid w:val="655D4CDA"/>
    <w:rsid w:val="68E07E26"/>
    <w:rsid w:val="697D0A70"/>
    <w:rsid w:val="79B315B7"/>
    <w:rsid w:val="7C54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120" w:after="120"/>
      <w:ind w:firstLine="0" w:firstLineChars="0"/>
      <w:outlineLvl w:val="0"/>
    </w:pPr>
    <w:rPr>
      <w:rFonts w:eastAsia="黑体"/>
      <w:b/>
      <w:bCs/>
      <w:kern w:val="44"/>
      <w:sz w:val="28"/>
      <w:szCs w:val="44"/>
    </w:rPr>
  </w:style>
  <w:style w:type="paragraph" w:styleId="4">
    <w:name w:val="heading 2"/>
    <w:basedOn w:val="1"/>
    <w:next w:val="1"/>
    <w:link w:val="25"/>
    <w:qFormat/>
    <w:uiPriority w:val="0"/>
    <w:pPr>
      <w:keepNext/>
      <w:keepLines/>
      <w:spacing w:before="120"/>
      <w:ind w:firstLine="0" w:firstLineChars="0"/>
      <w:outlineLvl w:val="1"/>
    </w:pPr>
    <w:rPr>
      <w:rFonts w:ascii="Arial" w:hAnsi="Arial" w:eastAsia="黑体"/>
      <w:bCs/>
      <w:sz w:val="28"/>
      <w:szCs w:val="32"/>
    </w:rPr>
  </w:style>
  <w:style w:type="paragraph" w:styleId="5">
    <w:name w:val="heading 3"/>
    <w:basedOn w:val="6"/>
    <w:next w:val="1"/>
    <w:link w:val="26"/>
    <w:qFormat/>
    <w:uiPriority w:val="0"/>
    <w:pPr>
      <w:widowControl/>
      <w:adjustRightInd/>
      <w:snapToGrid/>
      <w:spacing w:beforeLines="50" w:afterLines="50" w:line="240" w:lineRule="auto"/>
      <w:ind w:left="142" w:firstLine="0" w:firstLineChars="0"/>
      <w:jc w:val="left"/>
      <w:outlineLvl w:val="2"/>
    </w:pPr>
    <w:rPr>
      <w:rFonts w:eastAsia="黑体"/>
      <w:color w:val="000000"/>
      <w:spacing w:val="-4"/>
      <w:kern w:val="0"/>
      <w:sz w:val="24"/>
    </w:rPr>
  </w:style>
  <w:style w:type="paragraph" w:styleId="9">
    <w:name w:val="heading 4"/>
    <w:basedOn w:val="1"/>
    <w:next w:val="1"/>
    <w:link w:val="27"/>
    <w:qFormat/>
    <w:uiPriority w:val="0"/>
    <w:pPr>
      <w:keepNext/>
      <w:keepLines/>
      <w:outlineLvl w:val="3"/>
    </w:pPr>
    <w:rPr>
      <w:rFonts w:ascii="Arial" w:hAnsi="Arial"/>
      <w:b/>
      <w:bCs/>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6">
    <w:name w:val="一级条标题"/>
    <w:basedOn w:val="7"/>
    <w:next w:val="8"/>
    <w:qFormat/>
    <w:uiPriority w:val="0"/>
    <w:pPr>
      <w:numPr>
        <w:ilvl w:val="2"/>
      </w:numPr>
      <w:spacing w:beforeLines="0" w:afterLines="0" w:line="300" w:lineRule="auto"/>
      <w:outlineLvl w:val="2"/>
    </w:pPr>
    <w:rPr>
      <w:color w:val="FF0000"/>
      <w:spacing w:val="-4"/>
      <w:szCs w:val="24"/>
    </w:rPr>
  </w:style>
  <w:style w:type="paragraph" w:customStyle="1" w:styleId="7">
    <w:name w:val="章标题"/>
    <w:next w:val="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10">
    <w:name w:val="annotation text"/>
    <w:basedOn w:val="1"/>
    <w:link w:val="34"/>
    <w:semiHidden/>
    <w:unhideWhenUsed/>
    <w:qFormat/>
    <w:uiPriority w:val="99"/>
    <w:pPr>
      <w:jc w:val="left"/>
    </w:pPr>
  </w:style>
  <w:style w:type="paragraph" w:styleId="11">
    <w:name w:val="Balloon Text"/>
    <w:basedOn w:val="1"/>
    <w:link w:val="33"/>
    <w:semiHidden/>
    <w:unhideWhenUsed/>
    <w:qFormat/>
    <w:uiPriority w:val="99"/>
    <w:pPr>
      <w:spacing w:line="240" w:lineRule="auto"/>
    </w:pPr>
    <w:rPr>
      <w:sz w:val="18"/>
      <w:szCs w:val="18"/>
    </w:rPr>
  </w:style>
  <w:style w:type="paragraph" w:styleId="12">
    <w:name w:val="footer"/>
    <w:basedOn w:val="1"/>
    <w:link w:val="23"/>
    <w:unhideWhenUsed/>
    <w:qFormat/>
    <w:uiPriority w:val="99"/>
    <w:pPr>
      <w:tabs>
        <w:tab w:val="center" w:pos="4153"/>
        <w:tab w:val="right" w:pos="8306"/>
      </w:tabs>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jc w:val="center"/>
    </w:pPr>
    <w:rPr>
      <w:sz w:val="18"/>
      <w:szCs w:val="18"/>
    </w:r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15">
    <w:name w:val="annotation subject"/>
    <w:basedOn w:val="10"/>
    <w:next w:val="10"/>
    <w:link w:val="35"/>
    <w:semiHidden/>
    <w:unhideWhenUsed/>
    <w:qFormat/>
    <w:uiPriority w:val="99"/>
    <w:rPr>
      <w:b/>
      <w:bCs/>
    </w:rPr>
  </w:style>
  <w:style w:type="character" w:styleId="18">
    <w:name w:val="page number"/>
    <w:qFormat/>
    <w:uiPriority w:val="0"/>
    <w:rPr>
      <w:rFonts w:ascii="Times New Roman" w:hAnsi="Times New Roman" w:eastAsia="宋体"/>
      <w:sz w:val="18"/>
    </w:rPr>
  </w:style>
  <w:style w:type="character" w:styleId="19">
    <w:name w:val="Hyperlink"/>
    <w:basedOn w:val="17"/>
    <w:qFormat/>
    <w:uiPriority w:val="99"/>
    <w:rPr>
      <w:color w:val="0000FF" w:themeColor="hyperlink"/>
      <w:u w:val="single"/>
      <w14:textFill>
        <w14:solidFill>
          <w14:schemeClr w14:val="hlink"/>
        </w14:solidFill>
      </w14:textFill>
    </w:rPr>
  </w:style>
  <w:style w:type="character" w:styleId="20">
    <w:name w:val="annotation reference"/>
    <w:basedOn w:val="17"/>
    <w:unhideWhenUsed/>
    <w:qFormat/>
    <w:uiPriority w:val="0"/>
    <w:rPr>
      <w:sz w:val="21"/>
      <w:szCs w:val="21"/>
    </w:rPr>
  </w:style>
  <w:style w:type="paragraph" w:styleId="21">
    <w:name w:val="List Paragraph"/>
    <w:basedOn w:val="1"/>
    <w:qFormat/>
    <w:uiPriority w:val="34"/>
    <w:pPr>
      <w:ind w:firstLine="420"/>
    </w:pPr>
  </w:style>
  <w:style w:type="character" w:customStyle="1" w:styleId="22">
    <w:name w:val="页眉 字符1"/>
    <w:basedOn w:val="17"/>
    <w:link w:val="13"/>
    <w:qFormat/>
    <w:uiPriority w:val="99"/>
    <w:rPr>
      <w:sz w:val="18"/>
      <w:szCs w:val="18"/>
    </w:rPr>
  </w:style>
  <w:style w:type="character" w:customStyle="1" w:styleId="23">
    <w:name w:val="页脚 字符"/>
    <w:basedOn w:val="17"/>
    <w:link w:val="12"/>
    <w:qFormat/>
    <w:uiPriority w:val="99"/>
    <w:rPr>
      <w:sz w:val="18"/>
      <w:szCs w:val="18"/>
    </w:rPr>
  </w:style>
  <w:style w:type="character" w:customStyle="1" w:styleId="24">
    <w:name w:val="标题 1 字符"/>
    <w:basedOn w:val="17"/>
    <w:link w:val="3"/>
    <w:qFormat/>
    <w:uiPriority w:val="0"/>
    <w:rPr>
      <w:rFonts w:ascii="Times New Roman" w:hAnsi="Times New Roman" w:eastAsia="黑体" w:cs="Times New Roman"/>
      <w:b/>
      <w:bCs/>
      <w:kern w:val="44"/>
      <w:sz w:val="28"/>
      <w:szCs w:val="44"/>
    </w:rPr>
  </w:style>
  <w:style w:type="character" w:customStyle="1" w:styleId="25">
    <w:name w:val="标题 2 字符"/>
    <w:basedOn w:val="17"/>
    <w:link w:val="4"/>
    <w:qFormat/>
    <w:uiPriority w:val="0"/>
    <w:rPr>
      <w:rFonts w:ascii="Arial" w:hAnsi="Arial" w:eastAsia="黑体" w:cs="Times New Roman"/>
      <w:bCs/>
      <w:sz w:val="28"/>
      <w:szCs w:val="32"/>
    </w:rPr>
  </w:style>
  <w:style w:type="character" w:customStyle="1" w:styleId="26">
    <w:name w:val="标题 3 字符"/>
    <w:basedOn w:val="17"/>
    <w:link w:val="5"/>
    <w:qFormat/>
    <w:uiPriority w:val="0"/>
    <w:rPr>
      <w:rFonts w:ascii="Times New Roman" w:hAnsi="Times New Roman" w:eastAsia="黑体" w:cs="Times New Roman"/>
      <w:color w:val="000000"/>
      <w:spacing w:val="-4"/>
      <w:kern w:val="0"/>
      <w:sz w:val="24"/>
      <w:szCs w:val="24"/>
    </w:rPr>
  </w:style>
  <w:style w:type="character" w:customStyle="1" w:styleId="27">
    <w:name w:val="标题 4 字符"/>
    <w:basedOn w:val="17"/>
    <w:link w:val="9"/>
    <w:qFormat/>
    <w:uiPriority w:val="0"/>
    <w:rPr>
      <w:rFonts w:ascii="Arial" w:hAnsi="Arial" w:eastAsia="宋体" w:cs="Times New Roman"/>
      <w:b/>
      <w:bCs/>
      <w:szCs w:val="28"/>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1">
    <w:name w:val="标准书眉_偶数页"/>
    <w:basedOn w:val="30"/>
    <w:next w:val="1"/>
    <w:qFormat/>
    <w:uiPriority w:val="0"/>
    <w:pPr>
      <w:jc w:val="left"/>
    </w:pPr>
  </w:style>
  <w:style w:type="character" w:customStyle="1" w:styleId="32">
    <w:name w:val="页眉 字符"/>
    <w:qFormat/>
    <w:uiPriority w:val="0"/>
    <w:rPr>
      <w:kern w:val="2"/>
      <w:sz w:val="18"/>
      <w:szCs w:val="18"/>
    </w:rPr>
  </w:style>
  <w:style w:type="character" w:customStyle="1" w:styleId="33">
    <w:name w:val="批注框文本 字符"/>
    <w:basedOn w:val="17"/>
    <w:link w:val="11"/>
    <w:semiHidden/>
    <w:qFormat/>
    <w:uiPriority w:val="99"/>
    <w:rPr>
      <w:rFonts w:ascii="Times New Roman" w:hAnsi="Times New Roman" w:eastAsia="宋体" w:cs="Times New Roman"/>
      <w:sz w:val="18"/>
      <w:szCs w:val="18"/>
    </w:rPr>
  </w:style>
  <w:style w:type="character" w:customStyle="1" w:styleId="34">
    <w:name w:val="批注文字 字符"/>
    <w:basedOn w:val="17"/>
    <w:link w:val="10"/>
    <w:semiHidden/>
    <w:qFormat/>
    <w:uiPriority w:val="99"/>
    <w:rPr>
      <w:rFonts w:ascii="Times New Roman" w:hAnsi="Times New Roman" w:eastAsia="宋体" w:cs="Times New Roman"/>
      <w:szCs w:val="24"/>
    </w:rPr>
  </w:style>
  <w:style w:type="character" w:customStyle="1" w:styleId="35">
    <w:name w:val="批注主题 字符"/>
    <w:basedOn w:val="34"/>
    <w:link w:val="15"/>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1357</Words>
  <Characters>7741</Characters>
  <Lines>64</Lines>
  <Paragraphs>18</Paragraphs>
  <TotalTime>1</TotalTime>
  <ScaleCrop>false</ScaleCrop>
  <LinksUpToDate>false</LinksUpToDate>
  <CharactersWithSpaces>9080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2020-09-01T06:35:00Z</dcterms:created>
  <dc:creator>pgos</dc:creator>
  <cp:lastModifiedBy>LJW</cp:lastModifiedBy>
  <dcterms:modified xsi:type="dcterms:W3CDTF">2024-02-28T08:42:11Z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8F3838FB0AE5497ABF8E510088D37E07</vt:lpwstr>
  </property>
</Properties>
</file>