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framePr w:wrap="around"/>
        <w:rPr>
          <w:rFonts w:hAnsi="黑体"/>
        </w:rPr>
      </w:pPr>
      <w:r>
        <w:rPr>
          <w:rFonts w:hAnsi="黑体"/>
        </w:rPr>
        <w:t>ICS </w:t>
      </w:r>
      <w:bookmarkStart w:id="0" w:name="ICS"/>
      <w:r>
        <w:rPr>
          <w:rFonts w:hint="eastAsia" w:ascii="黑体" w:hAnsi="黑体" w:eastAsia="黑体" w:cs="Times New Roman"/>
          <w:sz w:val="21"/>
          <w:szCs w:val="21"/>
          <w:lang w:val="en-US" w:eastAsia="zh-CN" w:bidi="ar-SA"/>
        </w:rPr>
        <w:fldChar w:fldCharType="begin">
          <w:ffData>
            <w:name w:val="ICS"/>
            <w:enabled/>
            <w:calcOnExit w:val="0"/>
            <w:helpText w:type="text" w:val="请输入正确的ICS号："/>
            <w:textInput>
              <w:default w:val="29.045"/>
            </w:textInput>
          </w:ffData>
        </w:fldChar>
      </w:r>
      <w:r>
        <w:rPr>
          <w:rFonts w:hint="eastAsia" w:ascii="黑体" w:hAnsi="黑体" w:eastAsia="黑体" w:cs="Times New Roman"/>
          <w:sz w:val="21"/>
          <w:szCs w:val="21"/>
          <w:lang w:val="en-US" w:eastAsia="zh-CN" w:bidi="ar-SA"/>
        </w:rPr>
        <w:instrText xml:space="preserve">FORMTEXT</w:instrText>
      </w:r>
      <w:r>
        <w:rPr>
          <w:rFonts w:hint="eastAsia" w:ascii="黑体" w:hAnsi="黑体" w:eastAsia="黑体" w:cs="Times New Roman"/>
          <w:sz w:val="21"/>
          <w:szCs w:val="21"/>
          <w:lang w:val="en-US" w:eastAsia="zh-CN" w:bidi="ar-SA"/>
        </w:rPr>
        <w:fldChar w:fldCharType="separate"/>
      </w:r>
      <w:r>
        <w:rPr>
          <w:rFonts w:hint="eastAsia" w:ascii="黑体" w:hAnsi="黑体" w:eastAsia="黑体" w:cs="Times New Roman"/>
          <w:sz w:val="21"/>
          <w:szCs w:val="21"/>
          <w:lang w:val="en-US" w:eastAsia="zh-CN" w:bidi="ar-SA"/>
        </w:rPr>
        <w:t>29.045</w:t>
      </w:r>
      <w:r>
        <w:rPr>
          <w:rFonts w:hint="eastAsia" w:ascii="黑体" w:hAnsi="黑体" w:eastAsia="黑体" w:cs="Times New Roman"/>
          <w:sz w:val="21"/>
          <w:szCs w:val="21"/>
          <w:lang w:val="en-US" w:eastAsia="zh-CN" w:bidi="ar-SA"/>
        </w:rPr>
        <w:fldChar w:fldCharType="end"/>
      </w:r>
      <w:bookmarkEnd w:id="0"/>
    </w:p>
    <w:p>
      <w:pPr>
        <w:pStyle w:val="34"/>
        <w:framePr w:wrap="around"/>
        <w:rPr>
          <w:rFonts w:hAnsi="黑体"/>
        </w:rPr>
      </w:pPr>
      <w:r>
        <w:rPr>
          <w:rFonts w:hAnsi="黑体"/>
        </w:rPr>
        <w:t xml:space="preserve">CCS </w:t>
      </w:r>
      <w:bookmarkStart w:id="1" w:name="WXFLH"/>
      <w:r>
        <w:rPr>
          <w:rFonts w:hint="eastAsia" w:ascii="黑体" w:hAnsi="黑体" w:eastAsia="黑体" w:cs="Times New Roman"/>
          <w:sz w:val="21"/>
          <w:szCs w:val="21"/>
          <w:lang w:val="en-US" w:eastAsia="zh-CN" w:bidi="ar-SA"/>
        </w:rPr>
        <w:fldChar w:fldCharType="begin">
          <w:ffData>
            <w:name w:val="WXFLH"/>
            <w:enabled/>
            <w:calcOnExit w:val="0"/>
            <w:helpText w:type="text" w:val="请输入中国标准文献分类号："/>
            <w:textInput>
              <w:default w:val="H 83"/>
            </w:textInput>
          </w:ffData>
        </w:fldChar>
      </w:r>
      <w:r>
        <w:rPr>
          <w:rFonts w:hint="eastAsia" w:ascii="黑体" w:hAnsi="黑体" w:eastAsia="黑体" w:cs="Times New Roman"/>
          <w:sz w:val="21"/>
          <w:szCs w:val="21"/>
          <w:lang w:val="en-US" w:eastAsia="zh-CN" w:bidi="ar-SA"/>
        </w:rPr>
        <w:instrText xml:space="preserve">FORMTEXT</w:instrText>
      </w:r>
      <w:r>
        <w:rPr>
          <w:rFonts w:hint="eastAsia" w:ascii="黑体" w:hAnsi="黑体" w:eastAsia="黑体" w:cs="Times New Roman"/>
          <w:sz w:val="21"/>
          <w:szCs w:val="21"/>
          <w:lang w:val="en-US" w:eastAsia="zh-CN" w:bidi="ar-SA"/>
        </w:rPr>
        <w:fldChar w:fldCharType="separate"/>
      </w:r>
      <w:r>
        <w:rPr>
          <w:rFonts w:hint="eastAsia" w:ascii="黑体" w:hAnsi="黑体" w:eastAsia="黑体" w:cs="Times New Roman"/>
          <w:sz w:val="21"/>
          <w:szCs w:val="21"/>
          <w:lang w:val="en-US" w:eastAsia="zh-CN" w:bidi="ar-SA"/>
        </w:rPr>
        <w:t>H 83</w:t>
      </w:r>
      <w:r>
        <w:rPr>
          <w:rFonts w:hint="eastAsia" w:ascii="黑体" w:hAnsi="黑体" w:eastAsia="黑体" w:cs="Times New Roman"/>
          <w:sz w:val="21"/>
          <w:szCs w:val="21"/>
          <w:lang w:val="en-US" w:eastAsia="zh-CN" w:bidi="ar-SA"/>
        </w:rPr>
        <w:fldChar w:fldCharType="end"/>
      </w:r>
      <w:bookmarkEnd w:id="1"/>
    </w:p>
    <w:p>
      <w:pPr>
        <w:pStyle w:val="6"/>
        <w:jc w:val="right"/>
        <w:rPr>
          <w:rFonts w:ascii="Times New Roman"/>
          <w:sz w:val="22"/>
        </w:rPr>
      </w:pPr>
      <w:r>
        <w:rPr>
          <w:color w:val="000000"/>
        </w:rPr>
        <w:drawing>
          <wp:inline distT="0" distB="0" distL="114300" distR="114300">
            <wp:extent cx="1428750" cy="723900"/>
            <wp:effectExtent l="0" t="0" r="0" b="0"/>
            <wp:docPr id="6"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GB"/>
                    <pic:cNvPicPr>
                      <a:picLocks noChangeAspect="1"/>
                    </pic:cNvPicPr>
                  </pic:nvPicPr>
                  <pic:blipFill>
                    <a:blip r:embed="rId9"/>
                    <a:stretch>
                      <a:fillRect/>
                    </a:stretch>
                  </pic:blipFill>
                  <pic:spPr>
                    <a:xfrm>
                      <a:off x="0" y="0"/>
                      <a:ext cx="1428750" cy="723900"/>
                    </a:xfrm>
                    <a:prstGeom prst="rect">
                      <a:avLst/>
                    </a:prstGeom>
                    <a:noFill/>
                    <a:ln>
                      <a:noFill/>
                    </a:ln>
                  </pic:spPr>
                </pic:pic>
              </a:graphicData>
            </a:graphic>
          </wp:inline>
        </w:drawing>
      </w:r>
    </w:p>
    <w:p>
      <w:pPr>
        <w:pStyle w:val="6"/>
        <w:jc w:val="right"/>
        <w:rPr>
          <w:rFonts w:ascii="Times New Roman"/>
          <w:sz w:val="22"/>
        </w:rPr>
      </w:pPr>
    </w:p>
    <w:p>
      <w:pPr>
        <w:pStyle w:val="29"/>
        <w:framePr w:wrap="around" w:x="1371" w:y="3509"/>
        <w:rPr>
          <w:color w:val="000000"/>
        </w:rPr>
      </w:pPr>
      <w:r>
        <w:rPr>
          <w:rFonts w:hint="eastAsia"/>
          <w:color w:val="000000"/>
        </w:rPr>
        <w:t>中华人民共和国国家标准</w:t>
      </w:r>
    </w:p>
    <w:p>
      <w:pPr>
        <w:pStyle w:val="6"/>
        <w:spacing w:before="8"/>
        <w:rPr>
          <w:rFonts w:ascii="Times New Roman"/>
          <w:sz w:val="23"/>
        </w:rPr>
      </w:pPr>
    </w:p>
    <w:p>
      <w:pPr>
        <w:pStyle w:val="15"/>
        <w:framePr w:x="1718" w:y="3874"/>
        <w:rPr>
          <w:rFonts w:hAnsi="黑体"/>
          <w:color w:val="000000"/>
        </w:rPr>
      </w:pPr>
      <w:r>
        <w:rPr>
          <w:rFonts w:hAnsi="黑体"/>
          <w:color w:val="000000"/>
        </w:rPr>
        <w:t xml:space="preserve">GB/T </w:t>
      </w:r>
      <w:r>
        <w:rPr>
          <w:rFonts w:hint="eastAsia" w:hAnsi="黑体"/>
          <w:color w:val="000000"/>
          <w:lang w:val="en-US" w:eastAsia="zh-CN"/>
        </w:rPr>
        <w:t>30856</w:t>
      </w:r>
      <w:r>
        <w:rPr>
          <w:rFonts w:hAnsi="黑体"/>
          <w:color w:val="000000"/>
        </w:rPr>
        <w:t>—XXXX</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6"/>
              <w:framePr w:x="1718" w:y="3874"/>
              <w:rPr>
                <w:rFonts w:ascii="黑体" w:hAnsi="黑体" w:eastAsia="黑体"/>
                <w:color w:val="000000"/>
              </w:rPr>
            </w:pPr>
            <w:r>
              <w:rPr>
                <w:rFonts w:hint="eastAsia" w:ascii="黑体" w:hAnsi="黑体" w:eastAsia="黑体"/>
                <w:color w:val="000000"/>
              </w:rPr>
              <w:t>代替</w:t>
            </w:r>
            <w:r>
              <w:rPr>
                <w:rFonts w:ascii="黑体" w:hAnsi="黑体" w:eastAsia="黑体"/>
                <w:color w:val="000000"/>
              </w:rPr>
              <w:t xml:space="preserve"> GB/T </w:t>
            </w:r>
            <w:r>
              <w:rPr>
                <w:rFonts w:hint="eastAsia" w:ascii="黑体" w:hAnsi="黑体" w:eastAsia="黑体"/>
                <w:color w:val="000000"/>
                <w:lang w:val="en-US" w:eastAsia="zh-CN"/>
              </w:rPr>
              <w:t>30856</w:t>
            </w:r>
            <w:r>
              <w:rPr>
                <w:rFonts w:hint="eastAsia" w:ascii="黑体" w:hAnsi="黑体" w:eastAsia="黑体"/>
                <w:color w:val="000000"/>
                <w:lang w:eastAsia="zh-CN"/>
              </w:rPr>
              <w:t>—</w:t>
            </w:r>
            <w:r>
              <w:rPr>
                <w:rFonts w:ascii="黑体" w:hAnsi="黑体" w:eastAsia="黑体"/>
                <w:color w:val="000000"/>
              </w:rPr>
              <w:t>2014</w:t>
            </w:r>
          </w:p>
        </w:tc>
      </w:tr>
    </w:tbl>
    <w:p>
      <w:pPr>
        <w:pStyle w:val="6"/>
        <w:rPr>
          <w:rFonts w:ascii="Times New Roman"/>
          <w:sz w:val="28"/>
        </w:rPr>
      </w:pPr>
      <w: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1023620</wp:posOffset>
                </wp:positionV>
                <wp:extent cx="6120130" cy="0"/>
                <wp:effectExtent l="0" t="0" r="0" b="0"/>
                <wp:wrapNone/>
                <wp:docPr id="2"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margin-left:0.55pt;margin-top:80.6pt;height:0pt;width:481.9pt;z-index:251659264;mso-width-relative:page;mso-height-relative:page;" filled="f" stroked="t" coordsize="21600,21600" o:gfxdata="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mPwQ1QAAAAkBAAAPAAAAAAAAAAEAIAAAACIAAABkcnMv&#10;ZG93bnJldi54bWxQSwECFAAUAAAACACHTuJAupx2s80BAACuAwAADgAAAAAAAAABACAAAAAkAQAA&#10;ZHJzL2Uyb0RvYy54bWxQSwUGAAAAAAYABgBZAQAAYwUAAAAA&#10;">
                <v:fill on="f" focussize="0,0"/>
                <v:stroke color="#000000" joinstyle="round"/>
                <v:imagedata o:title=""/>
                <o:lock v:ext="edit" aspectratio="f"/>
              </v:line>
            </w:pict>
          </mc:Fallback>
        </mc:AlternateContent>
      </w:r>
    </w:p>
    <w:p>
      <w:pPr>
        <w:pStyle w:val="2"/>
        <w:tabs>
          <w:tab w:val="left" w:pos="1235"/>
        </w:tabs>
        <w:spacing w:before="174"/>
        <w:ind w:right="395"/>
        <w:jc w:val="center"/>
        <w:rPr>
          <w:rFonts w:hint="eastAsia" w:ascii="黑体" w:hAnsi="黑体" w:eastAsia="黑体" w:cs="黑体"/>
          <w:sz w:val="52"/>
          <w:szCs w:val="52"/>
        </w:rPr>
      </w:pPr>
      <w:r>
        <w:rPr>
          <w:rFonts w:hint="eastAsia" w:ascii="黑体" w:hAnsi="黑体" w:eastAsia="黑体" w:cs="黑体"/>
          <w:sz w:val="52"/>
          <w:szCs w:val="52"/>
        </w:rPr>
        <w:t>LED外延芯片用</w:t>
      </w:r>
      <w:r>
        <w:rPr>
          <w:rFonts w:hint="eastAsia" w:ascii="黑体" w:hAnsi="黑体" w:eastAsia="黑体" w:cs="黑体"/>
          <w:sz w:val="52"/>
          <w:szCs w:val="52"/>
          <w:lang w:val="en-US" w:eastAsia="zh-CN"/>
        </w:rPr>
        <w:t>砷化镓</w:t>
      </w:r>
      <w:r>
        <w:rPr>
          <w:rFonts w:hint="eastAsia" w:ascii="黑体" w:hAnsi="黑体" w:eastAsia="黑体" w:cs="黑体"/>
          <w:sz w:val="52"/>
          <w:szCs w:val="52"/>
        </w:rPr>
        <w:t>衬底</w:t>
      </w:r>
    </w:p>
    <w:p>
      <w:pPr>
        <w:pStyle w:val="3"/>
        <w:tabs>
          <w:tab w:val="left" w:pos="3093"/>
        </w:tabs>
        <w:spacing w:before="473"/>
      </w:pPr>
      <w:r>
        <w:rPr>
          <w:rFonts w:hint="eastAsia" w:ascii="黑体" w:hAnsi="黑体" w:eastAsia="黑体" w:cs="黑体"/>
          <w:w w:val="80"/>
        </w:rPr>
        <w:t>GaAs</w:t>
      </w:r>
      <w:r>
        <w:rPr>
          <w:rFonts w:hint="eastAsia" w:ascii="黑体" w:hAnsi="黑体" w:eastAsia="黑体" w:cs="黑体"/>
          <w:spacing w:val="-36"/>
          <w:w w:val="80"/>
        </w:rPr>
        <w:t xml:space="preserve"> </w:t>
      </w:r>
      <w:r>
        <w:rPr>
          <w:rFonts w:hint="eastAsia" w:ascii="黑体" w:hAnsi="黑体" w:eastAsia="黑体" w:cs="黑体"/>
          <w:w w:val="80"/>
        </w:rPr>
        <w:t>substrates</w:t>
      </w:r>
      <w:r>
        <w:rPr>
          <w:rFonts w:hint="eastAsia" w:ascii="黑体" w:hAnsi="黑体" w:eastAsia="黑体" w:cs="黑体"/>
          <w:w w:val="80"/>
          <w:lang w:val="en-US" w:eastAsia="zh-CN"/>
        </w:rPr>
        <w:t xml:space="preserve"> </w:t>
      </w:r>
      <w:r>
        <w:rPr>
          <w:rFonts w:hint="eastAsia" w:ascii="黑体" w:hAnsi="黑体" w:eastAsia="黑体" w:cs="黑体"/>
          <w:spacing w:val="-109"/>
          <w:w w:val="80"/>
        </w:rPr>
        <w:t xml:space="preserve"> </w:t>
      </w:r>
      <w:r>
        <w:rPr>
          <w:rFonts w:hint="eastAsia" w:ascii="黑体" w:hAnsi="黑体" w:eastAsia="黑体" w:cs="黑体"/>
          <w:w w:val="80"/>
        </w:rPr>
        <w:t>for</w:t>
      </w:r>
      <w:r>
        <w:rPr>
          <w:rFonts w:hint="eastAsia" w:ascii="黑体" w:hAnsi="黑体" w:eastAsia="黑体" w:cs="黑体"/>
          <w:w w:val="80"/>
          <w:lang w:val="en-US" w:eastAsia="zh-CN"/>
        </w:rPr>
        <w:t xml:space="preserve"> </w:t>
      </w:r>
      <w:r>
        <w:rPr>
          <w:rFonts w:hint="eastAsia" w:ascii="黑体" w:hAnsi="黑体" w:eastAsia="黑体" w:cs="黑体"/>
          <w:spacing w:val="-100"/>
          <w:w w:val="80"/>
        </w:rPr>
        <w:t xml:space="preserve"> </w:t>
      </w:r>
      <w:r>
        <w:rPr>
          <w:rFonts w:hint="eastAsia" w:ascii="黑体" w:hAnsi="黑体" w:eastAsia="黑体" w:cs="黑体"/>
          <w:w w:val="80"/>
        </w:rPr>
        <w:t>LED</w:t>
      </w:r>
      <w:r>
        <w:rPr>
          <w:rFonts w:hint="eastAsia" w:ascii="黑体" w:hAnsi="黑体" w:eastAsia="黑体" w:cs="黑体"/>
          <w:w w:val="80"/>
          <w:lang w:val="en-US" w:eastAsia="zh-CN"/>
        </w:rPr>
        <w:t xml:space="preserve"> </w:t>
      </w:r>
      <w:r>
        <w:rPr>
          <w:rFonts w:hint="eastAsia" w:ascii="黑体" w:hAnsi="黑体" w:eastAsia="黑体" w:cs="黑体"/>
          <w:w w:val="80"/>
        </w:rPr>
        <w:t>epitaxial</w:t>
      </w:r>
      <w:r>
        <w:rPr>
          <w:rFonts w:hint="eastAsia" w:ascii="黑体" w:hAnsi="黑体" w:eastAsia="黑体" w:cs="黑体"/>
          <w:w w:val="80"/>
          <w:lang w:val="en-US" w:eastAsia="zh-CN"/>
        </w:rPr>
        <w:t xml:space="preserve"> </w:t>
      </w:r>
      <w:r>
        <w:rPr>
          <w:rFonts w:hint="eastAsia" w:ascii="黑体" w:hAnsi="黑体" w:eastAsia="黑体" w:cs="黑体"/>
          <w:spacing w:val="-98"/>
          <w:w w:val="80"/>
        </w:rPr>
        <w:t xml:space="preserve"> </w:t>
      </w:r>
      <w:r>
        <w:rPr>
          <w:rFonts w:hint="eastAsia" w:ascii="黑体" w:hAnsi="黑体" w:eastAsia="黑体" w:cs="黑体"/>
          <w:w w:val="80"/>
        </w:rPr>
        <w:t>chips</w:t>
      </w:r>
    </w:p>
    <w:p>
      <w:pPr>
        <w:pStyle w:val="6"/>
        <w:jc w:val="center"/>
        <w:rPr>
          <w:rFonts w:ascii="Courier New"/>
          <w:sz w:val="32"/>
        </w:rPr>
      </w:pPr>
      <w:r>
        <w:rPr>
          <w:rFonts w:hint="eastAsia"/>
          <w:color w:val="000000"/>
        </w:rPr>
        <w:t>（</w:t>
      </w:r>
      <w:r>
        <w:rPr>
          <w:rFonts w:hint="eastAsia"/>
          <w:color w:val="000000"/>
          <w:lang w:val="en-US" w:eastAsia="zh-CN"/>
        </w:rPr>
        <w:t>讨论稿</w:t>
      </w:r>
      <w:bookmarkStart w:id="22" w:name="_GoBack"/>
      <w:bookmarkEnd w:id="22"/>
      <w:r>
        <w:rPr>
          <w:rFonts w:hint="eastAsia"/>
          <w:color w:val="000000"/>
        </w:rPr>
        <w:t>）</w:t>
      </w:r>
    </w:p>
    <w:p>
      <w:pPr>
        <w:pStyle w:val="6"/>
        <w:rPr>
          <w:rFonts w:ascii="Courier New"/>
          <w:sz w:val="32"/>
        </w:rPr>
      </w:pPr>
    </w:p>
    <w:p>
      <w:pPr>
        <w:pStyle w:val="6"/>
        <w:rPr>
          <w:rFonts w:ascii="Courier New"/>
          <w:sz w:val="32"/>
        </w:rPr>
      </w:pPr>
    </w:p>
    <w:p>
      <w:pPr>
        <w:pStyle w:val="6"/>
        <w:rPr>
          <w:rFonts w:ascii="Courier New"/>
          <w:sz w:val="32"/>
        </w:rPr>
      </w:pPr>
    </w:p>
    <w:p>
      <w:pPr>
        <w:pStyle w:val="30"/>
        <w:framePr w:wrap="around" w:vAnchor="page" w:hAnchor="page" w:x="1171" w:y="12819"/>
        <w:rPr>
          <w:color w:val="000000"/>
        </w:rPr>
      </w:pPr>
      <w:bookmarkStart w:id="2" w:name="FY"/>
      <w:r>
        <w:rPr>
          <w:rFonts w:ascii="黑体"/>
          <w:color w:val="000000"/>
        </w:rPr>
        <w:fldChar w:fldCharType="begin">
          <w:ffData>
            <w:name w:val="FY"/>
            <w:enabled/>
            <w:calcOnExit w:val="0"/>
            <w:textInput>
              <w:default w:val="XXXX"/>
              <w:maxLength w:val="4"/>
            </w:textInput>
          </w:ffData>
        </w:fldChar>
      </w:r>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2"/>
      <w:r>
        <w:rPr>
          <w:color w:val="000000"/>
        </w:rPr>
        <w:t xml:space="preserve"> </w:t>
      </w:r>
      <w:r>
        <w:rPr>
          <w:rFonts w:ascii="黑体"/>
          <w:color w:val="000000"/>
        </w:rPr>
        <w:t>-</w:t>
      </w:r>
      <w:r>
        <w:rPr>
          <w:color w:val="000000"/>
        </w:rPr>
        <w:t xml:space="preserve"> </w:t>
      </w:r>
      <w:bookmarkStart w:id="3" w:name="FM"/>
      <w:r>
        <w:rPr>
          <w:rFonts w:ascii="黑体"/>
          <w:color w:val="000000"/>
        </w:rPr>
        <w:fldChar w:fldCharType="begin">
          <w:ffData>
            <w:name w:val="FM"/>
            <w:enabled/>
            <w:calcOnExit w:val="0"/>
            <w:textInput>
              <w:default w:val="XX"/>
              <w:maxLength w:val="2"/>
            </w:textInput>
          </w:ffData>
        </w:fldChar>
      </w:r>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3"/>
      <w:r>
        <w:rPr>
          <w:color w:val="000000"/>
        </w:rPr>
        <w:t xml:space="preserve"> </w:t>
      </w:r>
      <w:r>
        <w:rPr>
          <w:rFonts w:ascii="黑体"/>
          <w:color w:val="000000"/>
        </w:rPr>
        <w:t>-</w:t>
      </w:r>
      <w:r>
        <w:rPr>
          <w:color w:val="000000"/>
        </w:rPr>
        <w:t xml:space="preserve"> </w:t>
      </w:r>
      <w:bookmarkStart w:id="4" w:name="FD"/>
      <w:r>
        <w:rPr>
          <w:rFonts w:ascii="黑体"/>
          <w:color w:val="000000"/>
        </w:rPr>
        <w:fldChar w:fldCharType="begin">
          <w:ffData>
            <w:name w:val="FD"/>
            <w:enabled/>
            <w:calcOnExit w:val="0"/>
            <w:textInput>
              <w:default w:val="XX"/>
              <w:maxLength w:val="2"/>
            </w:textInput>
          </w:ffData>
        </w:fldChar>
      </w:r>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4"/>
      <w:r>
        <w:rPr>
          <w:rFonts w:hint="eastAsia"/>
          <w:color w:val="000000"/>
        </w:rPr>
        <w:t>发布</w:t>
      </w:r>
    </w:p>
    <w:p>
      <w:pPr>
        <w:pStyle w:val="6"/>
        <w:jc w:val="left"/>
      </w:pPr>
    </w:p>
    <w:p>
      <w:pPr>
        <w:bidi w:val="0"/>
      </w:pPr>
    </w:p>
    <w:p>
      <w:pPr>
        <w:bidi w:val="0"/>
      </w:pPr>
    </w:p>
    <w:p>
      <w:pPr>
        <w:bidi w:val="0"/>
      </w:pPr>
    </w:p>
    <w:p>
      <w:pPr>
        <w:bidi w:val="0"/>
      </w:pPr>
      <w:r>
        <w:rPr>
          <w:sz w:val="22"/>
        </w:rPr>
        <mc:AlternateContent>
          <mc:Choice Requires="wps">
            <w:drawing>
              <wp:anchor distT="0" distB="0" distL="114300" distR="114300" simplePos="0" relativeHeight="251660288" behindDoc="0" locked="0" layoutInCell="1" allowOverlap="1">
                <wp:simplePos x="0" y="0"/>
                <wp:positionH relativeFrom="column">
                  <wp:posOffset>-194310</wp:posOffset>
                </wp:positionH>
                <wp:positionV relativeFrom="paragraph">
                  <wp:posOffset>1330325</wp:posOffset>
                </wp:positionV>
                <wp:extent cx="6184265" cy="0"/>
                <wp:effectExtent l="0" t="0" r="0" b="0"/>
                <wp:wrapNone/>
                <wp:docPr id="17" name="直接连接符 17"/>
                <wp:cNvGraphicFramePr/>
                <a:graphic xmlns:a="http://schemas.openxmlformats.org/drawingml/2006/main">
                  <a:graphicData uri="http://schemas.microsoft.com/office/word/2010/wordprocessingShape">
                    <wps:wsp>
                      <wps:cNvCnPr/>
                      <wps:spPr>
                        <a:xfrm>
                          <a:off x="838200" y="8775700"/>
                          <a:ext cx="618426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3pt;margin-top:104.75pt;height:0pt;width:486.95pt;z-index:251660288;mso-width-relative:page;mso-height-relative:page;" filled="f" stroked="t" coordsize="21600,21600" o:gfxdata="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L3Pa7YAAAACwEAAA8AAAAAAAAAAQAgAAAA&#10;IgAAAGRycy9kb3ducmV2LnhtbFBLAQIUABQAAAAIAIdO4kAtuQyr0gEAAIUDAAAOAAAAAAAAAAEA&#10;IAAAACcBAABkcnMvZTJvRG9jLnhtbFBLBQYAAAAABgAGAFkBAABrBQAAAAA=&#10;">
                <v:fill on="f" focussize="0,0"/>
                <v:stroke color="#000000" joinstyle="round"/>
                <v:imagedata o:title=""/>
                <o:lock v:ext="edit" aspectratio="f"/>
              </v:line>
            </w:pict>
          </mc:Fallback>
        </mc:AlternateContent>
      </w:r>
      <w:r>
        <w:rPr>
          <w:rFonts w:hAnsi="宋体"/>
        </w:rPr>
        <w:drawing>
          <wp:anchor distT="0" distB="0" distL="114300" distR="114300" simplePos="0" relativeHeight="251662336" behindDoc="0" locked="0" layoutInCell="1" allowOverlap="1">
            <wp:simplePos x="0" y="0"/>
            <wp:positionH relativeFrom="margin">
              <wp:posOffset>1014730</wp:posOffset>
            </wp:positionH>
            <wp:positionV relativeFrom="paragraph">
              <wp:posOffset>1412240</wp:posOffset>
            </wp:positionV>
            <wp:extent cx="3804920" cy="761365"/>
            <wp:effectExtent l="0" t="0" r="5080" b="635"/>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804920" cy="761365"/>
                    </a:xfrm>
                    <a:prstGeom prst="rect">
                      <a:avLst/>
                    </a:prstGeom>
                    <a:noFill/>
                    <a:ln>
                      <a:noFill/>
                    </a:ln>
                  </pic:spPr>
                </pic:pic>
              </a:graphicData>
            </a:graphic>
          </wp:anchor>
        </w:drawing>
      </w:r>
    </w:p>
    <w:p>
      <w:pPr>
        <w:pStyle w:val="32"/>
        <w:framePr w:wrap="around" w:vAnchor="page" w:hAnchor="page" w:x="6827" w:y="12891"/>
        <w:ind w:right="140"/>
        <w:rPr>
          <w:color w:val="000000"/>
        </w:rPr>
      </w:pPr>
      <w:bookmarkStart w:id="5" w:name="SY"/>
      <w:r>
        <w:rPr>
          <w:rFonts w:ascii="黑体"/>
          <w:color w:val="000000"/>
        </w:rPr>
        <w:fldChar w:fldCharType="begin">
          <w:ffData>
            <w:name w:val="SY"/>
            <w:enabled/>
            <w:calcOnExit w:val="0"/>
            <w:textInput>
              <w:default w:val="XXXX"/>
              <w:maxLength w:val="4"/>
            </w:textInput>
          </w:ffData>
        </w:fldChar>
      </w:r>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5"/>
      <w:r>
        <w:rPr>
          <w:color w:val="000000"/>
        </w:rPr>
        <w:t xml:space="preserve"> </w:t>
      </w:r>
      <w:r>
        <w:rPr>
          <w:rFonts w:ascii="黑体"/>
          <w:color w:val="000000"/>
        </w:rPr>
        <w:t>-</w:t>
      </w:r>
      <w:r>
        <w:rPr>
          <w:color w:val="000000"/>
        </w:rPr>
        <w:t xml:space="preserve"> </w:t>
      </w:r>
      <w:bookmarkStart w:id="6" w:name="SM"/>
      <w:r>
        <w:rPr>
          <w:rFonts w:ascii="黑体"/>
          <w:color w:val="000000"/>
        </w:rPr>
        <w:fldChar w:fldCharType="begin">
          <w:ffData>
            <w:name w:val="SM"/>
            <w:enabled/>
            <w:calcOnExit w:val="0"/>
            <w:textInput>
              <w:default w:val="XX"/>
              <w:maxLength w:val="2"/>
            </w:textInput>
          </w:ffData>
        </w:fldChar>
      </w:r>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6"/>
      <w:r>
        <w:rPr>
          <w:color w:val="000000"/>
        </w:rPr>
        <w:t xml:space="preserve"> </w:t>
      </w:r>
      <w:r>
        <w:rPr>
          <w:rFonts w:ascii="黑体"/>
          <w:color w:val="000000"/>
        </w:rPr>
        <w:t>-</w:t>
      </w:r>
      <w:r>
        <w:rPr>
          <w:color w:val="000000"/>
        </w:rPr>
        <w:t xml:space="preserve"> </w:t>
      </w:r>
      <w:bookmarkStart w:id="7" w:name="SD"/>
      <w:r>
        <w:rPr>
          <w:rFonts w:ascii="黑体"/>
          <w:color w:val="000000"/>
        </w:rPr>
        <w:fldChar w:fldCharType="begin">
          <w:ffData>
            <w:name w:val="SD"/>
            <w:enabled/>
            <w:calcOnExit w:val="0"/>
            <w:textInput>
              <w:default w:val="XX"/>
              <w:maxLength w:val="2"/>
            </w:textInput>
          </w:ffData>
        </w:fldChar>
      </w:r>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7"/>
      <w:r>
        <w:rPr>
          <w:rFonts w:hint="eastAsia"/>
          <w:color w:val="000000"/>
        </w:rPr>
        <w:t>实施</w:t>
      </w:r>
    </w:p>
    <w:p>
      <w:pPr>
        <w:pStyle w:val="21"/>
        <w:rPr>
          <w:color w:val="000000"/>
        </w:rPr>
      </w:pPr>
      <w:bookmarkStart w:id="8" w:name="00000002"/>
      <w:bookmarkEnd w:id="8"/>
      <w:r>
        <w:rPr>
          <w:rFonts w:hint="eastAsia"/>
          <w:color w:val="000000"/>
        </w:rPr>
        <w:t>前</w:t>
      </w:r>
      <w:bookmarkStart w:id="9" w:name="BKQY"/>
      <w:r>
        <w:rPr>
          <w:color w:val="000000"/>
        </w:rPr>
        <w:t>  </w:t>
      </w:r>
      <w:r>
        <w:rPr>
          <w:rFonts w:hint="eastAsia"/>
          <w:color w:val="000000"/>
        </w:rPr>
        <w:t>言</w:t>
      </w:r>
      <w:bookmarkEnd w:id="9"/>
    </w:p>
    <w:p>
      <w:pPr>
        <w:pStyle w:val="6"/>
        <w:keepNext w:val="0"/>
        <w:keepLines w:val="0"/>
        <w:pageBreakBefore w:val="0"/>
        <w:kinsoku/>
        <w:wordWrap/>
        <w:overflowPunct/>
        <w:topLinePunct w:val="0"/>
        <w:autoSpaceDE w:val="0"/>
        <w:autoSpaceDN w:val="0"/>
        <w:bidi w:val="0"/>
        <w:adjustRightInd/>
        <w:snapToGrid/>
        <w:spacing w:before="11" w:line="360" w:lineRule="auto"/>
        <w:jc w:val="both"/>
        <w:textAlignment w:val="auto"/>
        <w:rPr>
          <w:rFonts w:hint="eastAsia"/>
          <w:w w:val="125"/>
          <w:sz w:val="20"/>
          <w:lang w:val="en-US" w:eastAsia="zh-CN"/>
        </w:rPr>
      </w:pPr>
    </w:p>
    <w:p>
      <w:pPr>
        <w:pStyle w:val="17"/>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本文件按照GB/T 1.1—2020《标准化工作导则  第1部分：标准化文件的结构和起草规则》的规定起草。</w:t>
      </w:r>
    </w:p>
    <w:p>
      <w:pPr>
        <w:pStyle w:val="17"/>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本文件代替GB/T </w:t>
      </w:r>
      <w:r>
        <w:rPr>
          <w:rFonts w:hint="eastAsia" w:ascii="宋体" w:hAnsi="宋体" w:eastAsia="宋体" w:cs="宋体"/>
          <w:color w:val="000000"/>
          <w:sz w:val="21"/>
          <w:szCs w:val="21"/>
          <w:lang w:val="en-US" w:eastAsia="zh-CN"/>
        </w:rPr>
        <w:t>30856</w:t>
      </w:r>
      <w:r>
        <w:rPr>
          <w:rFonts w:hint="eastAsia" w:ascii="宋体" w:hAnsi="宋体" w:eastAsia="宋体" w:cs="宋体"/>
          <w:color w:val="000000"/>
          <w:sz w:val="21"/>
          <w:szCs w:val="21"/>
        </w:rPr>
        <w:t>—2014《</w:t>
      </w:r>
      <w:r>
        <w:rPr>
          <w:rFonts w:hint="eastAsia" w:ascii="宋体" w:hAnsi="宋体" w:eastAsia="宋体" w:cs="宋体"/>
          <w:color w:val="000000"/>
          <w:sz w:val="21"/>
          <w:szCs w:val="21"/>
          <w:lang w:val="en-US" w:eastAsia="zh-CN"/>
        </w:rPr>
        <w:t>LED外延芯片用砷化镓衬底</w:t>
      </w:r>
      <w:r>
        <w:rPr>
          <w:rFonts w:hint="eastAsia" w:ascii="宋体" w:hAnsi="宋体" w:eastAsia="宋体" w:cs="宋体"/>
          <w:color w:val="000000"/>
          <w:sz w:val="21"/>
          <w:szCs w:val="21"/>
        </w:rPr>
        <w:t xml:space="preserve">》，与GB/T </w:t>
      </w:r>
      <w:r>
        <w:rPr>
          <w:rFonts w:hint="eastAsia" w:ascii="宋体" w:hAnsi="宋体" w:eastAsia="宋体" w:cs="宋体"/>
          <w:color w:val="000000"/>
          <w:sz w:val="21"/>
          <w:szCs w:val="21"/>
          <w:lang w:val="en-US" w:eastAsia="zh-CN"/>
        </w:rPr>
        <w:t>30856</w:t>
      </w:r>
      <w:r>
        <w:rPr>
          <w:rFonts w:hint="eastAsia" w:ascii="宋体" w:hAnsi="宋体" w:eastAsia="宋体" w:cs="宋体"/>
          <w:color w:val="000000"/>
          <w:sz w:val="21"/>
          <w:szCs w:val="21"/>
        </w:rPr>
        <w:t>—2014相比，除结构调整和编辑性改动外，主要技术变化如下：</w:t>
      </w:r>
    </w:p>
    <w:p>
      <w:pPr>
        <w:keepNext w:val="0"/>
        <w:keepLines w:val="0"/>
        <w:pageBreakBefore w:val="0"/>
        <w:numPr>
          <w:ilvl w:val="7"/>
          <w:numId w:val="5"/>
        </w:numPr>
        <w:kinsoku/>
        <w:wordWrap/>
        <w:overflowPunct/>
        <w:topLinePunct w:val="0"/>
        <w:autoSpaceDE w:val="0"/>
        <w:autoSpaceDN w:val="0"/>
        <w:bidi w:val="0"/>
        <w:adjustRightInd/>
        <w:snapToGrid/>
        <w:spacing w:line="240" w:lineRule="auto"/>
        <w:ind w:left="0" w:leftChars="0" w:firstLine="402"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增加</w:t>
      </w:r>
      <w:r>
        <w:rPr>
          <w:rFonts w:hint="eastAsia" w:ascii="宋体" w:hAnsi="宋体" w:eastAsia="宋体" w:cs="宋体"/>
          <w:b w:val="0"/>
          <w:bCs w:val="0"/>
          <w:color w:val="auto"/>
          <w:sz w:val="21"/>
          <w:szCs w:val="21"/>
          <w:lang w:val="en-US" w:eastAsia="zh-CN"/>
        </w:rPr>
        <w:t>“</w:t>
      </w:r>
      <w:r>
        <w:rPr>
          <w:rFonts w:hint="eastAsia" w:ascii="宋体" w:hAnsi="宋体" w:eastAsia="宋体" w:cs="宋体"/>
          <w:color w:val="auto"/>
          <w:sz w:val="21"/>
          <w:szCs w:val="21"/>
          <w:vertAlign w:val="baseline"/>
          <w:lang w:val="en-US" w:eastAsia="zh-CN"/>
        </w:rPr>
        <w:t>Φ</w:t>
      </w:r>
      <w:r>
        <w:rPr>
          <w:rFonts w:hint="eastAsia" w:ascii="宋体" w:hAnsi="宋体" w:eastAsia="宋体" w:cs="宋体"/>
          <w:b w:val="0"/>
          <w:bCs w:val="0"/>
          <w:color w:val="auto"/>
          <w:sz w:val="21"/>
          <w:szCs w:val="21"/>
          <w:lang w:val="en-US" w:eastAsia="zh-CN"/>
        </w:rPr>
        <w:t>200mm</w:t>
      </w:r>
      <w:r>
        <w:rPr>
          <w:rFonts w:hint="eastAsia" w:ascii="宋体" w:hAnsi="宋体" w:eastAsia="宋体" w:cs="宋体"/>
          <w:b w:val="0"/>
          <w:bCs w:val="0"/>
          <w:sz w:val="21"/>
          <w:szCs w:val="21"/>
          <w:lang w:val="en-US" w:eastAsia="zh-CN"/>
        </w:rPr>
        <w:t>”直径规格砷化镓衬底</w:t>
      </w:r>
      <w:r>
        <w:rPr>
          <w:rFonts w:hint="eastAsia" w:ascii="宋体" w:hAnsi="宋体" w:eastAsia="宋体" w:cs="宋体"/>
          <w:sz w:val="21"/>
          <w:szCs w:val="21"/>
        </w:rPr>
        <w:t>（</w:t>
      </w:r>
      <w:r>
        <w:rPr>
          <w:rFonts w:hint="eastAsia" w:ascii="宋体" w:hAnsi="宋体" w:eastAsia="宋体" w:cs="宋体"/>
          <w:sz w:val="21"/>
          <w:szCs w:val="21"/>
          <w:lang w:val="en-US" w:eastAsia="zh-CN"/>
        </w:rPr>
        <w:t>见4.2，</w:t>
      </w:r>
      <w:r>
        <w:rPr>
          <w:rFonts w:hint="eastAsia" w:ascii="宋体" w:hAnsi="宋体" w:eastAsia="宋体" w:cs="宋体"/>
          <w:sz w:val="21"/>
          <w:szCs w:val="21"/>
        </w:rPr>
        <w:t>2014年版的</w:t>
      </w:r>
      <w:r>
        <w:rPr>
          <w:rFonts w:hint="eastAsia" w:ascii="宋体" w:hAnsi="宋体" w:eastAsia="宋体" w:cs="宋体"/>
          <w:sz w:val="21"/>
          <w:szCs w:val="21"/>
          <w:lang w:val="en-US" w:eastAsia="zh-CN"/>
        </w:rPr>
        <w:t>4.3</w:t>
      </w:r>
      <w:r>
        <w:rPr>
          <w:rFonts w:hint="eastAsia" w:ascii="宋体" w:hAnsi="宋体" w:eastAsia="宋体" w:cs="宋体"/>
          <w:sz w:val="21"/>
          <w:szCs w:val="21"/>
        </w:rPr>
        <w:t>）</w:t>
      </w:r>
      <w:r>
        <w:rPr>
          <w:rFonts w:hint="eastAsia" w:ascii="宋体" w:hAnsi="宋体" w:eastAsia="宋体" w:cs="宋体"/>
          <w:b w:val="0"/>
          <w:bCs w:val="0"/>
          <w:sz w:val="21"/>
          <w:szCs w:val="21"/>
          <w:lang w:val="en-US" w:eastAsia="zh-CN"/>
        </w:rPr>
        <w:t xml:space="preserve"> ；</w:t>
      </w:r>
    </w:p>
    <w:p>
      <w:pPr>
        <w:keepNext w:val="0"/>
        <w:keepLines w:val="0"/>
        <w:pageBreakBefore w:val="0"/>
        <w:numPr>
          <w:ilvl w:val="7"/>
          <w:numId w:val="5"/>
        </w:numPr>
        <w:kinsoku/>
        <w:wordWrap/>
        <w:overflowPunct/>
        <w:topLinePunct w:val="0"/>
        <w:autoSpaceDE w:val="0"/>
        <w:autoSpaceDN w:val="0"/>
        <w:bidi w:val="0"/>
        <w:adjustRightInd/>
        <w:snapToGrid/>
        <w:spacing w:line="240" w:lineRule="auto"/>
        <w:ind w:left="0" w:leftChars="0" w:firstLine="402" w:firstLineChars="0"/>
        <w:jc w:val="left"/>
        <w:textAlignment w:val="auto"/>
        <w:rPr>
          <w:rFonts w:hint="eastAsia" w:ascii="宋体" w:hAnsi="宋体" w:eastAsia="宋体" w:cs="宋体"/>
          <w:b w:val="0"/>
          <w:bCs w:val="0"/>
          <w:sz w:val="21"/>
          <w:szCs w:val="21"/>
          <w:lang w:val="en-US" w:eastAsia="zh-CN"/>
        </w:rPr>
      </w:pPr>
      <w:r>
        <w:rPr>
          <w:rFonts w:hint="eastAsia" w:cs="宋体"/>
          <w:b w:val="0"/>
          <w:bCs w:val="0"/>
          <w:sz w:val="21"/>
          <w:szCs w:val="21"/>
          <w:lang w:val="en-US" w:eastAsia="zh-CN"/>
        </w:rPr>
        <w:t>增加表1 直径及允许偏差（见4.2）</w:t>
      </w:r>
    </w:p>
    <w:p>
      <w:pPr>
        <w:keepNext w:val="0"/>
        <w:keepLines w:val="0"/>
        <w:pageBreakBefore w:val="0"/>
        <w:numPr>
          <w:ilvl w:val="7"/>
          <w:numId w:val="5"/>
        </w:numPr>
        <w:kinsoku/>
        <w:wordWrap/>
        <w:overflowPunct/>
        <w:topLinePunct w:val="0"/>
        <w:autoSpaceDE w:val="0"/>
        <w:autoSpaceDN w:val="0"/>
        <w:bidi w:val="0"/>
        <w:adjustRightInd/>
        <w:snapToGrid/>
        <w:spacing w:line="240" w:lineRule="auto"/>
        <w:ind w:left="0" w:leftChars="0" w:firstLine="402"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电学性能需要增加n型和p掺杂剂及截面电阻率均匀性</w:t>
      </w:r>
      <w:r>
        <w:rPr>
          <w:rFonts w:hint="eastAsia" w:ascii="宋体" w:hAnsi="宋体" w:eastAsia="宋体" w:cs="宋体"/>
          <w:sz w:val="21"/>
          <w:szCs w:val="21"/>
        </w:rPr>
        <w:t>（见</w:t>
      </w:r>
      <w:r>
        <w:rPr>
          <w:rFonts w:hint="eastAsia" w:ascii="宋体" w:hAnsi="宋体" w:eastAsia="宋体" w:cs="宋体"/>
          <w:sz w:val="21"/>
          <w:szCs w:val="21"/>
          <w:lang w:val="en-US" w:eastAsia="zh-CN"/>
        </w:rPr>
        <w:t>5.1，2014年版的4.1</w:t>
      </w:r>
      <w:r>
        <w:rPr>
          <w:rFonts w:hint="eastAsia" w:cs="宋体"/>
          <w:sz w:val="21"/>
          <w:szCs w:val="21"/>
          <w:lang w:val="en-US" w:eastAsia="zh-CN"/>
        </w:rPr>
        <w:t>和4.4</w:t>
      </w:r>
      <w:r>
        <w:rPr>
          <w:rFonts w:hint="eastAsia" w:ascii="宋体" w:hAnsi="宋体" w:eastAsia="宋体" w:cs="宋体"/>
          <w:sz w:val="21"/>
          <w:szCs w:val="21"/>
        </w:rPr>
        <w:t>）</w:t>
      </w:r>
      <w:r>
        <w:rPr>
          <w:rFonts w:hint="eastAsia" w:ascii="宋体" w:hAnsi="宋体" w:eastAsia="宋体" w:cs="宋体"/>
          <w:b w:val="0"/>
          <w:bCs w:val="0"/>
          <w:sz w:val="21"/>
          <w:szCs w:val="21"/>
          <w:lang w:val="en-US" w:eastAsia="zh-CN"/>
        </w:rPr>
        <w:t>；</w:t>
      </w:r>
    </w:p>
    <w:p>
      <w:pPr>
        <w:keepNext w:val="0"/>
        <w:keepLines w:val="0"/>
        <w:pageBreakBefore w:val="0"/>
        <w:numPr>
          <w:ilvl w:val="7"/>
          <w:numId w:val="5"/>
        </w:numPr>
        <w:kinsoku/>
        <w:wordWrap/>
        <w:overflowPunct/>
        <w:topLinePunct w:val="0"/>
        <w:autoSpaceDE w:val="0"/>
        <w:autoSpaceDN w:val="0"/>
        <w:bidi w:val="0"/>
        <w:adjustRightInd/>
        <w:snapToGrid/>
        <w:spacing w:line="240" w:lineRule="auto"/>
        <w:ind w:left="0" w:leftChars="0" w:firstLine="402" w:firstLine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lang w:val="en-US" w:eastAsia="zh-CN"/>
        </w:rPr>
        <w:t>增加“</w:t>
      </w:r>
      <w:r>
        <w:rPr>
          <w:rFonts w:hint="eastAsia" w:ascii="宋体" w:hAnsi="宋体" w:eastAsia="宋体" w:cs="宋体"/>
          <w:color w:val="auto"/>
          <w:sz w:val="21"/>
          <w:szCs w:val="21"/>
          <w:vertAlign w:val="baseline"/>
          <w:lang w:val="en-US" w:eastAsia="zh-CN"/>
        </w:rPr>
        <w:t>Φ</w:t>
      </w:r>
      <w:r>
        <w:rPr>
          <w:rFonts w:hint="eastAsia" w:ascii="宋体" w:hAnsi="宋体" w:eastAsia="宋体" w:cs="宋体"/>
          <w:b w:val="0"/>
          <w:bCs w:val="0"/>
          <w:color w:val="auto"/>
          <w:sz w:val="21"/>
          <w:szCs w:val="21"/>
          <w:lang w:val="en-US" w:eastAsia="zh-CN"/>
        </w:rPr>
        <w:t>200mm”直径规格参考面的取向、形状和尺寸</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见5.3，</w:t>
      </w:r>
      <w:r>
        <w:rPr>
          <w:rFonts w:hint="eastAsia" w:ascii="宋体" w:hAnsi="宋体" w:eastAsia="宋体" w:cs="宋体"/>
          <w:color w:val="auto"/>
          <w:sz w:val="21"/>
          <w:szCs w:val="21"/>
        </w:rPr>
        <w:t>2014年版的</w:t>
      </w:r>
      <w:r>
        <w:rPr>
          <w:rFonts w:hint="eastAsia" w:ascii="宋体" w:hAnsi="宋体" w:eastAsia="宋体" w:cs="宋体"/>
          <w:color w:val="auto"/>
          <w:sz w:val="21"/>
          <w:szCs w:val="21"/>
          <w:lang w:val="en-US" w:eastAsia="zh-CN"/>
        </w:rPr>
        <w:t>4.8</w:t>
      </w:r>
      <w:r>
        <w:rPr>
          <w:rFonts w:hint="eastAsia" w:ascii="宋体" w:hAnsi="宋体" w:eastAsia="宋体" w:cs="宋体"/>
          <w:color w:val="auto"/>
          <w:sz w:val="21"/>
          <w:szCs w:val="21"/>
        </w:rPr>
        <w:t>）</w:t>
      </w:r>
      <w:r>
        <w:rPr>
          <w:rFonts w:hint="eastAsia" w:ascii="宋体" w:hAnsi="宋体" w:eastAsia="宋体" w:cs="宋体"/>
          <w:b w:val="0"/>
          <w:bCs w:val="0"/>
          <w:color w:val="auto"/>
          <w:sz w:val="21"/>
          <w:szCs w:val="21"/>
          <w:lang w:val="en-US" w:eastAsia="zh-CN"/>
        </w:rPr>
        <w:t xml:space="preserve"> ；</w:t>
      </w:r>
    </w:p>
    <w:p>
      <w:pPr>
        <w:keepNext w:val="0"/>
        <w:keepLines w:val="0"/>
        <w:pageBreakBefore w:val="0"/>
        <w:numPr>
          <w:ilvl w:val="7"/>
          <w:numId w:val="5"/>
        </w:numPr>
        <w:kinsoku/>
        <w:wordWrap/>
        <w:overflowPunct/>
        <w:topLinePunct w:val="0"/>
        <w:autoSpaceDE w:val="0"/>
        <w:autoSpaceDN w:val="0"/>
        <w:bidi w:val="0"/>
        <w:adjustRightInd/>
        <w:snapToGrid/>
        <w:spacing w:line="240" w:lineRule="auto"/>
        <w:ind w:left="0" w:leftChars="0" w:firstLine="402" w:firstLine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晶向及晶向偏离角度，增加常规的标准化产品角度</w:t>
      </w:r>
      <w:r>
        <w:rPr>
          <w:rFonts w:hint="eastAsia" w:cs="宋体"/>
          <w:b w:val="0"/>
          <w:bCs w:val="0"/>
          <w:color w:val="auto"/>
          <w:sz w:val="21"/>
          <w:szCs w:val="21"/>
          <w:lang w:val="en-US" w:eastAsia="zh-CN"/>
        </w:rPr>
        <w:t>表5</w:t>
      </w:r>
      <w:r>
        <w:rPr>
          <w:rFonts w:hint="eastAsia" w:ascii="宋体" w:hAnsi="宋体" w:eastAsia="宋体" w:cs="宋体"/>
          <w:b w:val="0"/>
          <w:bCs w:val="0"/>
          <w:color w:val="auto"/>
          <w:sz w:val="21"/>
          <w:szCs w:val="21"/>
          <w:lang w:val="en-US" w:eastAsia="zh-CN"/>
        </w:rPr>
        <w:t>（见5.4，2014年版的4.5）；</w:t>
      </w:r>
    </w:p>
    <w:p>
      <w:pPr>
        <w:keepNext w:val="0"/>
        <w:keepLines w:val="0"/>
        <w:pageBreakBefore w:val="0"/>
        <w:widowControl w:val="0"/>
        <w:numPr>
          <w:ilvl w:val="7"/>
          <w:numId w:val="5"/>
        </w:numPr>
        <w:kinsoku/>
        <w:wordWrap/>
        <w:overflowPunct/>
        <w:topLinePunct w:val="0"/>
        <w:autoSpaceDE w:val="0"/>
        <w:autoSpaceDN w:val="0"/>
        <w:bidi w:val="0"/>
        <w:adjustRightInd/>
        <w:snapToGrid/>
        <w:spacing w:line="240" w:lineRule="auto"/>
        <w:ind w:left="860" w:leftChars="200" w:hanging="420" w:hanging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color w:val="auto"/>
          <w:sz w:val="21"/>
          <w:szCs w:val="21"/>
          <w:lang w:val="en-US" w:eastAsia="zh-CN"/>
        </w:rPr>
        <w:t>增加“</w:t>
      </w:r>
      <w:r>
        <w:rPr>
          <w:rFonts w:hint="eastAsia" w:ascii="宋体" w:hAnsi="宋体" w:eastAsia="宋体" w:cs="宋体"/>
          <w:color w:val="auto"/>
          <w:sz w:val="21"/>
          <w:szCs w:val="21"/>
          <w:vertAlign w:val="baseline"/>
          <w:lang w:val="en-US" w:eastAsia="zh-CN"/>
        </w:rPr>
        <w:t>Φ</w:t>
      </w:r>
      <w:r>
        <w:rPr>
          <w:rFonts w:hint="eastAsia" w:ascii="宋体" w:hAnsi="宋体" w:eastAsia="宋体" w:cs="宋体"/>
          <w:b w:val="0"/>
          <w:bCs w:val="0"/>
          <w:color w:val="auto"/>
          <w:sz w:val="21"/>
          <w:szCs w:val="21"/>
          <w:lang w:val="en-US" w:eastAsia="zh-CN"/>
        </w:rPr>
        <w:t>200m</w:t>
      </w:r>
      <w:r>
        <w:rPr>
          <w:rFonts w:hint="eastAsia" w:ascii="宋体" w:hAnsi="宋体" w:eastAsia="宋体" w:cs="宋体"/>
          <w:b w:val="0"/>
          <w:bCs w:val="0"/>
          <w:sz w:val="21"/>
          <w:szCs w:val="21"/>
          <w:lang w:val="en-US" w:eastAsia="zh-CN"/>
        </w:rPr>
        <w:t>m”规格的外形尺寸，修改厚度范围、修改TIR、TTV、Warp值（见5.5,2014年版本的4.9）；</w:t>
      </w:r>
    </w:p>
    <w:p>
      <w:pPr>
        <w:keepNext w:val="0"/>
        <w:keepLines w:val="0"/>
        <w:pageBreakBefore w:val="0"/>
        <w:numPr>
          <w:ilvl w:val="7"/>
          <w:numId w:val="5"/>
        </w:numPr>
        <w:kinsoku/>
        <w:wordWrap/>
        <w:overflowPunct/>
        <w:topLinePunct w:val="0"/>
        <w:autoSpaceDE w:val="0"/>
        <w:autoSpaceDN w:val="0"/>
        <w:bidi w:val="0"/>
        <w:adjustRightInd/>
        <w:snapToGrid/>
        <w:spacing w:line="240" w:lineRule="auto"/>
        <w:ind w:left="0" w:leftChars="0" w:firstLine="402"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增加不同直径不同等级的位错密度（见5.6,2014年版的4.6）；</w:t>
      </w:r>
    </w:p>
    <w:p>
      <w:pPr>
        <w:keepNext w:val="0"/>
        <w:keepLines w:val="0"/>
        <w:pageBreakBefore w:val="0"/>
        <w:numPr>
          <w:ilvl w:val="7"/>
          <w:numId w:val="5"/>
        </w:numPr>
        <w:kinsoku/>
        <w:wordWrap/>
        <w:overflowPunct/>
        <w:topLinePunct w:val="0"/>
        <w:autoSpaceDE w:val="0"/>
        <w:autoSpaceDN w:val="0"/>
        <w:bidi w:val="0"/>
        <w:adjustRightInd/>
        <w:snapToGrid/>
        <w:spacing w:line="240" w:lineRule="auto"/>
        <w:ind w:left="0" w:leftChars="0" w:firstLine="402" w:firstLineChars="0"/>
        <w:jc w:val="left"/>
        <w:textAlignment w:val="auto"/>
        <w:rPr>
          <w:rFonts w:hint="eastAsia" w:ascii="宋体" w:hAnsi="宋体" w:eastAsia="宋体" w:cs="宋体"/>
          <w:b w:val="0"/>
          <w:bCs w:val="0"/>
          <w:sz w:val="21"/>
          <w:szCs w:val="21"/>
          <w:lang w:val="en-US" w:eastAsia="zh-CN"/>
        </w:rPr>
      </w:pPr>
      <w:r>
        <w:rPr>
          <w:rFonts w:hint="eastAsia" w:cs="宋体"/>
          <w:b w:val="0"/>
          <w:bCs w:val="0"/>
          <w:sz w:val="21"/>
          <w:szCs w:val="21"/>
          <w:lang w:val="en-US" w:eastAsia="zh-CN"/>
        </w:rPr>
        <w:t>删除砷化镓衬底的翘曲度的测试方法（见6.6,2014版的5.6.4）；</w:t>
      </w:r>
    </w:p>
    <w:p>
      <w:pPr>
        <w:keepNext w:val="0"/>
        <w:keepLines w:val="0"/>
        <w:pageBreakBefore w:val="0"/>
        <w:numPr>
          <w:ilvl w:val="7"/>
          <w:numId w:val="5"/>
        </w:numPr>
        <w:kinsoku/>
        <w:wordWrap/>
        <w:overflowPunct/>
        <w:topLinePunct w:val="0"/>
        <w:autoSpaceDE w:val="0"/>
        <w:autoSpaceDN w:val="0"/>
        <w:bidi w:val="0"/>
        <w:adjustRightInd/>
        <w:snapToGrid/>
        <w:spacing w:line="240" w:lineRule="auto"/>
        <w:ind w:left="0" w:leftChars="0" w:firstLine="402" w:firstLineChars="0"/>
        <w:jc w:val="left"/>
        <w:textAlignment w:val="auto"/>
        <w:rPr>
          <w:rFonts w:hint="eastAsia" w:ascii="宋体" w:hAnsi="宋体" w:eastAsia="宋体" w:cs="宋体"/>
          <w:b w:val="0"/>
          <w:bCs w:val="0"/>
          <w:sz w:val="21"/>
          <w:szCs w:val="21"/>
          <w:lang w:val="en-US" w:eastAsia="zh-CN"/>
        </w:rPr>
      </w:pPr>
      <w:r>
        <w:rPr>
          <w:rFonts w:hint="eastAsia" w:cs="宋体"/>
          <w:b w:val="0"/>
          <w:bCs w:val="0"/>
          <w:sz w:val="21"/>
          <w:szCs w:val="21"/>
          <w:lang w:val="en-US" w:eastAsia="zh-CN"/>
        </w:rPr>
        <w:t>增加洁净度的要求（见7.1d，2014版的6.1d）；</w:t>
      </w:r>
    </w:p>
    <w:p>
      <w:pPr>
        <w:keepNext w:val="0"/>
        <w:keepLines w:val="0"/>
        <w:pageBreakBefore w:val="0"/>
        <w:numPr>
          <w:ilvl w:val="7"/>
          <w:numId w:val="5"/>
        </w:numPr>
        <w:kinsoku/>
        <w:wordWrap/>
        <w:overflowPunct/>
        <w:topLinePunct w:val="0"/>
        <w:autoSpaceDE w:val="0"/>
        <w:autoSpaceDN w:val="0"/>
        <w:bidi w:val="0"/>
        <w:adjustRightInd/>
        <w:snapToGrid/>
        <w:spacing w:line="240" w:lineRule="auto"/>
        <w:ind w:left="0" w:leftChars="0" w:firstLine="402" w:firstLineChars="0"/>
        <w:jc w:val="left"/>
        <w:textAlignment w:val="auto"/>
        <w:rPr>
          <w:rFonts w:hint="eastAsia" w:ascii="宋体" w:hAnsi="宋体" w:eastAsia="宋体" w:cs="宋体"/>
          <w:b w:val="0"/>
          <w:bCs w:val="0"/>
          <w:sz w:val="21"/>
          <w:szCs w:val="21"/>
          <w:lang w:val="en-US" w:eastAsia="zh-CN"/>
        </w:rPr>
      </w:pPr>
      <w:r>
        <w:rPr>
          <w:rFonts w:hint="eastAsia" w:cs="宋体"/>
          <w:b w:val="0"/>
          <w:bCs w:val="0"/>
          <w:sz w:val="21"/>
          <w:szCs w:val="21"/>
          <w:lang w:val="en-US" w:eastAsia="zh-CN"/>
        </w:rPr>
        <w:t>增加组批由供需双方进行约定（见7.3.1，见2014版的6.3.1）；</w:t>
      </w:r>
    </w:p>
    <w:p>
      <w:pPr>
        <w:keepNext w:val="0"/>
        <w:keepLines w:val="0"/>
        <w:pageBreakBefore w:val="0"/>
        <w:numPr>
          <w:ilvl w:val="7"/>
          <w:numId w:val="5"/>
        </w:numPr>
        <w:kinsoku/>
        <w:wordWrap/>
        <w:overflowPunct/>
        <w:topLinePunct w:val="0"/>
        <w:autoSpaceDE w:val="0"/>
        <w:autoSpaceDN w:val="0"/>
        <w:bidi w:val="0"/>
        <w:adjustRightInd/>
        <w:snapToGrid/>
        <w:spacing w:line="240" w:lineRule="auto"/>
        <w:ind w:left="0" w:leftChars="0" w:firstLine="402"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检验项目中增加复测检验晶向及晶向偏移度（见7.4.</w:t>
      </w:r>
      <w:r>
        <w:rPr>
          <w:rFonts w:hint="eastAsia" w:cs="宋体"/>
          <w:b w:val="0"/>
          <w:bCs w:val="0"/>
          <w:sz w:val="21"/>
          <w:szCs w:val="21"/>
          <w:lang w:val="en-US" w:eastAsia="zh-CN"/>
        </w:rPr>
        <w:t>1</w:t>
      </w:r>
      <w:r>
        <w:rPr>
          <w:rFonts w:hint="eastAsia" w:ascii="宋体" w:hAnsi="宋体" w:eastAsia="宋体" w:cs="宋体"/>
          <w:b w:val="0"/>
          <w:bCs w:val="0"/>
          <w:sz w:val="21"/>
          <w:szCs w:val="21"/>
          <w:lang w:val="en-US" w:eastAsia="zh-CN"/>
        </w:rPr>
        <w:t>,2014年版的6.4.2）；</w:t>
      </w:r>
    </w:p>
    <w:p>
      <w:pPr>
        <w:keepNext w:val="0"/>
        <w:keepLines w:val="0"/>
        <w:pageBreakBefore w:val="0"/>
        <w:numPr>
          <w:ilvl w:val="7"/>
          <w:numId w:val="5"/>
        </w:numPr>
        <w:kinsoku/>
        <w:wordWrap/>
        <w:overflowPunct/>
        <w:topLinePunct w:val="0"/>
        <w:autoSpaceDE w:val="0"/>
        <w:autoSpaceDN w:val="0"/>
        <w:bidi w:val="0"/>
        <w:adjustRightInd/>
        <w:snapToGrid/>
        <w:spacing w:line="240" w:lineRule="auto"/>
        <w:ind w:left="0" w:leftChars="0" w:firstLine="402" w:firstLineChars="0"/>
        <w:jc w:val="left"/>
        <w:textAlignment w:val="auto"/>
        <w:rPr>
          <w:rFonts w:hint="eastAsia" w:ascii="宋体" w:hAnsi="宋体" w:eastAsia="宋体" w:cs="宋体"/>
          <w:b w:val="0"/>
          <w:bCs w:val="0"/>
          <w:sz w:val="21"/>
          <w:szCs w:val="21"/>
          <w:lang w:val="en-US" w:eastAsia="zh-CN"/>
        </w:rPr>
      </w:pPr>
      <w:r>
        <w:rPr>
          <w:rFonts w:hint="eastAsia" w:cs="宋体"/>
          <w:b w:val="0"/>
          <w:bCs w:val="0"/>
          <w:sz w:val="21"/>
          <w:szCs w:val="21"/>
          <w:lang w:val="en-US" w:eastAsia="zh-CN"/>
        </w:rPr>
        <w:t>删除砷化镓衬底的条款和检验方法（见7.4.2,2014版的6.4.2）；</w:t>
      </w:r>
    </w:p>
    <w:p>
      <w:pPr>
        <w:keepNext w:val="0"/>
        <w:keepLines w:val="0"/>
        <w:pageBreakBefore w:val="0"/>
        <w:numPr>
          <w:ilvl w:val="7"/>
          <w:numId w:val="5"/>
        </w:numPr>
        <w:kinsoku/>
        <w:wordWrap/>
        <w:overflowPunct/>
        <w:topLinePunct w:val="0"/>
        <w:autoSpaceDE w:val="0"/>
        <w:autoSpaceDN w:val="0"/>
        <w:bidi w:val="0"/>
        <w:adjustRightInd/>
        <w:snapToGrid/>
        <w:spacing w:line="240" w:lineRule="auto"/>
        <w:ind w:left="0" w:leftChars="0" w:firstLine="402"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修改包装盒标志内容（见8.1.2，2014年版的7.1.2）；</w:t>
      </w:r>
    </w:p>
    <w:p>
      <w:pPr>
        <w:keepNext w:val="0"/>
        <w:keepLines w:val="0"/>
        <w:pageBreakBefore w:val="0"/>
        <w:numPr>
          <w:ilvl w:val="7"/>
          <w:numId w:val="5"/>
        </w:numPr>
        <w:kinsoku/>
        <w:wordWrap/>
        <w:overflowPunct/>
        <w:topLinePunct w:val="0"/>
        <w:autoSpaceDE w:val="0"/>
        <w:autoSpaceDN w:val="0"/>
        <w:bidi w:val="0"/>
        <w:adjustRightInd/>
        <w:snapToGrid/>
        <w:spacing w:line="240" w:lineRule="auto"/>
        <w:ind w:left="0" w:leftChars="0" w:firstLine="402"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增加25片卡塞包装(见8.2,2014年版的7.2）</w:t>
      </w:r>
      <w:r>
        <w:rPr>
          <w:rFonts w:hint="eastAsia" w:cs="宋体"/>
          <w:b w:val="0"/>
          <w:bCs w:val="0"/>
          <w:sz w:val="21"/>
          <w:szCs w:val="21"/>
          <w:lang w:val="en-US" w:eastAsia="zh-CN"/>
        </w:rPr>
        <w:t>；</w:t>
      </w:r>
    </w:p>
    <w:p>
      <w:pPr>
        <w:keepNext w:val="0"/>
        <w:keepLines w:val="0"/>
        <w:pageBreakBefore w:val="0"/>
        <w:numPr>
          <w:ilvl w:val="7"/>
          <w:numId w:val="5"/>
        </w:numPr>
        <w:kinsoku/>
        <w:wordWrap/>
        <w:overflowPunct/>
        <w:topLinePunct w:val="0"/>
        <w:autoSpaceDE w:val="0"/>
        <w:autoSpaceDN w:val="0"/>
        <w:bidi w:val="0"/>
        <w:adjustRightInd/>
        <w:snapToGrid/>
        <w:spacing w:line="240" w:lineRule="auto"/>
        <w:ind w:left="0" w:leftChars="0" w:firstLine="402" w:firstLineChars="0"/>
        <w:jc w:val="left"/>
        <w:textAlignment w:val="auto"/>
        <w:rPr>
          <w:rFonts w:hint="eastAsia" w:ascii="宋体" w:hAnsi="宋体" w:eastAsia="宋体" w:cs="宋体"/>
          <w:b w:val="0"/>
          <w:bCs w:val="0"/>
          <w:sz w:val="21"/>
          <w:szCs w:val="21"/>
          <w:lang w:val="en-US" w:eastAsia="zh-CN"/>
        </w:rPr>
      </w:pPr>
      <w:r>
        <w:rPr>
          <w:rFonts w:hint="eastAsia" w:cs="宋体"/>
          <w:b w:val="0"/>
          <w:bCs w:val="0"/>
          <w:sz w:val="21"/>
          <w:szCs w:val="21"/>
          <w:lang w:val="en-US" w:eastAsia="zh-CN"/>
        </w:rPr>
        <w:t>质量保证书上增加生产日期和保质期（见8.4，2014版的7.4）。</w:t>
      </w:r>
    </w:p>
    <w:p>
      <w:pPr>
        <w:pStyle w:val="13"/>
        <w:keepNext w:val="0"/>
        <w:keepLines w:val="0"/>
        <w:pageBreakBefore w:val="0"/>
        <w:kinsoku/>
        <w:wordWrap/>
        <w:overflowPunct/>
        <w:topLinePunct w:val="0"/>
        <w:autoSpaceDE w:val="0"/>
        <w:autoSpaceDN w:val="0"/>
        <w:bidi w:val="0"/>
        <w:adjustRightInd/>
        <w:snapToGrid/>
        <w:spacing w:line="240" w:lineRule="auto"/>
        <w:ind w:left="42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请注意本文件的某些内容可能涉及专利。本文件的发布机构不承担识别专利的责任。</w:t>
      </w:r>
    </w:p>
    <w:p>
      <w:pPr>
        <w:pStyle w:val="17"/>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本文件由全国半导体设备和材料标准化技术委员会（SAC/TC 203）与全国半导体设备和材料标准化技术委员会材料分技术委员会（SAC/TC 203/SC2）共同提出并归口。</w:t>
      </w:r>
    </w:p>
    <w:p>
      <w:pPr>
        <w:pStyle w:val="17"/>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本文件起草单位：</w:t>
      </w:r>
      <w:r>
        <w:rPr>
          <w:rFonts w:hint="eastAsia" w:ascii="宋体" w:hAnsi="宋体" w:eastAsia="宋体" w:cs="宋体"/>
          <w:b w:val="0"/>
          <w:bCs w:val="0"/>
          <w:sz w:val="21"/>
          <w:szCs w:val="21"/>
          <w:lang w:val="en-US" w:eastAsia="zh-CN"/>
        </w:rPr>
        <w:t>大庆溢泰半导体材料有限公司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中科晶宇芯源(大庆)半导体材料有限公司</w:t>
      </w:r>
      <w:r>
        <w:rPr>
          <w:rFonts w:hint="eastAsia" w:hAnsi="宋体" w:cs="宋体"/>
          <w:sz w:val="21"/>
          <w:szCs w:val="21"/>
          <w:lang w:val="en-US" w:eastAsia="zh-CN"/>
        </w:rPr>
        <w:t>、南京集溢半导体科技有限公司、</w:t>
      </w:r>
      <w:r>
        <w:rPr>
          <w:rFonts w:hint="eastAsia" w:ascii="宋体" w:hAnsi="宋体" w:eastAsia="宋体" w:cs="宋体"/>
          <w:sz w:val="21"/>
          <w:szCs w:val="21"/>
          <w:lang w:val="en-US" w:eastAsia="zh-CN"/>
        </w:rPr>
        <w:t>中</w:t>
      </w:r>
      <w:r>
        <w:rPr>
          <w:rFonts w:hint="eastAsia" w:hAnsi="宋体" w:cs="宋体"/>
          <w:sz w:val="21"/>
          <w:szCs w:val="21"/>
          <w:lang w:val="en-US" w:eastAsia="zh-CN"/>
        </w:rPr>
        <w:t>国</w:t>
      </w:r>
      <w:r>
        <w:rPr>
          <w:rFonts w:hint="eastAsia" w:ascii="宋体" w:hAnsi="宋体" w:eastAsia="宋体" w:cs="宋体"/>
          <w:sz w:val="21"/>
          <w:szCs w:val="21"/>
          <w:lang w:val="en-US" w:eastAsia="zh-CN"/>
        </w:rPr>
        <w:t>科</w:t>
      </w:r>
      <w:r>
        <w:rPr>
          <w:rFonts w:hint="eastAsia" w:hAnsi="宋体" w:cs="宋体"/>
          <w:sz w:val="21"/>
          <w:szCs w:val="21"/>
          <w:lang w:val="en-US" w:eastAsia="zh-CN"/>
        </w:rPr>
        <w:t>学</w:t>
      </w:r>
      <w:r>
        <w:rPr>
          <w:rFonts w:hint="eastAsia" w:ascii="宋体" w:hAnsi="宋体" w:eastAsia="宋体" w:cs="宋体"/>
          <w:sz w:val="21"/>
          <w:szCs w:val="21"/>
          <w:lang w:val="en-US" w:eastAsia="zh-CN"/>
        </w:rPr>
        <w:t>院半导体研究所、</w:t>
      </w:r>
      <w:r>
        <w:rPr>
          <w:rFonts w:hint="eastAsia" w:hAnsi="宋体" w:cs="宋体"/>
          <w:sz w:val="21"/>
          <w:szCs w:val="21"/>
          <w:lang w:val="en-US" w:eastAsia="zh-CN"/>
        </w:rPr>
        <w:t>全磊光电股份有限公司</w:t>
      </w:r>
      <w:r>
        <w:rPr>
          <w:rFonts w:hint="eastAsia" w:ascii="宋体" w:hAnsi="宋体" w:eastAsia="宋体" w:cs="宋体"/>
          <w:sz w:val="21"/>
          <w:szCs w:val="21"/>
          <w:lang w:val="en-US" w:eastAsia="zh-CN"/>
        </w:rPr>
        <w:t>、江苏华兴激光科技有限公司、中山德华芯片技术有限公司</w:t>
      </w:r>
    </w:p>
    <w:p>
      <w:pPr>
        <w:pStyle w:val="17"/>
        <w:keepNext w:val="0"/>
        <w:keepLines w:val="0"/>
        <w:pageBreakBefore w:val="0"/>
        <w:kinsoku/>
        <w:wordWrap/>
        <w:overflowPunct/>
        <w:topLinePunct w:val="0"/>
        <w:autoSpaceDE w:val="0"/>
        <w:autoSpaceDN w:val="0"/>
        <w:bidi w:val="0"/>
        <w:adjustRightInd/>
        <w:snapToGrid/>
        <w:spacing w:line="240" w:lineRule="auto"/>
        <w:textAlignment w:val="auto"/>
        <w:rPr>
          <w:rFonts w:hint="default" w:hAnsi="宋体" w:cs="宋体"/>
          <w:sz w:val="21"/>
          <w:szCs w:val="21"/>
          <w:lang w:val="en-US" w:eastAsia="zh-CN"/>
        </w:rPr>
      </w:pPr>
      <w:r>
        <w:rPr>
          <w:rFonts w:hint="eastAsia" w:ascii="宋体" w:hAnsi="宋体" w:eastAsia="宋体" w:cs="宋体"/>
          <w:sz w:val="21"/>
          <w:szCs w:val="21"/>
        </w:rPr>
        <w:t>本文件主要起草人：</w:t>
      </w:r>
      <w:r>
        <w:rPr>
          <w:rFonts w:hint="eastAsia" w:hAnsi="宋体" w:cs="宋体"/>
          <w:sz w:val="21"/>
          <w:szCs w:val="21"/>
          <w:lang w:val="en-US" w:eastAsia="zh-CN"/>
        </w:rPr>
        <w:t>赵中阳、郑红军、于会永、冯家峰、赵有文、张双翔、季海明、刘建庆。</w:t>
      </w:r>
    </w:p>
    <w:p>
      <w:pPr>
        <w:pStyle w:val="17"/>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sz w:val="21"/>
          <w:szCs w:val="21"/>
          <w:lang w:val="en-US" w:eastAsia="zh-CN"/>
        </w:rPr>
        <w:sectPr>
          <w:headerReference r:id="rId5" w:type="default"/>
          <w:footerReference r:id="rId6" w:type="default"/>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425" w:num="1"/>
          <w:formProt w:val="0"/>
          <w:titlePg/>
          <w:docGrid w:type="lines" w:linePitch="312" w:charSpace="0"/>
        </w:sectPr>
      </w:pPr>
      <w:r>
        <w:rPr>
          <w:rFonts w:hint="eastAsia" w:ascii="宋体" w:hAnsi="宋体" w:eastAsia="宋体" w:cs="宋体"/>
          <w:sz w:val="21"/>
          <w:szCs w:val="21"/>
        </w:rPr>
        <w:t>本文件于</w:t>
      </w:r>
      <w:r>
        <w:rPr>
          <w:rFonts w:hint="eastAsia" w:ascii="宋体" w:hAnsi="宋体" w:eastAsia="宋体" w:cs="宋体"/>
          <w:sz w:val="21"/>
          <w:szCs w:val="21"/>
          <w:lang w:val="en-US" w:eastAsia="zh-CN"/>
        </w:rPr>
        <w:t>2014</w:t>
      </w:r>
      <w:r>
        <w:rPr>
          <w:rFonts w:hint="eastAsia" w:ascii="宋体" w:hAnsi="宋体" w:eastAsia="宋体" w:cs="宋体"/>
          <w:sz w:val="21"/>
          <w:szCs w:val="21"/>
        </w:rPr>
        <w:t>年首次发布，本次为</w:t>
      </w:r>
      <w:r>
        <w:rPr>
          <w:rFonts w:hint="eastAsia" w:ascii="宋体" w:hAnsi="宋体" w:eastAsia="宋体" w:cs="宋体"/>
          <w:sz w:val="21"/>
          <w:szCs w:val="21"/>
          <w:lang w:val="en-US" w:eastAsia="zh-CN"/>
        </w:rPr>
        <w:t>首次</w:t>
      </w:r>
      <w:r>
        <w:rPr>
          <w:rFonts w:hint="eastAsia" w:ascii="宋体" w:hAnsi="宋体" w:eastAsia="宋体" w:cs="宋体"/>
          <w:sz w:val="21"/>
          <w:szCs w:val="21"/>
        </w:rPr>
        <w:t>修订</w:t>
      </w:r>
      <w:r>
        <w:rPr>
          <w:rFonts w:hint="eastAsia" w:hAnsi="宋体" w:cs="宋体"/>
          <w:sz w:val="21"/>
          <w:szCs w:val="21"/>
          <w:lang w:eastAsia="zh-CN"/>
        </w:rPr>
        <w:t>。</w:t>
      </w:r>
    </w:p>
    <w:p>
      <w:pPr>
        <w:pStyle w:val="21"/>
        <w:jc w:val="center"/>
        <w:rPr>
          <w:rFonts w:hint="default"/>
          <w:w w:val="125"/>
          <w:sz w:val="21"/>
          <w:szCs w:val="21"/>
          <w:lang w:val="en-US" w:eastAsia="zh-CN"/>
        </w:rPr>
      </w:pPr>
      <w:bookmarkStart w:id="10" w:name="00000003"/>
      <w:bookmarkEnd w:id="10"/>
      <w:r>
        <w:rPr>
          <w:rFonts w:hint="eastAsia"/>
          <w:w w:val="125"/>
          <w:sz w:val="32"/>
          <w:szCs w:val="32"/>
          <w:lang w:val="en-US" w:eastAsia="zh-CN"/>
        </w:rPr>
        <w:t>LED外延芯片用砷化镓衬底</w:t>
      </w:r>
    </w:p>
    <w:p>
      <w:pPr>
        <w:pStyle w:val="6"/>
        <w:spacing w:before="10"/>
        <w:rPr>
          <w:sz w:val="23"/>
        </w:rPr>
      </w:pPr>
    </w:p>
    <w:p>
      <w:pPr>
        <w:pStyle w:val="13"/>
        <w:keepNext w:val="0"/>
        <w:keepLines w:val="0"/>
        <w:pageBreakBefore w:val="0"/>
        <w:widowControl w:val="0"/>
        <w:numPr>
          <w:ilvl w:val="0"/>
          <w:numId w:val="6"/>
        </w:numPr>
        <w:tabs>
          <w:tab w:val="left" w:pos="461"/>
          <w:tab w:val="left" w:pos="462"/>
        </w:tabs>
        <w:kinsoku/>
        <w:wordWrap/>
        <w:overflowPunct/>
        <w:topLinePunct w:val="0"/>
        <w:autoSpaceDE w:val="0"/>
        <w:autoSpaceDN w:val="0"/>
        <w:bidi w:val="0"/>
        <w:adjustRightInd/>
        <w:snapToGrid/>
        <w:spacing w:before="0" w:beforeLines="100" w:after="0" w:afterLines="100" w:line="240" w:lineRule="auto"/>
        <w:ind w:left="0" w:right="0" w:firstLine="0"/>
        <w:jc w:val="left"/>
        <w:textAlignment w:val="auto"/>
        <w:rPr>
          <w:rFonts w:hint="eastAsia" w:ascii="黑体" w:hAnsi="黑体" w:eastAsia="黑体" w:cs="黑体"/>
          <w:sz w:val="21"/>
          <w:szCs w:val="21"/>
        </w:rPr>
      </w:pPr>
      <w:r>
        <w:rPr>
          <w:rFonts w:hint="eastAsia" w:ascii="黑体" w:hAnsi="黑体" w:eastAsia="黑体" w:cs="黑体"/>
          <w:sz w:val="21"/>
          <w:szCs w:val="21"/>
        </w:rPr>
        <w:t>范围</w:t>
      </w:r>
    </w:p>
    <w:p>
      <w:pPr>
        <w:pStyle w:val="6"/>
        <w:keepNext w:val="0"/>
        <w:keepLines w:val="0"/>
        <w:pageBreakBefore w:val="0"/>
        <w:widowControl w:val="0"/>
        <w:tabs>
          <w:tab w:val="left" w:pos="1871"/>
        </w:tabs>
        <w:kinsoku/>
        <w:wordWrap/>
        <w:overflowPunct/>
        <w:topLinePunct w:val="0"/>
        <w:autoSpaceDE w:val="0"/>
        <w:autoSpaceDN w:val="0"/>
        <w:bidi w:val="0"/>
        <w:adjustRightInd/>
        <w:snapToGrid/>
        <w:spacing w:before="0" w:line="312" w:lineRule="auto"/>
        <w:ind w:left="0" w:right="0" w:firstLine="440" w:firstLineChars="200"/>
        <w:textAlignment w:val="auto"/>
        <w:rPr>
          <w:rFonts w:hint="eastAsia" w:ascii="宋体" w:hAnsi="宋体" w:eastAsia="宋体" w:cs="宋体"/>
          <w:sz w:val="21"/>
          <w:szCs w:val="21"/>
        </w:rPr>
      </w:pPr>
      <w:r>
        <w:rPr>
          <w:rFonts w:hint="eastAsia" w:ascii="宋体" w:hAnsi="宋体" w:eastAsia="宋体" w:cs="宋体"/>
          <w:w w:val="105"/>
          <w:sz w:val="21"/>
          <w:szCs w:val="21"/>
        </w:rPr>
        <w:t>本标准规定了</w:t>
      </w:r>
      <w:r>
        <w:rPr>
          <w:rFonts w:hint="eastAsia" w:ascii="宋体" w:hAnsi="宋体" w:eastAsia="宋体" w:cs="宋体"/>
          <w:w w:val="105"/>
          <w:sz w:val="21"/>
          <w:szCs w:val="21"/>
          <w:lang w:val="en-US" w:eastAsia="zh-CN"/>
        </w:rPr>
        <w:t>LED</w:t>
      </w:r>
      <w:r>
        <w:rPr>
          <w:rFonts w:hint="eastAsia" w:ascii="宋体" w:hAnsi="宋体" w:eastAsia="宋体" w:cs="宋体"/>
          <w:sz w:val="21"/>
          <w:szCs w:val="21"/>
        </w:rPr>
        <w:t>外延芯片用</w:t>
      </w:r>
      <w:r>
        <w:rPr>
          <w:rFonts w:hint="eastAsia" w:ascii="宋体" w:hAnsi="宋体" w:eastAsia="宋体" w:cs="宋体"/>
          <w:sz w:val="21"/>
          <w:szCs w:val="21"/>
          <w:lang w:val="en-US" w:eastAsia="zh-CN"/>
        </w:rPr>
        <w:t>砷化镓</w:t>
      </w:r>
      <w:r>
        <w:rPr>
          <w:rFonts w:hint="eastAsia" w:ascii="宋体" w:hAnsi="宋体" w:eastAsia="宋体" w:cs="宋体"/>
          <w:sz w:val="21"/>
          <w:szCs w:val="21"/>
        </w:rPr>
        <w:t>单晶衬底片(以下简称衬底)的要求、检验方法和规则以及</w:t>
      </w:r>
      <w:r>
        <w:rPr>
          <w:rFonts w:hint="eastAsia" w:ascii="宋体" w:hAnsi="宋体" w:eastAsia="宋体" w:cs="宋体"/>
          <w:spacing w:val="-18"/>
          <w:sz w:val="21"/>
          <w:szCs w:val="21"/>
        </w:rPr>
        <w:t>标</w:t>
      </w:r>
      <w:r>
        <w:rPr>
          <w:rFonts w:hint="eastAsia" w:ascii="宋体" w:hAnsi="宋体" w:eastAsia="宋体" w:cs="宋体"/>
          <w:w w:val="105"/>
          <w:sz w:val="21"/>
          <w:szCs w:val="21"/>
        </w:rPr>
        <w:t>志、包装、运输、储存、质量证明书与订货单(或合同)内容。</w:t>
      </w:r>
    </w:p>
    <w:p>
      <w:pPr>
        <w:pStyle w:val="6"/>
        <w:keepNext w:val="0"/>
        <w:keepLines w:val="0"/>
        <w:pageBreakBefore w:val="0"/>
        <w:widowControl w:val="0"/>
        <w:tabs>
          <w:tab w:val="left" w:pos="1871"/>
        </w:tabs>
        <w:kinsoku/>
        <w:wordWrap/>
        <w:overflowPunct/>
        <w:topLinePunct w:val="0"/>
        <w:autoSpaceDE w:val="0"/>
        <w:autoSpaceDN w:val="0"/>
        <w:bidi w:val="0"/>
        <w:adjustRightInd/>
        <w:snapToGrid/>
        <w:spacing w:before="0" w:line="312"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本标准适用于</w:t>
      </w:r>
      <w:r>
        <w:rPr>
          <w:rFonts w:hint="eastAsia" w:ascii="宋体" w:hAnsi="宋体" w:eastAsia="宋体" w:cs="宋体"/>
          <w:sz w:val="21"/>
          <w:szCs w:val="21"/>
          <w:lang w:val="en-US" w:eastAsia="zh-CN"/>
        </w:rPr>
        <w:t>LED</w:t>
      </w:r>
      <w:r>
        <w:rPr>
          <w:rFonts w:hint="eastAsia" w:ascii="宋体" w:hAnsi="宋体" w:eastAsia="宋体" w:cs="宋体"/>
          <w:sz w:val="21"/>
          <w:szCs w:val="21"/>
        </w:rPr>
        <w:t>外延芯片用的</w:t>
      </w:r>
      <w:r>
        <w:rPr>
          <w:rFonts w:hint="eastAsia" w:ascii="宋体" w:hAnsi="宋体" w:eastAsia="宋体" w:cs="宋体"/>
          <w:sz w:val="21"/>
          <w:szCs w:val="21"/>
          <w:lang w:val="en-US" w:eastAsia="zh-CN"/>
        </w:rPr>
        <w:t>砷化镓</w:t>
      </w:r>
      <w:r>
        <w:rPr>
          <w:rFonts w:hint="eastAsia" w:ascii="宋体" w:hAnsi="宋体" w:eastAsia="宋体" w:cs="宋体"/>
          <w:sz w:val="21"/>
          <w:szCs w:val="21"/>
        </w:rPr>
        <w:t>单晶衬底。</w:t>
      </w:r>
    </w:p>
    <w:p>
      <w:pPr>
        <w:pStyle w:val="13"/>
        <w:keepNext w:val="0"/>
        <w:keepLines w:val="0"/>
        <w:pageBreakBefore w:val="0"/>
        <w:widowControl w:val="0"/>
        <w:numPr>
          <w:ilvl w:val="0"/>
          <w:numId w:val="6"/>
        </w:numPr>
        <w:tabs>
          <w:tab w:val="left" w:pos="461"/>
          <w:tab w:val="left" w:pos="462"/>
        </w:tabs>
        <w:kinsoku/>
        <w:wordWrap/>
        <w:overflowPunct/>
        <w:topLinePunct w:val="0"/>
        <w:autoSpaceDE w:val="0"/>
        <w:autoSpaceDN w:val="0"/>
        <w:bidi w:val="0"/>
        <w:adjustRightInd/>
        <w:snapToGrid/>
        <w:spacing w:before="0" w:beforeLines="100" w:after="0" w:afterLines="100" w:line="240" w:lineRule="auto"/>
        <w:ind w:left="0" w:right="0" w:firstLine="0"/>
        <w:jc w:val="left"/>
        <w:textAlignment w:val="auto"/>
        <w:rPr>
          <w:rFonts w:hint="eastAsia" w:ascii="黑体" w:hAnsi="黑体" w:eastAsia="黑体" w:cs="黑体"/>
          <w:sz w:val="21"/>
          <w:szCs w:val="21"/>
        </w:rPr>
      </w:pPr>
      <w:r>
        <w:rPr>
          <w:rFonts w:hint="eastAsia" w:ascii="黑体" w:hAnsi="黑体" w:eastAsia="黑体" w:cs="黑体"/>
          <w:sz w:val="21"/>
          <w:szCs w:val="21"/>
        </w:rPr>
        <w:t>规范性引用文件</w:t>
      </w:r>
    </w:p>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420" w:firstLineChars="200"/>
        <w:textAlignment w:val="auto"/>
        <w:rPr>
          <w:rFonts w:hint="eastAsia" w:ascii="宋体" w:hAnsi="宋体" w:eastAsia="宋体" w:cs="宋体"/>
          <w:sz w:val="21"/>
          <w:szCs w:val="21"/>
        </w:rPr>
      </w:pPr>
      <w:r>
        <w:rPr>
          <w:rFonts w:hint="eastAsia"/>
          <w:color w:val="000000"/>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GB/T 191 包装储运图示标志</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GB/T 20</w:t>
      </w: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28 砷化镓单晶</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GB/T 1555 半导体单晶晶向测定方法</w:t>
      </w:r>
    </w:p>
    <w:p>
      <w:pPr>
        <w:keepNext w:val="0"/>
        <w:keepLines w:val="0"/>
        <w:pageBreakBefore w:val="0"/>
        <w:widowControl w:val="0"/>
        <w:tabs>
          <w:tab w:val="left" w:pos="1961"/>
          <w:tab w:val="left" w:pos="4115"/>
        </w:tabs>
        <w:kinsoku/>
        <w:wordWrap/>
        <w:overflowPunct/>
        <w:topLinePunct w:val="0"/>
        <w:autoSpaceDE w:val="0"/>
        <w:autoSpaceDN w:val="0"/>
        <w:bidi w:val="0"/>
        <w:adjustRightInd/>
        <w:snapToGrid/>
        <w:spacing w:before="0" w:line="240"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GB/T 2828.1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计数抽样检验程序</w:t>
      </w:r>
      <w:r>
        <w:rPr>
          <w:rFonts w:hint="eastAsia" w:ascii="宋体" w:hAnsi="宋体" w:eastAsia="宋体" w:cs="宋体"/>
          <w:sz w:val="21"/>
          <w:szCs w:val="21"/>
          <w:lang w:val="en-US" w:eastAsia="zh-CN"/>
        </w:rPr>
        <w:t xml:space="preserve"> 第</w:t>
      </w:r>
      <w:r>
        <w:rPr>
          <w:rFonts w:hint="eastAsia" w:ascii="宋体" w:hAnsi="宋体" w:eastAsia="宋体" w:cs="宋体"/>
          <w:sz w:val="21"/>
          <w:szCs w:val="21"/>
        </w:rPr>
        <w:t>1部分:按接收质量限(AQL)检索的逐批检验抽样计划</w:t>
      </w:r>
    </w:p>
    <w:p>
      <w:pPr>
        <w:keepNext w:val="0"/>
        <w:keepLines w:val="0"/>
        <w:pageBreakBefore w:val="0"/>
        <w:widowControl w:val="0"/>
        <w:tabs>
          <w:tab w:val="left" w:pos="1961"/>
          <w:tab w:val="left" w:pos="4115"/>
        </w:tabs>
        <w:kinsoku/>
        <w:wordWrap/>
        <w:overflowPunct/>
        <w:topLinePunct w:val="0"/>
        <w:autoSpaceDE w:val="0"/>
        <w:autoSpaceDN w:val="0"/>
        <w:bidi w:val="0"/>
        <w:adjustRightInd/>
        <w:snapToGrid/>
        <w:spacing w:before="0" w:line="240"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GB/T</w:t>
      </w:r>
      <w:r>
        <w:rPr>
          <w:rFonts w:hint="eastAsia" w:ascii="宋体" w:hAnsi="宋体" w:eastAsia="宋体" w:cs="宋体"/>
          <w:sz w:val="21"/>
          <w:szCs w:val="21"/>
          <w:lang w:val="en-US" w:eastAsia="zh-CN"/>
        </w:rPr>
        <w:t xml:space="preserve"> 4326  </w:t>
      </w:r>
      <w:r>
        <w:rPr>
          <w:rFonts w:hint="eastAsia" w:ascii="宋体" w:hAnsi="宋体" w:eastAsia="宋体" w:cs="宋体"/>
          <w:sz w:val="21"/>
          <w:szCs w:val="21"/>
        </w:rPr>
        <w:t>非本征半导体单晶霍尔迁移率和霍尔系数测量方法</w:t>
      </w:r>
    </w:p>
    <w:p>
      <w:pPr>
        <w:keepNext w:val="0"/>
        <w:keepLines w:val="0"/>
        <w:pageBreakBefore w:val="0"/>
        <w:widowControl w:val="0"/>
        <w:tabs>
          <w:tab w:val="left" w:pos="1961"/>
          <w:tab w:val="left" w:pos="4115"/>
        </w:tabs>
        <w:kinsoku/>
        <w:wordWrap/>
        <w:overflowPunct/>
        <w:topLinePunct w:val="0"/>
        <w:autoSpaceDE w:val="0"/>
        <w:autoSpaceDN w:val="0"/>
        <w:bidi w:val="0"/>
        <w:adjustRightInd/>
        <w:snapToGrid/>
        <w:spacing w:before="0" w:line="240" w:lineRule="auto"/>
        <w:ind w:left="0" w:right="0" w:firstLine="440" w:firstLineChars="200"/>
        <w:jc w:val="left"/>
        <w:textAlignment w:val="auto"/>
        <w:rPr>
          <w:rFonts w:hint="eastAsia" w:ascii="宋体" w:hAnsi="宋体" w:eastAsia="宋体" w:cs="宋体"/>
          <w:sz w:val="21"/>
          <w:szCs w:val="21"/>
        </w:rPr>
      </w:pPr>
      <w:r>
        <w:rPr>
          <w:rFonts w:hint="eastAsia" w:ascii="宋体" w:hAnsi="宋体" w:eastAsia="宋体" w:cs="宋体"/>
          <w:w w:val="105"/>
          <w:sz w:val="21"/>
          <w:szCs w:val="21"/>
        </w:rPr>
        <w:t>GB/T</w:t>
      </w:r>
      <w:r>
        <w:rPr>
          <w:rFonts w:hint="eastAsia" w:ascii="宋体" w:hAnsi="宋体" w:eastAsia="宋体" w:cs="宋体"/>
          <w:w w:val="105"/>
          <w:sz w:val="21"/>
          <w:szCs w:val="21"/>
          <w:lang w:val="en-US" w:eastAsia="zh-CN"/>
        </w:rPr>
        <w:t xml:space="preserve"> 6616 </w:t>
      </w:r>
      <w:r>
        <w:rPr>
          <w:rFonts w:hint="eastAsia" w:ascii="宋体" w:hAnsi="宋体" w:eastAsia="宋体" w:cs="宋体"/>
          <w:sz w:val="21"/>
          <w:szCs w:val="21"/>
        </w:rPr>
        <w:t>半导体硅片电阻率及硅薄膜层电阻测试方法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非接触涡流法</w:t>
      </w:r>
    </w:p>
    <w:p>
      <w:pPr>
        <w:keepNext w:val="0"/>
        <w:keepLines w:val="0"/>
        <w:pageBreakBefore w:val="0"/>
        <w:widowControl w:val="0"/>
        <w:tabs>
          <w:tab w:val="left" w:pos="1961"/>
          <w:tab w:val="left" w:pos="4115"/>
        </w:tabs>
        <w:kinsoku/>
        <w:wordWrap/>
        <w:overflowPunct/>
        <w:topLinePunct w:val="0"/>
        <w:autoSpaceDE w:val="0"/>
        <w:autoSpaceDN w:val="0"/>
        <w:bidi w:val="0"/>
        <w:adjustRightInd/>
        <w:snapToGrid/>
        <w:spacing w:before="0" w:line="240" w:lineRule="auto"/>
        <w:ind w:left="0" w:right="0" w:firstLine="440" w:firstLineChars="200"/>
        <w:jc w:val="left"/>
        <w:textAlignment w:val="auto"/>
        <w:rPr>
          <w:rFonts w:hint="eastAsia" w:ascii="宋体" w:hAnsi="宋体" w:eastAsia="宋体" w:cs="宋体"/>
          <w:sz w:val="21"/>
          <w:szCs w:val="21"/>
        </w:rPr>
      </w:pPr>
      <w:r>
        <w:rPr>
          <w:rFonts w:hint="eastAsia" w:ascii="宋体" w:hAnsi="宋体" w:eastAsia="宋体" w:cs="宋体"/>
          <w:w w:val="105"/>
          <w:sz w:val="21"/>
          <w:szCs w:val="21"/>
        </w:rPr>
        <w:t>GB/T</w:t>
      </w:r>
      <w:r>
        <w:rPr>
          <w:rFonts w:hint="eastAsia" w:ascii="宋体" w:hAnsi="宋体" w:eastAsia="宋体" w:cs="宋体"/>
          <w:w w:val="105"/>
          <w:sz w:val="21"/>
          <w:szCs w:val="21"/>
          <w:lang w:val="en-US" w:eastAsia="zh-CN"/>
        </w:rPr>
        <w:t xml:space="preserve"> 6618 </w:t>
      </w:r>
      <w:r>
        <w:rPr>
          <w:rFonts w:hint="eastAsia" w:ascii="宋体" w:hAnsi="宋体" w:eastAsia="宋体" w:cs="宋体"/>
          <w:sz w:val="21"/>
          <w:szCs w:val="21"/>
        </w:rPr>
        <w:t>硅片厚度和总厚度变化测试方法</w:t>
      </w:r>
    </w:p>
    <w:p>
      <w:pPr>
        <w:keepNext w:val="0"/>
        <w:keepLines w:val="0"/>
        <w:pageBreakBefore w:val="0"/>
        <w:widowControl w:val="0"/>
        <w:tabs>
          <w:tab w:val="left" w:pos="1961"/>
          <w:tab w:val="left" w:pos="4115"/>
        </w:tabs>
        <w:kinsoku/>
        <w:wordWrap/>
        <w:overflowPunct/>
        <w:topLinePunct w:val="0"/>
        <w:autoSpaceDE w:val="0"/>
        <w:autoSpaceDN w:val="0"/>
        <w:bidi w:val="0"/>
        <w:adjustRightInd/>
        <w:snapToGrid/>
        <w:spacing w:before="0" w:line="240" w:lineRule="auto"/>
        <w:ind w:left="0" w:right="0" w:firstLine="440" w:firstLineChars="200"/>
        <w:jc w:val="left"/>
        <w:textAlignment w:val="auto"/>
        <w:rPr>
          <w:rFonts w:hint="eastAsia" w:ascii="宋体" w:hAnsi="宋体" w:eastAsia="宋体" w:cs="宋体"/>
          <w:color w:val="auto"/>
          <w:sz w:val="21"/>
          <w:szCs w:val="21"/>
        </w:rPr>
      </w:pPr>
      <w:r>
        <w:rPr>
          <w:rFonts w:hint="eastAsia" w:ascii="宋体" w:hAnsi="宋体" w:eastAsia="宋体" w:cs="宋体"/>
          <w:w w:val="105"/>
          <w:sz w:val="21"/>
          <w:szCs w:val="21"/>
        </w:rPr>
        <w:t>GB/T</w:t>
      </w:r>
      <w:r>
        <w:rPr>
          <w:rFonts w:hint="eastAsia" w:ascii="宋体" w:hAnsi="宋体" w:eastAsia="宋体" w:cs="宋体"/>
          <w:w w:val="105"/>
          <w:sz w:val="21"/>
          <w:szCs w:val="21"/>
          <w:lang w:val="en-US" w:eastAsia="zh-CN"/>
        </w:rPr>
        <w:t xml:space="preserve"> 6620 </w:t>
      </w:r>
      <w:r>
        <w:rPr>
          <w:rFonts w:hint="eastAsia" w:ascii="宋体" w:hAnsi="宋体" w:eastAsia="宋体" w:cs="宋体"/>
          <w:sz w:val="21"/>
          <w:szCs w:val="21"/>
        </w:rPr>
        <w:t>硅片翘曲度非接触式测试方法</w:t>
      </w:r>
    </w:p>
    <w:p>
      <w:pPr>
        <w:keepNext w:val="0"/>
        <w:keepLines w:val="0"/>
        <w:pageBreakBefore w:val="0"/>
        <w:widowControl w:val="0"/>
        <w:tabs>
          <w:tab w:val="left" w:pos="1961"/>
          <w:tab w:val="left" w:pos="4115"/>
        </w:tabs>
        <w:kinsoku/>
        <w:wordWrap/>
        <w:overflowPunct/>
        <w:topLinePunct w:val="0"/>
        <w:autoSpaceDE w:val="0"/>
        <w:autoSpaceDN w:val="0"/>
        <w:bidi w:val="0"/>
        <w:adjustRightInd/>
        <w:snapToGrid/>
        <w:spacing w:before="0" w:line="240" w:lineRule="auto"/>
        <w:ind w:left="0" w:right="0" w:firstLine="440" w:firstLineChars="200"/>
        <w:jc w:val="left"/>
        <w:textAlignment w:val="auto"/>
        <w:rPr>
          <w:rFonts w:hint="eastAsia" w:ascii="宋体" w:hAnsi="宋体" w:eastAsia="宋体" w:cs="宋体"/>
          <w:sz w:val="21"/>
          <w:szCs w:val="21"/>
        </w:rPr>
      </w:pPr>
      <w:r>
        <w:rPr>
          <w:rFonts w:hint="eastAsia" w:ascii="宋体" w:hAnsi="宋体" w:eastAsia="宋体" w:cs="宋体"/>
          <w:w w:val="105"/>
          <w:sz w:val="21"/>
          <w:szCs w:val="21"/>
        </w:rPr>
        <w:t>GB/T</w:t>
      </w:r>
      <w:r>
        <w:rPr>
          <w:rFonts w:hint="eastAsia" w:ascii="宋体" w:hAnsi="宋体" w:eastAsia="宋体" w:cs="宋体"/>
          <w:w w:val="105"/>
          <w:sz w:val="21"/>
          <w:szCs w:val="21"/>
          <w:lang w:val="en-US" w:eastAsia="zh-CN"/>
        </w:rPr>
        <w:t xml:space="preserve"> 6621 </w:t>
      </w:r>
      <w:r>
        <w:rPr>
          <w:rFonts w:hint="eastAsia" w:ascii="宋体" w:hAnsi="宋体" w:eastAsia="宋体" w:cs="宋体"/>
          <w:sz w:val="21"/>
          <w:szCs w:val="21"/>
        </w:rPr>
        <w:t>硅片表面平整度测试方法</w:t>
      </w:r>
    </w:p>
    <w:p>
      <w:pPr>
        <w:keepNext w:val="0"/>
        <w:keepLines w:val="0"/>
        <w:pageBreakBefore w:val="0"/>
        <w:widowControl w:val="0"/>
        <w:tabs>
          <w:tab w:val="left" w:pos="1961"/>
          <w:tab w:val="left" w:pos="4115"/>
        </w:tabs>
        <w:kinsoku/>
        <w:wordWrap/>
        <w:overflowPunct/>
        <w:topLinePunct w:val="0"/>
        <w:autoSpaceDE w:val="0"/>
        <w:autoSpaceDN w:val="0"/>
        <w:bidi w:val="0"/>
        <w:adjustRightInd/>
        <w:snapToGrid/>
        <w:spacing w:before="0" w:line="240" w:lineRule="auto"/>
        <w:ind w:left="0" w:right="0" w:firstLine="440" w:firstLineChars="200"/>
        <w:jc w:val="left"/>
        <w:textAlignment w:val="auto"/>
        <w:rPr>
          <w:rFonts w:hint="eastAsia" w:ascii="宋体" w:hAnsi="宋体" w:eastAsia="宋体" w:cs="宋体"/>
          <w:sz w:val="21"/>
          <w:szCs w:val="21"/>
        </w:rPr>
      </w:pPr>
      <w:r>
        <w:rPr>
          <w:rFonts w:hint="eastAsia" w:ascii="宋体" w:hAnsi="宋体" w:eastAsia="宋体" w:cs="宋体"/>
          <w:w w:val="105"/>
          <w:sz w:val="21"/>
          <w:szCs w:val="21"/>
        </w:rPr>
        <w:t>GB/T</w:t>
      </w:r>
      <w:r>
        <w:rPr>
          <w:rFonts w:hint="eastAsia" w:ascii="宋体" w:hAnsi="宋体" w:eastAsia="宋体" w:cs="宋体"/>
          <w:w w:val="105"/>
          <w:sz w:val="21"/>
          <w:szCs w:val="21"/>
          <w:lang w:val="en-US" w:eastAsia="zh-CN"/>
        </w:rPr>
        <w:t xml:space="preserve"> 6624 </w:t>
      </w:r>
      <w:r>
        <w:rPr>
          <w:rFonts w:hint="eastAsia" w:ascii="宋体" w:hAnsi="宋体" w:eastAsia="宋体" w:cs="宋体"/>
          <w:sz w:val="21"/>
          <w:szCs w:val="21"/>
        </w:rPr>
        <w:t>硅抛光片表面质量目测检验方法</w:t>
      </w:r>
    </w:p>
    <w:p>
      <w:pPr>
        <w:keepNext w:val="0"/>
        <w:keepLines w:val="0"/>
        <w:pageBreakBefore w:val="0"/>
        <w:widowControl w:val="0"/>
        <w:tabs>
          <w:tab w:val="left" w:pos="1961"/>
          <w:tab w:val="left" w:pos="4115"/>
        </w:tabs>
        <w:kinsoku/>
        <w:wordWrap/>
        <w:overflowPunct/>
        <w:topLinePunct w:val="0"/>
        <w:autoSpaceDE w:val="0"/>
        <w:autoSpaceDN w:val="0"/>
        <w:bidi w:val="0"/>
        <w:adjustRightInd/>
        <w:snapToGrid/>
        <w:spacing w:before="0" w:line="240" w:lineRule="auto"/>
        <w:ind w:left="0" w:right="0" w:firstLine="440" w:firstLineChars="200"/>
        <w:jc w:val="left"/>
        <w:textAlignment w:val="auto"/>
        <w:rPr>
          <w:rFonts w:hint="eastAsia" w:ascii="宋体" w:hAnsi="宋体" w:eastAsia="宋体" w:cs="宋体"/>
          <w:sz w:val="21"/>
          <w:szCs w:val="21"/>
        </w:rPr>
      </w:pPr>
      <w:r>
        <w:rPr>
          <w:rFonts w:hint="eastAsia" w:ascii="宋体" w:hAnsi="宋体" w:eastAsia="宋体" w:cs="宋体"/>
          <w:w w:val="105"/>
          <w:sz w:val="21"/>
          <w:szCs w:val="21"/>
        </w:rPr>
        <w:t>GB/T</w:t>
      </w:r>
      <w:r>
        <w:rPr>
          <w:rFonts w:hint="eastAsia" w:ascii="宋体" w:hAnsi="宋体" w:eastAsia="宋体" w:cs="宋体"/>
          <w:w w:val="105"/>
          <w:sz w:val="21"/>
          <w:szCs w:val="21"/>
          <w:lang w:val="en-US" w:eastAsia="zh-CN"/>
        </w:rPr>
        <w:t xml:space="preserve"> 8760 </w:t>
      </w:r>
      <w:r>
        <w:rPr>
          <w:rFonts w:hint="eastAsia" w:ascii="宋体" w:hAnsi="宋体" w:eastAsia="宋体" w:cs="宋体"/>
          <w:sz w:val="21"/>
          <w:szCs w:val="21"/>
          <w:lang w:val="en-US" w:eastAsia="zh-CN"/>
        </w:rPr>
        <w:t>砷化镓</w:t>
      </w:r>
      <w:r>
        <w:rPr>
          <w:rFonts w:hint="eastAsia" w:ascii="宋体" w:hAnsi="宋体" w:eastAsia="宋体" w:cs="宋体"/>
          <w:sz w:val="21"/>
          <w:szCs w:val="21"/>
        </w:rPr>
        <w:t>单晶位错密度的测量方法</w:t>
      </w:r>
    </w:p>
    <w:p>
      <w:pPr>
        <w:keepNext w:val="0"/>
        <w:keepLines w:val="0"/>
        <w:pageBreakBefore w:val="0"/>
        <w:widowControl w:val="0"/>
        <w:tabs>
          <w:tab w:val="left" w:pos="1961"/>
          <w:tab w:val="left" w:pos="4115"/>
        </w:tabs>
        <w:kinsoku/>
        <w:wordWrap/>
        <w:overflowPunct/>
        <w:topLinePunct w:val="0"/>
        <w:autoSpaceDE w:val="0"/>
        <w:autoSpaceDN w:val="0"/>
        <w:bidi w:val="0"/>
        <w:adjustRightInd/>
        <w:snapToGrid/>
        <w:spacing w:before="0" w:line="240" w:lineRule="auto"/>
        <w:ind w:left="0" w:right="0" w:firstLine="440" w:firstLineChars="200"/>
        <w:jc w:val="left"/>
        <w:textAlignment w:val="auto"/>
        <w:rPr>
          <w:rFonts w:hint="eastAsia" w:ascii="宋体" w:hAnsi="宋体" w:eastAsia="宋体" w:cs="宋体"/>
          <w:w w:val="105"/>
          <w:sz w:val="21"/>
          <w:szCs w:val="21"/>
          <w:lang w:val="en-US" w:eastAsia="zh-CN"/>
        </w:rPr>
      </w:pPr>
      <w:r>
        <w:rPr>
          <w:rFonts w:hint="eastAsia" w:ascii="宋体" w:hAnsi="宋体" w:eastAsia="宋体" w:cs="宋体"/>
          <w:w w:val="105"/>
          <w:sz w:val="21"/>
          <w:szCs w:val="21"/>
        </w:rPr>
        <w:t>GB/T</w:t>
      </w:r>
      <w:r>
        <w:rPr>
          <w:rFonts w:hint="eastAsia" w:ascii="宋体" w:hAnsi="宋体" w:eastAsia="宋体" w:cs="宋体"/>
          <w:w w:val="105"/>
          <w:sz w:val="21"/>
          <w:szCs w:val="21"/>
          <w:lang w:val="en-US" w:eastAsia="zh-CN"/>
        </w:rPr>
        <w:t xml:space="preserve"> 13387 硅及其电子材料晶片参考面长度测试方法</w:t>
      </w:r>
    </w:p>
    <w:p>
      <w:pPr>
        <w:keepNext w:val="0"/>
        <w:keepLines w:val="0"/>
        <w:pageBreakBefore w:val="0"/>
        <w:widowControl w:val="0"/>
        <w:tabs>
          <w:tab w:val="left" w:pos="1961"/>
          <w:tab w:val="left" w:pos="4115"/>
        </w:tabs>
        <w:kinsoku/>
        <w:wordWrap/>
        <w:overflowPunct/>
        <w:topLinePunct w:val="0"/>
        <w:autoSpaceDE w:val="0"/>
        <w:autoSpaceDN w:val="0"/>
        <w:bidi w:val="0"/>
        <w:adjustRightInd/>
        <w:snapToGrid/>
        <w:spacing w:before="0" w:line="240" w:lineRule="auto"/>
        <w:ind w:left="0" w:right="0" w:firstLine="440" w:firstLineChars="200"/>
        <w:jc w:val="left"/>
        <w:textAlignment w:val="auto"/>
        <w:rPr>
          <w:rFonts w:hint="eastAsia" w:ascii="宋体" w:hAnsi="宋体" w:eastAsia="宋体" w:cs="宋体"/>
          <w:w w:val="105"/>
          <w:sz w:val="21"/>
          <w:szCs w:val="21"/>
          <w:lang w:val="en-US" w:eastAsia="zh-CN"/>
        </w:rPr>
      </w:pPr>
      <w:r>
        <w:rPr>
          <w:rFonts w:hint="eastAsia" w:ascii="宋体" w:hAnsi="宋体" w:eastAsia="宋体" w:cs="宋体"/>
          <w:w w:val="105"/>
          <w:sz w:val="21"/>
          <w:szCs w:val="21"/>
          <w:lang w:val="en-US" w:eastAsia="zh-CN"/>
        </w:rPr>
        <w:t>GB/T 13388 硅片参考面结晶学取向X射线测试方法</w:t>
      </w:r>
    </w:p>
    <w:p>
      <w:pPr>
        <w:keepNext w:val="0"/>
        <w:keepLines w:val="0"/>
        <w:pageBreakBefore w:val="0"/>
        <w:widowControl w:val="0"/>
        <w:tabs>
          <w:tab w:val="left" w:pos="1961"/>
          <w:tab w:val="left" w:pos="4115"/>
        </w:tabs>
        <w:kinsoku/>
        <w:wordWrap/>
        <w:overflowPunct/>
        <w:topLinePunct w:val="0"/>
        <w:autoSpaceDE w:val="0"/>
        <w:autoSpaceDN w:val="0"/>
        <w:bidi w:val="0"/>
        <w:adjustRightInd/>
        <w:snapToGrid/>
        <w:spacing w:before="0" w:line="240" w:lineRule="auto"/>
        <w:ind w:left="0" w:right="0" w:firstLine="440" w:firstLineChars="200"/>
        <w:jc w:val="left"/>
        <w:textAlignment w:val="auto"/>
        <w:rPr>
          <w:rFonts w:hint="eastAsia" w:ascii="宋体" w:hAnsi="宋体" w:eastAsia="宋体" w:cs="宋体"/>
          <w:w w:val="105"/>
          <w:sz w:val="21"/>
          <w:szCs w:val="21"/>
          <w:lang w:val="en-US" w:eastAsia="zh-CN"/>
        </w:rPr>
      </w:pPr>
      <w:r>
        <w:rPr>
          <w:rFonts w:hint="eastAsia" w:ascii="宋体" w:hAnsi="宋体" w:eastAsia="宋体" w:cs="宋体"/>
          <w:w w:val="105"/>
          <w:sz w:val="21"/>
          <w:szCs w:val="21"/>
          <w:lang w:val="en-US" w:eastAsia="zh-CN"/>
        </w:rPr>
        <w:t>GB/T 14110 硅片直径测量方法</w:t>
      </w:r>
    </w:p>
    <w:p>
      <w:pPr>
        <w:keepNext w:val="0"/>
        <w:keepLines w:val="0"/>
        <w:pageBreakBefore w:val="0"/>
        <w:widowControl w:val="0"/>
        <w:tabs>
          <w:tab w:val="left" w:pos="1961"/>
          <w:tab w:val="left" w:pos="4115"/>
        </w:tabs>
        <w:kinsoku/>
        <w:wordWrap/>
        <w:overflowPunct/>
        <w:topLinePunct w:val="0"/>
        <w:autoSpaceDE w:val="0"/>
        <w:autoSpaceDN w:val="0"/>
        <w:bidi w:val="0"/>
        <w:adjustRightInd/>
        <w:snapToGrid/>
        <w:spacing w:before="0" w:line="240" w:lineRule="auto"/>
        <w:ind w:left="0" w:right="0" w:firstLine="440" w:firstLineChars="200"/>
        <w:jc w:val="left"/>
        <w:textAlignment w:val="auto"/>
        <w:rPr>
          <w:rFonts w:hint="eastAsia" w:ascii="宋体" w:hAnsi="宋体" w:eastAsia="宋体" w:cs="宋体"/>
          <w:w w:val="105"/>
          <w:sz w:val="21"/>
          <w:szCs w:val="21"/>
          <w:lang w:val="en-US" w:eastAsia="zh-CN"/>
        </w:rPr>
      </w:pPr>
      <w:r>
        <w:rPr>
          <w:rFonts w:hint="eastAsia" w:ascii="宋体" w:hAnsi="宋体" w:eastAsia="宋体" w:cs="宋体"/>
          <w:w w:val="105"/>
          <w:sz w:val="21"/>
          <w:szCs w:val="21"/>
          <w:lang w:val="en-US" w:eastAsia="zh-CN"/>
        </w:rPr>
        <w:t>GB/T 14264 半导体材料术语</w:t>
      </w:r>
    </w:p>
    <w:p>
      <w:pPr>
        <w:keepNext w:val="0"/>
        <w:keepLines w:val="0"/>
        <w:pageBreakBefore w:val="0"/>
        <w:widowControl w:val="0"/>
        <w:tabs>
          <w:tab w:val="left" w:pos="1961"/>
          <w:tab w:val="left" w:pos="4115"/>
        </w:tabs>
        <w:kinsoku/>
        <w:wordWrap/>
        <w:overflowPunct/>
        <w:topLinePunct w:val="0"/>
        <w:autoSpaceDE w:val="0"/>
        <w:autoSpaceDN w:val="0"/>
        <w:bidi w:val="0"/>
        <w:adjustRightInd/>
        <w:snapToGrid/>
        <w:spacing w:before="0" w:line="240" w:lineRule="auto"/>
        <w:ind w:left="0" w:right="0" w:firstLine="440" w:firstLineChars="200"/>
        <w:jc w:val="left"/>
        <w:textAlignment w:val="auto"/>
        <w:rPr>
          <w:rFonts w:hint="eastAsia" w:ascii="宋体" w:hAnsi="宋体" w:eastAsia="宋体" w:cs="宋体"/>
          <w:w w:val="105"/>
          <w:sz w:val="21"/>
          <w:szCs w:val="21"/>
          <w:lang w:val="en-US" w:eastAsia="zh-CN"/>
        </w:rPr>
      </w:pPr>
      <w:r>
        <w:rPr>
          <w:rFonts w:hint="eastAsia" w:ascii="宋体" w:hAnsi="宋体" w:eastAsia="宋体" w:cs="宋体"/>
          <w:w w:val="105"/>
          <w:sz w:val="21"/>
          <w:szCs w:val="21"/>
          <w:lang w:val="en-US" w:eastAsia="zh-CN"/>
        </w:rPr>
        <w:t>GB/T 14844 半导体材料牌号表示方法</w:t>
      </w:r>
    </w:p>
    <w:p>
      <w:pPr>
        <w:keepNext w:val="0"/>
        <w:keepLines w:val="0"/>
        <w:pageBreakBefore w:val="0"/>
        <w:widowControl w:val="0"/>
        <w:tabs>
          <w:tab w:val="left" w:pos="1961"/>
          <w:tab w:val="left" w:pos="4115"/>
        </w:tabs>
        <w:kinsoku/>
        <w:wordWrap/>
        <w:overflowPunct/>
        <w:topLinePunct w:val="0"/>
        <w:autoSpaceDE w:val="0"/>
        <w:autoSpaceDN w:val="0"/>
        <w:bidi w:val="0"/>
        <w:adjustRightInd/>
        <w:snapToGrid/>
        <w:spacing w:before="0" w:line="240" w:lineRule="auto"/>
        <w:ind w:left="0" w:right="0" w:firstLine="440" w:firstLineChars="200"/>
        <w:jc w:val="left"/>
        <w:textAlignment w:val="auto"/>
        <w:rPr>
          <w:rFonts w:hint="eastAsia" w:ascii="宋体" w:hAnsi="宋体" w:eastAsia="宋体" w:cs="宋体"/>
          <w:w w:val="105"/>
          <w:sz w:val="21"/>
          <w:szCs w:val="21"/>
          <w:lang w:val="en-US" w:eastAsia="zh-CN"/>
        </w:rPr>
      </w:pPr>
      <w:r>
        <w:rPr>
          <w:rFonts w:hint="eastAsia" w:ascii="宋体" w:hAnsi="宋体" w:eastAsia="宋体" w:cs="宋体"/>
          <w:w w:val="105"/>
          <w:sz w:val="21"/>
          <w:szCs w:val="21"/>
          <w:lang w:val="en-US" w:eastAsia="zh-CN"/>
        </w:rPr>
        <w:t>GB/T 14844 半导体材料牌号表示方法</w:t>
      </w:r>
    </w:p>
    <w:p>
      <w:pPr>
        <w:keepNext w:val="0"/>
        <w:keepLines w:val="0"/>
        <w:pageBreakBefore w:val="0"/>
        <w:widowControl w:val="0"/>
        <w:tabs>
          <w:tab w:val="left" w:pos="1961"/>
          <w:tab w:val="left" w:pos="4115"/>
        </w:tabs>
        <w:kinsoku/>
        <w:wordWrap/>
        <w:overflowPunct/>
        <w:topLinePunct w:val="0"/>
        <w:autoSpaceDE w:val="0"/>
        <w:autoSpaceDN w:val="0"/>
        <w:bidi w:val="0"/>
        <w:adjustRightInd/>
        <w:snapToGrid/>
        <w:spacing w:before="0" w:line="240" w:lineRule="auto"/>
        <w:ind w:left="0" w:right="0" w:firstLine="440" w:firstLineChars="200"/>
        <w:jc w:val="left"/>
        <w:textAlignment w:val="auto"/>
        <w:rPr>
          <w:rFonts w:hint="default" w:ascii="宋体" w:hAnsi="宋体" w:eastAsia="宋体" w:cs="宋体"/>
          <w:w w:val="105"/>
          <w:sz w:val="21"/>
          <w:szCs w:val="21"/>
          <w:lang w:val="en-US" w:eastAsia="zh-CN"/>
        </w:rPr>
      </w:pPr>
      <w:r>
        <w:rPr>
          <w:rFonts w:hint="eastAsia" w:cs="宋体"/>
          <w:w w:val="105"/>
          <w:sz w:val="21"/>
          <w:szCs w:val="21"/>
          <w:lang w:val="en-US" w:eastAsia="zh-CN"/>
        </w:rPr>
        <w:t>GB/T 11093 液封直拉法砷化镓单晶及切割片</w:t>
      </w:r>
    </w:p>
    <w:p>
      <w:pPr>
        <w:keepNext w:val="0"/>
        <w:keepLines w:val="0"/>
        <w:pageBreakBefore w:val="0"/>
        <w:widowControl w:val="0"/>
        <w:tabs>
          <w:tab w:val="left" w:pos="2315"/>
        </w:tabs>
        <w:kinsoku/>
        <w:wordWrap/>
        <w:overflowPunct/>
        <w:topLinePunct w:val="0"/>
        <w:autoSpaceDE w:val="0"/>
        <w:autoSpaceDN w:val="0"/>
        <w:bidi w:val="0"/>
        <w:adjustRightInd/>
        <w:snapToGrid/>
        <w:spacing w:before="0" w:line="240" w:lineRule="auto"/>
        <w:ind w:left="0" w:right="0" w:firstLine="440" w:firstLineChars="200"/>
        <w:jc w:val="left"/>
        <w:textAlignment w:val="auto"/>
        <w:rPr>
          <w:rFonts w:hint="eastAsia" w:ascii="宋体" w:hAnsi="宋体" w:eastAsia="宋体" w:cs="宋体"/>
          <w:w w:val="105"/>
          <w:sz w:val="21"/>
          <w:szCs w:val="21"/>
        </w:rPr>
      </w:pPr>
    </w:p>
    <w:p>
      <w:pPr>
        <w:pStyle w:val="13"/>
        <w:keepNext w:val="0"/>
        <w:keepLines w:val="0"/>
        <w:pageBreakBefore w:val="0"/>
        <w:widowControl w:val="0"/>
        <w:numPr>
          <w:ilvl w:val="0"/>
          <w:numId w:val="6"/>
        </w:numPr>
        <w:tabs>
          <w:tab w:val="left" w:pos="461"/>
          <w:tab w:val="left" w:pos="462"/>
        </w:tabs>
        <w:kinsoku/>
        <w:wordWrap/>
        <w:overflowPunct/>
        <w:topLinePunct w:val="0"/>
        <w:autoSpaceDE w:val="0"/>
        <w:autoSpaceDN w:val="0"/>
        <w:bidi w:val="0"/>
        <w:adjustRightInd/>
        <w:snapToGrid/>
        <w:spacing w:before="0" w:beforeLines="100" w:after="0" w:afterLines="100" w:line="240" w:lineRule="auto"/>
        <w:ind w:left="0" w:right="0" w:firstLine="0"/>
        <w:jc w:val="left"/>
        <w:textAlignment w:val="auto"/>
        <w:rPr>
          <w:rFonts w:hint="eastAsia" w:ascii="黑体" w:hAnsi="黑体" w:eastAsia="黑体" w:cs="黑体"/>
          <w:sz w:val="21"/>
          <w:szCs w:val="21"/>
        </w:rPr>
      </w:pPr>
      <w:r>
        <w:rPr>
          <w:rFonts w:hint="eastAsia" w:ascii="黑体" w:hAnsi="黑体" w:eastAsia="黑体" w:cs="黑体"/>
          <w:sz w:val="21"/>
          <w:szCs w:val="21"/>
        </w:rPr>
        <w:t>术语和定义</w:t>
      </w:r>
    </w:p>
    <w:p>
      <w:pPr>
        <w:keepNext w:val="0"/>
        <w:keepLines w:val="0"/>
        <w:pageBreakBefore w:val="0"/>
        <w:widowControl w:val="0"/>
        <w:kinsoku/>
        <w:wordWrap/>
        <w:overflowPunct/>
        <w:topLinePunct w:val="0"/>
        <w:autoSpaceDE w:val="0"/>
        <w:autoSpaceDN w:val="0"/>
        <w:bidi w:val="0"/>
        <w:adjustRightInd/>
        <w:snapToGrid/>
        <w:spacing w:before="0"/>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GB/T 14264 界定的术语和定义适用于本文件。</w:t>
      </w:r>
    </w:p>
    <w:p>
      <w:pPr>
        <w:pStyle w:val="13"/>
        <w:keepNext w:val="0"/>
        <w:keepLines w:val="0"/>
        <w:pageBreakBefore w:val="0"/>
        <w:widowControl w:val="0"/>
        <w:numPr>
          <w:ilvl w:val="0"/>
          <w:numId w:val="6"/>
        </w:numPr>
        <w:tabs>
          <w:tab w:val="left" w:pos="455"/>
          <w:tab w:val="left" w:pos="456"/>
        </w:tabs>
        <w:kinsoku/>
        <w:wordWrap/>
        <w:overflowPunct/>
        <w:topLinePunct w:val="0"/>
        <w:autoSpaceDE w:val="0"/>
        <w:autoSpaceDN w:val="0"/>
        <w:bidi w:val="0"/>
        <w:adjustRightInd/>
        <w:snapToGrid/>
        <w:spacing w:before="0" w:beforeLines="100" w:after="0" w:afterLines="100" w:line="240" w:lineRule="auto"/>
        <w:ind w:left="0" w:right="0" w:firstLine="0"/>
        <w:jc w:val="left"/>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牌号及分类</w:t>
      </w:r>
    </w:p>
    <w:p>
      <w:pPr>
        <w:pStyle w:val="13"/>
        <w:keepNext w:val="0"/>
        <w:keepLines w:val="0"/>
        <w:pageBreakBefore w:val="0"/>
        <w:widowControl w:val="0"/>
        <w:numPr>
          <w:ilvl w:val="0"/>
          <w:numId w:val="0"/>
        </w:numPr>
        <w:tabs>
          <w:tab w:val="left" w:pos="617"/>
          <w:tab w:val="left" w:pos="618"/>
        </w:tabs>
        <w:kinsoku/>
        <w:wordWrap/>
        <w:overflowPunct/>
        <w:topLinePunct w:val="0"/>
        <w:autoSpaceDE w:val="0"/>
        <w:autoSpaceDN w:val="0"/>
        <w:bidi w:val="0"/>
        <w:adjustRightInd/>
        <w:snapToGrid/>
        <w:spacing w:before="0" w:beforeLines="50" w:after="0" w:afterLines="50" w:line="240" w:lineRule="auto"/>
        <w:ind w:right="0" w:rightChars="0" w:firstLine="0" w:firstLineChars="0"/>
        <w:jc w:val="lef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4.1  牌号</w:t>
      </w:r>
    </w:p>
    <w:p>
      <w:pPr>
        <w:pStyle w:val="13"/>
        <w:keepNext w:val="0"/>
        <w:keepLines w:val="0"/>
        <w:pageBreakBefore w:val="0"/>
        <w:widowControl w:val="0"/>
        <w:numPr>
          <w:ilvl w:val="0"/>
          <w:numId w:val="0"/>
        </w:numPr>
        <w:tabs>
          <w:tab w:val="left" w:pos="617"/>
          <w:tab w:val="left" w:pos="618"/>
        </w:tabs>
        <w:kinsoku/>
        <w:wordWrap/>
        <w:overflowPunct/>
        <w:topLinePunct w:val="0"/>
        <w:autoSpaceDE w:val="0"/>
        <w:autoSpaceDN w:val="0"/>
        <w:bidi w:val="0"/>
        <w:adjustRightInd/>
        <w:snapToGrid/>
        <w:spacing w:before="0" w:after="0" w:line="240"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砷化镓</w:t>
      </w:r>
      <w:r>
        <w:rPr>
          <w:rFonts w:hint="eastAsia" w:ascii="宋体" w:hAnsi="宋体" w:eastAsia="宋体" w:cs="宋体"/>
          <w:sz w:val="21"/>
          <w:szCs w:val="21"/>
        </w:rPr>
        <w:t>衬底牌号表示按GB/T14844的规定。</w:t>
      </w:r>
    </w:p>
    <w:p>
      <w:pPr>
        <w:pStyle w:val="13"/>
        <w:keepNext w:val="0"/>
        <w:keepLines w:val="0"/>
        <w:pageBreakBefore w:val="0"/>
        <w:widowControl w:val="0"/>
        <w:numPr>
          <w:ilvl w:val="0"/>
          <w:numId w:val="0"/>
        </w:numPr>
        <w:tabs>
          <w:tab w:val="left" w:pos="617"/>
          <w:tab w:val="left" w:pos="618"/>
        </w:tabs>
        <w:kinsoku/>
        <w:wordWrap/>
        <w:overflowPunct/>
        <w:topLinePunct w:val="0"/>
        <w:autoSpaceDE w:val="0"/>
        <w:autoSpaceDN w:val="0"/>
        <w:bidi w:val="0"/>
        <w:adjustRightInd/>
        <w:snapToGrid/>
        <w:spacing w:before="0" w:beforeLines="50" w:after="0" w:afterLines="50" w:line="240" w:lineRule="auto"/>
        <w:ind w:right="0" w:rightChars="0" w:firstLine="0" w:firstLineChars="0"/>
        <w:jc w:val="left"/>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4.2  </w:t>
      </w:r>
      <w:r>
        <w:rPr>
          <w:rFonts w:hint="eastAsia" w:ascii="黑体" w:hAnsi="黑体" w:eastAsia="黑体" w:cs="黑体"/>
          <w:sz w:val="21"/>
          <w:szCs w:val="21"/>
        </w:rPr>
        <w:t>分类</w:t>
      </w:r>
    </w:p>
    <w:p>
      <w:pPr>
        <w:pStyle w:val="13"/>
        <w:keepNext w:val="0"/>
        <w:keepLines w:val="0"/>
        <w:pageBreakBefore w:val="0"/>
        <w:widowControl w:val="0"/>
        <w:numPr>
          <w:ilvl w:val="0"/>
          <w:numId w:val="0"/>
        </w:numPr>
        <w:tabs>
          <w:tab w:val="left" w:pos="617"/>
          <w:tab w:val="left" w:pos="618"/>
        </w:tabs>
        <w:kinsoku/>
        <w:wordWrap/>
        <w:overflowPunct/>
        <w:topLinePunct w:val="0"/>
        <w:autoSpaceDE w:val="0"/>
        <w:autoSpaceDN w:val="0"/>
        <w:bidi w:val="0"/>
        <w:adjustRightInd/>
        <w:snapToGrid/>
        <w:spacing w:before="0" w:after="0" w:line="240" w:lineRule="auto"/>
        <w:ind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LED外延芯片用砷化镓</w:t>
      </w:r>
      <w:r>
        <w:rPr>
          <w:rFonts w:hint="eastAsia" w:ascii="宋体" w:hAnsi="宋体" w:eastAsia="宋体" w:cs="宋体"/>
          <w:sz w:val="21"/>
          <w:szCs w:val="21"/>
        </w:rPr>
        <w:t>衬底按导电类型分为</w:t>
      </w:r>
      <w:r>
        <w:rPr>
          <w:rFonts w:hint="eastAsia" w:ascii="宋体" w:hAnsi="宋体" w:eastAsia="宋体" w:cs="宋体"/>
          <w:sz w:val="21"/>
          <w:szCs w:val="21"/>
          <w:lang w:val="en-US" w:eastAsia="zh-CN"/>
        </w:rPr>
        <w:t>n</w:t>
      </w:r>
      <w:r>
        <w:rPr>
          <w:rFonts w:hint="eastAsia" w:ascii="宋体" w:hAnsi="宋体" w:eastAsia="宋体" w:cs="宋体"/>
          <w:sz w:val="21"/>
          <w:szCs w:val="21"/>
        </w:rPr>
        <w:t>型和</w:t>
      </w:r>
      <w:r>
        <w:rPr>
          <w:rFonts w:hint="eastAsia" w:ascii="宋体" w:hAnsi="宋体" w:eastAsia="宋体" w:cs="宋体"/>
          <w:spacing w:val="19"/>
          <w:sz w:val="21"/>
          <w:szCs w:val="21"/>
          <w:lang w:val="en-US" w:eastAsia="zh-CN"/>
        </w:rPr>
        <w:t>p</w:t>
      </w:r>
      <w:r>
        <w:rPr>
          <w:rFonts w:hint="eastAsia" w:ascii="宋体" w:hAnsi="宋体" w:eastAsia="宋体" w:cs="宋体"/>
          <w:sz w:val="21"/>
          <w:szCs w:val="21"/>
        </w:rPr>
        <w:t>型</w:t>
      </w:r>
      <w:r>
        <w:rPr>
          <w:rFonts w:hint="eastAsia" w:cs="宋体"/>
          <w:sz w:val="21"/>
          <w:szCs w:val="21"/>
          <w:lang w:eastAsia="zh-CN"/>
        </w:rPr>
        <w:t>，</w:t>
      </w:r>
      <w:r>
        <w:rPr>
          <w:rFonts w:hint="eastAsia" w:ascii="宋体" w:hAnsi="宋体" w:eastAsia="宋体" w:cs="宋体"/>
          <w:sz w:val="21"/>
          <w:szCs w:val="21"/>
        </w:rPr>
        <w:t>按直径分为Ф50.8</w:t>
      </w:r>
      <w:r>
        <w:rPr>
          <w:rFonts w:hint="eastAsia" w:ascii="宋体" w:hAnsi="宋体" w:eastAsia="宋体" w:cs="宋体"/>
          <w:spacing w:val="5"/>
          <w:sz w:val="21"/>
          <w:szCs w:val="21"/>
        </w:rPr>
        <w:t xml:space="preserve"> </w:t>
      </w:r>
      <w:r>
        <w:rPr>
          <w:rFonts w:hint="eastAsia" w:ascii="宋体" w:hAnsi="宋体" w:eastAsia="宋体" w:cs="宋体"/>
          <w:sz w:val="21"/>
          <w:szCs w:val="21"/>
        </w:rPr>
        <w:t>mm</w:t>
      </w:r>
      <w:r>
        <w:rPr>
          <w:rFonts w:hint="eastAsia" w:ascii="宋体" w:hAnsi="宋体" w:eastAsia="宋体" w:cs="宋体"/>
          <w:spacing w:val="28"/>
          <w:sz w:val="21"/>
          <w:szCs w:val="21"/>
        </w:rPr>
        <w:t xml:space="preserve"> </w:t>
      </w:r>
      <w:r>
        <w:rPr>
          <w:rFonts w:hint="eastAsia" w:ascii="宋体" w:hAnsi="宋体" w:eastAsia="宋体" w:cs="宋体"/>
          <w:spacing w:val="-102"/>
          <w:sz w:val="21"/>
          <w:szCs w:val="21"/>
        </w:rPr>
        <w:t>、</w:t>
      </w:r>
      <w:r>
        <w:rPr>
          <w:rFonts w:hint="eastAsia" w:ascii="宋体" w:hAnsi="宋体" w:eastAsia="宋体" w:cs="宋体"/>
          <w:sz w:val="21"/>
          <w:szCs w:val="21"/>
        </w:rPr>
        <w:t>Ф76.2</w:t>
      </w:r>
      <w:r>
        <w:rPr>
          <w:rFonts w:hint="eastAsia" w:ascii="宋体" w:hAnsi="宋体" w:eastAsia="宋体" w:cs="宋体"/>
          <w:spacing w:val="5"/>
          <w:sz w:val="21"/>
          <w:szCs w:val="21"/>
        </w:rPr>
        <w:t xml:space="preserve"> </w:t>
      </w:r>
      <w:r>
        <w:rPr>
          <w:rFonts w:hint="eastAsia" w:ascii="宋体" w:hAnsi="宋体" w:eastAsia="宋体" w:cs="宋体"/>
          <w:sz w:val="21"/>
          <w:szCs w:val="21"/>
        </w:rPr>
        <w:t>mm</w:t>
      </w:r>
      <w:r>
        <w:rPr>
          <w:rFonts w:hint="eastAsia" w:ascii="宋体" w:hAnsi="宋体" w:eastAsia="宋体" w:cs="宋体"/>
          <w:spacing w:val="21"/>
          <w:sz w:val="21"/>
          <w:szCs w:val="21"/>
        </w:rPr>
        <w:t xml:space="preserve"> </w:t>
      </w:r>
      <w:r>
        <w:rPr>
          <w:rFonts w:hint="eastAsia" w:ascii="宋体" w:hAnsi="宋体" w:eastAsia="宋体" w:cs="宋体"/>
          <w:spacing w:val="-108"/>
          <w:sz w:val="21"/>
          <w:szCs w:val="21"/>
        </w:rPr>
        <w:t>、</w:t>
      </w:r>
      <w:r>
        <w:rPr>
          <w:rFonts w:hint="eastAsia" w:ascii="宋体" w:hAnsi="宋体" w:eastAsia="宋体" w:cs="宋体"/>
          <w:sz w:val="21"/>
          <w:szCs w:val="21"/>
        </w:rPr>
        <w:t>Ф100</w:t>
      </w:r>
      <w:r>
        <w:rPr>
          <w:rFonts w:hint="eastAsia" w:ascii="宋体" w:hAnsi="宋体" w:eastAsia="宋体" w:cs="宋体"/>
          <w:spacing w:val="44"/>
          <w:sz w:val="21"/>
          <w:szCs w:val="21"/>
        </w:rPr>
        <w:t xml:space="preserve"> </w:t>
      </w:r>
      <w:r>
        <w:rPr>
          <w:rFonts w:hint="eastAsia" w:ascii="宋体" w:hAnsi="宋体" w:eastAsia="宋体" w:cs="宋体"/>
          <w:sz w:val="21"/>
          <w:szCs w:val="21"/>
        </w:rPr>
        <w:t>mm</w:t>
      </w:r>
      <w:r>
        <w:rPr>
          <w:rFonts w:hint="eastAsia" w:ascii="宋体" w:hAnsi="宋体" w:eastAsia="宋体" w:cs="宋体"/>
          <w:spacing w:val="20"/>
          <w:sz w:val="21"/>
          <w:szCs w:val="21"/>
        </w:rPr>
        <w:t xml:space="preserve"> </w:t>
      </w:r>
      <w:r>
        <w:rPr>
          <w:rFonts w:hint="eastAsia" w:ascii="宋体" w:hAnsi="宋体" w:eastAsia="宋体" w:cs="宋体"/>
          <w:spacing w:val="-102"/>
          <w:sz w:val="21"/>
          <w:szCs w:val="21"/>
        </w:rPr>
        <w:t>、</w:t>
      </w:r>
      <w:r>
        <w:rPr>
          <w:rFonts w:hint="eastAsia" w:ascii="宋体" w:hAnsi="宋体" w:eastAsia="宋体" w:cs="宋体"/>
          <w:sz w:val="21"/>
          <w:szCs w:val="21"/>
        </w:rPr>
        <w:t>Ф150</w:t>
      </w:r>
      <w:r>
        <w:rPr>
          <w:rFonts w:hint="eastAsia" w:ascii="宋体" w:hAnsi="宋体" w:eastAsia="宋体" w:cs="宋体"/>
          <w:spacing w:val="28"/>
          <w:sz w:val="21"/>
          <w:szCs w:val="21"/>
        </w:rPr>
        <w:t xml:space="preserve"> </w:t>
      </w:r>
      <w:r>
        <w:rPr>
          <w:rFonts w:hint="eastAsia" w:ascii="宋体" w:hAnsi="宋体" w:eastAsia="宋体" w:cs="宋体"/>
          <w:sz w:val="21"/>
          <w:szCs w:val="21"/>
        </w:rPr>
        <w:t>mm</w:t>
      </w:r>
      <w:r>
        <w:rPr>
          <w:rFonts w:hint="eastAsia" w:ascii="宋体" w:hAnsi="宋体" w:eastAsia="宋体" w:cs="宋体"/>
          <w:sz w:val="21"/>
          <w:szCs w:val="21"/>
          <w:lang w:eastAsia="zh-CN"/>
        </w:rPr>
        <w:t>、</w:t>
      </w:r>
      <w:r>
        <w:rPr>
          <w:rFonts w:hint="eastAsia" w:ascii="宋体" w:hAnsi="宋体" w:eastAsia="宋体" w:cs="宋体"/>
          <w:sz w:val="21"/>
          <w:szCs w:val="21"/>
        </w:rPr>
        <w:t>Ф</w:t>
      </w:r>
      <w:r>
        <w:rPr>
          <w:rFonts w:hint="eastAsia" w:ascii="宋体" w:hAnsi="宋体" w:eastAsia="宋体" w:cs="宋体"/>
          <w:color w:val="auto"/>
          <w:sz w:val="21"/>
          <w:szCs w:val="21"/>
          <w:lang w:val="en-US" w:eastAsia="zh-CN"/>
        </w:rPr>
        <w:t>200mm5</w:t>
      </w:r>
      <w:r>
        <w:rPr>
          <w:rFonts w:hint="eastAsia" w:ascii="宋体" w:hAnsi="宋体" w:eastAsia="宋体" w:cs="宋体"/>
          <w:sz w:val="21"/>
          <w:szCs w:val="21"/>
        </w:rPr>
        <w:t>种规格，或由供需双方商定</w:t>
      </w:r>
      <w:r>
        <w:rPr>
          <w:rFonts w:hint="eastAsia" w:cs="宋体"/>
          <w:sz w:val="21"/>
          <w:szCs w:val="21"/>
          <w:lang w:val="en-US" w:eastAsia="zh-CN"/>
        </w:rPr>
        <w:t>并在合同中注明</w:t>
      </w:r>
      <w:r>
        <w:rPr>
          <w:rFonts w:hint="eastAsia" w:ascii="宋体" w:hAnsi="宋体" w:eastAsia="宋体" w:cs="宋体"/>
          <w:sz w:val="21"/>
          <w:szCs w:val="21"/>
        </w:rPr>
        <w:t>。</w:t>
      </w:r>
    </w:p>
    <w:p>
      <w:pPr>
        <w:pStyle w:val="13"/>
        <w:keepNext w:val="0"/>
        <w:keepLines w:val="0"/>
        <w:pageBreakBefore w:val="0"/>
        <w:widowControl w:val="0"/>
        <w:numPr>
          <w:ilvl w:val="0"/>
          <w:numId w:val="0"/>
        </w:numPr>
        <w:tabs>
          <w:tab w:val="left" w:pos="617"/>
          <w:tab w:val="left" w:pos="618"/>
        </w:tabs>
        <w:kinsoku/>
        <w:wordWrap/>
        <w:overflowPunct/>
        <w:topLinePunct w:val="0"/>
        <w:autoSpaceDE w:val="0"/>
        <w:autoSpaceDN w:val="0"/>
        <w:bidi w:val="0"/>
        <w:adjustRightInd/>
        <w:snapToGrid/>
        <w:spacing w:before="0" w:after="0" w:line="240" w:lineRule="auto"/>
        <w:ind w:right="0" w:rightChars="0" w:firstLine="420" w:firstLineChars="200"/>
        <w:jc w:val="left"/>
        <w:textAlignment w:val="auto"/>
        <w:rPr>
          <w:rFonts w:hint="eastAsia" w:ascii="宋体" w:hAnsi="宋体" w:eastAsia="宋体" w:cs="宋体"/>
          <w:sz w:val="21"/>
          <w:szCs w:val="21"/>
        </w:rPr>
      </w:pPr>
    </w:p>
    <w:p>
      <w:pPr>
        <w:pStyle w:val="13"/>
        <w:keepNext w:val="0"/>
        <w:keepLines w:val="0"/>
        <w:pageBreakBefore w:val="0"/>
        <w:widowControl w:val="0"/>
        <w:numPr>
          <w:ilvl w:val="0"/>
          <w:numId w:val="0"/>
        </w:numPr>
        <w:tabs>
          <w:tab w:val="left" w:pos="617"/>
          <w:tab w:val="left" w:pos="618"/>
        </w:tabs>
        <w:kinsoku/>
        <w:wordWrap/>
        <w:overflowPunct/>
        <w:topLinePunct w:val="0"/>
        <w:autoSpaceDE w:val="0"/>
        <w:autoSpaceDN w:val="0"/>
        <w:bidi w:val="0"/>
        <w:adjustRightInd/>
        <w:snapToGrid/>
        <w:spacing w:before="0" w:after="0" w:line="240" w:lineRule="auto"/>
        <w:ind w:right="0" w:rightChars="0" w:firstLine="420" w:firstLineChars="200"/>
        <w:jc w:val="left"/>
        <w:textAlignment w:val="auto"/>
        <w:rPr>
          <w:rFonts w:hint="eastAsia" w:ascii="宋体" w:hAnsi="宋体" w:eastAsia="宋体" w:cs="宋体"/>
          <w:sz w:val="21"/>
          <w:szCs w:val="21"/>
        </w:rPr>
      </w:pPr>
    </w:p>
    <w:p>
      <w:pPr>
        <w:pStyle w:val="13"/>
        <w:keepNext w:val="0"/>
        <w:keepLines w:val="0"/>
        <w:pageBreakBefore w:val="0"/>
        <w:widowControl w:val="0"/>
        <w:numPr>
          <w:ilvl w:val="0"/>
          <w:numId w:val="0"/>
        </w:numPr>
        <w:tabs>
          <w:tab w:val="left" w:pos="617"/>
          <w:tab w:val="left" w:pos="618"/>
        </w:tabs>
        <w:kinsoku/>
        <w:wordWrap/>
        <w:overflowPunct/>
        <w:topLinePunct w:val="0"/>
        <w:autoSpaceDE w:val="0"/>
        <w:autoSpaceDN w:val="0"/>
        <w:bidi w:val="0"/>
        <w:adjustRightInd/>
        <w:snapToGrid/>
        <w:spacing w:before="0" w:after="0" w:line="240" w:lineRule="auto"/>
        <w:ind w:right="0" w:rightChars="0" w:firstLine="420" w:firstLineChars="200"/>
        <w:jc w:val="left"/>
        <w:textAlignment w:val="auto"/>
        <w:rPr>
          <w:rFonts w:hint="eastAsia" w:ascii="宋体" w:hAnsi="宋体" w:eastAsia="宋体" w:cs="宋体"/>
          <w:sz w:val="21"/>
          <w:szCs w:val="21"/>
        </w:rPr>
      </w:pPr>
    </w:p>
    <w:p>
      <w:pPr>
        <w:pStyle w:val="13"/>
        <w:keepNext w:val="0"/>
        <w:keepLines w:val="0"/>
        <w:pageBreakBefore w:val="0"/>
        <w:widowControl w:val="0"/>
        <w:numPr>
          <w:ilvl w:val="0"/>
          <w:numId w:val="0"/>
        </w:numPr>
        <w:tabs>
          <w:tab w:val="left" w:pos="617"/>
          <w:tab w:val="left" w:pos="618"/>
        </w:tabs>
        <w:kinsoku/>
        <w:wordWrap/>
        <w:overflowPunct/>
        <w:topLinePunct w:val="0"/>
        <w:autoSpaceDE w:val="0"/>
        <w:autoSpaceDN w:val="0"/>
        <w:bidi w:val="0"/>
        <w:adjustRightInd/>
        <w:snapToGrid/>
        <w:spacing w:before="0" w:after="0" w:line="240" w:lineRule="auto"/>
        <w:ind w:right="0" w:rightChars="0" w:firstLine="420" w:firstLineChars="200"/>
        <w:jc w:val="left"/>
        <w:textAlignment w:val="auto"/>
        <w:rPr>
          <w:rFonts w:hint="eastAsia" w:ascii="宋体" w:hAnsi="宋体" w:eastAsia="宋体" w:cs="宋体"/>
          <w:sz w:val="21"/>
          <w:szCs w:val="21"/>
        </w:rPr>
      </w:pPr>
    </w:p>
    <w:p>
      <w:pPr>
        <w:pStyle w:val="13"/>
        <w:keepNext w:val="0"/>
        <w:keepLines w:val="0"/>
        <w:pageBreakBefore w:val="0"/>
        <w:widowControl w:val="0"/>
        <w:numPr>
          <w:ilvl w:val="0"/>
          <w:numId w:val="0"/>
        </w:numPr>
        <w:tabs>
          <w:tab w:val="left" w:pos="617"/>
          <w:tab w:val="left" w:pos="618"/>
        </w:tabs>
        <w:kinsoku/>
        <w:wordWrap/>
        <w:overflowPunct/>
        <w:topLinePunct w:val="0"/>
        <w:autoSpaceDE w:val="0"/>
        <w:autoSpaceDN w:val="0"/>
        <w:bidi w:val="0"/>
        <w:adjustRightInd/>
        <w:snapToGrid/>
        <w:spacing w:before="0" w:after="0" w:line="240" w:lineRule="auto"/>
        <w:ind w:right="0" w:rightChars="0" w:firstLine="420" w:firstLineChars="20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表1</w:t>
      </w:r>
    </w:p>
    <w:tbl>
      <w:tblPr>
        <w:tblStyle w:val="10"/>
        <w:tblW w:w="0" w:type="auto"/>
        <w:tblInd w:w="12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654"/>
        <w:gridCol w:w="48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654"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s="宋体"/>
                <w:color w:val="auto"/>
                <w:sz w:val="18"/>
                <w:szCs w:val="18"/>
                <w:vertAlign w:val="baseline"/>
                <w:lang w:val="en-US" w:eastAsia="zh-CN"/>
              </w:rPr>
            </w:pPr>
            <w:r>
              <w:rPr>
                <w:rFonts w:hint="eastAsia" w:cs="宋体"/>
                <w:color w:val="auto"/>
                <w:sz w:val="18"/>
                <w:szCs w:val="18"/>
                <w:vertAlign w:val="baseline"/>
                <w:lang w:val="en-US" w:eastAsia="zh-CN"/>
              </w:rPr>
              <w:t>直径</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s="宋体"/>
                <w:color w:val="auto"/>
                <w:sz w:val="18"/>
                <w:szCs w:val="18"/>
                <w:vertAlign w:val="baseline"/>
                <w:lang w:val="en-US" w:eastAsia="zh-CN"/>
              </w:rPr>
            </w:pPr>
            <w:r>
              <w:rPr>
                <w:rFonts w:hint="eastAsia" w:cs="宋体"/>
                <w:color w:val="auto"/>
                <w:sz w:val="18"/>
                <w:szCs w:val="18"/>
                <w:vertAlign w:val="baseline"/>
                <w:lang w:val="en-US" w:eastAsia="zh-CN"/>
              </w:rPr>
              <w:t>mm</w:t>
            </w:r>
          </w:p>
        </w:tc>
        <w:tc>
          <w:tcPr>
            <w:tcW w:w="4832"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color w:val="auto"/>
                <w:sz w:val="18"/>
                <w:szCs w:val="18"/>
                <w:vertAlign w:val="baseline"/>
                <w:lang w:val="en-US" w:eastAsia="zh-CN"/>
              </w:rPr>
            </w:pPr>
            <w:r>
              <w:rPr>
                <w:rFonts w:hint="eastAsia" w:cs="宋体"/>
                <w:color w:val="auto"/>
                <w:sz w:val="18"/>
                <w:szCs w:val="18"/>
                <w:vertAlign w:val="baseline"/>
                <w:lang w:val="en-US" w:eastAsia="zh-CN"/>
              </w:rPr>
              <w:t>允许偏差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3" w:hRule="atLeast"/>
        </w:trPr>
        <w:tc>
          <w:tcPr>
            <w:tcW w:w="4654"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color w:val="auto"/>
                <w:sz w:val="18"/>
                <w:szCs w:val="18"/>
                <w:vertAlign w:val="baseline"/>
                <w:lang w:val="en-US" w:eastAsia="zh-CN"/>
              </w:rPr>
            </w:pPr>
            <w:r>
              <w:rPr>
                <w:rFonts w:hint="eastAsia" w:cs="宋体"/>
                <w:color w:val="auto"/>
                <w:sz w:val="18"/>
                <w:szCs w:val="18"/>
                <w:vertAlign w:val="baseline"/>
                <w:lang w:val="en-US" w:eastAsia="zh-CN"/>
              </w:rPr>
              <w:t>50.8</w:t>
            </w:r>
          </w:p>
        </w:tc>
        <w:tc>
          <w:tcPr>
            <w:tcW w:w="4832"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color w:val="auto"/>
                <w:sz w:val="18"/>
                <w:szCs w:val="18"/>
                <w:vertAlign w:val="baseline"/>
                <w:lang w:val="en-US" w:eastAsia="zh-CN"/>
              </w:rPr>
            </w:pPr>
            <w:r>
              <w:rPr>
                <w:rFonts w:hint="eastAsia" w:cs="宋体"/>
                <w:color w:val="auto"/>
                <w:sz w:val="18"/>
                <w:szCs w:val="18"/>
                <w:vertAlign w:val="baseline"/>
                <w:lang w:val="en-US" w:eastAsia="zh-CN"/>
              </w:rPr>
              <w:t>±0.2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3" w:hRule="atLeast"/>
        </w:trPr>
        <w:tc>
          <w:tcPr>
            <w:tcW w:w="4654"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color w:val="auto"/>
                <w:sz w:val="18"/>
                <w:szCs w:val="18"/>
                <w:vertAlign w:val="baseline"/>
                <w:lang w:val="en-US" w:eastAsia="zh-CN"/>
              </w:rPr>
            </w:pPr>
            <w:r>
              <w:rPr>
                <w:rFonts w:hint="eastAsia" w:cs="宋体"/>
                <w:color w:val="auto"/>
                <w:sz w:val="18"/>
                <w:szCs w:val="18"/>
                <w:vertAlign w:val="baseline"/>
                <w:lang w:val="en-US" w:eastAsia="zh-CN"/>
              </w:rPr>
              <w:t>76.2</w:t>
            </w:r>
          </w:p>
        </w:tc>
        <w:tc>
          <w:tcPr>
            <w:tcW w:w="4832"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cs="宋体"/>
                <w:color w:val="auto"/>
                <w:sz w:val="18"/>
                <w:szCs w:val="18"/>
                <w:vertAlign w:val="baseline"/>
                <w:lang w:val="en-US" w:eastAsia="zh-CN"/>
              </w:rPr>
              <w:t>±0.2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3" w:hRule="atLeast"/>
        </w:trPr>
        <w:tc>
          <w:tcPr>
            <w:tcW w:w="4654"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color w:val="auto"/>
                <w:sz w:val="18"/>
                <w:szCs w:val="18"/>
                <w:vertAlign w:val="baseline"/>
                <w:lang w:val="en-US" w:eastAsia="zh-CN"/>
              </w:rPr>
            </w:pPr>
            <w:r>
              <w:rPr>
                <w:rFonts w:hint="eastAsia" w:cs="宋体"/>
                <w:color w:val="auto"/>
                <w:sz w:val="18"/>
                <w:szCs w:val="18"/>
                <w:vertAlign w:val="baseline"/>
                <w:lang w:val="en-US" w:eastAsia="zh-CN"/>
              </w:rPr>
              <w:t>100.0</w:t>
            </w:r>
          </w:p>
        </w:tc>
        <w:tc>
          <w:tcPr>
            <w:tcW w:w="4832"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cs="宋体"/>
                <w:color w:val="auto"/>
                <w:sz w:val="18"/>
                <w:szCs w:val="18"/>
                <w:vertAlign w:val="baseline"/>
                <w:lang w:val="en-US" w:eastAsia="zh-CN"/>
              </w:rPr>
              <w:t>±0.2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3" w:hRule="atLeast"/>
        </w:trPr>
        <w:tc>
          <w:tcPr>
            <w:tcW w:w="4654"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color w:val="auto"/>
                <w:sz w:val="18"/>
                <w:szCs w:val="18"/>
                <w:vertAlign w:val="baseline"/>
                <w:lang w:val="en-US" w:eastAsia="zh-CN"/>
              </w:rPr>
            </w:pPr>
            <w:r>
              <w:rPr>
                <w:rFonts w:hint="eastAsia" w:cs="宋体"/>
                <w:color w:val="auto"/>
                <w:sz w:val="18"/>
                <w:szCs w:val="18"/>
                <w:vertAlign w:val="baseline"/>
                <w:lang w:val="en-US" w:eastAsia="zh-CN"/>
              </w:rPr>
              <w:t>150.0</w:t>
            </w:r>
          </w:p>
        </w:tc>
        <w:tc>
          <w:tcPr>
            <w:tcW w:w="4832"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cs="宋体"/>
                <w:color w:val="auto"/>
                <w:sz w:val="18"/>
                <w:szCs w:val="18"/>
                <w:vertAlign w:val="baseline"/>
                <w:lang w:val="en-US" w:eastAsia="zh-CN"/>
              </w:rPr>
              <w:t>±0.2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3" w:hRule="atLeast"/>
        </w:trPr>
        <w:tc>
          <w:tcPr>
            <w:tcW w:w="4654"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color w:val="auto"/>
                <w:sz w:val="18"/>
                <w:szCs w:val="18"/>
                <w:vertAlign w:val="baseline"/>
                <w:lang w:val="en-US" w:eastAsia="zh-CN"/>
              </w:rPr>
            </w:pPr>
            <w:r>
              <w:rPr>
                <w:rFonts w:hint="eastAsia" w:cs="宋体"/>
                <w:color w:val="auto"/>
                <w:sz w:val="18"/>
                <w:szCs w:val="18"/>
                <w:vertAlign w:val="baseline"/>
                <w:lang w:val="en-US" w:eastAsia="zh-CN"/>
              </w:rPr>
              <w:t>200.0</w:t>
            </w:r>
          </w:p>
        </w:tc>
        <w:tc>
          <w:tcPr>
            <w:tcW w:w="4832"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cs="宋体"/>
                <w:color w:val="auto"/>
                <w:sz w:val="18"/>
                <w:szCs w:val="18"/>
                <w:vertAlign w:val="baseline"/>
                <w:lang w:val="en-US" w:eastAsia="zh-CN"/>
              </w:rPr>
              <w:t>±0.2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9486" w:type="dxa"/>
            <w:gridSpan w:val="2"/>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left"/>
              <w:textAlignment w:val="auto"/>
              <w:rPr>
                <w:rFonts w:hint="default" w:ascii="宋体" w:hAnsi="宋体" w:eastAsia="宋体" w:cs="宋体"/>
                <w:color w:val="auto"/>
                <w:sz w:val="18"/>
                <w:szCs w:val="18"/>
                <w:vertAlign w:val="baseline"/>
                <w:lang w:val="en-US" w:eastAsia="zh-CN"/>
              </w:rPr>
            </w:pPr>
            <w:r>
              <w:rPr>
                <w:rFonts w:hint="eastAsia" w:cs="宋体"/>
                <w:color w:val="auto"/>
                <w:sz w:val="18"/>
                <w:szCs w:val="18"/>
                <w:vertAlign w:val="baseline"/>
                <w:lang w:val="en-US" w:eastAsia="zh-CN"/>
              </w:rPr>
              <w:t>注：砷化镓单晶的直径及允许偏差均指加工成的砷化镓衬底片的尺寸</w:t>
            </w:r>
          </w:p>
        </w:tc>
      </w:tr>
    </w:tbl>
    <w:p>
      <w:pPr>
        <w:pStyle w:val="13"/>
        <w:keepNext w:val="0"/>
        <w:keepLines w:val="0"/>
        <w:pageBreakBefore w:val="0"/>
        <w:widowControl w:val="0"/>
        <w:numPr>
          <w:ilvl w:val="0"/>
          <w:numId w:val="0"/>
        </w:numPr>
        <w:tabs>
          <w:tab w:val="left" w:pos="617"/>
          <w:tab w:val="left" w:pos="618"/>
        </w:tabs>
        <w:kinsoku/>
        <w:wordWrap/>
        <w:overflowPunct/>
        <w:topLinePunct w:val="0"/>
        <w:autoSpaceDE w:val="0"/>
        <w:autoSpaceDN w:val="0"/>
        <w:bidi w:val="0"/>
        <w:adjustRightInd/>
        <w:snapToGrid/>
        <w:spacing w:before="0" w:after="0" w:line="240" w:lineRule="auto"/>
        <w:ind w:right="0" w:rightChars="0" w:firstLine="420" w:firstLineChars="200"/>
        <w:jc w:val="center"/>
        <w:textAlignment w:val="auto"/>
        <w:rPr>
          <w:rFonts w:hint="eastAsia" w:cs="宋体"/>
          <w:sz w:val="21"/>
          <w:szCs w:val="21"/>
          <w:lang w:val="en-US" w:eastAsia="zh-CN"/>
        </w:rPr>
      </w:pPr>
    </w:p>
    <w:p>
      <w:pPr>
        <w:pStyle w:val="13"/>
        <w:keepNext w:val="0"/>
        <w:keepLines w:val="0"/>
        <w:pageBreakBefore w:val="0"/>
        <w:widowControl w:val="0"/>
        <w:numPr>
          <w:ilvl w:val="0"/>
          <w:numId w:val="0"/>
        </w:numPr>
        <w:tabs>
          <w:tab w:val="left" w:pos="617"/>
          <w:tab w:val="left" w:pos="618"/>
        </w:tabs>
        <w:kinsoku/>
        <w:wordWrap/>
        <w:overflowPunct/>
        <w:topLinePunct w:val="0"/>
        <w:autoSpaceDE w:val="0"/>
        <w:autoSpaceDN w:val="0"/>
        <w:bidi w:val="0"/>
        <w:adjustRightInd/>
        <w:snapToGrid/>
        <w:spacing w:before="0" w:after="0" w:line="240" w:lineRule="auto"/>
        <w:ind w:right="0" w:rightChars="0" w:firstLine="420" w:firstLineChars="200"/>
        <w:jc w:val="center"/>
        <w:textAlignment w:val="auto"/>
        <w:rPr>
          <w:rFonts w:hint="default" w:cs="宋体"/>
          <w:sz w:val="21"/>
          <w:szCs w:val="21"/>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5   技术要求</w:t>
      </w:r>
    </w:p>
    <w:p>
      <w:pPr>
        <w:pStyle w:val="6"/>
        <w:keepNext w:val="0"/>
        <w:keepLines w:val="0"/>
        <w:pageBreakBefore w:val="0"/>
        <w:widowControl w:val="0"/>
        <w:kinsoku/>
        <w:wordWrap/>
        <w:overflowPunct/>
        <w:topLinePunct w:val="0"/>
        <w:autoSpaceDE w:val="0"/>
        <w:autoSpaceDN w:val="0"/>
        <w:bidi w:val="0"/>
        <w:adjustRightInd/>
        <w:snapToGrid/>
        <w:spacing w:before="0" w:beforeLines="50" w:after="0" w:afterLines="5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5.1 电学性能</w:t>
      </w:r>
    </w:p>
    <w:p>
      <w:pPr>
        <w:pStyle w:val="6"/>
        <w:keepNext w:val="0"/>
        <w:keepLines w:val="0"/>
        <w:pageBreakBefore w:val="0"/>
        <w:widowControl w:val="0"/>
        <w:tabs>
          <w:tab w:val="left" w:pos="3595"/>
        </w:tabs>
        <w:kinsoku/>
        <w:wordWrap/>
        <w:overflowPunct/>
        <w:topLinePunct w:val="0"/>
        <w:autoSpaceDE w:val="0"/>
        <w:autoSpaceDN w:val="0"/>
        <w:bidi w:val="0"/>
        <w:adjustRightInd w:val="0"/>
        <w:snapToGrid/>
        <w:spacing w:line="24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砷化镓</w:t>
      </w:r>
      <w:r>
        <w:rPr>
          <w:rFonts w:hint="eastAsia" w:ascii="宋体" w:hAnsi="宋体" w:eastAsia="宋体" w:cs="宋体"/>
          <w:color w:val="auto"/>
          <w:sz w:val="21"/>
          <w:szCs w:val="21"/>
          <w:highlight w:val="none"/>
        </w:rPr>
        <w:t>衬底的电学性能</w:t>
      </w:r>
      <w:r>
        <w:rPr>
          <w:rFonts w:hint="eastAsia" w:ascii="宋体" w:hAnsi="宋体" w:eastAsia="宋体" w:cs="宋体"/>
          <w:color w:val="auto"/>
          <w:sz w:val="21"/>
          <w:szCs w:val="21"/>
          <w:highlight w:val="none"/>
          <w:lang w:val="en-US" w:eastAsia="zh-CN"/>
        </w:rPr>
        <w:t>(包括导电类型、载流子浓度、霍尔迁移率、电阻率、截面不均匀性）</w:t>
      </w:r>
      <w:r>
        <w:rPr>
          <w:rFonts w:hint="eastAsia" w:ascii="宋体" w:hAnsi="宋体" w:eastAsia="宋体" w:cs="宋体"/>
          <w:color w:val="auto"/>
          <w:sz w:val="21"/>
          <w:szCs w:val="21"/>
          <w:highlight w:val="none"/>
        </w:rPr>
        <w:t>应符合表</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的规定。</w:t>
      </w:r>
    </w:p>
    <w:p>
      <w:pPr>
        <w:pStyle w:val="6"/>
        <w:keepNext w:val="0"/>
        <w:keepLines w:val="0"/>
        <w:pageBreakBefore w:val="0"/>
        <w:widowControl w:val="0"/>
        <w:shd w:val="clear"/>
        <w:kinsoku/>
        <w:wordWrap/>
        <w:overflowPunct/>
        <w:topLinePunct w:val="0"/>
        <w:autoSpaceDE w:val="0"/>
        <w:autoSpaceDN w:val="0"/>
        <w:bidi w:val="0"/>
        <w:adjustRightInd/>
        <w:snapToGrid/>
        <w:spacing w:before="0" w:beforeLines="50" w:after="0" w:afterLines="50"/>
        <w:ind w:left="0" w:right="0"/>
        <w:jc w:val="center"/>
        <w:textAlignment w:val="auto"/>
        <w:rPr>
          <w:rFonts w:hint="default" w:ascii="黑体" w:hAnsi="黑体" w:eastAsia="黑体" w:cs="黑体"/>
          <w:sz w:val="21"/>
          <w:szCs w:val="21"/>
          <w:lang w:val="en-US" w:eastAsia="zh-CN"/>
        </w:rPr>
      </w:pPr>
      <w:r>
        <w:rPr>
          <w:rFonts w:hint="eastAsia" w:ascii="黑体" w:hAnsi="黑体" w:eastAsia="黑体" w:cs="黑体"/>
          <w:sz w:val="21"/>
          <w:szCs w:val="21"/>
        </w:rPr>
        <w:t>表</w:t>
      </w:r>
      <w:r>
        <w:rPr>
          <w:rFonts w:hint="eastAsia" w:ascii="黑体" w:hAnsi="黑体" w:eastAsia="黑体" w:cs="黑体"/>
          <w:sz w:val="21"/>
          <w:szCs w:val="21"/>
          <w:lang w:val="en-US" w:eastAsia="zh-CN"/>
        </w:rPr>
        <w:t xml:space="preserve">2 </w:t>
      </w:r>
    </w:p>
    <w:tbl>
      <w:tblPr>
        <w:tblStyle w:val="10"/>
        <w:tblW w:w="0" w:type="auto"/>
        <w:tblInd w:w="12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4"/>
        <w:gridCol w:w="2008"/>
        <w:gridCol w:w="1662"/>
        <w:gridCol w:w="1511"/>
        <w:gridCol w:w="1906"/>
        <w:gridCol w:w="14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984"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导电类型</w:t>
            </w:r>
          </w:p>
        </w:tc>
        <w:tc>
          <w:tcPr>
            <w:tcW w:w="2008"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掺杂剂</w:t>
            </w:r>
          </w:p>
        </w:tc>
        <w:tc>
          <w:tcPr>
            <w:tcW w:w="166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电阻率</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Ω·cm</w:t>
            </w:r>
          </w:p>
        </w:tc>
        <w:tc>
          <w:tcPr>
            <w:tcW w:w="1511"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迁移率</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cm</w:t>
            </w:r>
            <w:r>
              <w:rPr>
                <w:rFonts w:hint="eastAsia" w:ascii="宋体" w:hAnsi="宋体" w:eastAsia="宋体" w:cs="宋体"/>
                <w:color w:val="auto"/>
                <w:sz w:val="18"/>
                <w:szCs w:val="18"/>
                <w:vertAlign w:val="superscript"/>
                <w:lang w:val="en-US" w:eastAsia="zh-CN"/>
              </w:rPr>
              <w:t xml:space="preserve">-2 </w:t>
            </w:r>
            <w:r>
              <w:rPr>
                <w:rFonts w:hint="eastAsia" w:ascii="宋体" w:hAnsi="宋体" w:eastAsia="宋体" w:cs="宋体"/>
                <w:color w:val="auto"/>
                <w:sz w:val="18"/>
                <w:szCs w:val="18"/>
                <w:vertAlign w:val="baseline"/>
                <w:lang w:val="en-US" w:eastAsia="zh-CN"/>
              </w:rPr>
              <w:t>/(V·s)</w:t>
            </w:r>
          </w:p>
        </w:tc>
        <w:tc>
          <w:tcPr>
            <w:tcW w:w="1906"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载流子浓度</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cm</w:t>
            </w:r>
            <w:r>
              <w:rPr>
                <w:rFonts w:hint="eastAsia" w:ascii="宋体" w:hAnsi="宋体" w:eastAsia="宋体" w:cs="宋体"/>
                <w:color w:val="auto"/>
                <w:sz w:val="18"/>
                <w:szCs w:val="18"/>
                <w:vertAlign w:val="superscript"/>
                <w:lang w:val="en-US" w:eastAsia="zh-CN"/>
              </w:rPr>
              <w:t>-3</w:t>
            </w:r>
          </w:p>
        </w:tc>
        <w:tc>
          <w:tcPr>
            <w:tcW w:w="1415"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截面电阻率不均匀性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3" w:hRule="atLeast"/>
        </w:trPr>
        <w:tc>
          <w:tcPr>
            <w:tcW w:w="984"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eastAsia="zh-CN"/>
              </w:rPr>
            </w:pPr>
            <w:r>
              <w:rPr>
                <w:rFonts w:hint="eastAsia" w:cs="宋体"/>
                <w:color w:val="auto"/>
                <w:sz w:val="18"/>
                <w:szCs w:val="18"/>
                <w:lang w:val="en-US" w:eastAsia="zh-CN"/>
              </w:rPr>
              <w:t>n</w:t>
            </w:r>
          </w:p>
        </w:tc>
        <w:tc>
          <w:tcPr>
            <w:tcW w:w="2008"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Si、Te、S、Se、Sn</w:t>
            </w:r>
          </w:p>
        </w:tc>
        <w:tc>
          <w:tcPr>
            <w:tcW w:w="1662"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1×10</w:t>
            </w:r>
            <w:r>
              <w:rPr>
                <w:rFonts w:hint="eastAsia" w:ascii="宋体" w:hAnsi="宋体" w:eastAsia="宋体" w:cs="宋体"/>
                <w:color w:val="auto"/>
                <w:sz w:val="18"/>
                <w:szCs w:val="18"/>
                <w:vertAlign w:val="superscript"/>
                <w:lang w:val="en-US" w:eastAsia="zh-CN"/>
              </w:rPr>
              <w:t>-2</w:t>
            </w:r>
            <w:r>
              <w:rPr>
                <w:rFonts w:hint="eastAsia" w:ascii="宋体" w:hAnsi="宋体" w:eastAsia="宋体" w:cs="宋体"/>
                <w:color w:val="auto"/>
                <w:sz w:val="18"/>
                <w:szCs w:val="18"/>
                <w:vertAlign w:val="baseline"/>
                <w:lang w:val="en-US" w:eastAsia="zh-CN"/>
              </w:rPr>
              <w:t>～1×10</w:t>
            </w:r>
            <w:r>
              <w:rPr>
                <w:rFonts w:hint="eastAsia" w:ascii="宋体" w:hAnsi="宋体" w:eastAsia="宋体" w:cs="宋体"/>
                <w:color w:val="auto"/>
                <w:sz w:val="18"/>
                <w:szCs w:val="18"/>
                <w:vertAlign w:val="superscript"/>
                <w:lang w:val="en-US" w:eastAsia="zh-CN"/>
              </w:rPr>
              <w:t>-3</w:t>
            </w:r>
          </w:p>
        </w:tc>
        <w:tc>
          <w:tcPr>
            <w:tcW w:w="1511"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≥1000</w:t>
            </w:r>
          </w:p>
        </w:tc>
        <w:tc>
          <w:tcPr>
            <w:tcW w:w="1906"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rPr>
            </w:pPr>
            <w:r>
              <w:rPr>
                <w:rFonts w:hint="eastAsia" w:ascii="宋体" w:hAnsi="宋体" w:eastAsia="宋体" w:cs="宋体"/>
                <w:color w:val="auto"/>
                <w:sz w:val="18"/>
                <w:szCs w:val="18"/>
                <w:vertAlign w:val="baseline"/>
                <w:lang w:val="en-US" w:eastAsia="zh-CN"/>
              </w:rPr>
              <w:t>1×10</w:t>
            </w:r>
            <w:r>
              <w:rPr>
                <w:rFonts w:hint="eastAsia" w:ascii="宋体" w:hAnsi="宋体" w:eastAsia="宋体" w:cs="宋体"/>
                <w:color w:val="auto"/>
                <w:sz w:val="18"/>
                <w:szCs w:val="18"/>
                <w:vertAlign w:val="superscript"/>
                <w:lang w:val="en-US" w:eastAsia="zh-CN"/>
              </w:rPr>
              <w:t>17</w:t>
            </w:r>
            <w:r>
              <w:rPr>
                <w:rFonts w:hint="eastAsia" w:ascii="宋体" w:hAnsi="宋体" w:eastAsia="宋体" w:cs="宋体"/>
                <w:color w:val="auto"/>
                <w:sz w:val="18"/>
                <w:szCs w:val="18"/>
                <w:vertAlign w:val="baseline"/>
                <w:lang w:val="en-US" w:eastAsia="zh-CN"/>
              </w:rPr>
              <w:t>～5×10</w:t>
            </w:r>
            <w:r>
              <w:rPr>
                <w:rFonts w:hint="eastAsia" w:ascii="宋体" w:hAnsi="宋体" w:eastAsia="宋体" w:cs="宋体"/>
                <w:color w:val="auto"/>
                <w:sz w:val="18"/>
                <w:szCs w:val="18"/>
                <w:vertAlign w:val="superscript"/>
                <w:lang w:val="en-US" w:eastAsia="zh-CN"/>
              </w:rPr>
              <w:t>18</w:t>
            </w:r>
          </w:p>
        </w:tc>
        <w:tc>
          <w:tcPr>
            <w:tcW w:w="1415"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84"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rPr>
            </w:pPr>
            <w:r>
              <w:rPr>
                <w:rFonts w:hint="eastAsia" w:cs="宋体"/>
                <w:color w:val="auto"/>
                <w:sz w:val="18"/>
                <w:szCs w:val="18"/>
                <w:lang w:val="en-US" w:eastAsia="zh-CN"/>
              </w:rPr>
              <w:t>p</w:t>
            </w:r>
          </w:p>
        </w:tc>
        <w:tc>
          <w:tcPr>
            <w:tcW w:w="200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Zn、Cd、Be、Mn、Fe、Co、Mg</w:t>
            </w:r>
          </w:p>
        </w:tc>
        <w:tc>
          <w:tcPr>
            <w:tcW w:w="166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lang w:val="en-US" w:eastAsia="zh-CN"/>
              </w:rPr>
              <w:t>1×10</w:t>
            </w:r>
            <w:r>
              <w:rPr>
                <w:rFonts w:hint="eastAsia" w:ascii="宋体" w:hAnsi="宋体" w:eastAsia="宋体" w:cs="宋体"/>
                <w:color w:val="auto"/>
                <w:sz w:val="18"/>
                <w:szCs w:val="18"/>
                <w:vertAlign w:val="superscript"/>
                <w:lang w:val="en-US" w:eastAsia="zh-CN"/>
              </w:rPr>
              <w:t>-1</w:t>
            </w:r>
            <w:r>
              <w:rPr>
                <w:rFonts w:hint="eastAsia" w:ascii="宋体" w:hAnsi="宋体" w:eastAsia="宋体" w:cs="宋体"/>
                <w:color w:val="auto"/>
                <w:sz w:val="18"/>
                <w:szCs w:val="18"/>
                <w:vertAlign w:val="baseline"/>
                <w:lang w:val="en-US" w:eastAsia="zh-CN"/>
              </w:rPr>
              <w:t>～1×10</w:t>
            </w:r>
            <w:r>
              <w:rPr>
                <w:rFonts w:hint="eastAsia" w:ascii="宋体" w:hAnsi="宋体" w:eastAsia="宋体" w:cs="宋体"/>
                <w:color w:val="auto"/>
                <w:sz w:val="18"/>
                <w:szCs w:val="18"/>
                <w:vertAlign w:val="superscript"/>
                <w:lang w:val="en-US" w:eastAsia="zh-CN"/>
              </w:rPr>
              <w:t>-3</w:t>
            </w:r>
          </w:p>
        </w:tc>
        <w:tc>
          <w:tcPr>
            <w:tcW w:w="151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≥40</w:t>
            </w:r>
          </w:p>
        </w:tc>
        <w:tc>
          <w:tcPr>
            <w:tcW w:w="190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18"/>
                <w:szCs w:val="18"/>
                <w:vertAlign w:val="baseline"/>
                <w:lang w:val="en-US" w:eastAsia="en-US" w:bidi="ar-SA"/>
              </w:rPr>
            </w:pPr>
            <w:r>
              <w:rPr>
                <w:rFonts w:hint="eastAsia" w:ascii="宋体" w:hAnsi="宋体" w:eastAsia="宋体" w:cs="宋体"/>
                <w:color w:val="auto"/>
                <w:sz w:val="18"/>
                <w:szCs w:val="18"/>
                <w:vertAlign w:val="baseline"/>
                <w:lang w:val="en-US" w:eastAsia="zh-CN"/>
              </w:rPr>
              <w:t>1×10</w:t>
            </w:r>
            <w:r>
              <w:rPr>
                <w:rFonts w:hint="eastAsia" w:ascii="宋体" w:hAnsi="宋体" w:eastAsia="宋体" w:cs="宋体"/>
                <w:color w:val="auto"/>
                <w:sz w:val="18"/>
                <w:szCs w:val="18"/>
                <w:vertAlign w:val="superscript"/>
                <w:lang w:val="en-US" w:eastAsia="zh-CN"/>
              </w:rPr>
              <w:t>17</w:t>
            </w:r>
            <w:r>
              <w:rPr>
                <w:rFonts w:hint="eastAsia" w:ascii="宋体" w:hAnsi="宋体" w:eastAsia="宋体" w:cs="宋体"/>
                <w:color w:val="auto"/>
                <w:sz w:val="18"/>
                <w:szCs w:val="18"/>
                <w:vertAlign w:val="baseline"/>
                <w:lang w:val="en-US" w:eastAsia="zh-CN"/>
              </w:rPr>
              <w:t>～5×10</w:t>
            </w:r>
            <w:r>
              <w:rPr>
                <w:rFonts w:hint="eastAsia" w:ascii="宋体" w:hAnsi="宋体" w:eastAsia="宋体" w:cs="宋体"/>
                <w:color w:val="auto"/>
                <w:sz w:val="18"/>
                <w:szCs w:val="18"/>
                <w:vertAlign w:val="superscript"/>
                <w:lang w:val="en-US" w:eastAsia="zh-CN"/>
              </w:rPr>
              <w:t>19</w:t>
            </w:r>
          </w:p>
        </w:tc>
        <w:tc>
          <w:tcPr>
            <w:tcW w:w="1415"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＜15%</w:t>
            </w:r>
          </w:p>
        </w:tc>
      </w:tr>
    </w:tbl>
    <w:p>
      <w:pPr>
        <w:pStyle w:val="6"/>
        <w:keepNext w:val="0"/>
        <w:keepLines w:val="0"/>
        <w:pageBreakBefore w:val="0"/>
        <w:widowControl w:val="0"/>
        <w:kinsoku/>
        <w:wordWrap/>
        <w:overflowPunct/>
        <w:topLinePunct w:val="0"/>
        <w:autoSpaceDE w:val="0"/>
        <w:autoSpaceDN w:val="0"/>
        <w:bidi w:val="0"/>
        <w:adjustRightInd/>
        <w:snapToGrid/>
        <w:spacing w:before="0" w:beforeLines="50" w:after="0" w:afterLines="50" w:line="240" w:lineRule="auto"/>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 表面质量</w:t>
      </w:r>
    </w:p>
    <w:p>
      <w:pPr>
        <w:pStyle w:val="6"/>
        <w:keepNext w:val="0"/>
        <w:keepLines w:val="0"/>
        <w:pageBreakBefore w:val="0"/>
        <w:widowControl w:val="0"/>
        <w:tabs>
          <w:tab w:val="left" w:pos="2677"/>
          <w:tab w:val="left" w:pos="7609"/>
        </w:tabs>
        <w:kinsoku/>
        <w:wordWrap/>
        <w:overflowPunct/>
        <w:topLinePunct w:val="0"/>
        <w:autoSpaceDE w:val="0"/>
        <w:autoSpaceDN w:val="0"/>
        <w:bidi w:val="0"/>
        <w:adjustRightInd/>
        <w:snapToGrid/>
        <w:spacing w:line="240" w:lineRule="auto"/>
        <w:ind w:left="0" w:right="0" w:firstLine="440" w:firstLineChars="200"/>
        <w:textAlignment w:val="auto"/>
        <w:rPr>
          <w:rFonts w:hint="eastAsia" w:ascii="宋体" w:hAnsi="宋体" w:eastAsia="宋体" w:cs="宋体"/>
          <w:sz w:val="21"/>
          <w:szCs w:val="21"/>
        </w:rPr>
      </w:pPr>
      <w:r>
        <w:rPr>
          <w:rFonts w:hint="eastAsia" w:ascii="宋体" w:hAnsi="宋体" w:eastAsia="宋体" w:cs="宋体"/>
          <w:w w:val="105"/>
          <w:sz w:val="21"/>
          <w:szCs w:val="21"/>
        </w:rPr>
        <w:t>在</w:t>
      </w:r>
      <w:r>
        <w:rPr>
          <w:rFonts w:hint="eastAsia" w:ascii="宋体" w:hAnsi="宋体" w:eastAsia="宋体" w:cs="宋体"/>
          <w:w w:val="105"/>
          <w:sz w:val="21"/>
          <w:szCs w:val="21"/>
          <w:lang w:val="en-US" w:eastAsia="zh-CN"/>
        </w:rPr>
        <w:t>砷化镓</w:t>
      </w:r>
      <w:r>
        <w:rPr>
          <w:rFonts w:hint="eastAsia" w:ascii="宋体" w:hAnsi="宋体" w:eastAsia="宋体" w:cs="宋体"/>
          <w:w w:val="105"/>
          <w:sz w:val="21"/>
          <w:szCs w:val="21"/>
        </w:rPr>
        <w:t>衬底表面边缘</w:t>
      </w:r>
      <w:r>
        <w:rPr>
          <w:rFonts w:hint="eastAsia" w:ascii="宋体" w:hAnsi="宋体" w:eastAsia="宋体" w:cs="宋体"/>
          <w:w w:val="105"/>
          <w:sz w:val="21"/>
          <w:szCs w:val="21"/>
          <w:lang w:val="en-US" w:eastAsia="zh-CN"/>
        </w:rPr>
        <w:t>0.5</w:t>
      </w:r>
      <w:r>
        <w:rPr>
          <w:rFonts w:hint="eastAsia" w:ascii="宋体" w:hAnsi="宋体" w:eastAsia="宋体" w:cs="宋体"/>
          <w:spacing w:val="-13"/>
          <w:sz w:val="21"/>
          <w:szCs w:val="21"/>
        </w:rPr>
        <w:t xml:space="preserve"> </w:t>
      </w:r>
      <w:r>
        <w:rPr>
          <w:rFonts w:hint="eastAsia" w:ascii="宋体" w:hAnsi="宋体" w:eastAsia="宋体" w:cs="宋体"/>
          <w:w w:val="105"/>
          <w:sz w:val="21"/>
          <w:szCs w:val="21"/>
        </w:rPr>
        <w:t>mm</w:t>
      </w:r>
      <w:r>
        <w:rPr>
          <w:rFonts w:hint="eastAsia" w:ascii="宋体" w:hAnsi="宋体" w:eastAsia="宋体" w:cs="宋体"/>
          <w:spacing w:val="-86"/>
          <w:w w:val="105"/>
          <w:sz w:val="21"/>
          <w:szCs w:val="21"/>
        </w:rPr>
        <w:t xml:space="preserve"> </w:t>
      </w:r>
      <w:r>
        <w:rPr>
          <w:rFonts w:hint="eastAsia" w:ascii="宋体" w:hAnsi="宋体" w:eastAsia="宋体" w:cs="宋体"/>
          <w:w w:val="105"/>
          <w:sz w:val="21"/>
          <w:szCs w:val="21"/>
        </w:rPr>
        <w:t>范围内无划痕、崩边、桔皮和裂缝。在整个表面</w:t>
      </w:r>
      <w:r>
        <w:rPr>
          <w:rFonts w:hint="eastAsia" w:ascii="宋体" w:hAnsi="宋体" w:eastAsia="宋体" w:cs="宋体"/>
          <w:w w:val="105"/>
          <w:sz w:val="21"/>
          <w:szCs w:val="21"/>
          <w:lang w:val="en-US" w:eastAsia="zh-CN"/>
        </w:rPr>
        <w:t>无沾污、溶剂残留物、蜡残留</w:t>
      </w:r>
      <w:r>
        <w:rPr>
          <w:rFonts w:hint="eastAsia" w:cs="宋体"/>
          <w:w w:val="105"/>
          <w:sz w:val="21"/>
          <w:szCs w:val="21"/>
          <w:lang w:val="en-US" w:eastAsia="zh-CN"/>
        </w:rPr>
        <w:t>物</w:t>
      </w:r>
      <w:r>
        <w:rPr>
          <w:rFonts w:hint="eastAsia" w:ascii="宋体" w:hAnsi="宋体" w:eastAsia="宋体" w:cs="宋体"/>
          <w:w w:val="105"/>
          <w:sz w:val="21"/>
          <w:szCs w:val="21"/>
          <w:lang w:val="en-US" w:eastAsia="zh-CN"/>
        </w:rPr>
        <w:t>或者</w:t>
      </w:r>
      <w:r>
        <w:rPr>
          <w:rFonts w:hint="eastAsia" w:ascii="宋体" w:hAnsi="宋体" w:eastAsia="宋体" w:cs="宋体"/>
          <w:w w:val="110"/>
          <w:sz w:val="21"/>
          <w:szCs w:val="21"/>
        </w:rPr>
        <w:t>按合同规定。</w:t>
      </w:r>
    </w:p>
    <w:p>
      <w:pPr>
        <w:pStyle w:val="6"/>
        <w:keepNext w:val="0"/>
        <w:keepLines w:val="0"/>
        <w:pageBreakBefore w:val="0"/>
        <w:widowControl w:val="0"/>
        <w:kinsoku/>
        <w:wordWrap/>
        <w:overflowPunct/>
        <w:topLinePunct w:val="0"/>
        <w:autoSpaceDE w:val="0"/>
        <w:autoSpaceDN w:val="0"/>
        <w:bidi w:val="0"/>
        <w:adjustRightInd/>
        <w:snapToGrid/>
        <w:spacing w:before="0" w:beforeLines="50" w:after="0" w:afterLines="50" w:line="240" w:lineRule="auto"/>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5.3 </w:t>
      </w:r>
      <w:r>
        <w:rPr>
          <w:rFonts w:hint="eastAsia" w:ascii="黑体" w:hAnsi="黑体" w:eastAsia="黑体" w:cs="黑体"/>
          <w:sz w:val="21"/>
          <w:szCs w:val="21"/>
        </w:rPr>
        <w:t>参考面</w:t>
      </w:r>
      <w:r>
        <w:rPr>
          <w:rFonts w:hint="eastAsia" w:ascii="黑体" w:hAnsi="黑体" w:eastAsia="黑体" w:cs="黑体"/>
          <w:sz w:val="21"/>
          <w:szCs w:val="21"/>
          <w:lang w:val="en-US" w:eastAsia="zh-CN"/>
        </w:rPr>
        <w:t>的取向、形状和尺寸</w:t>
      </w:r>
      <w:r>
        <w:rPr>
          <w:rFonts w:hint="eastAsia" w:ascii="黑体" w:hAnsi="黑体" w:eastAsia="黑体" w:cs="黑体"/>
          <w:sz w:val="21"/>
          <w:szCs w:val="21"/>
        </w:rPr>
        <w:t>或切口</w:t>
      </w:r>
    </w:p>
    <w:p>
      <w:pPr>
        <w:pStyle w:val="6"/>
        <w:keepNext w:val="0"/>
        <w:keepLines w:val="0"/>
        <w:pageBreakBefore w:val="0"/>
        <w:widowControl w:val="0"/>
        <w:kinsoku/>
        <w:wordWrap/>
        <w:overflowPunct/>
        <w:topLinePunct w:val="0"/>
        <w:autoSpaceDE w:val="0"/>
        <w:autoSpaceDN w:val="0"/>
        <w:bidi w:val="0"/>
        <w:adjustRightInd/>
        <w:snapToGrid/>
        <w:spacing w:before="0" w:line="240" w:lineRule="auto"/>
        <w:ind w:firstLine="0"/>
        <w:textAlignment w:val="auto"/>
        <w:rPr>
          <w:rFonts w:hint="eastAsia" w:ascii="宋体" w:hAnsi="宋体" w:eastAsia="宋体" w:cs="宋体"/>
          <w:color w:val="auto"/>
          <w:sz w:val="21"/>
          <w:szCs w:val="21"/>
          <w:lang w:val="en-US" w:eastAsia="zh-CN"/>
        </w:rPr>
      </w:pPr>
      <w:r>
        <w:rPr>
          <w:rFonts w:hint="eastAsia" w:ascii="黑体" w:hAnsi="黑体" w:eastAsia="黑体" w:cs="黑体"/>
          <w:b w:val="0"/>
          <w:bCs w:val="0"/>
          <w:color w:val="auto"/>
          <w:sz w:val="21"/>
          <w:szCs w:val="21"/>
          <w:lang w:val="en-US" w:eastAsia="zh-CN"/>
        </w:rPr>
        <w:t>5.3.1</w:t>
      </w:r>
      <w:r>
        <w:rPr>
          <w:rFonts w:hint="eastAsia" w:ascii="宋体" w:hAnsi="宋体" w:eastAsia="宋体" w:cs="宋体"/>
          <w:b/>
          <w:bCs/>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Ф50.8</w:t>
      </w:r>
      <w:r>
        <w:rPr>
          <w:rFonts w:hint="eastAsia" w:ascii="宋体" w:hAnsi="宋体" w:eastAsia="宋体" w:cs="宋体"/>
          <w:color w:val="auto"/>
          <w:spacing w:val="5"/>
          <w:sz w:val="21"/>
          <w:szCs w:val="21"/>
        </w:rPr>
        <w:t xml:space="preserve"> </w:t>
      </w:r>
      <w:r>
        <w:rPr>
          <w:rFonts w:hint="eastAsia" w:ascii="宋体" w:hAnsi="宋体" w:eastAsia="宋体" w:cs="宋体"/>
          <w:color w:val="auto"/>
          <w:sz w:val="21"/>
          <w:szCs w:val="21"/>
        </w:rPr>
        <w:t>mm</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102"/>
          <w:sz w:val="21"/>
          <w:szCs w:val="21"/>
        </w:rPr>
        <w:t>、</w:t>
      </w:r>
      <w:r>
        <w:rPr>
          <w:rFonts w:ascii="Arial" w:hAnsi="Arial" w:eastAsia="宋体" w:cs="Arial"/>
          <w:i w:val="0"/>
          <w:iCs w:val="0"/>
          <w:caps w:val="0"/>
          <w:color w:val="333333"/>
          <w:spacing w:val="0"/>
          <w:sz w:val="16"/>
          <w:szCs w:val="16"/>
          <w:shd w:val="clear" w:fill="FFFFFF"/>
        </w:rPr>
        <w:t>Φ</w:t>
      </w:r>
      <w:r>
        <w:rPr>
          <w:rFonts w:hint="eastAsia" w:ascii="宋体" w:hAnsi="宋体" w:eastAsia="宋体" w:cs="宋体"/>
          <w:color w:val="auto"/>
          <w:sz w:val="21"/>
          <w:szCs w:val="21"/>
        </w:rPr>
        <w:t>Ф76.2</w:t>
      </w:r>
      <w:r>
        <w:rPr>
          <w:rFonts w:hint="eastAsia" w:ascii="宋体" w:hAnsi="宋体" w:eastAsia="宋体" w:cs="宋体"/>
          <w:color w:val="auto"/>
          <w:spacing w:val="5"/>
          <w:sz w:val="21"/>
          <w:szCs w:val="21"/>
        </w:rPr>
        <w:t xml:space="preserve"> </w:t>
      </w:r>
      <w:r>
        <w:rPr>
          <w:rFonts w:hint="eastAsia" w:ascii="宋体" w:hAnsi="宋体" w:eastAsia="宋体" w:cs="宋体"/>
          <w:color w:val="auto"/>
          <w:sz w:val="21"/>
          <w:szCs w:val="21"/>
        </w:rPr>
        <w:t>mm</w:t>
      </w:r>
      <w:r>
        <w:rPr>
          <w:rFonts w:hint="eastAsia" w:ascii="宋体" w:hAnsi="宋体" w:eastAsia="宋体" w:cs="宋体"/>
          <w:color w:val="auto"/>
          <w:spacing w:val="21"/>
          <w:sz w:val="21"/>
          <w:szCs w:val="21"/>
        </w:rPr>
        <w:t xml:space="preserve"> </w:t>
      </w:r>
      <w:r>
        <w:rPr>
          <w:rFonts w:hint="eastAsia" w:ascii="宋体" w:hAnsi="宋体" w:eastAsia="宋体" w:cs="宋体"/>
          <w:color w:val="auto"/>
          <w:spacing w:val="-108"/>
          <w:sz w:val="21"/>
          <w:szCs w:val="21"/>
        </w:rPr>
        <w:t>、</w:t>
      </w:r>
      <w:r>
        <w:rPr>
          <w:rFonts w:hint="eastAsia" w:ascii="宋体" w:hAnsi="宋体" w:eastAsia="宋体" w:cs="宋体"/>
          <w:color w:val="auto"/>
          <w:sz w:val="21"/>
          <w:szCs w:val="21"/>
        </w:rPr>
        <w:t>Ф100</w:t>
      </w:r>
      <w:r>
        <w:rPr>
          <w:rFonts w:hint="eastAsia" w:ascii="宋体" w:hAnsi="宋体" w:eastAsia="宋体" w:cs="宋体"/>
          <w:color w:val="auto"/>
          <w:spacing w:val="44"/>
          <w:sz w:val="21"/>
          <w:szCs w:val="21"/>
        </w:rPr>
        <w:t xml:space="preserve"> </w:t>
      </w:r>
      <w:r>
        <w:rPr>
          <w:rFonts w:hint="eastAsia" w:ascii="宋体" w:hAnsi="宋体" w:eastAsia="宋体" w:cs="宋体"/>
          <w:color w:val="auto"/>
          <w:sz w:val="21"/>
          <w:szCs w:val="21"/>
        </w:rPr>
        <w:t>mm</w:t>
      </w:r>
      <w:r>
        <w:rPr>
          <w:rFonts w:hint="eastAsia" w:ascii="宋体" w:hAnsi="宋体" w:eastAsia="宋体" w:cs="宋体"/>
          <w:color w:val="auto"/>
          <w:spacing w:val="20"/>
          <w:sz w:val="21"/>
          <w:szCs w:val="21"/>
        </w:rPr>
        <w:t xml:space="preserve"> </w:t>
      </w:r>
      <w:r>
        <w:rPr>
          <w:rFonts w:hint="eastAsia" w:ascii="宋体" w:hAnsi="宋体" w:eastAsia="宋体" w:cs="宋体"/>
          <w:color w:val="auto"/>
          <w:spacing w:val="-102"/>
          <w:sz w:val="21"/>
          <w:szCs w:val="21"/>
        </w:rPr>
        <w:t>、</w:t>
      </w:r>
      <w:r>
        <w:rPr>
          <w:rFonts w:hint="eastAsia" w:ascii="宋体" w:hAnsi="宋体" w:eastAsia="宋体" w:cs="宋体"/>
          <w:color w:val="auto"/>
          <w:sz w:val="21"/>
          <w:szCs w:val="21"/>
        </w:rPr>
        <w:t>Ф150</w:t>
      </w:r>
      <w:r>
        <w:rPr>
          <w:rFonts w:hint="eastAsia" w:ascii="宋体" w:hAnsi="宋体" w:eastAsia="宋体" w:cs="宋体"/>
          <w:color w:val="auto"/>
          <w:spacing w:val="28"/>
          <w:sz w:val="21"/>
          <w:szCs w:val="21"/>
        </w:rPr>
        <w:t xml:space="preserve"> </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砷化镓衬底参考面的取向、形状和长度应该符合表</w:t>
      </w:r>
      <w:r>
        <w:rPr>
          <w:rFonts w:hint="eastAsia" w:cs="宋体"/>
          <w:color w:val="auto"/>
          <w:sz w:val="21"/>
          <w:szCs w:val="21"/>
          <w:lang w:val="en-US" w:eastAsia="zh-CN"/>
        </w:rPr>
        <w:t>3</w:t>
      </w:r>
      <w:r>
        <w:rPr>
          <w:rFonts w:hint="eastAsia" w:ascii="宋体" w:hAnsi="宋体" w:eastAsia="宋体" w:cs="宋体"/>
          <w:color w:val="auto"/>
          <w:sz w:val="21"/>
          <w:szCs w:val="21"/>
          <w:lang w:val="en-US" w:eastAsia="zh-CN"/>
        </w:rPr>
        <w:t>的规定。</w:t>
      </w:r>
    </w:p>
    <w:p>
      <w:pPr>
        <w:pStyle w:val="6"/>
        <w:keepNext w:val="0"/>
        <w:keepLines w:val="0"/>
        <w:pageBreakBefore w:val="0"/>
        <w:widowControl w:val="0"/>
        <w:kinsoku/>
        <w:wordWrap/>
        <w:overflowPunct/>
        <w:topLinePunct w:val="0"/>
        <w:autoSpaceDE w:val="0"/>
        <w:autoSpaceDN w:val="0"/>
        <w:bidi w:val="0"/>
        <w:adjustRightInd/>
        <w:snapToGrid/>
        <w:spacing w:before="0" w:beforeLines="50" w:after="0" w:afterLines="50" w:line="240" w:lineRule="auto"/>
        <w:ind w:firstLine="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表3 </w:t>
      </w:r>
    </w:p>
    <w:tbl>
      <w:tblPr>
        <w:tblStyle w:val="9"/>
        <w:tblW w:w="9165"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1802"/>
        <w:gridCol w:w="1350"/>
        <w:gridCol w:w="2005"/>
        <w:gridCol w:w="2004"/>
        <w:gridCol w:w="200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0" w:hRule="atLeast"/>
        </w:trPr>
        <w:tc>
          <w:tcPr>
            <w:tcW w:w="1802" w:type="dxa"/>
            <w:tcBorders>
              <w:bottom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参数项目</w:t>
            </w:r>
          </w:p>
        </w:tc>
        <w:tc>
          <w:tcPr>
            <w:tcW w:w="7363" w:type="dxa"/>
            <w:gridSpan w:val="4"/>
            <w:tcBorders>
              <w:bottom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0" w:hRule="atLeast"/>
        </w:trPr>
        <w:tc>
          <w:tcPr>
            <w:tcW w:w="1802"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参考面选择</w:t>
            </w:r>
          </w:p>
        </w:tc>
        <w:tc>
          <w:tcPr>
            <w:tcW w:w="3355" w:type="dxa"/>
            <w:gridSpan w:val="2"/>
            <w:tcBorders>
              <w:top w:val="single" w:color="000000" w:sz="8" w:space="0"/>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V型槽</w:t>
            </w:r>
          </w:p>
        </w:tc>
        <w:tc>
          <w:tcPr>
            <w:tcW w:w="4008" w:type="dxa"/>
            <w:gridSpan w:val="2"/>
            <w:tcBorders>
              <w:top w:val="single" w:color="000000" w:sz="8" w:space="0"/>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燕尾槽</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0" w:hRule="atLeast"/>
        </w:trPr>
        <w:tc>
          <w:tcPr>
            <w:tcW w:w="180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主参考面取向</w:t>
            </w:r>
          </w:p>
        </w:tc>
        <w:tc>
          <w:tcPr>
            <w:tcW w:w="335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i w:val="0"/>
                <w:color w:val="auto"/>
                <w:sz w:val="18"/>
                <w:szCs w:val="18"/>
                <w:u w:val="none"/>
              </w:rPr>
            </w:pPr>
            <w:r>
              <w:rPr>
                <w:rFonts w:hint="eastAsia"/>
                <w:color w:val="auto"/>
                <w:sz w:val="18"/>
                <w:szCs w:val="18"/>
                <w:vertAlign w:val="baseline"/>
                <w:lang w:val="en-US" w:eastAsia="zh-CN"/>
              </w:rPr>
              <w:t>[01</w:t>
            </w:r>
            <w:r>
              <w:rPr>
                <w:rFonts w:hint="eastAsia"/>
                <w:color w:val="auto"/>
                <w:sz w:val="18"/>
                <w:szCs w:val="18"/>
                <w:vertAlign w:val="baseline"/>
                <w:lang w:val="en-US" w:eastAsia="zh-CN"/>
              </w:rPr>
              <w:fldChar w:fldCharType="begin"/>
            </w:r>
            <w:r>
              <w:rPr>
                <w:rFonts w:hint="eastAsia"/>
                <w:color w:val="auto"/>
                <w:sz w:val="18"/>
                <w:szCs w:val="18"/>
                <w:vertAlign w:val="baseline"/>
                <w:lang w:val="en-US" w:eastAsia="zh-CN"/>
              </w:rPr>
              <w:instrText xml:space="preserve"> EQ \* jc0 \* "Font:宋体" \* hps9 \o \ad(\s \up 8(-),1)</w:instrText>
            </w:r>
            <w:r>
              <w:rPr>
                <w:rFonts w:hint="eastAsia"/>
                <w:color w:val="auto"/>
                <w:sz w:val="18"/>
                <w:szCs w:val="18"/>
                <w:vertAlign w:val="baseline"/>
                <w:lang w:val="en-US" w:eastAsia="zh-CN"/>
              </w:rPr>
              <w:fldChar w:fldCharType="end"/>
            </w:r>
            <w:r>
              <w:rPr>
                <w:rFonts w:hint="eastAsia"/>
                <w:color w:val="auto"/>
                <w:sz w:val="18"/>
                <w:szCs w:val="18"/>
                <w:vertAlign w:val="baseline"/>
                <w:lang w:val="en-US" w:eastAsia="zh-CN"/>
              </w:rPr>
              <w:t>]</w:t>
            </w:r>
            <w:r>
              <w:rPr>
                <w:rFonts w:hint="eastAsia" w:ascii="宋体" w:hAnsi="宋体" w:eastAsia="宋体" w:cs="宋体"/>
                <w:i w:val="0"/>
                <w:color w:val="auto"/>
                <w:kern w:val="0"/>
                <w:sz w:val="18"/>
                <w:szCs w:val="18"/>
                <w:u w:val="none"/>
                <w:lang w:val="en-US" w:eastAsia="zh-CN" w:bidi="ar"/>
              </w:rPr>
              <w:t>±0.5°属于1个砷面，主参考面垂直于V型槽</w:t>
            </w:r>
          </w:p>
        </w:tc>
        <w:tc>
          <w:tcPr>
            <w:tcW w:w="400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i w:val="0"/>
                <w:color w:val="auto"/>
                <w:sz w:val="18"/>
                <w:szCs w:val="18"/>
                <w:u w:val="none"/>
              </w:rPr>
            </w:pPr>
            <w:r>
              <w:rPr>
                <w:rFonts w:hint="eastAsia"/>
                <w:color w:val="auto"/>
                <w:sz w:val="18"/>
                <w:szCs w:val="18"/>
                <w:vertAlign w:val="baseline"/>
                <w:lang w:val="en-US" w:eastAsia="zh-CN"/>
              </w:rPr>
              <w:t>[0</w:t>
            </w:r>
            <w:r>
              <w:rPr>
                <w:rFonts w:hint="eastAsia"/>
                <w:color w:val="auto"/>
                <w:sz w:val="18"/>
                <w:szCs w:val="18"/>
                <w:vertAlign w:val="baseline"/>
                <w:lang w:val="en-US" w:eastAsia="zh-CN"/>
              </w:rPr>
              <w:fldChar w:fldCharType="begin"/>
            </w:r>
            <w:r>
              <w:rPr>
                <w:rFonts w:hint="eastAsia"/>
                <w:color w:val="auto"/>
                <w:sz w:val="18"/>
                <w:szCs w:val="18"/>
                <w:vertAlign w:val="baseline"/>
                <w:lang w:val="en-US" w:eastAsia="zh-CN"/>
              </w:rPr>
              <w:instrText xml:space="preserve"> EQ \* jc0 \* "Font:宋体" \* hps9 \o \ad(\s \up 8(-),1)</w:instrText>
            </w:r>
            <w:r>
              <w:rPr>
                <w:rFonts w:hint="eastAsia"/>
                <w:color w:val="auto"/>
                <w:sz w:val="18"/>
                <w:szCs w:val="18"/>
                <w:vertAlign w:val="baseline"/>
                <w:lang w:val="en-US" w:eastAsia="zh-CN"/>
              </w:rPr>
              <w:fldChar w:fldCharType="end"/>
            </w:r>
            <w:r>
              <w:rPr>
                <w:rFonts w:hint="eastAsia"/>
                <w:color w:val="auto"/>
                <w:sz w:val="18"/>
                <w:szCs w:val="18"/>
                <w:vertAlign w:val="baseline"/>
                <w:lang w:val="en-US" w:eastAsia="zh-CN"/>
              </w:rPr>
              <w:fldChar w:fldCharType="begin"/>
            </w:r>
            <w:r>
              <w:rPr>
                <w:rFonts w:hint="eastAsia"/>
                <w:color w:val="auto"/>
                <w:sz w:val="18"/>
                <w:szCs w:val="18"/>
                <w:vertAlign w:val="baseline"/>
                <w:lang w:val="en-US" w:eastAsia="zh-CN"/>
              </w:rPr>
              <w:instrText xml:space="preserve"> EQ \* jc0 \* "Font:宋体" \* hps9 \o \ad(\s \up 8(-),1)</w:instrText>
            </w:r>
            <w:r>
              <w:rPr>
                <w:rFonts w:hint="eastAsia"/>
                <w:color w:val="auto"/>
                <w:sz w:val="18"/>
                <w:szCs w:val="18"/>
                <w:vertAlign w:val="baseline"/>
                <w:lang w:val="en-US" w:eastAsia="zh-CN"/>
              </w:rPr>
              <w:fldChar w:fldCharType="end"/>
            </w:r>
            <w:r>
              <w:rPr>
                <w:rFonts w:hint="eastAsia"/>
                <w:color w:val="auto"/>
                <w:sz w:val="18"/>
                <w:szCs w:val="18"/>
                <w:vertAlign w:val="baseline"/>
                <w:lang w:val="en-US" w:eastAsia="zh-CN"/>
              </w:rPr>
              <w:t>]</w:t>
            </w:r>
            <w:r>
              <w:rPr>
                <w:rFonts w:hint="eastAsia" w:ascii="宋体" w:hAnsi="宋体" w:eastAsia="宋体" w:cs="宋体"/>
                <w:i w:val="0"/>
                <w:color w:val="auto"/>
                <w:kern w:val="0"/>
                <w:sz w:val="18"/>
                <w:szCs w:val="18"/>
                <w:u w:val="none"/>
                <w:lang w:val="en-US" w:eastAsia="zh-CN" w:bidi="ar"/>
              </w:rPr>
              <w:t>±0.5°属于1个镓面，主参考面垂直于燕尾槽</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0" w:hRule="atLeast"/>
        </w:trPr>
        <w:tc>
          <w:tcPr>
            <w:tcW w:w="180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副参考面取向</w:t>
            </w:r>
          </w:p>
        </w:tc>
        <w:tc>
          <w:tcPr>
            <w:tcW w:w="335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default" w:ascii="宋体" w:hAnsi="宋体" w:eastAsia="宋体" w:cs="宋体"/>
                <w:i w:val="0"/>
                <w:color w:val="auto"/>
                <w:sz w:val="18"/>
                <w:szCs w:val="18"/>
                <w:u w:val="none"/>
                <w:lang w:val="en-US"/>
              </w:rPr>
            </w:pPr>
            <w:r>
              <w:rPr>
                <w:rFonts w:hint="eastAsia" w:cs="宋体"/>
                <w:i w:val="0"/>
                <w:color w:val="auto"/>
                <w:kern w:val="0"/>
                <w:sz w:val="18"/>
                <w:szCs w:val="18"/>
                <w:u w:val="none"/>
                <w:lang w:val="en-US" w:eastAsia="zh-CN" w:bidi="ar"/>
              </w:rPr>
              <w:t>[011]±0.5°</w:t>
            </w:r>
          </w:p>
        </w:tc>
        <w:tc>
          <w:tcPr>
            <w:tcW w:w="400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i w:val="0"/>
                <w:color w:val="auto"/>
                <w:sz w:val="18"/>
                <w:szCs w:val="18"/>
                <w:u w:val="none"/>
              </w:rPr>
            </w:pPr>
            <w:r>
              <w:rPr>
                <w:rFonts w:hint="eastAsia" w:cs="宋体"/>
                <w:i w:val="0"/>
                <w:color w:val="auto"/>
                <w:kern w:val="0"/>
                <w:sz w:val="18"/>
                <w:szCs w:val="18"/>
                <w:u w:val="none"/>
                <w:lang w:val="en-US" w:eastAsia="zh-CN" w:bidi="ar"/>
              </w:rPr>
              <w:t>[01</w:t>
            </w:r>
            <w:r>
              <w:rPr>
                <w:rFonts w:hint="eastAsia" w:cs="宋体"/>
                <w:i w:val="0"/>
                <w:color w:val="auto"/>
                <w:kern w:val="0"/>
                <w:sz w:val="18"/>
                <w:szCs w:val="18"/>
                <w:u w:val="none"/>
                <w:lang w:val="en-US" w:eastAsia="zh-CN" w:bidi="ar"/>
              </w:rPr>
              <w:fldChar w:fldCharType="begin"/>
            </w:r>
            <w:r>
              <w:rPr>
                <w:rFonts w:hint="eastAsia" w:cs="宋体"/>
                <w:i w:val="0"/>
                <w:color w:val="auto"/>
                <w:kern w:val="0"/>
                <w:sz w:val="18"/>
                <w:szCs w:val="18"/>
                <w:u w:val="none"/>
                <w:lang w:val="en-US" w:eastAsia="zh-CN" w:bidi="ar"/>
              </w:rPr>
              <w:instrText xml:space="preserve"> EQ \* jc0 \* "Font:宋体" \* hps9 \o \ad(\s \up 8(-),1)</w:instrText>
            </w:r>
            <w:r>
              <w:rPr>
                <w:rFonts w:hint="eastAsia" w:cs="宋体"/>
                <w:i w:val="0"/>
                <w:color w:val="auto"/>
                <w:kern w:val="0"/>
                <w:sz w:val="18"/>
                <w:szCs w:val="18"/>
                <w:u w:val="none"/>
                <w:lang w:val="en-US" w:eastAsia="zh-CN" w:bidi="ar"/>
              </w:rPr>
              <w:fldChar w:fldCharType="end"/>
            </w:r>
            <w:r>
              <w:rPr>
                <w:rFonts w:hint="eastAsia"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w:t>
            </w:r>
            <w:r>
              <w:rPr>
                <w:rFonts w:hint="eastAsia" w:cs="宋体"/>
                <w:i w:val="0"/>
                <w:color w:val="auto"/>
                <w:kern w:val="0"/>
                <w:sz w:val="18"/>
                <w:szCs w:val="18"/>
                <w:u w:val="none"/>
                <w:lang w:val="en-US" w:eastAsia="zh-CN" w:bidi="ar"/>
              </w:rPr>
              <w:t>0.</w:t>
            </w:r>
            <w:r>
              <w:rPr>
                <w:rFonts w:hint="eastAsia" w:ascii="宋体" w:hAnsi="宋体" w:eastAsia="宋体" w:cs="宋体"/>
                <w:i w:val="0"/>
                <w:color w:val="auto"/>
                <w:kern w:val="0"/>
                <w:sz w:val="18"/>
                <w:szCs w:val="18"/>
                <w:u w:val="none"/>
                <w:lang w:val="en-US" w:eastAsia="zh-CN" w:bidi="ar"/>
              </w:rPr>
              <w:t>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0" w:hRule="atLeast"/>
        </w:trPr>
        <w:tc>
          <w:tcPr>
            <w:tcW w:w="180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规格</w:t>
            </w:r>
          </w:p>
        </w:tc>
        <w:tc>
          <w:tcPr>
            <w:tcW w:w="13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sz w:val="18"/>
                <w:szCs w:val="18"/>
              </w:rPr>
              <w:t>Ф</w:t>
            </w:r>
            <w:r>
              <w:rPr>
                <w:rFonts w:hint="eastAsia" w:ascii="宋体" w:hAnsi="宋体" w:eastAsia="宋体" w:cs="宋体"/>
                <w:i w:val="0"/>
                <w:color w:val="auto"/>
                <w:kern w:val="0"/>
                <w:sz w:val="18"/>
                <w:szCs w:val="18"/>
                <w:u w:val="none"/>
                <w:lang w:val="en-US" w:eastAsia="zh-CN" w:bidi="ar"/>
              </w:rPr>
              <w:t>50.8mm(</w:t>
            </w:r>
            <w:r>
              <w:rPr>
                <w:rFonts w:hint="eastAsia" w:ascii="宋体" w:hAnsi="宋体" w:eastAsia="宋体" w:cs="宋体"/>
                <w:color w:val="auto"/>
                <w:sz w:val="18"/>
                <w:szCs w:val="18"/>
              </w:rPr>
              <w:t>Ф</w:t>
            </w:r>
            <w:r>
              <w:rPr>
                <w:rFonts w:hint="eastAsia" w:ascii="宋体" w:hAnsi="宋体" w:eastAsia="宋体" w:cs="宋体"/>
                <w:i w:val="0"/>
                <w:color w:val="auto"/>
                <w:kern w:val="0"/>
                <w:sz w:val="18"/>
                <w:szCs w:val="18"/>
                <w:u w:val="none"/>
                <w:lang w:val="en-US" w:eastAsia="zh-CN" w:bidi="ar"/>
              </w:rPr>
              <w:t>2")</w:t>
            </w:r>
          </w:p>
        </w:tc>
        <w:tc>
          <w:tcPr>
            <w:tcW w:w="200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sz w:val="18"/>
                <w:szCs w:val="18"/>
              </w:rPr>
              <w:t>Ф</w:t>
            </w:r>
            <w:r>
              <w:rPr>
                <w:rFonts w:hint="eastAsia" w:ascii="宋体" w:hAnsi="宋体" w:eastAsia="宋体" w:cs="宋体"/>
                <w:i w:val="0"/>
                <w:color w:val="auto"/>
                <w:kern w:val="0"/>
                <w:sz w:val="18"/>
                <w:szCs w:val="18"/>
                <w:u w:val="none"/>
                <w:lang w:val="en-US" w:eastAsia="zh-CN" w:bidi="ar"/>
              </w:rPr>
              <w:t>76.2mm(</w:t>
            </w:r>
            <w:r>
              <w:rPr>
                <w:rFonts w:hint="eastAsia" w:ascii="宋体" w:hAnsi="宋体" w:eastAsia="宋体" w:cs="宋体"/>
                <w:color w:val="auto"/>
                <w:sz w:val="18"/>
                <w:szCs w:val="18"/>
              </w:rPr>
              <w:t>Ф</w:t>
            </w:r>
            <w:r>
              <w:rPr>
                <w:rFonts w:hint="eastAsia" w:ascii="宋体" w:hAnsi="宋体" w:eastAsia="宋体" w:cs="宋体"/>
                <w:i w:val="0"/>
                <w:color w:val="auto"/>
                <w:kern w:val="0"/>
                <w:sz w:val="18"/>
                <w:szCs w:val="18"/>
                <w:u w:val="none"/>
                <w:lang w:val="en-US" w:eastAsia="zh-CN" w:bidi="ar"/>
              </w:rPr>
              <w:t>3")</w:t>
            </w:r>
          </w:p>
        </w:tc>
        <w:tc>
          <w:tcPr>
            <w:tcW w:w="200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sz w:val="18"/>
                <w:szCs w:val="18"/>
              </w:rPr>
              <w:t>Ф</w:t>
            </w:r>
            <w:r>
              <w:rPr>
                <w:rFonts w:hint="eastAsia" w:ascii="宋体" w:hAnsi="宋体" w:eastAsia="宋体" w:cs="宋体"/>
                <w:i w:val="0"/>
                <w:color w:val="auto"/>
                <w:kern w:val="0"/>
                <w:sz w:val="18"/>
                <w:szCs w:val="18"/>
                <w:u w:val="none"/>
                <w:lang w:val="en-US" w:eastAsia="zh-CN" w:bidi="ar"/>
              </w:rPr>
              <w:t>100mm(</w:t>
            </w:r>
            <w:r>
              <w:rPr>
                <w:rFonts w:hint="eastAsia" w:ascii="宋体" w:hAnsi="宋体" w:eastAsia="宋体" w:cs="宋体"/>
                <w:color w:val="auto"/>
                <w:sz w:val="18"/>
                <w:szCs w:val="18"/>
              </w:rPr>
              <w:t>Ф</w:t>
            </w:r>
            <w:r>
              <w:rPr>
                <w:rFonts w:hint="eastAsia" w:ascii="宋体" w:hAnsi="宋体" w:eastAsia="宋体" w:cs="宋体"/>
                <w:i w:val="0"/>
                <w:color w:val="auto"/>
                <w:kern w:val="0"/>
                <w:sz w:val="18"/>
                <w:szCs w:val="18"/>
                <w:u w:val="none"/>
                <w:lang w:val="en-US" w:eastAsia="zh-CN" w:bidi="ar"/>
              </w:rPr>
              <w:t>4")</w:t>
            </w:r>
          </w:p>
        </w:tc>
        <w:tc>
          <w:tcPr>
            <w:tcW w:w="200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color w:val="auto"/>
                <w:sz w:val="18"/>
                <w:szCs w:val="18"/>
                <w:highlight w:val="none"/>
              </w:rPr>
              <w:t>Ф</w:t>
            </w:r>
            <w:r>
              <w:rPr>
                <w:rFonts w:hint="eastAsia" w:ascii="宋体" w:hAnsi="宋体" w:eastAsia="宋体" w:cs="宋体"/>
                <w:i w:val="0"/>
                <w:color w:val="auto"/>
                <w:kern w:val="0"/>
                <w:sz w:val="18"/>
                <w:szCs w:val="18"/>
                <w:highlight w:val="none"/>
                <w:u w:val="none"/>
                <w:lang w:val="en-US" w:eastAsia="zh-CN" w:bidi="ar"/>
              </w:rPr>
              <w:t>150mm(</w:t>
            </w:r>
            <w:r>
              <w:rPr>
                <w:rFonts w:hint="eastAsia" w:ascii="宋体" w:hAnsi="宋体" w:eastAsia="宋体" w:cs="宋体"/>
                <w:color w:val="auto"/>
                <w:sz w:val="18"/>
                <w:szCs w:val="18"/>
                <w:highlight w:val="none"/>
              </w:rPr>
              <w:t>Ф</w:t>
            </w:r>
            <w:r>
              <w:rPr>
                <w:rFonts w:hint="eastAsia" w:cs="宋体"/>
                <w:i w:val="0"/>
                <w:color w:val="auto"/>
                <w:kern w:val="0"/>
                <w:sz w:val="18"/>
                <w:szCs w:val="18"/>
                <w:highlight w:val="none"/>
                <w:u w:val="none"/>
                <w:lang w:val="en-US" w:eastAsia="zh-CN" w:bidi="ar"/>
              </w:rPr>
              <w:t>6</w:t>
            </w:r>
            <w:r>
              <w:rPr>
                <w:rFonts w:hint="eastAsia" w:ascii="宋体" w:hAnsi="宋体" w:eastAsia="宋体" w:cs="宋体"/>
                <w:i w:val="0"/>
                <w:color w:val="auto"/>
                <w:kern w:val="0"/>
                <w:sz w:val="18"/>
                <w:szCs w:val="18"/>
                <w:highlight w:val="none"/>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0" w:hRule="atLeast"/>
        </w:trPr>
        <w:tc>
          <w:tcPr>
            <w:tcW w:w="180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主参考面长度</w:t>
            </w:r>
          </w:p>
        </w:tc>
        <w:tc>
          <w:tcPr>
            <w:tcW w:w="13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r>
              <w:rPr>
                <w:rFonts w:hint="eastAsia"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mm±1</w:t>
            </w:r>
            <w:r>
              <w:rPr>
                <w:rFonts w:hint="eastAsia"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mm</w:t>
            </w:r>
          </w:p>
        </w:tc>
        <w:tc>
          <w:tcPr>
            <w:tcW w:w="200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r>
              <w:rPr>
                <w:rFonts w:hint="eastAsia"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mm±1</w:t>
            </w:r>
            <w:r>
              <w:rPr>
                <w:rFonts w:hint="eastAsia"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mm</w:t>
            </w:r>
          </w:p>
        </w:tc>
        <w:tc>
          <w:tcPr>
            <w:tcW w:w="200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r>
              <w:rPr>
                <w:rFonts w:hint="eastAsia"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mm±</w:t>
            </w:r>
            <w:r>
              <w:rPr>
                <w:rFonts w:hint="eastAsia"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1mm</w:t>
            </w:r>
          </w:p>
        </w:tc>
        <w:tc>
          <w:tcPr>
            <w:tcW w:w="200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i w:val="0"/>
                <w:color w:val="auto"/>
                <w:sz w:val="18"/>
                <w:szCs w:val="18"/>
                <w:highlight w:val="none"/>
                <w:u w:val="none"/>
              </w:rPr>
            </w:pPr>
            <w:r>
              <w:rPr>
                <w:rFonts w:hint="eastAsia" w:cs="宋体"/>
                <w:i w:val="0"/>
                <w:color w:val="auto"/>
                <w:kern w:val="0"/>
                <w:sz w:val="18"/>
                <w:szCs w:val="18"/>
                <w:highlight w:val="none"/>
                <w:u w:val="none"/>
                <w:lang w:val="en-US" w:eastAsia="zh-CN" w:bidi="ar"/>
              </w:rPr>
              <w:t xml:space="preserve">48 </w:t>
            </w:r>
            <w:r>
              <w:rPr>
                <w:rFonts w:hint="eastAsia" w:ascii="宋体" w:hAnsi="宋体" w:eastAsia="宋体" w:cs="宋体"/>
                <w:i w:val="0"/>
                <w:color w:val="auto"/>
                <w:kern w:val="0"/>
                <w:sz w:val="18"/>
                <w:szCs w:val="18"/>
                <w:highlight w:val="none"/>
                <w:u w:val="none"/>
                <w:lang w:val="en-US" w:eastAsia="zh-CN" w:bidi="ar"/>
              </w:rPr>
              <w:t>mm±1</w:t>
            </w:r>
            <w:r>
              <w:rPr>
                <w:rFonts w:hint="eastAsia" w:cs="宋体"/>
                <w:i w:val="0"/>
                <w:color w:val="auto"/>
                <w:kern w:val="0"/>
                <w:sz w:val="18"/>
                <w:szCs w:val="18"/>
                <w:highlight w:val="none"/>
                <w:u w:val="none"/>
                <w:lang w:val="en-US" w:eastAsia="zh-CN" w:bidi="ar"/>
              </w:rPr>
              <w:t xml:space="preserve"> </w:t>
            </w:r>
            <w:r>
              <w:rPr>
                <w:rFonts w:hint="eastAsia" w:ascii="宋体" w:hAnsi="宋体" w:eastAsia="宋体" w:cs="宋体"/>
                <w:i w:val="0"/>
                <w:color w:val="auto"/>
                <w:kern w:val="0"/>
                <w:sz w:val="18"/>
                <w:szCs w:val="18"/>
                <w:highlight w:val="none"/>
                <w:u w:val="none"/>
                <w:lang w:val="en-US" w:eastAsia="zh-CN" w:bidi="ar"/>
              </w:rPr>
              <w:t>mm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0" w:hRule="atLeast"/>
        </w:trPr>
        <w:tc>
          <w:tcPr>
            <w:tcW w:w="180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副参考面长度</w:t>
            </w:r>
          </w:p>
        </w:tc>
        <w:tc>
          <w:tcPr>
            <w:tcW w:w="13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r>
              <w:rPr>
                <w:rFonts w:hint="eastAsia"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mm±1</w:t>
            </w:r>
            <w:r>
              <w:rPr>
                <w:rFonts w:hint="eastAsia"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mm</w:t>
            </w:r>
          </w:p>
        </w:tc>
        <w:tc>
          <w:tcPr>
            <w:tcW w:w="200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r>
              <w:rPr>
                <w:rFonts w:hint="eastAsia"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mm±1</w:t>
            </w:r>
            <w:r>
              <w:rPr>
                <w:rFonts w:hint="eastAsia"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mm</w:t>
            </w:r>
          </w:p>
        </w:tc>
        <w:tc>
          <w:tcPr>
            <w:tcW w:w="200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18</w:t>
            </w:r>
            <w:r>
              <w:rPr>
                <w:rFonts w:hint="eastAsia"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mm±1</w:t>
            </w:r>
            <w:r>
              <w:rPr>
                <w:rFonts w:hint="eastAsia"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mm</w:t>
            </w:r>
            <w:r>
              <w:rPr>
                <w:rFonts w:hint="eastAsia" w:cs="宋体"/>
                <w:i w:val="0"/>
                <w:color w:val="auto"/>
                <w:kern w:val="0"/>
                <w:sz w:val="18"/>
                <w:szCs w:val="18"/>
                <w:u w:val="none"/>
                <w:lang w:val="en-US" w:eastAsia="zh-CN" w:bidi="ar"/>
              </w:rPr>
              <w:t>/0 mm</w:t>
            </w:r>
          </w:p>
        </w:tc>
        <w:tc>
          <w:tcPr>
            <w:tcW w:w="200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center"/>
              <w:rPr>
                <w:rFonts w:hint="default" w:ascii="宋体" w:hAnsi="宋体" w:eastAsia="宋体" w:cs="宋体"/>
                <w:i w:val="0"/>
                <w:color w:val="auto"/>
                <w:sz w:val="18"/>
                <w:szCs w:val="18"/>
                <w:highlight w:val="none"/>
                <w:u w:val="none"/>
                <w:lang w:val="en-US"/>
              </w:rPr>
            </w:pPr>
            <w:r>
              <w:rPr>
                <w:rFonts w:hint="eastAsia" w:cs="宋体"/>
                <w:i w:val="0"/>
                <w:color w:val="auto"/>
                <w:kern w:val="0"/>
                <w:sz w:val="18"/>
                <w:szCs w:val="18"/>
                <w:highlight w:val="none"/>
                <w:u w:val="none"/>
                <w:lang w:val="en-US" w:eastAsia="zh-CN" w:bidi="ar"/>
              </w:rPr>
              <w:t xml:space="preserve">28 </w:t>
            </w:r>
            <w:r>
              <w:rPr>
                <w:rFonts w:hint="eastAsia" w:ascii="宋体" w:hAnsi="宋体" w:eastAsia="宋体" w:cs="宋体"/>
                <w:i w:val="0"/>
                <w:color w:val="auto"/>
                <w:kern w:val="0"/>
                <w:sz w:val="18"/>
                <w:szCs w:val="18"/>
                <w:highlight w:val="none"/>
                <w:u w:val="none"/>
                <w:lang w:val="en-US" w:eastAsia="zh-CN" w:bidi="ar"/>
              </w:rPr>
              <w:t>mm±1</w:t>
            </w:r>
            <w:r>
              <w:rPr>
                <w:rFonts w:hint="eastAsia" w:cs="宋体"/>
                <w:i w:val="0"/>
                <w:color w:val="auto"/>
                <w:kern w:val="0"/>
                <w:sz w:val="18"/>
                <w:szCs w:val="18"/>
                <w:highlight w:val="none"/>
                <w:u w:val="none"/>
                <w:lang w:val="en-US" w:eastAsia="zh-CN" w:bidi="ar"/>
              </w:rPr>
              <w:t xml:space="preserve"> </w:t>
            </w:r>
            <w:r>
              <w:rPr>
                <w:rFonts w:hint="eastAsia" w:ascii="宋体" w:hAnsi="宋体" w:eastAsia="宋体" w:cs="宋体"/>
                <w:i w:val="0"/>
                <w:color w:val="auto"/>
                <w:kern w:val="0"/>
                <w:sz w:val="18"/>
                <w:szCs w:val="18"/>
                <w:highlight w:val="none"/>
                <w:u w:val="none"/>
                <w:lang w:val="en-US" w:eastAsia="zh-CN" w:bidi="ar"/>
              </w:rPr>
              <w:t>mm</w:t>
            </w:r>
            <w:r>
              <w:rPr>
                <w:rFonts w:hint="eastAsia" w:cs="宋体"/>
                <w:i w:val="0"/>
                <w:color w:val="auto"/>
                <w:kern w:val="0"/>
                <w:sz w:val="18"/>
                <w:szCs w:val="18"/>
                <w:highlight w:val="none"/>
                <w:u w:val="none"/>
                <w:lang w:val="en-US" w:eastAsia="zh-CN" w:bidi="ar"/>
              </w:rPr>
              <w:t>/0 mm</w:t>
            </w:r>
          </w:p>
        </w:tc>
      </w:tr>
    </w:tbl>
    <w:p>
      <w:pPr>
        <w:pStyle w:val="6"/>
        <w:keepNext w:val="0"/>
        <w:keepLines w:val="0"/>
        <w:pageBreakBefore w:val="0"/>
        <w:widowControl w:val="0"/>
        <w:kinsoku/>
        <w:wordWrap/>
        <w:overflowPunct/>
        <w:topLinePunct w:val="0"/>
        <w:autoSpaceDE w:val="0"/>
        <w:autoSpaceDN w:val="0"/>
        <w:bidi w:val="0"/>
        <w:adjustRightInd/>
        <w:snapToGrid/>
        <w:spacing w:before="0" w:line="240" w:lineRule="auto"/>
        <w:textAlignment w:val="auto"/>
        <w:rPr>
          <w:rFonts w:hint="eastAsia" w:ascii="宋体" w:hAnsi="宋体" w:eastAsia="宋体" w:cs="宋体"/>
          <w:color w:val="auto"/>
          <w:sz w:val="21"/>
          <w:szCs w:val="21"/>
          <w:lang w:val="en-US" w:eastAsia="zh-CN"/>
        </w:rPr>
      </w:pPr>
      <w:r>
        <w:rPr>
          <w:rFonts w:hint="eastAsia" w:ascii="黑体" w:hAnsi="黑体" w:eastAsia="黑体" w:cs="黑体"/>
          <w:color w:val="auto"/>
          <w:sz w:val="21"/>
          <w:szCs w:val="21"/>
          <w:lang w:val="en-US" w:eastAsia="zh-CN"/>
        </w:rPr>
        <w:t xml:space="preserve">5.3.2  </w:t>
      </w:r>
      <w:r>
        <w:rPr>
          <w:rFonts w:hint="eastAsia" w:ascii="宋体" w:hAnsi="宋体" w:eastAsia="宋体" w:cs="宋体"/>
          <w:color w:val="auto"/>
          <w:sz w:val="21"/>
          <w:szCs w:val="21"/>
        </w:rPr>
        <w:t>φ150</w:t>
      </w:r>
      <w:r>
        <w:rPr>
          <w:rFonts w:hint="eastAsia" w:ascii="宋体" w:hAnsi="宋体" w:eastAsia="宋体" w:cs="宋体"/>
          <w:color w:val="auto"/>
          <w:spacing w:val="28"/>
          <w:sz w:val="21"/>
          <w:szCs w:val="21"/>
        </w:rPr>
        <w:t xml:space="preserve"> </w:t>
      </w:r>
      <w:r>
        <w:rPr>
          <w:rFonts w:hint="eastAsia" w:ascii="宋体" w:hAnsi="宋体" w:eastAsia="宋体" w:cs="宋体"/>
          <w:color w:val="auto"/>
          <w:sz w:val="21"/>
          <w:szCs w:val="21"/>
        </w:rPr>
        <w:t>mm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φ</w:t>
      </w:r>
      <w:r>
        <w:rPr>
          <w:rFonts w:hint="eastAsia" w:ascii="宋体" w:hAnsi="宋体" w:eastAsia="宋体" w:cs="宋体"/>
          <w:color w:val="auto"/>
          <w:sz w:val="21"/>
          <w:szCs w:val="21"/>
          <w:lang w:val="en-US" w:eastAsia="zh-CN"/>
        </w:rPr>
        <w:t>200</w:t>
      </w:r>
      <w:r>
        <w:rPr>
          <w:rFonts w:hint="eastAsia" w:ascii="宋体" w:hAnsi="宋体" w:eastAsia="宋体" w:cs="宋体"/>
          <w:color w:val="auto"/>
          <w:spacing w:val="28"/>
          <w:sz w:val="21"/>
          <w:szCs w:val="21"/>
        </w:rPr>
        <w:t xml:space="preserve"> </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砷化镓衬底参考面的取向、形状和尺寸应该符合表</w:t>
      </w:r>
      <w:r>
        <w:rPr>
          <w:rFonts w:hint="eastAsia" w:cs="宋体"/>
          <w:color w:val="auto"/>
          <w:sz w:val="21"/>
          <w:szCs w:val="21"/>
          <w:lang w:val="en-US" w:eastAsia="zh-CN"/>
        </w:rPr>
        <w:t>4</w:t>
      </w:r>
      <w:r>
        <w:rPr>
          <w:rFonts w:hint="eastAsia" w:ascii="宋体" w:hAnsi="宋体" w:eastAsia="宋体" w:cs="宋体"/>
          <w:color w:val="auto"/>
          <w:sz w:val="21"/>
          <w:szCs w:val="21"/>
          <w:lang w:val="en-US" w:eastAsia="zh-CN"/>
        </w:rPr>
        <w:t>的规定。</w:t>
      </w:r>
    </w:p>
    <w:p>
      <w:pPr>
        <w:pStyle w:val="6"/>
        <w:keepNext w:val="0"/>
        <w:keepLines w:val="0"/>
        <w:pageBreakBefore w:val="0"/>
        <w:widowControl w:val="0"/>
        <w:kinsoku/>
        <w:wordWrap/>
        <w:overflowPunct/>
        <w:topLinePunct w:val="0"/>
        <w:autoSpaceDE w:val="0"/>
        <w:autoSpaceDN w:val="0"/>
        <w:bidi w:val="0"/>
        <w:adjustRightInd/>
        <w:snapToGrid/>
        <w:spacing w:before="0" w:beforeLines="50" w:after="0" w:afterLines="50" w:line="240" w:lineRule="auto"/>
        <w:jc w:val="center"/>
        <w:textAlignment w:val="auto"/>
        <w:rPr>
          <w:rFonts w:hint="default" w:ascii="宋体" w:hAnsi="宋体" w:eastAsia="宋体" w:cs="宋体"/>
          <w:color w:val="auto"/>
          <w:sz w:val="21"/>
          <w:szCs w:val="21"/>
          <w:lang w:val="en-US" w:eastAsia="zh-CN"/>
        </w:rPr>
      </w:pPr>
      <w:r>
        <w:rPr>
          <w:rFonts w:hint="eastAsia" w:ascii="黑体" w:hAnsi="黑体" w:eastAsia="黑体" w:cs="黑体"/>
          <w:sz w:val="21"/>
          <w:szCs w:val="21"/>
          <w:lang w:val="en-US" w:eastAsia="zh-CN"/>
        </w:rPr>
        <w:t>表4</w:t>
      </w:r>
    </w:p>
    <w:tbl>
      <w:tblPr>
        <w:tblStyle w:val="10"/>
        <w:tblW w:w="0" w:type="auto"/>
        <w:tblInd w:w="1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736"/>
        <w:gridCol w:w="1708"/>
        <w:gridCol w:w="1738"/>
        <w:gridCol w:w="1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736" w:type="dxa"/>
            <w:tcBorders>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项目</w:t>
            </w:r>
          </w:p>
        </w:tc>
        <w:tc>
          <w:tcPr>
            <w:tcW w:w="5431" w:type="dxa"/>
            <w:gridSpan w:val="3"/>
            <w:tcBorders>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736" w:type="dxa"/>
            <w:vMerge w:val="restart"/>
            <w:tcBorders>
              <w:top w:val="single" w:color="auto" w:sz="8" w:space="0"/>
              <w:tl2br w:val="nil"/>
              <w:tr2bl w:val="nil"/>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砷化镓衬底参考面的取向、形状和长度</w:t>
            </w:r>
          </w:p>
        </w:tc>
        <w:tc>
          <w:tcPr>
            <w:tcW w:w="1708" w:type="dxa"/>
            <w:tcBorders>
              <w:top w:val="single" w:color="auto"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取向</w:t>
            </w:r>
          </w:p>
        </w:tc>
        <w:tc>
          <w:tcPr>
            <w:tcW w:w="1738" w:type="dxa"/>
            <w:tcBorders>
              <w:top w:val="single" w:color="auto"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深度</w:t>
            </w:r>
            <w:r>
              <w:rPr>
                <w:rFonts w:hint="eastAsia" w:cs="宋体"/>
                <w:sz w:val="18"/>
                <w:szCs w:val="18"/>
                <w:vertAlign w:val="baseline"/>
                <w:lang w:val="en-US" w:eastAsia="zh-CN"/>
              </w:rPr>
              <w:t>/</w:t>
            </w:r>
            <w:r>
              <w:rPr>
                <w:rFonts w:hint="eastAsia" w:ascii="宋体" w:hAnsi="宋体" w:eastAsia="宋体" w:cs="宋体"/>
                <w:sz w:val="18"/>
                <w:szCs w:val="18"/>
                <w:vertAlign w:val="baseline"/>
                <w:lang w:val="en-US" w:eastAsia="zh-CN"/>
              </w:rPr>
              <w:t>mm</w:t>
            </w:r>
          </w:p>
        </w:tc>
        <w:tc>
          <w:tcPr>
            <w:tcW w:w="1985" w:type="dxa"/>
            <w:tcBorders>
              <w:top w:val="single" w:color="auto"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开角</w:t>
            </w:r>
            <w:r>
              <w:rPr>
                <w:rFonts w:hint="eastAsia" w:cs="宋体"/>
                <w:sz w:val="18"/>
                <w:szCs w:val="18"/>
                <w:vertAlign w:val="baseline"/>
                <w:lang w:val="en-US" w:eastAsia="zh-CN"/>
              </w:rPr>
              <w:t>/（</w:t>
            </w:r>
            <w:r>
              <w:rPr>
                <w:rFonts w:hint="eastAsia" w:ascii="宋体" w:hAnsi="宋体" w:eastAsia="宋体" w:cs="宋体"/>
                <w:sz w:val="18"/>
                <w:szCs w:val="18"/>
                <w:vertAlign w:val="baseline"/>
                <w:lang w:val="en-US" w:eastAsia="zh-CN"/>
              </w:rPr>
              <w:t>°</w:t>
            </w:r>
            <w:r>
              <w:rPr>
                <w:rFonts w:hint="eastAsia" w:cs="宋体"/>
                <w:sz w:val="18"/>
                <w:szCs w:val="18"/>
                <w:vertAlign w:val="baseli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736"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宋体" w:hAnsi="宋体" w:eastAsia="宋体" w:cs="宋体"/>
                <w:sz w:val="18"/>
                <w:szCs w:val="18"/>
                <w:vertAlign w:val="baseline"/>
              </w:rPr>
            </w:pPr>
          </w:p>
        </w:tc>
        <w:tc>
          <w:tcPr>
            <w:tcW w:w="170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[010]±2°</w:t>
            </w:r>
          </w:p>
        </w:tc>
        <w:tc>
          <w:tcPr>
            <w:tcW w:w="173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default" w:ascii="宋体" w:hAnsi="宋体" w:eastAsia="宋体" w:cs="宋体"/>
                <w:sz w:val="18"/>
                <w:szCs w:val="18"/>
                <w:vertAlign w:val="subscript"/>
                <w:lang w:val="en-US" w:eastAsia="zh-CN"/>
              </w:rPr>
            </w:pPr>
            <w:r>
              <w:rPr>
                <w:rFonts w:hint="eastAsia" w:cs="宋体"/>
                <w:sz w:val="18"/>
                <w:szCs w:val="18"/>
                <w:vertAlign w:val="baseline"/>
                <w:lang w:val="en-US" w:eastAsia="zh-CN"/>
              </w:rPr>
              <w:t>1</w:t>
            </w:r>
            <w:r>
              <w:rPr>
                <w:rFonts w:hint="eastAsia" w:cs="宋体"/>
                <w:sz w:val="18"/>
                <w:szCs w:val="18"/>
                <w:vertAlign w:val="baseline"/>
                <w:lang w:val="en-US" w:eastAsia="zh-CN"/>
                <w:eastAsianLayout w:id="14" w:combine="1"/>
              </w:rPr>
              <w:t>+0.25 0</w:t>
            </w:r>
          </w:p>
        </w:tc>
        <w:tc>
          <w:tcPr>
            <w:tcW w:w="198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default" w:ascii="宋体" w:hAnsi="宋体" w:eastAsia="宋体" w:cs="宋体"/>
                <w:sz w:val="18"/>
                <w:szCs w:val="18"/>
                <w:vertAlign w:val="baseline"/>
                <w:lang w:val="en-US" w:eastAsia="zh-CN"/>
              </w:rPr>
            </w:pPr>
            <w:r>
              <w:rPr>
                <w:rFonts w:hint="eastAsia" w:cs="宋体"/>
                <w:sz w:val="18"/>
                <w:szCs w:val="18"/>
                <w:vertAlign w:val="baseline"/>
                <w:lang w:val="en-US" w:eastAsia="zh-CN"/>
              </w:rPr>
              <w:t>90</w:t>
            </w:r>
            <w:r>
              <w:rPr>
                <w:rFonts w:hint="eastAsia" w:cs="宋体"/>
                <w:sz w:val="18"/>
                <w:szCs w:val="18"/>
                <w:vertAlign w:val="baseline"/>
                <w:lang w:val="en-US" w:eastAsia="zh-CN"/>
                <w:eastAsianLayout w:id="15" w:combine="1"/>
              </w:rPr>
              <w:t>+5 -1</w:t>
            </w:r>
          </w:p>
        </w:tc>
      </w:tr>
    </w:tbl>
    <w:p>
      <w:pPr>
        <w:keepNext w:val="0"/>
        <w:keepLines w:val="0"/>
        <w:pageBreakBefore w:val="0"/>
        <w:widowControl w:val="0"/>
        <w:kinsoku/>
        <w:wordWrap/>
        <w:overflowPunct/>
        <w:topLinePunct w:val="0"/>
        <w:autoSpaceDE w:val="0"/>
        <w:autoSpaceDN w:val="0"/>
        <w:bidi w:val="0"/>
        <w:adjustRightInd/>
        <w:snapToGrid/>
        <w:spacing w:before="0" w:beforeLines="50" w:after="0" w:afterLines="50" w:line="240" w:lineRule="auto"/>
        <w:jc w:val="left"/>
        <w:textAlignment w:val="auto"/>
        <w:rPr>
          <w:rFonts w:hint="eastAsia" w:ascii="黑体" w:hAnsi="黑体" w:eastAsia="黑体" w:cs="黑体"/>
          <w:sz w:val="21"/>
          <w:szCs w:val="21"/>
        </w:rPr>
      </w:pPr>
      <w:r>
        <w:rPr>
          <w:rFonts w:hint="eastAsia" w:ascii="黑体" w:hAnsi="黑体" w:eastAsia="黑体" w:cs="黑体"/>
          <w:sz w:val="21"/>
          <w:szCs w:val="21"/>
        </w:rPr>
        <w:t>5.4</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晶向及晶向偏</w:t>
      </w:r>
      <w:r>
        <w:rPr>
          <w:rFonts w:hint="eastAsia" w:ascii="黑体" w:hAnsi="黑体" w:eastAsia="黑体" w:cs="黑体"/>
          <w:sz w:val="21"/>
          <w:szCs w:val="21"/>
          <w:lang w:val="en-US" w:eastAsia="zh-CN"/>
        </w:rPr>
        <w:t>离</w:t>
      </w:r>
      <w:r>
        <w:rPr>
          <w:rFonts w:hint="eastAsia" w:ascii="黑体" w:hAnsi="黑体" w:eastAsia="黑体" w:cs="黑体"/>
          <w:sz w:val="21"/>
          <w:szCs w:val="21"/>
        </w:rPr>
        <w:t>角度</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left"/>
        <w:textAlignment w:val="auto"/>
        <w:rPr>
          <w:rFonts w:hint="eastAsia" w:eastAsia="宋体"/>
          <w:color w:val="auto"/>
          <w:sz w:val="21"/>
          <w:szCs w:val="21"/>
          <w:lang w:val="en-US" w:eastAsia="zh-CN"/>
        </w:rPr>
      </w:pPr>
      <w:r>
        <w:rPr>
          <w:rFonts w:hint="eastAsia"/>
          <w:color w:val="auto"/>
          <w:sz w:val="21"/>
          <w:szCs w:val="21"/>
          <w:lang w:val="en-US" w:eastAsia="zh-CN"/>
        </w:rPr>
        <w:t>砷化镓衬底的表面晶向为&lt;100&gt;,晶向偏离度不超过0.5°，常见LED砷化镓表面晶向为2°或者15°，晶向偏离度不大于0.5°（当客户对晶向参数有特殊要求时由供需双方在合同中体现），常见的晶向见表5。</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240" w:lineRule="auto"/>
        <w:jc w:val="center"/>
        <w:textAlignment w:val="auto"/>
        <w:rPr>
          <w:rFonts w:hint="default"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表5</w:t>
      </w:r>
    </w:p>
    <w:tbl>
      <w:tblPr>
        <w:tblStyle w:val="10"/>
        <w:tblW w:w="0" w:type="auto"/>
        <w:tblInd w:w="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862"/>
        <w:gridCol w:w="2012"/>
        <w:gridCol w:w="1897"/>
        <w:gridCol w:w="18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59" w:type="dxa"/>
            <w:tcBorders>
              <w:bottom w:val="single" w:color="auto" w:sz="8" w:space="0"/>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晶向</w:t>
            </w:r>
          </w:p>
        </w:tc>
        <w:tc>
          <w:tcPr>
            <w:tcW w:w="1862" w:type="dxa"/>
            <w:tcBorders>
              <w:bottom w:val="single" w:color="auto" w:sz="8" w:space="0"/>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角度</w:t>
            </w:r>
          </w:p>
        </w:tc>
        <w:tc>
          <w:tcPr>
            <w:tcW w:w="2012" w:type="dxa"/>
            <w:tcBorders>
              <w:bottom w:val="single" w:color="auto" w:sz="8" w:space="0"/>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主边</w:t>
            </w:r>
          </w:p>
        </w:tc>
        <w:tc>
          <w:tcPr>
            <w:tcW w:w="1897" w:type="dxa"/>
            <w:tcBorders>
              <w:bottom w:val="single" w:color="auto" w:sz="8" w:space="0"/>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偏向</w:t>
            </w:r>
          </w:p>
        </w:tc>
        <w:tc>
          <w:tcPr>
            <w:tcW w:w="1817" w:type="dxa"/>
            <w:tcBorders>
              <w:bottom w:val="single" w:color="auto" w:sz="8" w:space="0"/>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偏角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59" w:type="dxa"/>
            <w:tcBorders>
              <w:top w:val="single" w:color="auto" w:sz="8" w:space="0"/>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lang w:val="en-US" w:eastAsia="zh-CN"/>
              </w:rPr>
              <w:t>&lt;100&gt;</w:t>
            </w:r>
          </w:p>
        </w:tc>
        <w:tc>
          <w:tcPr>
            <w:tcW w:w="1862" w:type="dxa"/>
            <w:tcBorders>
              <w:top w:val="single" w:color="auto" w:sz="8" w:space="0"/>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w:t>
            </w:r>
          </w:p>
        </w:tc>
        <w:tc>
          <w:tcPr>
            <w:tcW w:w="2012" w:type="dxa"/>
            <w:tcBorders>
              <w:top w:val="single" w:color="auto" w:sz="8" w:space="0"/>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[0</w:t>
            </w:r>
            <w:r>
              <w:rPr>
                <w:rFonts w:hint="eastAsia" w:ascii="宋体" w:hAnsi="宋体" w:eastAsia="宋体" w:cs="宋体"/>
                <w:color w:val="auto"/>
                <w:sz w:val="18"/>
                <w:szCs w:val="18"/>
                <w:vertAlign w:val="baseline"/>
                <w:lang w:val="en-US" w:eastAsia="zh-CN"/>
              </w:rPr>
              <w:fldChar w:fldCharType="begin"/>
            </w:r>
            <w:r>
              <w:rPr>
                <w:rFonts w:hint="eastAsia" w:ascii="宋体" w:hAnsi="宋体" w:eastAsia="宋体" w:cs="宋体"/>
                <w:color w:val="auto"/>
                <w:sz w:val="18"/>
                <w:szCs w:val="18"/>
                <w:vertAlign w:val="baseline"/>
                <w:lang w:val="en-US" w:eastAsia="zh-CN"/>
              </w:rPr>
              <w:instrText xml:space="preserve"> EQ \* jc0 \* "Font:宋体" \* hps9 \o \ad(\s \up 8(-),1)</w:instrText>
            </w:r>
            <w:r>
              <w:rPr>
                <w:rFonts w:hint="eastAsia" w:ascii="宋体" w:hAnsi="宋体" w:eastAsia="宋体" w:cs="宋体"/>
                <w:color w:val="auto"/>
                <w:sz w:val="18"/>
                <w:szCs w:val="18"/>
                <w:vertAlign w:val="baseline"/>
                <w:lang w:val="en-US" w:eastAsia="zh-CN"/>
              </w:rPr>
              <w:fldChar w:fldCharType="end"/>
            </w:r>
            <w:r>
              <w:rPr>
                <w:rFonts w:hint="eastAsia" w:ascii="宋体" w:hAnsi="宋体" w:eastAsia="宋体" w:cs="宋体"/>
                <w:color w:val="auto"/>
                <w:sz w:val="18"/>
                <w:szCs w:val="18"/>
                <w:vertAlign w:val="baseline"/>
                <w:lang w:val="en-US" w:eastAsia="zh-CN"/>
              </w:rPr>
              <w:fldChar w:fldCharType="begin"/>
            </w:r>
            <w:r>
              <w:rPr>
                <w:rFonts w:hint="eastAsia" w:ascii="宋体" w:hAnsi="宋体" w:eastAsia="宋体" w:cs="宋体"/>
                <w:color w:val="auto"/>
                <w:sz w:val="18"/>
                <w:szCs w:val="18"/>
                <w:vertAlign w:val="baseline"/>
                <w:lang w:val="en-US" w:eastAsia="zh-CN"/>
              </w:rPr>
              <w:instrText xml:space="preserve"> EQ \* jc0 \* "Font:宋体" \* hps9 \o \ad(\s \up 8(-),1)</w:instrText>
            </w:r>
            <w:r>
              <w:rPr>
                <w:rFonts w:hint="eastAsia" w:ascii="宋体" w:hAnsi="宋体" w:eastAsia="宋体" w:cs="宋体"/>
                <w:color w:val="auto"/>
                <w:sz w:val="18"/>
                <w:szCs w:val="18"/>
                <w:vertAlign w:val="baseline"/>
                <w:lang w:val="en-US" w:eastAsia="zh-CN"/>
              </w:rPr>
              <w:fldChar w:fldCharType="end"/>
            </w:r>
            <w:r>
              <w:rPr>
                <w:rFonts w:hint="eastAsia" w:ascii="宋体" w:hAnsi="宋体" w:eastAsia="宋体" w:cs="宋体"/>
                <w:color w:val="auto"/>
                <w:sz w:val="18"/>
                <w:szCs w:val="18"/>
                <w:vertAlign w:val="baseline"/>
                <w:lang w:val="en-US" w:eastAsia="zh-CN"/>
              </w:rPr>
              <w:t>]</w:t>
            </w:r>
          </w:p>
        </w:tc>
        <w:tc>
          <w:tcPr>
            <w:tcW w:w="1897" w:type="dxa"/>
            <w:tcBorders>
              <w:top w:val="single" w:color="auto" w:sz="8" w:space="0"/>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lang w:val="en-US" w:eastAsia="zh-CN"/>
              </w:rPr>
              <w:t>[011]</w:t>
            </w:r>
          </w:p>
        </w:tc>
        <w:tc>
          <w:tcPr>
            <w:tcW w:w="1817" w:type="dxa"/>
            <w:tcBorders>
              <w:top w:val="single" w:color="auto" w:sz="8" w:space="0"/>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lang w:val="en-US" w:eastAsia="zh-CN"/>
              </w:rPr>
              <w:t>180°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59"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lang w:val="en-US" w:eastAsia="zh-CN"/>
              </w:rPr>
              <w:t>&lt;100&gt;</w:t>
            </w:r>
          </w:p>
        </w:tc>
        <w:tc>
          <w:tcPr>
            <w:tcW w:w="1862"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6°</w:t>
            </w:r>
          </w:p>
        </w:tc>
        <w:tc>
          <w:tcPr>
            <w:tcW w:w="2012"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lang w:val="en-US" w:eastAsia="zh-CN"/>
              </w:rPr>
              <w:t>[0</w:t>
            </w:r>
            <w:r>
              <w:rPr>
                <w:rFonts w:hint="eastAsia" w:ascii="宋体" w:hAnsi="宋体" w:eastAsia="宋体" w:cs="宋体"/>
                <w:color w:val="auto"/>
                <w:sz w:val="18"/>
                <w:szCs w:val="18"/>
                <w:vertAlign w:val="baseline"/>
                <w:lang w:val="en-US" w:eastAsia="zh-CN"/>
              </w:rPr>
              <w:fldChar w:fldCharType="begin"/>
            </w:r>
            <w:r>
              <w:rPr>
                <w:rFonts w:hint="eastAsia" w:ascii="宋体" w:hAnsi="宋体" w:eastAsia="宋体" w:cs="宋体"/>
                <w:color w:val="auto"/>
                <w:sz w:val="18"/>
                <w:szCs w:val="18"/>
                <w:vertAlign w:val="baseline"/>
                <w:lang w:val="en-US" w:eastAsia="zh-CN"/>
              </w:rPr>
              <w:instrText xml:space="preserve"> EQ \* jc0 \* "Font:宋体" \* hps9 \o \ad(\s \up 8(-),1)</w:instrText>
            </w:r>
            <w:r>
              <w:rPr>
                <w:rFonts w:hint="eastAsia" w:ascii="宋体" w:hAnsi="宋体" w:eastAsia="宋体" w:cs="宋体"/>
                <w:color w:val="auto"/>
                <w:sz w:val="18"/>
                <w:szCs w:val="18"/>
                <w:vertAlign w:val="baseline"/>
                <w:lang w:val="en-US" w:eastAsia="zh-CN"/>
              </w:rPr>
              <w:fldChar w:fldCharType="end"/>
            </w:r>
            <w:r>
              <w:rPr>
                <w:rFonts w:hint="eastAsia" w:ascii="宋体" w:hAnsi="宋体" w:eastAsia="宋体" w:cs="宋体"/>
                <w:color w:val="auto"/>
                <w:sz w:val="18"/>
                <w:szCs w:val="18"/>
                <w:vertAlign w:val="baseline"/>
                <w:lang w:val="en-US" w:eastAsia="zh-CN"/>
              </w:rPr>
              <w:fldChar w:fldCharType="begin"/>
            </w:r>
            <w:r>
              <w:rPr>
                <w:rFonts w:hint="eastAsia" w:ascii="宋体" w:hAnsi="宋体" w:eastAsia="宋体" w:cs="宋体"/>
                <w:color w:val="auto"/>
                <w:sz w:val="18"/>
                <w:szCs w:val="18"/>
                <w:vertAlign w:val="baseline"/>
                <w:lang w:val="en-US" w:eastAsia="zh-CN"/>
              </w:rPr>
              <w:instrText xml:space="preserve"> EQ \* jc0 \* "Font:宋体" \* hps9 \o \ad(\s \up 8(-),1)</w:instrText>
            </w:r>
            <w:r>
              <w:rPr>
                <w:rFonts w:hint="eastAsia" w:ascii="宋体" w:hAnsi="宋体" w:eastAsia="宋体" w:cs="宋体"/>
                <w:color w:val="auto"/>
                <w:sz w:val="18"/>
                <w:szCs w:val="18"/>
                <w:vertAlign w:val="baseline"/>
                <w:lang w:val="en-US" w:eastAsia="zh-CN"/>
              </w:rPr>
              <w:fldChar w:fldCharType="end"/>
            </w:r>
            <w:r>
              <w:rPr>
                <w:rFonts w:hint="eastAsia" w:ascii="宋体" w:hAnsi="宋体" w:eastAsia="宋体" w:cs="宋体"/>
                <w:color w:val="auto"/>
                <w:sz w:val="18"/>
                <w:szCs w:val="18"/>
                <w:vertAlign w:val="baseline"/>
                <w:lang w:val="en-US" w:eastAsia="zh-CN"/>
              </w:rPr>
              <w:t>]</w:t>
            </w:r>
          </w:p>
        </w:tc>
        <w:tc>
          <w:tcPr>
            <w:tcW w:w="1897"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lang w:val="en-US" w:eastAsia="zh-CN"/>
              </w:rPr>
              <w:t>[011]</w:t>
            </w:r>
          </w:p>
        </w:tc>
        <w:tc>
          <w:tcPr>
            <w:tcW w:w="1817"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lang w:val="en-US" w:eastAsia="zh-CN"/>
              </w:rPr>
              <w:t>180°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59"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&lt;100&gt;</w:t>
            </w:r>
          </w:p>
        </w:tc>
        <w:tc>
          <w:tcPr>
            <w:tcW w:w="1862"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lang w:val="en-US" w:eastAsia="zh-CN"/>
              </w:rPr>
              <w:t>15°</w:t>
            </w:r>
          </w:p>
        </w:tc>
        <w:tc>
          <w:tcPr>
            <w:tcW w:w="2012"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lang w:val="en-US" w:eastAsia="zh-CN"/>
              </w:rPr>
              <w:t>[0</w:t>
            </w:r>
            <w:r>
              <w:rPr>
                <w:rFonts w:hint="eastAsia" w:ascii="宋体" w:hAnsi="宋体" w:eastAsia="宋体" w:cs="宋体"/>
                <w:color w:val="auto"/>
                <w:sz w:val="18"/>
                <w:szCs w:val="18"/>
                <w:vertAlign w:val="baseline"/>
                <w:lang w:val="en-US" w:eastAsia="zh-CN"/>
              </w:rPr>
              <w:fldChar w:fldCharType="begin"/>
            </w:r>
            <w:r>
              <w:rPr>
                <w:rFonts w:hint="eastAsia" w:ascii="宋体" w:hAnsi="宋体" w:eastAsia="宋体" w:cs="宋体"/>
                <w:color w:val="auto"/>
                <w:sz w:val="18"/>
                <w:szCs w:val="18"/>
                <w:vertAlign w:val="baseline"/>
                <w:lang w:val="en-US" w:eastAsia="zh-CN"/>
              </w:rPr>
              <w:instrText xml:space="preserve"> EQ \* jc0 \* "Font:宋体" \* hps9 \o \ad(\s \up 8(-),1)</w:instrText>
            </w:r>
            <w:r>
              <w:rPr>
                <w:rFonts w:hint="eastAsia" w:ascii="宋体" w:hAnsi="宋体" w:eastAsia="宋体" w:cs="宋体"/>
                <w:color w:val="auto"/>
                <w:sz w:val="18"/>
                <w:szCs w:val="18"/>
                <w:vertAlign w:val="baseline"/>
                <w:lang w:val="en-US" w:eastAsia="zh-CN"/>
              </w:rPr>
              <w:fldChar w:fldCharType="end"/>
            </w:r>
            <w:r>
              <w:rPr>
                <w:rFonts w:hint="eastAsia" w:ascii="宋体" w:hAnsi="宋体" w:eastAsia="宋体" w:cs="宋体"/>
                <w:color w:val="auto"/>
                <w:sz w:val="18"/>
                <w:szCs w:val="18"/>
                <w:vertAlign w:val="baseline"/>
                <w:lang w:val="en-US" w:eastAsia="zh-CN"/>
              </w:rPr>
              <w:fldChar w:fldCharType="begin"/>
            </w:r>
            <w:r>
              <w:rPr>
                <w:rFonts w:hint="eastAsia" w:ascii="宋体" w:hAnsi="宋体" w:eastAsia="宋体" w:cs="宋体"/>
                <w:color w:val="auto"/>
                <w:sz w:val="18"/>
                <w:szCs w:val="18"/>
                <w:vertAlign w:val="baseline"/>
                <w:lang w:val="en-US" w:eastAsia="zh-CN"/>
              </w:rPr>
              <w:instrText xml:space="preserve"> EQ \* jc0 \* "Font:宋体" \* hps9 \o \ad(\s \up 8(-),1)</w:instrText>
            </w:r>
            <w:r>
              <w:rPr>
                <w:rFonts w:hint="eastAsia" w:ascii="宋体" w:hAnsi="宋体" w:eastAsia="宋体" w:cs="宋体"/>
                <w:color w:val="auto"/>
                <w:sz w:val="18"/>
                <w:szCs w:val="18"/>
                <w:vertAlign w:val="baseline"/>
                <w:lang w:val="en-US" w:eastAsia="zh-CN"/>
              </w:rPr>
              <w:fldChar w:fldCharType="end"/>
            </w:r>
            <w:r>
              <w:rPr>
                <w:rFonts w:hint="eastAsia" w:ascii="宋体" w:hAnsi="宋体" w:eastAsia="宋体" w:cs="宋体"/>
                <w:color w:val="auto"/>
                <w:sz w:val="18"/>
                <w:szCs w:val="18"/>
                <w:vertAlign w:val="baseline"/>
                <w:lang w:val="en-US" w:eastAsia="zh-CN"/>
              </w:rPr>
              <w:t>]</w:t>
            </w:r>
          </w:p>
        </w:tc>
        <w:tc>
          <w:tcPr>
            <w:tcW w:w="1897"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lang w:val="en-US" w:eastAsia="zh-CN"/>
              </w:rPr>
              <w:t>[011]</w:t>
            </w:r>
          </w:p>
        </w:tc>
        <w:tc>
          <w:tcPr>
            <w:tcW w:w="1817"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59"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&lt;100&gt;</w:t>
            </w:r>
          </w:p>
        </w:tc>
        <w:tc>
          <w:tcPr>
            <w:tcW w:w="1862"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lang w:val="en-US" w:eastAsia="zh-CN"/>
              </w:rPr>
              <w:t>15°</w:t>
            </w:r>
          </w:p>
        </w:tc>
        <w:tc>
          <w:tcPr>
            <w:tcW w:w="2012"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lang w:val="en-US" w:eastAsia="zh-CN"/>
              </w:rPr>
              <w:t>[0</w:t>
            </w:r>
            <w:r>
              <w:rPr>
                <w:rFonts w:hint="eastAsia" w:ascii="宋体" w:hAnsi="宋体" w:eastAsia="宋体" w:cs="宋体"/>
                <w:color w:val="auto"/>
                <w:sz w:val="18"/>
                <w:szCs w:val="18"/>
                <w:vertAlign w:val="baseline"/>
                <w:lang w:val="en-US" w:eastAsia="zh-CN"/>
              </w:rPr>
              <w:fldChar w:fldCharType="begin"/>
            </w:r>
            <w:r>
              <w:rPr>
                <w:rFonts w:hint="eastAsia" w:ascii="宋体" w:hAnsi="宋体" w:eastAsia="宋体" w:cs="宋体"/>
                <w:color w:val="auto"/>
                <w:sz w:val="18"/>
                <w:szCs w:val="18"/>
                <w:vertAlign w:val="baseline"/>
                <w:lang w:val="en-US" w:eastAsia="zh-CN"/>
              </w:rPr>
              <w:instrText xml:space="preserve"> EQ \* jc0 \* "Font:宋体" \* hps9 \o \ad(\s \up 8(-),1)</w:instrText>
            </w:r>
            <w:r>
              <w:rPr>
                <w:rFonts w:hint="eastAsia" w:ascii="宋体" w:hAnsi="宋体" w:eastAsia="宋体" w:cs="宋体"/>
                <w:color w:val="auto"/>
                <w:sz w:val="18"/>
                <w:szCs w:val="18"/>
                <w:vertAlign w:val="baseline"/>
                <w:lang w:val="en-US" w:eastAsia="zh-CN"/>
              </w:rPr>
              <w:fldChar w:fldCharType="end"/>
            </w:r>
            <w:r>
              <w:rPr>
                <w:rFonts w:hint="eastAsia" w:ascii="宋体" w:hAnsi="宋体" w:eastAsia="宋体" w:cs="宋体"/>
                <w:color w:val="auto"/>
                <w:sz w:val="18"/>
                <w:szCs w:val="18"/>
                <w:vertAlign w:val="baseline"/>
                <w:lang w:val="en-US" w:eastAsia="zh-CN"/>
              </w:rPr>
              <w:t>1]</w:t>
            </w:r>
          </w:p>
        </w:tc>
        <w:tc>
          <w:tcPr>
            <w:tcW w:w="1897"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lang w:val="en-US" w:eastAsia="zh-CN"/>
              </w:rPr>
              <w:t>[0</w:t>
            </w:r>
            <w:r>
              <w:rPr>
                <w:rFonts w:hint="eastAsia" w:ascii="宋体" w:hAnsi="宋体" w:eastAsia="宋体" w:cs="宋体"/>
                <w:color w:val="auto"/>
                <w:sz w:val="18"/>
                <w:szCs w:val="18"/>
                <w:vertAlign w:val="baseline"/>
                <w:lang w:val="en-US" w:eastAsia="zh-CN"/>
              </w:rPr>
              <w:fldChar w:fldCharType="begin"/>
            </w:r>
            <w:r>
              <w:rPr>
                <w:rFonts w:hint="eastAsia" w:ascii="宋体" w:hAnsi="宋体" w:eastAsia="宋体" w:cs="宋体"/>
                <w:color w:val="auto"/>
                <w:sz w:val="18"/>
                <w:szCs w:val="18"/>
                <w:vertAlign w:val="baseline"/>
                <w:lang w:val="en-US" w:eastAsia="zh-CN"/>
              </w:rPr>
              <w:instrText xml:space="preserve"> EQ \* jc0 \* "Font:宋体" \* hps9 \o \ad(\s \up 8(-),1)</w:instrText>
            </w:r>
            <w:r>
              <w:rPr>
                <w:rFonts w:hint="eastAsia" w:ascii="宋体" w:hAnsi="宋体" w:eastAsia="宋体" w:cs="宋体"/>
                <w:color w:val="auto"/>
                <w:sz w:val="18"/>
                <w:szCs w:val="18"/>
                <w:vertAlign w:val="baseline"/>
                <w:lang w:val="en-US" w:eastAsia="zh-CN"/>
              </w:rPr>
              <w:fldChar w:fldCharType="end"/>
            </w:r>
            <w:r>
              <w:rPr>
                <w:rFonts w:hint="eastAsia" w:ascii="宋体" w:hAnsi="宋体" w:eastAsia="宋体" w:cs="宋体"/>
                <w:color w:val="auto"/>
                <w:sz w:val="18"/>
                <w:szCs w:val="18"/>
                <w:vertAlign w:val="baseline"/>
                <w:lang w:val="en-US" w:eastAsia="zh-CN"/>
              </w:rPr>
              <w:fldChar w:fldCharType="begin"/>
            </w:r>
            <w:r>
              <w:rPr>
                <w:rFonts w:hint="eastAsia" w:ascii="宋体" w:hAnsi="宋体" w:eastAsia="宋体" w:cs="宋体"/>
                <w:color w:val="auto"/>
                <w:sz w:val="18"/>
                <w:szCs w:val="18"/>
                <w:vertAlign w:val="baseline"/>
                <w:lang w:val="en-US" w:eastAsia="zh-CN"/>
              </w:rPr>
              <w:instrText xml:space="preserve"> EQ \* jc0 \* "Font:宋体" \* hps9 \o \ad(\s \up 8(-),1)</w:instrText>
            </w:r>
            <w:r>
              <w:rPr>
                <w:rFonts w:hint="eastAsia" w:ascii="宋体" w:hAnsi="宋体" w:eastAsia="宋体" w:cs="宋体"/>
                <w:color w:val="auto"/>
                <w:sz w:val="18"/>
                <w:szCs w:val="18"/>
                <w:vertAlign w:val="baseline"/>
                <w:lang w:val="en-US" w:eastAsia="zh-CN"/>
              </w:rPr>
              <w:fldChar w:fldCharType="end"/>
            </w:r>
            <w:r>
              <w:rPr>
                <w:rFonts w:hint="eastAsia" w:ascii="宋体" w:hAnsi="宋体" w:eastAsia="宋体" w:cs="宋体"/>
                <w:color w:val="auto"/>
                <w:sz w:val="18"/>
                <w:szCs w:val="18"/>
                <w:vertAlign w:val="baseline"/>
                <w:lang w:val="en-US" w:eastAsia="zh-CN"/>
              </w:rPr>
              <w:t>]</w:t>
            </w:r>
          </w:p>
        </w:tc>
        <w:tc>
          <w:tcPr>
            <w:tcW w:w="1817" w:type="dxa"/>
            <w:tcBorders>
              <w:tl2br w:val="nil"/>
              <w:tr2bl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90°</w:t>
            </w:r>
          </w:p>
        </w:tc>
      </w:tr>
    </w:tbl>
    <w:p>
      <w:pPr>
        <w:keepNext w:val="0"/>
        <w:keepLines w:val="0"/>
        <w:pageBreakBefore w:val="0"/>
        <w:widowControl w:val="0"/>
        <w:kinsoku/>
        <w:wordWrap/>
        <w:overflowPunct/>
        <w:topLinePunct w:val="0"/>
        <w:autoSpaceDE w:val="0"/>
        <w:autoSpaceDN w:val="0"/>
        <w:bidi w:val="0"/>
        <w:adjustRightInd/>
        <w:snapToGrid/>
        <w:spacing w:before="0" w:beforeLines="50" w:after="0" w:afterLines="50" w:line="240" w:lineRule="auto"/>
        <w:jc w:val="left"/>
        <w:textAlignment w:val="auto"/>
        <w:rPr>
          <w:rFonts w:hint="eastAsia" w:ascii="黑体" w:hAnsi="黑体" w:eastAsia="黑体" w:cs="黑体"/>
          <w:color w:val="auto"/>
          <w:sz w:val="21"/>
          <w:szCs w:val="21"/>
        </w:rPr>
      </w:pPr>
      <w:r>
        <w:rPr>
          <w:rFonts w:hint="eastAsia"/>
          <w:color w:val="auto"/>
          <w:sz w:val="21"/>
          <w:szCs w:val="21"/>
        </w:rPr>
        <w:t xml:space="preserve"> </w:t>
      </w:r>
      <w:r>
        <w:rPr>
          <w:rFonts w:hint="eastAsia" w:ascii="黑体" w:hAnsi="黑体" w:eastAsia="黑体" w:cs="黑体"/>
          <w:color w:val="auto"/>
          <w:sz w:val="21"/>
          <w:szCs w:val="21"/>
        </w:rPr>
        <w:t>5.5</w:t>
      </w:r>
      <w:r>
        <w:rPr>
          <w:rFonts w:hint="eastAsia" w:ascii="黑体" w:hAnsi="黑体" w:eastAsia="黑体" w:cs="黑体"/>
          <w:color w:val="auto"/>
          <w:sz w:val="21"/>
          <w:szCs w:val="21"/>
          <w:lang w:val="en-US" w:eastAsia="zh-CN"/>
        </w:rPr>
        <w:t xml:space="preserve">  </w:t>
      </w:r>
      <w:r>
        <w:rPr>
          <w:rFonts w:hint="eastAsia" w:ascii="黑体" w:hAnsi="黑体" w:eastAsia="黑体" w:cs="黑体"/>
          <w:color w:val="auto"/>
          <w:sz w:val="21"/>
          <w:szCs w:val="21"/>
        </w:rPr>
        <w:t>外形几何尺寸</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砷化镓外形几何尺寸应该符合表</w:t>
      </w:r>
      <w:r>
        <w:rPr>
          <w:rFonts w:hint="eastAsia" w:cs="宋体"/>
          <w:color w:val="auto"/>
          <w:sz w:val="21"/>
          <w:szCs w:val="21"/>
          <w:lang w:val="en-US" w:eastAsia="zh-CN"/>
        </w:rPr>
        <w:t>6</w:t>
      </w:r>
      <w:r>
        <w:rPr>
          <w:rFonts w:hint="eastAsia" w:ascii="宋体" w:hAnsi="宋体" w:eastAsia="宋体" w:cs="宋体"/>
          <w:color w:val="auto"/>
          <w:sz w:val="21"/>
          <w:szCs w:val="21"/>
          <w:lang w:val="en-US" w:eastAsia="zh-CN"/>
        </w:rPr>
        <w:t>的规定。</w:t>
      </w:r>
    </w:p>
    <w:p>
      <w:pPr>
        <w:spacing w:line="360" w:lineRule="auto"/>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表6</w:t>
      </w:r>
    </w:p>
    <w:tbl>
      <w:tblPr>
        <w:tblStyle w:val="10"/>
        <w:tblW w:w="9050" w:type="dxa"/>
        <w:tblInd w:w="17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886"/>
        <w:gridCol w:w="1604"/>
        <w:gridCol w:w="1255"/>
        <w:gridCol w:w="1329"/>
        <w:gridCol w:w="1256"/>
        <w:gridCol w:w="1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9"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序号</w:t>
            </w:r>
          </w:p>
        </w:tc>
        <w:tc>
          <w:tcPr>
            <w:tcW w:w="188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项目</w:t>
            </w:r>
          </w:p>
        </w:tc>
        <w:tc>
          <w:tcPr>
            <w:tcW w:w="6635" w:type="dxa"/>
            <w:gridSpan w:val="5"/>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9" w:type="dxa"/>
            <w:vMerge w:val="continue"/>
            <w:tcBorders>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p>
        </w:tc>
        <w:tc>
          <w:tcPr>
            <w:tcW w:w="1886" w:type="dxa"/>
            <w:vMerge w:val="continue"/>
            <w:tcBorders>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p>
        </w:tc>
        <w:tc>
          <w:tcPr>
            <w:tcW w:w="1604" w:type="dxa"/>
            <w:tcBorders>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Φ50.8</w:t>
            </w:r>
            <w:r>
              <w:rPr>
                <w:rFonts w:hint="eastAsia" w:cs="宋体"/>
                <w:color w:val="auto"/>
                <w:sz w:val="18"/>
                <w:szCs w:val="18"/>
                <w:vertAlign w:val="baseline"/>
                <w:lang w:val="en-US" w:eastAsia="zh-CN"/>
              </w:rPr>
              <w:t xml:space="preserve"> </w:t>
            </w:r>
            <w:r>
              <w:rPr>
                <w:rFonts w:hint="eastAsia" w:ascii="宋体" w:hAnsi="宋体" w:eastAsia="宋体" w:cs="宋体"/>
                <w:color w:val="auto"/>
                <w:sz w:val="18"/>
                <w:szCs w:val="18"/>
                <w:vertAlign w:val="baseline"/>
                <w:lang w:val="en-US" w:eastAsia="zh-CN"/>
              </w:rPr>
              <w:t>mm</w:t>
            </w:r>
          </w:p>
        </w:tc>
        <w:tc>
          <w:tcPr>
            <w:tcW w:w="1255" w:type="dxa"/>
            <w:tcBorders>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Φ76.2</w:t>
            </w:r>
            <w:r>
              <w:rPr>
                <w:rFonts w:hint="eastAsia" w:cs="宋体"/>
                <w:color w:val="auto"/>
                <w:sz w:val="18"/>
                <w:szCs w:val="18"/>
                <w:vertAlign w:val="baseline"/>
                <w:lang w:val="en-US" w:eastAsia="zh-CN"/>
              </w:rPr>
              <w:t xml:space="preserve"> </w:t>
            </w:r>
            <w:r>
              <w:rPr>
                <w:rFonts w:hint="eastAsia" w:ascii="宋体" w:hAnsi="宋体" w:eastAsia="宋体" w:cs="宋体"/>
                <w:color w:val="auto"/>
                <w:sz w:val="18"/>
                <w:szCs w:val="18"/>
                <w:vertAlign w:val="baseline"/>
                <w:lang w:val="en-US" w:eastAsia="zh-CN"/>
              </w:rPr>
              <w:t>mm</w:t>
            </w:r>
          </w:p>
        </w:tc>
        <w:tc>
          <w:tcPr>
            <w:tcW w:w="1329" w:type="dxa"/>
            <w:tcBorders>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Φ100.0</w:t>
            </w:r>
            <w:r>
              <w:rPr>
                <w:rFonts w:hint="eastAsia" w:cs="宋体"/>
                <w:color w:val="auto"/>
                <w:sz w:val="18"/>
                <w:szCs w:val="18"/>
                <w:vertAlign w:val="baseline"/>
                <w:lang w:val="en-US" w:eastAsia="zh-CN"/>
              </w:rPr>
              <w:t xml:space="preserve"> </w:t>
            </w:r>
            <w:r>
              <w:rPr>
                <w:rFonts w:hint="eastAsia" w:ascii="宋体" w:hAnsi="宋体" w:eastAsia="宋体" w:cs="宋体"/>
                <w:color w:val="auto"/>
                <w:sz w:val="18"/>
                <w:szCs w:val="18"/>
                <w:vertAlign w:val="baseline"/>
                <w:lang w:val="en-US" w:eastAsia="zh-CN"/>
              </w:rPr>
              <w:t>mm</w:t>
            </w:r>
          </w:p>
        </w:tc>
        <w:tc>
          <w:tcPr>
            <w:tcW w:w="1256" w:type="dxa"/>
            <w:tcBorders>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Φ150.0</w:t>
            </w:r>
            <w:r>
              <w:rPr>
                <w:rFonts w:hint="eastAsia" w:cs="宋体"/>
                <w:color w:val="auto"/>
                <w:sz w:val="18"/>
                <w:szCs w:val="18"/>
                <w:vertAlign w:val="baseline"/>
                <w:lang w:val="en-US" w:eastAsia="zh-CN"/>
              </w:rPr>
              <w:t xml:space="preserve"> </w:t>
            </w:r>
            <w:r>
              <w:rPr>
                <w:rFonts w:hint="eastAsia" w:ascii="宋体" w:hAnsi="宋体" w:eastAsia="宋体" w:cs="宋体"/>
                <w:color w:val="auto"/>
                <w:sz w:val="18"/>
                <w:szCs w:val="18"/>
                <w:vertAlign w:val="baseline"/>
                <w:lang w:val="en-US" w:eastAsia="zh-CN"/>
              </w:rPr>
              <w:t>mm</w:t>
            </w:r>
          </w:p>
        </w:tc>
        <w:tc>
          <w:tcPr>
            <w:tcW w:w="1191" w:type="dxa"/>
            <w:tcBorders>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Φ200.0</w:t>
            </w:r>
            <w:r>
              <w:rPr>
                <w:rFonts w:hint="eastAsia" w:cs="宋体"/>
                <w:color w:val="auto"/>
                <w:sz w:val="18"/>
                <w:szCs w:val="18"/>
                <w:vertAlign w:val="baseline"/>
                <w:lang w:val="en-US" w:eastAsia="zh-CN"/>
              </w:rPr>
              <w:t xml:space="preserve"> </w:t>
            </w:r>
            <w:r>
              <w:rPr>
                <w:rFonts w:hint="eastAsia" w:ascii="宋体" w:hAnsi="宋体" w:eastAsia="宋体" w:cs="宋体"/>
                <w:color w:val="auto"/>
                <w:sz w:val="18"/>
                <w:szCs w:val="18"/>
                <w:vertAlign w:val="baseline"/>
                <w:lang w:val="en-US" w:eastAsia="zh-CN"/>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9" w:type="dxa"/>
            <w:tcBorders>
              <w:top w:val="single" w:color="auto"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w:t>
            </w:r>
          </w:p>
        </w:tc>
        <w:tc>
          <w:tcPr>
            <w:tcW w:w="1886" w:type="dxa"/>
            <w:tcBorders>
              <w:top w:val="single" w:color="auto"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直径及允许偏差</w:t>
            </w:r>
            <w:r>
              <w:rPr>
                <w:rFonts w:hint="eastAsia" w:cs="宋体"/>
                <w:color w:val="auto"/>
                <w:sz w:val="18"/>
                <w:szCs w:val="18"/>
                <w:vertAlign w:val="baseline"/>
                <w:lang w:val="en-US" w:eastAsia="zh-CN"/>
              </w:rPr>
              <w:t>/mm</w:t>
            </w:r>
          </w:p>
        </w:tc>
        <w:tc>
          <w:tcPr>
            <w:tcW w:w="1604" w:type="dxa"/>
            <w:tcBorders>
              <w:top w:val="single" w:color="auto"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50.8±0.2</w:t>
            </w:r>
          </w:p>
        </w:tc>
        <w:tc>
          <w:tcPr>
            <w:tcW w:w="1255" w:type="dxa"/>
            <w:tcBorders>
              <w:top w:val="single" w:color="auto"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76.2±0.2</w:t>
            </w:r>
          </w:p>
        </w:tc>
        <w:tc>
          <w:tcPr>
            <w:tcW w:w="1329" w:type="dxa"/>
            <w:tcBorders>
              <w:top w:val="single" w:color="auto"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100±0.2</w:t>
            </w:r>
          </w:p>
        </w:tc>
        <w:tc>
          <w:tcPr>
            <w:tcW w:w="1256" w:type="dxa"/>
            <w:tcBorders>
              <w:top w:val="single" w:color="auto"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150±0.3</w:t>
            </w:r>
          </w:p>
        </w:tc>
        <w:tc>
          <w:tcPr>
            <w:tcW w:w="1191" w:type="dxa"/>
            <w:tcBorders>
              <w:top w:val="single" w:color="auto"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200±0.3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w:t>
            </w:r>
          </w:p>
        </w:tc>
        <w:tc>
          <w:tcPr>
            <w:tcW w:w="18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厚度及允许偏差</w:t>
            </w:r>
            <w:r>
              <w:rPr>
                <w:rFonts w:hint="eastAsia" w:cs="宋体"/>
                <w:color w:val="auto"/>
                <w:sz w:val="18"/>
                <w:szCs w:val="18"/>
                <w:vertAlign w:val="baseline"/>
                <w:lang w:val="en-US" w:eastAsia="zh-CN"/>
              </w:rPr>
              <w:t>/μm</w:t>
            </w:r>
          </w:p>
        </w:tc>
        <w:tc>
          <w:tcPr>
            <w:tcW w:w="160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（275-650）±20</w:t>
            </w:r>
          </w:p>
        </w:tc>
        <w:tc>
          <w:tcPr>
            <w:tcW w:w="12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（275-650）±20</w:t>
            </w:r>
          </w:p>
        </w:tc>
        <w:tc>
          <w:tcPr>
            <w:tcW w:w="13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（300-650）±25</w:t>
            </w:r>
          </w:p>
        </w:tc>
        <w:tc>
          <w:tcPr>
            <w:tcW w:w="12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（400-675）±25</w:t>
            </w:r>
          </w:p>
        </w:tc>
        <w:tc>
          <w:tcPr>
            <w:tcW w:w="119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（500-750）±25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color w:val="auto"/>
                <w:sz w:val="18"/>
                <w:szCs w:val="18"/>
                <w:vertAlign w:val="baseline"/>
                <w:lang w:val="en-US" w:eastAsia="zh-CN"/>
              </w:rPr>
            </w:pPr>
            <w:r>
              <w:rPr>
                <w:rFonts w:hint="eastAsia" w:cs="宋体"/>
                <w:color w:val="auto"/>
                <w:sz w:val="18"/>
                <w:szCs w:val="18"/>
                <w:vertAlign w:val="baseline"/>
                <w:lang w:val="en-US" w:eastAsia="zh-CN"/>
              </w:rPr>
              <w:t>3</w:t>
            </w:r>
          </w:p>
        </w:tc>
        <w:tc>
          <w:tcPr>
            <w:tcW w:w="18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总厚度变化TTV</w:t>
            </w:r>
            <w:r>
              <w:rPr>
                <w:rFonts w:hint="eastAsia" w:cs="宋体"/>
                <w:color w:val="auto"/>
                <w:sz w:val="18"/>
                <w:szCs w:val="18"/>
                <w:vertAlign w:val="baseline"/>
                <w:lang w:val="en-US" w:eastAsia="zh-CN"/>
              </w:rPr>
              <w:t>/μm</w:t>
            </w:r>
          </w:p>
        </w:tc>
        <w:tc>
          <w:tcPr>
            <w:tcW w:w="160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≤12</w:t>
            </w:r>
          </w:p>
        </w:tc>
        <w:tc>
          <w:tcPr>
            <w:tcW w:w="12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≤12</w:t>
            </w:r>
          </w:p>
        </w:tc>
        <w:tc>
          <w:tcPr>
            <w:tcW w:w="13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≤15</w:t>
            </w:r>
          </w:p>
        </w:tc>
        <w:tc>
          <w:tcPr>
            <w:tcW w:w="12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≤15</w:t>
            </w:r>
          </w:p>
        </w:tc>
        <w:tc>
          <w:tcPr>
            <w:tcW w:w="119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cs="宋体"/>
                <w:color w:val="auto"/>
                <w:sz w:val="18"/>
                <w:szCs w:val="18"/>
                <w:vertAlign w:val="baseline"/>
                <w:lang w:val="en-US" w:eastAsia="zh-CN"/>
              </w:rPr>
              <w:t>4</w:t>
            </w:r>
          </w:p>
        </w:tc>
        <w:tc>
          <w:tcPr>
            <w:tcW w:w="18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平整度TIR</w:t>
            </w:r>
            <w:r>
              <w:rPr>
                <w:rFonts w:hint="eastAsia" w:cs="宋体"/>
                <w:color w:val="auto"/>
                <w:sz w:val="18"/>
                <w:szCs w:val="18"/>
                <w:vertAlign w:val="baseline"/>
                <w:lang w:val="en-US" w:eastAsia="zh-CN"/>
              </w:rPr>
              <w:t>/μm</w:t>
            </w:r>
          </w:p>
        </w:tc>
        <w:tc>
          <w:tcPr>
            <w:tcW w:w="160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≤6</w:t>
            </w:r>
          </w:p>
        </w:tc>
        <w:tc>
          <w:tcPr>
            <w:tcW w:w="12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≤6</w:t>
            </w:r>
          </w:p>
        </w:tc>
        <w:tc>
          <w:tcPr>
            <w:tcW w:w="13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≤8</w:t>
            </w:r>
          </w:p>
        </w:tc>
        <w:tc>
          <w:tcPr>
            <w:tcW w:w="12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≤8</w:t>
            </w:r>
          </w:p>
        </w:tc>
        <w:tc>
          <w:tcPr>
            <w:tcW w:w="119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050" w:type="dxa"/>
            <w:gridSpan w:val="7"/>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360" w:firstLineChars="200"/>
              <w:jc w:val="left"/>
              <w:textAlignment w:val="auto"/>
              <w:rPr>
                <w:rFonts w:hint="eastAsia" w:ascii="宋体" w:hAnsi="宋体" w:eastAsia="宋体" w:cs="宋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注：</w:t>
            </w:r>
            <w:r>
              <w:rPr>
                <w:rFonts w:hint="eastAsia" w:ascii="宋体" w:hAnsi="宋体" w:eastAsia="宋体" w:cs="宋体"/>
                <w:color w:val="auto"/>
                <w:sz w:val="18"/>
                <w:szCs w:val="18"/>
                <w:vertAlign w:val="baseline"/>
                <w:lang w:val="en-US" w:eastAsia="zh-CN"/>
              </w:rPr>
              <w:t>如客户对外形几何尺寸有其他特殊要求时，双方商议后在合同中签订。</w:t>
            </w:r>
          </w:p>
        </w:tc>
      </w:tr>
    </w:tbl>
    <w:p>
      <w:pPr>
        <w:keepNext w:val="0"/>
        <w:keepLines w:val="0"/>
        <w:pageBreakBefore w:val="0"/>
        <w:widowControl w:val="0"/>
        <w:kinsoku/>
        <w:wordWrap/>
        <w:overflowPunct/>
        <w:topLinePunct w:val="0"/>
        <w:autoSpaceDE w:val="0"/>
        <w:autoSpaceDN w:val="0"/>
        <w:bidi w:val="0"/>
        <w:adjustRightInd/>
        <w:snapToGrid/>
        <w:spacing w:before="0" w:beforeLines="50" w:after="0" w:afterLines="50" w:line="240" w:lineRule="auto"/>
        <w:ind w:right="0"/>
        <w:jc w:val="left"/>
        <w:textAlignment w:val="auto"/>
        <w:rPr>
          <w:rFonts w:hint="eastAsia" w:ascii="黑体" w:hAnsi="黑体" w:eastAsia="黑体" w:cs="黑体"/>
          <w:b w:val="0"/>
          <w:bCs w:val="0"/>
          <w:sz w:val="21"/>
          <w:szCs w:val="21"/>
          <w:lang w:val="en-US" w:eastAsia="zh-CN"/>
        </w:rPr>
      </w:pPr>
      <w:bookmarkStart w:id="11" w:name="00000005"/>
      <w:bookmarkEnd w:id="11"/>
      <w:r>
        <w:rPr>
          <w:rFonts w:hint="eastAsia" w:ascii="黑体" w:hAnsi="黑体" w:eastAsia="黑体" w:cs="黑体"/>
          <w:b w:val="0"/>
          <w:bCs w:val="0"/>
          <w:sz w:val="21"/>
          <w:szCs w:val="21"/>
          <w:lang w:val="en-US" w:eastAsia="zh-CN"/>
        </w:rPr>
        <w:t>5.6 位错密度</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砷化镓位错密度应该符合表</w:t>
      </w:r>
      <w:r>
        <w:rPr>
          <w:rFonts w:hint="eastAsia" w:cs="宋体"/>
          <w:sz w:val="21"/>
          <w:szCs w:val="21"/>
          <w:lang w:val="en-US" w:eastAsia="zh-CN"/>
        </w:rPr>
        <w:t>7</w:t>
      </w:r>
      <w:r>
        <w:rPr>
          <w:rFonts w:hint="eastAsia" w:ascii="宋体" w:hAnsi="宋体" w:eastAsia="宋体" w:cs="宋体"/>
          <w:sz w:val="21"/>
          <w:szCs w:val="21"/>
          <w:lang w:val="en-US" w:eastAsia="zh-CN"/>
        </w:rPr>
        <w:t>的规定。</w:t>
      </w:r>
    </w:p>
    <w:p>
      <w:pPr>
        <w:keepNext w:val="0"/>
        <w:keepLines w:val="0"/>
        <w:pageBreakBefore w:val="0"/>
        <w:widowControl w:val="0"/>
        <w:kinsoku/>
        <w:wordWrap/>
        <w:overflowPunct/>
        <w:topLinePunct w:val="0"/>
        <w:autoSpaceDE w:val="0"/>
        <w:autoSpaceDN w:val="0"/>
        <w:bidi w:val="0"/>
        <w:adjustRightInd w:val="0"/>
        <w:snapToGrid w:val="0"/>
        <w:spacing w:before="0" w:beforeLines="50" w:after="0" w:afterLines="50" w:line="240" w:lineRule="auto"/>
        <w:ind w:right="0" w:firstLine="0"/>
        <w:jc w:val="center"/>
        <w:textAlignment w:val="auto"/>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0" w:beforeLines="50" w:after="0" w:afterLines="50" w:line="240" w:lineRule="auto"/>
        <w:ind w:right="0" w:firstLine="0"/>
        <w:jc w:val="center"/>
        <w:textAlignment w:val="auto"/>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0" w:beforeLines="50" w:after="0" w:afterLines="50" w:line="240" w:lineRule="auto"/>
        <w:ind w:right="0" w:firstLine="0"/>
        <w:jc w:val="center"/>
        <w:textAlignment w:val="auto"/>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0" w:beforeLines="50" w:after="0" w:afterLines="50" w:line="240" w:lineRule="auto"/>
        <w:ind w:right="0" w:firstLine="0"/>
        <w:jc w:val="center"/>
        <w:textAlignment w:val="auto"/>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0" w:beforeLines="50" w:after="0" w:afterLines="50" w:line="240" w:lineRule="auto"/>
        <w:ind w:right="0" w:firstLine="0"/>
        <w:jc w:val="center"/>
        <w:textAlignment w:val="auto"/>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0" w:beforeLines="50" w:after="0" w:afterLines="50" w:line="240" w:lineRule="auto"/>
        <w:ind w:right="0" w:firstLine="0"/>
        <w:jc w:val="both"/>
        <w:textAlignment w:val="auto"/>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0" w:beforeLines="50" w:after="0" w:afterLines="50" w:line="240" w:lineRule="auto"/>
        <w:ind w:right="0" w:firstLine="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表7</w:t>
      </w:r>
    </w:p>
    <w:tbl>
      <w:tblPr>
        <w:tblStyle w:val="10"/>
        <w:tblW w:w="0" w:type="auto"/>
        <w:tblInd w:w="15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960"/>
        <w:gridCol w:w="1960"/>
        <w:gridCol w:w="1960"/>
        <w:gridCol w:w="17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61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直径（mm）</w:t>
            </w:r>
          </w:p>
        </w:tc>
        <w:tc>
          <w:tcPr>
            <w:tcW w:w="7585"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位错密度等级及要求</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cm</w:t>
            </w:r>
            <w:r>
              <w:rPr>
                <w:rFonts w:hint="eastAsia" w:ascii="宋体" w:hAnsi="宋体" w:eastAsia="宋体" w:cs="宋体"/>
                <w:color w:val="auto"/>
                <w:sz w:val="18"/>
                <w:szCs w:val="18"/>
                <w:vertAlign w:val="superscript"/>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14" w:type="dxa"/>
            <w:vMerge w:val="continue"/>
            <w:tcBorders>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color w:val="auto"/>
                <w:sz w:val="18"/>
                <w:szCs w:val="18"/>
                <w:vertAlign w:val="baseline"/>
                <w:lang w:val="en-US" w:eastAsia="zh-CN"/>
              </w:rPr>
            </w:pPr>
          </w:p>
        </w:tc>
        <w:tc>
          <w:tcPr>
            <w:tcW w:w="1960" w:type="dxa"/>
            <w:tcBorders>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Ⅰ</w:t>
            </w:r>
          </w:p>
        </w:tc>
        <w:tc>
          <w:tcPr>
            <w:tcW w:w="1960" w:type="dxa"/>
            <w:tcBorders>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Ⅱ</w:t>
            </w:r>
          </w:p>
        </w:tc>
        <w:tc>
          <w:tcPr>
            <w:tcW w:w="1960" w:type="dxa"/>
            <w:tcBorders>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Ⅲ</w:t>
            </w:r>
          </w:p>
        </w:tc>
        <w:tc>
          <w:tcPr>
            <w:tcW w:w="1705" w:type="dxa"/>
            <w:tcBorders>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614" w:type="dxa"/>
            <w:tcBorders>
              <w:top w:val="single" w:color="auto"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50.8</w:t>
            </w:r>
          </w:p>
        </w:tc>
        <w:tc>
          <w:tcPr>
            <w:tcW w:w="1960" w:type="dxa"/>
            <w:tcBorders>
              <w:top w:val="single" w:color="auto"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≤1×10</w:t>
            </w:r>
            <w:r>
              <w:rPr>
                <w:rFonts w:hint="eastAsia" w:ascii="宋体" w:hAnsi="宋体" w:eastAsia="宋体" w:cs="宋体"/>
                <w:color w:val="auto"/>
                <w:sz w:val="18"/>
                <w:szCs w:val="18"/>
                <w:vertAlign w:val="superscript"/>
                <w:lang w:val="en-US" w:eastAsia="zh-CN"/>
              </w:rPr>
              <w:t>2</w:t>
            </w:r>
          </w:p>
        </w:tc>
        <w:tc>
          <w:tcPr>
            <w:tcW w:w="1960" w:type="dxa"/>
            <w:tcBorders>
              <w:top w:val="single" w:color="auto"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≤3×10</w:t>
            </w:r>
            <w:r>
              <w:rPr>
                <w:rFonts w:hint="eastAsia" w:ascii="宋体" w:hAnsi="宋体" w:eastAsia="宋体" w:cs="宋体"/>
                <w:color w:val="auto"/>
                <w:sz w:val="18"/>
                <w:szCs w:val="18"/>
                <w:vertAlign w:val="superscript"/>
                <w:lang w:val="en-US" w:eastAsia="zh-CN"/>
              </w:rPr>
              <w:t>2</w:t>
            </w:r>
          </w:p>
        </w:tc>
        <w:tc>
          <w:tcPr>
            <w:tcW w:w="1960" w:type="dxa"/>
            <w:tcBorders>
              <w:top w:val="single" w:color="auto"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≤5×10</w:t>
            </w:r>
            <w:r>
              <w:rPr>
                <w:rFonts w:hint="eastAsia" w:ascii="宋体" w:hAnsi="宋体" w:eastAsia="宋体" w:cs="宋体"/>
                <w:color w:val="auto"/>
                <w:sz w:val="18"/>
                <w:szCs w:val="18"/>
                <w:vertAlign w:val="superscript"/>
                <w:lang w:val="en-US" w:eastAsia="zh-CN"/>
              </w:rPr>
              <w:t>2</w:t>
            </w:r>
          </w:p>
        </w:tc>
        <w:tc>
          <w:tcPr>
            <w:tcW w:w="1705" w:type="dxa"/>
            <w:tcBorders>
              <w:top w:val="single" w:color="auto"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≤1×10</w:t>
            </w:r>
            <w:r>
              <w:rPr>
                <w:rFonts w:hint="eastAsia" w:ascii="宋体" w:hAnsi="宋体" w:eastAsia="宋体" w:cs="宋体"/>
                <w:color w:val="auto"/>
                <w:sz w:val="18"/>
                <w:szCs w:val="18"/>
                <w:vertAlign w:val="superscript"/>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76.2</w:t>
            </w:r>
          </w:p>
        </w:tc>
        <w:tc>
          <w:tcPr>
            <w:tcW w:w="19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≤1×10</w:t>
            </w:r>
            <w:r>
              <w:rPr>
                <w:rFonts w:hint="eastAsia" w:ascii="宋体" w:hAnsi="宋体" w:eastAsia="宋体" w:cs="宋体"/>
                <w:color w:val="auto"/>
                <w:sz w:val="18"/>
                <w:szCs w:val="18"/>
                <w:vertAlign w:val="superscript"/>
                <w:lang w:val="en-US" w:eastAsia="zh-CN"/>
              </w:rPr>
              <w:t>2</w:t>
            </w:r>
          </w:p>
        </w:tc>
        <w:tc>
          <w:tcPr>
            <w:tcW w:w="19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≤3×10</w:t>
            </w:r>
            <w:r>
              <w:rPr>
                <w:rFonts w:hint="eastAsia" w:ascii="宋体" w:hAnsi="宋体" w:eastAsia="宋体" w:cs="宋体"/>
                <w:color w:val="auto"/>
                <w:sz w:val="18"/>
                <w:szCs w:val="18"/>
                <w:vertAlign w:val="superscript"/>
                <w:lang w:val="en-US" w:eastAsia="zh-CN"/>
              </w:rPr>
              <w:t>2</w:t>
            </w:r>
          </w:p>
        </w:tc>
        <w:tc>
          <w:tcPr>
            <w:tcW w:w="19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≤5×10</w:t>
            </w:r>
            <w:r>
              <w:rPr>
                <w:rFonts w:hint="eastAsia" w:ascii="宋体" w:hAnsi="宋体" w:eastAsia="宋体" w:cs="宋体"/>
                <w:color w:val="auto"/>
                <w:sz w:val="18"/>
                <w:szCs w:val="18"/>
                <w:vertAlign w:val="superscript"/>
                <w:lang w:val="en-US" w:eastAsia="zh-CN"/>
              </w:rPr>
              <w:t>2</w:t>
            </w:r>
          </w:p>
        </w:tc>
        <w:tc>
          <w:tcPr>
            <w:tcW w:w="17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≤3×10</w:t>
            </w:r>
            <w:r>
              <w:rPr>
                <w:rFonts w:hint="eastAsia" w:ascii="宋体" w:hAnsi="宋体" w:eastAsia="宋体" w:cs="宋体"/>
                <w:color w:val="auto"/>
                <w:sz w:val="18"/>
                <w:szCs w:val="18"/>
                <w:vertAlign w:val="superscript"/>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100.0</w:t>
            </w:r>
          </w:p>
        </w:tc>
        <w:tc>
          <w:tcPr>
            <w:tcW w:w="19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≤1×10</w:t>
            </w:r>
            <w:r>
              <w:rPr>
                <w:rFonts w:hint="eastAsia" w:ascii="宋体" w:hAnsi="宋体" w:eastAsia="宋体" w:cs="宋体"/>
                <w:color w:val="auto"/>
                <w:sz w:val="18"/>
                <w:szCs w:val="18"/>
                <w:vertAlign w:val="superscript"/>
                <w:lang w:val="en-US" w:eastAsia="zh-CN"/>
              </w:rPr>
              <w:t>2</w:t>
            </w:r>
          </w:p>
        </w:tc>
        <w:tc>
          <w:tcPr>
            <w:tcW w:w="19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≤3×10</w:t>
            </w:r>
            <w:r>
              <w:rPr>
                <w:rFonts w:hint="eastAsia" w:ascii="宋体" w:hAnsi="宋体" w:eastAsia="宋体" w:cs="宋体"/>
                <w:color w:val="auto"/>
                <w:sz w:val="18"/>
                <w:szCs w:val="18"/>
                <w:vertAlign w:val="superscript"/>
                <w:lang w:val="en-US" w:eastAsia="zh-CN"/>
              </w:rPr>
              <w:t>2</w:t>
            </w:r>
          </w:p>
        </w:tc>
        <w:tc>
          <w:tcPr>
            <w:tcW w:w="19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≤5×10</w:t>
            </w:r>
            <w:r>
              <w:rPr>
                <w:rFonts w:hint="eastAsia" w:ascii="宋体" w:hAnsi="宋体" w:eastAsia="宋体" w:cs="宋体"/>
                <w:color w:val="auto"/>
                <w:sz w:val="18"/>
                <w:szCs w:val="18"/>
                <w:vertAlign w:val="superscript"/>
                <w:lang w:val="en-US" w:eastAsia="zh-CN"/>
              </w:rPr>
              <w:t>2</w:t>
            </w:r>
          </w:p>
        </w:tc>
        <w:tc>
          <w:tcPr>
            <w:tcW w:w="17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≤5×10</w:t>
            </w:r>
            <w:r>
              <w:rPr>
                <w:rFonts w:hint="eastAsia" w:ascii="宋体" w:hAnsi="宋体" w:eastAsia="宋体" w:cs="宋体"/>
                <w:color w:val="auto"/>
                <w:sz w:val="18"/>
                <w:szCs w:val="18"/>
                <w:vertAlign w:val="superscript"/>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150.0</w:t>
            </w:r>
          </w:p>
        </w:tc>
        <w:tc>
          <w:tcPr>
            <w:tcW w:w="19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≤3×10</w:t>
            </w:r>
            <w:r>
              <w:rPr>
                <w:rFonts w:hint="eastAsia" w:ascii="宋体" w:hAnsi="宋体" w:eastAsia="宋体" w:cs="宋体"/>
                <w:color w:val="auto"/>
                <w:sz w:val="18"/>
                <w:szCs w:val="18"/>
                <w:vertAlign w:val="superscript"/>
                <w:lang w:val="en-US" w:eastAsia="zh-CN"/>
              </w:rPr>
              <w:t>2</w:t>
            </w:r>
          </w:p>
        </w:tc>
        <w:tc>
          <w:tcPr>
            <w:tcW w:w="19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≤5×10</w:t>
            </w:r>
            <w:r>
              <w:rPr>
                <w:rFonts w:hint="eastAsia" w:ascii="宋体" w:hAnsi="宋体" w:eastAsia="宋体" w:cs="宋体"/>
                <w:color w:val="auto"/>
                <w:sz w:val="18"/>
                <w:szCs w:val="18"/>
                <w:vertAlign w:val="superscript"/>
                <w:lang w:val="en-US" w:eastAsia="zh-CN"/>
              </w:rPr>
              <w:t>2</w:t>
            </w:r>
          </w:p>
        </w:tc>
        <w:tc>
          <w:tcPr>
            <w:tcW w:w="19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≤5×10</w:t>
            </w:r>
            <w:r>
              <w:rPr>
                <w:rFonts w:hint="eastAsia" w:ascii="宋体" w:hAnsi="宋体" w:eastAsia="宋体" w:cs="宋体"/>
                <w:color w:val="auto"/>
                <w:sz w:val="18"/>
                <w:szCs w:val="18"/>
                <w:vertAlign w:val="superscript"/>
                <w:lang w:val="en-US" w:eastAsia="zh-CN"/>
              </w:rPr>
              <w:t>3</w:t>
            </w:r>
          </w:p>
        </w:tc>
        <w:tc>
          <w:tcPr>
            <w:tcW w:w="17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≤2×10</w:t>
            </w:r>
            <w:r>
              <w:rPr>
                <w:rFonts w:hint="eastAsia" w:ascii="宋体" w:hAnsi="宋体" w:eastAsia="宋体" w:cs="宋体"/>
                <w:color w:val="auto"/>
                <w:sz w:val="18"/>
                <w:szCs w:val="18"/>
                <w:vertAlign w:val="superscript"/>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200.0</w:t>
            </w:r>
          </w:p>
        </w:tc>
        <w:tc>
          <w:tcPr>
            <w:tcW w:w="19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≤5×10</w:t>
            </w:r>
            <w:r>
              <w:rPr>
                <w:rFonts w:hint="eastAsia" w:ascii="宋体" w:hAnsi="宋体" w:eastAsia="宋体" w:cs="宋体"/>
                <w:color w:val="auto"/>
                <w:sz w:val="18"/>
                <w:szCs w:val="18"/>
                <w:vertAlign w:val="superscript"/>
                <w:lang w:val="en-US" w:eastAsia="zh-CN"/>
              </w:rPr>
              <w:t>2</w:t>
            </w:r>
          </w:p>
        </w:tc>
        <w:tc>
          <w:tcPr>
            <w:tcW w:w="19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≤3×10</w:t>
            </w:r>
            <w:r>
              <w:rPr>
                <w:rFonts w:hint="eastAsia" w:ascii="宋体" w:hAnsi="宋体" w:eastAsia="宋体" w:cs="宋体"/>
                <w:color w:val="auto"/>
                <w:sz w:val="18"/>
                <w:szCs w:val="18"/>
                <w:vertAlign w:val="superscript"/>
                <w:lang w:val="en-US" w:eastAsia="zh-CN"/>
              </w:rPr>
              <w:t>3</w:t>
            </w:r>
          </w:p>
        </w:tc>
        <w:tc>
          <w:tcPr>
            <w:tcW w:w="19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≤1×10</w:t>
            </w:r>
            <w:r>
              <w:rPr>
                <w:rFonts w:hint="eastAsia" w:ascii="宋体" w:hAnsi="宋体" w:eastAsia="宋体" w:cs="宋体"/>
                <w:color w:val="auto"/>
                <w:sz w:val="18"/>
                <w:szCs w:val="18"/>
                <w:vertAlign w:val="superscript"/>
                <w:lang w:val="en-US" w:eastAsia="zh-CN"/>
              </w:rPr>
              <w:t>4</w:t>
            </w:r>
          </w:p>
        </w:tc>
        <w:tc>
          <w:tcPr>
            <w:tcW w:w="17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≤5×10</w:t>
            </w:r>
            <w:r>
              <w:rPr>
                <w:rFonts w:hint="eastAsia" w:ascii="宋体" w:hAnsi="宋体" w:eastAsia="宋体" w:cs="宋体"/>
                <w:color w:val="auto"/>
                <w:sz w:val="18"/>
                <w:szCs w:val="18"/>
                <w:vertAlign w:val="superscript"/>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199" w:type="dxa"/>
            <w:gridSpan w:val="5"/>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360" w:firstLineChars="200"/>
              <w:jc w:val="left"/>
              <w:textAlignment w:val="auto"/>
              <w:rPr>
                <w:rFonts w:hint="eastAsia" w:ascii="宋体" w:hAnsi="宋体" w:eastAsia="宋体" w:cs="宋体"/>
                <w:color w:val="auto"/>
                <w:sz w:val="18"/>
                <w:szCs w:val="18"/>
                <w:vertAlign w:val="baseline"/>
                <w:lang w:val="en-US" w:eastAsia="zh-CN" w:bidi="ar-SA"/>
              </w:rPr>
            </w:pPr>
            <w:r>
              <w:rPr>
                <w:rFonts w:hint="eastAsia" w:ascii="黑体" w:hAnsi="黑体" w:eastAsia="黑体" w:cs="黑体"/>
                <w:color w:val="auto"/>
                <w:sz w:val="18"/>
                <w:szCs w:val="18"/>
                <w:vertAlign w:val="baseline"/>
                <w:lang w:val="en-US" w:eastAsia="zh-CN"/>
              </w:rPr>
              <w:t>注：</w:t>
            </w:r>
            <w:r>
              <w:rPr>
                <w:rFonts w:hint="eastAsia" w:cs="宋体"/>
                <w:color w:val="auto"/>
                <w:sz w:val="18"/>
                <w:szCs w:val="18"/>
                <w:vertAlign w:val="baseline"/>
                <w:lang w:val="en-US" w:eastAsia="zh-CN"/>
              </w:rPr>
              <w:t>如果位错密度有特殊的要求，双方商议后再合同中签订</w:t>
            </w:r>
            <w:r>
              <w:rPr>
                <w:rFonts w:hint="eastAsia" w:ascii="宋体" w:hAnsi="宋体" w:eastAsia="宋体" w:cs="宋体"/>
                <w:color w:val="auto"/>
                <w:sz w:val="18"/>
                <w:szCs w:val="18"/>
                <w:vertAlign w:val="baseline"/>
                <w:lang w:val="en-US" w:eastAsia="zh-CN"/>
              </w:rPr>
              <w:t>。</w:t>
            </w:r>
          </w:p>
        </w:tc>
      </w:tr>
    </w:tbl>
    <w:p>
      <w:pPr>
        <w:pStyle w:val="13"/>
        <w:keepNext w:val="0"/>
        <w:keepLines w:val="0"/>
        <w:pageBreakBefore w:val="0"/>
        <w:widowControl w:val="0"/>
        <w:numPr>
          <w:ilvl w:val="0"/>
          <w:numId w:val="0"/>
        </w:numPr>
        <w:tabs>
          <w:tab w:val="left" w:pos="453"/>
          <w:tab w:val="left" w:pos="454"/>
        </w:tabs>
        <w:kinsoku/>
        <w:wordWrap/>
        <w:overflowPunct/>
        <w:topLinePunct w:val="0"/>
        <w:autoSpaceDE w:val="0"/>
        <w:autoSpaceDN w:val="0"/>
        <w:bidi w:val="0"/>
        <w:adjustRightInd/>
        <w:snapToGrid/>
        <w:spacing w:before="0" w:beforeLines="100" w:after="0" w:afterLines="100" w:line="240" w:lineRule="auto"/>
        <w:ind w:right="0" w:rightChars="0"/>
        <w:jc w:val="left"/>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6  </w:t>
      </w:r>
      <w:r>
        <w:rPr>
          <w:rFonts w:hint="eastAsia" w:ascii="黑体" w:hAnsi="黑体" w:eastAsia="黑体" w:cs="黑体"/>
          <w:sz w:val="21"/>
          <w:szCs w:val="21"/>
        </w:rPr>
        <w:t>检验方法</w:t>
      </w:r>
    </w:p>
    <w:p>
      <w:pPr>
        <w:pStyle w:val="13"/>
        <w:keepNext w:val="0"/>
        <w:keepLines w:val="0"/>
        <w:pageBreakBefore w:val="0"/>
        <w:widowControl w:val="0"/>
        <w:numPr>
          <w:ilvl w:val="0"/>
          <w:numId w:val="0"/>
        </w:numPr>
        <w:tabs>
          <w:tab w:val="left" w:pos="627"/>
          <w:tab w:val="left" w:pos="628"/>
        </w:tabs>
        <w:kinsoku/>
        <w:wordWrap/>
        <w:overflowPunct/>
        <w:topLinePunct w:val="0"/>
        <w:autoSpaceDE w:val="0"/>
        <w:autoSpaceDN w:val="0"/>
        <w:bidi w:val="0"/>
        <w:adjustRightInd/>
        <w:snapToGrid/>
        <w:spacing w:before="0" w:beforeLines="50" w:after="0" w:afterLines="50" w:line="240" w:lineRule="auto"/>
        <w:ind w:right="0" w:rightChars="0"/>
        <w:jc w:val="left"/>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6.1  </w:t>
      </w:r>
      <w:r>
        <w:rPr>
          <w:rFonts w:hint="eastAsia" w:ascii="黑体" w:hAnsi="黑体" w:eastAsia="黑体" w:cs="黑体"/>
          <w:sz w:val="21"/>
          <w:szCs w:val="21"/>
        </w:rPr>
        <w:t>电学性能</w:t>
      </w:r>
    </w:p>
    <w:p>
      <w:pPr>
        <w:pStyle w:val="13"/>
        <w:keepNext w:val="0"/>
        <w:keepLines w:val="0"/>
        <w:pageBreakBefore w:val="0"/>
        <w:widowControl w:val="0"/>
        <w:numPr>
          <w:ilvl w:val="0"/>
          <w:numId w:val="0"/>
        </w:numPr>
        <w:tabs>
          <w:tab w:val="left" w:pos="795"/>
          <w:tab w:val="left" w:pos="796"/>
        </w:tabs>
        <w:kinsoku/>
        <w:wordWrap/>
        <w:overflowPunct/>
        <w:topLinePunct w:val="0"/>
        <w:autoSpaceDE w:val="0"/>
        <w:autoSpaceDN w:val="0"/>
        <w:bidi w:val="0"/>
        <w:adjustRightInd/>
        <w:snapToGrid/>
        <w:spacing w:before="0" w:beforeLines="50" w:after="0" w:afterLines="50" w:line="240" w:lineRule="auto"/>
        <w:ind w:right="0" w:rightChars="0"/>
        <w:jc w:val="left"/>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6.1.1  </w:t>
      </w:r>
      <w:r>
        <w:rPr>
          <w:rFonts w:hint="eastAsia" w:ascii="黑体" w:hAnsi="黑体" w:eastAsia="黑体" w:cs="黑体"/>
          <w:sz w:val="21"/>
          <w:szCs w:val="21"/>
        </w:rPr>
        <w:t>电阻率</w:t>
      </w:r>
    </w:p>
    <w:p>
      <w:pPr>
        <w:pStyle w:val="13"/>
        <w:keepNext w:val="0"/>
        <w:keepLines w:val="0"/>
        <w:pageBreakBefore w:val="0"/>
        <w:widowControl w:val="0"/>
        <w:numPr>
          <w:ilvl w:val="0"/>
          <w:numId w:val="0"/>
        </w:numPr>
        <w:tabs>
          <w:tab w:val="left" w:pos="795"/>
          <w:tab w:val="left" w:pos="796"/>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sz w:val="21"/>
          <w:szCs w:val="21"/>
        </w:rPr>
      </w:pPr>
      <w:r>
        <w:rPr>
          <w:rFonts w:hint="eastAsia" w:ascii="黑体" w:hAnsi="黑体" w:eastAsia="黑体" w:cs="黑体"/>
          <w:b w:val="0"/>
          <w:bCs w:val="0"/>
          <w:color w:val="auto"/>
          <w:sz w:val="21"/>
          <w:szCs w:val="21"/>
          <w:lang w:val="en-US" w:eastAsia="zh-CN"/>
        </w:rPr>
        <w:t>6.1.1.1</w:t>
      </w:r>
      <w:r>
        <w:rPr>
          <w:rFonts w:hint="eastAsia" w:ascii="黑体" w:hAnsi="黑体" w:eastAsia="黑体" w:cs="黑体"/>
          <w:b/>
          <w:bCs/>
          <w:sz w:val="21"/>
          <w:szCs w:val="21"/>
          <w:lang w:val="en-US" w:eastAsia="zh-CN"/>
        </w:rPr>
        <w:t xml:space="preserve">  </w:t>
      </w:r>
      <w:r>
        <w:rPr>
          <w:rFonts w:hint="eastAsia" w:ascii="宋体" w:hAnsi="宋体" w:eastAsia="宋体" w:cs="宋体"/>
          <w:sz w:val="21"/>
          <w:szCs w:val="21"/>
          <w:lang w:val="en-US" w:eastAsia="zh-CN"/>
        </w:rPr>
        <w:t>砷化镓</w:t>
      </w:r>
      <w:r>
        <w:rPr>
          <w:rFonts w:hint="eastAsia" w:ascii="宋体" w:hAnsi="宋体" w:eastAsia="宋体" w:cs="宋体"/>
          <w:sz w:val="21"/>
          <w:szCs w:val="21"/>
        </w:rPr>
        <w:t>衬底的电阻率检测按GB/T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4326</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规定的测量方法进行。</w:t>
      </w:r>
    </w:p>
    <w:p>
      <w:pPr>
        <w:pStyle w:val="13"/>
        <w:keepNext w:val="0"/>
        <w:keepLines w:val="0"/>
        <w:pageBreakBefore w:val="0"/>
        <w:widowControl w:val="0"/>
        <w:numPr>
          <w:ilvl w:val="0"/>
          <w:numId w:val="0"/>
        </w:numPr>
        <w:tabs>
          <w:tab w:val="left" w:pos="1047"/>
          <w:tab w:val="left" w:pos="1048"/>
          <w:tab w:val="left" w:pos="4449"/>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 xml:space="preserve">6.1.1.2 </w:t>
      </w:r>
      <w:r>
        <w:rPr>
          <w:rFonts w:hint="eastAsia" w:cs="宋体"/>
          <w:sz w:val="21"/>
          <w:szCs w:val="21"/>
          <w:lang w:val="en-US" w:eastAsia="zh-CN"/>
        </w:rPr>
        <w:t xml:space="preserve"> </w:t>
      </w:r>
      <w:r>
        <w:rPr>
          <w:rFonts w:hint="eastAsia" w:ascii="宋体" w:hAnsi="宋体" w:eastAsia="宋体" w:cs="宋体"/>
          <w:sz w:val="21"/>
          <w:szCs w:val="21"/>
          <w:lang w:val="en-US" w:eastAsia="zh-CN"/>
        </w:rPr>
        <w:t>砷化镓</w:t>
      </w:r>
      <w:r>
        <w:rPr>
          <w:rFonts w:hint="eastAsia" w:ascii="宋体" w:hAnsi="宋体" w:eastAsia="宋体" w:cs="宋体"/>
          <w:sz w:val="21"/>
          <w:szCs w:val="21"/>
        </w:rPr>
        <w:t>衬底的电阻率检测也可按附录</w:t>
      </w:r>
      <w:r>
        <w:rPr>
          <w:rFonts w:hint="eastAsia" w:cs="宋体"/>
          <w:sz w:val="21"/>
          <w:szCs w:val="21"/>
          <w:lang w:val="en-US" w:eastAsia="zh-CN"/>
        </w:rPr>
        <w:t xml:space="preserve"> </w:t>
      </w:r>
      <w:r>
        <w:rPr>
          <w:rFonts w:hint="eastAsia" w:ascii="宋体" w:hAnsi="宋体" w:eastAsia="宋体" w:cs="宋体"/>
          <w:sz w:val="21"/>
          <w:szCs w:val="21"/>
        </w:rPr>
        <w:t>A</w:t>
      </w:r>
      <w:r>
        <w:rPr>
          <w:rFonts w:hint="eastAsia" w:cs="宋体"/>
          <w:sz w:val="21"/>
          <w:szCs w:val="21"/>
          <w:lang w:val="en-US" w:eastAsia="zh-CN"/>
        </w:rPr>
        <w:t xml:space="preserve"> </w:t>
      </w:r>
      <w:r>
        <w:rPr>
          <w:rFonts w:hint="eastAsia" w:ascii="宋体" w:hAnsi="宋体" w:eastAsia="宋体" w:cs="宋体"/>
          <w:sz w:val="21"/>
          <w:szCs w:val="21"/>
        </w:rPr>
        <w:t>规定的测量方法进行。</w:t>
      </w:r>
    </w:p>
    <w:p>
      <w:pPr>
        <w:pStyle w:val="13"/>
        <w:keepNext w:val="0"/>
        <w:keepLines w:val="0"/>
        <w:pageBreakBefore w:val="0"/>
        <w:widowControl w:val="0"/>
        <w:numPr>
          <w:ilvl w:val="0"/>
          <w:numId w:val="0"/>
        </w:numPr>
        <w:tabs>
          <w:tab w:val="left" w:pos="879"/>
          <w:tab w:val="left" w:pos="880"/>
        </w:tabs>
        <w:kinsoku/>
        <w:wordWrap/>
        <w:overflowPunct/>
        <w:topLinePunct w:val="0"/>
        <w:autoSpaceDE w:val="0"/>
        <w:autoSpaceDN w:val="0"/>
        <w:bidi w:val="0"/>
        <w:adjustRightInd/>
        <w:snapToGrid/>
        <w:spacing w:before="0" w:beforeLines="50" w:after="0" w:afterLines="50" w:line="240" w:lineRule="auto"/>
        <w:ind w:right="0" w:rightChars="0"/>
        <w:jc w:val="left"/>
        <w:textAlignment w:val="auto"/>
        <w:rPr>
          <w:rFonts w:hint="eastAsia" w:ascii="黑体" w:hAnsi="黑体" w:eastAsia="黑体" w:cs="黑体"/>
          <w:sz w:val="21"/>
          <w:szCs w:val="21"/>
        </w:rPr>
      </w:pPr>
      <w:r>
        <w:rPr>
          <w:rFonts w:hint="eastAsia" w:ascii="黑体" w:hAnsi="黑体" w:eastAsia="黑体" w:cs="黑体"/>
          <w:w w:val="105"/>
          <w:sz w:val="21"/>
          <w:szCs w:val="21"/>
          <w:lang w:val="en-US" w:eastAsia="zh-CN"/>
        </w:rPr>
        <w:t xml:space="preserve">6.1.2 </w:t>
      </w:r>
      <w:r>
        <w:rPr>
          <w:rFonts w:hint="eastAsia" w:ascii="黑体" w:hAnsi="黑体" w:eastAsia="黑体" w:cs="黑体"/>
          <w:w w:val="105"/>
          <w:sz w:val="21"/>
          <w:szCs w:val="21"/>
        </w:rPr>
        <w:t>迁移率</w:t>
      </w:r>
    </w:p>
    <w:p>
      <w:pPr>
        <w:pStyle w:val="13"/>
        <w:keepNext w:val="0"/>
        <w:keepLines w:val="0"/>
        <w:pageBreakBefore w:val="0"/>
        <w:widowControl w:val="0"/>
        <w:numPr>
          <w:ilvl w:val="0"/>
          <w:numId w:val="0"/>
        </w:numPr>
        <w:tabs>
          <w:tab w:val="left" w:pos="795"/>
          <w:tab w:val="left" w:pos="796"/>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6.1.2.1</w:t>
      </w:r>
      <w:r>
        <w:rPr>
          <w:rFonts w:hint="eastAsia" w:ascii="宋体" w:hAnsi="宋体" w:eastAsia="宋体" w:cs="宋体"/>
          <w:sz w:val="21"/>
          <w:szCs w:val="21"/>
          <w:lang w:val="en-US" w:eastAsia="zh-CN"/>
        </w:rPr>
        <w:t xml:space="preserve"> </w:t>
      </w:r>
      <w:r>
        <w:rPr>
          <w:rFonts w:hint="eastAsia" w:cs="宋体"/>
          <w:sz w:val="21"/>
          <w:szCs w:val="21"/>
          <w:lang w:val="en-US" w:eastAsia="zh-CN"/>
        </w:rPr>
        <w:t xml:space="preserve"> </w:t>
      </w:r>
      <w:r>
        <w:rPr>
          <w:rFonts w:hint="eastAsia" w:ascii="宋体" w:hAnsi="宋体" w:eastAsia="宋体" w:cs="宋体"/>
          <w:sz w:val="21"/>
          <w:szCs w:val="21"/>
          <w:lang w:val="en-US" w:eastAsia="zh-CN"/>
        </w:rPr>
        <w:t>砷化镓</w:t>
      </w:r>
      <w:r>
        <w:rPr>
          <w:rFonts w:hint="eastAsia" w:ascii="宋体" w:hAnsi="宋体" w:eastAsia="宋体" w:cs="宋体"/>
          <w:sz w:val="21"/>
          <w:szCs w:val="21"/>
        </w:rPr>
        <w:t>衬底的</w:t>
      </w:r>
      <w:r>
        <w:rPr>
          <w:rFonts w:hint="eastAsia" w:ascii="宋体" w:hAnsi="宋体" w:eastAsia="宋体" w:cs="宋体"/>
          <w:sz w:val="21"/>
          <w:szCs w:val="21"/>
          <w:lang w:val="en-US" w:eastAsia="zh-CN"/>
        </w:rPr>
        <w:t>迁移率</w:t>
      </w:r>
      <w:r>
        <w:rPr>
          <w:rFonts w:hint="eastAsia" w:ascii="宋体" w:hAnsi="宋体" w:eastAsia="宋体" w:cs="宋体"/>
          <w:sz w:val="21"/>
          <w:szCs w:val="21"/>
        </w:rPr>
        <w:t>检测按GB/T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4326</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规定的测量方法进行。</w:t>
      </w:r>
    </w:p>
    <w:p>
      <w:pPr>
        <w:pStyle w:val="13"/>
        <w:keepNext w:val="0"/>
        <w:keepLines w:val="0"/>
        <w:pageBreakBefore w:val="0"/>
        <w:widowControl w:val="0"/>
        <w:numPr>
          <w:ilvl w:val="0"/>
          <w:numId w:val="0"/>
        </w:numPr>
        <w:tabs>
          <w:tab w:val="left" w:pos="1047"/>
          <w:tab w:val="left" w:pos="1048"/>
          <w:tab w:val="left" w:pos="4449"/>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 xml:space="preserve">6.1.2.2 </w:t>
      </w:r>
      <w:r>
        <w:rPr>
          <w:rFonts w:hint="eastAsia" w:cs="宋体"/>
          <w:sz w:val="21"/>
          <w:szCs w:val="21"/>
          <w:lang w:val="en-US" w:eastAsia="zh-CN"/>
        </w:rPr>
        <w:t xml:space="preserve"> </w:t>
      </w:r>
      <w:r>
        <w:rPr>
          <w:rFonts w:hint="eastAsia" w:ascii="宋体" w:hAnsi="宋体" w:eastAsia="宋体" w:cs="宋体"/>
          <w:sz w:val="21"/>
          <w:szCs w:val="21"/>
          <w:lang w:val="en-US" w:eastAsia="zh-CN"/>
        </w:rPr>
        <w:t>砷化镓</w:t>
      </w:r>
      <w:r>
        <w:rPr>
          <w:rFonts w:hint="eastAsia" w:ascii="宋体" w:hAnsi="宋体" w:eastAsia="宋体" w:cs="宋体"/>
          <w:sz w:val="21"/>
          <w:szCs w:val="21"/>
        </w:rPr>
        <w:t>衬底的</w:t>
      </w:r>
      <w:r>
        <w:rPr>
          <w:rFonts w:hint="eastAsia" w:ascii="宋体" w:hAnsi="宋体" w:eastAsia="宋体" w:cs="宋体"/>
          <w:sz w:val="21"/>
          <w:szCs w:val="21"/>
          <w:lang w:val="en-US" w:eastAsia="zh-CN"/>
        </w:rPr>
        <w:t>迁移率</w:t>
      </w:r>
      <w:r>
        <w:rPr>
          <w:rFonts w:hint="eastAsia" w:ascii="宋体" w:hAnsi="宋体" w:eastAsia="宋体" w:cs="宋体"/>
          <w:sz w:val="21"/>
          <w:szCs w:val="21"/>
        </w:rPr>
        <w:t>检测也可按附录</w:t>
      </w:r>
      <w:r>
        <w:rPr>
          <w:rFonts w:hint="eastAsia" w:cs="宋体"/>
          <w:sz w:val="21"/>
          <w:szCs w:val="21"/>
          <w:lang w:val="en-US" w:eastAsia="zh-CN"/>
        </w:rPr>
        <w:t xml:space="preserve"> </w:t>
      </w:r>
      <w:r>
        <w:rPr>
          <w:rFonts w:hint="eastAsia" w:ascii="宋体" w:hAnsi="宋体" w:eastAsia="宋体" w:cs="宋体"/>
          <w:sz w:val="21"/>
          <w:szCs w:val="21"/>
          <w:lang w:val="en-US" w:eastAsia="zh-CN"/>
        </w:rPr>
        <w:t>B</w:t>
      </w:r>
      <w:r>
        <w:rPr>
          <w:rFonts w:hint="eastAsia" w:cs="宋体"/>
          <w:sz w:val="21"/>
          <w:szCs w:val="21"/>
          <w:lang w:val="en-US" w:eastAsia="zh-CN"/>
        </w:rPr>
        <w:t xml:space="preserve"> </w:t>
      </w:r>
      <w:r>
        <w:rPr>
          <w:rFonts w:hint="eastAsia" w:ascii="宋体" w:hAnsi="宋体" w:eastAsia="宋体" w:cs="宋体"/>
          <w:sz w:val="21"/>
          <w:szCs w:val="21"/>
        </w:rPr>
        <w:t>规定的测量方法进行。</w:t>
      </w:r>
    </w:p>
    <w:p>
      <w:pPr>
        <w:pStyle w:val="13"/>
        <w:keepNext w:val="0"/>
        <w:keepLines w:val="0"/>
        <w:pageBreakBefore w:val="0"/>
        <w:widowControl w:val="0"/>
        <w:numPr>
          <w:ilvl w:val="0"/>
          <w:numId w:val="0"/>
        </w:numPr>
        <w:tabs>
          <w:tab w:val="left" w:pos="879"/>
          <w:tab w:val="left" w:pos="880"/>
        </w:tabs>
        <w:kinsoku/>
        <w:wordWrap/>
        <w:overflowPunct/>
        <w:topLinePunct w:val="0"/>
        <w:autoSpaceDE w:val="0"/>
        <w:autoSpaceDN w:val="0"/>
        <w:bidi w:val="0"/>
        <w:adjustRightInd/>
        <w:snapToGrid/>
        <w:spacing w:before="194" w:after="0" w:line="360" w:lineRule="auto"/>
        <w:ind w:right="0" w:rightChars="0"/>
        <w:jc w:val="left"/>
        <w:textAlignment w:val="auto"/>
        <w:rPr>
          <w:rFonts w:hint="eastAsia" w:ascii="黑体" w:hAnsi="黑体" w:eastAsia="黑体" w:cs="黑体"/>
          <w:sz w:val="21"/>
          <w:szCs w:val="21"/>
          <w:lang w:eastAsia="zh-CN"/>
        </w:rPr>
      </w:pPr>
      <w:r>
        <w:rPr>
          <w:rFonts w:hint="eastAsia" w:ascii="黑体" w:hAnsi="黑体" w:eastAsia="黑体" w:cs="黑体"/>
          <w:w w:val="105"/>
          <w:sz w:val="21"/>
          <w:szCs w:val="21"/>
          <w:lang w:val="en-US" w:eastAsia="zh-CN"/>
        </w:rPr>
        <w:t>6.1.3 载流子浓度</w:t>
      </w:r>
    </w:p>
    <w:p>
      <w:pPr>
        <w:pStyle w:val="13"/>
        <w:keepNext w:val="0"/>
        <w:keepLines w:val="0"/>
        <w:pageBreakBefore w:val="0"/>
        <w:widowControl w:val="0"/>
        <w:numPr>
          <w:ilvl w:val="0"/>
          <w:numId w:val="0"/>
        </w:numPr>
        <w:tabs>
          <w:tab w:val="left" w:pos="795"/>
          <w:tab w:val="left" w:pos="796"/>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6.1.3.1</w:t>
      </w:r>
      <w:r>
        <w:rPr>
          <w:rFonts w:hint="eastAsia" w:ascii="宋体" w:hAnsi="宋体" w:eastAsia="宋体" w:cs="宋体"/>
          <w:sz w:val="21"/>
          <w:szCs w:val="21"/>
          <w:lang w:val="en-US" w:eastAsia="zh-CN"/>
        </w:rPr>
        <w:t xml:space="preserve"> </w:t>
      </w:r>
      <w:r>
        <w:rPr>
          <w:rFonts w:hint="eastAsia" w:cs="宋体"/>
          <w:sz w:val="21"/>
          <w:szCs w:val="21"/>
          <w:lang w:val="en-US" w:eastAsia="zh-CN"/>
        </w:rPr>
        <w:t xml:space="preserve"> </w:t>
      </w:r>
      <w:r>
        <w:rPr>
          <w:rFonts w:hint="eastAsia" w:ascii="宋体" w:hAnsi="宋体" w:eastAsia="宋体" w:cs="宋体"/>
          <w:sz w:val="21"/>
          <w:szCs w:val="21"/>
          <w:lang w:val="en-US" w:eastAsia="zh-CN"/>
        </w:rPr>
        <w:t>砷化镓</w:t>
      </w:r>
      <w:r>
        <w:rPr>
          <w:rFonts w:hint="eastAsia" w:ascii="宋体" w:hAnsi="宋体" w:eastAsia="宋体" w:cs="宋体"/>
          <w:sz w:val="21"/>
          <w:szCs w:val="21"/>
        </w:rPr>
        <w:t>衬底的</w:t>
      </w:r>
      <w:r>
        <w:rPr>
          <w:rFonts w:hint="eastAsia" w:ascii="宋体" w:hAnsi="宋体" w:eastAsia="宋体" w:cs="宋体"/>
          <w:sz w:val="21"/>
          <w:szCs w:val="21"/>
          <w:lang w:val="en-US" w:eastAsia="zh-CN"/>
        </w:rPr>
        <w:t>载流子浓度</w:t>
      </w:r>
      <w:r>
        <w:rPr>
          <w:rFonts w:hint="eastAsia" w:ascii="宋体" w:hAnsi="宋体" w:eastAsia="宋体" w:cs="宋体"/>
          <w:sz w:val="21"/>
          <w:szCs w:val="21"/>
        </w:rPr>
        <w:t>检测按GB/T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4326</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规定的测量方法进行。</w:t>
      </w:r>
    </w:p>
    <w:p>
      <w:pPr>
        <w:pStyle w:val="13"/>
        <w:keepNext w:val="0"/>
        <w:keepLines w:val="0"/>
        <w:pageBreakBefore w:val="0"/>
        <w:widowControl w:val="0"/>
        <w:numPr>
          <w:ilvl w:val="0"/>
          <w:numId w:val="0"/>
        </w:numPr>
        <w:tabs>
          <w:tab w:val="left" w:pos="1047"/>
          <w:tab w:val="left" w:pos="1048"/>
          <w:tab w:val="left" w:pos="4449"/>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 xml:space="preserve">6.1.3.2 </w:t>
      </w:r>
      <w:r>
        <w:rPr>
          <w:rFonts w:hint="eastAsia" w:cs="宋体"/>
          <w:sz w:val="21"/>
          <w:szCs w:val="21"/>
          <w:lang w:val="en-US" w:eastAsia="zh-CN"/>
        </w:rPr>
        <w:t xml:space="preserve"> </w:t>
      </w:r>
      <w:r>
        <w:rPr>
          <w:rFonts w:hint="eastAsia" w:ascii="宋体" w:hAnsi="宋体" w:eastAsia="宋体" w:cs="宋体"/>
          <w:sz w:val="21"/>
          <w:szCs w:val="21"/>
          <w:lang w:val="en-US" w:eastAsia="zh-CN"/>
        </w:rPr>
        <w:t>砷化镓</w:t>
      </w:r>
      <w:r>
        <w:rPr>
          <w:rFonts w:hint="eastAsia" w:ascii="宋体" w:hAnsi="宋体" w:eastAsia="宋体" w:cs="宋体"/>
          <w:sz w:val="21"/>
          <w:szCs w:val="21"/>
        </w:rPr>
        <w:t>衬底的</w:t>
      </w:r>
      <w:r>
        <w:rPr>
          <w:rFonts w:hint="eastAsia" w:ascii="宋体" w:hAnsi="宋体" w:eastAsia="宋体" w:cs="宋体"/>
          <w:sz w:val="21"/>
          <w:szCs w:val="21"/>
          <w:lang w:val="en-US" w:eastAsia="zh-CN"/>
        </w:rPr>
        <w:t>载流子浓度</w:t>
      </w:r>
      <w:r>
        <w:rPr>
          <w:rFonts w:hint="eastAsia" w:ascii="宋体" w:hAnsi="宋体" w:eastAsia="宋体" w:cs="宋体"/>
          <w:sz w:val="21"/>
          <w:szCs w:val="21"/>
        </w:rPr>
        <w:t>检测也可按附录</w:t>
      </w:r>
      <w:r>
        <w:rPr>
          <w:rFonts w:hint="eastAsia" w:cs="宋体"/>
          <w:sz w:val="21"/>
          <w:szCs w:val="21"/>
          <w:lang w:val="en-US" w:eastAsia="zh-CN"/>
        </w:rPr>
        <w:t xml:space="preserve"> </w:t>
      </w:r>
      <w:r>
        <w:rPr>
          <w:rFonts w:hint="eastAsia" w:ascii="宋体" w:hAnsi="宋体" w:eastAsia="宋体" w:cs="宋体"/>
          <w:sz w:val="21"/>
          <w:szCs w:val="21"/>
          <w:lang w:val="en-US" w:eastAsia="zh-CN"/>
        </w:rPr>
        <w:t>B</w:t>
      </w:r>
      <w:r>
        <w:rPr>
          <w:rFonts w:hint="eastAsia" w:cs="宋体"/>
          <w:sz w:val="21"/>
          <w:szCs w:val="21"/>
          <w:lang w:val="en-US" w:eastAsia="zh-CN"/>
        </w:rPr>
        <w:t xml:space="preserve"> </w:t>
      </w:r>
      <w:r>
        <w:rPr>
          <w:rFonts w:hint="eastAsia" w:ascii="宋体" w:hAnsi="宋体" w:eastAsia="宋体" w:cs="宋体"/>
          <w:sz w:val="21"/>
          <w:szCs w:val="21"/>
        </w:rPr>
        <w:t>规定的测量方法进行。</w:t>
      </w:r>
    </w:p>
    <w:p>
      <w:pPr>
        <w:pStyle w:val="13"/>
        <w:keepNext w:val="0"/>
        <w:keepLines w:val="0"/>
        <w:pageBreakBefore w:val="0"/>
        <w:widowControl w:val="0"/>
        <w:numPr>
          <w:ilvl w:val="0"/>
          <w:numId w:val="0"/>
        </w:numPr>
        <w:tabs>
          <w:tab w:val="left" w:pos="687"/>
          <w:tab w:val="left" w:pos="688"/>
        </w:tabs>
        <w:kinsoku/>
        <w:wordWrap/>
        <w:overflowPunct/>
        <w:topLinePunct w:val="0"/>
        <w:autoSpaceDE w:val="0"/>
        <w:autoSpaceDN w:val="0"/>
        <w:bidi w:val="0"/>
        <w:adjustRightInd/>
        <w:snapToGrid/>
        <w:spacing w:before="0" w:beforeLines="50" w:after="0" w:afterLines="50" w:line="240" w:lineRule="auto"/>
        <w:ind w:right="0" w:rightChars="0"/>
        <w:jc w:val="left"/>
        <w:textAlignment w:val="auto"/>
        <w:rPr>
          <w:rFonts w:hint="eastAsia" w:ascii="黑体" w:hAnsi="黑体" w:eastAsia="黑体" w:cs="黑体"/>
          <w:sz w:val="21"/>
          <w:szCs w:val="21"/>
        </w:rPr>
      </w:pPr>
      <w:r>
        <w:rPr>
          <w:rFonts w:hint="eastAsia" w:ascii="黑体" w:hAnsi="黑体" w:eastAsia="黑体" w:cs="黑体"/>
          <w:w w:val="105"/>
          <w:sz w:val="21"/>
          <w:szCs w:val="21"/>
          <w:lang w:val="en-US" w:eastAsia="zh-CN"/>
        </w:rPr>
        <w:t xml:space="preserve">6.2  </w:t>
      </w:r>
      <w:r>
        <w:rPr>
          <w:rFonts w:hint="eastAsia" w:ascii="黑体" w:hAnsi="黑体" w:eastAsia="黑体" w:cs="黑体"/>
          <w:w w:val="105"/>
          <w:sz w:val="21"/>
          <w:szCs w:val="21"/>
        </w:rPr>
        <w:t>表面晶向及晶向偏离</w:t>
      </w:r>
    </w:p>
    <w:p>
      <w:pPr>
        <w:pStyle w:val="6"/>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砷化镓衬底的表面晶向及晶向偏离检测按照GB/T 1555 规定的检测方法进行。</w:t>
      </w:r>
    </w:p>
    <w:p>
      <w:pPr>
        <w:pStyle w:val="13"/>
        <w:keepNext w:val="0"/>
        <w:keepLines w:val="0"/>
        <w:pageBreakBefore w:val="0"/>
        <w:widowControl w:val="0"/>
        <w:numPr>
          <w:ilvl w:val="0"/>
          <w:numId w:val="0"/>
        </w:numPr>
        <w:tabs>
          <w:tab w:val="left" w:pos="669"/>
          <w:tab w:val="left" w:pos="670"/>
        </w:tabs>
        <w:kinsoku/>
        <w:wordWrap/>
        <w:overflowPunct/>
        <w:topLinePunct w:val="0"/>
        <w:autoSpaceDE w:val="0"/>
        <w:autoSpaceDN w:val="0"/>
        <w:bidi w:val="0"/>
        <w:adjustRightInd/>
        <w:snapToGrid/>
        <w:spacing w:before="0" w:beforeLines="50" w:after="0" w:afterLines="50" w:line="240" w:lineRule="auto"/>
        <w:ind w:right="0" w:rightChars="0"/>
        <w:jc w:val="left"/>
        <w:textAlignment w:val="auto"/>
        <w:rPr>
          <w:rFonts w:hint="eastAsia" w:ascii="黑体" w:hAnsi="黑体" w:eastAsia="黑体" w:cs="黑体"/>
          <w:w w:val="105"/>
          <w:sz w:val="21"/>
          <w:szCs w:val="21"/>
        </w:rPr>
      </w:pPr>
      <w:r>
        <w:rPr>
          <w:rFonts w:hint="eastAsia" w:ascii="黑体" w:hAnsi="黑体" w:eastAsia="黑体" w:cs="黑体"/>
          <w:w w:val="105"/>
          <w:sz w:val="21"/>
          <w:szCs w:val="21"/>
          <w:lang w:val="en-US" w:eastAsia="zh-CN"/>
        </w:rPr>
        <w:t xml:space="preserve">6.3  </w:t>
      </w:r>
      <w:r>
        <w:rPr>
          <w:rFonts w:hint="eastAsia" w:ascii="黑体" w:hAnsi="黑体" w:eastAsia="黑体" w:cs="黑体"/>
          <w:w w:val="105"/>
          <w:sz w:val="21"/>
          <w:szCs w:val="21"/>
        </w:rPr>
        <w:t>位错密度</w:t>
      </w:r>
    </w:p>
    <w:p>
      <w:pPr>
        <w:pStyle w:val="13"/>
        <w:keepNext w:val="0"/>
        <w:keepLines w:val="0"/>
        <w:pageBreakBefore w:val="0"/>
        <w:widowControl w:val="0"/>
        <w:numPr>
          <w:ilvl w:val="0"/>
          <w:numId w:val="0"/>
        </w:numPr>
        <w:tabs>
          <w:tab w:val="left" w:pos="669"/>
          <w:tab w:val="left" w:pos="670"/>
        </w:tabs>
        <w:kinsoku/>
        <w:wordWrap/>
        <w:overflowPunct/>
        <w:topLinePunct w:val="0"/>
        <w:autoSpaceDE w:val="0"/>
        <w:autoSpaceDN w:val="0"/>
        <w:bidi w:val="0"/>
        <w:adjustRightInd/>
        <w:snapToGrid/>
        <w:spacing w:before="0" w:after="0" w:line="240" w:lineRule="auto"/>
        <w:ind w:right="0" w:rightChars="0" w:firstLine="442"/>
        <w:jc w:val="left"/>
        <w:textAlignment w:val="auto"/>
        <w:rPr>
          <w:rFonts w:hint="eastAsia" w:ascii="宋体" w:hAnsi="宋体" w:eastAsia="宋体" w:cs="宋体"/>
          <w:w w:val="105"/>
          <w:sz w:val="21"/>
          <w:szCs w:val="21"/>
          <w:lang w:val="en-US" w:eastAsia="zh-CN"/>
        </w:rPr>
      </w:pPr>
      <w:r>
        <w:rPr>
          <w:rFonts w:hint="eastAsia" w:ascii="宋体" w:hAnsi="宋体" w:eastAsia="宋体" w:cs="宋体"/>
          <w:w w:val="105"/>
          <w:sz w:val="21"/>
          <w:szCs w:val="21"/>
          <w:lang w:val="en-US" w:eastAsia="zh-CN"/>
        </w:rPr>
        <w:t>砷化镓衬底的位错密度按 GB/T 8760 规定的测量方法进行。</w:t>
      </w:r>
    </w:p>
    <w:p>
      <w:pPr>
        <w:pStyle w:val="13"/>
        <w:keepNext w:val="0"/>
        <w:keepLines w:val="0"/>
        <w:pageBreakBefore w:val="0"/>
        <w:widowControl w:val="0"/>
        <w:numPr>
          <w:ilvl w:val="0"/>
          <w:numId w:val="0"/>
        </w:numPr>
        <w:tabs>
          <w:tab w:val="left" w:pos="669"/>
          <w:tab w:val="left" w:pos="670"/>
        </w:tabs>
        <w:kinsoku/>
        <w:wordWrap/>
        <w:overflowPunct/>
        <w:topLinePunct w:val="0"/>
        <w:autoSpaceDE w:val="0"/>
        <w:autoSpaceDN w:val="0"/>
        <w:bidi w:val="0"/>
        <w:adjustRightInd/>
        <w:snapToGrid/>
        <w:spacing w:before="0" w:beforeLines="50" w:after="0" w:afterLines="50" w:line="240" w:lineRule="auto"/>
        <w:ind w:right="0" w:rightChars="0"/>
        <w:jc w:val="left"/>
        <w:textAlignment w:val="auto"/>
        <w:rPr>
          <w:rFonts w:hint="eastAsia" w:ascii="黑体" w:hAnsi="黑体" w:eastAsia="黑体" w:cs="黑体"/>
          <w:w w:val="105"/>
          <w:sz w:val="21"/>
          <w:szCs w:val="21"/>
          <w:lang w:val="en-US" w:eastAsia="zh-CN"/>
        </w:rPr>
      </w:pPr>
      <w:r>
        <w:rPr>
          <w:rFonts w:hint="eastAsia" w:ascii="黑体" w:hAnsi="黑体" w:eastAsia="黑体" w:cs="黑体"/>
          <w:w w:val="105"/>
          <w:sz w:val="21"/>
          <w:szCs w:val="21"/>
          <w:lang w:val="en-US" w:eastAsia="zh-CN"/>
        </w:rPr>
        <w:t>6.4  表面质量</w:t>
      </w:r>
    </w:p>
    <w:p>
      <w:pPr>
        <w:pStyle w:val="13"/>
        <w:keepNext w:val="0"/>
        <w:keepLines w:val="0"/>
        <w:pageBreakBefore w:val="0"/>
        <w:widowControl w:val="0"/>
        <w:numPr>
          <w:ilvl w:val="0"/>
          <w:numId w:val="0"/>
        </w:numPr>
        <w:tabs>
          <w:tab w:val="left" w:pos="669"/>
          <w:tab w:val="left" w:pos="670"/>
        </w:tabs>
        <w:kinsoku/>
        <w:wordWrap/>
        <w:overflowPunct/>
        <w:topLinePunct w:val="0"/>
        <w:autoSpaceDE w:val="0"/>
        <w:autoSpaceDN w:val="0"/>
        <w:bidi w:val="0"/>
        <w:adjustRightInd/>
        <w:snapToGrid/>
        <w:spacing w:before="0" w:after="0" w:line="240" w:lineRule="auto"/>
        <w:ind w:right="0" w:rightChars="0" w:firstLine="440" w:firstLineChars="200"/>
        <w:jc w:val="left"/>
        <w:textAlignment w:val="auto"/>
        <w:rPr>
          <w:rFonts w:hint="eastAsia" w:ascii="宋体" w:hAnsi="宋体" w:eastAsia="宋体" w:cs="宋体"/>
          <w:w w:val="105"/>
          <w:sz w:val="21"/>
          <w:szCs w:val="21"/>
          <w:lang w:val="en-US" w:eastAsia="zh-CN"/>
        </w:rPr>
      </w:pPr>
      <w:r>
        <w:rPr>
          <w:rFonts w:hint="eastAsia" w:ascii="宋体" w:hAnsi="宋体" w:eastAsia="宋体" w:cs="宋体"/>
          <w:w w:val="105"/>
          <w:sz w:val="21"/>
          <w:szCs w:val="21"/>
          <w:lang w:val="en-US" w:eastAsia="zh-CN"/>
        </w:rPr>
        <w:t>砷化镓衬底的表面质量按 GB/T 6624 规定的测量方法进行。</w:t>
      </w:r>
    </w:p>
    <w:p>
      <w:pPr>
        <w:pStyle w:val="13"/>
        <w:keepNext w:val="0"/>
        <w:keepLines w:val="0"/>
        <w:pageBreakBefore w:val="0"/>
        <w:widowControl w:val="0"/>
        <w:numPr>
          <w:ilvl w:val="0"/>
          <w:numId w:val="0"/>
        </w:numPr>
        <w:tabs>
          <w:tab w:val="left" w:pos="879"/>
          <w:tab w:val="left" w:pos="880"/>
        </w:tabs>
        <w:kinsoku/>
        <w:wordWrap/>
        <w:overflowPunct/>
        <w:topLinePunct w:val="0"/>
        <w:autoSpaceDE w:val="0"/>
        <w:autoSpaceDN w:val="0"/>
        <w:bidi w:val="0"/>
        <w:adjustRightInd/>
        <w:snapToGrid/>
        <w:spacing w:before="0" w:beforeLines="50" w:after="0" w:afterLines="50" w:line="240" w:lineRule="auto"/>
        <w:ind w:right="0" w:rightChars="0"/>
        <w:jc w:val="left"/>
        <w:textAlignment w:val="auto"/>
        <w:rPr>
          <w:rFonts w:hint="eastAsia" w:ascii="黑体" w:hAnsi="黑体" w:eastAsia="黑体" w:cs="黑体"/>
          <w:sz w:val="21"/>
          <w:szCs w:val="21"/>
          <w:lang w:val="en-US" w:eastAsia="zh-CN"/>
        </w:rPr>
      </w:pPr>
      <w:r>
        <w:rPr>
          <w:rFonts w:hint="eastAsia" w:ascii="黑体" w:hAnsi="黑体" w:eastAsia="黑体" w:cs="黑体"/>
          <w:w w:val="105"/>
          <w:sz w:val="21"/>
          <w:szCs w:val="21"/>
          <w:lang w:val="en-US" w:eastAsia="zh-CN"/>
        </w:rPr>
        <w:t>6.5  参考面取向、形状和长度</w:t>
      </w:r>
    </w:p>
    <w:p>
      <w:pPr>
        <w:pStyle w:val="13"/>
        <w:keepNext w:val="0"/>
        <w:keepLines w:val="0"/>
        <w:pageBreakBefore w:val="0"/>
        <w:widowControl w:val="0"/>
        <w:numPr>
          <w:ilvl w:val="0"/>
          <w:numId w:val="0"/>
        </w:numPr>
        <w:tabs>
          <w:tab w:val="left" w:pos="795"/>
          <w:tab w:val="left" w:pos="796"/>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6.5.1</w:t>
      </w:r>
      <w:r>
        <w:rPr>
          <w:rFonts w:hint="eastAsia" w:ascii="宋体" w:hAnsi="宋体" w:eastAsia="宋体" w:cs="宋体"/>
          <w:b/>
          <w:bCs/>
          <w:sz w:val="21"/>
          <w:szCs w:val="21"/>
          <w:lang w:val="en-US" w:eastAsia="zh-CN"/>
        </w:rPr>
        <w:t xml:space="preserve"> </w:t>
      </w:r>
      <w:r>
        <w:rPr>
          <w:rFonts w:hint="eastAsia" w:cs="宋体"/>
          <w:b/>
          <w:bCs/>
          <w:sz w:val="21"/>
          <w:szCs w:val="21"/>
          <w:lang w:val="en-US" w:eastAsia="zh-CN"/>
        </w:rPr>
        <w:t xml:space="preserve"> </w:t>
      </w:r>
      <w:r>
        <w:rPr>
          <w:rFonts w:hint="eastAsia" w:ascii="宋体" w:hAnsi="宋体" w:eastAsia="宋体" w:cs="宋体"/>
          <w:sz w:val="21"/>
          <w:szCs w:val="21"/>
          <w:lang w:val="en-US" w:eastAsia="zh-CN"/>
        </w:rPr>
        <w:t>砷化镓</w:t>
      </w:r>
      <w:r>
        <w:rPr>
          <w:rFonts w:hint="eastAsia" w:ascii="宋体" w:hAnsi="宋体" w:eastAsia="宋体" w:cs="宋体"/>
          <w:sz w:val="21"/>
          <w:szCs w:val="21"/>
        </w:rPr>
        <w:t>衬底的</w:t>
      </w:r>
      <w:r>
        <w:rPr>
          <w:rFonts w:hint="eastAsia" w:ascii="宋体" w:hAnsi="宋体" w:eastAsia="宋体" w:cs="宋体"/>
          <w:sz w:val="21"/>
          <w:szCs w:val="21"/>
          <w:lang w:val="en-US" w:eastAsia="zh-CN"/>
        </w:rPr>
        <w:t>参考面取向的测试</w:t>
      </w:r>
      <w:r>
        <w:rPr>
          <w:rFonts w:hint="eastAsia" w:ascii="宋体" w:hAnsi="宋体" w:eastAsia="宋体" w:cs="宋体"/>
          <w:sz w:val="21"/>
          <w:szCs w:val="21"/>
        </w:rPr>
        <w:t>按GB/T</w:t>
      </w:r>
      <w:r>
        <w:rPr>
          <w:rFonts w:hint="eastAsia" w:ascii="宋体" w:hAnsi="宋体" w:eastAsia="宋体" w:cs="宋体"/>
          <w:sz w:val="21"/>
          <w:szCs w:val="21"/>
          <w:lang w:val="en-US" w:eastAsia="zh-CN"/>
        </w:rPr>
        <w:t xml:space="preserve"> 13388 </w:t>
      </w:r>
      <w:r>
        <w:rPr>
          <w:rFonts w:hint="eastAsia" w:ascii="宋体" w:hAnsi="宋体" w:eastAsia="宋体" w:cs="宋体"/>
          <w:sz w:val="21"/>
          <w:szCs w:val="21"/>
        </w:rPr>
        <w:t>规定的测量方法进行。</w:t>
      </w:r>
    </w:p>
    <w:p>
      <w:pPr>
        <w:pStyle w:val="13"/>
        <w:keepNext w:val="0"/>
        <w:keepLines w:val="0"/>
        <w:pageBreakBefore w:val="0"/>
        <w:widowControl w:val="0"/>
        <w:numPr>
          <w:ilvl w:val="0"/>
          <w:numId w:val="0"/>
        </w:numPr>
        <w:tabs>
          <w:tab w:val="left" w:pos="795"/>
          <w:tab w:val="left" w:pos="796"/>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6.5.2</w:t>
      </w:r>
      <w:r>
        <w:rPr>
          <w:rFonts w:hint="eastAsia" w:ascii="宋体" w:hAnsi="宋体" w:eastAsia="宋体" w:cs="宋体"/>
          <w:b/>
          <w:bCs/>
          <w:sz w:val="21"/>
          <w:szCs w:val="21"/>
          <w:lang w:val="en-US" w:eastAsia="zh-CN"/>
        </w:rPr>
        <w:t xml:space="preserve"> </w:t>
      </w:r>
      <w:r>
        <w:rPr>
          <w:rFonts w:hint="eastAsia" w:cs="宋体"/>
          <w:b/>
          <w:bCs/>
          <w:sz w:val="21"/>
          <w:szCs w:val="21"/>
          <w:lang w:val="en-US" w:eastAsia="zh-CN"/>
        </w:rPr>
        <w:t xml:space="preserve"> </w:t>
      </w:r>
      <w:r>
        <w:rPr>
          <w:rFonts w:hint="eastAsia" w:ascii="宋体" w:hAnsi="宋体" w:eastAsia="宋体" w:cs="宋体"/>
          <w:sz w:val="21"/>
          <w:szCs w:val="21"/>
          <w:lang w:val="en-US" w:eastAsia="zh-CN"/>
        </w:rPr>
        <w:t>砷化镓</w:t>
      </w:r>
      <w:r>
        <w:rPr>
          <w:rFonts w:hint="eastAsia" w:ascii="宋体" w:hAnsi="宋体" w:eastAsia="宋体" w:cs="宋体"/>
          <w:sz w:val="21"/>
          <w:szCs w:val="21"/>
        </w:rPr>
        <w:t>衬底的</w:t>
      </w:r>
      <w:r>
        <w:rPr>
          <w:rFonts w:hint="eastAsia" w:ascii="宋体" w:hAnsi="宋体" w:eastAsia="宋体" w:cs="宋体"/>
          <w:sz w:val="21"/>
          <w:szCs w:val="21"/>
          <w:lang w:val="en-US" w:eastAsia="zh-CN"/>
        </w:rPr>
        <w:t>参考面切口形状的测试</w:t>
      </w:r>
      <w:r>
        <w:rPr>
          <w:rFonts w:hint="eastAsia" w:ascii="宋体" w:hAnsi="宋体" w:eastAsia="宋体" w:cs="宋体"/>
          <w:sz w:val="21"/>
          <w:szCs w:val="21"/>
        </w:rPr>
        <w:t>按</w:t>
      </w:r>
      <w:r>
        <w:rPr>
          <w:rFonts w:hint="eastAsia" w:ascii="宋体" w:hAnsi="宋体" w:eastAsia="宋体" w:cs="宋体"/>
          <w:sz w:val="21"/>
          <w:szCs w:val="21"/>
          <w:lang w:val="en-US" w:eastAsia="zh-CN"/>
        </w:rPr>
        <w:t xml:space="preserve"> SEMI M9.7-0200 </w:t>
      </w:r>
      <w:r>
        <w:rPr>
          <w:rFonts w:hint="eastAsia" w:ascii="宋体" w:hAnsi="宋体" w:eastAsia="宋体" w:cs="宋体"/>
          <w:sz w:val="21"/>
          <w:szCs w:val="21"/>
        </w:rPr>
        <w:t>规定的测量方法进行。</w:t>
      </w:r>
    </w:p>
    <w:p>
      <w:pPr>
        <w:pStyle w:val="13"/>
        <w:keepNext w:val="0"/>
        <w:keepLines w:val="0"/>
        <w:pageBreakBefore w:val="0"/>
        <w:widowControl w:val="0"/>
        <w:numPr>
          <w:ilvl w:val="0"/>
          <w:numId w:val="0"/>
        </w:numPr>
        <w:tabs>
          <w:tab w:val="left" w:pos="795"/>
          <w:tab w:val="left" w:pos="796"/>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6.5.3</w:t>
      </w:r>
      <w:r>
        <w:rPr>
          <w:rFonts w:hint="eastAsia" w:ascii="宋体" w:hAnsi="宋体" w:eastAsia="宋体" w:cs="宋体"/>
          <w:sz w:val="21"/>
          <w:szCs w:val="21"/>
          <w:lang w:val="en-US" w:eastAsia="zh-CN"/>
        </w:rPr>
        <w:t xml:space="preserve"> </w:t>
      </w:r>
      <w:r>
        <w:rPr>
          <w:rFonts w:hint="eastAsia" w:cs="宋体"/>
          <w:sz w:val="21"/>
          <w:szCs w:val="21"/>
          <w:lang w:val="en-US" w:eastAsia="zh-CN"/>
        </w:rPr>
        <w:t xml:space="preserve"> </w:t>
      </w:r>
      <w:r>
        <w:rPr>
          <w:rFonts w:hint="eastAsia" w:ascii="宋体" w:hAnsi="宋体" w:eastAsia="宋体" w:cs="宋体"/>
          <w:sz w:val="21"/>
          <w:szCs w:val="21"/>
          <w:lang w:val="en-US" w:eastAsia="zh-CN"/>
        </w:rPr>
        <w:t>砷化镓</w:t>
      </w:r>
      <w:r>
        <w:rPr>
          <w:rFonts w:hint="eastAsia" w:ascii="宋体" w:hAnsi="宋体" w:eastAsia="宋体" w:cs="宋体"/>
          <w:sz w:val="21"/>
          <w:szCs w:val="21"/>
        </w:rPr>
        <w:t>衬底的</w:t>
      </w:r>
      <w:r>
        <w:rPr>
          <w:rFonts w:hint="eastAsia" w:ascii="宋体" w:hAnsi="宋体" w:eastAsia="宋体" w:cs="宋体"/>
          <w:sz w:val="21"/>
          <w:szCs w:val="21"/>
          <w:lang w:val="en-US" w:eastAsia="zh-CN"/>
        </w:rPr>
        <w:t>参考面长度的测试</w:t>
      </w:r>
      <w:r>
        <w:rPr>
          <w:rFonts w:hint="eastAsia" w:ascii="宋体" w:hAnsi="宋体" w:eastAsia="宋体" w:cs="宋体"/>
          <w:sz w:val="21"/>
          <w:szCs w:val="21"/>
        </w:rPr>
        <w:t>按GB/T</w:t>
      </w:r>
      <w:r>
        <w:rPr>
          <w:rFonts w:hint="eastAsia" w:ascii="宋体" w:hAnsi="宋体" w:eastAsia="宋体" w:cs="宋体"/>
          <w:sz w:val="21"/>
          <w:szCs w:val="21"/>
          <w:lang w:val="en-US" w:eastAsia="zh-CN"/>
        </w:rPr>
        <w:t xml:space="preserve"> 13387 </w:t>
      </w:r>
      <w:r>
        <w:rPr>
          <w:rFonts w:hint="eastAsia" w:ascii="宋体" w:hAnsi="宋体" w:eastAsia="宋体" w:cs="宋体"/>
          <w:sz w:val="21"/>
          <w:szCs w:val="21"/>
        </w:rPr>
        <w:t>规定的测量方法进行。</w:t>
      </w:r>
    </w:p>
    <w:p>
      <w:pPr>
        <w:pStyle w:val="13"/>
        <w:keepNext w:val="0"/>
        <w:keepLines w:val="0"/>
        <w:pageBreakBefore w:val="0"/>
        <w:widowControl w:val="0"/>
        <w:numPr>
          <w:ilvl w:val="0"/>
          <w:numId w:val="0"/>
        </w:numPr>
        <w:tabs>
          <w:tab w:val="left" w:pos="879"/>
          <w:tab w:val="left" w:pos="880"/>
        </w:tabs>
        <w:kinsoku/>
        <w:wordWrap/>
        <w:overflowPunct/>
        <w:topLinePunct w:val="0"/>
        <w:autoSpaceDE w:val="0"/>
        <w:autoSpaceDN w:val="0"/>
        <w:bidi w:val="0"/>
        <w:adjustRightInd/>
        <w:snapToGrid/>
        <w:spacing w:before="0" w:beforeLines="50" w:after="0" w:afterLines="50" w:line="240" w:lineRule="auto"/>
        <w:ind w:right="0" w:rightChars="0"/>
        <w:jc w:val="left"/>
        <w:textAlignment w:val="auto"/>
        <w:rPr>
          <w:rFonts w:hint="eastAsia" w:ascii="黑体" w:hAnsi="黑体" w:eastAsia="黑体" w:cs="黑体"/>
          <w:sz w:val="21"/>
          <w:szCs w:val="21"/>
          <w:lang w:val="en-US" w:eastAsia="zh-CN"/>
        </w:rPr>
      </w:pPr>
      <w:r>
        <w:rPr>
          <w:rFonts w:hint="eastAsia" w:ascii="黑体" w:hAnsi="黑体" w:eastAsia="黑体" w:cs="黑体"/>
          <w:w w:val="105"/>
          <w:sz w:val="21"/>
          <w:szCs w:val="21"/>
          <w:lang w:val="en-US" w:eastAsia="zh-CN"/>
        </w:rPr>
        <w:t>6.6  外形几何尺寸</w:t>
      </w:r>
    </w:p>
    <w:p>
      <w:pPr>
        <w:pStyle w:val="13"/>
        <w:keepNext w:val="0"/>
        <w:keepLines w:val="0"/>
        <w:pageBreakBefore w:val="0"/>
        <w:widowControl w:val="0"/>
        <w:numPr>
          <w:ilvl w:val="0"/>
          <w:numId w:val="0"/>
        </w:numPr>
        <w:tabs>
          <w:tab w:val="left" w:pos="795"/>
          <w:tab w:val="left" w:pos="796"/>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6.6.1</w:t>
      </w:r>
      <w:r>
        <w:rPr>
          <w:rFonts w:hint="eastAsia" w:ascii="黑体" w:hAnsi="黑体" w:eastAsia="黑体" w:cs="黑体"/>
          <w:sz w:val="21"/>
          <w:szCs w:val="21"/>
          <w:lang w:val="en-US" w:eastAsia="zh-CN"/>
        </w:rPr>
        <w:t xml:space="preserve"> </w:t>
      </w:r>
      <w:r>
        <w:rPr>
          <w:rFonts w:hint="eastAsia" w:cs="宋体"/>
          <w:sz w:val="21"/>
          <w:szCs w:val="21"/>
          <w:lang w:val="en-US" w:eastAsia="zh-CN"/>
        </w:rPr>
        <w:t xml:space="preserve"> </w:t>
      </w:r>
      <w:r>
        <w:rPr>
          <w:rFonts w:hint="eastAsia" w:ascii="宋体" w:hAnsi="宋体" w:eastAsia="宋体" w:cs="宋体"/>
          <w:sz w:val="21"/>
          <w:szCs w:val="21"/>
          <w:lang w:val="en-US" w:eastAsia="zh-CN"/>
        </w:rPr>
        <w:t>砷化镓</w:t>
      </w:r>
      <w:r>
        <w:rPr>
          <w:rFonts w:hint="eastAsia" w:ascii="宋体" w:hAnsi="宋体" w:eastAsia="宋体" w:cs="宋体"/>
          <w:sz w:val="21"/>
          <w:szCs w:val="21"/>
        </w:rPr>
        <w:t>衬底的</w:t>
      </w:r>
      <w:r>
        <w:rPr>
          <w:rFonts w:hint="eastAsia" w:ascii="宋体" w:hAnsi="宋体" w:eastAsia="宋体" w:cs="宋体"/>
          <w:sz w:val="21"/>
          <w:szCs w:val="21"/>
          <w:lang w:val="en-US" w:eastAsia="zh-CN"/>
        </w:rPr>
        <w:t>直径及允许偏差</w:t>
      </w:r>
      <w:r>
        <w:rPr>
          <w:rFonts w:hint="eastAsia" w:ascii="宋体" w:hAnsi="宋体" w:eastAsia="宋体" w:cs="宋体"/>
          <w:sz w:val="21"/>
          <w:szCs w:val="21"/>
        </w:rPr>
        <w:t>按GB/T</w:t>
      </w:r>
      <w:r>
        <w:rPr>
          <w:rFonts w:hint="eastAsia" w:ascii="宋体" w:hAnsi="宋体" w:eastAsia="宋体" w:cs="宋体"/>
          <w:sz w:val="21"/>
          <w:szCs w:val="21"/>
          <w:lang w:val="en-US" w:eastAsia="zh-CN"/>
        </w:rPr>
        <w:t xml:space="preserve"> 14140 </w:t>
      </w:r>
      <w:r>
        <w:rPr>
          <w:rFonts w:hint="eastAsia" w:ascii="宋体" w:hAnsi="宋体" w:eastAsia="宋体" w:cs="宋体"/>
          <w:sz w:val="21"/>
          <w:szCs w:val="21"/>
        </w:rPr>
        <w:t>规定的测量方法进行。</w:t>
      </w:r>
    </w:p>
    <w:p>
      <w:pPr>
        <w:pStyle w:val="13"/>
        <w:keepNext w:val="0"/>
        <w:keepLines w:val="0"/>
        <w:pageBreakBefore w:val="0"/>
        <w:widowControl w:val="0"/>
        <w:numPr>
          <w:ilvl w:val="0"/>
          <w:numId w:val="0"/>
        </w:numPr>
        <w:tabs>
          <w:tab w:val="left" w:pos="795"/>
          <w:tab w:val="left" w:pos="796"/>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6.6.2</w:t>
      </w:r>
      <w:r>
        <w:rPr>
          <w:rFonts w:hint="eastAsia" w:ascii="宋体" w:hAnsi="宋体" w:eastAsia="宋体" w:cs="宋体"/>
          <w:b/>
          <w:bCs/>
          <w:sz w:val="21"/>
          <w:szCs w:val="21"/>
          <w:lang w:val="en-US" w:eastAsia="zh-CN"/>
        </w:rPr>
        <w:t xml:space="preserve"> </w:t>
      </w:r>
      <w:r>
        <w:rPr>
          <w:rFonts w:hint="eastAsia" w:cs="宋体"/>
          <w:b/>
          <w:bCs/>
          <w:sz w:val="21"/>
          <w:szCs w:val="21"/>
          <w:lang w:val="en-US" w:eastAsia="zh-CN"/>
        </w:rPr>
        <w:t xml:space="preserve"> </w:t>
      </w:r>
      <w:r>
        <w:rPr>
          <w:rFonts w:hint="eastAsia" w:ascii="宋体" w:hAnsi="宋体" w:eastAsia="宋体" w:cs="宋体"/>
          <w:sz w:val="21"/>
          <w:szCs w:val="21"/>
          <w:lang w:val="en-US" w:eastAsia="zh-CN"/>
        </w:rPr>
        <w:t>砷化镓</w:t>
      </w:r>
      <w:r>
        <w:rPr>
          <w:rFonts w:hint="eastAsia" w:ascii="宋体" w:hAnsi="宋体" w:eastAsia="宋体" w:cs="宋体"/>
          <w:sz w:val="21"/>
          <w:szCs w:val="21"/>
        </w:rPr>
        <w:t>衬底的</w:t>
      </w:r>
      <w:r>
        <w:rPr>
          <w:rFonts w:hint="eastAsia" w:ascii="宋体" w:hAnsi="宋体" w:eastAsia="宋体" w:cs="宋体"/>
          <w:sz w:val="21"/>
          <w:szCs w:val="21"/>
          <w:lang w:val="en-US" w:eastAsia="zh-CN"/>
        </w:rPr>
        <w:t>厚度及允许偏差和总厚度变化</w:t>
      </w:r>
      <w:r>
        <w:rPr>
          <w:rFonts w:hint="eastAsia" w:ascii="宋体" w:hAnsi="宋体" w:eastAsia="宋体" w:cs="宋体"/>
          <w:sz w:val="21"/>
          <w:szCs w:val="21"/>
        </w:rPr>
        <w:t>按GB/T</w:t>
      </w:r>
      <w:r>
        <w:rPr>
          <w:rFonts w:hint="eastAsia" w:ascii="宋体" w:hAnsi="宋体" w:eastAsia="宋体" w:cs="宋体"/>
          <w:sz w:val="21"/>
          <w:szCs w:val="21"/>
          <w:lang w:val="en-US" w:eastAsia="zh-CN"/>
        </w:rPr>
        <w:t xml:space="preserve"> 6618 </w:t>
      </w:r>
      <w:r>
        <w:rPr>
          <w:rFonts w:hint="eastAsia" w:ascii="宋体" w:hAnsi="宋体" w:eastAsia="宋体" w:cs="宋体"/>
          <w:sz w:val="21"/>
          <w:szCs w:val="21"/>
        </w:rPr>
        <w:t>规定的测量方法进行。</w:t>
      </w:r>
    </w:p>
    <w:p>
      <w:pPr>
        <w:pStyle w:val="13"/>
        <w:keepNext w:val="0"/>
        <w:keepLines w:val="0"/>
        <w:pageBreakBefore w:val="0"/>
        <w:widowControl w:val="0"/>
        <w:numPr>
          <w:ilvl w:val="0"/>
          <w:numId w:val="0"/>
        </w:numPr>
        <w:tabs>
          <w:tab w:val="left" w:pos="795"/>
          <w:tab w:val="left" w:pos="796"/>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6.6.3</w:t>
      </w:r>
      <w:r>
        <w:rPr>
          <w:rFonts w:hint="eastAsia" w:ascii="宋体" w:hAnsi="宋体" w:eastAsia="宋体" w:cs="宋体"/>
          <w:sz w:val="21"/>
          <w:szCs w:val="21"/>
          <w:lang w:val="en-US" w:eastAsia="zh-CN"/>
        </w:rPr>
        <w:t xml:space="preserve"> </w:t>
      </w:r>
      <w:r>
        <w:rPr>
          <w:rFonts w:hint="eastAsia" w:cs="宋体"/>
          <w:sz w:val="21"/>
          <w:szCs w:val="21"/>
          <w:lang w:val="en-US" w:eastAsia="zh-CN"/>
        </w:rPr>
        <w:t xml:space="preserve"> </w:t>
      </w:r>
      <w:r>
        <w:rPr>
          <w:rFonts w:hint="eastAsia" w:ascii="宋体" w:hAnsi="宋体" w:eastAsia="宋体" w:cs="宋体"/>
          <w:sz w:val="21"/>
          <w:szCs w:val="21"/>
          <w:lang w:val="en-US" w:eastAsia="zh-CN"/>
        </w:rPr>
        <w:t>砷化镓</w:t>
      </w:r>
      <w:r>
        <w:rPr>
          <w:rFonts w:hint="eastAsia" w:ascii="宋体" w:hAnsi="宋体" w:eastAsia="宋体" w:cs="宋体"/>
          <w:sz w:val="21"/>
          <w:szCs w:val="21"/>
        </w:rPr>
        <w:t>衬底的</w:t>
      </w:r>
      <w:r>
        <w:rPr>
          <w:rFonts w:hint="eastAsia" w:ascii="宋体" w:hAnsi="宋体" w:eastAsia="宋体" w:cs="宋体"/>
          <w:sz w:val="21"/>
          <w:szCs w:val="21"/>
          <w:lang w:val="en-US" w:eastAsia="zh-CN"/>
        </w:rPr>
        <w:t>平整度</w:t>
      </w:r>
      <w:r>
        <w:rPr>
          <w:rFonts w:hint="eastAsia" w:ascii="宋体" w:hAnsi="宋体" w:eastAsia="宋体" w:cs="宋体"/>
          <w:sz w:val="21"/>
          <w:szCs w:val="21"/>
        </w:rPr>
        <w:t>按GB/T</w:t>
      </w:r>
      <w:r>
        <w:rPr>
          <w:rFonts w:hint="eastAsia" w:ascii="宋体" w:hAnsi="宋体" w:eastAsia="宋体" w:cs="宋体"/>
          <w:sz w:val="21"/>
          <w:szCs w:val="21"/>
          <w:lang w:val="en-US" w:eastAsia="zh-CN"/>
        </w:rPr>
        <w:t xml:space="preserve"> 6621 </w:t>
      </w:r>
      <w:r>
        <w:rPr>
          <w:rFonts w:hint="eastAsia" w:ascii="宋体" w:hAnsi="宋体" w:eastAsia="宋体" w:cs="宋体"/>
          <w:sz w:val="21"/>
          <w:szCs w:val="21"/>
        </w:rPr>
        <w:t>规定的测量方法进行。</w:t>
      </w:r>
    </w:p>
    <w:p>
      <w:pPr>
        <w:pStyle w:val="13"/>
        <w:keepNext w:val="0"/>
        <w:keepLines w:val="0"/>
        <w:pageBreakBefore w:val="0"/>
        <w:widowControl w:val="0"/>
        <w:numPr>
          <w:ilvl w:val="0"/>
          <w:numId w:val="0"/>
        </w:numPr>
        <w:tabs>
          <w:tab w:val="left" w:pos="795"/>
          <w:tab w:val="left" w:pos="796"/>
        </w:tabs>
        <w:kinsoku/>
        <w:wordWrap/>
        <w:overflowPunct/>
        <w:topLinePunct w:val="0"/>
        <w:autoSpaceDE w:val="0"/>
        <w:autoSpaceDN w:val="0"/>
        <w:bidi w:val="0"/>
        <w:adjustRightInd/>
        <w:snapToGrid/>
        <w:spacing w:before="0" w:beforeLines="100" w:after="0" w:afterLines="100" w:line="240" w:lineRule="auto"/>
        <w:ind w:right="0" w:rightChars="0"/>
        <w:jc w:val="lef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 检验原则</w:t>
      </w:r>
    </w:p>
    <w:p>
      <w:pPr>
        <w:pStyle w:val="13"/>
        <w:keepNext w:val="0"/>
        <w:keepLines w:val="0"/>
        <w:pageBreakBefore w:val="0"/>
        <w:widowControl w:val="0"/>
        <w:numPr>
          <w:ilvl w:val="0"/>
          <w:numId w:val="0"/>
        </w:numPr>
        <w:tabs>
          <w:tab w:val="left" w:pos="795"/>
          <w:tab w:val="left" w:pos="796"/>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7.1  检验条件</w:t>
      </w:r>
    </w:p>
    <w:p>
      <w:pPr>
        <w:pStyle w:val="13"/>
        <w:keepNext w:val="0"/>
        <w:keepLines w:val="0"/>
        <w:pageBreakBefore w:val="0"/>
        <w:widowControl w:val="0"/>
        <w:numPr>
          <w:ilvl w:val="0"/>
          <w:numId w:val="0"/>
        </w:numPr>
        <w:tabs>
          <w:tab w:val="left" w:pos="795"/>
          <w:tab w:val="left" w:pos="796"/>
        </w:tabs>
        <w:kinsoku/>
        <w:wordWrap/>
        <w:overflowPunct/>
        <w:topLinePunct w:val="0"/>
        <w:autoSpaceDE w:val="0"/>
        <w:autoSpaceDN w:val="0"/>
        <w:bidi w:val="0"/>
        <w:adjustRightInd/>
        <w:snapToGrid/>
        <w:spacing w:before="0" w:after="0" w:line="240" w:lineRule="auto"/>
        <w:ind w:right="0" w:rightChars="0" w:firstLine="42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除另有规定外，应在下列条件下进行检验：</w:t>
      </w:r>
    </w:p>
    <w:p>
      <w:pPr>
        <w:pStyle w:val="13"/>
        <w:keepNext w:val="0"/>
        <w:keepLines w:val="0"/>
        <w:pageBreakBefore w:val="0"/>
        <w:widowControl w:val="0"/>
        <w:numPr>
          <w:ilvl w:val="0"/>
          <w:numId w:val="7"/>
        </w:numPr>
        <w:tabs>
          <w:tab w:val="left" w:pos="795"/>
          <w:tab w:val="left" w:pos="796"/>
        </w:tabs>
        <w:kinsoku/>
        <w:wordWrap/>
        <w:overflowPunct/>
        <w:topLinePunct w:val="0"/>
        <w:autoSpaceDE w:val="0"/>
        <w:autoSpaceDN w:val="0"/>
        <w:bidi w:val="0"/>
        <w:adjustRightInd/>
        <w:snapToGrid/>
        <w:spacing w:before="0" w:after="0" w:line="240" w:lineRule="auto"/>
        <w:ind w:left="420" w:leftChars="0" w:right="0" w:righ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温度：23℃±5℃；</w:t>
      </w:r>
    </w:p>
    <w:p>
      <w:pPr>
        <w:pStyle w:val="13"/>
        <w:keepNext w:val="0"/>
        <w:keepLines w:val="0"/>
        <w:pageBreakBefore w:val="0"/>
        <w:widowControl w:val="0"/>
        <w:numPr>
          <w:ilvl w:val="0"/>
          <w:numId w:val="7"/>
        </w:numPr>
        <w:tabs>
          <w:tab w:val="left" w:pos="795"/>
          <w:tab w:val="left" w:pos="796"/>
        </w:tabs>
        <w:kinsoku/>
        <w:wordWrap/>
        <w:overflowPunct/>
        <w:topLinePunct w:val="0"/>
        <w:autoSpaceDE w:val="0"/>
        <w:autoSpaceDN w:val="0"/>
        <w:bidi w:val="0"/>
        <w:adjustRightInd/>
        <w:snapToGrid/>
        <w:spacing w:before="0" w:after="0" w:line="240" w:lineRule="auto"/>
        <w:ind w:left="420" w:leftChars="0" w:right="0" w:righ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相对湿度：20%～70%；</w:t>
      </w:r>
    </w:p>
    <w:p>
      <w:pPr>
        <w:pStyle w:val="13"/>
        <w:keepNext w:val="0"/>
        <w:keepLines w:val="0"/>
        <w:pageBreakBefore w:val="0"/>
        <w:widowControl w:val="0"/>
        <w:numPr>
          <w:ilvl w:val="0"/>
          <w:numId w:val="7"/>
        </w:numPr>
        <w:tabs>
          <w:tab w:val="left" w:pos="795"/>
          <w:tab w:val="left" w:pos="796"/>
        </w:tabs>
        <w:kinsoku/>
        <w:wordWrap/>
        <w:overflowPunct/>
        <w:topLinePunct w:val="0"/>
        <w:autoSpaceDE w:val="0"/>
        <w:autoSpaceDN w:val="0"/>
        <w:bidi w:val="0"/>
        <w:adjustRightInd/>
        <w:snapToGrid/>
        <w:spacing w:before="0" w:after="0" w:line="240" w:lineRule="auto"/>
        <w:ind w:left="420" w:leftChars="0" w:right="0" w:righ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大气压力：86kpa～106kpa；</w:t>
      </w:r>
    </w:p>
    <w:p>
      <w:pPr>
        <w:pStyle w:val="13"/>
        <w:keepNext w:val="0"/>
        <w:keepLines w:val="0"/>
        <w:pageBreakBefore w:val="0"/>
        <w:widowControl w:val="0"/>
        <w:numPr>
          <w:ilvl w:val="0"/>
          <w:numId w:val="7"/>
        </w:numPr>
        <w:tabs>
          <w:tab w:val="left" w:pos="795"/>
          <w:tab w:val="left" w:pos="796"/>
        </w:tabs>
        <w:kinsoku/>
        <w:wordWrap/>
        <w:overflowPunct/>
        <w:topLinePunct w:val="0"/>
        <w:autoSpaceDE w:val="0"/>
        <w:autoSpaceDN w:val="0"/>
        <w:bidi w:val="0"/>
        <w:adjustRightInd/>
        <w:snapToGrid/>
        <w:spacing w:before="0" w:after="0" w:line="240" w:lineRule="auto"/>
        <w:ind w:left="420" w:leftChars="0" w:right="0" w:righ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洁净度：10000级或100级；</w:t>
      </w:r>
    </w:p>
    <w:p>
      <w:pPr>
        <w:pStyle w:val="13"/>
        <w:keepNext w:val="0"/>
        <w:keepLines w:val="0"/>
        <w:pageBreakBefore w:val="0"/>
        <w:widowControl w:val="0"/>
        <w:numPr>
          <w:ilvl w:val="0"/>
          <w:numId w:val="0"/>
        </w:numPr>
        <w:tabs>
          <w:tab w:val="left" w:pos="795"/>
          <w:tab w:val="left" w:pos="796"/>
        </w:tabs>
        <w:kinsoku/>
        <w:wordWrap/>
        <w:overflowPunct/>
        <w:topLinePunct w:val="0"/>
        <w:autoSpaceDE w:val="0"/>
        <w:autoSpaceDN w:val="0"/>
        <w:bidi w:val="0"/>
        <w:adjustRightInd/>
        <w:snapToGrid/>
        <w:spacing w:before="0" w:beforeLines="50" w:after="0" w:afterLines="50" w:line="240" w:lineRule="auto"/>
        <w:ind w:right="0" w:rightChars="0"/>
        <w:jc w:val="lef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7.2  检验和验收</w:t>
      </w:r>
    </w:p>
    <w:p>
      <w:pPr>
        <w:pStyle w:val="13"/>
        <w:keepNext w:val="0"/>
        <w:keepLines w:val="0"/>
        <w:pageBreakBefore w:val="0"/>
        <w:widowControl w:val="0"/>
        <w:numPr>
          <w:ilvl w:val="0"/>
          <w:numId w:val="0"/>
        </w:numPr>
        <w:tabs>
          <w:tab w:val="left" w:pos="795"/>
          <w:tab w:val="left" w:pos="796"/>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7.2.1</w:t>
      </w:r>
      <w:r>
        <w:rPr>
          <w:rFonts w:hint="eastAsia" w:ascii="宋体" w:hAnsi="宋体" w:eastAsia="宋体" w:cs="宋体"/>
          <w:sz w:val="21"/>
          <w:szCs w:val="21"/>
          <w:lang w:val="en-US" w:eastAsia="zh-CN"/>
        </w:rPr>
        <w:t xml:space="preserve"> </w:t>
      </w:r>
      <w:r>
        <w:rPr>
          <w:rFonts w:hint="eastAsia" w:cs="宋体"/>
          <w:sz w:val="21"/>
          <w:szCs w:val="21"/>
          <w:lang w:val="en-US" w:eastAsia="zh-CN"/>
        </w:rPr>
        <w:t xml:space="preserve"> </w:t>
      </w:r>
      <w:r>
        <w:rPr>
          <w:rFonts w:hint="eastAsia" w:ascii="宋体" w:hAnsi="宋体" w:eastAsia="宋体" w:cs="宋体"/>
          <w:spacing w:val="-1"/>
          <w:sz w:val="21"/>
          <w:szCs w:val="21"/>
        </w:rPr>
        <w:t>产品应由供方技术质量监督部门进行检验，保证产品质量符合本标准及合同的规定，并填写产</w:t>
      </w:r>
      <w:r>
        <w:rPr>
          <w:rFonts w:hint="eastAsia" w:ascii="宋体" w:hAnsi="宋体" w:eastAsia="宋体" w:cs="宋体"/>
          <w:sz w:val="21"/>
          <w:szCs w:val="21"/>
        </w:rPr>
        <w:t>品质量证明书。</w:t>
      </w:r>
    </w:p>
    <w:p>
      <w:pPr>
        <w:pStyle w:val="13"/>
        <w:keepNext w:val="0"/>
        <w:keepLines w:val="0"/>
        <w:pageBreakBefore w:val="0"/>
        <w:widowControl w:val="0"/>
        <w:numPr>
          <w:ilvl w:val="0"/>
          <w:numId w:val="0"/>
        </w:numPr>
        <w:tabs>
          <w:tab w:val="left" w:pos="795"/>
          <w:tab w:val="left" w:pos="796"/>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7.2.</w:t>
      </w:r>
      <w:r>
        <w:rPr>
          <w:rFonts w:hint="eastAsia" w:cs="宋体"/>
          <w:b/>
          <w:bCs/>
          <w:sz w:val="21"/>
          <w:szCs w:val="21"/>
          <w:lang w:val="en-US" w:eastAsia="zh-CN"/>
        </w:rPr>
        <w:t>2</w:t>
      </w:r>
      <w:r>
        <w:rPr>
          <w:rFonts w:hint="eastAsia" w:cs="宋体"/>
          <w:sz w:val="21"/>
          <w:szCs w:val="21"/>
          <w:lang w:val="en-US" w:eastAsia="zh-CN"/>
        </w:rPr>
        <w:t xml:space="preserve">  </w:t>
      </w:r>
      <w:r>
        <w:rPr>
          <w:rFonts w:hint="eastAsia" w:ascii="宋体" w:hAnsi="宋体" w:eastAsia="宋体" w:cs="宋体"/>
          <w:sz w:val="21"/>
          <w:szCs w:val="21"/>
        </w:rPr>
        <w:t>需方可对收到的产品按本标准或合同的规定进行检验。若发现产品质量不符合本标准或合同</w:t>
      </w:r>
      <w:bookmarkStart w:id="12" w:name="00000007"/>
      <w:bookmarkEnd w:id="12"/>
      <w:bookmarkStart w:id="13" w:name="00000006"/>
      <w:bookmarkEnd w:id="13"/>
      <w:r>
        <w:rPr>
          <w:rFonts w:hint="eastAsia" w:ascii="宋体" w:hAnsi="宋体" w:eastAsia="宋体" w:cs="宋体"/>
          <w:sz w:val="21"/>
          <w:szCs w:val="21"/>
        </w:rPr>
        <w:t>的要求时，应在收到产品之日起</w:t>
      </w:r>
      <w:r>
        <w:rPr>
          <w:rFonts w:hint="eastAsia" w:ascii="宋体" w:hAnsi="宋体" w:eastAsia="宋体" w:cs="宋体"/>
          <w:sz w:val="21"/>
          <w:szCs w:val="21"/>
          <w:lang w:val="en-US" w:eastAsia="zh-CN"/>
        </w:rPr>
        <w:t>1</w:t>
      </w:r>
      <w:r>
        <w:rPr>
          <w:rFonts w:hint="eastAsia" w:ascii="宋体" w:hAnsi="宋体" w:eastAsia="宋体" w:cs="宋体"/>
          <w:w w:val="105"/>
          <w:sz w:val="21"/>
          <w:szCs w:val="21"/>
        </w:rPr>
        <w:t>个月内向供方提出，</w:t>
      </w:r>
      <w:r>
        <w:rPr>
          <w:rFonts w:hint="eastAsia" w:cs="宋体"/>
          <w:w w:val="105"/>
          <w:sz w:val="21"/>
          <w:szCs w:val="21"/>
          <w:lang w:val="en-US" w:eastAsia="zh-CN"/>
        </w:rPr>
        <w:t>或</w:t>
      </w:r>
      <w:r>
        <w:rPr>
          <w:rFonts w:hint="eastAsia" w:ascii="宋体" w:hAnsi="宋体" w:eastAsia="宋体" w:cs="宋体"/>
          <w:w w:val="105"/>
          <w:sz w:val="21"/>
          <w:szCs w:val="21"/>
        </w:rPr>
        <w:t>由供需双方协商解决。</w:t>
      </w:r>
    </w:p>
    <w:p>
      <w:pPr>
        <w:pStyle w:val="13"/>
        <w:keepNext w:val="0"/>
        <w:keepLines w:val="0"/>
        <w:pageBreakBefore w:val="0"/>
        <w:widowControl w:val="0"/>
        <w:numPr>
          <w:ilvl w:val="0"/>
          <w:numId w:val="0"/>
        </w:numPr>
        <w:tabs>
          <w:tab w:val="left" w:pos="599"/>
          <w:tab w:val="left" w:pos="600"/>
        </w:tabs>
        <w:kinsoku/>
        <w:wordWrap/>
        <w:overflowPunct/>
        <w:topLinePunct w:val="0"/>
        <w:autoSpaceDE w:val="0"/>
        <w:autoSpaceDN w:val="0"/>
        <w:bidi w:val="0"/>
        <w:adjustRightInd/>
        <w:snapToGrid/>
        <w:spacing w:before="0" w:beforeLines="50" w:after="0" w:afterLines="50" w:line="240" w:lineRule="auto"/>
        <w:ind w:right="0" w:rightChars="0"/>
        <w:jc w:val="left"/>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7.3  </w:t>
      </w:r>
      <w:r>
        <w:rPr>
          <w:rFonts w:hint="eastAsia" w:ascii="黑体" w:hAnsi="黑体" w:eastAsia="黑体" w:cs="黑体"/>
          <w:sz w:val="21"/>
          <w:szCs w:val="21"/>
        </w:rPr>
        <w:t>组批</w:t>
      </w:r>
    </w:p>
    <w:p>
      <w:pPr>
        <w:pStyle w:val="13"/>
        <w:keepNext w:val="0"/>
        <w:keepLines w:val="0"/>
        <w:pageBreakBefore w:val="0"/>
        <w:widowControl w:val="0"/>
        <w:numPr>
          <w:ilvl w:val="0"/>
          <w:numId w:val="0"/>
        </w:numPr>
        <w:tabs>
          <w:tab w:val="left" w:pos="599"/>
          <w:tab w:val="left" w:pos="600"/>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7.3.1</w:t>
      </w:r>
      <w:r>
        <w:rPr>
          <w:rFonts w:hint="eastAsia" w:ascii="宋体" w:hAnsi="宋体" w:eastAsia="宋体" w:cs="宋体"/>
          <w:b/>
          <w:bCs/>
          <w:sz w:val="21"/>
          <w:szCs w:val="21"/>
          <w:lang w:val="en-US" w:eastAsia="zh-CN"/>
        </w:rPr>
        <w:t xml:space="preserve"> </w:t>
      </w:r>
      <w:r>
        <w:rPr>
          <w:rFonts w:hint="eastAsia" w:cs="宋体"/>
          <w:b/>
          <w:bCs/>
          <w:sz w:val="21"/>
          <w:szCs w:val="21"/>
          <w:lang w:val="en-US" w:eastAsia="zh-CN"/>
        </w:rPr>
        <w:t xml:space="preserve"> </w:t>
      </w:r>
      <w:r>
        <w:rPr>
          <w:rFonts w:hint="eastAsia" w:ascii="宋体" w:hAnsi="宋体" w:eastAsia="宋体" w:cs="宋体"/>
          <w:sz w:val="21"/>
          <w:szCs w:val="21"/>
        </w:rPr>
        <w:t>在相同的设计、工艺及原材料批和生产设备无更换且正常运行的条件下，</w:t>
      </w:r>
      <w:r>
        <w:rPr>
          <w:rFonts w:hint="eastAsia" w:ascii="宋体" w:hAnsi="宋体" w:eastAsia="宋体" w:cs="宋体"/>
          <w:sz w:val="21"/>
          <w:szCs w:val="21"/>
          <w:lang w:val="en-US" w:eastAsia="zh-CN"/>
        </w:rPr>
        <w:t>于6</w:t>
      </w:r>
      <w:r>
        <w:rPr>
          <w:rFonts w:hint="eastAsia" w:ascii="宋体" w:hAnsi="宋体" w:eastAsia="宋体" w:cs="宋体"/>
          <w:sz w:val="21"/>
          <w:szCs w:val="21"/>
        </w:rPr>
        <w:t>周内生产的衬底</w:t>
      </w:r>
      <w:r>
        <w:rPr>
          <w:rFonts w:hint="eastAsia" w:ascii="宋体" w:hAnsi="宋体" w:eastAsia="宋体" w:cs="宋体"/>
          <w:spacing w:val="-18"/>
          <w:sz w:val="21"/>
          <w:szCs w:val="21"/>
        </w:rPr>
        <w:t xml:space="preserve">， </w:t>
      </w:r>
      <w:r>
        <w:rPr>
          <w:rFonts w:hint="eastAsia" w:ascii="宋体" w:hAnsi="宋体" w:eastAsia="宋体" w:cs="宋体"/>
          <w:sz w:val="21"/>
          <w:szCs w:val="21"/>
        </w:rPr>
        <w:t>构成一个检验批</w:t>
      </w:r>
      <w:r>
        <w:rPr>
          <w:rFonts w:hint="eastAsia" w:cs="宋体"/>
          <w:sz w:val="21"/>
          <w:szCs w:val="21"/>
          <w:lang w:eastAsia="zh-CN"/>
        </w:rPr>
        <w:t>，</w:t>
      </w:r>
      <w:r>
        <w:rPr>
          <w:rFonts w:hint="eastAsia" w:cs="宋体"/>
          <w:sz w:val="21"/>
          <w:szCs w:val="21"/>
          <w:lang w:val="en-US" w:eastAsia="zh-CN"/>
        </w:rPr>
        <w:t>或有供需双方合同约定协商</w:t>
      </w:r>
      <w:r>
        <w:rPr>
          <w:rFonts w:hint="eastAsia" w:ascii="宋体" w:hAnsi="宋体" w:eastAsia="宋体" w:cs="宋体"/>
          <w:sz w:val="21"/>
          <w:szCs w:val="21"/>
        </w:rPr>
        <w:t>。</w:t>
      </w:r>
    </w:p>
    <w:p>
      <w:pPr>
        <w:pStyle w:val="13"/>
        <w:keepNext w:val="0"/>
        <w:keepLines w:val="0"/>
        <w:pageBreakBefore w:val="0"/>
        <w:widowControl w:val="0"/>
        <w:numPr>
          <w:ilvl w:val="0"/>
          <w:numId w:val="0"/>
        </w:numPr>
        <w:tabs>
          <w:tab w:val="left" w:pos="599"/>
          <w:tab w:val="left" w:pos="600"/>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7.3.2</w:t>
      </w:r>
      <w:r>
        <w:rPr>
          <w:rFonts w:hint="eastAsia" w:ascii="宋体" w:hAnsi="宋体" w:eastAsia="宋体" w:cs="宋体"/>
          <w:sz w:val="21"/>
          <w:szCs w:val="21"/>
          <w:lang w:val="en-US" w:eastAsia="zh-CN"/>
        </w:rPr>
        <w:t xml:space="preserve"> </w:t>
      </w:r>
      <w:r>
        <w:rPr>
          <w:rFonts w:hint="eastAsia" w:cs="宋体"/>
          <w:sz w:val="21"/>
          <w:szCs w:val="21"/>
          <w:lang w:val="en-US" w:eastAsia="zh-CN"/>
        </w:rPr>
        <w:t xml:space="preserve"> </w:t>
      </w:r>
      <w:r>
        <w:rPr>
          <w:rFonts w:hint="eastAsia" w:ascii="宋体" w:hAnsi="宋体" w:eastAsia="宋体" w:cs="宋体"/>
          <w:spacing w:val="-1"/>
          <w:sz w:val="21"/>
          <w:szCs w:val="21"/>
        </w:rPr>
        <w:t>对于</w:t>
      </w:r>
      <w:r>
        <w:rPr>
          <w:rFonts w:hint="eastAsia" w:ascii="宋体" w:hAnsi="宋体" w:eastAsia="宋体" w:cs="宋体"/>
          <w:spacing w:val="-1"/>
          <w:sz w:val="21"/>
          <w:szCs w:val="21"/>
          <w:lang w:val="en-US" w:eastAsia="zh-CN"/>
        </w:rPr>
        <w:t>砷化镓</w:t>
      </w:r>
      <w:r>
        <w:rPr>
          <w:rFonts w:hint="eastAsia" w:ascii="宋体" w:hAnsi="宋体" w:eastAsia="宋体" w:cs="宋体"/>
          <w:spacing w:val="-1"/>
          <w:sz w:val="21"/>
          <w:szCs w:val="21"/>
        </w:rPr>
        <w:t>衬底的电学性能、表面晶向及品向偏离、位错密度检验，应由每根</w:t>
      </w:r>
      <w:r>
        <w:rPr>
          <w:rFonts w:hint="eastAsia" w:ascii="宋体" w:hAnsi="宋体" w:eastAsia="宋体" w:cs="宋体"/>
          <w:spacing w:val="-1"/>
          <w:sz w:val="21"/>
          <w:szCs w:val="21"/>
          <w:lang w:val="en-US" w:eastAsia="zh-CN"/>
        </w:rPr>
        <w:t>砷化镓</w:t>
      </w:r>
      <w:r>
        <w:rPr>
          <w:rFonts w:hint="eastAsia" w:ascii="宋体" w:hAnsi="宋体" w:eastAsia="宋体" w:cs="宋体"/>
          <w:spacing w:val="-1"/>
          <w:sz w:val="21"/>
          <w:szCs w:val="21"/>
        </w:rPr>
        <w:t>单晶键所切</w:t>
      </w:r>
      <w:r>
        <w:rPr>
          <w:rFonts w:hint="eastAsia" w:ascii="宋体" w:hAnsi="宋体" w:eastAsia="宋体" w:cs="宋体"/>
          <w:sz w:val="21"/>
          <w:szCs w:val="21"/>
        </w:rPr>
        <w:t>割的全部衬底构成电学性能参数、表面晶向及晶向偏离和位错密度检验项目的一个子检验批单位。</w:t>
      </w:r>
    </w:p>
    <w:p>
      <w:pPr>
        <w:pStyle w:val="13"/>
        <w:keepNext w:val="0"/>
        <w:keepLines w:val="0"/>
        <w:pageBreakBefore w:val="0"/>
        <w:widowControl w:val="0"/>
        <w:numPr>
          <w:ilvl w:val="0"/>
          <w:numId w:val="0"/>
        </w:numPr>
        <w:tabs>
          <w:tab w:val="left" w:pos="593"/>
          <w:tab w:val="left" w:pos="594"/>
        </w:tabs>
        <w:kinsoku/>
        <w:wordWrap/>
        <w:overflowPunct/>
        <w:topLinePunct w:val="0"/>
        <w:autoSpaceDE w:val="0"/>
        <w:autoSpaceDN w:val="0"/>
        <w:bidi w:val="0"/>
        <w:adjustRightInd/>
        <w:snapToGrid/>
        <w:spacing w:before="0" w:beforeLines="50" w:after="0" w:afterLines="50" w:line="240" w:lineRule="auto"/>
        <w:ind w:right="0" w:rightChars="0"/>
        <w:jc w:val="left"/>
        <w:textAlignment w:val="auto"/>
        <w:rPr>
          <w:rFonts w:hint="eastAsia" w:ascii="黑体" w:hAnsi="黑体" w:eastAsia="黑体" w:cs="黑体"/>
          <w:sz w:val="21"/>
          <w:szCs w:val="21"/>
        </w:rPr>
      </w:pPr>
      <w:r>
        <w:rPr>
          <w:rFonts w:hint="eastAsia" w:ascii="黑体" w:hAnsi="黑体" w:eastAsia="黑体" w:cs="黑体"/>
          <w:spacing w:val="5"/>
          <w:sz w:val="21"/>
          <w:szCs w:val="21"/>
          <w:lang w:val="en-US" w:eastAsia="zh-CN"/>
        </w:rPr>
        <w:t xml:space="preserve">7.4  </w:t>
      </w:r>
      <w:r>
        <w:rPr>
          <w:rFonts w:hint="eastAsia" w:ascii="黑体" w:hAnsi="黑体" w:eastAsia="黑体" w:cs="黑体"/>
          <w:spacing w:val="5"/>
          <w:sz w:val="21"/>
          <w:szCs w:val="21"/>
        </w:rPr>
        <w:t>检验项目、规则及</w:t>
      </w:r>
      <w:r>
        <w:rPr>
          <w:rFonts w:hint="eastAsia" w:ascii="黑体" w:hAnsi="黑体" w:eastAsia="黑体" w:cs="黑体"/>
          <w:spacing w:val="5"/>
          <w:sz w:val="21"/>
          <w:szCs w:val="21"/>
          <w:lang w:val="en-US" w:eastAsia="zh-CN"/>
        </w:rPr>
        <w:t>判据</w:t>
      </w:r>
    </w:p>
    <w:p>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宋体" w:hAnsi="宋体" w:eastAsia="宋体" w:cs="宋体"/>
          <w:sz w:val="21"/>
          <w:szCs w:val="21"/>
        </w:rPr>
        <w:sectPr>
          <w:headerReference r:id="rId7" w:type="default"/>
          <w:pgSz w:w="11760" w:h="16980"/>
          <w:pgMar w:top="1380" w:right="1100" w:bottom="280" w:left="1260" w:header="720" w:footer="720" w:gutter="0"/>
          <w:pgBorders>
            <w:top w:val="none" w:sz="0" w:space="0"/>
            <w:left w:val="none" w:sz="0" w:space="0"/>
            <w:bottom w:val="none" w:sz="0" w:space="0"/>
            <w:right w:val="none" w:sz="0" w:space="0"/>
          </w:pgBorders>
          <w:cols w:space="720" w:num="1"/>
        </w:sectPr>
      </w:pPr>
    </w:p>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40" w:rightChars="0"/>
        <w:jc w:val="left"/>
        <w:textAlignment w:val="auto"/>
        <w:rPr>
          <w:rFonts w:hint="eastAsia" w:ascii="宋体" w:hAnsi="宋体" w:eastAsia="宋体" w:cs="宋体"/>
          <w:sz w:val="21"/>
          <w:szCs w:val="21"/>
        </w:rPr>
      </w:pPr>
      <w:r>
        <w:rPr>
          <w:rFonts w:hint="eastAsia" w:ascii="黑体" w:hAnsi="黑体" w:eastAsia="黑体" w:cs="黑体"/>
          <w:b w:val="0"/>
          <w:bCs w:val="0"/>
          <w:spacing w:val="-2"/>
          <w:sz w:val="21"/>
          <w:szCs w:val="21"/>
          <w:lang w:val="en-US" w:eastAsia="zh-CN"/>
        </w:rPr>
        <w:t>7.4.1</w:t>
      </w:r>
      <w:r>
        <w:rPr>
          <w:rFonts w:hint="eastAsia" w:ascii="宋体" w:hAnsi="宋体" w:eastAsia="宋体" w:cs="宋体"/>
          <w:b/>
          <w:bCs/>
          <w:spacing w:val="-2"/>
          <w:sz w:val="21"/>
          <w:szCs w:val="21"/>
          <w:lang w:val="en-US" w:eastAsia="zh-CN"/>
        </w:rPr>
        <w:t xml:space="preserve"> </w:t>
      </w:r>
      <w:r>
        <w:rPr>
          <w:rFonts w:hint="eastAsia" w:cs="宋体"/>
          <w:b/>
          <w:bCs/>
          <w:spacing w:val="-2"/>
          <w:sz w:val="21"/>
          <w:szCs w:val="21"/>
          <w:lang w:val="en-US" w:eastAsia="zh-CN"/>
        </w:rPr>
        <w:t xml:space="preserve"> </w:t>
      </w:r>
      <w:r>
        <w:rPr>
          <w:rFonts w:hint="eastAsia" w:ascii="宋体" w:hAnsi="宋体" w:eastAsia="宋体" w:cs="宋体"/>
          <w:spacing w:val="-2"/>
          <w:sz w:val="21"/>
          <w:szCs w:val="21"/>
        </w:rPr>
        <w:t>首先在每根</w:t>
      </w:r>
      <w:r>
        <w:rPr>
          <w:rFonts w:hint="eastAsia" w:ascii="宋体" w:hAnsi="宋体" w:eastAsia="宋体" w:cs="宋体"/>
          <w:spacing w:val="-2"/>
          <w:sz w:val="21"/>
          <w:szCs w:val="21"/>
          <w:lang w:val="en-US" w:eastAsia="zh-CN"/>
        </w:rPr>
        <w:t>砷化镓</w:t>
      </w:r>
      <w:r>
        <w:rPr>
          <w:rFonts w:hint="eastAsia" w:ascii="宋体" w:hAnsi="宋体" w:eastAsia="宋体" w:cs="宋体"/>
          <w:spacing w:val="-2"/>
          <w:sz w:val="21"/>
          <w:szCs w:val="21"/>
        </w:rPr>
        <w:t>单</w:t>
      </w:r>
      <w:r>
        <w:rPr>
          <w:rFonts w:hint="eastAsia" w:ascii="宋体" w:hAnsi="宋体" w:eastAsia="宋体" w:cs="宋体"/>
          <w:spacing w:val="-2"/>
          <w:sz w:val="21"/>
          <w:szCs w:val="21"/>
          <w:lang w:val="en-US" w:eastAsia="zh-CN"/>
        </w:rPr>
        <w:t>晶锭头和锭尾各切2片衬底，然后进行电学性能参数、表面晶向及晶向偏离</w:t>
      </w:r>
      <w:r>
        <w:rPr>
          <w:rFonts w:hint="eastAsia" w:cs="宋体"/>
          <w:spacing w:val="-2"/>
          <w:sz w:val="21"/>
          <w:szCs w:val="21"/>
          <w:lang w:val="en-US" w:eastAsia="zh-CN"/>
        </w:rPr>
        <w:t>和</w:t>
      </w:r>
      <w:r>
        <w:rPr>
          <w:rFonts w:hint="eastAsia" w:ascii="宋体" w:hAnsi="宋体" w:eastAsia="宋体" w:cs="宋体"/>
          <w:sz w:val="21"/>
          <w:szCs w:val="21"/>
        </w:rPr>
        <w:t>位错密度的检验</w:t>
      </w:r>
      <w:r>
        <w:rPr>
          <w:rFonts w:hint="eastAsia" w:cs="宋体"/>
          <w:sz w:val="21"/>
          <w:szCs w:val="21"/>
          <w:lang w:eastAsia="zh-CN"/>
        </w:rPr>
        <w:t>，</w:t>
      </w:r>
      <w:r>
        <w:rPr>
          <w:rFonts w:hint="eastAsia" w:cs="宋体"/>
          <w:sz w:val="21"/>
          <w:szCs w:val="21"/>
          <w:lang w:val="en-US" w:eastAsia="zh-CN"/>
        </w:rPr>
        <w:t>砷化镓单晶切割后，每条需要1片进行复测表面晶向和晶向偏离度</w:t>
      </w:r>
      <w:r>
        <w:rPr>
          <w:rFonts w:hint="eastAsia" w:ascii="宋体" w:hAnsi="宋体" w:eastAsia="宋体" w:cs="宋体"/>
          <w:sz w:val="21"/>
          <w:szCs w:val="21"/>
        </w:rPr>
        <w:t>。</w:t>
      </w:r>
    </w:p>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40" w:rightChars="0"/>
        <w:jc w:val="left"/>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7.4.1.1</w:t>
      </w:r>
      <w:r>
        <w:rPr>
          <w:rFonts w:hint="eastAsia" w:ascii="宋体" w:hAnsi="宋体" w:eastAsia="宋体" w:cs="宋体"/>
          <w:sz w:val="21"/>
          <w:szCs w:val="21"/>
          <w:lang w:val="en-US" w:eastAsia="zh-CN"/>
        </w:rPr>
        <w:t xml:space="preserve"> 采用传统的霍尔测量方法进行电学性能参数检验时，检验规则及合格判据应符合表</w:t>
      </w:r>
      <w:r>
        <w:rPr>
          <w:rFonts w:hint="eastAsia" w:cs="宋体"/>
          <w:sz w:val="21"/>
          <w:szCs w:val="21"/>
          <w:lang w:val="en-US" w:eastAsia="zh-CN"/>
        </w:rPr>
        <w:t>8</w:t>
      </w:r>
      <w:r>
        <w:rPr>
          <w:rFonts w:hint="eastAsia" w:ascii="宋体" w:hAnsi="宋体" w:eastAsia="宋体" w:cs="宋体"/>
          <w:sz w:val="21"/>
          <w:szCs w:val="21"/>
          <w:lang w:val="en-US" w:eastAsia="zh-CN"/>
        </w:rPr>
        <w:t>的规定。</w:t>
      </w:r>
    </w:p>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afterLines="50" w:line="240" w:lineRule="auto"/>
        <w:ind w:right="0" w:rightChars="0"/>
        <w:jc w:val="center"/>
        <w:textAlignment w:val="auto"/>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表8</w:t>
      </w:r>
    </w:p>
    <w:tbl>
      <w:tblPr>
        <w:tblStyle w:val="10"/>
        <w:tblW w:w="0" w:type="auto"/>
        <w:tblInd w:w="14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547"/>
        <w:gridCol w:w="2148"/>
        <w:gridCol w:w="1013"/>
        <w:gridCol w:w="2949"/>
        <w:gridCol w:w="11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77" w:type="dxa"/>
            <w:tcBorders>
              <w:bottom w:val="single" w:color="auto" w:sz="8" w:space="0"/>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1547" w:type="dxa"/>
            <w:tcBorders>
              <w:bottom w:val="single" w:color="auto" w:sz="8" w:space="0"/>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检验项目</w:t>
            </w:r>
          </w:p>
        </w:tc>
        <w:tc>
          <w:tcPr>
            <w:tcW w:w="2148" w:type="dxa"/>
            <w:tcBorders>
              <w:bottom w:val="single" w:color="auto" w:sz="8" w:space="0"/>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要求条款号</w:t>
            </w:r>
          </w:p>
        </w:tc>
        <w:tc>
          <w:tcPr>
            <w:tcW w:w="1013" w:type="dxa"/>
            <w:tcBorders>
              <w:bottom w:val="single" w:color="auto" w:sz="8" w:space="0"/>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检验方法</w:t>
            </w:r>
          </w:p>
        </w:tc>
        <w:tc>
          <w:tcPr>
            <w:tcW w:w="2949" w:type="dxa"/>
            <w:tcBorders>
              <w:bottom w:val="single" w:color="auto" w:sz="8" w:space="0"/>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检验规则</w:t>
            </w:r>
          </w:p>
        </w:tc>
        <w:tc>
          <w:tcPr>
            <w:tcW w:w="1123" w:type="dxa"/>
            <w:tcBorders>
              <w:bottom w:val="single" w:color="auto" w:sz="8" w:space="0"/>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允许不合格数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77" w:type="dxa"/>
            <w:tcBorders>
              <w:top w:val="single" w:color="auto" w:sz="8" w:space="0"/>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547" w:type="dxa"/>
            <w:tcBorders>
              <w:top w:val="single" w:color="auto" w:sz="8" w:space="0"/>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电阻率</w:t>
            </w:r>
          </w:p>
        </w:tc>
        <w:tc>
          <w:tcPr>
            <w:tcW w:w="2148" w:type="dxa"/>
            <w:tcBorders>
              <w:top w:val="single" w:color="auto" w:sz="8" w:space="0"/>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5.1的表</w:t>
            </w:r>
            <w:r>
              <w:rPr>
                <w:rFonts w:hint="eastAsia" w:cs="宋体"/>
                <w:sz w:val="18"/>
                <w:szCs w:val="18"/>
                <w:vertAlign w:val="baseline"/>
                <w:lang w:val="en-US" w:eastAsia="zh-CN"/>
              </w:rPr>
              <w:t>2</w:t>
            </w:r>
            <w:r>
              <w:rPr>
                <w:rFonts w:hint="eastAsia" w:ascii="宋体" w:hAnsi="宋体" w:eastAsia="宋体" w:cs="宋体"/>
                <w:sz w:val="18"/>
                <w:szCs w:val="18"/>
                <w:vertAlign w:val="baseline"/>
                <w:lang w:val="en-US" w:eastAsia="zh-CN"/>
              </w:rPr>
              <w:t>中的第三列</w:t>
            </w:r>
          </w:p>
        </w:tc>
        <w:tc>
          <w:tcPr>
            <w:tcW w:w="1013" w:type="dxa"/>
            <w:tcBorders>
              <w:top w:val="single" w:color="auto" w:sz="8" w:space="0"/>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6.1.1.1</w:t>
            </w:r>
          </w:p>
        </w:tc>
        <w:tc>
          <w:tcPr>
            <w:tcW w:w="2949" w:type="dxa"/>
            <w:vMerge w:val="restart"/>
            <w:tcBorders>
              <w:top w:val="single" w:color="auto" w:sz="8" w:space="0"/>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4块（指由1根晶锭头和尾部所切1晶片的中心点和边缘到1/3位置之间所取的共4片测试样块</w:t>
            </w:r>
          </w:p>
        </w:tc>
        <w:tc>
          <w:tcPr>
            <w:tcW w:w="1123" w:type="dxa"/>
            <w:vMerge w:val="restart"/>
            <w:tcBorders>
              <w:top w:val="single" w:color="auto" w:sz="8" w:space="0"/>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77" w:type="dxa"/>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1547" w:type="dxa"/>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迁移率</w:t>
            </w:r>
          </w:p>
        </w:tc>
        <w:tc>
          <w:tcPr>
            <w:tcW w:w="2148" w:type="dxa"/>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vertAlign w:val="baseline"/>
                <w:lang w:val="en-US" w:eastAsia="zh-CN" w:bidi="ar-SA"/>
              </w:rPr>
            </w:pPr>
            <w:r>
              <w:rPr>
                <w:rFonts w:hint="eastAsia" w:ascii="宋体" w:hAnsi="宋体" w:eastAsia="宋体" w:cs="宋体"/>
                <w:sz w:val="18"/>
                <w:szCs w:val="18"/>
                <w:vertAlign w:val="baseline"/>
                <w:lang w:val="en-US" w:eastAsia="zh-CN"/>
              </w:rPr>
              <w:t>5.1的表</w:t>
            </w:r>
            <w:r>
              <w:rPr>
                <w:rFonts w:hint="eastAsia" w:cs="宋体"/>
                <w:sz w:val="18"/>
                <w:szCs w:val="18"/>
                <w:vertAlign w:val="baseline"/>
                <w:lang w:val="en-US" w:eastAsia="zh-CN"/>
              </w:rPr>
              <w:t>2</w:t>
            </w:r>
            <w:r>
              <w:rPr>
                <w:rFonts w:hint="eastAsia" w:ascii="宋体" w:hAnsi="宋体" w:eastAsia="宋体" w:cs="宋体"/>
                <w:sz w:val="18"/>
                <w:szCs w:val="18"/>
                <w:vertAlign w:val="baseline"/>
                <w:lang w:val="en-US" w:eastAsia="zh-CN"/>
              </w:rPr>
              <w:t>中的第四列</w:t>
            </w:r>
          </w:p>
        </w:tc>
        <w:tc>
          <w:tcPr>
            <w:tcW w:w="1013" w:type="dxa"/>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6.1.2.1</w:t>
            </w:r>
          </w:p>
        </w:tc>
        <w:tc>
          <w:tcPr>
            <w:tcW w:w="2949" w:type="dxa"/>
            <w:vMerge w:val="continue"/>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p>
        </w:tc>
        <w:tc>
          <w:tcPr>
            <w:tcW w:w="1123" w:type="dxa"/>
            <w:vMerge w:val="continue"/>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77" w:type="dxa"/>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tc>
        <w:tc>
          <w:tcPr>
            <w:tcW w:w="1547" w:type="dxa"/>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载流子浓度</w:t>
            </w:r>
          </w:p>
        </w:tc>
        <w:tc>
          <w:tcPr>
            <w:tcW w:w="2148" w:type="dxa"/>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vertAlign w:val="baseline"/>
                <w:lang w:val="en-US" w:eastAsia="zh-CN" w:bidi="ar-SA"/>
              </w:rPr>
            </w:pPr>
            <w:r>
              <w:rPr>
                <w:rFonts w:hint="eastAsia" w:ascii="宋体" w:hAnsi="宋体" w:eastAsia="宋体" w:cs="宋体"/>
                <w:sz w:val="18"/>
                <w:szCs w:val="18"/>
                <w:vertAlign w:val="baseline"/>
                <w:lang w:val="en-US" w:eastAsia="zh-CN"/>
              </w:rPr>
              <w:t>5.1的表</w:t>
            </w:r>
            <w:r>
              <w:rPr>
                <w:rFonts w:hint="eastAsia" w:cs="宋体"/>
                <w:sz w:val="18"/>
                <w:szCs w:val="18"/>
                <w:vertAlign w:val="baseline"/>
                <w:lang w:val="en-US" w:eastAsia="zh-CN"/>
              </w:rPr>
              <w:t>2</w:t>
            </w:r>
            <w:r>
              <w:rPr>
                <w:rFonts w:hint="eastAsia" w:ascii="宋体" w:hAnsi="宋体" w:eastAsia="宋体" w:cs="宋体"/>
                <w:sz w:val="18"/>
                <w:szCs w:val="18"/>
                <w:vertAlign w:val="baseline"/>
                <w:lang w:val="en-US" w:eastAsia="zh-CN"/>
              </w:rPr>
              <w:t>中的第五列</w:t>
            </w:r>
          </w:p>
        </w:tc>
        <w:tc>
          <w:tcPr>
            <w:tcW w:w="1013" w:type="dxa"/>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6.1.3.1</w:t>
            </w:r>
          </w:p>
        </w:tc>
        <w:tc>
          <w:tcPr>
            <w:tcW w:w="2949" w:type="dxa"/>
            <w:vMerge w:val="continue"/>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p>
        </w:tc>
        <w:tc>
          <w:tcPr>
            <w:tcW w:w="1123" w:type="dxa"/>
            <w:vMerge w:val="continue"/>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77" w:type="dxa"/>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w:t>
            </w:r>
          </w:p>
        </w:tc>
        <w:tc>
          <w:tcPr>
            <w:tcW w:w="1547" w:type="dxa"/>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表面晶向及晶向偏离</w:t>
            </w:r>
          </w:p>
        </w:tc>
        <w:tc>
          <w:tcPr>
            <w:tcW w:w="2148" w:type="dxa"/>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5.4</w:t>
            </w:r>
          </w:p>
        </w:tc>
        <w:tc>
          <w:tcPr>
            <w:tcW w:w="1013" w:type="dxa"/>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6.2</w:t>
            </w:r>
          </w:p>
        </w:tc>
        <w:tc>
          <w:tcPr>
            <w:tcW w:w="2949" w:type="dxa"/>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2块（指由1根晶锭头和尾部所切的、进行电性能测试后晶片剩余部分所取的测试样块</w:t>
            </w:r>
            <w:r>
              <w:rPr>
                <w:rFonts w:hint="eastAsia" w:cs="宋体"/>
                <w:sz w:val="18"/>
                <w:szCs w:val="18"/>
                <w:vertAlign w:val="baseline"/>
                <w:lang w:val="en-US" w:eastAsia="zh-CN"/>
              </w:rPr>
              <w:t>），切割后取1片复测表面晶向和晶向偏离度</w:t>
            </w:r>
          </w:p>
        </w:tc>
        <w:tc>
          <w:tcPr>
            <w:tcW w:w="1123" w:type="dxa"/>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77" w:type="dxa"/>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w:t>
            </w:r>
          </w:p>
        </w:tc>
        <w:tc>
          <w:tcPr>
            <w:tcW w:w="1547" w:type="dxa"/>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位错密度</w:t>
            </w:r>
          </w:p>
        </w:tc>
        <w:tc>
          <w:tcPr>
            <w:tcW w:w="2148" w:type="dxa"/>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5.6</w:t>
            </w:r>
          </w:p>
        </w:tc>
        <w:tc>
          <w:tcPr>
            <w:tcW w:w="1013" w:type="dxa"/>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6.3</w:t>
            </w:r>
          </w:p>
        </w:tc>
        <w:tc>
          <w:tcPr>
            <w:tcW w:w="2949" w:type="dxa"/>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2片（指由1根晶锭头和尾部所切的另外各1整片晶片）</w:t>
            </w:r>
          </w:p>
        </w:tc>
        <w:tc>
          <w:tcPr>
            <w:tcW w:w="1123" w:type="dxa"/>
            <w:tcBorders>
              <w:tl2br w:val="nil"/>
              <w:tr2bl w:val="nil"/>
            </w:tcBorders>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w:t>
            </w:r>
          </w:p>
        </w:tc>
      </w:tr>
    </w:tbl>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7.4.1.2</w:t>
      </w:r>
      <w:r>
        <w:rPr>
          <w:rFonts w:hint="eastAsia" w:ascii="宋体" w:hAnsi="宋体" w:eastAsia="宋体" w:cs="宋体"/>
          <w:b/>
          <w:bCs/>
          <w:sz w:val="21"/>
          <w:szCs w:val="21"/>
          <w:lang w:val="en-US" w:eastAsia="zh-CN"/>
        </w:rPr>
        <w:t xml:space="preserve"> </w:t>
      </w:r>
      <w:r>
        <w:rPr>
          <w:rFonts w:hint="eastAsia" w:cs="宋体"/>
          <w:b/>
          <w:bCs/>
          <w:sz w:val="21"/>
          <w:szCs w:val="21"/>
          <w:lang w:val="en-US" w:eastAsia="zh-CN"/>
        </w:rPr>
        <w:t xml:space="preserve"> </w:t>
      </w:r>
      <w:r>
        <w:rPr>
          <w:rFonts w:hint="eastAsia" w:ascii="宋体" w:hAnsi="宋体" w:eastAsia="宋体" w:cs="宋体"/>
          <w:sz w:val="21"/>
          <w:szCs w:val="21"/>
          <w:lang w:val="en-US" w:eastAsia="zh-CN"/>
        </w:rPr>
        <w:t>采用非破坏性的方块电阻测试仪和迁移率、载流子浓度测试来进行电学性能参数检验时，检验规则及合格判据应符合表8的规定。</w:t>
      </w:r>
    </w:p>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表8</w:t>
      </w:r>
    </w:p>
    <w:tbl>
      <w:tblPr>
        <w:tblStyle w:val="10"/>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678"/>
        <w:gridCol w:w="2068"/>
        <w:gridCol w:w="1160"/>
        <w:gridCol w:w="2771"/>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29"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1678"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检验项目</w:t>
            </w:r>
          </w:p>
        </w:tc>
        <w:tc>
          <w:tcPr>
            <w:tcW w:w="2068"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要求条款号</w:t>
            </w:r>
          </w:p>
        </w:tc>
        <w:tc>
          <w:tcPr>
            <w:tcW w:w="1160"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检验方法</w:t>
            </w:r>
          </w:p>
        </w:tc>
        <w:tc>
          <w:tcPr>
            <w:tcW w:w="2771"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检验规则</w:t>
            </w:r>
          </w:p>
        </w:tc>
        <w:tc>
          <w:tcPr>
            <w:tcW w:w="1350"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允许不合格数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29"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678"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电阻率</w:t>
            </w:r>
          </w:p>
        </w:tc>
        <w:tc>
          <w:tcPr>
            <w:tcW w:w="2068"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5.1的表</w:t>
            </w:r>
            <w:r>
              <w:rPr>
                <w:rFonts w:hint="eastAsia" w:cs="宋体"/>
                <w:sz w:val="18"/>
                <w:szCs w:val="18"/>
                <w:vertAlign w:val="baseline"/>
                <w:lang w:val="en-US" w:eastAsia="zh-CN"/>
              </w:rPr>
              <w:t>2</w:t>
            </w:r>
            <w:r>
              <w:rPr>
                <w:rFonts w:hint="eastAsia" w:ascii="宋体" w:hAnsi="宋体" w:eastAsia="宋体" w:cs="宋体"/>
                <w:sz w:val="18"/>
                <w:szCs w:val="18"/>
                <w:vertAlign w:val="baseline"/>
                <w:lang w:val="en-US" w:eastAsia="zh-CN"/>
              </w:rPr>
              <w:t>中的第三列</w:t>
            </w:r>
          </w:p>
        </w:tc>
        <w:tc>
          <w:tcPr>
            <w:tcW w:w="1160"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6.1.1.1</w:t>
            </w:r>
          </w:p>
        </w:tc>
        <w:tc>
          <w:tcPr>
            <w:tcW w:w="2771" w:type="dxa"/>
            <w:vMerge w:val="restart"/>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2片（指由1根晶锭头和尾部所切的另外各1整片晶片）</w:t>
            </w:r>
          </w:p>
        </w:tc>
        <w:tc>
          <w:tcPr>
            <w:tcW w:w="1350" w:type="dxa"/>
            <w:vMerge w:val="restart"/>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29"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1678"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迁移率</w:t>
            </w:r>
          </w:p>
        </w:tc>
        <w:tc>
          <w:tcPr>
            <w:tcW w:w="2068"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vertAlign w:val="baseline"/>
                <w:lang w:val="en-US" w:eastAsia="zh-CN" w:bidi="ar-SA"/>
              </w:rPr>
            </w:pPr>
            <w:r>
              <w:rPr>
                <w:rFonts w:hint="eastAsia" w:ascii="宋体" w:hAnsi="宋体" w:eastAsia="宋体" w:cs="宋体"/>
                <w:sz w:val="18"/>
                <w:szCs w:val="18"/>
                <w:vertAlign w:val="baseline"/>
                <w:lang w:val="en-US" w:eastAsia="zh-CN"/>
              </w:rPr>
              <w:t>5.1的表</w:t>
            </w:r>
            <w:r>
              <w:rPr>
                <w:rFonts w:hint="eastAsia" w:cs="宋体"/>
                <w:sz w:val="18"/>
                <w:szCs w:val="18"/>
                <w:vertAlign w:val="baseline"/>
                <w:lang w:val="en-US" w:eastAsia="zh-CN"/>
              </w:rPr>
              <w:t>2</w:t>
            </w:r>
            <w:r>
              <w:rPr>
                <w:rFonts w:hint="eastAsia" w:ascii="宋体" w:hAnsi="宋体" w:eastAsia="宋体" w:cs="宋体"/>
                <w:sz w:val="18"/>
                <w:szCs w:val="18"/>
                <w:vertAlign w:val="baseline"/>
                <w:lang w:val="en-US" w:eastAsia="zh-CN"/>
              </w:rPr>
              <w:t>中的第四列</w:t>
            </w:r>
          </w:p>
        </w:tc>
        <w:tc>
          <w:tcPr>
            <w:tcW w:w="1160"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6.1.2.1</w:t>
            </w:r>
          </w:p>
        </w:tc>
        <w:tc>
          <w:tcPr>
            <w:tcW w:w="2771" w:type="dxa"/>
            <w:vMerge w:val="continue"/>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p>
        </w:tc>
        <w:tc>
          <w:tcPr>
            <w:tcW w:w="1350" w:type="dxa"/>
            <w:vMerge w:val="continue"/>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29"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tc>
        <w:tc>
          <w:tcPr>
            <w:tcW w:w="1678"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载流子浓度</w:t>
            </w:r>
          </w:p>
        </w:tc>
        <w:tc>
          <w:tcPr>
            <w:tcW w:w="2068"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sz w:val="18"/>
                <w:szCs w:val="18"/>
                <w:vertAlign w:val="baseline"/>
                <w:lang w:val="en-US" w:eastAsia="zh-CN" w:bidi="ar-SA"/>
              </w:rPr>
            </w:pPr>
            <w:r>
              <w:rPr>
                <w:rFonts w:hint="eastAsia" w:ascii="宋体" w:hAnsi="宋体" w:eastAsia="宋体" w:cs="宋体"/>
                <w:sz w:val="18"/>
                <w:szCs w:val="18"/>
                <w:vertAlign w:val="baseline"/>
                <w:lang w:val="en-US" w:eastAsia="zh-CN"/>
              </w:rPr>
              <w:t>5.1的表</w:t>
            </w:r>
            <w:r>
              <w:rPr>
                <w:rFonts w:hint="eastAsia" w:cs="宋体"/>
                <w:sz w:val="18"/>
                <w:szCs w:val="18"/>
                <w:vertAlign w:val="baseline"/>
                <w:lang w:val="en-US" w:eastAsia="zh-CN"/>
              </w:rPr>
              <w:t>2</w:t>
            </w:r>
            <w:r>
              <w:rPr>
                <w:rFonts w:hint="eastAsia" w:ascii="宋体" w:hAnsi="宋体" w:eastAsia="宋体" w:cs="宋体"/>
                <w:sz w:val="18"/>
                <w:szCs w:val="18"/>
                <w:vertAlign w:val="baseline"/>
                <w:lang w:val="en-US" w:eastAsia="zh-CN"/>
              </w:rPr>
              <w:t>中的第五列</w:t>
            </w:r>
          </w:p>
        </w:tc>
        <w:tc>
          <w:tcPr>
            <w:tcW w:w="1160"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6.1.3.1</w:t>
            </w:r>
          </w:p>
        </w:tc>
        <w:tc>
          <w:tcPr>
            <w:tcW w:w="2771" w:type="dxa"/>
            <w:vMerge w:val="continue"/>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p>
        </w:tc>
        <w:tc>
          <w:tcPr>
            <w:tcW w:w="1350" w:type="dxa"/>
            <w:vMerge w:val="continue"/>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9"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w:t>
            </w:r>
          </w:p>
        </w:tc>
        <w:tc>
          <w:tcPr>
            <w:tcW w:w="1678"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表面晶向及晶向偏离</w:t>
            </w:r>
          </w:p>
        </w:tc>
        <w:tc>
          <w:tcPr>
            <w:tcW w:w="2068"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5.4</w:t>
            </w:r>
          </w:p>
        </w:tc>
        <w:tc>
          <w:tcPr>
            <w:tcW w:w="1160"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6.2</w:t>
            </w:r>
          </w:p>
        </w:tc>
        <w:tc>
          <w:tcPr>
            <w:tcW w:w="2771"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2块（指由1根晶锭头和尾部所切的、进行电性能测试后晶片剩余部分所取的测试样块</w:t>
            </w:r>
            <w:r>
              <w:rPr>
                <w:rFonts w:hint="eastAsia" w:cs="宋体"/>
                <w:sz w:val="18"/>
                <w:szCs w:val="18"/>
                <w:vertAlign w:val="baseline"/>
                <w:lang w:val="en-US" w:eastAsia="zh-CN"/>
              </w:rPr>
              <w:t>）切割后取1片复测表面晶向和晶向偏离度</w:t>
            </w:r>
          </w:p>
        </w:tc>
        <w:tc>
          <w:tcPr>
            <w:tcW w:w="1350"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29"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w:t>
            </w:r>
          </w:p>
        </w:tc>
        <w:tc>
          <w:tcPr>
            <w:tcW w:w="1678"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位错密度</w:t>
            </w:r>
          </w:p>
        </w:tc>
        <w:tc>
          <w:tcPr>
            <w:tcW w:w="2068"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5.6</w:t>
            </w:r>
          </w:p>
        </w:tc>
        <w:tc>
          <w:tcPr>
            <w:tcW w:w="1160"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6.3</w:t>
            </w:r>
          </w:p>
        </w:tc>
        <w:tc>
          <w:tcPr>
            <w:tcW w:w="2771"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2片（指由1根晶锭头和尾部所切的另外各1整片晶片）</w:t>
            </w:r>
          </w:p>
        </w:tc>
        <w:tc>
          <w:tcPr>
            <w:tcW w:w="1350" w:type="dxa"/>
            <w:vAlign w:val="center"/>
          </w:tcPr>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w:t>
            </w:r>
          </w:p>
        </w:tc>
      </w:tr>
    </w:tbl>
    <w:p>
      <w:pPr>
        <w:pStyle w:val="6"/>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p>
    <w:p>
      <w:pPr>
        <w:pStyle w:val="6"/>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7.4.2</w:t>
      </w:r>
      <w:r>
        <w:rPr>
          <w:rFonts w:hint="eastAsia" w:ascii="宋体" w:hAnsi="宋体" w:eastAsia="宋体" w:cs="宋体"/>
          <w:sz w:val="21"/>
          <w:szCs w:val="21"/>
          <w:lang w:val="en-US" w:eastAsia="zh-CN"/>
        </w:rPr>
        <w:t xml:space="preserve"> </w:t>
      </w:r>
      <w:r>
        <w:rPr>
          <w:rFonts w:hint="eastAsia" w:cs="宋体"/>
          <w:sz w:val="21"/>
          <w:szCs w:val="21"/>
          <w:lang w:val="en-US" w:eastAsia="zh-CN"/>
        </w:rPr>
        <w:t xml:space="preserve"> </w:t>
      </w:r>
      <w:r>
        <w:rPr>
          <w:rFonts w:hint="eastAsia" w:ascii="宋体" w:hAnsi="宋体" w:eastAsia="宋体" w:cs="宋体"/>
          <w:sz w:val="21"/>
          <w:szCs w:val="21"/>
        </w:rPr>
        <w:t>每个检验批</w:t>
      </w:r>
      <w:r>
        <w:rPr>
          <w:rFonts w:hint="eastAsia" w:ascii="宋体" w:hAnsi="宋体" w:eastAsia="宋体" w:cs="宋体"/>
          <w:sz w:val="21"/>
          <w:szCs w:val="21"/>
          <w:lang w:val="en-US" w:eastAsia="zh-CN"/>
        </w:rPr>
        <w:t>砷化镓</w:t>
      </w:r>
      <w:r>
        <w:rPr>
          <w:rFonts w:hint="eastAsia" w:ascii="宋体" w:hAnsi="宋体" w:eastAsia="宋体" w:cs="宋体"/>
          <w:sz w:val="21"/>
          <w:szCs w:val="21"/>
        </w:rPr>
        <w:t>衬底的表面质量</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晶向及晶向偏离度、</w:t>
      </w:r>
      <w:r>
        <w:rPr>
          <w:rFonts w:hint="eastAsia" w:ascii="宋体" w:hAnsi="宋体" w:eastAsia="宋体" w:cs="宋体"/>
          <w:color w:val="auto"/>
          <w:sz w:val="21"/>
          <w:szCs w:val="21"/>
        </w:rPr>
        <w:t>参考面取向和参考面或切口位置、尺寸及外形几何尺寸检验项目的检验规则及合格判据应符合表</w:t>
      </w:r>
      <w:r>
        <w:rPr>
          <w:rFonts w:hint="eastAsia" w:cs="宋体"/>
          <w:color w:val="auto"/>
          <w:w w:val="95"/>
          <w:sz w:val="21"/>
          <w:szCs w:val="21"/>
          <w:lang w:val="en-US" w:eastAsia="zh-CN"/>
        </w:rPr>
        <w:t>9</w:t>
      </w:r>
      <w:r>
        <w:rPr>
          <w:rFonts w:hint="eastAsia" w:ascii="宋体" w:hAnsi="宋体" w:eastAsia="宋体" w:cs="宋体"/>
          <w:color w:val="auto"/>
          <w:spacing w:val="-41"/>
          <w:w w:val="95"/>
          <w:sz w:val="21"/>
          <w:szCs w:val="21"/>
        </w:rPr>
        <w:t xml:space="preserve"> </w:t>
      </w:r>
      <w:r>
        <w:rPr>
          <w:rFonts w:hint="eastAsia" w:ascii="宋体" w:hAnsi="宋体" w:eastAsia="宋体" w:cs="宋体"/>
          <w:color w:val="auto"/>
          <w:sz w:val="21"/>
          <w:szCs w:val="21"/>
        </w:rPr>
        <w:t>的规定，抽样方案按</w:t>
      </w:r>
      <w:r>
        <w:rPr>
          <w:rFonts w:hint="eastAsia" w:ascii="宋体" w:hAnsi="宋体" w:eastAsia="宋体" w:cs="宋体"/>
          <w:color w:val="auto"/>
          <w:w w:val="85"/>
          <w:sz w:val="21"/>
          <w:szCs w:val="21"/>
        </w:rPr>
        <w:t>GB/T</w:t>
      </w:r>
      <w:r>
        <w:rPr>
          <w:rFonts w:hint="eastAsia" w:ascii="宋体" w:hAnsi="宋体" w:eastAsia="宋体" w:cs="宋体"/>
          <w:color w:val="auto"/>
          <w:w w:val="85"/>
          <w:sz w:val="21"/>
          <w:szCs w:val="21"/>
          <w:lang w:val="en-US" w:eastAsia="zh-CN"/>
        </w:rPr>
        <w:t xml:space="preserve"> </w:t>
      </w:r>
      <w:r>
        <w:rPr>
          <w:rFonts w:hint="eastAsia" w:ascii="宋体" w:hAnsi="宋体" w:eastAsia="宋体" w:cs="宋体"/>
          <w:color w:val="auto"/>
          <w:w w:val="95"/>
          <w:sz w:val="21"/>
          <w:szCs w:val="21"/>
        </w:rPr>
        <w:t>2828.1</w:t>
      </w:r>
      <w:r>
        <w:rPr>
          <w:rFonts w:hint="eastAsia" w:ascii="宋体" w:hAnsi="宋体" w:eastAsia="宋体" w:cs="宋体"/>
          <w:color w:val="auto"/>
          <w:spacing w:val="-2"/>
          <w:w w:val="95"/>
          <w:sz w:val="21"/>
          <w:szCs w:val="21"/>
        </w:rPr>
        <w:t xml:space="preserve"> </w:t>
      </w:r>
      <w:r>
        <w:rPr>
          <w:rFonts w:hint="eastAsia" w:ascii="宋体" w:hAnsi="宋体" w:eastAsia="宋体" w:cs="宋体"/>
          <w:color w:val="auto"/>
          <w:sz w:val="21"/>
          <w:szCs w:val="21"/>
        </w:rPr>
        <w:t>一次正常抽样方法进行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IL=</w:t>
      </w:r>
      <w:r>
        <w:rPr>
          <w:rFonts w:hint="eastAsia" w:ascii="宋体" w:hAnsi="宋体" w:eastAsia="宋体" w:cs="宋体"/>
          <w:color w:val="auto"/>
          <w:sz w:val="21"/>
          <w:szCs w:val="21"/>
          <w:vertAlign w:val="baseline"/>
          <w:lang w:val="en-US" w:eastAsia="zh-CN"/>
        </w:rPr>
        <w:t>Ⅱ,AQL=6.5。</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240" w:lineRule="auto"/>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表9</w:t>
      </w:r>
    </w:p>
    <w:tbl>
      <w:tblPr>
        <w:tblStyle w:val="10"/>
        <w:tblW w:w="9577" w:type="dxa"/>
        <w:tblInd w:w="21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3037"/>
        <w:gridCol w:w="2102"/>
        <w:gridCol w:w="1489"/>
        <w:gridCol w:w="1022"/>
        <w:gridCol w:w="10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7"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037"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检验项目</w:t>
            </w:r>
          </w:p>
        </w:tc>
        <w:tc>
          <w:tcPr>
            <w:tcW w:w="210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要求条款号</w:t>
            </w:r>
          </w:p>
        </w:tc>
        <w:tc>
          <w:tcPr>
            <w:tcW w:w="1489"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检验方法</w:t>
            </w:r>
          </w:p>
        </w:tc>
        <w:tc>
          <w:tcPr>
            <w:tcW w:w="2042"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GB/T 2828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07" w:type="dxa"/>
            <w:vMerge w:val="continue"/>
            <w:tcBorders>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p>
        </w:tc>
        <w:tc>
          <w:tcPr>
            <w:tcW w:w="3037" w:type="dxa"/>
            <w:vMerge w:val="continue"/>
            <w:tcBorders>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p>
        </w:tc>
        <w:tc>
          <w:tcPr>
            <w:tcW w:w="2102" w:type="dxa"/>
            <w:vMerge w:val="continue"/>
            <w:tcBorders>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p>
        </w:tc>
        <w:tc>
          <w:tcPr>
            <w:tcW w:w="1489" w:type="dxa"/>
            <w:vMerge w:val="continue"/>
            <w:tcBorders>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p>
        </w:tc>
        <w:tc>
          <w:tcPr>
            <w:tcW w:w="1022" w:type="dxa"/>
            <w:tcBorders>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IL</w:t>
            </w:r>
          </w:p>
        </w:tc>
        <w:tc>
          <w:tcPr>
            <w:tcW w:w="1020" w:type="dxa"/>
            <w:tcBorders>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AQL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7" w:type="dxa"/>
            <w:tcBorders>
              <w:top w:val="single" w:color="auto"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037" w:type="dxa"/>
            <w:tcBorders>
              <w:top w:val="single" w:color="auto"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表面质量</w:t>
            </w:r>
          </w:p>
        </w:tc>
        <w:tc>
          <w:tcPr>
            <w:tcW w:w="2102" w:type="dxa"/>
            <w:tcBorders>
              <w:top w:val="single" w:color="auto"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5.2</w:t>
            </w:r>
          </w:p>
        </w:tc>
        <w:tc>
          <w:tcPr>
            <w:tcW w:w="1489" w:type="dxa"/>
            <w:tcBorders>
              <w:top w:val="single" w:color="auto"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6.4</w:t>
            </w:r>
          </w:p>
        </w:tc>
        <w:tc>
          <w:tcPr>
            <w:tcW w:w="1022" w:type="dxa"/>
            <w:vMerge w:val="restart"/>
            <w:tcBorders>
              <w:top w:val="single" w:color="auto"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Ⅱ</w:t>
            </w:r>
          </w:p>
        </w:tc>
        <w:tc>
          <w:tcPr>
            <w:tcW w:w="1020" w:type="dxa"/>
            <w:vMerge w:val="restart"/>
            <w:tcBorders>
              <w:top w:val="single" w:color="auto"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03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参考面取向、形状和尺寸</w:t>
            </w:r>
          </w:p>
        </w:tc>
        <w:tc>
          <w:tcPr>
            <w:tcW w:w="210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5.3</w:t>
            </w:r>
          </w:p>
        </w:tc>
        <w:tc>
          <w:tcPr>
            <w:tcW w:w="148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6.5</w:t>
            </w:r>
          </w:p>
        </w:tc>
        <w:tc>
          <w:tcPr>
            <w:tcW w:w="102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p>
        </w:tc>
        <w:tc>
          <w:tcPr>
            <w:tcW w:w="102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303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直径及允许偏差</w:t>
            </w:r>
          </w:p>
        </w:tc>
        <w:tc>
          <w:tcPr>
            <w:tcW w:w="210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5.5的表</w:t>
            </w:r>
            <w:r>
              <w:rPr>
                <w:rFonts w:hint="eastAsia" w:cs="宋体"/>
                <w:sz w:val="21"/>
                <w:szCs w:val="21"/>
                <w:vertAlign w:val="baseline"/>
                <w:lang w:val="en-US" w:eastAsia="zh-CN"/>
              </w:rPr>
              <w:t>6</w:t>
            </w:r>
            <w:r>
              <w:rPr>
                <w:rFonts w:hint="eastAsia" w:ascii="宋体" w:hAnsi="宋体" w:eastAsia="宋体" w:cs="宋体"/>
                <w:sz w:val="21"/>
                <w:szCs w:val="21"/>
                <w:vertAlign w:val="baseline"/>
                <w:lang w:val="en-US" w:eastAsia="zh-CN"/>
              </w:rPr>
              <w:t>的第1项</w:t>
            </w:r>
          </w:p>
        </w:tc>
        <w:tc>
          <w:tcPr>
            <w:tcW w:w="148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6.6.1</w:t>
            </w:r>
          </w:p>
        </w:tc>
        <w:tc>
          <w:tcPr>
            <w:tcW w:w="102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p>
        </w:tc>
        <w:tc>
          <w:tcPr>
            <w:tcW w:w="102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303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厚度和允许偏差及总厚度变化</w:t>
            </w:r>
          </w:p>
        </w:tc>
        <w:tc>
          <w:tcPr>
            <w:tcW w:w="210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5.5的表</w:t>
            </w:r>
            <w:r>
              <w:rPr>
                <w:rFonts w:hint="eastAsia" w:cs="宋体"/>
                <w:sz w:val="21"/>
                <w:szCs w:val="21"/>
                <w:vertAlign w:val="baseline"/>
                <w:lang w:val="en-US" w:eastAsia="zh-CN"/>
              </w:rPr>
              <w:t>6</w:t>
            </w:r>
            <w:r>
              <w:rPr>
                <w:rFonts w:hint="eastAsia" w:ascii="宋体" w:hAnsi="宋体" w:eastAsia="宋体" w:cs="宋体"/>
                <w:sz w:val="21"/>
                <w:szCs w:val="21"/>
                <w:vertAlign w:val="baseline"/>
                <w:lang w:val="en-US" w:eastAsia="zh-CN"/>
              </w:rPr>
              <w:t>的第2项</w:t>
            </w:r>
          </w:p>
        </w:tc>
        <w:tc>
          <w:tcPr>
            <w:tcW w:w="148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6.6.2</w:t>
            </w:r>
          </w:p>
        </w:tc>
        <w:tc>
          <w:tcPr>
            <w:tcW w:w="102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p>
        </w:tc>
        <w:tc>
          <w:tcPr>
            <w:tcW w:w="102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303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平整度</w:t>
            </w:r>
          </w:p>
        </w:tc>
        <w:tc>
          <w:tcPr>
            <w:tcW w:w="210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5.5的表</w:t>
            </w:r>
            <w:r>
              <w:rPr>
                <w:rFonts w:hint="eastAsia" w:cs="宋体"/>
                <w:sz w:val="21"/>
                <w:szCs w:val="21"/>
                <w:vertAlign w:val="baseline"/>
                <w:lang w:val="en-US" w:eastAsia="zh-CN"/>
              </w:rPr>
              <w:t>6</w:t>
            </w:r>
            <w:r>
              <w:rPr>
                <w:rFonts w:hint="eastAsia" w:ascii="宋体" w:hAnsi="宋体" w:eastAsia="宋体" w:cs="宋体"/>
                <w:sz w:val="21"/>
                <w:szCs w:val="21"/>
                <w:vertAlign w:val="baseline"/>
                <w:lang w:val="en-US" w:eastAsia="zh-CN"/>
              </w:rPr>
              <w:t>的第3项</w:t>
            </w:r>
          </w:p>
        </w:tc>
        <w:tc>
          <w:tcPr>
            <w:tcW w:w="148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6.6.3</w:t>
            </w:r>
          </w:p>
        </w:tc>
        <w:tc>
          <w:tcPr>
            <w:tcW w:w="102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p>
        </w:tc>
        <w:tc>
          <w:tcPr>
            <w:tcW w:w="102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303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晶向及晶向偏离</w:t>
            </w:r>
          </w:p>
        </w:tc>
        <w:tc>
          <w:tcPr>
            <w:tcW w:w="210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5.4</w:t>
            </w:r>
          </w:p>
        </w:tc>
        <w:tc>
          <w:tcPr>
            <w:tcW w:w="148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6.2</w:t>
            </w:r>
          </w:p>
        </w:tc>
        <w:tc>
          <w:tcPr>
            <w:tcW w:w="102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p>
        </w:tc>
        <w:tc>
          <w:tcPr>
            <w:tcW w:w="102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vertAlign w:val="baseline"/>
                <w:lang w:val="en-US" w:eastAsia="zh-CN"/>
              </w:rPr>
            </w:pPr>
          </w:p>
        </w:tc>
      </w:tr>
    </w:tbl>
    <w:p>
      <w:pPr>
        <w:pStyle w:val="13"/>
        <w:keepNext w:val="0"/>
        <w:keepLines w:val="0"/>
        <w:pageBreakBefore w:val="0"/>
        <w:widowControl w:val="0"/>
        <w:numPr>
          <w:ilvl w:val="0"/>
          <w:numId w:val="0"/>
        </w:numPr>
        <w:tabs>
          <w:tab w:val="left" w:pos="647"/>
          <w:tab w:val="left" w:pos="648"/>
        </w:tabs>
        <w:kinsoku/>
        <w:wordWrap/>
        <w:overflowPunct/>
        <w:topLinePunct w:val="0"/>
        <w:autoSpaceDE w:val="0"/>
        <w:autoSpaceDN w:val="0"/>
        <w:bidi w:val="0"/>
        <w:adjustRightInd/>
        <w:snapToGrid/>
        <w:spacing w:before="0" w:beforeLines="50" w:after="0" w:afterLines="50" w:line="240" w:lineRule="auto"/>
        <w:ind w:right="0" w:rightChars="0"/>
        <w:jc w:val="left"/>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7.5  </w:t>
      </w:r>
      <w:r>
        <w:rPr>
          <w:rFonts w:hint="eastAsia" w:ascii="黑体" w:hAnsi="黑体" w:eastAsia="黑体" w:cs="黑体"/>
          <w:sz w:val="21"/>
          <w:szCs w:val="21"/>
        </w:rPr>
        <w:t>检验结果的判定</w:t>
      </w:r>
    </w:p>
    <w:p>
      <w:pPr>
        <w:pStyle w:val="6"/>
        <w:keepNext w:val="0"/>
        <w:keepLines w:val="0"/>
        <w:pageBreakBefore w:val="0"/>
        <w:widowControl w:val="0"/>
        <w:kinsoku/>
        <w:wordWrap/>
        <w:overflowPunct/>
        <w:topLinePunct w:val="0"/>
        <w:autoSpaceDE w:val="0"/>
        <w:autoSpaceDN w:val="0"/>
        <w:bidi w:val="0"/>
        <w:adjustRightInd/>
        <w:snapToGrid/>
        <w:spacing w:before="0" w:after="0" w:line="240" w:lineRule="auto"/>
        <w:ind w:firstLine="420" w:firstLineChars="200"/>
        <w:textAlignment w:val="auto"/>
        <w:rPr>
          <w:rFonts w:hint="eastAsia" w:ascii="宋体" w:hAnsi="宋体" w:eastAsia="宋体" w:cs="宋体"/>
          <w:sz w:val="21"/>
          <w:szCs w:val="21"/>
          <w:lang w:eastAsia="zh-CN"/>
        </w:rPr>
      </w:pPr>
      <w:r>
        <w:rPr>
          <w:rFonts w:hint="eastAsia" w:cs="宋体"/>
          <w:sz w:val="21"/>
          <w:szCs w:val="21"/>
          <w:lang w:val="en-US" w:eastAsia="zh-CN"/>
        </w:rPr>
        <w:t>产品</w:t>
      </w:r>
      <w:r>
        <w:rPr>
          <w:rFonts w:hint="eastAsia" w:ascii="宋体" w:hAnsi="宋体" w:eastAsia="宋体" w:cs="宋体"/>
          <w:sz w:val="21"/>
          <w:szCs w:val="21"/>
          <w:lang w:val="en-US" w:eastAsia="zh-CN"/>
        </w:rPr>
        <w:t>电阻率</w:t>
      </w:r>
      <w:r>
        <w:rPr>
          <w:rFonts w:hint="eastAsia" w:cs="宋体"/>
          <w:sz w:val="21"/>
          <w:szCs w:val="21"/>
          <w:lang w:val="en-US" w:eastAsia="zh-CN"/>
        </w:rPr>
        <w:t>、</w:t>
      </w:r>
      <w:r>
        <w:rPr>
          <w:rFonts w:hint="eastAsia" w:ascii="宋体" w:hAnsi="宋体" w:eastAsia="宋体" w:cs="宋体"/>
          <w:sz w:val="21"/>
          <w:szCs w:val="21"/>
          <w:lang w:val="en-US" w:eastAsia="zh-CN"/>
        </w:rPr>
        <w:t>迁移率</w:t>
      </w:r>
      <w:r>
        <w:rPr>
          <w:rFonts w:hint="eastAsia" w:cs="宋体"/>
          <w:sz w:val="21"/>
          <w:szCs w:val="21"/>
          <w:lang w:val="en-US" w:eastAsia="zh-CN"/>
        </w:rPr>
        <w:t>、</w:t>
      </w:r>
      <w:r>
        <w:rPr>
          <w:rFonts w:hint="eastAsia" w:ascii="宋体" w:hAnsi="宋体" w:eastAsia="宋体" w:cs="宋体"/>
          <w:sz w:val="21"/>
          <w:szCs w:val="21"/>
          <w:lang w:val="en-US" w:eastAsia="zh-CN"/>
        </w:rPr>
        <w:t>载流子浓度</w:t>
      </w:r>
      <w:r>
        <w:rPr>
          <w:rFonts w:hint="eastAsia" w:cs="宋体"/>
          <w:sz w:val="21"/>
          <w:szCs w:val="21"/>
          <w:lang w:val="en-US" w:eastAsia="zh-CN"/>
        </w:rPr>
        <w:t>、</w:t>
      </w:r>
      <w:r>
        <w:rPr>
          <w:rFonts w:hint="eastAsia" w:ascii="宋体" w:hAnsi="宋体" w:eastAsia="宋体" w:cs="宋体"/>
          <w:sz w:val="21"/>
          <w:szCs w:val="21"/>
          <w:lang w:val="en-US" w:eastAsia="zh-CN"/>
        </w:rPr>
        <w:t>表面晶向及晶向偏离</w:t>
      </w:r>
      <w:r>
        <w:rPr>
          <w:rFonts w:hint="eastAsia" w:cs="宋体"/>
          <w:sz w:val="21"/>
          <w:szCs w:val="21"/>
          <w:lang w:val="en-US" w:eastAsia="zh-CN"/>
        </w:rPr>
        <w:t>、</w:t>
      </w:r>
      <w:r>
        <w:rPr>
          <w:rFonts w:hint="eastAsia" w:ascii="宋体" w:hAnsi="宋体" w:eastAsia="宋体" w:cs="宋体"/>
          <w:sz w:val="21"/>
          <w:szCs w:val="21"/>
          <w:lang w:val="en-US" w:eastAsia="zh-CN"/>
        </w:rPr>
        <w:t>位错密度</w:t>
      </w:r>
      <w:r>
        <w:rPr>
          <w:rFonts w:hint="eastAsia" w:cs="宋体"/>
          <w:sz w:val="21"/>
          <w:szCs w:val="21"/>
          <w:lang w:val="en-US" w:eastAsia="zh-CN"/>
        </w:rPr>
        <w:t>的</w:t>
      </w:r>
      <w:r>
        <w:rPr>
          <w:rFonts w:hint="eastAsia" w:ascii="宋体" w:hAnsi="宋体" w:eastAsia="宋体" w:cs="宋体"/>
          <w:sz w:val="21"/>
          <w:szCs w:val="21"/>
        </w:rPr>
        <w:t>检验中有任何一项检验不合格，判该根</w:t>
      </w:r>
      <w:r>
        <w:rPr>
          <w:rFonts w:hint="eastAsia" w:ascii="宋体" w:hAnsi="宋体" w:eastAsia="宋体" w:cs="宋体"/>
          <w:sz w:val="21"/>
          <w:szCs w:val="21"/>
          <w:lang w:val="en-US" w:eastAsia="zh-CN"/>
        </w:rPr>
        <w:t>砷化镓</w:t>
      </w:r>
      <w:r>
        <w:rPr>
          <w:rFonts w:hint="eastAsia" w:ascii="宋体" w:hAnsi="宋体" w:eastAsia="宋体" w:cs="宋体"/>
          <w:sz w:val="21"/>
          <w:szCs w:val="21"/>
        </w:rPr>
        <w:t>单晶</w:t>
      </w:r>
      <w:r>
        <w:rPr>
          <w:rFonts w:hint="eastAsia" w:ascii="宋体" w:hAnsi="宋体" w:eastAsia="宋体" w:cs="宋体"/>
          <w:sz w:val="21"/>
          <w:szCs w:val="21"/>
          <w:lang w:val="en-US" w:eastAsia="zh-CN"/>
        </w:rPr>
        <w:t>锭</w:t>
      </w:r>
      <w:r>
        <w:rPr>
          <w:rFonts w:hint="eastAsia" w:ascii="宋体" w:hAnsi="宋体" w:eastAsia="宋体" w:cs="宋体"/>
          <w:sz w:val="21"/>
          <w:szCs w:val="21"/>
        </w:rPr>
        <w:t>检验批不合格，该单晶</w:t>
      </w:r>
      <w:r>
        <w:rPr>
          <w:rFonts w:hint="eastAsia" w:ascii="宋体" w:hAnsi="宋体" w:eastAsia="宋体" w:cs="宋体"/>
          <w:sz w:val="21"/>
          <w:szCs w:val="21"/>
          <w:lang w:val="en-US" w:eastAsia="zh-CN"/>
        </w:rPr>
        <w:t>锭</w:t>
      </w:r>
      <w:r>
        <w:rPr>
          <w:rFonts w:hint="eastAsia" w:ascii="宋体" w:hAnsi="宋体" w:eastAsia="宋体" w:cs="宋体"/>
          <w:sz w:val="21"/>
          <w:szCs w:val="21"/>
        </w:rPr>
        <w:t>所切的衬底不得进入该产品检验批继续进行后续检验和交付</w:t>
      </w:r>
      <w:r>
        <w:rPr>
          <w:rFonts w:hint="eastAsia" w:ascii="宋体" w:hAnsi="宋体" w:eastAsia="宋体" w:cs="宋体"/>
          <w:sz w:val="21"/>
          <w:szCs w:val="21"/>
          <w:lang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after="0" w:line="240" w:lineRule="auto"/>
        <w:ind w:firstLine="420" w:firstLineChars="200"/>
        <w:textAlignment w:val="auto"/>
        <w:rPr>
          <w:rFonts w:hint="eastAsia" w:ascii="宋体" w:hAnsi="宋体" w:eastAsia="宋体" w:cs="宋体"/>
          <w:sz w:val="21"/>
          <w:szCs w:val="21"/>
          <w:lang w:eastAsia="zh-CN"/>
        </w:rPr>
      </w:pPr>
      <w:r>
        <w:rPr>
          <w:rFonts w:hint="eastAsia" w:cs="宋体"/>
          <w:sz w:val="21"/>
          <w:szCs w:val="21"/>
          <w:lang w:val="en-US" w:eastAsia="zh-CN"/>
        </w:rPr>
        <w:t>产品</w:t>
      </w:r>
      <w:r>
        <w:rPr>
          <w:rFonts w:hint="eastAsia" w:ascii="宋体" w:hAnsi="宋体" w:eastAsia="宋体" w:cs="宋体"/>
          <w:sz w:val="21"/>
          <w:szCs w:val="21"/>
        </w:rPr>
        <w:t>表面质量</w:t>
      </w:r>
      <w:r>
        <w:rPr>
          <w:rFonts w:hint="eastAsia" w:cs="宋体"/>
          <w:sz w:val="21"/>
          <w:szCs w:val="21"/>
          <w:lang w:eastAsia="zh-CN"/>
        </w:rPr>
        <w:t>、</w:t>
      </w:r>
      <w:r>
        <w:rPr>
          <w:rFonts w:hint="eastAsia" w:ascii="宋体" w:hAnsi="宋体" w:eastAsia="宋体" w:cs="宋体"/>
          <w:sz w:val="21"/>
          <w:szCs w:val="21"/>
        </w:rPr>
        <w:t>参考面取向、形状和尺寸</w:t>
      </w:r>
      <w:r>
        <w:rPr>
          <w:rFonts w:hint="eastAsia" w:cs="宋体"/>
          <w:sz w:val="21"/>
          <w:szCs w:val="21"/>
          <w:lang w:eastAsia="zh-CN"/>
        </w:rPr>
        <w:t>、</w:t>
      </w:r>
      <w:r>
        <w:rPr>
          <w:rFonts w:hint="eastAsia" w:ascii="宋体" w:hAnsi="宋体" w:eastAsia="宋体" w:cs="宋体"/>
          <w:sz w:val="21"/>
          <w:szCs w:val="21"/>
        </w:rPr>
        <w:t>直径及允许偏差</w:t>
      </w:r>
      <w:r>
        <w:rPr>
          <w:rFonts w:hint="eastAsia" w:cs="宋体"/>
          <w:sz w:val="21"/>
          <w:szCs w:val="21"/>
          <w:lang w:eastAsia="zh-CN"/>
        </w:rPr>
        <w:t>、</w:t>
      </w:r>
      <w:r>
        <w:rPr>
          <w:rFonts w:hint="eastAsia" w:ascii="宋体" w:hAnsi="宋体" w:eastAsia="宋体" w:cs="宋体"/>
          <w:sz w:val="21"/>
          <w:szCs w:val="21"/>
        </w:rPr>
        <w:t>厚度和允许偏差及总厚度变化</w:t>
      </w:r>
      <w:r>
        <w:rPr>
          <w:rFonts w:hint="eastAsia" w:cs="宋体"/>
          <w:sz w:val="21"/>
          <w:szCs w:val="21"/>
          <w:lang w:eastAsia="zh-CN"/>
        </w:rPr>
        <w:t>、</w:t>
      </w:r>
      <w:r>
        <w:rPr>
          <w:rFonts w:hint="eastAsia" w:ascii="宋体" w:hAnsi="宋体" w:eastAsia="宋体" w:cs="宋体"/>
          <w:sz w:val="21"/>
          <w:szCs w:val="21"/>
        </w:rPr>
        <w:t>平整度</w:t>
      </w:r>
      <w:r>
        <w:rPr>
          <w:rFonts w:hint="eastAsia" w:cs="宋体"/>
          <w:sz w:val="21"/>
          <w:szCs w:val="21"/>
          <w:lang w:eastAsia="zh-CN"/>
        </w:rPr>
        <w:t>、</w:t>
      </w:r>
      <w:r>
        <w:rPr>
          <w:rFonts w:hint="eastAsia" w:ascii="宋体" w:hAnsi="宋体" w:eastAsia="宋体" w:cs="宋体"/>
          <w:sz w:val="21"/>
          <w:szCs w:val="21"/>
        </w:rPr>
        <w:t>晶向及晶向偏离检验中有任何一项检验不合格，判该批产品不合格</w:t>
      </w:r>
      <w:r>
        <w:rPr>
          <w:rFonts w:hint="eastAsia" w:ascii="宋体" w:hAnsi="宋体" w:eastAsia="宋体" w:cs="宋体"/>
          <w:sz w:val="21"/>
          <w:szCs w:val="21"/>
          <w:lang w:eastAsia="zh-CN"/>
        </w:rPr>
        <w:t>。</w:t>
      </w:r>
    </w:p>
    <w:p>
      <w:pPr>
        <w:pStyle w:val="13"/>
        <w:keepNext w:val="0"/>
        <w:keepLines w:val="0"/>
        <w:pageBreakBefore w:val="0"/>
        <w:widowControl w:val="0"/>
        <w:numPr>
          <w:ilvl w:val="0"/>
          <w:numId w:val="0"/>
        </w:numPr>
        <w:tabs>
          <w:tab w:val="left" w:pos="647"/>
          <w:tab w:val="left" w:pos="648"/>
        </w:tabs>
        <w:kinsoku/>
        <w:wordWrap/>
        <w:overflowPunct/>
        <w:topLinePunct w:val="0"/>
        <w:autoSpaceDE w:val="0"/>
        <w:autoSpaceDN w:val="0"/>
        <w:bidi w:val="0"/>
        <w:adjustRightInd/>
        <w:snapToGrid/>
        <w:spacing w:before="0" w:beforeLines="50" w:after="0" w:afterLines="50" w:line="240" w:lineRule="auto"/>
        <w:ind w:right="0" w:rightChars="0"/>
        <w:jc w:val="left"/>
        <w:textAlignment w:val="auto"/>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7.6  不合格处置</w:t>
      </w:r>
    </w:p>
    <w:p>
      <w:pPr>
        <w:pStyle w:val="6"/>
        <w:keepNext w:val="0"/>
        <w:keepLines w:val="0"/>
        <w:pageBreakBefore w:val="0"/>
        <w:widowControl w:val="0"/>
        <w:kinsoku/>
        <w:wordWrap/>
        <w:overflowPunct/>
        <w:topLinePunct w:val="0"/>
        <w:autoSpaceDE w:val="0"/>
        <w:autoSpaceDN w:val="0"/>
        <w:bidi w:val="0"/>
        <w:adjustRightInd/>
        <w:snapToGrid/>
        <w:spacing w:before="0" w:after="0" w:line="240" w:lineRule="auto"/>
        <w:ind w:firstLine="420" w:firstLineChars="200"/>
        <w:textAlignment w:val="auto"/>
        <w:rPr>
          <w:rFonts w:hint="default" w:ascii="宋体" w:hAnsi="宋体" w:eastAsia="宋体" w:cs="宋体"/>
          <w:sz w:val="21"/>
          <w:szCs w:val="21"/>
          <w:lang w:val="en-US" w:eastAsia="zh-CN"/>
        </w:rPr>
      </w:pPr>
      <w:r>
        <w:rPr>
          <w:rFonts w:hint="eastAsia" w:cs="宋体"/>
          <w:sz w:val="21"/>
          <w:szCs w:val="21"/>
          <w:lang w:val="en-US" w:eastAsia="zh-CN"/>
        </w:rPr>
        <w:t>如果一个检验批被拒收，生产方应将该批次产品取回进行分析</w:t>
      </w:r>
      <w:r>
        <w:rPr>
          <w:rFonts w:hint="eastAsia" w:ascii="宋体" w:hAnsi="宋体" w:eastAsia="宋体" w:cs="宋体"/>
          <w:sz w:val="21"/>
          <w:szCs w:val="21"/>
          <w:lang w:eastAsia="zh-CN"/>
        </w:rPr>
        <w:t>。</w:t>
      </w:r>
      <w:r>
        <w:rPr>
          <w:rFonts w:hint="eastAsia" w:cs="宋体"/>
          <w:sz w:val="21"/>
          <w:szCs w:val="21"/>
          <w:lang w:val="en-US" w:eastAsia="zh-CN"/>
        </w:rPr>
        <w:t>若产品不合格是因为衬底的表面质量、参考面取向、形状、尺寸或者几何尺寸等可通过返工重新使之合格的问题所造成，则产品可经返工并经加严检验合格后标明“重新检验批”予以重新交付。如果是因为衬底的电学性能、位错及晶向达不到产品标准或者合同协议的要求，则该批产品将被拒收，不能重新交付，应由生产方重新提供另外批次检验合格的衬底。</w:t>
      </w:r>
    </w:p>
    <w:p>
      <w:pPr>
        <w:pStyle w:val="6"/>
        <w:keepNext w:val="0"/>
        <w:keepLines w:val="0"/>
        <w:pageBreakBefore w:val="0"/>
        <w:widowControl w:val="0"/>
        <w:kinsoku/>
        <w:wordWrap/>
        <w:overflowPunct/>
        <w:topLinePunct w:val="0"/>
        <w:autoSpaceDE w:val="0"/>
        <w:autoSpaceDN w:val="0"/>
        <w:bidi w:val="0"/>
        <w:adjustRightInd/>
        <w:snapToGrid/>
        <w:spacing w:before="0" w:after="0" w:line="240" w:lineRule="auto"/>
        <w:textAlignment w:val="auto"/>
        <w:rPr>
          <w:rFonts w:hint="default" w:ascii="宋体" w:hAnsi="宋体" w:eastAsia="宋体" w:cs="宋体"/>
          <w:sz w:val="21"/>
          <w:szCs w:val="21"/>
          <w:lang w:val="en-US" w:eastAsia="zh-CN"/>
        </w:rPr>
      </w:pPr>
    </w:p>
    <w:p>
      <w:pPr>
        <w:pStyle w:val="13"/>
        <w:keepNext w:val="0"/>
        <w:keepLines w:val="0"/>
        <w:pageBreakBefore w:val="0"/>
        <w:widowControl w:val="0"/>
        <w:numPr>
          <w:ilvl w:val="0"/>
          <w:numId w:val="0"/>
        </w:numPr>
        <w:tabs>
          <w:tab w:val="left" w:pos="437"/>
          <w:tab w:val="left" w:pos="438"/>
        </w:tabs>
        <w:kinsoku/>
        <w:wordWrap/>
        <w:overflowPunct/>
        <w:topLinePunct w:val="0"/>
        <w:autoSpaceDE w:val="0"/>
        <w:autoSpaceDN w:val="0"/>
        <w:bidi w:val="0"/>
        <w:adjustRightInd/>
        <w:snapToGrid/>
        <w:spacing w:before="0" w:beforeLines="100" w:after="0" w:afterLines="100" w:line="240" w:lineRule="auto"/>
        <w:ind w:right="0" w:rightChars="0"/>
        <w:jc w:val="left"/>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8   </w:t>
      </w:r>
      <w:r>
        <w:rPr>
          <w:rFonts w:hint="eastAsia" w:ascii="黑体" w:hAnsi="黑体" w:eastAsia="黑体" w:cs="黑体"/>
          <w:sz w:val="21"/>
          <w:szCs w:val="21"/>
        </w:rPr>
        <w:t>标志、包装、运输、储存和质量证明书</w:t>
      </w:r>
    </w:p>
    <w:p>
      <w:pPr>
        <w:pStyle w:val="13"/>
        <w:keepNext w:val="0"/>
        <w:keepLines w:val="0"/>
        <w:pageBreakBefore w:val="0"/>
        <w:widowControl w:val="0"/>
        <w:numPr>
          <w:ilvl w:val="0"/>
          <w:numId w:val="0"/>
        </w:numPr>
        <w:tabs>
          <w:tab w:val="left" w:pos="605"/>
          <w:tab w:val="left" w:pos="606"/>
        </w:tabs>
        <w:kinsoku/>
        <w:wordWrap/>
        <w:overflowPunct/>
        <w:topLinePunct w:val="0"/>
        <w:autoSpaceDE w:val="0"/>
        <w:autoSpaceDN w:val="0"/>
        <w:bidi w:val="0"/>
        <w:adjustRightInd/>
        <w:snapToGrid/>
        <w:spacing w:before="0" w:beforeLines="50" w:after="0" w:afterLines="50" w:line="240" w:lineRule="auto"/>
        <w:ind w:right="0" w:rightChars="0"/>
        <w:jc w:val="left"/>
        <w:textAlignment w:val="auto"/>
        <w:rPr>
          <w:rFonts w:hint="eastAsia" w:ascii="黑体" w:hAnsi="黑体" w:eastAsia="黑体" w:cs="黑体"/>
          <w:sz w:val="21"/>
          <w:szCs w:val="21"/>
        </w:rPr>
      </w:pPr>
      <w:r>
        <w:rPr>
          <w:rFonts w:hint="eastAsia" w:ascii="黑体" w:hAnsi="黑体" w:eastAsia="黑体" w:cs="黑体"/>
          <w:w w:val="105"/>
          <w:sz w:val="21"/>
          <w:szCs w:val="21"/>
          <w:lang w:val="en-US" w:eastAsia="zh-CN"/>
        </w:rPr>
        <w:t xml:space="preserve">8.1 </w:t>
      </w:r>
      <w:r>
        <w:rPr>
          <w:rFonts w:hint="eastAsia" w:ascii="黑体" w:hAnsi="黑体" w:eastAsia="黑体" w:cs="黑体"/>
          <w:w w:val="105"/>
          <w:sz w:val="21"/>
          <w:szCs w:val="21"/>
        </w:rPr>
        <w:t>标志</w:t>
      </w:r>
    </w:p>
    <w:p>
      <w:pPr>
        <w:pStyle w:val="13"/>
        <w:numPr>
          <w:ilvl w:val="0"/>
          <w:numId w:val="0"/>
        </w:numPr>
        <w:tabs>
          <w:tab w:val="left" w:pos="779"/>
          <w:tab w:val="left" w:pos="780"/>
        </w:tabs>
        <w:spacing w:before="0" w:after="0" w:line="240" w:lineRule="auto"/>
        <w:ind w:right="0" w:rightChars="0"/>
        <w:jc w:val="left"/>
        <w:rPr>
          <w:rFonts w:hint="eastAsia" w:ascii="宋体" w:hAnsi="宋体" w:eastAsia="宋体" w:cs="宋体"/>
          <w:sz w:val="21"/>
          <w:szCs w:val="21"/>
        </w:rPr>
      </w:pPr>
      <w:r>
        <w:rPr>
          <w:rFonts w:hint="eastAsia" w:ascii="黑体" w:hAnsi="黑体" w:eastAsia="黑体" w:cs="黑体"/>
          <w:b w:val="0"/>
          <w:bCs w:val="0"/>
          <w:sz w:val="21"/>
          <w:szCs w:val="21"/>
          <w:lang w:val="en-US" w:eastAsia="zh-CN"/>
        </w:rPr>
        <w:t xml:space="preserve">8.1.1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晶片要做成器件，</w:t>
      </w:r>
      <w:r>
        <w:rPr>
          <w:rFonts w:hint="eastAsia" w:cs="宋体"/>
          <w:sz w:val="21"/>
          <w:szCs w:val="21"/>
          <w:lang w:val="en-US" w:eastAsia="zh-CN"/>
        </w:rPr>
        <w:t>仅允许在边缘附近进行刻字，不允许做其他标识</w:t>
      </w:r>
      <w:r>
        <w:rPr>
          <w:rFonts w:hint="eastAsia" w:ascii="宋体" w:hAnsi="宋体" w:eastAsia="宋体" w:cs="宋体"/>
          <w:sz w:val="21"/>
          <w:szCs w:val="21"/>
        </w:rPr>
        <w:t>。</w:t>
      </w:r>
    </w:p>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sz w:val="21"/>
          <w:szCs w:val="21"/>
        </w:rPr>
      </w:pPr>
      <w:r>
        <w:rPr>
          <w:rFonts w:hint="eastAsia" w:ascii="黑体" w:hAnsi="黑体" w:eastAsia="黑体" w:cs="黑体"/>
          <w:b w:val="0"/>
          <w:bCs w:val="0"/>
          <w:w w:val="105"/>
          <w:sz w:val="21"/>
          <w:szCs w:val="21"/>
          <w:lang w:val="en-US" w:eastAsia="zh-CN"/>
        </w:rPr>
        <w:t>8.1.2</w:t>
      </w:r>
      <w:r>
        <w:rPr>
          <w:rFonts w:hint="eastAsia" w:ascii="宋体" w:hAnsi="宋体" w:eastAsia="宋体" w:cs="宋体"/>
          <w:b/>
          <w:bCs/>
          <w:w w:val="105"/>
          <w:sz w:val="21"/>
          <w:szCs w:val="21"/>
          <w:lang w:val="en-US" w:eastAsia="zh-CN"/>
        </w:rPr>
        <w:t xml:space="preserve"> </w:t>
      </w:r>
      <w:r>
        <w:rPr>
          <w:rFonts w:hint="eastAsia" w:cs="宋体"/>
          <w:b/>
          <w:bCs/>
          <w:w w:val="105"/>
          <w:sz w:val="21"/>
          <w:szCs w:val="21"/>
          <w:lang w:val="en-US" w:eastAsia="zh-CN"/>
        </w:rPr>
        <w:t xml:space="preserve"> </w:t>
      </w:r>
      <w:r>
        <w:rPr>
          <w:rFonts w:hint="eastAsia" w:ascii="宋体" w:hAnsi="宋体" w:eastAsia="宋体" w:cs="宋体"/>
          <w:w w:val="105"/>
          <w:sz w:val="21"/>
          <w:szCs w:val="21"/>
        </w:rPr>
        <w:t>包装盒标志应包括以下内容:</w:t>
      </w:r>
    </w:p>
    <w:p>
      <w:pPr>
        <w:pStyle w:val="13"/>
        <w:keepNext w:val="0"/>
        <w:keepLines w:val="0"/>
        <w:pageBreakBefore w:val="0"/>
        <w:widowControl w:val="0"/>
        <w:numPr>
          <w:ilvl w:val="0"/>
          <w:numId w:val="8"/>
        </w:numPr>
        <w:tabs>
          <w:tab w:val="left" w:pos="935"/>
          <w:tab w:val="left" w:pos="936"/>
        </w:tabs>
        <w:kinsoku/>
        <w:wordWrap/>
        <w:overflowPunct/>
        <w:topLinePunct w:val="0"/>
        <w:autoSpaceDE w:val="0"/>
        <w:autoSpaceDN w:val="0"/>
        <w:bidi w:val="0"/>
        <w:adjustRightInd/>
        <w:snapToGrid/>
        <w:spacing w:before="0" w:after="0" w:line="240" w:lineRule="auto"/>
        <w:ind w:left="935" w:right="0" w:hanging="403"/>
        <w:jc w:val="left"/>
        <w:textAlignment w:val="auto"/>
        <w:rPr>
          <w:rFonts w:hint="eastAsia" w:ascii="宋体" w:hAnsi="宋体" w:eastAsia="宋体" w:cs="宋体"/>
          <w:sz w:val="21"/>
          <w:szCs w:val="21"/>
        </w:rPr>
      </w:pPr>
      <w:r>
        <w:rPr>
          <w:rFonts w:hint="eastAsia" w:ascii="宋体" w:hAnsi="宋体" w:eastAsia="宋体" w:cs="宋体"/>
          <w:w w:val="115"/>
          <w:sz w:val="21"/>
          <w:szCs w:val="21"/>
        </w:rPr>
        <w:t>生产</w:t>
      </w:r>
      <w:r>
        <w:rPr>
          <w:rFonts w:hint="eastAsia" w:ascii="宋体" w:hAnsi="宋体" w:eastAsia="宋体" w:cs="宋体"/>
          <w:w w:val="115"/>
          <w:sz w:val="21"/>
          <w:szCs w:val="21"/>
          <w:lang w:val="en-US" w:eastAsia="zh-CN"/>
        </w:rPr>
        <w:t>日期</w:t>
      </w:r>
      <w:r>
        <w:rPr>
          <w:rFonts w:hint="eastAsia" w:ascii="宋体" w:hAnsi="宋体" w:eastAsia="宋体" w:cs="宋体"/>
          <w:w w:val="115"/>
          <w:sz w:val="21"/>
          <w:szCs w:val="21"/>
          <w:lang w:eastAsia="zh-CN"/>
        </w:rPr>
        <w:t>；</w:t>
      </w:r>
    </w:p>
    <w:p>
      <w:pPr>
        <w:pStyle w:val="13"/>
        <w:keepNext w:val="0"/>
        <w:keepLines w:val="0"/>
        <w:pageBreakBefore w:val="0"/>
        <w:widowControl w:val="0"/>
        <w:numPr>
          <w:ilvl w:val="0"/>
          <w:numId w:val="8"/>
        </w:numPr>
        <w:tabs>
          <w:tab w:val="left" w:pos="947"/>
          <w:tab w:val="left" w:pos="948"/>
        </w:tabs>
        <w:kinsoku/>
        <w:wordWrap/>
        <w:overflowPunct/>
        <w:topLinePunct w:val="0"/>
        <w:autoSpaceDE w:val="0"/>
        <w:autoSpaceDN w:val="0"/>
        <w:bidi w:val="0"/>
        <w:adjustRightInd/>
        <w:snapToGrid/>
        <w:spacing w:before="0" w:after="0" w:line="240" w:lineRule="auto"/>
        <w:ind w:left="947" w:right="0" w:hanging="414"/>
        <w:jc w:val="left"/>
        <w:textAlignment w:val="auto"/>
        <w:rPr>
          <w:rFonts w:hint="eastAsia" w:ascii="宋体" w:hAnsi="宋体" w:eastAsia="宋体" w:cs="宋体"/>
          <w:sz w:val="21"/>
          <w:szCs w:val="21"/>
        </w:rPr>
      </w:pPr>
      <w:r>
        <w:rPr>
          <w:rFonts w:hint="eastAsia" w:ascii="宋体" w:hAnsi="宋体" w:eastAsia="宋体" w:cs="宋体"/>
          <w:w w:val="110"/>
          <w:sz w:val="21"/>
          <w:szCs w:val="21"/>
        </w:rPr>
        <w:t>衬底牌号</w:t>
      </w:r>
      <w:r>
        <w:rPr>
          <w:rFonts w:hint="eastAsia" w:ascii="宋体" w:hAnsi="宋体" w:eastAsia="宋体" w:cs="宋体"/>
          <w:w w:val="110"/>
          <w:sz w:val="21"/>
          <w:szCs w:val="21"/>
          <w:lang w:eastAsia="zh-CN"/>
        </w:rPr>
        <w:t>；</w:t>
      </w:r>
    </w:p>
    <w:p>
      <w:pPr>
        <w:pStyle w:val="13"/>
        <w:keepNext w:val="0"/>
        <w:keepLines w:val="0"/>
        <w:pageBreakBefore w:val="0"/>
        <w:widowControl w:val="0"/>
        <w:numPr>
          <w:ilvl w:val="0"/>
          <w:numId w:val="8"/>
        </w:numPr>
        <w:tabs>
          <w:tab w:val="left" w:pos="929"/>
          <w:tab w:val="left" w:pos="930"/>
        </w:tabs>
        <w:kinsoku/>
        <w:wordWrap/>
        <w:overflowPunct/>
        <w:topLinePunct w:val="0"/>
        <w:autoSpaceDE w:val="0"/>
        <w:autoSpaceDN w:val="0"/>
        <w:bidi w:val="0"/>
        <w:adjustRightInd/>
        <w:snapToGrid/>
        <w:spacing w:before="0" w:after="0" w:line="240" w:lineRule="auto"/>
        <w:ind w:left="930" w:right="0" w:hanging="397"/>
        <w:jc w:val="left"/>
        <w:textAlignment w:val="auto"/>
        <w:rPr>
          <w:rFonts w:hint="eastAsia" w:ascii="宋体" w:hAnsi="宋体" w:eastAsia="宋体" w:cs="宋体"/>
          <w:sz w:val="21"/>
          <w:szCs w:val="21"/>
        </w:rPr>
      </w:pPr>
      <w:r>
        <w:rPr>
          <w:rFonts w:hint="eastAsia" w:ascii="宋体" w:hAnsi="宋体" w:eastAsia="宋体" w:cs="宋体"/>
          <w:sz w:val="21"/>
          <w:szCs w:val="21"/>
        </w:rPr>
        <w:t>衬底编号</w:t>
      </w:r>
      <w:r>
        <w:rPr>
          <w:rFonts w:hint="eastAsia" w:ascii="宋体" w:hAnsi="宋体" w:eastAsia="宋体" w:cs="宋体"/>
          <w:sz w:val="21"/>
          <w:szCs w:val="21"/>
          <w:lang w:eastAsia="zh-CN"/>
        </w:rPr>
        <w:t>；</w:t>
      </w:r>
    </w:p>
    <w:p>
      <w:pPr>
        <w:pStyle w:val="13"/>
        <w:keepNext w:val="0"/>
        <w:keepLines w:val="0"/>
        <w:pageBreakBefore w:val="0"/>
        <w:widowControl w:val="0"/>
        <w:numPr>
          <w:ilvl w:val="0"/>
          <w:numId w:val="8"/>
        </w:numPr>
        <w:tabs>
          <w:tab w:val="left" w:pos="929"/>
          <w:tab w:val="left" w:pos="930"/>
        </w:tabs>
        <w:kinsoku/>
        <w:wordWrap/>
        <w:overflowPunct/>
        <w:topLinePunct w:val="0"/>
        <w:autoSpaceDE w:val="0"/>
        <w:autoSpaceDN w:val="0"/>
        <w:bidi w:val="0"/>
        <w:adjustRightInd/>
        <w:snapToGrid/>
        <w:spacing w:before="0" w:after="0" w:line="240" w:lineRule="auto"/>
        <w:ind w:left="930" w:right="0" w:hanging="397"/>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衬底角度；</w:t>
      </w:r>
    </w:p>
    <w:p>
      <w:pPr>
        <w:pStyle w:val="13"/>
        <w:keepNext w:val="0"/>
        <w:keepLines w:val="0"/>
        <w:pageBreakBefore w:val="0"/>
        <w:widowControl w:val="0"/>
        <w:numPr>
          <w:ilvl w:val="0"/>
          <w:numId w:val="8"/>
        </w:numPr>
        <w:tabs>
          <w:tab w:val="left" w:pos="929"/>
          <w:tab w:val="left" w:pos="930"/>
        </w:tabs>
        <w:kinsoku/>
        <w:wordWrap/>
        <w:overflowPunct/>
        <w:topLinePunct w:val="0"/>
        <w:autoSpaceDE w:val="0"/>
        <w:autoSpaceDN w:val="0"/>
        <w:bidi w:val="0"/>
        <w:adjustRightInd/>
        <w:snapToGrid/>
        <w:spacing w:before="0" w:after="0" w:line="240" w:lineRule="auto"/>
        <w:ind w:left="930" w:right="0" w:hanging="397"/>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衬底数量；</w:t>
      </w:r>
    </w:p>
    <w:p>
      <w:pPr>
        <w:pStyle w:val="13"/>
        <w:keepNext w:val="0"/>
        <w:keepLines w:val="0"/>
        <w:pageBreakBefore w:val="0"/>
        <w:widowControl w:val="0"/>
        <w:numPr>
          <w:ilvl w:val="0"/>
          <w:numId w:val="0"/>
        </w:numPr>
        <w:tabs>
          <w:tab w:val="left" w:pos="755"/>
          <w:tab w:val="left" w:pos="756"/>
          <w:tab w:val="left" w:pos="3293"/>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sz w:val="21"/>
          <w:szCs w:val="21"/>
          <w:lang w:eastAsia="zh-CN"/>
        </w:rPr>
      </w:pPr>
      <w:r>
        <w:rPr>
          <w:rFonts w:hint="eastAsia" w:ascii="黑体" w:hAnsi="黑体" w:eastAsia="黑体" w:cs="黑体"/>
          <w:b w:val="0"/>
          <w:bCs w:val="0"/>
          <w:sz w:val="21"/>
          <w:szCs w:val="21"/>
          <w:lang w:val="en-US" w:eastAsia="zh-CN"/>
        </w:rPr>
        <w:t>8.1.3</w:t>
      </w:r>
      <w:r>
        <w:rPr>
          <w:rFonts w:hint="eastAsia" w:ascii="宋体" w:hAnsi="宋体" w:eastAsia="宋体" w:cs="宋体"/>
          <w:b/>
          <w:bCs/>
          <w:sz w:val="21"/>
          <w:szCs w:val="21"/>
          <w:lang w:val="en-US" w:eastAsia="zh-CN"/>
        </w:rPr>
        <w:t xml:space="preserve"> </w:t>
      </w:r>
      <w:r>
        <w:rPr>
          <w:rFonts w:hint="eastAsia" w:cs="宋体"/>
          <w:b/>
          <w:bCs/>
          <w:sz w:val="21"/>
          <w:szCs w:val="21"/>
          <w:lang w:val="en-US" w:eastAsia="zh-CN"/>
        </w:rPr>
        <w:t xml:space="preserve"> </w:t>
      </w:r>
      <w:r>
        <w:rPr>
          <w:rFonts w:hint="eastAsia" w:ascii="宋体" w:hAnsi="宋体" w:eastAsia="宋体" w:cs="宋体"/>
          <w:sz w:val="21"/>
          <w:szCs w:val="21"/>
        </w:rPr>
        <w:t>包装箱标志应包括以下内容</w:t>
      </w:r>
      <w:r>
        <w:rPr>
          <w:rFonts w:hint="eastAsia" w:ascii="宋体" w:hAnsi="宋体" w:eastAsia="宋体" w:cs="宋体"/>
          <w:sz w:val="21"/>
          <w:szCs w:val="21"/>
        </w:rPr>
        <w:tab/>
      </w:r>
      <w:r>
        <w:rPr>
          <w:rFonts w:hint="eastAsia" w:ascii="宋体" w:hAnsi="宋体" w:eastAsia="宋体" w:cs="宋体"/>
          <w:w w:val="80"/>
          <w:sz w:val="21"/>
          <w:szCs w:val="21"/>
          <w:lang w:eastAsia="zh-CN"/>
        </w:rPr>
        <w:t>：</w:t>
      </w:r>
    </w:p>
    <w:p>
      <w:pPr>
        <w:pStyle w:val="13"/>
        <w:keepNext w:val="0"/>
        <w:keepLines w:val="0"/>
        <w:pageBreakBefore w:val="0"/>
        <w:widowControl w:val="0"/>
        <w:numPr>
          <w:ilvl w:val="0"/>
          <w:numId w:val="9"/>
        </w:numPr>
        <w:tabs>
          <w:tab w:val="left" w:pos="935"/>
          <w:tab w:val="left" w:pos="936"/>
        </w:tabs>
        <w:kinsoku/>
        <w:wordWrap/>
        <w:overflowPunct/>
        <w:topLinePunct w:val="0"/>
        <w:autoSpaceDE w:val="0"/>
        <w:autoSpaceDN w:val="0"/>
        <w:bidi w:val="0"/>
        <w:adjustRightInd/>
        <w:snapToGrid/>
        <w:spacing w:before="0" w:after="0" w:line="240" w:lineRule="auto"/>
        <w:ind w:left="936" w:right="0" w:hanging="402"/>
        <w:jc w:val="left"/>
        <w:textAlignment w:val="auto"/>
        <w:rPr>
          <w:rFonts w:hint="eastAsia" w:ascii="宋体" w:hAnsi="宋体" w:eastAsia="宋体" w:cs="宋体"/>
          <w:sz w:val="21"/>
          <w:szCs w:val="21"/>
        </w:rPr>
      </w:pPr>
      <w:r>
        <w:rPr>
          <w:rFonts w:hint="eastAsia" w:ascii="宋体" w:hAnsi="宋体" w:eastAsia="宋体" w:cs="宋体"/>
          <w:w w:val="105"/>
          <w:sz w:val="21"/>
          <w:szCs w:val="21"/>
        </w:rPr>
        <w:t>产品名称、牌号、数量</w:t>
      </w:r>
      <w:r>
        <w:rPr>
          <w:rFonts w:hint="eastAsia" w:ascii="宋体" w:hAnsi="宋体" w:eastAsia="宋体" w:cs="宋体"/>
          <w:w w:val="105"/>
          <w:sz w:val="21"/>
          <w:szCs w:val="21"/>
          <w:lang w:eastAsia="zh-CN"/>
        </w:rPr>
        <w:t>；</w:t>
      </w:r>
    </w:p>
    <w:p>
      <w:pPr>
        <w:pStyle w:val="13"/>
        <w:keepNext w:val="0"/>
        <w:keepLines w:val="0"/>
        <w:pageBreakBefore w:val="0"/>
        <w:widowControl w:val="0"/>
        <w:numPr>
          <w:ilvl w:val="0"/>
          <w:numId w:val="9"/>
        </w:numPr>
        <w:tabs>
          <w:tab w:val="left" w:pos="953"/>
          <w:tab w:val="left" w:pos="954"/>
        </w:tabs>
        <w:kinsoku/>
        <w:wordWrap/>
        <w:overflowPunct/>
        <w:topLinePunct w:val="0"/>
        <w:autoSpaceDE w:val="0"/>
        <w:autoSpaceDN w:val="0"/>
        <w:bidi w:val="0"/>
        <w:adjustRightInd/>
        <w:snapToGrid/>
        <w:spacing w:before="0" w:after="0" w:line="240" w:lineRule="auto"/>
        <w:ind w:left="954" w:right="0" w:hanging="420"/>
        <w:jc w:val="left"/>
        <w:textAlignment w:val="auto"/>
        <w:rPr>
          <w:rFonts w:hint="eastAsia" w:ascii="宋体" w:hAnsi="宋体" w:eastAsia="宋体" w:cs="宋体"/>
          <w:sz w:val="21"/>
          <w:szCs w:val="21"/>
        </w:rPr>
      </w:pPr>
      <w:r>
        <w:rPr>
          <w:rFonts w:hint="eastAsia" w:ascii="宋体" w:hAnsi="宋体" w:eastAsia="宋体" w:cs="宋体"/>
          <w:w w:val="105"/>
          <w:sz w:val="21"/>
          <w:szCs w:val="21"/>
        </w:rPr>
        <w:t>生产方名称、地址、电话</w:t>
      </w:r>
      <w:r>
        <w:rPr>
          <w:rFonts w:hint="eastAsia" w:ascii="宋体" w:hAnsi="宋体" w:eastAsia="宋体" w:cs="宋体"/>
          <w:w w:val="105"/>
          <w:sz w:val="21"/>
          <w:szCs w:val="21"/>
          <w:lang w:eastAsia="zh-CN"/>
        </w:rPr>
        <w:t>；</w:t>
      </w:r>
    </w:p>
    <w:p>
      <w:pPr>
        <w:pStyle w:val="13"/>
        <w:keepNext w:val="0"/>
        <w:keepLines w:val="0"/>
        <w:pageBreakBefore w:val="0"/>
        <w:widowControl w:val="0"/>
        <w:numPr>
          <w:ilvl w:val="0"/>
          <w:numId w:val="9"/>
        </w:numPr>
        <w:tabs>
          <w:tab w:val="left" w:pos="941"/>
          <w:tab w:val="left" w:pos="942"/>
          <w:tab w:val="left" w:pos="5261"/>
          <w:tab w:val="left" w:pos="5873"/>
        </w:tabs>
        <w:kinsoku/>
        <w:wordWrap/>
        <w:overflowPunct/>
        <w:topLinePunct w:val="0"/>
        <w:autoSpaceDE w:val="0"/>
        <w:autoSpaceDN w:val="0"/>
        <w:bidi w:val="0"/>
        <w:adjustRightInd/>
        <w:snapToGrid/>
        <w:spacing w:before="0" w:after="0" w:line="240" w:lineRule="auto"/>
        <w:ind w:left="942" w:right="0" w:hanging="408"/>
        <w:jc w:val="left"/>
        <w:textAlignment w:val="auto"/>
        <w:rPr>
          <w:rFonts w:hint="eastAsia" w:ascii="宋体" w:hAnsi="宋体" w:eastAsia="宋体" w:cs="宋体"/>
          <w:sz w:val="21"/>
          <w:szCs w:val="21"/>
        </w:rPr>
      </w:pPr>
      <w:r>
        <w:rPr>
          <w:rFonts w:hint="eastAsia" w:ascii="宋体" w:hAnsi="宋体" w:eastAsia="宋体" w:cs="宋体"/>
          <w:sz w:val="21"/>
          <w:szCs w:val="21"/>
        </w:rPr>
        <w:t>防潮、防撞、防腐蚀等包装储运图示标志，应符合GB/T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191</w:t>
      </w:r>
      <w:r>
        <w:rPr>
          <w:rFonts w:hint="eastAsia" w:ascii="宋体" w:hAnsi="宋体" w:eastAsia="宋体" w:cs="宋体"/>
          <w:spacing w:val="-7"/>
          <w:sz w:val="21"/>
          <w:szCs w:val="21"/>
        </w:rPr>
        <w:t xml:space="preserve"> </w:t>
      </w:r>
      <w:r>
        <w:rPr>
          <w:rFonts w:hint="eastAsia" w:ascii="宋体" w:hAnsi="宋体" w:eastAsia="宋体" w:cs="宋体"/>
          <w:sz w:val="21"/>
          <w:szCs w:val="21"/>
        </w:rPr>
        <w:t>的规定。</w:t>
      </w:r>
    </w:p>
    <w:p>
      <w:pPr>
        <w:pStyle w:val="13"/>
        <w:keepNext w:val="0"/>
        <w:keepLines w:val="0"/>
        <w:pageBreakBefore w:val="0"/>
        <w:widowControl w:val="0"/>
        <w:numPr>
          <w:ilvl w:val="0"/>
          <w:numId w:val="0"/>
        </w:numPr>
        <w:tabs>
          <w:tab w:val="left" w:pos="593"/>
          <w:tab w:val="left" w:pos="594"/>
        </w:tabs>
        <w:kinsoku/>
        <w:wordWrap/>
        <w:overflowPunct/>
        <w:topLinePunct w:val="0"/>
        <w:autoSpaceDE w:val="0"/>
        <w:autoSpaceDN w:val="0"/>
        <w:bidi w:val="0"/>
        <w:adjustRightInd/>
        <w:snapToGrid/>
        <w:spacing w:before="0" w:beforeLines="50" w:after="0" w:afterLines="50" w:line="240" w:lineRule="auto"/>
        <w:ind w:right="0" w:rightChars="0"/>
        <w:jc w:val="left"/>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8.2  </w:t>
      </w:r>
      <w:r>
        <w:rPr>
          <w:rFonts w:hint="eastAsia" w:ascii="黑体" w:hAnsi="黑体" w:eastAsia="黑体" w:cs="黑体"/>
          <w:sz w:val="21"/>
          <w:szCs w:val="21"/>
        </w:rPr>
        <w:t>包装</w:t>
      </w:r>
    </w:p>
    <w:p>
      <w:pPr>
        <w:pStyle w:val="4"/>
        <w:keepNext w:val="0"/>
        <w:keepLines w:val="0"/>
        <w:pageBreakBefore w:val="0"/>
        <w:widowControl w:val="0"/>
        <w:kinsoku/>
        <w:wordWrap/>
        <w:overflowPunct/>
        <w:topLinePunct w:val="0"/>
        <w:autoSpaceDE w:val="0"/>
        <w:autoSpaceDN w:val="0"/>
        <w:bidi w:val="0"/>
        <w:adjustRightInd/>
        <w:snapToGrid/>
        <w:spacing w:before="0" w:line="240" w:lineRule="auto"/>
        <w:ind w:right="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经过清洗干净的衬底片放</w:t>
      </w:r>
      <w:r>
        <w:rPr>
          <w:rFonts w:hint="eastAsia" w:ascii="宋体" w:hAnsi="宋体" w:eastAsia="宋体" w:cs="宋体"/>
          <w:color w:val="auto"/>
          <w:sz w:val="21"/>
          <w:szCs w:val="21"/>
          <w:lang w:val="en-US" w:eastAsia="zh-CN"/>
        </w:rPr>
        <w:t>入</w:t>
      </w:r>
      <w:r>
        <w:rPr>
          <w:rFonts w:hint="eastAsia" w:ascii="宋体" w:hAnsi="宋体" w:eastAsia="宋体" w:cs="宋体"/>
          <w:color w:val="auto"/>
          <w:sz w:val="21"/>
          <w:szCs w:val="21"/>
        </w:rPr>
        <w:t>特制的聚乙烯圆形包装盒里，每盒一片</w:t>
      </w:r>
      <w:r>
        <w:rPr>
          <w:rFonts w:hint="eastAsia" w:ascii="宋体" w:hAnsi="宋体" w:eastAsia="宋体" w:cs="宋体"/>
          <w:color w:val="auto"/>
          <w:sz w:val="21"/>
          <w:szCs w:val="21"/>
          <w:lang w:val="en-US" w:eastAsia="zh-CN"/>
        </w:rPr>
        <w:t>或者25片卡塞包装</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大片包装要求</w:t>
      </w:r>
      <w:r>
        <w:rPr>
          <w:rFonts w:hint="eastAsia" w:ascii="宋体" w:hAnsi="宋体" w:eastAsia="宋体" w:cs="宋体"/>
          <w:color w:val="auto"/>
          <w:sz w:val="21"/>
          <w:szCs w:val="21"/>
        </w:rPr>
        <w:t>主面朝下，放上压环，用塑料袋充氮气密封，</w:t>
      </w:r>
      <w:r>
        <w:rPr>
          <w:rFonts w:hint="eastAsia" w:ascii="宋体" w:hAnsi="宋体" w:eastAsia="宋体" w:cs="宋体"/>
          <w:color w:val="auto"/>
          <w:sz w:val="21"/>
          <w:szCs w:val="21"/>
          <w:lang w:val="en-US" w:eastAsia="zh-CN"/>
        </w:rPr>
        <w:t>25片卡塞包装要求衬底片放入25片卡塞，抛光面统一朝前或朝后，主参考边统一朝下或者朝上，用包装袋充氮气包装，再使用铝箔或者镀铝包装袋进行二次包装，</w:t>
      </w:r>
      <w:r>
        <w:rPr>
          <w:rFonts w:hint="eastAsia" w:ascii="宋体" w:hAnsi="宋体" w:eastAsia="宋体" w:cs="宋体"/>
          <w:color w:val="auto"/>
          <w:sz w:val="21"/>
          <w:szCs w:val="21"/>
        </w:rPr>
        <w:t>然后连同合格证、质量保证书一起装入</w:t>
      </w:r>
      <w:bookmarkStart w:id="14" w:name="00000009"/>
      <w:bookmarkEnd w:id="14"/>
      <w:r>
        <w:rPr>
          <w:rFonts w:hint="eastAsia" w:ascii="宋体" w:hAnsi="宋体" w:eastAsia="宋体" w:cs="宋体"/>
          <w:color w:val="auto"/>
          <w:sz w:val="21"/>
          <w:szCs w:val="21"/>
          <w:lang w:val="en-US" w:eastAsia="zh-CN"/>
        </w:rPr>
        <w:t>装有专用塑料泡沫或含有防冲击材料的包装箱内，最后用胶带封好。</w:t>
      </w:r>
    </w:p>
    <w:p>
      <w:pPr>
        <w:pStyle w:val="13"/>
        <w:keepNext w:val="0"/>
        <w:keepLines w:val="0"/>
        <w:pageBreakBefore w:val="0"/>
        <w:widowControl w:val="0"/>
        <w:numPr>
          <w:ilvl w:val="0"/>
          <w:numId w:val="0"/>
        </w:numPr>
        <w:tabs>
          <w:tab w:val="left" w:pos="593"/>
          <w:tab w:val="left" w:pos="594"/>
        </w:tabs>
        <w:kinsoku/>
        <w:wordWrap/>
        <w:overflowPunct/>
        <w:topLinePunct w:val="0"/>
        <w:autoSpaceDE w:val="0"/>
        <w:autoSpaceDN w:val="0"/>
        <w:bidi w:val="0"/>
        <w:adjustRightInd/>
        <w:snapToGrid/>
        <w:spacing w:before="0" w:beforeLines="50" w:after="0" w:afterLines="50" w:line="240" w:lineRule="auto"/>
        <w:ind w:right="0" w:rightChars="0"/>
        <w:jc w:val="left"/>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8.3  </w:t>
      </w:r>
      <w:r>
        <w:rPr>
          <w:rFonts w:hint="eastAsia" w:ascii="黑体" w:hAnsi="黑体" w:eastAsia="黑体" w:cs="黑体"/>
          <w:sz w:val="21"/>
          <w:szCs w:val="21"/>
        </w:rPr>
        <w:t>运输及贮存</w:t>
      </w:r>
    </w:p>
    <w:p>
      <w:pPr>
        <w:pStyle w:val="13"/>
        <w:keepNext w:val="0"/>
        <w:keepLines w:val="0"/>
        <w:pageBreakBefore w:val="0"/>
        <w:widowControl w:val="0"/>
        <w:numPr>
          <w:ilvl w:val="0"/>
          <w:numId w:val="0"/>
        </w:numPr>
        <w:tabs>
          <w:tab w:val="left" w:pos="755"/>
          <w:tab w:val="left" w:pos="756"/>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 xml:space="preserve">8.3.1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产品在运输过程中应防止挤压、碰撞并采取防震、防潮等措施。</w:t>
      </w:r>
    </w:p>
    <w:p>
      <w:pPr>
        <w:pStyle w:val="13"/>
        <w:keepNext w:val="0"/>
        <w:keepLines w:val="0"/>
        <w:pageBreakBefore w:val="0"/>
        <w:widowControl w:val="0"/>
        <w:numPr>
          <w:ilvl w:val="0"/>
          <w:numId w:val="0"/>
        </w:numPr>
        <w:tabs>
          <w:tab w:val="left" w:pos="761"/>
          <w:tab w:val="left" w:pos="762"/>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宋体" w:hAnsi="宋体" w:eastAsia="宋体" w:cs="宋体"/>
          <w:sz w:val="21"/>
          <w:szCs w:val="21"/>
        </w:rPr>
      </w:pPr>
      <w:r>
        <w:rPr>
          <w:rFonts w:hint="eastAsia" w:ascii="黑体" w:hAnsi="黑体" w:eastAsia="黑体" w:cs="黑体"/>
          <w:b w:val="0"/>
          <w:bCs w:val="0"/>
          <w:sz w:val="21"/>
          <w:szCs w:val="21"/>
          <w:lang w:val="en-US" w:eastAsia="zh-CN"/>
        </w:rPr>
        <w:t>8.3.2</w:t>
      </w:r>
      <w:r>
        <w:rPr>
          <w:rFonts w:hint="eastAsia" w:ascii="黑体" w:hAnsi="黑体" w:eastAsia="黑体" w:cs="黑体"/>
          <w:sz w:val="21"/>
          <w:szCs w:val="21"/>
          <w:lang w:val="en-US" w:eastAsia="zh-CN"/>
        </w:rPr>
        <w:t xml:space="preserve"> </w:t>
      </w:r>
      <w:r>
        <w:rPr>
          <w:rFonts w:hint="eastAsia" w:cs="宋体"/>
          <w:sz w:val="21"/>
          <w:szCs w:val="21"/>
          <w:lang w:val="en-US" w:eastAsia="zh-CN"/>
        </w:rPr>
        <w:t xml:space="preserve"> </w:t>
      </w:r>
      <w:r>
        <w:rPr>
          <w:rFonts w:hint="eastAsia" w:ascii="宋体" w:hAnsi="宋体" w:eastAsia="宋体" w:cs="宋体"/>
          <w:sz w:val="21"/>
          <w:szCs w:val="21"/>
        </w:rPr>
        <w:t>产品应存放在清洁、干燥、无化学腐蚀的环境中，</w:t>
      </w:r>
    </w:p>
    <w:p>
      <w:pPr>
        <w:pStyle w:val="13"/>
        <w:keepNext w:val="0"/>
        <w:keepLines w:val="0"/>
        <w:pageBreakBefore w:val="0"/>
        <w:widowControl w:val="0"/>
        <w:numPr>
          <w:ilvl w:val="0"/>
          <w:numId w:val="0"/>
        </w:numPr>
        <w:tabs>
          <w:tab w:val="left" w:pos="593"/>
          <w:tab w:val="left" w:pos="594"/>
        </w:tabs>
        <w:kinsoku/>
        <w:wordWrap/>
        <w:overflowPunct/>
        <w:topLinePunct w:val="0"/>
        <w:autoSpaceDE w:val="0"/>
        <w:autoSpaceDN w:val="0"/>
        <w:bidi w:val="0"/>
        <w:adjustRightInd/>
        <w:snapToGrid/>
        <w:spacing w:before="0" w:beforeLines="50" w:after="0" w:afterLines="50" w:line="240" w:lineRule="auto"/>
        <w:ind w:right="0" w:rightChars="0"/>
        <w:jc w:val="left"/>
        <w:textAlignment w:val="auto"/>
        <w:rPr>
          <w:rFonts w:hint="eastAsia" w:ascii="宋体" w:hAnsi="宋体" w:eastAsia="宋体" w:cs="宋体"/>
          <w:b/>
          <w:bCs/>
          <w:sz w:val="21"/>
          <w:szCs w:val="21"/>
          <w:lang w:eastAsia="zh-CN"/>
        </w:rPr>
      </w:pPr>
      <w:r>
        <w:rPr>
          <w:rFonts w:hint="eastAsia" w:ascii="黑体" w:hAnsi="黑体" w:eastAsia="黑体" w:cs="黑体"/>
          <w:b w:val="0"/>
          <w:bCs w:val="0"/>
          <w:sz w:val="21"/>
          <w:szCs w:val="21"/>
          <w:lang w:val="en-US" w:eastAsia="zh-CN"/>
        </w:rPr>
        <w:t>8.4</w:t>
      </w:r>
      <w:r>
        <w:rPr>
          <w:rFonts w:hint="eastAsia" w:ascii="宋体" w:hAnsi="宋体" w:eastAsia="宋体" w:cs="宋体"/>
          <w:b/>
          <w:bCs/>
          <w:sz w:val="21"/>
          <w:szCs w:val="21"/>
          <w:lang w:val="en-US" w:eastAsia="zh-CN"/>
        </w:rPr>
        <w:t xml:space="preserve"> </w:t>
      </w:r>
      <w:r>
        <w:rPr>
          <w:rFonts w:hint="eastAsia" w:cs="宋体"/>
          <w:b/>
          <w:bCs/>
          <w:sz w:val="21"/>
          <w:szCs w:val="21"/>
          <w:lang w:val="en-US" w:eastAsia="zh-CN"/>
        </w:rPr>
        <w:t xml:space="preserve"> </w:t>
      </w:r>
      <w:r>
        <w:rPr>
          <w:rFonts w:hint="eastAsia" w:ascii="宋体" w:hAnsi="宋体" w:eastAsia="宋体" w:cs="宋体"/>
          <w:b/>
          <w:bCs/>
          <w:sz w:val="21"/>
          <w:szCs w:val="21"/>
        </w:rPr>
        <w:t>质量证明书</w:t>
      </w:r>
    </w:p>
    <w:p>
      <w:pPr>
        <w:pStyle w:val="6"/>
        <w:keepNext w:val="0"/>
        <w:keepLines w:val="0"/>
        <w:pageBreakBefore w:val="0"/>
        <w:widowControl w:val="0"/>
        <w:tabs>
          <w:tab w:val="left" w:pos="4007"/>
        </w:tabs>
        <w:kinsoku/>
        <w:wordWrap/>
        <w:overflowPunct/>
        <w:topLinePunct w:val="0"/>
        <w:autoSpaceDE w:val="0"/>
        <w:autoSpaceDN w:val="0"/>
        <w:bidi w:val="0"/>
        <w:adjustRightInd/>
        <w:snapToGrid/>
        <w:spacing w:line="240" w:lineRule="auto"/>
        <w:ind w:left="527"/>
        <w:textAlignment w:val="auto"/>
        <w:rPr>
          <w:rFonts w:hint="eastAsia" w:ascii="宋体" w:hAnsi="宋体" w:eastAsia="宋体" w:cs="宋体"/>
          <w:sz w:val="21"/>
          <w:szCs w:val="21"/>
          <w:lang w:eastAsia="zh-CN"/>
        </w:rPr>
      </w:pPr>
      <w:r>
        <w:rPr>
          <w:rFonts w:hint="eastAsia" w:ascii="宋体" w:hAnsi="宋体" w:eastAsia="宋体" w:cs="宋体"/>
          <w:sz w:val="21"/>
          <w:szCs w:val="21"/>
        </w:rPr>
        <w:t>每批产品应附有质量证明书，其上注明</w:t>
      </w:r>
      <w:r>
        <w:rPr>
          <w:rFonts w:hint="eastAsia" w:ascii="宋体" w:hAnsi="宋体" w:eastAsia="宋体" w:cs="宋体"/>
          <w:sz w:val="21"/>
          <w:szCs w:val="21"/>
          <w:lang w:eastAsia="zh-CN"/>
        </w:rPr>
        <w:t>：</w:t>
      </w:r>
    </w:p>
    <w:p>
      <w:pPr>
        <w:keepNext w:val="0"/>
        <w:keepLines w:val="0"/>
        <w:pageBreakBefore w:val="0"/>
        <w:widowControl w:val="0"/>
        <w:tabs>
          <w:tab w:val="left" w:pos="941"/>
        </w:tabs>
        <w:kinsoku/>
        <w:wordWrap/>
        <w:overflowPunct/>
        <w:topLinePunct w:val="0"/>
        <w:autoSpaceDE w:val="0"/>
        <w:autoSpaceDN w:val="0"/>
        <w:bidi w:val="0"/>
        <w:adjustRightInd/>
        <w:snapToGrid/>
        <w:spacing w:before="76" w:line="240" w:lineRule="auto"/>
        <w:ind w:left="539" w:right="0" w:firstLine="0"/>
        <w:jc w:val="left"/>
        <w:textAlignment w:val="auto"/>
        <w:rPr>
          <w:rFonts w:hint="eastAsia" w:ascii="宋体" w:hAnsi="宋体" w:eastAsia="宋体" w:cs="宋体"/>
          <w:sz w:val="21"/>
          <w:szCs w:val="21"/>
          <w:lang w:eastAsia="zh-CN"/>
        </w:rPr>
      </w:pPr>
      <w:r>
        <w:rPr>
          <w:rFonts w:hint="eastAsia" w:ascii="宋体" w:hAnsi="宋体" w:eastAsia="宋体" w:cs="宋体"/>
          <w:w w:val="120"/>
          <w:sz w:val="21"/>
          <w:szCs w:val="21"/>
        </w:rPr>
        <w:t>a)</w:t>
      </w:r>
      <w:r>
        <w:rPr>
          <w:rFonts w:hint="eastAsia" w:ascii="宋体" w:hAnsi="宋体" w:eastAsia="宋体" w:cs="宋体"/>
          <w:w w:val="120"/>
          <w:sz w:val="21"/>
          <w:szCs w:val="21"/>
        </w:rPr>
        <w:tab/>
      </w:r>
      <w:r>
        <w:rPr>
          <w:rFonts w:hint="eastAsia" w:ascii="宋体" w:hAnsi="宋体" w:eastAsia="宋体" w:cs="宋体"/>
          <w:sz w:val="21"/>
          <w:szCs w:val="21"/>
          <w:lang w:val="en-US" w:eastAsia="en-US" w:bidi="ar-SA"/>
        </w:rPr>
        <w:t>供方名称</w:t>
      </w:r>
      <w:r>
        <w:rPr>
          <w:rFonts w:hint="eastAsia" w:ascii="宋体" w:hAnsi="宋体" w:eastAsia="宋体" w:cs="宋体"/>
          <w:w w:val="12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before="0" w:line="240" w:lineRule="auto"/>
        <w:ind w:left="539" w:right="0" w:firstLine="0"/>
        <w:jc w:val="left"/>
        <w:textAlignment w:val="auto"/>
        <w:rPr>
          <w:rFonts w:hint="eastAsia" w:ascii="宋体" w:hAnsi="宋体" w:eastAsia="宋体" w:cs="宋体"/>
          <w:w w:val="125"/>
          <w:sz w:val="21"/>
          <w:szCs w:val="21"/>
          <w:lang w:val="en-US" w:eastAsia="zh-CN"/>
        </w:rPr>
      </w:pPr>
      <w:r>
        <w:rPr>
          <w:rFonts w:hint="eastAsia" w:ascii="宋体" w:hAnsi="宋体" w:eastAsia="宋体" w:cs="宋体"/>
          <w:w w:val="125"/>
          <w:sz w:val="21"/>
          <w:szCs w:val="21"/>
        </w:rPr>
        <w:t>b)</w:t>
      </w:r>
      <w:r>
        <w:rPr>
          <w:rFonts w:hint="eastAsia" w:ascii="宋体" w:hAnsi="宋体" w:eastAsia="宋体" w:cs="宋体"/>
          <w:w w:val="125"/>
          <w:sz w:val="21"/>
          <w:szCs w:val="21"/>
          <w:lang w:val="en-US" w:eastAsia="zh-CN"/>
        </w:rPr>
        <w:t xml:space="preserve"> </w:t>
      </w:r>
      <w:r>
        <w:rPr>
          <w:rFonts w:hint="eastAsia" w:ascii="宋体" w:hAnsi="宋体" w:eastAsia="宋体" w:cs="宋体"/>
          <w:sz w:val="21"/>
          <w:szCs w:val="21"/>
          <w:lang w:val="en-US" w:eastAsia="zh-CN" w:bidi="ar-SA"/>
        </w:rPr>
        <w:t>合同号</w:t>
      </w:r>
      <w:r>
        <w:rPr>
          <w:rFonts w:hint="eastAsia" w:ascii="宋体" w:hAnsi="宋体" w:eastAsia="宋体" w:cs="宋体"/>
          <w:w w:val="125"/>
          <w:sz w:val="21"/>
          <w:szCs w:val="21"/>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line="240" w:lineRule="auto"/>
        <w:ind w:left="539" w:right="0" w:firstLine="0"/>
        <w:jc w:val="left"/>
        <w:textAlignment w:val="auto"/>
        <w:rPr>
          <w:rFonts w:hint="eastAsia" w:ascii="宋体" w:hAnsi="宋体" w:eastAsia="宋体" w:cs="宋体"/>
          <w:sz w:val="21"/>
          <w:szCs w:val="21"/>
        </w:rPr>
      </w:pPr>
      <w:r>
        <w:rPr>
          <w:rFonts w:hint="eastAsia" w:ascii="宋体" w:hAnsi="宋体" w:eastAsia="宋体" w:cs="宋体"/>
          <w:w w:val="125"/>
          <w:sz w:val="21"/>
          <w:szCs w:val="21"/>
          <w:lang w:val="en-US" w:eastAsia="zh-CN"/>
        </w:rPr>
        <w:t xml:space="preserve">c) </w:t>
      </w:r>
      <w:r>
        <w:rPr>
          <w:rFonts w:hint="eastAsia" w:ascii="宋体" w:hAnsi="宋体" w:eastAsia="宋体" w:cs="宋体"/>
          <w:sz w:val="21"/>
          <w:szCs w:val="21"/>
          <w:lang w:val="en-US" w:eastAsia="zh-CN" w:bidi="ar-SA"/>
        </w:rPr>
        <w:t>产品名称、牌号；</w:t>
      </w:r>
    </w:p>
    <w:p>
      <w:pPr>
        <w:keepNext w:val="0"/>
        <w:keepLines w:val="0"/>
        <w:pageBreakBefore w:val="0"/>
        <w:widowControl w:val="0"/>
        <w:kinsoku/>
        <w:wordWrap/>
        <w:overflowPunct/>
        <w:topLinePunct w:val="0"/>
        <w:autoSpaceDE w:val="0"/>
        <w:autoSpaceDN w:val="0"/>
        <w:bidi w:val="0"/>
        <w:adjustRightInd/>
        <w:snapToGrid/>
        <w:spacing w:before="0" w:line="240" w:lineRule="auto"/>
        <w:ind w:left="533" w:right="0" w:firstLine="0"/>
        <w:jc w:val="left"/>
        <w:textAlignment w:val="auto"/>
        <w:rPr>
          <w:rFonts w:hint="eastAsia" w:ascii="宋体" w:hAnsi="宋体" w:eastAsia="宋体" w:cs="宋体"/>
          <w:sz w:val="21"/>
          <w:szCs w:val="21"/>
          <w:lang w:val="en-US" w:eastAsia="zh-CN"/>
        </w:rPr>
      </w:pPr>
      <w:r>
        <w:rPr>
          <w:rFonts w:hint="eastAsia" w:ascii="宋体" w:hAnsi="宋体" w:eastAsia="宋体" w:cs="宋体"/>
          <w:w w:val="120"/>
          <w:sz w:val="21"/>
          <w:szCs w:val="21"/>
        </w:rPr>
        <w:t>d)</w:t>
      </w:r>
      <w:r>
        <w:rPr>
          <w:rFonts w:hint="eastAsia" w:ascii="宋体" w:hAnsi="宋体" w:eastAsia="宋体" w:cs="宋体"/>
          <w:w w:val="120"/>
          <w:sz w:val="21"/>
          <w:szCs w:val="21"/>
          <w:lang w:val="en-US" w:eastAsia="zh-CN"/>
        </w:rPr>
        <w:t xml:space="preserve"> </w:t>
      </w:r>
      <w:r>
        <w:rPr>
          <w:rFonts w:hint="eastAsia" w:ascii="宋体" w:hAnsi="宋体" w:eastAsia="宋体" w:cs="宋体"/>
          <w:sz w:val="21"/>
          <w:szCs w:val="21"/>
          <w:lang w:val="en-US" w:eastAsia="zh-CN" w:bidi="ar-SA"/>
        </w:rPr>
        <w:t>产品检验批号和构成检验所有的衬底及其晶锭编号；</w:t>
      </w:r>
    </w:p>
    <w:p>
      <w:pPr>
        <w:keepNext w:val="0"/>
        <w:keepLines w:val="0"/>
        <w:pageBreakBefore w:val="0"/>
        <w:widowControl w:val="0"/>
        <w:kinsoku/>
        <w:wordWrap/>
        <w:overflowPunct/>
        <w:topLinePunct w:val="0"/>
        <w:autoSpaceDE w:val="0"/>
        <w:autoSpaceDN w:val="0"/>
        <w:bidi w:val="0"/>
        <w:adjustRightInd/>
        <w:snapToGrid/>
        <w:spacing w:before="0" w:line="240" w:lineRule="auto"/>
        <w:ind w:left="539" w:right="0" w:firstLine="0"/>
        <w:jc w:val="left"/>
        <w:textAlignment w:val="auto"/>
        <w:rPr>
          <w:rFonts w:hint="default" w:ascii="宋体" w:hAnsi="宋体" w:eastAsia="宋体" w:cs="宋体"/>
          <w:sz w:val="21"/>
          <w:szCs w:val="21"/>
          <w:lang w:val="en-US" w:eastAsia="zh-CN" w:bidi="ar-SA"/>
        </w:rPr>
      </w:pPr>
      <w:r>
        <w:rPr>
          <w:rFonts w:hint="eastAsia" w:ascii="宋体" w:hAnsi="宋体" w:eastAsia="宋体" w:cs="宋体"/>
          <w:w w:val="125"/>
          <w:sz w:val="21"/>
          <w:szCs w:val="21"/>
        </w:rPr>
        <w:t>e)</w:t>
      </w:r>
      <w:r>
        <w:rPr>
          <w:rFonts w:hint="eastAsia" w:ascii="宋体" w:hAnsi="宋体" w:eastAsia="宋体" w:cs="宋体"/>
          <w:w w:val="125"/>
          <w:sz w:val="21"/>
          <w:szCs w:val="21"/>
          <w:lang w:val="en-US" w:eastAsia="zh-CN"/>
        </w:rPr>
        <w:t xml:space="preserve"> </w:t>
      </w:r>
      <w:r>
        <w:rPr>
          <w:rFonts w:hint="eastAsia" w:ascii="宋体" w:hAnsi="宋体" w:eastAsia="宋体" w:cs="宋体"/>
          <w:sz w:val="21"/>
          <w:szCs w:val="21"/>
          <w:lang w:val="en-US" w:eastAsia="zh-CN" w:bidi="ar-SA"/>
        </w:rPr>
        <w:t>各项参数检验结果和检验员印章及检验日期；</w:t>
      </w:r>
    </w:p>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539"/>
        <w:textAlignment w:val="auto"/>
        <w:rPr>
          <w:rFonts w:hint="default" w:ascii="宋体" w:hAnsi="宋体" w:eastAsia="宋体" w:cs="宋体"/>
          <w:w w:val="115"/>
          <w:sz w:val="21"/>
          <w:szCs w:val="21"/>
          <w:lang w:val="en-US" w:eastAsia="zh-CN"/>
        </w:rPr>
      </w:pPr>
      <w:r>
        <w:rPr>
          <w:rFonts w:hint="eastAsia" w:ascii="宋体" w:hAnsi="宋体" w:eastAsia="宋体" w:cs="宋体"/>
          <w:w w:val="115"/>
          <w:sz w:val="21"/>
          <w:szCs w:val="21"/>
        </w:rPr>
        <w:t>f)</w:t>
      </w:r>
      <w:r>
        <w:rPr>
          <w:rFonts w:hint="eastAsia" w:cs="宋体"/>
          <w:w w:val="115"/>
          <w:sz w:val="21"/>
          <w:szCs w:val="21"/>
          <w:lang w:val="en-US" w:eastAsia="zh-CN"/>
        </w:rPr>
        <w:t xml:space="preserve"> 生产日期和保质期；</w:t>
      </w:r>
    </w:p>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539"/>
        <w:textAlignment w:val="auto"/>
        <w:rPr>
          <w:rFonts w:hint="eastAsia" w:ascii="宋体" w:hAnsi="宋体" w:eastAsia="宋体" w:cs="宋体"/>
          <w:sz w:val="21"/>
          <w:szCs w:val="21"/>
          <w:lang w:val="en-US" w:eastAsia="zh-CN"/>
        </w:rPr>
      </w:pPr>
      <w:r>
        <w:rPr>
          <w:rFonts w:hint="eastAsia" w:cs="宋体"/>
          <w:w w:val="115"/>
          <w:sz w:val="21"/>
          <w:szCs w:val="21"/>
          <w:lang w:val="en-US" w:eastAsia="zh-CN"/>
        </w:rPr>
        <w:t>h）</w:t>
      </w:r>
      <w:r>
        <w:rPr>
          <w:rFonts w:hint="eastAsia" w:ascii="宋体" w:hAnsi="宋体" w:eastAsia="宋体" w:cs="宋体"/>
          <w:w w:val="115"/>
          <w:sz w:val="21"/>
          <w:szCs w:val="21"/>
          <w:lang w:val="en-US" w:eastAsia="zh-CN"/>
        </w:rPr>
        <w:t xml:space="preserve"> </w:t>
      </w:r>
      <w:r>
        <w:rPr>
          <w:rFonts w:hint="eastAsia" w:ascii="宋体" w:hAnsi="宋体" w:eastAsia="宋体" w:cs="宋体"/>
          <w:sz w:val="21"/>
          <w:szCs w:val="21"/>
          <w:lang w:val="en-US" w:eastAsia="zh-CN"/>
        </w:rPr>
        <w:t>检验部门印章；</w:t>
      </w:r>
    </w:p>
    <w:p>
      <w:pPr>
        <w:pStyle w:val="6"/>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9 订货单（或合同）内容</w:t>
      </w:r>
    </w:p>
    <w:p>
      <w:pPr>
        <w:pStyle w:val="6"/>
        <w:keepNext w:val="0"/>
        <w:keepLines w:val="0"/>
        <w:pageBreakBefore w:val="0"/>
        <w:widowControl w:val="0"/>
        <w:kinsoku/>
        <w:wordWrap/>
        <w:overflowPunct/>
        <w:topLinePunct w:val="0"/>
        <w:autoSpaceDE w:val="0"/>
        <w:autoSpaceDN w:val="0"/>
        <w:bidi w:val="0"/>
        <w:adjustRightInd/>
        <w:snapToGrid/>
        <w:spacing w:before="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订购本标准所规定的产品的订货单（或合同）应包括以下内容：</w:t>
      </w:r>
    </w:p>
    <w:p>
      <w:pPr>
        <w:pStyle w:val="6"/>
        <w:keepNext w:val="0"/>
        <w:keepLines w:val="0"/>
        <w:pageBreakBefore w:val="0"/>
        <w:widowControl w:val="0"/>
        <w:numPr>
          <w:ilvl w:val="0"/>
          <w:numId w:val="10"/>
        </w:numPr>
        <w:kinsoku/>
        <w:wordWrap/>
        <w:overflowPunct/>
        <w:topLinePunct w:val="0"/>
        <w:autoSpaceDE w:val="0"/>
        <w:autoSpaceDN w:val="0"/>
        <w:bidi w:val="0"/>
        <w:adjustRightInd/>
        <w:snapToGrid/>
        <w:spacing w:before="0" w:line="240" w:lineRule="auto"/>
        <w:ind w:left="860" w:leftChars="200" w:hanging="420" w:hanging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产品名称、牌号;</w:t>
      </w:r>
    </w:p>
    <w:p>
      <w:pPr>
        <w:pStyle w:val="6"/>
        <w:keepNext w:val="0"/>
        <w:keepLines w:val="0"/>
        <w:pageBreakBefore w:val="0"/>
        <w:widowControl w:val="0"/>
        <w:numPr>
          <w:ilvl w:val="0"/>
          <w:numId w:val="10"/>
        </w:numPr>
        <w:kinsoku/>
        <w:wordWrap/>
        <w:overflowPunct/>
        <w:topLinePunct w:val="0"/>
        <w:autoSpaceDE w:val="0"/>
        <w:autoSpaceDN w:val="0"/>
        <w:bidi w:val="0"/>
        <w:adjustRightInd/>
        <w:snapToGrid/>
        <w:spacing w:before="0" w:line="240" w:lineRule="auto"/>
        <w:ind w:left="860" w:leftChars="200" w:hanging="420" w:hanging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产品所依据的标准名称和编号；</w:t>
      </w:r>
    </w:p>
    <w:p>
      <w:pPr>
        <w:pStyle w:val="6"/>
        <w:keepNext w:val="0"/>
        <w:keepLines w:val="0"/>
        <w:pageBreakBefore w:val="0"/>
        <w:widowControl w:val="0"/>
        <w:numPr>
          <w:ilvl w:val="0"/>
          <w:numId w:val="10"/>
        </w:numPr>
        <w:kinsoku/>
        <w:wordWrap/>
        <w:overflowPunct/>
        <w:topLinePunct w:val="0"/>
        <w:autoSpaceDE w:val="0"/>
        <w:autoSpaceDN w:val="0"/>
        <w:bidi w:val="0"/>
        <w:adjustRightInd/>
        <w:snapToGrid/>
        <w:spacing w:before="0" w:line="240" w:lineRule="auto"/>
        <w:ind w:left="860" w:leftChars="200" w:hanging="420" w:hanging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产品数量；</w:t>
      </w:r>
    </w:p>
    <w:p>
      <w:pPr>
        <w:pStyle w:val="6"/>
        <w:keepNext w:val="0"/>
        <w:keepLines w:val="0"/>
        <w:pageBreakBefore w:val="0"/>
        <w:widowControl w:val="0"/>
        <w:numPr>
          <w:ilvl w:val="0"/>
          <w:numId w:val="10"/>
        </w:numPr>
        <w:kinsoku/>
        <w:wordWrap/>
        <w:overflowPunct/>
        <w:topLinePunct w:val="0"/>
        <w:autoSpaceDE w:val="0"/>
        <w:autoSpaceDN w:val="0"/>
        <w:bidi w:val="0"/>
        <w:adjustRightInd/>
        <w:snapToGrid/>
        <w:spacing w:before="0" w:line="240" w:lineRule="auto"/>
        <w:ind w:left="860" w:leftChars="200" w:hanging="420" w:hanging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使用的包装要求；</w:t>
      </w:r>
    </w:p>
    <w:p>
      <w:pPr>
        <w:pStyle w:val="6"/>
        <w:keepNext w:val="0"/>
        <w:keepLines w:val="0"/>
        <w:pageBreakBefore w:val="0"/>
        <w:widowControl w:val="0"/>
        <w:numPr>
          <w:ilvl w:val="0"/>
          <w:numId w:val="10"/>
        </w:numPr>
        <w:kinsoku/>
        <w:wordWrap/>
        <w:overflowPunct/>
        <w:topLinePunct w:val="0"/>
        <w:autoSpaceDE w:val="0"/>
        <w:autoSpaceDN w:val="0"/>
        <w:bidi w:val="0"/>
        <w:adjustRightInd/>
        <w:snapToGrid/>
        <w:spacing w:before="0" w:line="240" w:lineRule="auto"/>
        <w:ind w:left="860" w:leftChars="200" w:hanging="420" w:hanging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特殊要求；</w:t>
      </w:r>
    </w:p>
    <w:p>
      <w:pPr>
        <w:pStyle w:val="6"/>
        <w:keepNext w:val="0"/>
        <w:keepLines w:val="0"/>
        <w:pageBreakBefore w:val="0"/>
        <w:widowControl w:val="0"/>
        <w:numPr>
          <w:ilvl w:val="0"/>
          <w:numId w:val="10"/>
        </w:numPr>
        <w:kinsoku/>
        <w:wordWrap/>
        <w:overflowPunct/>
        <w:topLinePunct w:val="0"/>
        <w:autoSpaceDE w:val="0"/>
        <w:autoSpaceDN w:val="0"/>
        <w:bidi w:val="0"/>
        <w:adjustRightInd/>
        <w:snapToGrid/>
        <w:spacing w:before="0" w:line="240" w:lineRule="auto"/>
        <w:ind w:left="860" w:leftChars="200" w:hanging="420" w:hanging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w:t>
      </w:r>
      <w:r>
        <w:rPr>
          <w:rFonts w:hint="eastAsia" w:cs="宋体"/>
          <w:sz w:val="21"/>
          <w:szCs w:val="21"/>
          <w:lang w:val="en-US"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pStyle w:val="6"/>
        <w:keepNext w:val="0"/>
        <w:keepLines w:val="0"/>
        <w:pageBreakBefore w:val="0"/>
        <w:widowControl w:val="0"/>
        <w:kinsoku/>
        <w:wordWrap/>
        <w:overflowPunct/>
        <w:topLinePunct w:val="0"/>
        <w:autoSpaceDE w:val="0"/>
        <w:autoSpaceDN w:val="0"/>
        <w:bidi w:val="0"/>
        <w:adjustRightInd/>
        <w:snapToGrid/>
        <w:spacing w:before="0" w:line="240" w:lineRule="auto"/>
        <w:textAlignment w:val="auto"/>
        <w:rPr>
          <w:rFonts w:hint="eastAsia" w:ascii="宋体" w:hAnsi="宋体" w:eastAsia="宋体" w:cs="宋体"/>
          <w:sz w:val="21"/>
          <w:szCs w:val="21"/>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240" w:lineRule="auto"/>
        <w:textAlignment w:val="auto"/>
        <w:rPr>
          <w:rFonts w:hint="eastAsia" w:ascii="宋体" w:hAnsi="宋体" w:eastAsia="宋体" w:cs="宋体"/>
          <w:sz w:val="21"/>
          <w:szCs w:val="21"/>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240" w:lineRule="auto"/>
        <w:textAlignment w:val="auto"/>
        <w:rPr>
          <w:rFonts w:hint="eastAsia" w:ascii="宋体" w:hAnsi="宋体" w:eastAsia="宋体" w:cs="宋体"/>
          <w:sz w:val="21"/>
          <w:szCs w:val="21"/>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240" w:lineRule="auto"/>
        <w:textAlignment w:val="auto"/>
        <w:rPr>
          <w:rFonts w:hint="eastAsia" w:ascii="宋体" w:hAnsi="宋体" w:eastAsia="宋体" w:cs="宋体"/>
          <w:sz w:val="21"/>
          <w:szCs w:val="21"/>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240" w:lineRule="auto"/>
        <w:textAlignment w:val="auto"/>
        <w:rPr>
          <w:rFonts w:hint="eastAsia" w:ascii="宋体" w:hAnsi="宋体" w:eastAsia="宋体" w:cs="宋体"/>
          <w:sz w:val="21"/>
          <w:szCs w:val="21"/>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240" w:lineRule="auto"/>
        <w:textAlignment w:val="auto"/>
        <w:rPr>
          <w:rFonts w:hint="eastAsia" w:ascii="宋体" w:hAnsi="宋体" w:eastAsia="宋体" w:cs="宋体"/>
          <w:sz w:val="21"/>
          <w:szCs w:val="21"/>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240" w:lineRule="auto"/>
        <w:textAlignment w:val="auto"/>
        <w:rPr>
          <w:rFonts w:hint="eastAsia" w:ascii="宋体" w:hAnsi="宋体" w:eastAsia="宋体" w:cs="宋体"/>
          <w:sz w:val="21"/>
          <w:szCs w:val="21"/>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240" w:lineRule="auto"/>
        <w:textAlignment w:val="auto"/>
        <w:rPr>
          <w:rFonts w:hint="eastAsia" w:ascii="宋体" w:hAnsi="宋体" w:eastAsia="宋体" w:cs="宋体"/>
          <w:sz w:val="21"/>
          <w:szCs w:val="21"/>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240" w:lineRule="auto"/>
        <w:textAlignment w:val="auto"/>
        <w:rPr>
          <w:rFonts w:hint="eastAsia" w:ascii="宋体" w:hAnsi="宋体" w:eastAsia="宋体" w:cs="宋体"/>
          <w:sz w:val="21"/>
          <w:szCs w:val="21"/>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240" w:lineRule="auto"/>
        <w:textAlignment w:val="auto"/>
        <w:rPr>
          <w:rFonts w:hint="eastAsia" w:ascii="宋体" w:hAnsi="宋体" w:eastAsia="宋体" w:cs="宋体"/>
          <w:sz w:val="21"/>
          <w:szCs w:val="21"/>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240" w:lineRule="auto"/>
        <w:textAlignment w:val="auto"/>
        <w:rPr>
          <w:rFonts w:hint="eastAsia" w:ascii="宋体" w:hAnsi="宋体" w:eastAsia="宋体" w:cs="宋体"/>
          <w:sz w:val="21"/>
          <w:szCs w:val="21"/>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240" w:lineRule="auto"/>
        <w:textAlignment w:val="auto"/>
        <w:rPr>
          <w:rFonts w:hint="eastAsia" w:ascii="宋体" w:hAnsi="宋体" w:eastAsia="宋体" w:cs="宋体"/>
          <w:sz w:val="21"/>
          <w:szCs w:val="21"/>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240" w:lineRule="auto"/>
        <w:textAlignment w:val="auto"/>
        <w:rPr>
          <w:rFonts w:hint="eastAsia" w:ascii="宋体" w:hAnsi="宋体" w:eastAsia="宋体" w:cs="宋体"/>
          <w:sz w:val="21"/>
          <w:szCs w:val="21"/>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240" w:lineRule="auto"/>
        <w:textAlignment w:val="auto"/>
        <w:rPr>
          <w:rFonts w:hint="eastAsia" w:ascii="宋体" w:hAnsi="宋体" w:eastAsia="宋体" w:cs="宋体"/>
          <w:sz w:val="21"/>
          <w:szCs w:val="21"/>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240" w:lineRule="auto"/>
        <w:textAlignment w:val="auto"/>
        <w:rPr>
          <w:rFonts w:hint="eastAsia" w:ascii="宋体" w:hAnsi="宋体" w:eastAsia="宋体" w:cs="宋体"/>
          <w:sz w:val="21"/>
          <w:szCs w:val="21"/>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240" w:lineRule="auto"/>
        <w:textAlignment w:val="auto"/>
        <w:rPr>
          <w:rFonts w:hint="eastAsia" w:ascii="宋体" w:hAnsi="宋体" w:eastAsia="宋体" w:cs="宋体"/>
          <w:sz w:val="21"/>
          <w:szCs w:val="21"/>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240" w:lineRule="auto"/>
        <w:textAlignment w:val="auto"/>
        <w:rPr>
          <w:rFonts w:hint="eastAsia" w:ascii="宋体" w:hAnsi="宋体" w:eastAsia="宋体" w:cs="宋体"/>
          <w:sz w:val="21"/>
          <w:szCs w:val="21"/>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240" w:lineRule="auto"/>
        <w:textAlignment w:val="auto"/>
        <w:rPr>
          <w:rFonts w:hint="eastAsia" w:ascii="宋体" w:hAnsi="宋体" w:eastAsia="宋体" w:cs="宋体"/>
          <w:sz w:val="21"/>
          <w:szCs w:val="21"/>
          <w:lang w:val="en-US" w:eastAsia="zh-CN"/>
        </w:rPr>
      </w:pPr>
    </w:p>
    <w:p>
      <w:pPr>
        <w:pStyle w:val="22"/>
        <w:numPr>
          <w:ilvl w:val="0"/>
          <w:numId w:val="0"/>
        </w:numPr>
        <w:ind w:leftChars="0" w:right="0" w:rightChars="0"/>
        <w:jc w:val="center"/>
        <w:rPr>
          <w:rFonts w:hint="eastAsia"/>
          <w:lang w:val="en-US" w:eastAsia="zh-CN"/>
        </w:rPr>
      </w:pPr>
    </w:p>
    <w:p>
      <w:pPr>
        <w:pStyle w:val="22"/>
        <w:numPr>
          <w:ilvl w:val="0"/>
          <w:numId w:val="0"/>
        </w:numPr>
        <w:ind w:leftChars="0" w:right="0" w:rightChars="0"/>
        <w:jc w:val="both"/>
        <w:rPr>
          <w:rFonts w:hint="eastAsia"/>
          <w:lang w:val="en-US" w:eastAsia="zh-CN"/>
        </w:rPr>
      </w:pPr>
    </w:p>
    <w:p>
      <w:pPr>
        <w:pStyle w:val="22"/>
        <w:numPr>
          <w:ilvl w:val="0"/>
          <w:numId w:val="0"/>
        </w:numPr>
        <w:ind w:leftChars="0" w:right="0" w:rightChars="0"/>
        <w:jc w:val="both"/>
        <w:rPr>
          <w:rFonts w:hint="eastAsia"/>
          <w:lang w:val="en-US" w:eastAsia="zh-CN"/>
        </w:rPr>
      </w:pPr>
    </w:p>
    <w:p>
      <w:pPr>
        <w:pStyle w:val="17"/>
        <w:rPr>
          <w:rFonts w:hint="eastAsia"/>
          <w:lang w:val="en-US" w:eastAsia="zh-CN"/>
        </w:rPr>
      </w:pPr>
    </w:p>
    <w:p>
      <w:pPr>
        <w:pStyle w:val="17"/>
        <w:ind w:left="0" w:leftChars="0" w:firstLine="0" w:firstLineChars="0"/>
        <w:rPr>
          <w:rFonts w:hint="eastAsia"/>
          <w:lang w:val="en-US" w:eastAsia="zh-CN"/>
        </w:rPr>
      </w:pPr>
    </w:p>
    <w:p>
      <w:pPr>
        <w:pStyle w:val="22"/>
        <w:keepNext/>
        <w:keepLines w:val="0"/>
        <w:pageBreakBefore w:val="0"/>
        <w:widowControl/>
        <w:numPr>
          <w:ilvl w:val="0"/>
          <w:numId w:val="0"/>
        </w:numPr>
        <w:kinsoku/>
        <w:wordWrap/>
        <w:overflowPunct/>
        <w:topLinePunct w:val="0"/>
        <w:autoSpaceDE w:val="0"/>
        <w:autoSpaceDN w:val="0"/>
        <w:bidi w:val="0"/>
        <w:adjustRightInd/>
        <w:snapToGrid/>
        <w:spacing w:before="0" w:after="0"/>
        <w:ind w:leftChars="0" w:right="0" w:rightChars="0"/>
        <w:jc w:val="center"/>
        <w:textAlignment w:val="auto"/>
        <w:rPr>
          <w:rFonts w:hint="eastAsia"/>
        </w:rPr>
      </w:pPr>
      <w:r>
        <w:rPr>
          <w:rFonts w:hint="eastAsia"/>
          <w:lang w:val="en-US" w:eastAsia="zh-CN"/>
        </w:rPr>
        <w:t>附  录 A</w:t>
      </w:r>
      <w:r>
        <w:br w:type="textWrapping"/>
      </w:r>
      <w:bookmarkStart w:id="15" w:name="_Toc308696313"/>
      <w:bookmarkStart w:id="16" w:name="_Toc308599345"/>
      <w:bookmarkStart w:id="17" w:name="_Toc308696459"/>
      <w:r>
        <w:rPr>
          <w:rFonts w:hint="eastAsia"/>
        </w:rPr>
        <w:t>（规范性）</w:t>
      </w:r>
      <w:r>
        <w:br w:type="textWrapping"/>
      </w:r>
      <w:r>
        <w:rPr>
          <w:rFonts w:hint="eastAsia"/>
        </w:rPr>
        <w:t>使用方块电阻测量仪测量衬底电阻率的方法</w:t>
      </w:r>
      <w:bookmarkEnd w:id="15"/>
      <w:bookmarkEnd w:id="16"/>
      <w:bookmarkEnd w:id="17"/>
    </w:p>
    <w:p>
      <w:pPr>
        <w:pStyle w:val="6"/>
        <w:keepNext w:val="0"/>
        <w:keepLines w:val="0"/>
        <w:pageBreakBefore w:val="0"/>
        <w:widowControl w:val="0"/>
        <w:kinsoku/>
        <w:wordWrap/>
        <w:overflowPunct/>
        <w:topLinePunct w:val="0"/>
        <w:autoSpaceDE w:val="0"/>
        <w:autoSpaceDN w:val="0"/>
        <w:bidi w:val="0"/>
        <w:adjustRightInd/>
        <w:snapToGrid/>
        <w:spacing w:before="0" w:line="240" w:lineRule="auto"/>
        <w:textAlignment w:val="auto"/>
        <w:rPr>
          <w:rFonts w:hint="eastAsia" w:ascii="宋体" w:hAnsi="宋体" w:eastAsia="宋体" w:cs="宋体"/>
          <w:sz w:val="21"/>
          <w:szCs w:val="21"/>
          <w:lang w:val="en-US" w:eastAsia="zh-CN"/>
        </w:rPr>
      </w:pPr>
    </w:p>
    <w:p>
      <w:pPr>
        <w:pStyle w:val="23"/>
        <w:keepNext w:val="0"/>
        <w:keepLines w:val="0"/>
        <w:pageBreakBefore w:val="0"/>
        <w:widowControl/>
        <w:kinsoku/>
        <w:wordWrap w:val="0"/>
        <w:overflowPunct w:val="0"/>
        <w:topLinePunct w:val="0"/>
        <w:autoSpaceDE w:val="0"/>
        <w:autoSpaceDN/>
        <w:bidi w:val="0"/>
        <w:adjustRightInd/>
        <w:snapToGrid/>
        <w:spacing w:before="312" w:after="312" w:line="240" w:lineRule="auto"/>
        <w:textAlignment w:val="baseline"/>
        <w:rPr>
          <w:rFonts w:hint="eastAsia"/>
        </w:rPr>
      </w:pPr>
      <w:r>
        <w:rPr>
          <w:rFonts w:hint="eastAsia"/>
        </w:rPr>
        <w:t>适用范围</w:t>
      </w:r>
    </w:p>
    <w:p>
      <w:pPr>
        <w:pStyle w:val="17"/>
        <w:keepNext w:val="0"/>
        <w:keepLines w:val="0"/>
        <w:pageBreakBefore w:val="0"/>
        <w:widowControl/>
        <w:kinsoku/>
        <w:topLinePunct w:val="0"/>
        <w:autoSpaceDE w:val="0"/>
        <w:bidi w:val="0"/>
        <w:adjustRightInd/>
        <w:snapToGrid/>
        <w:spacing w:line="240" w:lineRule="auto"/>
        <w:rPr>
          <w:rFonts w:hint="eastAsia"/>
        </w:rPr>
      </w:pPr>
      <w:r>
        <w:rPr>
          <w:rFonts w:hint="eastAsia"/>
        </w:rPr>
        <w:t>本方法主要参考GB/T6616方法，适用于用方块电阻测量仪对0.02</w:t>
      </w:r>
      <w:r>
        <w:rPr>
          <w:rFonts w:hAnsi="宋体"/>
          <w:szCs w:val="21"/>
          <w:lang w:val="zh-CN"/>
        </w:rPr>
        <w:t>Ω</w:t>
      </w:r>
      <w:r>
        <w:rPr>
          <w:rFonts w:hint="eastAsia"/>
        </w:rPr>
        <w:t>～3000</w:t>
      </w:r>
      <w:r>
        <w:rPr>
          <w:rFonts w:hAnsi="宋体"/>
          <w:szCs w:val="21"/>
          <w:lang w:val="zh-CN"/>
        </w:rPr>
        <w:t>Ω</w:t>
      </w:r>
      <w:r>
        <w:rPr>
          <w:rFonts w:hint="eastAsia"/>
          <w:szCs w:val="21"/>
          <w:lang w:val="zh-CN"/>
        </w:rPr>
        <w:t>的低</w:t>
      </w:r>
      <w:r>
        <w:rPr>
          <w:rFonts w:hint="eastAsia"/>
        </w:rPr>
        <w:t>阻</w:t>
      </w:r>
      <w:r>
        <w:rPr>
          <w:rFonts w:hint="eastAsia" w:ascii="Times New Roman"/>
          <w:color w:val="000000"/>
          <w:szCs w:val="21"/>
        </w:rPr>
        <w:t>砷化镓</w:t>
      </w:r>
      <w:r>
        <w:rPr>
          <w:rFonts w:hint="eastAsia"/>
        </w:rPr>
        <w:t>单晶衬底的电阻率进行测量。</w:t>
      </w:r>
    </w:p>
    <w:p>
      <w:pPr>
        <w:pStyle w:val="23"/>
        <w:keepNext w:val="0"/>
        <w:keepLines w:val="0"/>
        <w:pageBreakBefore w:val="0"/>
        <w:widowControl/>
        <w:kinsoku/>
        <w:wordWrap w:val="0"/>
        <w:overflowPunct w:val="0"/>
        <w:topLinePunct w:val="0"/>
        <w:autoSpaceDE w:val="0"/>
        <w:autoSpaceDN/>
        <w:bidi w:val="0"/>
        <w:adjustRightInd/>
        <w:snapToGrid/>
        <w:spacing w:before="312" w:after="312" w:line="240" w:lineRule="auto"/>
        <w:textAlignment w:val="baseline"/>
        <w:rPr>
          <w:rFonts w:hint="eastAsia"/>
        </w:rPr>
      </w:pPr>
      <w:r>
        <w:rPr>
          <w:rFonts w:hint="eastAsia"/>
        </w:rPr>
        <w:t>测试仪器</w:t>
      </w:r>
    </w:p>
    <w:p>
      <w:pPr>
        <w:pStyle w:val="17"/>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rPr>
      </w:pPr>
      <w:r>
        <w:rPr>
          <w:rFonts w:hint="eastAsia"/>
        </w:rPr>
        <w:t>非接触式方块电阻测量仪。</w:t>
      </w:r>
    </w:p>
    <w:p>
      <w:pPr>
        <w:pStyle w:val="23"/>
        <w:keepNext w:val="0"/>
        <w:keepLines w:val="0"/>
        <w:pageBreakBefore w:val="0"/>
        <w:widowControl/>
        <w:kinsoku/>
        <w:wordWrap w:val="0"/>
        <w:overflowPunct w:val="0"/>
        <w:topLinePunct w:val="0"/>
        <w:autoSpaceDE w:val="0"/>
        <w:autoSpaceDN/>
        <w:bidi w:val="0"/>
        <w:adjustRightInd/>
        <w:snapToGrid/>
        <w:spacing w:before="312" w:after="312" w:line="240" w:lineRule="auto"/>
        <w:textAlignment w:val="baseline"/>
        <w:rPr>
          <w:rFonts w:hint="eastAsia"/>
        </w:rPr>
      </w:pPr>
      <w:r>
        <w:rPr>
          <w:rFonts w:hint="eastAsia"/>
        </w:rPr>
        <w:t>测试原理</w:t>
      </w:r>
    </w:p>
    <w:p>
      <w:pPr>
        <w:pStyle w:val="17"/>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rPr>
      </w:pPr>
      <w:r>
        <w:rPr>
          <w:rFonts w:hint="eastAsia"/>
        </w:rPr>
        <w:t>测量仪中的振荡器一方面驱动线圈产生垂直穿过被测样品的磁场，另一方面提供一个直流电压给监控电路。当磁场因样品的被测区域方块电阻而发生改变时，将在样品中产生涡流并损耗一定的磁场能量，使振荡器的功率降低，输出直流电压改变，监控电路分别在有样品和无样品的情况检测输出的直流电压，这两个电压的差值正比于被测样品被测区域的方块电阻。</w:t>
      </w:r>
    </w:p>
    <w:p>
      <w:pPr>
        <w:pStyle w:val="23"/>
        <w:keepNext w:val="0"/>
        <w:keepLines w:val="0"/>
        <w:pageBreakBefore w:val="0"/>
        <w:widowControl/>
        <w:kinsoku/>
        <w:wordWrap w:val="0"/>
        <w:overflowPunct w:val="0"/>
        <w:topLinePunct w:val="0"/>
        <w:autoSpaceDE w:val="0"/>
        <w:autoSpaceDN/>
        <w:bidi w:val="0"/>
        <w:adjustRightInd/>
        <w:snapToGrid/>
        <w:spacing w:before="312" w:after="312" w:line="240" w:lineRule="auto"/>
        <w:textAlignment w:val="baseline"/>
        <w:rPr>
          <w:rFonts w:hint="eastAsia"/>
        </w:rPr>
      </w:pPr>
      <w:r>
        <w:rPr>
          <w:rFonts w:hint="eastAsia"/>
        </w:rPr>
        <w:t>测试条件</w:t>
      </w:r>
    </w:p>
    <w:p>
      <w:pPr>
        <w:pStyle w:val="17"/>
        <w:keepNext w:val="0"/>
        <w:keepLines w:val="0"/>
        <w:pageBreakBefore w:val="0"/>
        <w:widowControl/>
        <w:kinsoku/>
        <w:wordWrap/>
        <w:overflowPunct/>
        <w:topLinePunct w:val="0"/>
        <w:bidi w:val="0"/>
        <w:adjustRightInd/>
        <w:snapToGrid/>
        <w:spacing w:line="240" w:lineRule="auto"/>
        <w:textAlignment w:val="auto"/>
        <w:rPr>
          <w:rFonts w:hint="eastAsia"/>
        </w:rPr>
      </w:pPr>
      <w:r>
        <w:rPr>
          <w:rFonts w:hint="eastAsia"/>
        </w:rPr>
        <w:t>除另有规定外，应在下列条件下进行检验：</w:t>
      </w:r>
    </w:p>
    <w:p>
      <w:pPr>
        <w:pStyle w:val="24"/>
        <w:keepNext w:val="0"/>
        <w:keepLines w:val="0"/>
        <w:pageBreakBefore w:val="0"/>
        <w:widowControl/>
        <w:numPr>
          <w:ilvl w:val="0"/>
          <w:numId w:val="11"/>
        </w:numPr>
        <w:kinsoku/>
        <w:wordWrap/>
        <w:overflowPunct/>
        <w:topLinePunct w:val="0"/>
        <w:bidi w:val="0"/>
        <w:adjustRightInd/>
        <w:snapToGrid/>
        <w:spacing w:line="240" w:lineRule="auto"/>
        <w:textAlignment w:val="auto"/>
        <w:rPr>
          <w:rFonts w:hint="eastAsia"/>
        </w:rPr>
      </w:pPr>
      <w:r>
        <w:rPr>
          <w:rFonts w:hint="eastAsia"/>
        </w:rPr>
        <w:t>温度：23℃±5℃；</w:t>
      </w:r>
    </w:p>
    <w:p>
      <w:pPr>
        <w:pStyle w:val="24"/>
        <w:keepNext w:val="0"/>
        <w:keepLines w:val="0"/>
        <w:pageBreakBefore w:val="0"/>
        <w:widowControl/>
        <w:numPr>
          <w:ilvl w:val="0"/>
          <w:numId w:val="11"/>
        </w:numPr>
        <w:kinsoku/>
        <w:wordWrap/>
        <w:overflowPunct/>
        <w:topLinePunct w:val="0"/>
        <w:bidi w:val="0"/>
        <w:adjustRightInd/>
        <w:snapToGrid/>
        <w:spacing w:line="240" w:lineRule="auto"/>
        <w:textAlignment w:val="auto"/>
        <w:rPr>
          <w:rFonts w:hint="eastAsia"/>
        </w:rPr>
      </w:pPr>
      <w:r>
        <w:rPr>
          <w:rFonts w:hint="eastAsia"/>
        </w:rPr>
        <w:t>相对湿度：20%</w:t>
      </w:r>
      <w:r>
        <w:rPr>
          <w:rFonts w:ascii="Times New Roman"/>
        </w:rPr>
        <w:t>~</w:t>
      </w:r>
      <w:r>
        <w:rPr>
          <w:rFonts w:hint="eastAsia"/>
        </w:rPr>
        <w:t>70%；</w:t>
      </w:r>
    </w:p>
    <w:p>
      <w:pPr>
        <w:pStyle w:val="24"/>
        <w:keepNext w:val="0"/>
        <w:keepLines w:val="0"/>
        <w:pageBreakBefore w:val="0"/>
        <w:widowControl/>
        <w:numPr>
          <w:ilvl w:val="0"/>
          <w:numId w:val="11"/>
        </w:numPr>
        <w:kinsoku/>
        <w:wordWrap/>
        <w:overflowPunct/>
        <w:topLinePunct w:val="0"/>
        <w:bidi w:val="0"/>
        <w:adjustRightInd/>
        <w:snapToGrid/>
        <w:spacing w:line="240" w:lineRule="auto"/>
        <w:textAlignment w:val="auto"/>
        <w:rPr>
          <w:rFonts w:hint="eastAsia"/>
        </w:rPr>
      </w:pPr>
      <w:r>
        <w:rPr>
          <w:rFonts w:hint="eastAsia"/>
        </w:rPr>
        <w:t>大气压力：86kPa</w:t>
      </w:r>
      <w:r>
        <w:rPr>
          <w:rFonts w:ascii="Times New Roman"/>
        </w:rPr>
        <w:t>~</w:t>
      </w:r>
      <w:r>
        <w:rPr>
          <w:rFonts w:hint="eastAsia"/>
        </w:rPr>
        <w:t>106kPa；</w:t>
      </w:r>
    </w:p>
    <w:p>
      <w:pPr>
        <w:pStyle w:val="24"/>
        <w:keepNext w:val="0"/>
        <w:keepLines w:val="0"/>
        <w:pageBreakBefore w:val="0"/>
        <w:widowControl/>
        <w:numPr>
          <w:ilvl w:val="0"/>
          <w:numId w:val="11"/>
        </w:numPr>
        <w:kinsoku/>
        <w:wordWrap/>
        <w:overflowPunct/>
        <w:topLinePunct w:val="0"/>
        <w:bidi w:val="0"/>
        <w:adjustRightInd/>
        <w:snapToGrid/>
        <w:spacing w:line="240" w:lineRule="auto"/>
        <w:textAlignment w:val="auto"/>
        <w:rPr>
          <w:rFonts w:hint="eastAsia"/>
        </w:rPr>
      </w:pPr>
      <w:r>
        <w:rPr>
          <w:rFonts w:hint="eastAsia"/>
        </w:rPr>
        <w:t>洁净度：10000级。</w:t>
      </w:r>
    </w:p>
    <w:p>
      <w:pPr>
        <w:pStyle w:val="23"/>
        <w:keepNext w:val="0"/>
        <w:keepLines w:val="0"/>
        <w:pageBreakBefore w:val="0"/>
        <w:widowControl/>
        <w:kinsoku/>
        <w:wordWrap w:val="0"/>
        <w:overflowPunct w:val="0"/>
        <w:topLinePunct w:val="0"/>
        <w:autoSpaceDE w:val="0"/>
        <w:autoSpaceDN/>
        <w:bidi w:val="0"/>
        <w:adjustRightInd/>
        <w:snapToGrid/>
        <w:spacing w:before="312" w:after="312" w:line="240" w:lineRule="auto"/>
        <w:textAlignment w:val="baseline"/>
        <w:rPr>
          <w:rFonts w:hint="eastAsia"/>
        </w:rPr>
      </w:pPr>
      <w:r>
        <w:rPr>
          <w:rFonts w:hint="eastAsia"/>
        </w:rPr>
        <w:t>测点选择</w:t>
      </w:r>
    </w:p>
    <w:p>
      <w:pPr>
        <w:pStyle w:val="17"/>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rPr>
      </w:pPr>
      <w:r>
        <w:rPr>
          <w:rFonts w:hint="eastAsia"/>
        </w:rPr>
        <w:t>根据衬底的尺寸，以衬底中心点为圆心，半径为4/5衬底半径的圆形区域作为有效测试区域。测试点数为17个～33个，其分布以衬底中心为圆心，呈径向均匀放射形状。</w:t>
      </w:r>
    </w:p>
    <w:p>
      <w:pPr>
        <w:pStyle w:val="23"/>
        <w:keepNext w:val="0"/>
        <w:keepLines w:val="0"/>
        <w:pageBreakBefore w:val="0"/>
        <w:widowControl/>
        <w:kinsoku/>
        <w:wordWrap w:val="0"/>
        <w:overflowPunct w:val="0"/>
        <w:topLinePunct w:val="0"/>
        <w:autoSpaceDE w:val="0"/>
        <w:autoSpaceDN/>
        <w:bidi w:val="0"/>
        <w:adjustRightInd/>
        <w:snapToGrid/>
        <w:spacing w:before="312" w:after="312" w:line="240" w:lineRule="auto"/>
        <w:textAlignment w:val="baseline"/>
        <w:rPr>
          <w:rFonts w:hint="eastAsia"/>
        </w:rPr>
      </w:pPr>
      <w:r>
        <w:rPr>
          <w:rFonts w:hint="eastAsia"/>
        </w:rPr>
        <w:t>方块电阻测量和电阻率的计算</w:t>
      </w:r>
    </w:p>
    <w:p>
      <w:pPr>
        <w:pStyle w:val="25"/>
        <w:keepNext w:val="0"/>
        <w:keepLines w:val="0"/>
        <w:pageBreakBefore w:val="0"/>
        <w:widowControl/>
        <w:kinsoku/>
        <w:wordWrap w:val="0"/>
        <w:overflowPunct w:val="0"/>
        <w:topLinePunct w:val="0"/>
        <w:autoSpaceDE w:val="0"/>
        <w:autoSpaceDN w:val="0"/>
        <w:bidi w:val="0"/>
        <w:adjustRightInd/>
        <w:snapToGrid/>
        <w:spacing w:before="156" w:after="156" w:line="240" w:lineRule="auto"/>
        <w:textAlignment w:val="baseline"/>
        <w:rPr>
          <w:rFonts w:hint="eastAsia"/>
        </w:rPr>
      </w:pPr>
      <w:r>
        <w:rPr>
          <w:rFonts w:hint="eastAsia"/>
        </w:rPr>
        <w:t>测试程序</w:t>
      </w:r>
    </w:p>
    <w:p>
      <w:pPr>
        <w:pStyle w:val="17"/>
        <w:keepNext w:val="0"/>
        <w:keepLines w:val="0"/>
        <w:pageBreakBefore w:val="0"/>
        <w:widowControl/>
        <w:kinsoku/>
        <w:wordWrap/>
        <w:overflowPunct/>
        <w:topLinePunct w:val="0"/>
        <w:bidi w:val="0"/>
        <w:adjustRightInd/>
        <w:snapToGrid/>
        <w:spacing w:line="240" w:lineRule="auto"/>
        <w:textAlignment w:val="auto"/>
        <w:rPr>
          <w:rFonts w:hint="eastAsia"/>
          <w:lang w:val="en-US" w:eastAsia="zh-CN"/>
        </w:rPr>
      </w:pPr>
      <w:r>
        <w:rPr>
          <w:rFonts w:hint="eastAsia"/>
          <w:lang w:val="en-US" w:eastAsia="zh-CN"/>
        </w:rPr>
        <w:t>方块电阻测试程序按以下步骤进行：</w:t>
      </w:r>
    </w:p>
    <w:p>
      <w:pPr>
        <w:pStyle w:val="24"/>
        <w:keepNext w:val="0"/>
        <w:keepLines w:val="0"/>
        <w:pageBreakBefore w:val="0"/>
        <w:widowControl/>
        <w:numPr>
          <w:ilvl w:val="0"/>
          <w:numId w:val="12"/>
        </w:numPr>
        <w:kinsoku/>
        <w:wordWrap/>
        <w:overflowPunct/>
        <w:topLinePunct w:val="0"/>
        <w:bidi w:val="0"/>
        <w:adjustRightInd/>
        <w:snapToGrid/>
        <w:spacing w:line="240" w:lineRule="auto"/>
        <w:textAlignment w:val="auto"/>
        <w:rPr>
          <w:rFonts w:hint="eastAsia"/>
        </w:rPr>
      </w:pPr>
      <w:r>
        <w:rPr>
          <w:rFonts w:hint="eastAsia"/>
        </w:rPr>
        <w:t>将衬底的样片带入万级超净环境后打开包装盒；</w:t>
      </w:r>
    </w:p>
    <w:p>
      <w:pPr>
        <w:pStyle w:val="24"/>
        <w:keepNext w:val="0"/>
        <w:keepLines w:val="0"/>
        <w:pageBreakBefore w:val="0"/>
        <w:widowControl/>
        <w:numPr>
          <w:ilvl w:val="0"/>
          <w:numId w:val="12"/>
        </w:numPr>
        <w:kinsoku/>
        <w:wordWrap/>
        <w:overflowPunct/>
        <w:topLinePunct w:val="0"/>
        <w:bidi w:val="0"/>
        <w:adjustRightInd/>
        <w:snapToGrid/>
        <w:spacing w:line="240" w:lineRule="auto"/>
        <w:textAlignment w:val="auto"/>
        <w:rPr>
          <w:rFonts w:hint="eastAsia"/>
        </w:rPr>
      </w:pPr>
      <w:r>
        <w:rPr>
          <w:rFonts w:hint="eastAsia"/>
        </w:rPr>
        <w:t>用干净的塑料镊子取出衬底的样片，置于测试导轨上，并使待测样片的定位边与标记边平行；</w:t>
      </w:r>
    </w:p>
    <w:p>
      <w:pPr>
        <w:pStyle w:val="24"/>
        <w:keepNext w:val="0"/>
        <w:keepLines w:val="0"/>
        <w:pageBreakBefore w:val="0"/>
        <w:widowControl/>
        <w:numPr>
          <w:ilvl w:val="0"/>
          <w:numId w:val="12"/>
        </w:numPr>
        <w:kinsoku/>
        <w:wordWrap/>
        <w:overflowPunct/>
        <w:topLinePunct w:val="0"/>
        <w:bidi w:val="0"/>
        <w:adjustRightInd/>
        <w:snapToGrid/>
        <w:spacing w:line="240" w:lineRule="auto"/>
        <w:textAlignment w:val="auto"/>
        <w:rPr>
          <w:rFonts w:hint="eastAsia"/>
        </w:rPr>
      </w:pPr>
      <w:r>
        <w:rPr>
          <w:rFonts w:hint="eastAsia"/>
        </w:rPr>
        <w:t>打开仪器及真空泵，打开测试软件，选择测试程序，设定测试参数；</w:t>
      </w:r>
    </w:p>
    <w:p>
      <w:pPr>
        <w:pStyle w:val="24"/>
        <w:keepNext w:val="0"/>
        <w:keepLines w:val="0"/>
        <w:pageBreakBefore w:val="0"/>
        <w:widowControl/>
        <w:numPr>
          <w:ilvl w:val="0"/>
          <w:numId w:val="12"/>
        </w:numPr>
        <w:kinsoku/>
        <w:wordWrap/>
        <w:overflowPunct/>
        <w:topLinePunct w:val="0"/>
        <w:bidi w:val="0"/>
        <w:adjustRightInd/>
        <w:snapToGrid/>
        <w:spacing w:line="240" w:lineRule="auto"/>
        <w:textAlignment w:val="auto"/>
        <w:rPr>
          <w:rFonts w:hint="eastAsia"/>
        </w:rPr>
      </w:pPr>
      <w:r>
        <w:rPr>
          <w:rFonts w:hint="eastAsia"/>
        </w:rPr>
        <w:t>启动测试程序，确定测量范围，开始进行测量；</w:t>
      </w:r>
    </w:p>
    <w:p>
      <w:pPr>
        <w:pStyle w:val="24"/>
        <w:keepNext w:val="0"/>
        <w:keepLines w:val="0"/>
        <w:pageBreakBefore w:val="0"/>
        <w:widowControl/>
        <w:numPr>
          <w:ilvl w:val="0"/>
          <w:numId w:val="12"/>
        </w:numPr>
        <w:kinsoku/>
        <w:wordWrap/>
        <w:overflowPunct/>
        <w:topLinePunct w:val="0"/>
        <w:bidi w:val="0"/>
        <w:adjustRightInd/>
        <w:snapToGrid/>
        <w:spacing w:line="240" w:lineRule="auto"/>
        <w:textAlignment w:val="auto"/>
        <w:rPr>
          <w:rFonts w:hint="eastAsia"/>
        </w:rPr>
      </w:pPr>
      <w:r>
        <w:rPr>
          <w:rFonts w:hint="eastAsia"/>
        </w:rPr>
        <w:t>测量结束后，取下测试样品，重新包装。</w:t>
      </w:r>
    </w:p>
    <w:p>
      <w:pPr>
        <w:pStyle w:val="25"/>
        <w:keepNext w:val="0"/>
        <w:keepLines w:val="0"/>
        <w:pageBreakBefore w:val="0"/>
        <w:widowControl/>
        <w:kinsoku/>
        <w:wordWrap w:val="0"/>
        <w:overflowPunct w:val="0"/>
        <w:topLinePunct w:val="0"/>
        <w:autoSpaceDE w:val="0"/>
        <w:autoSpaceDN w:val="0"/>
        <w:bidi w:val="0"/>
        <w:adjustRightInd/>
        <w:snapToGrid/>
        <w:spacing w:before="156" w:after="156" w:line="240" w:lineRule="auto"/>
        <w:textAlignment w:val="baseline"/>
        <w:rPr>
          <w:rFonts w:hint="eastAsia"/>
        </w:rPr>
      </w:pPr>
      <w:r>
        <w:rPr>
          <w:rFonts w:hint="eastAsia"/>
        </w:rPr>
        <w:t>电阻率的计算</w:t>
      </w:r>
    </w:p>
    <w:p>
      <w:pPr>
        <w:pStyle w:val="17"/>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rPr>
      </w:pPr>
      <w:r>
        <w:rPr>
          <w:rFonts w:hint="eastAsia"/>
        </w:rPr>
        <w:t>衬底每个测试点的电阻率按公式A.1计算：</w:t>
      </w:r>
    </w:p>
    <w:p>
      <w:pPr>
        <w:pStyle w:val="17"/>
        <w:keepNext w:val="0"/>
        <w:keepLines w:val="0"/>
        <w:pageBreakBefore w:val="0"/>
        <w:widowControl/>
        <w:kinsoku/>
        <w:wordWrap/>
        <w:overflowPunct/>
        <w:topLinePunct w:val="0"/>
        <w:autoSpaceDE w:val="0"/>
        <w:autoSpaceDN w:val="0"/>
        <w:bidi w:val="0"/>
        <w:adjustRightInd/>
        <w:snapToGrid/>
        <w:spacing w:line="240" w:lineRule="auto"/>
        <w:ind w:firstLine="0" w:firstLineChars="0"/>
        <w:jc w:val="right"/>
        <w:textAlignment w:val="auto"/>
        <w:rPr>
          <w:rFonts w:hint="eastAsia"/>
        </w:rPr>
      </w:pPr>
      <w:r>
        <w:rPr>
          <w:position w:val="-10"/>
        </w:rPr>
        <w:object>
          <v:shape id="_x0000_i1025" o:spt="75" type="#_x0000_t75" style="height:17pt;width:9pt;" o:ole="t" filled="f" o:preferrelative="t" stroked="f" coordsize="21600,21600">
            <v:path/>
            <v:fill on="f" alignshape="1" focussize="0,0"/>
            <v:stroke on="f"/>
            <v:imagedata r:id="rId12" grayscale="f" bilevel="f" o:title=""/>
            <o:lock v:ext="edit" aspectratio="t"/>
            <w10:wrap type="none"/>
            <w10:anchorlock/>
          </v:shape>
          <o:OLEObject Type="Embed" ProgID="Equation.3" ShapeID="_x0000_i1025" DrawAspect="Content" ObjectID="_1468075725" r:id="rId11">
            <o:LockedField>false</o:LockedField>
          </o:OLEObject>
        </w:object>
      </w:r>
      <w:r>
        <w:rPr>
          <w:position w:val="-10"/>
        </w:rPr>
        <w:object>
          <v:shape id="_x0000_i1026" o:spt="75" type="#_x0000_t75" style="height:16pt;width:35pt;" o:ole="t" filled="f" o:preferrelative="t" stroked="f" coordsize="21600,21600">
            <v:path/>
            <v:fill on="f" alignshape="1" focussize="0,0"/>
            <v:stroke on="f"/>
            <v:imagedata r:id="rId14" grayscale="f" bilevel="f" o:title=""/>
            <o:lock v:ext="edit" aspectratio="t"/>
            <w10:wrap type="none"/>
            <w10:anchorlock/>
          </v:shape>
          <o:OLEObject Type="Embed" ProgID="Equation.3" ShapeID="_x0000_i1026" DrawAspect="Content" ObjectID="_1468075726" r:id="rId13">
            <o:LockedField>false</o:LockedField>
          </o:OLEObject>
        </w:object>
      </w:r>
      <w:r>
        <w:rPr>
          <w:rFonts w:hint="eastAsia"/>
        </w:rPr>
        <w:t>......................................... (A.1)</w:t>
      </w:r>
    </w:p>
    <w:p>
      <w:pPr>
        <w:pStyle w:val="17"/>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rPr>
      </w:pPr>
      <w:r>
        <w:rPr>
          <w:rFonts w:hint="eastAsia"/>
        </w:rPr>
        <w:t>式中：</w:t>
      </w:r>
    </w:p>
    <w:p>
      <w:pPr>
        <w:pStyle w:val="17"/>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rPr>
      </w:pPr>
      <w:r>
        <w:rPr>
          <w:rFonts w:hint="eastAsia"/>
          <w:i/>
        </w:rPr>
        <w:t>ρ</w:t>
      </w:r>
      <w:r>
        <w:rPr>
          <w:rFonts w:hint="eastAsia"/>
        </w:rPr>
        <w:t>——每个测试点的电阻率（</w:t>
      </w:r>
      <w:r>
        <w:rPr/>
        <w:sym w:font="Symbol" w:char="0057"/>
      </w:r>
      <w:r>
        <w:rPr>
          <w:rFonts w:ascii="Times New Roman"/>
        </w:rPr>
        <w:t>·</w:t>
      </w:r>
      <w:r>
        <w:t>cm</w:t>
      </w:r>
      <w:r>
        <w:rPr>
          <w:rFonts w:hint="eastAsia"/>
        </w:rPr>
        <w:t>）；</w:t>
      </w:r>
    </w:p>
    <w:p>
      <w:pPr>
        <w:pStyle w:val="17"/>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rPr>
      </w:pPr>
      <w:r>
        <w:rPr>
          <w:rFonts w:hint="eastAsia"/>
          <w:i/>
        </w:rPr>
        <w:t xml:space="preserve">t </w:t>
      </w:r>
      <w:r>
        <w:rPr>
          <w:rFonts w:hint="eastAsia"/>
        </w:rPr>
        <w:t>——衬底的厚度</w:t>
      </w:r>
      <w:r>
        <w:rPr>
          <w:rFonts w:hint="eastAsia"/>
          <w:szCs w:val="21"/>
        </w:rPr>
        <w:t>（cm）；</w:t>
      </w:r>
    </w:p>
    <w:p>
      <w:pPr>
        <w:pStyle w:val="17"/>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szCs w:val="21"/>
          <w:lang w:val="zh-CN"/>
        </w:rPr>
      </w:pPr>
      <w:r>
        <w:rPr>
          <w:rFonts w:hint="eastAsia"/>
          <w:i/>
        </w:rPr>
        <w:t>R</w:t>
      </w:r>
      <w:r>
        <w:rPr>
          <w:rFonts w:hint="eastAsia"/>
        </w:rPr>
        <w:t xml:space="preserve"> ——每个测试点的方块电阻</w:t>
      </w:r>
      <w:r>
        <w:rPr>
          <w:rFonts w:hint="eastAsia"/>
          <w:szCs w:val="21"/>
        </w:rPr>
        <w:t>（</w:t>
      </w:r>
      <w:r>
        <w:rPr>
          <w:szCs w:val="21"/>
          <w:lang w:val="zh-CN"/>
        </w:rPr>
        <w:sym w:font="Symbol" w:char="F057"/>
      </w:r>
      <w:r>
        <w:rPr>
          <w:rFonts w:hint="eastAsia"/>
          <w:szCs w:val="21"/>
          <w:lang w:val="zh-CN"/>
        </w:rPr>
        <w:t>）。</w:t>
      </w:r>
    </w:p>
    <w:p>
      <w:pPr>
        <w:pStyle w:val="23"/>
        <w:keepNext w:val="0"/>
        <w:keepLines w:val="0"/>
        <w:pageBreakBefore w:val="0"/>
        <w:widowControl/>
        <w:kinsoku/>
        <w:wordWrap w:val="0"/>
        <w:overflowPunct w:val="0"/>
        <w:topLinePunct w:val="0"/>
        <w:autoSpaceDE w:val="0"/>
        <w:autoSpaceDN/>
        <w:bidi w:val="0"/>
        <w:adjustRightInd/>
        <w:snapToGrid/>
        <w:spacing w:before="312" w:after="312" w:line="240" w:lineRule="auto"/>
        <w:textAlignment w:val="baseline"/>
        <w:rPr>
          <w:rFonts w:hint="eastAsia"/>
        </w:rPr>
      </w:pPr>
      <w:r>
        <w:rPr>
          <w:rFonts w:hint="eastAsia"/>
        </w:rPr>
        <w:t>合格判据</w:t>
      </w:r>
    </w:p>
    <w:p>
      <w:pPr>
        <w:pStyle w:val="17"/>
        <w:keepLines w:val="0"/>
        <w:kinsoku/>
        <w:topLinePunct w:val="0"/>
        <w:bidi w:val="0"/>
        <w:adjustRightInd/>
        <w:snapToGrid/>
        <w:spacing w:line="360" w:lineRule="auto"/>
        <w:rPr>
          <w:rFonts w:hint="eastAsia"/>
        </w:rPr>
      </w:pPr>
      <w:r>
        <w:rPr>
          <w:rFonts w:hint="eastAsia"/>
        </w:rPr>
        <w:t>每片衬底的每个测试点的电阻率都满足要求，则判定该衬底的电阻率检验合格。</w:t>
      </w:r>
    </w:p>
    <w:p>
      <w:pPr>
        <w:pStyle w:val="23"/>
        <w:keepNext w:val="0"/>
        <w:keepLines w:val="0"/>
        <w:pageBreakBefore w:val="0"/>
        <w:widowControl/>
        <w:kinsoku/>
        <w:wordWrap w:val="0"/>
        <w:overflowPunct w:val="0"/>
        <w:topLinePunct w:val="0"/>
        <w:autoSpaceDE w:val="0"/>
        <w:autoSpaceDN/>
        <w:bidi w:val="0"/>
        <w:adjustRightInd/>
        <w:snapToGrid/>
        <w:spacing w:before="312" w:after="312" w:line="240" w:lineRule="auto"/>
        <w:textAlignment w:val="baseline"/>
        <w:rPr>
          <w:rFonts w:hint="eastAsia"/>
        </w:rPr>
      </w:pPr>
      <w:r>
        <w:rPr>
          <w:rFonts w:hint="eastAsia"/>
        </w:rPr>
        <w:t>测试报告</w:t>
      </w:r>
    </w:p>
    <w:p>
      <w:pPr>
        <w:pStyle w:val="17"/>
        <w:keepNext w:val="0"/>
        <w:keepLines w:val="0"/>
        <w:pageBreakBefore w:val="0"/>
        <w:widowControl/>
        <w:kinsoku/>
        <w:wordWrap/>
        <w:overflowPunct/>
        <w:topLinePunct w:val="0"/>
        <w:bidi w:val="0"/>
        <w:adjustRightInd/>
        <w:snapToGrid/>
        <w:spacing w:line="240" w:lineRule="auto"/>
        <w:textAlignment w:val="auto"/>
        <w:rPr>
          <w:rFonts w:hint="eastAsia"/>
          <w:lang w:val="en-US" w:eastAsia="zh-CN"/>
        </w:rPr>
      </w:pPr>
      <w:r>
        <w:rPr>
          <w:rFonts w:hint="eastAsia"/>
          <w:lang w:val="en-US" w:eastAsia="zh-CN"/>
        </w:rPr>
        <w:t>测试报告应包括以下内容：</w:t>
      </w:r>
    </w:p>
    <w:p>
      <w:pPr>
        <w:pStyle w:val="24"/>
        <w:keepNext w:val="0"/>
        <w:keepLines w:val="0"/>
        <w:pageBreakBefore w:val="0"/>
        <w:widowControl/>
        <w:numPr>
          <w:ilvl w:val="0"/>
          <w:numId w:val="13"/>
        </w:numPr>
        <w:kinsoku/>
        <w:wordWrap/>
        <w:overflowPunct/>
        <w:topLinePunct w:val="0"/>
        <w:bidi w:val="0"/>
        <w:adjustRightInd/>
        <w:snapToGrid/>
        <w:spacing w:line="240" w:lineRule="auto"/>
        <w:textAlignment w:val="auto"/>
        <w:rPr>
          <w:rFonts w:hint="eastAsia"/>
        </w:rPr>
      </w:pPr>
      <w:r>
        <w:rPr>
          <w:rFonts w:hint="eastAsia"/>
        </w:rPr>
        <w:t>测试项目；</w:t>
      </w:r>
    </w:p>
    <w:p>
      <w:pPr>
        <w:pStyle w:val="24"/>
        <w:keepNext w:val="0"/>
        <w:keepLines w:val="0"/>
        <w:pageBreakBefore w:val="0"/>
        <w:widowControl/>
        <w:numPr>
          <w:ilvl w:val="0"/>
          <w:numId w:val="13"/>
        </w:numPr>
        <w:kinsoku/>
        <w:wordWrap/>
        <w:overflowPunct/>
        <w:topLinePunct w:val="0"/>
        <w:bidi w:val="0"/>
        <w:adjustRightInd/>
        <w:snapToGrid/>
        <w:spacing w:line="240" w:lineRule="auto"/>
        <w:textAlignment w:val="auto"/>
        <w:rPr>
          <w:rFonts w:hint="eastAsia"/>
        </w:rPr>
      </w:pPr>
      <w:r>
        <w:rPr>
          <w:rFonts w:hint="eastAsia"/>
        </w:rPr>
        <w:t>被测产品检验批号和序号；</w:t>
      </w:r>
    </w:p>
    <w:p>
      <w:pPr>
        <w:pStyle w:val="24"/>
        <w:keepNext w:val="0"/>
        <w:keepLines w:val="0"/>
        <w:pageBreakBefore w:val="0"/>
        <w:widowControl/>
        <w:numPr>
          <w:ilvl w:val="0"/>
          <w:numId w:val="13"/>
        </w:numPr>
        <w:kinsoku/>
        <w:wordWrap/>
        <w:overflowPunct/>
        <w:topLinePunct w:val="0"/>
        <w:bidi w:val="0"/>
        <w:adjustRightInd/>
        <w:snapToGrid/>
        <w:spacing w:line="240" w:lineRule="auto"/>
        <w:textAlignment w:val="auto"/>
        <w:rPr>
          <w:rFonts w:hint="eastAsia"/>
        </w:rPr>
      </w:pPr>
      <w:r>
        <w:rPr>
          <w:rFonts w:hint="eastAsia"/>
        </w:rPr>
        <w:t>测试设备编号；</w:t>
      </w:r>
    </w:p>
    <w:p>
      <w:pPr>
        <w:pStyle w:val="24"/>
        <w:keepNext w:val="0"/>
        <w:keepLines w:val="0"/>
        <w:pageBreakBefore w:val="0"/>
        <w:widowControl/>
        <w:numPr>
          <w:ilvl w:val="0"/>
          <w:numId w:val="13"/>
        </w:numPr>
        <w:kinsoku/>
        <w:wordWrap/>
        <w:overflowPunct/>
        <w:topLinePunct w:val="0"/>
        <w:bidi w:val="0"/>
        <w:adjustRightInd/>
        <w:snapToGrid/>
        <w:spacing w:line="240" w:lineRule="auto"/>
        <w:textAlignment w:val="auto"/>
        <w:rPr>
          <w:rFonts w:hint="eastAsia"/>
        </w:rPr>
      </w:pPr>
      <w:r>
        <w:rPr>
          <w:rFonts w:hint="eastAsia"/>
        </w:rPr>
        <w:t>测试条件；</w:t>
      </w:r>
    </w:p>
    <w:p>
      <w:pPr>
        <w:pStyle w:val="24"/>
        <w:keepNext w:val="0"/>
        <w:keepLines w:val="0"/>
        <w:pageBreakBefore w:val="0"/>
        <w:widowControl/>
        <w:numPr>
          <w:ilvl w:val="0"/>
          <w:numId w:val="13"/>
        </w:numPr>
        <w:kinsoku/>
        <w:wordWrap/>
        <w:overflowPunct/>
        <w:topLinePunct w:val="0"/>
        <w:bidi w:val="0"/>
        <w:adjustRightInd/>
        <w:snapToGrid/>
        <w:spacing w:line="240" w:lineRule="auto"/>
        <w:textAlignment w:val="auto"/>
        <w:rPr>
          <w:rFonts w:hint="eastAsia"/>
        </w:rPr>
      </w:pPr>
      <w:r>
        <w:rPr>
          <w:rFonts w:hint="eastAsia"/>
        </w:rPr>
        <w:t>测试人员；</w:t>
      </w:r>
    </w:p>
    <w:p>
      <w:pPr>
        <w:pStyle w:val="24"/>
        <w:keepNext w:val="0"/>
        <w:keepLines w:val="0"/>
        <w:pageBreakBefore w:val="0"/>
        <w:widowControl/>
        <w:numPr>
          <w:ilvl w:val="0"/>
          <w:numId w:val="13"/>
        </w:numPr>
        <w:kinsoku/>
        <w:wordWrap/>
        <w:overflowPunct/>
        <w:topLinePunct w:val="0"/>
        <w:bidi w:val="0"/>
        <w:adjustRightInd/>
        <w:snapToGrid/>
        <w:spacing w:line="240" w:lineRule="auto"/>
        <w:textAlignment w:val="auto"/>
        <w:rPr>
          <w:rFonts w:hint="eastAsia"/>
        </w:rPr>
      </w:pPr>
      <w:r>
        <w:rPr>
          <w:rFonts w:hint="eastAsia"/>
        </w:rPr>
        <w:t>测试审核人员；</w:t>
      </w:r>
    </w:p>
    <w:p>
      <w:pPr>
        <w:pStyle w:val="24"/>
        <w:keepNext w:val="0"/>
        <w:keepLines w:val="0"/>
        <w:pageBreakBefore w:val="0"/>
        <w:widowControl/>
        <w:numPr>
          <w:ilvl w:val="0"/>
          <w:numId w:val="13"/>
        </w:numPr>
        <w:kinsoku/>
        <w:wordWrap/>
        <w:overflowPunct/>
        <w:topLinePunct w:val="0"/>
        <w:bidi w:val="0"/>
        <w:adjustRightInd/>
        <w:snapToGrid/>
        <w:spacing w:line="240" w:lineRule="auto"/>
        <w:textAlignment w:val="auto"/>
        <w:rPr>
          <w:rFonts w:hint="eastAsia"/>
        </w:rPr>
      </w:pPr>
      <w:r>
        <w:rPr>
          <w:rFonts w:hint="eastAsia"/>
        </w:rPr>
        <w:t>测试结果和测试日期。</w:t>
      </w:r>
    </w:p>
    <w:p>
      <w:pPr>
        <w:pStyle w:val="27"/>
        <w:keepLines w:val="0"/>
        <w:numPr>
          <w:ilvl w:val="0"/>
          <w:numId w:val="0"/>
        </w:numPr>
        <w:kinsoku/>
        <w:topLinePunct w:val="0"/>
        <w:bidi w:val="0"/>
        <w:adjustRightInd/>
        <w:snapToGrid/>
        <w:spacing w:line="360" w:lineRule="auto"/>
        <w:ind w:right="0" w:rightChars="0"/>
        <w:jc w:val="both"/>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22"/>
        <w:keepNext/>
        <w:keepLines w:val="0"/>
        <w:pageBreakBefore w:val="0"/>
        <w:widowControl/>
        <w:kinsoku/>
        <w:wordWrap/>
        <w:overflowPunct/>
        <w:topLinePunct w:val="0"/>
        <w:autoSpaceDE w:val="0"/>
        <w:autoSpaceDN w:val="0"/>
        <w:bidi w:val="0"/>
        <w:adjustRightInd/>
        <w:snapToGrid/>
        <w:spacing w:before="0" w:after="0" w:line="240" w:lineRule="auto"/>
        <w:textAlignment w:val="auto"/>
        <w:rPr>
          <w:rFonts w:hint="eastAsia"/>
        </w:rPr>
      </w:pPr>
      <w:r>
        <w:br w:type="textWrapping"/>
      </w:r>
      <w:bookmarkStart w:id="18" w:name="_Toc308696460"/>
      <w:bookmarkStart w:id="19" w:name="_Toc308696314"/>
      <w:bookmarkStart w:id="20" w:name="_Toc308599346"/>
      <w:r>
        <w:rPr>
          <w:rFonts w:hint="eastAsia"/>
        </w:rPr>
        <w:t>（规范性）</w:t>
      </w:r>
      <w:r>
        <w:br w:type="textWrapping"/>
      </w:r>
      <w:r>
        <w:rPr>
          <w:rFonts w:hint="eastAsia"/>
        </w:rPr>
        <w:t>衬底室温载流子浓度与迁移率的测量方法</w:t>
      </w:r>
      <w:bookmarkEnd w:id="18"/>
      <w:bookmarkEnd w:id="19"/>
      <w:bookmarkEnd w:id="20"/>
    </w:p>
    <w:p>
      <w:pPr>
        <w:pStyle w:val="23"/>
        <w:keepNext w:val="0"/>
        <w:keepLines w:val="0"/>
        <w:pageBreakBefore w:val="0"/>
        <w:widowControl/>
        <w:kinsoku/>
        <w:wordWrap w:val="0"/>
        <w:overflowPunct w:val="0"/>
        <w:topLinePunct w:val="0"/>
        <w:autoSpaceDE w:val="0"/>
        <w:autoSpaceDN/>
        <w:bidi w:val="0"/>
        <w:adjustRightInd/>
        <w:snapToGrid/>
        <w:spacing w:before="312" w:after="312" w:line="240" w:lineRule="auto"/>
        <w:textAlignment w:val="baseline"/>
        <w:rPr>
          <w:rFonts w:hint="eastAsia"/>
        </w:rPr>
      </w:pPr>
      <w:r>
        <w:rPr>
          <w:rFonts w:hint="eastAsia"/>
        </w:rPr>
        <w:t>适用范围</w:t>
      </w:r>
    </w:p>
    <w:p>
      <w:pPr>
        <w:pStyle w:val="17"/>
        <w:keepNext w:val="0"/>
        <w:keepLines w:val="0"/>
        <w:pageBreakBefore w:val="0"/>
        <w:widowControl/>
        <w:kinsoku/>
        <w:topLinePunct w:val="0"/>
        <w:bidi w:val="0"/>
        <w:adjustRightInd/>
        <w:snapToGrid/>
        <w:spacing w:line="240" w:lineRule="auto"/>
        <w:rPr>
          <w:rFonts w:hint="eastAsia"/>
        </w:rPr>
      </w:pPr>
      <w:r>
        <w:rPr>
          <w:rFonts w:hint="eastAsia"/>
        </w:rPr>
        <w:t>本方法适用于</w:t>
      </w:r>
      <w:r>
        <w:rPr>
          <w:rFonts w:hint="eastAsia"/>
          <w:color w:val="000000"/>
        </w:rPr>
        <w:t>使用</w:t>
      </w:r>
      <w:r>
        <w:rPr>
          <w:szCs w:val="21"/>
        </w:rPr>
        <w:t>迁移率</w:t>
      </w:r>
      <w:r>
        <w:rPr>
          <w:rFonts w:hint="eastAsia"/>
          <w:szCs w:val="21"/>
        </w:rPr>
        <w:t>及载流子浓度</w:t>
      </w:r>
      <w:r>
        <w:rPr>
          <w:rFonts w:hAnsi="宋体"/>
          <w:szCs w:val="21"/>
        </w:rPr>
        <w:t>测试</w:t>
      </w:r>
      <w:r>
        <w:rPr>
          <w:rFonts w:hint="eastAsia" w:hAnsi="宋体"/>
          <w:szCs w:val="21"/>
        </w:rPr>
        <w:t>仪对</w:t>
      </w:r>
      <w:r>
        <w:rPr>
          <w:rFonts w:hint="eastAsia" w:ascii="Times New Roman"/>
          <w:color w:val="000000"/>
          <w:szCs w:val="21"/>
        </w:rPr>
        <w:t>砷</w:t>
      </w:r>
      <w:r>
        <w:rPr>
          <w:rFonts w:hint="eastAsia"/>
        </w:rPr>
        <w:t>化镓单晶衬底的室温载流子浓度与迁移率的测量。</w:t>
      </w:r>
    </w:p>
    <w:p>
      <w:pPr>
        <w:pStyle w:val="23"/>
        <w:keepNext w:val="0"/>
        <w:keepLines w:val="0"/>
        <w:pageBreakBefore w:val="0"/>
        <w:widowControl/>
        <w:kinsoku/>
        <w:wordWrap w:val="0"/>
        <w:overflowPunct w:val="0"/>
        <w:topLinePunct w:val="0"/>
        <w:autoSpaceDE w:val="0"/>
        <w:autoSpaceDN/>
        <w:bidi w:val="0"/>
        <w:adjustRightInd/>
        <w:snapToGrid/>
        <w:spacing w:before="312" w:after="312" w:line="240" w:lineRule="auto"/>
        <w:textAlignment w:val="baseline"/>
        <w:rPr>
          <w:rFonts w:hint="eastAsia"/>
        </w:rPr>
      </w:pPr>
      <w:r>
        <w:rPr>
          <w:rFonts w:hint="eastAsia"/>
        </w:rPr>
        <w:t>测试仪器</w:t>
      </w:r>
    </w:p>
    <w:p>
      <w:pPr>
        <w:pStyle w:val="17"/>
        <w:keepNext w:val="0"/>
        <w:keepLines w:val="0"/>
        <w:pageBreakBefore w:val="0"/>
        <w:widowControl/>
        <w:kinsoku/>
        <w:topLinePunct w:val="0"/>
        <w:bidi w:val="0"/>
        <w:adjustRightInd/>
        <w:snapToGrid/>
        <w:spacing w:line="240" w:lineRule="auto"/>
        <w:rPr>
          <w:rFonts w:hint="eastAsia"/>
        </w:rPr>
      </w:pPr>
      <w:r>
        <w:rPr>
          <w:rFonts w:hint="eastAsia"/>
        </w:rPr>
        <w:t>非接触式迁移率及载流子浓度测试仪（推荐Lehighton1600）。</w:t>
      </w:r>
    </w:p>
    <w:p>
      <w:pPr>
        <w:pStyle w:val="23"/>
        <w:keepNext w:val="0"/>
        <w:keepLines w:val="0"/>
        <w:pageBreakBefore w:val="0"/>
        <w:widowControl/>
        <w:kinsoku/>
        <w:topLinePunct w:val="0"/>
        <w:bidi w:val="0"/>
        <w:adjustRightInd/>
        <w:snapToGrid/>
        <w:spacing w:before="312" w:after="312" w:line="240" w:lineRule="auto"/>
        <w:rPr>
          <w:rFonts w:hint="eastAsia"/>
        </w:rPr>
      </w:pPr>
      <w:r>
        <w:rPr>
          <w:rFonts w:hint="eastAsia"/>
        </w:rPr>
        <w:t>测试原理</w:t>
      </w:r>
    </w:p>
    <w:p>
      <w:pPr>
        <w:pStyle w:val="17"/>
        <w:keepNext w:val="0"/>
        <w:keepLines w:val="0"/>
        <w:pageBreakBefore w:val="0"/>
        <w:widowControl/>
        <w:kinsoku/>
        <w:topLinePunct w:val="0"/>
        <w:bidi w:val="0"/>
        <w:adjustRightInd/>
        <w:snapToGrid/>
        <w:spacing w:line="240" w:lineRule="auto"/>
        <w:rPr>
          <w:rFonts w:hint="eastAsia"/>
        </w:rPr>
      </w:pPr>
      <w:r>
        <w:rPr>
          <w:rFonts w:hint="eastAsia"/>
        </w:rPr>
        <w:t>测试仪中使用一个10GHz的微波源和波导管，将能量垂直入射到被测样片的表面，入射波引出两种反射波：一种是霍尔效应引起的，偏振方向与入射波垂直；另一种是普通反射波，偏振方向与入射波相同；被测样片置于垂直磁场中时，探测到霍尔功率，霍尔功率垂直于反射功率使得测试仪可分别测得正向功率、反射功率和霍尔功率。各测试量转化为电导率张量系数导入分析软件，即可获得迁移率和载流子浓度测试量值。</w:t>
      </w:r>
    </w:p>
    <w:p>
      <w:pPr>
        <w:pStyle w:val="23"/>
        <w:keepNext w:val="0"/>
        <w:keepLines w:val="0"/>
        <w:pageBreakBefore w:val="0"/>
        <w:widowControl/>
        <w:kinsoku/>
        <w:wordWrap w:val="0"/>
        <w:overflowPunct w:val="0"/>
        <w:topLinePunct w:val="0"/>
        <w:autoSpaceDE w:val="0"/>
        <w:autoSpaceDN/>
        <w:bidi w:val="0"/>
        <w:adjustRightInd/>
        <w:snapToGrid/>
        <w:spacing w:before="312" w:after="312" w:line="240" w:lineRule="auto"/>
        <w:textAlignment w:val="baseline"/>
        <w:rPr>
          <w:rFonts w:hint="eastAsia"/>
        </w:rPr>
      </w:pPr>
      <w:r>
        <w:rPr>
          <w:rFonts w:hint="eastAsia"/>
        </w:rPr>
        <w:t>测试条件</w:t>
      </w:r>
    </w:p>
    <w:p>
      <w:pPr>
        <w:pStyle w:val="17"/>
        <w:keepNext w:val="0"/>
        <w:keepLines w:val="0"/>
        <w:pageBreakBefore w:val="0"/>
        <w:widowControl/>
        <w:kinsoku/>
        <w:topLinePunct w:val="0"/>
        <w:bidi w:val="0"/>
        <w:adjustRightInd/>
        <w:snapToGrid/>
        <w:spacing w:line="240" w:lineRule="auto"/>
        <w:rPr>
          <w:rFonts w:hint="eastAsia"/>
        </w:rPr>
      </w:pPr>
      <w:r>
        <w:rPr>
          <w:rFonts w:hint="eastAsia"/>
        </w:rPr>
        <w:t>除另有规定外，应在下列条件下进行检验：</w:t>
      </w:r>
    </w:p>
    <w:p>
      <w:pPr>
        <w:pStyle w:val="24"/>
        <w:keepNext w:val="0"/>
        <w:keepLines w:val="0"/>
        <w:pageBreakBefore w:val="0"/>
        <w:widowControl/>
        <w:numPr>
          <w:ilvl w:val="0"/>
          <w:numId w:val="14"/>
        </w:numPr>
        <w:kinsoku/>
        <w:topLinePunct w:val="0"/>
        <w:bidi w:val="0"/>
        <w:adjustRightInd/>
        <w:snapToGrid/>
        <w:spacing w:line="240" w:lineRule="auto"/>
        <w:rPr>
          <w:rFonts w:hint="eastAsia"/>
        </w:rPr>
      </w:pPr>
      <w:r>
        <w:rPr>
          <w:rFonts w:hint="eastAsia"/>
        </w:rPr>
        <w:t>温度：23℃±5℃；</w:t>
      </w:r>
    </w:p>
    <w:p>
      <w:pPr>
        <w:pStyle w:val="24"/>
        <w:keepNext w:val="0"/>
        <w:keepLines w:val="0"/>
        <w:pageBreakBefore w:val="0"/>
        <w:widowControl/>
        <w:numPr>
          <w:ilvl w:val="0"/>
          <w:numId w:val="14"/>
        </w:numPr>
        <w:kinsoku/>
        <w:topLinePunct w:val="0"/>
        <w:bidi w:val="0"/>
        <w:adjustRightInd/>
        <w:snapToGrid/>
        <w:spacing w:line="240" w:lineRule="auto"/>
        <w:rPr>
          <w:rFonts w:hint="eastAsia"/>
        </w:rPr>
      </w:pPr>
      <w:r>
        <w:rPr>
          <w:rFonts w:hint="eastAsia"/>
        </w:rPr>
        <w:t>相对湿度：20%</w:t>
      </w:r>
      <w:r>
        <w:rPr>
          <w:rFonts w:ascii="Times New Roman"/>
        </w:rPr>
        <w:t>~</w:t>
      </w:r>
      <w:r>
        <w:rPr>
          <w:rFonts w:hint="eastAsia"/>
        </w:rPr>
        <w:t>70%；</w:t>
      </w:r>
    </w:p>
    <w:p>
      <w:pPr>
        <w:pStyle w:val="24"/>
        <w:keepNext w:val="0"/>
        <w:keepLines w:val="0"/>
        <w:pageBreakBefore w:val="0"/>
        <w:widowControl/>
        <w:numPr>
          <w:ilvl w:val="0"/>
          <w:numId w:val="14"/>
        </w:numPr>
        <w:kinsoku/>
        <w:topLinePunct w:val="0"/>
        <w:bidi w:val="0"/>
        <w:adjustRightInd/>
        <w:snapToGrid/>
        <w:spacing w:line="240" w:lineRule="auto"/>
        <w:rPr>
          <w:rFonts w:hint="eastAsia"/>
        </w:rPr>
      </w:pPr>
      <w:r>
        <w:rPr>
          <w:rFonts w:hint="eastAsia"/>
        </w:rPr>
        <w:t>大气压力：86kPa</w:t>
      </w:r>
      <w:r>
        <w:rPr>
          <w:rFonts w:ascii="Times New Roman"/>
        </w:rPr>
        <w:t>~</w:t>
      </w:r>
      <w:r>
        <w:rPr>
          <w:rFonts w:hint="eastAsia"/>
        </w:rPr>
        <w:t>106kPa；</w:t>
      </w:r>
    </w:p>
    <w:p>
      <w:pPr>
        <w:pStyle w:val="24"/>
        <w:keepNext w:val="0"/>
        <w:keepLines w:val="0"/>
        <w:pageBreakBefore w:val="0"/>
        <w:widowControl/>
        <w:numPr>
          <w:ilvl w:val="0"/>
          <w:numId w:val="14"/>
        </w:numPr>
        <w:kinsoku/>
        <w:topLinePunct w:val="0"/>
        <w:bidi w:val="0"/>
        <w:adjustRightInd/>
        <w:snapToGrid/>
        <w:spacing w:line="240" w:lineRule="auto"/>
        <w:rPr>
          <w:rFonts w:hint="eastAsia"/>
        </w:rPr>
      </w:pPr>
      <w:r>
        <w:rPr>
          <w:rFonts w:hint="eastAsia"/>
        </w:rPr>
        <w:t>洁净度：10000级。</w:t>
      </w:r>
    </w:p>
    <w:p>
      <w:pPr>
        <w:pStyle w:val="23"/>
        <w:keepNext w:val="0"/>
        <w:keepLines w:val="0"/>
        <w:pageBreakBefore w:val="0"/>
        <w:widowControl/>
        <w:kinsoku/>
        <w:topLinePunct w:val="0"/>
        <w:bidi w:val="0"/>
        <w:adjustRightInd/>
        <w:snapToGrid/>
        <w:spacing w:before="312" w:after="312" w:line="240" w:lineRule="auto"/>
        <w:rPr>
          <w:rFonts w:hint="eastAsia"/>
        </w:rPr>
      </w:pPr>
      <w:r>
        <w:rPr>
          <w:rFonts w:hint="eastAsia"/>
        </w:rPr>
        <w:t>测点选择</w:t>
      </w:r>
    </w:p>
    <w:p>
      <w:pPr>
        <w:pStyle w:val="17"/>
        <w:keepNext w:val="0"/>
        <w:keepLines w:val="0"/>
        <w:pageBreakBefore w:val="0"/>
        <w:widowControl/>
        <w:kinsoku/>
        <w:topLinePunct w:val="0"/>
        <w:bidi w:val="0"/>
        <w:adjustRightInd/>
        <w:snapToGrid/>
        <w:spacing w:line="240" w:lineRule="auto"/>
        <w:rPr>
          <w:rFonts w:hint="eastAsia"/>
        </w:rPr>
      </w:pPr>
      <w:r>
        <w:rPr>
          <w:rFonts w:hint="eastAsia"/>
        </w:rPr>
        <w:t>衬底均以穿过定位边中点和衬底片圆心线为Y轴；以穿过衬底圆心并与Y轴垂直线为X轴。衬底测试点数量为5点，测试点分布如图B.1所示，5点坐标分别为（0 ，0）、（0 ，2R/3）、（0 ，-2R/3）、（2R/3 ，0）、（-2R/3 ，0）。图中R为有效测试区域半径，根据衬底的尺寸，半径为4/5衬底半径的圆形区域作为有效测试区域。</w:t>
      </w:r>
    </w:p>
    <w:p>
      <w:pPr>
        <w:pStyle w:val="17"/>
        <w:keepNext w:val="0"/>
        <w:keepLines w:val="0"/>
        <w:pageBreakBefore w:val="0"/>
        <w:widowControl/>
        <w:kinsoku/>
        <w:topLinePunct w:val="0"/>
        <w:bidi w:val="0"/>
        <w:adjustRightInd/>
        <w:snapToGrid/>
        <w:spacing w:line="240" w:lineRule="auto"/>
        <w:rPr>
          <w:rFonts w:hint="eastAsia"/>
        </w:rPr>
      </w:pPr>
    </w:p>
    <w:p>
      <w:pPr>
        <w:pStyle w:val="17"/>
        <w:keepLines w:val="0"/>
        <w:kinsoku/>
        <w:topLinePunct w:val="0"/>
        <w:bidi w:val="0"/>
        <w:adjustRightInd/>
        <w:snapToGrid/>
        <w:spacing w:line="360" w:lineRule="auto"/>
        <w:ind w:firstLine="0" w:firstLineChars="0"/>
        <w:jc w:val="center"/>
        <w:rPr>
          <w:rFonts w:hint="eastAsia"/>
          <w:szCs w:val="21"/>
        </w:rPr>
      </w:pPr>
      <w:r>
        <w:rPr>
          <w:szCs w:val="21"/>
        </w:rPr>
        <w:drawing>
          <wp:inline distT="0" distB="0" distL="114300" distR="114300">
            <wp:extent cx="2134235" cy="2071370"/>
            <wp:effectExtent l="0" t="0" r="18415" b="5080"/>
            <wp:docPr id="8" name="图片 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未命名"/>
                    <pic:cNvPicPr>
                      <a:picLocks noChangeAspect="1"/>
                    </pic:cNvPicPr>
                  </pic:nvPicPr>
                  <pic:blipFill>
                    <a:blip r:embed="rId15"/>
                    <a:stretch>
                      <a:fillRect/>
                    </a:stretch>
                  </pic:blipFill>
                  <pic:spPr>
                    <a:xfrm>
                      <a:off x="0" y="0"/>
                      <a:ext cx="2134235" cy="2071370"/>
                    </a:xfrm>
                    <a:prstGeom prst="rect">
                      <a:avLst/>
                    </a:prstGeom>
                    <a:noFill/>
                    <a:ln>
                      <a:noFill/>
                    </a:ln>
                  </pic:spPr>
                </pic:pic>
              </a:graphicData>
            </a:graphic>
          </wp:inline>
        </w:drawing>
      </w:r>
    </w:p>
    <w:p>
      <w:pPr>
        <w:pStyle w:val="28"/>
        <w:keepNext w:val="0"/>
        <w:keepLines w:val="0"/>
        <w:pageBreakBefore w:val="0"/>
        <w:widowControl w:val="0"/>
        <w:numPr>
          <w:ilvl w:val="1"/>
          <w:numId w:val="0"/>
        </w:numPr>
        <w:kinsoku/>
        <w:wordWrap/>
        <w:overflowPunct/>
        <w:topLinePunct w:val="0"/>
        <w:autoSpaceDE w:val="0"/>
        <w:autoSpaceDN w:val="0"/>
        <w:bidi w:val="0"/>
        <w:adjustRightInd/>
        <w:snapToGrid/>
        <w:spacing w:before="0" w:beforeLines="0" w:after="0" w:afterLines="0" w:line="240" w:lineRule="auto"/>
        <w:ind w:leftChars="0" w:right="0" w:rightChars="0"/>
        <w:jc w:val="center"/>
        <w:textAlignment w:val="auto"/>
        <w:rPr>
          <w:rFonts w:hint="eastAsia"/>
        </w:rPr>
      </w:pPr>
      <w:r>
        <w:rPr>
          <w:rFonts w:hint="eastAsia"/>
          <w:lang w:val="en-US" w:eastAsia="zh-CN"/>
        </w:rPr>
        <w:t xml:space="preserve">图 B.1  </w:t>
      </w:r>
      <w:r>
        <w:rPr>
          <w:rFonts w:hint="eastAsia"/>
        </w:rPr>
        <w:t>测试点分布（R为有效测试区域半径）</w:t>
      </w:r>
    </w:p>
    <w:p>
      <w:pPr>
        <w:pStyle w:val="23"/>
        <w:keepNext w:val="0"/>
        <w:keepLines w:val="0"/>
        <w:pageBreakBefore w:val="0"/>
        <w:widowControl/>
        <w:kinsoku/>
        <w:wordWrap w:val="0"/>
        <w:overflowPunct w:val="0"/>
        <w:topLinePunct w:val="0"/>
        <w:autoSpaceDE w:val="0"/>
        <w:autoSpaceDN/>
        <w:bidi w:val="0"/>
        <w:adjustRightInd/>
        <w:snapToGrid/>
        <w:spacing w:before="312" w:after="312" w:line="240" w:lineRule="auto"/>
        <w:textAlignment w:val="baseline"/>
        <w:rPr>
          <w:rFonts w:hint="eastAsia"/>
        </w:rPr>
      </w:pPr>
      <w:r>
        <w:rPr>
          <w:rFonts w:hint="eastAsia"/>
        </w:rPr>
        <w:t>测试程序</w:t>
      </w:r>
    </w:p>
    <w:p>
      <w:pPr>
        <w:pStyle w:val="17"/>
        <w:keepNext w:val="0"/>
        <w:keepLines w:val="0"/>
        <w:pageBreakBefore w:val="0"/>
        <w:widowControl/>
        <w:kinsoku/>
        <w:wordWrap/>
        <w:overflowPunct/>
        <w:topLinePunct w:val="0"/>
        <w:bidi w:val="0"/>
        <w:adjustRightInd/>
        <w:snapToGrid/>
        <w:spacing w:line="240" w:lineRule="auto"/>
        <w:textAlignment w:val="auto"/>
        <w:rPr>
          <w:rFonts w:hint="eastAsia"/>
        </w:rPr>
      </w:pPr>
      <w:r>
        <w:rPr>
          <w:rFonts w:hint="eastAsia"/>
        </w:rPr>
        <w:t>测试程序按以下步骤进行：</w:t>
      </w:r>
    </w:p>
    <w:p>
      <w:pPr>
        <w:pStyle w:val="24"/>
        <w:keepNext w:val="0"/>
        <w:keepLines w:val="0"/>
        <w:pageBreakBefore w:val="0"/>
        <w:widowControl/>
        <w:numPr>
          <w:ilvl w:val="0"/>
          <w:numId w:val="15"/>
        </w:numPr>
        <w:kinsoku/>
        <w:wordWrap/>
        <w:overflowPunct/>
        <w:topLinePunct w:val="0"/>
        <w:bidi w:val="0"/>
        <w:adjustRightInd/>
        <w:snapToGrid/>
        <w:spacing w:line="240" w:lineRule="auto"/>
        <w:textAlignment w:val="auto"/>
        <w:rPr>
          <w:rFonts w:hint="eastAsia"/>
        </w:rPr>
      </w:pPr>
      <w:r>
        <w:rPr>
          <w:rFonts w:hint="eastAsia"/>
        </w:rPr>
        <w:t>将衬底样片带入万级超净环境后打开包装盒；</w:t>
      </w:r>
    </w:p>
    <w:p>
      <w:pPr>
        <w:pStyle w:val="24"/>
        <w:keepNext w:val="0"/>
        <w:keepLines w:val="0"/>
        <w:pageBreakBefore w:val="0"/>
        <w:widowControl/>
        <w:numPr>
          <w:ilvl w:val="0"/>
          <w:numId w:val="15"/>
        </w:numPr>
        <w:kinsoku/>
        <w:wordWrap/>
        <w:overflowPunct/>
        <w:topLinePunct w:val="0"/>
        <w:bidi w:val="0"/>
        <w:adjustRightInd/>
        <w:snapToGrid/>
        <w:spacing w:line="240" w:lineRule="auto"/>
        <w:textAlignment w:val="auto"/>
        <w:rPr>
          <w:rFonts w:hint="eastAsia"/>
        </w:rPr>
      </w:pPr>
      <w:r>
        <w:rPr>
          <w:rFonts w:hint="eastAsia"/>
        </w:rPr>
        <w:t>用干净的塑料镊子取出衬底样片，置于测试导轨上，将导轨送入测试设备；</w:t>
      </w:r>
    </w:p>
    <w:p>
      <w:pPr>
        <w:pStyle w:val="24"/>
        <w:keepNext w:val="0"/>
        <w:keepLines w:val="0"/>
        <w:pageBreakBefore w:val="0"/>
        <w:widowControl/>
        <w:numPr>
          <w:ilvl w:val="0"/>
          <w:numId w:val="15"/>
        </w:numPr>
        <w:kinsoku/>
        <w:wordWrap/>
        <w:overflowPunct/>
        <w:topLinePunct w:val="0"/>
        <w:bidi w:val="0"/>
        <w:adjustRightInd/>
        <w:snapToGrid/>
        <w:spacing w:line="240" w:lineRule="auto"/>
        <w:textAlignment w:val="auto"/>
        <w:rPr>
          <w:rFonts w:hint="eastAsia"/>
        </w:rPr>
      </w:pPr>
      <w:r>
        <w:rPr>
          <w:rFonts w:hint="eastAsia"/>
        </w:rPr>
        <w:t>按测试设备规定设定调节测试的条件参数，打开测试软件，选择测试程序；</w:t>
      </w:r>
    </w:p>
    <w:p>
      <w:pPr>
        <w:pStyle w:val="24"/>
        <w:keepNext w:val="0"/>
        <w:keepLines w:val="0"/>
        <w:pageBreakBefore w:val="0"/>
        <w:widowControl/>
        <w:numPr>
          <w:ilvl w:val="0"/>
          <w:numId w:val="15"/>
        </w:numPr>
        <w:kinsoku/>
        <w:wordWrap/>
        <w:overflowPunct/>
        <w:topLinePunct w:val="0"/>
        <w:bidi w:val="0"/>
        <w:adjustRightInd/>
        <w:snapToGrid/>
        <w:spacing w:line="240" w:lineRule="auto"/>
        <w:textAlignment w:val="auto"/>
        <w:rPr>
          <w:rFonts w:hint="eastAsia"/>
        </w:rPr>
      </w:pPr>
      <w:r>
        <w:rPr>
          <w:rFonts w:hint="eastAsia"/>
        </w:rPr>
        <w:t>启动测试程序，确定测量范围，开始进行测量；</w:t>
      </w:r>
    </w:p>
    <w:p>
      <w:pPr>
        <w:pStyle w:val="24"/>
        <w:keepNext w:val="0"/>
        <w:keepLines w:val="0"/>
        <w:pageBreakBefore w:val="0"/>
        <w:widowControl/>
        <w:numPr>
          <w:ilvl w:val="0"/>
          <w:numId w:val="15"/>
        </w:numPr>
        <w:kinsoku/>
        <w:wordWrap/>
        <w:overflowPunct/>
        <w:topLinePunct w:val="0"/>
        <w:bidi w:val="0"/>
        <w:adjustRightInd/>
        <w:snapToGrid/>
        <w:spacing w:line="240" w:lineRule="auto"/>
        <w:textAlignment w:val="auto"/>
        <w:rPr>
          <w:rFonts w:hint="eastAsia"/>
        </w:rPr>
      </w:pPr>
      <w:r>
        <w:rPr>
          <w:rFonts w:hint="eastAsia"/>
        </w:rPr>
        <w:t>测量结束后，取下测试样品，重新包装。</w:t>
      </w:r>
    </w:p>
    <w:p>
      <w:pPr>
        <w:pStyle w:val="23"/>
        <w:keepNext w:val="0"/>
        <w:keepLines w:val="0"/>
        <w:pageBreakBefore w:val="0"/>
        <w:widowControl/>
        <w:kinsoku/>
        <w:wordWrap w:val="0"/>
        <w:overflowPunct w:val="0"/>
        <w:topLinePunct w:val="0"/>
        <w:autoSpaceDE w:val="0"/>
        <w:autoSpaceDN/>
        <w:bidi w:val="0"/>
        <w:adjustRightInd/>
        <w:snapToGrid/>
        <w:spacing w:before="312" w:after="312" w:line="240" w:lineRule="auto"/>
        <w:textAlignment w:val="baseline"/>
        <w:rPr>
          <w:rFonts w:hint="eastAsia"/>
        </w:rPr>
      </w:pPr>
      <w:r>
        <w:rPr>
          <w:rFonts w:hint="eastAsia"/>
        </w:rPr>
        <w:t>合格判据</w:t>
      </w:r>
    </w:p>
    <w:p>
      <w:pPr>
        <w:pStyle w:val="17"/>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rPr>
      </w:pPr>
      <w:r>
        <w:rPr>
          <w:rFonts w:hint="eastAsia"/>
        </w:rPr>
        <w:t>每片衬底5个测试点的迁移率（μ，cm</w:t>
      </w:r>
      <w:r>
        <w:rPr>
          <w:rFonts w:hint="eastAsia"/>
          <w:vertAlign w:val="superscript"/>
        </w:rPr>
        <w:t>2</w:t>
      </w:r>
      <w:r>
        <w:rPr>
          <w:rFonts w:hint="eastAsia"/>
        </w:rPr>
        <w:t>/（V</w:t>
      </w:r>
      <w:r>
        <w:rPr>
          <w:rFonts w:ascii="Times New Roman"/>
        </w:rPr>
        <w:t>·</w:t>
      </w:r>
      <w:r>
        <w:rPr>
          <w:rFonts w:hint="eastAsia"/>
        </w:rPr>
        <w:t>s））和室温载流子浓度（n</w:t>
      </w:r>
      <w:r>
        <w:rPr>
          <w:rFonts w:hint="eastAsia"/>
          <w:vertAlign w:val="subscript"/>
        </w:rPr>
        <w:t>s</w:t>
      </w:r>
      <w:r>
        <w:rPr>
          <w:rFonts w:hint="eastAsia"/>
        </w:rPr>
        <w:t>，cm</w:t>
      </w:r>
      <w:r>
        <w:rPr>
          <w:rFonts w:hint="eastAsia"/>
          <w:vertAlign w:val="superscript"/>
        </w:rPr>
        <w:t>-3</w:t>
      </w:r>
      <w:r>
        <w:rPr>
          <w:rFonts w:hint="eastAsia"/>
        </w:rPr>
        <w:t>）都满足要求，则判定该衬底的迁移率和载流子浓度检验合格。</w:t>
      </w:r>
    </w:p>
    <w:p>
      <w:pPr>
        <w:pStyle w:val="23"/>
        <w:keepNext w:val="0"/>
        <w:keepLines w:val="0"/>
        <w:pageBreakBefore w:val="0"/>
        <w:widowControl/>
        <w:kinsoku/>
        <w:wordWrap w:val="0"/>
        <w:overflowPunct w:val="0"/>
        <w:topLinePunct w:val="0"/>
        <w:autoSpaceDE w:val="0"/>
        <w:autoSpaceDN/>
        <w:bidi w:val="0"/>
        <w:adjustRightInd/>
        <w:snapToGrid/>
        <w:spacing w:before="312" w:after="312" w:line="240" w:lineRule="auto"/>
        <w:textAlignment w:val="baseline"/>
        <w:rPr>
          <w:rFonts w:hint="eastAsia"/>
        </w:rPr>
      </w:pPr>
      <w:r>
        <w:rPr>
          <w:rFonts w:hint="eastAsia"/>
        </w:rPr>
        <w:t>测试报告</w:t>
      </w:r>
    </w:p>
    <w:p>
      <w:pPr>
        <w:pStyle w:val="17"/>
        <w:keepNext w:val="0"/>
        <w:keepLines w:val="0"/>
        <w:pageBreakBefore w:val="0"/>
        <w:widowControl/>
        <w:kinsoku/>
        <w:wordWrap/>
        <w:overflowPunct/>
        <w:topLinePunct w:val="0"/>
        <w:bidi w:val="0"/>
        <w:adjustRightInd/>
        <w:snapToGrid/>
        <w:spacing w:line="240" w:lineRule="auto"/>
        <w:textAlignment w:val="auto"/>
        <w:rPr>
          <w:rFonts w:hint="eastAsia"/>
        </w:rPr>
      </w:pPr>
      <w:r>
        <w:rPr>
          <w:rFonts w:hint="eastAsia"/>
        </w:rPr>
        <w:t>测试报告应包括以下内容：</w:t>
      </w:r>
    </w:p>
    <w:p>
      <w:pPr>
        <w:pStyle w:val="24"/>
        <w:keepNext w:val="0"/>
        <w:keepLines w:val="0"/>
        <w:pageBreakBefore w:val="0"/>
        <w:widowControl/>
        <w:numPr>
          <w:ilvl w:val="0"/>
          <w:numId w:val="16"/>
        </w:numPr>
        <w:kinsoku/>
        <w:wordWrap/>
        <w:overflowPunct/>
        <w:topLinePunct w:val="0"/>
        <w:bidi w:val="0"/>
        <w:adjustRightInd/>
        <w:snapToGrid/>
        <w:spacing w:line="240" w:lineRule="auto"/>
        <w:textAlignment w:val="auto"/>
        <w:rPr>
          <w:rFonts w:hint="eastAsia"/>
        </w:rPr>
      </w:pPr>
      <w:r>
        <w:rPr>
          <w:rFonts w:hint="eastAsia"/>
        </w:rPr>
        <w:t>测试项目；</w:t>
      </w:r>
    </w:p>
    <w:p>
      <w:pPr>
        <w:pStyle w:val="24"/>
        <w:keepNext w:val="0"/>
        <w:keepLines w:val="0"/>
        <w:pageBreakBefore w:val="0"/>
        <w:widowControl/>
        <w:numPr>
          <w:ilvl w:val="0"/>
          <w:numId w:val="16"/>
        </w:numPr>
        <w:kinsoku/>
        <w:wordWrap/>
        <w:overflowPunct/>
        <w:topLinePunct w:val="0"/>
        <w:bidi w:val="0"/>
        <w:adjustRightInd/>
        <w:snapToGrid/>
        <w:spacing w:line="240" w:lineRule="auto"/>
        <w:textAlignment w:val="auto"/>
        <w:rPr>
          <w:rFonts w:hint="eastAsia"/>
        </w:rPr>
      </w:pPr>
      <w:r>
        <w:rPr>
          <w:rFonts w:hint="eastAsia"/>
        </w:rPr>
        <w:t>被测产品检验批号和序号；</w:t>
      </w:r>
    </w:p>
    <w:p>
      <w:pPr>
        <w:pStyle w:val="24"/>
        <w:keepNext w:val="0"/>
        <w:keepLines w:val="0"/>
        <w:pageBreakBefore w:val="0"/>
        <w:widowControl/>
        <w:numPr>
          <w:ilvl w:val="0"/>
          <w:numId w:val="16"/>
        </w:numPr>
        <w:kinsoku/>
        <w:wordWrap/>
        <w:overflowPunct/>
        <w:topLinePunct w:val="0"/>
        <w:bidi w:val="0"/>
        <w:adjustRightInd/>
        <w:snapToGrid/>
        <w:spacing w:line="240" w:lineRule="auto"/>
        <w:textAlignment w:val="auto"/>
        <w:rPr>
          <w:rFonts w:hint="eastAsia"/>
        </w:rPr>
      </w:pPr>
      <w:r>
        <w:rPr>
          <w:rFonts w:hint="eastAsia"/>
        </w:rPr>
        <w:t>测试设备编号；</w:t>
      </w:r>
    </w:p>
    <w:p>
      <w:pPr>
        <w:pStyle w:val="24"/>
        <w:keepNext w:val="0"/>
        <w:keepLines w:val="0"/>
        <w:pageBreakBefore w:val="0"/>
        <w:widowControl/>
        <w:numPr>
          <w:ilvl w:val="0"/>
          <w:numId w:val="16"/>
        </w:numPr>
        <w:kinsoku/>
        <w:wordWrap/>
        <w:overflowPunct/>
        <w:topLinePunct w:val="0"/>
        <w:bidi w:val="0"/>
        <w:adjustRightInd/>
        <w:snapToGrid/>
        <w:spacing w:line="240" w:lineRule="auto"/>
        <w:textAlignment w:val="auto"/>
        <w:rPr>
          <w:rFonts w:hint="eastAsia"/>
        </w:rPr>
      </w:pPr>
      <w:r>
        <w:rPr>
          <w:rFonts w:hint="eastAsia"/>
        </w:rPr>
        <w:t>测试条件；</w:t>
      </w:r>
    </w:p>
    <w:p>
      <w:pPr>
        <w:pStyle w:val="24"/>
        <w:keepNext w:val="0"/>
        <w:keepLines w:val="0"/>
        <w:pageBreakBefore w:val="0"/>
        <w:widowControl/>
        <w:numPr>
          <w:ilvl w:val="0"/>
          <w:numId w:val="16"/>
        </w:numPr>
        <w:kinsoku/>
        <w:wordWrap/>
        <w:overflowPunct/>
        <w:topLinePunct w:val="0"/>
        <w:bidi w:val="0"/>
        <w:adjustRightInd/>
        <w:snapToGrid/>
        <w:spacing w:line="240" w:lineRule="auto"/>
        <w:textAlignment w:val="auto"/>
        <w:rPr>
          <w:rFonts w:hint="eastAsia"/>
        </w:rPr>
      </w:pPr>
      <w:r>
        <w:rPr>
          <w:rFonts w:hint="eastAsia"/>
        </w:rPr>
        <w:t>测试人员；</w:t>
      </w:r>
    </w:p>
    <w:p>
      <w:pPr>
        <w:pStyle w:val="24"/>
        <w:keepNext w:val="0"/>
        <w:keepLines w:val="0"/>
        <w:pageBreakBefore w:val="0"/>
        <w:widowControl/>
        <w:numPr>
          <w:ilvl w:val="0"/>
          <w:numId w:val="16"/>
        </w:numPr>
        <w:kinsoku/>
        <w:wordWrap/>
        <w:overflowPunct/>
        <w:topLinePunct w:val="0"/>
        <w:bidi w:val="0"/>
        <w:adjustRightInd/>
        <w:snapToGrid/>
        <w:spacing w:line="240" w:lineRule="auto"/>
        <w:textAlignment w:val="auto"/>
        <w:rPr>
          <w:rFonts w:hint="eastAsia"/>
        </w:rPr>
      </w:pPr>
      <w:r>
        <w:rPr>
          <w:rFonts w:hint="eastAsia"/>
        </w:rPr>
        <w:t>测试审核人员；</w:t>
      </w:r>
    </w:p>
    <w:p>
      <w:pPr>
        <w:pStyle w:val="24"/>
        <w:keepNext w:val="0"/>
        <w:keepLines w:val="0"/>
        <w:pageBreakBefore w:val="0"/>
        <w:widowControl/>
        <w:numPr>
          <w:ilvl w:val="0"/>
          <w:numId w:val="16"/>
        </w:numPr>
        <w:kinsoku/>
        <w:wordWrap/>
        <w:overflowPunct/>
        <w:topLinePunct w:val="0"/>
        <w:bidi w:val="0"/>
        <w:adjustRightInd/>
        <w:snapToGrid/>
        <w:spacing w:line="240" w:lineRule="auto"/>
        <w:textAlignment w:val="auto"/>
        <w:rPr>
          <w:rFonts w:hint="eastAsia" w:ascii="宋体" w:hAnsi="宋体" w:eastAsia="宋体" w:cs="宋体"/>
          <w:sz w:val="21"/>
          <w:szCs w:val="21"/>
          <w:lang w:val="en-US" w:eastAsia="zh-CN"/>
        </w:rPr>
      </w:pPr>
      <w:r>
        <w:rPr>
          <w:rFonts w:hint="eastAsia"/>
        </w:rPr>
        <w:t>测试结果和测试</w:t>
      </w:r>
      <w:r>
        <w:rPr>
          <w:rFonts w:hint="eastAsia"/>
          <w:lang w:val="en-US" w:eastAsia="zh-CN"/>
        </w:rPr>
        <w:t>日期。</w:t>
      </w:r>
    </w:p>
    <w:p>
      <w:pPr>
        <w:pStyle w:val="24"/>
        <w:keepNext w:val="0"/>
        <w:keepLines w:val="0"/>
        <w:pageBreakBefore w:val="0"/>
        <w:widowControl/>
        <w:numPr>
          <w:ilvl w:val="0"/>
          <w:numId w:val="0"/>
        </w:numPr>
        <w:kinsoku/>
        <w:wordWrap/>
        <w:overflowPunct/>
        <w:topLinePunct w:val="0"/>
        <w:bidi w:val="0"/>
        <w:adjustRightInd/>
        <w:snapToGrid/>
        <w:spacing w:line="240" w:lineRule="auto"/>
        <w:jc w:val="both"/>
        <w:textAlignment w:val="auto"/>
        <w:rPr>
          <w:rFonts w:hint="eastAsia" w:ascii="宋体" w:hAnsi="宋体" w:eastAsia="宋体" w:cs="宋体"/>
          <w:sz w:val="21"/>
          <w:szCs w:val="21"/>
          <w:lang w:val="en-US" w:eastAsia="zh-CN"/>
        </w:rPr>
      </w:pPr>
    </w:p>
    <w:p>
      <w:pPr>
        <w:pStyle w:val="24"/>
        <w:keepNext w:val="0"/>
        <w:keepLines w:val="0"/>
        <w:pageBreakBefore w:val="0"/>
        <w:widowControl/>
        <w:numPr>
          <w:ilvl w:val="0"/>
          <w:numId w:val="0"/>
        </w:numPr>
        <w:kinsoku/>
        <w:wordWrap/>
        <w:overflowPunct/>
        <w:topLinePunct w:val="0"/>
        <w:bidi w:val="0"/>
        <w:adjustRightInd/>
        <w:snapToGrid/>
        <w:spacing w:line="240" w:lineRule="auto"/>
        <w:jc w:val="both"/>
        <w:textAlignment w:val="auto"/>
        <w:rPr>
          <w:rFonts w:hint="eastAsia" w:ascii="宋体" w:hAnsi="宋体" w:eastAsia="宋体" w:cs="宋体"/>
          <w:sz w:val="21"/>
          <w:szCs w:val="21"/>
          <w:lang w:val="en-US" w:eastAsia="zh-CN"/>
        </w:rPr>
      </w:pPr>
    </w:p>
    <w:p>
      <w:pPr>
        <w:pStyle w:val="24"/>
        <w:keepNext w:val="0"/>
        <w:keepLines w:val="0"/>
        <w:pageBreakBefore w:val="0"/>
        <w:widowControl/>
        <w:numPr>
          <w:ilvl w:val="0"/>
          <w:numId w:val="0"/>
        </w:numPr>
        <w:kinsoku/>
        <w:wordWrap/>
        <w:overflowPunct/>
        <w:topLinePunct w:val="0"/>
        <w:bidi w:val="0"/>
        <w:adjustRightInd/>
        <w:snapToGrid/>
        <w:spacing w:line="240" w:lineRule="auto"/>
        <w:jc w:val="both"/>
        <w:textAlignment w:val="auto"/>
        <w:rPr>
          <w:rFonts w:hint="eastAsia" w:ascii="宋体" w:hAnsi="宋体" w:eastAsia="宋体" w:cs="宋体"/>
          <w:sz w:val="21"/>
          <w:szCs w:val="21"/>
          <w:lang w:val="en-US" w:eastAsia="zh-CN"/>
        </w:rPr>
      </w:pPr>
    </w:p>
    <w:p>
      <w:pPr>
        <w:pStyle w:val="24"/>
        <w:keepNext w:val="0"/>
        <w:keepLines w:val="0"/>
        <w:pageBreakBefore w:val="0"/>
        <w:widowControl/>
        <w:numPr>
          <w:ilvl w:val="0"/>
          <w:numId w:val="0"/>
        </w:numPr>
        <w:kinsoku/>
        <w:wordWrap/>
        <w:overflowPunct/>
        <w:topLinePunct w:val="0"/>
        <w:bidi w:val="0"/>
        <w:adjustRightInd/>
        <w:snapToGrid/>
        <w:spacing w:line="240" w:lineRule="auto"/>
        <w:jc w:val="both"/>
        <w:textAlignment w:val="auto"/>
        <w:rPr>
          <w:rFonts w:hint="eastAsia" w:hAnsi="宋体" w:cs="宋体"/>
          <w:sz w:val="21"/>
          <w:szCs w:val="21"/>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1610360</wp:posOffset>
                </wp:positionH>
                <wp:positionV relativeFrom="paragraph">
                  <wp:posOffset>271780</wp:posOffset>
                </wp:positionV>
                <wp:extent cx="1974850" cy="6350"/>
                <wp:effectExtent l="0" t="0" r="0" b="0"/>
                <wp:wrapNone/>
                <wp:docPr id="18" name="直接连接符 18"/>
                <wp:cNvGraphicFramePr/>
                <a:graphic xmlns:a="http://schemas.openxmlformats.org/drawingml/2006/main">
                  <a:graphicData uri="http://schemas.microsoft.com/office/word/2010/wordprocessingShape">
                    <wps:wsp>
                      <wps:cNvCnPr/>
                      <wps:spPr>
                        <a:xfrm flipV="1">
                          <a:off x="1864360" y="4631055"/>
                          <a:ext cx="1974850" cy="635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26.8pt;margin-top:21.4pt;height:0.5pt;width:155.5pt;z-index:251661312;mso-width-relative:page;mso-height-relative:page;" filled="f" stroked="t" coordsize="21600,21600" o:gfxdata="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A7Cf9cAAAAJAQAADwAAAAAA&#10;AAABACAAAAAiAAAAZHJzL2Rvd25yZXYueG1sUEsBAhQAFAAAAAgAh07iQNcLIELbAQAAkwMAAA4A&#10;AAAAAAAAAQAgAAAAJgEAAGRycy9lMm9Eb2MueG1sUEsFBgAAAAAGAAYAWQEAAHMFAAAAAA==&#10;">
                <v:fill on="f" focussize="0,0"/>
                <v:stroke color="#000000" joinstyle="round"/>
                <v:imagedata o:title=""/>
                <o:lock v:ext="edit" aspectratio="f"/>
              </v:line>
            </w:pict>
          </mc:Fallback>
        </mc:AlternateContent>
      </w:r>
      <w:r>
        <w:rPr>
          <w:rFonts w:hint="eastAsia" w:hAnsi="宋体" w:cs="宋体"/>
          <w:sz w:val="21"/>
          <w:szCs w:val="21"/>
          <w:lang w:val="en-US" w:eastAsia="zh-CN"/>
        </w:rPr>
        <w:t xml:space="preserve">         </w:t>
      </w:r>
    </w:p>
    <w:p>
      <w:pPr>
        <w:pStyle w:val="24"/>
        <w:keepNext w:val="0"/>
        <w:keepLines w:val="0"/>
        <w:pageBreakBefore w:val="0"/>
        <w:widowControl/>
        <w:numPr>
          <w:ilvl w:val="0"/>
          <w:numId w:val="0"/>
        </w:numPr>
        <w:kinsoku/>
        <w:wordWrap/>
        <w:overflowPunct/>
        <w:topLinePunct w:val="0"/>
        <w:bidi w:val="0"/>
        <w:adjustRightInd/>
        <w:snapToGrid/>
        <w:spacing w:line="240" w:lineRule="auto"/>
        <w:jc w:val="both"/>
        <w:textAlignment w:val="auto"/>
        <w:rPr>
          <w:rFonts w:hint="eastAsia" w:hAnsi="宋体" w:cs="宋体"/>
          <w:sz w:val="21"/>
          <w:szCs w:val="21"/>
          <w:lang w:val="en-US" w:eastAsia="zh-CN"/>
        </w:rPr>
      </w:pPr>
    </w:p>
    <w:p>
      <w:pPr>
        <w:pStyle w:val="24"/>
        <w:keepNext w:val="0"/>
        <w:keepLines w:val="0"/>
        <w:pageBreakBefore w:val="0"/>
        <w:widowControl/>
        <w:numPr>
          <w:ilvl w:val="0"/>
          <w:numId w:val="0"/>
        </w:numPr>
        <w:kinsoku/>
        <w:wordWrap/>
        <w:overflowPunct/>
        <w:topLinePunct w:val="0"/>
        <w:bidi w:val="0"/>
        <w:adjustRightInd/>
        <w:snapToGrid/>
        <w:spacing w:line="240" w:lineRule="auto"/>
        <w:jc w:val="both"/>
        <w:textAlignment w:val="auto"/>
        <w:rPr>
          <w:rFonts w:hint="eastAsia" w:hAnsi="宋体" w:cs="宋体"/>
          <w:sz w:val="21"/>
          <w:szCs w:val="21"/>
          <w:lang w:val="en-US" w:eastAsia="zh-CN"/>
        </w:rPr>
      </w:pPr>
    </w:p>
    <w:p>
      <w:pPr>
        <w:pStyle w:val="24"/>
        <w:keepNext w:val="0"/>
        <w:keepLines w:val="0"/>
        <w:pageBreakBefore w:val="0"/>
        <w:widowControl/>
        <w:numPr>
          <w:ilvl w:val="0"/>
          <w:numId w:val="0"/>
        </w:numPr>
        <w:kinsoku/>
        <w:wordWrap/>
        <w:overflowPunct/>
        <w:topLinePunct w:val="0"/>
        <w:bidi w:val="0"/>
        <w:adjustRightInd/>
        <w:snapToGrid/>
        <w:spacing w:line="240" w:lineRule="auto"/>
        <w:jc w:val="both"/>
        <w:textAlignment w:val="auto"/>
        <w:rPr>
          <w:rFonts w:hint="eastAsia" w:hAnsi="宋体" w:cs="宋体"/>
          <w:sz w:val="21"/>
          <w:szCs w:val="21"/>
          <w:lang w:val="en-US" w:eastAsia="zh-CN"/>
        </w:rPr>
      </w:pPr>
    </w:p>
    <w:p>
      <w:pPr>
        <w:pStyle w:val="24"/>
        <w:keepNext w:val="0"/>
        <w:keepLines w:val="0"/>
        <w:pageBreakBefore w:val="0"/>
        <w:widowControl/>
        <w:numPr>
          <w:ilvl w:val="0"/>
          <w:numId w:val="0"/>
        </w:numPr>
        <w:kinsoku/>
        <w:wordWrap/>
        <w:overflowPunct/>
        <w:topLinePunct w:val="0"/>
        <w:bidi w:val="0"/>
        <w:adjustRightInd/>
        <w:snapToGrid/>
        <w:spacing w:line="240" w:lineRule="auto"/>
        <w:jc w:val="both"/>
        <w:textAlignment w:val="auto"/>
        <w:rPr>
          <w:rFonts w:hint="eastAsia" w:hAnsi="宋体" w:cs="宋体"/>
          <w:sz w:val="21"/>
          <w:szCs w:val="21"/>
          <w:lang w:val="en-US" w:eastAsia="zh-CN"/>
        </w:rPr>
      </w:pPr>
    </w:p>
    <w:p>
      <w:pPr>
        <w:pStyle w:val="24"/>
        <w:keepNext w:val="0"/>
        <w:keepLines w:val="0"/>
        <w:pageBreakBefore w:val="0"/>
        <w:widowControl/>
        <w:numPr>
          <w:ilvl w:val="0"/>
          <w:numId w:val="0"/>
        </w:numPr>
        <w:kinsoku/>
        <w:wordWrap/>
        <w:overflowPunct/>
        <w:topLinePunct w:val="0"/>
        <w:bidi w:val="0"/>
        <w:adjustRightInd/>
        <w:snapToGrid/>
        <w:spacing w:line="240" w:lineRule="auto"/>
        <w:jc w:val="both"/>
        <w:textAlignment w:val="auto"/>
        <w:rPr>
          <w:rFonts w:hint="eastAsia" w:hAnsi="宋体" w:cs="宋体"/>
          <w:sz w:val="21"/>
          <w:szCs w:val="21"/>
          <w:lang w:val="en-US" w:eastAsia="zh-CN"/>
        </w:rPr>
      </w:pPr>
    </w:p>
    <w:p>
      <w:pPr>
        <w:pStyle w:val="24"/>
        <w:keepNext w:val="0"/>
        <w:keepLines w:val="0"/>
        <w:pageBreakBefore w:val="0"/>
        <w:widowControl/>
        <w:numPr>
          <w:ilvl w:val="0"/>
          <w:numId w:val="0"/>
        </w:numPr>
        <w:kinsoku/>
        <w:wordWrap/>
        <w:overflowPunct/>
        <w:topLinePunct w:val="0"/>
        <w:bidi w:val="0"/>
        <w:adjustRightInd/>
        <w:snapToGrid/>
        <w:spacing w:line="240" w:lineRule="auto"/>
        <w:jc w:val="both"/>
        <w:textAlignment w:val="auto"/>
        <w:rPr>
          <w:rFonts w:hint="eastAsia" w:hAnsi="宋体" w:cs="宋体"/>
          <w:sz w:val="21"/>
          <w:szCs w:val="21"/>
          <w:lang w:val="en-US" w:eastAsia="zh-CN"/>
        </w:rPr>
      </w:pPr>
    </w:p>
    <w:p>
      <w:pPr>
        <w:pStyle w:val="24"/>
        <w:keepNext w:val="0"/>
        <w:keepLines w:val="0"/>
        <w:pageBreakBefore w:val="0"/>
        <w:widowControl/>
        <w:numPr>
          <w:ilvl w:val="0"/>
          <w:numId w:val="0"/>
        </w:numPr>
        <w:kinsoku/>
        <w:wordWrap/>
        <w:overflowPunct/>
        <w:topLinePunct w:val="0"/>
        <w:bidi w:val="0"/>
        <w:adjustRightInd/>
        <w:snapToGrid/>
        <w:spacing w:line="240" w:lineRule="auto"/>
        <w:jc w:val="both"/>
        <w:textAlignment w:val="auto"/>
        <w:rPr>
          <w:rFonts w:hint="default" w:hAnsi="宋体" w:cs="宋体"/>
          <w:sz w:val="21"/>
          <w:szCs w:val="21"/>
          <w:lang w:val="en-US" w:eastAsia="zh-CN"/>
        </w:rPr>
        <w:sectPr>
          <w:type w:val="continuous"/>
          <w:pgSz w:w="11760" w:h="16980"/>
          <w:pgMar w:top="420" w:right="1100" w:bottom="280" w:left="1260" w:header="720" w:footer="720" w:gutter="0"/>
          <w:pgBorders>
            <w:top w:val="none" w:sz="0" w:space="0"/>
            <w:left w:val="none" w:sz="0" w:space="0"/>
            <w:bottom w:val="none" w:sz="0" w:space="0"/>
            <w:right w:val="none" w:sz="0" w:space="0"/>
          </w:pgBorders>
          <w:cols w:space="720" w:num="1"/>
        </w:sectPr>
      </w:pPr>
    </w:p>
    <w:p>
      <w:pPr>
        <w:spacing w:before="0" w:line="219" w:lineRule="exact"/>
        <w:ind w:right="0"/>
        <w:jc w:val="left"/>
        <w:rPr>
          <w:rFonts w:ascii="Times New Roman" w:eastAsia="Times New Roman"/>
          <w:sz w:val="16"/>
        </w:rPr>
      </w:pPr>
      <w:bookmarkStart w:id="21" w:name="00000008"/>
      <w:bookmarkEnd w:id="21"/>
    </w:p>
    <w:sectPr>
      <w:type w:val="continuous"/>
      <w:pgSz w:w="11700" w:h="16780"/>
      <w:pgMar w:top="420" w:right="0" w:bottom="280" w:left="1640" w:header="720" w:footer="720" w:gutter="0"/>
      <w:pgBorders>
        <w:top w:val="none" w:sz="0" w:space="0"/>
        <w:left w:val="none" w:sz="0" w:space="0"/>
        <w:bottom w:val="none" w:sz="0" w:space="0"/>
        <w:right w:val="none" w:sz="0" w:space="0"/>
      </w:pgBorders>
      <w:cols w:equalWidth="0" w:num="2">
        <w:col w:w="1725" w:space="3321"/>
        <w:col w:w="501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 PAGE  \* MERGEFORMAT </w:instrText>
    </w:r>
    <w:r>
      <w:fldChar w:fldCharType="separate"/>
    </w:r>
    <w: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lang w:val="en-US" w:eastAsia="zh-CN"/>
      </w:rPr>
    </w:pPr>
    <w:r>
      <w:t xml:space="preserve">GB/T </w:t>
    </w:r>
    <w:r>
      <w:rPr>
        <w:rFonts w:hint="eastAsia"/>
        <w:lang w:val="en-US" w:eastAsia="zh-CN"/>
      </w:rPr>
      <w:t>30856</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ascii="黑体" w:hAnsi="黑体" w:eastAsia="黑体" w:cs="黑体"/>
        <w:lang w:val="en-US" w:eastAsia="zh-CN"/>
      </w:rPr>
    </w:pPr>
    <w:r>
      <w:rPr>
        <w:rFonts w:hint="eastAsia" w:ascii="黑体" w:hAnsi="黑体" w:eastAsia="黑体" w:cs="黑体"/>
      </w:rPr>
      <w:t xml:space="preserve">GB/T </w:t>
    </w:r>
    <w:r>
      <w:rPr>
        <w:rFonts w:hint="eastAsia" w:ascii="黑体" w:hAnsi="黑体" w:eastAsia="黑体" w:cs="黑体"/>
        <w:lang w:val="en-US" w:eastAsia="zh-CN"/>
      </w:rPr>
      <w:t>30856</w:t>
    </w:r>
    <w:r>
      <w:rPr>
        <w:rFonts w:hint="eastAsia" w:ascii="黑体" w:hAnsi="黑体" w:eastAsia="黑体" w:cs="黑体"/>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lowerLetter"/>
      <w:lvlText w:val="%1)"/>
      <w:lvlJc w:val="left"/>
      <w:pPr>
        <w:ind w:left="936" w:hanging="402"/>
        <w:jc w:val="left"/>
      </w:pPr>
      <w:rPr>
        <w:rFonts w:hint="default"/>
        <w:w w:val="124"/>
        <w:lang w:val="en-US" w:eastAsia="en-US" w:bidi="ar-SA"/>
      </w:rPr>
    </w:lvl>
    <w:lvl w:ilvl="1" w:tentative="0">
      <w:start w:val="0"/>
      <w:numFmt w:val="bullet"/>
      <w:lvlText w:val="•"/>
      <w:lvlJc w:val="left"/>
      <w:pPr>
        <w:ind w:left="1794" w:hanging="402"/>
      </w:pPr>
      <w:rPr>
        <w:rFonts w:hint="default"/>
        <w:lang w:val="en-US" w:eastAsia="en-US" w:bidi="ar-SA"/>
      </w:rPr>
    </w:lvl>
    <w:lvl w:ilvl="2" w:tentative="0">
      <w:start w:val="0"/>
      <w:numFmt w:val="bullet"/>
      <w:lvlText w:val="•"/>
      <w:lvlJc w:val="left"/>
      <w:pPr>
        <w:ind w:left="2648" w:hanging="402"/>
      </w:pPr>
      <w:rPr>
        <w:rFonts w:hint="default"/>
        <w:lang w:val="en-US" w:eastAsia="en-US" w:bidi="ar-SA"/>
      </w:rPr>
    </w:lvl>
    <w:lvl w:ilvl="3" w:tentative="0">
      <w:start w:val="0"/>
      <w:numFmt w:val="bullet"/>
      <w:lvlText w:val="•"/>
      <w:lvlJc w:val="left"/>
      <w:pPr>
        <w:ind w:left="3502" w:hanging="402"/>
      </w:pPr>
      <w:rPr>
        <w:rFonts w:hint="default"/>
        <w:lang w:val="en-US" w:eastAsia="en-US" w:bidi="ar-SA"/>
      </w:rPr>
    </w:lvl>
    <w:lvl w:ilvl="4" w:tentative="0">
      <w:start w:val="0"/>
      <w:numFmt w:val="bullet"/>
      <w:lvlText w:val="•"/>
      <w:lvlJc w:val="left"/>
      <w:pPr>
        <w:ind w:left="4356" w:hanging="402"/>
      </w:pPr>
      <w:rPr>
        <w:rFonts w:hint="default"/>
        <w:lang w:val="en-US" w:eastAsia="en-US" w:bidi="ar-SA"/>
      </w:rPr>
    </w:lvl>
    <w:lvl w:ilvl="5" w:tentative="0">
      <w:start w:val="0"/>
      <w:numFmt w:val="bullet"/>
      <w:lvlText w:val="•"/>
      <w:lvlJc w:val="left"/>
      <w:pPr>
        <w:ind w:left="5210" w:hanging="402"/>
      </w:pPr>
      <w:rPr>
        <w:rFonts w:hint="default"/>
        <w:lang w:val="en-US" w:eastAsia="en-US" w:bidi="ar-SA"/>
      </w:rPr>
    </w:lvl>
    <w:lvl w:ilvl="6" w:tentative="0">
      <w:start w:val="0"/>
      <w:numFmt w:val="bullet"/>
      <w:lvlText w:val="•"/>
      <w:lvlJc w:val="left"/>
      <w:pPr>
        <w:ind w:left="6064" w:hanging="402"/>
      </w:pPr>
      <w:rPr>
        <w:rFonts w:hint="default"/>
        <w:lang w:val="en-US" w:eastAsia="en-US" w:bidi="ar-SA"/>
      </w:rPr>
    </w:lvl>
    <w:lvl w:ilvl="7" w:tentative="0">
      <w:start w:val="0"/>
      <w:numFmt w:val="bullet"/>
      <w:lvlText w:val="•"/>
      <w:lvlJc w:val="left"/>
      <w:pPr>
        <w:ind w:left="6918" w:hanging="402"/>
      </w:pPr>
      <w:rPr>
        <w:rFonts w:hint="default"/>
        <w:lang w:val="en-US" w:eastAsia="en-US" w:bidi="ar-SA"/>
      </w:rPr>
    </w:lvl>
    <w:lvl w:ilvl="8" w:tentative="0">
      <w:start w:val="0"/>
      <w:numFmt w:val="bullet"/>
      <w:lvlText w:val="•"/>
      <w:lvlJc w:val="left"/>
      <w:pPr>
        <w:ind w:left="7772" w:hanging="402"/>
      </w:pPr>
      <w:rPr>
        <w:rFonts w:hint="default"/>
        <w:lang w:val="en-US" w:eastAsia="en-US" w:bidi="ar-SA"/>
      </w:rPr>
    </w:lvl>
  </w:abstractNum>
  <w:abstractNum w:abstractNumId="1">
    <w:nsid w:val="D287EE21"/>
    <w:multiLevelType w:val="multilevel"/>
    <w:tmpl w:val="D287EE21"/>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0053208E"/>
    <w:multiLevelType w:val="multilevel"/>
    <w:tmpl w:val="0053208E"/>
    <w:lvl w:ilvl="0" w:tentative="0">
      <w:start w:val="1"/>
      <w:numFmt w:val="decimal"/>
      <w:lvlText w:val="%1"/>
      <w:lvlJc w:val="left"/>
      <w:pPr>
        <w:ind w:left="462" w:hanging="306"/>
        <w:jc w:val="left"/>
      </w:pPr>
      <w:rPr>
        <w:rFonts w:hint="default"/>
        <w:w w:val="100"/>
        <w:lang w:val="en-US" w:eastAsia="en-US" w:bidi="ar-SA"/>
      </w:rPr>
    </w:lvl>
    <w:lvl w:ilvl="1" w:tentative="0">
      <w:start w:val="1"/>
      <w:numFmt w:val="decimal"/>
      <w:lvlText w:val="%1.%2"/>
      <w:lvlJc w:val="left"/>
      <w:pPr>
        <w:ind w:left="606" w:hanging="486"/>
        <w:jc w:val="left"/>
      </w:pPr>
      <w:rPr>
        <w:rFonts w:hint="default"/>
        <w:w w:val="100"/>
        <w:lang w:val="en-US" w:eastAsia="en-US" w:bidi="ar-SA"/>
      </w:rPr>
    </w:lvl>
    <w:lvl w:ilvl="2" w:tentative="0">
      <w:start w:val="1"/>
      <w:numFmt w:val="decimal"/>
      <w:lvlText w:val="%1.%2.%3"/>
      <w:lvlJc w:val="left"/>
      <w:pPr>
        <w:ind w:left="756" w:hanging="648"/>
        <w:jc w:val="left"/>
      </w:pPr>
      <w:rPr>
        <w:rFonts w:hint="default"/>
        <w:w w:val="100"/>
        <w:lang w:val="en-US" w:eastAsia="en-US" w:bidi="ar-SA"/>
      </w:rPr>
    </w:lvl>
    <w:lvl w:ilvl="3" w:tentative="0">
      <w:start w:val="1"/>
      <w:numFmt w:val="decimal"/>
      <w:lvlText w:val="%1.%2.%3.%4"/>
      <w:lvlJc w:val="left"/>
      <w:pPr>
        <w:ind w:left="924" w:hanging="648"/>
        <w:jc w:val="left"/>
      </w:pPr>
      <w:rPr>
        <w:rFonts w:hint="default"/>
        <w:w w:val="68"/>
        <w:lang w:val="en-US" w:eastAsia="en-US" w:bidi="ar-SA"/>
      </w:rPr>
    </w:lvl>
    <w:lvl w:ilvl="4" w:tentative="0">
      <w:start w:val="0"/>
      <w:numFmt w:val="bullet"/>
      <w:lvlText w:val="•"/>
      <w:lvlJc w:val="left"/>
      <w:pPr>
        <w:ind w:left="620" w:hanging="648"/>
      </w:pPr>
      <w:rPr>
        <w:rFonts w:hint="default"/>
        <w:lang w:val="en-US" w:eastAsia="en-US" w:bidi="ar-SA"/>
      </w:rPr>
    </w:lvl>
    <w:lvl w:ilvl="5" w:tentative="0">
      <w:start w:val="0"/>
      <w:numFmt w:val="bullet"/>
      <w:lvlText w:val="•"/>
      <w:lvlJc w:val="left"/>
      <w:pPr>
        <w:ind w:left="760" w:hanging="648"/>
      </w:pPr>
      <w:rPr>
        <w:rFonts w:hint="default"/>
        <w:lang w:val="en-US" w:eastAsia="en-US" w:bidi="ar-SA"/>
      </w:rPr>
    </w:lvl>
    <w:lvl w:ilvl="6" w:tentative="0">
      <w:start w:val="0"/>
      <w:numFmt w:val="bullet"/>
      <w:lvlText w:val="•"/>
      <w:lvlJc w:val="left"/>
      <w:pPr>
        <w:ind w:left="780" w:hanging="648"/>
      </w:pPr>
      <w:rPr>
        <w:rFonts w:hint="default"/>
        <w:lang w:val="en-US" w:eastAsia="en-US" w:bidi="ar-SA"/>
      </w:rPr>
    </w:lvl>
    <w:lvl w:ilvl="7" w:tentative="0">
      <w:start w:val="0"/>
      <w:numFmt w:val="bullet"/>
      <w:lvlText w:val="•"/>
      <w:lvlJc w:val="left"/>
      <w:pPr>
        <w:ind w:left="800" w:hanging="648"/>
      </w:pPr>
      <w:rPr>
        <w:rFonts w:hint="default"/>
        <w:lang w:val="en-US" w:eastAsia="en-US" w:bidi="ar-SA"/>
      </w:rPr>
    </w:lvl>
    <w:lvl w:ilvl="8" w:tentative="0">
      <w:start w:val="0"/>
      <w:numFmt w:val="bullet"/>
      <w:lvlText w:val="•"/>
      <w:lvlJc w:val="left"/>
      <w:pPr>
        <w:ind w:left="920" w:hanging="648"/>
      </w:pPr>
      <w:rPr>
        <w:rFonts w:hint="default"/>
        <w:lang w:val="en-US" w:eastAsia="en-US" w:bidi="ar-SA"/>
      </w:rPr>
    </w:lvl>
  </w:abstractNum>
  <w:abstractNum w:abstractNumId="3">
    <w:nsid w:val="2A8F7113"/>
    <w:multiLevelType w:val="multilevel"/>
    <w:tmpl w:val="2A8F7113"/>
    <w:lvl w:ilvl="0" w:tentative="0">
      <w:start w:val="1"/>
      <w:numFmt w:val="upperLetter"/>
      <w:pStyle w:val="26"/>
      <w:suff w:val="space"/>
      <w:lvlText w:val="%1"/>
      <w:lvlJc w:val="left"/>
      <w:pPr>
        <w:ind w:left="623" w:hanging="425"/>
      </w:pPr>
      <w:rPr>
        <w:rFonts w:hint="eastAsia"/>
      </w:rPr>
    </w:lvl>
    <w:lvl w:ilvl="1" w:tentative="0">
      <w:start w:val="1"/>
      <w:numFmt w:val="decimal"/>
      <w:pStyle w:val="2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4026A967"/>
    <w:multiLevelType w:val="singleLevel"/>
    <w:tmpl w:val="4026A967"/>
    <w:lvl w:ilvl="0" w:tentative="0">
      <w:start w:val="1"/>
      <w:numFmt w:val="lowerLetter"/>
      <w:suff w:val="space"/>
      <w:lvlText w:val="%1）"/>
      <w:lvlJc w:val="left"/>
    </w:lvl>
  </w:abstractNum>
  <w:abstractNum w:abstractNumId="5">
    <w:nsid w:val="44C50F90"/>
    <w:multiLevelType w:val="multilevel"/>
    <w:tmpl w:val="44C50F90"/>
    <w:lvl w:ilvl="0" w:tentative="0">
      <w:start w:val="1"/>
      <w:numFmt w:val="lowerLetter"/>
      <w:pStyle w:val="24"/>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59ADCABA"/>
    <w:multiLevelType w:val="multilevel"/>
    <w:tmpl w:val="59ADCABA"/>
    <w:lvl w:ilvl="0" w:tentative="0">
      <w:start w:val="1"/>
      <w:numFmt w:val="lowerLetter"/>
      <w:lvlText w:val="%1)"/>
      <w:lvlJc w:val="left"/>
      <w:pPr>
        <w:ind w:left="936" w:hanging="402"/>
        <w:jc w:val="left"/>
      </w:pPr>
      <w:rPr>
        <w:rFonts w:hint="default"/>
        <w:w w:val="124"/>
        <w:lang w:val="en-US" w:eastAsia="en-US" w:bidi="ar-SA"/>
      </w:rPr>
    </w:lvl>
    <w:lvl w:ilvl="1" w:tentative="0">
      <w:start w:val="0"/>
      <w:numFmt w:val="bullet"/>
      <w:lvlText w:val="•"/>
      <w:lvlJc w:val="left"/>
      <w:pPr>
        <w:ind w:left="1794" w:hanging="402"/>
      </w:pPr>
      <w:rPr>
        <w:rFonts w:hint="default"/>
        <w:lang w:val="en-US" w:eastAsia="en-US" w:bidi="ar-SA"/>
      </w:rPr>
    </w:lvl>
    <w:lvl w:ilvl="2" w:tentative="0">
      <w:start w:val="0"/>
      <w:numFmt w:val="bullet"/>
      <w:lvlText w:val="•"/>
      <w:lvlJc w:val="left"/>
      <w:pPr>
        <w:ind w:left="2648" w:hanging="402"/>
      </w:pPr>
      <w:rPr>
        <w:rFonts w:hint="default"/>
        <w:lang w:val="en-US" w:eastAsia="en-US" w:bidi="ar-SA"/>
      </w:rPr>
    </w:lvl>
    <w:lvl w:ilvl="3" w:tentative="0">
      <w:start w:val="0"/>
      <w:numFmt w:val="bullet"/>
      <w:lvlText w:val="•"/>
      <w:lvlJc w:val="left"/>
      <w:pPr>
        <w:ind w:left="3502" w:hanging="402"/>
      </w:pPr>
      <w:rPr>
        <w:rFonts w:hint="default"/>
        <w:lang w:val="en-US" w:eastAsia="en-US" w:bidi="ar-SA"/>
      </w:rPr>
    </w:lvl>
    <w:lvl w:ilvl="4" w:tentative="0">
      <w:start w:val="0"/>
      <w:numFmt w:val="bullet"/>
      <w:lvlText w:val="•"/>
      <w:lvlJc w:val="left"/>
      <w:pPr>
        <w:ind w:left="4356" w:hanging="402"/>
      </w:pPr>
      <w:rPr>
        <w:rFonts w:hint="default"/>
        <w:lang w:val="en-US" w:eastAsia="en-US" w:bidi="ar-SA"/>
      </w:rPr>
    </w:lvl>
    <w:lvl w:ilvl="5" w:tentative="0">
      <w:start w:val="0"/>
      <w:numFmt w:val="bullet"/>
      <w:lvlText w:val="•"/>
      <w:lvlJc w:val="left"/>
      <w:pPr>
        <w:ind w:left="5210" w:hanging="402"/>
      </w:pPr>
      <w:rPr>
        <w:rFonts w:hint="default"/>
        <w:lang w:val="en-US" w:eastAsia="en-US" w:bidi="ar-SA"/>
      </w:rPr>
    </w:lvl>
    <w:lvl w:ilvl="6" w:tentative="0">
      <w:start w:val="0"/>
      <w:numFmt w:val="bullet"/>
      <w:lvlText w:val="•"/>
      <w:lvlJc w:val="left"/>
      <w:pPr>
        <w:ind w:left="6064" w:hanging="402"/>
      </w:pPr>
      <w:rPr>
        <w:rFonts w:hint="default"/>
        <w:lang w:val="en-US" w:eastAsia="en-US" w:bidi="ar-SA"/>
      </w:rPr>
    </w:lvl>
    <w:lvl w:ilvl="7" w:tentative="0">
      <w:start w:val="0"/>
      <w:numFmt w:val="bullet"/>
      <w:lvlText w:val="•"/>
      <w:lvlJc w:val="left"/>
      <w:pPr>
        <w:ind w:left="6918" w:hanging="402"/>
      </w:pPr>
      <w:rPr>
        <w:rFonts w:hint="default"/>
        <w:lang w:val="en-US" w:eastAsia="en-US" w:bidi="ar-SA"/>
      </w:rPr>
    </w:lvl>
    <w:lvl w:ilvl="8" w:tentative="0">
      <w:start w:val="0"/>
      <w:numFmt w:val="bullet"/>
      <w:lvlText w:val="•"/>
      <w:lvlJc w:val="left"/>
      <w:pPr>
        <w:ind w:left="7772" w:hanging="402"/>
      </w:pPr>
      <w:rPr>
        <w:rFonts w:hint="default"/>
        <w:lang w:val="en-US" w:eastAsia="en-US" w:bidi="ar-SA"/>
      </w:rPr>
    </w:lvl>
  </w:abstractNum>
  <w:abstractNum w:abstractNumId="7">
    <w:nsid w:val="60B55DC2"/>
    <w:multiLevelType w:val="multilevel"/>
    <w:tmpl w:val="60B55DC2"/>
    <w:lvl w:ilvl="0" w:tentative="0">
      <w:start w:val="1"/>
      <w:numFmt w:val="upperLetter"/>
      <w:pStyle w:val="27"/>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8">
    <w:nsid w:val="657D3FBC"/>
    <w:multiLevelType w:val="multilevel"/>
    <w:tmpl w:val="657D3FBC"/>
    <w:lvl w:ilvl="0" w:tentative="0">
      <w:start w:val="1"/>
      <w:numFmt w:val="upperLetter"/>
      <w:pStyle w:val="2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7FE7E08E"/>
    <w:multiLevelType w:val="singleLevel"/>
    <w:tmpl w:val="7FE7E08E"/>
    <w:lvl w:ilvl="0" w:tentative="0">
      <w:start w:val="1"/>
      <w:numFmt w:val="lowerLetter"/>
      <w:suff w:val="space"/>
      <w:lvlText w:val="%1)"/>
      <w:lvlJc w:val="left"/>
      <w:pPr>
        <w:ind w:left="420" w:leftChars="0" w:firstLine="0" w:firstLineChars="0"/>
      </w:pPr>
    </w:lvl>
  </w:abstractNum>
  <w:num w:numId="1">
    <w:abstractNumId w:val="8"/>
  </w:num>
  <w:num w:numId="2">
    <w:abstractNumId w:val="5"/>
  </w:num>
  <w:num w:numId="3">
    <w:abstractNumId w:val="3"/>
  </w:num>
  <w:num w:numId="4">
    <w:abstractNumId w:val="7"/>
  </w:num>
  <w:num w:numId="5">
    <w:abstractNumId w:val="1"/>
  </w:num>
  <w:num w:numId="6">
    <w:abstractNumId w:val="2"/>
  </w:num>
  <w:num w:numId="7">
    <w:abstractNumId w:val="9"/>
  </w:num>
  <w:num w:numId="8">
    <w:abstractNumId w:val="6"/>
  </w:num>
  <w:num w:numId="9">
    <w:abstractNumId w:val="0"/>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00000"/>
    <w:rsid w:val="00866D60"/>
    <w:rsid w:val="00CE1583"/>
    <w:rsid w:val="00F0261B"/>
    <w:rsid w:val="019E6296"/>
    <w:rsid w:val="0BF1079A"/>
    <w:rsid w:val="0F9D2DFC"/>
    <w:rsid w:val="14190215"/>
    <w:rsid w:val="28AF19EC"/>
    <w:rsid w:val="28FC354A"/>
    <w:rsid w:val="2A7A104B"/>
    <w:rsid w:val="3ECA4520"/>
    <w:rsid w:val="48A04659"/>
    <w:rsid w:val="4E1D1085"/>
    <w:rsid w:val="52633E00"/>
    <w:rsid w:val="541952A4"/>
    <w:rsid w:val="58CD69DC"/>
    <w:rsid w:val="7E7B3D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outlineLvl w:val="1"/>
    </w:pPr>
    <w:rPr>
      <w:rFonts w:ascii="宋体" w:hAnsi="宋体" w:eastAsia="宋体" w:cs="宋体"/>
      <w:sz w:val="50"/>
      <w:szCs w:val="50"/>
      <w:lang w:val="en-US" w:eastAsia="en-US" w:bidi="ar-SA"/>
    </w:rPr>
  </w:style>
  <w:style w:type="paragraph" w:styleId="3">
    <w:name w:val="heading 2"/>
    <w:basedOn w:val="1"/>
    <w:next w:val="1"/>
    <w:qFormat/>
    <w:uiPriority w:val="1"/>
    <w:pPr>
      <w:spacing w:before="69"/>
      <w:ind w:left="46"/>
      <w:jc w:val="center"/>
      <w:outlineLvl w:val="2"/>
    </w:pPr>
    <w:rPr>
      <w:rFonts w:ascii="Courier New" w:hAnsi="Courier New" w:eastAsia="Courier New" w:cs="Courier New"/>
      <w:sz w:val="28"/>
      <w:szCs w:val="28"/>
      <w:lang w:val="en-US" w:eastAsia="en-US" w:bidi="ar-SA"/>
    </w:rPr>
  </w:style>
  <w:style w:type="paragraph" w:styleId="4">
    <w:name w:val="heading 3"/>
    <w:basedOn w:val="1"/>
    <w:next w:val="1"/>
    <w:qFormat/>
    <w:uiPriority w:val="1"/>
    <w:pPr>
      <w:outlineLvl w:val="3"/>
    </w:pPr>
    <w:rPr>
      <w:rFonts w:ascii="Courier New" w:hAnsi="Courier New" w:eastAsia="Courier New" w:cs="Courier New"/>
      <w:sz w:val="22"/>
      <w:szCs w:val="22"/>
      <w:lang w:val="en-US" w:eastAsia="en-US" w:bidi="ar-SA"/>
    </w:rPr>
  </w:style>
  <w:style w:type="paragraph" w:styleId="5">
    <w:name w:val="heading 4"/>
    <w:basedOn w:val="1"/>
    <w:next w:val="1"/>
    <w:qFormat/>
    <w:uiPriority w:val="1"/>
    <w:pPr>
      <w:outlineLvl w:val="4"/>
    </w:pPr>
    <w:rPr>
      <w:rFonts w:ascii="Times New Roman" w:hAnsi="Times New Roman" w:eastAsia="Times New Roman" w:cs="Times New Roman"/>
      <w:sz w:val="20"/>
      <w:szCs w:val="20"/>
      <w:lang w:val="en-US" w:eastAsia="en-US"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autoRedefine/>
    <w:qFormat/>
    <w:uiPriority w:val="1"/>
    <w:rPr>
      <w:rFonts w:ascii="宋体" w:hAnsi="宋体" w:eastAsia="宋体" w:cs="宋体"/>
      <w:sz w:val="18"/>
      <w:szCs w:val="18"/>
      <w:lang w:val="en-US" w:eastAsia="en-US" w:bidi="ar-SA"/>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autoRedefine/>
    <w:semiHidden/>
    <w:unhideWhenUsed/>
    <w:qFormat/>
    <w:uiPriority w:val="2"/>
    <w:tblPr>
      <w:tblCellMar>
        <w:top w:w="0" w:type="dxa"/>
        <w:left w:w="0" w:type="dxa"/>
        <w:bottom w:w="0" w:type="dxa"/>
        <w:right w:w="0" w:type="dxa"/>
      </w:tblCellMar>
    </w:tblPr>
  </w:style>
  <w:style w:type="paragraph" w:styleId="13">
    <w:name w:val="List Paragraph"/>
    <w:basedOn w:val="1"/>
    <w:autoRedefine/>
    <w:qFormat/>
    <w:uiPriority w:val="1"/>
    <w:pPr>
      <w:ind w:left="936" w:hanging="414"/>
    </w:pPr>
    <w:rPr>
      <w:rFonts w:ascii="宋体" w:hAnsi="宋体" w:eastAsia="宋体" w:cs="宋体"/>
      <w:lang w:val="en-US" w:eastAsia="en-US" w:bidi="ar-SA"/>
    </w:rPr>
  </w:style>
  <w:style w:type="paragraph" w:customStyle="1" w:styleId="14">
    <w:name w:val="Table Paragraph"/>
    <w:basedOn w:val="1"/>
    <w:autoRedefine/>
    <w:qFormat/>
    <w:uiPriority w:val="1"/>
    <w:rPr>
      <w:rFonts w:ascii="宋体" w:hAnsi="宋体" w:eastAsia="宋体" w:cs="宋体"/>
      <w:lang w:val="en-US" w:eastAsia="en-US" w:bidi="ar-SA"/>
    </w:rPr>
  </w:style>
  <w:style w:type="paragraph" w:customStyle="1" w:styleId="15">
    <w:name w:val="封面标准号2"/>
    <w:autoRedefine/>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6">
    <w:name w:val="封面标准代替信息"/>
    <w:autoRedefine/>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7">
    <w:name w:val="段"/>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8">
    <w:name w:val="列表段落1"/>
    <w:basedOn w:val="1"/>
    <w:autoRedefine/>
    <w:qFormat/>
    <w:uiPriority w:val="99"/>
    <w:pPr>
      <w:ind w:firstLine="420" w:firstLineChars="200"/>
    </w:pPr>
  </w:style>
  <w:style w:type="paragraph" w:customStyle="1" w:styleId="19">
    <w:name w:val="标准书眉_奇数页"/>
    <w:next w:val="1"/>
    <w:autoRedefine/>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
    <w:name w:val="标准书脚_奇数页"/>
    <w:autoRedefine/>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21">
    <w:name w:val="前言、引言标题"/>
    <w:next w:val="17"/>
    <w:autoRedefine/>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2">
    <w:name w:val="附录标识"/>
    <w:basedOn w:val="1"/>
    <w:next w:val="17"/>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3">
    <w:name w:val="附录章标题"/>
    <w:next w:val="17"/>
    <w:autoRedefine/>
    <w:qFormat/>
    <w:uiPriority w:val="0"/>
    <w:pPr>
      <w:numPr>
        <w:ilvl w:val="1"/>
        <w:numId w:val="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4">
    <w:name w:val="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5">
    <w:name w:val="附录一级条标题"/>
    <w:basedOn w:val="23"/>
    <w:next w:val="17"/>
    <w:autoRedefine/>
    <w:qFormat/>
    <w:uiPriority w:val="0"/>
    <w:pPr>
      <w:numPr>
        <w:ilvl w:val="2"/>
        <w:numId w:val="1"/>
      </w:numPr>
      <w:autoSpaceDN w:val="0"/>
      <w:spacing w:before="50" w:beforeLines="50" w:after="50" w:afterLines="50"/>
      <w:outlineLvl w:val="2"/>
    </w:pPr>
  </w:style>
  <w:style w:type="paragraph" w:customStyle="1" w:styleId="26">
    <w:name w:val="附录图标号"/>
    <w:basedOn w:val="1"/>
    <w:autoRedefine/>
    <w:qFormat/>
    <w:uiPriority w:val="0"/>
    <w:pPr>
      <w:keepNext/>
      <w:pageBreakBefore/>
      <w:widowControl/>
      <w:numPr>
        <w:ilvl w:val="0"/>
        <w:numId w:val="3"/>
      </w:numPr>
      <w:spacing w:line="14" w:lineRule="exact"/>
      <w:ind w:left="0" w:firstLine="363"/>
      <w:jc w:val="center"/>
      <w:outlineLvl w:val="0"/>
    </w:pPr>
    <w:rPr>
      <w:color w:val="FFFFFF"/>
    </w:rPr>
  </w:style>
  <w:style w:type="paragraph" w:customStyle="1" w:styleId="27">
    <w:name w:val="附录表标号"/>
    <w:basedOn w:val="1"/>
    <w:next w:val="17"/>
    <w:autoRedefine/>
    <w:qFormat/>
    <w:uiPriority w:val="0"/>
    <w:pPr>
      <w:numPr>
        <w:ilvl w:val="0"/>
        <w:numId w:val="4"/>
      </w:numPr>
      <w:tabs>
        <w:tab w:val="clear" w:pos="0"/>
      </w:tabs>
      <w:spacing w:line="14" w:lineRule="exact"/>
      <w:ind w:left="811" w:hanging="448"/>
      <w:jc w:val="center"/>
      <w:outlineLvl w:val="0"/>
    </w:pPr>
    <w:rPr>
      <w:color w:val="FFFFFF"/>
    </w:rPr>
  </w:style>
  <w:style w:type="paragraph" w:customStyle="1" w:styleId="28">
    <w:name w:val="附录图标题"/>
    <w:basedOn w:val="1"/>
    <w:next w:val="17"/>
    <w:autoRedefine/>
    <w:qFormat/>
    <w:uiPriority w:val="0"/>
    <w:pPr>
      <w:numPr>
        <w:ilvl w:val="1"/>
        <w:numId w:val="3"/>
      </w:numPr>
      <w:tabs>
        <w:tab w:val="left" w:pos="363"/>
      </w:tabs>
      <w:spacing w:before="50" w:beforeLines="50" w:after="50" w:afterLines="50"/>
      <w:ind w:left="0" w:firstLine="0"/>
      <w:jc w:val="center"/>
    </w:pPr>
    <w:rPr>
      <w:rFonts w:ascii="黑体" w:eastAsia="黑体"/>
      <w:szCs w:val="21"/>
    </w:rPr>
  </w:style>
  <w:style w:type="paragraph" w:customStyle="1" w:styleId="29">
    <w:name w:val="标准称谓"/>
    <w:next w:val="1"/>
    <w:autoRedefine/>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30">
    <w:name w:val="其他发布日期"/>
    <w:basedOn w:val="31"/>
    <w:autoRedefine/>
    <w:qFormat/>
    <w:uiPriority w:val="99"/>
    <w:pPr>
      <w:framePr w:wrap="around" w:vAnchor="page" w:hAnchor="text" w:x="1419"/>
    </w:pPr>
  </w:style>
  <w:style w:type="paragraph" w:customStyle="1" w:styleId="31">
    <w:name w:val="发布日期"/>
    <w:autoRedefine/>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32">
    <w:name w:val="其他实施日期"/>
    <w:basedOn w:val="33"/>
    <w:autoRedefine/>
    <w:qFormat/>
    <w:uiPriority w:val="99"/>
    <w:pPr>
      <w:framePr w:wrap="around"/>
    </w:pPr>
  </w:style>
  <w:style w:type="paragraph" w:customStyle="1" w:styleId="33">
    <w:name w:val="实施日期"/>
    <w:basedOn w:val="31"/>
    <w:autoRedefine/>
    <w:qFormat/>
    <w:uiPriority w:val="99"/>
    <w:pPr>
      <w:framePr w:wrap="around" w:vAnchor="page" w:hAnchor="text"/>
      <w:jc w:val="right"/>
    </w:pPr>
  </w:style>
  <w:style w:type="paragraph" w:customStyle="1" w:styleId="34">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5942</Words>
  <Characters>7343</Characters>
  <TotalTime>0</TotalTime>
  <ScaleCrop>false</ScaleCrop>
  <LinksUpToDate>false</LinksUpToDate>
  <CharactersWithSpaces>7613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2022-05-26T02:34:00Z</dcterms:created>
  <dc:creator>hp c</dc:creator>
  <cp:lastModifiedBy>素素</cp:lastModifiedBy>
  <dcterms:modified xsi:type="dcterms:W3CDTF">2024-02-29T08:20:42Z</dcterms:modified>
  <dc:title>ÿþG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2015-04-01T00:00:00Z</vt:filetime>
  </property>
  <property fmtid="{D5CDD505-2E9C-101B-9397-08002B2CF9AE}" pid="3" name="Creator">
    <vt:lpwstr>Smart Touch 1.5</vt:lpwstr>
  </property>
  <property fmtid="{D5CDD505-2E9C-101B-9397-08002B2CF9AE}" pid="4" name="LastSaved">
    <vt:filetime>2022-05-26T00:00:00Z</vt:filetime>
  </property>
  <property fmtid="{D5CDD505-2E9C-101B-9397-08002B2CF9AE}" pid="5" name="KSOProductBuildVer">
    <vt:lpwstr>2052-12.1.0.16388</vt:lpwstr>
  </property>
  <property fmtid="{D5CDD505-2E9C-101B-9397-08002B2CF9AE}" pid="6" name="ICV">
    <vt:lpwstr>E656C4567AD04D1ABA834777E3C96D04_13</vt:lpwstr>
  </property>
</Properties>
</file>