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pPr>
      <w:bookmarkStart w:id="0" w:name="SectionMark0"/>
      <w:r>
        <w:rPr>
          <w:rFonts w:hint="eastAsia"/>
        </w:rPr>
        <w:t>A</w:t>
      </w:r>
      <w:r>
        <w:t>【】‘</w:t>
      </w:r>
    </w:p>
    <w:p>
      <w:pPr>
        <w:pStyle w:val="70"/>
        <w:framePr w:w="0" w:hRule="auto" w:wrap="auto" w:vAnchor="margin" w:hAnchor="text" w:xAlign="left" w:yAlign="inline"/>
      </w:pPr>
      <w:r>
        <w:tab/>
      </w:r>
      <w:r>
        <w:t>YS</w:t>
      </w:r>
    </w:p>
    <w:p>
      <w:pPr>
        <w:pStyle w:val="57"/>
        <w:tabs>
          <w:tab w:val="left" w:pos="8260"/>
        </w:tabs>
      </w:pPr>
      <w:r>
        <w:br w:type="textWrapping"/>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7"/>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pPr>
                        <w:pStyle w:val="27"/>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28"/>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ascii="黑体" w:hAnsi="黑体" w:eastAsia="黑体" w:cs="Times New Roman"/>
                                <w:sz w:val="52"/>
                              </w:rPr>
                            </w:pPr>
                          </w:p>
                          <w:p>
                            <w:pPr>
                              <w:pStyle w:val="54"/>
                              <w:spacing w:before="0" w:line="240" w:lineRule="atLeast"/>
                              <w:rPr>
                                <w:rFonts w:hint="eastAsia" w:eastAsia="黑体"/>
                                <w:szCs w:val="28"/>
                                <w:lang w:val="en-US" w:eastAsia="zh-CN"/>
                              </w:rPr>
                            </w:pPr>
                            <w:r>
                              <w:rPr>
                                <w:rFonts w:hint="eastAsia" w:ascii="黑体" w:hAnsi="黑体" w:eastAsia="黑体"/>
                                <w:sz w:val="52"/>
                              </w:rPr>
                              <w:t>粗</w:t>
                            </w:r>
                            <w:r>
                              <w:rPr>
                                <w:rFonts w:hint="eastAsia" w:ascii="黑体" w:hAnsi="黑体" w:eastAsia="黑体"/>
                                <w:sz w:val="52"/>
                                <w:lang w:val="en-US" w:eastAsia="zh-CN"/>
                              </w:rPr>
                              <w:t>硫化镍钴</w:t>
                            </w:r>
                          </w:p>
                          <w:p>
                            <w:pPr>
                              <w:pStyle w:val="54"/>
                              <w:spacing w:before="0" w:line="240" w:lineRule="atLeast"/>
                              <w:rPr>
                                <w:rFonts w:hint="eastAsia" w:ascii="黑体" w:hAnsi="黑体" w:eastAsia="黑体" w:cs="黑体"/>
                                <w:szCs w:val="28"/>
                              </w:rPr>
                            </w:pPr>
                            <w:r>
                              <w:rPr>
                                <w:rFonts w:hint="eastAsia" w:ascii="黑体" w:hAnsi="黑体" w:eastAsia="黑体" w:cs="黑体"/>
                                <w:szCs w:val="28"/>
                              </w:rPr>
                              <w:t>Crude nickel cobalt sulfide</w:t>
                            </w:r>
                          </w:p>
                          <w:p>
                            <w:pPr>
                              <w:pStyle w:val="54"/>
                              <w:spacing w:before="0" w:line="240" w:lineRule="atLeast"/>
                              <w:rPr>
                                <w:rFonts w:hint="eastAsia" w:ascii="黑体" w:hAnsi="黑体" w:eastAsia="黑体" w:cs="黑体"/>
                                <w:szCs w:val="28"/>
                                <w:lang w:eastAsia="zh-CN"/>
                              </w:rPr>
                            </w:pPr>
                            <w:r>
                              <w:rPr>
                                <w:rFonts w:hint="eastAsia" w:ascii="黑体" w:hAnsi="黑体" w:eastAsia="黑体" w:cs="黑体"/>
                                <w:szCs w:val="28"/>
                                <w:lang w:eastAsia="zh-CN"/>
                              </w:rPr>
                              <w:t>（</w:t>
                            </w:r>
                            <w:r>
                              <w:rPr>
                                <w:rFonts w:hint="eastAsia" w:ascii="黑体" w:hAnsi="黑体" w:eastAsia="黑体" w:cs="黑体"/>
                                <w:szCs w:val="28"/>
                                <w:lang w:val="en-US" w:eastAsia="zh-CN"/>
                              </w:rPr>
                              <w:t>送审稿</w:t>
                            </w:r>
                            <w:r>
                              <w:rPr>
                                <w:rFonts w:hint="eastAsia" w:ascii="黑体" w:hAnsi="黑体" w:eastAsia="黑体" w:cs="黑体"/>
                                <w:szCs w:val="28"/>
                                <w:lang w:eastAsia="zh-CN"/>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ascii="黑体" w:hAnsi="黑体" w:eastAsia="黑体" w:cs="Times New Roman"/>
                          <w:sz w:val="52"/>
                        </w:rPr>
                      </w:pPr>
                    </w:p>
                    <w:p>
                      <w:pPr>
                        <w:pStyle w:val="54"/>
                        <w:spacing w:before="0" w:line="240" w:lineRule="atLeast"/>
                        <w:rPr>
                          <w:rFonts w:hint="eastAsia" w:eastAsia="黑体"/>
                          <w:szCs w:val="28"/>
                          <w:lang w:val="en-US" w:eastAsia="zh-CN"/>
                        </w:rPr>
                      </w:pPr>
                      <w:r>
                        <w:rPr>
                          <w:rFonts w:hint="eastAsia" w:ascii="黑体" w:hAnsi="黑体" w:eastAsia="黑体"/>
                          <w:sz w:val="52"/>
                        </w:rPr>
                        <w:t>粗</w:t>
                      </w:r>
                      <w:r>
                        <w:rPr>
                          <w:rFonts w:hint="eastAsia" w:ascii="黑体" w:hAnsi="黑体" w:eastAsia="黑体"/>
                          <w:sz w:val="52"/>
                          <w:lang w:val="en-US" w:eastAsia="zh-CN"/>
                        </w:rPr>
                        <w:t>硫化镍钴</w:t>
                      </w:r>
                    </w:p>
                    <w:p>
                      <w:pPr>
                        <w:pStyle w:val="54"/>
                        <w:spacing w:before="0" w:line="240" w:lineRule="atLeast"/>
                        <w:rPr>
                          <w:rFonts w:hint="eastAsia" w:ascii="黑体" w:hAnsi="黑体" w:eastAsia="黑体" w:cs="黑体"/>
                          <w:szCs w:val="28"/>
                        </w:rPr>
                      </w:pPr>
                      <w:r>
                        <w:rPr>
                          <w:rFonts w:hint="eastAsia" w:ascii="黑体" w:hAnsi="黑体" w:eastAsia="黑体" w:cs="黑体"/>
                          <w:szCs w:val="28"/>
                        </w:rPr>
                        <w:t>Crude nickel cobalt sulfide</w:t>
                      </w:r>
                    </w:p>
                    <w:p>
                      <w:pPr>
                        <w:pStyle w:val="54"/>
                        <w:spacing w:before="0" w:line="240" w:lineRule="atLeast"/>
                        <w:rPr>
                          <w:rFonts w:hint="eastAsia" w:ascii="黑体" w:hAnsi="黑体" w:eastAsia="黑体" w:cs="黑体"/>
                          <w:szCs w:val="28"/>
                          <w:lang w:eastAsia="zh-CN"/>
                        </w:rPr>
                      </w:pPr>
                      <w:r>
                        <w:rPr>
                          <w:rFonts w:hint="eastAsia" w:ascii="黑体" w:hAnsi="黑体" w:eastAsia="黑体" w:cs="黑体"/>
                          <w:szCs w:val="28"/>
                          <w:lang w:eastAsia="zh-CN"/>
                        </w:rPr>
                        <w:t>（</w:t>
                      </w:r>
                      <w:r>
                        <w:rPr>
                          <w:rFonts w:hint="eastAsia" w:ascii="黑体" w:hAnsi="黑体" w:eastAsia="黑体" w:cs="黑体"/>
                          <w:szCs w:val="28"/>
                          <w:lang w:val="en-US" w:eastAsia="zh-CN"/>
                        </w:rPr>
                        <w:t>送审稿</w:t>
                      </w:r>
                      <w:r>
                        <w:rPr>
                          <w:rFonts w:hint="eastAsia" w:ascii="黑体" w:hAnsi="黑体" w:eastAsia="黑体" w:cs="黑体"/>
                          <w:szCs w:val="28"/>
                          <w:lang w:eastAsia="zh-CN"/>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5"/>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XXXX—</w:t>
                            </w:r>
                            <w:r>
                              <w:t>20</w:t>
                            </w:r>
                            <w:bookmarkEnd w:id="7"/>
                            <w:bookmarkEnd w:id="8"/>
                            <w:r>
                              <w:rPr>
                                <w:rFonts w:hint="eastAsia"/>
                              </w:rPr>
                              <w:t>XX</w:t>
                            </w:r>
                          </w:p>
                          <w:p>
                            <w:pPr>
                              <w:pStyle w:val="55"/>
                              <w:spacing w:before="0" w:beforeAutospacing="0" w:after="0" w:afterAutospacing="0"/>
                              <w:rPr>
                                <w:rFonts w:eastAsia="黑体"/>
                              </w:rPr>
                            </w:pPr>
                          </w:p>
                          <w:p>
                            <w:pPr>
                              <w:pStyle w:val="55"/>
                              <w:rPr>
                                <w:rFonts w:eastAsia="黑体"/>
                              </w:rPr>
                            </w:pPr>
                          </w:p>
                          <w:p>
                            <w:pPr>
                              <w:pStyle w:val="55"/>
                              <w:rPr>
                                <w:rFonts w:eastAsia="黑体"/>
                              </w:rPr>
                            </w:pPr>
                          </w:p>
                          <w:p>
                            <w:pPr>
                              <w:pStyle w:val="55"/>
                              <w:rPr>
                                <w:rFonts w:eastAsia="黑体"/>
                              </w:rPr>
                            </w:pPr>
                          </w:p>
                          <w:p>
                            <w:pPr>
                              <w:pStyle w:val="55"/>
                              <w:rPr>
                                <w:rFonts w:eastAsia="黑体"/>
                              </w:rPr>
                            </w:pPr>
                            <w:r>
                              <w:rPr>
                                <w:rFonts w:eastAsia="黑体"/>
                              </w:rPr>
                              <w:t xml:space="preserve">    </w:t>
                            </w:r>
                          </w:p>
                          <w:p>
                            <w:pPr>
                              <w:pStyle w:val="55"/>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pPr>
                        <w:pStyle w:val="55"/>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XXXX—</w:t>
                      </w:r>
                      <w:r>
                        <w:t>20</w:t>
                      </w:r>
                      <w:bookmarkEnd w:id="7"/>
                      <w:bookmarkEnd w:id="8"/>
                      <w:r>
                        <w:rPr>
                          <w:rFonts w:hint="eastAsia"/>
                        </w:rPr>
                        <w:t>XX</w:t>
                      </w:r>
                    </w:p>
                    <w:p>
                      <w:pPr>
                        <w:pStyle w:val="55"/>
                        <w:spacing w:before="0" w:beforeAutospacing="0" w:after="0" w:afterAutospacing="0"/>
                        <w:rPr>
                          <w:rFonts w:eastAsia="黑体"/>
                        </w:rPr>
                      </w:pPr>
                    </w:p>
                    <w:p>
                      <w:pPr>
                        <w:pStyle w:val="55"/>
                        <w:rPr>
                          <w:rFonts w:eastAsia="黑体"/>
                        </w:rPr>
                      </w:pPr>
                    </w:p>
                    <w:p>
                      <w:pPr>
                        <w:pStyle w:val="55"/>
                        <w:rPr>
                          <w:rFonts w:eastAsia="黑体"/>
                        </w:rPr>
                      </w:pPr>
                    </w:p>
                    <w:p>
                      <w:pPr>
                        <w:pStyle w:val="55"/>
                        <w:rPr>
                          <w:rFonts w:eastAsia="黑体"/>
                        </w:rPr>
                      </w:pPr>
                    </w:p>
                    <w:p>
                      <w:pPr>
                        <w:pStyle w:val="55"/>
                        <w:rPr>
                          <w:rFonts w:eastAsia="黑体"/>
                        </w:rPr>
                      </w:pPr>
                      <w:r>
                        <w:rPr>
                          <w:rFonts w:eastAsia="黑体"/>
                        </w:rPr>
                        <w:t xml:space="preserve">    </w:t>
                      </w:r>
                    </w:p>
                    <w:p>
                      <w:pPr>
                        <w:pStyle w:val="55"/>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hint="default" w:ascii="黑体" w:hAnsi="黑体" w:eastAsia="黑体" w:cs="黑体"/>
                              </w:rPr>
                            </w:pPr>
                            <w:r>
                              <w:rPr>
                                <w:rFonts w:hint="eastAsia" w:ascii="黑体" w:hAnsi="黑体" w:eastAsia="黑体" w:cs="黑体"/>
                              </w:rPr>
                              <w:t>ICS 77.120.</w:t>
                            </w:r>
                            <w:r>
                              <w:rPr>
                                <w:rFonts w:hint="eastAsia" w:ascii="黑体" w:hAnsi="黑体" w:eastAsia="黑体" w:cs="黑体"/>
                                <w:lang w:eastAsia="zh-CN"/>
                              </w:rPr>
                              <w:t>4</w:t>
                            </w:r>
                            <w:r>
                              <w:rPr>
                                <w:rFonts w:hint="eastAsia" w:ascii="黑体" w:hAnsi="黑体" w:eastAsia="黑体" w:cs="黑体"/>
                                <w:lang w:val="en-US" w:eastAsia="zh-CN"/>
                              </w:rPr>
                              <w:t>0</w:t>
                            </w:r>
                          </w:p>
                          <w:p>
                            <w:pPr>
                              <w:rPr>
                                <w:rFonts w:hint="eastAsia" w:ascii="黑体" w:hAnsi="黑体" w:eastAsia="黑体" w:cs="黑体"/>
                              </w:rPr>
                            </w:pPr>
                            <w:r>
                              <w:rPr>
                                <w:rFonts w:hint="eastAsia" w:ascii="黑体" w:hAnsi="黑体" w:eastAsia="黑体" w:cs="黑体"/>
                                <w:szCs w:val="21"/>
                              </w:rPr>
                              <w:t xml:space="preserve">CCS </w:t>
                            </w:r>
                            <w:r>
                              <w:rPr>
                                <w:rFonts w:hint="eastAsia" w:ascii="黑体" w:hAnsi="黑体" w:eastAsia="黑体" w:cs="黑体"/>
                              </w:rPr>
                              <w:t>H 6</w:t>
                            </w:r>
                            <w:r>
                              <w:rPr>
                                <w:rFonts w:hint="eastAsia" w:ascii="黑体" w:hAnsi="黑体" w:eastAsia="黑体" w:cs="黑体"/>
                                <w:lang w:eastAsia="zh-CN"/>
                              </w:rPr>
                              <w:t>2</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pPr>
                        <w:rPr>
                          <w:rFonts w:hint="default" w:ascii="黑体" w:hAnsi="黑体" w:eastAsia="黑体" w:cs="黑体"/>
                        </w:rPr>
                      </w:pPr>
                      <w:r>
                        <w:rPr>
                          <w:rFonts w:hint="eastAsia" w:ascii="黑体" w:hAnsi="黑体" w:eastAsia="黑体" w:cs="黑体"/>
                        </w:rPr>
                        <w:t>ICS 77.120.</w:t>
                      </w:r>
                      <w:r>
                        <w:rPr>
                          <w:rFonts w:hint="eastAsia" w:ascii="黑体" w:hAnsi="黑体" w:eastAsia="黑体" w:cs="黑体"/>
                          <w:lang w:eastAsia="zh-CN"/>
                        </w:rPr>
                        <w:t>4</w:t>
                      </w:r>
                      <w:r>
                        <w:rPr>
                          <w:rFonts w:hint="eastAsia" w:ascii="黑体" w:hAnsi="黑体" w:eastAsia="黑体" w:cs="黑体"/>
                          <w:lang w:val="en-US" w:eastAsia="zh-CN"/>
                        </w:rPr>
                        <w:t>0</w:t>
                      </w:r>
                    </w:p>
                    <w:p>
                      <w:pPr>
                        <w:rPr>
                          <w:rFonts w:hint="eastAsia" w:ascii="黑体" w:hAnsi="黑体" w:eastAsia="黑体" w:cs="黑体"/>
                        </w:rPr>
                      </w:pPr>
                      <w:r>
                        <w:rPr>
                          <w:rFonts w:hint="eastAsia" w:ascii="黑体" w:hAnsi="黑体" w:eastAsia="黑体" w:cs="黑体"/>
                          <w:szCs w:val="21"/>
                        </w:rPr>
                        <w:t xml:space="preserve">CCS </w:t>
                      </w:r>
                      <w:r>
                        <w:rPr>
                          <w:rFonts w:hint="eastAsia" w:ascii="黑体" w:hAnsi="黑体" w:eastAsia="黑体" w:cs="黑体"/>
                        </w:rPr>
                        <w:t>H 6</w:t>
                      </w:r>
                      <w:r>
                        <w:rPr>
                          <w:rFonts w:hint="eastAsia" w:ascii="黑体" w:hAnsi="黑体" w:eastAsia="黑体" w:cs="黑体"/>
                          <w:lang w:eastAsia="zh-CN"/>
                        </w:rPr>
                        <w:t>2</w:t>
                      </w:r>
                    </w:p>
                  </w:txbxContent>
                </v:textbox>
                <w10:anchorlock/>
              </v:shape>
            </w:pict>
          </mc:Fallback>
        </mc:AlternateContent>
      </w:r>
      <w:r>
        <w:t>T</w:t>
      </w:r>
    </w:p>
    <w:p>
      <w:pPr>
        <w:pStyle w:val="57"/>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393065</wp:posOffset>
                </wp:positionH>
                <wp:positionV relativeFrom="paragraph">
                  <wp:posOffset>7576820</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7"/>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0.95pt;margin-top:596.6pt;height:34.7pt;width:397.45pt;z-index:251668480;mso-width-relative:page;mso-height-relative:page;" fillcolor="#FFFFFF" filled="t" stroked="t" coordsize="21600,21600" o:gfxdata="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fpDY9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pPr>
                        <w:pStyle w:val="57"/>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7506970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2.25pt;margin-top:591.1pt;height:0.05pt;width:482pt;z-index:251666432;mso-width-relative:page;mso-height-relative:page;" filled="f" stroked="t" coordsize="21600,21600" o:gfxdata="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HLgi1wAAAAwBAAAP&#10;AAAAAAAAAAEAIAAAACIAAABkcnMvZG93bnJldi54bWxQSwECFAAUAAAACACHTuJAsEO4t+ABAADS&#10;AwAADgAAAAAAAAABACAAAAAmAQAAZHJzL2Uyb0RvYy54bWxQSwUGAAAAAAYABgBZAQAAe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883285</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69.55pt;height:0.05pt;width:482pt;z-index:251665408;mso-width-relative:page;mso-height-relative:page;" filled="f" stroked="t" coordsize="21600,21600" o:gfxdata="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T/KT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p>
    <w:bookmarkEnd w:id="0"/>
    <w:p>
      <w:pPr>
        <w:pStyle w:val="31"/>
        <w:keepNext w:val="0"/>
        <w:keepLines w:val="0"/>
        <w:pageBreakBefore w:val="0"/>
        <w:widowControl/>
        <w:kinsoku/>
        <w:wordWrap/>
        <w:overflowPunct/>
        <w:topLinePunct w:val="0"/>
        <w:autoSpaceDE w:val="0"/>
        <w:autoSpaceDN w:val="0"/>
        <w:bidi w:val="0"/>
        <w:adjustRightInd/>
        <w:snapToGrid/>
        <w:spacing w:before="640" w:after="560"/>
        <w:ind w:firstLine="0" w:firstLineChars="0"/>
        <w:jc w:val="center"/>
        <w:textAlignment w:val="auto"/>
        <w:rPr>
          <w:rFonts w:ascii="Times New Roman"/>
          <w:szCs w:val="21"/>
        </w:rPr>
      </w:pPr>
      <w:bookmarkStart w:id="1" w:name="SectionMark2"/>
      <w:r>
        <w:rPr>
          <w:rFonts w:ascii="Times New Roman" w:eastAsia="黑体"/>
          <w:sz w:val="32"/>
          <w:szCs w:val="32"/>
        </w:rPr>
        <w:t>前  言</w:t>
      </w:r>
    </w:p>
    <w:p>
      <w:pPr>
        <w:ind w:firstLine="420" w:firstLineChars="200"/>
        <w:rPr>
          <w:szCs w:val="21"/>
          <w:highlight w:val="none"/>
        </w:rPr>
      </w:pPr>
      <w:r>
        <w:rPr>
          <w:szCs w:val="21"/>
          <w:highlight w:val="none"/>
        </w:rPr>
        <w:t>本文件按照GB/T 1.1</w:t>
      </w:r>
      <w:r>
        <w:rPr>
          <w:rFonts w:hint="eastAsia"/>
          <w:szCs w:val="21"/>
          <w:highlight w:val="none"/>
          <w:lang w:eastAsia="zh-CN"/>
        </w:rPr>
        <w:t>—</w:t>
      </w:r>
      <w:r>
        <w:rPr>
          <w:szCs w:val="21"/>
          <w:highlight w:val="none"/>
        </w:rPr>
        <w:t>2020《标准化工作导则 第1部分：标准化文件的结构和起草规则》</w:t>
      </w:r>
      <w:r>
        <w:rPr>
          <w:rFonts w:hint="eastAsia"/>
          <w:szCs w:val="21"/>
          <w:highlight w:val="none"/>
        </w:rPr>
        <w:t>给出</w:t>
      </w:r>
      <w:r>
        <w:rPr>
          <w:szCs w:val="21"/>
          <w:highlight w:val="none"/>
        </w:rPr>
        <w:t>的规</w:t>
      </w:r>
      <w:r>
        <w:rPr>
          <w:rFonts w:hint="eastAsia"/>
          <w:szCs w:val="21"/>
          <w:highlight w:val="none"/>
          <w:lang w:val="en-US" w:eastAsia="zh-CN"/>
        </w:rPr>
        <w:t>定</w:t>
      </w:r>
      <w:r>
        <w:rPr>
          <w:szCs w:val="21"/>
          <w:highlight w:val="none"/>
        </w:rPr>
        <w:t>起草。</w:t>
      </w:r>
    </w:p>
    <w:p>
      <w:pPr>
        <w:pStyle w:val="31"/>
        <w:ind w:firstLine="420"/>
        <w:rPr>
          <w:rFonts w:ascii="Times New Roman"/>
          <w:kern w:val="2"/>
          <w:szCs w:val="24"/>
          <w:highlight w:val="none"/>
        </w:rPr>
      </w:pPr>
      <w:r>
        <w:rPr>
          <w:rFonts w:ascii="Times New Roman"/>
          <w:kern w:val="2"/>
          <w:szCs w:val="24"/>
          <w:highlight w:val="none"/>
        </w:rPr>
        <w:t>请注意本文件的某些内容可能涉及专利。本文件的发布机构不承担识别专利的责任。</w:t>
      </w:r>
    </w:p>
    <w:p>
      <w:pPr>
        <w:pStyle w:val="31"/>
        <w:ind w:firstLine="420"/>
        <w:rPr>
          <w:rFonts w:ascii="Times New Roman"/>
          <w:highlight w:val="none"/>
        </w:rPr>
      </w:pPr>
      <w:r>
        <w:rPr>
          <w:rFonts w:ascii="Times New Roman"/>
          <w:highlight w:val="none"/>
        </w:rPr>
        <w:t>本</w:t>
      </w:r>
      <w:r>
        <w:rPr>
          <w:rFonts w:ascii="Times New Roman"/>
          <w:szCs w:val="21"/>
          <w:highlight w:val="none"/>
        </w:rPr>
        <w:t>文件</w:t>
      </w:r>
      <w:r>
        <w:rPr>
          <w:rFonts w:ascii="Times New Roman"/>
          <w:highlight w:val="none"/>
        </w:rPr>
        <w:t>由全国有色金属标准化技术委员会（SAC/TC243）</w:t>
      </w:r>
      <w:r>
        <w:rPr>
          <w:rFonts w:hint="eastAsia" w:ascii="Times New Roman"/>
          <w:highlight w:val="none"/>
        </w:rPr>
        <w:t>提出并</w:t>
      </w:r>
      <w:r>
        <w:rPr>
          <w:rFonts w:ascii="Times New Roman"/>
          <w:highlight w:val="none"/>
        </w:rPr>
        <w:t>归口。</w:t>
      </w:r>
    </w:p>
    <w:p>
      <w:pPr>
        <w:pStyle w:val="31"/>
        <w:ind w:firstLine="420"/>
        <w:rPr>
          <w:rFonts w:ascii="Times New Roman"/>
          <w:kern w:val="2"/>
          <w:szCs w:val="24"/>
          <w:highlight w:val="none"/>
        </w:rPr>
      </w:pPr>
      <w:r>
        <w:rPr>
          <w:rFonts w:ascii="Times New Roman"/>
          <w:kern w:val="2"/>
          <w:szCs w:val="24"/>
          <w:highlight w:val="none"/>
        </w:rPr>
        <w:t>本文件起草单位：衢州华友钴新材料有限公司、</w:t>
      </w:r>
      <w:r>
        <w:rPr>
          <w:rFonts w:hint="eastAsia" w:ascii="Times New Roman"/>
          <w:kern w:val="2"/>
          <w:szCs w:val="24"/>
          <w:highlight w:val="none"/>
        </w:rPr>
        <w:t>格林美股份有限公司</w:t>
      </w:r>
      <w:r>
        <w:rPr>
          <w:rFonts w:hint="eastAsia" w:ascii="Times New Roman"/>
          <w:kern w:val="2"/>
          <w:szCs w:val="24"/>
          <w:highlight w:val="none"/>
          <w:lang w:eastAsia="zh-CN"/>
        </w:rPr>
        <w:t>、</w:t>
      </w:r>
      <w:r>
        <w:rPr>
          <w:rFonts w:hint="eastAsia" w:ascii="Times New Roman"/>
          <w:kern w:val="2"/>
          <w:szCs w:val="24"/>
          <w:highlight w:val="none"/>
        </w:rPr>
        <w:t>北方矿业有限责任公司、广东邦普循环科技有限公司、</w:t>
      </w:r>
      <w:r>
        <w:rPr>
          <w:rFonts w:hint="eastAsia" w:ascii="Times New Roman" w:hAnsi="Times New Roman" w:eastAsia="宋体" w:cs="Times New Roman"/>
          <w:kern w:val="2"/>
          <w:sz w:val="21"/>
          <w:szCs w:val="24"/>
          <w:highlight w:val="none"/>
        </w:rPr>
        <w:t>深圳海关工业品检测技术中心</w:t>
      </w:r>
      <w:r>
        <w:rPr>
          <w:rFonts w:hint="eastAsia" w:ascii="Times New Roman" w:cs="Times New Roman"/>
          <w:kern w:val="2"/>
          <w:sz w:val="21"/>
          <w:szCs w:val="24"/>
          <w:highlight w:val="none"/>
          <w:lang w:eastAsia="zh-CN"/>
        </w:rPr>
        <w:t>、</w:t>
      </w:r>
      <w:r>
        <w:rPr>
          <w:rFonts w:hint="eastAsia" w:ascii="Times New Roman"/>
          <w:kern w:val="2"/>
          <w:szCs w:val="24"/>
          <w:highlight w:val="none"/>
          <w:lang w:val="en-US" w:eastAsia="zh-CN"/>
        </w:rPr>
        <w:t>浙江华友钴业股份有限公司、</w:t>
      </w:r>
      <w:r>
        <w:rPr>
          <w:rFonts w:hint="eastAsia" w:ascii="Times New Roman"/>
          <w:kern w:val="2"/>
          <w:szCs w:val="24"/>
          <w:highlight w:val="none"/>
        </w:rPr>
        <w:t>长沙矿冶研究院有限责任公司</w:t>
      </w:r>
      <w:r>
        <w:rPr>
          <w:rFonts w:hint="eastAsia" w:ascii="Times New Roman"/>
          <w:kern w:val="2"/>
          <w:szCs w:val="24"/>
          <w:highlight w:val="none"/>
        </w:rPr>
        <w:t>。</w:t>
      </w:r>
    </w:p>
    <w:p>
      <w:pPr>
        <w:ind w:firstLine="420" w:firstLineChars="200"/>
        <w:rPr>
          <w:rFonts w:hint="default" w:eastAsia="宋体"/>
          <w:szCs w:val="21"/>
          <w:highlight w:val="none"/>
          <w:lang w:val="en-US" w:eastAsia="zh-CN"/>
        </w:rPr>
        <w:sectPr>
          <w:footerReference r:id="rId9" w:type="default"/>
          <w:pgSz w:w="11907" w:h="16839"/>
          <w:pgMar w:top="1418" w:right="1134" w:bottom="1134" w:left="1418" w:header="1418" w:footer="851" w:gutter="0"/>
          <w:cols w:space="720" w:num="1"/>
          <w:docGrid w:type="lines" w:linePitch="312" w:charSpace="0"/>
        </w:sectPr>
      </w:pPr>
      <w:r>
        <w:rPr>
          <w:szCs w:val="21"/>
          <w:highlight w:val="none"/>
        </w:rPr>
        <w:t>本文件主要起草人：</w:t>
      </w:r>
      <w:bookmarkEnd w:id="1"/>
      <w:bookmarkStart w:id="2" w:name="SectionMark4"/>
      <w:r>
        <w:rPr>
          <w:rFonts w:hint="eastAsia"/>
          <w:szCs w:val="21"/>
          <w:highlight w:val="none"/>
          <w:lang w:val="en-US" w:eastAsia="zh-CN"/>
        </w:rPr>
        <w:t>陈婷、刘永东、谢柏华、魏琼、彭亚光、梁新星、李相良、</w:t>
      </w:r>
      <w:r>
        <w:rPr>
          <w:rFonts w:hint="eastAsia" w:ascii="Times New Roman" w:hAnsi="Times New Roman" w:eastAsia="宋体" w:cs="Times New Roman"/>
          <w:sz w:val="21"/>
          <w:szCs w:val="21"/>
          <w:highlight w:val="none"/>
        </w:rPr>
        <w:t>刘志鹏</w:t>
      </w:r>
      <w:r>
        <w:rPr>
          <w:rFonts w:hint="eastAsia" w:cs="Times New Roman"/>
          <w:sz w:val="21"/>
          <w:szCs w:val="21"/>
          <w:highlight w:val="none"/>
          <w:lang w:eastAsia="zh-CN"/>
        </w:rPr>
        <w:t>、</w:t>
      </w:r>
      <w:r>
        <w:rPr>
          <w:rFonts w:hint="eastAsia" w:ascii="Times New Roman" w:hAnsi="Times New Roman" w:eastAsia="宋体" w:cs="Times New Roman"/>
          <w:sz w:val="21"/>
          <w:szCs w:val="21"/>
          <w:highlight w:val="none"/>
        </w:rPr>
        <w:t>梁裕铿</w:t>
      </w:r>
      <w:r>
        <w:rPr>
          <w:rFonts w:hint="eastAsia" w:ascii="Times New Roman" w:hAnsi="Times New Roman" w:eastAsia="宋体" w:cs="Times New Roman"/>
          <w:sz w:val="21"/>
          <w:szCs w:val="21"/>
          <w:highlight w:val="none"/>
          <w:lang w:eastAsia="zh-CN"/>
        </w:rPr>
        <w:t>、</w:t>
      </w:r>
      <w:r>
        <w:rPr>
          <w:rFonts w:hint="eastAsia"/>
          <w:szCs w:val="21"/>
          <w:highlight w:val="none"/>
          <w:lang w:val="en-US" w:eastAsia="zh-CN"/>
        </w:rPr>
        <w:t>余淑媛、冯均利、徐建青、肇巍、万洪强、李静、华文超、雷延桂、郑泽瀚、方华雄、李进</w:t>
      </w:r>
    </w:p>
    <w:p>
      <w:pPr>
        <w:pStyle w:val="44"/>
        <w:spacing w:line="240" w:lineRule="auto"/>
        <w:rPr>
          <w:rFonts w:hint="eastAsia" w:ascii="Times New Roman" w:eastAsia="黑体"/>
          <w:lang w:eastAsia="zh-CN"/>
        </w:rPr>
      </w:pPr>
      <w:bookmarkStart w:id="3" w:name="_Toc55210702"/>
      <w:bookmarkStart w:id="4" w:name="_Toc65050653"/>
      <w:r>
        <w:rPr>
          <w:rFonts w:hint="eastAsia" w:ascii="Times New Roman"/>
        </w:rPr>
        <w:t>粗</w:t>
      </w:r>
      <w:r>
        <w:rPr>
          <w:rFonts w:hint="eastAsia" w:ascii="Times New Roman"/>
          <w:lang w:val="en-US" w:eastAsia="zh-CN"/>
        </w:rPr>
        <w:t>硫化镍钴</w:t>
      </w:r>
    </w:p>
    <w:p>
      <w:pPr>
        <w:pStyle w:val="41"/>
        <w:spacing w:before="312" w:beforeLines="100" w:after="312" w:afterLines="100"/>
        <w:rPr>
          <w:rFonts w:ascii="Times New Roman"/>
        </w:rPr>
      </w:pPr>
      <w:r>
        <w:rPr>
          <w:rFonts w:hint="eastAsia" w:hAnsi="黑体" w:cs="黑体"/>
          <w:bCs/>
        </w:rPr>
        <w:t xml:space="preserve">1  </w:t>
      </w:r>
      <w:r>
        <w:rPr>
          <w:rFonts w:hint="eastAsia" w:hAnsi="黑体" w:cs="黑体"/>
        </w:rPr>
        <w:t>范围</w:t>
      </w:r>
      <w:bookmarkEnd w:id="3"/>
      <w:bookmarkEnd w:id="4"/>
    </w:p>
    <w:p>
      <w:pPr>
        <w:spacing w:line="240" w:lineRule="auto"/>
        <w:ind w:firstLine="420"/>
        <w:rPr>
          <w:rFonts w:hint="eastAsia"/>
          <w:szCs w:val="22"/>
        </w:rPr>
      </w:pPr>
      <w:r>
        <w:rPr>
          <w:rFonts w:hint="eastAsia"/>
          <w:szCs w:val="22"/>
        </w:rPr>
        <w:t>本文件规定了粗</w:t>
      </w:r>
      <w:r>
        <w:rPr>
          <w:rFonts w:hint="eastAsia"/>
          <w:szCs w:val="22"/>
          <w:lang w:val="en-US" w:eastAsia="zh-CN"/>
        </w:rPr>
        <w:t>硫化镍钴</w:t>
      </w:r>
      <w:r>
        <w:rPr>
          <w:rFonts w:hint="eastAsia"/>
          <w:szCs w:val="22"/>
        </w:rPr>
        <w:t>的技术要求、试验方法、检验规则、标志、包装、运输、贮存、随行文件及订货单内容。</w:t>
      </w:r>
    </w:p>
    <w:p>
      <w:pPr>
        <w:spacing w:line="240" w:lineRule="auto"/>
        <w:ind w:firstLine="420"/>
        <w:rPr>
          <w:rFonts w:hint="eastAsia"/>
          <w:szCs w:val="22"/>
          <w:highlight w:val="yellow"/>
        </w:rPr>
      </w:pPr>
      <w:r>
        <w:rPr>
          <w:rFonts w:hint="eastAsia"/>
          <w:szCs w:val="22"/>
        </w:rPr>
        <w:t>本文件适用于</w:t>
      </w:r>
      <w:r>
        <w:rPr>
          <w:rFonts w:hint="eastAsia"/>
        </w:rPr>
        <w:t>红土镍矿、废锂离子电池料</w:t>
      </w:r>
      <w:r>
        <w:rPr>
          <w:rFonts w:hint="eastAsia"/>
          <w:lang w:val="en-US" w:eastAsia="zh-CN"/>
        </w:rPr>
        <w:t>等</w:t>
      </w:r>
      <w:r>
        <w:rPr>
          <w:rFonts w:hint="eastAsia"/>
        </w:rPr>
        <w:t>含</w:t>
      </w:r>
      <w:r>
        <w:rPr>
          <w:rFonts w:hint="eastAsia"/>
          <w:lang w:val="en-US" w:eastAsia="zh-CN"/>
        </w:rPr>
        <w:t>镍钴物</w:t>
      </w:r>
      <w:r>
        <w:rPr>
          <w:rFonts w:hint="eastAsia"/>
        </w:rPr>
        <w:t>料</w:t>
      </w:r>
      <w:r>
        <w:rPr>
          <w:rFonts w:hint="eastAsia"/>
          <w:szCs w:val="22"/>
        </w:rPr>
        <w:t>经酸浸、</w:t>
      </w:r>
      <w:r>
        <w:rPr>
          <w:rFonts w:hint="eastAsia"/>
          <w:szCs w:val="22"/>
          <w:lang w:val="en-US" w:eastAsia="zh-CN"/>
        </w:rPr>
        <w:t>硫化</w:t>
      </w:r>
      <w:r>
        <w:rPr>
          <w:rFonts w:hint="eastAsia"/>
          <w:szCs w:val="22"/>
        </w:rPr>
        <w:t>沉淀等湿法工艺处理后得到的粗</w:t>
      </w:r>
      <w:r>
        <w:rPr>
          <w:rFonts w:hint="eastAsia"/>
          <w:szCs w:val="22"/>
          <w:lang w:val="en-US" w:eastAsia="zh-CN"/>
        </w:rPr>
        <w:t>硫化镍钴</w:t>
      </w:r>
      <w:r>
        <w:rPr>
          <w:rFonts w:hint="eastAsia"/>
          <w:szCs w:val="22"/>
        </w:rPr>
        <w:t>，也适用于镍钴湿法冶炼过程中产生的含镍钴废液经处理后得到的粗</w:t>
      </w:r>
      <w:r>
        <w:rPr>
          <w:rFonts w:hint="eastAsia"/>
          <w:szCs w:val="22"/>
          <w:lang w:val="en-US" w:eastAsia="zh-CN"/>
        </w:rPr>
        <w:t>硫化镍钴</w:t>
      </w:r>
      <w:r>
        <w:rPr>
          <w:rFonts w:hint="eastAsia"/>
          <w:szCs w:val="22"/>
        </w:rPr>
        <w:t>。</w:t>
      </w:r>
    </w:p>
    <w:p>
      <w:pPr>
        <w:spacing w:before="313" w:beforeLines="100" w:after="313" w:afterLines="100" w:line="240" w:lineRule="auto"/>
        <w:ind w:firstLine="0"/>
        <w:rPr>
          <w:rFonts w:ascii="黑体" w:hAnsi="黑体" w:eastAsia="黑体" w:cs="黑体"/>
          <w:bCs/>
        </w:rPr>
      </w:pPr>
      <w:r>
        <w:rPr>
          <w:rFonts w:hint="eastAsia" w:ascii="黑体" w:hAnsi="黑体" w:eastAsia="黑体" w:cs="黑体"/>
          <w:bCs/>
        </w:rPr>
        <w:t>2  规范性引用文件</w:t>
      </w:r>
    </w:p>
    <w:p>
      <w:pPr>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hint="default" w:eastAsiaTheme="minorEastAsia"/>
          <w:szCs w:val="22"/>
        </w:rPr>
      </w:pPr>
      <w:r>
        <w:rPr>
          <w:rFonts w:eastAsiaTheme="minorEastAsia"/>
          <w:szCs w:val="22"/>
        </w:rPr>
        <w:t xml:space="preserve">GB/T 8170 </w:t>
      </w:r>
      <w:r>
        <w:rPr>
          <w:rFonts w:hint="default" w:eastAsiaTheme="minorEastAsia"/>
          <w:szCs w:val="22"/>
        </w:rPr>
        <w:t xml:space="preserve"> 数值修约规则与极限数值的表示和判定</w:t>
      </w:r>
    </w:p>
    <w:p>
      <w:pPr>
        <w:ind w:firstLine="420"/>
        <w:rPr>
          <w:rFonts w:hint="default" w:eastAsiaTheme="minorEastAsia"/>
          <w:szCs w:val="22"/>
          <w:highlight w:val="none"/>
        </w:rPr>
      </w:pPr>
      <w:r>
        <w:rPr>
          <w:rFonts w:hint="default" w:eastAsiaTheme="minorEastAsia"/>
          <w:szCs w:val="22"/>
          <w:highlight w:val="none"/>
        </w:rPr>
        <w:t>YS/T 252.5</w:t>
      </w:r>
      <w:r>
        <w:rPr>
          <w:rFonts w:hint="eastAsia" w:ascii="Times New Roman" w:hAnsi="Times New Roman" w:cs="Times New Roman" w:eastAsiaTheme="minorEastAsia"/>
          <w:szCs w:val="22"/>
          <w:highlight w:val="none"/>
          <w:lang w:eastAsia="zh-CN"/>
        </w:rPr>
        <w:t xml:space="preserve"> </w:t>
      </w:r>
      <w:r>
        <w:rPr>
          <w:rFonts w:hint="eastAsia" w:ascii="Times New Roman" w:hAnsi="Times New Roman" w:cs="Times New Roman" w:eastAsiaTheme="minorEastAsia"/>
          <w:szCs w:val="22"/>
          <w:highlight w:val="none"/>
          <w:lang w:val="en-US" w:eastAsia="zh-CN"/>
        </w:rPr>
        <w:t xml:space="preserve"> </w:t>
      </w:r>
      <w:r>
        <w:rPr>
          <w:rFonts w:hint="default" w:eastAsiaTheme="minorEastAsia"/>
          <w:szCs w:val="22"/>
          <w:highlight w:val="none"/>
        </w:rPr>
        <w:t>高镍锍化学分析方法  硫量的测定  燃烧－中和滴定法</w:t>
      </w:r>
    </w:p>
    <w:p>
      <w:pPr>
        <w:ind w:firstLine="420"/>
        <w:rPr>
          <w:rFonts w:eastAsiaTheme="minorEastAsia"/>
          <w:szCs w:val="22"/>
        </w:rPr>
      </w:pPr>
      <w:r>
        <w:rPr>
          <w:rFonts w:eastAsiaTheme="minorEastAsia"/>
          <w:szCs w:val="22"/>
        </w:rPr>
        <w:t>YS/T 122</w:t>
      </w:r>
      <w:r>
        <w:rPr>
          <w:rFonts w:hint="default" w:eastAsiaTheme="minorEastAsia"/>
          <w:szCs w:val="22"/>
        </w:rPr>
        <w:t>9.3  粗氢氧化镍化学分析方法  第3部分：铜、钴、锰、钙、镁、锌、铁、铝、铅、砷和镉量的测定  电感耦合等离子体原子发射光谱法</w:t>
      </w:r>
    </w:p>
    <w:p>
      <w:pPr>
        <w:pStyle w:val="2"/>
        <w:snapToGrid/>
        <w:ind w:firstLine="420" w:firstLineChars="200"/>
        <w:rPr>
          <w:rFonts w:ascii="Times New Roman" w:hAnsi="Times New Roman"/>
        </w:rPr>
      </w:pPr>
      <w:r>
        <w:rPr>
          <w:rFonts w:hint="default" w:ascii="Times New Roman" w:hAnsi="Times New Roman"/>
          <w:szCs w:val="22"/>
        </w:rPr>
        <w:t xml:space="preserve">YS/T 1229.4  粗氢氧化镍化学分析方法 </w:t>
      </w:r>
      <w:r>
        <w:rPr>
          <w:rFonts w:ascii="Times New Roman" w:hAnsi="Times New Roman"/>
          <w:szCs w:val="22"/>
        </w:rPr>
        <w:t xml:space="preserve"> </w:t>
      </w:r>
      <w:r>
        <w:rPr>
          <w:rFonts w:hint="default" w:ascii="Times New Roman" w:hAnsi="Times New Roman"/>
          <w:szCs w:val="22"/>
        </w:rPr>
        <w:t xml:space="preserve">第4部分：氯量的测定 </w:t>
      </w:r>
      <w:r>
        <w:rPr>
          <w:rFonts w:ascii="Times New Roman" w:hAnsi="Times New Roman"/>
          <w:szCs w:val="22"/>
        </w:rPr>
        <w:t xml:space="preserve"> </w:t>
      </w:r>
      <w:r>
        <w:rPr>
          <w:rFonts w:hint="default" w:ascii="Times New Roman" w:hAnsi="Times New Roman"/>
          <w:szCs w:val="22"/>
        </w:rPr>
        <w:t>比浊法</w:t>
      </w:r>
    </w:p>
    <w:p>
      <w:pPr>
        <w:ind w:firstLine="420"/>
        <w:rPr>
          <w:rFonts w:eastAsiaTheme="minorEastAsia"/>
          <w:szCs w:val="22"/>
        </w:rPr>
      </w:pPr>
      <w:r>
        <w:rPr>
          <w:rFonts w:hint="default" w:eastAsiaTheme="minorEastAsia"/>
          <w:szCs w:val="22"/>
        </w:rPr>
        <w:t>YS/T 1342.1  二次电池废料化学分析方法  第1部分：镍含量的测定  丁二酮肟重量法和火焰原子吸收光谱法</w:t>
      </w:r>
    </w:p>
    <w:p>
      <w:pPr>
        <w:ind w:firstLine="420"/>
        <w:rPr>
          <w:rFonts w:hint="default" w:eastAsiaTheme="minorEastAsia"/>
        </w:rPr>
      </w:pPr>
      <w:r>
        <w:rPr>
          <w:rFonts w:hint="default" w:eastAsiaTheme="minorEastAsia"/>
          <w:szCs w:val="22"/>
        </w:rPr>
        <w:t>YS/T 1342.2  二次电池废料化学分析方法  第2部分：钴含量的测定  电位滴定法和火焰原子吸收光谱法</w:t>
      </w:r>
    </w:p>
    <w:p>
      <w:pPr>
        <w:pStyle w:val="2"/>
        <w:snapToGrid/>
        <w:ind w:firstLine="420" w:firstLineChars="200"/>
        <w:rPr>
          <w:rFonts w:hint="default" w:ascii="Times New Roman" w:hAnsi="Times New Roman" w:eastAsiaTheme="minorEastAsia"/>
          <w:szCs w:val="22"/>
        </w:rPr>
      </w:pPr>
      <w:r>
        <w:rPr>
          <w:rFonts w:hint="default" w:ascii="Times New Roman" w:hAnsi="Times New Roman" w:eastAsiaTheme="minorEastAsia"/>
          <w:szCs w:val="22"/>
        </w:rPr>
        <w:t>YS/T XXX</w:t>
      </w:r>
      <w:r>
        <w:rPr>
          <w:rFonts w:hint="eastAsia" w:ascii="Times New Roman" w:hAnsi="Times New Roman" w:eastAsiaTheme="minorEastAsia"/>
          <w:szCs w:val="22"/>
          <w:lang w:val="en-US" w:eastAsia="zh-CN"/>
        </w:rPr>
        <w:t>X.2</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粗氢氧化镍钴化学分析方法  第2部分：铬、磷、锰含量的测定  电感耦合等离子体原子发射光谱法</w:t>
      </w:r>
    </w:p>
    <w:p>
      <w:pPr>
        <w:pStyle w:val="2"/>
        <w:snapToGrid/>
        <w:ind w:firstLine="420" w:firstLineChars="200"/>
        <w:rPr>
          <w:rFonts w:hint="default" w:ascii="Times New Roman" w:hAnsi="Times New Roman" w:eastAsiaTheme="minorEastAsia"/>
          <w:szCs w:val="22"/>
        </w:rPr>
      </w:pPr>
      <w:r>
        <w:rPr>
          <w:rFonts w:hint="default" w:ascii="Times New Roman" w:hAnsi="Times New Roman" w:eastAsiaTheme="minorEastAsia"/>
          <w:szCs w:val="22"/>
        </w:rPr>
        <w:t>YS/T XX</w:t>
      </w:r>
      <w:r>
        <w:rPr>
          <w:rFonts w:hint="default" w:ascii="Times New Roman" w:hAnsi="Times New Roman" w:eastAsiaTheme="minorEastAsia"/>
          <w:szCs w:val="22"/>
          <w:lang w:val="en-US" w:eastAsia="zh-CN"/>
        </w:rPr>
        <w:t>XX</w:t>
      </w:r>
      <w:r>
        <w:rPr>
          <w:rFonts w:hint="eastAsia" w:ascii="Times New Roman" w:hAnsi="Times New Roman" w:eastAsiaTheme="minorEastAsia"/>
          <w:szCs w:val="22"/>
          <w:lang w:val="en-US" w:eastAsia="zh-CN"/>
        </w:rPr>
        <w:t>.5</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粗氢氧化镍</w:t>
      </w:r>
      <w:r>
        <w:rPr>
          <w:rFonts w:hint="eastAsia" w:ascii="Times New Roman" w:hAnsi="Times New Roman" w:eastAsiaTheme="minorEastAsia"/>
          <w:szCs w:val="22"/>
          <w:lang w:val="en-US" w:eastAsia="zh-CN"/>
        </w:rPr>
        <w:t>钴</w:t>
      </w:r>
      <w:r>
        <w:rPr>
          <w:rFonts w:hint="default" w:ascii="Times New Roman" w:hAnsi="Times New Roman" w:eastAsiaTheme="minorEastAsia"/>
          <w:szCs w:val="22"/>
        </w:rPr>
        <w:t>化学分析方法</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 xml:space="preserve"> 第</w:t>
      </w:r>
      <w:r>
        <w:rPr>
          <w:rFonts w:hint="default" w:ascii="Times New Roman" w:hAnsi="Times New Roman" w:eastAsiaTheme="minorEastAsia"/>
          <w:szCs w:val="22"/>
          <w:lang w:val="en-US" w:eastAsia="zh-CN"/>
        </w:rPr>
        <w:t>5</w:t>
      </w:r>
      <w:r>
        <w:rPr>
          <w:rFonts w:hint="default" w:ascii="Times New Roman" w:hAnsi="Times New Roman" w:eastAsiaTheme="minorEastAsia"/>
          <w:szCs w:val="22"/>
        </w:rPr>
        <w:t>部分：水分含量的测定</w:t>
      </w:r>
      <w:r>
        <w:rPr>
          <w:rFonts w:hint="default" w:ascii="Times New Roman" w:hAnsi="Times New Roman" w:eastAsiaTheme="minorEastAsia"/>
          <w:szCs w:val="22"/>
          <w:lang w:val="en-US" w:eastAsia="zh-CN"/>
        </w:rPr>
        <w:t xml:space="preserve"> </w:t>
      </w:r>
      <w:r>
        <w:rPr>
          <w:rFonts w:hint="default" w:ascii="Times New Roman" w:hAnsi="Times New Roman" w:eastAsiaTheme="minorEastAsia"/>
          <w:szCs w:val="22"/>
        </w:rPr>
        <w:t xml:space="preserve"> 烘箱干燥法</w:t>
      </w:r>
    </w:p>
    <w:p>
      <w:pPr>
        <w:spacing w:before="313" w:beforeLines="100" w:after="313" w:afterLines="100"/>
        <w:rPr>
          <w:rFonts w:ascii="黑体" w:hAnsi="黑体" w:eastAsia="黑体" w:cs="黑体"/>
          <w:bCs/>
        </w:rPr>
      </w:pPr>
      <w:r>
        <w:rPr>
          <w:rFonts w:hint="eastAsia" w:ascii="黑体" w:hAnsi="黑体" w:eastAsia="黑体" w:cs="黑体"/>
          <w:bCs/>
        </w:rPr>
        <w:t>3  术语和定义</w:t>
      </w:r>
    </w:p>
    <w:p>
      <w:pPr>
        <w:pStyle w:val="31"/>
        <w:ind w:firstLine="420"/>
        <w:rPr>
          <w:rFonts w:ascii="Times New Roman"/>
        </w:rPr>
      </w:pPr>
      <w:r>
        <w:rPr>
          <w:rFonts w:ascii="Times New Roman"/>
        </w:rPr>
        <w:t>本文件没有需要界定的术语和定义。</w:t>
      </w:r>
    </w:p>
    <w:p>
      <w:pPr>
        <w:spacing w:before="313" w:beforeLines="100" w:after="313" w:afterLines="100"/>
        <w:ind w:firstLine="0" w:firstLineChars="0"/>
        <w:rPr>
          <w:rFonts w:hint="eastAsia" w:ascii="黑体" w:hAnsi="黑体" w:eastAsia="黑体" w:cs="黑体"/>
          <w:bCs/>
          <w:szCs w:val="20"/>
        </w:rPr>
      </w:pPr>
      <w:r>
        <w:rPr>
          <w:rFonts w:hint="eastAsia" w:ascii="黑体" w:hAnsi="黑体" w:eastAsia="黑体" w:cs="黑体"/>
          <w:bCs/>
          <w:szCs w:val="20"/>
        </w:rPr>
        <w:t>4  产品分类</w:t>
      </w:r>
    </w:p>
    <w:p>
      <w:pPr>
        <w:pStyle w:val="31"/>
        <w:spacing w:before="156" w:beforeLines="50" w:after="156" w:afterLines="50"/>
        <w:ind w:firstLine="420"/>
        <w:rPr>
          <w:rFonts w:ascii="Times New Roman" w:eastAsiaTheme="minorEastAsia"/>
          <w:szCs w:val="21"/>
        </w:rPr>
      </w:pPr>
      <w:r>
        <w:rPr>
          <w:rFonts w:hint="eastAsia" w:ascii="Times New Roman" w:eastAsiaTheme="minorEastAsia"/>
          <w:szCs w:val="21"/>
        </w:rPr>
        <w:t>产品按化学成分分为三级：一级品、二级品、三级品。</w:t>
      </w:r>
    </w:p>
    <w:p>
      <w:pPr>
        <w:spacing w:before="313" w:beforeLines="100" w:after="313" w:afterLines="100"/>
        <w:rPr>
          <w:rFonts w:hint="eastAsia" w:ascii="黑体" w:hAnsi="黑体" w:eastAsia="黑体" w:cs="黑体"/>
          <w:bCs/>
          <w:szCs w:val="20"/>
        </w:rPr>
      </w:pPr>
      <w:r>
        <w:rPr>
          <w:rFonts w:hint="eastAsia" w:ascii="黑体" w:hAnsi="黑体" w:eastAsia="黑体" w:cs="黑体"/>
          <w:bCs/>
          <w:szCs w:val="20"/>
          <w:lang w:val="en-US" w:eastAsia="zh-CN"/>
        </w:rPr>
        <w:t>5</w:t>
      </w:r>
      <w:r>
        <w:rPr>
          <w:rFonts w:hint="eastAsia" w:ascii="黑体" w:hAnsi="黑体" w:eastAsia="黑体" w:cs="黑体"/>
          <w:bCs/>
          <w:szCs w:val="20"/>
        </w:rPr>
        <w:t xml:space="preserve">  技术要求</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5.1</w:t>
      </w:r>
      <w:r>
        <w:rPr>
          <w:rFonts w:hint="eastAsia" w:ascii="黑体" w:hAnsi="黑体" w:eastAsia="黑体" w:cs="黑体"/>
          <w:szCs w:val="21"/>
        </w:rPr>
        <w:t xml:space="preserve">  化学成分</w:t>
      </w:r>
    </w:p>
    <w:p>
      <w:pPr>
        <w:pStyle w:val="41"/>
        <w:spacing w:beforeLines="0" w:afterLines="0"/>
        <w:ind w:firstLine="420" w:firstLineChars="200"/>
        <w:outlineLvl w:val="2"/>
        <w:rPr>
          <w:rFonts w:hint="eastAsia" w:ascii="黑体" w:hAnsi="黑体" w:eastAsia="黑体" w:cs="黑体"/>
          <w:szCs w:val="21"/>
        </w:rPr>
      </w:pPr>
      <w:r>
        <w:rPr>
          <w:rFonts w:hint="eastAsia" w:ascii="Times New Roman" w:eastAsiaTheme="minorEastAsia"/>
          <w:szCs w:val="21"/>
          <w:lang w:val="en-US" w:eastAsia="zh-CN"/>
        </w:rPr>
        <w:t>产品（干基）的</w:t>
      </w:r>
      <w:r>
        <w:rPr>
          <w:rFonts w:ascii="Times New Roman" w:eastAsiaTheme="minorEastAsia"/>
          <w:szCs w:val="21"/>
        </w:rPr>
        <w:t>化学成分应符合表1的规定。</w:t>
      </w:r>
    </w:p>
    <w:p>
      <w:pPr>
        <w:pStyle w:val="31"/>
        <w:tabs>
          <w:tab w:val="left" w:pos="3625"/>
        </w:tabs>
        <w:spacing w:before="156" w:beforeLines="50" w:after="156" w:afterLines="50"/>
        <w:ind w:firstLine="0" w:firstLineChars="0"/>
        <w:jc w:val="center"/>
        <w:rPr>
          <w:rFonts w:hint="eastAsia" w:ascii="黑体" w:hAnsi="黑体" w:eastAsia="黑体" w:cs="黑体"/>
          <w:szCs w:val="21"/>
          <w:lang w:eastAsia="zh-CN"/>
        </w:rPr>
      </w:pPr>
      <w:r>
        <w:rPr>
          <w:rFonts w:hint="eastAsia" w:ascii="黑体" w:hAnsi="黑体" w:eastAsia="黑体" w:cs="黑体"/>
          <w:szCs w:val="21"/>
        </w:rPr>
        <w:t xml:space="preserve">表1 </w:t>
      </w:r>
      <w:r>
        <w:rPr>
          <w:rFonts w:hint="eastAsia" w:ascii="黑体" w:hAnsi="黑体" w:eastAsia="黑体" w:cs="黑体"/>
          <w:szCs w:val="21"/>
          <w:lang w:val="en-US" w:eastAsia="zh-CN"/>
        </w:rPr>
        <w:t xml:space="preserve"> 产品（干基）</w:t>
      </w:r>
      <w:r>
        <w:rPr>
          <w:rFonts w:hint="eastAsia" w:ascii="黑体" w:hAnsi="黑体" w:eastAsia="黑体" w:cs="黑体"/>
          <w:szCs w:val="21"/>
        </w:rPr>
        <w:t>的化学成分</w:t>
      </w:r>
    </w:p>
    <w:tbl>
      <w:tblPr>
        <w:tblStyle w:val="1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620"/>
        <w:gridCol w:w="1559"/>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7" w:type="dxa"/>
            <w:gridSpan w:val="3"/>
          </w:tcPr>
          <w:p>
            <w:pPr>
              <w:spacing w:line="240" w:lineRule="auto"/>
              <w:jc w:val="center"/>
              <w:rPr>
                <w:rFonts w:hint="default" w:eastAsia="宋体"/>
                <w:i w:val="0"/>
                <w:iCs w:val="0"/>
                <w:sz w:val="18"/>
                <w:szCs w:val="18"/>
                <w:vertAlign w:val="baseline"/>
                <w:lang w:val="en-US" w:eastAsia="zh-CN"/>
              </w:rPr>
            </w:pPr>
            <w:r>
              <w:rPr>
                <w:rFonts w:hint="eastAsia"/>
                <w:i w:val="0"/>
                <w:iCs w:val="0"/>
                <w:sz w:val="18"/>
                <w:szCs w:val="18"/>
                <w:vertAlign w:val="baseline"/>
                <w:lang w:val="en-US" w:eastAsia="zh-CN"/>
              </w:rPr>
              <w:t>品级</w:t>
            </w:r>
          </w:p>
        </w:tc>
        <w:tc>
          <w:tcPr>
            <w:tcW w:w="1559" w:type="dxa"/>
          </w:tcPr>
          <w:p>
            <w:pPr>
              <w:spacing w:line="240" w:lineRule="auto"/>
              <w:jc w:val="center"/>
              <w:rPr>
                <w:rFonts w:hint="default" w:eastAsia="宋体"/>
                <w:i w:val="0"/>
                <w:iCs w:val="0"/>
                <w:sz w:val="18"/>
                <w:szCs w:val="18"/>
                <w:vertAlign w:val="baseline"/>
                <w:lang w:val="en-US" w:eastAsia="zh-CN"/>
              </w:rPr>
            </w:pPr>
            <w:r>
              <w:rPr>
                <w:rFonts w:hint="eastAsia"/>
                <w:i w:val="0"/>
                <w:iCs w:val="0"/>
                <w:sz w:val="18"/>
                <w:szCs w:val="18"/>
                <w:vertAlign w:val="baseline"/>
                <w:lang w:val="en-US" w:eastAsia="zh-CN"/>
              </w:rPr>
              <w:t>一级</w:t>
            </w:r>
          </w:p>
        </w:tc>
        <w:tc>
          <w:tcPr>
            <w:tcW w:w="1559" w:type="dxa"/>
          </w:tcPr>
          <w:p>
            <w:pPr>
              <w:spacing w:line="240" w:lineRule="auto"/>
              <w:jc w:val="center"/>
              <w:rPr>
                <w:rFonts w:hint="default" w:eastAsia="宋体"/>
                <w:i w:val="0"/>
                <w:iCs w:val="0"/>
                <w:sz w:val="18"/>
                <w:szCs w:val="18"/>
                <w:vertAlign w:val="baseline"/>
                <w:lang w:val="en-US" w:eastAsia="zh-CN"/>
              </w:rPr>
            </w:pPr>
            <w:r>
              <w:rPr>
                <w:rFonts w:hint="eastAsia"/>
                <w:i w:val="0"/>
                <w:iCs w:val="0"/>
                <w:sz w:val="18"/>
                <w:szCs w:val="18"/>
                <w:vertAlign w:val="baseline"/>
                <w:lang w:val="en-US" w:eastAsia="zh-CN"/>
              </w:rPr>
              <w:t>二级</w:t>
            </w:r>
          </w:p>
        </w:tc>
        <w:tc>
          <w:tcPr>
            <w:tcW w:w="1560" w:type="dxa"/>
          </w:tcPr>
          <w:p>
            <w:pPr>
              <w:spacing w:line="240" w:lineRule="auto"/>
              <w:jc w:val="center"/>
              <w:rPr>
                <w:rFonts w:hint="default" w:eastAsia="宋体"/>
                <w:i w:val="0"/>
                <w:iCs w:val="0"/>
                <w:sz w:val="18"/>
                <w:szCs w:val="18"/>
                <w:vertAlign w:val="baseline"/>
                <w:lang w:val="en-US" w:eastAsia="zh-CN"/>
              </w:rPr>
            </w:pPr>
            <w:r>
              <w:rPr>
                <w:rFonts w:hint="eastAsia"/>
                <w:i w:val="0"/>
                <w:iCs w:val="0"/>
                <w:sz w:val="18"/>
                <w:szCs w:val="1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restart"/>
            <w:vAlign w:val="center"/>
          </w:tcPr>
          <w:p>
            <w:pPr>
              <w:jc w:val="center"/>
              <w:rPr>
                <w:rFonts w:hint="eastAsia"/>
                <w:i w:val="0"/>
                <w:iCs w:val="0"/>
                <w:sz w:val="18"/>
                <w:szCs w:val="18"/>
                <w:lang w:val="en-US" w:eastAsia="zh-CN"/>
              </w:rPr>
            </w:pPr>
            <w:r>
              <w:rPr>
                <w:rFonts w:hint="eastAsia"/>
                <w:i w:val="0"/>
                <w:iCs w:val="0"/>
                <w:sz w:val="18"/>
                <w:szCs w:val="18"/>
                <w:lang w:val="en-US" w:eastAsia="zh-CN"/>
              </w:rPr>
              <w:t>化学成分</w:t>
            </w:r>
          </w:p>
          <w:p>
            <w:pPr>
              <w:jc w:val="center"/>
              <w:rPr>
                <w:rFonts w:hint="default"/>
                <w:i w:val="0"/>
                <w:iCs w:val="0"/>
                <w:sz w:val="18"/>
                <w:szCs w:val="18"/>
                <w:lang w:val="en-US" w:eastAsia="zh-CN"/>
              </w:rPr>
            </w:pPr>
            <w:r>
              <w:rPr>
                <w:rFonts w:hint="eastAsia"/>
                <w:i w:val="0"/>
                <w:iCs w:val="0"/>
                <w:sz w:val="18"/>
                <w:szCs w:val="18"/>
                <w:lang w:val="en-US" w:eastAsia="zh-CN"/>
              </w:rPr>
              <w:t>（质量分数）%</w:t>
            </w:r>
          </w:p>
        </w:tc>
        <w:tc>
          <w:tcPr>
            <w:tcW w:w="1620" w:type="dxa"/>
            <w:vMerge w:val="restart"/>
            <w:vAlign w:val="center"/>
          </w:tcPr>
          <w:p>
            <w:pPr>
              <w:spacing w:line="240" w:lineRule="auto"/>
              <w:jc w:val="center"/>
              <w:rPr>
                <w:rFonts w:hint="default" w:eastAsia="宋体"/>
                <w:i w:val="0"/>
                <w:iCs w:val="0"/>
                <w:sz w:val="18"/>
                <w:szCs w:val="18"/>
                <w:vertAlign w:val="baseline"/>
                <w:lang w:val="en-US" w:eastAsia="zh-CN"/>
              </w:rPr>
            </w:pPr>
            <w:r>
              <w:rPr>
                <w:rFonts w:hint="eastAsia"/>
                <w:i w:val="0"/>
                <w:iCs w:val="0"/>
                <w:sz w:val="18"/>
                <w:szCs w:val="18"/>
                <w:vertAlign w:val="baseline"/>
                <w:lang w:val="en-US" w:eastAsia="zh-CN"/>
              </w:rPr>
              <w:t>主元素，不小于</w:t>
            </w:r>
          </w:p>
        </w:tc>
        <w:tc>
          <w:tcPr>
            <w:tcW w:w="1559" w:type="dxa"/>
          </w:tcPr>
          <w:p>
            <w:pPr>
              <w:spacing w:line="240" w:lineRule="auto"/>
              <w:jc w:val="center"/>
              <w:rPr>
                <w:rFonts w:hint="default" w:eastAsia="宋体"/>
                <w:i w:val="0"/>
                <w:iCs w:val="0"/>
                <w:sz w:val="18"/>
                <w:szCs w:val="18"/>
                <w:vertAlign w:val="baseline"/>
                <w:lang w:val="en-US" w:eastAsia="zh-CN"/>
              </w:rPr>
            </w:pPr>
            <w:r>
              <w:rPr>
                <w:rFonts w:hint="eastAsia"/>
                <w:i w:val="0"/>
                <w:iCs w:val="0"/>
                <w:sz w:val="18"/>
                <w:szCs w:val="18"/>
                <w:vertAlign w:val="baseline"/>
                <w:lang w:val="en-US" w:eastAsia="zh-CN"/>
              </w:rPr>
              <w:t>镍+钴（Ni+Co）</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30</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20</w:t>
            </w:r>
          </w:p>
        </w:tc>
        <w:tc>
          <w:tcPr>
            <w:tcW w:w="1560"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ind w:firstLine="0"/>
              <w:jc w:val="both"/>
              <w:rPr>
                <w:rFonts w:hint="default"/>
                <w:i w:val="0"/>
                <w:iCs w:val="0"/>
                <w:sz w:val="18"/>
                <w:szCs w:val="18"/>
                <w:lang w:val="en-US" w:eastAsia="zh-CN"/>
              </w:rPr>
            </w:pPr>
          </w:p>
        </w:tc>
        <w:tc>
          <w:tcPr>
            <w:tcW w:w="1559" w:type="dxa"/>
            <w:vAlign w:val="center"/>
          </w:tcPr>
          <w:p>
            <w:pPr>
              <w:spacing w:line="240" w:lineRule="auto"/>
              <w:jc w:val="center"/>
              <w:rPr>
                <w:i w:val="0"/>
                <w:iCs w:val="0"/>
                <w:sz w:val="18"/>
                <w:szCs w:val="18"/>
                <w:vertAlign w:val="baseline"/>
              </w:rPr>
            </w:pPr>
            <w:r>
              <w:rPr>
                <w:i w:val="0"/>
                <w:iCs w:val="0"/>
                <w:sz w:val="18"/>
                <w:szCs w:val="18"/>
              </w:rPr>
              <w:t>硫（S）</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2</w:t>
            </w:r>
            <w:r>
              <w:rPr>
                <w:rFonts w:hint="default" w:ascii="Times New Roman" w:hAnsi="Times New Roman" w:cs="Times New Roman"/>
                <w:i w:val="0"/>
                <w:iCs w:val="0"/>
                <w:sz w:val="18"/>
                <w:szCs w:val="18"/>
                <w:lang w:val="en-US" w:eastAsia="zh-CN"/>
              </w:rPr>
              <w:t>0</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lang w:val="en-US" w:eastAsia="zh-CN"/>
              </w:rPr>
              <w:t>15</w:t>
            </w:r>
          </w:p>
        </w:tc>
        <w:tc>
          <w:tcPr>
            <w:tcW w:w="1560"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1</w:t>
            </w:r>
            <w:r>
              <w:rPr>
                <w:rFonts w:hint="default" w:ascii="Times New Roman" w:hAnsi="Times New Roman" w:cs="Times New Roman"/>
                <w:i w:val="0"/>
                <w:iCs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restart"/>
            <w:vAlign w:val="center"/>
          </w:tcPr>
          <w:p>
            <w:pPr>
              <w:spacing w:line="240" w:lineRule="auto"/>
              <w:jc w:val="center"/>
              <w:rPr>
                <w:i w:val="0"/>
                <w:iCs w:val="0"/>
                <w:sz w:val="18"/>
                <w:szCs w:val="18"/>
                <w:vertAlign w:val="baseline"/>
              </w:rPr>
            </w:pPr>
            <w:r>
              <w:rPr>
                <w:rFonts w:hint="eastAsia"/>
                <w:i w:val="0"/>
                <w:iCs w:val="0"/>
                <w:sz w:val="18"/>
                <w:szCs w:val="18"/>
                <w:lang w:val="en-US" w:eastAsia="zh-CN"/>
              </w:rPr>
              <w:t>杂质元素，不大于</w:t>
            </w:r>
          </w:p>
        </w:tc>
        <w:tc>
          <w:tcPr>
            <w:tcW w:w="1559" w:type="dxa"/>
            <w:vAlign w:val="center"/>
          </w:tcPr>
          <w:p>
            <w:pPr>
              <w:spacing w:line="240" w:lineRule="auto"/>
              <w:jc w:val="center"/>
              <w:rPr>
                <w:i w:val="0"/>
                <w:iCs w:val="0"/>
                <w:sz w:val="18"/>
                <w:szCs w:val="18"/>
                <w:highlight w:val="none"/>
                <w:vertAlign w:val="baseline"/>
              </w:rPr>
            </w:pPr>
            <w:r>
              <w:rPr>
                <w:i w:val="0"/>
                <w:iCs w:val="0"/>
                <w:sz w:val="18"/>
                <w:szCs w:val="18"/>
                <w:highlight w:val="none"/>
              </w:rPr>
              <w:t>铁（Fe）</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1</w:t>
            </w:r>
            <w:r>
              <w:rPr>
                <w:rFonts w:hint="eastAsia" w:cs="Times New Roman"/>
                <w:i w:val="0"/>
                <w:iCs w:val="0"/>
                <w:sz w:val="18"/>
                <w:szCs w:val="18"/>
                <w:lang w:eastAsia="zh-CN"/>
              </w:rPr>
              <w:t>.</w:t>
            </w:r>
            <w:r>
              <w:rPr>
                <w:rFonts w:hint="eastAsia" w:cs="Times New Roman"/>
                <w:i w:val="0"/>
                <w:iCs w:val="0"/>
                <w:sz w:val="18"/>
                <w:szCs w:val="18"/>
                <w:lang w:val="en-US" w:eastAsia="zh-CN"/>
              </w:rPr>
              <w:t>5</w:t>
            </w:r>
          </w:p>
        </w:tc>
        <w:tc>
          <w:tcPr>
            <w:tcW w:w="1559" w:type="dxa"/>
            <w:vAlign w:val="center"/>
          </w:tcPr>
          <w:p>
            <w:pPr>
              <w:spacing w:line="240" w:lineRule="auto"/>
              <w:jc w:val="center"/>
              <w:rPr>
                <w:rFonts w:hint="default" w:eastAsia="宋体"/>
                <w:i w:val="0"/>
                <w:iCs w:val="0"/>
                <w:sz w:val="18"/>
                <w:szCs w:val="18"/>
                <w:vertAlign w:val="baseline"/>
                <w:lang w:val="en-US" w:eastAsia="zh-CN"/>
              </w:rPr>
            </w:pPr>
            <w:r>
              <w:rPr>
                <w:rFonts w:hint="eastAsia" w:cs="Times New Roman"/>
                <w:i w:val="0"/>
                <w:iCs w:val="0"/>
                <w:sz w:val="18"/>
                <w:szCs w:val="18"/>
                <w:lang w:val="en-US" w:eastAsia="zh-CN"/>
              </w:rPr>
              <w:t>2.0</w:t>
            </w:r>
          </w:p>
        </w:tc>
        <w:tc>
          <w:tcPr>
            <w:tcW w:w="1560" w:type="dxa"/>
            <w:vAlign w:val="center"/>
          </w:tcPr>
          <w:p>
            <w:pPr>
              <w:spacing w:line="240" w:lineRule="auto"/>
              <w:jc w:val="center"/>
              <w:rPr>
                <w:rFonts w:hint="default" w:eastAsia="宋体"/>
                <w:i w:val="0"/>
                <w:iCs w:val="0"/>
                <w:sz w:val="18"/>
                <w:szCs w:val="18"/>
                <w:vertAlign w:val="baseline"/>
                <w:lang w:val="en-US" w:eastAsia="zh-CN"/>
              </w:rPr>
            </w:pPr>
            <w:r>
              <w:rPr>
                <w:rFonts w:hint="eastAsia" w:cs="Times New Roman"/>
                <w:i w:val="0"/>
                <w:iCs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highlight w:val="none"/>
                <w:vertAlign w:val="baseline"/>
              </w:rPr>
            </w:pPr>
            <w:r>
              <w:rPr>
                <w:i w:val="0"/>
                <w:iCs w:val="0"/>
                <w:sz w:val="18"/>
                <w:szCs w:val="18"/>
                <w:highlight w:val="none"/>
              </w:rPr>
              <w:t>铝（Al）</w:t>
            </w:r>
          </w:p>
        </w:tc>
        <w:tc>
          <w:tcPr>
            <w:tcW w:w="1559" w:type="dxa"/>
            <w:vAlign w:val="center"/>
          </w:tcPr>
          <w:p>
            <w:pPr>
              <w:spacing w:line="240" w:lineRule="auto"/>
              <w:jc w:val="center"/>
              <w:rPr>
                <w:rFonts w:hint="default"/>
                <w:i w:val="0"/>
                <w:iCs w:val="0"/>
                <w:sz w:val="18"/>
                <w:szCs w:val="18"/>
                <w:vertAlign w:val="baseline"/>
                <w:lang w:val="en-US"/>
              </w:rPr>
            </w:pPr>
            <w:r>
              <w:rPr>
                <w:rFonts w:hint="eastAsia" w:cs="Times New Roman"/>
                <w:i w:val="0"/>
                <w:iCs w:val="0"/>
                <w:sz w:val="18"/>
                <w:szCs w:val="18"/>
                <w:highlight w:val="none"/>
                <w:lang w:val="en-US" w:eastAsia="zh-CN"/>
              </w:rPr>
              <w:t>0.5</w:t>
            </w:r>
          </w:p>
        </w:tc>
        <w:tc>
          <w:tcPr>
            <w:tcW w:w="1559" w:type="dxa"/>
            <w:vAlign w:val="center"/>
          </w:tcPr>
          <w:p>
            <w:pPr>
              <w:spacing w:line="240" w:lineRule="auto"/>
              <w:jc w:val="center"/>
              <w:rPr>
                <w:rFonts w:hint="default"/>
                <w:i w:val="0"/>
                <w:iCs w:val="0"/>
                <w:sz w:val="18"/>
                <w:szCs w:val="18"/>
                <w:vertAlign w:val="baseline"/>
                <w:lang w:val="en-US"/>
              </w:rPr>
            </w:pPr>
            <w:r>
              <w:rPr>
                <w:rFonts w:hint="eastAsia" w:cs="Times New Roman"/>
                <w:i w:val="0"/>
                <w:iCs w:val="0"/>
                <w:sz w:val="18"/>
                <w:szCs w:val="18"/>
                <w:highlight w:val="none"/>
                <w:lang w:val="en-US" w:eastAsia="zh-CN"/>
              </w:rPr>
              <w:t>0.8</w:t>
            </w:r>
          </w:p>
        </w:tc>
        <w:tc>
          <w:tcPr>
            <w:tcW w:w="1560" w:type="dxa"/>
            <w:vAlign w:val="center"/>
          </w:tcPr>
          <w:p>
            <w:pPr>
              <w:spacing w:line="240" w:lineRule="auto"/>
              <w:jc w:val="center"/>
              <w:rPr>
                <w:i w:val="0"/>
                <w:iCs w:val="0"/>
                <w:sz w:val="18"/>
                <w:szCs w:val="18"/>
                <w:vertAlign w:val="baseline"/>
              </w:rPr>
            </w:pPr>
            <w:r>
              <w:rPr>
                <w:rFonts w:hint="eastAsia" w:cs="Times New Roman"/>
                <w:i w:val="0"/>
                <w:iCs w:val="0"/>
                <w:sz w:val="18"/>
                <w:szCs w:val="18"/>
                <w:highlight w:val="none"/>
                <w:lang w:val="en-US" w:eastAsia="zh-CN"/>
              </w:rPr>
              <w:t>1</w:t>
            </w:r>
            <w:r>
              <w:rPr>
                <w:rFonts w:hint="default" w:ascii="Times New Roman" w:hAnsi="Times New Roman" w:cs="Times New Roman"/>
                <w:i w:val="0"/>
                <w:iCs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vertAlign w:val="baseline"/>
              </w:rPr>
            </w:pPr>
            <w:r>
              <w:rPr>
                <w:rFonts w:hint="eastAsia"/>
                <w:i w:val="0"/>
                <w:iCs w:val="0"/>
                <w:sz w:val="18"/>
                <w:szCs w:val="18"/>
                <w:highlight w:val="none"/>
                <w:lang w:val="en-US" w:eastAsia="zh-CN"/>
              </w:rPr>
              <w:t>镁（Mg）</w:t>
            </w:r>
          </w:p>
        </w:tc>
        <w:tc>
          <w:tcPr>
            <w:tcW w:w="1559" w:type="dxa"/>
            <w:vAlign w:val="center"/>
          </w:tcPr>
          <w:p>
            <w:pPr>
              <w:spacing w:line="240" w:lineRule="auto"/>
              <w:jc w:val="center"/>
              <w:rPr>
                <w:i w:val="0"/>
                <w:iCs w:val="0"/>
                <w:sz w:val="18"/>
                <w:szCs w:val="18"/>
                <w:vertAlign w:val="baseline"/>
              </w:rPr>
            </w:pPr>
            <w:r>
              <w:rPr>
                <w:rFonts w:hint="eastAsia" w:cs="Times New Roman"/>
                <w:i w:val="0"/>
                <w:iCs w:val="0"/>
                <w:sz w:val="18"/>
                <w:szCs w:val="18"/>
                <w:highlight w:val="none"/>
                <w:lang w:val="en-US" w:eastAsia="zh-CN"/>
              </w:rPr>
              <w:t>0.5</w:t>
            </w:r>
          </w:p>
        </w:tc>
        <w:tc>
          <w:tcPr>
            <w:tcW w:w="1559" w:type="dxa"/>
            <w:vAlign w:val="center"/>
          </w:tcPr>
          <w:p>
            <w:pPr>
              <w:spacing w:line="240" w:lineRule="auto"/>
              <w:jc w:val="center"/>
              <w:rPr>
                <w:i w:val="0"/>
                <w:iCs w:val="0"/>
                <w:sz w:val="18"/>
                <w:szCs w:val="18"/>
                <w:vertAlign w:val="baseline"/>
              </w:rPr>
            </w:pPr>
            <w:r>
              <w:rPr>
                <w:rFonts w:hint="eastAsia" w:cs="Times New Roman"/>
                <w:i w:val="0"/>
                <w:iCs w:val="0"/>
                <w:sz w:val="18"/>
                <w:szCs w:val="18"/>
                <w:highlight w:val="none"/>
                <w:lang w:val="en-US" w:eastAsia="zh-CN"/>
              </w:rPr>
              <w:t>2.0</w:t>
            </w:r>
          </w:p>
        </w:tc>
        <w:tc>
          <w:tcPr>
            <w:tcW w:w="1560"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vertAlign w:val="baseline"/>
              </w:rPr>
            </w:pPr>
            <w:r>
              <w:rPr>
                <w:rFonts w:hint="eastAsia"/>
                <w:i w:val="0"/>
                <w:iCs w:val="0"/>
                <w:sz w:val="18"/>
                <w:szCs w:val="18"/>
                <w:highlight w:val="none"/>
                <w:lang w:val="en-US" w:eastAsia="zh-CN"/>
              </w:rPr>
              <w:t>钙（Ca）</w:t>
            </w:r>
          </w:p>
        </w:tc>
        <w:tc>
          <w:tcPr>
            <w:tcW w:w="1559" w:type="dxa"/>
            <w:vAlign w:val="center"/>
          </w:tcPr>
          <w:p>
            <w:pPr>
              <w:spacing w:line="240" w:lineRule="auto"/>
              <w:jc w:val="center"/>
              <w:rPr>
                <w:i w:val="0"/>
                <w:iCs w:val="0"/>
                <w:sz w:val="18"/>
                <w:szCs w:val="18"/>
                <w:vertAlign w:val="baseline"/>
              </w:rPr>
            </w:pPr>
            <w:r>
              <w:rPr>
                <w:rFonts w:hint="eastAsia" w:cs="Times New Roman"/>
                <w:i w:val="0"/>
                <w:iCs w:val="0"/>
                <w:sz w:val="18"/>
                <w:szCs w:val="18"/>
                <w:highlight w:val="none"/>
                <w:lang w:val="en-US" w:eastAsia="zh-CN"/>
              </w:rPr>
              <w:t>0.5</w:t>
            </w:r>
          </w:p>
        </w:tc>
        <w:tc>
          <w:tcPr>
            <w:tcW w:w="1559" w:type="dxa"/>
            <w:vAlign w:val="center"/>
          </w:tcPr>
          <w:p>
            <w:pPr>
              <w:spacing w:line="240" w:lineRule="auto"/>
              <w:jc w:val="center"/>
              <w:rPr>
                <w:i w:val="0"/>
                <w:iCs w:val="0"/>
                <w:sz w:val="18"/>
                <w:szCs w:val="18"/>
                <w:vertAlign w:val="baseline"/>
              </w:rPr>
            </w:pPr>
            <w:r>
              <w:rPr>
                <w:rFonts w:hint="eastAsia" w:cs="Times New Roman"/>
                <w:i w:val="0"/>
                <w:iCs w:val="0"/>
                <w:sz w:val="18"/>
                <w:szCs w:val="18"/>
                <w:highlight w:val="none"/>
                <w:lang w:val="en-US" w:eastAsia="zh-CN"/>
              </w:rPr>
              <w:t>1.0</w:t>
            </w:r>
          </w:p>
        </w:tc>
        <w:tc>
          <w:tcPr>
            <w:tcW w:w="1560"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vertAlign w:val="baseline"/>
              </w:rPr>
            </w:pPr>
            <w:r>
              <w:rPr>
                <w:i w:val="0"/>
                <w:iCs w:val="0"/>
                <w:sz w:val="18"/>
                <w:szCs w:val="18"/>
              </w:rPr>
              <w:t>铬（Cr）</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0.0</w:t>
            </w:r>
            <w:r>
              <w:rPr>
                <w:rFonts w:hint="eastAsia" w:cs="Times New Roman"/>
                <w:i w:val="0"/>
                <w:iCs w:val="0"/>
                <w:sz w:val="18"/>
                <w:szCs w:val="18"/>
                <w:lang w:val="en-US" w:eastAsia="zh-CN"/>
              </w:rPr>
              <w:t>5</w:t>
            </w:r>
          </w:p>
        </w:tc>
        <w:tc>
          <w:tcPr>
            <w:tcW w:w="1559" w:type="dxa"/>
            <w:vAlign w:val="center"/>
          </w:tcPr>
          <w:p>
            <w:pPr>
              <w:spacing w:line="240" w:lineRule="auto"/>
              <w:jc w:val="center"/>
              <w:rPr>
                <w:rFonts w:hint="default"/>
                <w:i w:val="0"/>
                <w:iCs w:val="0"/>
                <w:sz w:val="18"/>
                <w:szCs w:val="18"/>
                <w:vertAlign w:val="baseline"/>
                <w:lang w:val="en-US"/>
              </w:rPr>
            </w:pPr>
            <w:r>
              <w:rPr>
                <w:rFonts w:hint="default" w:ascii="Times New Roman" w:hAnsi="Times New Roman" w:cs="Times New Roman"/>
                <w:i w:val="0"/>
                <w:iCs w:val="0"/>
                <w:sz w:val="18"/>
                <w:szCs w:val="18"/>
              </w:rPr>
              <w:t>0.</w:t>
            </w:r>
            <w:r>
              <w:rPr>
                <w:rFonts w:hint="eastAsia" w:cs="Times New Roman"/>
                <w:i w:val="0"/>
                <w:iCs w:val="0"/>
                <w:sz w:val="18"/>
                <w:szCs w:val="18"/>
                <w:lang w:val="en-US" w:eastAsia="zh-CN"/>
              </w:rPr>
              <w:t>08</w:t>
            </w:r>
          </w:p>
        </w:tc>
        <w:tc>
          <w:tcPr>
            <w:tcW w:w="1560"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0.</w:t>
            </w:r>
            <w:r>
              <w:rPr>
                <w:rFonts w:hint="eastAsia" w:cs="Times New Roman"/>
                <w:i w:val="0"/>
                <w:iCs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vertAlign w:val="baseline"/>
              </w:rPr>
            </w:pPr>
            <w:r>
              <w:rPr>
                <w:i w:val="0"/>
                <w:iCs w:val="0"/>
                <w:sz w:val="18"/>
                <w:szCs w:val="18"/>
              </w:rPr>
              <w:t>铅（Pb）</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0.01</w:t>
            </w:r>
          </w:p>
        </w:tc>
        <w:tc>
          <w:tcPr>
            <w:tcW w:w="1559" w:type="dxa"/>
            <w:vAlign w:val="center"/>
          </w:tcPr>
          <w:p>
            <w:pPr>
              <w:spacing w:line="240" w:lineRule="auto"/>
              <w:jc w:val="center"/>
              <w:rPr>
                <w:rFonts w:hint="eastAsia" w:eastAsia="宋体"/>
                <w:i w:val="0"/>
                <w:iCs w:val="0"/>
                <w:sz w:val="18"/>
                <w:szCs w:val="18"/>
                <w:vertAlign w:val="baseline"/>
                <w:lang w:eastAsia="zh-CN"/>
              </w:rPr>
            </w:pPr>
            <w:r>
              <w:rPr>
                <w:rFonts w:hint="default" w:ascii="Times New Roman" w:hAnsi="Times New Roman" w:cs="Times New Roman"/>
                <w:i w:val="0"/>
                <w:iCs w:val="0"/>
                <w:sz w:val="18"/>
                <w:szCs w:val="18"/>
              </w:rPr>
              <w:t>0.0</w:t>
            </w:r>
            <w:r>
              <w:rPr>
                <w:rFonts w:hint="eastAsia" w:cs="Times New Roman"/>
                <w:i w:val="0"/>
                <w:iCs w:val="0"/>
                <w:sz w:val="18"/>
                <w:szCs w:val="18"/>
                <w:lang w:val="en-US" w:eastAsia="zh-CN"/>
              </w:rPr>
              <w:t>5</w:t>
            </w:r>
          </w:p>
        </w:tc>
        <w:tc>
          <w:tcPr>
            <w:tcW w:w="1560" w:type="dxa"/>
            <w:vAlign w:val="center"/>
          </w:tcPr>
          <w:p>
            <w:pPr>
              <w:spacing w:line="240" w:lineRule="auto"/>
              <w:jc w:val="center"/>
              <w:rPr>
                <w:rFonts w:hint="default" w:eastAsia="宋体"/>
                <w:i w:val="0"/>
                <w:iCs w:val="0"/>
                <w:sz w:val="18"/>
                <w:szCs w:val="18"/>
                <w:vertAlign w:val="baseline"/>
                <w:lang w:val="en-US" w:eastAsia="zh-CN"/>
              </w:rPr>
            </w:pPr>
            <w:r>
              <w:rPr>
                <w:rFonts w:hint="default" w:ascii="Times New Roman" w:hAnsi="Times New Roman" w:cs="Times New Roman"/>
                <w:i w:val="0"/>
                <w:iCs w:val="0"/>
                <w:sz w:val="18"/>
                <w:szCs w:val="18"/>
              </w:rPr>
              <w:t>0.</w:t>
            </w:r>
            <w:r>
              <w:rPr>
                <w:rFonts w:hint="eastAsia" w:cs="Times New Roman"/>
                <w:i w:val="0"/>
                <w:iCs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vertAlign w:val="baseline"/>
              </w:rPr>
            </w:pPr>
            <w:r>
              <w:rPr>
                <w:i w:val="0"/>
                <w:iCs w:val="0"/>
                <w:sz w:val="18"/>
                <w:szCs w:val="18"/>
              </w:rPr>
              <w:t>砷（As）</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0.01</w:t>
            </w:r>
          </w:p>
        </w:tc>
        <w:tc>
          <w:tcPr>
            <w:tcW w:w="1559" w:type="dxa"/>
            <w:vAlign w:val="center"/>
          </w:tcPr>
          <w:p>
            <w:pPr>
              <w:spacing w:line="240" w:lineRule="auto"/>
              <w:jc w:val="center"/>
              <w:rPr>
                <w:rFonts w:hint="eastAsia" w:eastAsia="宋体"/>
                <w:i w:val="0"/>
                <w:iCs w:val="0"/>
                <w:sz w:val="18"/>
                <w:szCs w:val="18"/>
                <w:vertAlign w:val="baseline"/>
                <w:lang w:eastAsia="zh-CN"/>
              </w:rPr>
            </w:pPr>
            <w:r>
              <w:rPr>
                <w:rFonts w:hint="default" w:ascii="Times New Roman" w:hAnsi="Times New Roman" w:cs="Times New Roman"/>
                <w:i w:val="0"/>
                <w:iCs w:val="0"/>
                <w:sz w:val="18"/>
                <w:szCs w:val="18"/>
              </w:rPr>
              <w:t>0.0</w:t>
            </w:r>
            <w:r>
              <w:rPr>
                <w:rFonts w:hint="eastAsia" w:cs="Times New Roman"/>
                <w:i w:val="0"/>
                <w:iCs w:val="0"/>
                <w:sz w:val="18"/>
                <w:szCs w:val="18"/>
                <w:lang w:val="en-US" w:eastAsia="zh-CN"/>
              </w:rPr>
              <w:t>5</w:t>
            </w:r>
          </w:p>
        </w:tc>
        <w:tc>
          <w:tcPr>
            <w:tcW w:w="1560" w:type="dxa"/>
            <w:vAlign w:val="center"/>
          </w:tcPr>
          <w:p>
            <w:pPr>
              <w:spacing w:line="240" w:lineRule="auto"/>
              <w:jc w:val="center"/>
              <w:rPr>
                <w:rFonts w:hint="default" w:eastAsia="宋体"/>
                <w:i w:val="0"/>
                <w:iCs w:val="0"/>
                <w:sz w:val="18"/>
                <w:szCs w:val="18"/>
                <w:vertAlign w:val="baseline"/>
                <w:lang w:val="en-US" w:eastAsia="zh-CN"/>
              </w:rPr>
            </w:pPr>
            <w:r>
              <w:rPr>
                <w:rFonts w:hint="default" w:ascii="Times New Roman" w:hAnsi="Times New Roman" w:cs="Times New Roman"/>
                <w:i w:val="0"/>
                <w:iCs w:val="0"/>
                <w:sz w:val="18"/>
                <w:szCs w:val="18"/>
              </w:rPr>
              <w:t>0.</w:t>
            </w:r>
            <w:r>
              <w:rPr>
                <w:rFonts w:hint="eastAsia" w:cs="Times New Roman"/>
                <w:i w:val="0"/>
                <w:iCs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vertAlign w:val="baseline"/>
              </w:rPr>
            </w:pPr>
            <w:r>
              <w:rPr>
                <w:i w:val="0"/>
                <w:iCs w:val="0"/>
                <w:sz w:val="18"/>
                <w:szCs w:val="18"/>
                <w:highlight w:val="none"/>
              </w:rPr>
              <w:t>镉（Cd）</w:t>
            </w:r>
          </w:p>
        </w:tc>
        <w:tc>
          <w:tcPr>
            <w:tcW w:w="1559" w:type="dxa"/>
            <w:vAlign w:val="center"/>
          </w:tcPr>
          <w:p>
            <w:pPr>
              <w:spacing w:line="240" w:lineRule="auto"/>
              <w:jc w:val="center"/>
              <w:rPr>
                <w:rFonts w:hint="eastAsia" w:eastAsia="宋体"/>
                <w:i w:val="0"/>
                <w:iCs w:val="0"/>
                <w:sz w:val="18"/>
                <w:szCs w:val="18"/>
                <w:vertAlign w:val="baseline"/>
                <w:lang w:val="en-US" w:eastAsia="zh-CN"/>
              </w:rPr>
            </w:pPr>
            <w:r>
              <w:rPr>
                <w:rFonts w:hint="default" w:ascii="Times New Roman" w:hAnsi="Times New Roman" w:cs="Times New Roman"/>
                <w:i w:val="0"/>
                <w:iCs w:val="0"/>
                <w:sz w:val="18"/>
                <w:szCs w:val="18"/>
              </w:rPr>
              <w:t>0.0</w:t>
            </w:r>
            <w:r>
              <w:rPr>
                <w:rFonts w:hint="eastAsia" w:cs="Times New Roman"/>
                <w:i w:val="0"/>
                <w:iCs w:val="0"/>
                <w:sz w:val="18"/>
                <w:szCs w:val="18"/>
                <w:lang w:val="en-US" w:eastAsia="zh-CN"/>
              </w:rPr>
              <w:t>1</w:t>
            </w:r>
          </w:p>
        </w:tc>
        <w:tc>
          <w:tcPr>
            <w:tcW w:w="1559"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rPr>
              <w:t>0.0</w:t>
            </w:r>
            <w:r>
              <w:rPr>
                <w:rFonts w:hint="eastAsia" w:cs="Times New Roman"/>
                <w:i w:val="0"/>
                <w:iCs w:val="0"/>
                <w:sz w:val="18"/>
                <w:szCs w:val="18"/>
                <w:lang w:val="en-US" w:eastAsia="zh-CN"/>
              </w:rPr>
              <w:t>5</w:t>
            </w:r>
          </w:p>
        </w:tc>
        <w:tc>
          <w:tcPr>
            <w:tcW w:w="1560" w:type="dxa"/>
            <w:vAlign w:val="center"/>
          </w:tcPr>
          <w:p>
            <w:pPr>
              <w:spacing w:line="240" w:lineRule="auto"/>
              <w:jc w:val="center"/>
              <w:rPr>
                <w:rFonts w:hint="default"/>
                <w:i w:val="0"/>
                <w:iCs w:val="0"/>
                <w:sz w:val="18"/>
                <w:szCs w:val="18"/>
                <w:vertAlign w:val="baseline"/>
                <w:lang w:val="en-US"/>
              </w:rPr>
            </w:pPr>
            <w:r>
              <w:rPr>
                <w:rFonts w:hint="default" w:ascii="Times New Roman" w:hAnsi="Times New Roman" w:cs="Times New Roman"/>
                <w:i w:val="0"/>
                <w:iCs w:val="0"/>
                <w:sz w:val="18"/>
                <w:szCs w:val="18"/>
              </w:rPr>
              <w:t>0.</w:t>
            </w:r>
            <w:r>
              <w:rPr>
                <w:rFonts w:hint="eastAsia" w:cs="Times New Roman"/>
                <w:i w:val="0"/>
                <w:iCs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98" w:type="dxa"/>
            <w:vMerge w:val="continue"/>
          </w:tcPr>
          <w:p>
            <w:pPr>
              <w:spacing w:line="240" w:lineRule="auto"/>
              <w:jc w:val="center"/>
              <w:rPr>
                <w:i w:val="0"/>
                <w:iCs w:val="0"/>
                <w:sz w:val="18"/>
                <w:szCs w:val="18"/>
                <w:vertAlign w:val="baseline"/>
              </w:rPr>
            </w:pPr>
          </w:p>
        </w:tc>
        <w:tc>
          <w:tcPr>
            <w:tcW w:w="1620" w:type="dxa"/>
            <w:vMerge w:val="continue"/>
          </w:tcPr>
          <w:p>
            <w:pPr>
              <w:spacing w:line="240" w:lineRule="auto"/>
              <w:jc w:val="center"/>
              <w:rPr>
                <w:i w:val="0"/>
                <w:iCs w:val="0"/>
                <w:sz w:val="18"/>
                <w:szCs w:val="18"/>
                <w:vertAlign w:val="baseline"/>
              </w:rPr>
            </w:pPr>
          </w:p>
        </w:tc>
        <w:tc>
          <w:tcPr>
            <w:tcW w:w="1559" w:type="dxa"/>
            <w:vAlign w:val="center"/>
          </w:tcPr>
          <w:p>
            <w:pPr>
              <w:spacing w:line="240" w:lineRule="auto"/>
              <w:jc w:val="center"/>
              <w:rPr>
                <w:i w:val="0"/>
                <w:iCs w:val="0"/>
                <w:sz w:val="18"/>
                <w:szCs w:val="18"/>
                <w:highlight w:val="none"/>
              </w:rPr>
            </w:pPr>
            <w:r>
              <w:rPr>
                <w:i w:val="0"/>
                <w:iCs w:val="0"/>
                <w:sz w:val="18"/>
                <w:szCs w:val="18"/>
                <w:highlight w:val="none"/>
              </w:rPr>
              <w:t>氯（Cl）</w:t>
            </w:r>
          </w:p>
        </w:tc>
        <w:tc>
          <w:tcPr>
            <w:tcW w:w="1559" w:type="dxa"/>
            <w:vAlign w:val="center"/>
          </w:tcPr>
          <w:p>
            <w:pPr>
              <w:spacing w:line="240" w:lineRule="auto"/>
              <w:jc w:val="center"/>
              <w:rPr>
                <w:i w:val="0"/>
                <w:iCs w:val="0"/>
                <w:sz w:val="18"/>
                <w:szCs w:val="18"/>
                <w:vertAlign w:val="baseline"/>
              </w:rPr>
            </w:pPr>
            <w:r>
              <w:rPr>
                <w:rFonts w:ascii="Times New Roman" w:hAnsi="Times New Roman" w:cs="Times New Roman"/>
                <w:i w:val="0"/>
                <w:iCs w:val="0"/>
                <w:sz w:val="18"/>
                <w:szCs w:val="18"/>
                <w:highlight w:val="none"/>
              </w:rPr>
              <w:t>0.1</w:t>
            </w:r>
            <w:r>
              <w:rPr>
                <w:rFonts w:hint="default" w:ascii="Times New Roman" w:hAnsi="Times New Roman" w:cs="Times New Roman"/>
                <w:i w:val="0"/>
                <w:iCs w:val="0"/>
                <w:sz w:val="18"/>
                <w:szCs w:val="18"/>
                <w:highlight w:val="none"/>
                <w:lang w:eastAsia="zh-CN"/>
              </w:rPr>
              <w:t>5</w:t>
            </w:r>
          </w:p>
        </w:tc>
        <w:tc>
          <w:tcPr>
            <w:tcW w:w="1559" w:type="dxa"/>
            <w:vAlign w:val="center"/>
          </w:tcPr>
          <w:p>
            <w:pPr>
              <w:spacing w:line="240" w:lineRule="auto"/>
              <w:jc w:val="center"/>
              <w:rPr>
                <w:i w:val="0"/>
                <w:iCs w:val="0"/>
                <w:sz w:val="18"/>
                <w:szCs w:val="18"/>
                <w:vertAlign w:val="baseline"/>
              </w:rPr>
            </w:pPr>
            <w:r>
              <w:rPr>
                <w:rFonts w:ascii="Times New Roman" w:hAnsi="Times New Roman" w:cs="Times New Roman"/>
                <w:i w:val="0"/>
                <w:iCs w:val="0"/>
                <w:sz w:val="18"/>
                <w:szCs w:val="18"/>
                <w:highlight w:val="none"/>
              </w:rPr>
              <w:t>0.</w:t>
            </w:r>
            <w:r>
              <w:rPr>
                <w:rFonts w:hint="default" w:ascii="Times New Roman" w:hAnsi="Times New Roman" w:cs="Times New Roman"/>
                <w:i w:val="0"/>
                <w:iCs w:val="0"/>
                <w:sz w:val="18"/>
                <w:szCs w:val="18"/>
                <w:highlight w:val="none"/>
                <w:lang w:eastAsia="zh-CN"/>
              </w:rPr>
              <w:t>2</w:t>
            </w:r>
            <w:r>
              <w:rPr>
                <w:rFonts w:ascii="Times New Roman" w:hAnsi="Times New Roman" w:cs="Times New Roman"/>
                <w:i w:val="0"/>
                <w:iCs w:val="0"/>
                <w:sz w:val="18"/>
                <w:szCs w:val="18"/>
                <w:highlight w:val="none"/>
              </w:rPr>
              <w:t>5</w:t>
            </w:r>
          </w:p>
        </w:tc>
        <w:tc>
          <w:tcPr>
            <w:tcW w:w="1560" w:type="dxa"/>
            <w:vAlign w:val="center"/>
          </w:tcPr>
          <w:p>
            <w:pPr>
              <w:spacing w:line="240" w:lineRule="auto"/>
              <w:jc w:val="center"/>
              <w:rPr>
                <w:i w:val="0"/>
                <w:iCs w:val="0"/>
                <w:sz w:val="18"/>
                <w:szCs w:val="18"/>
                <w:vertAlign w:val="baseline"/>
              </w:rPr>
            </w:pPr>
            <w:r>
              <w:rPr>
                <w:rFonts w:hint="default" w:ascii="Times New Roman" w:hAnsi="Times New Roman" w:cs="Times New Roman"/>
                <w:i w:val="0"/>
                <w:iCs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gridSpan w:val="6"/>
          </w:tcPr>
          <w:p>
            <w:pPr>
              <w:spacing w:line="240" w:lineRule="auto"/>
              <w:ind w:firstLine="360" w:firstLineChars="200"/>
              <w:jc w:val="left"/>
              <w:rPr>
                <w:rFonts w:hint="default" w:ascii="Times New Roman" w:hAnsi="Times New Roman" w:cs="Times New Roman"/>
                <w:i w:val="0"/>
                <w:iCs w:val="0"/>
                <w:sz w:val="18"/>
                <w:szCs w:val="18"/>
                <w:highlight w:val="none"/>
                <w:lang w:eastAsia="zh-CN"/>
              </w:rPr>
            </w:pPr>
            <w:r>
              <w:rPr>
                <w:rFonts w:hint="default" w:ascii="Times New Roman" w:hAnsi="Times New Roman" w:eastAsia="黑体" w:cs="Times New Roman"/>
                <w:sz w:val="18"/>
                <w:szCs w:val="18"/>
                <w:lang w:val="en-US" w:eastAsia="zh-CN"/>
              </w:rPr>
              <w:t>注：</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”为无指标要求。</w:t>
            </w:r>
          </w:p>
        </w:tc>
      </w:tr>
    </w:tbl>
    <w:p>
      <w:pPr>
        <w:pStyle w:val="41"/>
        <w:adjustRightInd w:val="0"/>
        <w:snapToGrid w:val="0"/>
        <w:spacing w:before="0" w:beforeLines="0" w:after="0" w:afterLines="0"/>
        <w:rPr>
          <w:rFonts w:hint="eastAsia" w:hAnsi="黑体" w:cs="黑体"/>
          <w:bCs/>
          <w:szCs w:val="21"/>
          <w:lang w:val="en-US" w:eastAsia="zh-CN"/>
        </w:rPr>
      </w:pPr>
    </w:p>
    <w:p>
      <w:pPr>
        <w:pStyle w:val="41"/>
        <w:adjustRightInd w:val="0"/>
        <w:snapToGrid w:val="0"/>
        <w:spacing w:before="156" w:after="156"/>
        <w:rPr>
          <w:rFonts w:hAnsi="黑体" w:cs="黑体"/>
          <w:bCs/>
          <w:szCs w:val="21"/>
        </w:rPr>
      </w:pPr>
      <w:r>
        <w:rPr>
          <w:rFonts w:hint="eastAsia" w:hAnsi="黑体" w:cs="黑体"/>
          <w:bCs/>
          <w:szCs w:val="21"/>
          <w:lang w:val="en-US" w:eastAsia="zh-CN"/>
        </w:rPr>
        <w:t>5.2</w:t>
      </w:r>
      <w:r>
        <w:rPr>
          <w:rFonts w:hint="eastAsia" w:hAnsi="黑体" w:cs="黑体"/>
          <w:bCs/>
          <w:szCs w:val="21"/>
        </w:rPr>
        <w:t xml:space="preserve">  水分</w:t>
      </w:r>
    </w:p>
    <w:p>
      <w:pPr>
        <w:pStyle w:val="31"/>
        <w:ind w:firstLine="420"/>
        <w:rPr>
          <w:rFonts w:ascii="Times New Roman"/>
        </w:rPr>
      </w:pPr>
      <w:r>
        <w:rPr>
          <w:rFonts w:ascii="Times New Roman"/>
        </w:rPr>
        <w:t>产品的水分</w:t>
      </w:r>
      <w:r>
        <w:rPr>
          <w:rFonts w:hint="eastAsia" w:hAnsi="宋体" w:cs="宋体"/>
          <w:szCs w:val="21"/>
        </w:rPr>
        <w:t>含量不大于</w:t>
      </w:r>
      <w:r>
        <w:rPr>
          <w:rFonts w:hint="eastAsia" w:ascii="Times New Roman" w:eastAsiaTheme="minorEastAsia"/>
        </w:rPr>
        <w:t>60</w:t>
      </w:r>
      <w:r>
        <w:rPr>
          <w:rFonts w:hint="eastAsia" w:ascii="Times New Roman"/>
        </w:rPr>
        <w:t xml:space="preserve"> </w:t>
      </w:r>
      <w:r>
        <w:rPr>
          <w:rFonts w:ascii="Times New Roman"/>
        </w:rPr>
        <w:t>%。</w:t>
      </w:r>
    </w:p>
    <w:p>
      <w:pPr>
        <w:pStyle w:val="41"/>
        <w:adjustRightInd w:val="0"/>
        <w:snapToGrid w:val="0"/>
        <w:spacing w:before="156" w:after="156"/>
        <w:rPr>
          <w:rFonts w:hAnsi="黑体" w:cs="黑体"/>
          <w:bCs/>
          <w:szCs w:val="21"/>
        </w:rPr>
      </w:pPr>
      <w:r>
        <w:rPr>
          <w:rFonts w:hint="eastAsia" w:hAnsi="黑体" w:cs="黑体"/>
          <w:bCs/>
          <w:szCs w:val="21"/>
          <w:lang w:val="en-US" w:eastAsia="zh-CN"/>
        </w:rPr>
        <w:t>5.3</w:t>
      </w:r>
      <w:r>
        <w:rPr>
          <w:rFonts w:hint="eastAsia" w:hAnsi="黑体" w:cs="黑体"/>
          <w:bCs/>
          <w:szCs w:val="21"/>
        </w:rPr>
        <w:t xml:space="preserve">  外观质量</w:t>
      </w:r>
    </w:p>
    <w:p>
      <w:pPr>
        <w:pStyle w:val="31"/>
        <w:tabs>
          <w:tab w:val="left" w:pos="3625"/>
        </w:tabs>
        <w:spacing w:before="156" w:beforeLines="50" w:after="156" w:afterLines="50"/>
        <w:ind w:firstLine="420" w:firstLineChars="200"/>
        <w:jc w:val="both"/>
        <w:rPr>
          <w:rFonts w:ascii="宋体" w:hAnsi="宋体" w:cs="宋体"/>
          <w:szCs w:val="21"/>
        </w:rPr>
      </w:pPr>
      <w:r>
        <w:rPr>
          <w:rFonts w:hint="eastAsia" w:ascii="Times New Roman" w:eastAsiaTheme="minorEastAsia"/>
        </w:rPr>
        <w:t>产品</w:t>
      </w:r>
      <w:r>
        <w:rPr>
          <w:rFonts w:hint="eastAsia" w:ascii="宋体" w:hAnsi="宋体" w:cs="宋体"/>
          <w:szCs w:val="21"/>
        </w:rPr>
        <w:t>为</w:t>
      </w:r>
      <w:r>
        <w:rPr>
          <w:rFonts w:hint="eastAsia" w:hAnsi="宋体" w:cs="宋体"/>
          <w:szCs w:val="21"/>
          <w:lang w:val="en-US" w:eastAsia="zh-CN"/>
        </w:rPr>
        <w:t>湿</w:t>
      </w:r>
      <w:r>
        <w:rPr>
          <w:rFonts w:hint="eastAsia" w:ascii="宋体" w:hAnsi="宋体" w:cs="宋体"/>
          <w:szCs w:val="21"/>
        </w:rPr>
        <w:t>块状</w:t>
      </w:r>
      <w:r>
        <w:rPr>
          <w:rFonts w:hint="eastAsia" w:hAnsi="宋体" w:cs="宋体"/>
          <w:szCs w:val="21"/>
          <w:lang w:val="en-US" w:eastAsia="zh-CN"/>
        </w:rPr>
        <w:t>或</w:t>
      </w:r>
      <w:r>
        <w:rPr>
          <w:rFonts w:hint="eastAsia" w:ascii="宋体" w:hAnsi="宋体" w:cs="宋体"/>
          <w:szCs w:val="21"/>
          <w:lang w:val="en-US" w:eastAsia="zh-CN"/>
        </w:rPr>
        <w:t>泥状固体</w:t>
      </w:r>
      <w:r>
        <w:rPr>
          <w:rFonts w:hint="eastAsia" w:ascii="宋体" w:hAnsi="宋体" w:cs="宋体"/>
          <w:szCs w:val="21"/>
        </w:rPr>
        <w:t>，无明显其他夹杂物</w:t>
      </w:r>
      <w:r>
        <w:rPr>
          <w:rFonts w:hint="eastAsia" w:hAnsi="宋体" w:cs="宋体"/>
          <w:szCs w:val="21"/>
          <w:lang w:eastAsia="zh-CN"/>
        </w:rPr>
        <w:t>，</w:t>
      </w:r>
      <w:r>
        <w:rPr>
          <w:rFonts w:hint="eastAsia" w:hAnsi="宋体" w:cs="宋体"/>
          <w:szCs w:val="21"/>
          <w:lang w:val="en-US" w:eastAsia="zh-CN"/>
        </w:rPr>
        <w:t>同一批产品颜色应保持一致。</w:t>
      </w:r>
    </w:p>
    <w:p>
      <w:pPr>
        <w:pStyle w:val="41"/>
        <w:adjustRightInd w:val="0"/>
        <w:snapToGrid w:val="0"/>
        <w:spacing w:before="156" w:after="156"/>
        <w:rPr>
          <w:rFonts w:hAnsi="黑体" w:cs="黑体"/>
          <w:bCs/>
          <w:szCs w:val="21"/>
        </w:rPr>
      </w:pPr>
      <w:r>
        <w:rPr>
          <w:rFonts w:hint="eastAsia" w:hAnsi="黑体" w:cs="黑体"/>
          <w:bCs/>
          <w:szCs w:val="21"/>
          <w:lang w:val="en-US" w:eastAsia="zh-CN"/>
        </w:rPr>
        <w:t>5.4</w:t>
      </w:r>
      <w:r>
        <w:rPr>
          <w:rFonts w:hint="eastAsia" w:hAnsi="黑体" w:cs="黑体"/>
          <w:bCs/>
          <w:szCs w:val="21"/>
        </w:rPr>
        <w:t xml:space="preserve">  其他</w:t>
      </w:r>
    </w:p>
    <w:p>
      <w:pPr>
        <w:pStyle w:val="31"/>
        <w:ind w:firstLine="420"/>
        <w:rPr>
          <w:rFonts w:ascii="Times New Roman" w:eastAsiaTheme="minorEastAsia"/>
        </w:rPr>
      </w:pPr>
      <w:r>
        <w:rPr>
          <w:rFonts w:hint="eastAsia" w:ascii="Times New Roman" w:eastAsiaTheme="minorEastAsia"/>
        </w:rPr>
        <w:t>若需方有特殊要求，可由供需双方协商确定。</w:t>
      </w:r>
    </w:p>
    <w:p>
      <w:pPr>
        <w:pStyle w:val="41"/>
        <w:spacing w:before="312" w:beforeLines="100" w:after="312" w:afterLines="100"/>
        <w:rPr>
          <w:rFonts w:hAnsi="黑体" w:cs="黑体"/>
          <w:szCs w:val="22"/>
        </w:rPr>
      </w:pPr>
      <w:r>
        <w:rPr>
          <w:rFonts w:hint="eastAsia" w:hAnsi="黑体" w:cs="黑体"/>
          <w:szCs w:val="22"/>
          <w:lang w:val="en-US" w:eastAsia="zh-CN"/>
        </w:rPr>
        <w:t>6</w:t>
      </w:r>
      <w:r>
        <w:rPr>
          <w:rFonts w:hint="eastAsia" w:hAnsi="黑体" w:cs="黑体"/>
          <w:szCs w:val="22"/>
        </w:rPr>
        <w:t xml:space="preserve">  试验方法</w:t>
      </w:r>
    </w:p>
    <w:p>
      <w:pPr>
        <w:spacing w:before="156" w:beforeLines="50" w:after="156" w:afterLines="50"/>
        <w:ind w:firstLine="0" w:firstLineChars="0"/>
        <w:outlineLvl w:val="2"/>
        <w:rPr>
          <w:rFonts w:ascii="黑体" w:hAnsi="黑体" w:eastAsia="黑体" w:cs="黑体"/>
          <w:szCs w:val="21"/>
          <w:highlight w:val="none"/>
        </w:rPr>
      </w:pPr>
      <w:r>
        <w:rPr>
          <w:rFonts w:hint="eastAsia" w:ascii="黑体" w:hAnsi="黑体" w:eastAsia="黑体" w:cs="黑体"/>
          <w:szCs w:val="21"/>
          <w:highlight w:val="none"/>
          <w:lang w:val="en-US" w:eastAsia="zh-CN"/>
        </w:rPr>
        <w:t>6.</w:t>
      </w:r>
      <w:r>
        <w:rPr>
          <w:rFonts w:hint="eastAsia" w:ascii="黑体" w:hAnsi="黑体" w:eastAsia="黑体" w:cs="黑体"/>
          <w:szCs w:val="21"/>
          <w:highlight w:val="none"/>
        </w:rPr>
        <w:t>1  化学成分</w:t>
      </w:r>
    </w:p>
    <w:p>
      <w:pPr>
        <w:outlineLvl w:val="2"/>
        <w:rPr>
          <w:rFonts w:hint="eastAsia" w:eastAsiaTheme="minorEastAsia"/>
          <w:szCs w:val="22"/>
          <w:highlight w:val="none"/>
          <w:lang w:val="en-US" w:eastAsia="zh-CN"/>
        </w:rPr>
      </w:pPr>
      <w:r>
        <w:rPr>
          <w:rFonts w:hint="eastAsia" w:ascii="黑体" w:hAnsi="黑体" w:eastAsia="黑体" w:cs="黑体"/>
          <w:szCs w:val="22"/>
          <w:highlight w:val="none"/>
          <w:lang w:val="en-US" w:eastAsia="zh-CN"/>
        </w:rPr>
        <w:t>6</w:t>
      </w:r>
      <w:r>
        <w:rPr>
          <w:rFonts w:hint="eastAsia" w:ascii="黑体" w:hAnsi="黑体" w:eastAsia="黑体" w:cs="黑体"/>
          <w:szCs w:val="22"/>
          <w:highlight w:val="none"/>
        </w:rPr>
        <w:t xml:space="preserve">.1.1 </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中镍含量的</w:t>
      </w:r>
      <w:r>
        <w:rPr>
          <w:rFonts w:hint="eastAsia" w:eastAsiaTheme="minorEastAsia"/>
          <w:szCs w:val="22"/>
          <w:highlight w:val="none"/>
          <w:lang w:val="en-US" w:eastAsia="zh-CN"/>
        </w:rPr>
        <w:t>测定按YS/T 1342.1</w:t>
      </w:r>
      <w:r>
        <w:rPr>
          <w:rFonts w:hint="eastAsia" w:eastAsiaTheme="minorEastAsia"/>
          <w:szCs w:val="22"/>
          <w:highlight w:val="none"/>
        </w:rPr>
        <w:t>的规定进行</w:t>
      </w:r>
      <w:r>
        <w:rPr>
          <w:rFonts w:hint="eastAsia" w:eastAsiaTheme="minorEastAsia"/>
          <w:szCs w:val="22"/>
          <w:highlight w:val="none"/>
          <w:lang w:val="en-US" w:eastAsia="zh-CN"/>
        </w:rPr>
        <w:t>。</w:t>
      </w:r>
    </w:p>
    <w:p>
      <w:pPr>
        <w:outlineLvl w:val="2"/>
        <w:rPr>
          <w:rFonts w:hint="eastAsia" w:eastAsiaTheme="minorEastAsia"/>
          <w:szCs w:val="22"/>
          <w:highlight w:val="none"/>
          <w:lang w:val="en-US" w:eastAsia="zh-CN"/>
        </w:rPr>
      </w:pPr>
      <w:r>
        <w:rPr>
          <w:rFonts w:hint="eastAsia" w:ascii="黑体" w:hAnsi="黑体" w:eastAsia="黑体" w:cs="黑体"/>
          <w:szCs w:val="22"/>
          <w:highlight w:val="none"/>
          <w:lang w:val="en-US" w:eastAsia="zh-CN"/>
        </w:rPr>
        <w:t>6</w:t>
      </w:r>
      <w:r>
        <w:rPr>
          <w:rFonts w:hint="eastAsia" w:ascii="黑体" w:hAnsi="黑体" w:eastAsia="黑体" w:cs="黑体"/>
          <w:szCs w:val="22"/>
          <w:highlight w:val="none"/>
        </w:rPr>
        <w:t>.1.2</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中钴含量的</w:t>
      </w:r>
      <w:r>
        <w:rPr>
          <w:rFonts w:hint="eastAsia" w:eastAsiaTheme="minorEastAsia"/>
          <w:szCs w:val="22"/>
          <w:highlight w:val="none"/>
          <w:lang w:val="en-US" w:eastAsia="zh-CN"/>
        </w:rPr>
        <w:t>测定按</w:t>
      </w:r>
      <w:r>
        <w:rPr>
          <w:rFonts w:hint="eastAsia" w:eastAsiaTheme="minorEastAsia"/>
          <w:szCs w:val="22"/>
          <w:highlight w:val="none"/>
        </w:rPr>
        <w:t>YS/T 1342.2的规定进行</w:t>
      </w:r>
      <w:r>
        <w:rPr>
          <w:rFonts w:hint="eastAsia" w:eastAsiaTheme="minorEastAsia"/>
          <w:szCs w:val="22"/>
          <w:highlight w:val="none"/>
          <w:lang w:val="en-US" w:eastAsia="zh-CN"/>
        </w:rPr>
        <w:t>。</w:t>
      </w:r>
    </w:p>
    <w:p>
      <w:pPr>
        <w:outlineLvl w:val="2"/>
        <w:rPr>
          <w:rFonts w:hint="eastAsia" w:eastAsiaTheme="minorEastAsia"/>
          <w:szCs w:val="22"/>
          <w:highlight w:val="none"/>
          <w:lang w:val="en-US" w:eastAsia="zh-CN"/>
        </w:rPr>
      </w:pPr>
      <w:r>
        <w:rPr>
          <w:rFonts w:hint="eastAsia" w:ascii="黑体" w:hAnsi="黑体" w:eastAsia="黑体" w:cs="黑体"/>
          <w:szCs w:val="22"/>
          <w:highlight w:val="none"/>
          <w:lang w:val="en-US" w:eastAsia="zh-CN"/>
        </w:rPr>
        <w:t>6</w:t>
      </w:r>
      <w:r>
        <w:rPr>
          <w:rFonts w:hint="eastAsia" w:ascii="黑体" w:hAnsi="黑体" w:eastAsia="黑体" w:cs="黑体"/>
          <w:szCs w:val="22"/>
          <w:highlight w:val="none"/>
        </w:rPr>
        <w:t xml:space="preserve">.1.3 </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中硫含量的</w:t>
      </w:r>
      <w:r>
        <w:rPr>
          <w:rFonts w:hint="eastAsia" w:eastAsiaTheme="minorEastAsia"/>
          <w:szCs w:val="22"/>
          <w:highlight w:val="none"/>
          <w:lang w:val="en-US" w:eastAsia="zh-CN"/>
        </w:rPr>
        <w:t>测定按</w:t>
      </w:r>
      <w:r>
        <w:rPr>
          <w:rFonts w:hint="eastAsia" w:eastAsiaTheme="minorEastAsia"/>
          <w:szCs w:val="22"/>
          <w:highlight w:val="none"/>
        </w:rPr>
        <w:t>YS/T 252.5的规定进行</w:t>
      </w:r>
      <w:r>
        <w:rPr>
          <w:rFonts w:hint="eastAsia" w:eastAsiaTheme="minorEastAsia"/>
          <w:szCs w:val="22"/>
          <w:highlight w:val="none"/>
          <w:lang w:val="en-US" w:eastAsia="zh-CN"/>
        </w:rPr>
        <w:t>。</w:t>
      </w:r>
    </w:p>
    <w:p>
      <w:pPr>
        <w:outlineLvl w:val="2"/>
        <w:rPr>
          <w:rFonts w:hint="eastAsia" w:eastAsiaTheme="minorEastAsia"/>
          <w:szCs w:val="22"/>
          <w:highlight w:val="none"/>
          <w:lang w:val="en-US" w:eastAsia="zh-CN"/>
        </w:rPr>
      </w:pPr>
      <w:r>
        <w:rPr>
          <w:rFonts w:hint="eastAsia" w:ascii="黑体" w:hAnsi="黑体" w:eastAsia="黑体" w:cs="黑体"/>
          <w:szCs w:val="22"/>
          <w:highlight w:val="none"/>
          <w:lang w:val="en-US" w:eastAsia="zh-CN"/>
        </w:rPr>
        <w:t>6</w:t>
      </w:r>
      <w:r>
        <w:rPr>
          <w:rFonts w:hint="eastAsia" w:ascii="黑体" w:hAnsi="黑体" w:eastAsia="黑体" w:cs="黑体"/>
          <w:szCs w:val="22"/>
          <w:highlight w:val="none"/>
        </w:rPr>
        <w:t>.1.4</w:t>
      </w:r>
      <w:r>
        <w:rPr>
          <w:rFonts w:hint="eastAsia" w:eastAsiaTheme="minorEastAsia"/>
          <w:szCs w:val="22"/>
          <w:highlight w:val="none"/>
        </w:rPr>
        <w:t xml:space="preserve">  </w:t>
      </w:r>
      <w:r>
        <w:rPr>
          <w:rFonts w:hint="eastAsia" w:eastAsiaTheme="minorEastAsia"/>
          <w:szCs w:val="22"/>
          <w:highlight w:val="none"/>
          <w:lang w:val="en-US" w:eastAsia="zh-CN"/>
        </w:rPr>
        <w:t>产品</w:t>
      </w:r>
      <w:r>
        <w:rPr>
          <w:rFonts w:hint="eastAsia" w:eastAsiaTheme="minorEastAsia"/>
          <w:szCs w:val="22"/>
          <w:highlight w:val="none"/>
        </w:rPr>
        <w:t>中铁、铝、</w:t>
      </w:r>
      <w:r>
        <w:rPr>
          <w:rFonts w:hint="eastAsia" w:eastAsiaTheme="minorEastAsia"/>
          <w:szCs w:val="22"/>
          <w:highlight w:val="none"/>
          <w:lang w:val="en-US" w:eastAsia="zh-CN"/>
        </w:rPr>
        <w:t>钙、镁、</w:t>
      </w:r>
      <w:r>
        <w:rPr>
          <w:rFonts w:hint="eastAsia" w:eastAsiaTheme="minorEastAsia"/>
          <w:szCs w:val="22"/>
          <w:highlight w:val="none"/>
        </w:rPr>
        <w:t>铅、砷、镉含量的测定</w:t>
      </w:r>
      <w:r>
        <w:rPr>
          <w:rFonts w:hint="eastAsia" w:eastAsiaTheme="minorEastAsia"/>
          <w:szCs w:val="22"/>
          <w:highlight w:val="none"/>
          <w:lang w:val="en-US" w:eastAsia="zh-CN"/>
        </w:rPr>
        <w:t>按</w:t>
      </w:r>
      <w:r>
        <w:rPr>
          <w:rFonts w:hint="eastAsia" w:eastAsiaTheme="minorEastAsia"/>
          <w:szCs w:val="22"/>
          <w:highlight w:val="none"/>
        </w:rPr>
        <w:t>YS/T 1229.3的规定进行</w:t>
      </w:r>
      <w:r>
        <w:rPr>
          <w:rFonts w:ascii="Times New Roman" w:eastAsiaTheme="minorEastAsia"/>
          <w:highlight w:val="none"/>
        </w:rPr>
        <w:t>。</w:t>
      </w:r>
    </w:p>
    <w:p>
      <w:pPr>
        <w:pStyle w:val="31"/>
        <w:ind w:firstLine="0" w:firstLineChars="0"/>
        <w:outlineLvl w:val="2"/>
        <w:rPr>
          <w:rFonts w:ascii="Times New Roman" w:hAnsi="Times New Roman" w:cs="Times New Roman" w:eastAsiaTheme="minorEastAsia"/>
          <w:szCs w:val="22"/>
          <w:highlight w:val="none"/>
        </w:rPr>
      </w:pPr>
      <w:r>
        <w:rPr>
          <w:rFonts w:hint="eastAsia" w:ascii="黑体" w:hAnsi="黑体" w:eastAsia="黑体" w:cs="黑体"/>
          <w:szCs w:val="22"/>
          <w:highlight w:val="none"/>
          <w:lang w:val="en-US" w:eastAsia="zh-CN"/>
        </w:rPr>
        <w:t>6</w:t>
      </w:r>
      <w:r>
        <w:rPr>
          <w:rFonts w:hint="eastAsia" w:ascii="黑体" w:hAnsi="黑体" w:eastAsia="黑体" w:cs="黑体"/>
          <w:szCs w:val="22"/>
          <w:highlight w:val="none"/>
        </w:rPr>
        <w:t xml:space="preserve">.1.5 </w:t>
      </w:r>
      <w:r>
        <w:rPr>
          <w:rFonts w:hint="eastAsia" w:eastAsiaTheme="minorEastAsia"/>
          <w:szCs w:val="22"/>
          <w:highlight w:val="none"/>
        </w:rPr>
        <w:t xml:space="preserve"> </w:t>
      </w:r>
      <w:r>
        <w:rPr>
          <w:rFonts w:hint="default" w:ascii="Times New Roman" w:hAnsi="Times New Roman" w:cs="Times New Roman" w:eastAsiaTheme="minorEastAsia"/>
          <w:szCs w:val="22"/>
          <w:highlight w:val="none"/>
          <w:lang w:val="en-US" w:eastAsia="zh-CN"/>
        </w:rPr>
        <w:t>产品</w:t>
      </w:r>
      <w:r>
        <w:rPr>
          <w:rFonts w:hint="default" w:ascii="Times New Roman" w:hAnsi="Times New Roman" w:cs="Times New Roman" w:eastAsiaTheme="minorEastAsia"/>
          <w:szCs w:val="22"/>
          <w:highlight w:val="none"/>
        </w:rPr>
        <w:t>中铬含量的测定</w:t>
      </w:r>
      <w:r>
        <w:rPr>
          <w:rFonts w:hint="default" w:ascii="Times New Roman" w:hAnsi="Times New Roman" w:cs="Times New Roman" w:eastAsiaTheme="minorEastAsia"/>
          <w:szCs w:val="22"/>
          <w:highlight w:val="none"/>
          <w:lang w:val="en-US" w:eastAsia="zh-CN"/>
        </w:rPr>
        <w:t>按</w:t>
      </w:r>
      <w:r>
        <w:rPr>
          <w:rFonts w:hint="default" w:ascii="Times New Roman" w:hAnsi="Times New Roman" w:cs="Times New Roman" w:eastAsiaTheme="minorEastAsia"/>
          <w:szCs w:val="22"/>
          <w:highlight w:val="none"/>
        </w:rPr>
        <w:t xml:space="preserve">YS/T </w:t>
      </w:r>
      <w:r>
        <w:rPr>
          <w:rFonts w:hint="default" w:ascii="Times New Roman" w:hAnsi="Times New Roman" w:cs="Times New Roman" w:eastAsiaTheme="minorEastAsia"/>
          <w:szCs w:val="22"/>
          <w:highlight w:val="none"/>
          <w:lang w:eastAsia="zh-CN"/>
        </w:rPr>
        <w:t>x</w:t>
      </w:r>
      <w:r>
        <w:rPr>
          <w:rFonts w:hint="default" w:ascii="Times New Roman" w:hAnsi="Times New Roman" w:cs="Times New Roman" w:eastAsiaTheme="minorEastAsia"/>
          <w:szCs w:val="22"/>
          <w:highlight w:val="none"/>
          <w:lang w:val="en-US" w:eastAsia="zh-CN"/>
        </w:rPr>
        <w:t>xx</w:t>
      </w:r>
      <w:r>
        <w:rPr>
          <w:rFonts w:hint="default" w:ascii="Times New Roman" w:eastAsiaTheme="minorEastAsia"/>
          <w:szCs w:val="22"/>
          <w:highlight w:val="none"/>
          <w:lang w:val="en-US" w:eastAsia="zh-CN"/>
        </w:rPr>
        <w:t>x.2</w:t>
      </w:r>
      <w:r>
        <w:rPr>
          <w:rFonts w:hint="default" w:ascii="Times New Roman" w:hAnsi="Times New Roman" w:cs="Times New Roman" w:eastAsiaTheme="minorEastAsia"/>
          <w:szCs w:val="22"/>
          <w:highlight w:val="none"/>
        </w:rPr>
        <w:t>的规定进行</w:t>
      </w:r>
      <w:r>
        <w:rPr>
          <w:rFonts w:ascii="Times New Roman" w:hAnsi="Times New Roman" w:cs="Times New Roman" w:eastAsiaTheme="minorEastAsia"/>
          <w:highlight w:val="none"/>
        </w:rPr>
        <w:t>。</w:t>
      </w:r>
    </w:p>
    <w:p>
      <w:pPr>
        <w:pStyle w:val="2"/>
        <w:rPr>
          <w:rFonts w:hint="eastAsia" w:eastAsiaTheme="minorEastAsia"/>
          <w:szCs w:val="22"/>
          <w:highlight w:val="none"/>
          <w:lang w:val="en-US" w:eastAsia="zh-CN"/>
        </w:rPr>
      </w:pPr>
      <w:r>
        <w:rPr>
          <w:rFonts w:hint="eastAsia" w:ascii="黑体" w:hAnsi="黑体" w:eastAsia="黑体" w:cs="黑体"/>
          <w:szCs w:val="21"/>
          <w:highlight w:val="none"/>
          <w:lang w:val="en-US" w:eastAsia="zh-CN"/>
        </w:rPr>
        <w:t>6</w:t>
      </w:r>
      <w:r>
        <w:rPr>
          <w:rFonts w:hint="eastAsia" w:ascii="黑体" w:hAnsi="黑体" w:eastAsia="黑体" w:cs="黑体"/>
          <w:szCs w:val="21"/>
          <w:highlight w:val="none"/>
        </w:rPr>
        <w:t>.1.</w:t>
      </w:r>
      <w:r>
        <w:rPr>
          <w:rFonts w:hint="eastAsia" w:ascii="黑体" w:hAnsi="黑体" w:eastAsia="黑体" w:cs="黑体"/>
          <w:szCs w:val="21"/>
          <w:highlight w:val="none"/>
          <w:lang w:val="en-US" w:eastAsia="zh-CN"/>
        </w:rPr>
        <w:t>6</w:t>
      </w:r>
      <w:r>
        <w:rPr>
          <w:rFonts w:hint="eastAsia" w:ascii="黑体" w:hAnsi="黑体" w:eastAsia="黑体" w:cs="黑体"/>
          <w:szCs w:val="21"/>
          <w:highlight w:val="none"/>
        </w:rPr>
        <w:t xml:space="preserve">  </w:t>
      </w:r>
      <w:r>
        <w:rPr>
          <w:rFonts w:hint="eastAsia" w:eastAsiaTheme="minorEastAsia"/>
          <w:szCs w:val="22"/>
          <w:highlight w:val="none"/>
          <w:lang w:val="en-US" w:eastAsia="zh-CN"/>
        </w:rPr>
        <w:t>产品</w:t>
      </w:r>
      <w:r>
        <w:rPr>
          <w:rFonts w:hint="eastAsia" w:asciiTheme="minorEastAsia" w:hAnsiTheme="minorEastAsia" w:eastAsiaTheme="minorEastAsia"/>
          <w:szCs w:val="22"/>
          <w:highlight w:val="none"/>
        </w:rPr>
        <w:t>中氯含量的测定</w:t>
      </w:r>
      <w:r>
        <w:rPr>
          <w:rFonts w:hint="eastAsia" w:asciiTheme="minorEastAsia" w:hAnsiTheme="minorEastAsia" w:eastAsiaTheme="minorEastAsia"/>
          <w:szCs w:val="22"/>
          <w:highlight w:val="none"/>
          <w:lang w:val="en-US" w:eastAsia="zh-CN"/>
        </w:rPr>
        <w:t>按</w:t>
      </w:r>
      <w:r>
        <w:rPr>
          <w:rFonts w:ascii="Times New Roman" w:hAnsi="Times New Roman" w:eastAsiaTheme="minorEastAsia"/>
          <w:szCs w:val="22"/>
          <w:highlight w:val="none"/>
        </w:rPr>
        <w:t>YS/T 1229.4</w:t>
      </w:r>
      <w:r>
        <w:rPr>
          <w:rFonts w:hint="eastAsia" w:asciiTheme="minorEastAsia" w:hAnsiTheme="minorEastAsia" w:eastAsiaTheme="minorEastAsia"/>
          <w:szCs w:val="22"/>
          <w:highlight w:val="none"/>
        </w:rPr>
        <w:t>的规定进行</w:t>
      </w:r>
      <w:r>
        <w:rPr>
          <w:rFonts w:hint="eastAsia" w:eastAsiaTheme="minorEastAsia"/>
          <w:szCs w:val="22"/>
          <w:highlight w:val="none"/>
          <w:lang w:val="en-US" w:eastAsia="zh-CN"/>
        </w:rPr>
        <w:t>。</w:t>
      </w:r>
    </w:p>
    <w:p>
      <w:pPr>
        <w:pStyle w:val="2"/>
        <w:rPr>
          <w:rFonts w:hint="default" w:ascii="黑体" w:hAnsi="黑体" w:eastAsia="黑体" w:cs="黑体"/>
          <w:szCs w:val="22"/>
          <w:highlight w:val="none"/>
          <w:lang w:val="en-US" w:eastAsia="zh-CN"/>
        </w:rPr>
      </w:pPr>
      <w:r>
        <w:rPr>
          <w:rFonts w:hint="eastAsia" w:ascii="黑体" w:hAnsi="黑体" w:eastAsia="黑体" w:cs="黑体"/>
          <w:szCs w:val="22"/>
          <w:highlight w:val="none"/>
          <w:lang w:val="en-US" w:eastAsia="zh-CN"/>
        </w:rPr>
        <w:t xml:space="preserve">6.1.7  </w:t>
      </w:r>
      <w:r>
        <w:rPr>
          <w:rFonts w:hint="eastAsia" w:ascii="Calibri" w:hAnsi="Calibri" w:cs="Times New Roman" w:eastAsiaTheme="minorEastAsia"/>
          <w:szCs w:val="22"/>
          <w:highlight w:val="none"/>
          <w:lang w:val="en-US" w:eastAsia="zh-CN"/>
        </w:rPr>
        <w:t>上述产品中元素含量超出测定范围</w:t>
      </w:r>
      <w:r>
        <w:rPr>
          <w:rFonts w:hint="eastAsia" w:cs="Times New Roman" w:eastAsiaTheme="minorEastAsia"/>
          <w:szCs w:val="22"/>
          <w:highlight w:val="none"/>
          <w:lang w:val="en-US" w:eastAsia="zh-CN"/>
        </w:rPr>
        <w:t>时</w:t>
      </w:r>
      <w:r>
        <w:rPr>
          <w:rFonts w:hint="eastAsia" w:ascii="Calibri" w:hAnsi="Calibri" w:cs="Times New Roman" w:eastAsiaTheme="minorEastAsia"/>
          <w:szCs w:val="22"/>
          <w:highlight w:val="none"/>
          <w:lang w:val="en-US" w:eastAsia="zh-CN"/>
        </w:rPr>
        <w:t>的</w:t>
      </w:r>
      <w:r>
        <w:rPr>
          <w:rFonts w:hint="eastAsia" w:cs="Times New Roman" w:eastAsiaTheme="minorEastAsia"/>
          <w:szCs w:val="22"/>
          <w:highlight w:val="none"/>
          <w:lang w:val="en-US" w:eastAsia="zh-CN"/>
        </w:rPr>
        <w:t>测定</w:t>
      </w:r>
      <w:r>
        <w:rPr>
          <w:rFonts w:hint="eastAsia" w:ascii="Calibri" w:hAnsi="Calibri" w:cs="Times New Roman" w:eastAsiaTheme="minorEastAsia"/>
          <w:szCs w:val="22"/>
          <w:highlight w:val="none"/>
          <w:lang w:val="en-US" w:eastAsia="zh-CN"/>
        </w:rPr>
        <w:t>由供需双方协商确定检测方法</w:t>
      </w:r>
      <w:r>
        <w:rPr>
          <w:rFonts w:hint="eastAsia" w:cs="Times New Roman" w:eastAsiaTheme="minorEastAsia"/>
          <w:szCs w:val="22"/>
          <w:highlight w:val="none"/>
          <w:lang w:val="en-US" w:eastAsia="zh-CN"/>
        </w:rPr>
        <w:t>进行</w:t>
      </w:r>
      <w:r>
        <w:rPr>
          <w:rFonts w:hint="eastAsia" w:ascii="Calibri" w:hAnsi="Calibri" w:cs="Times New Roman" w:eastAsiaTheme="minorEastAsia"/>
          <w:szCs w:val="22"/>
          <w:highlight w:val="none"/>
          <w:lang w:val="en-US" w:eastAsia="zh-CN"/>
        </w:rPr>
        <w:t>。</w:t>
      </w:r>
    </w:p>
    <w:p>
      <w:pPr>
        <w:spacing w:before="156" w:beforeLines="50" w:after="156" w:afterLines="50"/>
        <w:rPr>
          <w:rFonts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.2  水分</w:t>
      </w:r>
    </w:p>
    <w:p>
      <w:pPr>
        <w:spacing w:before="0" w:beforeLines="0" w:after="0" w:afterLines="0"/>
        <w:ind w:firstLine="420" w:firstLineChars="200"/>
        <w:outlineLvl w:val="2"/>
        <w:rPr>
          <w:rFonts w:eastAsiaTheme="minorEastAsia"/>
          <w:szCs w:val="22"/>
          <w:highlight w:val="none"/>
        </w:rPr>
      </w:pPr>
      <w:r>
        <w:rPr>
          <w:rFonts w:hint="eastAsia" w:eastAsiaTheme="minorEastAsia"/>
          <w:szCs w:val="22"/>
          <w:highlight w:val="none"/>
          <w:lang w:val="en-US" w:eastAsia="zh-CN"/>
        </w:rPr>
        <w:t>产品</w:t>
      </w:r>
      <w:r>
        <w:rPr>
          <w:rFonts w:hint="eastAsia" w:eastAsiaTheme="minorEastAsia"/>
          <w:szCs w:val="22"/>
          <w:highlight w:val="none"/>
        </w:rPr>
        <w:t>水分的测定</w:t>
      </w:r>
      <w:r>
        <w:rPr>
          <w:rFonts w:hint="eastAsia" w:eastAsiaTheme="minorEastAsia"/>
          <w:szCs w:val="22"/>
          <w:highlight w:val="none"/>
          <w:lang w:val="en-US" w:eastAsia="zh-CN"/>
        </w:rPr>
        <w:t>按</w:t>
      </w:r>
      <w:r>
        <w:rPr>
          <w:rFonts w:hint="eastAsia" w:eastAsiaTheme="minorEastAsia"/>
          <w:szCs w:val="22"/>
          <w:highlight w:val="none"/>
        </w:rPr>
        <w:t xml:space="preserve">YS/T </w:t>
      </w:r>
      <w:r>
        <w:rPr>
          <w:rFonts w:hint="eastAsia" w:eastAsiaTheme="minorEastAsia"/>
          <w:szCs w:val="22"/>
          <w:highlight w:val="none"/>
          <w:lang w:val="en-US" w:eastAsia="zh-CN"/>
        </w:rPr>
        <w:t>xxxx.5的</w:t>
      </w:r>
      <w:r>
        <w:rPr>
          <w:rFonts w:hint="eastAsia" w:eastAsiaTheme="minorEastAsia"/>
          <w:szCs w:val="22"/>
          <w:highlight w:val="none"/>
        </w:rPr>
        <w:t>规定进行</w:t>
      </w:r>
      <w:r>
        <w:rPr>
          <w:rFonts w:hint="eastAsia" w:eastAsiaTheme="minorEastAsia"/>
          <w:szCs w:val="22"/>
          <w:highlight w:val="none"/>
          <w:lang w:val="en-US" w:eastAsia="zh-CN"/>
        </w:rPr>
        <w:t>测定</w:t>
      </w:r>
      <w:r>
        <w:rPr>
          <w:rFonts w:hint="eastAsia" w:eastAsiaTheme="minorEastAsia"/>
          <w:szCs w:val="22"/>
          <w:highlight w:val="none"/>
        </w:rPr>
        <w:t>。</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.3  外观质量</w:t>
      </w:r>
    </w:p>
    <w:p>
      <w:pPr>
        <w:pStyle w:val="31"/>
        <w:ind w:firstLine="420"/>
        <w:rPr>
          <w:rFonts w:ascii="Times New Roman"/>
        </w:rPr>
      </w:pPr>
      <w:r>
        <w:rPr>
          <w:rFonts w:ascii="Times New Roman"/>
        </w:rPr>
        <w:t>产品的外观质量</w:t>
      </w:r>
      <w:r>
        <w:rPr>
          <w:rFonts w:hint="eastAsia" w:ascii="Times New Roman"/>
        </w:rPr>
        <w:t>由目视法</w:t>
      </w:r>
      <w:r>
        <w:rPr>
          <w:rFonts w:ascii="Times New Roman"/>
        </w:rPr>
        <w:t>检查。</w:t>
      </w:r>
    </w:p>
    <w:p>
      <w:pPr>
        <w:pStyle w:val="41"/>
        <w:spacing w:before="312" w:beforeLines="100" w:after="312" w:afterLines="100"/>
        <w:rPr>
          <w:rFonts w:hAnsi="黑体" w:cs="黑体"/>
          <w:szCs w:val="22"/>
        </w:rPr>
      </w:pPr>
      <w:r>
        <w:rPr>
          <w:rFonts w:hint="eastAsia" w:hAnsi="黑体" w:cs="黑体"/>
          <w:szCs w:val="22"/>
          <w:lang w:val="en-US" w:eastAsia="zh-CN"/>
        </w:rPr>
        <w:t>7</w:t>
      </w:r>
      <w:r>
        <w:rPr>
          <w:rFonts w:hint="eastAsia" w:hAnsi="黑体" w:cs="黑体"/>
          <w:szCs w:val="22"/>
        </w:rPr>
        <w:t xml:space="preserve">  检验规则</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.1  检查和验收</w:t>
      </w:r>
    </w:p>
    <w:p>
      <w:pPr>
        <w:pStyle w:val="31"/>
        <w:ind w:firstLine="0" w:firstLineChars="0"/>
        <w:rPr>
          <w:rFonts w:ascii="Times New Roman"/>
        </w:rPr>
      </w:pPr>
      <w:r>
        <w:rPr>
          <w:rFonts w:hint="eastAsia" w:ascii="黑体" w:hAnsi="黑体" w:eastAsia="黑体" w:cs="黑体"/>
          <w:lang w:val="en-US" w:eastAsia="zh-CN"/>
        </w:rPr>
        <w:t>7</w:t>
      </w:r>
      <w:r>
        <w:rPr>
          <w:rFonts w:hint="eastAsia" w:ascii="黑体" w:hAnsi="黑体" w:eastAsia="黑体" w:cs="黑体"/>
        </w:rPr>
        <w:t xml:space="preserve">.1.1 </w:t>
      </w:r>
      <w:r>
        <w:rPr>
          <w:rFonts w:ascii="Times New Roman" w:eastAsia="黑体"/>
        </w:rPr>
        <w:t xml:space="preserve"> </w:t>
      </w:r>
      <w:r>
        <w:rPr>
          <w:rFonts w:ascii="Times New Roman"/>
        </w:rPr>
        <w:t>产品由供方进行检验，产品质量</w:t>
      </w:r>
      <w:r>
        <w:rPr>
          <w:rFonts w:hint="eastAsia" w:ascii="Times New Roman"/>
          <w:lang w:val="en-US" w:eastAsia="zh-CN"/>
        </w:rPr>
        <w:t>应</w:t>
      </w:r>
      <w:r>
        <w:rPr>
          <w:rFonts w:ascii="Times New Roman"/>
        </w:rPr>
        <w:t>符合本</w:t>
      </w:r>
      <w:r>
        <w:rPr>
          <w:rFonts w:hint="eastAsia" w:ascii="Times New Roman"/>
        </w:rPr>
        <w:t>文件及订货单</w:t>
      </w:r>
      <w:r>
        <w:rPr>
          <w:rFonts w:ascii="Times New Roman"/>
        </w:rPr>
        <w:t>的规定。</w:t>
      </w:r>
    </w:p>
    <w:p>
      <w:pPr>
        <w:pStyle w:val="31"/>
        <w:ind w:firstLine="0" w:firstLineChars="0"/>
        <w:rPr>
          <w:rFonts w:ascii="Times New Roman"/>
        </w:rPr>
      </w:pPr>
      <w:r>
        <w:rPr>
          <w:rFonts w:hint="eastAsia" w:ascii="黑体" w:hAnsi="黑体" w:eastAsia="黑体" w:cs="黑体"/>
          <w:lang w:val="en-US" w:eastAsia="zh-CN"/>
        </w:rPr>
        <w:t>7</w:t>
      </w:r>
      <w:r>
        <w:rPr>
          <w:rFonts w:hint="eastAsia" w:ascii="黑体" w:hAnsi="黑体" w:eastAsia="黑体" w:cs="黑体"/>
        </w:rPr>
        <w:t xml:space="preserve">.1.2 </w:t>
      </w:r>
      <w:r>
        <w:rPr>
          <w:rFonts w:hint="eastAsia" w:ascii="Times New Roman" w:eastAsia="黑体"/>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w:t>
      </w:r>
      <w:r>
        <w:rPr>
          <w:rFonts w:hint="eastAsia" w:ascii="Times New Roman"/>
        </w:rPr>
        <w:t>应在收到产品之日起30</w:t>
      </w:r>
      <w:r>
        <w:rPr>
          <w:rFonts w:hint="eastAsia" w:ascii="Times New Roman"/>
          <w:lang w:val="en-US" w:eastAsia="zh-CN"/>
        </w:rPr>
        <w:t xml:space="preserve"> </w:t>
      </w:r>
      <w:r>
        <w:rPr>
          <w:rFonts w:hint="eastAsia" w:ascii="Times New Roman"/>
        </w:rPr>
        <w:t>日内，以书面形式</w:t>
      </w:r>
      <w:r>
        <w:rPr>
          <w:rFonts w:ascii="Times New Roman"/>
        </w:rPr>
        <w:t>向供方提出，由供需双方协商解决。如需仲裁，</w:t>
      </w:r>
      <w:r>
        <w:rPr>
          <w:rFonts w:hint="eastAsia" w:ascii="Times New Roman"/>
        </w:rPr>
        <w:t>应由供需双方在需方共同取样或协商解决</w:t>
      </w:r>
      <w:r>
        <w:rPr>
          <w:rFonts w:ascii="Times New Roman"/>
        </w:rPr>
        <w:t>。</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.2  组批</w:t>
      </w:r>
    </w:p>
    <w:p>
      <w:pPr>
        <w:pStyle w:val="31"/>
        <w:ind w:firstLine="420"/>
        <w:rPr>
          <w:rFonts w:hint="eastAsia" w:ascii="Times New Roman"/>
        </w:rPr>
      </w:pPr>
      <w:r>
        <w:rPr>
          <w:rFonts w:hint="eastAsia" w:ascii="Times New Roman"/>
          <w:szCs w:val="21"/>
        </w:rPr>
        <w:t>产品应成批提交检验，每批应由同一品级的产品组成</w:t>
      </w:r>
      <w:r>
        <w:rPr>
          <w:rFonts w:hint="eastAsia" w:ascii="Times New Roman"/>
          <w:szCs w:val="21"/>
          <w:lang w:eastAsia="zh-CN"/>
        </w:rPr>
        <w:t>，</w:t>
      </w:r>
      <w:r>
        <w:rPr>
          <w:rFonts w:hint="eastAsia" w:ascii="Times New Roman"/>
          <w:szCs w:val="21"/>
          <w:lang w:val="en-US" w:eastAsia="zh-CN"/>
        </w:rPr>
        <w:t>每批重量不超过60 t</w:t>
      </w:r>
      <w:r>
        <w:rPr>
          <w:rFonts w:ascii="Times New Roman"/>
        </w:rPr>
        <w:t>。若需方有特殊要求时，由供</w:t>
      </w:r>
      <w:r>
        <w:rPr>
          <w:rFonts w:hint="eastAsia" w:ascii="Times New Roman"/>
        </w:rPr>
        <w:t>需双方协商确定。</w:t>
      </w:r>
    </w:p>
    <w:p>
      <w:pPr>
        <w:pStyle w:val="41"/>
        <w:adjustRightInd w:val="0"/>
        <w:snapToGrid w:val="0"/>
        <w:spacing w:before="156" w:after="156"/>
        <w:rPr>
          <w:rFonts w:hint="eastAsia" w:hAnsi="黑体" w:eastAsia="黑体" w:cs="黑体"/>
          <w:bCs/>
          <w:szCs w:val="21"/>
          <w:lang w:eastAsia="zh-CN"/>
        </w:rPr>
      </w:pPr>
      <w:r>
        <w:rPr>
          <w:rFonts w:hint="eastAsia" w:hAnsi="黑体" w:cs="黑体"/>
          <w:bCs/>
          <w:color w:val="000000"/>
          <w:szCs w:val="21"/>
          <w:lang w:eastAsia="zh-CN"/>
        </w:rPr>
        <w:t>7</w:t>
      </w:r>
      <w:r>
        <w:rPr>
          <w:rFonts w:hint="eastAsia" w:hAnsi="黑体" w:cs="黑体"/>
          <w:bCs/>
          <w:color w:val="000000"/>
          <w:szCs w:val="21"/>
        </w:rPr>
        <w:t>.3</w:t>
      </w:r>
      <w:r>
        <w:rPr>
          <w:rFonts w:hint="eastAsia" w:hAnsi="黑体" w:cs="黑体"/>
          <w:bCs/>
          <w:szCs w:val="21"/>
        </w:rPr>
        <w:t xml:space="preserve">  </w:t>
      </w:r>
      <w:r>
        <w:rPr>
          <w:rFonts w:hint="eastAsia" w:hAnsi="黑体" w:cs="黑体"/>
          <w:bCs/>
          <w:szCs w:val="21"/>
          <w:lang w:val="en-US" w:eastAsia="zh-CN"/>
        </w:rPr>
        <w:t>检验项目</w:t>
      </w:r>
    </w:p>
    <w:p>
      <w:pPr>
        <w:pStyle w:val="41"/>
        <w:spacing w:beforeLines="0" w:afterLines="0"/>
        <w:ind w:firstLine="420" w:firstLineChars="200"/>
        <w:outlineLvl w:val="9"/>
        <w:rPr>
          <w:rFonts w:hint="default" w:ascii="Times New Roman" w:hAnsi="Times New Roman" w:eastAsia="宋体"/>
          <w:szCs w:val="21"/>
          <w:lang w:val="en-US" w:eastAsia="zh-CN"/>
        </w:rPr>
      </w:pPr>
      <w:r>
        <w:rPr>
          <w:rFonts w:hint="default" w:ascii="Times New Roman" w:eastAsia="宋体" w:cs="Times New Roman"/>
          <w:color w:val="auto"/>
          <w:lang w:val="en-US" w:eastAsia="zh-CN"/>
        </w:rPr>
        <w:t>本文件规定的所有指标项目为出厂检验项目，检验项目、技术要求和试验方法按表</w:t>
      </w:r>
      <w:r>
        <w:rPr>
          <w:rFonts w:hint="eastAsia" w:ascii="Times New Roman" w:eastAsia="宋体" w:cs="Times New Roman"/>
          <w:color w:val="auto"/>
          <w:lang w:val="en-US" w:eastAsia="zh-CN"/>
        </w:rPr>
        <w:t>2</w:t>
      </w:r>
      <w:r>
        <w:rPr>
          <w:rFonts w:hint="default" w:ascii="Times New Roman" w:eastAsia="宋体" w:cs="Times New Roman"/>
          <w:color w:val="auto"/>
          <w:lang w:val="en-US" w:eastAsia="zh-CN"/>
        </w:rPr>
        <w:t>的规定</w:t>
      </w:r>
      <w:r>
        <w:rPr>
          <w:rFonts w:hint="default" w:ascii="Times New Roman" w:hAnsi="Times New Roman" w:eastAsia="宋体"/>
          <w:szCs w:val="21"/>
          <w:lang w:val="en-US" w:eastAsia="zh-CN"/>
        </w:rPr>
        <w:t>。</w:t>
      </w:r>
    </w:p>
    <w:p>
      <w:pPr>
        <w:pStyle w:val="31"/>
        <w:keepNext w:val="0"/>
        <w:keepLines w:val="0"/>
        <w:pageBreakBefore w:val="0"/>
        <w:widowControl/>
        <w:tabs>
          <w:tab w:val="left" w:pos="7440"/>
        </w:tabs>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 xml:space="preserve"> 2</w:t>
      </w:r>
      <w:r>
        <w:rPr>
          <w:rFonts w:hint="eastAsia" w:ascii="黑体" w:hAnsi="黑体" w:eastAsia="黑体" w:cs="黑体"/>
          <w:szCs w:val="21"/>
        </w:rPr>
        <w:t xml:space="preserve">  检</w:t>
      </w:r>
      <w:r>
        <w:rPr>
          <w:rFonts w:hint="eastAsia" w:ascii="黑体" w:hAnsi="黑体" w:eastAsia="黑体" w:cs="黑体"/>
          <w:szCs w:val="21"/>
          <w:lang w:val="en-US" w:eastAsia="zh-CN"/>
        </w:rPr>
        <w:t>验</w:t>
      </w:r>
      <w:r>
        <w:rPr>
          <w:rFonts w:hint="eastAsia" w:ascii="黑体" w:hAnsi="黑体" w:eastAsia="黑体" w:cs="黑体"/>
          <w:szCs w:val="21"/>
        </w:rPr>
        <w:t>项目</w:t>
      </w:r>
    </w:p>
    <w:tbl>
      <w:tblPr>
        <w:tblStyle w:val="1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555"/>
        <w:gridCol w:w="2789"/>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eastAsia" w:cs="Times New Roman"/>
                <w:sz w:val="18"/>
                <w:szCs w:val="18"/>
                <w:lang w:eastAsia="zh-CN"/>
              </w:rPr>
              <w:t>检验</w:t>
            </w:r>
            <w:r>
              <w:rPr>
                <w:rFonts w:hint="default" w:ascii="Times New Roman" w:hAnsi="Times New Roman" w:cs="Times New Roman"/>
                <w:sz w:val="18"/>
                <w:szCs w:val="18"/>
              </w:rPr>
              <w:t>项目</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eastAsia" w:cs="Times New Roman"/>
                <w:sz w:val="18"/>
                <w:szCs w:val="18"/>
                <w:lang w:val="en-US" w:eastAsia="zh-CN"/>
              </w:rPr>
              <w:t>技术</w:t>
            </w:r>
            <w:r>
              <w:rPr>
                <w:rFonts w:hint="default" w:ascii="Times New Roman" w:hAnsi="Times New Roman" w:cs="Times New Roman"/>
                <w:sz w:val="18"/>
                <w:szCs w:val="18"/>
              </w:rPr>
              <w:t>要求</w:t>
            </w:r>
            <w:r>
              <w:rPr>
                <w:rFonts w:hint="eastAsia" w:cs="Times New Roman"/>
                <w:sz w:val="18"/>
                <w:szCs w:val="18"/>
                <w:lang w:val="en-US" w:eastAsia="zh-CN"/>
              </w:rPr>
              <w:t>的</w:t>
            </w:r>
            <w:r>
              <w:rPr>
                <w:rFonts w:hint="default" w:ascii="Times New Roman" w:hAnsi="Times New Roman" w:cs="Times New Roman"/>
                <w:sz w:val="18"/>
                <w:szCs w:val="18"/>
              </w:rPr>
              <w:t>章</w:t>
            </w:r>
            <w:r>
              <w:rPr>
                <w:rFonts w:hint="eastAsia" w:cs="Times New Roman"/>
                <w:sz w:val="18"/>
                <w:szCs w:val="18"/>
                <w:lang w:val="en-US" w:eastAsia="zh-CN"/>
              </w:rPr>
              <w:t>条</w:t>
            </w:r>
            <w:r>
              <w:rPr>
                <w:rFonts w:hint="default" w:ascii="Times New Roman" w:hAnsi="Times New Roman" w:cs="Times New Roman"/>
                <w:sz w:val="18"/>
                <w:szCs w:val="18"/>
              </w:rPr>
              <w:t>号</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试验方法</w:t>
            </w:r>
            <w:r>
              <w:rPr>
                <w:rFonts w:hint="eastAsia" w:cs="Times New Roman"/>
                <w:sz w:val="18"/>
                <w:szCs w:val="18"/>
                <w:lang w:val="en-US" w:eastAsia="zh-CN"/>
              </w:rPr>
              <w:t>的</w:t>
            </w:r>
            <w:r>
              <w:rPr>
                <w:rFonts w:hint="default" w:ascii="Times New Roman" w:hAnsi="Times New Roman" w:cs="Times New Roman"/>
                <w:sz w:val="18"/>
                <w:szCs w:val="18"/>
              </w:rPr>
              <w:t>章</w:t>
            </w:r>
            <w:r>
              <w:rPr>
                <w:rFonts w:hint="eastAsia" w:cs="Times New Roman"/>
                <w:sz w:val="18"/>
                <w:szCs w:val="18"/>
                <w:lang w:val="en-US" w:eastAsia="zh-CN"/>
              </w:rPr>
              <w:t>条</w:t>
            </w:r>
            <w:r>
              <w:rPr>
                <w:rFonts w:hint="default" w:ascii="Times New Roman" w:hAnsi="Times New Roman" w:cs="Times New Roman"/>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5.1</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水分</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外观质量</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5.3</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6.3</w:t>
            </w:r>
          </w:p>
        </w:tc>
      </w:tr>
    </w:tbl>
    <w:p>
      <w:pPr>
        <w:pStyle w:val="31"/>
        <w:ind w:firstLine="0" w:firstLineChars="0"/>
        <w:rPr>
          <w:rFonts w:hint="eastAsia" w:ascii="Times New Roman"/>
        </w:rPr>
      </w:pPr>
    </w:p>
    <w:p>
      <w:pPr>
        <w:pStyle w:val="31"/>
        <w:spacing w:before="156" w:beforeLines="50" w:after="156" w:afterLines="50"/>
        <w:ind w:firstLine="0" w:firstLineChars="0"/>
        <w:rPr>
          <w:rFonts w:hint="eastAsia" w:ascii="黑体" w:hAnsi="黑体" w:eastAsia="黑体" w:cs="黑体"/>
          <w:szCs w:val="21"/>
          <w:lang w:eastAsia="zh-CN"/>
        </w:rPr>
      </w:pP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取样与制样</w:t>
      </w:r>
    </w:p>
    <w:p>
      <w:pPr>
        <w:pStyle w:val="31"/>
        <w:spacing w:before="0" w:beforeLines="0" w:after="0" w:afterLines="0" w:line="400" w:lineRule="exact"/>
        <w:ind w:firstLine="0" w:firstLineChars="0"/>
        <w:rPr>
          <w:rFonts w:hint="default" w:ascii="Times New Roman" w:hAnsi="Times New Roman" w:eastAsia="黑体" w:cs="Times New Roman"/>
          <w:szCs w:val="21"/>
          <w:lang w:val="en-US" w:eastAsia="zh-CN"/>
        </w:rPr>
      </w:pPr>
      <w:r>
        <w:rPr>
          <w:rFonts w:hint="eastAsia" w:ascii="黑体" w:hAnsi="黑体" w:eastAsia="黑体" w:cs="黑体"/>
          <w:szCs w:val="21"/>
          <w:lang w:val="en-US" w:eastAsia="zh-CN"/>
        </w:rPr>
        <w:t xml:space="preserve">7.4.1  </w:t>
      </w:r>
      <w:r>
        <w:rPr>
          <w:rFonts w:hint="default" w:ascii="Times New Roman" w:hAnsi="Times New Roman" w:eastAsia="宋体" w:cs="Times New Roman"/>
          <w:szCs w:val="21"/>
          <w:lang w:val="en-US" w:eastAsia="zh-CN"/>
        </w:rPr>
        <w:t>每批样品</w:t>
      </w:r>
      <w:r>
        <w:rPr>
          <w:rFonts w:hint="default" w:ascii="Times New Roman" w:hAnsi="Times New Roman" w:cs="Times New Roman"/>
          <w:szCs w:val="21"/>
          <w:lang w:val="en-US" w:eastAsia="zh-CN"/>
        </w:rPr>
        <w:t>按包装数量不少于50%随机取样，包装数量小于10袋时应每袋取样，每袋取样量应不小于0.4%。</w:t>
      </w:r>
    </w:p>
    <w:p>
      <w:pPr>
        <w:pStyle w:val="31"/>
        <w:spacing w:before="0" w:beforeLines="0" w:after="0" w:afterLines="0"/>
        <w:ind w:firstLine="0" w:firstLineChars="0"/>
        <w:rPr>
          <w:rFonts w:hint="default" w:ascii="Times New Roman" w:hAnsi="Times New Roman" w:eastAsia="黑体" w:cs="Times New Roman"/>
          <w:szCs w:val="21"/>
          <w:lang w:val="en-US" w:eastAsia="zh-CN"/>
        </w:rPr>
      </w:pPr>
      <w:r>
        <w:rPr>
          <w:rFonts w:hint="eastAsia" w:ascii="黑体" w:hAnsi="黑体" w:eastAsia="黑体" w:cs="黑体"/>
          <w:szCs w:val="21"/>
          <w:lang w:val="en-US" w:eastAsia="zh-CN"/>
        </w:rPr>
        <w:t xml:space="preserve">7.4.2  </w:t>
      </w:r>
      <w:r>
        <w:rPr>
          <w:rFonts w:hint="default" w:ascii="Times New Roman" w:hAnsi="Times New Roman" w:eastAsia="宋体" w:cs="Times New Roman"/>
          <w:szCs w:val="21"/>
          <w:lang w:val="en-US" w:eastAsia="zh-CN"/>
        </w:rPr>
        <w:t>每袋抽取份样的点位应按包装袋侧面任一对角线均匀分布成顶部、中间、底部三个点，样钎应穿透包装袋的两面，将样钎旋转180°抽出，样钎装料应饱满。物料不易取样时，可用手锤辅助样钎取样。每钎样品应及时装入塑料袋中并封口。</w:t>
      </w:r>
    </w:p>
    <w:p>
      <w:pPr>
        <w:pStyle w:val="31"/>
        <w:spacing w:before="0" w:beforeLines="0" w:after="0" w:afterLines="0"/>
        <w:ind w:firstLine="0" w:firstLineChars="0"/>
        <w:rPr>
          <w:rFonts w:hint="default" w:ascii="Times New Roman" w:hAnsi="Times New Roman" w:eastAsia="宋体" w:cs="Times New Roman"/>
          <w:szCs w:val="21"/>
          <w:lang w:val="en-US" w:eastAsia="zh-CN"/>
        </w:rPr>
      </w:pPr>
      <w:r>
        <w:rPr>
          <w:rFonts w:hint="eastAsia" w:ascii="黑体" w:hAnsi="黑体" w:eastAsia="黑体" w:cs="黑体"/>
          <w:szCs w:val="21"/>
          <w:lang w:val="en-US" w:eastAsia="zh-CN"/>
        </w:rPr>
        <w:t xml:space="preserve">7.4.3  </w:t>
      </w:r>
      <w:r>
        <w:rPr>
          <w:rFonts w:hint="default" w:ascii="Times New Roman" w:hAnsi="Times New Roman" w:eastAsia="宋体" w:cs="Times New Roman"/>
          <w:szCs w:val="21"/>
          <w:lang w:val="en-US" w:eastAsia="zh-CN"/>
        </w:rPr>
        <w:t>整批样品装入编织袋中并封口。每批次的所有样品应充分混匀，用网格法缩分出约4.0kg的样品。</w:t>
      </w:r>
    </w:p>
    <w:p>
      <w:pPr>
        <w:pStyle w:val="31"/>
        <w:spacing w:before="0" w:beforeLines="0" w:after="0" w:afterLines="0"/>
        <w:ind w:firstLine="0" w:firstLineChars="0"/>
        <w:rPr>
          <w:rFonts w:hint="default" w:ascii="Times New Roman" w:hAnsi="Times New Roman" w:eastAsia="宋体" w:cs="Times New Roman"/>
          <w:szCs w:val="21"/>
          <w:lang w:val="en-US" w:eastAsia="zh-CN"/>
        </w:rPr>
      </w:pPr>
      <w:r>
        <w:rPr>
          <w:rFonts w:hint="eastAsia" w:ascii="黑体" w:hAnsi="黑体" w:eastAsia="黑体" w:cs="黑体"/>
          <w:szCs w:val="21"/>
          <w:lang w:val="en-US" w:eastAsia="zh-CN"/>
        </w:rPr>
        <w:t xml:space="preserve">7.4.4  </w:t>
      </w:r>
      <w:r>
        <w:rPr>
          <w:rFonts w:hint="default" w:ascii="Times New Roman" w:hAnsi="Times New Roman" w:eastAsia="宋体" w:cs="Times New Roman"/>
          <w:szCs w:val="21"/>
          <w:lang w:val="en-US" w:eastAsia="zh-CN"/>
        </w:rPr>
        <w:t>样品平均分为3份，用于水分含量测定。水分含量差值在0.5%以内的样品可用于化学成分的测定，否则需重新用网格法缩分样品。样品全部研磨并过0.150mm的标准筛。混匀，分取样品，每份不小于200g。</w:t>
      </w:r>
    </w:p>
    <w:p>
      <w:pPr>
        <w:pStyle w:val="31"/>
        <w:spacing w:before="0" w:beforeLines="0" w:after="0" w:afterLines="0"/>
        <w:ind w:firstLine="0" w:firstLineChars="0"/>
        <w:rPr>
          <w:rFonts w:hint="default" w:ascii="Times New Roman" w:hAnsi="Times New Roman" w:eastAsia="宋体" w:cs="Times New Roman"/>
          <w:szCs w:val="21"/>
          <w:lang w:val="en-US" w:eastAsia="zh-CN"/>
        </w:rPr>
      </w:pPr>
      <w:r>
        <w:rPr>
          <w:rFonts w:hint="eastAsia" w:ascii="黑体" w:hAnsi="黑体" w:eastAsia="黑体" w:cs="黑体"/>
          <w:szCs w:val="21"/>
          <w:lang w:val="en-US" w:eastAsia="zh-CN"/>
        </w:rPr>
        <w:t xml:space="preserve">7.4.5  </w:t>
      </w:r>
      <w:r>
        <w:rPr>
          <w:rFonts w:hint="default" w:ascii="Times New Roman" w:eastAsia="宋体"/>
          <w:szCs w:val="21"/>
        </w:rPr>
        <w:t>制备样品份数也可由供需双方按要求进行分配。一份交需方，一份交供方，一份双方现场签字确认留做仲裁，一份备用。仲裁样品由第三方检测机构保存，备用样品由需方保存至双方贸易结算完成</w:t>
      </w:r>
      <w:r>
        <w:rPr>
          <w:rFonts w:hint="default" w:ascii="Times New Roman" w:hAnsi="Times New Roman" w:eastAsia="宋体" w:cs="Times New Roman"/>
          <w:szCs w:val="21"/>
          <w:lang w:val="en-US" w:eastAsia="zh-CN"/>
        </w:rPr>
        <w:t>。</w:t>
      </w:r>
      <w:bookmarkStart w:id="9" w:name="_GoBack"/>
      <w:bookmarkEnd w:id="9"/>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5</w:t>
      </w:r>
      <w:r>
        <w:rPr>
          <w:rFonts w:hint="eastAsia" w:ascii="黑体" w:hAnsi="黑体" w:eastAsia="黑体" w:cs="黑体"/>
          <w:szCs w:val="21"/>
        </w:rPr>
        <w:t xml:space="preserve">  检验结果判定</w:t>
      </w:r>
    </w:p>
    <w:p>
      <w:pPr>
        <w:snapToGrid w:val="0"/>
        <w:ind w:firstLine="0" w:firstLineChars="0"/>
        <w:jc w:val="left"/>
        <w:rPr>
          <w:rFonts w:hint="eastAsia" w:ascii="黑体" w:hAnsi="黑体" w:eastAsia="黑体" w:cs="黑体"/>
          <w:kern w:val="2"/>
          <w:szCs w:val="22"/>
          <w:highlight w:val="none"/>
          <w:lang w:val="en-US" w:eastAsia="zh-CN"/>
        </w:rPr>
      </w:pPr>
      <w:r>
        <w:rPr>
          <w:rFonts w:hint="eastAsia" w:ascii="黑体" w:hAnsi="黑体" w:eastAsia="黑体" w:cs="黑体"/>
          <w:highlight w:val="none"/>
          <w:lang w:val="en-US" w:eastAsia="zh-CN"/>
        </w:rPr>
        <w:t>7</w:t>
      </w:r>
      <w:r>
        <w:rPr>
          <w:rFonts w:hint="eastAsia" w:ascii="黑体" w:hAnsi="黑体" w:eastAsia="黑体" w:cs="黑体"/>
          <w:highlight w:val="none"/>
        </w:rPr>
        <w:t>.</w:t>
      </w:r>
      <w:r>
        <w:rPr>
          <w:rFonts w:hint="eastAsia" w:ascii="黑体" w:hAnsi="黑体" w:eastAsia="黑体" w:cs="黑体"/>
          <w:highlight w:val="none"/>
          <w:lang w:val="en-US" w:eastAsia="zh-CN"/>
        </w:rPr>
        <w:t>5</w:t>
      </w:r>
      <w:r>
        <w:rPr>
          <w:rFonts w:hint="eastAsia" w:ascii="黑体" w:hAnsi="黑体" w:eastAsia="黑体" w:cs="黑体"/>
          <w:highlight w:val="none"/>
        </w:rPr>
        <w:t xml:space="preserve">.1 </w:t>
      </w:r>
      <w:r>
        <w:rPr>
          <w:rFonts w:hint="eastAsia" w:eastAsiaTheme="minorEastAsia"/>
          <w:highlight w:val="none"/>
        </w:rPr>
        <w:t xml:space="preserve"> </w:t>
      </w:r>
      <w:r>
        <w:rPr>
          <w:rFonts w:eastAsiaTheme="minorEastAsia"/>
          <w:color w:val="000000"/>
          <w:szCs w:val="21"/>
          <w:highlight w:val="none"/>
          <w:lang w:bidi="zh-CN"/>
        </w:rPr>
        <w:t>检验结果的数值按GB/T</w:t>
      </w:r>
      <w:r>
        <w:rPr>
          <w:rFonts w:hint="eastAsia" w:eastAsiaTheme="minorEastAsia"/>
          <w:color w:val="000000"/>
          <w:szCs w:val="21"/>
          <w:highlight w:val="none"/>
          <w:lang w:bidi="zh-CN"/>
        </w:rPr>
        <w:t xml:space="preserve"> </w:t>
      </w:r>
      <w:r>
        <w:rPr>
          <w:rFonts w:eastAsiaTheme="minorEastAsia"/>
          <w:color w:val="000000"/>
          <w:szCs w:val="21"/>
          <w:highlight w:val="none"/>
          <w:lang w:bidi="zh-CN"/>
        </w:rPr>
        <w:t>8170的规定进行</w:t>
      </w:r>
      <w:r>
        <w:rPr>
          <w:rFonts w:hint="eastAsia" w:eastAsiaTheme="minorEastAsia"/>
          <w:color w:val="000000"/>
          <w:szCs w:val="21"/>
          <w:highlight w:val="none"/>
          <w:lang w:bidi="zh-CN"/>
        </w:rPr>
        <w:t>修约，并采用修约值比较法判定</w:t>
      </w:r>
      <w:r>
        <w:rPr>
          <w:rFonts w:eastAsiaTheme="minorEastAsia"/>
          <w:color w:val="000000"/>
          <w:szCs w:val="21"/>
          <w:highlight w:val="none"/>
          <w:lang w:bidi="zh-CN"/>
        </w:rPr>
        <w:t>。</w:t>
      </w:r>
    </w:p>
    <w:p>
      <w:pPr>
        <w:pStyle w:val="31"/>
        <w:ind w:firstLine="0" w:firstLineChars="0"/>
        <w:rPr>
          <w:rFonts w:hint="default" w:ascii="黑体" w:hAnsi="黑体" w:eastAsia="黑体" w:cs="黑体"/>
          <w:kern w:val="2"/>
          <w:szCs w:val="22"/>
          <w:highlight w:val="none"/>
          <w:lang w:val="en-US" w:eastAsia="zh-CN"/>
        </w:rPr>
      </w:pPr>
      <w:r>
        <w:rPr>
          <w:rFonts w:hint="eastAsia" w:ascii="黑体" w:hAnsi="黑体" w:eastAsia="黑体" w:cs="黑体"/>
          <w:kern w:val="2"/>
          <w:szCs w:val="22"/>
          <w:highlight w:val="none"/>
          <w:lang w:val="en-US" w:eastAsia="zh-CN"/>
        </w:rPr>
        <w:t xml:space="preserve">7.5.2  </w:t>
      </w:r>
      <w:r>
        <w:rPr>
          <w:rFonts w:hint="eastAsia" w:ascii="宋体" w:hAnsi="宋体" w:eastAsia="宋体" w:cs="宋体"/>
          <w:kern w:val="2"/>
          <w:szCs w:val="22"/>
          <w:highlight w:val="none"/>
          <w:lang w:val="en-US" w:eastAsia="zh-CN"/>
        </w:rPr>
        <w:t>产品化学成分、水</w:t>
      </w:r>
      <w:r>
        <w:rPr>
          <w:rFonts w:hint="eastAsia" w:eastAsiaTheme="minorEastAsia"/>
          <w:szCs w:val="22"/>
          <w:highlight w:val="none"/>
        </w:rPr>
        <w:t>分</w:t>
      </w:r>
      <w:r>
        <w:rPr>
          <w:rFonts w:hint="eastAsia" w:ascii="宋体" w:hAnsi="宋体" w:eastAsia="宋体" w:cs="宋体"/>
          <w:kern w:val="2"/>
          <w:szCs w:val="22"/>
          <w:highlight w:val="none"/>
          <w:lang w:val="en-US" w:eastAsia="zh-CN"/>
        </w:rPr>
        <w:t>及</w:t>
      </w:r>
      <w:r>
        <w:rPr>
          <w:rFonts w:hint="eastAsia" w:ascii="宋体" w:hAnsi="宋体" w:eastAsia="宋体" w:cs="宋体"/>
          <w:color w:val="000000"/>
          <w:kern w:val="2"/>
          <w:szCs w:val="21"/>
          <w:highlight w:val="none"/>
          <w:lang w:val="en-US" w:eastAsia="zh-CN" w:bidi="zh-CN"/>
        </w:rPr>
        <w:t>外观</w:t>
      </w:r>
      <w:r>
        <w:rPr>
          <w:rFonts w:hint="default" w:ascii="Times New Roman" w:hAnsi="Times New Roman" w:cs="Times New Roman" w:eastAsiaTheme="minorEastAsia"/>
          <w:color w:val="000000"/>
          <w:kern w:val="2"/>
          <w:szCs w:val="21"/>
          <w:highlight w:val="none"/>
          <w:lang w:val="en-US" w:eastAsia="zh-CN" w:bidi="zh-CN"/>
        </w:rPr>
        <w:t>质量</w:t>
      </w:r>
      <w:r>
        <w:rPr>
          <w:rFonts w:hint="eastAsia" w:ascii="Times New Roman" w:cs="Times New Roman" w:eastAsiaTheme="minorEastAsia"/>
          <w:color w:val="000000"/>
          <w:kern w:val="2"/>
          <w:szCs w:val="21"/>
          <w:highlight w:val="none"/>
          <w:lang w:val="en-US" w:eastAsia="zh-CN" w:bidi="zh-CN"/>
        </w:rPr>
        <w:t>不符合</w:t>
      </w:r>
      <w:r>
        <w:rPr>
          <w:rFonts w:hint="eastAsia" w:ascii="Times New Roman"/>
          <w:sz w:val="21"/>
          <w:szCs w:val="21"/>
          <w:highlight w:val="none"/>
        </w:rPr>
        <w:t>本文件规定时，判该批产品不合格</w:t>
      </w:r>
      <w:r>
        <w:rPr>
          <w:rFonts w:ascii="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s="黑体"/>
          <w:bCs/>
        </w:rPr>
      </w:pPr>
      <w:r>
        <w:rPr>
          <w:rFonts w:hint="eastAsia" w:ascii="黑体" w:hAnsi="黑体" w:eastAsia="黑体" w:cs="黑体"/>
          <w:bCs/>
          <w:lang w:val="en-US" w:eastAsia="zh-CN"/>
        </w:rPr>
        <w:t>8</w:t>
      </w:r>
      <w:r>
        <w:rPr>
          <w:rFonts w:hint="eastAsia" w:ascii="黑体" w:hAnsi="黑体" w:eastAsia="黑体" w:cs="黑体"/>
          <w:bCs/>
        </w:rPr>
        <w:t xml:space="preserve">  标志、包装、运输、贮存及随行文件</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.1  标志</w:t>
      </w:r>
    </w:p>
    <w:p>
      <w:pPr>
        <w:pStyle w:val="31"/>
        <w:ind w:firstLine="420"/>
        <w:rPr>
          <w:rFonts w:hint="eastAsia" w:ascii="Times New Roman"/>
          <w:szCs w:val="22"/>
        </w:rPr>
      </w:pPr>
      <w:r>
        <w:t>产品包装上应有牢固清晰的标志。内容包括：生产厂名、厂址、产品名称、品级、净重、批号、生产日期、本文件编号。</w:t>
      </w:r>
    </w:p>
    <w:p>
      <w:pPr>
        <w:pStyle w:val="31"/>
        <w:spacing w:before="156" w:beforeLines="50" w:after="156" w:afterLines="50"/>
        <w:ind w:firstLine="0" w:firstLineChars="0"/>
        <w:rPr>
          <w:rFonts w:hint="eastAsia" w:ascii="黑体" w:hAnsi="黑体" w:eastAsia="黑体" w:cs="黑体"/>
          <w:szCs w:val="21"/>
          <w:lang w:eastAsia="zh-CN"/>
        </w:rPr>
      </w:pPr>
      <w:r>
        <w:rPr>
          <w:rFonts w:hint="eastAsia" w:ascii="黑体" w:hAnsi="黑体" w:eastAsia="黑体" w:cs="黑体"/>
          <w:szCs w:val="21"/>
          <w:lang w:val="en-US" w:eastAsia="zh-CN"/>
        </w:rPr>
        <w:t>8</w:t>
      </w:r>
      <w:r>
        <w:rPr>
          <w:rFonts w:hint="eastAsia" w:ascii="黑体" w:hAnsi="黑体" w:eastAsia="黑体" w:cs="黑体"/>
          <w:szCs w:val="21"/>
        </w:rPr>
        <w:t>.2  包装</w:t>
      </w:r>
    </w:p>
    <w:p>
      <w:pPr>
        <w:pStyle w:val="31"/>
        <w:ind w:firstLine="420" w:firstLineChars="0"/>
        <w:rPr>
          <w:rFonts w:ascii="Times New Roman" w:eastAsiaTheme="minorEastAsia"/>
        </w:rPr>
      </w:pPr>
      <w:r>
        <w:rPr>
          <w:rFonts w:ascii="Times New Roman" w:eastAsiaTheme="minorEastAsia"/>
        </w:rPr>
        <w:t>产品</w:t>
      </w:r>
      <w:r>
        <w:rPr>
          <w:rFonts w:hint="eastAsia" w:ascii="Times New Roman" w:eastAsiaTheme="minorEastAsia"/>
          <w:lang w:val="en-US" w:eastAsia="zh-CN"/>
        </w:rPr>
        <w:t>应</w:t>
      </w:r>
      <w:r>
        <w:rPr>
          <w:rFonts w:ascii="Times New Roman" w:eastAsiaTheme="minorEastAsia"/>
        </w:rPr>
        <w:t>采用</w:t>
      </w:r>
      <w:r>
        <w:rPr>
          <w:rFonts w:ascii="Times New Roman"/>
          <w:szCs w:val="21"/>
        </w:rPr>
        <w:t>内衬聚乙烯薄膜袋</w:t>
      </w:r>
      <w:r>
        <w:rPr>
          <w:rFonts w:hint="eastAsia" w:ascii="Times New Roman"/>
          <w:szCs w:val="21"/>
          <w:lang w:val="en-US" w:eastAsia="zh-CN"/>
        </w:rPr>
        <w:t>的双层</w:t>
      </w:r>
      <w:r>
        <w:rPr>
          <w:rFonts w:ascii="Times New Roman"/>
          <w:szCs w:val="21"/>
        </w:rPr>
        <w:t>包装，内包装采用</w:t>
      </w:r>
      <w:r>
        <w:rPr>
          <w:rFonts w:hint="eastAsia" w:ascii="Times New Roman"/>
          <w:szCs w:val="21"/>
          <w:lang w:val="en-US" w:eastAsia="zh-CN"/>
        </w:rPr>
        <w:t>双层</w:t>
      </w:r>
      <w:r>
        <w:rPr>
          <w:rFonts w:ascii="Times New Roman"/>
          <w:szCs w:val="21"/>
        </w:rPr>
        <w:t>聚乙烯塑料薄膜袋</w:t>
      </w:r>
      <w:r>
        <w:rPr>
          <w:rFonts w:hint="eastAsia" w:ascii="Times New Roman"/>
          <w:szCs w:val="21"/>
          <w:lang w:val="en-US" w:eastAsia="zh-CN"/>
        </w:rPr>
        <w:t>并密封</w:t>
      </w:r>
      <w:r>
        <w:rPr>
          <w:rFonts w:hint="eastAsia" w:ascii="Times New Roman"/>
          <w:szCs w:val="21"/>
        </w:rPr>
        <w:t>，</w:t>
      </w:r>
      <w:r>
        <w:rPr>
          <w:rFonts w:ascii="Times New Roman"/>
          <w:szCs w:val="21"/>
        </w:rPr>
        <w:t>外包装采用塑料编织袋</w:t>
      </w:r>
      <w:r>
        <w:rPr>
          <w:rFonts w:hint="eastAsia" w:ascii="Times New Roman"/>
          <w:szCs w:val="21"/>
        </w:rPr>
        <w:t>，</w:t>
      </w:r>
      <w:r>
        <w:rPr>
          <w:rFonts w:ascii="Times New Roman"/>
          <w:szCs w:val="21"/>
        </w:rPr>
        <w:t>每袋净含量0.8</w:t>
      </w:r>
      <w:r>
        <w:rPr>
          <w:rFonts w:hint="eastAsia" w:ascii="Times New Roman"/>
          <w:szCs w:val="21"/>
        </w:rPr>
        <w:t xml:space="preserve"> </w:t>
      </w:r>
      <w:r>
        <w:rPr>
          <w:rFonts w:ascii="Times New Roman"/>
          <w:szCs w:val="21"/>
        </w:rPr>
        <w:t>t-1.2</w:t>
      </w:r>
      <w:r>
        <w:rPr>
          <w:rFonts w:hint="eastAsia" w:ascii="Times New Roman"/>
          <w:szCs w:val="21"/>
        </w:rPr>
        <w:t xml:space="preserve"> </w:t>
      </w:r>
      <w:r>
        <w:rPr>
          <w:rFonts w:ascii="Times New Roman"/>
          <w:szCs w:val="21"/>
        </w:rPr>
        <w:t>t。</w:t>
      </w:r>
      <w:r>
        <w:rPr>
          <w:rFonts w:hint="eastAsia" w:ascii="Times New Roman"/>
          <w:szCs w:val="21"/>
          <w:lang w:val="en-US" w:eastAsia="zh-CN"/>
        </w:rPr>
        <w:t>若</w:t>
      </w:r>
      <w:r>
        <w:rPr>
          <w:rFonts w:ascii="Times New Roman" w:eastAsiaTheme="minorEastAsia"/>
        </w:rPr>
        <w:t>需方有特殊要求时，</w:t>
      </w:r>
      <w:r>
        <w:rPr>
          <w:rFonts w:hint="eastAsia" w:ascii="Times New Roman" w:eastAsiaTheme="minorEastAsia"/>
          <w:lang w:val="en-US" w:eastAsia="zh-CN"/>
        </w:rPr>
        <w:t>由</w:t>
      </w:r>
      <w:r>
        <w:rPr>
          <w:rFonts w:ascii="Times New Roman" w:eastAsiaTheme="minorEastAsia"/>
        </w:rPr>
        <w:t>供需双方协商</w:t>
      </w:r>
      <w:r>
        <w:rPr>
          <w:rFonts w:hint="eastAsia" w:ascii="Times New Roman" w:eastAsiaTheme="minorEastAsia"/>
          <w:lang w:val="en-US" w:eastAsia="zh-CN"/>
        </w:rPr>
        <w:t>确定</w:t>
      </w:r>
      <w:r>
        <w:rPr>
          <w:rFonts w:ascii="Times New Roman" w:eastAsiaTheme="minorEastAsia"/>
        </w:rPr>
        <w:t>。</w:t>
      </w:r>
    </w:p>
    <w:p>
      <w:pPr>
        <w:pStyle w:val="31"/>
        <w:spacing w:before="156" w:beforeLines="50" w:after="156" w:afterLines="50"/>
        <w:ind w:firstLine="0" w:firstLineChars="0"/>
        <w:rPr>
          <w:rFonts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.3  运输</w:t>
      </w:r>
    </w:p>
    <w:p>
      <w:pPr>
        <w:pStyle w:val="31"/>
        <w:ind w:firstLine="420"/>
        <w:rPr>
          <w:rFonts w:ascii="Times New Roman" w:eastAsiaTheme="minorEastAsia"/>
        </w:rPr>
      </w:pPr>
      <w:r>
        <w:rPr>
          <w:rFonts w:hint="eastAsia" w:ascii="Times New Roman" w:eastAsiaTheme="minorEastAsia"/>
        </w:rPr>
        <w:t>产品应用车（或船）运输，装车（或船）后应将表面平整，防止运输过程中</w:t>
      </w:r>
      <w:r>
        <w:rPr>
          <w:rFonts w:hint="eastAsia" w:ascii="Times New Roman" w:eastAsiaTheme="minorEastAsia"/>
          <w:lang w:val="en-US" w:eastAsia="zh-CN"/>
        </w:rPr>
        <w:t>包装袋破损、</w:t>
      </w:r>
      <w:r>
        <w:rPr>
          <w:rFonts w:hint="eastAsia" w:ascii="Times New Roman" w:eastAsiaTheme="minorEastAsia"/>
        </w:rPr>
        <w:t>雨淋、洒落或受潮。</w:t>
      </w:r>
    </w:p>
    <w:p>
      <w:pPr>
        <w:pStyle w:val="31"/>
        <w:spacing w:before="156" w:beforeLines="50" w:after="156" w:afterLines="50"/>
        <w:ind w:firstLine="0" w:firstLineChars="0"/>
        <w:rPr>
          <w:rFonts w:hint="eastAsia" w:ascii="黑体" w:hAnsi="黑体" w:eastAsia="黑体" w:cs="黑体"/>
          <w:szCs w:val="21"/>
          <w:lang w:eastAsia="zh-CN"/>
        </w:rPr>
      </w:pPr>
      <w:r>
        <w:rPr>
          <w:rFonts w:hint="eastAsia" w:ascii="黑体" w:hAnsi="黑体" w:eastAsia="黑体" w:cs="黑体"/>
          <w:szCs w:val="21"/>
          <w:lang w:val="en-US" w:eastAsia="zh-CN"/>
        </w:rPr>
        <w:t>8</w:t>
      </w:r>
      <w:r>
        <w:rPr>
          <w:rFonts w:hint="eastAsia" w:ascii="黑体" w:hAnsi="黑体" w:eastAsia="黑体" w:cs="黑体"/>
          <w:szCs w:val="21"/>
        </w:rPr>
        <w:t>.4  贮存</w:t>
      </w:r>
    </w:p>
    <w:p>
      <w:pPr>
        <w:pStyle w:val="31"/>
        <w:ind w:firstLine="420"/>
        <w:rPr>
          <w:rFonts w:ascii="Times New Roman" w:eastAsiaTheme="minorEastAsia"/>
        </w:rPr>
      </w:pPr>
      <w:r>
        <w:rPr>
          <w:rFonts w:ascii="Times New Roman" w:eastAsiaTheme="minorEastAsia"/>
        </w:rPr>
        <w:t>产品应存放于干燥、</w:t>
      </w:r>
      <w:r>
        <w:rPr>
          <w:rFonts w:hint="eastAsia" w:ascii="Times New Roman" w:eastAsiaTheme="minorEastAsia"/>
          <w:lang w:val="en-US" w:eastAsia="zh-CN"/>
        </w:rPr>
        <w:t>阴凉、</w:t>
      </w:r>
      <w:r>
        <w:rPr>
          <w:rFonts w:ascii="Times New Roman" w:eastAsiaTheme="minorEastAsia"/>
        </w:rPr>
        <w:t>通风、无腐蚀性的环境中</w:t>
      </w:r>
      <w:r>
        <w:rPr>
          <w:rFonts w:hint="eastAsia" w:ascii="Times New Roman" w:eastAsiaTheme="minorEastAsia"/>
          <w:lang w:val="en-US" w:eastAsia="zh-CN"/>
        </w:rPr>
        <w:t>并隔绝热源</w:t>
      </w:r>
      <w:r>
        <w:rPr>
          <w:rFonts w:ascii="Times New Roman" w:eastAsiaTheme="minorEastAsia"/>
        </w:rPr>
        <w:t>，</w:t>
      </w:r>
      <w:r>
        <w:rPr>
          <w:rFonts w:hint="eastAsia" w:ascii="Times New Roman" w:eastAsiaTheme="minorEastAsia"/>
          <w:lang w:val="en-US" w:eastAsia="zh-CN"/>
        </w:rPr>
        <w:t>不得与尖锐物品共同存放，防止包装袋破损，</w:t>
      </w:r>
      <w:r>
        <w:rPr>
          <w:rFonts w:hint="eastAsia" w:ascii="Times New Roman" w:eastAsiaTheme="minorEastAsia"/>
        </w:rPr>
        <w:t>不得与酸、碱、油类等化学品贮存在一起，</w:t>
      </w:r>
      <w:r>
        <w:rPr>
          <w:rFonts w:ascii="Times New Roman" w:eastAsiaTheme="minorEastAsia"/>
        </w:rPr>
        <w:t>严防受潮、腐蚀</w:t>
      </w:r>
      <w:r>
        <w:rPr>
          <w:rFonts w:hint="eastAsia" w:ascii="Times New Roman" w:eastAsiaTheme="minorEastAsia"/>
          <w:lang w:val="en-US" w:eastAsia="zh-CN"/>
        </w:rPr>
        <w:t>等</w:t>
      </w:r>
      <w:r>
        <w:rPr>
          <w:rFonts w:ascii="Times New Roman" w:eastAsiaTheme="minorEastAsia"/>
        </w:rPr>
        <w:t>。</w:t>
      </w:r>
    </w:p>
    <w:p>
      <w:pPr>
        <w:pStyle w:val="41"/>
        <w:adjustRightInd w:val="0"/>
        <w:snapToGrid w:val="0"/>
        <w:spacing w:before="156" w:beforeLines="50" w:after="156" w:afterLines="50"/>
        <w:ind w:firstLine="0" w:firstLineChars="0"/>
        <w:rPr>
          <w:rFonts w:hint="eastAsia" w:ascii="黑体" w:hAnsi="黑体" w:eastAsia="黑体" w:cs="黑体"/>
          <w:szCs w:val="21"/>
          <w:lang w:eastAsia="zh-CN"/>
        </w:rPr>
      </w:pPr>
      <w:r>
        <w:rPr>
          <w:rFonts w:hint="eastAsia" w:hAnsi="黑体" w:cs="黑体"/>
          <w:szCs w:val="21"/>
          <w:lang w:val="en-US" w:eastAsia="zh-CN"/>
        </w:rPr>
        <w:t>8</w:t>
      </w:r>
      <w:r>
        <w:rPr>
          <w:rFonts w:hint="eastAsia" w:ascii="黑体" w:hAnsi="黑体" w:eastAsia="黑体" w:cs="黑体"/>
          <w:szCs w:val="21"/>
        </w:rPr>
        <w:t>.5  随行文件</w:t>
      </w:r>
    </w:p>
    <w:p>
      <w:pPr>
        <w:pStyle w:val="31"/>
        <w:ind w:firstLine="420"/>
        <w:rPr>
          <w:rFonts w:hint="eastAsia" w:ascii="Times New Roman" w:eastAsiaTheme="minorEastAsia"/>
          <w:lang w:eastAsia="zh-CN"/>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w:t>
      </w:r>
      <w:r>
        <w:rPr>
          <w:rFonts w:hint="eastAsia" w:ascii="Times New Roman" w:eastAsiaTheme="minorEastAsia"/>
          <w:lang w:val="en-US" w:eastAsia="zh-CN"/>
        </w:rPr>
        <w:t>其中除应包括供方信息、产品信息、本文件编号、出场日期或包装日期外，还宜包括</w:t>
      </w:r>
      <w:r>
        <w:rPr>
          <w:rFonts w:hint="eastAsia" w:ascii="Times New Roman" w:eastAsiaTheme="minorEastAsia"/>
          <w:lang w:eastAsia="zh-CN"/>
        </w:rPr>
        <w:t>：</w:t>
      </w:r>
    </w:p>
    <w:p>
      <w:pPr>
        <w:pStyle w:val="31"/>
        <w:numPr>
          <w:ilvl w:val="-1"/>
          <w:numId w:val="0"/>
        </w:numPr>
        <w:ind w:firstLine="420"/>
        <w:rPr>
          <w:rFonts w:hint="default" w:ascii="Times New Roman" w:eastAsiaTheme="minorEastAsia"/>
          <w:szCs w:val="21"/>
          <w:lang w:val="en-US" w:eastAsia="zh-CN"/>
        </w:rPr>
      </w:pPr>
      <w:r>
        <w:rPr>
          <w:rFonts w:hint="eastAsia" w:ascii="Times New Roman" w:eastAsiaTheme="minorEastAsia"/>
          <w:szCs w:val="21"/>
          <w:lang w:val="en-US" w:eastAsia="zh-CN"/>
        </w:rPr>
        <w:t>a）产品质量保证书：</w:t>
      </w:r>
    </w:p>
    <w:p>
      <w:pPr>
        <w:pStyle w:val="31"/>
        <w:numPr>
          <w:ilvl w:val="-1"/>
          <w:numId w:val="0"/>
        </w:numPr>
        <w:ind w:left="0" w:firstLine="480"/>
        <w:rPr>
          <w:rFonts w:hint="eastAsia" w:ascii="Times New Roman" w:eastAsiaTheme="minorEastAsia"/>
          <w:sz w:val="21"/>
          <w:szCs w:val="21"/>
          <w:lang w:val="en-US" w:eastAsia="zh-CN"/>
        </w:rPr>
      </w:pPr>
      <w:r>
        <w:rPr>
          <w:rFonts w:hint="eastAsia" w:ascii="Times New Roman" w:eastAsiaTheme="minorEastAsia"/>
          <w:sz w:val="21"/>
          <w:szCs w:val="21"/>
          <w:lang w:val="en-US" w:eastAsia="zh-CN"/>
        </w:rPr>
        <w:t>·产品的主要性能及技术参数；</w:t>
      </w:r>
    </w:p>
    <w:p>
      <w:pPr>
        <w:pStyle w:val="31"/>
        <w:numPr>
          <w:ilvl w:val="-1"/>
          <w:numId w:val="0"/>
        </w:numPr>
        <w:ind w:left="0" w:firstLine="480" w:firstLineChars="0"/>
        <w:rPr>
          <w:rFonts w:hint="default" w:ascii="Times New Roman" w:eastAsiaTheme="minorEastAsia"/>
          <w:sz w:val="21"/>
          <w:szCs w:val="21"/>
          <w:lang w:val="en-US" w:eastAsia="zh-CN"/>
        </w:rPr>
      </w:pPr>
      <w:r>
        <w:rPr>
          <w:rFonts w:hint="eastAsia" w:ascii="Times New Roman" w:eastAsiaTheme="minorEastAsia"/>
          <w:sz w:val="21"/>
          <w:szCs w:val="21"/>
          <w:lang w:val="en-US" w:eastAsia="zh-CN"/>
        </w:rPr>
        <w:t>·产品特点（包括制造工艺及原材料的特点）；</w:t>
      </w:r>
    </w:p>
    <w:p>
      <w:pPr>
        <w:pStyle w:val="31"/>
        <w:numPr>
          <w:ilvl w:val="-1"/>
          <w:numId w:val="0"/>
        </w:numPr>
        <w:ind w:left="0" w:firstLine="480" w:firstLineChars="0"/>
        <w:rPr>
          <w:rFonts w:hint="default" w:ascii="Times New Roman" w:eastAsiaTheme="minorEastAsia"/>
          <w:sz w:val="21"/>
          <w:szCs w:val="21"/>
          <w:lang w:val="en-US" w:eastAsia="zh-CN"/>
        </w:rPr>
      </w:pPr>
      <w:r>
        <w:rPr>
          <w:rFonts w:hint="eastAsia" w:ascii="Times New Roman" w:eastAsiaTheme="minorEastAsia"/>
          <w:sz w:val="21"/>
          <w:szCs w:val="21"/>
          <w:lang w:val="en-US" w:eastAsia="zh-CN"/>
        </w:rPr>
        <w:t>·对产品质量所负的责任；</w:t>
      </w:r>
    </w:p>
    <w:p>
      <w:pPr>
        <w:pStyle w:val="31"/>
        <w:numPr>
          <w:ilvl w:val="-1"/>
          <w:numId w:val="0"/>
        </w:numPr>
        <w:ind w:left="0" w:firstLine="480"/>
        <w:rPr>
          <w:rFonts w:hint="default" w:ascii="Times New Roman" w:eastAsiaTheme="minorEastAsia"/>
          <w:sz w:val="21"/>
          <w:szCs w:val="21"/>
          <w:lang w:val="en-US" w:eastAsia="zh-CN"/>
        </w:rPr>
      </w:pPr>
      <w:r>
        <w:rPr>
          <w:rFonts w:hint="eastAsia" w:ascii="Times New Roman" w:eastAsiaTheme="minorEastAsia"/>
          <w:sz w:val="21"/>
          <w:szCs w:val="21"/>
          <w:lang w:val="en-US" w:eastAsia="zh-CN"/>
        </w:rPr>
        <w:t>·产品获得的质量认证及带供方技术监督部门检印的各项分析检验结果。</w:t>
      </w:r>
    </w:p>
    <w:p>
      <w:pPr>
        <w:pStyle w:val="31"/>
        <w:numPr>
          <w:ilvl w:val="-1"/>
          <w:numId w:val="0"/>
        </w:numPr>
        <w:ind w:firstLine="420"/>
        <w:rPr>
          <w:rFonts w:hint="default" w:ascii="Times New Roman" w:eastAsiaTheme="minorEastAsia"/>
          <w:szCs w:val="21"/>
          <w:lang w:val="en-US" w:eastAsia="zh-CN"/>
        </w:rPr>
      </w:pPr>
      <w:r>
        <w:rPr>
          <w:rFonts w:hint="eastAsia" w:ascii="Times New Roman" w:eastAsiaTheme="minorEastAsia"/>
          <w:szCs w:val="21"/>
          <w:lang w:val="en-US" w:eastAsia="zh-CN"/>
        </w:rPr>
        <w:t>b）产品合格证：</w:t>
      </w:r>
    </w:p>
    <w:p>
      <w:pPr>
        <w:pStyle w:val="31"/>
        <w:numPr>
          <w:ilvl w:val="-1"/>
          <w:numId w:val="0"/>
        </w:numPr>
        <w:ind w:left="0" w:firstLine="420" w:firstLineChars="200"/>
        <w:rPr>
          <w:rFonts w:hint="eastAsia" w:ascii="Times New Roman" w:eastAsiaTheme="minorEastAsia"/>
          <w:sz w:val="21"/>
          <w:szCs w:val="21"/>
          <w:lang w:val="en-US" w:eastAsia="zh-CN"/>
        </w:rPr>
      </w:pPr>
      <w:r>
        <w:rPr>
          <w:rFonts w:hint="eastAsia" w:ascii="Times New Roman" w:eastAsiaTheme="minorEastAsia"/>
          <w:sz w:val="21"/>
          <w:szCs w:val="21"/>
          <w:lang w:val="en-US" w:eastAsia="zh-CN"/>
        </w:rPr>
        <w:t>·检验项目及其结果或检验结论；</w:t>
      </w:r>
    </w:p>
    <w:p>
      <w:pPr>
        <w:pStyle w:val="31"/>
        <w:numPr>
          <w:ilvl w:val="-1"/>
          <w:numId w:val="0"/>
        </w:numPr>
        <w:ind w:left="0" w:firstLine="420" w:firstLineChars="200"/>
        <w:rPr>
          <w:rFonts w:hint="eastAsia" w:ascii="Times New Roman" w:eastAsiaTheme="minorEastAsia"/>
          <w:sz w:val="21"/>
          <w:szCs w:val="21"/>
          <w:lang w:val="en-US" w:eastAsia="zh-CN"/>
        </w:rPr>
      </w:pPr>
      <w:r>
        <w:rPr>
          <w:rFonts w:hint="eastAsia" w:ascii="Times New Roman" w:eastAsiaTheme="minorEastAsia"/>
          <w:sz w:val="21"/>
          <w:szCs w:val="21"/>
          <w:lang w:val="en-US" w:eastAsia="zh-CN"/>
        </w:rPr>
        <w:t>·批量或批号；</w:t>
      </w:r>
    </w:p>
    <w:p>
      <w:pPr>
        <w:pStyle w:val="31"/>
        <w:numPr>
          <w:ilvl w:val="-1"/>
          <w:numId w:val="0"/>
        </w:numPr>
        <w:ind w:left="0" w:firstLine="420" w:firstLineChars="200"/>
        <w:rPr>
          <w:rFonts w:hint="eastAsia" w:ascii="Times New Roman" w:eastAsiaTheme="minorEastAsia"/>
          <w:sz w:val="21"/>
          <w:szCs w:val="21"/>
          <w:lang w:val="en-US" w:eastAsia="zh-CN"/>
        </w:rPr>
      </w:pPr>
      <w:r>
        <w:rPr>
          <w:rFonts w:hint="eastAsia" w:ascii="Times New Roman" w:eastAsiaTheme="minorEastAsia"/>
          <w:sz w:val="21"/>
          <w:szCs w:val="21"/>
          <w:lang w:val="en-US" w:eastAsia="zh-CN"/>
        </w:rPr>
        <w:t>·检验日期；</w:t>
      </w:r>
    </w:p>
    <w:p>
      <w:pPr>
        <w:pStyle w:val="31"/>
        <w:numPr>
          <w:ilvl w:val="-1"/>
          <w:numId w:val="0"/>
        </w:numPr>
        <w:ind w:firstLine="480"/>
        <w:rPr>
          <w:rFonts w:hint="eastAsia" w:ascii="Times New Roman" w:eastAsiaTheme="minorEastAsia"/>
          <w:sz w:val="21"/>
          <w:szCs w:val="21"/>
          <w:lang w:val="en-US" w:eastAsia="zh-CN"/>
        </w:rPr>
      </w:pPr>
      <w:r>
        <w:rPr>
          <w:rFonts w:hint="eastAsia" w:ascii="Times New Roman" w:eastAsiaTheme="minorEastAsia"/>
          <w:sz w:val="21"/>
          <w:szCs w:val="21"/>
          <w:lang w:val="en-US" w:eastAsia="zh-CN"/>
        </w:rPr>
        <w:t>·检验员签名或盖章。</w:t>
      </w:r>
    </w:p>
    <w:p>
      <w:pPr>
        <w:pStyle w:val="31"/>
        <w:numPr>
          <w:ilvl w:val="-1"/>
          <w:numId w:val="0"/>
        </w:numPr>
        <w:ind w:firstLine="420"/>
        <w:rPr>
          <w:rFonts w:hint="default" w:ascii="Times New Roman" w:eastAsiaTheme="minorEastAsia"/>
          <w:szCs w:val="21"/>
          <w:lang w:val="en-US" w:eastAsia="zh-CN"/>
        </w:rPr>
      </w:pPr>
      <w:r>
        <w:rPr>
          <w:rFonts w:hint="eastAsia" w:ascii="Times New Roman" w:eastAsiaTheme="minorEastAsia"/>
          <w:szCs w:val="21"/>
          <w:lang w:val="en-US" w:eastAsia="zh-CN"/>
        </w:rPr>
        <w:t>c）产品质量控制过程中的检验报告及成品检验报告。</w:t>
      </w:r>
    </w:p>
    <w:p>
      <w:pPr>
        <w:pStyle w:val="31"/>
        <w:numPr>
          <w:ilvl w:val="-1"/>
          <w:numId w:val="0"/>
        </w:numPr>
        <w:ind w:firstLine="420"/>
        <w:rPr>
          <w:rFonts w:hint="default" w:ascii="Times New Roman" w:eastAsiaTheme="minorEastAsia"/>
          <w:szCs w:val="21"/>
          <w:lang w:val="en-US" w:eastAsia="zh-CN"/>
        </w:rPr>
      </w:pPr>
      <w:r>
        <w:rPr>
          <w:rFonts w:hint="eastAsia" w:ascii="Times New Roman" w:eastAsiaTheme="minorEastAsia"/>
          <w:szCs w:val="21"/>
          <w:lang w:val="en-US" w:eastAsia="zh-CN"/>
        </w:rPr>
        <w:t>d）产品使用说明：正确搬运、使用、贮存方法等。</w:t>
      </w:r>
    </w:p>
    <w:p>
      <w:pPr>
        <w:pStyle w:val="31"/>
        <w:numPr>
          <w:ilvl w:val="-1"/>
          <w:numId w:val="0"/>
        </w:numPr>
        <w:ind w:firstLine="420"/>
        <w:rPr>
          <w:rFonts w:hint="default" w:ascii="Times New Roman" w:eastAsiaTheme="minorEastAsia"/>
          <w:sz w:val="21"/>
          <w:szCs w:val="21"/>
          <w:lang w:val="en-US" w:eastAsia="zh-CN"/>
        </w:rPr>
      </w:pPr>
      <w:r>
        <w:rPr>
          <w:rFonts w:hint="eastAsia" w:ascii="Times New Roman" w:eastAsiaTheme="minorEastAsia"/>
          <w:szCs w:val="21"/>
          <w:lang w:val="en-US" w:eastAsia="zh-CN"/>
        </w:rPr>
        <w:t>e）其它。</w:t>
      </w:r>
    </w:p>
    <w:p>
      <w:pPr>
        <w:spacing w:before="313" w:beforeLines="100" w:after="313" w:afterLines="100"/>
        <w:rPr>
          <w:rFonts w:ascii="黑体" w:hAnsi="黑体" w:eastAsia="黑体" w:cs="黑体"/>
          <w:bCs/>
        </w:rPr>
      </w:pPr>
      <w:r>
        <w:rPr>
          <w:rFonts w:hint="eastAsia" w:ascii="黑体" w:hAnsi="黑体" w:eastAsia="黑体" w:cs="黑体"/>
          <w:bCs/>
          <w:lang w:val="en-US" w:eastAsia="zh-CN"/>
        </w:rPr>
        <w:t>9</w:t>
      </w:r>
      <w:r>
        <w:rPr>
          <w:rFonts w:hint="eastAsia" w:ascii="黑体" w:hAnsi="黑体" w:eastAsia="黑体" w:cs="黑体"/>
          <w:bCs/>
        </w:rPr>
        <w:t xml:space="preserve"> </w:t>
      </w:r>
      <w:r>
        <w:rPr>
          <w:rFonts w:hint="eastAsia" w:ascii="黑体" w:hAnsi="黑体" w:eastAsia="黑体" w:cs="黑体"/>
          <w:bCs/>
          <w:lang w:val="en-US" w:eastAsia="zh-CN"/>
        </w:rPr>
        <w:t xml:space="preserve"> </w:t>
      </w:r>
      <w:r>
        <w:rPr>
          <w:rFonts w:hint="eastAsia" w:ascii="黑体" w:hAnsi="黑体" w:eastAsia="黑体" w:cs="黑体"/>
          <w:bCs/>
        </w:rPr>
        <w:t>订货单内容</w:t>
      </w:r>
    </w:p>
    <w:p>
      <w:pPr>
        <w:pStyle w:val="31"/>
        <w:ind w:firstLine="420"/>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p>
      <w:pPr>
        <w:pStyle w:val="31"/>
        <w:ind w:firstLine="420"/>
        <w:rPr>
          <w:rFonts w:ascii="Times New Roman" w:eastAsiaTheme="minorEastAsia"/>
        </w:rPr>
      </w:pPr>
      <w:r>
        <w:rPr>
          <w:rFonts w:ascii="Times New Roman" w:eastAsiaTheme="minorEastAsia"/>
        </w:rPr>
        <w:t>a</w:t>
      </w:r>
      <w:r>
        <w:rPr>
          <w:rFonts w:hint="eastAsia" w:ascii="Times New Roman" w:eastAsiaTheme="minorEastAsia"/>
          <w:lang w:eastAsia="zh-CN"/>
        </w:rPr>
        <w:t>）</w:t>
      </w:r>
      <w:r>
        <w:rPr>
          <w:rFonts w:ascii="Times New Roman" w:eastAsiaTheme="minorEastAsia"/>
        </w:rPr>
        <w:t>产品名称；</w:t>
      </w:r>
    </w:p>
    <w:p>
      <w:pPr>
        <w:pStyle w:val="31"/>
        <w:ind w:firstLine="420"/>
        <w:rPr>
          <w:rFonts w:ascii="Times New Roman" w:eastAsiaTheme="minorEastAsia"/>
        </w:rPr>
      </w:pPr>
      <w:r>
        <w:rPr>
          <w:rFonts w:ascii="Times New Roman" w:eastAsiaTheme="minorEastAsia"/>
        </w:rPr>
        <w:t>b</w:t>
      </w:r>
      <w:r>
        <w:rPr>
          <w:rFonts w:hint="eastAsia" w:ascii="Times New Roman" w:eastAsiaTheme="minorEastAsia"/>
          <w:lang w:eastAsia="zh-CN"/>
        </w:rPr>
        <w:t>）</w:t>
      </w:r>
      <w:r>
        <w:rPr>
          <w:rFonts w:ascii="Times New Roman" w:eastAsiaTheme="minorEastAsia"/>
        </w:rPr>
        <w:t>产品</w:t>
      </w:r>
      <w:r>
        <w:rPr>
          <w:rFonts w:hint="eastAsia" w:ascii="Times New Roman" w:eastAsiaTheme="minorEastAsia"/>
        </w:rPr>
        <w:t>品级</w:t>
      </w:r>
      <w:r>
        <w:rPr>
          <w:rFonts w:ascii="Times New Roman" w:eastAsiaTheme="minorEastAsia"/>
        </w:rPr>
        <w:t>；</w:t>
      </w:r>
    </w:p>
    <w:p>
      <w:pPr>
        <w:pStyle w:val="31"/>
        <w:ind w:firstLine="420"/>
        <w:rPr>
          <w:rFonts w:ascii="Times New Roman" w:eastAsiaTheme="minorEastAsia"/>
        </w:rPr>
      </w:pPr>
      <w:r>
        <w:rPr>
          <w:rFonts w:hint="eastAsia" w:ascii="Times New Roman" w:eastAsiaTheme="minorEastAsia"/>
          <w:lang w:val="en-US" w:eastAsia="zh-CN"/>
        </w:rPr>
        <w:t>c</w:t>
      </w:r>
      <w:r>
        <w:rPr>
          <w:rFonts w:hint="eastAsia" w:ascii="Times New Roman" w:eastAsiaTheme="minorEastAsia"/>
          <w:lang w:eastAsia="zh-CN"/>
        </w:rPr>
        <w:t>）</w:t>
      </w:r>
      <w:r>
        <w:rPr>
          <w:rFonts w:ascii="Times New Roman" w:eastAsiaTheme="minorEastAsia"/>
        </w:rPr>
        <w:t>数量；</w:t>
      </w:r>
    </w:p>
    <w:p>
      <w:pPr>
        <w:pStyle w:val="31"/>
        <w:ind w:firstLine="420"/>
        <w:rPr>
          <w:rFonts w:ascii="Times New Roman" w:eastAsiaTheme="minorEastAsia"/>
        </w:rPr>
      </w:pPr>
      <w:r>
        <w:rPr>
          <w:rFonts w:hint="eastAsia" w:ascii="Times New Roman" w:eastAsiaTheme="minorEastAsia"/>
          <w:lang w:val="en-US" w:eastAsia="zh-CN"/>
        </w:rPr>
        <w:t>d</w:t>
      </w:r>
      <w:r>
        <w:rPr>
          <w:rFonts w:hint="eastAsia" w:ascii="Times New Roman" w:eastAsiaTheme="minorEastAsia"/>
          <w:lang w:eastAsia="zh-CN"/>
        </w:rPr>
        <w:t>）</w:t>
      </w:r>
      <w:r>
        <w:rPr>
          <w:rFonts w:ascii="Times New Roman" w:eastAsiaTheme="minorEastAsia"/>
        </w:rPr>
        <w:t>本</w:t>
      </w:r>
      <w:r>
        <w:rPr>
          <w:rFonts w:hint="eastAsia" w:ascii="Times New Roman" w:eastAsiaTheme="minorEastAsia"/>
        </w:rPr>
        <w:t>文件</w:t>
      </w:r>
      <w:r>
        <w:rPr>
          <w:rFonts w:ascii="Times New Roman" w:eastAsiaTheme="minorEastAsia"/>
        </w:rPr>
        <w:t>编号；</w:t>
      </w:r>
    </w:p>
    <w:p>
      <w:pPr>
        <w:pStyle w:val="31"/>
        <w:ind w:firstLine="420"/>
        <w:rPr>
          <w:rFonts w:hint="eastAsia" w:ascii="Times New Roman" w:eastAsiaTheme="minorEastAsia"/>
          <w:lang w:val="en-US" w:eastAsia="zh-CN"/>
        </w:rPr>
      </w:pPr>
      <w:r>
        <w:rPr>
          <w:rFonts w:hint="eastAsia" w:ascii="Times New Roman" w:eastAsiaTheme="minorEastAsia"/>
          <w:lang w:val="en-US" w:eastAsia="zh-CN"/>
        </w:rPr>
        <w:t>e</w:t>
      </w:r>
      <w:r>
        <w:rPr>
          <w:rFonts w:hint="eastAsia" w:ascii="Times New Roman" w:eastAsiaTheme="minorEastAsia"/>
          <w:lang w:eastAsia="zh-CN"/>
        </w:rPr>
        <w:t>）</w:t>
      </w:r>
      <w:r>
        <w:rPr>
          <w:rFonts w:hint="eastAsia"/>
          <w:szCs w:val="21"/>
        </w:rPr>
        <w:t>本文件中供需双方协商的其他特殊要求</w:t>
      </w:r>
      <w:r>
        <w:rPr>
          <w:rFonts w:hint="eastAsia" w:ascii="Times New Roman" w:eastAsiaTheme="minorEastAsia"/>
          <w:lang w:val="en-US" w:eastAsia="zh-CN"/>
        </w:rPr>
        <w:t>；</w:t>
      </w:r>
    </w:p>
    <w:p>
      <w:pPr>
        <w:pStyle w:val="31"/>
        <w:ind w:firstLine="420"/>
        <w:rPr>
          <w:rFonts w:ascii="Times New Roman" w:eastAsiaTheme="minorEastAsia"/>
        </w:rPr>
      </w:pPr>
      <w:r>
        <w:rPr>
          <w:rFonts w:hint="eastAsia" w:ascii="Times New Roman" w:eastAsiaTheme="minorEastAsia"/>
          <w:lang w:val="en-US" w:eastAsia="zh-CN"/>
        </w:rPr>
        <w:t>f）</w:t>
      </w:r>
      <w:r>
        <w:rPr>
          <w:rFonts w:ascii="Times New Roman" w:eastAsiaTheme="minorEastAsia"/>
        </w:rPr>
        <w:t>其他。</w:t>
      </w:r>
    </w:p>
    <w:bookmarkEnd w:id="2"/>
    <w:p>
      <w:pPr>
        <w:pStyle w:val="31"/>
        <w:numPr>
          <w:ilvl w:val="0"/>
          <w:numId w:val="0"/>
        </w:numPr>
      </w:pPr>
      <w:r>
        <w:rPr>
          <w:rFonts w:ascii="Times New Roman"/>
          <w:sz w:val="20"/>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7456;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p>
    <w:sectPr>
      <w:footerReference r:id="rId10"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Style w:val="19"/>
      </w:rPr>
    </w:pPr>
    <w:r>
      <w:fldChar w:fldCharType="begin"/>
    </w:r>
    <w:r>
      <w:rPr>
        <w:rStyle w:val="19"/>
      </w:rPr>
      <w:instrText xml:space="preserve">PAGE  </w:instrText>
    </w:r>
    <w:r>
      <w:fldChar w:fldCharType="separate"/>
    </w:r>
    <w:r>
      <w:rPr>
        <w:rStyle w:val="19"/>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19"/>
      </w:rPr>
    </w:pPr>
    <w:r>
      <w:rPr>
        <w:rStyle w:val="19"/>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5</w:t>
    </w:r>
    <w:r>
      <w:rPr>
        <w:lang w:val="zh-CN"/>
      </w:rPr>
      <w:fldChar w:fldCharType="end"/>
    </w:r>
  </w:p>
  <w:p>
    <w:pPr>
      <w:pStyle w:val="10"/>
      <w:ind w:right="210"/>
      <w:rPr>
        <w:rStyle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rFonts w:hint="eastAsia" w:ascii="黑体" w:hAnsi="黑体" w:eastAsia="黑体" w:cs="黑体"/>
      </w:rPr>
      <w:t>YS/T ××××—20×</w:t>
    </w:r>
    <w:bookmarkStart w:id="5" w:name="OLE_LINK20"/>
    <w:bookmarkStart w:id="6" w:name="OLE_LINK19"/>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2FmNjUzNzJkYzQ1ZjY5OGQxN2UyNmQ4NjMzZGM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6D3B"/>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763"/>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4BF9"/>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3D36"/>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9ED"/>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600"/>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35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365F3"/>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865ED"/>
    <w:rsid w:val="00C91EB4"/>
    <w:rsid w:val="00C927CF"/>
    <w:rsid w:val="00C9328C"/>
    <w:rsid w:val="00C93463"/>
    <w:rsid w:val="00C934E3"/>
    <w:rsid w:val="00C95061"/>
    <w:rsid w:val="00C97D40"/>
    <w:rsid w:val="00CA2A24"/>
    <w:rsid w:val="00CA2AF7"/>
    <w:rsid w:val="00CA3AD2"/>
    <w:rsid w:val="00CA3F15"/>
    <w:rsid w:val="00CA4A94"/>
    <w:rsid w:val="00CA66A0"/>
    <w:rsid w:val="00CA7C6A"/>
    <w:rsid w:val="00CB1E3F"/>
    <w:rsid w:val="00CB78AB"/>
    <w:rsid w:val="00CC0992"/>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48B"/>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35BE"/>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66F31"/>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29C4"/>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202A1"/>
    <w:rsid w:val="01034E2A"/>
    <w:rsid w:val="011450B2"/>
    <w:rsid w:val="01D408F4"/>
    <w:rsid w:val="01F558DB"/>
    <w:rsid w:val="02046404"/>
    <w:rsid w:val="02352B68"/>
    <w:rsid w:val="02421D02"/>
    <w:rsid w:val="024B68F3"/>
    <w:rsid w:val="025A5BB3"/>
    <w:rsid w:val="02615D9D"/>
    <w:rsid w:val="028B05D5"/>
    <w:rsid w:val="028B7635"/>
    <w:rsid w:val="0292394A"/>
    <w:rsid w:val="02BD670D"/>
    <w:rsid w:val="02D75663"/>
    <w:rsid w:val="02F1504C"/>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47D95"/>
    <w:rsid w:val="0478503E"/>
    <w:rsid w:val="04CD22F6"/>
    <w:rsid w:val="04DB22B6"/>
    <w:rsid w:val="04F27B85"/>
    <w:rsid w:val="051760C8"/>
    <w:rsid w:val="05480343"/>
    <w:rsid w:val="05725AC9"/>
    <w:rsid w:val="05AD54B2"/>
    <w:rsid w:val="05B03CC2"/>
    <w:rsid w:val="05D439AB"/>
    <w:rsid w:val="05E62EDB"/>
    <w:rsid w:val="05F53C35"/>
    <w:rsid w:val="06014433"/>
    <w:rsid w:val="06017EE6"/>
    <w:rsid w:val="0608218B"/>
    <w:rsid w:val="06096038"/>
    <w:rsid w:val="061F1453"/>
    <w:rsid w:val="06294D4F"/>
    <w:rsid w:val="064B28C9"/>
    <w:rsid w:val="066F26EE"/>
    <w:rsid w:val="06885B7B"/>
    <w:rsid w:val="068B5469"/>
    <w:rsid w:val="06916841"/>
    <w:rsid w:val="06CB07C9"/>
    <w:rsid w:val="06E660D7"/>
    <w:rsid w:val="071D25F6"/>
    <w:rsid w:val="0739746C"/>
    <w:rsid w:val="074566D5"/>
    <w:rsid w:val="074F0531"/>
    <w:rsid w:val="076E6A6C"/>
    <w:rsid w:val="077E5758"/>
    <w:rsid w:val="07835DE1"/>
    <w:rsid w:val="07A10AE3"/>
    <w:rsid w:val="081D21E9"/>
    <w:rsid w:val="081F16A3"/>
    <w:rsid w:val="083E3076"/>
    <w:rsid w:val="08414EC6"/>
    <w:rsid w:val="0898062A"/>
    <w:rsid w:val="08AA2216"/>
    <w:rsid w:val="08C46317"/>
    <w:rsid w:val="08C603A5"/>
    <w:rsid w:val="08DC6AB2"/>
    <w:rsid w:val="08DF4068"/>
    <w:rsid w:val="08E037A8"/>
    <w:rsid w:val="08E325AD"/>
    <w:rsid w:val="090F7BB0"/>
    <w:rsid w:val="092948EA"/>
    <w:rsid w:val="092E50C5"/>
    <w:rsid w:val="09313EB0"/>
    <w:rsid w:val="097315AA"/>
    <w:rsid w:val="0997348A"/>
    <w:rsid w:val="09D26822"/>
    <w:rsid w:val="09FA34EB"/>
    <w:rsid w:val="0A191E44"/>
    <w:rsid w:val="0A261D19"/>
    <w:rsid w:val="0A2B6C96"/>
    <w:rsid w:val="0A3F1365"/>
    <w:rsid w:val="0A42773B"/>
    <w:rsid w:val="0A544AAC"/>
    <w:rsid w:val="0A6B0BBC"/>
    <w:rsid w:val="0AAF446A"/>
    <w:rsid w:val="0AD070A2"/>
    <w:rsid w:val="0B2013C1"/>
    <w:rsid w:val="0B202814"/>
    <w:rsid w:val="0B255009"/>
    <w:rsid w:val="0B2D08C4"/>
    <w:rsid w:val="0B7676CB"/>
    <w:rsid w:val="0B930E7C"/>
    <w:rsid w:val="0BDF78E7"/>
    <w:rsid w:val="0BE77C94"/>
    <w:rsid w:val="0BEE28CB"/>
    <w:rsid w:val="0C294732"/>
    <w:rsid w:val="0C2A22E4"/>
    <w:rsid w:val="0C341ED9"/>
    <w:rsid w:val="0C9A2105"/>
    <w:rsid w:val="0CB4749A"/>
    <w:rsid w:val="0CE95B9C"/>
    <w:rsid w:val="0D074BCE"/>
    <w:rsid w:val="0D232D79"/>
    <w:rsid w:val="0D7E77A2"/>
    <w:rsid w:val="0D8A6AB3"/>
    <w:rsid w:val="0D9055C1"/>
    <w:rsid w:val="0DDB4033"/>
    <w:rsid w:val="0DE2095B"/>
    <w:rsid w:val="0DF37EAE"/>
    <w:rsid w:val="0E274849"/>
    <w:rsid w:val="0E3F1309"/>
    <w:rsid w:val="0E414F84"/>
    <w:rsid w:val="0E7A6730"/>
    <w:rsid w:val="0E9A09C3"/>
    <w:rsid w:val="0E9C13C6"/>
    <w:rsid w:val="0E9F7AAF"/>
    <w:rsid w:val="0F113628"/>
    <w:rsid w:val="0F74604D"/>
    <w:rsid w:val="0F8967CC"/>
    <w:rsid w:val="0FAB6A3D"/>
    <w:rsid w:val="0FAE0C1B"/>
    <w:rsid w:val="0FC11326"/>
    <w:rsid w:val="10497453"/>
    <w:rsid w:val="107E4F25"/>
    <w:rsid w:val="10805DF5"/>
    <w:rsid w:val="109C1A7C"/>
    <w:rsid w:val="10A14398"/>
    <w:rsid w:val="10A67900"/>
    <w:rsid w:val="10F2271C"/>
    <w:rsid w:val="10F25566"/>
    <w:rsid w:val="110C61B8"/>
    <w:rsid w:val="11516A1E"/>
    <w:rsid w:val="11762AD5"/>
    <w:rsid w:val="117C0C28"/>
    <w:rsid w:val="117D3C2C"/>
    <w:rsid w:val="118B2BF4"/>
    <w:rsid w:val="11AA02A9"/>
    <w:rsid w:val="11CD5617"/>
    <w:rsid w:val="11CD66C1"/>
    <w:rsid w:val="11F31858"/>
    <w:rsid w:val="11F4153D"/>
    <w:rsid w:val="120656E1"/>
    <w:rsid w:val="125048B6"/>
    <w:rsid w:val="12584A52"/>
    <w:rsid w:val="128C4A10"/>
    <w:rsid w:val="12C444B8"/>
    <w:rsid w:val="12D5036A"/>
    <w:rsid w:val="1301270B"/>
    <w:rsid w:val="133C0252"/>
    <w:rsid w:val="13856988"/>
    <w:rsid w:val="138D408C"/>
    <w:rsid w:val="13A7632A"/>
    <w:rsid w:val="13CB1029"/>
    <w:rsid w:val="13D534F9"/>
    <w:rsid w:val="140C75CB"/>
    <w:rsid w:val="1414343F"/>
    <w:rsid w:val="14197FD6"/>
    <w:rsid w:val="142F5AD9"/>
    <w:rsid w:val="144A02F1"/>
    <w:rsid w:val="145450C2"/>
    <w:rsid w:val="147877B1"/>
    <w:rsid w:val="14AD7CDA"/>
    <w:rsid w:val="14F5179D"/>
    <w:rsid w:val="150D62EE"/>
    <w:rsid w:val="15130A0A"/>
    <w:rsid w:val="15222FB2"/>
    <w:rsid w:val="15753212"/>
    <w:rsid w:val="15CB4E7F"/>
    <w:rsid w:val="15DE1DF9"/>
    <w:rsid w:val="15E13EF0"/>
    <w:rsid w:val="15E769F0"/>
    <w:rsid w:val="15EA3D7D"/>
    <w:rsid w:val="160E65CF"/>
    <w:rsid w:val="163C5AE3"/>
    <w:rsid w:val="16790BA4"/>
    <w:rsid w:val="168408D1"/>
    <w:rsid w:val="16CA686A"/>
    <w:rsid w:val="16F07AE6"/>
    <w:rsid w:val="170F29BC"/>
    <w:rsid w:val="17345AC7"/>
    <w:rsid w:val="17570500"/>
    <w:rsid w:val="178033CD"/>
    <w:rsid w:val="17A4585E"/>
    <w:rsid w:val="17AC372C"/>
    <w:rsid w:val="17D4708E"/>
    <w:rsid w:val="17F22B81"/>
    <w:rsid w:val="17FE3D7E"/>
    <w:rsid w:val="18274C26"/>
    <w:rsid w:val="185552F1"/>
    <w:rsid w:val="189153B8"/>
    <w:rsid w:val="18E919C5"/>
    <w:rsid w:val="192B7E45"/>
    <w:rsid w:val="194C7B14"/>
    <w:rsid w:val="19504AA2"/>
    <w:rsid w:val="19751950"/>
    <w:rsid w:val="19AE4815"/>
    <w:rsid w:val="19B711E1"/>
    <w:rsid w:val="19B75834"/>
    <w:rsid w:val="19CD62A2"/>
    <w:rsid w:val="1A270841"/>
    <w:rsid w:val="1A2B0264"/>
    <w:rsid w:val="1A3C685E"/>
    <w:rsid w:val="1A584947"/>
    <w:rsid w:val="1A6D0490"/>
    <w:rsid w:val="1A980C6F"/>
    <w:rsid w:val="1AA12B23"/>
    <w:rsid w:val="1AC51E5E"/>
    <w:rsid w:val="1AD40863"/>
    <w:rsid w:val="1AEE0C77"/>
    <w:rsid w:val="1B0C60FC"/>
    <w:rsid w:val="1B253699"/>
    <w:rsid w:val="1B3C3DDA"/>
    <w:rsid w:val="1B4510C3"/>
    <w:rsid w:val="1B51710E"/>
    <w:rsid w:val="1B56582D"/>
    <w:rsid w:val="1B5D52B6"/>
    <w:rsid w:val="1B7C621D"/>
    <w:rsid w:val="1C263D06"/>
    <w:rsid w:val="1C2A6493"/>
    <w:rsid w:val="1C7B47C6"/>
    <w:rsid w:val="1C8C02F2"/>
    <w:rsid w:val="1C96141B"/>
    <w:rsid w:val="1CA45C4A"/>
    <w:rsid w:val="1CAF7BC0"/>
    <w:rsid w:val="1CC215A8"/>
    <w:rsid w:val="1CD8735C"/>
    <w:rsid w:val="1D1D2071"/>
    <w:rsid w:val="1D1D2739"/>
    <w:rsid w:val="1D1F793E"/>
    <w:rsid w:val="1D2248BE"/>
    <w:rsid w:val="1D762000"/>
    <w:rsid w:val="1D971104"/>
    <w:rsid w:val="1E325443"/>
    <w:rsid w:val="1E412B77"/>
    <w:rsid w:val="1E4D0B80"/>
    <w:rsid w:val="1E503DF9"/>
    <w:rsid w:val="1E550484"/>
    <w:rsid w:val="1E6465F1"/>
    <w:rsid w:val="1E6E41DC"/>
    <w:rsid w:val="1E91399D"/>
    <w:rsid w:val="1EE26FE1"/>
    <w:rsid w:val="1EED0F94"/>
    <w:rsid w:val="1EFB3053"/>
    <w:rsid w:val="1F555005"/>
    <w:rsid w:val="1F732DD8"/>
    <w:rsid w:val="1F8A7A8C"/>
    <w:rsid w:val="1FB247B8"/>
    <w:rsid w:val="1FDC75B6"/>
    <w:rsid w:val="1FEB5EDE"/>
    <w:rsid w:val="1FF12140"/>
    <w:rsid w:val="1FFC672B"/>
    <w:rsid w:val="202E4DF7"/>
    <w:rsid w:val="20653326"/>
    <w:rsid w:val="207309DC"/>
    <w:rsid w:val="20755B5E"/>
    <w:rsid w:val="2088496A"/>
    <w:rsid w:val="20A424B6"/>
    <w:rsid w:val="20B22DC4"/>
    <w:rsid w:val="20E2119E"/>
    <w:rsid w:val="21304037"/>
    <w:rsid w:val="214E4652"/>
    <w:rsid w:val="216F33EA"/>
    <w:rsid w:val="2173580A"/>
    <w:rsid w:val="217D23C6"/>
    <w:rsid w:val="218061AE"/>
    <w:rsid w:val="218477B2"/>
    <w:rsid w:val="21866203"/>
    <w:rsid w:val="218F497A"/>
    <w:rsid w:val="224A50E8"/>
    <w:rsid w:val="22850580"/>
    <w:rsid w:val="22AD79B7"/>
    <w:rsid w:val="22D6182B"/>
    <w:rsid w:val="22EB0C14"/>
    <w:rsid w:val="22F16D16"/>
    <w:rsid w:val="22F53974"/>
    <w:rsid w:val="231F06DC"/>
    <w:rsid w:val="23273154"/>
    <w:rsid w:val="23A90406"/>
    <w:rsid w:val="23D61272"/>
    <w:rsid w:val="23DD2ABB"/>
    <w:rsid w:val="23E87122"/>
    <w:rsid w:val="241915BC"/>
    <w:rsid w:val="24466BE3"/>
    <w:rsid w:val="245300A6"/>
    <w:rsid w:val="24833D88"/>
    <w:rsid w:val="249223ED"/>
    <w:rsid w:val="24D62091"/>
    <w:rsid w:val="252D525D"/>
    <w:rsid w:val="258B7558"/>
    <w:rsid w:val="25B317DC"/>
    <w:rsid w:val="2676194C"/>
    <w:rsid w:val="2694215A"/>
    <w:rsid w:val="26BA3D31"/>
    <w:rsid w:val="26E61785"/>
    <w:rsid w:val="26E63A7F"/>
    <w:rsid w:val="27102B34"/>
    <w:rsid w:val="271909D4"/>
    <w:rsid w:val="272C40F1"/>
    <w:rsid w:val="27370964"/>
    <w:rsid w:val="27635B82"/>
    <w:rsid w:val="277B1384"/>
    <w:rsid w:val="2798233C"/>
    <w:rsid w:val="27D853A7"/>
    <w:rsid w:val="27DB1524"/>
    <w:rsid w:val="27FA22AB"/>
    <w:rsid w:val="280A7ACB"/>
    <w:rsid w:val="281C60EE"/>
    <w:rsid w:val="28323144"/>
    <w:rsid w:val="284222ED"/>
    <w:rsid w:val="284F3B6E"/>
    <w:rsid w:val="289B6E72"/>
    <w:rsid w:val="290723B2"/>
    <w:rsid w:val="290A0231"/>
    <w:rsid w:val="290C624C"/>
    <w:rsid w:val="29255EA1"/>
    <w:rsid w:val="2933221A"/>
    <w:rsid w:val="29375AC5"/>
    <w:rsid w:val="29522712"/>
    <w:rsid w:val="295858BA"/>
    <w:rsid w:val="296166BD"/>
    <w:rsid w:val="29667C37"/>
    <w:rsid w:val="29946F3E"/>
    <w:rsid w:val="29B91E53"/>
    <w:rsid w:val="29CF406A"/>
    <w:rsid w:val="29F242A0"/>
    <w:rsid w:val="2A2473E7"/>
    <w:rsid w:val="2A3C62B6"/>
    <w:rsid w:val="2A5026FE"/>
    <w:rsid w:val="2A875F93"/>
    <w:rsid w:val="2AAC4C7D"/>
    <w:rsid w:val="2AED1F22"/>
    <w:rsid w:val="2B383128"/>
    <w:rsid w:val="2B577548"/>
    <w:rsid w:val="2B750196"/>
    <w:rsid w:val="2B8B3EEB"/>
    <w:rsid w:val="2B9740D8"/>
    <w:rsid w:val="2BBD51BB"/>
    <w:rsid w:val="2BC32F5E"/>
    <w:rsid w:val="2BDC4B49"/>
    <w:rsid w:val="2BFF617C"/>
    <w:rsid w:val="2C0B720A"/>
    <w:rsid w:val="2C496276"/>
    <w:rsid w:val="2CEA1655"/>
    <w:rsid w:val="2D281971"/>
    <w:rsid w:val="2D3F17FF"/>
    <w:rsid w:val="2D5D645B"/>
    <w:rsid w:val="2DB15E0A"/>
    <w:rsid w:val="2DC16E8F"/>
    <w:rsid w:val="2DC45B3D"/>
    <w:rsid w:val="2DE27339"/>
    <w:rsid w:val="2DEB587F"/>
    <w:rsid w:val="2E293AD3"/>
    <w:rsid w:val="2E523695"/>
    <w:rsid w:val="2ED6269C"/>
    <w:rsid w:val="2F660E22"/>
    <w:rsid w:val="2F9751C4"/>
    <w:rsid w:val="2FA54E49"/>
    <w:rsid w:val="2FA97380"/>
    <w:rsid w:val="2FB153D1"/>
    <w:rsid w:val="2FD016EA"/>
    <w:rsid w:val="2FD477B6"/>
    <w:rsid w:val="2FD632A2"/>
    <w:rsid w:val="2FE96A98"/>
    <w:rsid w:val="304D207C"/>
    <w:rsid w:val="305E1C50"/>
    <w:rsid w:val="309036C7"/>
    <w:rsid w:val="309E7F8C"/>
    <w:rsid w:val="30A209BB"/>
    <w:rsid w:val="30DE6126"/>
    <w:rsid w:val="30F675F6"/>
    <w:rsid w:val="310259BC"/>
    <w:rsid w:val="3116311A"/>
    <w:rsid w:val="313F372D"/>
    <w:rsid w:val="31616568"/>
    <w:rsid w:val="31920EFC"/>
    <w:rsid w:val="31C527F2"/>
    <w:rsid w:val="31DA4799"/>
    <w:rsid w:val="31DF2419"/>
    <w:rsid w:val="31F20C13"/>
    <w:rsid w:val="32521B44"/>
    <w:rsid w:val="325F4298"/>
    <w:rsid w:val="329F4323"/>
    <w:rsid w:val="32C32DC2"/>
    <w:rsid w:val="32CA0966"/>
    <w:rsid w:val="32D862B1"/>
    <w:rsid w:val="32DE56F0"/>
    <w:rsid w:val="32E85B28"/>
    <w:rsid w:val="3340031D"/>
    <w:rsid w:val="338374FF"/>
    <w:rsid w:val="338F0F49"/>
    <w:rsid w:val="339C240D"/>
    <w:rsid w:val="33BC7F5E"/>
    <w:rsid w:val="34346E06"/>
    <w:rsid w:val="346766BF"/>
    <w:rsid w:val="348669D4"/>
    <w:rsid w:val="349B511E"/>
    <w:rsid w:val="34DC7C2C"/>
    <w:rsid w:val="34EF0FC6"/>
    <w:rsid w:val="351E5DDC"/>
    <w:rsid w:val="357324B6"/>
    <w:rsid w:val="35A02B55"/>
    <w:rsid w:val="35C82DE7"/>
    <w:rsid w:val="35D830D6"/>
    <w:rsid w:val="35E45BD9"/>
    <w:rsid w:val="35F60B79"/>
    <w:rsid w:val="35FC6659"/>
    <w:rsid w:val="36032B41"/>
    <w:rsid w:val="36033DCB"/>
    <w:rsid w:val="36171143"/>
    <w:rsid w:val="364C7E5C"/>
    <w:rsid w:val="364D77F0"/>
    <w:rsid w:val="36B37DAC"/>
    <w:rsid w:val="36E06077"/>
    <w:rsid w:val="36EA6F12"/>
    <w:rsid w:val="36FF2BC7"/>
    <w:rsid w:val="372F571B"/>
    <w:rsid w:val="37335085"/>
    <w:rsid w:val="375A1C0D"/>
    <w:rsid w:val="37605364"/>
    <w:rsid w:val="37645038"/>
    <w:rsid w:val="37C2035E"/>
    <w:rsid w:val="37FC4126"/>
    <w:rsid w:val="380364A4"/>
    <w:rsid w:val="38251926"/>
    <w:rsid w:val="387770BF"/>
    <w:rsid w:val="38BB460C"/>
    <w:rsid w:val="390140EE"/>
    <w:rsid w:val="39090805"/>
    <w:rsid w:val="392E6CEF"/>
    <w:rsid w:val="39340636"/>
    <w:rsid w:val="39B72C5B"/>
    <w:rsid w:val="39C238AC"/>
    <w:rsid w:val="39E22C74"/>
    <w:rsid w:val="3A2D2A99"/>
    <w:rsid w:val="3A4E7624"/>
    <w:rsid w:val="3A547D72"/>
    <w:rsid w:val="3A6607FB"/>
    <w:rsid w:val="3B0F6334"/>
    <w:rsid w:val="3B147759"/>
    <w:rsid w:val="3B5122CA"/>
    <w:rsid w:val="3B5A2857"/>
    <w:rsid w:val="3B815AF6"/>
    <w:rsid w:val="3B9A3B2E"/>
    <w:rsid w:val="3BA02E15"/>
    <w:rsid w:val="3BAC0C70"/>
    <w:rsid w:val="3BBF52F1"/>
    <w:rsid w:val="3BC4015D"/>
    <w:rsid w:val="3BC5720F"/>
    <w:rsid w:val="3BC840A1"/>
    <w:rsid w:val="3BD23DF2"/>
    <w:rsid w:val="3BED3D3E"/>
    <w:rsid w:val="3C2377F5"/>
    <w:rsid w:val="3C260D2F"/>
    <w:rsid w:val="3C4600FB"/>
    <w:rsid w:val="3C8B7E67"/>
    <w:rsid w:val="3C8E0A1B"/>
    <w:rsid w:val="3CC05722"/>
    <w:rsid w:val="3CF76B1A"/>
    <w:rsid w:val="3D066F82"/>
    <w:rsid w:val="3D0F39CA"/>
    <w:rsid w:val="3D155DA1"/>
    <w:rsid w:val="3D165B71"/>
    <w:rsid w:val="3D522D0F"/>
    <w:rsid w:val="3D5D01B1"/>
    <w:rsid w:val="3D703698"/>
    <w:rsid w:val="3E0D28F9"/>
    <w:rsid w:val="3E1B25BC"/>
    <w:rsid w:val="3E1E7DDD"/>
    <w:rsid w:val="3E3237BF"/>
    <w:rsid w:val="3E5C5D09"/>
    <w:rsid w:val="3E735C85"/>
    <w:rsid w:val="3E940B72"/>
    <w:rsid w:val="3EB31164"/>
    <w:rsid w:val="3EBD12EF"/>
    <w:rsid w:val="3F142CC2"/>
    <w:rsid w:val="3F1508A0"/>
    <w:rsid w:val="3F211E56"/>
    <w:rsid w:val="3F261AEF"/>
    <w:rsid w:val="3F264E4C"/>
    <w:rsid w:val="3F3060F3"/>
    <w:rsid w:val="3F340E7B"/>
    <w:rsid w:val="3F3711C5"/>
    <w:rsid w:val="3F4B798B"/>
    <w:rsid w:val="3F5B2410"/>
    <w:rsid w:val="3F886B35"/>
    <w:rsid w:val="3FDE27D9"/>
    <w:rsid w:val="3FEF739B"/>
    <w:rsid w:val="40070648"/>
    <w:rsid w:val="400D09F7"/>
    <w:rsid w:val="401F064D"/>
    <w:rsid w:val="40462543"/>
    <w:rsid w:val="405C49C2"/>
    <w:rsid w:val="405D6EC0"/>
    <w:rsid w:val="4064778E"/>
    <w:rsid w:val="4068425F"/>
    <w:rsid w:val="406B2AC3"/>
    <w:rsid w:val="408825D8"/>
    <w:rsid w:val="408917C7"/>
    <w:rsid w:val="40A65439"/>
    <w:rsid w:val="41246B7F"/>
    <w:rsid w:val="41463206"/>
    <w:rsid w:val="415C2E48"/>
    <w:rsid w:val="415E2800"/>
    <w:rsid w:val="419100D0"/>
    <w:rsid w:val="41A27AEC"/>
    <w:rsid w:val="41B16BB0"/>
    <w:rsid w:val="41C077EE"/>
    <w:rsid w:val="41DE622C"/>
    <w:rsid w:val="41F145CF"/>
    <w:rsid w:val="42172FE0"/>
    <w:rsid w:val="421C3D96"/>
    <w:rsid w:val="42242138"/>
    <w:rsid w:val="42351A7E"/>
    <w:rsid w:val="423D5A0C"/>
    <w:rsid w:val="42606B35"/>
    <w:rsid w:val="42731714"/>
    <w:rsid w:val="42D03A33"/>
    <w:rsid w:val="43155145"/>
    <w:rsid w:val="43382E6B"/>
    <w:rsid w:val="43647EF7"/>
    <w:rsid w:val="438E761A"/>
    <w:rsid w:val="43931D16"/>
    <w:rsid w:val="43A21701"/>
    <w:rsid w:val="43CF1311"/>
    <w:rsid w:val="43D870C2"/>
    <w:rsid w:val="43FC5885"/>
    <w:rsid w:val="43FE2FD4"/>
    <w:rsid w:val="44270969"/>
    <w:rsid w:val="44277B4B"/>
    <w:rsid w:val="445D7BBD"/>
    <w:rsid w:val="44667C41"/>
    <w:rsid w:val="449E48F4"/>
    <w:rsid w:val="44D75166"/>
    <w:rsid w:val="44DC186F"/>
    <w:rsid w:val="44E24538"/>
    <w:rsid w:val="45277035"/>
    <w:rsid w:val="455E1077"/>
    <w:rsid w:val="45671DD8"/>
    <w:rsid w:val="457D5F5B"/>
    <w:rsid w:val="459D79C1"/>
    <w:rsid w:val="465760C2"/>
    <w:rsid w:val="466203B3"/>
    <w:rsid w:val="46737E1A"/>
    <w:rsid w:val="468C5919"/>
    <w:rsid w:val="46C6264F"/>
    <w:rsid w:val="46DC2655"/>
    <w:rsid w:val="46FC60FC"/>
    <w:rsid w:val="47134138"/>
    <w:rsid w:val="471348C3"/>
    <w:rsid w:val="472C2AAD"/>
    <w:rsid w:val="478E4B4A"/>
    <w:rsid w:val="47C55CC7"/>
    <w:rsid w:val="47D36958"/>
    <w:rsid w:val="47EF2FDF"/>
    <w:rsid w:val="47F17F8F"/>
    <w:rsid w:val="48016910"/>
    <w:rsid w:val="485135B2"/>
    <w:rsid w:val="485644C8"/>
    <w:rsid w:val="48CD2448"/>
    <w:rsid w:val="48D13D47"/>
    <w:rsid w:val="48E85E28"/>
    <w:rsid w:val="48F9382E"/>
    <w:rsid w:val="49142D27"/>
    <w:rsid w:val="49215537"/>
    <w:rsid w:val="4934266D"/>
    <w:rsid w:val="496867B1"/>
    <w:rsid w:val="499123D4"/>
    <w:rsid w:val="49AC1D1D"/>
    <w:rsid w:val="49B57172"/>
    <w:rsid w:val="49BC73CF"/>
    <w:rsid w:val="49D76B1B"/>
    <w:rsid w:val="49E241C9"/>
    <w:rsid w:val="49E8502C"/>
    <w:rsid w:val="49EC4286"/>
    <w:rsid w:val="4A3459A1"/>
    <w:rsid w:val="4AFD5E56"/>
    <w:rsid w:val="4B0D4644"/>
    <w:rsid w:val="4B1D27F1"/>
    <w:rsid w:val="4B6B72DB"/>
    <w:rsid w:val="4B995FBF"/>
    <w:rsid w:val="4BA86892"/>
    <w:rsid w:val="4BCD639F"/>
    <w:rsid w:val="4C0B2731"/>
    <w:rsid w:val="4C2E31F8"/>
    <w:rsid w:val="4C7725DA"/>
    <w:rsid w:val="4C801578"/>
    <w:rsid w:val="4C8A6E37"/>
    <w:rsid w:val="4CBA4F88"/>
    <w:rsid w:val="4CD23725"/>
    <w:rsid w:val="4D0E049F"/>
    <w:rsid w:val="4D186EB4"/>
    <w:rsid w:val="4D1A3528"/>
    <w:rsid w:val="4D6078D3"/>
    <w:rsid w:val="4D62425A"/>
    <w:rsid w:val="4DBC1F35"/>
    <w:rsid w:val="4E062C10"/>
    <w:rsid w:val="4E522649"/>
    <w:rsid w:val="4E533806"/>
    <w:rsid w:val="4E575021"/>
    <w:rsid w:val="4E5A253A"/>
    <w:rsid w:val="4E6074BB"/>
    <w:rsid w:val="4E71794A"/>
    <w:rsid w:val="4E7D1170"/>
    <w:rsid w:val="4E9173F1"/>
    <w:rsid w:val="4F443487"/>
    <w:rsid w:val="4FFB4EC4"/>
    <w:rsid w:val="50050B1E"/>
    <w:rsid w:val="50162565"/>
    <w:rsid w:val="50273489"/>
    <w:rsid w:val="50653529"/>
    <w:rsid w:val="50653561"/>
    <w:rsid w:val="5089087F"/>
    <w:rsid w:val="50AE68B4"/>
    <w:rsid w:val="50CB2095"/>
    <w:rsid w:val="50CD10D2"/>
    <w:rsid w:val="50E548E3"/>
    <w:rsid w:val="50E95B26"/>
    <w:rsid w:val="50F40C26"/>
    <w:rsid w:val="50F7067B"/>
    <w:rsid w:val="50F93F68"/>
    <w:rsid w:val="512B4354"/>
    <w:rsid w:val="515A3705"/>
    <w:rsid w:val="51624549"/>
    <w:rsid w:val="5185445B"/>
    <w:rsid w:val="518A6F9C"/>
    <w:rsid w:val="51FF706F"/>
    <w:rsid w:val="52712579"/>
    <w:rsid w:val="52826CB3"/>
    <w:rsid w:val="52A57AEB"/>
    <w:rsid w:val="52B9497D"/>
    <w:rsid w:val="52C25A76"/>
    <w:rsid w:val="52DD4EA9"/>
    <w:rsid w:val="530157AD"/>
    <w:rsid w:val="53020B45"/>
    <w:rsid w:val="53314E3A"/>
    <w:rsid w:val="533952B2"/>
    <w:rsid w:val="535D6031"/>
    <w:rsid w:val="537A20E2"/>
    <w:rsid w:val="53B10E0E"/>
    <w:rsid w:val="53F161B6"/>
    <w:rsid w:val="54072B09"/>
    <w:rsid w:val="54264B76"/>
    <w:rsid w:val="543162D6"/>
    <w:rsid w:val="5440376B"/>
    <w:rsid w:val="54466D99"/>
    <w:rsid w:val="548E1EB1"/>
    <w:rsid w:val="549A66E3"/>
    <w:rsid w:val="549E2463"/>
    <w:rsid w:val="54AF1A2A"/>
    <w:rsid w:val="54E416BB"/>
    <w:rsid w:val="550F0A41"/>
    <w:rsid w:val="5522684C"/>
    <w:rsid w:val="554C26D2"/>
    <w:rsid w:val="55546CE4"/>
    <w:rsid w:val="559677A2"/>
    <w:rsid w:val="55AC2A1D"/>
    <w:rsid w:val="55BF7D10"/>
    <w:rsid w:val="55CA6D0C"/>
    <w:rsid w:val="55CB6B21"/>
    <w:rsid w:val="564C152B"/>
    <w:rsid w:val="56621CC0"/>
    <w:rsid w:val="56804BA8"/>
    <w:rsid w:val="56956BD1"/>
    <w:rsid w:val="569972B8"/>
    <w:rsid w:val="569D2735"/>
    <w:rsid w:val="56CC4DA9"/>
    <w:rsid w:val="56F80F98"/>
    <w:rsid w:val="5701542A"/>
    <w:rsid w:val="572A3782"/>
    <w:rsid w:val="574C1A20"/>
    <w:rsid w:val="579B534E"/>
    <w:rsid w:val="582C7CDF"/>
    <w:rsid w:val="58482DC6"/>
    <w:rsid w:val="585E52A9"/>
    <w:rsid w:val="588561B5"/>
    <w:rsid w:val="588D20CB"/>
    <w:rsid w:val="58B57A0E"/>
    <w:rsid w:val="58DB7A0A"/>
    <w:rsid w:val="58F51FFA"/>
    <w:rsid w:val="591B4991"/>
    <w:rsid w:val="59570292"/>
    <w:rsid w:val="596000F2"/>
    <w:rsid w:val="59D61BA3"/>
    <w:rsid w:val="59FF4D38"/>
    <w:rsid w:val="5A0469F7"/>
    <w:rsid w:val="5A0C4B75"/>
    <w:rsid w:val="5A28064A"/>
    <w:rsid w:val="5A7923BF"/>
    <w:rsid w:val="5A926793"/>
    <w:rsid w:val="5A9605BD"/>
    <w:rsid w:val="5AE10FFC"/>
    <w:rsid w:val="5AE47F70"/>
    <w:rsid w:val="5AE67E10"/>
    <w:rsid w:val="5AE911BF"/>
    <w:rsid w:val="5B4F1918"/>
    <w:rsid w:val="5BAC60D4"/>
    <w:rsid w:val="5BDA1DC4"/>
    <w:rsid w:val="5C1D46FC"/>
    <w:rsid w:val="5C3D5425"/>
    <w:rsid w:val="5C5A2DA2"/>
    <w:rsid w:val="5C741A7E"/>
    <w:rsid w:val="5C8C3CA8"/>
    <w:rsid w:val="5C916CCE"/>
    <w:rsid w:val="5C9824E3"/>
    <w:rsid w:val="5CAD7201"/>
    <w:rsid w:val="5CD42029"/>
    <w:rsid w:val="5CE864FF"/>
    <w:rsid w:val="5D117FDD"/>
    <w:rsid w:val="5D18719D"/>
    <w:rsid w:val="5D1C04EB"/>
    <w:rsid w:val="5D295DC9"/>
    <w:rsid w:val="5D2B53B9"/>
    <w:rsid w:val="5D335BD3"/>
    <w:rsid w:val="5D3436B2"/>
    <w:rsid w:val="5D4D7D2E"/>
    <w:rsid w:val="5D576C2F"/>
    <w:rsid w:val="5D674CB0"/>
    <w:rsid w:val="5D785662"/>
    <w:rsid w:val="5DB83B24"/>
    <w:rsid w:val="5DC63B4E"/>
    <w:rsid w:val="5DE1427A"/>
    <w:rsid w:val="5E0F1CC8"/>
    <w:rsid w:val="5E115430"/>
    <w:rsid w:val="5E466E49"/>
    <w:rsid w:val="5E580E47"/>
    <w:rsid w:val="5E965310"/>
    <w:rsid w:val="5EAE695A"/>
    <w:rsid w:val="5ECF32B4"/>
    <w:rsid w:val="5F065231"/>
    <w:rsid w:val="5F1B632E"/>
    <w:rsid w:val="5F2D4540"/>
    <w:rsid w:val="5F3F68E4"/>
    <w:rsid w:val="5F496833"/>
    <w:rsid w:val="5F706BE5"/>
    <w:rsid w:val="5F8949F9"/>
    <w:rsid w:val="5FA4535D"/>
    <w:rsid w:val="5FA9592C"/>
    <w:rsid w:val="5FB24314"/>
    <w:rsid w:val="60175E9A"/>
    <w:rsid w:val="60206354"/>
    <w:rsid w:val="603871C4"/>
    <w:rsid w:val="60C71945"/>
    <w:rsid w:val="60D53728"/>
    <w:rsid w:val="60EA622B"/>
    <w:rsid w:val="6119082B"/>
    <w:rsid w:val="613106B6"/>
    <w:rsid w:val="6143275F"/>
    <w:rsid w:val="615014E4"/>
    <w:rsid w:val="61557543"/>
    <w:rsid w:val="61685A62"/>
    <w:rsid w:val="61816777"/>
    <w:rsid w:val="61927EBE"/>
    <w:rsid w:val="61BA3194"/>
    <w:rsid w:val="61D513C0"/>
    <w:rsid w:val="61D771BB"/>
    <w:rsid w:val="61E9479D"/>
    <w:rsid w:val="621B2390"/>
    <w:rsid w:val="627739F9"/>
    <w:rsid w:val="62D9704A"/>
    <w:rsid w:val="62F41621"/>
    <w:rsid w:val="631F5140"/>
    <w:rsid w:val="63206CA6"/>
    <w:rsid w:val="633B597B"/>
    <w:rsid w:val="636D4FE6"/>
    <w:rsid w:val="63825B96"/>
    <w:rsid w:val="63EB104E"/>
    <w:rsid w:val="63F0608C"/>
    <w:rsid w:val="63FE790F"/>
    <w:rsid w:val="64382189"/>
    <w:rsid w:val="64455F5E"/>
    <w:rsid w:val="64834A99"/>
    <w:rsid w:val="64845FD3"/>
    <w:rsid w:val="649A1366"/>
    <w:rsid w:val="64A4394A"/>
    <w:rsid w:val="64AA7739"/>
    <w:rsid w:val="64BB7417"/>
    <w:rsid w:val="64BC06ED"/>
    <w:rsid w:val="64E24D7D"/>
    <w:rsid w:val="64FD655F"/>
    <w:rsid w:val="652105C6"/>
    <w:rsid w:val="652D090B"/>
    <w:rsid w:val="654423FD"/>
    <w:rsid w:val="65580111"/>
    <w:rsid w:val="65620913"/>
    <w:rsid w:val="65847151"/>
    <w:rsid w:val="65F12EB4"/>
    <w:rsid w:val="65F34C4A"/>
    <w:rsid w:val="65F37DD4"/>
    <w:rsid w:val="66003E23"/>
    <w:rsid w:val="660663C1"/>
    <w:rsid w:val="663973F8"/>
    <w:rsid w:val="66413961"/>
    <w:rsid w:val="6641458A"/>
    <w:rsid w:val="667A5120"/>
    <w:rsid w:val="66835CCD"/>
    <w:rsid w:val="66C96879"/>
    <w:rsid w:val="66EB187F"/>
    <w:rsid w:val="67194A7C"/>
    <w:rsid w:val="67730275"/>
    <w:rsid w:val="67904BFA"/>
    <w:rsid w:val="67AE355A"/>
    <w:rsid w:val="67E06F23"/>
    <w:rsid w:val="6806596A"/>
    <w:rsid w:val="682231B1"/>
    <w:rsid w:val="683A1C46"/>
    <w:rsid w:val="684118F2"/>
    <w:rsid w:val="68487F40"/>
    <w:rsid w:val="684C3518"/>
    <w:rsid w:val="68A04921"/>
    <w:rsid w:val="68A066BA"/>
    <w:rsid w:val="68BB6A95"/>
    <w:rsid w:val="68BE3085"/>
    <w:rsid w:val="68C831C1"/>
    <w:rsid w:val="69526C2A"/>
    <w:rsid w:val="69535F9B"/>
    <w:rsid w:val="69654292"/>
    <w:rsid w:val="697D680D"/>
    <w:rsid w:val="697F44DA"/>
    <w:rsid w:val="69967E7F"/>
    <w:rsid w:val="69AD2905"/>
    <w:rsid w:val="69AE5167"/>
    <w:rsid w:val="69B47C6D"/>
    <w:rsid w:val="69D87D95"/>
    <w:rsid w:val="69DE276E"/>
    <w:rsid w:val="69FE60DF"/>
    <w:rsid w:val="6A093C19"/>
    <w:rsid w:val="6A8638CB"/>
    <w:rsid w:val="6A9341CF"/>
    <w:rsid w:val="6A9853D4"/>
    <w:rsid w:val="6A9B43AC"/>
    <w:rsid w:val="6AB06079"/>
    <w:rsid w:val="6AD064F1"/>
    <w:rsid w:val="6AE362F9"/>
    <w:rsid w:val="6B0C6921"/>
    <w:rsid w:val="6B3140F1"/>
    <w:rsid w:val="6B78270D"/>
    <w:rsid w:val="6B8D28F6"/>
    <w:rsid w:val="6B901BE4"/>
    <w:rsid w:val="6BCC6449"/>
    <w:rsid w:val="6BF8667B"/>
    <w:rsid w:val="6C3F2DEB"/>
    <w:rsid w:val="6C591948"/>
    <w:rsid w:val="6C5E2742"/>
    <w:rsid w:val="6C73669B"/>
    <w:rsid w:val="6CA90003"/>
    <w:rsid w:val="6CE56B7E"/>
    <w:rsid w:val="6CE6378C"/>
    <w:rsid w:val="6D0E1A49"/>
    <w:rsid w:val="6D472CF8"/>
    <w:rsid w:val="6D757D14"/>
    <w:rsid w:val="6DB53BB8"/>
    <w:rsid w:val="6DE10CD4"/>
    <w:rsid w:val="6DF112F5"/>
    <w:rsid w:val="6E0814C1"/>
    <w:rsid w:val="6E3D4A63"/>
    <w:rsid w:val="6E6161AC"/>
    <w:rsid w:val="6EA45BE3"/>
    <w:rsid w:val="6EEC7092"/>
    <w:rsid w:val="6F06407D"/>
    <w:rsid w:val="6F1917CD"/>
    <w:rsid w:val="6F1B3C75"/>
    <w:rsid w:val="6F357128"/>
    <w:rsid w:val="6F5E5ADE"/>
    <w:rsid w:val="6F6659E6"/>
    <w:rsid w:val="6F7E1EA5"/>
    <w:rsid w:val="6FB71CAB"/>
    <w:rsid w:val="6FCF6CE8"/>
    <w:rsid w:val="70131B5D"/>
    <w:rsid w:val="701D11D5"/>
    <w:rsid w:val="702F0BE5"/>
    <w:rsid w:val="70495515"/>
    <w:rsid w:val="705E3864"/>
    <w:rsid w:val="70690763"/>
    <w:rsid w:val="70881BA0"/>
    <w:rsid w:val="708A29AB"/>
    <w:rsid w:val="70BC3F8A"/>
    <w:rsid w:val="71097DF4"/>
    <w:rsid w:val="71842F90"/>
    <w:rsid w:val="71D16FA9"/>
    <w:rsid w:val="728104F0"/>
    <w:rsid w:val="72A04B65"/>
    <w:rsid w:val="72C452D2"/>
    <w:rsid w:val="72CF2356"/>
    <w:rsid w:val="73334198"/>
    <w:rsid w:val="735E5E3A"/>
    <w:rsid w:val="73740681"/>
    <w:rsid w:val="73B26F97"/>
    <w:rsid w:val="73BF458F"/>
    <w:rsid w:val="740E1D05"/>
    <w:rsid w:val="7417588C"/>
    <w:rsid w:val="743B6B13"/>
    <w:rsid w:val="743E4BA3"/>
    <w:rsid w:val="747E117B"/>
    <w:rsid w:val="74AD588E"/>
    <w:rsid w:val="74B5509F"/>
    <w:rsid w:val="74D111AD"/>
    <w:rsid w:val="74DD7550"/>
    <w:rsid w:val="7513360B"/>
    <w:rsid w:val="751670D0"/>
    <w:rsid w:val="75414655"/>
    <w:rsid w:val="757522EF"/>
    <w:rsid w:val="757E794D"/>
    <w:rsid w:val="75EC6F1F"/>
    <w:rsid w:val="75FC1C6A"/>
    <w:rsid w:val="76010416"/>
    <w:rsid w:val="76183E28"/>
    <w:rsid w:val="7645269C"/>
    <w:rsid w:val="765A40C7"/>
    <w:rsid w:val="765F407E"/>
    <w:rsid w:val="767F56D5"/>
    <w:rsid w:val="769E1959"/>
    <w:rsid w:val="76DB126A"/>
    <w:rsid w:val="76DF1CA0"/>
    <w:rsid w:val="76E76878"/>
    <w:rsid w:val="76F43FBC"/>
    <w:rsid w:val="77182D1C"/>
    <w:rsid w:val="771953B8"/>
    <w:rsid w:val="771C0FD8"/>
    <w:rsid w:val="77515D33"/>
    <w:rsid w:val="77E2793C"/>
    <w:rsid w:val="77E44FDD"/>
    <w:rsid w:val="77EF3B6A"/>
    <w:rsid w:val="77FF49A6"/>
    <w:rsid w:val="7820218B"/>
    <w:rsid w:val="782852F1"/>
    <w:rsid w:val="782F21C2"/>
    <w:rsid w:val="78913D4D"/>
    <w:rsid w:val="78B33222"/>
    <w:rsid w:val="78C7535C"/>
    <w:rsid w:val="78DA7894"/>
    <w:rsid w:val="78F966AE"/>
    <w:rsid w:val="78FE020D"/>
    <w:rsid w:val="79011C0B"/>
    <w:rsid w:val="7902647C"/>
    <w:rsid w:val="790F539F"/>
    <w:rsid w:val="79516C6D"/>
    <w:rsid w:val="79753F7E"/>
    <w:rsid w:val="79776158"/>
    <w:rsid w:val="79B60BF0"/>
    <w:rsid w:val="79B641BD"/>
    <w:rsid w:val="79C3723C"/>
    <w:rsid w:val="79C579F9"/>
    <w:rsid w:val="7A0F6CE2"/>
    <w:rsid w:val="7A634F5D"/>
    <w:rsid w:val="7A841BA8"/>
    <w:rsid w:val="7AA12A52"/>
    <w:rsid w:val="7ABC54E6"/>
    <w:rsid w:val="7ABF3BA7"/>
    <w:rsid w:val="7AD13B4D"/>
    <w:rsid w:val="7ADA1D69"/>
    <w:rsid w:val="7AF2025B"/>
    <w:rsid w:val="7B76228F"/>
    <w:rsid w:val="7B9100B6"/>
    <w:rsid w:val="7B9103EF"/>
    <w:rsid w:val="7B9649B6"/>
    <w:rsid w:val="7BA504EC"/>
    <w:rsid w:val="7BB04F0E"/>
    <w:rsid w:val="7BBC677E"/>
    <w:rsid w:val="7BC57FE0"/>
    <w:rsid w:val="7BD873E8"/>
    <w:rsid w:val="7BF135EE"/>
    <w:rsid w:val="7BFD37C8"/>
    <w:rsid w:val="7C0A237C"/>
    <w:rsid w:val="7C513B96"/>
    <w:rsid w:val="7C6C76BE"/>
    <w:rsid w:val="7C856238"/>
    <w:rsid w:val="7CC27F9D"/>
    <w:rsid w:val="7CCB768A"/>
    <w:rsid w:val="7CDE147C"/>
    <w:rsid w:val="7CFD7EB9"/>
    <w:rsid w:val="7D392EEF"/>
    <w:rsid w:val="7DC4191F"/>
    <w:rsid w:val="7E030DD8"/>
    <w:rsid w:val="7E09456B"/>
    <w:rsid w:val="7E1518FF"/>
    <w:rsid w:val="7E166EA7"/>
    <w:rsid w:val="7E1F5661"/>
    <w:rsid w:val="7E41445B"/>
    <w:rsid w:val="7E926046"/>
    <w:rsid w:val="7EAC3A17"/>
    <w:rsid w:val="7EBA751C"/>
    <w:rsid w:val="7EEE3FC4"/>
    <w:rsid w:val="7F3C4DB8"/>
    <w:rsid w:val="7F6050DE"/>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szCs w:val="24"/>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5"/>
    <w:qFormat/>
    <w:uiPriority w:val="0"/>
    <w:pPr>
      <w:ind w:left="100" w:leftChars="2500"/>
    </w:pPr>
  </w:style>
  <w:style w:type="paragraph" w:styleId="9">
    <w:name w:val="Balloon Text"/>
    <w:basedOn w:val="1"/>
    <w:qFormat/>
    <w:uiPriority w:val="0"/>
    <w:rPr>
      <w:sz w:val="18"/>
    </w:rPr>
  </w:style>
  <w:style w:type="paragraph" w:styleId="10">
    <w:name w:val="footer"/>
    <w:basedOn w:val="1"/>
    <w:link w:val="22"/>
    <w:qFormat/>
    <w:uiPriority w:val="99"/>
    <w:pPr>
      <w:tabs>
        <w:tab w:val="center" w:pos="4153"/>
        <w:tab w:val="right" w:pos="8306"/>
      </w:tabs>
      <w:snapToGrid w:val="0"/>
      <w:ind w:right="100" w:rightChars="100"/>
      <w:jc w:val="right"/>
    </w:pPr>
    <w:rPr>
      <w:sz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qFormat/>
    <w:uiPriority w:val="0"/>
    <w:rPr>
      <w:b/>
    </w:rPr>
  </w:style>
  <w:style w:type="paragraph" w:styleId="15">
    <w:name w:val="Body Text First Indent"/>
    <w:basedOn w:val="7"/>
    <w:qFormat/>
    <w:uiPriority w:val="0"/>
    <w:pPr>
      <w:adjustRightInd w:val="0"/>
      <w:spacing w:after="0"/>
      <w:jc w:val="left"/>
      <w:textAlignment w:val="baseline"/>
    </w:pPr>
    <w:rPr>
      <w:rFonts w:ascii="宋体" w:hAnsi="宋体"/>
      <w:kern w:val="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sz w:val="18"/>
    </w:rPr>
  </w:style>
  <w:style w:type="character" w:styleId="20">
    <w:name w:val="annotation reference"/>
    <w:qFormat/>
    <w:uiPriority w:val="0"/>
    <w:rPr>
      <w:sz w:val="21"/>
    </w:rPr>
  </w:style>
  <w:style w:type="character" w:styleId="21">
    <w:name w:val="footnote reference"/>
    <w:qFormat/>
    <w:uiPriority w:val="0"/>
    <w:rPr>
      <w:vertAlign w:val="superscript"/>
    </w:rPr>
  </w:style>
  <w:style w:type="character" w:customStyle="1" w:styleId="22">
    <w:name w:val="页脚 字符"/>
    <w:link w:val="10"/>
    <w:qFormat/>
    <w:uiPriority w:val="99"/>
    <w:rPr>
      <w:kern w:val="2"/>
      <w:sz w:val="18"/>
    </w:rPr>
  </w:style>
  <w:style w:type="character" w:customStyle="1" w:styleId="23">
    <w:name w:val="页眉 字符"/>
    <w:link w:val="11"/>
    <w:qFormat/>
    <w:uiPriority w:val="99"/>
    <w:rPr>
      <w:kern w:val="2"/>
      <w:sz w:val="18"/>
    </w:rPr>
  </w:style>
  <w:style w:type="character" w:customStyle="1" w:styleId="24">
    <w:name w:val="发布"/>
    <w:qFormat/>
    <w:uiPriority w:val="0"/>
    <w:rPr>
      <w:rFonts w:ascii="黑体" w:eastAsia="黑体"/>
      <w:spacing w:val="22"/>
      <w:w w:val="100"/>
      <w:position w:val="3"/>
      <w:sz w:val="28"/>
    </w:rPr>
  </w:style>
  <w:style w:type="character" w:customStyle="1" w:styleId="25">
    <w:name w:val="日期 字符"/>
    <w:link w:val="8"/>
    <w:qFormat/>
    <w:uiPriority w:val="0"/>
    <w:rPr>
      <w:kern w:val="2"/>
      <w:sz w:val="21"/>
    </w:rPr>
  </w:style>
  <w:style w:type="character" w:customStyle="1" w:styleId="26">
    <w:name w:val="标题 3 字符"/>
    <w:link w:val="4"/>
    <w:semiHidden/>
    <w:qFormat/>
    <w:uiPriority w:val="0"/>
    <w:rPr>
      <w:b/>
      <w:bCs/>
      <w:kern w:val="2"/>
      <w:sz w:val="32"/>
      <w:szCs w:val="32"/>
    </w:rPr>
  </w:style>
  <w:style w:type="paragraph" w:customStyle="1" w:styleId="27">
    <w:name w:val="实施日期"/>
    <w:basedOn w:val="28"/>
    <w:qFormat/>
    <w:uiPriority w:val="0"/>
    <w:pPr>
      <w:jc w:val="right"/>
    </w:pPr>
  </w:style>
  <w:style w:type="paragraph" w:customStyle="1" w:styleId="28">
    <w:name w:val="发布日期"/>
    <w:qFormat/>
    <w:uiPriority w:val="0"/>
    <w:rPr>
      <w:rFonts w:ascii="Times New Roman" w:hAnsi="Times New Roman" w:eastAsia="黑体" w:cs="Times New Roman"/>
      <w:sz w:val="28"/>
      <w:lang w:val="en-US" w:eastAsia="zh-CN" w:bidi="ar-SA"/>
    </w:rPr>
  </w:style>
  <w:style w:type="paragraph" w:customStyle="1" w:styleId="29">
    <w:name w:val="_Style 37"/>
    <w:basedOn w:val="1"/>
    <w:next w:val="7"/>
    <w:qFormat/>
    <w:uiPriority w:val="0"/>
    <w:pPr>
      <w:spacing w:after="120"/>
    </w:pPr>
  </w:style>
  <w:style w:type="paragraph" w:customStyle="1" w:styleId="30">
    <w:name w:val="正文表标题"/>
    <w:next w:val="31"/>
    <w:qFormat/>
    <w:uiPriority w:val="0"/>
    <w:pPr>
      <w:ind w:left="4680"/>
      <w:jc w:val="center"/>
    </w:pPr>
    <w:rPr>
      <w:rFonts w:ascii="黑体" w:hAnsi="Times New Roman" w:eastAsia="黑体" w:cs="Times New Roman"/>
      <w:sz w:val="21"/>
      <w:lang w:val="en-US" w:eastAsia="zh-CN" w:bidi="ar-SA"/>
    </w:rPr>
  </w:style>
  <w:style w:type="paragraph" w:customStyle="1" w:styleId="31">
    <w:name w:val="段"/>
    <w:link w:val="6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附录五级条标题"/>
    <w:basedOn w:val="34"/>
    <w:next w:val="31"/>
    <w:qFormat/>
    <w:uiPriority w:val="0"/>
    <w:pPr>
      <w:outlineLvl w:val="6"/>
    </w:pPr>
  </w:style>
  <w:style w:type="paragraph" w:customStyle="1" w:styleId="34">
    <w:name w:val="附录四级条标题"/>
    <w:basedOn w:val="35"/>
    <w:next w:val="31"/>
    <w:qFormat/>
    <w:uiPriority w:val="0"/>
    <w:pPr>
      <w:outlineLvl w:val="5"/>
    </w:pPr>
  </w:style>
  <w:style w:type="paragraph" w:customStyle="1" w:styleId="35">
    <w:name w:val="附录三级条标题"/>
    <w:basedOn w:val="36"/>
    <w:next w:val="31"/>
    <w:qFormat/>
    <w:uiPriority w:val="0"/>
    <w:pPr>
      <w:outlineLvl w:val="4"/>
    </w:pPr>
  </w:style>
  <w:style w:type="paragraph" w:customStyle="1" w:styleId="36">
    <w:name w:val="附录二级条标题"/>
    <w:basedOn w:val="37"/>
    <w:next w:val="31"/>
    <w:qFormat/>
    <w:uiPriority w:val="0"/>
    <w:pPr>
      <w:outlineLvl w:val="3"/>
    </w:pPr>
  </w:style>
  <w:style w:type="paragraph" w:customStyle="1" w:styleId="37">
    <w:name w:val="附录一级条标题"/>
    <w:basedOn w:val="38"/>
    <w:next w:val="31"/>
    <w:qFormat/>
    <w:uiPriority w:val="0"/>
    <w:pPr>
      <w:autoSpaceDN w:val="0"/>
      <w:spacing w:beforeLines="0" w:afterLines="0"/>
      <w:outlineLvl w:val="2"/>
    </w:pPr>
  </w:style>
  <w:style w:type="paragraph" w:customStyle="1" w:styleId="38">
    <w:name w:val="附录章标题"/>
    <w:next w:val="3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9">
    <w:name w:val="二级条标题"/>
    <w:basedOn w:val="40"/>
    <w:next w:val="31"/>
    <w:qFormat/>
    <w:uiPriority w:val="0"/>
    <w:pPr>
      <w:outlineLvl w:val="3"/>
    </w:pPr>
  </w:style>
  <w:style w:type="paragraph" w:customStyle="1" w:styleId="40">
    <w:name w:val="一级条标题"/>
    <w:basedOn w:val="41"/>
    <w:next w:val="31"/>
    <w:qFormat/>
    <w:uiPriority w:val="0"/>
    <w:pPr>
      <w:spacing w:beforeLines="0" w:afterLines="0"/>
      <w:outlineLvl w:val="2"/>
    </w:pPr>
  </w:style>
  <w:style w:type="paragraph" w:customStyle="1" w:styleId="41">
    <w:name w:val="章标题"/>
    <w:next w:val="3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目次、标准名称标题"/>
    <w:basedOn w:val="45"/>
    <w:next w:val="31"/>
    <w:qFormat/>
    <w:uiPriority w:val="99"/>
    <w:pPr>
      <w:spacing w:line="460" w:lineRule="exact"/>
    </w:pPr>
  </w:style>
  <w:style w:type="paragraph" w:customStyle="1" w:styleId="4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三级条标题"/>
    <w:basedOn w:val="39"/>
    <w:next w:val="31"/>
    <w:qFormat/>
    <w:uiPriority w:val="0"/>
    <w:pPr>
      <w:outlineLvl w:val="4"/>
    </w:pPr>
  </w:style>
  <w:style w:type="paragraph" w:customStyle="1" w:styleId="47">
    <w:name w:val="四级条标题"/>
    <w:basedOn w:val="46"/>
    <w:next w:val="31"/>
    <w:qFormat/>
    <w:uiPriority w:val="0"/>
    <w:pPr>
      <w:outlineLvl w:val="5"/>
    </w:pPr>
  </w:style>
  <w:style w:type="paragraph" w:customStyle="1" w:styleId="4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9">
    <w:name w:val="五级条标题"/>
    <w:basedOn w:val="47"/>
    <w:next w:val="31"/>
    <w:qFormat/>
    <w:uiPriority w:val="0"/>
    <w:pPr>
      <w:outlineLvl w:val="6"/>
    </w:pPr>
  </w:style>
  <w:style w:type="paragraph" w:customStyle="1" w:styleId="5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1">
    <w:name w:val="标准书眉_偶数页"/>
    <w:basedOn w:val="52"/>
    <w:next w:val="1"/>
    <w:qFormat/>
    <w:uiPriority w:val="0"/>
    <w:pPr>
      <w:tabs>
        <w:tab w:val="center" w:pos="4154"/>
        <w:tab w:val="right" w:pos="8306"/>
      </w:tabs>
      <w:jc w:val="left"/>
    </w:p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5">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附录标识"/>
    <w:basedOn w:val="45"/>
    <w:qFormat/>
    <w:uiPriority w:val="0"/>
    <w:pPr>
      <w:tabs>
        <w:tab w:val="left" w:pos="6405"/>
      </w:tabs>
      <w:spacing w:after="200"/>
    </w:pPr>
    <w:rPr>
      <w:sz w:val="21"/>
    </w:rPr>
  </w:style>
  <w:style w:type="paragraph" w:customStyle="1" w:styleId="60">
    <w:name w:val="发布部门"/>
    <w:next w:val="3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character" w:styleId="64">
    <w:name w:val="Placeholder Text"/>
    <w:basedOn w:val="18"/>
    <w:unhideWhenUsed/>
    <w:qFormat/>
    <w:uiPriority w:val="99"/>
    <w:rPr>
      <w:color w:val="808080"/>
    </w:rPr>
  </w:style>
  <w:style w:type="character" w:customStyle="1" w:styleId="65">
    <w:name w:val="apple-converted-space"/>
    <w:basedOn w:val="18"/>
    <w:qFormat/>
    <w:uiPriority w:val="0"/>
  </w:style>
  <w:style w:type="character" w:customStyle="1" w:styleId="66">
    <w:name w:val="段 Char"/>
    <w:link w:val="31"/>
    <w:qFormat/>
    <w:uiPriority w:val="0"/>
    <w:rPr>
      <w:rFonts w:ascii="宋体"/>
      <w:sz w:val="21"/>
    </w:rPr>
  </w:style>
  <w:style w:type="paragraph" w:customStyle="1" w:styleId="67">
    <w:name w:val="Body text|2"/>
    <w:basedOn w:val="1"/>
    <w:link w:val="69"/>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8">
    <w:name w:val="Body text|2 + Times New Roman"/>
    <w:basedOn w:val="69"/>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69">
    <w:name w:val="Body text|2_"/>
    <w:basedOn w:val="18"/>
    <w:link w:val="67"/>
    <w:qFormat/>
    <w:uiPriority w:val="0"/>
    <w:rPr>
      <w:rFonts w:ascii="PMingLiU" w:hAnsi="PMingLiU" w:eastAsia="PMingLiU" w:cs="PMingLiU"/>
      <w:spacing w:val="20"/>
      <w:sz w:val="18"/>
      <w:szCs w:val="18"/>
      <w:u w:val="none"/>
    </w:rPr>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53AAC-BC06-466F-AEEF-40942F7E4DCA}">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6</Pages>
  <Words>2868</Words>
  <Characters>3242</Characters>
  <Lines>21</Lines>
  <Paragraphs>6</Paragraphs>
  <TotalTime>4</TotalTime>
  <ScaleCrop>false</ScaleCrop>
  <LinksUpToDate>false</LinksUpToDate>
  <CharactersWithSpaces>3402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陈婷</cp:lastModifiedBy>
  <cp:lastPrinted>2024-01-12T00:10:00Z</cp:lastPrinted>
  <dcterms:modified xsi:type="dcterms:W3CDTF">2024-01-12T01:39:22Z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2C132CE3AD2A4D9AA34194024C056831</vt:lpwstr>
  </property>
</Properties>
</file>