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3851"/>
        <w:gridCol w:w="2450"/>
        <w:gridCol w:w="8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208" w:type="pct"/>
            <w:noWrap/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1881" w:type="pct"/>
            <w:noWrap/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1196" w:type="pct"/>
            <w:noWrap/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881" w:type="pct"/>
            <w:noWrap/>
            <w:vAlign w:val="center"/>
          </w:tcPr>
          <w:p>
            <w:pPr>
              <w:pStyle w:val="19"/>
              <w:tabs>
                <w:tab w:val="center" w:pos="4201"/>
                <w:tab w:val="right" w:leader="dot" w:pos="9298"/>
              </w:tabs>
              <w:ind w:firstLine="420"/>
              <w:rPr>
                <w:rFonts w:hint="eastAsia"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增加</w:t>
            </w:r>
            <w:r>
              <w:rPr>
                <w:rFonts w:ascii="Times New Roman"/>
              </w:rPr>
              <w:t>规范性引用</w:t>
            </w:r>
            <w:r>
              <w:rPr>
                <w:rFonts w:hint="eastAsia" w:ascii="Times New Roman"/>
              </w:rPr>
              <w:t>文件：</w:t>
            </w:r>
          </w:p>
          <w:p>
            <w:pPr>
              <w:pStyle w:val="19"/>
              <w:tabs>
                <w:tab w:val="center" w:pos="4201"/>
                <w:tab w:val="right" w:leader="dot" w:pos="9298"/>
              </w:tabs>
              <w:ind w:firstLine="4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GB/T 6682 </w:t>
            </w:r>
            <w:r>
              <w:rPr>
                <w:rFonts w:hint="eastAsia" w:ascii="Times New Roman" w:cs="宋体"/>
              </w:rPr>
              <w:t>分析实验室用水规格和试验方法</w:t>
            </w:r>
          </w:p>
          <w:p>
            <w:pPr>
              <w:pStyle w:val="19"/>
              <w:tabs>
                <w:tab w:val="center" w:pos="4201"/>
                <w:tab w:val="right" w:leader="dot" w:pos="9298"/>
              </w:tabs>
              <w:ind w:firstLine="4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GB/T 8170 </w:t>
            </w:r>
            <w:r>
              <w:rPr>
                <w:rFonts w:hint="eastAsia" w:ascii="Times New Roman" w:cs="宋体"/>
              </w:rPr>
              <w:t>数值修约规则与极限数值的表示和判定</w:t>
            </w:r>
            <w:r>
              <w:rPr>
                <w:rFonts w:ascii="Times New Roman"/>
              </w:rPr>
              <w:t xml:space="preserve"> </w:t>
            </w:r>
          </w:p>
          <w:p>
            <w:pPr>
              <w:tabs>
                <w:tab w:val="left" w:pos="3780"/>
              </w:tabs>
              <w:jc w:val="left"/>
              <w:rPr>
                <w:szCs w:val="21"/>
              </w:rPr>
            </w:pPr>
          </w:p>
        </w:tc>
        <w:tc>
          <w:tcPr>
            <w:tcW w:w="1196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6.5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在“</w:t>
            </w:r>
            <w:r>
              <w:rPr>
                <w:rFonts w:hint="eastAsia" w:hAnsi="宋体" w:cs="宋体"/>
              </w:rPr>
              <w:t>溴化锂溶液”前增加了“脱模剂：”</w:t>
            </w:r>
          </w:p>
        </w:tc>
        <w:tc>
          <w:tcPr>
            <w:tcW w:w="1196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厦门虹鹭钨钼工业有限公司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jc w:val="center"/>
              <w:rPr>
                <w:rFonts w:eastAsia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删除注</w:t>
            </w:r>
          </w:p>
        </w:tc>
        <w:tc>
          <w:tcPr>
            <w:tcW w:w="119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厦门金鹭特种合金有限公司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jc w:val="center"/>
              <w:rPr>
                <w:rFonts w:eastAsia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 w:cs="宋体"/>
              </w:rPr>
              <w:t>“铂皿”改为“铂金坩埚”，删除其规格</w:t>
            </w:r>
          </w:p>
        </w:tc>
        <w:tc>
          <w:tcPr>
            <w:tcW w:w="1196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江西理工大学</w:t>
            </w:r>
          </w:p>
        </w:tc>
        <w:tc>
          <w:tcPr>
            <w:tcW w:w="427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jc w:val="center"/>
              <w:rPr>
                <w:rFonts w:eastAsia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删除铂合金板的具体描述</w:t>
            </w:r>
          </w:p>
        </w:tc>
        <w:tc>
          <w:tcPr>
            <w:tcW w:w="1196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中南大学</w:t>
            </w:r>
          </w:p>
        </w:tc>
        <w:tc>
          <w:tcPr>
            <w:tcW w:w="427" w:type="pc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7.6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删除注</w:t>
            </w:r>
          </w:p>
        </w:tc>
        <w:tc>
          <w:tcPr>
            <w:tcW w:w="24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株洲钻石切削刀具股份有限公司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1" w:type="pct"/>
            <w:noWrap/>
            <w:vAlign w:val="center"/>
          </w:tcPr>
          <w:p>
            <w:pPr>
              <w:tabs>
                <w:tab w:val="left" w:pos="378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“分析步骤”改为“试验步骤”</w:t>
            </w:r>
          </w:p>
        </w:tc>
        <w:tc>
          <w:tcPr>
            <w:tcW w:w="24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成都美奢锐新材料有限公司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9.3.1</w:t>
            </w:r>
          </w:p>
        </w:tc>
        <w:tc>
          <w:tcPr>
            <w:tcW w:w="1881" w:type="pct"/>
            <w:noWrap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beforeLines="50" w:afterLines="50"/>
              <w:jc w:val="left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 xml:space="preserve"> 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如没有达到完全氧化（高钛量的硬质合金）按照9.3.2的规定继续进行试验</w:t>
            </w:r>
            <w:r>
              <w:rPr>
                <w:rFonts w:ascii="宋体" w:hAnsi="宋体" w:eastAsia="宋体" w:cs="宋体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不符合常规操作</w:t>
            </w:r>
          </w:p>
        </w:tc>
        <w:tc>
          <w:tcPr>
            <w:tcW w:w="24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湖南柿竹园有色金属有限责任公司郴州钨制品分公司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修改为“</w:t>
            </w:r>
            <w:r>
              <w:rPr>
                <w:rFonts w:hint="eastAsia" w:ascii="宋体" w:hAnsi="宋体" w:cs="宋体"/>
              </w:rPr>
              <w:t>于马弗炉中室温升至700℃～950℃后氧化试料约1h， 直至完全氧化后，按照9.5的规定继续进行试验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9.5.1</w:t>
            </w:r>
          </w:p>
        </w:tc>
        <w:tc>
          <w:tcPr>
            <w:tcW w:w="1881" w:type="pct"/>
            <w:noWrap/>
            <w:vAlign w:val="center"/>
          </w:tcPr>
          <w:p>
            <w:pPr>
              <w:tabs>
                <w:tab w:val="left" w:pos="3780"/>
              </w:tabs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“称取0.2g试样”改为“称取试料0.2g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tabs>
                <w:tab w:val="left" w:pos="378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在约</w:t>
            </w:r>
            <w:r>
              <w:t>1100</w:t>
            </w:r>
            <w:r>
              <w:rPr>
                <w:rFonts w:hint="eastAsia" w:ascii="宋体" w:hAnsi="宋体" w:cs="宋体"/>
              </w:rPr>
              <w:t>℃温度下熔融</w:t>
            </w:r>
            <w:r>
              <w:rPr>
                <w:rFonts w:hint="eastAsia"/>
                <w:szCs w:val="21"/>
              </w:rPr>
              <w:t>”，应明确温度范围多少</w:t>
            </w:r>
          </w:p>
        </w:tc>
        <w:tc>
          <w:tcPr>
            <w:tcW w:w="24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中钨稀有金属新材料（湖南）有限公司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修改为“在</w:t>
            </w:r>
            <w:r>
              <w:t>1000℃~1100℃</w:t>
            </w:r>
            <w:r>
              <w:rPr>
                <w:rFonts w:hint="eastAsia" w:ascii="宋体" w:hAnsi="宋体" w:cs="宋体"/>
              </w:rPr>
              <w:t>温度下熔融”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9.5.4</w:t>
            </w:r>
          </w:p>
        </w:tc>
        <w:tc>
          <w:tcPr>
            <w:tcW w:w="1881" w:type="pct"/>
            <w:noWrap/>
            <w:vAlign w:val="center"/>
          </w:tcPr>
          <w:p>
            <w:pPr>
              <w:tabs>
                <w:tab w:val="left" w:pos="378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注所描述内容应接正文后面</w:t>
            </w:r>
          </w:p>
        </w:tc>
        <w:tc>
          <w:tcPr>
            <w:tcW w:w="1196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赣州虹飞钨钼材料有限公司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10.4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删除“元素及其碳化物、氧化物的转换因子表”</w:t>
            </w:r>
          </w:p>
        </w:tc>
        <w:tc>
          <w:tcPr>
            <w:tcW w:w="119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南昌大学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“偏差”改为“允许差”</w:t>
            </w:r>
          </w:p>
        </w:tc>
        <w:tc>
          <w:tcPr>
            <w:tcW w:w="1196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赣南师范大学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“数值修约按GB/T 8170执行”应增加到</w:t>
            </w:r>
            <w:r>
              <w:t>规范性引用</w:t>
            </w:r>
            <w:r>
              <w:rPr>
                <w:rFonts w:hint="eastAsia"/>
              </w:rPr>
              <w:t>文件里</w:t>
            </w:r>
          </w:p>
        </w:tc>
        <w:tc>
          <w:tcPr>
            <w:tcW w:w="1196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 w:val="18"/>
                <w:szCs w:val="18"/>
              </w:rPr>
              <w:t>金堆城钼业集团有限公司</w:t>
            </w:r>
            <w:bookmarkEnd w:id="0"/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采纳</w:t>
            </w: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西部金属材料股份有限公司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45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湖北绿钨资源循环有限公司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8" w:type="pct"/>
            <w:noWrap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ascii="黑体"/>
                <w:szCs w:val="21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81" w:type="pct"/>
            <w:noWrap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96" w:type="pct"/>
            <w:noWrap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宝鸡钛业股份有限公司</w:t>
            </w:r>
          </w:p>
        </w:tc>
        <w:tc>
          <w:tcPr>
            <w:tcW w:w="427" w:type="pct"/>
            <w:noWrap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noWrap/>
            <w:vAlign w:val="center"/>
          </w:tcPr>
          <w:p>
            <w:pPr>
              <w:tabs>
                <w:tab w:val="left" w:pos="3780"/>
              </w:tabs>
              <w:rPr>
                <w:szCs w:val="21"/>
              </w:rPr>
            </w:pPr>
          </w:p>
        </w:tc>
      </w:tr>
    </w:tbl>
    <w:p>
      <w:pPr>
        <w:tabs>
          <w:tab w:val="left" w:pos="3780"/>
        </w:tabs>
        <w:ind w:left="945" w:leftChars="150" w:hanging="630" w:hangingChars="300"/>
      </w:pPr>
      <w:r>
        <w:rPr>
          <w:rFonts w:hint="eastAsia"/>
        </w:rPr>
        <w:t>说明：（1）发送</w:t>
      </w:r>
      <w:r>
        <w:rPr>
          <w:rFonts w:hint="eastAsia" w:ascii="宋体" w:hAnsi="宋体"/>
        </w:rPr>
        <w:t>《征求意见稿》的单位数：</w:t>
      </w:r>
      <w:r>
        <w:rPr>
          <w:rFonts w:hint="eastAsia" w:ascii="宋体" w:hAnsi="宋体"/>
          <w:lang w:val="en-US" w:eastAsia="zh-CN"/>
        </w:rPr>
        <w:t>16</w:t>
      </w:r>
      <w:r>
        <w:rPr>
          <w:rFonts w:hint="eastAsia" w:ascii="宋体" w:hAnsi="宋体"/>
        </w:rPr>
        <w:t xml:space="preserve"> 个；</w:t>
      </w:r>
    </w:p>
    <w:p>
      <w:pPr>
        <w:tabs>
          <w:tab w:val="left" w:pos="3780"/>
        </w:tabs>
      </w:pPr>
      <w:r>
        <w:rPr>
          <w:rFonts w:hint="eastAsia"/>
        </w:rPr>
        <w:t xml:space="preserve">  （2）收到</w:t>
      </w:r>
      <w:r>
        <w:rPr>
          <w:rFonts w:hint="eastAsia" w:ascii="宋体" w:hAnsi="宋体"/>
        </w:rPr>
        <w:t>《征求意见稿》后，回函的单位数：</w:t>
      </w:r>
      <w:r>
        <w:rPr>
          <w:rFonts w:hint="eastAsia" w:ascii="宋体" w:hAnsi="宋体"/>
          <w:lang w:val="en-US" w:eastAsia="zh-CN"/>
        </w:rPr>
        <w:t>16</w:t>
      </w:r>
      <w:r>
        <w:rPr>
          <w:rFonts w:hint="eastAsia" w:ascii="宋体" w:hAnsi="宋体"/>
        </w:rPr>
        <w:t xml:space="preserve"> 个；</w:t>
      </w:r>
    </w:p>
    <w:p>
      <w:pPr>
        <w:tabs>
          <w:tab w:val="left" w:pos="3780"/>
        </w:tabs>
        <w:ind w:firstLine="210" w:firstLineChars="100"/>
        <w:rPr>
          <w:rFonts w:ascii="宋体" w:hAnsi="宋体"/>
        </w:rPr>
      </w:pPr>
      <w:r>
        <w:rPr>
          <w:rFonts w:hint="eastAsia"/>
        </w:rPr>
        <w:t>（3）收到</w:t>
      </w:r>
      <w:r>
        <w:rPr>
          <w:rFonts w:hint="eastAsia" w:ascii="宋体" w:hAnsi="宋体"/>
        </w:rPr>
        <w:t>《征求意见稿》后，回函并有建议或意见的单位数：</w:t>
      </w:r>
      <w:r>
        <w:rPr>
          <w:rFonts w:hint="eastAsia" w:ascii="宋体" w:hAnsi="宋体"/>
          <w:lang w:val="en-US" w:eastAsia="zh-CN"/>
        </w:rPr>
        <w:t>13</w:t>
      </w:r>
      <w:r>
        <w:rPr>
          <w:rFonts w:hint="eastAsia" w:ascii="宋体" w:hAnsi="宋体"/>
        </w:rPr>
        <w:t>个；</w:t>
      </w:r>
    </w:p>
    <w:p>
      <w:pPr>
        <w:tabs>
          <w:tab w:val="left" w:pos="3780"/>
        </w:tabs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（4）没有回函的单位数：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个。</w:t>
      </w:r>
    </w:p>
    <w:p>
      <w:pPr>
        <w:tabs>
          <w:tab w:val="left" w:pos="3780"/>
        </w:tabs>
        <w:ind w:firstLine="210" w:firstLineChars="100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134" w:right="851" w:bottom="1134" w:left="851" w:header="964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/>
    </w:pPr>
  </w:p>
  <w:tbl>
    <w:tblPr>
      <w:tblStyle w:val="6"/>
      <w:tblW w:w="4889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86"/>
      <w:gridCol w:w="4463"/>
      <w:gridCol w:w="2001"/>
      <w:gridCol w:w="1133"/>
      <w:gridCol w:w="11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5000" w:type="pct"/>
          <w:gridSpan w:val="5"/>
          <w:tcBorders>
            <w:top w:val="single" w:color="FFFFFF" w:sz="4" w:space="0"/>
            <w:left w:val="single" w:color="FFFFFF" w:sz="4" w:space="0"/>
            <w:bottom w:val="nil"/>
            <w:right w:val="single" w:color="FFFFFF" w:sz="4" w:space="0"/>
          </w:tcBorders>
          <w:noWrap/>
          <w:vAlign w:val="center"/>
        </w:tcPr>
        <w:p>
          <w:pPr>
            <w:spacing w:line="360" w:lineRule="exact"/>
            <w:jc w:val="center"/>
            <w:rPr>
              <w:color w:val="000000"/>
            </w:rPr>
          </w:pPr>
          <w:r>
            <w:rPr>
              <w:rFonts w:hint="eastAsia" w:eastAsia="黑体"/>
              <w:sz w:val="28"/>
            </w:rPr>
            <w:t>标准征求意见稿意见汇总处理表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818" w:type="pct"/>
          <w:tcBorders>
            <w:top w:val="nil"/>
            <w:left w:val="nil"/>
            <w:bottom w:val="nil"/>
            <w:right w:val="single" w:color="FFFFFF" w:sz="4" w:space="0"/>
          </w:tcBorders>
          <w:noWrap/>
          <w:vAlign w:val="center"/>
        </w:tcPr>
        <w:p>
          <w:pPr>
            <w:spacing w:line="36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标准项目名称：</w:t>
          </w:r>
        </w:p>
      </w:tc>
      <w:tc>
        <w:tcPr>
          <w:tcW w:w="2018" w:type="pct"/>
          <w:tcBorders>
            <w:top w:val="nil"/>
            <w:left w:val="single" w:color="FFFFFF" w:sz="4" w:space="0"/>
            <w:bottom w:val="nil"/>
            <w:right w:val="nil"/>
          </w:tcBorders>
          <w:noWrap/>
          <w:vAlign w:val="center"/>
        </w:tcPr>
        <w:p>
          <w:pPr>
            <w:spacing w:line="360" w:lineRule="exact"/>
            <w:jc w:val="left"/>
          </w:pPr>
          <w:r>
            <w:rPr>
              <w:rFonts w:hint="eastAsia"/>
              <w:szCs w:val="21"/>
            </w:rPr>
            <w:t>硬质合金X射线荧光测定金属元素含量熔融法</w:t>
          </w:r>
        </w:p>
      </w:tc>
      <w:tc>
        <w:tcPr>
          <w:tcW w:w="965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>
          <w:pPr>
            <w:spacing w:line="360" w:lineRule="exact"/>
            <w:rPr>
              <w:rFonts w:hint="eastAsia" w:eastAsia="宋体"/>
              <w:color w:val="000000"/>
              <w:lang w:val="en-US" w:eastAsia="zh-CN"/>
            </w:rPr>
          </w:pPr>
          <w:r>
            <w:rPr>
              <w:rFonts w:hint="eastAsia"/>
              <w:color w:val="000000"/>
            </w:rPr>
            <w:t>承办人：</w:t>
          </w:r>
          <w:r>
            <w:rPr>
              <w:color w:val="000000"/>
            </w:rPr>
            <w:t xml:space="preserve"> </w:t>
          </w:r>
          <w:r>
            <w:rPr>
              <w:rFonts w:hint="eastAsia"/>
              <w:color w:val="000000"/>
              <w:lang w:val="en-US" w:eastAsia="zh-CN"/>
            </w:rPr>
            <w:t>张欣</w:t>
          </w:r>
        </w:p>
      </w:tc>
      <w:tc>
        <w:tcPr>
          <w:tcW w:w="600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>
          <w:pPr>
            <w:spacing w:line="36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 xml:space="preserve">共 </w:t>
          </w:r>
          <w:r>
            <w:rPr>
              <w:rFonts w:hint="eastAsia"/>
              <w:color w:val="000000"/>
              <w:lang w:val="en-US" w:eastAsia="zh-CN"/>
            </w:rPr>
            <w:t>1</w:t>
          </w:r>
          <w:r>
            <w:rPr>
              <w:rFonts w:hint="eastAsia"/>
              <w:color w:val="000000"/>
            </w:rPr>
            <w:t>页</w:t>
          </w:r>
        </w:p>
      </w:tc>
      <w:tc>
        <w:tcPr>
          <w:tcW w:w="599" w:type="pct"/>
          <w:tcBorders>
            <w:top w:val="nil"/>
            <w:left w:val="nil"/>
            <w:bottom w:val="nil"/>
            <w:right w:val="single" w:color="FFFFFF" w:sz="4" w:space="0"/>
          </w:tcBorders>
          <w:noWrap/>
          <w:vAlign w:val="center"/>
        </w:tcPr>
        <w:p>
          <w:pPr>
            <w:spacing w:line="360" w:lineRule="exact"/>
            <w:rPr>
              <w:color w:val="000000"/>
            </w:rPr>
          </w:pPr>
          <w:r>
            <w:rPr>
              <w:rFonts w:hint="eastAsia"/>
              <w:color w:val="000000"/>
            </w:rPr>
            <w:t xml:space="preserve">第 </w:t>
          </w:r>
          <w:r>
            <w:rPr>
              <w:rFonts w:hint="eastAsia"/>
              <w:color w:val="000000"/>
              <w:lang w:val="en-US" w:eastAsia="zh-CN"/>
            </w:rPr>
            <w:t>1</w:t>
          </w:r>
          <w:r>
            <w:rPr>
              <w:rFonts w:hint="eastAsia"/>
              <w:color w:val="000000"/>
            </w:rPr>
            <w:t xml:space="preserve"> 页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2836" w:type="pct"/>
          <w:gridSpan w:val="2"/>
          <w:tcBorders>
            <w:top w:val="nil"/>
            <w:left w:val="single" w:color="FFFFFF" w:sz="4" w:space="0"/>
            <w:bottom w:val="single" w:color="FFFFFF" w:sz="4" w:space="0"/>
            <w:right w:val="nil"/>
          </w:tcBorders>
          <w:noWrap/>
          <w:vAlign w:val="center"/>
        </w:tcPr>
        <w:p>
          <w:pPr>
            <w:spacing w:line="360" w:lineRule="exact"/>
            <w:rPr>
              <w:color w:val="000000"/>
            </w:rPr>
          </w:pPr>
          <w:r>
            <w:rPr>
              <w:rFonts w:hint="eastAsia"/>
              <w:color w:val="000000"/>
            </w:rPr>
            <w:t>标准项目负责起草单位：崇义章源钨业股份有限公司</w:t>
          </w:r>
        </w:p>
      </w:tc>
      <w:tc>
        <w:tcPr>
          <w:tcW w:w="965" w:type="pct"/>
          <w:tcBorders>
            <w:top w:val="nil"/>
            <w:left w:val="nil"/>
            <w:bottom w:val="single" w:color="FFFFFF" w:sz="4" w:space="0"/>
            <w:right w:val="nil"/>
          </w:tcBorders>
          <w:noWrap/>
          <w:vAlign w:val="center"/>
        </w:tcPr>
        <w:p>
          <w:pPr>
            <w:spacing w:line="360" w:lineRule="exact"/>
            <w:rPr>
              <w:rFonts w:hint="default" w:eastAsia="宋体"/>
              <w:color w:val="000000"/>
              <w:lang w:val="en-US" w:eastAsia="zh-CN"/>
            </w:rPr>
          </w:pPr>
          <w:r>
            <w:rPr>
              <w:rFonts w:hint="eastAsia"/>
              <w:color w:val="000000"/>
            </w:rPr>
            <w:t>电话：</w:t>
          </w:r>
          <w:r>
            <w:rPr>
              <w:rFonts w:hint="eastAsia"/>
              <w:color w:val="000000"/>
              <w:lang w:val="en-US" w:eastAsia="zh-CN"/>
            </w:rPr>
            <w:t>15570004369</w:t>
          </w:r>
        </w:p>
      </w:tc>
      <w:tc>
        <w:tcPr>
          <w:tcW w:w="1199" w:type="pct"/>
          <w:gridSpan w:val="2"/>
          <w:tcBorders>
            <w:top w:val="nil"/>
            <w:left w:val="nil"/>
            <w:bottom w:val="single" w:color="FFFFFF" w:sz="4" w:space="0"/>
            <w:right w:val="single" w:color="FFFFFF" w:sz="4" w:space="0"/>
          </w:tcBorders>
          <w:noWrap/>
          <w:vAlign w:val="center"/>
        </w:tcPr>
        <w:p>
          <w:pPr>
            <w:spacing w:line="36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 xml:space="preserve">    </w:t>
          </w:r>
          <w:r>
            <w:rPr>
              <w:rFonts w:hint="eastAsia"/>
              <w:color w:val="000000"/>
              <w:lang w:val="en-US" w:eastAsia="zh-CN"/>
            </w:rPr>
            <w:t>2024</w:t>
          </w:r>
          <w:r>
            <w:rPr>
              <w:rFonts w:hint="eastAsia"/>
              <w:color w:val="000000"/>
            </w:rPr>
            <w:t>年</w:t>
          </w:r>
          <w:r>
            <w:rPr>
              <w:rFonts w:hint="eastAsia"/>
              <w:color w:val="000000"/>
              <w:lang w:val="en-US" w:eastAsia="zh-CN"/>
            </w:rPr>
            <w:t>1</w:t>
          </w:r>
          <w:r>
            <w:rPr>
              <w:rFonts w:hint="eastAsia"/>
              <w:color w:val="000000"/>
            </w:rPr>
            <w:t>月</w:t>
          </w:r>
          <w:r>
            <w:rPr>
              <w:rFonts w:hint="eastAsia"/>
              <w:color w:val="000000"/>
              <w:lang w:val="en-US" w:eastAsia="zh-CN"/>
            </w:rPr>
            <w:t>16</w:t>
          </w:r>
          <w:r>
            <w:rPr>
              <w:rFonts w:hint="eastAsia"/>
              <w:color w:val="000000"/>
            </w:rPr>
            <w:t>日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94337"/>
    <w:multiLevelType w:val="multilevel"/>
    <w:tmpl w:val="1BF9433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2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5" w:tentative="0">
      <w:start w:val="1"/>
      <w:numFmt w:val="decimal"/>
      <w:pStyle w:val="2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wODNhNmU5YzJjYWZiY2JkNzRiZGRmYTc5ZjQ1N2UifQ=="/>
  </w:docVars>
  <w:rsids>
    <w:rsidRoot w:val="005F0165"/>
    <w:rsid w:val="00037ED7"/>
    <w:rsid w:val="00047D8E"/>
    <w:rsid w:val="000601F0"/>
    <w:rsid w:val="000603B3"/>
    <w:rsid w:val="00070B23"/>
    <w:rsid w:val="000729F6"/>
    <w:rsid w:val="000742F5"/>
    <w:rsid w:val="00075519"/>
    <w:rsid w:val="00081807"/>
    <w:rsid w:val="00082FFF"/>
    <w:rsid w:val="000A34BB"/>
    <w:rsid w:val="000A6DFB"/>
    <w:rsid w:val="000B6319"/>
    <w:rsid w:val="000C27DD"/>
    <w:rsid w:val="000C3B9D"/>
    <w:rsid w:val="000D4110"/>
    <w:rsid w:val="000E3C10"/>
    <w:rsid w:val="000E4F8D"/>
    <w:rsid w:val="000F2266"/>
    <w:rsid w:val="00106D9F"/>
    <w:rsid w:val="00106E5C"/>
    <w:rsid w:val="001073E3"/>
    <w:rsid w:val="00116F8C"/>
    <w:rsid w:val="001204D8"/>
    <w:rsid w:val="0014240D"/>
    <w:rsid w:val="00161B97"/>
    <w:rsid w:val="001802BB"/>
    <w:rsid w:val="00181B29"/>
    <w:rsid w:val="001821AD"/>
    <w:rsid w:val="001B478B"/>
    <w:rsid w:val="001C336A"/>
    <w:rsid w:val="001E2DC8"/>
    <w:rsid w:val="00201F42"/>
    <w:rsid w:val="00206D36"/>
    <w:rsid w:val="00233A6D"/>
    <w:rsid w:val="00250477"/>
    <w:rsid w:val="00256E35"/>
    <w:rsid w:val="00263CAA"/>
    <w:rsid w:val="002641BC"/>
    <w:rsid w:val="00272226"/>
    <w:rsid w:val="002723A7"/>
    <w:rsid w:val="002821CA"/>
    <w:rsid w:val="002B5E47"/>
    <w:rsid w:val="002B640E"/>
    <w:rsid w:val="002C65EF"/>
    <w:rsid w:val="002D16E7"/>
    <w:rsid w:val="002E54AF"/>
    <w:rsid w:val="00302BF4"/>
    <w:rsid w:val="00311FF6"/>
    <w:rsid w:val="00316741"/>
    <w:rsid w:val="003259BE"/>
    <w:rsid w:val="00331F66"/>
    <w:rsid w:val="003345CE"/>
    <w:rsid w:val="00347459"/>
    <w:rsid w:val="00356CE8"/>
    <w:rsid w:val="00375BB7"/>
    <w:rsid w:val="00380A3D"/>
    <w:rsid w:val="00391D47"/>
    <w:rsid w:val="003A2626"/>
    <w:rsid w:val="003B0DA7"/>
    <w:rsid w:val="003C38CA"/>
    <w:rsid w:val="003C40C8"/>
    <w:rsid w:val="003E0E33"/>
    <w:rsid w:val="003E5840"/>
    <w:rsid w:val="00410EC4"/>
    <w:rsid w:val="00422885"/>
    <w:rsid w:val="00422E49"/>
    <w:rsid w:val="0043138C"/>
    <w:rsid w:val="004348DF"/>
    <w:rsid w:val="00445D13"/>
    <w:rsid w:val="0045108D"/>
    <w:rsid w:val="00462276"/>
    <w:rsid w:val="00483087"/>
    <w:rsid w:val="004925E4"/>
    <w:rsid w:val="004A318A"/>
    <w:rsid w:val="004B07A7"/>
    <w:rsid w:val="004B2570"/>
    <w:rsid w:val="004B3FDD"/>
    <w:rsid w:val="004C3206"/>
    <w:rsid w:val="004C3461"/>
    <w:rsid w:val="004D472C"/>
    <w:rsid w:val="004E135B"/>
    <w:rsid w:val="004E1AF4"/>
    <w:rsid w:val="004F3FB9"/>
    <w:rsid w:val="00502F5D"/>
    <w:rsid w:val="00534346"/>
    <w:rsid w:val="00543C90"/>
    <w:rsid w:val="00565C66"/>
    <w:rsid w:val="005977DA"/>
    <w:rsid w:val="005D6147"/>
    <w:rsid w:val="005E293A"/>
    <w:rsid w:val="005E7855"/>
    <w:rsid w:val="005F0165"/>
    <w:rsid w:val="005F6887"/>
    <w:rsid w:val="00621F6C"/>
    <w:rsid w:val="00626695"/>
    <w:rsid w:val="006278AD"/>
    <w:rsid w:val="00627B24"/>
    <w:rsid w:val="006345D6"/>
    <w:rsid w:val="00640B36"/>
    <w:rsid w:val="00643DA9"/>
    <w:rsid w:val="00647A04"/>
    <w:rsid w:val="00652898"/>
    <w:rsid w:val="006536F2"/>
    <w:rsid w:val="00662F67"/>
    <w:rsid w:val="006650F7"/>
    <w:rsid w:val="00672127"/>
    <w:rsid w:val="00674BC7"/>
    <w:rsid w:val="00674F7F"/>
    <w:rsid w:val="0069626E"/>
    <w:rsid w:val="00697074"/>
    <w:rsid w:val="006A106F"/>
    <w:rsid w:val="006A47D9"/>
    <w:rsid w:val="006B119D"/>
    <w:rsid w:val="006C4BA8"/>
    <w:rsid w:val="006D33EB"/>
    <w:rsid w:val="006E16DA"/>
    <w:rsid w:val="006E6438"/>
    <w:rsid w:val="006F77AB"/>
    <w:rsid w:val="006F7907"/>
    <w:rsid w:val="00703549"/>
    <w:rsid w:val="00705543"/>
    <w:rsid w:val="00714EC6"/>
    <w:rsid w:val="00741DCB"/>
    <w:rsid w:val="007564C6"/>
    <w:rsid w:val="00756F32"/>
    <w:rsid w:val="007643AC"/>
    <w:rsid w:val="007830DE"/>
    <w:rsid w:val="00783219"/>
    <w:rsid w:val="007938AE"/>
    <w:rsid w:val="007A7043"/>
    <w:rsid w:val="007A7130"/>
    <w:rsid w:val="007B6A33"/>
    <w:rsid w:val="007C7669"/>
    <w:rsid w:val="007C7FB9"/>
    <w:rsid w:val="007D3293"/>
    <w:rsid w:val="007D4624"/>
    <w:rsid w:val="007E17AF"/>
    <w:rsid w:val="007E6772"/>
    <w:rsid w:val="00802976"/>
    <w:rsid w:val="00810585"/>
    <w:rsid w:val="00810E4C"/>
    <w:rsid w:val="00811AB8"/>
    <w:rsid w:val="00812860"/>
    <w:rsid w:val="00815181"/>
    <w:rsid w:val="00823340"/>
    <w:rsid w:val="0082495C"/>
    <w:rsid w:val="008279B5"/>
    <w:rsid w:val="008361D9"/>
    <w:rsid w:val="00850EF0"/>
    <w:rsid w:val="00854313"/>
    <w:rsid w:val="00862167"/>
    <w:rsid w:val="00873EEB"/>
    <w:rsid w:val="008A3746"/>
    <w:rsid w:val="008B13E2"/>
    <w:rsid w:val="008B1FE6"/>
    <w:rsid w:val="008B3AE5"/>
    <w:rsid w:val="008B5818"/>
    <w:rsid w:val="008C2B4B"/>
    <w:rsid w:val="008C449A"/>
    <w:rsid w:val="008D3554"/>
    <w:rsid w:val="008F0A09"/>
    <w:rsid w:val="0090218E"/>
    <w:rsid w:val="00902770"/>
    <w:rsid w:val="0091630A"/>
    <w:rsid w:val="009204C5"/>
    <w:rsid w:val="00920EB7"/>
    <w:rsid w:val="00941939"/>
    <w:rsid w:val="0096791F"/>
    <w:rsid w:val="0099025A"/>
    <w:rsid w:val="009C4A7C"/>
    <w:rsid w:val="009C5E43"/>
    <w:rsid w:val="009C76CB"/>
    <w:rsid w:val="009D1EEF"/>
    <w:rsid w:val="00A022A9"/>
    <w:rsid w:val="00A035CB"/>
    <w:rsid w:val="00A07E7B"/>
    <w:rsid w:val="00A15F88"/>
    <w:rsid w:val="00A16B3F"/>
    <w:rsid w:val="00A33235"/>
    <w:rsid w:val="00A33F2D"/>
    <w:rsid w:val="00A36F0D"/>
    <w:rsid w:val="00A701FD"/>
    <w:rsid w:val="00A91CEE"/>
    <w:rsid w:val="00AA0372"/>
    <w:rsid w:val="00AA3A4F"/>
    <w:rsid w:val="00AB1CD6"/>
    <w:rsid w:val="00AE0AE3"/>
    <w:rsid w:val="00AE6CCE"/>
    <w:rsid w:val="00AF2E62"/>
    <w:rsid w:val="00AF68F8"/>
    <w:rsid w:val="00B335E3"/>
    <w:rsid w:val="00B645B5"/>
    <w:rsid w:val="00B80B07"/>
    <w:rsid w:val="00BA116E"/>
    <w:rsid w:val="00BA4832"/>
    <w:rsid w:val="00BB2535"/>
    <w:rsid w:val="00BC124D"/>
    <w:rsid w:val="00BE5182"/>
    <w:rsid w:val="00BF688F"/>
    <w:rsid w:val="00C00C32"/>
    <w:rsid w:val="00C10259"/>
    <w:rsid w:val="00C16727"/>
    <w:rsid w:val="00C204E0"/>
    <w:rsid w:val="00C26F79"/>
    <w:rsid w:val="00C30EBC"/>
    <w:rsid w:val="00C5219F"/>
    <w:rsid w:val="00C70E40"/>
    <w:rsid w:val="00C762C1"/>
    <w:rsid w:val="00C855BE"/>
    <w:rsid w:val="00C92A00"/>
    <w:rsid w:val="00CB57D0"/>
    <w:rsid w:val="00CC2E21"/>
    <w:rsid w:val="00CC3A41"/>
    <w:rsid w:val="00CD4E2F"/>
    <w:rsid w:val="00CE727A"/>
    <w:rsid w:val="00D051F7"/>
    <w:rsid w:val="00D114FF"/>
    <w:rsid w:val="00D15C93"/>
    <w:rsid w:val="00D21256"/>
    <w:rsid w:val="00D243E6"/>
    <w:rsid w:val="00D30C0B"/>
    <w:rsid w:val="00D3193D"/>
    <w:rsid w:val="00D326ED"/>
    <w:rsid w:val="00D40215"/>
    <w:rsid w:val="00D53597"/>
    <w:rsid w:val="00D66061"/>
    <w:rsid w:val="00D704D0"/>
    <w:rsid w:val="00D753C5"/>
    <w:rsid w:val="00D82757"/>
    <w:rsid w:val="00D83B92"/>
    <w:rsid w:val="00D95D11"/>
    <w:rsid w:val="00DA34E0"/>
    <w:rsid w:val="00DB2AF6"/>
    <w:rsid w:val="00DB4611"/>
    <w:rsid w:val="00DB6CFC"/>
    <w:rsid w:val="00DC319E"/>
    <w:rsid w:val="00DD00FF"/>
    <w:rsid w:val="00DD7712"/>
    <w:rsid w:val="00DD78D4"/>
    <w:rsid w:val="00DF1550"/>
    <w:rsid w:val="00DF5F12"/>
    <w:rsid w:val="00E06008"/>
    <w:rsid w:val="00E079CD"/>
    <w:rsid w:val="00E143D6"/>
    <w:rsid w:val="00E24D46"/>
    <w:rsid w:val="00E25594"/>
    <w:rsid w:val="00E32DED"/>
    <w:rsid w:val="00E44F3A"/>
    <w:rsid w:val="00E50FE9"/>
    <w:rsid w:val="00E526BF"/>
    <w:rsid w:val="00E639F4"/>
    <w:rsid w:val="00E643F7"/>
    <w:rsid w:val="00E6741F"/>
    <w:rsid w:val="00E81486"/>
    <w:rsid w:val="00E848EC"/>
    <w:rsid w:val="00E84C09"/>
    <w:rsid w:val="00E9006D"/>
    <w:rsid w:val="00EB3DF5"/>
    <w:rsid w:val="00EF2DD5"/>
    <w:rsid w:val="00EF4EA8"/>
    <w:rsid w:val="00EF69E9"/>
    <w:rsid w:val="00F01D2F"/>
    <w:rsid w:val="00F35E5B"/>
    <w:rsid w:val="00F518AF"/>
    <w:rsid w:val="00F744F4"/>
    <w:rsid w:val="00F9182C"/>
    <w:rsid w:val="00FF3DAB"/>
    <w:rsid w:val="04B62928"/>
    <w:rsid w:val="04D34577"/>
    <w:rsid w:val="05D2168B"/>
    <w:rsid w:val="08F04B6A"/>
    <w:rsid w:val="09A320C1"/>
    <w:rsid w:val="0A944ED1"/>
    <w:rsid w:val="0D8153B2"/>
    <w:rsid w:val="0E535265"/>
    <w:rsid w:val="0E9279BA"/>
    <w:rsid w:val="0EB76039"/>
    <w:rsid w:val="0F9620AE"/>
    <w:rsid w:val="0FB50410"/>
    <w:rsid w:val="119704F9"/>
    <w:rsid w:val="120D1182"/>
    <w:rsid w:val="12525706"/>
    <w:rsid w:val="13FB18FC"/>
    <w:rsid w:val="14F3648C"/>
    <w:rsid w:val="17EA5BFE"/>
    <w:rsid w:val="1B0A3F7C"/>
    <w:rsid w:val="1B501AFA"/>
    <w:rsid w:val="1BD74364"/>
    <w:rsid w:val="1DAD2582"/>
    <w:rsid w:val="23752D60"/>
    <w:rsid w:val="25AA4CAA"/>
    <w:rsid w:val="26DD6338"/>
    <w:rsid w:val="288F2857"/>
    <w:rsid w:val="2BBB4686"/>
    <w:rsid w:val="2C302369"/>
    <w:rsid w:val="2C622E1D"/>
    <w:rsid w:val="2F4D3690"/>
    <w:rsid w:val="35646E1B"/>
    <w:rsid w:val="3D385175"/>
    <w:rsid w:val="3E2D504C"/>
    <w:rsid w:val="3E753B94"/>
    <w:rsid w:val="40241328"/>
    <w:rsid w:val="41902A43"/>
    <w:rsid w:val="44B67977"/>
    <w:rsid w:val="4724186F"/>
    <w:rsid w:val="479C6D8B"/>
    <w:rsid w:val="4875171E"/>
    <w:rsid w:val="508B5F79"/>
    <w:rsid w:val="50962F12"/>
    <w:rsid w:val="50D73755"/>
    <w:rsid w:val="51E019A4"/>
    <w:rsid w:val="52BA0E8A"/>
    <w:rsid w:val="52BD280E"/>
    <w:rsid w:val="52EC0787"/>
    <w:rsid w:val="549679ED"/>
    <w:rsid w:val="57135C9F"/>
    <w:rsid w:val="593F0C75"/>
    <w:rsid w:val="5D2C64E7"/>
    <w:rsid w:val="5D435B21"/>
    <w:rsid w:val="5E6864A3"/>
    <w:rsid w:val="5E8528A9"/>
    <w:rsid w:val="5F246E77"/>
    <w:rsid w:val="63393EC6"/>
    <w:rsid w:val="642A2CC9"/>
    <w:rsid w:val="64367D72"/>
    <w:rsid w:val="685F796D"/>
    <w:rsid w:val="6B201871"/>
    <w:rsid w:val="6B91118D"/>
    <w:rsid w:val="6BAE68FA"/>
    <w:rsid w:val="6BC03D38"/>
    <w:rsid w:val="6EA05719"/>
    <w:rsid w:val="6EFB1853"/>
    <w:rsid w:val="70344EA3"/>
    <w:rsid w:val="74DA64A8"/>
    <w:rsid w:val="79CA0FD1"/>
    <w:rsid w:val="7B3239D6"/>
    <w:rsid w:val="7F070DD4"/>
    <w:rsid w:val="7F800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framePr w:wrap="notBeside" w:vAnchor="text" w:hAnchor="text" w:y="1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字符"/>
    <w:qFormat/>
    <w:uiPriority w:val="99"/>
  </w:style>
  <w:style w:type="character" w:customStyle="1" w:styleId="14">
    <w:name w:val="二级条标题 Char"/>
    <w:link w:val="15"/>
    <w:qFormat/>
    <w:uiPriority w:val="0"/>
    <w:rPr>
      <w:rFonts w:ascii="黑体" w:hAnsi="Times New Roman" w:eastAsia="黑体"/>
      <w:sz w:val="21"/>
    </w:rPr>
  </w:style>
  <w:style w:type="paragraph" w:customStyle="1" w:styleId="15">
    <w:name w:val="二级条标题"/>
    <w:basedOn w:val="16"/>
    <w:next w:val="1"/>
    <w:link w:val="14"/>
    <w:qFormat/>
    <w:uiPriority w:val="0"/>
    <w:pPr>
      <w:numPr>
        <w:ilvl w:val="3"/>
      </w:numPr>
      <w:outlineLvl w:val="3"/>
    </w:pPr>
  </w:style>
  <w:style w:type="paragraph" w:customStyle="1" w:styleId="16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8">
    <w:name w:val="段 Char"/>
    <w:link w:val="19"/>
    <w:qFormat/>
    <w:uiPriority w:val="0"/>
    <w:rPr>
      <w:rFonts w:ascii="宋体"/>
      <w:sz w:val="21"/>
      <w:lang w:val="en-US" w:eastAsia="zh-CN" w:bidi="ar-SA"/>
    </w:rPr>
  </w:style>
  <w:style w:type="paragraph" w:customStyle="1" w:styleId="19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四级条标题"/>
    <w:basedOn w:val="21"/>
    <w:next w:val="1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21">
    <w:name w:val="三级条标题"/>
    <w:basedOn w:val="15"/>
    <w:next w:val="1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22">
    <w:name w:val="五级条标题"/>
    <w:basedOn w:val="20"/>
    <w:next w:val="1"/>
    <w:qFormat/>
    <w:uiPriority w:val="0"/>
    <w:pPr>
      <w:numPr>
        <w:ilvl w:val="6"/>
      </w:numPr>
      <w:outlineLvl w:val="6"/>
    </w:p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2019-09-22T03:27:00Z</dcterms:created>
  <dc:creator>LENOVO</dc:creator>
  <cp:lastModifiedBy>无来无去</cp:lastModifiedBy>
  <cp:lastPrinted>2019-12-23T08:18:00Z</cp:lastPrinted>
  <dcterms:modified xsi:type="dcterms:W3CDTF">2024-01-10T08:52:46Z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BA0AD203D9B54A949D578C00DBE83D7A</vt:lpwstr>
  </property>
</Properties>
</file>