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r>
        <w:rPr>
          <w:rFonts w:ascii="黑体" w:eastAsia="黑体"/>
          <w:bCs/>
          <w:sz w:val="24"/>
          <w:highlight w:val="none"/>
        </w:rPr>
        <w:t>JJF</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6</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2</w:t>
      </w:r>
      <w:r>
        <w:rPr>
          <w:rFonts w:hint="eastAsia" w:ascii="黑体" w:eastAsia="黑体"/>
          <w:bCs/>
          <w:sz w:val="24"/>
          <w:highlight w:val="none"/>
          <w:lang w:val="en-GB"/>
        </w:rPr>
        <w:t>《</w:t>
      </w:r>
      <w:r>
        <w:rPr>
          <w:rFonts w:hint="eastAsia" w:ascii="黑体" w:eastAsia="黑体"/>
          <w:bCs/>
          <w:sz w:val="24"/>
          <w:highlight w:val="none"/>
          <w:lang w:val="en-US" w:eastAsia="zh-CN"/>
        </w:rPr>
        <w:t>油膜测厚仪校准规范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numPr>
          <w:ilvl w:val="0"/>
          <w:numId w:val="2"/>
        </w:numPr>
        <w:spacing w:line="360" w:lineRule="auto"/>
        <w:rPr>
          <w:rFonts w:hint="eastAsia" w:ascii="黑体" w:hAnsi="黑体" w:eastAsia="黑体" w:cs="黑体"/>
          <w:bCs/>
          <w:highlight w:val="none"/>
        </w:rPr>
      </w:pPr>
      <w:r>
        <w:rPr>
          <w:rFonts w:hint="eastAsia" w:ascii="黑体" w:hAnsi="黑体" w:eastAsia="黑体" w:cs="黑体"/>
          <w:bCs/>
          <w:highlight w:val="none"/>
        </w:rPr>
        <w:t>工作简况</w:t>
      </w:r>
    </w:p>
    <w:p>
      <w:pPr>
        <w:spacing w:line="360" w:lineRule="auto"/>
        <w:rPr>
          <w:rFonts w:hint="eastAsia" w:ascii="黑体" w:eastAsia="黑体"/>
          <w:bCs/>
          <w:szCs w:val="21"/>
          <w:highlight w:val="none"/>
          <w:lang w:val="en-US" w:eastAsia="zh-CN"/>
        </w:rPr>
      </w:pPr>
      <w:r>
        <w:rPr>
          <w:rFonts w:hint="eastAsia" w:ascii="黑体" w:hAnsi="黑体" w:eastAsia="黑体" w:cs="黑体"/>
          <w:bCs/>
          <w:highlight w:val="none"/>
          <w:lang w:val="en-US" w:eastAsia="zh-CN"/>
        </w:rPr>
        <w:t xml:space="preserve">1 </w:t>
      </w:r>
      <w:r>
        <w:rPr>
          <w:rFonts w:hint="eastAsia" w:ascii="黑体" w:eastAsia="黑体"/>
          <w:bCs/>
          <w:szCs w:val="21"/>
          <w:highlight w:val="none"/>
          <w:lang w:val="en-US" w:eastAsia="zh-CN"/>
        </w:rPr>
        <w:t>立项目的</w:t>
      </w:r>
    </w:p>
    <w:p>
      <w:pPr>
        <w:numPr>
          <w:ilvl w:val="0"/>
          <w:numId w:val="0"/>
        </w:numPr>
        <w:spacing w:line="360" w:lineRule="auto"/>
        <w:ind w:left="0" w:leftChars="0" w:firstLine="420" w:firstLineChars="200"/>
        <w:rPr>
          <w:rFonts w:hint="default" w:ascii="Times New Roman" w:hAnsi="宋体" w:eastAsia="宋体" w:cs="Times New Roman"/>
          <w:bCs/>
          <w:kern w:val="2"/>
          <w:sz w:val="21"/>
          <w:szCs w:val="21"/>
          <w:highlight w:val="none"/>
          <w:lang w:val="en-US" w:eastAsia="zh-CN" w:bidi="ar-SA"/>
        </w:rPr>
      </w:pPr>
      <w:r>
        <w:rPr>
          <w:rFonts w:hint="default" w:ascii="Times New Roman" w:hAnsi="宋体" w:eastAsia="宋体" w:cs="Times New Roman"/>
          <w:bCs/>
          <w:kern w:val="2"/>
          <w:sz w:val="21"/>
          <w:szCs w:val="21"/>
          <w:highlight w:val="none"/>
          <w:lang w:val="en-US" w:eastAsia="zh-CN" w:bidi="ar-SA"/>
        </w:rPr>
        <w:t>汽车铝板具有密度小、坚韧度高、装饰效果好等优点，因此得到了汽车工业的青睐，近几年得到爆发式增长。由于汽车铝板表面涂油油膜厚度严重影响其冲制性能，须用油膜测厚仪对油膜厚度进行在线检测与控制和成品油膜厚度测量。</w:t>
      </w:r>
    </w:p>
    <w:p>
      <w:pPr>
        <w:numPr>
          <w:ilvl w:val="0"/>
          <w:numId w:val="0"/>
        </w:numPr>
        <w:spacing w:line="360" w:lineRule="auto"/>
        <w:ind w:left="0" w:leftChars="0" w:firstLine="420" w:firstLineChars="200"/>
        <w:rPr>
          <w:rFonts w:hint="default" w:ascii="Times New Roman" w:hAnsi="宋体" w:eastAsia="宋体" w:cs="Times New Roman"/>
          <w:bCs/>
          <w:kern w:val="2"/>
          <w:sz w:val="21"/>
          <w:szCs w:val="21"/>
          <w:highlight w:val="none"/>
          <w:lang w:val="en-US" w:eastAsia="zh-CN" w:bidi="ar-SA"/>
        </w:rPr>
      </w:pPr>
      <w:r>
        <w:rPr>
          <w:rFonts w:hint="default" w:ascii="Times New Roman" w:hAnsi="宋体" w:eastAsia="宋体" w:cs="Times New Roman"/>
          <w:bCs/>
          <w:kern w:val="2"/>
          <w:sz w:val="21"/>
          <w:szCs w:val="21"/>
          <w:highlight w:val="none"/>
          <w:lang w:val="en-US" w:eastAsia="zh-CN" w:bidi="ar-SA"/>
        </w:rPr>
        <w:t>目前，油膜测厚仪还没有国家检定规程或校准规范，也没有行业和地方的校验方法或校准规范，为更好地指导对油膜测厚仪的校准工作，</w:t>
      </w:r>
      <w:r>
        <w:rPr>
          <w:rFonts w:hint="eastAsia" w:hAnsi="宋体" w:cs="Times New Roman"/>
          <w:bCs/>
          <w:kern w:val="2"/>
          <w:sz w:val="21"/>
          <w:szCs w:val="21"/>
          <w:highlight w:val="none"/>
          <w:lang w:val="en-US" w:eastAsia="zh-CN" w:bidi="ar-SA"/>
        </w:rPr>
        <w:t>特立项</w:t>
      </w:r>
      <w:r>
        <w:rPr>
          <w:rFonts w:hint="default" w:ascii="Times New Roman" w:hAnsi="宋体" w:eastAsia="宋体" w:cs="Times New Roman"/>
          <w:bCs/>
          <w:kern w:val="2"/>
          <w:sz w:val="21"/>
          <w:szCs w:val="21"/>
          <w:highlight w:val="none"/>
          <w:lang w:val="en-US" w:eastAsia="zh-CN" w:bidi="ar-SA"/>
        </w:rPr>
        <w:t>编制《油膜测厚仪校准规范》</w:t>
      </w:r>
      <w:r>
        <w:rPr>
          <w:rFonts w:hint="eastAsia" w:hAnsi="宋体" w:cs="Times New Roman"/>
          <w:bCs/>
          <w:kern w:val="2"/>
          <w:sz w:val="21"/>
          <w:szCs w:val="21"/>
          <w:highlight w:val="none"/>
          <w:lang w:val="en-US" w:eastAsia="zh-CN" w:bidi="ar-SA"/>
        </w:rPr>
        <w:t>。</w:t>
      </w:r>
    </w:p>
    <w:p>
      <w:pPr>
        <w:spacing w:line="360" w:lineRule="auto"/>
        <w:rPr>
          <w:rFonts w:ascii="黑体" w:eastAsia="黑体"/>
          <w:bCs/>
          <w:szCs w:val="21"/>
          <w:highlight w:val="none"/>
        </w:rPr>
      </w:pPr>
      <w:r>
        <w:rPr>
          <w:rFonts w:hint="eastAsia" w:ascii="黑体" w:eastAsia="黑体"/>
          <w:bCs/>
          <w:szCs w:val="21"/>
          <w:highlight w:val="none"/>
          <w:lang w:val="en-US" w:eastAsia="zh-CN"/>
        </w:rPr>
        <w:t xml:space="preserve">2 </w:t>
      </w: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2</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2</w:t>
      </w:r>
      <w:r>
        <w:rPr>
          <w:rFonts w:hint="eastAsia" w:hAnsi="宋体"/>
          <w:bCs/>
          <w:szCs w:val="21"/>
          <w:highlight w:val="none"/>
        </w:rPr>
        <w:t>］</w:t>
      </w:r>
      <w:r>
        <w:rPr>
          <w:rFonts w:hint="eastAsia" w:hAnsi="宋体"/>
          <w:bCs/>
          <w:szCs w:val="21"/>
          <w:highlight w:val="none"/>
          <w:lang w:val="en-US" w:eastAsia="zh-CN"/>
        </w:rPr>
        <w:t>464</w:t>
      </w:r>
      <w:r>
        <w:rPr>
          <w:rFonts w:hint="eastAsia" w:hAnsi="宋体"/>
          <w:bCs/>
          <w:szCs w:val="21"/>
          <w:highlight w:val="none"/>
        </w:rPr>
        <w:t>号）文的要求，行业计量技术规范《</w:t>
      </w:r>
      <w:r>
        <w:rPr>
          <w:rFonts w:hint="eastAsia" w:hAnsi="宋体"/>
          <w:bCs/>
          <w:szCs w:val="21"/>
          <w:highlight w:val="none"/>
          <w:lang w:eastAsia="zh-CN"/>
        </w:rPr>
        <w:t>油膜测厚仪校准规范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6</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2</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4</w:t>
      </w:r>
      <w:r>
        <w:rPr>
          <w:rFonts w:hint="eastAsia" w:hAnsi="宋体"/>
          <w:bCs/>
          <w:szCs w:val="21"/>
          <w:highlight w:val="none"/>
        </w:rPr>
        <w:t>年完成。</w:t>
      </w:r>
    </w:p>
    <w:p>
      <w:pPr>
        <w:pStyle w:val="11"/>
        <w:spacing w:after="0"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3 </w:t>
      </w:r>
      <w:r>
        <w:rPr>
          <w:rFonts w:hint="eastAsia" w:ascii="黑体" w:hAnsi="宋体" w:eastAsia="黑体"/>
          <w:bCs/>
          <w:szCs w:val="21"/>
          <w:highlight w:val="none"/>
        </w:rPr>
        <w:t>承担单位情况</w:t>
      </w:r>
    </w:p>
    <w:p>
      <w:pPr>
        <w:spacing w:line="360" w:lineRule="auto"/>
        <w:ind w:left="0" w:leftChars="0" w:firstLine="0" w:firstLineChars="0"/>
        <w:rPr>
          <w:rFonts w:hint="default" w:eastAsia="宋体"/>
          <w:bCs/>
          <w:highlight w:val="none"/>
          <w:lang w:val="en-US" w:eastAsia="zh-CN"/>
        </w:rPr>
      </w:pPr>
      <w:r>
        <w:rPr>
          <w:rFonts w:hint="eastAsia"/>
          <w:bCs/>
          <w:highlight w:val="none"/>
          <w:lang w:val="en-US" w:eastAsia="zh-CN"/>
        </w:rPr>
        <w:t>3.1 主编单位简介</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CNAS认可，具备对测厚仪、标准厚度板、电子天平、尺寸检测的CNAS检测/校准能力。西南铝累计申请专利722件，其中授权发明专利249件、授权实用新型专利473件，主持和参与国家、行业标准277项。</w:t>
      </w:r>
    </w:p>
    <w:p>
      <w:pPr>
        <w:spacing w:line="360" w:lineRule="auto"/>
        <w:ind w:left="0" w:leftChars="0" w:firstLine="0" w:firstLineChars="0"/>
        <w:rPr>
          <w:rFonts w:hint="eastAsia"/>
          <w:bCs/>
          <w:highlight w:val="none"/>
          <w:lang w:val="en-US" w:eastAsia="zh-CN"/>
        </w:rPr>
      </w:pPr>
      <w:r>
        <w:rPr>
          <w:rFonts w:hint="eastAsia"/>
          <w:bCs/>
          <w:highlight w:val="none"/>
          <w:lang w:val="en-US" w:eastAsia="zh-CN"/>
        </w:rPr>
        <w:t>3.2 成员单位简介</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上海韵鼎国际贸易有限公司公司位于上海市普陀长风生态商务区国盛中心，专注于表观检测，是中国区域的颜色、厚度、雾度、光泽、老化耐候试验、盐雾腐蚀试验、粒子异色异形和辐射率等领域的解决方案供应商，积极参与行业会议，参与起草多项国家标准，关注新行业，引领新产品的表观检测方法，在中国表观检测技术研究发展、技术论证上有突出贡献。</w:t>
      </w:r>
    </w:p>
    <w:p>
      <w:pPr>
        <w:spacing w:line="360" w:lineRule="auto"/>
        <w:ind w:firstLine="420" w:firstLineChars="200"/>
        <w:rPr>
          <w:rFonts w:hint="eastAsia"/>
          <w:highlight w:val="none"/>
          <w:lang w:val="en-US" w:eastAsia="zh-CN"/>
        </w:rPr>
      </w:pPr>
      <w:r>
        <w:rPr>
          <w:rFonts w:hint="eastAsia"/>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sz w:val="21"/>
          <w:szCs w:val="21"/>
          <w:highlight w:val="none"/>
        </w:rPr>
      </w:pPr>
      <w:r>
        <w:rPr>
          <w:rFonts w:hint="eastAsia"/>
          <w:sz w:val="21"/>
          <w:szCs w:val="21"/>
          <w:highlight w:val="none"/>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pStyle w:val="11"/>
        <w:spacing w:after="0" w:line="360" w:lineRule="auto"/>
        <w:rPr>
          <w:rFonts w:ascii="黑体" w:eastAsia="黑体"/>
          <w:bCs/>
          <w:szCs w:val="21"/>
          <w:highlight w:val="none"/>
        </w:rPr>
      </w:pPr>
      <w:r>
        <w:rPr>
          <w:rFonts w:hint="eastAsia" w:ascii="黑体" w:eastAsia="黑体"/>
          <w:bCs/>
          <w:szCs w:val="21"/>
          <w:highlight w:val="none"/>
          <w:lang w:val="en-US" w:eastAsia="zh-CN"/>
        </w:rPr>
        <w:t xml:space="preserve">4 </w:t>
      </w:r>
      <w:r>
        <w:rPr>
          <w:rFonts w:hint="eastAsia" w:ascii="黑体" w:hAnsi="宋体" w:eastAsia="黑体"/>
          <w:bCs/>
          <w:szCs w:val="21"/>
          <w:highlight w:val="none"/>
        </w:rPr>
        <w:t>主要工作过程</w:t>
      </w:r>
    </w:p>
    <w:p>
      <w:pPr>
        <w:spacing w:line="360" w:lineRule="auto"/>
        <w:ind w:firstLine="420" w:firstLineChars="200"/>
        <w:rPr>
          <w:bCs/>
          <w:highlight w:val="none"/>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w:t>
      </w:r>
      <w:r>
        <w:rPr>
          <w:rFonts w:hint="eastAsia"/>
          <w:bCs/>
          <w:highlight w:val="none"/>
          <w:lang w:val="en-US" w:eastAsia="zh-CN"/>
        </w:rPr>
        <w:t>制组，成员有上海韵鼎国际贸易有限公司、广东省科学院工业分析检测中心、西安汉唐分析检测有限公司、有研工程技术研究院有限公司、中铝材料应用研究院有限公司、国合通用测试评价认证股份公司、广亚铝业有限公司等。对计量技术规范编写工作进行了部署和分工，制定了制定原则及计划工作。本项目主要工作过程经过了以下几个阶段：</w:t>
      </w:r>
    </w:p>
    <w:p>
      <w:pPr>
        <w:spacing w:line="360" w:lineRule="auto"/>
        <w:ind w:firstLine="210" w:firstLineChars="100"/>
        <w:rPr>
          <w:rFonts w:hint="eastAsia"/>
          <w:bCs/>
          <w:highlight w:val="none"/>
        </w:rPr>
      </w:pPr>
      <w:r>
        <w:rPr>
          <w:bCs/>
          <w:highlight w:val="none"/>
        </w:rPr>
        <w:t>1</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spacing w:line="360" w:lineRule="auto"/>
        <w:ind w:firstLine="210" w:firstLineChars="100"/>
        <w:rPr>
          <w:rFonts w:hint="default" w:eastAsia="宋体"/>
          <w:bCs/>
          <w:highlight w:val="none"/>
          <w:lang w:val="en-US" w:eastAsia="zh-CN"/>
        </w:rPr>
      </w:pPr>
      <w:r>
        <w:rPr>
          <w:bCs/>
          <w:highlight w:val="none"/>
        </w:rPr>
        <w:t>2</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～2023年10月</w:t>
      </w:r>
      <w:r>
        <w:rPr>
          <w:rFonts w:hint="eastAsia"/>
          <w:bCs/>
          <w:highlight w:val="none"/>
        </w:rPr>
        <w:t>计量规范编制组成员</w:t>
      </w:r>
      <w:r>
        <w:rPr>
          <w:rFonts w:hint="eastAsia"/>
          <w:bCs/>
          <w:highlight w:val="none"/>
          <w:lang w:val="en-US" w:eastAsia="zh-CN"/>
        </w:rPr>
        <w:t>完成了初步校准实施方案，并对单位的油膜测厚仪进行了校准测试。</w:t>
      </w:r>
    </w:p>
    <w:p>
      <w:pPr>
        <w:spacing w:line="360" w:lineRule="auto"/>
        <w:ind w:firstLine="210" w:firstLineChars="100"/>
        <w:rPr>
          <w:rFonts w:hint="eastAsia"/>
          <w:bCs/>
          <w:highlight w:val="none"/>
        </w:rPr>
      </w:pPr>
      <w:r>
        <w:rPr>
          <w:rFonts w:hint="eastAsia"/>
          <w:bCs/>
          <w:highlight w:val="none"/>
          <w:lang w:val="en-US" w:eastAsia="zh-CN"/>
        </w:rPr>
        <w:t>3</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11</w:t>
      </w:r>
      <w:r>
        <w:rPr>
          <w:rFonts w:hint="eastAsia"/>
          <w:bCs/>
          <w:highlight w:val="none"/>
        </w:rPr>
        <w:t>月</w:t>
      </w:r>
      <w:r>
        <w:rPr>
          <w:rFonts w:hint="eastAsia"/>
          <w:bCs/>
          <w:highlight w:val="none"/>
          <w:lang w:val="en-US" w:eastAsia="zh-CN"/>
        </w:rPr>
        <w:t>～2023年4月</w:t>
      </w:r>
      <w:r>
        <w:rPr>
          <w:rFonts w:hint="eastAsia"/>
          <w:bCs/>
          <w:highlight w:val="none"/>
        </w:rPr>
        <w:t>计量规范编制组成员对有</w:t>
      </w:r>
      <w:r>
        <w:rPr>
          <w:rFonts w:hint="eastAsia"/>
          <w:bCs/>
          <w:highlight w:val="none"/>
          <w:lang w:eastAsia="zh-CN"/>
        </w:rPr>
        <w:t>油膜测厚仪校准规范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3</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spacing w:line="360" w:lineRule="auto"/>
        <w:ind w:firstLine="210" w:firstLineChars="100"/>
        <w:rPr>
          <w:rFonts w:hint="eastAsia"/>
          <w:bCs/>
        </w:rPr>
      </w:pPr>
      <w:r>
        <w:rPr>
          <w:rFonts w:hint="eastAsia"/>
          <w:bCs/>
          <w:lang w:val="en-US" w:eastAsia="zh-CN"/>
        </w:rPr>
        <w:t>4）</w:t>
      </w:r>
      <w:r>
        <w:rPr>
          <w:rFonts w:hint="eastAsia"/>
          <w:bCs/>
        </w:rPr>
        <w:t>202</w:t>
      </w:r>
      <w:r>
        <w:rPr>
          <w:rFonts w:hint="eastAsia"/>
          <w:bCs/>
          <w:lang w:val="en-US" w:eastAsia="zh-CN"/>
        </w:rPr>
        <w:t>3</w:t>
      </w:r>
      <w:r>
        <w:rPr>
          <w:rFonts w:hint="eastAsia"/>
          <w:bCs/>
        </w:rPr>
        <w:t>年</w:t>
      </w:r>
      <w:r>
        <w:rPr>
          <w:rFonts w:hint="eastAsia"/>
          <w:bCs/>
          <w:lang w:val="en-US" w:eastAsia="zh-CN"/>
        </w:rPr>
        <w:t>5</w:t>
      </w:r>
      <w:r>
        <w:rPr>
          <w:rFonts w:hint="eastAsia"/>
          <w:bCs/>
        </w:rPr>
        <w:t>月</w:t>
      </w:r>
      <w:r>
        <w:rPr>
          <w:rFonts w:hint="eastAsia"/>
          <w:bCs/>
          <w:lang w:val="en-US" w:eastAsia="zh-CN"/>
        </w:rPr>
        <w:t>8</w:t>
      </w:r>
      <w:r>
        <w:rPr>
          <w:rFonts w:hint="eastAsia"/>
          <w:bCs/>
        </w:rPr>
        <w:t>日</w:t>
      </w:r>
      <w:r>
        <w:rPr>
          <w:rFonts w:hint="eastAsia" w:ascii="仿宋" w:hAnsi="仿宋" w:eastAsia="仿宋" w:cs="仿宋"/>
          <w:bCs/>
        </w:rPr>
        <w:t>～</w:t>
      </w:r>
      <w:r>
        <w:rPr>
          <w:rFonts w:hint="eastAsia" w:eastAsia="仿宋"/>
          <w:bCs/>
          <w:lang w:val="en-US" w:eastAsia="zh-CN"/>
        </w:rPr>
        <w:t>10</w:t>
      </w:r>
      <w:r>
        <w:rPr>
          <w:rFonts w:hint="eastAsia"/>
          <w:bCs/>
        </w:rPr>
        <w:t>日，计量规范编制组成员参加了由有色金属行业计量技术委员会组织的在</w:t>
      </w:r>
      <w:r>
        <w:rPr>
          <w:rFonts w:hint="eastAsia"/>
          <w:bCs/>
          <w:lang w:val="en-US" w:eastAsia="zh-CN"/>
        </w:rPr>
        <w:t>陕西西安</w:t>
      </w:r>
      <w:r>
        <w:rPr>
          <w:rFonts w:hint="eastAsia"/>
          <w:bCs/>
        </w:rPr>
        <w:t>召开的</w:t>
      </w:r>
      <w:r>
        <w:rPr>
          <w:bCs/>
        </w:rPr>
        <w:t>202</w:t>
      </w:r>
      <w:r>
        <w:rPr>
          <w:rFonts w:hint="eastAsia"/>
          <w:bCs/>
          <w:lang w:val="en-US" w:eastAsia="zh-CN"/>
        </w:rPr>
        <w:t>3</w:t>
      </w:r>
      <w:r>
        <w:rPr>
          <w:rFonts w:hint="eastAsia"/>
          <w:bCs/>
        </w:rPr>
        <w:t>年有色金属行业计量技术规范讨论会，与会专家、代表对本校准规范的讨论稿提出了宝贵的意见和建议。</w:t>
      </w:r>
    </w:p>
    <w:p>
      <w:pPr>
        <w:spacing w:line="360" w:lineRule="auto"/>
        <w:ind w:firstLine="210" w:firstLineChars="100"/>
        <w:rPr>
          <w:rFonts w:hint="eastAsia"/>
          <w:bCs/>
        </w:rPr>
      </w:pPr>
      <w:r>
        <w:rPr>
          <w:rFonts w:hint="eastAsia"/>
          <w:bCs/>
          <w:lang w:val="en-US" w:eastAsia="zh-CN"/>
        </w:rPr>
        <w:t>5</w:t>
      </w:r>
      <w:r>
        <w:rPr>
          <w:rFonts w:hint="eastAsia"/>
          <w:bCs/>
        </w:rPr>
        <w:t>）202</w:t>
      </w:r>
      <w:r>
        <w:rPr>
          <w:rFonts w:hint="eastAsia"/>
          <w:bCs/>
          <w:lang w:val="en-US" w:eastAsia="zh-CN"/>
        </w:rPr>
        <w:t>3</w:t>
      </w:r>
      <w:r>
        <w:rPr>
          <w:rFonts w:hint="eastAsia"/>
          <w:bCs/>
        </w:rPr>
        <w:t>年</w:t>
      </w:r>
      <w:r>
        <w:rPr>
          <w:rFonts w:hint="eastAsia"/>
          <w:bCs/>
          <w:lang w:val="en-US" w:eastAsia="zh-CN"/>
        </w:rPr>
        <w:t>5</w:t>
      </w:r>
      <w:r>
        <w:rPr>
          <w:rFonts w:hint="eastAsia"/>
          <w:bCs/>
        </w:rPr>
        <w:t>月</w:t>
      </w:r>
      <w:r>
        <w:rPr>
          <w:rFonts w:hint="eastAsia"/>
          <w:bCs/>
          <w:lang w:val="en-US" w:eastAsia="zh-CN"/>
        </w:rPr>
        <w:t>10</w:t>
      </w:r>
      <w:r>
        <w:rPr>
          <w:rFonts w:hint="eastAsia" w:ascii="仿宋" w:hAnsi="仿宋" w:eastAsia="仿宋" w:cs="仿宋"/>
          <w:bCs/>
        </w:rPr>
        <w:t>～</w:t>
      </w:r>
      <w:r>
        <w:rPr>
          <w:rFonts w:hint="eastAsia" w:ascii="宋体" w:hAnsi="宋体" w:eastAsia="仿宋" w:cs="宋体"/>
          <w:bCs/>
          <w:lang w:val="en-US" w:eastAsia="zh-CN"/>
        </w:rPr>
        <w:t>5月30日</w:t>
      </w:r>
      <w:r>
        <w:rPr>
          <w:rFonts w:hint="eastAsia"/>
          <w:bCs/>
        </w:rPr>
        <w:t>，针对</w:t>
      </w:r>
      <w:r>
        <w:rPr>
          <w:rFonts w:hint="eastAsia"/>
          <w:bCs/>
          <w:lang w:val="en-US" w:eastAsia="zh-CN"/>
        </w:rPr>
        <w:t>5</w:t>
      </w:r>
      <w:r>
        <w:rPr>
          <w:rFonts w:hint="eastAsia"/>
          <w:bCs/>
        </w:rPr>
        <w:t>月的</w:t>
      </w:r>
      <w:r>
        <w:rPr>
          <w:rFonts w:hint="eastAsia"/>
          <w:bCs/>
          <w:lang w:val="en-US" w:eastAsia="zh-CN"/>
        </w:rPr>
        <w:t>陕西西安</w:t>
      </w:r>
      <w:r>
        <w:rPr>
          <w:rFonts w:hint="eastAsia"/>
          <w:bCs/>
        </w:rPr>
        <w:t>讨论会中代表们提出的修改意见和建议，编制组开会讨论并修改了校准规范。</w:t>
      </w:r>
    </w:p>
    <w:p>
      <w:pPr>
        <w:spacing w:line="360" w:lineRule="auto"/>
        <w:ind w:firstLine="210" w:firstLineChars="100"/>
        <w:rPr>
          <w:rFonts w:hint="eastAsia"/>
          <w:bCs/>
          <w:highlight w:val="none"/>
        </w:rPr>
      </w:pPr>
      <w:r>
        <w:rPr>
          <w:rFonts w:hint="eastAsia"/>
          <w:bCs/>
          <w:lang w:val="en-US" w:eastAsia="zh-CN"/>
        </w:rPr>
        <w:t>6）2023</w:t>
      </w:r>
      <w:r>
        <w:rPr>
          <w:rFonts w:hint="eastAsia"/>
          <w:bCs/>
          <w:highlight w:val="none"/>
          <w:lang w:val="en-US" w:eastAsia="zh-CN"/>
        </w:rPr>
        <w:t>年8月-9月，针对征求意见稿收集到的意见和建议，编制组开会讨论并作了相应实验收集数据，对征求意见稿进行了修改，形成了预审稿。</w:t>
      </w:r>
    </w:p>
    <w:p>
      <w:pPr>
        <w:spacing w:line="360" w:lineRule="auto"/>
        <w:ind w:firstLine="210" w:firstLineChars="100"/>
        <w:rPr>
          <w:rFonts w:hint="default"/>
          <w:bCs/>
          <w:highlight w:val="none"/>
          <w:lang w:val="en-US" w:eastAsia="zh-CN"/>
        </w:rPr>
      </w:pPr>
      <w:r>
        <w:rPr>
          <w:rFonts w:hint="eastAsia"/>
          <w:bCs/>
          <w:highlight w:val="none"/>
          <w:lang w:val="en-US" w:eastAsia="zh-CN"/>
        </w:rPr>
        <w:t>7）2023年11月，针对预审稿收集到的意见和建议，编制组开会讨论并对预审稿进行了修改，形成了审定稿。</w:t>
      </w:r>
    </w:p>
    <w:p>
      <w:pPr>
        <w:spacing w:line="360" w:lineRule="auto"/>
        <w:ind w:firstLine="210" w:firstLineChars="100"/>
        <w:rPr>
          <w:rFonts w:hint="eastAsia"/>
          <w:bCs/>
        </w:rPr>
      </w:pP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w:t>
      </w:r>
      <w:r>
        <w:rPr>
          <w:rFonts w:hint="eastAsia" w:hAnsi="宋体"/>
          <w:bCs/>
          <w:szCs w:val="21"/>
          <w:highlight w:val="none"/>
          <w:lang w:val="en-US" w:eastAsia="zh-CN"/>
        </w:rPr>
        <w:t>本</w:t>
      </w:r>
      <w:r>
        <w:rPr>
          <w:rFonts w:hint="eastAsia" w:hAnsi="宋体"/>
          <w:bCs/>
          <w:szCs w:val="21"/>
          <w:highlight w:val="none"/>
        </w:rPr>
        <w:t>规范对</w:t>
      </w:r>
      <w:r>
        <w:rPr>
          <w:rFonts w:hint="eastAsia" w:hAnsi="宋体"/>
          <w:bCs/>
          <w:szCs w:val="21"/>
          <w:highlight w:val="none"/>
          <w:lang w:val="en-US" w:eastAsia="zh-CN"/>
        </w:rPr>
        <w:t>校准</w:t>
      </w:r>
      <w:r>
        <w:rPr>
          <w:rFonts w:hint="eastAsia" w:hAnsi="宋体"/>
          <w:bCs/>
          <w:szCs w:val="21"/>
          <w:highlight w:val="none"/>
        </w:rPr>
        <w:t>油膜测厚仪</w:t>
      </w:r>
      <w:r>
        <w:rPr>
          <w:rFonts w:hint="eastAsia" w:hAnsi="宋体"/>
          <w:bCs/>
          <w:szCs w:val="21"/>
          <w:highlight w:val="none"/>
          <w:lang w:val="en-US" w:eastAsia="zh-CN"/>
        </w:rPr>
        <w:t>的</w:t>
      </w:r>
      <w:r>
        <w:rPr>
          <w:rFonts w:hint="eastAsia" w:hAnsi="宋体"/>
          <w:bCs/>
          <w:szCs w:val="21"/>
          <w:highlight w:val="none"/>
        </w:rPr>
        <w:t>标准板的制作</w:t>
      </w:r>
      <w:r>
        <w:rPr>
          <w:rFonts w:hint="eastAsia" w:hAnsi="宋体"/>
          <w:bCs/>
          <w:szCs w:val="21"/>
          <w:highlight w:val="none"/>
          <w:lang w:val="en-US" w:eastAsia="zh-CN"/>
        </w:rPr>
        <w:t>方法</w:t>
      </w:r>
      <w:r>
        <w:rPr>
          <w:rFonts w:hint="eastAsia" w:hAnsi="宋体"/>
          <w:bCs/>
          <w:szCs w:val="21"/>
          <w:highlight w:val="none"/>
          <w:lang w:eastAsia="zh-CN"/>
        </w:rPr>
        <w:t>，</w:t>
      </w:r>
      <w:r>
        <w:rPr>
          <w:rFonts w:hint="eastAsia" w:hAnsi="宋体"/>
          <w:bCs/>
          <w:szCs w:val="21"/>
          <w:highlight w:val="none"/>
          <w:lang w:val="en-US" w:eastAsia="zh-CN"/>
        </w:rPr>
        <w:t>对</w:t>
      </w:r>
      <w:r>
        <w:rPr>
          <w:rFonts w:hint="eastAsia" w:hAnsi="宋体"/>
          <w:bCs/>
          <w:szCs w:val="21"/>
          <w:highlight w:val="none"/>
        </w:rPr>
        <w:t>油膜测厚仪</w:t>
      </w:r>
      <w:r>
        <w:rPr>
          <w:rFonts w:hint="eastAsia" w:hAnsi="宋体"/>
          <w:bCs/>
          <w:szCs w:val="21"/>
          <w:highlight w:val="none"/>
          <w:lang w:val="en-US" w:eastAsia="zh-CN"/>
        </w:rPr>
        <w:t>计量特性的校准方法</w:t>
      </w:r>
      <w:r>
        <w:rPr>
          <w:rFonts w:hint="eastAsia" w:hAnsi="宋体"/>
          <w:bCs/>
          <w:szCs w:val="21"/>
          <w:highlight w:val="none"/>
        </w:rPr>
        <w:t>进行了详细描述</w:t>
      </w:r>
      <w:r>
        <w:rPr>
          <w:rFonts w:hint="eastAsia" w:hAnsi="宋体"/>
          <w:bCs/>
          <w:szCs w:val="21"/>
          <w:highlight w:val="none"/>
          <w:lang w:eastAsia="zh-CN"/>
        </w:rPr>
        <w:t>，</w:t>
      </w:r>
      <w:r>
        <w:rPr>
          <w:rFonts w:hint="eastAsia" w:hAnsi="宋体"/>
          <w:bCs/>
          <w:szCs w:val="21"/>
          <w:highlight w:val="none"/>
        </w:rPr>
        <w:t>本规范填补了国内对油膜测厚仪无校准规范的空白</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对油膜测厚仪的校准方法和误差计算方法进行了详细的描述；对校准标准装置进行了详细的规定，对校准点也明确列出规定。</w:t>
      </w:r>
    </w:p>
    <w:p>
      <w:pPr>
        <w:spacing w:line="360" w:lineRule="auto"/>
        <w:rPr>
          <w:rFonts w:ascii="黑体" w:hAnsi="宋体" w:eastAsia="黑体"/>
          <w:bCs/>
          <w:szCs w:val="21"/>
          <w:highlight w:val="none"/>
        </w:rPr>
      </w:pPr>
      <w:r>
        <w:rPr>
          <w:rFonts w:ascii="黑体" w:eastAsia="黑体"/>
          <w:bCs/>
          <w:szCs w:val="21"/>
          <w:highlight w:val="none"/>
        </w:rPr>
        <w:t>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2.1</w:t>
      </w:r>
      <w:r>
        <w:rPr>
          <w:rFonts w:hint="eastAsia" w:ascii="黑体" w:hAnsi="黑体" w:eastAsia="黑体"/>
          <w:bCs/>
          <w:szCs w:val="21"/>
          <w:highlight w:val="none"/>
        </w:rPr>
        <w:t>范围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适用于油膜测厚仪的校准。</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ascii="黑体" w:eastAsia="黑体"/>
          <w:bCs/>
          <w:szCs w:val="21"/>
          <w:highlight w:val="none"/>
        </w:rPr>
        <w:t xml:space="preserve"> </w:t>
      </w:r>
      <w:r>
        <w:rPr>
          <w:rFonts w:hint="eastAsia" w:ascii="黑体" w:hAnsi="宋体" w:eastAsia="黑体"/>
          <w:bCs/>
          <w:szCs w:val="21"/>
          <w:highlight w:val="none"/>
        </w:rPr>
        <w:t>引用文件</w:t>
      </w:r>
    </w:p>
    <w:p>
      <w:pPr>
        <w:spacing w:line="360" w:lineRule="auto"/>
        <w:ind w:firstLine="420" w:firstLineChars="200"/>
        <w:rPr>
          <w:rFonts w:hint="eastAsia" w:hAnsi="宋体"/>
          <w:bCs/>
          <w:szCs w:val="21"/>
          <w:highlight w:val="none"/>
        </w:rPr>
      </w:pPr>
      <w:r>
        <w:rPr>
          <w:rFonts w:hint="eastAsia" w:hAnsi="宋体"/>
          <w:bCs/>
          <w:szCs w:val="21"/>
          <w:highlight w:val="none"/>
        </w:rPr>
        <w:t>本规范引用了下列文件：</w:t>
      </w:r>
    </w:p>
    <w:p>
      <w:pPr>
        <w:spacing w:line="360" w:lineRule="auto"/>
        <w:ind w:firstLine="420" w:firstLineChars="200"/>
        <w:rPr>
          <w:rFonts w:hint="eastAsia" w:hAnsi="宋体"/>
          <w:bCs/>
          <w:szCs w:val="21"/>
          <w:highlight w:val="none"/>
        </w:rPr>
      </w:pPr>
      <w:r>
        <w:rPr>
          <w:rFonts w:hint="eastAsia" w:hAnsi="宋体"/>
          <w:bCs/>
          <w:szCs w:val="21"/>
          <w:highlight w:val="none"/>
        </w:rPr>
        <w:t>JJG1036-2022 电子天平检定规程</w:t>
      </w:r>
    </w:p>
    <w:p>
      <w:pPr>
        <w:spacing w:line="360" w:lineRule="auto"/>
        <w:ind w:firstLine="420" w:firstLineChars="200"/>
        <w:rPr>
          <w:rFonts w:hint="default" w:hAnsi="宋体" w:eastAsia="宋体"/>
          <w:bCs/>
          <w:szCs w:val="21"/>
          <w:highlight w:val="none"/>
          <w:lang w:val="en-US" w:eastAsia="zh-CN"/>
        </w:rPr>
      </w:pPr>
      <w:r>
        <w:rPr>
          <w:rFonts w:hint="eastAsia" w:hAnsi="宋体"/>
          <w:bCs/>
          <w:szCs w:val="21"/>
          <w:highlight w:val="none"/>
        </w:rPr>
        <w:t>凡是注日期的引用文件，仅注日期的版本适用于本规范；凡是不注日期的引用文件，其最新版本（包括所有的修改单）适用于本规范。</w:t>
      </w:r>
    </w:p>
    <w:p>
      <w:pPr>
        <w:spacing w:line="360" w:lineRule="auto"/>
        <w:rPr>
          <w:rFonts w:ascii="黑体" w:eastAsia="黑体"/>
          <w:bCs/>
          <w:szCs w:val="21"/>
        </w:rPr>
      </w:pPr>
      <w:r>
        <w:rPr>
          <w:rFonts w:ascii="黑体" w:hAnsi="宋体" w:eastAsia="黑体"/>
          <w:bCs/>
          <w:szCs w:val="21"/>
        </w:rPr>
        <w:t>2.3</w:t>
      </w:r>
      <w:r>
        <w:rPr>
          <w:rFonts w:ascii="黑体" w:eastAsia="黑体"/>
          <w:bCs/>
          <w:szCs w:val="21"/>
        </w:rPr>
        <w:t xml:space="preserve"> </w:t>
      </w:r>
      <w:r>
        <w:rPr>
          <w:rFonts w:hint="eastAsia" w:ascii="黑体" w:eastAsia="黑体"/>
          <w:bCs/>
          <w:szCs w:val="21"/>
        </w:rPr>
        <w:t>术语和计量单位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rPr>
      </w:pPr>
      <w:r>
        <w:rPr>
          <w:rFonts w:hint="eastAsia" w:ascii="宋体" w:hAnsi="宋体" w:cs="宋体"/>
          <w:bCs/>
          <w:szCs w:val="21"/>
          <w:lang w:val="en-US" w:eastAsia="zh-CN"/>
        </w:rPr>
        <w:t>本规范规定了</w:t>
      </w:r>
      <w:r>
        <w:rPr>
          <w:rFonts w:hint="eastAsia" w:ascii="宋体" w:hAnsi="宋体" w:cs="宋体"/>
          <w:bCs/>
          <w:szCs w:val="21"/>
        </w:rPr>
        <w:t>油膜厚度的计量单位为“mg/m</w:t>
      </w:r>
      <w:r>
        <w:rPr>
          <w:rFonts w:hint="eastAsia" w:ascii="宋体" w:hAnsi="宋体" w:cs="宋体"/>
          <w:bCs/>
          <w:szCs w:val="21"/>
          <w:vertAlign w:val="superscript"/>
        </w:rPr>
        <w:t>2</w:t>
      </w:r>
      <w:r>
        <w:rPr>
          <w:rFonts w:hint="eastAsia" w:ascii="宋体" w:hAnsi="宋体" w:cs="宋体"/>
          <w:bCs/>
          <w:szCs w:val="21"/>
        </w:rPr>
        <w:t>”，表示每平方米油膜的质量。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宋体" w:eastAsia="黑体"/>
          <w:bCs/>
          <w:szCs w:val="21"/>
          <w:highlight w:val="none"/>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将3.1“</w:t>
      </w:r>
      <w:r>
        <w:rPr>
          <w:rFonts w:hint="eastAsia" w:ascii="宋体" w:hAnsi="宋体" w:cs="宋体"/>
          <w:bCs/>
          <w:szCs w:val="21"/>
          <w:lang w:val="en-US" w:eastAsia="zh-CN"/>
        </w:rPr>
        <w:t>术语；无</w:t>
      </w:r>
      <w:r>
        <w:rPr>
          <w:rFonts w:hint="eastAsia" w:ascii="宋体" w:hAnsi="宋体" w:cs="宋体"/>
          <w:bCs/>
          <w:szCs w:val="21"/>
        </w:rPr>
        <w:t>”</w:t>
      </w:r>
      <w:r>
        <w:rPr>
          <w:rFonts w:hint="eastAsia" w:ascii="宋体" w:hAnsi="宋体" w:cs="宋体"/>
          <w:bCs/>
          <w:szCs w:val="21"/>
          <w:lang w:val="en-US" w:eastAsia="zh-CN"/>
        </w:rPr>
        <w:t>删除，只保留计量单位</w:t>
      </w:r>
      <w:r>
        <w:rPr>
          <w:rFonts w:hint="eastAsia" w:ascii="宋体" w:hAnsi="宋体" w:cs="宋体"/>
          <w:bCs/>
          <w:szCs w:val="21"/>
        </w:rPr>
        <w:t>。</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4</w:t>
      </w:r>
      <w:r>
        <w:rPr>
          <w:rFonts w:ascii="黑体" w:eastAsia="黑体"/>
          <w:bCs/>
          <w:szCs w:val="21"/>
          <w:highlight w:val="none"/>
        </w:rPr>
        <w:t xml:space="preserve"> </w:t>
      </w:r>
      <w:r>
        <w:rPr>
          <w:rFonts w:hint="eastAsia" w:ascii="黑体" w:hAnsi="宋体" w:eastAsia="黑体"/>
          <w:bCs/>
          <w:szCs w:val="21"/>
          <w:highlight w:val="none"/>
        </w:rPr>
        <w:t>概述</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油膜测厚仪是由光源、透镜、光电位敏接收器、信号处理机、测量结果显示系统和测量软件等组成的测量仪器。可以对油膜/润滑剂厚度进行测量并图形化显示油膜。利用红外光穿透物质时的红外吸收效应实现非接触式的测量薄膜类材料的厚度。当红外光穿过被测物质时，一部分红外光被材质吸收导致强度减弱，利用这一原理来检测被测物质的厚度。</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5</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本规范根据对油膜测厚仪检测设备的使用要求规定油膜厚度示值最大允许误差为±100 mg/m</w:t>
      </w:r>
      <w:r>
        <w:rPr>
          <w:rFonts w:hint="eastAsia" w:ascii="宋体" w:hAnsi="宋体" w:cs="宋体"/>
          <w:bCs/>
          <w:szCs w:val="21"/>
          <w:vertAlign w:val="superscript"/>
          <w:lang w:val="en-US" w:eastAsia="zh-CN"/>
        </w:rPr>
        <w:t>2</w:t>
      </w:r>
      <w:r>
        <w:rPr>
          <w:rFonts w:hint="eastAsia" w:ascii="宋体" w:hAnsi="宋体" w:cs="宋体"/>
          <w:bCs/>
          <w:szCs w:val="21"/>
          <w:lang w:val="en-US" w:eastAsia="zh-CN"/>
        </w:rPr>
        <w:t>或读数的±10%，取二者中大值；油膜厚度示值重复性不大于100mg/m</w:t>
      </w:r>
      <w:r>
        <w:rPr>
          <w:rFonts w:hint="eastAsia" w:ascii="宋体" w:hAnsi="宋体" w:cs="宋体"/>
          <w:bCs/>
          <w:szCs w:val="21"/>
          <w:vertAlign w:val="superscript"/>
          <w:lang w:val="en-US" w:eastAsia="zh-CN"/>
        </w:rPr>
        <w:t>2</w:t>
      </w:r>
      <w:r>
        <w:rPr>
          <w:rFonts w:hint="eastAsia" w:ascii="宋体" w:hAnsi="宋体" w:cs="宋体"/>
          <w:bCs/>
          <w:szCs w:val="21"/>
          <w:vertAlign w:val="baseline"/>
          <w:lang w:val="en-US" w:eastAsia="zh-CN"/>
        </w:rPr>
        <w:t>。</w:t>
      </w:r>
    </w:p>
    <w:p>
      <w:pPr>
        <w:adjustRightInd w:val="0"/>
        <w:snapToGrid w:val="0"/>
        <w:spacing w:line="360" w:lineRule="auto"/>
        <w:ind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5.2中“油膜厚度示值重复性以单次测量的标准偏差s来表示，s不大于100mg/m</w:t>
      </w:r>
      <w:r>
        <w:rPr>
          <w:rFonts w:hint="eastAsia" w:ascii="宋体" w:hAnsi="宋体" w:cs="宋体"/>
          <w:bCs/>
          <w:szCs w:val="21"/>
          <w:vertAlign w:val="superscript"/>
          <w:lang w:val="en-US" w:eastAsia="zh-CN"/>
        </w:rPr>
        <w:t>2</w:t>
      </w:r>
      <w:r>
        <w:rPr>
          <w:rFonts w:hint="eastAsia" w:ascii="宋体" w:hAnsi="宋体" w:cs="宋体"/>
          <w:bCs/>
          <w:szCs w:val="21"/>
          <w:lang w:val="en-US" w:eastAsia="zh-CN"/>
        </w:rPr>
        <w:t>。”改为“油膜厚度示值重复性不大于100mg/m</w:t>
      </w:r>
      <w:r>
        <w:rPr>
          <w:rFonts w:hint="eastAsia" w:ascii="宋体" w:hAnsi="宋体" w:cs="宋体"/>
          <w:bCs/>
          <w:szCs w:val="21"/>
          <w:vertAlign w:val="superscript"/>
          <w:lang w:val="en-US" w:eastAsia="zh-CN"/>
        </w:rPr>
        <w:t>2</w:t>
      </w:r>
      <w:r>
        <w:rPr>
          <w:rFonts w:hint="eastAsia" w:ascii="宋体" w:hAnsi="宋体" w:cs="宋体"/>
          <w:bCs/>
          <w:szCs w:val="21"/>
          <w:lang w:val="en-US" w:eastAsia="zh-CN"/>
        </w:rPr>
        <w:t>。”</w:t>
      </w:r>
    </w:p>
    <w:p>
      <w:pPr>
        <w:adjustRightInd w:val="0"/>
        <w:snapToGrid w:val="0"/>
        <w:spacing w:line="360" w:lineRule="auto"/>
        <w:ind w:firstLine="420" w:firstLineChars="200"/>
        <w:rPr>
          <w:rFonts w:hint="default" w:ascii="宋体" w:hAnsi="宋体" w:cs="宋体"/>
          <w:bCs/>
          <w:szCs w:val="21"/>
          <w:lang w:val="en-US" w:eastAsia="zh-CN"/>
        </w:rPr>
      </w:pPr>
      <w:r>
        <w:rPr>
          <w:rFonts w:hint="eastAsia" w:ascii="宋体" w:hAnsi="宋体" w:cs="宋体"/>
          <w:bCs/>
          <w:szCs w:val="21"/>
          <w:lang w:val="en-US" w:eastAsia="zh-CN"/>
        </w:rPr>
        <w:t>根据预审会的意见，“注：以上指标不作为合格性判别依据，仅供参考。”</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6</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ind w:firstLine="420" w:firstLineChars="200"/>
        <w:rPr>
          <w:rFonts w:hint="eastAsia"/>
          <w:bCs/>
          <w:highlight w:val="none"/>
          <w:lang w:val="en-US" w:eastAsia="zh-CN"/>
        </w:rPr>
      </w:pPr>
      <w:r>
        <w:rPr>
          <w:rFonts w:hint="eastAsia"/>
          <w:bCs/>
          <w:highlight w:val="none"/>
          <w:lang w:val="en-US" w:eastAsia="zh-CN"/>
        </w:rPr>
        <w:t>根据7月征求意见稿反馈建议,“一般为方形或圆形”修改为“一般为正方形或圆形”</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7</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校准项目：示值误差、重复性。</w:t>
      </w:r>
    </w:p>
    <w:p>
      <w:pPr>
        <w:numPr>
          <w:ilvl w:val="0"/>
          <w:numId w:val="3"/>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numPr>
          <w:ilvl w:val="0"/>
          <w:numId w:val="4"/>
        </w:numPr>
        <w:adjustRightInd w:val="0"/>
        <w:snapToGrid w:val="0"/>
        <w:spacing w:line="360" w:lineRule="auto"/>
        <w:ind w:left="0" w:leftChars="0"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规范对油膜测厚仪的校准点的选择、标准板的制作进行了分别描述，规范对油膜测厚仪计量特性示值误差、重复性的校准方法进行了详细描述，给出了相应的示值误差、重复性计算公式。规范能较好地指导校准人员对油膜测厚仪进行校准，具有较强的可操作性。</w:t>
      </w:r>
    </w:p>
    <w:p>
      <w:pPr>
        <w:numPr>
          <w:ilvl w:val="0"/>
          <w:numId w:val="4"/>
        </w:numPr>
        <w:adjustRightInd w:val="0"/>
        <w:snapToGrid w:val="0"/>
        <w:spacing w:line="360" w:lineRule="auto"/>
        <w:ind w:left="0" w:leftChars="0"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根据讨论稿的意见，编制组成员在市面上咨询了薄膜标准板的情况，现目前还未找到合适的标准板用于校准油膜测厚仪，征求意见稿还是按讨论稿中所述校准方法对油膜测厚仪进行校准。</w:t>
      </w:r>
    </w:p>
    <w:p>
      <w:pPr>
        <w:numPr>
          <w:ilvl w:val="0"/>
          <w:numId w:val="4"/>
        </w:numPr>
        <w:adjustRightInd w:val="0"/>
        <w:snapToGrid w:val="0"/>
        <w:spacing w:line="360" w:lineRule="auto"/>
        <w:ind w:left="0" w:leftChars="0"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原附录C的内容放入了校准方法中。</w:t>
      </w:r>
    </w:p>
    <w:p>
      <w:pPr>
        <w:numPr>
          <w:ilvl w:val="0"/>
          <w:numId w:val="4"/>
        </w:numPr>
        <w:adjustRightInd w:val="0"/>
        <w:snapToGrid w:val="0"/>
        <w:spacing w:line="360" w:lineRule="auto"/>
        <w:ind w:left="0" w:leftChars="0"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原附录C.1.2中“标准基板标称表面积误差不大于±0.1%”改为“标准基板涂油面标称表面积误差不大于±0.1%”。</w:t>
      </w:r>
    </w:p>
    <w:p>
      <w:pPr>
        <w:numPr>
          <w:ilvl w:val="0"/>
          <w:numId w:val="4"/>
        </w:numPr>
        <w:adjustRightInd w:val="0"/>
        <w:snapToGrid w:val="0"/>
        <w:spacing w:line="360" w:lineRule="auto"/>
        <w:ind w:left="0" w:leftChars="0"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原附录C.3.5中公式解释中“S——标准基板表面积”改为““S——标准基板涂油面表面积””</w:t>
      </w:r>
    </w:p>
    <w:p>
      <w:pPr>
        <w:numPr>
          <w:ilvl w:val="0"/>
          <w:numId w:val="4"/>
        </w:numPr>
        <w:adjustRightInd w:val="0"/>
        <w:snapToGrid w:val="0"/>
        <w:spacing w:line="360" w:lineRule="auto"/>
        <w:ind w:left="0" w:leftChars="0" w:firstLine="420" w:firstLineChars="200"/>
        <w:rPr>
          <w:rFonts w:hint="eastAsia"/>
          <w:bCs/>
          <w:highlight w:val="none"/>
          <w:lang w:val="en-US" w:eastAsia="zh-CN"/>
        </w:rPr>
      </w:pPr>
      <w:r>
        <w:rPr>
          <w:rFonts w:hint="eastAsia"/>
          <w:bCs/>
          <w:highlight w:val="none"/>
          <w:lang w:val="en-US" w:eastAsia="zh-CN"/>
        </w:rPr>
        <w:t>根据7月征求意见稿反馈建议，将“7.2.3  如图3，在刚制作好的标准板上均匀选取9个测量点，使用油膜测厚仪对这9个测量点进行油膜厚度测量。按式（2）、式（3）计算油膜厚度示值误差。”修改为“7.2.5 如图3，在刚制作好的油膜厚度标准板上均匀选取9个测量点，测量点的选取须保证油膜测厚仪的测量光斑在标准板内，使用油膜测厚仪对各测量点进行油膜厚度测量。按式（1）、式（2）、式（3）计算油膜厚度示值误差。”</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增加了采用圆形标准板的示值误差校准示意图。</w:t>
      </w:r>
    </w:p>
    <w:p>
      <w:pPr>
        <w:numPr>
          <w:ilvl w:val="0"/>
          <w:numId w:val="4"/>
        </w:numPr>
        <w:adjustRightInd w:val="0"/>
        <w:snapToGrid w:val="0"/>
        <w:spacing w:line="360" w:lineRule="auto"/>
        <w:ind w:left="0" w:leftChars="0" w:firstLine="420" w:firstLineChars="200"/>
        <w:rPr>
          <w:rFonts w:hint="default"/>
          <w:bCs/>
          <w:highlight w:val="none"/>
          <w:lang w:val="en-US" w:eastAsia="zh-CN"/>
        </w:rPr>
      </w:pPr>
      <w:r>
        <w:rPr>
          <w:rFonts w:hint="eastAsia"/>
          <w:bCs/>
          <w:highlight w:val="none"/>
          <w:lang w:val="en-US" w:eastAsia="zh-CN"/>
        </w:rPr>
        <w:t>根据7月征求意见稿反馈建议</w:t>
      </w:r>
    </w:p>
    <w:p>
      <w:pPr>
        <w:pStyle w:val="25"/>
        <w:bidi w:val="0"/>
        <w:rPr>
          <w:rFonts w:hint="default"/>
          <w:lang w:val="en-US" w:eastAsia="zh-CN"/>
        </w:rPr>
      </w:pPr>
      <w:r>
        <w:rPr>
          <w:rFonts w:hint="eastAsia"/>
          <w:lang w:val="en-US" w:eastAsia="zh-CN"/>
        </w:rPr>
        <w:t>将</w:t>
      </w:r>
    </w:p>
    <w:p>
      <w:pPr>
        <w:pStyle w:val="25"/>
        <w:bidi w:val="0"/>
        <w:rPr>
          <w:rFonts w:hint="eastAsia"/>
          <w:lang w:val="en-US" w:eastAsia="zh-CN"/>
        </w:rPr>
      </w:pPr>
      <w:r>
        <w:rPr>
          <w:rFonts w:hint="eastAsia"/>
          <w:lang w:val="en-US" w:eastAsia="zh-CN"/>
        </w:rPr>
        <w:t>7.2.2.2  用无水乙醇将标准基板及涂油辊表面清洁干净，用无纺纸将标准基板及涂油辊表面上残留的无水乙醇擦试干净。</w:t>
      </w:r>
    </w:p>
    <w:p>
      <w:pPr>
        <w:pStyle w:val="25"/>
        <w:bidi w:val="0"/>
        <w:rPr>
          <w:rFonts w:hint="eastAsia"/>
          <w:lang w:val="en-US" w:eastAsia="zh-CN"/>
        </w:rPr>
      </w:pPr>
      <w:r>
        <w:rPr>
          <w:rFonts w:hint="eastAsia"/>
          <w:lang w:val="en-US" w:eastAsia="zh-CN"/>
        </w:rPr>
        <w:t>7.2.2.3  将清洁干净的标准基板用电子天平称得质量</w:t>
      </w:r>
      <w:r>
        <w:rPr>
          <w:rFonts w:hint="eastAsia"/>
          <w:b w:val="0"/>
          <w:bCs w:val="0"/>
          <w:color w:val="auto"/>
          <w:position w:val="-12"/>
          <w:szCs w:val="21"/>
          <w:highlight w:val="none"/>
          <w:lang w:val="en-US" w:eastAsia="zh-CN"/>
        </w:rPr>
        <w:object>
          <v:shape id="_x0000_i1025" o:spt="75" type="#_x0000_t75" style="height:18pt;width:16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lang w:val="en-US" w:eastAsia="zh-CN"/>
        </w:rPr>
        <w:t>。</w:t>
      </w:r>
    </w:p>
    <w:p>
      <w:pPr>
        <w:pStyle w:val="25"/>
        <w:bidi w:val="0"/>
        <w:rPr>
          <w:rFonts w:hint="eastAsia"/>
          <w:lang w:val="en-US" w:eastAsia="zh-CN"/>
        </w:rPr>
      </w:pPr>
      <w:r>
        <w:rPr>
          <w:rFonts w:hint="eastAsia"/>
          <w:lang w:val="en-US" w:eastAsia="zh-CN"/>
        </w:rPr>
        <w:t>修改为：</w:t>
      </w:r>
    </w:p>
    <w:p>
      <w:pPr>
        <w:pStyle w:val="25"/>
        <w:bidi w:val="0"/>
        <w:rPr>
          <w:rFonts w:hint="eastAsia"/>
          <w:lang w:val="en-US" w:eastAsia="zh-CN"/>
        </w:rPr>
      </w:pPr>
      <w:r>
        <w:rPr>
          <w:rFonts w:hint="eastAsia"/>
          <w:lang w:val="en-US" w:eastAsia="zh-CN"/>
        </w:rPr>
        <w:t>7.2.2.2  用无水乙醇将标准基板及涂油辊表面清洁干净，用无纺纸将标准基板及涂油辊表面上残留的无水乙醇擦试干净并晾干。</w:t>
      </w:r>
    </w:p>
    <w:p>
      <w:pPr>
        <w:pStyle w:val="25"/>
        <w:bidi w:val="0"/>
        <w:rPr>
          <w:rFonts w:hint="eastAsia"/>
          <w:lang w:val="en-US" w:eastAsia="zh-CN"/>
        </w:rPr>
      </w:pPr>
      <w:r>
        <w:rPr>
          <w:rFonts w:hint="eastAsia"/>
          <w:lang w:val="en-US" w:eastAsia="zh-CN"/>
        </w:rPr>
        <w:t>7.2.2.3  将晾干后的标准基板用电子天平称得质量</w:t>
      </w:r>
      <w:r>
        <w:rPr>
          <w:rFonts w:hint="eastAsia"/>
          <w:b w:val="0"/>
          <w:bCs w:val="0"/>
          <w:color w:val="auto"/>
          <w:position w:val="-12"/>
          <w:szCs w:val="21"/>
          <w:highlight w:val="none"/>
          <w:lang w:val="en-US" w:eastAsia="zh-CN"/>
        </w:rPr>
        <w:object>
          <v:shape id="_x0000_i1026" o:spt="75" type="#_x0000_t75" style="height:18pt;width:16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lang w:val="en-US" w:eastAsia="zh-CN"/>
        </w:rPr>
        <w:t>。</w:t>
      </w:r>
    </w:p>
    <w:p>
      <w:pPr>
        <w:numPr>
          <w:ilvl w:val="0"/>
          <w:numId w:val="4"/>
        </w:numPr>
        <w:adjustRightInd w:val="0"/>
        <w:snapToGrid w:val="0"/>
        <w:spacing w:line="360" w:lineRule="auto"/>
        <w:ind w:left="0" w:leftChars="0" w:firstLine="420" w:firstLineChars="200"/>
        <w:rPr>
          <w:rFonts w:hint="default"/>
          <w:bCs/>
          <w:highlight w:val="none"/>
          <w:lang w:val="en-US" w:eastAsia="zh-CN"/>
        </w:rPr>
      </w:pPr>
      <w:r>
        <w:rPr>
          <w:rFonts w:hint="eastAsia"/>
          <w:bCs/>
          <w:highlight w:val="none"/>
          <w:lang w:val="en-US" w:eastAsia="zh-CN"/>
        </w:rPr>
        <w:t>根据7月征求意见稿反馈建议</w:t>
      </w:r>
    </w:p>
    <w:p>
      <w:pPr>
        <w:pStyle w:val="25"/>
        <w:bidi w:val="0"/>
        <w:rPr>
          <w:rFonts w:hint="default"/>
          <w:lang w:val="en-US" w:eastAsia="zh-CN"/>
        </w:rPr>
      </w:pPr>
      <w:r>
        <w:rPr>
          <w:rFonts w:hint="eastAsia"/>
          <w:lang w:val="en-US" w:eastAsia="zh-CN"/>
        </w:rPr>
        <w:t>将</w:t>
      </w:r>
    </w:p>
    <w:p>
      <w:pPr>
        <w:pStyle w:val="25"/>
        <w:bidi w:val="0"/>
        <w:rPr>
          <w:rFonts w:hint="eastAsia"/>
          <w:lang w:val="en-US" w:eastAsia="zh-CN"/>
        </w:rPr>
      </w:pPr>
      <w:r>
        <w:rPr>
          <w:rFonts w:hint="eastAsia"/>
          <w:lang w:val="en-US" w:eastAsia="zh-CN"/>
        </w:rPr>
        <w:t>7.2.3.2  将涂好油的标准基板放在电子天平上称得质量</w:t>
      </w:r>
    </w:p>
    <w:p>
      <w:pPr>
        <w:pStyle w:val="25"/>
        <w:bidi w:val="0"/>
        <w:rPr>
          <w:rFonts w:hint="eastAsia"/>
          <w:lang w:val="en-US" w:eastAsia="zh-CN"/>
        </w:rPr>
      </w:pPr>
      <w:r>
        <w:rPr>
          <w:rFonts w:hint="eastAsia"/>
          <w:lang w:val="en-US" w:eastAsia="zh-CN"/>
        </w:rPr>
        <w:t>修改为：</w:t>
      </w:r>
    </w:p>
    <w:p>
      <w:pPr>
        <w:pStyle w:val="25"/>
        <w:bidi w:val="0"/>
        <w:rPr>
          <w:rFonts w:hint="eastAsia"/>
          <w:lang w:val="en-US" w:eastAsia="zh-CN"/>
        </w:rPr>
      </w:pPr>
      <w:r>
        <w:rPr>
          <w:rFonts w:hint="eastAsia"/>
          <w:lang w:val="en-US" w:eastAsia="zh-CN"/>
        </w:rPr>
        <w:t>7.2.3.2  将涂好油的标准基板马上放在电子天平上称得质量</w:t>
      </w:r>
    </w:p>
    <w:p>
      <w:pPr>
        <w:numPr>
          <w:ilvl w:val="0"/>
          <w:numId w:val="4"/>
        </w:numPr>
        <w:adjustRightInd w:val="0"/>
        <w:snapToGrid w:val="0"/>
        <w:spacing w:line="360" w:lineRule="auto"/>
        <w:ind w:left="0" w:leftChars="0" w:firstLine="420" w:firstLineChars="200"/>
        <w:rPr>
          <w:rFonts w:hint="default" w:ascii="宋体" w:hAnsi="宋体" w:cs="宋体"/>
          <w:bCs/>
          <w:szCs w:val="21"/>
          <w:lang w:val="en-US" w:eastAsia="zh-CN"/>
        </w:rPr>
      </w:pPr>
      <w:r>
        <w:rPr>
          <w:rFonts w:hint="eastAsia" w:ascii="宋体" w:hAnsi="宋体" w:cs="宋体"/>
          <w:bCs/>
          <w:szCs w:val="21"/>
          <w:lang w:val="en-US" w:eastAsia="zh-CN"/>
        </w:rPr>
        <w:t>根据2023年11月预审会的意见</w:t>
      </w:r>
    </w:p>
    <w:p>
      <w:pPr>
        <w:pStyle w:val="25"/>
        <w:bidi w:val="0"/>
        <w:rPr>
          <w:rFonts w:hint="eastAsia" w:hAnsi="宋体" w:cs="宋体"/>
          <w:bCs/>
          <w:szCs w:val="21"/>
          <w:lang w:val="en-US" w:eastAsia="zh-CN"/>
        </w:rPr>
      </w:pPr>
      <w:r>
        <w:rPr>
          <w:rFonts w:hint="eastAsia" w:hAnsi="宋体" w:cs="宋体"/>
          <w:bCs/>
          <w:szCs w:val="21"/>
          <w:lang w:val="en-US" w:eastAsia="zh-CN"/>
        </w:rPr>
        <w:t>将7.1.3.2中</w:t>
      </w:r>
    </w:p>
    <w:p>
      <w:pPr>
        <w:pStyle w:val="25"/>
        <w:bidi w:val="0"/>
        <w:rPr>
          <w:rFonts w:hint="default" w:hAnsi="宋体" w:cs="宋体"/>
          <w:bCs/>
          <w:szCs w:val="21"/>
          <w:lang w:val="en-US" w:eastAsia="zh-CN"/>
        </w:rPr>
      </w:pPr>
      <w:r>
        <w:rPr>
          <w:rFonts w:hint="default" w:hAnsi="宋体" w:cs="宋体"/>
          <w:bCs/>
          <w:szCs w:val="21"/>
          <w:lang w:val="en-US" w:eastAsia="zh-CN"/>
        </w:rPr>
        <w:t>外形常用规格有100 mm×100 mm正方形或70 mm×70 mm正方形，直径100 mm的圆形。</w:t>
      </w:r>
    </w:p>
    <w:p>
      <w:pPr>
        <w:pStyle w:val="25"/>
        <w:bidi w:val="0"/>
        <w:rPr>
          <w:rFonts w:hint="eastAsia" w:hAnsi="宋体" w:cs="宋体"/>
          <w:bCs/>
          <w:szCs w:val="21"/>
          <w:lang w:val="en-US" w:eastAsia="zh-CN"/>
        </w:rPr>
      </w:pPr>
      <w:r>
        <w:rPr>
          <w:rFonts w:hint="eastAsia" w:hAnsi="宋体" w:cs="宋体"/>
          <w:bCs/>
          <w:szCs w:val="21"/>
          <w:lang w:val="en-US" w:eastAsia="zh-CN"/>
        </w:rPr>
        <w:t>修改为：</w:t>
      </w:r>
    </w:p>
    <w:p>
      <w:pPr>
        <w:pStyle w:val="25"/>
        <w:bidi w:val="0"/>
        <w:rPr>
          <w:rFonts w:hint="default" w:hAnsi="宋体" w:cs="宋体"/>
          <w:bCs/>
          <w:szCs w:val="21"/>
          <w:lang w:val="en-US" w:eastAsia="zh-CN"/>
        </w:rPr>
      </w:pPr>
      <w:r>
        <w:rPr>
          <w:rFonts w:hint="default" w:hAnsi="宋体" w:cs="宋体"/>
          <w:bCs/>
          <w:szCs w:val="21"/>
          <w:lang w:val="en-US" w:eastAsia="zh-CN"/>
        </w:rPr>
        <w:t>外形尺寸为100 mm×100 mm正方形。</w:t>
      </w:r>
    </w:p>
    <w:p>
      <w:pPr>
        <w:numPr>
          <w:ilvl w:val="0"/>
          <w:numId w:val="4"/>
        </w:numPr>
        <w:adjustRightInd w:val="0"/>
        <w:snapToGrid w:val="0"/>
        <w:spacing w:line="360" w:lineRule="auto"/>
        <w:ind w:left="0" w:leftChars="0" w:firstLine="420" w:firstLineChars="200"/>
        <w:rPr>
          <w:rFonts w:hint="default" w:hAnsi="宋体" w:cs="宋体"/>
          <w:bCs/>
          <w:szCs w:val="21"/>
          <w:lang w:val="en-US" w:eastAsia="zh-CN"/>
        </w:rPr>
      </w:pPr>
      <w:r>
        <w:rPr>
          <w:rFonts w:hint="default" w:hAnsi="宋体" w:cs="宋体"/>
          <w:bCs/>
          <w:szCs w:val="21"/>
          <w:lang w:val="en-US" w:eastAsia="zh-CN"/>
        </w:rPr>
        <w:t>根据2023年11月预审会的意见</w:t>
      </w:r>
    </w:p>
    <w:p>
      <w:pPr>
        <w:pStyle w:val="25"/>
        <w:bidi w:val="0"/>
        <w:rPr>
          <w:rFonts w:hint="eastAsia" w:hAnsi="宋体" w:cs="宋体"/>
          <w:bCs/>
          <w:szCs w:val="21"/>
          <w:lang w:val="en-US" w:eastAsia="zh-CN"/>
        </w:rPr>
      </w:pPr>
      <w:r>
        <w:rPr>
          <w:rFonts w:hint="eastAsia" w:hAnsi="宋体" w:cs="宋体"/>
          <w:bCs/>
          <w:szCs w:val="21"/>
          <w:lang w:val="en-US" w:eastAsia="zh-CN"/>
        </w:rPr>
        <w:t>将：</w:t>
      </w:r>
    </w:p>
    <w:p>
      <w:pPr>
        <w:pStyle w:val="25"/>
        <w:bidi w:val="0"/>
        <w:rPr>
          <w:rFonts w:hint="eastAsia" w:hAnsi="宋体" w:cs="宋体"/>
          <w:bCs/>
          <w:szCs w:val="21"/>
          <w:lang w:val="en-US" w:eastAsia="zh-CN"/>
        </w:rPr>
      </w:pPr>
      <w:r>
        <w:rPr>
          <w:rFonts w:hint="eastAsia" w:hAnsi="宋体" w:cs="宋体"/>
          <w:bCs/>
          <w:szCs w:val="21"/>
          <w:lang w:val="en-US" w:eastAsia="zh-CN"/>
        </w:rPr>
        <w:t>7.1.5 提前准备好油膜测厚仪内置程序中相应牌号的润滑油，以及无水乙醇、无纺纸、涂油辊等。</w:t>
      </w:r>
    </w:p>
    <w:p>
      <w:pPr>
        <w:pStyle w:val="25"/>
        <w:bidi w:val="0"/>
        <w:rPr>
          <w:rFonts w:hint="eastAsia" w:hAnsi="宋体" w:cs="宋体"/>
          <w:bCs/>
          <w:szCs w:val="21"/>
          <w:lang w:val="en-US" w:eastAsia="zh-CN"/>
        </w:rPr>
      </w:pPr>
      <w:r>
        <w:rPr>
          <w:rFonts w:hint="eastAsia" w:hAnsi="宋体" w:cs="宋体"/>
          <w:bCs/>
          <w:szCs w:val="21"/>
          <w:lang w:val="en-US" w:eastAsia="zh-CN"/>
        </w:rPr>
        <w:t>修改为：</w:t>
      </w:r>
    </w:p>
    <w:p>
      <w:pPr>
        <w:pStyle w:val="25"/>
        <w:bidi w:val="0"/>
        <w:rPr>
          <w:rFonts w:hint="default" w:hAnsi="宋体" w:cs="宋体"/>
          <w:bCs/>
          <w:szCs w:val="21"/>
          <w:lang w:val="en-US" w:eastAsia="zh-CN"/>
        </w:rPr>
      </w:pPr>
      <w:r>
        <w:rPr>
          <w:rFonts w:hint="eastAsia" w:hAnsi="宋体" w:cs="宋体"/>
          <w:bCs/>
          <w:szCs w:val="21"/>
          <w:lang w:val="en-US" w:eastAsia="zh-CN"/>
        </w:rPr>
        <w:t>7.1.5 提前准备好奎克6130润滑油，以及无水乙醇、无纺纸、涂油辊等。</w:t>
      </w:r>
    </w:p>
    <w:p>
      <w:pPr>
        <w:numPr>
          <w:ilvl w:val="0"/>
          <w:numId w:val="4"/>
        </w:numPr>
        <w:adjustRightInd w:val="0"/>
        <w:snapToGrid w:val="0"/>
        <w:spacing w:line="360" w:lineRule="auto"/>
        <w:ind w:left="0" w:leftChars="0" w:firstLine="420" w:firstLineChars="200"/>
        <w:rPr>
          <w:rFonts w:hint="default" w:ascii="宋体" w:hAnsi="宋体" w:cs="宋体"/>
          <w:bCs/>
          <w:szCs w:val="21"/>
          <w:lang w:val="en-US" w:eastAsia="zh-CN"/>
        </w:rPr>
      </w:pPr>
      <w:r>
        <w:rPr>
          <w:rFonts w:hint="eastAsia" w:ascii="宋体" w:hAnsi="宋体" w:cs="宋体"/>
          <w:bCs/>
          <w:szCs w:val="21"/>
          <w:lang w:val="en-US" w:eastAsia="zh-CN"/>
        </w:rPr>
        <w:t>根据2023年11月预审会的意见</w:t>
      </w:r>
    </w:p>
    <w:p>
      <w:pPr>
        <w:pStyle w:val="25"/>
        <w:bidi w:val="0"/>
        <w:rPr>
          <w:rFonts w:hint="default" w:hAnsi="宋体" w:cs="宋体"/>
          <w:bCs/>
          <w:szCs w:val="21"/>
          <w:lang w:val="en-US" w:eastAsia="zh-CN"/>
        </w:rPr>
      </w:pPr>
      <w:r>
        <w:rPr>
          <w:rFonts w:hint="eastAsia" w:hAnsi="宋体" w:cs="宋体"/>
          <w:bCs/>
          <w:szCs w:val="21"/>
          <w:lang w:val="en-US" w:eastAsia="zh-CN"/>
        </w:rPr>
        <w:t>将7.3中：“重复测量6次”修改为“在重复性条件下重复测量6次”</w:t>
      </w:r>
    </w:p>
    <w:p>
      <w:pPr>
        <w:numPr>
          <w:ilvl w:val="0"/>
          <w:numId w:val="4"/>
        </w:numPr>
        <w:adjustRightInd w:val="0"/>
        <w:snapToGrid w:val="0"/>
        <w:spacing w:line="360" w:lineRule="auto"/>
        <w:ind w:left="0" w:leftChars="0" w:firstLine="420" w:firstLineChars="200"/>
        <w:rPr>
          <w:rFonts w:hint="default" w:ascii="宋体" w:hAnsi="宋体" w:cs="宋体"/>
          <w:bCs/>
          <w:szCs w:val="21"/>
          <w:lang w:val="en-US" w:eastAsia="zh-CN"/>
        </w:rPr>
      </w:pPr>
      <w:r>
        <w:rPr>
          <w:rFonts w:hint="eastAsia" w:ascii="宋体" w:hAnsi="宋体" w:cs="宋体"/>
          <w:bCs/>
          <w:szCs w:val="21"/>
          <w:lang w:val="en-US" w:eastAsia="zh-CN"/>
        </w:rPr>
        <w:t>根据2023年11月预审会的意见</w:t>
      </w:r>
    </w:p>
    <w:p>
      <w:pPr>
        <w:pStyle w:val="25"/>
        <w:bidi w:val="0"/>
        <w:rPr>
          <w:rFonts w:hint="default" w:hAnsi="宋体" w:cs="宋体"/>
          <w:bCs/>
          <w:szCs w:val="21"/>
          <w:lang w:val="en-US" w:eastAsia="zh-CN"/>
        </w:rPr>
      </w:pPr>
      <w:r>
        <w:rPr>
          <w:rFonts w:hint="eastAsia" w:hAnsi="宋体" w:cs="宋体"/>
          <w:bCs/>
          <w:szCs w:val="21"/>
          <w:lang w:val="en-US" w:eastAsia="zh-CN"/>
        </w:rPr>
        <w:t>将7.3中：“重复测量6次”修改为“在重复性条件下重复测量6次”</w:t>
      </w:r>
    </w:p>
    <w:p>
      <w:pPr>
        <w:pStyle w:val="25"/>
        <w:bidi w:val="0"/>
        <w:rPr>
          <w:rFonts w:hint="default" w:hAnsi="宋体" w:cs="宋体"/>
          <w:bCs/>
          <w:szCs w:val="21"/>
          <w:lang w:val="en-US" w:eastAsia="zh-CN"/>
        </w:rPr>
      </w:pP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8</w:t>
      </w:r>
      <w:r>
        <w:rPr>
          <w:rFonts w:ascii="黑体" w:hAnsi="宋体" w:eastAsia="黑体"/>
          <w:bCs/>
          <w:szCs w:val="21"/>
          <w:highlight w:val="none"/>
        </w:rPr>
        <w:t xml:space="preserve">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2.9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给出了最长12个月复校时间间隔的建议。但客户可根据使用情况自主决定复校时间间隔。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10</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设置了3个附录，便于校准时参考和规范化。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油膜测厚仪校准记录参考格式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根据7月征求意见稿反馈建议，“油膜含量”改为“油膜厚度”</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油膜测厚仪校准证书内页参考格式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油膜测厚仪示值误差测量结果的不确定度评定举例</w:t>
      </w:r>
    </w:p>
    <w:p>
      <w:pPr>
        <w:adjustRightInd w:val="0"/>
        <w:snapToGrid w:val="0"/>
        <w:spacing w:line="360" w:lineRule="auto"/>
        <w:ind w:firstLine="420" w:firstLineChars="200"/>
        <w:rPr>
          <w:rFonts w:hint="eastAsia" w:ascii="宋体" w:hAnsi="宋体" w:cs="宋体"/>
          <w:bCs/>
          <w:szCs w:val="21"/>
          <w:lang w:val="en-US" w:eastAsia="zh-CN"/>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w:t>
      </w:r>
      <w:r>
        <w:rPr>
          <w:rFonts w:hint="eastAsia" w:ascii="宋体" w:hAnsi="宋体" w:cs="宋体"/>
          <w:bCs/>
          <w:szCs w:val="21"/>
          <w:lang w:val="en-US" w:eastAsia="zh-CN"/>
        </w:rPr>
        <w:t>原附录C的内容放入了校准方法中。</w:t>
      </w:r>
    </w:p>
    <w:p>
      <w:pPr>
        <w:numPr>
          <w:numId w:val="0"/>
        </w:numPr>
        <w:adjustRightInd w:val="0"/>
        <w:snapToGrid w:val="0"/>
        <w:spacing w:line="360" w:lineRule="auto"/>
        <w:ind w:leftChars="200"/>
        <w:rPr>
          <w:rFonts w:hint="default" w:hAnsi="宋体" w:cs="宋体"/>
          <w:bCs/>
          <w:szCs w:val="21"/>
          <w:lang w:val="en-US" w:eastAsia="zh-CN"/>
        </w:rPr>
      </w:pPr>
      <w:r>
        <w:rPr>
          <w:rFonts w:hint="eastAsia" w:ascii="宋体" w:hAnsi="宋体" w:cs="宋体"/>
          <w:bCs/>
          <w:szCs w:val="21"/>
          <w:lang w:val="en-US" w:eastAsia="zh-CN"/>
        </w:rPr>
        <w:t>根据2023年11月预审会的意见：</w:t>
      </w:r>
      <w:r>
        <w:rPr>
          <w:rFonts w:hint="eastAsia" w:hAnsi="宋体" w:cs="宋体"/>
          <w:bCs/>
          <w:szCs w:val="21"/>
          <w:lang w:val="en-US" w:eastAsia="zh-CN"/>
        </w:rPr>
        <w:t>将C.1.1中：“测量范围为（0.2~6）g/m</w:t>
      </w:r>
      <w:r>
        <w:rPr>
          <w:rFonts w:hint="eastAsia" w:hAnsi="宋体" w:cs="宋体"/>
          <w:bCs/>
          <w:szCs w:val="21"/>
          <w:vertAlign w:val="superscript"/>
          <w:lang w:val="en-US" w:eastAsia="zh-CN"/>
        </w:rPr>
        <w:t>2</w:t>
      </w:r>
      <w:r>
        <w:rPr>
          <w:rFonts w:hint="eastAsia" w:hAnsi="宋体" w:cs="宋体"/>
          <w:bCs/>
          <w:szCs w:val="21"/>
          <w:lang w:val="en-US" w:eastAsia="zh-CN"/>
        </w:rPr>
        <w:t>”修改为“测量范围为（200~6000）mg/m</w:t>
      </w:r>
      <w:r>
        <w:rPr>
          <w:rFonts w:hint="eastAsia" w:hAnsi="宋体" w:cs="宋体"/>
          <w:bCs/>
          <w:szCs w:val="21"/>
          <w:vertAlign w:val="superscript"/>
          <w:lang w:val="en-US" w:eastAsia="zh-CN"/>
        </w:rPr>
        <w:t>2</w:t>
      </w:r>
      <w:r>
        <w:rPr>
          <w:rFonts w:hint="eastAsia" w:hAnsi="宋体" w:cs="宋体"/>
          <w:bCs/>
          <w:szCs w:val="21"/>
          <w:lang w:val="en-US" w:eastAsia="zh-CN"/>
        </w:rPr>
        <w:t xml:space="preserve"> ”</w:t>
      </w:r>
    </w:p>
    <w:p>
      <w:pPr>
        <w:adjustRightInd w:val="0"/>
        <w:snapToGrid w:val="0"/>
        <w:spacing w:line="360" w:lineRule="auto"/>
        <w:ind w:firstLine="420" w:firstLineChars="200"/>
        <w:rPr>
          <w:rFonts w:hint="eastAsia"/>
          <w:bCs/>
          <w:highlight w:val="none"/>
          <w:lang w:val="en-US" w:eastAsia="zh-CN"/>
        </w:rPr>
      </w:pP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本规范填补了国内对油膜测厚仪无校准规范的空白，规范对油膜测厚仪计量特性的校准，标准板的制作进行了详细描述，可操作性强，水平达到国内领先。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油膜测厚仪的校准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对油膜测厚仪的评价有了统一标准，能很好地用于指导生产</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油膜测厚仪</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bookmarkStart w:id="0" w:name="_GoBack"/>
      <w:bookmarkEnd w:id="0"/>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3</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12</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20</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75B5"/>
    <w:multiLevelType w:val="singleLevel"/>
    <w:tmpl w:val="8AAB75B5"/>
    <w:lvl w:ilvl="0" w:tentative="0">
      <w:start w:val="1"/>
      <w:numFmt w:val="chineseCounting"/>
      <w:suff w:val="nothing"/>
      <w:lvlText w:val="%1、"/>
      <w:lvlJc w:val="left"/>
      <w:rPr>
        <w:rFonts w:hint="eastAsia"/>
      </w:rPr>
    </w:lvl>
  </w:abstractNum>
  <w:abstractNum w:abstractNumId="1">
    <w:nsid w:val="A130271F"/>
    <w:multiLevelType w:val="singleLevel"/>
    <w:tmpl w:val="A130271F"/>
    <w:lvl w:ilvl="0" w:tentative="0">
      <w:start w:val="2"/>
      <w:numFmt w:val="decimal"/>
      <w:suff w:val="nothing"/>
      <w:lvlText w:val="%1）"/>
      <w:lvlJc w:val="left"/>
    </w:lvl>
  </w:abstractNum>
  <w:abstractNum w:abstractNumId="2">
    <w:nsid w:val="A23CAC45"/>
    <w:multiLevelType w:val="singleLevel"/>
    <w:tmpl w:val="A23CAC45"/>
    <w:lvl w:ilvl="0" w:tentative="0">
      <w:start w:val="1"/>
      <w:numFmt w:val="decimalEnclosedCircleChinese"/>
      <w:suff w:val="nothing"/>
      <w:lvlText w:val="%1　"/>
      <w:lvlJc w:val="left"/>
      <w:pPr>
        <w:ind w:left="0" w:firstLine="400"/>
      </w:pPr>
      <w:rPr>
        <w:rFonts w:hint="eastAsia"/>
      </w:rPr>
    </w:lvl>
  </w:abstractNum>
  <w:abstractNum w:abstractNumId="3">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2B6453E"/>
    <w:rsid w:val="030A4873"/>
    <w:rsid w:val="039906BD"/>
    <w:rsid w:val="052C6AB8"/>
    <w:rsid w:val="054363E9"/>
    <w:rsid w:val="09402D37"/>
    <w:rsid w:val="0C2F7BB8"/>
    <w:rsid w:val="0CC6648D"/>
    <w:rsid w:val="0CEE55A2"/>
    <w:rsid w:val="0DB103FD"/>
    <w:rsid w:val="0DB62202"/>
    <w:rsid w:val="0F046843"/>
    <w:rsid w:val="0F4960E8"/>
    <w:rsid w:val="0FD961E1"/>
    <w:rsid w:val="0FEA0001"/>
    <w:rsid w:val="11580B6C"/>
    <w:rsid w:val="126E7A09"/>
    <w:rsid w:val="14251CC4"/>
    <w:rsid w:val="154C457C"/>
    <w:rsid w:val="163F2D2D"/>
    <w:rsid w:val="168D2F97"/>
    <w:rsid w:val="181878E8"/>
    <w:rsid w:val="185C1918"/>
    <w:rsid w:val="196656B5"/>
    <w:rsid w:val="19D813C6"/>
    <w:rsid w:val="1A7B17FC"/>
    <w:rsid w:val="1B3E222D"/>
    <w:rsid w:val="1DFD3AB5"/>
    <w:rsid w:val="236269FD"/>
    <w:rsid w:val="24500F51"/>
    <w:rsid w:val="2496325D"/>
    <w:rsid w:val="24A16643"/>
    <w:rsid w:val="24EE5A1B"/>
    <w:rsid w:val="264362D5"/>
    <w:rsid w:val="29350BA3"/>
    <w:rsid w:val="2B6A69EA"/>
    <w:rsid w:val="2D086B0C"/>
    <w:rsid w:val="2F3F109E"/>
    <w:rsid w:val="31D30F8D"/>
    <w:rsid w:val="32CF2B4C"/>
    <w:rsid w:val="33A855B9"/>
    <w:rsid w:val="3400143C"/>
    <w:rsid w:val="34915439"/>
    <w:rsid w:val="35740325"/>
    <w:rsid w:val="35C417FD"/>
    <w:rsid w:val="36070A65"/>
    <w:rsid w:val="36294EFF"/>
    <w:rsid w:val="364E60E6"/>
    <w:rsid w:val="366B4F50"/>
    <w:rsid w:val="36814FE8"/>
    <w:rsid w:val="3A6A7A9F"/>
    <w:rsid w:val="3C2D4B77"/>
    <w:rsid w:val="3D540C00"/>
    <w:rsid w:val="3E5137FC"/>
    <w:rsid w:val="3FFB769C"/>
    <w:rsid w:val="424972B2"/>
    <w:rsid w:val="42CD2859"/>
    <w:rsid w:val="46057311"/>
    <w:rsid w:val="461756FA"/>
    <w:rsid w:val="46E43C6C"/>
    <w:rsid w:val="49ED573E"/>
    <w:rsid w:val="4B313C65"/>
    <w:rsid w:val="50F90BE2"/>
    <w:rsid w:val="519E65DF"/>
    <w:rsid w:val="51C34A47"/>
    <w:rsid w:val="55BF234C"/>
    <w:rsid w:val="55CC27F2"/>
    <w:rsid w:val="5689056F"/>
    <w:rsid w:val="57415D20"/>
    <w:rsid w:val="588B31DD"/>
    <w:rsid w:val="5A8913F1"/>
    <w:rsid w:val="5B9F2DFD"/>
    <w:rsid w:val="5BBE3B49"/>
    <w:rsid w:val="5C486802"/>
    <w:rsid w:val="5DD03916"/>
    <w:rsid w:val="5E361946"/>
    <w:rsid w:val="613C71BD"/>
    <w:rsid w:val="61E73D05"/>
    <w:rsid w:val="61EF2482"/>
    <w:rsid w:val="62926F6B"/>
    <w:rsid w:val="62A54666"/>
    <w:rsid w:val="62C244A7"/>
    <w:rsid w:val="635C4B8E"/>
    <w:rsid w:val="645D0E2E"/>
    <w:rsid w:val="66471C44"/>
    <w:rsid w:val="6AD2505B"/>
    <w:rsid w:val="6C0D48EE"/>
    <w:rsid w:val="6C687BC5"/>
    <w:rsid w:val="6C715A3C"/>
    <w:rsid w:val="6D4F6A9B"/>
    <w:rsid w:val="6FE72B43"/>
    <w:rsid w:val="74145A7A"/>
    <w:rsid w:val="75411574"/>
    <w:rsid w:val="76657642"/>
    <w:rsid w:val="77266CAE"/>
    <w:rsid w:val="79985258"/>
    <w:rsid w:val="7A5E69CB"/>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autoRedefine/>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autoRedefine/>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autoRedefine/>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autoRedefine/>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autoRedefine/>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2493</Words>
  <Characters>2728</Characters>
  <Lines>3</Lines>
  <Paragraphs>8</Paragraphs>
  <TotalTime>0</TotalTime>
  <ScaleCrop>false</ScaleCrop>
  <LinksUpToDate>false</LinksUpToDate>
  <CharactersWithSpaces>2763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2023-05-04T07:55:00Z</cp:lastPrinted>
  <dcterms:modified xsi:type="dcterms:W3CDTF">2023-12-25T06:36:31Z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8E4E766673714552879E86823BBA13FC_13</vt:lpwstr>
  </property>
</Properties>
</file>