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8"/>
      </w:pPr>
      <w:bookmarkStart w:id="0" w:name="SectionMark0"/>
      <w:bookmarkStart w:id="1" w:name="SectionMark4"/>
      <w:r>
        <mc:AlternateContent>
          <mc:Choice Requires="wps">
            <w:drawing>
              <wp:anchor distT="0" distB="0" distL="114300" distR="114300" simplePos="0" relativeHeight="251659264"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相控阵超声检测标准试块校准规范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9264;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NJrfr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相控阵超声检测标准试块校准规范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v:textbox>
                <w10:anchorlock/>
              </v:rect>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7"/>
                              <w:spacing w:before="600"/>
                              <w:rPr>
                                <w:rFonts w:ascii="黑体" w:hAnsi="黑体" w:eastAsia="黑体"/>
                                <w:sz w:val="36"/>
                                <w:szCs w:val="36"/>
                              </w:rPr>
                            </w:pPr>
                            <w:r>
                              <w:rPr>
                                <w:rFonts w:hint="eastAsia" w:ascii="黑体" w:hAnsi="黑体" w:eastAsia="黑体"/>
                                <w:sz w:val="36"/>
                                <w:szCs w:val="36"/>
                                <w:lang w:val="en-US" w:eastAsia="zh-CN"/>
                              </w:rPr>
                              <w:t>审定</w:t>
                            </w:r>
                            <w:r>
                              <w:rPr>
                                <w:rFonts w:hint="eastAsia" w:ascii="黑体" w:hAnsi="黑体" w:eastAsia="黑体"/>
                                <w:sz w:val="36"/>
                                <w:szCs w:val="36"/>
                              </w:rPr>
                              <w:t>稿</w:t>
                            </w:r>
                          </w:p>
                          <w:p>
                            <w:pPr>
                              <w:pStyle w:val="67"/>
                              <w:spacing w:before="600"/>
                              <w:rPr>
                                <w:rFonts w:hint="eastAsia" w:ascii="黑体" w:hAnsi="黑体" w:eastAsia="黑体"/>
                                <w:sz w:val="36"/>
                                <w:szCs w:val="36"/>
                                <w:lang w:eastAsia="zh-CN"/>
                              </w:rPr>
                            </w:pPr>
                            <w:r>
                              <w:rPr>
                                <w:rFonts w:hint="eastAsia" w:ascii="黑体" w:hAnsi="黑体" w:eastAsia="黑体"/>
                                <w:sz w:val="36"/>
                                <w:szCs w:val="36"/>
                              </w:rPr>
                              <w:t xml:space="preserve">  20</w:t>
                            </w:r>
                            <w:r>
                              <w:rPr>
                                <w:rFonts w:ascii="黑体" w:hAnsi="黑体" w:eastAsia="黑体"/>
                                <w:sz w:val="36"/>
                                <w:szCs w:val="36"/>
                              </w:rPr>
                              <w:t>2</w:t>
                            </w:r>
                            <w:r>
                              <w:rPr>
                                <w:rFonts w:hint="eastAsia" w:ascii="黑体" w:hAnsi="黑体" w:eastAsia="黑体"/>
                                <w:sz w:val="36"/>
                                <w:szCs w:val="36"/>
                                <w:lang w:val="en-US" w:eastAsia="zh-CN"/>
                              </w:rPr>
                              <w:t>4</w:t>
                            </w:r>
                            <w:r>
                              <w:rPr>
                                <w:rFonts w:hint="eastAsia" w:ascii="黑体" w:hAnsi="黑体" w:eastAsia="黑体"/>
                                <w:sz w:val="36"/>
                                <w:szCs w:val="36"/>
                              </w:rPr>
                              <w:t>-0</w:t>
                            </w:r>
                            <w:r>
                              <w:rPr>
                                <w:rFonts w:hint="eastAsia" w:ascii="黑体" w:hAnsi="黑体" w:eastAsia="黑体"/>
                                <w:sz w:val="36"/>
                                <w:szCs w:val="36"/>
                                <w:lang w:val="en-US" w:eastAsia="zh-CN"/>
                              </w:rPr>
                              <w:t>1</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60288;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qzjsNUAAAAIAQAADwAAAAAAAAABACAAAAAiAAAAZHJzL2Rv&#10;d25yZXYueG1sUEsBAhQAFAAAAAgAh07iQDE7zCDLAQAAkgMAAA4AAAAAAAAAAQAgAAAAJAEAAGRy&#10;cy9lMm9Eb2MueG1sUEsFBgAAAAAGAAYAWQEAAGEFAAAAAA==&#10;">
                <v:fill on="t" focussize="0,0"/>
                <v:stroke on="f"/>
                <v:imagedata o:title=""/>
                <o:lock v:ext="edit" aspectratio="f"/>
                <v:textbox inset="0mm,0mm,0mm,0mm">
                  <w:txbxContent>
                    <w:p>
                      <w:pPr>
                        <w:pStyle w:val="67"/>
                        <w:spacing w:before="600"/>
                        <w:rPr>
                          <w:rFonts w:ascii="黑体" w:hAnsi="黑体" w:eastAsia="黑体"/>
                          <w:sz w:val="36"/>
                          <w:szCs w:val="36"/>
                        </w:rPr>
                      </w:pPr>
                      <w:r>
                        <w:rPr>
                          <w:rFonts w:hint="eastAsia" w:ascii="黑体" w:hAnsi="黑体" w:eastAsia="黑体"/>
                          <w:sz w:val="36"/>
                          <w:szCs w:val="36"/>
                          <w:lang w:val="en-US" w:eastAsia="zh-CN"/>
                        </w:rPr>
                        <w:t>审定</w:t>
                      </w:r>
                      <w:r>
                        <w:rPr>
                          <w:rFonts w:hint="eastAsia" w:ascii="黑体" w:hAnsi="黑体" w:eastAsia="黑体"/>
                          <w:sz w:val="36"/>
                          <w:szCs w:val="36"/>
                        </w:rPr>
                        <w:t>稿</w:t>
                      </w:r>
                    </w:p>
                    <w:p>
                      <w:pPr>
                        <w:pStyle w:val="67"/>
                        <w:spacing w:before="600"/>
                        <w:rPr>
                          <w:rFonts w:hint="eastAsia" w:ascii="黑体" w:hAnsi="黑体" w:eastAsia="黑体"/>
                          <w:sz w:val="36"/>
                          <w:szCs w:val="36"/>
                          <w:lang w:eastAsia="zh-CN"/>
                        </w:rPr>
                      </w:pPr>
                      <w:r>
                        <w:rPr>
                          <w:rFonts w:hint="eastAsia" w:ascii="黑体" w:hAnsi="黑体" w:eastAsia="黑体"/>
                          <w:sz w:val="36"/>
                          <w:szCs w:val="36"/>
                        </w:rPr>
                        <w:t xml:space="preserve">  20</w:t>
                      </w:r>
                      <w:r>
                        <w:rPr>
                          <w:rFonts w:ascii="黑体" w:hAnsi="黑体" w:eastAsia="黑体"/>
                          <w:sz w:val="36"/>
                          <w:szCs w:val="36"/>
                        </w:rPr>
                        <w:t>2</w:t>
                      </w:r>
                      <w:r>
                        <w:rPr>
                          <w:rFonts w:hint="eastAsia" w:ascii="黑体" w:hAnsi="黑体" w:eastAsia="黑体"/>
                          <w:sz w:val="36"/>
                          <w:szCs w:val="36"/>
                          <w:lang w:val="en-US" w:eastAsia="zh-CN"/>
                        </w:rPr>
                        <w:t>4</w:t>
                      </w:r>
                      <w:r>
                        <w:rPr>
                          <w:rFonts w:hint="eastAsia" w:ascii="黑体" w:hAnsi="黑体" w:eastAsia="黑体"/>
                          <w:sz w:val="36"/>
                          <w:szCs w:val="36"/>
                        </w:rPr>
                        <w:t>-0</w:t>
                      </w:r>
                      <w:r>
                        <w:rPr>
                          <w:rFonts w:hint="eastAsia" w:ascii="黑体" w:hAnsi="黑体" w:eastAsia="黑体"/>
                          <w:sz w:val="36"/>
                          <w:szCs w:val="36"/>
                          <w:lang w:val="en-US" w:eastAsia="zh-CN"/>
                        </w:rPr>
                        <w:t>1</w:t>
                      </w:r>
                    </w:p>
                  </w:txbxContent>
                </v:textbox>
                <w10:anchorlock/>
              </v:rect>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5"/>
                              <w:rPr>
                                <w:rFonts w:hAnsi="黑体" w:cs="黑体"/>
                                <w:sz w:val="44"/>
                                <w:szCs w:val="44"/>
                              </w:rPr>
                            </w:pPr>
                            <w:bookmarkStart w:id="80"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80"/>
                          <w:p>
                            <w:pPr>
                              <w:pStyle w:val="75"/>
                              <w:rPr>
                                <w:rFonts w:hAnsi="黑体" w:cs="黑体"/>
                                <w:szCs w:val="52"/>
                              </w:rPr>
                            </w:pPr>
                            <w:r>
                              <w:rPr>
                                <w:rFonts w:hint="eastAsia" w:hAnsi="黑体" w:cs="黑体"/>
                                <w:szCs w:val="52"/>
                              </w:rPr>
                              <w:t>相控阵超声检测标准试块校准规范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61312;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kYo3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pPr>
                        <w:pStyle w:val="75"/>
                        <w:rPr>
                          <w:rFonts w:hAnsi="黑体" w:cs="黑体"/>
                          <w:sz w:val="44"/>
                          <w:szCs w:val="44"/>
                        </w:rPr>
                      </w:pPr>
                      <w:bookmarkStart w:id="80" w:name="_Hlk23687263"/>
                      <w:r>
                        <w:rPr>
                          <w:rFonts w:hint="eastAsia" w:hAnsi="黑体" w:cs="黑体"/>
                          <w:sz w:val="44"/>
                          <w:szCs w:val="44"/>
                        </w:rPr>
                        <w:t xml:space="preserve"> 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80"/>
                    <w:p>
                      <w:pPr>
                        <w:pStyle w:val="75"/>
                        <w:rPr>
                          <w:rFonts w:hAnsi="黑体" w:cs="黑体"/>
                          <w:szCs w:val="52"/>
                        </w:rPr>
                      </w:pPr>
                      <w:r>
                        <w:rPr>
                          <w:rFonts w:hint="eastAsia" w:hAnsi="黑体" w:cs="黑体"/>
                          <w:szCs w:val="52"/>
                        </w:rPr>
                        <w:t>相控阵超声检测标准试块校准规范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2"/>
        <w:numPr>
          <w:ilvl w:val="0"/>
          <w:numId w:val="0"/>
        </w:numPr>
        <w:ind w:left="840" w:hanging="420"/>
        <w:jc w:val="center"/>
        <w:rPr>
          <w:b/>
        </w:rPr>
      </w:pPr>
    </w:p>
    <w:p>
      <w:pPr>
        <w:pStyle w:val="58"/>
        <w:ind w:firstLine="420"/>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4"/>
        <w:numPr>
          <w:ilvl w:val="0"/>
          <w:numId w:val="11"/>
        </w:numPr>
        <w:tabs>
          <w:tab w:val="left" w:pos="426"/>
        </w:tabs>
        <w:spacing w:before="312" w:beforeLines="100" w:after="312" w:afterLines="100"/>
        <w:ind w:left="420" w:hangingChars="200"/>
        <w:jc w:val="left"/>
      </w:pPr>
      <w:bookmarkStart w:id="2" w:name="_Toc464728891"/>
      <w:r>
        <w:rPr>
          <w:rFonts w:hint="eastAsia"/>
        </w:rPr>
        <w:t>工作简况</w:t>
      </w:r>
      <w:bookmarkEnd w:id="2"/>
    </w:p>
    <w:p>
      <w:pPr>
        <w:pStyle w:val="61"/>
        <w:numPr>
          <w:ilvl w:val="0"/>
          <w:numId w:val="0"/>
        </w:numPr>
        <w:spacing w:before="156" w:after="156" w:line="300" w:lineRule="auto"/>
        <w:contextualSpacing/>
      </w:pPr>
      <w:bookmarkStart w:id="3" w:name="_Toc456592524"/>
      <w:bookmarkStart w:id="4" w:name="_Toc464728892"/>
      <w:r>
        <w:rPr>
          <w:rFonts w:hint="eastAsia"/>
        </w:rPr>
        <w:t>1.立项目的</w:t>
      </w:r>
      <w:bookmarkEnd w:id="3"/>
      <w:bookmarkEnd w:id="4"/>
    </w:p>
    <w:p>
      <w:pPr>
        <w:spacing w:line="300" w:lineRule="auto"/>
        <w:ind w:firstLine="420" w:firstLineChars="200"/>
      </w:pPr>
      <w:bookmarkStart w:id="5" w:name="_Toc464728896"/>
      <w:r>
        <w:rPr>
          <w:rFonts w:hint="eastAsia"/>
        </w:rPr>
        <w:t>随着电子技术和计算机技术的不断革新，相控阵超声技术在工业无损检测领域发展迅速。为了保证检测结果的准确性、再现性和重复性，需要使用已知固定特性的试块对其检测系统进行校准和评定。</w:t>
      </w:r>
    </w:p>
    <w:p>
      <w:pPr>
        <w:spacing w:line="300" w:lineRule="auto"/>
        <w:ind w:firstLine="420" w:firstLineChars="200"/>
      </w:pPr>
      <w:r>
        <w:rPr>
          <w:rFonts w:hint="eastAsia"/>
        </w:rPr>
        <w:t>相控阵校准试块是按一定用途设计制作的几何体，其几何形状和参考反射体尺寸（孔、槽或圆弧等）用于评定和校准相控阵超声检测设备、调节超声检测设备的幅度和（或）时间分度。因而校准试块的准确性对于超声检测结果具有非常重要的意义。</w:t>
      </w:r>
    </w:p>
    <w:p>
      <w:pPr>
        <w:spacing w:line="300" w:lineRule="auto"/>
        <w:ind w:firstLine="420" w:firstLineChars="200"/>
      </w:pPr>
      <w:r>
        <w:rPr>
          <w:rFonts w:hint="eastAsia"/>
        </w:rPr>
        <w:t>本校准规范的制定，能够规范行业内相控阵试块校准方法，促进相控阵试块在相控阵超声探伤领域中得到更合理更准确的应用，确保相控阵超声探伤仪检测结果的准确性以及可信度。促进工业产品的安全性、可靠性得到保证。</w:t>
      </w:r>
    </w:p>
    <w:p>
      <w:pPr>
        <w:pStyle w:val="61"/>
        <w:numPr>
          <w:ilvl w:val="0"/>
          <w:numId w:val="0"/>
        </w:numPr>
        <w:spacing w:before="156" w:after="156" w:line="300" w:lineRule="auto"/>
        <w:contextualSpacing/>
      </w:pPr>
      <w:r>
        <w:rPr>
          <w:rFonts w:hint="eastAsia"/>
        </w:rPr>
        <w:t>2.任务来源</w:t>
      </w:r>
      <w:bookmarkEnd w:id="5"/>
    </w:p>
    <w:p>
      <w:pPr>
        <w:spacing w:line="300" w:lineRule="auto"/>
        <w:ind w:firstLine="420" w:firstLineChars="200"/>
        <w:contextualSpacing/>
        <w:jc w:val="left"/>
        <w:rPr>
          <w:szCs w:val="21"/>
        </w:rPr>
      </w:pPr>
      <w:r>
        <w:rPr>
          <w:rFonts w:hint="eastAsia"/>
          <w:szCs w:val="21"/>
        </w:rPr>
        <w:t>为保证用于校准超声波相控阵探伤仪校准试块的量值准确、可靠，适应我国有色金属行业的快速发展和满足国内外市场的需要，工业和信息化部以工信厅下达了《工业和信息化部办公厅关于印发2021年行业计量技术规范制修订计划的通知》</w:t>
      </w:r>
      <w:r>
        <w:rPr>
          <w:rFonts w:hint="eastAsia" w:hAnsi="宋体"/>
          <w:bCs/>
          <w:szCs w:val="21"/>
        </w:rPr>
        <w:t>（工信厅科函［</w:t>
      </w:r>
      <w:r>
        <w:rPr>
          <w:rFonts w:hAnsi="宋体"/>
          <w:bCs/>
          <w:szCs w:val="21"/>
        </w:rPr>
        <w:t>20</w:t>
      </w:r>
      <w:r>
        <w:rPr>
          <w:rFonts w:hint="eastAsia" w:hAnsi="宋体"/>
          <w:bCs/>
          <w:szCs w:val="21"/>
        </w:rPr>
        <w:t>21］181号）</w:t>
      </w:r>
      <w:r>
        <w:rPr>
          <w:rFonts w:hint="eastAsia"/>
          <w:szCs w:val="21"/>
        </w:rPr>
        <w:t>，其计划项目代号为：JJFZ(有色金属)015-2022，计划完成年限为2023年。</w:t>
      </w:r>
      <w:r>
        <w:rPr>
          <w:rFonts w:hint="eastAsia" w:asciiTheme="minorEastAsia" w:hAnsiTheme="minorEastAsia" w:eastAsiaTheme="minorEastAsia"/>
          <w:sz w:val="24"/>
        </w:rPr>
        <w:t xml:space="preserve"> </w:t>
      </w:r>
    </w:p>
    <w:p>
      <w:pPr>
        <w:pStyle w:val="61"/>
        <w:numPr>
          <w:ilvl w:val="0"/>
          <w:numId w:val="0"/>
        </w:numPr>
        <w:spacing w:before="156" w:after="156" w:line="300" w:lineRule="auto"/>
        <w:contextualSpacing/>
      </w:pPr>
      <w:bookmarkStart w:id="6" w:name="_Toc464728898"/>
      <w:bookmarkStart w:id="7" w:name="_Toc462884342"/>
      <w:r>
        <w:rPr>
          <w:rFonts w:hint="eastAsia"/>
        </w:rPr>
        <w:t>3.项目编制组单位简况</w:t>
      </w:r>
      <w:bookmarkEnd w:id="6"/>
      <w:bookmarkEnd w:id="7"/>
      <w:r>
        <w:rPr>
          <w:rFonts w:hint="eastAsia"/>
        </w:rPr>
        <w:t xml:space="preserve">      </w:t>
      </w:r>
    </w:p>
    <w:p>
      <w:pPr>
        <w:pStyle w:val="60"/>
        <w:numPr>
          <w:ilvl w:val="0"/>
          <w:numId w:val="0"/>
        </w:numPr>
        <w:spacing w:before="156" w:beforeLines="50" w:after="156" w:afterLines="50" w:line="240" w:lineRule="auto"/>
        <w:rPr>
          <w:color w:val="auto"/>
        </w:rPr>
      </w:pPr>
      <w:bookmarkStart w:id="8" w:name="_Toc462884343"/>
      <w:bookmarkStart w:id="9" w:name="_Toc464728899"/>
      <w:r>
        <w:rPr>
          <w:rFonts w:hint="eastAsia"/>
          <w:color w:val="auto"/>
        </w:rPr>
        <w:t>3.1编制组成员单位</w:t>
      </w:r>
      <w:bookmarkEnd w:id="8"/>
      <w:bookmarkEnd w:id="9"/>
    </w:p>
    <w:p>
      <w:pPr>
        <w:widowControl/>
        <w:autoSpaceDE w:val="0"/>
        <w:autoSpaceDN w:val="0"/>
        <w:spacing w:line="360" w:lineRule="auto"/>
        <w:ind w:firstLine="420" w:firstLineChars="200"/>
        <w:rPr>
          <w:szCs w:val="21"/>
        </w:rPr>
      </w:pPr>
      <w:bookmarkStart w:id="10" w:name="_Toc464728900"/>
      <w:bookmarkStart w:id="11" w:name="_Toc462884344"/>
      <w:r>
        <w:rPr>
          <w:rFonts w:hint="eastAsia"/>
          <w:szCs w:val="21"/>
        </w:rPr>
        <w:t>本规范的编制组单位为：西安汉唐分析检测有限公司。</w:t>
      </w:r>
    </w:p>
    <w:bookmarkEnd w:id="10"/>
    <w:bookmarkEnd w:id="11"/>
    <w:p>
      <w:pPr>
        <w:pStyle w:val="60"/>
        <w:numPr>
          <w:ilvl w:val="0"/>
          <w:numId w:val="0"/>
        </w:numPr>
        <w:spacing w:before="156" w:beforeLines="50" w:after="156" w:afterLines="50"/>
        <w:contextualSpacing/>
        <w:rPr>
          <w:rFonts w:hAnsi="黑体"/>
          <w:color w:val="auto"/>
        </w:rPr>
      </w:pPr>
      <w:r>
        <w:rPr>
          <w:rFonts w:hint="eastAsia" w:hAnsi="黑体"/>
          <w:color w:val="auto"/>
        </w:rPr>
        <w:t>3.2主编单位简介</w:t>
      </w:r>
    </w:p>
    <w:p>
      <w:pPr>
        <w:pStyle w:val="59"/>
        <w:numPr>
          <w:ilvl w:val="0"/>
          <w:numId w:val="0"/>
        </w:numPr>
        <w:spacing w:before="156" w:beforeLines="50" w:after="156" w:afterLines="50"/>
        <w:contextualSpacing/>
        <w:rPr>
          <w:color w:val="auto"/>
        </w:rPr>
      </w:pPr>
      <w:r>
        <w:rPr>
          <w:rFonts w:hint="eastAsia"/>
          <w:color w:val="auto"/>
        </w:rPr>
        <w:t>3.2.1西安汉唐分析检测有限公司</w:t>
      </w:r>
    </w:p>
    <w:p>
      <w:pPr>
        <w:spacing w:line="360" w:lineRule="auto"/>
        <w:ind w:firstLine="420" w:firstLineChars="200"/>
        <w:rPr>
          <w:szCs w:val="21"/>
        </w:rPr>
      </w:pPr>
      <w:r>
        <w:rPr>
          <w:rFonts w:hint="eastAsia"/>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w:t>
      </w:r>
    </w:p>
    <w:p>
      <w:pPr>
        <w:spacing w:line="360" w:lineRule="auto"/>
        <w:ind w:firstLine="420" w:firstLineChars="200"/>
        <w:rPr>
          <w:szCs w:val="21"/>
        </w:rPr>
      </w:pPr>
      <w:r>
        <w:rPr>
          <w:rFonts w:hint="eastAsia"/>
          <w:szCs w:val="21"/>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pPr>
        <w:spacing w:line="360" w:lineRule="auto"/>
        <w:ind w:firstLine="420" w:firstLineChars="200"/>
        <w:rPr>
          <w:szCs w:val="21"/>
        </w:rPr>
      </w:pPr>
      <w:r>
        <w:rPr>
          <w:rFonts w:hint="eastAsia"/>
          <w:szCs w:val="21"/>
        </w:rPr>
        <w:t>近10年起草有色金属国家/行业规范共80余项、发表论文120余篇、授权专利30余项。先后荣获中国有色金属工业一等奖、二等奖20余次。</w:t>
      </w:r>
    </w:p>
    <w:p>
      <w:pPr>
        <w:spacing w:line="360" w:lineRule="auto"/>
        <w:ind w:firstLine="420" w:firstLineChars="200"/>
        <w:contextualSpacing/>
        <w:jc w:val="left"/>
        <w:rPr>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pPr>
        <w:pStyle w:val="60"/>
        <w:numPr>
          <w:ilvl w:val="0"/>
          <w:numId w:val="0"/>
        </w:numPr>
        <w:spacing w:before="156" w:beforeLines="50" w:after="156" w:afterLines="50" w:line="240" w:lineRule="auto"/>
        <w:rPr>
          <w:color w:val="auto"/>
        </w:rPr>
      </w:pPr>
      <w:bookmarkStart w:id="12" w:name="_Toc464728901"/>
      <w:bookmarkStart w:id="13" w:name="_Toc462884345"/>
      <w:r>
        <w:rPr>
          <w:rFonts w:hint="eastAsia"/>
          <w:color w:val="auto"/>
        </w:rPr>
        <w:t>3.3成员单位简介</w:t>
      </w:r>
      <w:bookmarkEnd w:id="12"/>
      <w:bookmarkEnd w:id="13"/>
    </w:p>
    <w:p>
      <w:pPr>
        <w:pStyle w:val="61"/>
        <w:numPr>
          <w:ilvl w:val="0"/>
          <w:numId w:val="0"/>
        </w:numPr>
        <w:spacing w:before="156" w:after="156" w:line="300" w:lineRule="auto"/>
        <w:contextualSpacing/>
        <w:rPr>
          <w:color w:val="auto"/>
        </w:rPr>
      </w:pPr>
      <w:bookmarkStart w:id="14" w:name="_Toc462884357"/>
      <w:bookmarkStart w:id="15" w:name="_Toc464728913"/>
      <w:r>
        <w:rPr>
          <w:rFonts w:hint="eastAsia"/>
          <w:color w:val="auto"/>
        </w:rPr>
        <w:t>4.主要工作过程</w:t>
      </w:r>
      <w:bookmarkEnd w:id="14"/>
      <w:bookmarkEnd w:id="15"/>
    </w:p>
    <w:p>
      <w:pPr>
        <w:spacing w:line="360" w:lineRule="auto"/>
        <w:ind w:firstLine="420" w:firstLineChars="200"/>
        <w:rPr>
          <w:bCs/>
          <w:color w:val="auto"/>
        </w:rPr>
      </w:pPr>
      <w:bookmarkStart w:id="16" w:name="_Toc464728924"/>
      <w:r>
        <w:rPr>
          <w:rFonts w:hint="eastAsia"/>
          <w:bCs/>
          <w:color w:val="auto"/>
        </w:rPr>
        <w:t>西安汉唐分析检测有限公司接到有色金属行业计量技术委员会转发下达的制定任务后，成立了计量规范编制组，对计量技术规范编写工作进行了部署和分工，制定了制定原则及计划工作。</w:t>
      </w:r>
    </w:p>
    <w:p>
      <w:pPr>
        <w:spacing w:line="360" w:lineRule="auto"/>
        <w:ind w:firstLine="420" w:firstLineChars="200"/>
        <w:rPr>
          <w:bCs/>
          <w:color w:val="auto"/>
        </w:rPr>
      </w:pPr>
      <w:r>
        <w:rPr>
          <w:rFonts w:hint="eastAsia"/>
          <w:bCs/>
          <w:color w:val="auto"/>
        </w:rPr>
        <w:t>2022年11月成立了计量规范编制组，明确编制组成员各自的工作内容及任务，对被校对象的使用单位进行了校准需求调研，收集相关资料。</w:t>
      </w:r>
    </w:p>
    <w:p>
      <w:pPr>
        <w:spacing w:line="360" w:lineRule="auto"/>
        <w:ind w:firstLine="420" w:firstLineChars="200"/>
        <w:rPr>
          <w:bCs/>
          <w:color w:val="auto"/>
        </w:rPr>
      </w:pPr>
      <w:r>
        <w:rPr>
          <w:rFonts w:hint="eastAsia"/>
          <w:bCs/>
          <w:color w:val="auto"/>
        </w:rPr>
        <w:t>2022年12月~2023年4月编制组成员对校准规范中的计量特性及校准方法进行了讨论，确定了校准项目及方法，对关键技术指标提出了修改意见最终行成初稿。</w:t>
      </w:r>
    </w:p>
    <w:p>
      <w:pPr>
        <w:spacing w:line="360" w:lineRule="auto"/>
        <w:ind w:firstLine="420" w:firstLineChars="200"/>
        <w:rPr>
          <w:bCs/>
          <w:color w:val="auto"/>
        </w:rPr>
      </w:pPr>
      <w:r>
        <w:rPr>
          <w:rFonts w:hint="eastAsia"/>
          <w:bCs/>
          <w:color w:val="auto"/>
        </w:rPr>
        <w:t>2023年</w:t>
      </w:r>
      <w:r>
        <w:rPr>
          <w:rFonts w:hint="eastAsia"/>
          <w:bCs/>
          <w:color w:val="auto"/>
          <w:lang w:val="en-US" w:eastAsia="zh-CN"/>
        </w:rPr>
        <w:t>9</w:t>
      </w:r>
      <w:r>
        <w:rPr>
          <w:rFonts w:hint="eastAsia"/>
          <w:bCs/>
          <w:color w:val="auto"/>
        </w:rPr>
        <w:t>月，编制组依据讨论会上提出修改意见，具体意见内容见表1。</w:t>
      </w:r>
    </w:p>
    <w:p>
      <w:pPr>
        <w:pStyle w:val="35"/>
        <w:jc w:val="center"/>
        <w:rPr>
          <w:color w:val="auto"/>
          <w:sz w:val="18"/>
          <w:szCs w:val="18"/>
        </w:rPr>
      </w:pPr>
      <w:r>
        <w:rPr>
          <w:rFonts w:hint="eastAsia"/>
          <w:color w:val="auto"/>
          <w:sz w:val="18"/>
          <w:szCs w:val="18"/>
        </w:rPr>
        <w:t>表1 有色金属计量技术规范研讨会会议纪要</w:t>
      </w:r>
    </w:p>
    <w:tbl>
      <w:tblPr>
        <w:tblStyle w:val="41"/>
        <w:tblW w:w="47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025"/>
        <w:gridCol w:w="4426"/>
        <w:gridCol w:w="1411"/>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4" w:type="dxa"/>
            <w:gridSpan w:val="2"/>
            <w:shd w:val="clear" w:color="auto" w:fill="auto"/>
            <w:noWrap/>
            <w:vAlign w:val="center"/>
          </w:tcPr>
          <w:p>
            <w:pPr>
              <w:spacing w:line="360" w:lineRule="auto"/>
              <w:rPr>
                <w:bCs/>
                <w:color w:val="auto"/>
              </w:rPr>
            </w:pPr>
            <w:r>
              <w:rPr>
                <w:rFonts w:hint="eastAsia"/>
                <w:bCs/>
                <w:color w:val="auto"/>
              </w:rPr>
              <w:t>参会单位及人员</w:t>
            </w:r>
          </w:p>
        </w:tc>
        <w:tc>
          <w:tcPr>
            <w:tcW w:w="7257" w:type="dxa"/>
            <w:gridSpan w:val="3"/>
            <w:shd w:val="clear" w:color="auto" w:fill="auto"/>
            <w:noWrap/>
            <w:vAlign w:val="center"/>
          </w:tcPr>
          <w:p>
            <w:pPr>
              <w:spacing w:line="360" w:lineRule="auto"/>
              <w:ind w:firstLine="420" w:firstLineChars="200"/>
              <w:jc w:val="center"/>
              <w:rPr>
                <w:bCs/>
                <w:color w:val="auto"/>
              </w:rPr>
            </w:pPr>
            <w:r>
              <w:rPr>
                <w:rFonts w:hint="eastAsia"/>
                <w:bCs/>
                <w:color w:val="auto"/>
              </w:rPr>
              <w:t>见会议签到表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4" w:type="dxa"/>
            <w:gridSpan w:val="2"/>
            <w:shd w:val="clear" w:color="auto" w:fill="auto"/>
            <w:noWrap/>
            <w:vAlign w:val="center"/>
          </w:tcPr>
          <w:p>
            <w:pPr>
              <w:spacing w:line="360" w:lineRule="auto"/>
              <w:rPr>
                <w:bCs/>
                <w:color w:val="auto"/>
              </w:rPr>
            </w:pPr>
            <w:r>
              <w:rPr>
                <w:rFonts w:hint="eastAsia"/>
                <w:bCs/>
                <w:color w:val="auto"/>
              </w:rPr>
              <w:t>拟参与编制单位、一验二验单位</w:t>
            </w:r>
          </w:p>
        </w:tc>
        <w:tc>
          <w:tcPr>
            <w:tcW w:w="7257" w:type="dxa"/>
            <w:gridSpan w:val="3"/>
            <w:shd w:val="clear" w:color="auto" w:fill="auto"/>
            <w:noWrap/>
            <w:vAlign w:val="center"/>
          </w:tcPr>
          <w:p>
            <w:pPr>
              <w:spacing w:line="360" w:lineRule="auto"/>
              <w:ind w:firstLine="420" w:firstLineChars="200"/>
              <w:rPr>
                <w:rFonts w:hint="eastAsia"/>
                <w:bCs/>
                <w:color w:val="auto"/>
              </w:rPr>
            </w:pPr>
            <w:r>
              <w:rPr>
                <w:rFonts w:hint="eastAsia"/>
                <w:bCs/>
                <w:color w:val="auto"/>
              </w:rPr>
              <w:t>拟参：西部钛业有限责任公司、陕西天成航空材料有限公司、西安超晶科技股份有限公司、湖南湘投金天钛业科技股份有限公司、西安天力金属复合材料股份有限公司、宝钛集团有限公司质量部、新疆湘润新材料科技有限公司、洛阳航辉新材料有限公司等</w:t>
            </w:r>
          </w:p>
          <w:p>
            <w:pPr>
              <w:spacing w:line="360" w:lineRule="auto"/>
              <w:ind w:firstLine="420" w:firstLineChars="200"/>
              <w:rPr>
                <w:rFonts w:hint="eastAsia"/>
                <w:bCs/>
                <w:color w:val="auto"/>
              </w:rPr>
            </w:pPr>
            <w:r>
              <w:rPr>
                <w:rFonts w:hint="eastAsia"/>
                <w:bCs/>
                <w:color w:val="auto"/>
              </w:rPr>
              <w:t>一验：东北轻合金有限责任公司</w:t>
            </w:r>
          </w:p>
          <w:p>
            <w:pPr>
              <w:spacing w:line="360" w:lineRule="auto"/>
              <w:ind w:firstLine="420" w:firstLineChars="200"/>
              <w:rPr>
                <w:bCs/>
                <w:color w:val="auto"/>
              </w:rPr>
            </w:pPr>
            <w:r>
              <w:rPr>
                <w:rFonts w:hint="eastAsia"/>
                <w:bCs/>
                <w:color w:val="auto"/>
              </w:rPr>
              <w:t>二验：国标（北京）检验认证有限公司、西南铝业（集团）有限责任公司、新疆湘润新材料科技有限公司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4" w:type="dxa"/>
            <w:gridSpan w:val="2"/>
            <w:shd w:val="clear" w:color="auto" w:fill="auto"/>
            <w:noWrap/>
            <w:vAlign w:val="center"/>
          </w:tcPr>
          <w:p>
            <w:pPr>
              <w:spacing w:line="360" w:lineRule="auto"/>
              <w:rPr>
                <w:bCs/>
                <w:color w:val="auto"/>
              </w:rPr>
            </w:pPr>
            <w:r>
              <w:rPr>
                <w:rFonts w:hint="eastAsia"/>
                <w:bCs/>
                <w:color w:val="auto"/>
              </w:rPr>
              <w:t>时间节点安排</w:t>
            </w:r>
          </w:p>
        </w:tc>
        <w:tc>
          <w:tcPr>
            <w:tcW w:w="7257" w:type="dxa"/>
            <w:gridSpan w:val="3"/>
            <w:shd w:val="clear" w:color="auto" w:fill="auto"/>
            <w:noWrap/>
            <w:vAlign w:val="center"/>
          </w:tcPr>
          <w:p>
            <w:pPr>
              <w:spacing w:line="360" w:lineRule="auto"/>
              <w:ind w:firstLine="420" w:firstLineChars="200"/>
              <w:rPr>
                <w:rFonts w:hint="eastAsia"/>
                <w:bCs/>
                <w:color w:val="auto"/>
              </w:rPr>
            </w:pPr>
            <w:r>
              <w:rPr>
                <w:rFonts w:hint="eastAsia"/>
                <w:bCs/>
                <w:color w:val="auto"/>
                <w:lang w:val="en-US" w:eastAsia="zh-CN"/>
              </w:rPr>
              <w:t>2023年</w:t>
            </w:r>
            <w:r>
              <w:rPr>
                <w:rFonts w:hint="eastAsia"/>
                <w:bCs/>
                <w:color w:val="auto"/>
              </w:rPr>
              <w:t>5月31日前完成征求意见稿；</w:t>
            </w:r>
          </w:p>
          <w:p>
            <w:pPr>
              <w:spacing w:line="360" w:lineRule="auto"/>
              <w:ind w:firstLine="420" w:firstLineChars="200"/>
              <w:rPr>
                <w:rFonts w:hint="eastAsia"/>
                <w:bCs/>
                <w:color w:val="auto"/>
                <w:lang w:eastAsia="zh-CN"/>
              </w:rPr>
            </w:pPr>
            <w:r>
              <w:rPr>
                <w:rFonts w:hint="eastAsia"/>
                <w:bCs/>
                <w:color w:val="auto"/>
                <w:lang w:val="en-US" w:eastAsia="zh-CN"/>
              </w:rPr>
              <w:t>2023年</w:t>
            </w:r>
            <w:r>
              <w:rPr>
                <w:rFonts w:hint="eastAsia"/>
                <w:bCs/>
                <w:color w:val="auto"/>
              </w:rPr>
              <w:t>6月30日征求意见</w:t>
            </w:r>
            <w:r>
              <w:rPr>
                <w:rFonts w:hint="eastAsia"/>
                <w:bCs/>
                <w:color w:val="auto"/>
                <w:lang w:eastAsia="zh-CN"/>
              </w:rPr>
              <w:t>；</w:t>
            </w:r>
          </w:p>
          <w:p>
            <w:pPr>
              <w:spacing w:line="360" w:lineRule="auto"/>
              <w:ind w:firstLine="420" w:firstLineChars="200"/>
              <w:rPr>
                <w:rFonts w:hint="default"/>
                <w:bCs/>
                <w:color w:val="auto"/>
                <w:lang w:val="en-US" w:eastAsia="zh-CN"/>
              </w:rPr>
            </w:pPr>
            <w:r>
              <w:rPr>
                <w:rFonts w:hint="eastAsia"/>
                <w:bCs/>
                <w:color w:val="auto"/>
                <w:lang w:val="en-US" w:eastAsia="zh-CN"/>
              </w:rPr>
              <w:t>2023年</w:t>
            </w:r>
            <w:bookmarkStart w:id="81" w:name="_GoBack"/>
            <w:bookmarkEnd w:id="81"/>
            <w:r>
              <w:rPr>
                <w:rFonts w:hint="eastAsia"/>
                <w:bCs/>
                <w:color w:val="auto"/>
                <w:lang w:val="en-US" w:eastAsia="zh-CN"/>
              </w:rPr>
              <w:t>9月20日预审；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9" w:type="dxa"/>
            <w:shd w:val="clear" w:color="auto" w:fill="auto"/>
            <w:noWrap/>
            <w:vAlign w:val="center"/>
          </w:tcPr>
          <w:p>
            <w:pPr>
              <w:spacing w:line="360" w:lineRule="auto"/>
              <w:rPr>
                <w:bCs/>
                <w:color w:val="auto"/>
              </w:rPr>
            </w:pPr>
            <w:r>
              <w:rPr>
                <w:rFonts w:hint="eastAsia"/>
                <w:bCs/>
                <w:color w:val="auto"/>
              </w:rPr>
              <w:t>序号</w:t>
            </w:r>
          </w:p>
        </w:tc>
        <w:tc>
          <w:tcPr>
            <w:tcW w:w="1025" w:type="dxa"/>
            <w:shd w:val="clear" w:color="auto" w:fill="auto"/>
            <w:vAlign w:val="center"/>
          </w:tcPr>
          <w:p>
            <w:pPr>
              <w:spacing w:line="360" w:lineRule="auto"/>
              <w:rPr>
                <w:bCs/>
                <w:color w:val="auto"/>
              </w:rPr>
            </w:pPr>
            <w:r>
              <w:rPr>
                <w:rFonts w:hint="eastAsia"/>
                <w:bCs/>
                <w:color w:val="auto"/>
              </w:rPr>
              <w:t>标准章条编号</w:t>
            </w:r>
          </w:p>
        </w:tc>
        <w:tc>
          <w:tcPr>
            <w:tcW w:w="4426" w:type="dxa"/>
            <w:shd w:val="clear" w:color="auto" w:fill="auto"/>
            <w:noWrap/>
            <w:vAlign w:val="center"/>
          </w:tcPr>
          <w:p>
            <w:pPr>
              <w:spacing w:line="360" w:lineRule="auto"/>
              <w:ind w:firstLine="420" w:firstLineChars="200"/>
              <w:rPr>
                <w:bCs/>
                <w:color w:val="auto"/>
              </w:rPr>
            </w:pPr>
            <w:r>
              <w:rPr>
                <w:rFonts w:hint="eastAsia"/>
                <w:bCs/>
                <w:color w:val="auto"/>
              </w:rPr>
              <w:t>意见内容</w:t>
            </w:r>
          </w:p>
        </w:tc>
        <w:tc>
          <w:tcPr>
            <w:tcW w:w="1411" w:type="dxa"/>
            <w:shd w:val="clear" w:color="auto" w:fill="auto"/>
            <w:noWrap/>
            <w:vAlign w:val="center"/>
          </w:tcPr>
          <w:p>
            <w:pPr>
              <w:spacing w:line="360" w:lineRule="auto"/>
              <w:rPr>
                <w:bCs/>
                <w:color w:val="auto"/>
              </w:rPr>
            </w:pPr>
            <w:r>
              <w:rPr>
                <w:rFonts w:hint="eastAsia"/>
                <w:bCs/>
                <w:color w:val="auto"/>
              </w:rPr>
              <w:t>提出单位及提出人（可简写）</w:t>
            </w:r>
          </w:p>
        </w:tc>
        <w:tc>
          <w:tcPr>
            <w:tcW w:w="1420" w:type="dxa"/>
            <w:shd w:val="clear" w:color="auto" w:fill="auto"/>
            <w:noWrap/>
            <w:vAlign w:val="center"/>
          </w:tcPr>
          <w:p>
            <w:pPr>
              <w:spacing w:line="360" w:lineRule="auto"/>
              <w:rPr>
                <w:bCs/>
                <w:color w:val="auto"/>
              </w:rPr>
            </w:pPr>
            <w:r>
              <w:rPr>
                <w:rFonts w:hint="eastAsia"/>
                <w:bCs/>
                <w:color w:val="auto"/>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9" w:type="dxa"/>
            <w:shd w:val="clear" w:color="auto" w:fill="auto"/>
            <w:noWrap/>
            <w:vAlign w:val="center"/>
          </w:tcPr>
          <w:p>
            <w:pPr>
              <w:pStyle w:val="302"/>
              <w:widowControl/>
              <w:numPr>
                <w:ilvl w:val="0"/>
                <w:numId w:val="12"/>
              </w:numPr>
              <w:ind w:firstLineChars="0"/>
              <w:jc w:val="center"/>
              <w:rPr>
                <w:bCs/>
                <w:color w:val="auto"/>
              </w:rPr>
            </w:pPr>
          </w:p>
        </w:tc>
        <w:tc>
          <w:tcPr>
            <w:tcW w:w="1025" w:type="dxa"/>
            <w:shd w:val="clear" w:color="auto" w:fill="auto"/>
            <w:noWrap/>
            <w:vAlign w:val="center"/>
          </w:tcPr>
          <w:p>
            <w:pPr>
              <w:widowControl/>
              <w:jc w:val="left"/>
              <w:rPr>
                <w:bCs/>
                <w:color w:val="auto"/>
              </w:rPr>
            </w:pPr>
            <w:r>
              <w:rPr>
                <w:rFonts w:hint="eastAsia"/>
                <w:color w:val="auto"/>
                <w:kern w:val="0"/>
                <w:sz w:val="24"/>
              </w:rPr>
              <w:t>1..引言</w:t>
            </w:r>
          </w:p>
        </w:tc>
        <w:tc>
          <w:tcPr>
            <w:tcW w:w="4426" w:type="dxa"/>
            <w:shd w:val="clear" w:color="auto" w:fill="auto"/>
            <w:noWrap/>
            <w:vAlign w:val="center"/>
          </w:tcPr>
          <w:p>
            <w:pPr>
              <w:widowControl/>
              <w:jc w:val="left"/>
              <w:rPr>
                <w:bCs/>
                <w:color w:val="auto"/>
              </w:rPr>
            </w:pPr>
            <w:r>
              <w:rPr>
                <w:color w:val="auto"/>
                <w:kern w:val="0"/>
                <w:sz w:val="24"/>
              </w:rPr>
              <w:t>将参考文献都放入到引言部分</w:t>
            </w:r>
            <w:r>
              <w:rPr>
                <w:rFonts w:hint="eastAsia"/>
                <w:color w:val="auto"/>
                <w:kern w:val="0"/>
                <w:sz w:val="24"/>
              </w:rPr>
              <w:t>。</w:t>
            </w:r>
          </w:p>
        </w:tc>
        <w:tc>
          <w:tcPr>
            <w:tcW w:w="1411" w:type="dxa"/>
            <w:shd w:val="clear" w:color="auto" w:fill="auto"/>
            <w:noWrap/>
            <w:vAlign w:val="center"/>
          </w:tcPr>
          <w:p>
            <w:pPr>
              <w:widowControl/>
              <w:jc w:val="left"/>
              <w:rPr>
                <w:bCs/>
                <w:color w:val="auto"/>
              </w:rPr>
            </w:pPr>
            <w:r>
              <w:rPr>
                <w:color w:val="auto"/>
                <w:kern w:val="0"/>
                <w:sz w:val="24"/>
              </w:rPr>
              <w:t>西部钛业</w:t>
            </w:r>
          </w:p>
        </w:tc>
        <w:tc>
          <w:tcPr>
            <w:tcW w:w="1420" w:type="dxa"/>
            <w:shd w:val="clear" w:color="auto" w:fill="auto"/>
            <w:noWrap/>
            <w:vAlign w:val="center"/>
          </w:tcPr>
          <w:p>
            <w:pPr>
              <w:widowControl/>
              <w:jc w:val="left"/>
              <w:rPr>
                <w:bCs/>
                <w:color w:val="auto"/>
              </w:rPr>
            </w:pPr>
            <w:r>
              <w:rPr>
                <w:color w:val="auto"/>
                <w:kern w:val="0"/>
                <w:sz w:val="24"/>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9" w:type="dxa"/>
            <w:shd w:val="clear" w:color="auto" w:fill="auto"/>
            <w:noWrap/>
            <w:vAlign w:val="center"/>
          </w:tcPr>
          <w:p>
            <w:pPr>
              <w:pStyle w:val="302"/>
              <w:widowControl/>
              <w:numPr>
                <w:ilvl w:val="0"/>
                <w:numId w:val="12"/>
              </w:numPr>
              <w:ind w:firstLineChars="0"/>
              <w:jc w:val="center"/>
              <w:rPr>
                <w:bCs/>
                <w:color w:val="auto"/>
              </w:rPr>
            </w:pPr>
          </w:p>
        </w:tc>
        <w:tc>
          <w:tcPr>
            <w:tcW w:w="1025" w:type="dxa"/>
            <w:shd w:val="clear" w:color="auto" w:fill="auto"/>
            <w:noWrap/>
            <w:vAlign w:val="center"/>
          </w:tcPr>
          <w:p>
            <w:pPr>
              <w:widowControl/>
              <w:jc w:val="left"/>
              <w:rPr>
                <w:bCs/>
                <w:color w:val="auto"/>
              </w:rPr>
            </w:pPr>
            <w:r>
              <w:rPr>
                <w:rFonts w:hint="eastAsia"/>
                <w:color w:val="auto"/>
                <w:kern w:val="0"/>
                <w:sz w:val="24"/>
              </w:rPr>
              <w:t>4.1几何尺寸测量误差</w:t>
            </w:r>
          </w:p>
        </w:tc>
        <w:tc>
          <w:tcPr>
            <w:tcW w:w="4426" w:type="dxa"/>
            <w:shd w:val="clear" w:color="auto" w:fill="auto"/>
            <w:noWrap/>
            <w:vAlign w:val="center"/>
          </w:tcPr>
          <w:p>
            <w:pPr>
              <w:widowControl/>
              <w:jc w:val="left"/>
              <w:rPr>
                <w:bCs/>
                <w:color w:val="auto"/>
              </w:rPr>
            </w:pPr>
            <w:r>
              <w:rPr>
                <w:rFonts w:hint="eastAsia"/>
                <w:color w:val="auto"/>
                <w:kern w:val="0"/>
                <w:sz w:val="24"/>
              </w:rPr>
              <w:t>“4.1”字体设置为新罗马。</w:t>
            </w:r>
          </w:p>
        </w:tc>
        <w:tc>
          <w:tcPr>
            <w:tcW w:w="1411" w:type="dxa"/>
            <w:shd w:val="clear" w:color="auto" w:fill="auto"/>
            <w:noWrap/>
            <w:vAlign w:val="center"/>
          </w:tcPr>
          <w:p>
            <w:pPr>
              <w:widowControl/>
              <w:jc w:val="left"/>
              <w:rPr>
                <w:bCs/>
                <w:color w:val="auto"/>
              </w:rPr>
            </w:pPr>
            <w:r>
              <w:rPr>
                <w:color w:val="auto"/>
                <w:kern w:val="0"/>
                <w:sz w:val="24"/>
              </w:rPr>
              <w:t>陕西天成</w:t>
            </w:r>
          </w:p>
        </w:tc>
        <w:tc>
          <w:tcPr>
            <w:tcW w:w="1420" w:type="dxa"/>
            <w:shd w:val="clear" w:color="auto" w:fill="auto"/>
            <w:noWrap/>
            <w:vAlign w:val="center"/>
          </w:tcPr>
          <w:p>
            <w:pPr>
              <w:widowControl/>
              <w:jc w:val="left"/>
              <w:rPr>
                <w:bCs/>
                <w:color w:val="auto"/>
              </w:rPr>
            </w:pPr>
            <w:r>
              <w:rPr>
                <w:color w:val="auto"/>
                <w:kern w:val="0"/>
                <w:sz w:val="24"/>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9" w:type="dxa"/>
            <w:shd w:val="clear" w:color="auto" w:fill="auto"/>
            <w:noWrap/>
            <w:vAlign w:val="center"/>
          </w:tcPr>
          <w:p>
            <w:pPr>
              <w:pStyle w:val="302"/>
              <w:widowControl/>
              <w:numPr>
                <w:ilvl w:val="0"/>
                <w:numId w:val="12"/>
              </w:numPr>
              <w:ind w:firstLineChars="0"/>
              <w:jc w:val="center"/>
              <w:rPr>
                <w:bCs/>
                <w:color w:val="auto"/>
              </w:rPr>
            </w:pPr>
          </w:p>
        </w:tc>
        <w:tc>
          <w:tcPr>
            <w:tcW w:w="1025" w:type="dxa"/>
            <w:shd w:val="clear" w:color="auto" w:fill="auto"/>
            <w:noWrap/>
            <w:vAlign w:val="center"/>
          </w:tcPr>
          <w:p>
            <w:pPr>
              <w:widowControl/>
              <w:jc w:val="left"/>
              <w:rPr>
                <w:bCs/>
                <w:color w:val="auto"/>
              </w:rPr>
            </w:pPr>
            <w:r>
              <w:rPr>
                <w:rFonts w:hint="eastAsia"/>
                <w:color w:val="auto"/>
                <w:kern w:val="0"/>
                <w:sz w:val="24"/>
              </w:rPr>
              <w:t>4.2平面度</w:t>
            </w:r>
          </w:p>
        </w:tc>
        <w:tc>
          <w:tcPr>
            <w:tcW w:w="4426" w:type="dxa"/>
            <w:shd w:val="clear" w:color="auto" w:fill="auto"/>
            <w:noWrap/>
            <w:vAlign w:val="center"/>
          </w:tcPr>
          <w:p>
            <w:pPr>
              <w:widowControl/>
              <w:jc w:val="left"/>
              <w:rPr>
                <w:bCs/>
                <w:color w:val="auto"/>
              </w:rPr>
            </w:pPr>
            <w:r>
              <w:rPr>
                <w:rFonts w:hint="eastAsia"/>
                <w:color w:val="auto"/>
                <w:kern w:val="0"/>
                <w:sz w:val="24"/>
              </w:rPr>
              <w:t>4.2平面度标题与下一行间距过大</w:t>
            </w:r>
          </w:p>
        </w:tc>
        <w:tc>
          <w:tcPr>
            <w:tcW w:w="1411" w:type="dxa"/>
            <w:shd w:val="clear" w:color="auto" w:fill="auto"/>
            <w:noWrap/>
            <w:vAlign w:val="center"/>
          </w:tcPr>
          <w:p>
            <w:pPr>
              <w:widowControl/>
              <w:jc w:val="left"/>
              <w:rPr>
                <w:bCs/>
                <w:color w:val="auto"/>
              </w:rPr>
            </w:pPr>
            <w:r>
              <w:rPr>
                <w:color w:val="auto"/>
                <w:kern w:val="0"/>
                <w:sz w:val="24"/>
              </w:rPr>
              <w:t>陕西天成</w:t>
            </w:r>
          </w:p>
        </w:tc>
        <w:tc>
          <w:tcPr>
            <w:tcW w:w="1420" w:type="dxa"/>
            <w:shd w:val="clear" w:color="auto" w:fill="auto"/>
            <w:noWrap/>
            <w:vAlign w:val="center"/>
          </w:tcPr>
          <w:p>
            <w:pPr>
              <w:widowControl/>
              <w:jc w:val="left"/>
              <w:rPr>
                <w:bCs/>
                <w:color w:val="auto"/>
              </w:rPr>
            </w:pPr>
            <w:r>
              <w:rPr>
                <w:color w:val="auto"/>
                <w:kern w:val="0"/>
                <w:sz w:val="24"/>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9" w:type="dxa"/>
            <w:shd w:val="clear" w:color="auto" w:fill="auto"/>
            <w:noWrap/>
            <w:vAlign w:val="center"/>
          </w:tcPr>
          <w:p>
            <w:pPr>
              <w:pStyle w:val="302"/>
              <w:widowControl/>
              <w:numPr>
                <w:ilvl w:val="0"/>
                <w:numId w:val="12"/>
              </w:numPr>
              <w:ind w:firstLineChars="0"/>
              <w:jc w:val="center"/>
              <w:rPr>
                <w:bCs/>
                <w:color w:val="auto"/>
              </w:rPr>
            </w:pPr>
          </w:p>
        </w:tc>
        <w:tc>
          <w:tcPr>
            <w:tcW w:w="1025" w:type="dxa"/>
            <w:shd w:val="clear" w:color="auto" w:fill="auto"/>
            <w:noWrap/>
            <w:vAlign w:val="center"/>
          </w:tcPr>
          <w:p>
            <w:pPr>
              <w:widowControl/>
              <w:jc w:val="left"/>
              <w:rPr>
                <w:bCs/>
                <w:color w:val="auto"/>
              </w:rPr>
            </w:pPr>
            <w:r>
              <w:rPr>
                <w:rFonts w:hint="eastAsia"/>
                <w:color w:val="auto"/>
                <w:kern w:val="0"/>
                <w:sz w:val="24"/>
              </w:rPr>
              <w:t>5.2测量标准及其他设备</w:t>
            </w:r>
          </w:p>
        </w:tc>
        <w:tc>
          <w:tcPr>
            <w:tcW w:w="4426" w:type="dxa"/>
            <w:shd w:val="clear" w:color="auto" w:fill="auto"/>
            <w:noWrap/>
            <w:vAlign w:val="center"/>
          </w:tcPr>
          <w:p>
            <w:pPr>
              <w:widowControl/>
              <w:jc w:val="left"/>
              <w:rPr>
                <w:bCs/>
                <w:color w:val="auto"/>
              </w:rPr>
            </w:pPr>
            <w:r>
              <w:rPr>
                <w:color w:val="auto"/>
                <w:kern w:val="0"/>
                <w:sz w:val="24"/>
              </w:rPr>
              <w:t>将表</w:t>
            </w:r>
            <w:r>
              <w:rPr>
                <w:rFonts w:hint="eastAsia"/>
                <w:color w:val="auto"/>
                <w:kern w:val="0"/>
                <w:sz w:val="24"/>
              </w:rPr>
              <w:t>1中的MPE均改为MPEV；在表1下面加上标注，解释表1中MPEV和L的意思；将表1中游标卡尺MPEV改为0.03mm；表一中千分尺MPEV改为：数显式MPEV＝3μm，机械式MPEV=5μm；</w:t>
            </w:r>
          </w:p>
        </w:tc>
        <w:tc>
          <w:tcPr>
            <w:tcW w:w="1411" w:type="dxa"/>
            <w:shd w:val="clear" w:color="auto" w:fill="auto"/>
            <w:noWrap/>
            <w:vAlign w:val="center"/>
          </w:tcPr>
          <w:p>
            <w:pPr>
              <w:widowControl/>
              <w:jc w:val="left"/>
              <w:rPr>
                <w:bCs/>
                <w:color w:val="auto"/>
              </w:rPr>
            </w:pPr>
            <w:r>
              <w:rPr>
                <w:color w:val="auto"/>
                <w:kern w:val="0"/>
                <w:sz w:val="24"/>
              </w:rPr>
              <w:t>南山铝</w:t>
            </w:r>
          </w:p>
        </w:tc>
        <w:tc>
          <w:tcPr>
            <w:tcW w:w="1420" w:type="dxa"/>
            <w:shd w:val="clear" w:color="auto" w:fill="auto"/>
            <w:noWrap/>
            <w:vAlign w:val="center"/>
          </w:tcPr>
          <w:p>
            <w:pPr>
              <w:widowControl/>
              <w:jc w:val="left"/>
              <w:rPr>
                <w:bCs/>
                <w:color w:val="auto"/>
              </w:rPr>
            </w:pPr>
            <w:r>
              <w:rPr>
                <w:color w:val="auto"/>
                <w:kern w:val="0"/>
                <w:sz w:val="24"/>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9" w:type="dxa"/>
            <w:shd w:val="clear" w:color="auto" w:fill="auto"/>
            <w:noWrap/>
            <w:vAlign w:val="center"/>
          </w:tcPr>
          <w:p>
            <w:pPr>
              <w:pStyle w:val="302"/>
              <w:widowControl/>
              <w:numPr>
                <w:ilvl w:val="0"/>
                <w:numId w:val="12"/>
              </w:numPr>
              <w:ind w:firstLineChars="0"/>
              <w:jc w:val="center"/>
              <w:rPr>
                <w:bCs/>
                <w:color w:val="auto"/>
              </w:rPr>
            </w:pPr>
          </w:p>
        </w:tc>
        <w:tc>
          <w:tcPr>
            <w:tcW w:w="1025" w:type="dxa"/>
            <w:shd w:val="clear" w:color="auto" w:fill="auto"/>
            <w:noWrap/>
            <w:vAlign w:val="center"/>
          </w:tcPr>
          <w:p>
            <w:pPr>
              <w:widowControl/>
              <w:jc w:val="left"/>
              <w:rPr>
                <w:bCs/>
                <w:color w:val="auto"/>
              </w:rPr>
            </w:pPr>
            <w:r>
              <w:rPr>
                <w:rFonts w:hint="eastAsia"/>
                <w:color w:val="auto"/>
                <w:kern w:val="0"/>
                <w:sz w:val="24"/>
              </w:rPr>
              <w:t>6.2几何尺寸误差测量</w:t>
            </w:r>
          </w:p>
        </w:tc>
        <w:tc>
          <w:tcPr>
            <w:tcW w:w="4426" w:type="dxa"/>
            <w:shd w:val="clear" w:color="auto" w:fill="auto"/>
            <w:noWrap/>
            <w:vAlign w:val="center"/>
          </w:tcPr>
          <w:p>
            <w:pPr>
              <w:widowControl/>
              <w:jc w:val="left"/>
              <w:rPr>
                <w:bCs/>
                <w:color w:val="auto"/>
              </w:rPr>
            </w:pPr>
            <w:r>
              <w:rPr>
                <w:color w:val="auto"/>
                <w:kern w:val="0"/>
                <w:sz w:val="24"/>
              </w:rPr>
              <w:t>建议增加在测量过程中</w:t>
            </w:r>
            <w:r>
              <w:rPr>
                <w:rFonts w:hint="eastAsia"/>
                <w:color w:val="auto"/>
                <w:kern w:val="0"/>
                <w:sz w:val="24"/>
              </w:rPr>
              <w:t>，</w:t>
            </w:r>
            <w:r>
              <w:rPr>
                <w:color w:val="auto"/>
                <w:kern w:val="0"/>
                <w:sz w:val="24"/>
              </w:rPr>
              <w:t>沿试块边长方向分别取边长的三个等分点作为测量试块垂直于边长方向的尺寸</w:t>
            </w:r>
            <w:r>
              <w:rPr>
                <w:rFonts w:hint="eastAsia"/>
                <w:color w:val="auto"/>
                <w:kern w:val="0"/>
                <w:sz w:val="24"/>
              </w:rPr>
              <w:t>，将三次测量取得的平均值作为垂直于取点的边长方向的长度。</w:t>
            </w:r>
          </w:p>
        </w:tc>
        <w:tc>
          <w:tcPr>
            <w:tcW w:w="1411" w:type="dxa"/>
            <w:shd w:val="clear" w:color="auto" w:fill="auto"/>
            <w:noWrap/>
            <w:vAlign w:val="center"/>
          </w:tcPr>
          <w:p>
            <w:pPr>
              <w:widowControl/>
              <w:jc w:val="left"/>
              <w:rPr>
                <w:bCs/>
                <w:color w:val="auto"/>
              </w:rPr>
            </w:pPr>
            <w:r>
              <w:rPr>
                <w:rFonts w:hint="eastAsia"/>
                <w:color w:val="auto"/>
                <w:kern w:val="0"/>
                <w:sz w:val="24"/>
              </w:rPr>
              <w:t>南山铝</w:t>
            </w:r>
          </w:p>
        </w:tc>
        <w:tc>
          <w:tcPr>
            <w:tcW w:w="1420" w:type="dxa"/>
            <w:shd w:val="clear" w:color="auto" w:fill="auto"/>
            <w:noWrap/>
            <w:vAlign w:val="center"/>
          </w:tcPr>
          <w:p>
            <w:pPr>
              <w:widowControl/>
              <w:jc w:val="left"/>
              <w:rPr>
                <w:bCs/>
                <w:color w:val="auto"/>
              </w:rPr>
            </w:pPr>
            <w:r>
              <w:rPr>
                <w:color w:val="auto"/>
                <w:kern w:val="0"/>
                <w:sz w:val="24"/>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39" w:type="dxa"/>
            <w:shd w:val="clear" w:color="auto" w:fill="auto"/>
            <w:noWrap/>
            <w:vAlign w:val="center"/>
          </w:tcPr>
          <w:p>
            <w:pPr>
              <w:pStyle w:val="302"/>
              <w:widowControl/>
              <w:numPr>
                <w:ilvl w:val="0"/>
                <w:numId w:val="12"/>
              </w:numPr>
              <w:ind w:firstLineChars="0"/>
              <w:jc w:val="center"/>
              <w:rPr>
                <w:bCs/>
                <w:color w:val="auto"/>
              </w:rPr>
            </w:pPr>
          </w:p>
        </w:tc>
        <w:tc>
          <w:tcPr>
            <w:tcW w:w="1025" w:type="dxa"/>
            <w:shd w:val="clear" w:color="auto" w:fill="auto"/>
            <w:noWrap/>
            <w:vAlign w:val="center"/>
          </w:tcPr>
          <w:p>
            <w:pPr>
              <w:widowControl/>
              <w:tabs>
                <w:tab w:val="center" w:pos="684"/>
              </w:tabs>
              <w:jc w:val="left"/>
              <w:rPr>
                <w:bCs/>
                <w:color w:val="auto"/>
              </w:rPr>
            </w:pPr>
            <w:r>
              <w:rPr>
                <w:rFonts w:hint="eastAsia"/>
                <w:color w:val="auto"/>
                <w:kern w:val="0"/>
                <w:sz w:val="24"/>
              </w:rPr>
              <w:t>6.2.2孔、槽尺寸</w:t>
            </w:r>
          </w:p>
        </w:tc>
        <w:tc>
          <w:tcPr>
            <w:tcW w:w="4426" w:type="dxa"/>
            <w:shd w:val="clear" w:color="auto" w:fill="auto"/>
            <w:noWrap/>
            <w:vAlign w:val="center"/>
          </w:tcPr>
          <w:p>
            <w:pPr>
              <w:widowControl/>
              <w:jc w:val="left"/>
              <w:rPr>
                <w:bCs/>
                <w:color w:val="auto"/>
              </w:rPr>
            </w:pPr>
            <w:r>
              <w:rPr>
                <w:color w:val="auto"/>
                <w:kern w:val="0"/>
                <w:sz w:val="24"/>
              </w:rPr>
              <w:t>在</w:t>
            </w:r>
            <w:r>
              <w:rPr>
                <w:rFonts w:hint="eastAsia"/>
                <w:color w:val="auto"/>
                <w:kern w:val="0"/>
                <w:sz w:val="24"/>
              </w:rPr>
              <w:t>6.2.2.1方法中加入“以第一次测量位置为起始位置，将试块沿被测孔轴线方向旋转120°、240°后再次测量，取三次测量平均值作为最终测得值。”</w:t>
            </w:r>
          </w:p>
        </w:tc>
        <w:tc>
          <w:tcPr>
            <w:tcW w:w="1411" w:type="dxa"/>
            <w:shd w:val="clear" w:color="auto" w:fill="auto"/>
            <w:noWrap/>
            <w:vAlign w:val="center"/>
          </w:tcPr>
          <w:p>
            <w:pPr>
              <w:widowControl/>
              <w:jc w:val="left"/>
              <w:rPr>
                <w:bCs/>
                <w:color w:val="auto"/>
              </w:rPr>
            </w:pPr>
            <w:r>
              <w:rPr>
                <w:color w:val="auto"/>
                <w:kern w:val="0"/>
                <w:sz w:val="24"/>
              </w:rPr>
              <w:t>南山铝</w:t>
            </w:r>
          </w:p>
        </w:tc>
        <w:tc>
          <w:tcPr>
            <w:tcW w:w="1420" w:type="dxa"/>
            <w:shd w:val="clear" w:color="auto" w:fill="auto"/>
            <w:noWrap/>
            <w:vAlign w:val="center"/>
          </w:tcPr>
          <w:p>
            <w:pPr>
              <w:widowControl/>
              <w:jc w:val="left"/>
              <w:rPr>
                <w:bCs/>
                <w:color w:val="auto"/>
              </w:rPr>
            </w:pPr>
            <w:r>
              <w:rPr>
                <w:color w:val="auto"/>
                <w:kern w:val="0"/>
                <w:sz w:val="24"/>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9" w:type="dxa"/>
            <w:shd w:val="clear" w:color="auto" w:fill="auto"/>
            <w:noWrap/>
            <w:vAlign w:val="center"/>
          </w:tcPr>
          <w:p>
            <w:pPr>
              <w:pStyle w:val="302"/>
              <w:widowControl/>
              <w:numPr>
                <w:ilvl w:val="0"/>
                <w:numId w:val="12"/>
              </w:numPr>
              <w:ind w:firstLineChars="0"/>
              <w:jc w:val="center"/>
              <w:rPr>
                <w:bCs/>
                <w:color w:val="auto"/>
              </w:rPr>
            </w:pPr>
          </w:p>
        </w:tc>
        <w:tc>
          <w:tcPr>
            <w:tcW w:w="1025" w:type="dxa"/>
            <w:shd w:val="clear" w:color="auto" w:fill="auto"/>
            <w:noWrap/>
            <w:vAlign w:val="center"/>
          </w:tcPr>
          <w:p>
            <w:pPr>
              <w:widowControl/>
              <w:jc w:val="left"/>
              <w:rPr>
                <w:bCs/>
                <w:color w:val="auto"/>
              </w:rPr>
            </w:pPr>
            <w:r>
              <w:rPr>
                <w:rFonts w:hint="eastAsia"/>
                <w:color w:val="auto"/>
                <w:kern w:val="0"/>
                <w:sz w:val="24"/>
              </w:rPr>
              <w:t>6.5.1纵波速度测量</w:t>
            </w:r>
          </w:p>
        </w:tc>
        <w:tc>
          <w:tcPr>
            <w:tcW w:w="4426" w:type="dxa"/>
            <w:shd w:val="clear" w:color="auto" w:fill="auto"/>
            <w:noWrap/>
            <w:vAlign w:val="center"/>
          </w:tcPr>
          <w:p>
            <w:pPr>
              <w:widowControl/>
              <w:jc w:val="left"/>
              <w:rPr>
                <w:bCs/>
                <w:color w:val="auto"/>
              </w:rPr>
            </w:pPr>
            <w:r>
              <w:rPr>
                <w:color w:val="auto"/>
                <w:kern w:val="0"/>
                <w:sz w:val="24"/>
              </w:rPr>
              <w:t>将方法二中速度计算公式用字母表示</w:t>
            </w:r>
            <w:r>
              <w:rPr>
                <w:rFonts w:hint="eastAsia"/>
                <w:color w:val="auto"/>
                <w:kern w:val="0"/>
                <w:sz w:val="24"/>
              </w:rPr>
              <w:t>。</w:t>
            </w:r>
          </w:p>
        </w:tc>
        <w:tc>
          <w:tcPr>
            <w:tcW w:w="1411" w:type="dxa"/>
            <w:shd w:val="clear" w:color="auto" w:fill="auto"/>
            <w:noWrap/>
            <w:vAlign w:val="center"/>
          </w:tcPr>
          <w:p>
            <w:pPr>
              <w:widowControl/>
              <w:jc w:val="left"/>
              <w:rPr>
                <w:bCs/>
                <w:color w:val="auto"/>
              </w:rPr>
            </w:pPr>
            <w:r>
              <w:rPr>
                <w:color w:val="auto"/>
                <w:kern w:val="0"/>
                <w:sz w:val="24"/>
              </w:rPr>
              <w:t>西南铝</w:t>
            </w:r>
          </w:p>
        </w:tc>
        <w:tc>
          <w:tcPr>
            <w:tcW w:w="1420" w:type="dxa"/>
            <w:shd w:val="clear" w:color="auto" w:fill="auto"/>
            <w:noWrap/>
            <w:vAlign w:val="center"/>
          </w:tcPr>
          <w:p>
            <w:pPr>
              <w:widowControl/>
              <w:jc w:val="left"/>
              <w:rPr>
                <w:bCs/>
                <w:color w:val="auto"/>
              </w:rPr>
            </w:pPr>
            <w:r>
              <w:rPr>
                <w:color w:val="auto"/>
                <w:kern w:val="0"/>
                <w:sz w:val="24"/>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9" w:type="dxa"/>
            <w:shd w:val="clear" w:color="auto" w:fill="auto"/>
            <w:noWrap/>
            <w:vAlign w:val="center"/>
          </w:tcPr>
          <w:p>
            <w:pPr>
              <w:pStyle w:val="302"/>
              <w:widowControl/>
              <w:numPr>
                <w:ilvl w:val="0"/>
                <w:numId w:val="12"/>
              </w:numPr>
              <w:ind w:firstLineChars="0"/>
              <w:jc w:val="center"/>
              <w:rPr>
                <w:bCs/>
                <w:color w:val="auto"/>
              </w:rPr>
            </w:pPr>
          </w:p>
        </w:tc>
        <w:tc>
          <w:tcPr>
            <w:tcW w:w="1025" w:type="dxa"/>
            <w:shd w:val="clear" w:color="auto" w:fill="auto"/>
            <w:noWrap/>
            <w:vAlign w:val="center"/>
          </w:tcPr>
          <w:p>
            <w:pPr>
              <w:widowControl/>
              <w:jc w:val="left"/>
              <w:rPr>
                <w:bCs/>
                <w:color w:val="auto"/>
              </w:rPr>
            </w:pPr>
            <w:r>
              <w:rPr>
                <w:color w:val="auto"/>
                <w:kern w:val="0"/>
                <w:sz w:val="24"/>
              </w:rPr>
              <w:t>附录</w:t>
            </w:r>
            <w:r>
              <w:rPr>
                <w:rFonts w:hint="eastAsia"/>
                <w:color w:val="auto"/>
                <w:kern w:val="0"/>
                <w:sz w:val="24"/>
              </w:rPr>
              <w:t>C.2.3</w:t>
            </w:r>
          </w:p>
        </w:tc>
        <w:tc>
          <w:tcPr>
            <w:tcW w:w="4426" w:type="dxa"/>
            <w:shd w:val="clear" w:color="auto" w:fill="auto"/>
            <w:noWrap/>
            <w:vAlign w:val="center"/>
          </w:tcPr>
          <w:p>
            <w:pPr>
              <w:widowControl/>
              <w:jc w:val="left"/>
              <w:rPr>
                <w:bCs/>
                <w:color w:val="auto"/>
              </w:rPr>
            </w:pPr>
            <w:r>
              <w:rPr>
                <w:rFonts w:hint="eastAsia"/>
                <w:color w:val="auto"/>
                <w:kern w:val="0"/>
                <w:sz w:val="24"/>
              </w:rPr>
              <w:t>“</w:t>
            </w:r>
            <w:r>
              <w:rPr>
                <w:color w:val="auto"/>
                <w:kern w:val="0"/>
                <w:sz w:val="24"/>
              </w:rPr>
              <w:t>…平衡时间</w:t>
            </w:r>
            <w:r>
              <w:rPr>
                <w:rFonts w:hint="eastAsia"/>
                <w:color w:val="auto"/>
                <w:kern w:val="0"/>
                <w:sz w:val="24"/>
              </w:rPr>
              <w:t>4小时”改为 “</w:t>
            </w:r>
            <w:r>
              <w:rPr>
                <w:color w:val="auto"/>
                <w:kern w:val="0"/>
                <w:sz w:val="24"/>
              </w:rPr>
              <w:t>…</w:t>
            </w:r>
            <w:r>
              <w:rPr>
                <w:rFonts w:hint="eastAsia"/>
                <w:color w:val="auto"/>
                <w:kern w:val="0"/>
                <w:sz w:val="24"/>
              </w:rPr>
              <w:t>平衡时间不小于4小时”</w:t>
            </w:r>
          </w:p>
        </w:tc>
        <w:tc>
          <w:tcPr>
            <w:tcW w:w="1411" w:type="dxa"/>
            <w:shd w:val="clear" w:color="auto" w:fill="auto"/>
            <w:noWrap/>
            <w:vAlign w:val="center"/>
          </w:tcPr>
          <w:p>
            <w:pPr>
              <w:widowControl/>
              <w:jc w:val="left"/>
              <w:rPr>
                <w:bCs/>
                <w:color w:val="auto"/>
              </w:rPr>
            </w:pPr>
            <w:r>
              <w:rPr>
                <w:color w:val="auto"/>
                <w:kern w:val="0"/>
                <w:sz w:val="24"/>
              </w:rPr>
              <w:t>西南铝</w:t>
            </w:r>
          </w:p>
        </w:tc>
        <w:tc>
          <w:tcPr>
            <w:tcW w:w="1420" w:type="dxa"/>
            <w:shd w:val="clear" w:color="auto" w:fill="auto"/>
            <w:noWrap/>
            <w:vAlign w:val="center"/>
          </w:tcPr>
          <w:p>
            <w:pPr>
              <w:widowControl/>
              <w:jc w:val="left"/>
              <w:rPr>
                <w:bCs/>
                <w:color w:val="auto"/>
              </w:rPr>
            </w:pPr>
            <w:r>
              <w:rPr>
                <w:color w:val="auto"/>
                <w:kern w:val="0"/>
                <w:sz w:val="24"/>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9" w:type="dxa"/>
            <w:shd w:val="clear" w:color="auto" w:fill="auto"/>
            <w:noWrap/>
            <w:vAlign w:val="center"/>
          </w:tcPr>
          <w:p>
            <w:pPr>
              <w:pStyle w:val="302"/>
              <w:widowControl/>
              <w:numPr>
                <w:ilvl w:val="0"/>
                <w:numId w:val="12"/>
              </w:numPr>
              <w:ind w:firstLineChars="0"/>
              <w:jc w:val="center"/>
              <w:rPr>
                <w:bCs/>
                <w:color w:val="auto"/>
              </w:rPr>
            </w:pPr>
          </w:p>
        </w:tc>
        <w:tc>
          <w:tcPr>
            <w:tcW w:w="1025" w:type="dxa"/>
            <w:shd w:val="clear" w:color="auto" w:fill="auto"/>
            <w:noWrap/>
            <w:vAlign w:val="center"/>
          </w:tcPr>
          <w:p>
            <w:pPr>
              <w:widowControl/>
              <w:jc w:val="left"/>
              <w:rPr>
                <w:rFonts w:hint="eastAsia"/>
                <w:bCs/>
                <w:color w:val="auto"/>
              </w:rPr>
            </w:pPr>
            <w:r>
              <w:rPr>
                <w:rFonts w:hint="eastAsia"/>
                <w:color w:val="auto"/>
                <w:kern w:val="0"/>
                <w:sz w:val="24"/>
              </w:rPr>
              <w:t>C.3</w:t>
            </w:r>
          </w:p>
        </w:tc>
        <w:tc>
          <w:tcPr>
            <w:tcW w:w="4426" w:type="dxa"/>
            <w:shd w:val="clear" w:color="auto" w:fill="auto"/>
            <w:noWrap/>
            <w:vAlign w:val="center"/>
          </w:tcPr>
          <w:p>
            <w:pPr>
              <w:widowControl/>
              <w:jc w:val="left"/>
              <w:rPr>
                <w:rFonts w:hint="eastAsia"/>
                <w:bCs/>
                <w:color w:val="auto"/>
              </w:rPr>
            </w:pPr>
            <w:r>
              <w:rPr>
                <w:color w:val="auto"/>
                <w:kern w:val="0"/>
                <w:sz w:val="24"/>
              </w:rPr>
              <w:t>字体改为新罗马</w:t>
            </w:r>
          </w:p>
        </w:tc>
        <w:tc>
          <w:tcPr>
            <w:tcW w:w="1411" w:type="dxa"/>
            <w:shd w:val="clear" w:color="auto" w:fill="auto"/>
            <w:noWrap/>
            <w:vAlign w:val="center"/>
          </w:tcPr>
          <w:p>
            <w:pPr>
              <w:widowControl/>
              <w:jc w:val="left"/>
              <w:rPr>
                <w:rFonts w:hint="eastAsia"/>
                <w:bCs/>
                <w:color w:val="auto"/>
              </w:rPr>
            </w:pPr>
            <w:r>
              <w:rPr>
                <w:color w:val="auto"/>
                <w:kern w:val="0"/>
                <w:sz w:val="24"/>
              </w:rPr>
              <w:t>西南铝</w:t>
            </w:r>
          </w:p>
        </w:tc>
        <w:tc>
          <w:tcPr>
            <w:tcW w:w="1420" w:type="dxa"/>
            <w:shd w:val="clear" w:color="auto" w:fill="auto"/>
            <w:noWrap/>
            <w:vAlign w:val="center"/>
          </w:tcPr>
          <w:p>
            <w:pPr>
              <w:widowControl/>
              <w:jc w:val="left"/>
              <w:rPr>
                <w:rFonts w:hint="eastAsia"/>
                <w:bCs/>
                <w:color w:val="auto"/>
              </w:rPr>
            </w:pPr>
            <w:r>
              <w:rPr>
                <w:color w:val="auto"/>
                <w:kern w:val="0"/>
                <w:sz w:val="24"/>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9" w:type="dxa"/>
            <w:shd w:val="clear" w:color="auto" w:fill="auto"/>
            <w:noWrap/>
            <w:vAlign w:val="center"/>
          </w:tcPr>
          <w:p>
            <w:pPr>
              <w:pStyle w:val="302"/>
              <w:widowControl/>
              <w:numPr>
                <w:ilvl w:val="0"/>
                <w:numId w:val="12"/>
              </w:numPr>
              <w:ind w:firstLineChars="0"/>
              <w:jc w:val="center"/>
              <w:rPr>
                <w:bCs/>
                <w:color w:val="auto"/>
              </w:rPr>
            </w:pPr>
          </w:p>
        </w:tc>
        <w:tc>
          <w:tcPr>
            <w:tcW w:w="1025" w:type="dxa"/>
            <w:shd w:val="clear" w:color="auto" w:fill="auto"/>
            <w:noWrap/>
            <w:vAlign w:val="center"/>
          </w:tcPr>
          <w:p>
            <w:pPr>
              <w:widowControl/>
              <w:jc w:val="left"/>
              <w:rPr>
                <w:rFonts w:hint="eastAsia"/>
                <w:bCs/>
                <w:color w:val="auto"/>
              </w:rPr>
            </w:pPr>
            <w:r>
              <w:rPr>
                <w:rFonts w:hint="eastAsia"/>
                <w:color w:val="auto"/>
                <w:kern w:val="0"/>
                <w:sz w:val="24"/>
              </w:rPr>
              <w:t>C.5.2</w:t>
            </w:r>
          </w:p>
        </w:tc>
        <w:tc>
          <w:tcPr>
            <w:tcW w:w="4426" w:type="dxa"/>
            <w:shd w:val="clear" w:color="auto" w:fill="auto"/>
            <w:noWrap/>
            <w:vAlign w:val="center"/>
          </w:tcPr>
          <w:p>
            <w:pPr>
              <w:widowControl/>
              <w:jc w:val="left"/>
              <w:rPr>
                <w:rFonts w:hint="eastAsia"/>
                <w:bCs/>
                <w:color w:val="auto"/>
              </w:rPr>
            </w:pPr>
            <w:r>
              <w:rPr>
                <w:rFonts w:hint="eastAsia"/>
                <w:color w:val="auto"/>
                <w:kern w:val="0"/>
                <w:sz w:val="24"/>
              </w:rPr>
              <w:t>“实验数据”改为“试验数据”</w:t>
            </w:r>
          </w:p>
        </w:tc>
        <w:tc>
          <w:tcPr>
            <w:tcW w:w="1411" w:type="dxa"/>
            <w:shd w:val="clear" w:color="auto" w:fill="auto"/>
            <w:noWrap/>
            <w:vAlign w:val="center"/>
          </w:tcPr>
          <w:p>
            <w:pPr>
              <w:widowControl/>
              <w:jc w:val="left"/>
              <w:rPr>
                <w:rFonts w:hint="eastAsia"/>
                <w:bCs/>
                <w:color w:val="auto"/>
              </w:rPr>
            </w:pPr>
            <w:r>
              <w:rPr>
                <w:rFonts w:hint="eastAsia"/>
                <w:color w:val="auto"/>
                <w:kern w:val="0"/>
                <w:sz w:val="24"/>
              </w:rPr>
              <w:t>南山铝</w:t>
            </w:r>
          </w:p>
        </w:tc>
        <w:tc>
          <w:tcPr>
            <w:tcW w:w="1420" w:type="dxa"/>
            <w:shd w:val="clear" w:color="auto" w:fill="auto"/>
            <w:noWrap/>
            <w:vAlign w:val="center"/>
          </w:tcPr>
          <w:p>
            <w:pPr>
              <w:widowControl/>
              <w:jc w:val="left"/>
              <w:rPr>
                <w:rFonts w:hint="eastAsia"/>
                <w:bCs/>
                <w:color w:val="auto"/>
              </w:rPr>
            </w:pPr>
            <w:r>
              <w:rPr>
                <w:color w:val="auto"/>
                <w:kern w:val="0"/>
                <w:sz w:val="24"/>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9" w:type="dxa"/>
            <w:shd w:val="clear" w:color="auto" w:fill="auto"/>
            <w:noWrap/>
            <w:vAlign w:val="center"/>
          </w:tcPr>
          <w:p>
            <w:pPr>
              <w:pStyle w:val="302"/>
              <w:widowControl/>
              <w:numPr>
                <w:ilvl w:val="0"/>
                <w:numId w:val="12"/>
              </w:numPr>
              <w:ind w:firstLineChars="0"/>
              <w:jc w:val="center"/>
              <w:rPr>
                <w:bCs/>
                <w:color w:val="auto"/>
              </w:rPr>
            </w:pPr>
          </w:p>
        </w:tc>
        <w:tc>
          <w:tcPr>
            <w:tcW w:w="1025" w:type="dxa"/>
            <w:shd w:val="clear" w:color="auto" w:fill="auto"/>
            <w:noWrap/>
            <w:vAlign w:val="center"/>
          </w:tcPr>
          <w:p>
            <w:pPr>
              <w:widowControl/>
              <w:jc w:val="left"/>
              <w:rPr>
                <w:rFonts w:hint="eastAsia"/>
                <w:bCs/>
                <w:color w:val="auto"/>
              </w:rPr>
            </w:pPr>
            <w:r>
              <w:rPr>
                <w:rFonts w:hint="eastAsia"/>
                <w:color w:val="auto"/>
                <w:kern w:val="0"/>
                <w:sz w:val="24"/>
              </w:rPr>
              <w:t>附录D</w:t>
            </w:r>
          </w:p>
        </w:tc>
        <w:tc>
          <w:tcPr>
            <w:tcW w:w="4426" w:type="dxa"/>
            <w:shd w:val="clear" w:color="auto" w:fill="auto"/>
            <w:noWrap/>
            <w:vAlign w:val="center"/>
          </w:tcPr>
          <w:p>
            <w:pPr>
              <w:widowControl/>
              <w:jc w:val="left"/>
              <w:rPr>
                <w:rFonts w:hint="eastAsia"/>
                <w:bCs/>
                <w:color w:val="auto"/>
              </w:rPr>
            </w:pPr>
            <w:r>
              <w:rPr>
                <w:rFonts w:hint="eastAsia"/>
                <w:color w:val="auto"/>
                <w:kern w:val="0"/>
                <w:sz w:val="24"/>
              </w:rPr>
              <w:t>正文中需要提及附录D；在最后加横线</w:t>
            </w:r>
          </w:p>
        </w:tc>
        <w:tc>
          <w:tcPr>
            <w:tcW w:w="1411" w:type="dxa"/>
            <w:shd w:val="clear" w:color="auto" w:fill="auto"/>
            <w:noWrap/>
            <w:vAlign w:val="center"/>
          </w:tcPr>
          <w:p>
            <w:pPr>
              <w:widowControl/>
              <w:jc w:val="left"/>
              <w:rPr>
                <w:rFonts w:hint="eastAsia"/>
                <w:bCs/>
                <w:color w:val="auto"/>
              </w:rPr>
            </w:pPr>
            <w:r>
              <w:rPr>
                <w:rFonts w:hint="eastAsia"/>
                <w:color w:val="auto"/>
                <w:kern w:val="0"/>
                <w:sz w:val="24"/>
              </w:rPr>
              <w:t>南山铝</w:t>
            </w:r>
          </w:p>
        </w:tc>
        <w:tc>
          <w:tcPr>
            <w:tcW w:w="1420" w:type="dxa"/>
            <w:shd w:val="clear" w:color="auto" w:fill="auto"/>
            <w:noWrap/>
            <w:vAlign w:val="center"/>
          </w:tcPr>
          <w:p>
            <w:pPr>
              <w:widowControl/>
              <w:jc w:val="left"/>
              <w:rPr>
                <w:rFonts w:hint="eastAsia"/>
                <w:bCs/>
                <w:color w:val="auto"/>
              </w:rPr>
            </w:pPr>
            <w:r>
              <w:rPr>
                <w:color w:val="auto"/>
                <w:kern w:val="0"/>
                <w:sz w:val="24"/>
              </w:rPr>
              <w:t>采纳</w:t>
            </w:r>
          </w:p>
        </w:tc>
      </w:tr>
    </w:tbl>
    <w:p>
      <w:pPr>
        <w:pStyle w:val="74"/>
        <w:numPr>
          <w:ilvl w:val="0"/>
          <w:numId w:val="11"/>
        </w:numPr>
        <w:tabs>
          <w:tab w:val="left" w:pos="426"/>
        </w:tabs>
        <w:spacing w:before="312" w:beforeLines="100" w:after="312" w:afterLines="100"/>
        <w:ind w:left="420" w:hangingChars="200"/>
        <w:jc w:val="left"/>
        <w:rPr>
          <w:color w:val="auto"/>
        </w:rPr>
      </w:pPr>
      <w:r>
        <w:rPr>
          <w:rFonts w:hint="eastAsia"/>
          <w:color w:val="auto"/>
        </w:rPr>
        <w:t>规范编制原则和确定主要内容</w:t>
      </w:r>
      <w:bookmarkEnd w:id="16"/>
    </w:p>
    <w:p>
      <w:pPr>
        <w:pStyle w:val="79"/>
        <w:wordWrap/>
        <w:spacing w:beforeLines="0" w:after="156" w:line="360" w:lineRule="auto"/>
        <w:rPr>
          <w:color w:val="auto"/>
        </w:rPr>
      </w:pPr>
      <w:bookmarkStart w:id="17" w:name="_Toc464728925"/>
      <w:r>
        <w:rPr>
          <w:rFonts w:hint="eastAsia"/>
          <w:color w:val="auto"/>
        </w:rPr>
        <w:t>编制原则</w:t>
      </w:r>
      <w:bookmarkEnd w:id="17"/>
    </w:p>
    <w:p>
      <w:pPr>
        <w:pStyle w:val="58"/>
        <w:spacing w:line="324" w:lineRule="auto"/>
        <w:ind w:firstLineChars="0"/>
        <w:rPr>
          <w:rFonts w:ascii="Times New Roman" w:hAnsi="Times New Roman"/>
          <w:color w:val="auto"/>
          <w:kern w:val="2"/>
          <w:szCs w:val="21"/>
        </w:rPr>
      </w:pPr>
      <w:bookmarkStart w:id="18" w:name="_Toc464728926"/>
      <w:r>
        <w:rPr>
          <w:rFonts w:hint="eastAsia" w:ascii="Times New Roman" w:hAnsi="Times New Roman"/>
          <w:color w:val="auto"/>
          <w:kern w:val="2"/>
          <w:szCs w:val="21"/>
        </w:rPr>
        <w:t>本规范是以GB/T 12604.1</w:t>
      </w:r>
      <w:r>
        <w:rPr>
          <w:rFonts w:ascii="Times New Roman" w:hAnsi="Times New Roman"/>
          <w:color w:val="auto"/>
          <w:kern w:val="2"/>
          <w:szCs w:val="21"/>
        </w:rPr>
        <w:t xml:space="preserve"> </w:t>
      </w:r>
      <w:r>
        <w:rPr>
          <w:rFonts w:hint="eastAsia" w:ascii="Times New Roman" w:hAnsi="Times New Roman"/>
          <w:color w:val="auto"/>
          <w:kern w:val="2"/>
          <w:szCs w:val="21"/>
        </w:rPr>
        <w:t>《无损检测 术语 超声检测》、GB/T 23905</w:t>
      </w:r>
      <w:r>
        <w:rPr>
          <w:rFonts w:ascii="Times New Roman" w:hAnsi="Times New Roman"/>
          <w:color w:val="auto"/>
          <w:kern w:val="2"/>
          <w:szCs w:val="21"/>
        </w:rPr>
        <w:t xml:space="preserve"> </w:t>
      </w:r>
      <w:r>
        <w:rPr>
          <w:rFonts w:hint="eastAsia" w:ascii="Times New Roman" w:hAnsi="Times New Roman"/>
          <w:color w:val="auto"/>
          <w:kern w:val="2"/>
          <w:szCs w:val="21"/>
        </w:rPr>
        <w:t>《无损检测 超声检测用试块》、GB/T 11259</w:t>
      </w:r>
      <w:r>
        <w:rPr>
          <w:rFonts w:ascii="Times New Roman" w:hAnsi="Times New Roman"/>
          <w:color w:val="auto"/>
          <w:kern w:val="2"/>
          <w:szCs w:val="21"/>
        </w:rPr>
        <w:t xml:space="preserve"> </w:t>
      </w:r>
      <w:r>
        <w:rPr>
          <w:rFonts w:hint="eastAsia" w:ascii="Times New Roman" w:hAnsi="Times New Roman"/>
          <w:color w:val="auto"/>
          <w:kern w:val="2"/>
          <w:szCs w:val="21"/>
        </w:rPr>
        <w:t>《无损检测 超声检测用钢参考试块的制作与检验方法》、GB/T 18852</w:t>
      </w:r>
      <w:r>
        <w:rPr>
          <w:rFonts w:ascii="Times New Roman" w:hAnsi="Times New Roman"/>
          <w:color w:val="auto"/>
          <w:kern w:val="2"/>
          <w:szCs w:val="21"/>
        </w:rPr>
        <w:t xml:space="preserve"> </w:t>
      </w:r>
      <w:r>
        <w:rPr>
          <w:rFonts w:hint="eastAsia" w:ascii="Times New Roman" w:hAnsi="Times New Roman"/>
          <w:color w:val="auto"/>
          <w:kern w:val="2"/>
          <w:szCs w:val="21"/>
        </w:rPr>
        <w:t>《无损检测 超声检验 测量接触探头声束特性的参考试块和方法》、GB/T 41114  《无损检测 超声检测 相控阵超声检测标准试块规范》、GB/T 1958-2017《产品几何技术规范（GPS）几何公差 检测与验证》、</w:t>
      </w:r>
      <w:r>
        <w:rPr>
          <w:rFonts w:ascii="Times New Roman" w:hAnsi="Times New Roman"/>
          <w:color w:val="auto"/>
          <w:kern w:val="2"/>
          <w:szCs w:val="21"/>
        </w:rPr>
        <w:t>JJF 1071-2010</w:t>
      </w:r>
      <w:r>
        <w:rPr>
          <w:rFonts w:hint="eastAsia" w:ascii="Times New Roman" w:hAnsi="Times New Roman"/>
          <w:color w:val="auto"/>
          <w:kern w:val="2"/>
          <w:szCs w:val="21"/>
        </w:rPr>
        <w:t>《国家计量校准规范编写规则》、JJF 1001-2011《通用计量术语及定义》和JJF 1059.1-2012《测量不确定度评定与表示》为基础性系列规范进行编写。</w:t>
      </w:r>
    </w:p>
    <w:p>
      <w:pPr>
        <w:spacing w:line="360" w:lineRule="auto"/>
        <w:ind w:firstLine="420" w:firstLineChars="200"/>
        <w:rPr>
          <w:color w:val="auto"/>
          <w:szCs w:val="21"/>
        </w:rPr>
      </w:pPr>
      <w:r>
        <w:rPr>
          <w:rFonts w:hint="eastAsia"/>
          <w:color w:val="auto"/>
          <w:szCs w:val="21"/>
        </w:rPr>
        <w:t>本规范引用了JB/T 8428</w:t>
      </w:r>
      <w:r>
        <w:rPr>
          <w:color w:val="auto"/>
          <w:szCs w:val="21"/>
        </w:rPr>
        <w:t xml:space="preserve"> </w:t>
      </w:r>
      <w:r>
        <w:rPr>
          <w:rFonts w:hint="eastAsia"/>
          <w:color w:val="auto"/>
          <w:szCs w:val="21"/>
        </w:rPr>
        <w:t>《无损检测  超声试块通用规范》、JJF 1338</w:t>
      </w:r>
      <w:r>
        <w:rPr>
          <w:color w:val="auto"/>
          <w:szCs w:val="21"/>
        </w:rPr>
        <w:t xml:space="preserve"> </w:t>
      </w:r>
      <w:r>
        <w:rPr>
          <w:rFonts w:hint="eastAsia"/>
          <w:color w:val="auto"/>
          <w:szCs w:val="21"/>
        </w:rPr>
        <w:t>《相控阵超声探伤仪校准规范》、JJF 1487</w:t>
      </w:r>
      <w:r>
        <w:rPr>
          <w:color w:val="auto"/>
          <w:szCs w:val="21"/>
        </w:rPr>
        <w:t xml:space="preserve"> </w:t>
      </w:r>
      <w:r>
        <w:rPr>
          <w:rFonts w:hint="eastAsia"/>
          <w:color w:val="auto"/>
          <w:szCs w:val="21"/>
        </w:rPr>
        <w:t>《超声波探伤试块校准规范》</w:t>
      </w:r>
      <w:r>
        <w:rPr>
          <w:color w:val="auto"/>
          <w:szCs w:val="21"/>
        </w:rPr>
        <w:t>等相关内容。</w:t>
      </w:r>
    </w:p>
    <w:p>
      <w:pPr>
        <w:pStyle w:val="79"/>
        <w:spacing w:before="312" w:beforeLines="100" w:after="312" w:afterLines="100"/>
        <w:rPr>
          <w:rFonts w:ascii="宋体" w:hAnsi="宋体"/>
        </w:rPr>
      </w:pPr>
      <w:r>
        <w:rPr>
          <w:rFonts w:hint="eastAsia"/>
        </w:rPr>
        <w:t>确定主要内</w:t>
      </w:r>
      <w:bookmarkEnd w:id="18"/>
      <w:r>
        <w:rPr>
          <w:rFonts w:hint="eastAsia"/>
        </w:rPr>
        <w:t>容</w:t>
      </w:r>
    </w:p>
    <w:p>
      <w:pPr>
        <w:pStyle w:val="61"/>
        <w:numPr>
          <w:ilvl w:val="0"/>
          <w:numId w:val="0"/>
        </w:numPr>
        <w:spacing w:beforeLines="0" w:afterLines="0" w:line="360" w:lineRule="auto"/>
        <w:rPr>
          <w:rFonts w:ascii="Times New Roman"/>
          <w:szCs w:val="21"/>
        </w:rPr>
      </w:pPr>
      <w:bookmarkStart w:id="19" w:name="_Toc23837_WPSOffice_Level1"/>
      <w:bookmarkStart w:id="20" w:name="_Toc500258929"/>
      <w:bookmarkStart w:id="21" w:name="_Toc193860177"/>
      <w:bookmarkStart w:id="22" w:name="_Toc193860027"/>
      <w:bookmarkStart w:id="23" w:name="_Toc193860208"/>
      <w:bookmarkStart w:id="24" w:name="_Toc464728964"/>
      <w:r>
        <w:rPr>
          <w:rFonts w:ascii="Times New Roman"/>
          <w:szCs w:val="21"/>
        </w:rPr>
        <w:t>1</w:t>
      </w:r>
      <w:r>
        <w:rPr>
          <w:rFonts w:hint="eastAsia" w:ascii="Times New Roman"/>
          <w:szCs w:val="21"/>
        </w:rPr>
        <w:t xml:space="preserve"> 范围</w:t>
      </w:r>
      <w:bookmarkEnd w:id="19"/>
      <w:bookmarkEnd w:id="20"/>
      <w:bookmarkEnd w:id="21"/>
      <w:bookmarkEnd w:id="22"/>
      <w:bookmarkEnd w:id="23"/>
    </w:p>
    <w:p>
      <w:pPr>
        <w:pStyle w:val="58"/>
        <w:spacing w:line="324" w:lineRule="auto"/>
        <w:ind w:firstLineChars="0"/>
        <w:rPr>
          <w:rFonts w:ascii="Times New Roman" w:hAnsi="Times New Roman"/>
          <w:kern w:val="2"/>
          <w:szCs w:val="21"/>
        </w:rPr>
      </w:pPr>
      <w:bookmarkStart w:id="25" w:name="_Toc193860209"/>
      <w:bookmarkStart w:id="26" w:name="_Toc193860178"/>
      <w:bookmarkStart w:id="27" w:name="_Toc193860028"/>
      <w:bookmarkStart w:id="28" w:name="_Toc7848_WPSOffice_Level1"/>
      <w:bookmarkStart w:id="29" w:name="_Toc500258930"/>
      <w:r>
        <w:rPr>
          <w:rFonts w:hint="eastAsia" w:ascii="Times New Roman" w:hAnsi="Times New Roman"/>
          <w:kern w:val="2"/>
          <w:szCs w:val="21"/>
        </w:rPr>
        <w:t>本规范适用于相控阵超声探伤设备的校准试块。</w:t>
      </w:r>
    </w:p>
    <w:p>
      <w:pPr>
        <w:pStyle w:val="61"/>
        <w:numPr>
          <w:ilvl w:val="0"/>
          <w:numId w:val="0"/>
        </w:numPr>
        <w:spacing w:beforeLines="0" w:afterLines="0" w:line="360" w:lineRule="auto"/>
        <w:rPr>
          <w:rFonts w:ascii="Times New Roman"/>
          <w:szCs w:val="21"/>
        </w:rPr>
      </w:pPr>
      <w:r>
        <w:rPr>
          <w:rFonts w:ascii="Times New Roman"/>
          <w:szCs w:val="21"/>
        </w:rPr>
        <w:t>2</w:t>
      </w:r>
      <w:r>
        <w:rPr>
          <w:rFonts w:hint="eastAsia" w:ascii="Times New Roman"/>
          <w:szCs w:val="21"/>
        </w:rPr>
        <w:t xml:space="preserve"> 引用文</w:t>
      </w:r>
      <w:bookmarkEnd w:id="25"/>
      <w:bookmarkEnd w:id="26"/>
      <w:bookmarkEnd w:id="27"/>
      <w:r>
        <w:rPr>
          <w:rFonts w:hint="eastAsia" w:ascii="Times New Roman"/>
          <w:szCs w:val="21"/>
        </w:rPr>
        <w:t>件</w:t>
      </w:r>
      <w:bookmarkEnd w:id="28"/>
      <w:bookmarkEnd w:id="29"/>
    </w:p>
    <w:p>
      <w:pPr>
        <w:spacing w:line="360" w:lineRule="auto"/>
        <w:ind w:firstLine="420" w:firstLineChars="200"/>
        <w:rPr>
          <w:rFonts w:hint="eastAsia"/>
          <w:szCs w:val="21"/>
        </w:rPr>
      </w:pPr>
      <w:bookmarkStart w:id="30" w:name="_Toc193860180"/>
      <w:bookmarkStart w:id="31" w:name="_Toc193619097"/>
      <w:bookmarkStart w:id="32" w:name="_Toc193619055"/>
      <w:bookmarkStart w:id="33" w:name="_Toc13054_WPSOffice_Level1"/>
      <w:bookmarkStart w:id="34" w:name="_Toc500258937"/>
      <w:bookmarkStart w:id="35" w:name="_Toc193618952"/>
      <w:bookmarkStart w:id="36" w:name="_Toc193860211"/>
      <w:bookmarkStart w:id="37" w:name="_Toc193860030"/>
      <w:r>
        <w:rPr>
          <w:rFonts w:hint="eastAsia"/>
          <w:szCs w:val="21"/>
        </w:rPr>
        <w:t>JB/T 8428  无损检测  超声试块通用规范</w:t>
      </w:r>
    </w:p>
    <w:p>
      <w:pPr>
        <w:spacing w:line="360" w:lineRule="auto"/>
        <w:ind w:firstLine="420" w:firstLineChars="200"/>
        <w:rPr>
          <w:rFonts w:hint="eastAsia"/>
          <w:szCs w:val="21"/>
        </w:rPr>
      </w:pPr>
      <w:r>
        <w:rPr>
          <w:rFonts w:hint="eastAsia"/>
          <w:szCs w:val="21"/>
        </w:rPr>
        <w:t xml:space="preserve">JJF 1338  相控阵超声探伤仪校准规范   </w:t>
      </w:r>
    </w:p>
    <w:p>
      <w:pPr>
        <w:spacing w:line="360" w:lineRule="auto"/>
        <w:ind w:firstLine="420" w:firstLineChars="200"/>
        <w:rPr>
          <w:szCs w:val="21"/>
        </w:rPr>
      </w:pPr>
      <w:r>
        <w:rPr>
          <w:rFonts w:hint="eastAsia"/>
          <w:szCs w:val="21"/>
        </w:rPr>
        <w:t>JJF 1487  超声波探伤试块校准规范</w:t>
      </w:r>
    </w:p>
    <w:p>
      <w:pPr>
        <w:pStyle w:val="61"/>
        <w:numPr>
          <w:ilvl w:val="0"/>
          <w:numId w:val="0"/>
        </w:numPr>
        <w:spacing w:beforeLines="0" w:afterLines="0" w:line="360" w:lineRule="auto"/>
        <w:rPr>
          <w:rFonts w:ascii="Times New Roman"/>
          <w:szCs w:val="21"/>
        </w:rPr>
      </w:pPr>
      <w:r>
        <w:rPr>
          <w:rFonts w:hint="eastAsia" w:ascii="Times New Roman"/>
          <w:szCs w:val="21"/>
        </w:rPr>
        <w:t>3 概述</w:t>
      </w:r>
      <w:bookmarkEnd w:id="30"/>
      <w:bookmarkEnd w:id="31"/>
      <w:bookmarkEnd w:id="32"/>
      <w:bookmarkEnd w:id="33"/>
      <w:bookmarkEnd w:id="34"/>
      <w:bookmarkEnd w:id="35"/>
      <w:bookmarkEnd w:id="36"/>
      <w:bookmarkEnd w:id="37"/>
    </w:p>
    <w:p>
      <w:pPr>
        <w:pStyle w:val="58"/>
        <w:spacing w:line="324" w:lineRule="auto"/>
        <w:ind w:firstLineChars="0"/>
        <w:rPr>
          <w:rFonts w:ascii="Times New Roman" w:hAnsi="Times New Roman"/>
          <w:kern w:val="2"/>
          <w:szCs w:val="21"/>
        </w:rPr>
      </w:pPr>
      <w:r>
        <w:rPr>
          <w:rFonts w:hint="eastAsia" w:ascii="Times New Roman" w:hAnsi="Times New Roman"/>
          <w:kern w:val="2"/>
          <w:szCs w:val="21"/>
        </w:rPr>
        <w:t>相控阵超声试块分为校准试块（标准试块）和参考试块（对比试块）。校准试块是指具有规定的化学成分、表面粗糙度、热处理及几何形状的材料块，用于评定和校准相控阵超声检测设备，即用于仪器探头系统性能校准的试块。</w:t>
      </w:r>
    </w:p>
    <w:p>
      <w:pPr>
        <w:pStyle w:val="58"/>
        <w:spacing w:line="324" w:lineRule="auto"/>
        <w:ind w:firstLineChars="0"/>
        <w:rPr>
          <w:rFonts w:eastAsiaTheme="minorEastAsia"/>
          <w:color w:val="FF0000"/>
          <w:szCs w:val="21"/>
        </w:rPr>
      </w:pPr>
      <w:r>
        <w:rPr>
          <w:rFonts w:hint="eastAsia" w:ascii="Times New Roman" w:hAnsi="Times New Roman"/>
          <w:kern w:val="2"/>
          <w:szCs w:val="21"/>
        </w:rPr>
        <w:t>参考试块主要用于检测校准，按其制作方法和用途不同可分为通用对比试块和专用对比试块；对比试块中应含有意义明确的采用机加工方式制作的参考反射体。</w:t>
      </w:r>
    </w:p>
    <w:p>
      <w:pPr>
        <w:pStyle w:val="61"/>
        <w:numPr>
          <w:ilvl w:val="0"/>
          <w:numId w:val="0"/>
        </w:numPr>
        <w:spacing w:before="156" w:afterLines="0" w:line="360" w:lineRule="auto"/>
        <w:rPr>
          <w:rFonts w:ascii="Times New Roman"/>
          <w:szCs w:val="21"/>
        </w:rPr>
      </w:pPr>
      <w:bookmarkStart w:id="38" w:name="_Toc193860212"/>
      <w:bookmarkStart w:id="39" w:name="_Toc193618953"/>
      <w:bookmarkStart w:id="40" w:name="_Toc19851_WPSOffice_Level1"/>
      <w:bookmarkStart w:id="41" w:name="_Toc193619056"/>
      <w:bookmarkStart w:id="42" w:name="_Toc500258938"/>
      <w:bookmarkStart w:id="43" w:name="_Toc193860031"/>
      <w:bookmarkStart w:id="44" w:name="_Toc193860181"/>
      <w:bookmarkStart w:id="45" w:name="_Toc193619098"/>
      <w:r>
        <w:rPr>
          <w:rFonts w:hint="eastAsia" w:ascii="Times New Roman"/>
          <w:szCs w:val="21"/>
        </w:rPr>
        <w:t>4 计量特性</w:t>
      </w:r>
      <w:bookmarkEnd w:id="38"/>
      <w:bookmarkEnd w:id="39"/>
      <w:bookmarkEnd w:id="40"/>
      <w:bookmarkEnd w:id="41"/>
      <w:bookmarkEnd w:id="42"/>
      <w:bookmarkEnd w:id="43"/>
      <w:bookmarkEnd w:id="44"/>
      <w:bookmarkEnd w:id="45"/>
    </w:p>
    <w:p>
      <w:pPr>
        <w:pStyle w:val="61"/>
        <w:numPr>
          <w:ilvl w:val="0"/>
          <w:numId w:val="0"/>
        </w:numPr>
        <w:spacing w:before="156" w:after="156" w:line="360" w:lineRule="auto"/>
        <w:ind w:firstLine="420" w:firstLineChars="200"/>
        <w:rPr>
          <w:rFonts w:ascii="Times New Roman" w:eastAsia="宋体"/>
          <w:kern w:val="2"/>
          <w:szCs w:val="21"/>
        </w:rPr>
      </w:pPr>
      <w:bookmarkStart w:id="46" w:name="_Toc25829_WPSOffice_Level1"/>
      <w:r>
        <w:rPr>
          <w:rFonts w:hint="eastAsia" w:ascii="Times New Roman" w:eastAsia="宋体"/>
          <w:kern w:val="2"/>
          <w:szCs w:val="21"/>
        </w:rPr>
        <w:t>几何尺寸测量误差、平面度、垂直度和平行度、声速误差。</w:t>
      </w:r>
    </w:p>
    <w:p>
      <w:pPr>
        <w:pStyle w:val="61"/>
        <w:numPr>
          <w:ilvl w:val="0"/>
          <w:numId w:val="0"/>
        </w:numPr>
        <w:spacing w:before="156" w:after="156" w:line="360" w:lineRule="auto"/>
        <w:ind w:firstLine="420" w:firstLineChars="200"/>
        <w:rPr>
          <w:rFonts w:ascii="Times New Roman"/>
          <w:szCs w:val="21"/>
        </w:rPr>
      </w:pPr>
      <w:r>
        <w:rPr>
          <w:rFonts w:ascii="Times New Roman"/>
          <w:szCs w:val="21"/>
        </w:rPr>
        <w:t>5</w:t>
      </w:r>
      <w:r>
        <w:rPr>
          <w:rFonts w:hint="eastAsia" w:ascii="Times New Roman"/>
          <w:szCs w:val="21"/>
        </w:rPr>
        <w:t xml:space="preserve"> 校准条件</w:t>
      </w:r>
      <w:bookmarkEnd w:id="46"/>
      <w:bookmarkStart w:id="47" w:name="_Toc193860183"/>
      <w:bookmarkStart w:id="48" w:name="_Toc193860033"/>
      <w:bookmarkStart w:id="49" w:name="_Toc193860214"/>
      <w:bookmarkStart w:id="50" w:name="_Toc500258942"/>
    </w:p>
    <w:bookmarkEnd w:id="47"/>
    <w:bookmarkEnd w:id="48"/>
    <w:bookmarkEnd w:id="49"/>
    <w:bookmarkEnd w:id="50"/>
    <w:p>
      <w:pPr>
        <w:pStyle w:val="61"/>
        <w:numPr>
          <w:ilvl w:val="0"/>
          <w:numId w:val="0"/>
        </w:numPr>
        <w:spacing w:before="156" w:after="156" w:line="360" w:lineRule="auto"/>
        <w:ind w:firstLine="420" w:firstLineChars="200"/>
        <w:rPr>
          <w:rFonts w:ascii="Times New Roman" w:eastAsia="宋体"/>
          <w:kern w:val="2"/>
          <w:szCs w:val="21"/>
        </w:rPr>
      </w:pPr>
      <w:bookmarkStart w:id="51" w:name="_Toc193860035"/>
      <w:bookmarkStart w:id="52" w:name="_Toc193860216"/>
      <w:bookmarkStart w:id="53" w:name="_Toc2741_WPSOffice_Level1"/>
      <w:bookmarkStart w:id="54" w:name="_Toc193860185"/>
      <w:bookmarkStart w:id="55" w:name="_Toc500258944"/>
      <w:bookmarkStart w:id="56" w:name="_Toc193619100"/>
      <w:bookmarkStart w:id="57" w:name="_Toc193619058"/>
      <w:bookmarkStart w:id="58" w:name="_Toc193618955"/>
      <w:r>
        <w:rPr>
          <w:rFonts w:hint="eastAsia" w:ascii="Times New Roman" w:eastAsia="宋体"/>
          <w:kern w:val="2"/>
          <w:szCs w:val="21"/>
        </w:rPr>
        <w:t>校准试验应在20℃±5℃，相对湿度≤65%的条件下进行，实验室内应无灰尘、振动和磁场等影响测量的因素。如果校准用仪器设备规定了正常使用的环境温湿度，应符合其规定。</w:t>
      </w:r>
    </w:p>
    <w:p>
      <w:pPr>
        <w:pStyle w:val="61"/>
        <w:numPr>
          <w:ilvl w:val="0"/>
          <w:numId w:val="0"/>
        </w:numPr>
        <w:spacing w:before="156" w:after="156" w:line="360" w:lineRule="auto"/>
        <w:rPr>
          <w:rFonts w:ascii="Times New Roman"/>
          <w:szCs w:val="21"/>
        </w:rPr>
      </w:pPr>
      <w:r>
        <w:rPr>
          <w:rFonts w:ascii="Times New Roman"/>
          <w:szCs w:val="21"/>
        </w:rPr>
        <w:t>6</w:t>
      </w:r>
      <w:r>
        <w:rPr>
          <w:rFonts w:hint="eastAsia" w:ascii="Times New Roman"/>
          <w:szCs w:val="21"/>
        </w:rPr>
        <w:t xml:space="preserve"> 校准项目和校准方法</w:t>
      </w:r>
      <w:bookmarkEnd w:id="51"/>
      <w:bookmarkEnd w:id="52"/>
      <w:bookmarkEnd w:id="53"/>
      <w:bookmarkEnd w:id="54"/>
      <w:bookmarkEnd w:id="55"/>
      <w:bookmarkEnd w:id="56"/>
      <w:bookmarkEnd w:id="57"/>
      <w:bookmarkEnd w:id="58"/>
    </w:p>
    <w:p>
      <w:pPr>
        <w:spacing w:line="360" w:lineRule="auto"/>
        <w:ind w:firstLine="420" w:firstLineChars="200"/>
        <w:rPr>
          <w:rFonts w:eastAsiaTheme="minorEastAsia"/>
          <w:kern w:val="0"/>
          <w:szCs w:val="21"/>
        </w:rPr>
      </w:pPr>
      <w:bookmarkStart w:id="59" w:name="_Toc22718_WPSOffice_Level2"/>
      <w:bookmarkStart w:id="60" w:name="_Toc500258945"/>
      <w:r>
        <w:rPr>
          <w:rFonts w:hint="eastAsia"/>
          <w:kern w:val="0"/>
          <w:szCs w:val="21"/>
        </w:rPr>
        <w:t>校准项目包含几何尺寸测量误差，包括</w:t>
      </w:r>
      <w:r>
        <w:rPr>
          <w:rFonts w:hint="eastAsia" w:eastAsiaTheme="minorEastAsia"/>
          <w:szCs w:val="21"/>
        </w:rPr>
        <w:t>试块外形尺寸、</w:t>
      </w:r>
      <w:r>
        <w:rPr>
          <w:rFonts w:hint="eastAsia"/>
          <w:kern w:val="0"/>
          <w:szCs w:val="21"/>
        </w:rPr>
        <w:t>孔、槽尺寸、试块相关角度测量；</w:t>
      </w:r>
      <w:r>
        <w:rPr>
          <w:rFonts w:hint="eastAsia"/>
          <w:szCs w:val="21"/>
        </w:rPr>
        <w:t>平面度；平行度、垂直度；纵波、横波声速；</w:t>
      </w:r>
      <w:r>
        <w:rPr>
          <w:rFonts w:hint="eastAsia" w:eastAsiaTheme="minorEastAsia"/>
          <w:kern w:val="0"/>
          <w:szCs w:val="21"/>
        </w:rPr>
        <w:t>以及具体的校准方法。</w:t>
      </w:r>
    </w:p>
    <w:bookmarkEnd w:id="59"/>
    <w:bookmarkEnd w:id="60"/>
    <w:p>
      <w:pPr>
        <w:pStyle w:val="61"/>
        <w:numPr>
          <w:ilvl w:val="0"/>
          <w:numId w:val="0"/>
        </w:numPr>
        <w:spacing w:before="156" w:after="156"/>
        <w:rPr>
          <w:rFonts w:ascii="Times New Roman"/>
          <w:szCs w:val="21"/>
        </w:rPr>
      </w:pPr>
      <w:bookmarkStart w:id="61" w:name="_Toc193618956"/>
      <w:bookmarkStart w:id="62" w:name="_Toc193619059"/>
      <w:bookmarkStart w:id="63" w:name="_Toc193860219"/>
      <w:bookmarkStart w:id="64" w:name="_Toc193860038"/>
      <w:bookmarkStart w:id="65" w:name="_Toc193860188"/>
      <w:bookmarkStart w:id="66" w:name="_Toc193619101"/>
      <w:bookmarkStart w:id="67" w:name="_Toc25466_WPSOffice_Level1"/>
      <w:bookmarkStart w:id="68" w:name="_Toc500258947"/>
      <w:r>
        <w:rPr>
          <w:rFonts w:ascii="Times New Roman"/>
          <w:szCs w:val="21"/>
        </w:rPr>
        <w:t>7</w:t>
      </w:r>
      <w:r>
        <w:rPr>
          <w:rFonts w:hint="eastAsia" w:ascii="Times New Roman"/>
          <w:szCs w:val="21"/>
        </w:rPr>
        <w:t xml:space="preserve"> 校准结果</w:t>
      </w:r>
      <w:bookmarkEnd w:id="61"/>
      <w:bookmarkEnd w:id="62"/>
      <w:bookmarkEnd w:id="63"/>
      <w:bookmarkEnd w:id="64"/>
      <w:bookmarkEnd w:id="65"/>
      <w:bookmarkEnd w:id="66"/>
      <w:r>
        <w:rPr>
          <w:rFonts w:hint="eastAsia" w:ascii="Times New Roman"/>
          <w:szCs w:val="21"/>
        </w:rPr>
        <w:t>表达</w:t>
      </w:r>
      <w:bookmarkEnd w:id="67"/>
      <w:bookmarkEnd w:id="68"/>
    </w:p>
    <w:p>
      <w:pPr>
        <w:pStyle w:val="58"/>
        <w:spacing w:line="360" w:lineRule="auto"/>
        <w:ind w:firstLine="420"/>
        <w:rPr>
          <w:rFonts w:ascii="Times New Roman" w:hAnsi="Times New Roman" w:eastAsiaTheme="minorEastAsia"/>
          <w:kern w:val="2"/>
          <w:szCs w:val="21"/>
        </w:rPr>
      </w:pPr>
      <w:r>
        <w:rPr>
          <w:rFonts w:hint="eastAsia" w:ascii="Times New Roman" w:hAnsi="Times New Roman" w:eastAsiaTheme="minorEastAsia"/>
          <w:kern w:val="2"/>
          <w:szCs w:val="21"/>
        </w:rPr>
        <w:t>根据实验室环境要求、校准项目校准结果、测量不确定度评定结果等，按照推荐的校准报告格式，出具校准证书。</w:t>
      </w:r>
    </w:p>
    <w:p>
      <w:pPr>
        <w:pStyle w:val="61"/>
        <w:numPr>
          <w:ilvl w:val="0"/>
          <w:numId w:val="0"/>
        </w:numPr>
        <w:spacing w:before="156" w:after="156"/>
        <w:rPr>
          <w:rFonts w:ascii="Times New Roman"/>
          <w:szCs w:val="21"/>
        </w:rPr>
      </w:pPr>
      <w:bookmarkStart w:id="69" w:name="_Toc193860189"/>
      <w:bookmarkStart w:id="70" w:name="_Toc5529"/>
      <w:bookmarkStart w:id="71" w:name="_Toc14803_WPSOffice_Level1"/>
      <w:bookmarkStart w:id="72" w:name="_Toc193860220"/>
      <w:bookmarkStart w:id="73" w:name="_Toc193860040"/>
      <w:bookmarkStart w:id="74" w:name="_Toc193860041"/>
      <w:r>
        <w:rPr>
          <w:rFonts w:ascii="Times New Roman"/>
          <w:szCs w:val="21"/>
        </w:rPr>
        <w:t>8</w:t>
      </w:r>
      <w:r>
        <w:rPr>
          <w:rFonts w:hint="eastAsia" w:ascii="Times New Roman"/>
          <w:szCs w:val="21"/>
        </w:rPr>
        <w:t xml:space="preserve"> 复校</w:t>
      </w:r>
      <w:bookmarkEnd w:id="69"/>
      <w:bookmarkEnd w:id="70"/>
      <w:bookmarkEnd w:id="71"/>
      <w:bookmarkEnd w:id="72"/>
      <w:bookmarkEnd w:id="73"/>
      <w:r>
        <w:rPr>
          <w:rFonts w:hint="eastAsia" w:ascii="Times New Roman"/>
          <w:szCs w:val="21"/>
        </w:rPr>
        <w:t>时间间隔</w:t>
      </w:r>
    </w:p>
    <w:bookmarkEnd w:id="74"/>
    <w:p>
      <w:pPr>
        <w:pStyle w:val="58"/>
        <w:spacing w:line="360" w:lineRule="auto"/>
        <w:ind w:firstLine="420"/>
        <w:rPr>
          <w:rFonts w:ascii="Times New Roman" w:hAnsi="Times New Roman" w:eastAsiaTheme="minorEastAsia"/>
          <w:kern w:val="2"/>
          <w:szCs w:val="21"/>
        </w:rPr>
      </w:pPr>
      <w:r>
        <w:rPr>
          <w:rFonts w:hint="eastAsia" w:ascii="Times New Roman" w:hAnsi="Times New Roman" w:eastAsiaTheme="minorEastAsia"/>
          <w:kern w:val="2"/>
          <w:szCs w:val="21"/>
        </w:rPr>
        <w:t>复校时间间隔的长短是由试块的使用保养情况、使用者、试块本身质量等因素所决定，送校单位可根据实际使用情况自主决定复校时间间隔。</w:t>
      </w:r>
    </w:p>
    <w:p>
      <w:pPr>
        <w:pStyle w:val="61"/>
        <w:numPr>
          <w:ilvl w:val="0"/>
          <w:numId w:val="0"/>
        </w:numPr>
        <w:spacing w:before="156" w:after="156"/>
        <w:rPr>
          <w:rFonts w:ascii="Times New Roman"/>
          <w:szCs w:val="21"/>
        </w:rPr>
      </w:pPr>
      <w:r>
        <w:rPr>
          <w:rFonts w:hint="eastAsia" w:ascii="Times New Roman"/>
          <w:szCs w:val="21"/>
        </w:rPr>
        <w:t>9.附录</w:t>
      </w:r>
    </w:p>
    <w:p>
      <w:pPr>
        <w:pStyle w:val="58"/>
        <w:spacing w:line="360" w:lineRule="auto"/>
        <w:ind w:firstLine="420"/>
        <w:rPr>
          <w:rFonts w:ascii="Times New Roman" w:hAnsi="Times New Roman" w:eastAsiaTheme="minorEastAsia"/>
          <w:kern w:val="2"/>
          <w:szCs w:val="21"/>
        </w:rPr>
      </w:pPr>
      <w:r>
        <w:rPr>
          <w:rFonts w:hint="eastAsia" w:ascii="Times New Roman" w:hAnsi="Times New Roman" w:eastAsiaTheme="minorEastAsia"/>
          <w:kern w:val="2"/>
          <w:szCs w:val="21"/>
        </w:rPr>
        <w:t>附录主要包含校准原始记录参考格式、校准证书内页参考格式、试块尺寸的测量不确定度评定示例三部分。</w:t>
      </w:r>
    </w:p>
    <w:bookmarkEnd w:id="1"/>
    <w:bookmarkEnd w:id="24"/>
    <w:p>
      <w:pPr>
        <w:pStyle w:val="74"/>
        <w:numPr>
          <w:ilvl w:val="0"/>
          <w:numId w:val="11"/>
        </w:numPr>
        <w:tabs>
          <w:tab w:val="left" w:pos="426"/>
        </w:tabs>
        <w:spacing w:before="312" w:beforeLines="100" w:after="312" w:afterLines="100"/>
        <w:ind w:left="420" w:hangingChars="200"/>
        <w:jc w:val="left"/>
      </w:pPr>
      <w:bookmarkStart w:id="75" w:name="_Toc464728965"/>
      <w:r>
        <w:rPr>
          <w:rFonts w:hint="eastAsia"/>
        </w:rPr>
        <w:t>规范水平分析</w:t>
      </w:r>
      <w:bookmarkEnd w:id="75"/>
    </w:p>
    <w:p>
      <w:pPr>
        <w:adjustRightInd w:val="0"/>
        <w:spacing w:line="360" w:lineRule="auto"/>
        <w:rPr>
          <w:rFonts w:ascii="黑体" w:hAnsi="宋体" w:eastAsia="黑体"/>
          <w:bCs/>
          <w:szCs w:val="21"/>
        </w:rPr>
      </w:pPr>
      <w:r>
        <w:rPr>
          <w:rFonts w:ascii="黑体" w:hAnsi="宋体" w:eastAsia="黑体"/>
          <w:bCs/>
          <w:szCs w:val="21"/>
        </w:rPr>
        <w:t>3.1</w:t>
      </w:r>
      <w:r>
        <w:rPr>
          <w:rFonts w:hint="eastAsia" w:ascii="黑体" w:hAnsi="宋体" w:eastAsia="黑体"/>
          <w:bCs/>
          <w:szCs w:val="21"/>
        </w:rPr>
        <w:t>采用国际标准及国外先进规范的程度</w:t>
      </w:r>
    </w:p>
    <w:p>
      <w:pPr>
        <w:adjustRightInd w:val="0"/>
        <w:spacing w:line="360" w:lineRule="auto"/>
        <w:ind w:firstLine="420" w:firstLineChars="200"/>
        <w:rPr>
          <w:rFonts w:ascii="宋体" w:hAnsi="宋体"/>
          <w:bCs/>
          <w:szCs w:val="21"/>
        </w:rPr>
      </w:pPr>
      <w:r>
        <w:rPr>
          <w:rFonts w:hint="eastAsia"/>
        </w:rPr>
        <w:t>相控阵超声检测标准试块是专门用于校准或核查超声相控阵探伤仪（系统）的专用试块，</w:t>
      </w:r>
      <w:r>
        <w:rPr>
          <w:rFonts w:hint="eastAsia" w:ascii="宋体" w:hAnsi="宋体"/>
          <w:bCs/>
          <w:szCs w:val="21"/>
        </w:rPr>
        <w:t>据查，目前国内外没有针对</w:t>
      </w:r>
      <w:r>
        <w:rPr>
          <w:rFonts w:hint="eastAsia"/>
        </w:rPr>
        <w:t>相控阵超声检测标准试块</w:t>
      </w:r>
      <w:r>
        <w:rPr>
          <w:rFonts w:hint="eastAsia" w:ascii="宋体" w:hAnsi="宋体"/>
          <w:bCs/>
          <w:szCs w:val="21"/>
        </w:rPr>
        <w:t>的校准规范，计量检测机构也有对超声探伤用试块进行校准的项目，但对于</w:t>
      </w:r>
      <w:r>
        <w:rPr>
          <w:rFonts w:hint="eastAsia"/>
        </w:rPr>
        <w:t>相控阵超声检测标准试块来说，校准参数不满足要求。</w:t>
      </w:r>
    </w:p>
    <w:p>
      <w:pPr>
        <w:adjustRightInd w:val="0"/>
        <w:spacing w:line="360" w:lineRule="auto"/>
        <w:rPr>
          <w:rFonts w:ascii="黑体" w:hAnsi="宋体" w:eastAsia="黑体"/>
          <w:bCs/>
          <w:szCs w:val="21"/>
        </w:rPr>
      </w:pPr>
      <w:r>
        <w:rPr>
          <w:rFonts w:ascii="黑体" w:hAnsi="宋体" w:eastAsia="黑体"/>
          <w:bCs/>
          <w:szCs w:val="21"/>
        </w:rPr>
        <w:t>3.2</w:t>
      </w:r>
      <w:r>
        <w:rPr>
          <w:rFonts w:hint="eastAsia" w:ascii="黑体" w:hAnsi="宋体" w:eastAsia="黑体"/>
          <w:bCs/>
          <w:szCs w:val="21"/>
        </w:rPr>
        <w:t>与国际及国外同类标准水平的对比分析</w:t>
      </w:r>
    </w:p>
    <w:p>
      <w:pPr>
        <w:spacing w:line="360" w:lineRule="auto"/>
        <w:ind w:firstLine="420" w:firstLineChars="200"/>
        <w:rPr>
          <w:bCs/>
          <w:sz w:val="18"/>
        </w:rPr>
      </w:pPr>
      <w:r>
        <w:rPr>
          <w:rFonts w:hint="eastAsia" w:ascii="宋体" w:hAnsi="宋体"/>
          <w:bCs/>
          <w:szCs w:val="21"/>
        </w:rPr>
        <w:t>目前国外没有相关技术规范，本规范水平达到国外先进水平。</w:t>
      </w:r>
    </w:p>
    <w:p>
      <w:pPr>
        <w:pStyle w:val="74"/>
        <w:numPr>
          <w:ilvl w:val="0"/>
          <w:numId w:val="11"/>
        </w:numPr>
        <w:tabs>
          <w:tab w:val="left" w:pos="426"/>
        </w:tabs>
        <w:spacing w:before="312" w:beforeLines="100" w:after="312" w:afterLines="100"/>
        <w:ind w:left="420" w:hangingChars="200"/>
        <w:jc w:val="left"/>
      </w:pPr>
      <w:r>
        <w:rPr>
          <w:rFonts w:hint="eastAsia" w:hAnsi="宋体"/>
          <w:bCs/>
          <w:szCs w:val="21"/>
        </w:rPr>
        <w:t>与有关的现行法律、法规和强制性国家标准的关系</w:t>
      </w:r>
    </w:p>
    <w:p>
      <w:pPr>
        <w:pStyle w:val="58"/>
        <w:spacing w:line="300" w:lineRule="auto"/>
        <w:ind w:firstLine="420"/>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pPr>
        <w:pStyle w:val="74"/>
        <w:numPr>
          <w:ilvl w:val="0"/>
          <w:numId w:val="11"/>
        </w:numPr>
        <w:tabs>
          <w:tab w:val="left" w:pos="426"/>
        </w:tabs>
        <w:spacing w:before="312" w:beforeLines="100" w:after="312" w:afterLines="100"/>
        <w:ind w:left="420" w:hangingChars="200"/>
        <w:jc w:val="left"/>
      </w:pPr>
      <w:bookmarkStart w:id="76" w:name="_Toc464728973"/>
      <w:r>
        <w:rPr>
          <w:rFonts w:hint="eastAsia"/>
        </w:rPr>
        <w:t>规范中涉及的专利或知识产权说明</w:t>
      </w:r>
      <w:bookmarkEnd w:id="76"/>
    </w:p>
    <w:p>
      <w:pPr>
        <w:pStyle w:val="58"/>
        <w:spacing w:line="300" w:lineRule="auto"/>
        <w:ind w:firstLineChars="0"/>
        <w:contextualSpacing/>
        <w:rPr>
          <w:szCs w:val="21"/>
        </w:rPr>
      </w:pPr>
      <w:bookmarkStart w:id="77" w:name="_Toc464728974"/>
      <w:r>
        <w:rPr>
          <w:rFonts w:hint="eastAsia"/>
          <w:szCs w:val="21"/>
        </w:rPr>
        <w:t>（无）</w:t>
      </w:r>
    </w:p>
    <w:p>
      <w:pPr>
        <w:pStyle w:val="74"/>
        <w:numPr>
          <w:ilvl w:val="0"/>
          <w:numId w:val="11"/>
        </w:numPr>
        <w:tabs>
          <w:tab w:val="left" w:pos="426"/>
        </w:tabs>
        <w:spacing w:before="312" w:beforeLines="100" w:after="312" w:afterLines="100"/>
        <w:ind w:left="420" w:hangingChars="200"/>
        <w:jc w:val="left"/>
      </w:pPr>
      <w:r>
        <w:rPr>
          <w:rFonts w:hint="eastAsia"/>
        </w:rPr>
        <w:t>重大分歧意见的处理经过和依据</w:t>
      </w:r>
      <w:bookmarkEnd w:id="77"/>
    </w:p>
    <w:p>
      <w:pPr>
        <w:pStyle w:val="58"/>
        <w:spacing w:line="300" w:lineRule="auto"/>
        <w:ind w:firstLine="420"/>
        <w:contextualSpacing/>
        <w:rPr>
          <w:szCs w:val="21"/>
        </w:rPr>
      </w:pPr>
      <w:r>
        <w:rPr>
          <w:rFonts w:hint="eastAsia"/>
          <w:szCs w:val="21"/>
        </w:rPr>
        <w:t>（无）</w:t>
      </w:r>
    </w:p>
    <w:p>
      <w:pPr>
        <w:pStyle w:val="74"/>
        <w:numPr>
          <w:ilvl w:val="0"/>
          <w:numId w:val="11"/>
        </w:numPr>
        <w:tabs>
          <w:tab w:val="left" w:pos="426"/>
        </w:tabs>
        <w:spacing w:before="312" w:beforeLines="100" w:after="312" w:afterLines="100"/>
        <w:ind w:left="420" w:hangingChars="200"/>
        <w:jc w:val="left"/>
      </w:pPr>
      <w:r>
        <w:rPr>
          <w:rFonts w:hint="eastAsia"/>
        </w:rPr>
        <w:t>规范作为强制性或推荐性国家（或行业）标准的建议</w:t>
      </w:r>
    </w:p>
    <w:p>
      <w:pPr>
        <w:adjustRightInd w:val="0"/>
        <w:spacing w:line="360" w:lineRule="auto"/>
        <w:ind w:firstLine="420" w:firstLineChars="200"/>
        <w:rPr>
          <w:rFonts w:hAnsi="宋体"/>
          <w:bCs/>
          <w:szCs w:val="21"/>
        </w:rPr>
      </w:pPr>
      <w:r>
        <w:rPr>
          <w:rFonts w:hint="eastAsia" w:hAnsi="宋体"/>
          <w:bCs/>
          <w:szCs w:val="21"/>
        </w:rPr>
        <w:t>建议本规范作为推荐性行业计量技术规范，供相关行业参考采用。</w:t>
      </w:r>
    </w:p>
    <w:p>
      <w:pPr>
        <w:pStyle w:val="74"/>
        <w:numPr>
          <w:ilvl w:val="0"/>
          <w:numId w:val="11"/>
        </w:numPr>
        <w:tabs>
          <w:tab w:val="left" w:pos="426"/>
        </w:tabs>
        <w:spacing w:before="312" w:beforeLines="100" w:after="312" w:afterLines="100"/>
        <w:ind w:left="420" w:hangingChars="200"/>
        <w:jc w:val="left"/>
      </w:pPr>
      <w:bookmarkStart w:id="78" w:name="_Toc464728976"/>
      <w:r>
        <w:rPr>
          <w:rFonts w:hint="eastAsia"/>
        </w:rPr>
        <w:t>贯彻规范的要求和措施建议</w:t>
      </w:r>
      <w:bookmarkEnd w:id="78"/>
    </w:p>
    <w:p>
      <w:pPr>
        <w:pStyle w:val="58"/>
        <w:spacing w:line="300" w:lineRule="auto"/>
        <w:ind w:firstLine="420"/>
        <w:contextualSpacing/>
        <w:rPr>
          <w:szCs w:val="21"/>
        </w:rPr>
      </w:pPr>
      <w:r>
        <w:rPr>
          <w:rFonts w:hint="eastAsia"/>
          <w:szCs w:val="21"/>
        </w:rPr>
        <w:t>本规范发布后，中国有色金属行业协会和有色金属行业计量技术委员会应加强本规范的宣传力度，促进</w:t>
      </w:r>
      <w:r>
        <w:rPr>
          <w:rFonts w:hint="eastAsia"/>
        </w:rPr>
        <w:t>相控阵超声检测标准试块</w:t>
      </w:r>
      <w:r>
        <w:rPr>
          <w:rFonts w:hint="eastAsia"/>
          <w:szCs w:val="21"/>
        </w:rPr>
        <w:t>生产厂家按照实际情况合理选用校准规程，以促进我国企业的技术进步和产品质量上档次，提高我国产品在国际国内市场的竞争能力。</w:t>
      </w:r>
    </w:p>
    <w:p>
      <w:pPr>
        <w:pStyle w:val="74"/>
        <w:numPr>
          <w:ilvl w:val="0"/>
          <w:numId w:val="11"/>
        </w:numPr>
        <w:tabs>
          <w:tab w:val="left" w:pos="426"/>
        </w:tabs>
        <w:spacing w:before="312" w:beforeLines="100" w:after="312" w:afterLines="100"/>
        <w:ind w:left="420" w:hangingChars="200"/>
        <w:jc w:val="left"/>
      </w:pPr>
      <w:bookmarkStart w:id="79" w:name="_Toc464728977"/>
      <w:r>
        <w:rPr>
          <w:rFonts w:hint="eastAsia"/>
        </w:rPr>
        <w:t>废止现行有关规范的建议</w:t>
      </w:r>
      <w:bookmarkEnd w:id="79"/>
    </w:p>
    <w:p>
      <w:pPr>
        <w:pStyle w:val="58"/>
        <w:spacing w:line="300" w:lineRule="auto"/>
        <w:ind w:firstLine="420"/>
        <w:contextualSpacing/>
        <w:rPr>
          <w:szCs w:val="21"/>
        </w:rPr>
      </w:pPr>
      <w:r>
        <w:rPr>
          <w:rFonts w:hint="eastAsia"/>
          <w:szCs w:val="21"/>
        </w:rPr>
        <w:t>（无）。</w:t>
      </w:r>
    </w:p>
    <w:p>
      <w:pPr>
        <w:pStyle w:val="74"/>
        <w:numPr>
          <w:ilvl w:val="0"/>
          <w:numId w:val="11"/>
        </w:numPr>
        <w:tabs>
          <w:tab w:val="left" w:pos="426"/>
        </w:tabs>
        <w:spacing w:before="312" w:beforeLines="100" w:after="312" w:afterLines="100"/>
        <w:ind w:left="420" w:hangingChars="200"/>
        <w:jc w:val="left"/>
      </w:pPr>
      <w:r>
        <w:rPr>
          <w:rFonts w:hint="eastAsia"/>
        </w:rPr>
        <w:t>预期效果</w:t>
      </w:r>
    </w:p>
    <w:p>
      <w:pPr>
        <w:pStyle w:val="58"/>
        <w:spacing w:line="300" w:lineRule="auto"/>
        <w:ind w:firstLineChars="0"/>
        <w:contextualSpacing/>
        <w:rPr>
          <w:szCs w:val="21"/>
        </w:rPr>
      </w:pPr>
      <w:r>
        <w:rPr>
          <w:rFonts w:hint="eastAsia"/>
        </w:rPr>
        <w:t>相控阵超声检测标准试块</w:t>
      </w:r>
      <w:r>
        <w:rPr>
          <w:rFonts w:hint="eastAsia" w:cs="宋体"/>
          <w:szCs w:val="21"/>
        </w:rPr>
        <w:t>校准规范的缺乏，已经无法满足日益增长的应用需求，</w:t>
      </w:r>
      <w:r>
        <w:rPr>
          <w:rFonts w:hint="eastAsia" w:cs="宋体"/>
          <w:kern w:val="2"/>
          <w:szCs w:val="21"/>
        </w:rPr>
        <w:t>本规范的制定，具有极大的经济效益和社会效益，填补了有色金属行业领域校准空白，对</w:t>
      </w:r>
      <w:r>
        <w:rPr>
          <w:rFonts w:hint="eastAsia"/>
        </w:rPr>
        <w:t>相控阵超声检测标准试块</w:t>
      </w:r>
      <w:r>
        <w:rPr>
          <w:rFonts w:hint="eastAsia" w:cs="宋体"/>
          <w:szCs w:val="21"/>
        </w:rPr>
        <w:t>在行业中应用提供了技术支撑。</w:t>
      </w:r>
    </w:p>
    <w:p>
      <w:pPr>
        <w:pStyle w:val="74"/>
        <w:numPr>
          <w:ilvl w:val="0"/>
          <w:numId w:val="11"/>
        </w:numPr>
        <w:tabs>
          <w:tab w:val="left" w:pos="426"/>
        </w:tabs>
        <w:spacing w:before="312" w:beforeLines="100" w:after="312" w:afterLines="100"/>
        <w:ind w:left="420" w:hangingChars="200"/>
        <w:jc w:val="left"/>
      </w:pPr>
      <w:r>
        <w:rPr>
          <w:rFonts w:hint="eastAsia" w:hAnsi="宋体"/>
          <w:bCs/>
          <w:szCs w:val="21"/>
        </w:rPr>
        <w:t>其他应予说明的事项</w:t>
      </w:r>
    </w:p>
    <w:p>
      <w:pPr>
        <w:pStyle w:val="58"/>
        <w:spacing w:line="300" w:lineRule="auto"/>
        <w:ind w:firstLineChars="0"/>
        <w:contextualSpacing/>
        <w:rPr>
          <w:rFonts w:ascii="Times New Roman" w:hAnsi="Times New Roman"/>
          <w:szCs w:val="21"/>
        </w:rPr>
      </w:pPr>
      <w:r>
        <w:rPr>
          <w:rFonts w:hint="eastAsia"/>
          <w:szCs w:val="21"/>
        </w:rPr>
        <w:t>（无）。</w:t>
      </w:r>
    </w:p>
    <w:p>
      <w:pPr>
        <w:pStyle w:val="58"/>
        <w:spacing w:line="300" w:lineRule="auto"/>
        <w:ind w:firstLineChars="0"/>
        <w:contextualSpacing/>
        <w:jc w:val="right"/>
        <w:rPr>
          <w:rFonts w:ascii="Times New Roman" w:hAnsi="Times New Roman"/>
          <w:szCs w:val="21"/>
        </w:rPr>
      </w:pPr>
      <w:r>
        <w:rPr>
          <w:rFonts w:ascii="Times New Roman" w:hAnsi="Times New Roman" w:eastAsia="黑体"/>
          <w:bCs/>
        </w:rPr>
        <w:t xml:space="preserve">  </w:t>
      </w:r>
      <w:r>
        <w:rPr>
          <w:rFonts w:ascii="Times New Roman" w:hAnsi="Times New Roman" w:eastAsia="方正行楷简体"/>
          <w:bCs/>
          <w:szCs w:val="21"/>
        </w:rPr>
        <w:t>《</w:t>
      </w:r>
      <w:r>
        <w:rPr>
          <w:rFonts w:hint="eastAsia"/>
        </w:rPr>
        <w:t>相控阵超声检测标准试块</w:t>
      </w:r>
      <w:r>
        <w:rPr>
          <w:rFonts w:ascii="Times New Roman" w:hAnsi="Times New Roman"/>
          <w:szCs w:val="21"/>
        </w:rPr>
        <w:t>校准规范</w:t>
      </w:r>
      <w:r>
        <w:rPr>
          <w:rFonts w:ascii="Times New Roman" w:hAnsi="Times New Roman" w:eastAsia="方正行楷简体"/>
          <w:bCs/>
          <w:szCs w:val="21"/>
        </w:rPr>
        <w:t>》编制组  202</w:t>
      </w:r>
      <w:r>
        <w:rPr>
          <w:rFonts w:hint="eastAsia" w:ascii="Times New Roman" w:hAnsi="Times New Roman" w:eastAsia="方正行楷简体"/>
          <w:bCs/>
          <w:szCs w:val="21"/>
        </w:rPr>
        <w:t>3</w:t>
      </w:r>
      <w:r>
        <w:rPr>
          <w:rFonts w:ascii="Times New Roman" w:hAnsi="Times New Roman" w:eastAsia="方正行楷简体"/>
          <w:bCs/>
          <w:szCs w:val="21"/>
        </w:rPr>
        <w:t>年</w:t>
      </w:r>
      <w:r>
        <w:rPr>
          <w:rFonts w:hint="eastAsia" w:ascii="Times New Roman" w:hAnsi="Times New Roman" w:eastAsia="方正行楷简体"/>
          <w:bCs/>
          <w:szCs w:val="21"/>
        </w:rPr>
        <w:t>09</w:t>
      </w:r>
      <w:r>
        <w:rPr>
          <w:rFonts w:ascii="Times New Roman" w:hAnsi="Times New Roman" w:eastAsia="方正行楷简体"/>
          <w:bCs/>
          <w:szCs w:val="21"/>
        </w:rPr>
        <w:t>月</w:t>
      </w:r>
    </w:p>
    <w:p>
      <w:pPr>
        <w:pStyle w:val="58"/>
        <w:spacing w:line="300" w:lineRule="auto"/>
        <w:ind w:firstLine="420"/>
        <w:contextualSpacing/>
        <w:rPr>
          <w:szCs w:val="21"/>
        </w:rPr>
      </w:pP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45"/>
      </w:rPr>
    </w:pPr>
    <w:r>
      <w:rPr>
        <w:rStyle w:val="45"/>
      </w:rPr>
      <w:fldChar w:fldCharType="begin"/>
    </w:r>
    <w:r>
      <w:rPr>
        <w:rStyle w:val="45"/>
      </w:rPr>
      <w:instrText xml:space="preserve">PAGE  </w:instrText>
    </w:r>
    <w:r>
      <w:rPr>
        <w:rStyle w:val="45"/>
      </w:rPr>
      <w:fldChar w:fldCharType="separate"/>
    </w:r>
    <w:r>
      <w:rPr>
        <w:rStyle w:val="45"/>
      </w:rPr>
      <w:t>I</w:t>
    </w:r>
    <w:r>
      <w:rPr>
        <w:rStyle w:val="4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rPr>
        <w:rStyle w:val="45"/>
      </w:rPr>
    </w:pPr>
    <w:r>
      <w:rPr>
        <w:rStyle w:val="45"/>
      </w:rPr>
      <w:fldChar w:fldCharType="begin"/>
    </w:r>
    <w:r>
      <w:rPr>
        <w:rStyle w:val="45"/>
      </w:rPr>
      <w:instrText xml:space="preserve">PAGE  </w:instrText>
    </w:r>
    <w:r>
      <w:rPr>
        <w:rStyle w:val="45"/>
      </w:rPr>
      <w:fldChar w:fldCharType="separate"/>
    </w:r>
    <w:r>
      <w:rPr>
        <w:rStyle w:val="45"/>
      </w:rPr>
      <w:t>II</w:t>
    </w:r>
    <w:r>
      <w:rPr>
        <w:rStyle w:val="4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jc w:val="center"/>
      <w:rPr>
        <w:rStyle w:val="45"/>
      </w:rPr>
    </w:pPr>
    <w:r>
      <w:fldChar w:fldCharType="begin"/>
    </w:r>
    <w:r>
      <w:rPr>
        <w:rStyle w:val="45"/>
      </w:rPr>
      <w:instrText xml:space="preserve">PAGE  </w:instrText>
    </w:r>
    <w:r>
      <w:fldChar w:fldCharType="separate"/>
    </w:r>
    <w:r>
      <w:rPr>
        <w:rStyle w:val="45"/>
      </w:rPr>
      <w:t>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none"/>
      <w:pStyle w:val="8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none"/>
      <w:pStyle w:val="10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0"/>
    <w:multiLevelType w:val="multilevel"/>
    <w:tmpl w:val="00000010"/>
    <w:lvl w:ilvl="0" w:tentative="0">
      <w:start w:val="1"/>
      <w:numFmt w:val="none"/>
      <w:pStyle w:val="9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8"/>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116"/>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8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14"/>
    <w:multiLevelType w:val="multilevel"/>
    <w:tmpl w:val="00000014"/>
    <w:lvl w:ilvl="0" w:tentative="0">
      <w:start w:val="1"/>
      <w:numFmt w:val="none"/>
      <w:pStyle w:val="115"/>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5"/>
    <w:multiLevelType w:val="multilevel"/>
    <w:tmpl w:val="00000015"/>
    <w:lvl w:ilvl="0" w:tentative="0">
      <w:start w:val="1"/>
      <w:numFmt w:val="upperLetter"/>
      <w:pStyle w:val="6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9"/>
      <w:lvlText w:val="（%2）"/>
      <w:lvlJc w:val="left"/>
      <w:pPr>
        <w:ind w:left="0" w:firstLine="0"/>
      </w:pPr>
      <w:rPr>
        <w:rFonts w:hint="default"/>
        <w:b w:val="0"/>
        <w:i w:val="0"/>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102"/>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9"/>
    <w:multiLevelType w:val="multilevel"/>
    <w:tmpl w:val="00000019"/>
    <w:lvl w:ilvl="0" w:tentative="0">
      <w:start w:val="1"/>
      <w:numFmt w:val="decimal"/>
      <w:pStyle w:val="107"/>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7">
    <w:nsid w:val="00000022"/>
    <w:multiLevelType w:val="multilevel"/>
    <w:tmpl w:val="00000022"/>
    <w:lvl w:ilvl="0" w:tentative="0">
      <w:start w:val="1"/>
      <w:numFmt w:val="decimal"/>
      <w:pStyle w:val="90"/>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0000025"/>
    <w:multiLevelType w:val="multilevel"/>
    <w:tmpl w:val="00000025"/>
    <w:lvl w:ilvl="0" w:tentative="0">
      <w:start w:val="1"/>
      <w:numFmt w:val="none"/>
      <w:pStyle w:val="66"/>
      <w:suff w:val="nothing"/>
      <w:lvlText w:val="%1"/>
      <w:lvlJc w:val="left"/>
      <w:pPr>
        <w:ind w:left="0" w:firstLine="0"/>
      </w:pPr>
      <w:rPr>
        <w:rFonts w:hint="default" w:ascii="Times New Roman" w:hAnsi="Times New Roman"/>
        <w:b/>
        <w:i w:val="0"/>
        <w:sz w:val="21"/>
      </w:rPr>
    </w:lvl>
    <w:lvl w:ilvl="1" w:tentative="0">
      <w:start w:val="1"/>
      <w:numFmt w:val="decimal"/>
      <w:pStyle w:val="61"/>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59"/>
      <w:suff w:val="nothing"/>
      <w:lvlText w:val="%1%2.%3.%4　"/>
      <w:lvlJc w:val="left"/>
      <w:pPr>
        <w:ind w:left="284" w:firstLine="0"/>
      </w:pPr>
      <w:rPr>
        <w:rFonts w:hint="eastAsia" w:ascii="黑体" w:hAnsi="Times New Roman" w:eastAsia="黑体"/>
        <w:b w:val="0"/>
        <w:i w:val="0"/>
        <w:sz w:val="21"/>
      </w:rPr>
    </w:lvl>
    <w:lvl w:ilvl="4" w:tentative="0">
      <w:start w:val="1"/>
      <w:numFmt w:val="decimal"/>
      <w:pStyle w:val="71"/>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70"/>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7"/>
    <w:multiLevelType w:val="multilevel"/>
    <w:tmpl w:val="00000027"/>
    <w:lvl w:ilvl="0" w:tentative="0">
      <w:start w:val="1"/>
      <w:numFmt w:val="none"/>
      <w:pStyle w:val="7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97947F5"/>
    <w:multiLevelType w:val="multilevel"/>
    <w:tmpl w:val="297947F5"/>
    <w:lvl w:ilvl="0" w:tentative="0">
      <w:start w:val="1"/>
      <w:numFmt w:val="japaneseCounting"/>
      <w:lvlText w:val="%1、"/>
      <w:lvlJc w:val="left"/>
      <w:pPr>
        <w:ind w:left="127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9D2325A"/>
    <w:multiLevelType w:val="multilevel"/>
    <w:tmpl w:val="49D2325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5"/>
  </w:num>
  <w:num w:numId="3">
    <w:abstractNumId w:val="9"/>
  </w:num>
  <w:num w:numId="4">
    <w:abstractNumId w:val="0"/>
  </w:num>
  <w:num w:numId="5">
    <w:abstractNumId w:val="3"/>
  </w:num>
  <w:num w:numId="6">
    <w:abstractNumId w:val="7"/>
  </w:num>
  <w:num w:numId="7">
    <w:abstractNumId w:val="2"/>
  </w:num>
  <w:num w:numId="8">
    <w:abstractNumId w:val="6"/>
  </w:num>
  <w:num w:numId="9">
    <w:abstractNumId w:val="1"/>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hideSpellingError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iNTg2YzQ4NGM3YzRkNjI3ZjdmMDk5YjVlNDk5YWUifQ=="/>
  </w:docVars>
  <w:rsids>
    <w:rsidRoot w:val="00693668"/>
    <w:rsid w:val="000038F0"/>
    <w:rsid w:val="00004648"/>
    <w:rsid w:val="00014C66"/>
    <w:rsid w:val="000211BF"/>
    <w:rsid w:val="000237D4"/>
    <w:rsid w:val="000309D7"/>
    <w:rsid w:val="00032F98"/>
    <w:rsid w:val="00034584"/>
    <w:rsid w:val="00036A21"/>
    <w:rsid w:val="00036F02"/>
    <w:rsid w:val="0004299E"/>
    <w:rsid w:val="00043D6D"/>
    <w:rsid w:val="0005764E"/>
    <w:rsid w:val="000657B2"/>
    <w:rsid w:val="0006679C"/>
    <w:rsid w:val="0007070D"/>
    <w:rsid w:val="00073A74"/>
    <w:rsid w:val="00084878"/>
    <w:rsid w:val="000971D5"/>
    <w:rsid w:val="000B164B"/>
    <w:rsid w:val="000C772A"/>
    <w:rsid w:val="000F15FB"/>
    <w:rsid w:val="000F714B"/>
    <w:rsid w:val="00100912"/>
    <w:rsid w:val="00104CBC"/>
    <w:rsid w:val="001164A0"/>
    <w:rsid w:val="0012155C"/>
    <w:rsid w:val="00122AD8"/>
    <w:rsid w:val="00136813"/>
    <w:rsid w:val="0014120B"/>
    <w:rsid w:val="00150062"/>
    <w:rsid w:val="001527ED"/>
    <w:rsid w:val="001859F4"/>
    <w:rsid w:val="0019431C"/>
    <w:rsid w:val="001A4F75"/>
    <w:rsid w:val="001C13CE"/>
    <w:rsid w:val="001C4235"/>
    <w:rsid w:val="001C7BB8"/>
    <w:rsid w:val="001D0501"/>
    <w:rsid w:val="001E0288"/>
    <w:rsid w:val="001E09C6"/>
    <w:rsid w:val="00235374"/>
    <w:rsid w:val="00247A7D"/>
    <w:rsid w:val="00255EB1"/>
    <w:rsid w:val="002732FF"/>
    <w:rsid w:val="00275F7A"/>
    <w:rsid w:val="00280BE9"/>
    <w:rsid w:val="002849BB"/>
    <w:rsid w:val="00291548"/>
    <w:rsid w:val="002977EC"/>
    <w:rsid w:val="002A1305"/>
    <w:rsid w:val="002B0B27"/>
    <w:rsid w:val="002D0634"/>
    <w:rsid w:val="002D2103"/>
    <w:rsid w:val="002E6C19"/>
    <w:rsid w:val="002F4E61"/>
    <w:rsid w:val="003012C4"/>
    <w:rsid w:val="00305CB9"/>
    <w:rsid w:val="00307A90"/>
    <w:rsid w:val="00314BA2"/>
    <w:rsid w:val="0032338B"/>
    <w:rsid w:val="0033057E"/>
    <w:rsid w:val="003318C1"/>
    <w:rsid w:val="00335FEC"/>
    <w:rsid w:val="0034125E"/>
    <w:rsid w:val="00352269"/>
    <w:rsid w:val="00366AF1"/>
    <w:rsid w:val="00373555"/>
    <w:rsid w:val="00397407"/>
    <w:rsid w:val="003B0148"/>
    <w:rsid w:val="003C2376"/>
    <w:rsid w:val="003C685D"/>
    <w:rsid w:val="003E10E7"/>
    <w:rsid w:val="003E237F"/>
    <w:rsid w:val="003F2C11"/>
    <w:rsid w:val="00400BF2"/>
    <w:rsid w:val="0040777C"/>
    <w:rsid w:val="00411DC2"/>
    <w:rsid w:val="00415481"/>
    <w:rsid w:val="004257BB"/>
    <w:rsid w:val="00425D1F"/>
    <w:rsid w:val="00441576"/>
    <w:rsid w:val="004508BB"/>
    <w:rsid w:val="00455FE9"/>
    <w:rsid w:val="00457C52"/>
    <w:rsid w:val="0046211B"/>
    <w:rsid w:val="00464019"/>
    <w:rsid w:val="0048362B"/>
    <w:rsid w:val="00497039"/>
    <w:rsid w:val="004A27E5"/>
    <w:rsid w:val="004B1DE2"/>
    <w:rsid w:val="004B3BD5"/>
    <w:rsid w:val="004C6FDF"/>
    <w:rsid w:val="004E1361"/>
    <w:rsid w:val="004E4C45"/>
    <w:rsid w:val="004E5080"/>
    <w:rsid w:val="00521FA9"/>
    <w:rsid w:val="0052761B"/>
    <w:rsid w:val="005305AE"/>
    <w:rsid w:val="00531FA0"/>
    <w:rsid w:val="00536268"/>
    <w:rsid w:val="00536BFA"/>
    <w:rsid w:val="005535AA"/>
    <w:rsid w:val="0055489A"/>
    <w:rsid w:val="00556AC4"/>
    <w:rsid w:val="005608DA"/>
    <w:rsid w:val="00567271"/>
    <w:rsid w:val="005709C3"/>
    <w:rsid w:val="0059121E"/>
    <w:rsid w:val="005B3A80"/>
    <w:rsid w:val="005B5BAB"/>
    <w:rsid w:val="005C0BE7"/>
    <w:rsid w:val="005C2448"/>
    <w:rsid w:val="005C769A"/>
    <w:rsid w:val="005E67C7"/>
    <w:rsid w:val="005F42DD"/>
    <w:rsid w:val="00601ADF"/>
    <w:rsid w:val="00606487"/>
    <w:rsid w:val="00623451"/>
    <w:rsid w:val="00624A40"/>
    <w:rsid w:val="00625140"/>
    <w:rsid w:val="00627726"/>
    <w:rsid w:val="00633572"/>
    <w:rsid w:val="00636E32"/>
    <w:rsid w:val="00637AB5"/>
    <w:rsid w:val="00644C6D"/>
    <w:rsid w:val="006510D6"/>
    <w:rsid w:val="00660A77"/>
    <w:rsid w:val="00667FDB"/>
    <w:rsid w:val="00672533"/>
    <w:rsid w:val="006738AA"/>
    <w:rsid w:val="006820CD"/>
    <w:rsid w:val="00682363"/>
    <w:rsid w:val="00683E68"/>
    <w:rsid w:val="00686643"/>
    <w:rsid w:val="00693668"/>
    <w:rsid w:val="006B1ACB"/>
    <w:rsid w:val="006B3185"/>
    <w:rsid w:val="006B43C4"/>
    <w:rsid w:val="006C188A"/>
    <w:rsid w:val="006C2258"/>
    <w:rsid w:val="006C2AF8"/>
    <w:rsid w:val="006D1B98"/>
    <w:rsid w:val="006D7E99"/>
    <w:rsid w:val="006E11F0"/>
    <w:rsid w:val="00720375"/>
    <w:rsid w:val="00724E03"/>
    <w:rsid w:val="00733C71"/>
    <w:rsid w:val="00735A75"/>
    <w:rsid w:val="007373AB"/>
    <w:rsid w:val="00740702"/>
    <w:rsid w:val="00743BA2"/>
    <w:rsid w:val="00743BAC"/>
    <w:rsid w:val="00745D17"/>
    <w:rsid w:val="00746BAC"/>
    <w:rsid w:val="00750ED3"/>
    <w:rsid w:val="00764D0A"/>
    <w:rsid w:val="00765621"/>
    <w:rsid w:val="00781F5A"/>
    <w:rsid w:val="007901C0"/>
    <w:rsid w:val="007902D1"/>
    <w:rsid w:val="007A3BEE"/>
    <w:rsid w:val="007B76C7"/>
    <w:rsid w:val="007C15E3"/>
    <w:rsid w:val="007E56C9"/>
    <w:rsid w:val="00804BC8"/>
    <w:rsid w:val="00820F69"/>
    <w:rsid w:val="00824B04"/>
    <w:rsid w:val="008461B6"/>
    <w:rsid w:val="0085122B"/>
    <w:rsid w:val="0086056F"/>
    <w:rsid w:val="0086378F"/>
    <w:rsid w:val="008754EE"/>
    <w:rsid w:val="00876D87"/>
    <w:rsid w:val="008B22FC"/>
    <w:rsid w:val="008C672E"/>
    <w:rsid w:val="008E415E"/>
    <w:rsid w:val="008F5DCA"/>
    <w:rsid w:val="009052E4"/>
    <w:rsid w:val="009111C1"/>
    <w:rsid w:val="00913ED1"/>
    <w:rsid w:val="00933D2C"/>
    <w:rsid w:val="00946B7D"/>
    <w:rsid w:val="009513C5"/>
    <w:rsid w:val="00954DA4"/>
    <w:rsid w:val="00967A11"/>
    <w:rsid w:val="00971240"/>
    <w:rsid w:val="009A12AB"/>
    <w:rsid w:val="009B4929"/>
    <w:rsid w:val="009C0597"/>
    <w:rsid w:val="009C2D10"/>
    <w:rsid w:val="009D79FA"/>
    <w:rsid w:val="009E3D09"/>
    <w:rsid w:val="009F420F"/>
    <w:rsid w:val="00A06113"/>
    <w:rsid w:val="00A11A21"/>
    <w:rsid w:val="00A12727"/>
    <w:rsid w:val="00A1378A"/>
    <w:rsid w:val="00A1497C"/>
    <w:rsid w:val="00A15577"/>
    <w:rsid w:val="00A3211C"/>
    <w:rsid w:val="00A363F7"/>
    <w:rsid w:val="00A40E4F"/>
    <w:rsid w:val="00A47FE2"/>
    <w:rsid w:val="00A56163"/>
    <w:rsid w:val="00A77511"/>
    <w:rsid w:val="00A7790F"/>
    <w:rsid w:val="00A8043A"/>
    <w:rsid w:val="00A8426B"/>
    <w:rsid w:val="00A86AF0"/>
    <w:rsid w:val="00A87866"/>
    <w:rsid w:val="00AC0924"/>
    <w:rsid w:val="00AD093B"/>
    <w:rsid w:val="00AE0B35"/>
    <w:rsid w:val="00AE47AC"/>
    <w:rsid w:val="00AF7111"/>
    <w:rsid w:val="00B056DA"/>
    <w:rsid w:val="00B05E25"/>
    <w:rsid w:val="00B07D3B"/>
    <w:rsid w:val="00B369B6"/>
    <w:rsid w:val="00B43636"/>
    <w:rsid w:val="00B45E9C"/>
    <w:rsid w:val="00B53389"/>
    <w:rsid w:val="00B60FA7"/>
    <w:rsid w:val="00B614F2"/>
    <w:rsid w:val="00B706F7"/>
    <w:rsid w:val="00B7116A"/>
    <w:rsid w:val="00B75677"/>
    <w:rsid w:val="00B817F8"/>
    <w:rsid w:val="00BB316D"/>
    <w:rsid w:val="00BB4554"/>
    <w:rsid w:val="00BB7985"/>
    <w:rsid w:val="00BC66A0"/>
    <w:rsid w:val="00BC6B82"/>
    <w:rsid w:val="00BF4703"/>
    <w:rsid w:val="00C03A4F"/>
    <w:rsid w:val="00C058B2"/>
    <w:rsid w:val="00C10883"/>
    <w:rsid w:val="00C113A5"/>
    <w:rsid w:val="00C2681C"/>
    <w:rsid w:val="00C27739"/>
    <w:rsid w:val="00C40CAE"/>
    <w:rsid w:val="00C5059F"/>
    <w:rsid w:val="00C53BDD"/>
    <w:rsid w:val="00C5550F"/>
    <w:rsid w:val="00C57BAB"/>
    <w:rsid w:val="00C66C85"/>
    <w:rsid w:val="00C70EA3"/>
    <w:rsid w:val="00C7537E"/>
    <w:rsid w:val="00C8056F"/>
    <w:rsid w:val="00C81A49"/>
    <w:rsid w:val="00C86EE5"/>
    <w:rsid w:val="00CB750D"/>
    <w:rsid w:val="00CB7CDF"/>
    <w:rsid w:val="00CC3C55"/>
    <w:rsid w:val="00CC3DDD"/>
    <w:rsid w:val="00CC491D"/>
    <w:rsid w:val="00CC52E3"/>
    <w:rsid w:val="00CD2D13"/>
    <w:rsid w:val="00CD759E"/>
    <w:rsid w:val="00CF3CAA"/>
    <w:rsid w:val="00D01726"/>
    <w:rsid w:val="00D16568"/>
    <w:rsid w:val="00D17115"/>
    <w:rsid w:val="00D436F5"/>
    <w:rsid w:val="00D6471A"/>
    <w:rsid w:val="00D81C1D"/>
    <w:rsid w:val="00D85454"/>
    <w:rsid w:val="00D86648"/>
    <w:rsid w:val="00D903E4"/>
    <w:rsid w:val="00DA22D1"/>
    <w:rsid w:val="00DB4F65"/>
    <w:rsid w:val="00DD6769"/>
    <w:rsid w:val="00DD7D39"/>
    <w:rsid w:val="00DE144C"/>
    <w:rsid w:val="00E019C6"/>
    <w:rsid w:val="00E22714"/>
    <w:rsid w:val="00E23465"/>
    <w:rsid w:val="00E31A7B"/>
    <w:rsid w:val="00E32480"/>
    <w:rsid w:val="00E71DCC"/>
    <w:rsid w:val="00E82471"/>
    <w:rsid w:val="00E911BC"/>
    <w:rsid w:val="00EB2994"/>
    <w:rsid w:val="00EC149D"/>
    <w:rsid w:val="00ED5F91"/>
    <w:rsid w:val="00EE5988"/>
    <w:rsid w:val="00F10C9E"/>
    <w:rsid w:val="00F32186"/>
    <w:rsid w:val="00F3447A"/>
    <w:rsid w:val="00F45BA8"/>
    <w:rsid w:val="00F507FB"/>
    <w:rsid w:val="00F5644A"/>
    <w:rsid w:val="00F7167F"/>
    <w:rsid w:val="00F71F31"/>
    <w:rsid w:val="00F80059"/>
    <w:rsid w:val="00F812C6"/>
    <w:rsid w:val="00F91E84"/>
    <w:rsid w:val="00FA4CA4"/>
    <w:rsid w:val="00FA6198"/>
    <w:rsid w:val="00FC7BF3"/>
    <w:rsid w:val="00FD235D"/>
    <w:rsid w:val="00FD7FCA"/>
    <w:rsid w:val="00FE0C1C"/>
    <w:rsid w:val="00FE17CA"/>
    <w:rsid w:val="00FE1932"/>
    <w:rsid w:val="00FE1A74"/>
    <w:rsid w:val="00FF5630"/>
    <w:rsid w:val="01391B68"/>
    <w:rsid w:val="02F703B0"/>
    <w:rsid w:val="07DC0ED5"/>
    <w:rsid w:val="0904785D"/>
    <w:rsid w:val="09573966"/>
    <w:rsid w:val="0A781AE7"/>
    <w:rsid w:val="0CCA0314"/>
    <w:rsid w:val="0D975F7E"/>
    <w:rsid w:val="12995D7D"/>
    <w:rsid w:val="14317D7D"/>
    <w:rsid w:val="14FE0CE9"/>
    <w:rsid w:val="158E7867"/>
    <w:rsid w:val="174C2AB4"/>
    <w:rsid w:val="1F5A1A25"/>
    <w:rsid w:val="1F714057"/>
    <w:rsid w:val="208E75B3"/>
    <w:rsid w:val="218A16C9"/>
    <w:rsid w:val="21BE3478"/>
    <w:rsid w:val="21D04080"/>
    <w:rsid w:val="22423DCF"/>
    <w:rsid w:val="23A74BBD"/>
    <w:rsid w:val="23D43A72"/>
    <w:rsid w:val="283100D1"/>
    <w:rsid w:val="29846CB3"/>
    <w:rsid w:val="29E46257"/>
    <w:rsid w:val="2A4110A1"/>
    <w:rsid w:val="2AB85E2C"/>
    <w:rsid w:val="2C281A12"/>
    <w:rsid w:val="2F4F68AC"/>
    <w:rsid w:val="2FBE527A"/>
    <w:rsid w:val="31B57A58"/>
    <w:rsid w:val="325F3B1A"/>
    <w:rsid w:val="34745E77"/>
    <w:rsid w:val="36AE69D8"/>
    <w:rsid w:val="38B6063A"/>
    <w:rsid w:val="39E63C45"/>
    <w:rsid w:val="3A910669"/>
    <w:rsid w:val="3BFA1058"/>
    <w:rsid w:val="3EBA5BC3"/>
    <w:rsid w:val="420E5348"/>
    <w:rsid w:val="44100726"/>
    <w:rsid w:val="44347A9B"/>
    <w:rsid w:val="456D3D97"/>
    <w:rsid w:val="45E87405"/>
    <w:rsid w:val="46474D73"/>
    <w:rsid w:val="464E6392"/>
    <w:rsid w:val="48BE5C4B"/>
    <w:rsid w:val="48D21D3E"/>
    <w:rsid w:val="49214E6F"/>
    <w:rsid w:val="4D432356"/>
    <w:rsid w:val="4E3430C7"/>
    <w:rsid w:val="51553DA4"/>
    <w:rsid w:val="52A97DDB"/>
    <w:rsid w:val="56154CA2"/>
    <w:rsid w:val="58B15E13"/>
    <w:rsid w:val="59A53384"/>
    <w:rsid w:val="5A931503"/>
    <w:rsid w:val="5A971C98"/>
    <w:rsid w:val="5AFA5C95"/>
    <w:rsid w:val="5CDE078E"/>
    <w:rsid w:val="5DC655CC"/>
    <w:rsid w:val="5F776EED"/>
    <w:rsid w:val="605176D9"/>
    <w:rsid w:val="63F828E6"/>
    <w:rsid w:val="654D6460"/>
    <w:rsid w:val="6A185E9C"/>
    <w:rsid w:val="6AB57C02"/>
    <w:rsid w:val="6B27051F"/>
    <w:rsid w:val="6B753BDA"/>
    <w:rsid w:val="6B770841"/>
    <w:rsid w:val="6E8A0C2B"/>
    <w:rsid w:val="6EF60757"/>
    <w:rsid w:val="70FA146A"/>
    <w:rsid w:val="710228B1"/>
    <w:rsid w:val="73A7009A"/>
    <w:rsid w:val="73B95B2E"/>
    <w:rsid w:val="74130018"/>
    <w:rsid w:val="77CE2BEC"/>
    <w:rsid w:val="7AC757F1"/>
    <w:rsid w:val="7BA80065"/>
    <w:rsid w:val="7D700DB4"/>
    <w:rsid w:val="7E071551"/>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qFormat="1" w:uiPriority="99"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5"/>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06"/>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307"/>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0"/>
  </w:style>
  <w:style w:type="paragraph" w:styleId="12">
    <w:name w:val="toc 6"/>
    <w:basedOn w:val="13"/>
    <w:next w:val="1"/>
    <w:qFormat/>
    <w:uiPriority w:val="0"/>
  </w:style>
  <w:style w:type="paragraph" w:styleId="13">
    <w:name w:val="toc 5"/>
    <w:basedOn w:val="14"/>
    <w:next w:val="1"/>
    <w:qFormat/>
    <w:uiPriority w:val="0"/>
  </w:style>
  <w:style w:type="paragraph" w:styleId="14">
    <w:name w:val="toc 4"/>
    <w:basedOn w:val="15"/>
    <w:next w:val="1"/>
    <w:qFormat/>
    <w:uiPriority w:val="0"/>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annotation text"/>
    <w:basedOn w:val="1"/>
    <w:link w:val="288"/>
    <w:qFormat/>
    <w:uiPriority w:val="0"/>
    <w:pPr>
      <w:jc w:val="left"/>
    </w:pPr>
  </w:style>
  <w:style w:type="paragraph" w:styleId="21">
    <w:name w:val="Body Text"/>
    <w:basedOn w:val="1"/>
    <w:link w:val="283"/>
    <w:qFormat/>
    <w:uiPriority w:val="0"/>
    <w:pPr>
      <w:spacing w:after="120"/>
    </w:pPr>
  </w:style>
  <w:style w:type="paragraph" w:styleId="22">
    <w:name w:val="Body Text Indent"/>
    <w:basedOn w:val="1"/>
    <w:link w:val="286"/>
    <w:qFormat/>
    <w:uiPriority w:val="0"/>
    <w:pPr>
      <w:spacing w:line="360" w:lineRule="exact"/>
      <w:ind w:left="420" w:firstLine="480"/>
    </w:pPr>
    <w:rPr>
      <w:sz w:val="24"/>
      <w:szCs w:val="20"/>
    </w:rPr>
  </w:style>
  <w:style w:type="paragraph" w:styleId="23">
    <w:name w:val="HTML Address"/>
    <w:basedOn w:val="1"/>
    <w:qFormat/>
    <w:uiPriority w:val="0"/>
    <w:rPr>
      <w:i/>
      <w:iCs/>
    </w:rPr>
  </w:style>
  <w:style w:type="paragraph" w:styleId="24">
    <w:name w:val="Plain Text"/>
    <w:basedOn w:val="1"/>
    <w:link w:val="280"/>
    <w:qFormat/>
    <w:uiPriority w:val="99"/>
    <w:rPr>
      <w:rFonts w:ascii="宋体" w:hAnsi="Courier New"/>
      <w:szCs w:val="21"/>
    </w:rPr>
  </w:style>
  <w:style w:type="paragraph" w:styleId="25">
    <w:name w:val="toc 8"/>
    <w:basedOn w:val="11"/>
    <w:next w:val="1"/>
    <w:qFormat/>
    <w:uiPriority w:val="0"/>
  </w:style>
  <w:style w:type="paragraph" w:styleId="26">
    <w:name w:val="Date"/>
    <w:basedOn w:val="1"/>
    <w:next w:val="1"/>
    <w:link w:val="292"/>
    <w:qFormat/>
    <w:uiPriority w:val="99"/>
    <w:pPr>
      <w:ind w:left="100" w:leftChars="2500"/>
    </w:pPr>
    <w:rPr>
      <w:sz w:val="24"/>
      <w:szCs w:val="20"/>
    </w:rPr>
  </w:style>
  <w:style w:type="paragraph" w:styleId="27">
    <w:name w:val="Body Text Indent 2"/>
    <w:basedOn w:val="1"/>
    <w:link w:val="291"/>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2"/>
    <w:qFormat/>
    <w:uiPriority w:val="0"/>
    <w:rPr>
      <w:sz w:val="18"/>
      <w:szCs w:val="18"/>
    </w:rPr>
  </w:style>
  <w:style w:type="paragraph" w:styleId="30">
    <w:name w:val="footer"/>
    <w:basedOn w:val="1"/>
    <w:link w:val="285"/>
    <w:qFormat/>
    <w:uiPriority w:val="0"/>
    <w:pPr>
      <w:tabs>
        <w:tab w:val="center" w:pos="4153"/>
        <w:tab w:val="right" w:pos="8306"/>
      </w:tabs>
      <w:snapToGrid w:val="0"/>
      <w:ind w:right="210" w:rightChars="100"/>
      <w:jc w:val="right"/>
    </w:pPr>
    <w:rPr>
      <w:sz w:val="18"/>
      <w:szCs w:val="18"/>
    </w:rPr>
  </w:style>
  <w:style w:type="paragraph" w:styleId="31">
    <w:name w:val="header"/>
    <w:basedOn w:val="1"/>
    <w:link w:val="290"/>
    <w:qFormat/>
    <w:uiPriority w:val="0"/>
    <w:pPr>
      <w:pBdr>
        <w:bottom w:val="single" w:color="auto" w:sz="6" w:space="1"/>
      </w:pBdr>
      <w:tabs>
        <w:tab w:val="center" w:pos="4153"/>
        <w:tab w:val="right" w:pos="8306"/>
      </w:tabs>
      <w:snapToGrid w:val="0"/>
      <w:jc w:val="center"/>
    </w:pPr>
    <w:rPr>
      <w:sz w:val="18"/>
      <w:szCs w:val="18"/>
    </w:rPr>
  </w:style>
  <w:style w:type="paragraph" w:styleId="32">
    <w:name w:val="footnote text"/>
    <w:basedOn w:val="1"/>
    <w:link w:val="309"/>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5"/>
    <w:next w:val="1"/>
    <w:qFormat/>
    <w:uiPriority w:val="0"/>
  </w:style>
  <w:style w:type="paragraph" w:styleId="35">
    <w:name w:val="Body Text 2"/>
    <w:basedOn w:val="1"/>
    <w:semiHidden/>
    <w:unhideWhenUsed/>
    <w:qFormat/>
    <w:uiPriority w:val="99"/>
    <w:pPr>
      <w:spacing w:after="120" w:line="480" w:lineRule="auto"/>
    </w:pPr>
  </w:style>
  <w:style w:type="paragraph" w:styleId="36">
    <w:name w:val="HTML Preformatted"/>
    <w:basedOn w:val="1"/>
    <w:qFormat/>
    <w:uiPriority w:val="0"/>
    <w:rPr>
      <w:rFonts w:ascii="Courier New" w:hAnsi="Courier New" w:cs="Courier New"/>
      <w:sz w:val="20"/>
      <w:szCs w:val="20"/>
    </w:rPr>
  </w:style>
  <w:style w:type="paragraph" w:styleId="3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8">
    <w:name w:val="Title"/>
    <w:basedOn w:val="1"/>
    <w:link w:val="308"/>
    <w:qFormat/>
    <w:uiPriority w:val="0"/>
    <w:pPr>
      <w:spacing w:before="240" w:after="60"/>
      <w:jc w:val="center"/>
      <w:outlineLvl w:val="0"/>
    </w:pPr>
    <w:rPr>
      <w:rFonts w:ascii="Arial" w:hAnsi="Arial" w:cs="Arial"/>
      <w:b/>
      <w:bCs/>
      <w:sz w:val="32"/>
      <w:szCs w:val="32"/>
    </w:rPr>
  </w:style>
  <w:style w:type="paragraph" w:styleId="39">
    <w:name w:val="annotation subject"/>
    <w:basedOn w:val="20"/>
    <w:next w:val="20"/>
    <w:link w:val="289"/>
    <w:qFormat/>
    <w:uiPriority w:val="0"/>
    <w:rPr>
      <w:b/>
      <w:bCs/>
    </w:rPr>
  </w:style>
  <w:style w:type="paragraph" w:styleId="40">
    <w:name w:val="Body Text First Indent"/>
    <w:basedOn w:val="21"/>
    <w:qFormat/>
    <w:uiPriority w:val="0"/>
    <w:pPr>
      <w:ind w:firstLine="420"/>
    </w:pPr>
    <w:rPr>
      <w:szCs w:val="20"/>
    </w:rPr>
  </w:style>
  <w:style w:type="table" w:styleId="42">
    <w:name w:val="Table Grid"/>
    <w:basedOn w:val="4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4">
    <w:name w:val="Strong"/>
    <w:qFormat/>
    <w:uiPriority w:val="22"/>
    <w:rPr>
      <w:b/>
      <w:bCs/>
    </w:rPr>
  </w:style>
  <w:style w:type="character" w:styleId="45">
    <w:name w:val="page number"/>
    <w:qFormat/>
    <w:uiPriority w:val="0"/>
    <w:rPr>
      <w:rFonts w:ascii="Times New Roman" w:hAnsi="Times New Roman" w:eastAsia="宋体"/>
      <w:sz w:val="18"/>
    </w:rPr>
  </w:style>
  <w:style w:type="character" w:styleId="46">
    <w:name w:val="FollowedHyperlink"/>
    <w:unhideWhenUsed/>
    <w:qFormat/>
    <w:uiPriority w:val="0"/>
    <w:rPr>
      <w:color w:val="800080"/>
      <w:u w:val="single"/>
    </w:rPr>
  </w:style>
  <w:style w:type="character" w:styleId="47">
    <w:name w:val="HTML Definition"/>
    <w:qFormat/>
    <w:uiPriority w:val="0"/>
    <w:rPr>
      <w:i/>
      <w:iCs/>
    </w:rPr>
  </w:style>
  <w:style w:type="character" w:styleId="48">
    <w:name w:val="HTML Typewriter"/>
    <w:qFormat/>
    <w:uiPriority w:val="0"/>
    <w:rPr>
      <w:rFonts w:ascii="Courier New" w:hAnsi="Courier New"/>
      <w:sz w:val="20"/>
      <w:szCs w:val="20"/>
    </w:rPr>
  </w:style>
  <w:style w:type="character" w:styleId="49">
    <w:name w:val="HTML Acronym"/>
    <w:basedOn w:val="43"/>
    <w:qFormat/>
    <w:uiPriority w:val="0"/>
  </w:style>
  <w:style w:type="character" w:styleId="50">
    <w:name w:val="HTML Variable"/>
    <w:qFormat/>
    <w:uiPriority w:val="0"/>
    <w:rPr>
      <w:i/>
      <w:iCs/>
    </w:rPr>
  </w:style>
  <w:style w:type="character" w:styleId="51">
    <w:name w:val="Hyperlink"/>
    <w:basedOn w:val="43"/>
    <w:qFormat/>
    <w:uiPriority w:val="99"/>
    <w:rPr>
      <w:rFonts w:ascii="Times New Roman" w:hAnsi="Times New Roman" w:eastAsia="宋体"/>
      <w:color w:val="auto"/>
      <w:spacing w:val="0"/>
      <w:w w:val="100"/>
      <w:position w:val="0"/>
      <w:sz w:val="21"/>
      <w:u w:val="none"/>
    </w:rPr>
  </w:style>
  <w:style w:type="character" w:styleId="52">
    <w:name w:val="HTML Code"/>
    <w:qFormat/>
    <w:uiPriority w:val="0"/>
    <w:rPr>
      <w:rFonts w:ascii="Courier New" w:hAnsi="Courier New"/>
      <w:sz w:val="20"/>
      <w:szCs w:val="20"/>
    </w:rPr>
  </w:style>
  <w:style w:type="character" w:styleId="53">
    <w:name w:val="annotation reference"/>
    <w:qFormat/>
    <w:uiPriority w:val="0"/>
    <w:rPr>
      <w:sz w:val="21"/>
      <w:szCs w:val="21"/>
    </w:rPr>
  </w:style>
  <w:style w:type="character" w:styleId="54">
    <w:name w:val="HTML Cite"/>
    <w:qFormat/>
    <w:uiPriority w:val="0"/>
    <w:rPr>
      <w:i/>
      <w:iCs/>
    </w:rPr>
  </w:style>
  <w:style w:type="character" w:styleId="55">
    <w:name w:val="footnote reference"/>
    <w:qFormat/>
    <w:uiPriority w:val="0"/>
    <w:rPr>
      <w:vertAlign w:val="superscript"/>
    </w:rPr>
  </w:style>
  <w:style w:type="character" w:styleId="56">
    <w:name w:val="HTML Keyboard"/>
    <w:qFormat/>
    <w:uiPriority w:val="0"/>
    <w:rPr>
      <w:rFonts w:ascii="Courier New" w:hAnsi="Courier New"/>
      <w:sz w:val="20"/>
      <w:szCs w:val="20"/>
    </w:rPr>
  </w:style>
  <w:style w:type="character" w:styleId="57">
    <w:name w:val="HTML Sample"/>
    <w:qFormat/>
    <w:uiPriority w:val="0"/>
    <w:rPr>
      <w:rFonts w:ascii="Courier New" w:hAnsi="Courier New"/>
    </w:rPr>
  </w:style>
  <w:style w:type="paragraph" w:customStyle="1" w:styleId="58">
    <w:name w:val="段"/>
    <w:link w:val="275"/>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9">
    <w:name w:val="二级条标题"/>
    <w:basedOn w:val="60"/>
    <w:next w:val="58"/>
    <w:link w:val="277"/>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60">
    <w:name w:val="一级条标题"/>
    <w:basedOn w:val="61"/>
    <w:next w:val="58"/>
    <w:link w:val="279"/>
    <w:qFormat/>
    <w:uiPriority w:val="0"/>
    <w:pPr>
      <w:numPr>
        <w:ilvl w:val="2"/>
      </w:numPr>
      <w:spacing w:beforeLines="0" w:afterLines="0" w:line="300" w:lineRule="auto"/>
      <w:outlineLvl w:val="2"/>
    </w:pPr>
    <w:rPr>
      <w:color w:val="FF0000"/>
      <w:spacing w:val="-4"/>
      <w:szCs w:val="24"/>
    </w:rPr>
  </w:style>
  <w:style w:type="paragraph" w:customStyle="1" w:styleId="61">
    <w:name w:val="章标题"/>
    <w:next w:val="58"/>
    <w:link w:val="278"/>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3">
    <w:name w:val="封面标准号2"/>
    <w:basedOn w:val="64"/>
    <w:qFormat/>
    <w:uiPriority w:val="0"/>
    <w:pPr>
      <w:adjustRightInd w:val="0"/>
      <w:spacing w:before="357" w:line="280" w:lineRule="exact"/>
    </w:pPr>
  </w:style>
  <w:style w:type="paragraph" w:customStyle="1" w:styleId="6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5">
    <w:name w:val="附录标识"/>
    <w:basedOn w:val="66"/>
    <w:link w:val="300"/>
    <w:qFormat/>
    <w:uiPriority w:val="0"/>
    <w:pPr>
      <w:numPr>
        <w:ilvl w:val="0"/>
        <w:numId w:val="2"/>
      </w:numPr>
      <w:tabs>
        <w:tab w:val="left" w:pos="6405"/>
      </w:tabs>
      <w:spacing w:after="200"/>
    </w:pPr>
    <w:rPr>
      <w:sz w:val="21"/>
    </w:rPr>
  </w:style>
  <w:style w:type="paragraph" w:customStyle="1" w:styleId="66">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发布部门"/>
    <w:next w:val="58"/>
    <w:qFormat/>
    <w:uiPriority w:val="0"/>
    <w:pPr>
      <w:jc w:val="center"/>
    </w:pPr>
    <w:rPr>
      <w:rFonts w:ascii="宋体" w:hAnsi="Times New Roman" w:eastAsia="宋体" w:cs="Times New Roman"/>
      <w:b/>
      <w:spacing w:val="20"/>
      <w:w w:val="135"/>
      <w:sz w:val="36"/>
      <w:lang w:val="en-US" w:eastAsia="zh-CN" w:bidi="ar-SA"/>
    </w:rPr>
  </w:style>
  <w:style w:type="paragraph" w:customStyle="1" w:styleId="6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0">
    <w:name w:val="四级条标题"/>
    <w:basedOn w:val="71"/>
    <w:next w:val="58"/>
    <w:qFormat/>
    <w:uiPriority w:val="0"/>
    <w:pPr>
      <w:numPr>
        <w:ilvl w:val="5"/>
      </w:numPr>
      <w:outlineLvl w:val="5"/>
    </w:pPr>
  </w:style>
  <w:style w:type="paragraph" w:customStyle="1" w:styleId="71">
    <w:name w:val="三级条标题"/>
    <w:basedOn w:val="59"/>
    <w:next w:val="58"/>
    <w:link w:val="281"/>
    <w:qFormat/>
    <w:uiPriority w:val="0"/>
    <w:pPr>
      <w:numPr>
        <w:ilvl w:val="4"/>
      </w:numPr>
      <w:outlineLvl w:val="4"/>
    </w:pPr>
  </w:style>
  <w:style w:type="paragraph" w:customStyle="1" w:styleId="72">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4">
    <w:name w:val="参考文献、索引标题"/>
    <w:basedOn w:val="66"/>
    <w:next w:val="1"/>
    <w:qFormat/>
    <w:uiPriority w:val="0"/>
    <w:pPr>
      <w:numPr>
        <w:numId w:val="0"/>
      </w:numPr>
      <w:spacing w:after="200"/>
    </w:pPr>
    <w:rPr>
      <w:sz w:val="21"/>
    </w:rPr>
  </w:style>
  <w:style w:type="paragraph" w:customStyle="1" w:styleId="75">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实施日期"/>
    <w:basedOn w:val="77"/>
    <w:qFormat/>
    <w:uiPriority w:val="0"/>
    <w:pPr>
      <w:jc w:val="right"/>
    </w:pPr>
  </w:style>
  <w:style w:type="paragraph" w:customStyle="1" w:styleId="77">
    <w:name w:val="发布日期"/>
    <w:qFormat/>
    <w:uiPriority w:val="0"/>
    <w:rPr>
      <w:rFonts w:ascii="Times New Roman" w:hAnsi="Times New Roman" w:eastAsia="黑体" w:cs="Times New Roman"/>
      <w:sz w:val="28"/>
      <w:lang w:val="en-US" w:eastAsia="zh-CN" w:bidi="ar-SA"/>
    </w:rPr>
  </w:style>
  <w:style w:type="paragraph" w:customStyle="1" w:styleId="78">
    <w:name w:val="条文脚注"/>
    <w:basedOn w:val="32"/>
    <w:qFormat/>
    <w:uiPriority w:val="0"/>
    <w:pPr>
      <w:ind w:left="780" w:leftChars="200" w:hanging="360" w:hangingChars="200"/>
      <w:jc w:val="both"/>
    </w:pPr>
    <w:rPr>
      <w:rFonts w:ascii="宋体"/>
    </w:rPr>
  </w:style>
  <w:style w:type="paragraph" w:customStyle="1" w:styleId="79">
    <w:name w:val="附录章标题"/>
    <w:next w:val="58"/>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2">
    <w:name w:val="图表脚注"/>
    <w:next w:val="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3">
    <w:name w:val="五级无标题条"/>
    <w:basedOn w:val="1"/>
    <w:qFormat/>
    <w:uiPriority w:val="0"/>
    <w:pPr>
      <w:numPr>
        <w:ilvl w:val="6"/>
        <w:numId w:val="5"/>
      </w:numPr>
    </w:pPr>
  </w:style>
  <w:style w:type="paragraph" w:customStyle="1" w:styleId="84">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5">
    <w:name w:val="Char"/>
    <w:basedOn w:val="1"/>
    <w:qFormat/>
    <w:uiPriority w:val="0"/>
    <w:pPr>
      <w:widowControl/>
      <w:spacing w:after="160" w:line="240" w:lineRule="exact"/>
      <w:jc w:val="left"/>
    </w:pPr>
  </w:style>
  <w:style w:type="paragraph" w:customStyle="1" w:styleId="86">
    <w:name w:val="无标题条"/>
    <w:next w:val="58"/>
    <w:qFormat/>
    <w:uiPriority w:val="0"/>
    <w:pPr>
      <w:jc w:val="both"/>
    </w:pPr>
    <w:rPr>
      <w:rFonts w:ascii="Times New Roman" w:hAnsi="Times New Roman" w:eastAsia="宋体" w:cs="Times New Roman"/>
      <w:sz w:val="21"/>
      <w:lang w:val="en-US" w:eastAsia="zh-CN" w:bidi="ar-SA"/>
    </w:rPr>
  </w:style>
  <w:style w:type="paragraph" w:customStyle="1" w:styleId="87">
    <w:name w:val="五级条标题"/>
    <w:basedOn w:val="70"/>
    <w:next w:val="58"/>
    <w:qFormat/>
    <w:uiPriority w:val="0"/>
    <w:pPr>
      <w:numPr>
        <w:ilvl w:val="6"/>
      </w:numPr>
      <w:outlineLvl w:val="6"/>
    </w:pPr>
  </w:style>
  <w:style w:type="paragraph" w:customStyle="1" w:styleId="88">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0">
    <w:name w:val="正文图标题"/>
    <w:next w:val="58"/>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1">
    <w:name w:val="注："/>
    <w:next w:val="58"/>
    <w:link w:val="284"/>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3">
    <w:name w:val="标准书眉_偶数页"/>
    <w:basedOn w:val="89"/>
    <w:next w:val="1"/>
    <w:qFormat/>
    <w:uiPriority w:val="0"/>
    <w:pPr>
      <w:jc w:val="left"/>
    </w:pPr>
  </w:style>
  <w:style w:type="paragraph" w:customStyle="1" w:styleId="94">
    <w:name w:val="二级无标题条"/>
    <w:basedOn w:val="1"/>
    <w:qFormat/>
    <w:uiPriority w:val="0"/>
    <w:pPr>
      <w:numPr>
        <w:ilvl w:val="3"/>
        <w:numId w:val="5"/>
      </w:numPr>
    </w:pPr>
  </w:style>
  <w:style w:type="paragraph" w:customStyle="1" w:styleId="95">
    <w:name w:val="附录表标题"/>
    <w:next w:val="58"/>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6">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8">
    <w:name w:val="封面正文"/>
    <w:qFormat/>
    <w:uiPriority w:val="0"/>
    <w:pPr>
      <w:jc w:val="both"/>
    </w:pPr>
    <w:rPr>
      <w:rFonts w:ascii="Times New Roman" w:hAnsi="Times New Roman" w:eastAsia="宋体" w:cs="Times New Roman"/>
      <w:lang w:val="en-US" w:eastAsia="zh-CN" w:bidi="ar-SA"/>
    </w:rPr>
  </w:style>
  <w:style w:type="paragraph" w:customStyle="1" w:styleId="99">
    <w:name w:val="附录五级条标题"/>
    <w:basedOn w:val="100"/>
    <w:next w:val="58"/>
    <w:qFormat/>
    <w:uiPriority w:val="0"/>
    <w:pPr>
      <w:numPr>
        <w:ilvl w:val="6"/>
      </w:numPr>
      <w:outlineLvl w:val="6"/>
    </w:pPr>
  </w:style>
  <w:style w:type="paragraph" w:customStyle="1" w:styleId="100">
    <w:name w:val="附录四级条标题"/>
    <w:basedOn w:val="101"/>
    <w:next w:val="58"/>
    <w:qFormat/>
    <w:uiPriority w:val="0"/>
    <w:pPr>
      <w:numPr>
        <w:ilvl w:val="5"/>
      </w:numPr>
      <w:outlineLvl w:val="5"/>
    </w:pPr>
  </w:style>
  <w:style w:type="paragraph" w:customStyle="1" w:styleId="101">
    <w:name w:val="附录三级条标题"/>
    <w:basedOn w:val="102"/>
    <w:next w:val="58"/>
    <w:qFormat/>
    <w:uiPriority w:val="0"/>
    <w:pPr>
      <w:numPr>
        <w:ilvl w:val="4"/>
      </w:numPr>
      <w:outlineLvl w:val="4"/>
    </w:pPr>
  </w:style>
  <w:style w:type="paragraph" w:customStyle="1" w:styleId="102">
    <w:name w:val="附录二级条标题"/>
    <w:basedOn w:val="103"/>
    <w:next w:val="58"/>
    <w:qFormat/>
    <w:uiPriority w:val="0"/>
    <w:pPr>
      <w:numPr>
        <w:ilvl w:val="3"/>
      </w:numPr>
      <w:outlineLvl w:val="3"/>
    </w:pPr>
  </w:style>
  <w:style w:type="paragraph" w:customStyle="1" w:styleId="103">
    <w:name w:val="附录一级条标题"/>
    <w:basedOn w:val="79"/>
    <w:next w:val="58"/>
    <w:qFormat/>
    <w:uiPriority w:val="0"/>
    <w:pPr>
      <w:numPr>
        <w:ilvl w:val="2"/>
      </w:numPr>
      <w:autoSpaceDN w:val="0"/>
      <w:spacing w:beforeLines="0" w:afterLines="0"/>
      <w:outlineLvl w:val="2"/>
    </w:pPr>
  </w:style>
  <w:style w:type="paragraph" w:customStyle="1" w:styleId="10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5">
    <w:name w:val="附录图标题"/>
    <w:next w:val="58"/>
    <w:qFormat/>
    <w:uiPriority w:val="0"/>
    <w:pPr>
      <w:jc w:val="center"/>
    </w:pPr>
    <w:rPr>
      <w:rFonts w:ascii="黑体" w:hAnsi="Times New Roman" w:eastAsia="黑体" w:cs="Times New Roman"/>
      <w:sz w:val="21"/>
      <w:lang w:val="en-US" w:eastAsia="zh-CN" w:bidi="ar-SA"/>
    </w:rPr>
  </w:style>
  <w:style w:type="paragraph" w:customStyle="1" w:styleId="10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7">
    <w:name w:val="正文表标题"/>
    <w:next w:val="58"/>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8">
    <w:name w:val="示例"/>
    <w:next w:val="58"/>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9">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10">
    <w:name w:val="四级无标题条"/>
    <w:basedOn w:val="1"/>
    <w:qFormat/>
    <w:uiPriority w:val="0"/>
    <w:pPr>
      <w:numPr>
        <w:ilvl w:val="5"/>
        <w:numId w:val="5"/>
      </w:numPr>
    </w:pPr>
  </w:style>
  <w:style w:type="paragraph" w:customStyle="1" w:styleId="111">
    <w:name w:val="目次、标准名称标题"/>
    <w:basedOn w:val="66"/>
    <w:next w:val="58"/>
    <w:qFormat/>
    <w:uiPriority w:val="0"/>
    <w:pPr>
      <w:numPr>
        <w:numId w:val="0"/>
      </w:numPr>
      <w:spacing w:line="460" w:lineRule="exact"/>
    </w:pPr>
  </w:style>
  <w:style w:type="paragraph" w:customStyle="1" w:styleId="112">
    <w:name w:val="标准书眉一"/>
    <w:qFormat/>
    <w:uiPriority w:val="0"/>
    <w:pPr>
      <w:jc w:val="both"/>
    </w:pPr>
    <w:rPr>
      <w:rFonts w:ascii="Times New Roman" w:hAnsi="Times New Roman" w:eastAsia="宋体" w:cs="Times New Roman"/>
      <w:lang w:val="en-US" w:eastAsia="zh-CN" w:bidi="ar-SA"/>
    </w:rPr>
  </w:style>
  <w:style w:type="paragraph" w:customStyle="1" w:styleId="11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4">
    <w:name w:val="其他发布部门"/>
    <w:basedOn w:val="68"/>
    <w:qFormat/>
    <w:uiPriority w:val="0"/>
    <w:pPr>
      <w:spacing w:line="0" w:lineRule="atLeast"/>
    </w:pPr>
    <w:rPr>
      <w:rFonts w:ascii="黑体" w:eastAsia="黑体"/>
      <w:b w:val="0"/>
    </w:rPr>
  </w:style>
  <w:style w:type="paragraph" w:customStyle="1" w:styleId="115">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6">
    <w:name w:val="三级无标题条"/>
    <w:basedOn w:val="1"/>
    <w:qFormat/>
    <w:uiPriority w:val="0"/>
    <w:pPr>
      <w:numPr>
        <w:ilvl w:val="4"/>
        <w:numId w:val="5"/>
      </w:numPr>
    </w:pPr>
  </w:style>
  <w:style w:type="paragraph" w:customStyle="1" w:styleId="11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一级无标题条"/>
    <w:basedOn w:val="1"/>
    <w:qFormat/>
    <w:uiPriority w:val="0"/>
    <w:pPr>
      <w:numPr>
        <w:ilvl w:val="2"/>
        <w:numId w:val="5"/>
      </w:numPr>
    </w:pPr>
  </w:style>
  <w:style w:type="paragraph" w:customStyle="1" w:styleId="119">
    <w:name w:val="封面标准代替信息"/>
    <w:basedOn w:val="63"/>
    <w:qFormat/>
    <w:uiPriority w:val="0"/>
    <w:pPr>
      <w:spacing w:before="57"/>
    </w:pPr>
    <w:rPr>
      <w:rFonts w:ascii="宋体"/>
      <w:sz w:val="21"/>
    </w:rPr>
  </w:style>
  <w:style w:type="paragraph" w:customStyle="1" w:styleId="120">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1">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3">
    <w:name w:val="font6"/>
    <w:basedOn w:val="1"/>
    <w:qFormat/>
    <w:uiPriority w:val="0"/>
    <w:pPr>
      <w:widowControl/>
      <w:spacing w:before="100" w:beforeAutospacing="1" w:after="100" w:afterAutospacing="1"/>
      <w:jc w:val="left"/>
    </w:pPr>
    <w:rPr>
      <w:b/>
      <w:bCs/>
      <w:kern w:val="0"/>
      <w:sz w:val="20"/>
      <w:szCs w:val="20"/>
    </w:rPr>
  </w:style>
  <w:style w:type="paragraph" w:customStyle="1" w:styleId="124">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8">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9">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4">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4">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6">
    <w:name w:val="c封面标准名称"/>
    <w:basedOn w:val="1"/>
    <w:qFormat/>
    <w:uiPriority w:val="0"/>
    <w:pPr>
      <w:adjustRightInd w:val="0"/>
      <w:jc w:val="center"/>
    </w:pPr>
    <w:rPr>
      <w:rFonts w:eastAsia="黑体"/>
      <w:kern w:val="0"/>
      <w:sz w:val="52"/>
      <w:szCs w:val="20"/>
    </w:rPr>
  </w:style>
  <w:style w:type="paragraph" w:customStyle="1" w:styleId="147">
    <w:name w:val="样式2"/>
    <w:basedOn w:val="71"/>
    <w:qFormat/>
    <w:uiPriority w:val="0"/>
    <w:pPr>
      <w:numPr>
        <w:numId w:val="0"/>
      </w:numPr>
      <w:spacing w:line="240" w:lineRule="auto"/>
      <w:ind w:left="454"/>
    </w:pPr>
    <w:rPr>
      <w:color w:val="auto"/>
      <w:spacing w:val="0"/>
      <w:szCs w:val="20"/>
    </w:rPr>
  </w:style>
  <w:style w:type="paragraph" w:customStyle="1" w:styleId="148">
    <w:name w:val="列出段落1"/>
    <w:basedOn w:val="1"/>
    <w:qFormat/>
    <w:uiPriority w:val="34"/>
    <w:pPr>
      <w:ind w:firstLine="420" w:firstLineChars="200"/>
    </w:pPr>
    <w:rPr>
      <w:rFonts w:ascii="Calibri" w:hAnsi="Calibri"/>
      <w:szCs w:val="22"/>
    </w:rPr>
  </w:style>
  <w:style w:type="paragraph" w:customStyle="1" w:styleId="149">
    <w:name w:val="图表脚注说明"/>
    <w:basedOn w:val="1"/>
    <w:qFormat/>
    <w:uiPriority w:val="0"/>
    <w:rPr>
      <w:rFonts w:ascii="宋体"/>
      <w:sz w:val="18"/>
      <w:szCs w:val="18"/>
    </w:rPr>
  </w:style>
  <w:style w:type="paragraph" w:customStyle="1" w:styleId="150">
    <w:name w:val="Char11"/>
    <w:basedOn w:val="1"/>
    <w:qFormat/>
    <w:uiPriority w:val="0"/>
    <w:pPr>
      <w:widowControl/>
      <w:spacing w:after="160" w:line="240" w:lineRule="exact"/>
      <w:jc w:val="left"/>
    </w:pPr>
  </w:style>
  <w:style w:type="paragraph" w:customStyle="1" w:styleId="151">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2">
    <w:name w:val="列出段落11"/>
    <w:basedOn w:val="1"/>
    <w:qFormat/>
    <w:uiPriority w:val="34"/>
    <w:pPr>
      <w:ind w:firstLine="420" w:firstLineChars="200"/>
    </w:pPr>
    <w:rPr>
      <w:sz w:val="24"/>
    </w:rPr>
  </w:style>
  <w:style w:type="paragraph" w:customStyle="1" w:styleId="153">
    <w:name w:val="Char1 Char Char Char"/>
    <w:basedOn w:val="1"/>
    <w:qFormat/>
    <w:uiPriority w:val="0"/>
    <w:rPr>
      <w:szCs w:val="20"/>
    </w:rPr>
  </w:style>
  <w:style w:type="paragraph" w:customStyle="1" w:styleId="154">
    <w:name w:val="Char1"/>
    <w:basedOn w:val="1"/>
    <w:qFormat/>
    <w:uiPriority w:val="0"/>
    <w:pPr>
      <w:widowControl/>
      <w:spacing w:after="160" w:line="240" w:lineRule="exact"/>
      <w:jc w:val="left"/>
    </w:pPr>
  </w:style>
  <w:style w:type="paragraph" w:customStyle="1" w:styleId="155">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6">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8">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0">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1">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2">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7">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8">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9">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0">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1">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2">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3">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4">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5">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6">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7">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9">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2">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3">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4">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6">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7">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8">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9">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90">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1">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2">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3">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4">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5">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7">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8">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00">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1">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2">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3">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4">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5">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6">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7">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8">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9">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0">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1">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2">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3">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4">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5">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6">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7">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8">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20">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1">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2">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3">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4">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5">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7">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8">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9">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30">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1">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2">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3">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4">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6">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7">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8">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9">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0">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1">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2">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3">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4">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5">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6">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7">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8">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9">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50">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1">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2">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3">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4">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5">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8">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9">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60">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2">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3">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5">
    <w:name w:val="Char2"/>
    <w:basedOn w:val="1"/>
    <w:qFormat/>
    <w:uiPriority w:val="0"/>
    <w:pPr>
      <w:widowControl/>
      <w:spacing w:after="160" w:line="240" w:lineRule="exact"/>
      <w:jc w:val="left"/>
    </w:pPr>
  </w:style>
  <w:style w:type="paragraph" w:customStyle="1" w:styleId="266">
    <w:name w:val="正文1"/>
    <w:qFormat/>
    <w:uiPriority w:val="0"/>
    <w:pPr>
      <w:jc w:val="both"/>
    </w:pPr>
    <w:rPr>
      <w:rFonts w:ascii="Calibri" w:hAnsi="Calibri" w:eastAsia="宋体" w:cs="Calibri"/>
      <w:kern w:val="2"/>
      <w:sz w:val="21"/>
      <w:szCs w:val="21"/>
      <w:lang w:val="en-US" w:eastAsia="zh-CN" w:bidi="ar-SA"/>
    </w:rPr>
  </w:style>
  <w:style w:type="paragraph" w:customStyle="1" w:styleId="267">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8">
    <w:name w:val="p0"/>
    <w:basedOn w:val="1"/>
    <w:qFormat/>
    <w:uiPriority w:val="0"/>
    <w:pPr>
      <w:widowControl/>
      <w:jc w:val="left"/>
    </w:pPr>
    <w:rPr>
      <w:kern w:val="0"/>
      <w:szCs w:val="21"/>
    </w:rPr>
  </w:style>
  <w:style w:type="paragraph" w:customStyle="1" w:styleId="269">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70">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2">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3">
    <w:name w:val="发布"/>
    <w:qFormat/>
    <w:uiPriority w:val="0"/>
    <w:rPr>
      <w:rFonts w:ascii="黑体" w:eastAsia="黑体"/>
      <w:spacing w:val="22"/>
      <w:w w:val="100"/>
      <w:position w:val="3"/>
      <w:sz w:val="28"/>
    </w:rPr>
  </w:style>
  <w:style w:type="character" w:customStyle="1" w:styleId="274">
    <w:name w:val="个人答复风格"/>
    <w:qFormat/>
    <w:uiPriority w:val="0"/>
    <w:rPr>
      <w:rFonts w:ascii="Arial" w:hAnsi="Arial" w:eastAsia="宋体" w:cs="Arial"/>
      <w:color w:val="auto"/>
      <w:sz w:val="20"/>
    </w:rPr>
  </w:style>
  <w:style w:type="character" w:customStyle="1" w:styleId="275">
    <w:name w:val="段 Char"/>
    <w:link w:val="58"/>
    <w:qFormat/>
    <w:uiPriority w:val="0"/>
    <w:rPr>
      <w:rFonts w:ascii="宋体" w:hAnsi="宋体" w:eastAsia="宋体"/>
      <w:sz w:val="21"/>
      <w:lang w:val="en-US" w:eastAsia="zh-CN" w:bidi="ar-SA"/>
    </w:rPr>
  </w:style>
  <w:style w:type="character" w:customStyle="1" w:styleId="276">
    <w:name w:val="个人撰写风格"/>
    <w:qFormat/>
    <w:uiPriority w:val="0"/>
    <w:rPr>
      <w:rFonts w:ascii="Arial" w:hAnsi="Arial" w:eastAsia="宋体" w:cs="Arial"/>
      <w:color w:val="auto"/>
      <w:sz w:val="20"/>
    </w:rPr>
  </w:style>
  <w:style w:type="character" w:customStyle="1" w:styleId="277">
    <w:name w:val="二级条标题 Char"/>
    <w:link w:val="59"/>
    <w:qFormat/>
    <w:uiPriority w:val="0"/>
    <w:rPr>
      <w:rFonts w:ascii="黑体" w:hAnsi="黑体" w:eastAsia="黑体" w:cs="Times New Roman"/>
      <w:color w:val="000000" w:themeColor="text1"/>
      <w:spacing w:val="-6"/>
      <w:sz w:val="21"/>
      <w:szCs w:val="24"/>
      <w14:textFill>
        <w14:solidFill>
          <w14:schemeClr w14:val="tx1"/>
        </w14:solidFill>
      </w14:textFill>
    </w:rPr>
  </w:style>
  <w:style w:type="character" w:customStyle="1" w:styleId="278">
    <w:name w:val="章标题 Char"/>
    <w:link w:val="61"/>
    <w:qFormat/>
    <w:uiPriority w:val="0"/>
    <w:rPr>
      <w:rFonts w:ascii="黑体" w:hAnsi="Times New Roman" w:eastAsia="黑体" w:cs="Times New Roman"/>
      <w:sz w:val="21"/>
    </w:rPr>
  </w:style>
  <w:style w:type="character" w:customStyle="1" w:styleId="279">
    <w:name w:val="一级条标题 Char"/>
    <w:link w:val="60"/>
    <w:qFormat/>
    <w:uiPriority w:val="0"/>
    <w:rPr>
      <w:rFonts w:ascii="黑体" w:hAnsi="Times New Roman" w:eastAsia="黑体" w:cs="Times New Roman"/>
      <w:color w:val="FF0000"/>
      <w:spacing w:val="-4"/>
      <w:sz w:val="21"/>
      <w:szCs w:val="24"/>
    </w:rPr>
  </w:style>
  <w:style w:type="character" w:customStyle="1" w:styleId="280">
    <w:name w:val="纯文本 字符"/>
    <w:link w:val="24"/>
    <w:qFormat/>
    <w:uiPriority w:val="99"/>
    <w:rPr>
      <w:rFonts w:ascii="宋体" w:hAnsi="Courier New" w:cs="Courier New"/>
      <w:kern w:val="2"/>
      <w:sz w:val="21"/>
      <w:szCs w:val="21"/>
    </w:rPr>
  </w:style>
  <w:style w:type="character" w:customStyle="1" w:styleId="281">
    <w:name w:val="三级条标题 Char"/>
    <w:link w:val="71"/>
    <w:qFormat/>
    <w:uiPriority w:val="0"/>
    <w:rPr>
      <w:rFonts w:ascii="黑体" w:eastAsia="黑体"/>
      <w:color w:val="FF0000"/>
      <w:spacing w:val="-4"/>
      <w:sz w:val="21"/>
      <w:szCs w:val="24"/>
    </w:rPr>
  </w:style>
  <w:style w:type="character" w:customStyle="1" w:styleId="282">
    <w:name w:val="批注框文本 字符"/>
    <w:link w:val="29"/>
    <w:qFormat/>
    <w:uiPriority w:val="0"/>
    <w:rPr>
      <w:kern w:val="2"/>
      <w:sz w:val="18"/>
      <w:szCs w:val="18"/>
    </w:rPr>
  </w:style>
  <w:style w:type="character" w:customStyle="1" w:styleId="283">
    <w:name w:val="正文文本 字符"/>
    <w:link w:val="21"/>
    <w:qFormat/>
    <w:uiPriority w:val="0"/>
    <w:rPr>
      <w:kern w:val="2"/>
      <w:sz w:val="21"/>
      <w:szCs w:val="24"/>
    </w:rPr>
  </w:style>
  <w:style w:type="character" w:customStyle="1" w:styleId="284">
    <w:name w:val="注： Char"/>
    <w:link w:val="91"/>
    <w:qFormat/>
    <w:uiPriority w:val="0"/>
    <w:rPr>
      <w:rFonts w:ascii="宋体"/>
      <w:sz w:val="18"/>
    </w:rPr>
  </w:style>
  <w:style w:type="character" w:customStyle="1" w:styleId="285">
    <w:name w:val="页脚 字符"/>
    <w:link w:val="30"/>
    <w:qFormat/>
    <w:uiPriority w:val="99"/>
    <w:rPr>
      <w:kern w:val="2"/>
      <w:sz w:val="18"/>
      <w:szCs w:val="18"/>
    </w:rPr>
  </w:style>
  <w:style w:type="character" w:customStyle="1" w:styleId="286">
    <w:name w:val="正文文本缩进 字符"/>
    <w:link w:val="22"/>
    <w:qFormat/>
    <w:uiPriority w:val="0"/>
    <w:rPr>
      <w:kern w:val="2"/>
      <w:sz w:val="24"/>
    </w:rPr>
  </w:style>
  <w:style w:type="character" w:customStyle="1" w:styleId="287">
    <w:name w:val="表中文字"/>
    <w:qFormat/>
    <w:uiPriority w:val="0"/>
    <w:rPr>
      <w:rFonts w:ascii="宋体" w:eastAsia="宋体"/>
      <w:sz w:val="18"/>
    </w:rPr>
  </w:style>
  <w:style w:type="character" w:customStyle="1" w:styleId="288">
    <w:name w:val="批注文字 字符"/>
    <w:link w:val="20"/>
    <w:qFormat/>
    <w:uiPriority w:val="0"/>
    <w:rPr>
      <w:kern w:val="2"/>
      <w:sz w:val="21"/>
      <w:szCs w:val="24"/>
    </w:rPr>
  </w:style>
  <w:style w:type="character" w:customStyle="1" w:styleId="289">
    <w:name w:val="批注主题 字符"/>
    <w:link w:val="39"/>
    <w:qFormat/>
    <w:uiPriority w:val="0"/>
    <w:rPr>
      <w:b/>
      <w:bCs/>
      <w:kern w:val="2"/>
      <w:sz w:val="21"/>
      <w:szCs w:val="24"/>
    </w:rPr>
  </w:style>
  <w:style w:type="character" w:customStyle="1" w:styleId="290">
    <w:name w:val="页眉 字符"/>
    <w:link w:val="31"/>
    <w:qFormat/>
    <w:uiPriority w:val="99"/>
    <w:rPr>
      <w:kern w:val="2"/>
      <w:sz w:val="18"/>
      <w:szCs w:val="18"/>
    </w:rPr>
  </w:style>
  <w:style w:type="character" w:customStyle="1" w:styleId="291">
    <w:name w:val="正文文本缩进 2 字符"/>
    <w:link w:val="27"/>
    <w:qFormat/>
    <w:uiPriority w:val="0"/>
    <w:rPr>
      <w:kern w:val="2"/>
      <w:sz w:val="21"/>
      <w:szCs w:val="24"/>
    </w:rPr>
  </w:style>
  <w:style w:type="character" w:customStyle="1" w:styleId="292">
    <w:name w:val="日期 字符"/>
    <w:link w:val="26"/>
    <w:qFormat/>
    <w:uiPriority w:val="99"/>
    <w:rPr>
      <w:kern w:val="2"/>
      <w:sz w:val="24"/>
    </w:rPr>
  </w:style>
  <w:style w:type="character" w:customStyle="1" w:styleId="293">
    <w:name w:val="访问过的超链接1"/>
    <w:qFormat/>
    <w:uiPriority w:val="99"/>
    <w:rPr>
      <w:color w:val="800080"/>
      <w:u w:val="single"/>
    </w:rPr>
  </w:style>
  <w:style w:type="character" w:customStyle="1" w:styleId="294">
    <w:name w:val="段 Char Char Char Char"/>
    <w:qFormat/>
    <w:uiPriority w:val="0"/>
    <w:rPr>
      <w:rFonts w:ascii="宋体"/>
      <w:sz w:val="21"/>
      <w:lang w:val="en-US" w:eastAsia="zh-CN" w:bidi="ar-SA"/>
    </w:rPr>
  </w:style>
  <w:style w:type="character" w:customStyle="1" w:styleId="295">
    <w:name w:val="章标题 Char Char"/>
    <w:qFormat/>
    <w:uiPriority w:val="0"/>
    <w:rPr>
      <w:rFonts w:ascii="黑体" w:eastAsia="黑体"/>
      <w:sz w:val="21"/>
      <w:lang w:val="en-US" w:eastAsia="zh-CN" w:bidi="ar-SA"/>
    </w:rPr>
  </w:style>
  <w:style w:type="character" w:customStyle="1" w:styleId="296">
    <w:name w:val="正文文本缩进 Char1"/>
    <w:qFormat/>
    <w:uiPriority w:val="0"/>
    <w:rPr>
      <w:kern w:val="2"/>
      <w:sz w:val="21"/>
      <w:szCs w:val="24"/>
    </w:rPr>
  </w:style>
  <w:style w:type="character" w:customStyle="1" w:styleId="297">
    <w:name w:val="font21"/>
    <w:qFormat/>
    <w:uiPriority w:val="0"/>
    <w:rPr>
      <w:rFonts w:hint="eastAsia" w:ascii="宋体" w:hAnsi="宋体" w:eastAsia="宋体" w:cs="宋体"/>
      <w:b/>
      <w:color w:val="FF0000"/>
      <w:sz w:val="21"/>
      <w:szCs w:val="21"/>
      <w:u w:val="none"/>
    </w:rPr>
  </w:style>
  <w:style w:type="character" w:customStyle="1" w:styleId="298">
    <w:name w:val="font41"/>
    <w:qFormat/>
    <w:uiPriority w:val="0"/>
    <w:rPr>
      <w:rFonts w:hint="eastAsia" w:ascii="宋体" w:hAnsi="宋体" w:eastAsia="宋体" w:cs="宋体"/>
      <w:b/>
      <w:color w:val="FF0000"/>
      <w:sz w:val="21"/>
      <w:szCs w:val="21"/>
      <w:u w:val="none"/>
    </w:rPr>
  </w:style>
  <w:style w:type="character" w:customStyle="1" w:styleId="299">
    <w:name w:val="font01"/>
    <w:qFormat/>
    <w:uiPriority w:val="0"/>
    <w:rPr>
      <w:rFonts w:hint="eastAsia" w:ascii="宋体" w:hAnsi="宋体" w:eastAsia="宋体"/>
      <w:color w:val="000000"/>
      <w:sz w:val="24"/>
      <w:szCs w:val="24"/>
      <w:u w:val="none"/>
    </w:rPr>
  </w:style>
  <w:style w:type="character" w:customStyle="1" w:styleId="300">
    <w:name w:val="附录标识 Char"/>
    <w:link w:val="65"/>
    <w:qFormat/>
    <w:uiPriority w:val="0"/>
    <w:rPr>
      <w:sz w:val="21"/>
    </w:rPr>
  </w:style>
  <w:style w:type="character" w:customStyle="1" w:styleId="301">
    <w:name w:val="font31"/>
    <w:qFormat/>
    <w:uiPriority w:val="0"/>
    <w:rPr>
      <w:rFonts w:hint="eastAsia" w:ascii="宋体" w:hAnsi="宋体" w:eastAsia="宋体" w:cs="宋体"/>
      <w:color w:val="000000"/>
      <w:sz w:val="22"/>
      <w:szCs w:val="22"/>
      <w:u w:val="none"/>
    </w:rPr>
  </w:style>
  <w:style w:type="paragraph" w:styleId="302">
    <w:name w:val="List Paragraph"/>
    <w:basedOn w:val="1"/>
    <w:qFormat/>
    <w:uiPriority w:val="34"/>
    <w:pPr>
      <w:ind w:firstLine="420" w:firstLineChars="200"/>
    </w:pPr>
  </w:style>
  <w:style w:type="paragraph" w:customStyle="1" w:styleId="303">
    <w:name w:val="Table Paragraph"/>
    <w:basedOn w:val="1"/>
    <w:qFormat/>
    <w:uiPriority w:val="1"/>
    <w:pPr>
      <w:autoSpaceDE w:val="0"/>
      <w:autoSpaceDN w:val="0"/>
      <w:jc w:val="left"/>
    </w:pPr>
    <w:rPr>
      <w:rFonts w:ascii="仿宋" w:hAnsi="仿宋" w:eastAsia="仿宋" w:cs="仿宋"/>
      <w:kern w:val="0"/>
      <w:sz w:val="22"/>
      <w:szCs w:val="22"/>
      <w:lang w:val="zh-CN" w:bidi="zh-CN"/>
    </w:rPr>
  </w:style>
  <w:style w:type="character" w:customStyle="1" w:styleId="304">
    <w:name w:val="fontstyle01"/>
    <w:basedOn w:val="43"/>
    <w:qFormat/>
    <w:uiPriority w:val="0"/>
    <w:rPr>
      <w:rFonts w:hint="eastAsia" w:ascii="宋体" w:hAnsi="宋体" w:eastAsia="宋体"/>
      <w:color w:val="000000"/>
      <w:sz w:val="24"/>
      <w:szCs w:val="24"/>
    </w:rPr>
  </w:style>
  <w:style w:type="character" w:customStyle="1" w:styleId="305">
    <w:name w:val="标题 1 字符"/>
    <w:basedOn w:val="43"/>
    <w:link w:val="2"/>
    <w:uiPriority w:val="0"/>
    <w:rPr>
      <w:rFonts w:ascii="Times New Roman" w:hAnsi="Times New Roman" w:eastAsia="宋体" w:cs="Times New Roman"/>
      <w:b/>
      <w:bCs/>
      <w:kern w:val="44"/>
      <w:sz w:val="44"/>
      <w:szCs w:val="44"/>
    </w:rPr>
  </w:style>
  <w:style w:type="character" w:customStyle="1" w:styleId="306">
    <w:name w:val="标题 2 字符"/>
    <w:basedOn w:val="43"/>
    <w:link w:val="3"/>
    <w:uiPriority w:val="0"/>
    <w:rPr>
      <w:rFonts w:ascii="Arial" w:hAnsi="Arial" w:eastAsia="黑体" w:cs="Times New Roman"/>
      <w:b/>
      <w:bCs/>
      <w:kern w:val="2"/>
      <w:sz w:val="32"/>
      <w:szCs w:val="32"/>
    </w:rPr>
  </w:style>
  <w:style w:type="character" w:customStyle="1" w:styleId="307">
    <w:name w:val="标题 3 字符"/>
    <w:basedOn w:val="43"/>
    <w:link w:val="4"/>
    <w:uiPriority w:val="0"/>
    <w:rPr>
      <w:rFonts w:ascii="Times New Roman" w:hAnsi="Times New Roman" w:eastAsia="宋体" w:cs="Times New Roman"/>
      <w:b/>
      <w:bCs/>
      <w:kern w:val="2"/>
      <w:sz w:val="32"/>
      <w:szCs w:val="32"/>
    </w:rPr>
  </w:style>
  <w:style w:type="character" w:customStyle="1" w:styleId="308">
    <w:name w:val="标题 字符"/>
    <w:link w:val="38"/>
    <w:qFormat/>
    <w:uiPriority w:val="0"/>
    <w:rPr>
      <w:rFonts w:ascii="Arial" w:hAnsi="Arial" w:eastAsia="宋体" w:cs="Arial"/>
      <w:b/>
      <w:bCs/>
      <w:kern w:val="2"/>
      <w:sz w:val="32"/>
      <w:szCs w:val="32"/>
    </w:rPr>
  </w:style>
  <w:style w:type="character" w:customStyle="1" w:styleId="309">
    <w:name w:val="脚注文本 字符"/>
    <w:link w:val="32"/>
    <w:uiPriority w:val="0"/>
    <w:rPr>
      <w:rFonts w:ascii="Times New Roman" w:hAnsi="Times New Roman" w:eastAsia="宋体" w:cs="Times New Roman"/>
      <w:kern w:val="2"/>
      <w:sz w:val="18"/>
      <w:szCs w:val="18"/>
    </w:rPr>
  </w:style>
  <w:style w:type="character" w:customStyle="1" w:styleId="310">
    <w:name w:val="未处理的提及1"/>
    <w:unhideWhenUsed/>
    <w:uiPriority w:val="99"/>
    <w:rPr>
      <w:color w:val="605E5C"/>
      <w:shd w:val="clear" w:color="auto" w:fill="E1DFDD"/>
    </w:rPr>
  </w:style>
  <w:style w:type="character" w:customStyle="1" w:styleId="311">
    <w:name w:val="批注框文本 Char1"/>
    <w:basedOn w:val="43"/>
    <w:semiHidden/>
    <w:uiPriority w:val="99"/>
    <w:rPr>
      <w:rFonts w:ascii="Calibri" w:hAnsi="Calibri" w:eastAsia="宋体" w:cs="Times New Roman"/>
      <w:sz w:val="18"/>
      <w:szCs w:val="18"/>
    </w:rPr>
  </w:style>
  <w:style w:type="character" w:customStyle="1" w:styleId="312">
    <w:name w:val="脚注文本 Char1"/>
    <w:basedOn w:val="43"/>
    <w:semiHidden/>
    <w:uiPriority w:val="99"/>
    <w:rPr>
      <w:rFonts w:ascii="Calibri" w:hAnsi="Calibri" w:eastAsia="宋体" w:cs="Times New Roman"/>
      <w:sz w:val="18"/>
      <w:szCs w:val="18"/>
    </w:rPr>
  </w:style>
  <w:style w:type="character" w:customStyle="1" w:styleId="313">
    <w:name w:val="标题 Char1"/>
    <w:basedOn w:val="43"/>
    <w:uiPriority w:val="10"/>
    <w:rPr>
      <w:rFonts w:eastAsia="宋体" w:asciiTheme="majorHAnsi" w:hAnsiTheme="majorHAnsi" w:cstheme="majorBidi"/>
      <w:b/>
      <w:bCs/>
      <w:sz w:val="32"/>
      <w:szCs w:val="32"/>
    </w:rPr>
  </w:style>
  <w:style w:type="paragraph" w:customStyle="1" w:styleId="314">
    <w:name w:val="默认段落字体 Para Char Char Char Char Char Char Char Char Char Char"/>
    <w:basedOn w:val="1"/>
    <w:qFormat/>
    <w:uiPriority w:val="0"/>
  </w:style>
  <w:style w:type="paragraph" w:customStyle="1" w:styleId="315">
    <w:name w:val="WPSOffice手动目录 1"/>
    <w:uiPriority w:val="0"/>
    <w:rPr>
      <w:rFonts w:ascii="Calibri" w:hAnsi="Calibri" w:eastAsia="宋体" w:cs="Times New Roman"/>
      <w:lang w:val="en-US" w:eastAsia="zh-CN" w:bidi="ar-SA"/>
    </w:rPr>
  </w:style>
  <w:style w:type="paragraph" w:customStyle="1" w:styleId="316">
    <w:name w:val="1"/>
    <w:basedOn w:val="1"/>
    <w:next w:val="22"/>
    <w:uiPriority w:val="0"/>
    <w:pPr>
      <w:adjustRightInd w:val="0"/>
      <w:spacing w:line="360" w:lineRule="auto"/>
      <w:ind w:firstLine="480" w:firstLineChars="200"/>
      <w:textAlignment w:val="baseline"/>
      <w:outlineLvl w:val="0"/>
    </w:pPr>
    <w:rPr>
      <w:kern w:val="0"/>
      <w:sz w:val="24"/>
      <w:szCs w:val="20"/>
    </w:rPr>
  </w:style>
  <w:style w:type="paragraph" w:customStyle="1" w:styleId="317">
    <w:name w:val="Char Char"/>
    <w:basedOn w:val="1"/>
    <w:uiPriority w:val="0"/>
  </w:style>
  <w:style w:type="paragraph" w:customStyle="1" w:styleId="318">
    <w:name w:val="WPSOffice手动目录 2"/>
    <w:uiPriority w:val="0"/>
    <w:pPr>
      <w:ind w:left="200" w:leftChars="200"/>
    </w:pPr>
    <w:rPr>
      <w:rFonts w:ascii="Calibri" w:hAnsi="Calibri" w:eastAsia="宋体" w:cs="Times New Roman"/>
      <w:lang w:val="en-US" w:eastAsia="zh-CN" w:bidi="ar-SA"/>
    </w:rPr>
  </w:style>
  <w:style w:type="table" w:customStyle="1" w:styleId="319">
    <w:name w:val="网格型1"/>
    <w:basedOn w:val="41"/>
    <w:qFormat/>
    <w:uiPriority w:val="0"/>
    <w:pPr>
      <w:widowControl w:val="0"/>
      <w:jc w:val="both"/>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0">
    <w:name w:val="Placeholder Text"/>
    <w:basedOn w:val="43"/>
    <w:semiHidden/>
    <w:uiPriority w:val="99"/>
    <w:rPr>
      <w:color w:val="808080"/>
    </w:rPr>
  </w:style>
  <w:style w:type="table" w:customStyle="1" w:styleId="321">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22">
    <w:name w:val="标题 21"/>
    <w:basedOn w:val="1"/>
    <w:qFormat/>
    <w:uiPriority w:val="1"/>
    <w:pPr>
      <w:autoSpaceDE w:val="0"/>
      <w:autoSpaceDN w:val="0"/>
      <w:ind w:left="216"/>
      <w:jc w:val="left"/>
      <w:outlineLvl w:val="2"/>
    </w:pPr>
    <w:rPr>
      <w:rFonts w:eastAsia="Times New Roman"/>
      <w:kern w:val="0"/>
      <w:sz w:val="28"/>
      <w:szCs w:val="2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DA8DA7-C6C9-4F4F-B51A-6E34BFDB95C6}">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7</Pages>
  <Words>3671</Words>
  <Characters>3946</Characters>
  <Lines>29</Lines>
  <Paragraphs>8</Paragraphs>
  <TotalTime>0</TotalTime>
  <ScaleCrop>false</ScaleCrop>
  <LinksUpToDate>false</LinksUpToDate>
  <CharactersWithSpaces>4013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2022-01-09T10:10:00Z</dcterms:created>
  <dc:creator>标准李瑞山9585</dc:creator>
  <cp:lastModifiedBy>LZC</cp:lastModifiedBy>
  <cp:lastPrinted>2016-10-20T04:13:00Z</cp:lastPrinted>
  <dcterms:modified xsi:type="dcterms:W3CDTF">2023-12-20T06:09:40Z</dcterms:modified>
  <dc:title>标准名称</dc:title>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E7E04122F8FD4C62BDBF425D9677E4E0_13</vt:lpwstr>
  </property>
</Properties>
</file>