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156" w:afterLines="50"/>
        <w:ind w:left="5250" w:leftChars="2500" w:right="1039" w:rightChars="495"/>
        <w:rPr>
          <w:rFonts w:eastAsia="方正小标宋简体"/>
          <w:bCs/>
          <w:kern w:val="0"/>
          <w:sz w:val="24"/>
        </w:rPr>
      </w:pPr>
      <w:bookmarkStart w:id="0" w:name="SectionMark0"/>
      <w:r>
        <w:rPr>
          <w:sz w:val="24"/>
        </w:rPr>
        <w:drawing>
          <wp:inline distT="0" distB="0" distL="0" distR="0">
            <wp:extent cx="1863090" cy="836930"/>
            <wp:effectExtent l="0" t="0" r="3810" b="1270"/>
            <wp:docPr id="1" name="图片 1" descr="7ae779013415e90a1541f6088b01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e779013415e90a1541f6088b01d14"/>
                    <pic:cNvPicPr>
                      <a:picLocks noChangeAspect="1" noChangeArrowheads="1"/>
                    </pic:cNvPicPr>
                  </pic:nvPicPr>
                  <pic:blipFill>
                    <a:blip r:embed="rId19">
                      <a:extLst>
                        <a:ext uri="{28A0092B-C50C-407E-A947-70E740481C1C}">
                          <a14:useLocalDpi xmlns:a14="http://schemas.microsoft.com/office/drawing/2010/main" val="0"/>
                        </a:ext>
                      </a:extLst>
                    </a:blip>
                    <a:srcRect l="64519" t="9979" r="10962" b="63341"/>
                    <a:stretch>
                      <a:fillRect/>
                    </a:stretch>
                  </pic:blipFill>
                  <pic:spPr>
                    <a:xfrm>
                      <a:off x="0" y="0"/>
                      <a:ext cx="1863090" cy="836930"/>
                    </a:xfrm>
                    <a:prstGeom prst="rect">
                      <a:avLst/>
                    </a:prstGeom>
                    <a:noFill/>
                    <a:ln>
                      <a:noFill/>
                    </a:ln>
                  </pic:spPr>
                </pic:pic>
              </a:graphicData>
            </a:graphic>
          </wp:inline>
        </w:drawing>
      </w:r>
    </w:p>
    <w:p>
      <w:pPr>
        <w:autoSpaceDE w:val="0"/>
        <w:autoSpaceDN w:val="0"/>
        <w:adjustRightInd w:val="0"/>
        <w:snapToGrid w:val="0"/>
        <w:spacing w:before="312" w:beforeLines="100"/>
        <w:jc w:val="center"/>
        <w:rPr>
          <w:rFonts w:eastAsia="方正小标宋简体"/>
          <w:bCs/>
          <w:kern w:val="0"/>
          <w:sz w:val="24"/>
        </w:rPr>
      </w:pPr>
      <w:r>
        <w:rPr>
          <w:rFonts w:eastAsia="方正小标宋简体"/>
          <w:bCs/>
          <w:kern w:val="0"/>
          <w:sz w:val="24"/>
        </w:rPr>
        <w:pict>
          <v:shape id="_x0000_i1025" o:spt="136" type="#_x0000_t136" style="height:25.5pt;width:439.5pt;" fillcolor="#000000" filled="t" coordsize="21600,21600">
            <v:path/>
            <v:fill on="t" focussize="0,0"/>
            <v:stroke/>
            <v:imagedata o:title=""/>
            <o:lock v:ext="edit"/>
            <v:textpath on="t" fitshape="t" fitpath="t" trim="t" xscale="f" string="中华人民共和国工业和信息化部" style="font-family:方正小标宋_GBK;font-size:36pt;v-text-align:center;"/>
            <w10:wrap type="none"/>
            <w10:anchorlock/>
          </v:shape>
        </w:pict>
      </w:r>
    </w:p>
    <w:p>
      <w:pPr>
        <w:autoSpaceDE w:val="0"/>
        <w:autoSpaceDN w:val="0"/>
        <w:adjustRightInd w:val="0"/>
        <w:snapToGrid w:val="0"/>
        <w:spacing w:after="156" w:afterLines="50"/>
        <w:jc w:val="center"/>
        <w:rPr>
          <w:rFonts w:eastAsia="方正小标宋简体"/>
          <w:bCs/>
          <w:kern w:val="0"/>
          <w:sz w:val="24"/>
        </w:rPr>
      </w:pPr>
      <w:r>
        <w:rPr>
          <w:rFonts w:eastAsia="方正小标宋简体"/>
          <w:bCs/>
          <w:kern w:val="0"/>
          <w:sz w:val="24"/>
        </w:rPr>
        <w:pict>
          <v:shape id="_x0000_i1026" o:spt="136" type="#_x0000_t136" style="height:25.5pt;width:284.25pt;" fillcolor="#000000" filled="t" coordsize="21600,21600">
            <v:path/>
            <v:fill on="t" focussize="0,0"/>
            <v:stroke/>
            <v:imagedata o:title=""/>
            <o:lock v:ext="edit"/>
            <v:textpath on="t" fitshape="t" fitpath="t" trim="t" xscale="f" string="有色金属计量技术规范" style="font-family:方正小标宋_GBK;font-size:32pt;v-text-align:center;"/>
            <w10:wrap type="none"/>
            <w10:anchorlock/>
          </v:shape>
        </w:pict>
      </w:r>
    </w:p>
    <w:p>
      <w:pPr>
        <w:autoSpaceDE w:val="0"/>
        <w:autoSpaceDN w:val="0"/>
        <w:adjustRightInd w:val="0"/>
        <w:spacing w:before="468" w:beforeLines="150" w:after="468" w:afterLines="150"/>
        <w:ind w:right="1417"/>
        <w:jc w:val="right"/>
        <w:rPr>
          <w:rFonts w:eastAsia="黑体"/>
          <w:kern w:val="0"/>
          <w:sz w:val="24"/>
        </w:rPr>
      </w:pPr>
      <w:r>
        <w:rPr>
          <w:rFonts w:eastAsia="黑体"/>
          <w:b/>
          <w:bCs/>
          <w:kern w:val="0"/>
          <w:sz w:val="24"/>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770890</wp:posOffset>
                </wp:positionV>
                <wp:extent cx="5840095" cy="635"/>
                <wp:effectExtent l="10795" t="7620" r="6985" b="1079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5840095" cy="635"/>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8pt;margin-top:60.7pt;height:0.05pt;width:459.85pt;z-index:251670528;mso-width-relative:page;mso-height-relative:page;" filled="f" stroked="t" coordsize="21600,21600" o:gfxdata="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Ml&#10;YNkAAAAKAQAADwAAAAAAAAABACAAAAAiAAAAZHJzL2Rvd25yZXYueG1sUEsBAhQAFAAAAAgAh07i&#10;QBlOj8zoAQAArwMAAA4AAAAAAAAAAQAgAAAAKAEAAGRycy9lMm9Eb2MueG1sUEsFBgAAAAAGAAYA&#10;WQEAAIIFAAAAAA==&#10;">
                <v:fill on="f" focussize="0,0"/>
                <v:stroke weight="1pt" color="#000000" joinstyle="round"/>
                <v:imagedata o:title=""/>
                <o:lock v:ext="edit" aspectratio="f"/>
              </v:line>
            </w:pict>
          </mc:Fallback>
        </mc:AlternateContent>
      </w:r>
      <w:r>
        <w:rPr>
          <w:rFonts w:eastAsia="黑体"/>
          <w:b/>
          <w:bCs/>
          <w:kern w:val="0"/>
          <w:sz w:val="24"/>
        </w:rPr>
        <w:t>JJF</w:t>
      </w:r>
      <w:r>
        <w:rPr>
          <w:rFonts w:eastAsia="黑体"/>
          <w:kern w:val="0"/>
          <w:sz w:val="24"/>
        </w:rPr>
        <w:t>(有色金属) XXXX─XXXX</w:t>
      </w:r>
    </w:p>
    <w:p>
      <w:pPr>
        <w:autoSpaceDE w:val="0"/>
        <w:autoSpaceDN w:val="0"/>
        <w:adjustRightInd w:val="0"/>
        <w:jc w:val="left"/>
        <w:rPr>
          <w:rFonts w:eastAsia="黑体"/>
          <w:kern w:val="0"/>
          <w:sz w:val="24"/>
        </w:rPr>
      </w:pPr>
      <w:r>
        <w:rPr>
          <w:sz w:val="24"/>
        </w:rPr>
        <mc:AlternateContent>
          <mc:Choice Requires="wpc">
            <w:drawing>
              <wp:anchor distT="0" distB="0" distL="114300" distR="114300" simplePos="0" relativeHeight="251669504" behindDoc="0" locked="0" layoutInCell="1" allowOverlap="1">
                <wp:simplePos x="0" y="0"/>
                <wp:positionH relativeFrom="column">
                  <wp:posOffset>-171450</wp:posOffset>
                </wp:positionH>
                <wp:positionV relativeFrom="paragraph">
                  <wp:posOffset>6350</wp:posOffset>
                </wp:positionV>
                <wp:extent cx="6083935" cy="108585"/>
                <wp:effectExtent l="0" t="1270" r="0" b="4445"/>
                <wp:wrapNone/>
                <wp:docPr id="12"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id="_x0000_s1026" o:spid="_x0000_s1026" o:spt="203" style="position:absolute;left:0pt;margin-left:-13.5pt;margin-top:0.5pt;height:8.55pt;width:479.05pt;z-index:251669504;mso-width-relative:page;mso-height-relative:page;" coordsize="6083935,108585" editas="canvas"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">
                <o:lock v:ext="edit" aspectratio="f"/>
                <v:shape id="_x0000_s1026" o:spid="_x0000_s1026" style="position:absolute;left:0;top:0;height:108585;width:6083935;" filled="f" stroked="f" coordsize="21600,21600"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">
                  <v:fill on="f" focussize="0,0"/>
                  <v:stroke on="f"/>
                  <v:imagedata o:title=""/>
                  <o:lock v:ext="edit" aspectratio="t"/>
                </v:shape>
              </v:group>
            </w:pict>
          </mc:Fallback>
        </mc:AlternateContent>
      </w: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spacing w:after="156" w:afterLines="50"/>
        <w:jc w:val="center"/>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jc w:val="left"/>
        <w:rPr>
          <w:rFonts w:eastAsia="黑体"/>
          <w:kern w:val="0"/>
          <w:sz w:val="24"/>
        </w:rPr>
      </w:pPr>
    </w:p>
    <w:p>
      <w:pPr>
        <w:autoSpaceDE w:val="0"/>
        <w:autoSpaceDN w:val="0"/>
        <w:adjustRightInd w:val="0"/>
        <w:ind w:firstLine="480" w:firstLineChars="200"/>
        <w:jc w:val="left"/>
        <w:rPr>
          <w:rFonts w:eastAsia="黑体"/>
          <w:kern w:val="0"/>
          <w:sz w:val="24"/>
        </w:rPr>
      </w:pPr>
      <w:r>
        <w:rPr>
          <w:rFonts w:eastAsia="黑体"/>
          <w:kern w:val="0"/>
          <w:sz w:val="24"/>
        </w:rPr>
        <w:t>××××-××-××发布                         ××××-××-××实施</w:t>
      </w:r>
    </w:p>
    <w:p>
      <w:pPr>
        <w:rPr>
          <w:sz w:val="24"/>
        </w:rPr>
      </w:pPr>
      <w:r>
        <w:rPr>
          <w:rFonts w:eastAsia="方正小标宋_GBK"/>
          <w:sz w:val="24"/>
        </w:rPr>
        <mc:AlternateContent>
          <mc:Choice Requires="wps">
            <w:drawing>
              <wp:anchor distT="0" distB="0" distL="114300" distR="114300" simplePos="0" relativeHeight="251671552" behindDoc="0" locked="0" layoutInCell="1" allowOverlap="1">
                <wp:simplePos x="0" y="0"/>
                <wp:positionH relativeFrom="column">
                  <wp:posOffset>4728210</wp:posOffset>
                </wp:positionH>
                <wp:positionV relativeFrom="paragraph">
                  <wp:posOffset>111760</wp:posOffset>
                </wp:positionV>
                <wp:extent cx="631190" cy="321945"/>
                <wp:effectExtent l="0" t="0" r="0" b="7620"/>
                <wp:wrapNone/>
                <wp:docPr id="21" name="文本框 53"/>
                <wp:cNvGraphicFramePr/>
                <a:graphic xmlns:a="http://schemas.openxmlformats.org/drawingml/2006/main">
                  <a:graphicData uri="http://schemas.microsoft.com/office/word/2010/wordprocessingShape">
                    <wps:wsp>
                      <wps:cNvSpPr txBox="1"/>
                      <wps:spPr>
                        <a:xfrm>
                          <a:off x="0" y="0"/>
                          <a:ext cx="631190" cy="321945"/>
                        </a:xfrm>
                        <a:prstGeom prst="rect">
                          <a:avLst/>
                        </a:prstGeom>
                        <a:solidFill>
                          <a:srgbClr val="FFFFFF"/>
                        </a:solidFill>
                        <a:ln>
                          <a:noFill/>
                        </a:ln>
                      </wps:spPr>
                      <wps:txbx>
                        <w:txbxContent>
                          <w:p>
                            <w:r>
                              <w:rPr>
                                <w:rFonts w:hint="eastAsia" w:ascii="黑体" w:hAnsi="黑体" w:eastAsia="黑体"/>
                                <w:sz w:val="28"/>
                                <w:szCs w:val="28"/>
                              </w:rPr>
                              <w:t>发 布</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3" o:spid="_x0000_s1026" o:spt="202" type="#_x0000_t202" style="position:absolute;left:0pt;margin-left:372.3pt;margin-top:8.8pt;height:25.35pt;width:49.7pt;z-index:251671552;mso-width-relative:page;mso-height-relative:margin;mso-height-percent:200;" fillcolor="#FFFFFF" filled="t" stroked="f" coordsize="21600,21600" o:gfxdata="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I5mlHXAAAACQEAAA8AAAAAAAAAAQAgAAAAIgAAAGRy&#10;cy9kb3ducmV2LnhtbFBLAQIUABQAAAAIAIdO4kCBROsHzQEAAJIDAAAOAAAAAAAAAAEAIAAAACYB&#10;AABkcnMvZTJvRG9jLnhtbFBLBQYAAAAABgAGAFkBAABlBQAAAAA=&#10;">
                <v:fill on="t" focussize="0,0"/>
                <v:stroke on="f"/>
                <v:imagedata o:title=""/>
                <o:lock v:ext="edit" aspectratio="f"/>
                <v:textbox style="mso-fit-shape-to-text:t;">
                  <w:txbxContent>
                    <w:p>
                      <w:r>
                        <w:rPr>
                          <w:rFonts w:hint="eastAsia" w:ascii="黑体" w:hAnsi="黑体" w:eastAsia="黑体"/>
                          <w:sz w:val="28"/>
                          <w:szCs w:val="28"/>
                        </w:rPr>
                        <w:t>发 布</w:t>
                      </w:r>
                    </w:p>
                  </w:txbxContent>
                </v:textbox>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645160</wp:posOffset>
                </wp:positionH>
                <wp:positionV relativeFrom="paragraph">
                  <wp:posOffset>6350</wp:posOffset>
                </wp:positionV>
                <wp:extent cx="4116070" cy="524510"/>
                <wp:effectExtent l="0" t="0" r="0" b="0"/>
                <wp:wrapNone/>
                <wp:docPr id="20" name="文本框 55"/>
                <wp:cNvGraphicFramePr/>
                <a:graphic xmlns:a="http://schemas.openxmlformats.org/drawingml/2006/main">
                  <a:graphicData uri="http://schemas.microsoft.com/office/word/2010/wordprocessingShape">
                    <wps:wsp>
                      <wps:cNvSpPr txBox="1"/>
                      <wps:spPr>
                        <a:xfrm>
                          <a:off x="0" y="0"/>
                          <a:ext cx="4116070" cy="524510"/>
                        </a:xfrm>
                        <a:prstGeom prst="rect">
                          <a:avLst/>
                        </a:prstGeom>
                        <a:solidFill>
                          <a:srgbClr val="FFFFFF"/>
                        </a:solidFill>
                        <a:ln>
                          <a:noFill/>
                        </a:ln>
                      </wps:spPr>
                      <wps:txbx>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5" o:spid="_x0000_s1026" o:spt="202" type="#_x0000_t202" style="position:absolute;left:0pt;margin-left:50.8pt;margin-top:0.5pt;height:41.3pt;width:324.1pt;z-index:251672576;mso-width-relative:page;mso-height-relative:margin;mso-height-percent:200;" fillcolor="#FFFFFF" filled="t" stroked="f" coordsize="21600,21600" o:gfxdata="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yBXHb1gAAAAgBAAAPAAAAAAAAAAEAIAAAACIAAABk&#10;cnMvZG93bnJldi54bWxQSwECFAAUAAAACACHTuJAxXZSS88BAACTAwAADgAAAAAAAAABACAAAAAl&#10;AQAAZHJzL2Uyb0RvYy54bWxQSwUGAAAAAAYABgBZAQAAZgUAAAAA&#10;">
                <v:fill on="t" focussize="0,0"/>
                <v:stroke on="f"/>
                <v:imagedata o:title=""/>
                <o:lock v:ext="edit" aspectratio="f"/>
                <v:textbox style="mso-fit-shape-to-text:t;">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v:textbox>
              </v:shape>
            </w:pict>
          </mc:Fallback>
        </mc:AlternateContent>
      </w:r>
      <w:r>
        <w:rPr>
          <w:rFonts w:eastAsia="黑体"/>
          <w:kern w:val="0"/>
          <w:sz w:val="24"/>
        </w:rPr>
        <mc:AlternateContent>
          <mc:Choice Requires="wps">
            <w:drawing>
              <wp:anchor distT="0" distB="0" distL="114300" distR="114300" simplePos="0" relativeHeight="251673600" behindDoc="0" locked="0" layoutInCell="1" allowOverlap="1">
                <wp:simplePos x="0" y="0"/>
                <wp:positionH relativeFrom="column">
                  <wp:posOffset>-31750</wp:posOffset>
                </wp:positionH>
                <wp:positionV relativeFrom="paragraph">
                  <wp:posOffset>7620</wp:posOffset>
                </wp:positionV>
                <wp:extent cx="5840095" cy="635"/>
                <wp:effectExtent l="0" t="0" r="0" b="0"/>
                <wp:wrapNone/>
                <wp:docPr id="19" name="直线 10"/>
                <wp:cNvGraphicFramePr/>
                <a:graphic xmlns:a="http://schemas.openxmlformats.org/drawingml/2006/main">
                  <a:graphicData uri="http://schemas.microsoft.com/office/word/2010/wordprocessingShape">
                    <wps:wsp>
                      <wps:cNvCnPr/>
                      <wps:spPr>
                        <a:xfrm>
                          <a:off x="0" y="0"/>
                          <a:ext cx="5840095"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2.5pt;margin-top:0.6pt;height:0.05pt;width:459.85pt;z-index:251673600;mso-width-relative:page;mso-height-relative:page;" filled="f" stroked="t" coordsize="21600,21600" o:gfxdata="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wqHOdYAAAAGAQAA&#10;DwAAAAAAAAABACAAAAAiAAAAZHJzL2Rvd25yZXYueG1sUEsBAhQAFAAAAAgAh07iQMdwBmfiAQAA&#10;1AMAAA4AAAAAAAAAAQAgAAAAJQEAAGRycy9lMm9Eb2MueG1sUEsFBgAAAAAGAAYAWQEAAHkFAAAA&#10;AA==&#10;">
                <v:fill on="f" focussize="0,0"/>
                <v:stroke weight="1pt" color="#000000" joinstyle="round"/>
                <v:imagedata o:title=""/>
                <o:lock v:ext="edit" aspectratio="f"/>
              </v:line>
            </w:pict>
          </mc:Fallback>
        </mc:AlternateContent>
      </w:r>
    </w:p>
    <w:p>
      <w:pPr>
        <w:pStyle w:val="59"/>
        <w:rPr>
          <w:rFonts w:ascii="Times New Roman" w:hAnsi="Times New Roman"/>
          <w:sz w:val="24"/>
          <w:szCs w:val="24"/>
        </w:rPr>
        <w:sectPr>
          <w:headerReference r:id="rId5" w:type="first"/>
          <w:headerReference r:id="rId3" w:type="default"/>
          <w:footerReference r:id="rId6" w:type="default"/>
          <w:headerReference r:id="rId4" w:type="even"/>
          <w:footerReference r:id="rId7" w:type="even"/>
          <w:pgSz w:w="11907" w:h="16839"/>
          <w:pgMar w:top="567" w:right="851" w:bottom="1361" w:left="1418" w:header="624" w:footer="0" w:gutter="0"/>
          <w:pgNumType w:start="1"/>
          <w:cols w:space="720" w:num="1"/>
          <w:titlePg/>
          <w:docGrid w:type="lines" w:linePitch="312" w:charSpace="0"/>
        </w:sectPr>
      </w:pPr>
      <w:r>
        <w:rPr>
          <w:rFonts w:ascii="Times New Roman" w:hAnsi="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8824595</wp:posOffset>
                </wp:positionV>
                <wp:extent cx="6121400" cy="0"/>
                <wp:effectExtent l="8255" t="10795" r="13970" b="825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5pt;margin-top:694.85pt;height:0pt;width:482pt;z-index:251664384;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jnZ8HYAAAADAEA&#10;AA8AAAAAAAAAAQAgAAAAIgAAAGRycy9kb3ducmV2LnhtbFBLAQIUABQAAAAIAIdO4kBRBa8h4QEA&#10;AKsDAAAOAAAAAAAAAAEAIAAAACcBAABkcnMvZTJvRG9jLnhtbFBLBQYAAAAABgAGAFkBAAB6BQAA&#10;AAA=&#10;">
                <v:fill on="f" focussize="0,0"/>
                <v:stroke weight="1pt" color="#000000" joinstyle="round"/>
                <v:imagedata o:title=""/>
                <o:lock v:ext="edit" aspectratio="f"/>
              </v:line>
            </w:pict>
          </mc:Fallback>
        </mc:AlternateContent>
      </w:r>
      <w:r>
        <w:rPr>
          <w:rFonts w:ascii="Times New Roman" w:hAnsi="Times New Roman"/>
          <w:sz w:val="24"/>
          <w:szCs w:val="24"/>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3887470</wp:posOffset>
                </wp:positionV>
                <wp:extent cx="5969000" cy="333375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969000" cy="3333750"/>
                        </a:xfrm>
                        <a:prstGeom prst="rect">
                          <a:avLst/>
                        </a:prstGeom>
                        <a:solidFill>
                          <a:srgbClr val="FFFFFF"/>
                        </a:solidFill>
                        <a:ln>
                          <a:noFill/>
                        </a:ln>
                      </wps:spPr>
                      <wps:txbx>
                        <w:txbxContent>
                          <w:p>
                            <w:pPr>
                              <w:pStyle w:val="43"/>
                              <w:rPr>
                                <w:rFonts w:hAnsi="黑体" w:cs="黑体"/>
                                <w:szCs w:val="52"/>
                              </w:rPr>
                            </w:pPr>
                            <w:r>
                              <w:rPr>
                                <w:rFonts w:hint="eastAsia" w:hAnsi="黑体" w:cs="黑体"/>
                                <w:szCs w:val="52"/>
                              </w:rPr>
                              <w:t>相控阵超声试块校准规范</w:t>
                            </w:r>
                          </w:p>
                          <w:p>
                            <w:pPr>
                              <w:pStyle w:val="55"/>
                              <w:spacing w:line="240" w:lineRule="auto"/>
                              <w:rPr>
                                <w:rFonts w:ascii="Times New Roman" w:hAnsi="Times New Roman" w:eastAsia="黑体"/>
                                <w:sz w:val="28"/>
                                <w:szCs w:val="28"/>
                              </w:rPr>
                            </w:pPr>
                            <w:r>
                              <w:rPr>
                                <w:rFonts w:hint="eastAsia" w:ascii="Times New Roman" w:hAnsi="Times New Roman" w:eastAsia="黑体"/>
                                <w:sz w:val="28"/>
                                <w:szCs w:val="28"/>
                              </w:rPr>
                              <w:t>C</w:t>
                            </w:r>
                            <w:r>
                              <w:rPr>
                                <w:rFonts w:ascii="Times New Roman" w:hAnsi="Times New Roman" w:eastAsia="黑体"/>
                                <w:sz w:val="28"/>
                                <w:szCs w:val="28"/>
                              </w:rPr>
                              <w:t>alibration</w:t>
                            </w:r>
                            <w:r>
                              <w:rPr>
                                <w:rFonts w:hint="eastAsia" w:ascii="Times New Roman" w:hAnsi="Times New Roman" w:eastAsia="黑体"/>
                                <w:sz w:val="28"/>
                                <w:szCs w:val="28"/>
                              </w:rPr>
                              <w:t xml:space="preserve"> </w:t>
                            </w:r>
                            <w:r>
                              <w:rPr>
                                <w:rFonts w:ascii="Times New Roman" w:hAnsi="Times New Roman" w:eastAsia="黑体"/>
                                <w:sz w:val="28"/>
                                <w:szCs w:val="28"/>
                              </w:rPr>
                              <w:t xml:space="preserve">Specification for </w:t>
                            </w:r>
                            <w:r>
                              <w:rPr>
                                <w:rFonts w:hint="eastAsia" w:ascii="Times New Roman" w:hAnsi="Times New Roman" w:eastAsia="黑体"/>
                                <w:sz w:val="28"/>
                                <w:szCs w:val="28"/>
                              </w:rPr>
                              <w:t>P</w:t>
                            </w:r>
                            <w:r>
                              <w:rPr>
                                <w:rFonts w:ascii="Times New Roman" w:hAnsi="Times New Roman" w:eastAsia="黑体"/>
                                <w:sz w:val="28"/>
                                <w:szCs w:val="28"/>
                              </w:rPr>
                              <w:t xml:space="preserve">hased </w:t>
                            </w:r>
                            <w:r>
                              <w:rPr>
                                <w:rFonts w:hint="eastAsia" w:ascii="Times New Roman" w:hAnsi="Times New Roman" w:eastAsia="黑体"/>
                                <w:sz w:val="28"/>
                                <w:szCs w:val="28"/>
                              </w:rPr>
                              <w:t>A</w:t>
                            </w:r>
                            <w:r>
                              <w:rPr>
                                <w:rFonts w:ascii="Times New Roman" w:hAnsi="Times New Roman" w:eastAsia="黑体"/>
                                <w:sz w:val="28"/>
                                <w:szCs w:val="28"/>
                              </w:rPr>
                              <w:t xml:space="preserve">rray </w:t>
                            </w:r>
                            <w:r>
                              <w:rPr>
                                <w:rFonts w:hint="eastAsia" w:ascii="Times New Roman" w:hAnsi="Times New Roman" w:eastAsia="黑体"/>
                                <w:sz w:val="28"/>
                                <w:szCs w:val="28"/>
                              </w:rPr>
                              <w:t>U</w:t>
                            </w:r>
                            <w:r>
                              <w:rPr>
                                <w:rFonts w:ascii="Times New Roman" w:hAnsi="Times New Roman" w:eastAsia="黑体"/>
                                <w:sz w:val="28"/>
                                <w:szCs w:val="28"/>
                              </w:rPr>
                              <w:t xml:space="preserve">ltrasonic </w:t>
                            </w:r>
                            <w:r>
                              <w:rPr>
                                <w:rFonts w:hint="eastAsia" w:ascii="Times New Roman" w:hAnsi="Times New Roman" w:eastAsia="黑体"/>
                                <w:sz w:val="28"/>
                                <w:szCs w:val="28"/>
                              </w:rPr>
                              <w:t>T</w:t>
                            </w:r>
                            <w:r>
                              <w:rPr>
                                <w:rFonts w:ascii="Times New Roman" w:hAnsi="Times New Roman" w:eastAsia="黑体"/>
                                <w:sz w:val="28"/>
                                <w:szCs w:val="28"/>
                              </w:rPr>
                              <w:t>est</w:t>
                            </w:r>
                            <w:r>
                              <w:rPr>
                                <w:rFonts w:hint="eastAsia" w:ascii="Times New Roman" w:hAnsi="Times New Roman" w:eastAsia="黑体"/>
                                <w:sz w:val="28"/>
                                <w:szCs w:val="28"/>
                              </w:rPr>
                              <w:t xml:space="preserve"> Blocks </w:t>
                            </w:r>
                          </w:p>
                          <w:p>
                            <w:pPr>
                              <w:pStyle w:val="55"/>
                              <w:spacing w:line="220" w:lineRule="exact"/>
                              <w:rPr>
                                <w:rFonts w:eastAsia="黑体"/>
                                <w:szCs w:val="28"/>
                              </w:rPr>
                            </w:pPr>
                            <w:r>
                              <w:rPr>
                                <w:rFonts w:hint="eastAsia" w:ascii="黑体" w:eastAsia="黑体"/>
                                <w:sz w:val="30"/>
                              </w:rPr>
                              <w:t>（</w:t>
                            </w:r>
                            <w:r>
                              <w:rPr>
                                <w:rFonts w:hint="eastAsia" w:ascii="黑体" w:eastAsia="黑体"/>
                                <w:sz w:val="30"/>
                                <w:lang w:val="en-US" w:eastAsia="zh-CN"/>
                              </w:rPr>
                              <w:t>审定</w:t>
                            </w:r>
                            <w:r>
                              <w:rPr>
                                <w:rFonts w:hint="eastAsia" w:ascii="黑体" w:eastAsia="黑体"/>
                                <w:sz w:val="30"/>
                              </w:rPr>
                              <w:t>稿）</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306.1pt;height:262.5pt;width:470pt;mso-position-horizontal-relative:margin;mso-position-vertical-relative:margin;z-index:251663360;mso-width-relative:page;mso-height-relative:page;" fillcolor="#FFFFFF" filled="t" stroked="f" coordsize="21600,21600" o:gfxdata="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Txy6PX&#10;AAAACQEAAA8AAAAAAAAAAQAgAAAAIgAAAGRycy9kb3ducmV2LnhtbFBLAQIUABQAAAAIAIdO4kCH&#10;WVv0IQIAAC8EAAAOAAAAAAAAAAEAIAAAACYBAABkcnMvZTJvRG9jLnhtbFBLBQYAAAAABgAGAFkB&#10;AAC5BQAAAAA=&#10;">
                <v:fill on="t" focussize="0,0"/>
                <v:stroke on="f"/>
                <v:imagedata o:title=""/>
                <o:lock v:ext="edit" aspectratio="f"/>
                <v:textbox inset="0mm,0mm,0mm,0mm">
                  <w:txbxContent>
                    <w:p>
                      <w:pPr>
                        <w:pStyle w:val="43"/>
                        <w:rPr>
                          <w:rFonts w:hAnsi="黑体" w:cs="黑体"/>
                          <w:szCs w:val="52"/>
                        </w:rPr>
                      </w:pPr>
                      <w:r>
                        <w:rPr>
                          <w:rFonts w:hint="eastAsia" w:hAnsi="黑体" w:cs="黑体"/>
                          <w:szCs w:val="52"/>
                        </w:rPr>
                        <w:t>相控阵超声试块校准规范</w:t>
                      </w:r>
                    </w:p>
                    <w:p>
                      <w:pPr>
                        <w:pStyle w:val="55"/>
                        <w:spacing w:line="240" w:lineRule="auto"/>
                        <w:rPr>
                          <w:rFonts w:ascii="Times New Roman" w:hAnsi="Times New Roman" w:eastAsia="黑体"/>
                          <w:sz w:val="28"/>
                          <w:szCs w:val="28"/>
                        </w:rPr>
                      </w:pPr>
                      <w:r>
                        <w:rPr>
                          <w:rFonts w:hint="eastAsia" w:ascii="Times New Roman" w:hAnsi="Times New Roman" w:eastAsia="黑体"/>
                          <w:sz w:val="28"/>
                          <w:szCs w:val="28"/>
                        </w:rPr>
                        <w:t>C</w:t>
                      </w:r>
                      <w:r>
                        <w:rPr>
                          <w:rFonts w:ascii="Times New Roman" w:hAnsi="Times New Roman" w:eastAsia="黑体"/>
                          <w:sz w:val="28"/>
                          <w:szCs w:val="28"/>
                        </w:rPr>
                        <w:t>alibration</w:t>
                      </w:r>
                      <w:r>
                        <w:rPr>
                          <w:rFonts w:hint="eastAsia" w:ascii="Times New Roman" w:hAnsi="Times New Roman" w:eastAsia="黑体"/>
                          <w:sz w:val="28"/>
                          <w:szCs w:val="28"/>
                        </w:rPr>
                        <w:t xml:space="preserve"> </w:t>
                      </w:r>
                      <w:r>
                        <w:rPr>
                          <w:rFonts w:ascii="Times New Roman" w:hAnsi="Times New Roman" w:eastAsia="黑体"/>
                          <w:sz w:val="28"/>
                          <w:szCs w:val="28"/>
                        </w:rPr>
                        <w:t xml:space="preserve">Specification for </w:t>
                      </w:r>
                      <w:r>
                        <w:rPr>
                          <w:rFonts w:hint="eastAsia" w:ascii="Times New Roman" w:hAnsi="Times New Roman" w:eastAsia="黑体"/>
                          <w:sz w:val="28"/>
                          <w:szCs w:val="28"/>
                        </w:rPr>
                        <w:t>P</w:t>
                      </w:r>
                      <w:r>
                        <w:rPr>
                          <w:rFonts w:ascii="Times New Roman" w:hAnsi="Times New Roman" w:eastAsia="黑体"/>
                          <w:sz w:val="28"/>
                          <w:szCs w:val="28"/>
                        </w:rPr>
                        <w:t xml:space="preserve">hased </w:t>
                      </w:r>
                      <w:r>
                        <w:rPr>
                          <w:rFonts w:hint="eastAsia" w:ascii="Times New Roman" w:hAnsi="Times New Roman" w:eastAsia="黑体"/>
                          <w:sz w:val="28"/>
                          <w:szCs w:val="28"/>
                        </w:rPr>
                        <w:t>A</w:t>
                      </w:r>
                      <w:r>
                        <w:rPr>
                          <w:rFonts w:ascii="Times New Roman" w:hAnsi="Times New Roman" w:eastAsia="黑体"/>
                          <w:sz w:val="28"/>
                          <w:szCs w:val="28"/>
                        </w:rPr>
                        <w:t xml:space="preserve">rray </w:t>
                      </w:r>
                      <w:r>
                        <w:rPr>
                          <w:rFonts w:hint="eastAsia" w:ascii="Times New Roman" w:hAnsi="Times New Roman" w:eastAsia="黑体"/>
                          <w:sz w:val="28"/>
                          <w:szCs w:val="28"/>
                        </w:rPr>
                        <w:t>U</w:t>
                      </w:r>
                      <w:r>
                        <w:rPr>
                          <w:rFonts w:ascii="Times New Roman" w:hAnsi="Times New Roman" w:eastAsia="黑体"/>
                          <w:sz w:val="28"/>
                          <w:szCs w:val="28"/>
                        </w:rPr>
                        <w:t xml:space="preserve">ltrasonic </w:t>
                      </w:r>
                      <w:r>
                        <w:rPr>
                          <w:rFonts w:hint="eastAsia" w:ascii="Times New Roman" w:hAnsi="Times New Roman" w:eastAsia="黑体"/>
                          <w:sz w:val="28"/>
                          <w:szCs w:val="28"/>
                        </w:rPr>
                        <w:t>T</w:t>
                      </w:r>
                      <w:r>
                        <w:rPr>
                          <w:rFonts w:ascii="Times New Roman" w:hAnsi="Times New Roman" w:eastAsia="黑体"/>
                          <w:sz w:val="28"/>
                          <w:szCs w:val="28"/>
                        </w:rPr>
                        <w:t>est</w:t>
                      </w:r>
                      <w:r>
                        <w:rPr>
                          <w:rFonts w:hint="eastAsia" w:ascii="Times New Roman" w:hAnsi="Times New Roman" w:eastAsia="黑体"/>
                          <w:sz w:val="28"/>
                          <w:szCs w:val="28"/>
                        </w:rPr>
                        <w:t xml:space="preserve"> Blocks </w:t>
                      </w:r>
                    </w:p>
                    <w:p>
                      <w:pPr>
                        <w:pStyle w:val="55"/>
                        <w:spacing w:line="220" w:lineRule="exact"/>
                        <w:rPr>
                          <w:rFonts w:eastAsia="黑体"/>
                          <w:szCs w:val="28"/>
                        </w:rPr>
                      </w:pPr>
                      <w:r>
                        <w:rPr>
                          <w:rFonts w:hint="eastAsia" w:ascii="黑体" w:eastAsia="黑体"/>
                          <w:sz w:val="30"/>
                        </w:rPr>
                        <w:t>（</w:t>
                      </w:r>
                      <w:r>
                        <w:rPr>
                          <w:rFonts w:hint="eastAsia" w:ascii="黑体" w:eastAsia="黑体"/>
                          <w:sz w:val="30"/>
                          <w:lang w:val="en-US" w:eastAsia="zh-CN"/>
                        </w:rPr>
                        <w:t>审定</w:t>
                      </w:r>
                      <w:r>
                        <w:rPr>
                          <w:rFonts w:hint="eastAsia" w:ascii="黑体" w:eastAsia="黑体"/>
                          <w:sz w:val="30"/>
                        </w:rPr>
                        <w:t>稿）</w:t>
                      </w:r>
                    </w:p>
                  </w:txbxContent>
                </v:textbox>
                <w10:anchorlock/>
              </v:shape>
            </w:pict>
          </mc:Fallback>
        </mc:AlternateContent>
      </w:r>
    </w:p>
    <w:bookmarkEnd w:id="0"/>
    <w:p>
      <w:pPr>
        <w:rPr>
          <w:sz w:val="24"/>
        </w:rPr>
      </w:pPr>
      <w:bookmarkStart w:id="1" w:name="_Toc193860176"/>
      <w:bookmarkStart w:id="2" w:name="_Toc193861442"/>
      <w:bookmarkStart w:id="3" w:name="_Toc193603073"/>
      <w:bookmarkStart w:id="4" w:name="_Toc193619049"/>
      <w:bookmarkStart w:id="5" w:name="_Toc193619091"/>
      <w:bookmarkStart w:id="6" w:name="_Toc193555883"/>
      <w:bookmarkStart w:id="7" w:name="_Toc193860207"/>
      <w:bookmarkStart w:id="8" w:name="_Toc193601894"/>
      <w:bookmarkStart w:id="9" w:name="_Toc193860026"/>
      <w:bookmarkStart w:id="10" w:name="_Toc193618946"/>
      <w:bookmarkStart w:id="11" w:name="_Toc193601673"/>
      <w:bookmarkStart w:id="12" w:name="_Toc193551753"/>
      <w:bookmarkStart w:id="13" w:name="_Toc193552963"/>
      <w:bookmarkStart w:id="14" w:name="_Toc193547508"/>
    </w:p>
    <w:bookmarkEnd w:id="1"/>
    <w:bookmarkEnd w:id="2"/>
    <w:bookmarkEnd w:id="3"/>
    <w:bookmarkEnd w:id="4"/>
    <w:bookmarkEnd w:id="5"/>
    <w:bookmarkEnd w:id="6"/>
    <w:bookmarkEnd w:id="7"/>
    <w:bookmarkEnd w:id="8"/>
    <w:bookmarkEnd w:id="9"/>
    <w:bookmarkEnd w:id="10"/>
    <w:bookmarkEnd w:id="11"/>
    <w:p>
      <w:pPr>
        <w:pStyle w:val="77"/>
        <w:spacing w:before="100" w:beforeAutospacing="1"/>
        <w:ind w:firstLine="480" w:firstLineChars="200"/>
        <w:jc w:val="both"/>
        <w:rPr>
          <w:rFonts w:ascii="Times New Roman" w:hAnsi="Times New Roman"/>
          <w:sz w:val="24"/>
          <w:szCs w:val="24"/>
        </w:rPr>
      </w:pPr>
      <w:bookmarkStart w:id="15" w:name="_Toc133393293"/>
      <w:bookmarkStart w:id="16" w:name="_Toc131690832"/>
      <w:bookmarkStart w:id="17" w:name="_Toc131690926"/>
      <w:r>
        <w:rPr>
          <w:rFonts w:ascii="Times New Roman" w:hAnsi="Times New Roman"/>
          <w:sz w:val="24"/>
        </w:rPr>
        <mc:AlternateContent>
          <mc:Choice Requires="wps">
            <w:drawing>
              <wp:anchor distT="0" distB="0" distL="114300" distR="114300" simplePos="0" relativeHeight="251665408" behindDoc="0" locked="0" layoutInCell="1" allowOverlap="1">
                <wp:simplePos x="0" y="0"/>
                <wp:positionH relativeFrom="column">
                  <wp:posOffset>-184785</wp:posOffset>
                </wp:positionH>
                <wp:positionV relativeFrom="paragraph">
                  <wp:posOffset>18415</wp:posOffset>
                </wp:positionV>
                <wp:extent cx="3956685" cy="1543685"/>
                <wp:effectExtent l="4445" t="4445" r="20320" b="1397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956685" cy="1543685"/>
                        </a:xfrm>
                        <a:prstGeom prst="rect">
                          <a:avLst/>
                        </a:prstGeom>
                        <a:solidFill>
                          <a:srgbClr val="FFFFFF"/>
                        </a:solidFill>
                        <a:ln w="3175" cap="rnd" algn="ctr">
                          <a:solidFill>
                            <a:srgbClr val="FFFFFF"/>
                          </a:solidFill>
                          <a:prstDash val="sysDot"/>
                          <a:miter lim="800000"/>
                        </a:ln>
                        <a:effectLst/>
                      </wps:spPr>
                      <wps:txbx>
                        <w:txbxContent>
                          <w:p>
                            <w:pPr>
                              <w:pStyle w:val="88"/>
                              <w:jc w:val="center"/>
                              <w:rPr>
                                <w:rFonts w:ascii="黑体" w:hAnsi="黑体" w:eastAsia="黑体" w:cs="黑体"/>
                                <w:sz w:val="44"/>
                                <w:szCs w:val="44"/>
                              </w:rPr>
                            </w:pPr>
                            <w:r>
                              <w:rPr>
                                <w:rFonts w:hint="eastAsia" w:ascii="黑体" w:hAnsi="黑体" w:eastAsia="黑体" w:cs="黑体"/>
                                <w:sz w:val="44"/>
                                <w:szCs w:val="44"/>
                              </w:rPr>
                              <w:t>相控阵超声试块校准规范</w:t>
                            </w:r>
                          </w:p>
                          <w:p>
                            <w:pPr>
                              <w:pStyle w:val="55"/>
                              <w:spacing w:line="240" w:lineRule="auto"/>
                              <w:rPr>
                                <w:rFonts w:ascii="Times New Roman" w:hAnsi="Times New Roman" w:eastAsia="黑体"/>
                                <w:szCs w:val="21"/>
                              </w:rPr>
                            </w:pPr>
                            <w:r>
                              <w:rPr>
                                <w:rFonts w:hint="eastAsia" w:ascii="Times New Roman" w:hAnsi="Times New Roman" w:eastAsia="黑体"/>
                                <w:szCs w:val="21"/>
                              </w:rPr>
                              <w:t>C</w:t>
                            </w:r>
                            <w:r>
                              <w:rPr>
                                <w:rFonts w:ascii="Times New Roman" w:hAnsi="Times New Roman" w:eastAsia="黑体"/>
                                <w:szCs w:val="21"/>
                              </w:rPr>
                              <w:t>alibration</w:t>
                            </w:r>
                            <w:r>
                              <w:rPr>
                                <w:rFonts w:hint="eastAsia" w:ascii="Times New Roman" w:hAnsi="Times New Roman" w:eastAsia="黑体"/>
                                <w:szCs w:val="21"/>
                              </w:rPr>
                              <w:t xml:space="preserve"> </w:t>
                            </w:r>
                            <w:r>
                              <w:rPr>
                                <w:rFonts w:ascii="Times New Roman" w:hAnsi="Times New Roman" w:eastAsia="黑体"/>
                                <w:szCs w:val="21"/>
                              </w:rPr>
                              <w:t xml:space="preserve">Specification for </w:t>
                            </w:r>
                            <w:r>
                              <w:rPr>
                                <w:rFonts w:hint="eastAsia" w:ascii="Times New Roman" w:hAnsi="Times New Roman" w:eastAsia="黑体"/>
                                <w:szCs w:val="21"/>
                              </w:rPr>
                              <w:t>P</w:t>
                            </w:r>
                            <w:r>
                              <w:rPr>
                                <w:rFonts w:ascii="Times New Roman" w:hAnsi="Times New Roman" w:eastAsia="黑体"/>
                                <w:szCs w:val="21"/>
                              </w:rPr>
                              <w:t xml:space="preserve">hased </w:t>
                            </w:r>
                            <w:r>
                              <w:rPr>
                                <w:rFonts w:hint="eastAsia" w:ascii="Times New Roman" w:hAnsi="Times New Roman" w:eastAsia="黑体"/>
                                <w:szCs w:val="21"/>
                              </w:rPr>
                              <w:t>A</w:t>
                            </w:r>
                            <w:r>
                              <w:rPr>
                                <w:rFonts w:ascii="Times New Roman" w:hAnsi="Times New Roman" w:eastAsia="黑体"/>
                                <w:szCs w:val="21"/>
                              </w:rPr>
                              <w:t xml:space="preserve">rray </w:t>
                            </w:r>
                            <w:r>
                              <w:rPr>
                                <w:rFonts w:hint="eastAsia" w:ascii="Times New Roman" w:hAnsi="Times New Roman" w:eastAsia="黑体"/>
                                <w:szCs w:val="21"/>
                              </w:rPr>
                              <w:t>U</w:t>
                            </w:r>
                            <w:r>
                              <w:rPr>
                                <w:rFonts w:ascii="Times New Roman" w:hAnsi="Times New Roman" w:eastAsia="黑体"/>
                                <w:szCs w:val="21"/>
                              </w:rPr>
                              <w:t xml:space="preserve">ltrasonic </w:t>
                            </w:r>
                            <w:r>
                              <w:rPr>
                                <w:rFonts w:hint="eastAsia" w:ascii="Times New Roman" w:hAnsi="Times New Roman" w:eastAsia="黑体"/>
                                <w:szCs w:val="21"/>
                              </w:rPr>
                              <w:t>T</w:t>
                            </w:r>
                            <w:r>
                              <w:rPr>
                                <w:rFonts w:ascii="Times New Roman" w:hAnsi="Times New Roman" w:eastAsia="黑体"/>
                                <w:szCs w:val="21"/>
                              </w:rPr>
                              <w:t>est</w:t>
                            </w:r>
                            <w:r>
                              <w:rPr>
                                <w:rFonts w:hint="eastAsia" w:ascii="Times New Roman" w:hAnsi="Times New Roman" w:eastAsia="黑体"/>
                                <w:szCs w:val="21"/>
                              </w:rPr>
                              <w:t xml:space="preserve"> Blocks </w:t>
                            </w:r>
                          </w:p>
                          <w:p>
                            <w:pPr>
                              <w:pStyle w:val="88"/>
                              <w:rPr>
                                <w:lang w:val="en-US"/>
                              </w:rPr>
                            </w:pPr>
                          </w:p>
                        </w:txbxContent>
                      </wps:txbx>
                      <wps:bodyPr rot="0" vert="horz" wrap="square" lIns="91440" tIns="82800" rIns="91440" bIns="82800" anchor="t" anchorCtr="0" upright="1">
                        <a:noAutofit/>
                      </wps:bodyPr>
                    </wps:wsp>
                  </a:graphicData>
                </a:graphic>
              </wp:anchor>
            </w:drawing>
          </mc:Choice>
          <mc:Fallback>
            <w:pict>
              <v:shape id="_x0000_s1026" o:spid="_x0000_s1026" o:spt="202" type="#_x0000_t202" style="position:absolute;left:0pt;margin-left:-14.55pt;margin-top:1.45pt;height:121.55pt;width:311.55pt;z-index:251665408;mso-width-relative:page;mso-height-relative:page;" fillcolor="#FFFFFF" filled="t" stroked="t" coordsize="21600,21600" o:gfxdata="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6Z5jN2gAAAAkBAAAPAAAAAAAAAAEAIAAAACIAAABkcnMvZG93bnJldi54bWxQSwECFAAUAAAA&#10;CACHTuJAItayvV4CAADFBAAADgAAAAAAAAABACAAAAApAQAAZHJzL2Uyb0RvYy54bWxQSwUGAAAA&#10;AAYABgBZAQAA+QUAAAAA&#10;">
                <v:fill on="t" focussize="0,0"/>
                <v:stroke weight="0.25pt" color="#FFFFFF" miterlimit="8" joinstyle="miter" dashstyle="1 1" endcap="round"/>
                <v:imagedata o:title=""/>
                <o:lock v:ext="edit" aspectratio="f"/>
                <v:textbox inset="2.54mm,2.3mm,2.54mm,2.3mm">
                  <w:txbxContent>
                    <w:p>
                      <w:pPr>
                        <w:pStyle w:val="88"/>
                        <w:jc w:val="center"/>
                        <w:rPr>
                          <w:rFonts w:ascii="黑体" w:hAnsi="黑体" w:eastAsia="黑体" w:cs="黑体"/>
                          <w:sz w:val="44"/>
                          <w:szCs w:val="44"/>
                        </w:rPr>
                      </w:pPr>
                      <w:r>
                        <w:rPr>
                          <w:rFonts w:hint="eastAsia" w:ascii="黑体" w:hAnsi="黑体" w:eastAsia="黑体" w:cs="黑体"/>
                          <w:sz w:val="44"/>
                          <w:szCs w:val="44"/>
                        </w:rPr>
                        <w:t>相控阵超声试块校准规范</w:t>
                      </w:r>
                    </w:p>
                    <w:p>
                      <w:pPr>
                        <w:pStyle w:val="55"/>
                        <w:spacing w:line="240" w:lineRule="auto"/>
                        <w:rPr>
                          <w:rFonts w:ascii="Times New Roman" w:hAnsi="Times New Roman" w:eastAsia="黑体"/>
                          <w:szCs w:val="21"/>
                        </w:rPr>
                      </w:pPr>
                      <w:r>
                        <w:rPr>
                          <w:rFonts w:hint="eastAsia" w:ascii="Times New Roman" w:hAnsi="Times New Roman" w:eastAsia="黑体"/>
                          <w:szCs w:val="21"/>
                        </w:rPr>
                        <w:t>C</w:t>
                      </w:r>
                      <w:r>
                        <w:rPr>
                          <w:rFonts w:ascii="Times New Roman" w:hAnsi="Times New Roman" w:eastAsia="黑体"/>
                          <w:szCs w:val="21"/>
                        </w:rPr>
                        <w:t>alibration</w:t>
                      </w:r>
                      <w:r>
                        <w:rPr>
                          <w:rFonts w:hint="eastAsia" w:ascii="Times New Roman" w:hAnsi="Times New Roman" w:eastAsia="黑体"/>
                          <w:szCs w:val="21"/>
                        </w:rPr>
                        <w:t xml:space="preserve"> </w:t>
                      </w:r>
                      <w:r>
                        <w:rPr>
                          <w:rFonts w:ascii="Times New Roman" w:hAnsi="Times New Roman" w:eastAsia="黑体"/>
                          <w:szCs w:val="21"/>
                        </w:rPr>
                        <w:t xml:space="preserve">Specification for </w:t>
                      </w:r>
                      <w:r>
                        <w:rPr>
                          <w:rFonts w:hint="eastAsia" w:ascii="Times New Roman" w:hAnsi="Times New Roman" w:eastAsia="黑体"/>
                          <w:szCs w:val="21"/>
                        </w:rPr>
                        <w:t>P</w:t>
                      </w:r>
                      <w:r>
                        <w:rPr>
                          <w:rFonts w:ascii="Times New Roman" w:hAnsi="Times New Roman" w:eastAsia="黑体"/>
                          <w:szCs w:val="21"/>
                        </w:rPr>
                        <w:t xml:space="preserve">hased </w:t>
                      </w:r>
                      <w:r>
                        <w:rPr>
                          <w:rFonts w:hint="eastAsia" w:ascii="Times New Roman" w:hAnsi="Times New Roman" w:eastAsia="黑体"/>
                          <w:szCs w:val="21"/>
                        </w:rPr>
                        <w:t>A</w:t>
                      </w:r>
                      <w:r>
                        <w:rPr>
                          <w:rFonts w:ascii="Times New Roman" w:hAnsi="Times New Roman" w:eastAsia="黑体"/>
                          <w:szCs w:val="21"/>
                        </w:rPr>
                        <w:t xml:space="preserve">rray </w:t>
                      </w:r>
                      <w:r>
                        <w:rPr>
                          <w:rFonts w:hint="eastAsia" w:ascii="Times New Roman" w:hAnsi="Times New Roman" w:eastAsia="黑体"/>
                          <w:szCs w:val="21"/>
                        </w:rPr>
                        <w:t>U</w:t>
                      </w:r>
                      <w:r>
                        <w:rPr>
                          <w:rFonts w:ascii="Times New Roman" w:hAnsi="Times New Roman" w:eastAsia="黑体"/>
                          <w:szCs w:val="21"/>
                        </w:rPr>
                        <w:t xml:space="preserve">ltrasonic </w:t>
                      </w:r>
                      <w:r>
                        <w:rPr>
                          <w:rFonts w:hint="eastAsia" w:ascii="Times New Roman" w:hAnsi="Times New Roman" w:eastAsia="黑体"/>
                          <w:szCs w:val="21"/>
                        </w:rPr>
                        <w:t>T</w:t>
                      </w:r>
                      <w:r>
                        <w:rPr>
                          <w:rFonts w:ascii="Times New Roman" w:hAnsi="Times New Roman" w:eastAsia="黑体"/>
                          <w:szCs w:val="21"/>
                        </w:rPr>
                        <w:t>est</w:t>
                      </w:r>
                      <w:r>
                        <w:rPr>
                          <w:rFonts w:hint="eastAsia" w:ascii="Times New Roman" w:hAnsi="Times New Roman" w:eastAsia="黑体"/>
                          <w:szCs w:val="21"/>
                        </w:rPr>
                        <w:t xml:space="preserve"> Blocks </w:t>
                      </w:r>
                    </w:p>
                    <w:p>
                      <w:pPr>
                        <w:pStyle w:val="88"/>
                        <w:rPr>
                          <w:lang w:val="en-US"/>
                        </w:rPr>
                      </w:pPr>
                    </w:p>
                  </w:txbxContent>
                </v:textbox>
              </v:shape>
            </w:pict>
          </mc:Fallback>
        </mc:AlternateContent>
      </w:r>
      <w:r>
        <w:rPr>
          <w:rFonts w:ascii="Times New Roman" w:hAnsi="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3917950</wp:posOffset>
                </wp:positionH>
                <wp:positionV relativeFrom="paragraph">
                  <wp:posOffset>359410</wp:posOffset>
                </wp:positionV>
                <wp:extent cx="1846580" cy="309880"/>
                <wp:effectExtent l="0" t="0" r="20320"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46580" cy="310100"/>
                        </a:xfrm>
                        <a:prstGeom prst="rect">
                          <a:avLst/>
                        </a:prstGeom>
                        <a:solidFill>
                          <a:srgbClr val="FFFFFF"/>
                        </a:solidFill>
                        <a:ln w="12700">
                          <a:solidFill>
                            <a:srgbClr val="FFFFFF"/>
                          </a:solidFill>
                          <a:miter lim="800000"/>
                        </a:ln>
                      </wps:spPr>
                      <wps:txbx>
                        <w:txbxContent>
                          <w:p>
                            <w:pPr>
                              <w:pStyle w:val="63"/>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wps:txbx>
                      <wps:bodyPr rot="0" vert="horz" wrap="square" lIns="54000" tIns="45720" rIns="54000" bIns="45720" anchor="t" anchorCtr="0" upright="1">
                        <a:noAutofit/>
                      </wps:bodyPr>
                    </wps:wsp>
                  </a:graphicData>
                </a:graphic>
              </wp:anchor>
            </w:drawing>
          </mc:Choice>
          <mc:Fallback>
            <w:pict>
              <v:shape id="_x0000_s1026" o:spid="_x0000_s1026" o:spt="202" type="#_x0000_t202" style="position:absolute;left:0pt;margin-left:308.5pt;margin-top:28.3pt;height:24.4pt;width:145.4pt;z-index:251667456;mso-width-relative:page;mso-height-relative:page;" fillcolor="#FFFFFF" filled="t" stroked="t" coordsize="21600,21600" o:gfxdata="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LGA2a2AAAAAoBAAAPAAAAAAAAAAEAIAAAACIAAABkcnMvZG93&#10;bnJldi54bWxQSwECFAAUAAAACACHTuJALztmoTkCAACIBAAADgAAAAAAAAABACAAAAAnAQAAZHJz&#10;L2Uyb0RvYy54bWxQSwUGAAAAAAYABgBZAQAA0gUAAAAA&#10;">
                <v:fill on="t" focussize="0,0"/>
                <v:stroke weight="1pt" color="#FFFFFF" miterlimit="8" joinstyle="miter"/>
                <v:imagedata o:title=""/>
                <o:lock v:ext="edit" aspectratio="f"/>
                <v:textbox inset="1.5mm,1.27mm,1.5mm,1.27mm">
                  <w:txbxContent>
                    <w:p>
                      <w:pPr>
                        <w:pStyle w:val="63"/>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v:textbox>
              </v:shape>
            </w:pict>
          </mc:Fallback>
        </mc:AlternateContent>
      </w:r>
      <w:r>
        <w:rPr>
          <w:rFonts w:ascii="Times New Roman" w:hAnsi="Times New Roman"/>
          <w:sz w:val="24"/>
          <w:szCs w:val="24"/>
        </w:rPr>
        <w:drawing>
          <wp:anchor distT="0" distB="0" distL="114300" distR="114300" simplePos="0" relativeHeight="251668480" behindDoc="1" locked="0" layoutInCell="1" allowOverlap="1">
            <wp:simplePos x="0" y="0"/>
            <wp:positionH relativeFrom="column">
              <wp:posOffset>3817620</wp:posOffset>
            </wp:positionH>
            <wp:positionV relativeFrom="paragraph">
              <wp:posOffset>63500</wp:posOffset>
            </wp:positionV>
            <wp:extent cx="2052320" cy="836295"/>
            <wp:effectExtent l="0" t="0" r="5080"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052320" cy="836295"/>
                    </a:xfrm>
                    <a:prstGeom prst="rect">
                      <a:avLst/>
                    </a:prstGeom>
                    <a:noFill/>
                    <a:ln>
                      <a:noFill/>
                    </a:ln>
                  </pic:spPr>
                </pic:pic>
              </a:graphicData>
            </a:graphic>
          </wp:anchor>
        </w:drawing>
      </w:r>
      <w:bookmarkEnd w:id="15"/>
      <w:bookmarkEnd w:id="16"/>
      <w:bookmarkEnd w:id="17"/>
      <w:r>
        <w:rPr>
          <w:rFonts w:ascii="Times New Roman" w:hAnsi="Times New Roman"/>
          <w:sz w:val="24"/>
          <w:szCs w:val="24"/>
        </w:rPr>
        <w:t xml:space="preserve">                                   </w:t>
      </w:r>
    </w:p>
    <w:p>
      <w:pPr>
        <w:pStyle w:val="48"/>
        <w:ind w:firstLine="480"/>
        <w:rPr>
          <w:rFonts w:ascii="Times New Roman" w:hAnsi="Times New Roman"/>
          <w:sz w:val="24"/>
          <w:szCs w:val="24"/>
        </w:rPr>
      </w:pPr>
    </w:p>
    <w:bookmarkEnd w:id="12"/>
    <w:bookmarkEnd w:id="13"/>
    <w:bookmarkEnd w:id="14"/>
    <w:p>
      <w:pPr>
        <w:pStyle w:val="59"/>
        <w:rPr>
          <w:rFonts w:ascii="Times New Roman" w:hAnsi="Times New Roman"/>
          <w:sz w:val="24"/>
          <w:szCs w:val="24"/>
        </w:rPr>
      </w:pPr>
      <w:bookmarkStart w:id="18" w:name="_Toc193601896"/>
      <w:bookmarkStart w:id="19" w:name="_Toc193603075"/>
      <w:bookmarkStart w:id="20" w:name="_Toc193601675"/>
      <w:bookmarkStart w:id="21" w:name="_Toc193555885"/>
    </w:p>
    <w:p>
      <w:pPr>
        <w:pStyle w:val="55"/>
        <w:spacing w:line="420" w:lineRule="exact"/>
        <w:jc w:val="both"/>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69215</wp:posOffset>
                </wp:positionV>
                <wp:extent cx="5943600" cy="0"/>
                <wp:effectExtent l="5080" t="10795" r="13970" b="82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5.45pt;height:0pt;width:468pt;z-index:251666432;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gOECj0wAA&#10;AAYBAAAPAAAAAAAAAAEAIAAAACIAAABkcnMvZG93bnJldi54bWxQSwECFAAUAAAACACHTuJAiVLP&#10;KuoBAAC4AwAADgAAAAAAAAABACAAAAAiAQAAZHJzL2Uyb0RvYy54bWxQSwUGAAAAAAYABgBZAQAA&#10;fgUAAAAA&#10;">
                <v:fill on="f" focussize="0,0"/>
                <v:stroke color="#000000" joinstyle="round"/>
                <v:imagedata o:title=""/>
                <o:lock v:ext="edit" aspectratio="f"/>
              </v:line>
            </w:pict>
          </mc:Fallback>
        </mc:AlternateContent>
      </w:r>
      <w:bookmarkEnd w:id="18"/>
      <w:bookmarkEnd w:id="19"/>
      <w:bookmarkEnd w:id="20"/>
      <w:bookmarkEnd w:id="21"/>
    </w:p>
    <w:p>
      <w:pPr>
        <w:pStyle w:val="55"/>
        <w:spacing w:line="420" w:lineRule="exact"/>
        <w:jc w:val="both"/>
        <w:rPr>
          <w:rFonts w:ascii="Times New Roman" w:hAnsi="Times New Roman"/>
          <w:sz w:val="24"/>
          <w:szCs w:val="24"/>
        </w:rPr>
      </w:pPr>
    </w:p>
    <w:p>
      <w:pPr>
        <w:pStyle w:val="48"/>
        <w:ind w:firstLine="0" w:firstLineChars="0"/>
        <w:rPr>
          <w:rFonts w:ascii="Times New Roman" w:hAnsi="Times New Roman"/>
          <w:sz w:val="24"/>
          <w:szCs w:val="24"/>
        </w:rPr>
      </w:pPr>
    </w:p>
    <w:p>
      <w:pPr>
        <w:pStyle w:val="43"/>
        <w:framePr w:w="8080" w:h="6806" w:hRule="exact" w:wrap="around" w:vAnchor="page" w:hAnchor="page" w:x="2115" w:y="7035"/>
        <w:adjustRightInd w:val="0"/>
        <w:snapToGrid w:val="0"/>
        <w:spacing w:line="520" w:lineRule="exact"/>
        <w:jc w:val="both"/>
        <w:rPr>
          <w:rFonts w:ascii="Times New Roman" w:hAnsi="Times New Roman" w:eastAsiaTheme="minorEastAsia"/>
          <w:spacing w:val="11"/>
          <w:sz w:val="28"/>
          <w:szCs w:val="24"/>
        </w:rPr>
      </w:pPr>
      <w:r>
        <w:rPr>
          <w:rFonts w:ascii="Times New Roman" w:hAnsi="Times New Roman"/>
          <w:spacing w:val="11"/>
          <w:sz w:val="28"/>
          <w:szCs w:val="24"/>
        </w:rPr>
        <w:t xml:space="preserve">归 口 单 </w:t>
      </w:r>
      <w:r>
        <w:rPr>
          <w:rFonts w:ascii="Times New Roman" w:hAnsi="Times New Roman"/>
          <w:spacing w:val="4"/>
          <w:sz w:val="28"/>
          <w:szCs w:val="24"/>
        </w:rPr>
        <w:t>位</w:t>
      </w:r>
      <w:r>
        <w:rPr>
          <w:rFonts w:ascii="Times New Roman" w:hAnsi="Times New Roman"/>
          <w:sz w:val="28"/>
          <w:szCs w:val="24"/>
        </w:rPr>
        <w:t>：</w:t>
      </w:r>
      <w:r>
        <w:rPr>
          <w:rFonts w:ascii="Times New Roman" w:hAnsi="Times New Roman" w:eastAsiaTheme="minorEastAsia"/>
          <w:sz w:val="28"/>
          <w:szCs w:val="24"/>
        </w:rPr>
        <w:t>中国有色金属工业协会</w:t>
      </w:r>
    </w:p>
    <w:p>
      <w:pPr>
        <w:framePr w:w="8080" w:h="6806" w:hRule="exact" w:wrap="around" w:vAnchor="page" w:hAnchor="page" w:x="2115" w:y="7035" w:anchorLock="1"/>
        <w:widowControl/>
        <w:autoSpaceDE w:val="0"/>
        <w:autoSpaceDN w:val="0"/>
        <w:spacing w:line="360" w:lineRule="auto"/>
        <w:rPr>
          <w:rFonts w:eastAsiaTheme="minorEastAsia"/>
          <w:kern w:val="0"/>
          <w:sz w:val="28"/>
        </w:rPr>
      </w:pPr>
      <w:r>
        <w:rPr>
          <w:rFonts w:eastAsia="黑体"/>
          <w:kern w:val="0"/>
          <w:sz w:val="28"/>
        </w:rPr>
        <w:t>主要起草单位：</w:t>
      </w:r>
      <w:r>
        <w:rPr>
          <w:rFonts w:eastAsiaTheme="minorEastAsia"/>
          <w:kern w:val="0"/>
          <w:sz w:val="28"/>
        </w:rPr>
        <w:t>西安汉唐分析检测有限公司</w:t>
      </w:r>
    </w:p>
    <w:p>
      <w:pPr>
        <w:framePr w:w="8080" w:h="6806" w:hRule="exact" w:wrap="around" w:vAnchor="page" w:hAnchor="page" w:x="2115" w:y="7035" w:anchorLock="1"/>
        <w:widowControl/>
        <w:autoSpaceDE w:val="0"/>
        <w:autoSpaceDN w:val="0"/>
        <w:spacing w:line="360" w:lineRule="auto"/>
        <w:rPr>
          <w:rFonts w:eastAsiaTheme="minorEastAsia"/>
          <w:sz w:val="24"/>
        </w:rPr>
      </w:pPr>
      <w:r>
        <w:rPr>
          <w:rFonts w:eastAsia="黑体"/>
          <w:kern w:val="0"/>
          <w:sz w:val="28"/>
        </w:rPr>
        <w:t>参加起草单位：</w:t>
      </w:r>
      <w:r>
        <w:rPr>
          <w:rFonts w:eastAsiaTheme="minorEastAsia"/>
          <w:sz w:val="24"/>
        </w:rPr>
        <w:t xml:space="preserve"> </w:t>
      </w:r>
    </w:p>
    <w:p>
      <w:pPr>
        <w:framePr w:w="8080" w:h="6806" w:hRule="exact" w:wrap="around" w:vAnchor="page" w:hAnchor="page" w:x="2115" w:y="7035" w:anchorLock="1"/>
        <w:widowControl/>
        <w:autoSpaceDE w:val="0"/>
        <w:autoSpaceDN w:val="0"/>
        <w:spacing w:line="360" w:lineRule="auto"/>
        <w:ind w:firstLine="1680" w:firstLineChars="700"/>
        <w:rPr>
          <w:rFonts w:eastAsiaTheme="minorEastAsia"/>
          <w:sz w:val="24"/>
        </w:rPr>
      </w:pPr>
    </w:p>
    <w:p>
      <w:pPr>
        <w:pStyle w:val="48"/>
        <w:ind w:left="420" w:hanging="420" w:firstLineChars="0"/>
        <w:jc w:val="center"/>
        <w:rPr>
          <w:rFonts w:ascii="Times New Roman" w:hAnsi="Times New Roman"/>
          <w:sz w:val="24"/>
          <w:szCs w:val="24"/>
        </w:rPr>
      </w:pPr>
    </w:p>
    <w:p>
      <w:pPr>
        <w:pStyle w:val="48"/>
        <w:ind w:left="420" w:hanging="420" w:firstLineChars="0"/>
        <w:jc w:val="center"/>
        <w:rPr>
          <w:rFonts w:ascii="Times New Roman" w:hAnsi="Times New Roman"/>
          <w:sz w:val="24"/>
          <w:szCs w:val="24"/>
        </w:rPr>
      </w:pPr>
    </w:p>
    <w:p>
      <w:pPr>
        <w:pStyle w:val="48"/>
        <w:ind w:left="420" w:hanging="420" w:firstLineChars="0"/>
        <w:jc w:val="center"/>
        <w:rPr>
          <w:rFonts w:ascii="Times New Roman" w:hAnsi="Times New Roman"/>
          <w:sz w:val="24"/>
          <w:szCs w:val="24"/>
        </w:rPr>
      </w:pPr>
    </w:p>
    <w:p>
      <w:pPr>
        <w:pStyle w:val="48"/>
        <w:ind w:left="420" w:hanging="420" w:firstLineChars="0"/>
        <w:jc w:val="center"/>
        <w:rPr>
          <w:rFonts w:ascii="Times New Roman" w:hAnsi="Times New Roman"/>
          <w:sz w:val="24"/>
          <w:szCs w:val="24"/>
        </w:rPr>
      </w:pPr>
    </w:p>
    <w:p>
      <w:pPr>
        <w:pStyle w:val="48"/>
        <w:ind w:left="420" w:hanging="420" w:firstLineChars="0"/>
        <w:jc w:val="center"/>
        <w:rPr>
          <w:rFonts w:ascii="Times New Roman" w:hAnsi="Times New Roman"/>
          <w:sz w:val="24"/>
          <w:szCs w:val="24"/>
        </w:rPr>
      </w:pPr>
    </w:p>
    <w:p>
      <w:pPr>
        <w:pStyle w:val="48"/>
        <w:ind w:left="420" w:hanging="420" w:firstLineChars="0"/>
        <w:jc w:val="center"/>
        <w:rPr>
          <w:rFonts w:ascii="Times New Roman" w:hAnsi="Times New Roman"/>
          <w:sz w:val="24"/>
          <w:szCs w:val="24"/>
        </w:rPr>
      </w:pPr>
    </w:p>
    <w:p>
      <w:pPr>
        <w:pStyle w:val="48"/>
        <w:ind w:left="420" w:hanging="420" w:firstLineChars="0"/>
        <w:jc w:val="center"/>
        <w:rPr>
          <w:rFonts w:ascii="Times New Roman" w:hAnsi="Times New Roman"/>
          <w:sz w:val="28"/>
          <w:szCs w:val="24"/>
        </w:rPr>
      </w:pPr>
      <w:r>
        <w:rPr>
          <w:rFonts w:ascii="Times New Roman" w:hAnsi="Times New Roman"/>
          <w:sz w:val="28"/>
          <w:szCs w:val="24"/>
        </w:rPr>
        <w:t>本规范委托有色金属行业计量技术委员会负责解释</w:t>
      </w:r>
    </w:p>
    <w:p>
      <w:pPr>
        <w:pStyle w:val="48"/>
        <w:framePr w:w="9366" w:h="8566" w:hRule="exact" w:wrap="around" w:vAnchor="page" w:hAnchor="page" w:x="1419" w:y="2667" w:anchorLock="1"/>
        <w:spacing w:line="400" w:lineRule="exact"/>
        <w:ind w:firstLine="562"/>
        <w:rPr>
          <w:rFonts w:ascii="Times New Roman" w:hAnsi="Times New Roman" w:eastAsia="黑体"/>
          <w:b/>
          <w:sz w:val="28"/>
          <w:szCs w:val="24"/>
        </w:rPr>
      </w:pPr>
      <w:bookmarkStart w:id="22" w:name="_Toc193547510"/>
      <w:bookmarkStart w:id="23" w:name="_Toc193551755"/>
      <w:bookmarkStart w:id="24" w:name="_Toc193603076"/>
      <w:bookmarkStart w:id="25" w:name="_Toc193601676"/>
      <w:bookmarkStart w:id="26" w:name="_Toc193555886"/>
      <w:bookmarkStart w:id="27" w:name="_Toc193601897"/>
      <w:bookmarkStart w:id="28" w:name="_Toc193552965"/>
      <w:r>
        <w:rPr>
          <w:rFonts w:ascii="Times New Roman" w:hAnsi="Times New Roman" w:eastAsia="黑体"/>
          <w:b/>
          <w:sz w:val="28"/>
          <w:szCs w:val="24"/>
        </w:rPr>
        <w:t>本规范主要起草人：</w:t>
      </w:r>
      <w:bookmarkEnd w:id="22"/>
      <w:bookmarkEnd w:id="23"/>
      <w:bookmarkEnd w:id="24"/>
      <w:bookmarkEnd w:id="25"/>
      <w:bookmarkEnd w:id="26"/>
      <w:bookmarkEnd w:id="27"/>
      <w:bookmarkEnd w:id="28"/>
    </w:p>
    <w:p>
      <w:pPr>
        <w:framePr w:w="9366" w:h="8566" w:hRule="exact" w:wrap="around" w:vAnchor="page" w:hAnchor="page" w:x="1419" w:y="2667" w:anchorLock="1"/>
        <w:widowControl/>
        <w:autoSpaceDE w:val="0"/>
        <w:autoSpaceDN w:val="0"/>
        <w:spacing w:line="360" w:lineRule="auto"/>
        <w:ind w:firstLine="1405" w:firstLineChars="500"/>
        <w:rPr>
          <w:rFonts w:eastAsia="黑体"/>
          <w:b/>
          <w:kern w:val="0"/>
          <w:sz w:val="28"/>
        </w:rPr>
      </w:pPr>
      <w:r>
        <w:rPr>
          <w:rFonts w:eastAsia="黑体"/>
          <w:b/>
          <w:kern w:val="0"/>
          <w:sz w:val="28"/>
        </w:rPr>
        <w:t>参加起草人：</w:t>
      </w:r>
    </w:p>
    <w:p>
      <w:pPr>
        <w:pStyle w:val="77"/>
        <w:jc w:val="both"/>
        <w:rPr>
          <w:rFonts w:ascii="Times New Roman" w:hAnsi="Times New Roman"/>
          <w:sz w:val="24"/>
          <w:szCs w:val="24"/>
        </w:rPr>
      </w:pPr>
    </w:p>
    <w:p>
      <w:pPr>
        <w:rPr>
          <w:sz w:val="24"/>
        </w:rPr>
        <w:sectPr>
          <w:headerReference r:id="rId8" w:type="default"/>
          <w:footerReference r:id="rId10" w:type="default"/>
          <w:headerReference r:id="rId9" w:type="even"/>
          <w:footerReference r:id="rId11" w:type="even"/>
          <w:pgSz w:w="11907" w:h="16839"/>
          <w:pgMar w:top="1418" w:right="1134" w:bottom="1134" w:left="1418" w:header="1247" w:footer="851" w:gutter="0"/>
          <w:pgNumType w:fmt="upperRoman" w:start="1"/>
          <w:cols w:space="720" w:num="1"/>
          <w:docGrid w:type="lines" w:linePitch="312" w:charSpace="0"/>
        </w:sectPr>
      </w:pPr>
    </w:p>
    <w:p>
      <w:pPr>
        <w:pStyle w:val="77"/>
        <w:jc w:val="both"/>
        <w:rPr>
          <w:rFonts w:ascii="Times New Roman" w:hAnsi="Times New Roman"/>
          <w:sz w:val="24"/>
          <w:szCs w:val="24"/>
        </w:rPr>
        <w:sectPr>
          <w:headerReference r:id="rId12" w:type="default"/>
          <w:footerReference r:id="rId13" w:type="default"/>
          <w:type w:val="continuous"/>
          <w:pgSz w:w="11907" w:h="16839"/>
          <w:pgMar w:top="1418" w:right="1134" w:bottom="1134" w:left="1418" w:header="1247" w:footer="851" w:gutter="0"/>
          <w:pgNumType w:fmt="upperRoman" w:start="1"/>
          <w:cols w:space="720" w:num="1"/>
          <w:docGrid w:type="lines" w:linePitch="312" w:charSpace="0"/>
        </w:sectPr>
      </w:pPr>
    </w:p>
    <w:p>
      <w:pPr>
        <w:jc w:val="center"/>
        <w:outlineLvl w:val="0"/>
        <w:rPr>
          <w:sz w:val="24"/>
        </w:rPr>
      </w:pPr>
      <w:r>
        <w:rPr>
          <w:rFonts w:eastAsia="黑体"/>
          <w:bCs/>
          <w:sz w:val="44"/>
        </w:rPr>
        <w:t>目  录</w:t>
      </w:r>
      <w:r>
        <w:rPr>
          <w:sz w:val="24"/>
        </w:rPr>
        <w:fldChar w:fldCharType="begin"/>
      </w:r>
      <w:r>
        <w:rPr>
          <w:sz w:val="24"/>
        </w:rPr>
        <w:instrText xml:space="preserve"> TOC \o "1-3" \h \z </w:instrText>
      </w:r>
      <w:r>
        <w:rPr>
          <w:sz w:val="24"/>
        </w:rPr>
        <w:fldChar w:fldCharType="separate"/>
      </w:r>
    </w:p>
    <w:p>
      <w:pPr>
        <w:pStyle w:val="20"/>
        <w:tabs>
          <w:tab w:val="right" w:leader="dot" w:pos="9355"/>
          <w:tab w:val="clear" w:pos="9345"/>
        </w:tabs>
        <w:rPr>
          <w:rFonts w:hAnsi="Times New Roman"/>
        </w:rPr>
      </w:pPr>
      <w:r>
        <w:fldChar w:fldCharType="begin"/>
      </w:r>
      <w:r>
        <w:instrText xml:space="preserve"> HYPERLINK \l "_Toc26690" </w:instrText>
      </w:r>
      <w:r>
        <w:fldChar w:fldCharType="separate"/>
      </w:r>
      <w:r>
        <w:rPr>
          <w:rFonts w:hAnsi="Times New Roman"/>
        </w:rPr>
        <w:t>1 范围</w:t>
      </w:r>
      <w:r>
        <w:rPr>
          <w:rFonts w:hAnsi="Times New Roman"/>
        </w:rPr>
        <w:tab/>
      </w:r>
      <w:r>
        <w:rPr>
          <w:rFonts w:hAnsi="Times New Roman"/>
        </w:rPr>
        <w:t>(</w:t>
      </w:r>
      <w:r>
        <w:rPr>
          <w:rFonts w:hAnsi="Times New Roman"/>
        </w:rPr>
        <w:fldChar w:fldCharType="begin"/>
      </w:r>
      <w:r>
        <w:rPr>
          <w:rFonts w:hAnsi="Times New Roman"/>
        </w:rPr>
        <w:instrText xml:space="preserve"> PAGEREF _Toc26690 \h </w:instrText>
      </w:r>
      <w:r>
        <w:rPr>
          <w:rFonts w:hAnsi="Times New Roman"/>
        </w:rPr>
        <w:fldChar w:fldCharType="separate"/>
      </w:r>
      <w:r>
        <w:rPr>
          <w:rFonts w:hAnsi="Times New Roman"/>
        </w:rPr>
        <w:t>1</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"_Toc18767" </w:instrText>
      </w:r>
      <w:r>
        <w:fldChar w:fldCharType="separate"/>
      </w:r>
      <w:r>
        <w:rPr>
          <w:rFonts w:hAnsi="Times New Roman"/>
        </w:rPr>
        <w:t>2 引用文件</w:t>
      </w:r>
      <w:r>
        <w:rPr>
          <w:rFonts w:hAnsi="Times New Roman"/>
        </w:rPr>
        <w:tab/>
      </w:r>
      <w:r>
        <w:rPr>
          <w:rFonts w:hAnsi="Times New Roman"/>
        </w:rPr>
        <w:t>(</w:t>
      </w:r>
      <w:r>
        <w:rPr>
          <w:rFonts w:hAnsi="Times New Roman"/>
        </w:rPr>
        <w:fldChar w:fldCharType="begin"/>
      </w:r>
      <w:r>
        <w:rPr>
          <w:rFonts w:hAnsi="Times New Roman"/>
        </w:rPr>
        <w:instrText xml:space="preserve"> PAGEREF _Toc18767 \h </w:instrText>
      </w:r>
      <w:r>
        <w:rPr>
          <w:rFonts w:hAnsi="Times New Roman"/>
        </w:rPr>
        <w:fldChar w:fldCharType="separate"/>
      </w:r>
      <w:r>
        <w:rPr>
          <w:rFonts w:hAnsi="Times New Roman"/>
        </w:rPr>
        <w:t>1</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"_Toc32623" </w:instrText>
      </w:r>
      <w:r>
        <w:fldChar w:fldCharType="separate"/>
      </w:r>
      <w:r>
        <w:rPr>
          <w:rFonts w:hAnsi="Times New Roman"/>
        </w:rPr>
        <w:t>3 概述</w:t>
      </w:r>
      <w:r>
        <w:rPr>
          <w:rFonts w:hAnsi="Times New Roman"/>
        </w:rPr>
        <w:tab/>
      </w:r>
      <w:r>
        <w:rPr>
          <w:rFonts w:hAnsi="Times New Roman"/>
        </w:rPr>
        <w:t>(</w:t>
      </w:r>
      <w:r>
        <w:rPr>
          <w:rFonts w:hAnsi="Times New Roman"/>
        </w:rPr>
        <w:fldChar w:fldCharType="begin"/>
      </w:r>
      <w:r>
        <w:rPr>
          <w:rFonts w:hAnsi="Times New Roman"/>
        </w:rPr>
        <w:instrText xml:space="preserve"> PAGEREF _Toc32623 \h </w:instrText>
      </w:r>
      <w:r>
        <w:rPr>
          <w:rFonts w:hAnsi="Times New Roman"/>
        </w:rPr>
        <w:fldChar w:fldCharType="separate"/>
      </w:r>
      <w:r>
        <w:rPr>
          <w:rFonts w:hAnsi="Times New Roman"/>
        </w:rPr>
        <w:t>1</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"_Toc28967" </w:instrText>
      </w:r>
      <w:r>
        <w:fldChar w:fldCharType="separate"/>
      </w:r>
      <w:r>
        <w:rPr>
          <w:rFonts w:hAnsi="Times New Roman"/>
        </w:rPr>
        <w:t>4 计量特性</w:t>
      </w:r>
      <w:r>
        <w:rPr>
          <w:rFonts w:hAnsi="Times New Roman"/>
        </w:rPr>
        <w:tab/>
      </w:r>
      <w:r>
        <w:rPr>
          <w:rFonts w:hAnsi="Times New Roman"/>
        </w:rPr>
        <w:t>(</w:t>
      </w:r>
      <w:r>
        <w:rPr>
          <w:rFonts w:hAnsi="Times New Roman"/>
        </w:rPr>
        <w:fldChar w:fldCharType="begin"/>
      </w:r>
      <w:r>
        <w:rPr>
          <w:rFonts w:hAnsi="Times New Roman"/>
        </w:rPr>
        <w:instrText xml:space="preserve"> PAGEREF _Toc28967 \h </w:instrText>
      </w:r>
      <w:r>
        <w:rPr>
          <w:rFonts w:hAnsi="Times New Roman"/>
        </w:rPr>
        <w:fldChar w:fldCharType="separate"/>
      </w:r>
      <w:r>
        <w:rPr>
          <w:rFonts w:hAnsi="Times New Roman"/>
        </w:rPr>
        <w:t>1</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"_Toc16353" </w:instrText>
      </w:r>
      <w:r>
        <w:fldChar w:fldCharType="separate"/>
      </w:r>
      <w:r>
        <w:rPr>
          <w:rFonts w:hAnsi="Times New Roman"/>
        </w:rPr>
        <w:t>4.1 几何尺寸测量误差</w:t>
      </w:r>
      <w:r>
        <w:rPr>
          <w:rFonts w:hAnsi="Times New Roman"/>
        </w:rPr>
        <w:tab/>
      </w:r>
      <w:r>
        <w:rPr>
          <w:rFonts w:hAnsi="Times New Roman"/>
        </w:rPr>
        <w:t>(</w:t>
      </w:r>
      <w:r>
        <w:rPr>
          <w:rFonts w:hAnsi="Times New Roman"/>
        </w:rPr>
        <w:fldChar w:fldCharType="begin"/>
      </w:r>
      <w:r>
        <w:rPr>
          <w:rFonts w:hAnsi="Times New Roman"/>
        </w:rPr>
        <w:instrText xml:space="preserve"> PAGEREF _Toc16353 \h </w:instrText>
      </w:r>
      <w:r>
        <w:rPr>
          <w:rFonts w:hAnsi="Times New Roman"/>
        </w:rPr>
        <w:fldChar w:fldCharType="separate"/>
      </w:r>
      <w:r>
        <w:rPr>
          <w:rFonts w:hAnsi="Times New Roman"/>
        </w:rPr>
        <w:t>1</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"_Toc1921" </w:instrText>
      </w:r>
      <w:r>
        <w:fldChar w:fldCharType="separate"/>
      </w:r>
      <w:r>
        <w:rPr>
          <w:rFonts w:hAnsi="Times New Roman"/>
        </w:rPr>
        <w:t>4.2平面度</w:t>
      </w:r>
      <w:r>
        <w:rPr>
          <w:rFonts w:hAnsi="Times New Roman"/>
        </w:rPr>
        <w:tab/>
      </w:r>
      <w:r>
        <w:rPr>
          <w:rFonts w:hAnsi="Times New Roman"/>
        </w:rPr>
        <w:t>(</w:t>
      </w:r>
      <w:r>
        <w:rPr>
          <w:rFonts w:hAnsi="Times New Roman"/>
        </w:rPr>
        <w:fldChar w:fldCharType="begin"/>
      </w:r>
      <w:r>
        <w:rPr>
          <w:rFonts w:hAnsi="Times New Roman"/>
        </w:rPr>
        <w:instrText xml:space="preserve"> PAGEREF _Toc1921 \h </w:instrText>
      </w:r>
      <w:r>
        <w:rPr>
          <w:rFonts w:hAnsi="Times New Roman"/>
        </w:rPr>
        <w:fldChar w:fldCharType="separate"/>
      </w:r>
      <w:r>
        <w:rPr>
          <w:rFonts w:hAnsi="Times New Roman"/>
        </w:rPr>
        <w:t>2</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"_Toc30441" </w:instrText>
      </w:r>
      <w:r>
        <w:fldChar w:fldCharType="separate"/>
      </w:r>
      <w:r>
        <w:rPr>
          <w:rFonts w:hAnsi="Times New Roman"/>
        </w:rPr>
        <w:t>4.3垂直度和平行度</w:t>
      </w:r>
      <w:r>
        <w:rPr>
          <w:rFonts w:hAnsi="Times New Roman"/>
        </w:rPr>
        <w:tab/>
      </w:r>
      <w:r>
        <w:rPr>
          <w:rFonts w:hAnsi="Times New Roman"/>
        </w:rPr>
        <w:t>(</w:t>
      </w:r>
      <w:r>
        <w:rPr>
          <w:rFonts w:hAnsi="Times New Roman"/>
        </w:rPr>
        <w:fldChar w:fldCharType="begin"/>
      </w:r>
      <w:r>
        <w:rPr>
          <w:rFonts w:hAnsi="Times New Roman"/>
        </w:rPr>
        <w:instrText xml:space="preserve"> PAGEREF _Toc30441 \h </w:instrText>
      </w:r>
      <w:r>
        <w:rPr>
          <w:rFonts w:hAnsi="Times New Roman"/>
        </w:rPr>
        <w:fldChar w:fldCharType="separate"/>
      </w:r>
      <w:r>
        <w:rPr>
          <w:rFonts w:hAnsi="Times New Roman"/>
        </w:rPr>
        <w:t>2</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"_Toc28868" </w:instrText>
      </w:r>
      <w:r>
        <w:fldChar w:fldCharType="separate"/>
      </w:r>
      <w:r>
        <w:rPr>
          <w:rFonts w:hAnsi="Times New Roman"/>
        </w:rPr>
        <w:t>4.4 声速误差</w:t>
      </w:r>
      <w:r>
        <w:rPr>
          <w:rFonts w:hAnsi="Times New Roman"/>
        </w:rPr>
        <w:tab/>
      </w:r>
      <w:r>
        <w:rPr>
          <w:rFonts w:hAnsi="Times New Roman"/>
        </w:rPr>
        <w:t>(</w:t>
      </w:r>
      <w:r>
        <w:rPr>
          <w:rFonts w:hAnsi="Times New Roman"/>
        </w:rPr>
        <w:fldChar w:fldCharType="begin"/>
      </w:r>
      <w:r>
        <w:rPr>
          <w:rFonts w:hAnsi="Times New Roman"/>
        </w:rPr>
        <w:instrText xml:space="preserve"> PAGEREF _Toc28868 \h </w:instrText>
      </w:r>
      <w:r>
        <w:rPr>
          <w:rFonts w:hAnsi="Times New Roman"/>
        </w:rPr>
        <w:fldChar w:fldCharType="separate"/>
      </w:r>
      <w:r>
        <w:rPr>
          <w:rFonts w:hAnsi="Times New Roman"/>
        </w:rPr>
        <w:t>2</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"_Toc6702" </w:instrText>
      </w:r>
      <w:r>
        <w:fldChar w:fldCharType="separate"/>
      </w:r>
      <w:r>
        <w:rPr>
          <w:rFonts w:hAnsi="Times New Roman"/>
        </w:rPr>
        <w:t>5 校准条件</w:t>
      </w:r>
      <w:r>
        <w:rPr>
          <w:rFonts w:hAnsi="Times New Roman"/>
        </w:rPr>
        <w:tab/>
      </w:r>
      <w:r>
        <w:rPr>
          <w:rFonts w:hAnsi="Times New Roman"/>
        </w:rPr>
        <w:t>(</w:t>
      </w:r>
      <w:r>
        <w:rPr>
          <w:rFonts w:hAnsi="Times New Roman"/>
        </w:rPr>
        <w:fldChar w:fldCharType="begin"/>
      </w:r>
      <w:r>
        <w:rPr>
          <w:rFonts w:hAnsi="Times New Roman"/>
        </w:rPr>
        <w:instrText xml:space="preserve"> PAGEREF _Toc6702 \h </w:instrText>
      </w:r>
      <w:r>
        <w:rPr>
          <w:rFonts w:hAnsi="Times New Roman"/>
        </w:rPr>
        <w:fldChar w:fldCharType="separate"/>
      </w:r>
      <w:r>
        <w:rPr>
          <w:rFonts w:hAnsi="Times New Roman"/>
        </w:rPr>
        <w:t>2</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"_Toc19312" </w:instrText>
      </w:r>
      <w:r>
        <w:fldChar w:fldCharType="separate"/>
      </w:r>
      <w:r>
        <w:rPr>
          <w:rFonts w:hAnsi="Times New Roman"/>
        </w:rPr>
        <w:t>5.1 环境条件</w:t>
      </w:r>
      <w:r>
        <w:rPr>
          <w:rFonts w:hAnsi="Times New Roman"/>
        </w:rPr>
        <w:tab/>
      </w:r>
      <w:r>
        <w:rPr>
          <w:rFonts w:hAnsi="Times New Roman"/>
        </w:rPr>
        <w:t>(</w:t>
      </w:r>
      <w:r>
        <w:rPr>
          <w:rFonts w:hAnsi="Times New Roman"/>
        </w:rPr>
        <w:fldChar w:fldCharType="begin"/>
      </w:r>
      <w:r>
        <w:rPr>
          <w:rFonts w:hAnsi="Times New Roman"/>
        </w:rPr>
        <w:instrText xml:space="preserve"> PAGEREF _Toc19312 \h </w:instrText>
      </w:r>
      <w:r>
        <w:rPr>
          <w:rFonts w:hAnsi="Times New Roman"/>
        </w:rPr>
        <w:fldChar w:fldCharType="separate"/>
      </w:r>
      <w:r>
        <w:rPr>
          <w:rFonts w:hAnsi="Times New Roman"/>
        </w:rPr>
        <w:t>2</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"_Toc6099" </w:instrText>
      </w:r>
      <w:r>
        <w:fldChar w:fldCharType="separate"/>
      </w:r>
      <w:r>
        <w:rPr>
          <w:rFonts w:hAnsi="Times New Roman"/>
        </w:rPr>
        <w:t>5.2 测量标准及其他设备</w:t>
      </w:r>
      <w:r>
        <w:rPr>
          <w:rFonts w:hAnsi="Times New Roman"/>
        </w:rPr>
        <w:tab/>
      </w:r>
      <w:r>
        <w:rPr>
          <w:rFonts w:hAnsi="Times New Roman"/>
        </w:rPr>
        <w:t>(</w:t>
      </w:r>
      <w:r>
        <w:rPr>
          <w:rFonts w:hAnsi="Times New Roman"/>
        </w:rPr>
        <w:fldChar w:fldCharType="begin"/>
      </w:r>
      <w:r>
        <w:rPr>
          <w:rFonts w:hAnsi="Times New Roman"/>
        </w:rPr>
        <w:instrText xml:space="preserve"> PAGEREF _Toc6099 \h </w:instrText>
      </w:r>
      <w:r>
        <w:rPr>
          <w:rFonts w:hAnsi="Times New Roman"/>
        </w:rPr>
        <w:fldChar w:fldCharType="separate"/>
      </w:r>
      <w:r>
        <w:rPr>
          <w:rFonts w:hAnsi="Times New Roman"/>
        </w:rPr>
        <w:t>2</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"_Toc6177" </w:instrText>
      </w:r>
      <w:r>
        <w:fldChar w:fldCharType="separate"/>
      </w:r>
      <w:r>
        <w:rPr>
          <w:rFonts w:hAnsi="Times New Roman"/>
        </w:rPr>
        <w:t>6 校准项目和校准方法</w:t>
      </w:r>
      <w:r>
        <w:rPr>
          <w:rFonts w:hAnsi="Times New Roman"/>
        </w:rPr>
        <w:tab/>
      </w:r>
      <w:r>
        <w:rPr>
          <w:rFonts w:hAnsi="Times New Roman"/>
        </w:rPr>
        <w:t>(</w:t>
      </w:r>
      <w:r>
        <w:rPr>
          <w:rFonts w:hAnsi="Times New Roman"/>
        </w:rPr>
        <w:fldChar w:fldCharType="begin"/>
      </w:r>
      <w:r>
        <w:rPr>
          <w:rFonts w:hAnsi="Times New Roman"/>
        </w:rPr>
        <w:instrText xml:space="preserve"> PAGEREF _Toc6177 \h </w:instrText>
      </w:r>
      <w:r>
        <w:rPr>
          <w:rFonts w:hAnsi="Times New Roman"/>
        </w:rPr>
        <w:fldChar w:fldCharType="separate"/>
      </w:r>
      <w:r>
        <w:rPr>
          <w:rFonts w:hAnsi="Times New Roman"/>
        </w:rPr>
        <w:t>3</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"_Toc5380" </w:instrText>
      </w:r>
      <w:r>
        <w:fldChar w:fldCharType="separate"/>
      </w:r>
      <w:r>
        <w:rPr>
          <w:rFonts w:hAnsi="Times New Roman"/>
        </w:rPr>
        <w:t>6.1 准备工作</w:t>
      </w:r>
      <w:r>
        <w:rPr>
          <w:rFonts w:hAnsi="Times New Roman"/>
        </w:rPr>
        <w:tab/>
      </w:r>
      <w:r>
        <w:rPr>
          <w:rFonts w:hAnsi="Times New Roman"/>
        </w:rPr>
        <w:t>(</w:t>
      </w:r>
      <w:r>
        <w:rPr>
          <w:rFonts w:hAnsi="Times New Roman"/>
        </w:rPr>
        <w:fldChar w:fldCharType="begin"/>
      </w:r>
      <w:r>
        <w:rPr>
          <w:rFonts w:hAnsi="Times New Roman"/>
        </w:rPr>
        <w:instrText xml:space="preserve"> PAGEREF _Toc5380 \h </w:instrText>
      </w:r>
      <w:r>
        <w:rPr>
          <w:rFonts w:hAnsi="Times New Roman"/>
        </w:rPr>
        <w:fldChar w:fldCharType="separate"/>
      </w:r>
      <w:r>
        <w:rPr>
          <w:rFonts w:hAnsi="Times New Roman"/>
        </w:rPr>
        <w:t>3</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"_Toc23136" </w:instrText>
      </w:r>
      <w:r>
        <w:fldChar w:fldCharType="separate"/>
      </w:r>
      <w:r>
        <w:rPr>
          <w:rFonts w:hAnsi="Times New Roman"/>
        </w:rPr>
        <w:t>6.2 几何尺寸测量误差</w:t>
      </w:r>
      <w:r>
        <w:rPr>
          <w:rFonts w:hAnsi="Times New Roman"/>
        </w:rPr>
        <w:tab/>
      </w:r>
      <w:r>
        <w:rPr>
          <w:rFonts w:hAnsi="Times New Roman"/>
        </w:rPr>
        <w:t>(</w:t>
      </w:r>
      <w:r>
        <w:rPr>
          <w:rFonts w:hAnsi="Times New Roman"/>
        </w:rPr>
        <w:fldChar w:fldCharType="begin"/>
      </w:r>
      <w:r>
        <w:rPr>
          <w:rFonts w:hAnsi="Times New Roman"/>
        </w:rPr>
        <w:instrText xml:space="preserve"> PAGEREF _Toc23136 \h </w:instrText>
      </w:r>
      <w:r>
        <w:rPr>
          <w:rFonts w:hAnsi="Times New Roman"/>
        </w:rPr>
        <w:fldChar w:fldCharType="separate"/>
      </w:r>
      <w:r>
        <w:rPr>
          <w:rFonts w:hAnsi="Times New Roman"/>
        </w:rPr>
        <w:t>3</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"_Toc30193" </w:instrText>
      </w:r>
      <w:r>
        <w:fldChar w:fldCharType="separate"/>
      </w:r>
      <w:r>
        <w:rPr>
          <w:rFonts w:hAnsi="Times New Roman"/>
        </w:rPr>
        <w:t>6.3平面度</w:t>
      </w:r>
      <w:r>
        <w:rPr>
          <w:rFonts w:hAnsi="Times New Roman"/>
        </w:rPr>
        <w:tab/>
      </w:r>
      <w:r>
        <w:rPr>
          <w:rFonts w:hAnsi="Times New Roman"/>
        </w:rPr>
        <w:t>(</w:t>
      </w:r>
      <w:r>
        <w:rPr>
          <w:rFonts w:hAnsi="Times New Roman"/>
        </w:rPr>
        <w:fldChar w:fldCharType="begin"/>
      </w:r>
      <w:r>
        <w:rPr>
          <w:rFonts w:hAnsi="Times New Roman"/>
        </w:rPr>
        <w:instrText xml:space="preserve"> PAGEREF _Toc30193 \h </w:instrText>
      </w:r>
      <w:r>
        <w:rPr>
          <w:rFonts w:hAnsi="Times New Roman"/>
        </w:rPr>
        <w:fldChar w:fldCharType="separate"/>
      </w:r>
      <w:r>
        <w:rPr>
          <w:rFonts w:hAnsi="Times New Roman"/>
        </w:rPr>
        <w:t>5</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"_Toc16706" </w:instrText>
      </w:r>
      <w:r>
        <w:fldChar w:fldCharType="separate"/>
      </w:r>
      <w:r>
        <w:rPr>
          <w:rFonts w:hAnsi="Times New Roman"/>
        </w:rPr>
        <w:t>6.4 平行度、垂直度</w:t>
      </w:r>
      <w:r>
        <w:rPr>
          <w:rFonts w:hAnsi="Times New Roman"/>
        </w:rPr>
        <w:tab/>
      </w:r>
      <w:r>
        <w:rPr>
          <w:rFonts w:hAnsi="Times New Roman"/>
        </w:rPr>
        <w:t>(</w:t>
      </w:r>
      <w:r>
        <w:rPr>
          <w:rFonts w:hAnsi="Times New Roman"/>
        </w:rPr>
        <w:fldChar w:fldCharType="begin"/>
      </w:r>
      <w:r>
        <w:rPr>
          <w:rFonts w:hAnsi="Times New Roman"/>
        </w:rPr>
        <w:instrText xml:space="preserve"> PAGEREF _Toc16706 \h </w:instrText>
      </w:r>
      <w:r>
        <w:rPr>
          <w:rFonts w:hAnsi="Times New Roman"/>
        </w:rPr>
        <w:fldChar w:fldCharType="separate"/>
      </w:r>
      <w:r>
        <w:rPr>
          <w:rFonts w:hAnsi="Times New Roman"/>
        </w:rPr>
        <w:t>5</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"_Toc8817" </w:instrText>
      </w:r>
      <w:r>
        <w:fldChar w:fldCharType="separate"/>
      </w:r>
      <w:r>
        <w:rPr>
          <w:rFonts w:hAnsi="Times New Roman"/>
        </w:rPr>
        <w:t>6.5 声速误差</w:t>
      </w:r>
      <w:r>
        <w:rPr>
          <w:rFonts w:hAnsi="Times New Roman"/>
        </w:rPr>
        <w:tab/>
      </w:r>
      <w:r>
        <w:rPr>
          <w:rFonts w:hAnsi="Times New Roman"/>
        </w:rPr>
        <w:t>(</w:t>
      </w:r>
      <w:r>
        <w:rPr>
          <w:rFonts w:hAnsi="Times New Roman"/>
        </w:rPr>
        <w:fldChar w:fldCharType="begin"/>
      </w:r>
      <w:r>
        <w:rPr>
          <w:rFonts w:hAnsi="Times New Roman"/>
        </w:rPr>
        <w:instrText xml:space="preserve"> PAGEREF _Toc8817 \h </w:instrText>
      </w:r>
      <w:r>
        <w:rPr>
          <w:rFonts w:hAnsi="Times New Roman"/>
        </w:rPr>
        <w:fldChar w:fldCharType="separate"/>
      </w:r>
      <w:r>
        <w:rPr>
          <w:rFonts w:hAnsi="Times New Roman"/>
        </w:rPr>
        <w:t>5</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"_Toc7670" </w:instrText>
      </w:r>
      <w:r>
        <w:fldChar w:fldCharType="separate"/>
      </w:r>
      <w:r>
        <w:rPr>
          <w:rFonts w:hAnsi="Times New Roman"/>
        </w:rPr>
        <w:t>7 校准结果表达</w:t>
      </w:r>
      <w:r>
        <w:rPr>
          <w:rFonts w:hAnsi="Times New Roman"/>
        </w:rPr>
        <w:tab/>
      </w:r>
      <w:r>
        <w:rPr>
          <w:rFonts w:hAnsi="Times New Roman"/>
        </w:rPr>
        <w:t>(</w:t>
      </w:r>
      <w:r>
        <w:rPr>
          <w:rFonts w:hAnsi="Times New Roman"/>
        </w:rPr>
        <w:fldChar w:fldCharType="begin"/>
      </w:r>
      <w:r>
        <w:rPr>
          <w:rFonts w:hAnsi="Times New Roman"/>
        </w:rPr>
        <w:instrText xml:space="preserve"> PAGEREF _Toc7670 \h </w:instrText>
      </w:r>
      <w:r>
        <w:rPr>
          <w:rFonts w:hAnsi="Times New Roman"/>
        </w:rPr>
        <w:fldChar w:fldCharType="separate"/>
      </w:r>
      <w:r>
        <w:rPr>
          <w:rFonts w:hAnsi="Times New Roman"/>
        </w:rPr>
        <w:t>8</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"_Toc21728" </w:instrText>
      </w:r>
      <w:r>
        <w:fldChar w:fldCharType="separate"/>
      </w:r>
      <w:r>
        <w:rPr>
          <w:rFonts w:hAnsi="Times New Roman"/>
        </w:rPr>
        <w:t>8 复校时间间隔</w:t>
      </w:r>
      <w:r>
        <w:rPr>
          <w:rFonts w:hAnsi="Times New Roman"/>
        </w:rPr>
        <w:tab/>
      </w:r>
      <w:r>
        <w:rPr>
          <w:rFonts w:hAnsi="Times New Roman"/>
        </w:rPr>
        <w:t>(</w:t>
      </w:r>
      <w:r>
        <w:rPr>
          <w:rFonts w:hAnsi="Times New Roman"/>
        </w:rPr>
        <w:fldChar w:fldCharType="begin"/>
      </w:r>
      <w:r>
        <w:rPr>
          <w:rFonts w:hAnsi="Times New Roman"/>
        </w:rPr>
        <w:instrText xml:space="preserve"> PAGEREF _Toc21728 \h </w:instrText>
      </w:r>
      <w:r>
        <w:rPr>
          <w:rFonts w:hAnsi="Times New Roman"/>
        </w:rPr>
        <w:fldChar w:fldCharType="separate"/>
      </w:r>
      <w:r>
        <w:rPr>
          <w:rFonts w:hAnsi="Times New Roman"/>
        </w:rPr>
        <w:t>8</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"_Toc24482" </w:instrText>
      </w:r>
      <w:r>
        <w:fldChar w:fldCharType="separate"/>
      </w:r>
      <w:r>
        <w:rPr>
          <w:rFonts w:hAnsi="Times New Roman"/>
        </w:rPr>
        <w:t>附录A校准原始记录参考格式</w:t>
      </w:r>
      <w:r>
        <w:rPr>
          <w:rFonts w:hAnsi="Times New Roman"/>
        </w:rPr>
        <w:tab/>
      </w:r>
      <w:r>
        <w:rPr>
          <w:rFonts w:hAnsi="Times New Roman"/>
        </w:rPr>
        <w:t>(</w:t>
      </w:r>
      <w:r>
        <w:rPr>
          <w:rFonts w:hAnsi="Times New Roman"/>
        </w:rPr>
        <w:fldChar w:fldCharType="begin"/>
      </w:r>
      <w:r>
        <w:rPr>
          <w:rFonts w:hAnsi="Times New Roman"/>
        </w:rPr>
        <w:instrText xml:space="preserve"> PAGEREF _Toc24482 \h </w:instrText>
      </w:r>
      <w:r>
        <w:rPr>
          <w:rFonts w:hAnsi="Times New Roman"/>
        </w:rPr>
        <w:fldChar w:fldCharType="separate"/>
      </w:r>
      <w:r>
        <w:rPr>
          <w:rFonts w:hAnsi="Times New Roman"/>
        </w:rPr>
        <w:t>9</w:t>
      </w:r>
      <w:r>
        <w:rPr>
          <w:rFonts w:hAnsi="Times New Roman"/>
        </w:rPr>
        <w:fldChar w:fldCharType="end"/>
      </w:r>
      <w:r>
        <w:rPr>
          <w:rFonts w:hAnsi="Times New Roman"/>
        </w:rPr>
        <w:fldChar w:fldCharType="end"/>
      </w:r>
      <w:r>
        <w:rPr>
          <w:rFonts w:hAnsi="Times New Roman"/>
        </w:rPr>
        <w:t>)</w:t>
      </w:r>
    </w:p>
    <w:p>
      <w:pPr>
        <w:pStyle w:val="20"/>
        <w:tabs>
          <w:tab w:val="right" w:leader="dot" w:pos="9355"/>
          <w:tab w:val="clear" w:pos="9345"/>
        </w:tabs>
        <w:rPr>
          <w:rFonts w:hAnsi="Times New Roman"/>
        </w:rPr>
      </w:pPr>
      <w:r>
        <w:fldChar w:fldCharType="begin"/>
      </w:r>
      <w:r>
        <w:instrText xml:space="preserve"> HYPERLINK \l "_Toc27913" </w:instrText>
      </w:r>
      <w:r>
        <w:fldChar w:fldCharType="separate"/>
      </w:r>
      <w:r>
        <w:rPr>
          <w:rFonts w:hAnsi="Times New Roman"/>
        </w:rPr>
        <w:t>附录B校准证书内页参考格式</w:t>
      </w:r>
      <w:r>
        <w:rPr>
          <w:rFonts w:hAnsi="Times New Roman"/>
        </w:rPr>
        <w:tab/>
      </w:r>
      <w:r>
        <w:rPr>
          <w:rFonts w:hAnsi="Times New Roman"/>
        </w:rPr>
        <w:t>(</w:t>
      </w:r>
      <w:r>
        <w:rPr>
          <w:rFonts w:hAnsi="Times New Roman"/>
        </w:rPr>
        <w:fldChar w:fldCharType="begin"/>
      </w:r>
      <w:r>
        <w:rPr>
          <w:rFonts w:hAnsi="Times New Roman"/>
        </w:rPr>
        <w:instrText xml:space="preserve"> PAGEREF _Toc27913 \h </w:instrText>
      </w:r>
      <w:r>
        <w:rPr>
          <w:rFonts w:hAnsi="Times New Roman"/>
        </w:rPr>
        <w:fldChar w:fldCharType="separate"/>
      </w:r>
      <w:r>
        <w:rPr>
          <w:rFonts w:hAnsi="Times New Roman"/>
        </w:rPr>
        <w:t>11</w:t>
      </w:r>
      <w:r>
        <w:rPr>
          <w:rFonts w:hAnsi="Times New Roman"/>
        </w:rPr>
        <w:fldChar w:fldCharType="end"/>
      </w:r>
      <w:r>
        <w:rPr>
          <w:rFonts w:hAnsi="Times New Roman"/>
        </w:rPr>
        <w:fldChar w:fldCharType="end"/>
      </w:r>
      <w:r>
        <w:rPr>
          <w:rFonts w:hAnsi="Times New Roman"/>
        </w:rPr>
        <w:t>)</w:t>
      </w:r>
    </w:p>
    <w:p>
      <w:pPr>
        <w:pStyle w:val="16"/>
        <w:tabs>
          <w:tab w:val="right" w:leader="dot" w:pos="9355"/>
          <w:tab w:val="clear" w:pos="9345"/>
        </w:tabs>
        <w:rPr>
          <w:rFonts w:ascii="Times New Roman" w:hAnsi="Times New Roman"/>
        </w:rPr>
      </w:pPr>
      <w:r>
        <w:fldChar w:fldCharType="begin"/>
      </w:r>
      <w:r>
        <w:instrText xml:space="preserve"> HYPERLINK \l "_Toc18241" </w:instrText>
      </w:r>
      <w:r>
        <w:fldChar w:fldCharType="separate"/>
      </w:r>
      <w:r>
        <w:rPr>
          <w:rFonts w:ascii="Times New Roman" w:hAnsi="Times New Roman"/>
        </w:rPr>
        <w:t>附录C测量不确定度评定示例</w:t>
      </w:r>
      <w:r>
        <w:rPr>
          <w:rFonts w:ascii="Times New Roman" w:hAnsi="Times New Roman"/>
        </w:rPr>
        <w:tab/>
      </w:r>
      <w:r>
        <w:rPr>
          <w:rFonts w:ascii="Times New Roman" w:hAnsi="Times New Roman"/>
        </w:rPr>
        <w:t>(</w:t>
      </w:r>
      <w:r>
        <w:rPr>
          <w:rFonts w:ascii="Times New Roman" w:hAnsi="Times New Roman"/>
        </w:rPr>
        <w:fldChar w:fldCharType="begin"/>
      </w:r>
      <w:r>
        <w:rPr>
          <w:rFonts w:ascii="Times New Roman" w:hAnsi="Times New Roman"/>
        </w:rPr>
        <w:instrText xml:space="preserve"> PAGEREF _Toc18241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fldChar w:fldCharType="end"/>
      </w:r>
      <w:r>
        <w:rPr>
          <w:rFonts w:ascii="Times New Roman" w:hAnsi="Times New Roman"/>
        </w:rPr>
        <w:t>)</w:t>
      </w:r>
    </w:p>
    <w:p>
      <w:pPr>
        <w:pStyle w:val="16"/>
        <w:tabs>
          <w:tab w:val="right" w:leader="dot" w:pos="9355"/>
          <w:tab w:val="clear" w:pos="9345"/>
        </w:tabs>
        <w:rPr>
          <w:rFonts w:ascii="Times New Roman" w:hAnsi="Times New Roman"/>
        </w:rPr>
      </w:pPr>
      <w:r>
        <w:fldChar w:fldCharType="begin"/>
      </w:r>
      <w:r>
        <w:instrText xml:space="preserve"> HYPERLINK \l "_Toc20229" </w:instrText>
      </w:r>
      <w:r>
        <w:fldChar w:fldCharType="separate"/>
      </w:r>
      <w:r>
        <w:rPr>
          <w:rFonts w:ascii="Times New Roman" w:hAnsi="Times New Roman"/>
        </w:rPr>
        <w:t>附录D常见金属材料声速参考值</w:t>
      </w:r>
      <w:r>
        <w:rPr>
          <w:rFonts w:ascii="Times New Roman" w:hAnsi="Times New Roman"/>
        </w:rPr>
        <w:tab/>
      </w:r>
      <w:r>
        <w:rPr>
          <w:rFonts w:ascii="Times New Roman" w:hAnsi="Times New Roman"/>
        </w:rPr>
        <w:t>(</w:t>
      </w:r>
      <w:r>
        <w:rPr>
          <w:rFonts w:ascii="Times New Roman" w:hAnsi="Times New Roman"/>
        </w:rPr>
        <w:fldChar w:fldCharType="begin"/>
      </w:r>
      <w:r>
        <w:rPr>
          <w:rFonts w:ascii="Times New Roman" w:hAnsi="Times New Roman"/>
        </w:rPr>
        <w:instrText xml:space="preserve"> PAGEREF _Toc20229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fldChar w:fldCharType="end"/>
      </w:r>
      <w:r>
        <w:rPr>
          <w:rFonts w:ascii="Times New Roman" w:hAnsi="Times New Roman"/>
        </w:rPr>
        <w:t>)</w:t>
      </w:r>
    </w:p>
    <w:p>
      <w:pPr>
        <w:jc w:val="center"/>
        <w:outlineLvl w:val="0"/>
        <w:rPr>
          <w:sz w:val="24"/>
        </w:rPr>
      </w:pPr>
      <w:r>
        <w:rPr>
          <w:sz w:val="24"/>
        </w:rPr>
        <w:fldChar w:fldCharType="end"/>
      </w:r>
      <w:bookmarkStart w:id="29" w:name="_Toc9228_WPSOffice_Level1"/>
    </w:p>
    <w:p>
      <w:pPr>
        <w:widowControl/>
        <w:jc w:val="left"/>
        <w:rPr>
          <w:sz w:val="24"/>
        </w:rPr>
      </w:pPr>
      <w:r>
        <w:rPr>
          <w:sz w:val="24"/>
        </w:rPr>
        <w:br w:type="page"/>
      </w:r>
    </w:p>
    <w:p>
      <w:pPr>
        <w:jc w:val="center"/>
        <w:outlineLvl w:val="0"/>
        <w:rPr>
          <w:rStyle w:val="28"/>
          <w:rFonts w:eastAsia="黑体"/>
          <w:sz w:val="44"/>
          <w:szCs w:val="44"/>
        </w:rPr>
      </w:pPr>
      <w:r>
        <w:rPr>
          <w:rStyle w:val="28"/>
          <w:rFonts w:eastAsia="黑体"/>
          <w:sz w:val="44"/>
          <w:szCs w:val="44"/>
        </w:rPr>
        <w:t>引  言</w:t>
      </w:r>
      <w:bookmarkEnd w:id="29"/>
    </w:p>
    <w:p>
      <w:pPr>
        <w:rPr>
          <w:sz w:val="24"/>
        </w:rPr>
      </w:pPr>
    </w:p>
    <w:p>
      <w:pPr>
        <w:spacing w:line="360" w:lineRule="auto"/>
        <w:ind w:firstLine="480" w:firstLineChars="200"/>
        <w:rPr>
          <w:color w:val="auto"/>
          <w:sz w:val="24"/>
        </w:rPr>
      </w:pPr>
      <w:r>
        <w:rPr>
          <w:color w:val="auto"/>
          <w:sz w:val="24"/>
        </w:rPr>
        <w:t>本规范依据</w:t>
      </w:r>
      <w:r>
        <w:rPr>
          <w:rFonts w:eastAsiaTheme="minorEastAsia"/>
          <w:color w:val="auto"/>
          <w:kern w:val="0"/>
          <w:sz w:val="24"/>
        </w:rPr>
        <w:t>GB/T 12604.1</w:t>
      </w:r>
      <w:r>
        <w:rPr>
          <w:rFonts w:hint="eastAsia" w:eastAsiaTheme="minorEastAsia"/>
          <w:color w:val="auto"/>
          <w:kern w:val="0"/>
          <w:sz w:val="24"/>
        </w:rPr>
        <w:t>《</w:t>
      </w:r>
      <w:r>
        <w:rPr>
          <w:rFonts w:eastAsiaTheme="minorEastAsia"/>
          <w:color w:val="auto"/>
          <w:kern w:val="0"/>
          <w:sz w:val="24"/>
        </w:rPr>
        <w:t>无损检测 术语 超声检测</w:t>
      </w:r>
      <w:r>
        <w:rPr>
          <w:rFonts w:hint="eastAsia" w:eastAsiaTheme="minorEastAsia"/>
          <w:color w:val="auto"/>
          <w:kern w:val="0"/>
          <w:sz w:val="24"/>
        </w:rPr>
        <w:t>》、</w:t>
      </w:r>
      <w:r>
        <w:rPr>
          <w:rFonts w:eastAsiaTheme="minorEastAsia"/>
          <w:color w:val="auto"/>
          <w:kern w:val="0"/>
          <w:sz w:val="24"/>
        </w:rPr>
        <w:t>GB/T 23905</w:t>
      </w:r>
      <w:r>
        <w:rPr>
          <w:rFonts w:hint="eastAsia" w:eastAsiaTheme="minorEastAsia"/>
          <w:color w:val="auto"/>
          <w:kern w:val="0"/>
          <w:sz w:val="24"/>
        </w:rPr>
        <w:t>《</w:t>
      </w:r>
      <w:r>
        <w:rPr>
          <w:rFonts w:eastAsiaTheme="minorEastAsia"/>
          <w:color w:val="auto"/>
          <w:kern w:val="0"/>
          <w:sz w:val="24"/>
        </w:rPr>
        <w:t>无损检测 超声检测用试块</w:t>
      </w:r>
      <w:r>
        <w:rPr>
          <w:rFonts w:hint="eastAsia" w:eastAsiaTheme="minorEastAsia"/>
          <w:color w:val="auto"/>
          <w:kern w:val="0"/>
          <w:sz w:val="24"/>
        </w:rPr>
        <w:t>》、</w:t>
      </w:r>
      <w:r>
        <w:rPr>
          <w:rFonts w:eastAsiaTheme="minorEastAsia"/>
          <w:color w:val="auto"/>
          <w:kern w:val="0"/>
          <w:sz w:val="24"/>
        </w:rPr>
        <w:t>GB/T 11259</w:t>
      </w:r>
      <w:r>
        <w:rPr>
          <w:rFonts w:hint="eastAsia" w:eastAsiaTheme="minorEastAsia"/>
          <w:color w:val="auto"/>
          <w:kern w:val="0"/>
          <w:sz w:val="24"/>
        </w:rPr>
        <w:t>《</w:t>
      </w:r>
      <w:r>
        <w:rPr>
          <w:rFonts w:eastAsiaTheme="minorEastAsia"/>
          <w:color w:val="auto"/>
          <w:kern w:val="0"/>
          <w:sz w:val="24"/>
        </w:rPr>
        <w:t>无损检测 超声检测用钢参考试块的制作与检验方法</w:t>
      </w:r>
      <w:r>
        <w:rPr>
          <w:rFonts w:hint="eastAsia" w:eastAsiaTheme="minorEastAsia"/>
          <w:color w:val="auto"/>
          <w:kern w:val="0"/>
          <w:sz w:val="24"/>
        </w:rPr>
        <w:t>》、</w:t>
      </w:r>
      <w:r>
        <w:rPr>
          <w:rFonts w:eastAsiaTheme="minorEastAsia"/>
          <w:color w:val="auto"/>
          <w:kern w:val="0"/>
          <w:sz w:val="24"/>
        </w:rPr>
        <w:t>GB/T 18852</w:t>
      </w:r>
      <w:r>
        <w:rPr>
          <w:rFonts w:hint="eastAsia" w:eastAsiaTheme="minorEastAsia"/>
          <w:color w:val="auto"/>
          <w:kern w:val="0"/>
          <w:sz w:val="24"/>
        </w:rPr>
        <w:t>《</w:t>
      </w:r>
      <w:r>
        <w:rPr>
          <w:rFonts w:eastAsiaTheme="minorEastAsia"/>
          <w:color w:val="auto"/>
          <w:kern w:val="0"/>
          <w:sz w:val="24"/>
        </w:rPr>
        <w:t>无损检测 超声检验 测量接触探头声束特性的参考试块和方法</w:t>
      </w:r>
      <w:r>
        <w:rPr>
          <w:rFonts w:hint="eastAsia" w:eastAsiaTheme="minorEastAsia"/>
          <w:color w:val="auto"/>
          <w:kern w:val="0"/>
          <w:sz w:val="24"/>
        </w:rPr>
        <w:t>》、</w:t>
      </w:r>
      <w:r>
        <w:rPr>
          <w:rFonts w:eastAsiaTheme="minorEastAsia"/>
          <w:color w:val="auto"/>
          <w:kern w:val="0"/>
          <w:sz w:val="24"/>
        </w:rPr>
        <w:t xml:space="preserve">GB/T 41114  </w:t>
      </w:r>
      <w:r>
        <w:rPr>
          <w:rFonts w:hint="eastAsia" w:eastAsiaTheme="minorEastAsia"/>
          <w:color w:val="auto"/>
          <w:kern w:val="0"/>
          <w:sz w:val="24"/>
        </w:rPr>
        <w:t>《</w:t>
      </w:r>
      <w:r>
        <w:rPr>
          <w:rFonts w:eastAsiaTheme="minorEastAsia"/>
          <w:color w:val="auto"/>
          <w:kern w:val="0"/>
          <w:sz w:val="24"/>
        </w:rPr>
        <w:t>无损检测 超声检测 相控阵超声检测标准试块规范</w:t>
      </w:r>
      <w:r>
        <w:rPr>
          <w:rFonts w:hint="eastAsia" w:eastAsiaTheme="minorEastAsia"/>
          <w:color w:val="auto"/>
          <w:kern w:val="0"/>
          <w:sz w:val="24"/>
        </w:rPr>
        <w:t>》、</w:t>
      </w:r>
      <w:r>
        <w:rPr>
          <w:rFonts w:eastAsiaTheme="minorEastAsia"/>
          <w:color w:val="auto"/>
          <w:kern w:val="0"/>
          <w:sz w:val="24"/>
        </w:rPr>
        <w:t>GB/T 1958-2017</w:t>
      </w:r>
      <w:r>
        <w:rPr>
          <w:rFonts w:hint="eastAsia" w:eastAsiaTheme="minorEastAsia"/>
          <w:color w:val="auto"/>
          <w:kern w:val="0"/>
          <w:sz w:val="24"/>
        </w:rPr>
        <w:t>《</w:t>
      </w:r>
      <w:r>
        <w:rPr>
          <w:rFonts w:eastAsiaTheme="minorEastAsia"/>
          <w:color w:val="auto"/>
          <w:kern w:val="0"/>
          <w:sz w:val="24"/>
        </w:rPr>
        <w:t>产品几何技术规范（GPS）几何公差 检测与验证</w:t>
      </w:r>
      <w:r>
        <w:rPr>
          <w:rFonts w:hint="eastAsia" w:eastAsiaTheme="minorEastAsia"/>
          <w:color w:val="auto"/>
          <w:kern w:val="0"/>
          <w:sz w:val="24"/>
        </w:rPr>
        <w:t>》、</w:t>
      </w:r>
      <w:r>
        <w:rPr>
          <w:color w:val="auto"/>
          <w:sz w:val="24"/>
        </w:rPr>
        <w:t>JJF 1071-2010《国家计量校准规范编写规则》、JJF 1001-2011《通用计量术语及定义》、JJF 1059.1-2012《测量不确定度评定与表示》编制。</w:t>
      </w:r>
    </w:p>
    <w:p>
      <w:pPr>
        <w:spacing w:line="360" w:lineRule="auto"/>
        <w:ind w:firstLine="480" w:firstLineChars="200"/>
        <w:rPr>
          <w:color w:val="auto"/>
          <w:sz w:val="24"/>
        </w:rPr>
      </w:pPr>
      <w:r>
        <w:rPr>
          <w:color w:val="auto"/>
          <w:sz w:val="24"/>
        </w:rPr>
        <w:t>本规范为首次发布。</w:t>
      </w:r>
    </w:p>
    <w:p>
      <w:pPr>
        <w:rPr>
          <w:sz w:val="24"/>
        </w:rPr>
      </w:pPr>
    </w:p>
    <w:p>
      <w:pPr>
        <w:rPr>
          <w:sz w:val="24"/>
        </w:rPr>
        <w:sectPr>
          <w:headerReference r:id="rId14" w:type="default"/>
          <w:footerReference r:id="rId15" w:type="default"/>
          <w:pgSz w:w="11907" w:h="16839"/>
          <w:pgMar w:top="1418" w:right="1134" w:bottom="1134" w:left="1418" w:header="1247" w:footer="851" w:gutter="0"/>
          <w:pgNumType w:fmt="upperRoman" w:start="1"/>
          <w:cols w:space="720" w:num="1"/>
          <w:docGrid w:type="lines" w:linePitch="312" w:charSpace="0"/>
        </w:sectPr>
      </w:pPr>
    </w:p>
    <w:p>
      <w:pPr>
        <w:jc w:val="center"/>
        <w:rPr>
          <w:b/>
          <w:sz w:val="32"/>
          <w:szCs w:val="32"/>
        </w:rPr>
      </w:pPr>
      <w:bookmarkStart w:id="30" w:name="_Toc193619050"/>
      <w:bookmarkStart w:id="31" w:name="_Toc193618947"/>
      <w:bookmarkStart w:id="32" w:name="_Toc500258929"/>
      <w:bookmarkStart w:id="33" w:name="_Toc193860177"/>
      <w:bookmarkStart w:id="34" w:name="_Toc193860208"/>
      <w:bookmarkStart w:id="35" w:name="_Toc193619092"/>
      <w:bookmarkStart w:id="36" w:name="_Toc23837_WPSOffice_Level1"/>
      <w:bookmarkStart w:id="37" w:name="_Toc193860027"/>
      <w:r>
        <w:rPr>
          <w:b/>
          <w:sz w:val="32"/>
          <w:szCs w:val="32"/>
        </w:rPr>
        <w:t>相控阵超声试块校准规范</w:t>
      </w:r>
    </w:p>
    <w:p>
      <w:pPr>
        <w:pStyle w:val="47"/>
        <w:spacing w:before="0" w:beforeLines="0" w:after="0" w:afterLines="0" w:line="360" w:lineRule="auto"/>
        <w:ind w:left="312" w:hanging="312" w:hangingChars="130"/>
        <w:outlineLvl w:val="0"/>
        <w:rPr>
          <w:rFonts w:ascii="Times New Roman" w:hAnsi="Times New Roman"/>
          <w:sz w:val="24"/>
          <w:szCs w:val="24"/>
        </w:rPr>
      </w:pPr>
      <w:bookmarkStart w:id="38" w:name="_Toc26690"/>
      <w:r>
        <w:rPr>
          <w:rFonts w:ascii="Times New Roman" w:hAnsi="Times New Roman"/>
          <w:sz w:val="24"/>
          <w:szCs w:val="24"/>
        </w:rPr>
        <w:t>1范围</w:t>
      </w:r>
      <w:bookmarkEnd w:id="30"/>
      <w:bookmarkEnd w:id="31"/>
      <w:bookmarkEnd w:id="32"/>
      <w:bookmarkEnd w:id="33"/>
      <w:bookmarkEnd w:id="34"/>
      <w:bookmarkEnd w:id="35"/>
      <w:bookmarkEnd w:id="36"/>
      <w:bookmarkEnd w:id="37"/>
      <w:bookmarkEnd w:id="38"/>
    </w:p>
    <w:p>
      <w:pPr>
        <w:spacing w:line="360" w:lineRule="auto"/>
        <w:ind w:firstLine="480" w:firstLineChars="200"/>
        <w:rPr>
          <w:rFonts w:eastAsiaTheme="minorEastAsia"/>
          <w:kern w:val="0"/>
          <w:sz w:val="24"/>
        </w:rPr>
      </w:pPr>
      <w:r>
        <w:rPr>
          <w:rFonts w:eastAsiaTheme="minorEastAsia"/>
          <w:kern w:val="0"/>
          <w:sz w:val="24"/>
        </w:rPr>
        <w:t>本规范适用于评定和校准相控阵超声检测设备的校准试块（标准试块）和用于检测校准时使用的参考试块（对比试块）。</w:t>
      </w:r>
    </w:p>
    <w:p>
      <w:pPr>
        <w:pStyle w:val="47"/>
        <w:spacing w:before="0" w:beforeLines="0" w:after="0" w:afterLines="0" w:line="360" w:lineRule="auto"/>
        <w:ind w:left="312" w:hanging="312" w:hangingChars="130"/>
        <w:outlineLvl w:val="0"/>
        <w:rPr>
          <w:rFonts w:ascii="Times New Roman" w:hAnsi="Times New Roman"/>
          <w:sz w:val="24"/>
          <w:szCs w:val="24"/>
        </w:rPr>
      </w:pPr>
      <w:bookmarkStart w:id="39" w:name="_Toc193860178"/>
      <w:bookmarkStart w:id="40" w:name="_Toc193860028"/>
      <w:bookmarkStart w:id="41" w:name="_Toc193860209"/>
      <w:bookmarkStart w:id="42" w:name="_Toc7848_WPSOffice_Level1"/>
      <w:bookmarkStart w:id="43" w:name="_Toc18767"/>
      <w:bookmarkStart w:id="44" w:name="_Toc500258930"/>
      <w:r>
        <w:rPr>
          <w:rFonts w:ascii="Times New Roman" w:hAnsi="Times New Roman"/>
          <w:sz w:val="24"/>
          <w:szCs w:val="24"/>
        </w:rPr>
        <w:t>2引用文</w:t>
      </w:r>
      <w:bookmarkEnd w:id="39"/>
      <w:bookmarkEnd w:id="40"/>
      <w:bookmarkEnd w:id="41"/>
      <w:r>
        <w:rPr>
          <w:rFonts w:ascii="Times New Roman" w:hAnsi="Times New Roman"/>
          <w:sz w:val="24"/>
          <w:szCs w:val="24"/>
        </w:rPr>
        <w:t>件</w:t>
      </w:r>
      <w:bookmarkEnd w:id="42"/>
      <w:bookmarkEnd w:id="43"/>
      <w:bookmarkEnd w:id="44"/>
    </w:p>
    <w:p>
      <w:pPr>
        <w:spacing w:line="360" w:lineRule="auto"/>
        <w:ind w:firstLine="480" w:firstLineChars="200"/>
        <w:rPr>
          <w:rFonts w:eastAsiaTheme="minorEastAsia"/>
          <w:kern w:val="0"/>
          <w:sz w:val="24"/>
        </w:rPr>
      </w:pPr>
      <w:r>
        <w:rPr>
          <w:rFonts w:eastAsiaTheme="minorEastAsia"/>
          <w:kern w:val="0"/>
          <w:sz w:val="24"/>
        </w:rPr>
        <w:t>本规范引用了下列文件：</w:t>
      </w:r>
    </w:p>
    <w:p>
      <w:pPr>
        <w:spacing w:line="360" w:lineRule="auto"/>
        <w:ind w:firstLine="480" w:firstLineChars="200"/>
        <w:rPr>
          <w:rFonts w:eastAsiaTheme="minorEastAsia"/>
          <w:kern w:val="0"/>
          <w:sz w:val="24"/>
        </w:rPr>
      </w:pPr>
      <w:bookmarkStart w:id="45" w:name="_Toc193860030"/>
      <w:bookmarkStart w:id="46" w:name="_Toc193860180"/>
      <w:bookmarkStart w:id="47" w:name="_Toc193619055"/>
      <w:bookmarkStart w:id="48" w:name="_Toc500258937"/>
      <w:bookmarkStart w:id="49" w:name="_Toc193618952"/>
      <w:bookmarkStart w:id="50" w:name="_Toc193860211"/>
      <w:bookmarkStart w:id="51" w:name="_Toc13054_WPSOffice_Level1"/>
      <w:bookmarkStart w:id="52" w:name="_Toc193619097"/>
      <w:r>
        <w:rPr>
          <w:rFonts w:eastAsiaTheme="minorEastAsia"/>
          <w:kern w:val="0"/>
          <w:sz w:val="24"/>
        </w:rPr>
        <w:t>JB/T 8428  无损检测  超声试块通用规范</w:t>
      </w:r>
    </w:p>
    <w:p>
      <w:pPr>
        <w:spacing w:line="360" w:lineRule="auto"/>
        <w:ind w:firstLine="480" w:firstLineChars="200"/>
        <w:rPr>
          <w:rFonts w:eastAsiaTheme="minorEastAsia"/>
          <w:kern w:val="0"/>
          <w:sz w:val="24"/>
        </w:rPr>
      </w:pPr>
      <w:r>
        <w:rPr>
          <w:rFonts w:eastAsiaTheme="minorEastAsia"/>
          <w:kern w:val="0"/>
          <w:sz w:val="24"/>
        </w:rPr>
        <w:t xml:space="preserve">JJF 1338  相控阵超声探伤仪校准规范   </w:t>
      </w:r>
    </w:p>
    <w:p>
      <w:pPr>
        <w:spacing w:line="360" w:lineRule="auto"/>
        <w:ind w:firstLine="480" w:firstLineChars="200"/>
        <w:rPr>
          <w:rFonts w:eastAsiaTheme="minorEastAsia"/>
          <w:kern w:val="0"/>
          <w:sz w:val="24"/>
        </w:rPr>
      </w:pPr>
      <w:r>
        <w:rPr>
          <w:rFonts w:eastAsiaTheme="minorEastAsia"/>
          <w:kern w:val="0"/>
          <w:sz w:val="24"/>
        </w:rPr>
        <w:t>JJF 1487  超声波探伤试块校准规范</w:t>
      </w:r>
    </w:p>
    <w:p>
      <w:pPr>
        <w:spacing w:line="360" w:lineRule="auto"/>
        <w:ind w:firstLine="480" w:firstLineChars="200"/>
        <w:rPr>
          <w:rFonts w:eastAsiaTheme="minorEastAsia"/>
          <w:kern w:val="0"/>
          <w:sz w:val="24"/>
        </w:rPr>
      </w:pPr>
      <w:r>
        <w:rPr>
          <w:rFonts w:eastAsiaTheme="minorEastAsia"/>
          <w:kern w:val="0"/>
          <w:sz w:val="24"/>
        </w:rPr>
        <w:t>凡是注日期的引用文件，仅注日期的版本适用于本规范；凡是不注日期的引用文件，其最新版本（包括所有的修改单）适用于本规范。</w:t>
      </w:r>
    </w:p>
    <w:p>
      <w:pPr>
        <w:pStyle w:val="47"/>
        <w:spacing w:before="0" w:beforeLines="0" w:after="0" w:afterLines="0" w:line="360" w:lineRule="auto"/>
        <w:ind w:left="312" w:hanging="312" w:hangingChars="130"/>
        <w:outlineLvl w:val="0"/>
        <w:rPr>
          <w:rFonts w:ascii="Times New Roman" w:hAnsi="Times New Roman"/>
          <w:sz w:val="24"/>
          <w:szCs w:val="24"/>
        </w:rPr>
      </w:pPr>
      <w:bookmarkStart w:id="53" w:name="_Toc32623"/>
      <w:r>
        <w:rPr>
          <w:rFonts w:ascii="Times New Roman" w:hAnsi="Times New Roman"/>
          <w:sz w:val="24"/>
          <w:szCs w:val="24"/>
        </w:rPr>
        <w:t>3概述</w:t>
      </w:r>
      <w:bookmarkEnd w:id="45"/>
      <w:bookmarkEnd w:id="46"/>
      <w:bookmarkEnd w:id="47"/>
      <w:bookmarkEnd w:id="48"/>
      <w:bookmarkEnd w:id="49"/>
      <w:bookmarkEnd w:id="50"/>
      <w:bookmarkEnd w:id="51"/>
      <w:bookmarkEnd w:id="52"/>
      <w:bookmarkEnd w:id="53"/>
    </w:p>
    <w:p>
      <w:pPr>
        <w:autoSpaceDE w:val="0"/>
        <w:autoSpaceDN w:val="0"/>
        <w:adjustRightInd w:val="0"/>
        <w:spacing w:line="360" w:lineRule="auto"/>
        <w:ind w:firstLine="480" w:firstLineChars="200"/>
        <w:rPr>
          <w:rFonts w:eastAsiaTheme="minorEastAsia"/>
          <w:kern w:val="0"/>
          <w:sz w:val="24"/>
        </w:rPr>
      </w:pPr>
      <w:r>
        <w:rPr>
          <w:rFonts w:eastAsiaTheme="minorEastAsia"/>
          <w:kern w:val="0"/>
          <w:sz w:val="24"/>
        </w:rPr>
        <w:t>相控阵超声试块分为校准试块（标准试块）和参考试块（对比试块）。校准试块是指具有规定的化学成分、表面粗糙度、热处理及几何形状的材料块，用于评定和校准相控阵超声检测设备，即用于仪器探头系统性能校准的试块。</w:t>
      </w:r>
    </w:p>
    <w:p>
      <w:pPr>
        <w:autoSpaceDE w:val="0"/>
        <w:autoSpaceDN w:val="0"/>
        <w:adjustRightInd w:val="0"/>
        <w:spacing w:line="360" w:lineRule="auto"/>
        <w:ind w:firstLine="480" w:firstLineChars="200"/>
        <w:rPr>
          <w:rFonts w:eastAsiaTheme="minorEastAsia"/>
          <w:kern w:val="0"/>
          <w:sz w:val="24"/>
        </w:rPr>
      </w:pPr>
      <w:r>
        <w:rPr>
          <w:rFonts w:eastAsiaTheme="minorEastAsia"/>
          <w:kern w:val="0"/>
          <w:sz w:val="24"/>
        </w:rPr>
        <w:t>参考试块主要用于检测校准，按其制作方法和用途不同可分为通用对比试块和专用对比试块；对比试块中应含有意义明确的采用机加工方式制作的参考反射体。</w:t>
      </w:r>
    </w:p>
    <w:p>
      <w:pPr>
        <w:pStyle w:val="47"/>
        <w:spacing w:before="0" w:beforeLines="0" w:after="0" w:afterLines="0" w:line="360" w:lineRule="auto"/>
        <w:ind w:left="312" w:hanging="312" w:hangingChars="130"/>
        <w:outlineLvl w:val="0"/>
        <w:rPr>
          <w:rFonts w:ascii="Times New Roman" w:hAnsi="Times New Roman"/>
          <w:sz w:val="24"/>
          <w:szCs w:val="24"/>
        </w:rPr>
      </w:pPr>
      <w:bookmarkStart w:id="54" w:name="_Toc193860031"/>
      <w:bookmarkStart w:id="55" w:name="_Toc500258938"/>
      <w:bookmarkStart w:id="56" w:name="_Toc193860212"/>
      <w:bookmarkStart w:id="57" w:name="_Toc193619098"/>
      <w:bookmarkStart w:id="58" w:name="_Toc193619056"/>
      <w:bookmarkStart w:id="59" w:name="_Toc28967"/>
      <w:bookmarkStart w:id="60" w:name="_Toc19851_WPSOffice_Level1"/>
      <w:bookmarkStart w:id="61" w:name="_Toc193860181"/>
      <w:bookmarkStart w:id="62" w:name="_Toc193618953"/>
      <w:r>
        <w:rPr>
          <w:rFonts w:ascii="Times New Roman" w:hAnsi="Times New Roman"/>
          <w:sz w:val="24"/>
          <w:szCs w:val="24"/>
        </w:rPr>
        <w:t>4计量特性</w:t>
      </w:r>
      <w:bookmarkEnd w:id="54"/>
      <w:bookmarkEnd w:id="55"/>
      <w:bookmarkEnd w:id="56"/>
      <w:bookmarkEnd w:id="57"/>
      <w:bookmarkEnd w:id="58"/>
      <w:bookmarkEnd w:id="59"/>
      <w:bookmarkEnd w:id="60"/>
      <w:bookmarkEnd w:id="61"/>
      <w:bookmarkEnd w:id="62"/>
    </w:p>
    <w:p>
      <w:pPr>
        <w:pStyle w:val="3"/>
        <w:spacing w:before="0" w:after="0" w:line="415" w:lineRule="auto"/>
        <w:rPr>
          <w:rFonts w:ascii="Times New Roman" w:hAnsi="Times New Roman"/>
          <w:color w:val="auto"/>
        </w:rPr>
      </w:pPr>
      <w:bookmarkStart w:id="63" w:name="_Toc16353"/>
      <w:r>
        <w:rPr>
          <w:rFonts w:ascii="Times New Roman" w:hAnsi="Times New Roman"/>
          <w:color w:val="auto"/>
        </w:rPr>
        <w:t>4.1几何尺寸测量误差</w:t>
      </w:r>
      <w:bookmarkEnd w:id="63"/>
    </w:p>
    <w:p>
      <w:pPr>
        <w:spacing w:line="360" w:lineRule="auto"/>
        <w:ind w:firstLine="480" w:firstLineChars="200"/>
        <w:rPr>
          <w:kern w:val="0"/>
          <w:sz w:val="24"/>
        </w:rPr>
      </w:pPr>
      <w:r>
        <w:rPr>
          <w:kern w:val="0"/>
          <w:sz w:val="24"/>
        </w:rPr>
        <w:t>试块外形尺寸的最大允许误差为±0.1mm。</w:t>
      </w:r>
    </w:p>
    <w:p>
      <w:pPr>
        <w:spacing w:line="360" w:lineRule="auto"/>
        <w:ind w:firstLine="480" w:firstLineChars="200"/>
        <w:rPr>
          <w:kern w:val="0"/>
          <w:sz w:val="24"/>
        </w:rPr>
      </w:pPr>
      <w:r>
        <w:rPr>
          <w:kern w:val="0"/>
          <w:sz w:val="24"/>
        </w:rPr>
        <w:t>平底孔、横通孔的直径的最大允许误差为±0.2mm。</w:t>
      </w:r>
    </w:p>
    <w:p>
      <w:pPr>
        <w:spacing w:line="360" w:lineRule="auto"/>
        <w:ind w:firstLine="480" w:firstLineChars="200"/>
        <w:rPr>
          <w:kern w:val="0"/>
          <w:sz w:val="24"/>
        </w:rPr>
      </w:pPr>
      <w:r>
        <w:rPr>
          <w:kern w:val="0"/>
          <w:sz w:val="24"/>
        </w:rPr>
        <w:t>相关角度的最大允许误差为±1°。</w:t>
      </w:r>
    </w:p>
    <w:p>
      <w:pPr>
        <w:pStyle w:val="3"/>
        <w:spacing w:before="0" w:after="0" w:line="415" w:lineRule="auto"/>
        <w:rPr>
          <w:rFonts w:ascii="Times New Roman" w:hAnsi="Times New Roman"/>
          <w:color w:val="auto"/>
        </w:rPr>
      </w:pPr>
      <w:bookmarkStart w:id="64" w:name="_Toc1921"/>
      <w:r>
        <w:rPr>
          <w:rFonts w:ascii="Times New Roman" w:hAnsi="Times New Roman"/>
          <w:color w:val="auto"/>
        </w:rPr>
        <w:t>4.2平面度</w:t>
      </w:r>
      <w:bookmarkEnd w:id="64"/>
    </w:p>
    <w:p>
      <w:pPr>
        <w:spacing w:line="360" w:lineRule="auto"/>
        <w:ind w:firstLine="480" w:firstLineChars="200"/>
        <w:rPr>
          <w:rFonts w:eastAsiaTheme="minorEastAsia"/>
          <w:sz w:val="24"/>
        </w:rPr>
      </w:pPr>
      <w:r>
        <w:rPr>
          <w:rFonts w:eastAsiaTheme="minorEastAsia"/>
          <w:sz w:val="24"/>
        </w:rPr>
        <w:t>试块探头接触面平面度允许公差为±0.03mm。</w:t>
      </w:r>
    </w:p>
    <w:p>
      <w:pPr>
        <w:pStyle w:val="3"/>
        <w:spacing w:before="0" w:after="0" w:line="415" w:lineRule="auto"/>
        <w:rPr>
          <w:rFonts w:ascii="Times New Roman" w:hAnsi="Times New Roman"/>
        </w:rPr>
      </w:pPr>
      <w:bookmarkStart w:id="65" w:name="_Toc30441"/>
      <w:r>
        <w:rPr>
          <w:rFonts w:ascii="Times New Roman" w:hAnsi="Times New Roman"/>
        </w:rPr>
        <w:t>4.3垂直度和平行</w:t>
      </w:r>
      <w:bookmarkEnd w:id="65"/>
      <w:r>
        <w:rPr>
          <w:rFonts w:ascii="Times New Roman" w:hAnsi="Times New Roman"/>
        </w:rPr>
        <w:t>度</w:t>
      </w:r>
    </w:p>
    <w:p>
      <w:pPr>
        <w:spacing w:line="360" w:lineRule="auto"/>
        <w:ind w:firstLine="480"/>
        <w:rPr>
          <w:rFonts w:eastAsiaTheme="minorEastAsia"/>
          <w:sz w:val="24"/>
        </w:rPr>
      </w:pPr>
      <w:r>
        <w:rPr>
          <w:rFonts w:eastAsiaTheme="minorEastAsia"/>
          <w:sz w:val="24"/>
        </w:rPr>
        <w:t>试块相邻平面垂直度允许公差为±0.2mm。</w:t>
      </w:r>
    </w:p>
    <w:p>
      <w:pPr>
        <w:spacing w:line="360" w:lineRule="auto"/>
        <w:ind w:firstLine="480"/>
        <w:rPr>
          <w:rFonts w:eastAsiaTheme="minorEastAsia"/>
          <w:sz w:val="24"/>
        </w:rPr>
      </w:pPr>
      <w:r>
        <w:rPr>
          <w:rFonts w:eastAsiaTheme="minorEastAsia"/>
          <w:sz w:val="24"/>
        </w:rPr>
        <w:t>试块对应平面平行度允许公差为±0.2mm。</w:t>
      </w:r>
    </w:p>
    <w:p>
      <w:pPr>
        <w:pStyle w:val="3"/>
        <w:spacing w:before="0" w:after="0" w:line="415" w:lineRule="auto"/>
        <w:rPr>
          <w:rFonts w:ascii="Times New Roman" w:hAnsi="Times New Roman"/>
        </w:rPr>
      </w:pPr>
      <w:bookmarkStart w:id="66" w:name="_Toc28868"/>
      <w:r>
        <w:rPr>
          <w:rFonts w:ascii="Times New Roman" w:hAnsi="Times New Roman"/>
        </w:rPr>
        <w:t>4.4声速误差</w:t>
      </w:r>
      <w:bookmarkEnd w:id="66"/>
    </w:p>
    <w:p>
      <w:pPr>
        <w:spacing w:line="360" w:lineRule="auto"/>
        <w:ind w:firstLine="480" w:firstLineChars="200"/>
        <w:rPr>
          <w:rFonts w:eastAsiaTheme="minorEastAsia"/>
          <w:kern w:val="0"/>
          <w:sz w:val="24"/>
        </w:rPr>
      </w:pPr>
      <w:r>
        <w:rPr>
          <w:rFonts w:eastAsiaTheme="minorEastAsia"/>
          <w:kern w:val="0"/>
          <w:sz w:val="24"/>
        </w:rPr>
        <w:t>对于校准试块，型式检验所得试块材料的声速值应作为标称值，声速最大允许误差为±1%。</w:t>
      </w:r>
    </w:p>
    <w:p>
      <w:pPr>
        <w:spacing w:line="360" w:lineRule="auto"/>
        <w:ind w:firstLine="480" w:firstLineChars="200"/>
        <w:rPr>
          <w:rFonts w:eastAsiaTheme="minorEastAsia"/>
          <w:kern w:val="0"/>
          <w:sz w:val="24"/>
        </w:rPr>
      </w:pPr>
      <w:r>
        <w:rPr>
          <w:rFonts w:eastAsiaTheme="minorEastAsia"/>
          <w:kern w:val="0"/>
          <w:sz w:val="24"/>
        </w:rPr>
        <w:t>对于参考试块，试块材料的声速值应与相应被检工件或材料相同或相近，二者的误差不超过±1%。</w:t>
      </w:r>
    </w:p>
    <w:p>
      <w:pPr>
        <w:pStyle w:val="47"/>
        <w:spacing w:before="0" w:beforeLines="0" w:after="0" w:afterLines="0" w:line="360" w:lineRule="auto"/>
        <w:ind w:left="312" w:hanging="312" w:hangingChars="130"/>
        <w:outlineLvl w:val="0"/>
        <w:rPr>
          <w:rFonts w:ascii="Times New Roman" w:hAnsi="Times New Roman"/>
          <w:sz w:val="24"/>
          <w:szCs w:val="24"/>
        </w:rPr>
      </w:pPr>
      <w:bookmarkStart w:id="67" w:name="_Toc6702"/>
      <w:bookmarkStart w:id="68" w:name="_Toc25829_WPSOffice_Level1"/>
      <w:r>
        <w:rPr>
          <w:rFonts w:ascii="Times New Roman" w:hAnsi="Times New Roman"/>
          <w:sz w:val="24"/>
          <w:szCs w:val="24"/>
        </w:rPr>
        <w:t>5 校准条件</w:t>
      </w:r>
      <w:bookmarkEnd w:id="67"/>
      <w:bookmarkEnd w:id="68"/>
      <w:bookmarkStart w:id="69" w:name="_Toc193860183"/>
      <w:bookmarkStart w:id="70" w:name="_Toc500258942"/>
      <w:bookmarkStart w:id="71" w:name="_Toc193860033"/>
      <w:bookmarkStart w:id="72" w:name="_Toc193860214"/>
    </w:p>
    <w:p>
      <w:pPr>
        <w:pStyle w:val="3"/>
        <w:spacing w:before="0" w:after="0" w:line="415" w:lineRule="auto"/>
        <w:rPr>
          <w:rFonts w:ascii="Times New Roman" w:hAnsi="Times New Roman"/>
        </w:rPr>
      </w:pPr>
      <w:bookmarkStart w:id="73" w:name="_Toc19312"/>
      <w:r>
        <w:rPr>
          <w:rFonts w:ascii="Times New Roman" w:hAnsi="Times New Roman"/>
        </w:rPr>
        <w:t>5.1 环境条件</w:t>
      </w:r>
      <w:bookmarkEnd w:id="73"/>
    </w:p>
    <w:p>
      <w:pPr>
        <w:spacing w:line="360" w:lineRule="auto"/>
        <w:ind w:firstLine="480"/>
        <w:rPr>
          <w:rFonts w:eastAsiaTheme="minorEastAsia"/>
          <w:sz w:val="24"/>
        </w:rPr>
      </w:pPr>
      <w:r>
        <w:rPr>
          <w:rFonts w:eastAsiaTheme="minorEastAsia"/>
          <w:sz w:val="24"/>
        </w:rPr>
        <w:t>校准试验应在20℃±5℃，相对湿度≤65%的条件下进行，实验室内应无振动和磁场等影响测量的因素。</w:t>
      </w:r>
    </w:p>
    <w:p>
      <w:pPr>
        <w:pStyle w:val="3"/>
        <w:spacing w:before="0" w:after="0" w:line="415" w:lineRule="auto"/>
        <w:rPr>
          <w:rFonts w:ascii="Times New Roman" w:hAnsi="Times New Roman"/>
        </w:rPr>
      </w:pPr>
      <w:bookmarkStart w:id="74" w:name="_Toc6099"/>
      <w:r>
        <w:rPr>
          <w:rFonts w:ascii="Times New Roman" w:hAnsi="Times New Roman"/>
        </w:rPr>
        <w:t>5.2 测量标准及其他设备</w:t>
      </w:r>
      <w:bookmarkEnd w:id="74"/>
    </w:p>
    <w:p>
      <w:pPr>
        <w:ind w:firstLine="420" w:firstLineChars="200"/>
      </w:pPr>
      <w:r>
        <w:t>测量标准及其他设备</w:t>
      </w:r>
      <w:r>
        <w:rPr>
          <w:rFonts w:hint="eastAsia"/>
        </w:rPr>
        <w:t>见表1.</w:t>
      </w:r>
    </w:p>
    <w:p>
      <w:pPr>
        <w:spacing w:line="360" w:lineRule="auto"/>
        <w:jc w:val="center"/>
        <w:rPr>
          <w:rFonts w:eastAsia="黑体"/>
          <w:sz w:val="24"/>
        </w:rPr>
      </w:pPr>
      <w:r>
        <w:rPr>
          <w:rFonts w:eastAsia="黑体"/>
          <w:kern w:val="0"/>
          <w:szCs w:val="21"/>
        </w:rPr>
        <w:t>表1测量标准及其它设备</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250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eastAsiaTheme="minorEastAsia"/>
                <w:sz w:val="24"/>
              </w:rPr>
            </w:pPr>
            <w:r>
              <w:rPr>
                <w:rFonts w:eastAsiaTheme="minorEastAsia"/>
                <w:sz w:val="24"/>
              </w:rPr>
              <w:t>序号</w:t>
            </w:r>
          </w:p>
        </w:tc>
        <w:tc>
          <w:tcPr>
            <w:tcW w:w="2505" w:type="dxa"/>
            <w:vAlign w:val="center"/>
          </w:tcPr>
          <w:p>
            <w:pPr>
              <w:spacing w:line="360" w:lineRule="auto"/>
              <w:jc w:val="center"/>
              <w:rPr>
                <w:rFonts w:eastAsiaTheme="minorEastAsia"/>
                <w:sz w:val="24"/>
              </w:rPr>
            </w:pPr>
            <w:r>
              <w:rPr>
                <w:rFonts w:eastAsiaTheme="minorEastAsia"/>
                <w:sz w:val="24"/>
              </w:rPr>
              <w:t>仪器设备名称</w:t>
            </w:r>
          </w:p>
        </w:tc>
        <w:tc>
          <w:tcPr>
            <w:tcW w:w="6045" w:type="dxa"/>
            <w:vAlign w:val="center"/>
          </w:tcPr>
          <w:p>
            <w:pPr>
              <w:spacing w:line="360" w:lineRule="auto"/>
              <w:jc w:val="center"/>
              <w:rPr>
                <w:rFonts w:eastAsiaTheme="minorEastAsia"/>
                <w:sz w:val="24"/>
              </w:rPr>
            </w:pPr>
            <w:r>
              <w:rPr>
                <w:rFonts w:eastAsiaTheme="minorEastAsia"/>
                <w:sz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eastAsiaTheme="minorEastAsia"/>
                <w:sz w:val="24"/>
              </w:rPr>
            </w:pPr>
            <w:r>
              <w:rPr>
                <w:rFonts w:eastAsiaTheme="minorEastAsia"/>
                <w:sz w:val="24"/>
              </w:rPr>
              <w:t>1</w:t>
            </w:r>
          </w:p>
        </w:tc>
        <w:tc>
          <w:tcPr>
            <w:tcW w:w="2505" w:type="dxa"/>
            <w:vAlign w:val="center"/>
          </w:tcPr>
          <w:p>
            <w:pPr>
              <w:spacing w:line="360" w:lineRule="auto"/>
              <w:jc w:val="center"/>
              <w:rPr>
                <w:rFonts w:eastAsiaTheme="minorEastAsia"/>
                <w:sz w:val="24"/>
              </w:rPr>
            </w:pPr>
            <w:r>
              <w:rPr>
                <w:kern w:val="0"/>
                <w:sz w:val="24"/>
              </w:rPr>
              <w:t>坐标测量机</w:t>
            </w:r>
          </w:p>
        </w:tc>
        <w:tc>
          <w:tcPr>
            <w:tcW w:w="6045" w:type="dxa"/>
            <w:vAlign w:val="center"/>
          </w:tcPr>
          <w:p>
            <w:pPr>
              <w:spacing w:line="360" w:lineRule="auto"/>
              <w:jc w:val="center"/>
              <w:rPr>
                <w:color w:val="auto"/>
                <w:sz w:val="24"/>
              </w:rPr>
            </w:pPr>
            <w:r>
              <w:rPr>
                <w:color w:val="auto"/>
                <w:kern w:val="0"/>
                <w:sz w:val="24"/>
              </w:rPr>
              <w:t>MPEV：±（2μm+3×10</w:t>
            </w:r>
            <w:r>
              <w:rPr>
                <w:color w:val="auto"/>
                <w:kern w:val="0"/>
                <w:sz w:val="24"/>
                <w:vertAlign w:val="superscript"/>
              </w:rPr>
              <w:t>-6</w:t>
            </w:r>
            <w:r>
              <w:rPr>
                <w:i/>
                <w:iCs/>
                <w:color w:val="auto"/>
                <w:kern w:val="0"/>
                <w:sz w:val="24"/>
              </w:rPr>
              <w:t>L</w:t>
            </w:r>
            <w:r>
              <w:rPr>
                <w:color w:val="auto"/>
                <w:kern w:val="0"/>
                <w:sz w:val="24"/>
              </w:rPr>
              <w:t>），L：m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eastAsiaTheme="minorEastAsia"/>
                <w:sz w:val="24"/>
              </w:rPr>
            </w:pPr>
            <w:r>
              <w:rPr>
                <w:rFonts w:eastAsiaTheme="minorEastAsia"/>
                <w:sz w:val="24"/>
              </w:rPr>
              <w:t>2</w:t>
            </w:r>
          </w:p>
        </w:tc>
        <w:tc>
          <w:tcPr>
            <w:tcW w:w="2505" w:type="dxa"/>
            <w:vAlign w:val="center"/>
          </w:tcPr>
          <w:p>
            <w:pPr>
              <w:spacing w:line="360" w:lineRule="auto"/>
              <w:jc w:val="center"/>
              <w:rPr>
                <w:rFonts w:eastAsiaTheme="minorEastAsia"/>
                <w:sz w:val="24"/>
              </w:rPr>
            </w:pPr>
            <w:r>
              <w:rPr>
                <w:kern w:val="0"/>
                <w:sz w:val="24"/>
              </w:rPr>
              <w:t>影像测量仪</w:t>
            </w:r>
          </w:p>
        </w:tc>
        <w:tc>
          <w:tcPr>
            <w:tcW w:w="6045" w:type="dxa"/>
            <w:vAlign w:val="center"/>
          </w:tcPr>
          <w:p>
            <w:pPr>
              <w:spacing w:line="360" w:lineRule="auto"/>
              <w:jc w:val="center"/>
              <w:rPr>
                <w:rFonts w:eastAsiaTheme="minorEastAsia"/>
                <w:color w:val="auto"/>
                <w:sz w:val="24"/>
              </w:rPr>
            </w:pPr>
            <w:r>
              <w:rPr>
                <w:color w:val="auto"/>
                <w:kern w:val="0"/>
                <w:sz w:val="24"/>
              </w:rPr>
              <w:t>MPEV：±（3μm+5×10</w:t>
            </w:r>
            <w:r>
              <w:rPr>
                <w:color w:val="auto"/>
                <w:kern w:val="0"/>
                <w:sz w:val="24"/>
                <w:vertAlign w:val="superscript"/>
              </w:rPr>
              <w:t>-6</w:t>
            </w:r>
            <w:r>
              <w:rPr>
                <w:i/>
                <w:iCs/>
                <w:color w:val="auto"/>
                <w:kern w:val="0"/>
                <w:sz w:val="24"/>
              </w:rPr>
              <w:t>L</w:t>
            </w:r>
            <w:r>
              <w:rPr>
                <w:color w:val="auto"/>
                <w:kern w:val="0"/>
                <w:sz w:val="24"/>
              </w:rPr>
              <w:t>），L：m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eastAsiaTheme="minorEastAsia"/>
                <w:sz w:val="24"/>
              </w:rPr>
            </w:pPr>
            <w:r>
              <w:rPr>
                <w:rFonts w:eastAsiaTheme="minorEastAsia"/>
                <w:sz w:val="24"/>
              </w:rPr>
              <w:t>3</w:t>
            </w:r>
          </w:p>
        </w:tc>
        <w:tc>
          <w:tcPr>
            <w:tcW w:w="2505" w:type="dxa"/>
            <w:vAlign w:val="center"/>
          </w:tcPr>
          <w:p>
            <w:pPr>
              <w:spacing w:line="360" w:lineRule="auto"/>
              <w:jc w:val="center"/>
              <w:rPr>
                <w:rFonts w:eastAsiaTheme="minorEastAsia"/>
                <w:sz w:val="24"/>
              </w:rPr>
            </w:pPr>
            <w:r>
              <w:rPr>
                <w:kern w:val="0"/>
                <w:sz w:val="24"/>
              </w:rPr>
              <w:t>万能工具显微镜</w:t>
            </w:r>
          </w:p>
        </w:tc>
        <w:tc>
          <w:tcPr>
            <w:tcW w:w="6045" w:type="dxa"/>
            <w:vAlign w:val="center"/>
          </w:tcPr>
          <w:p>
            <w:pPr>
              <w:spacing w:line="360" w:lineRule="auto"/>
              <w:jc w:val="center"/>
              <w:rPr>
                <w:rFonts w:eastAsiaTheme="minorEastAsia"/>
                <w:color w:val="auto"/>
                <w:sz w:val="24"/>
              </w:rPr>
            </w:pPr>
            <w:r>
              <w:rPr>
                <w:color w:val="auto"/>
                <w:kern w:val="0"/>
                <w:sz w:val="24"/>
              </w:rPr>
              <w:t>MPEV：±（1μm+10×10</w:t>
            </w:r>
            <w:r>
              <w:rPr>
                <w:color w:val="auto"/>
                <w:kern w:val="0"/>
                <w:sz w:val="24"/>
                <w:vertAlign w:val="superscript"/>
              </w:rPr>
              <w:t>-6</w:t>
            </w:r>
            <w:r>
              <w:rPr>
                <w:i/>
                <w:iCs/>
                <w:color w:val="auto"/>
                <w:kern w:val="0"/>
                <w:sz w:val="24"/>
              </w:rPr>
              <w:t>L</w:t>
            </w:r>
            <w:r>
              <w:rPr>
                <w:color w:val="auto"/>
                <w:kern w:val="0"/>
                <w:sz w:val="24"/>
              </w:rPr>
              <w:t>），L：m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eastAsiaTheme="minorEastAsia"/>
                <w:sz w:val="24"/>
              </w:rPr>
            </w:pPr>
            <w:r>
              <w:rPr>
                <w:rFonts w:eastAsiaTheme="minorEastAsia"/>
                <w:sz w:val="24"/>
              </w:rPr>
              <w:t>4</w:t>
            </w:r>
          </w:p>
        </w:tc>
        <w:tc>
          <w:tcPr>
            <w:tcW w:w="2505" w:type="dxa"/>
            <w:vAlign w:val="center"/>
          </w:tcPr>
          <w:p>
            <w:pPr>
              <w:spacing w:line="360" w:lineRule="auto"/>
              <w:jc w:val="center"/>
              <w:rPr>
                <w:rFonts w:eastAsiaTheme="minorEastAsia"/>
                <w:sz w:val="24"/>
              </w:rPr>
            </w:pPr>
            <w:r>
              <w:rPr>
                <w:kern w:val="0"/>
                <w:sz w:val="24"/>
              </w:rPr>
              <w:t>游标卡尺</w:t>
            </w:r>
          </w:p>
        </w:tc>
        <w:tc>
          <w:tcPr>
            <w:tcW w:w="6045" w:type="dxa"/>
            <w:vAlign w:val="center"/>
          </w:tcPr>
          <w:p>
            <w:pPr>
              <w:spacing w:line="360" w:lineRule="auto"/>
              <w:jc w:val="center"/>
              <w:rPr>
                <w:rFonts w:eastAsiaTheme="minorEastAsia"/>
                <w:color w:val="auto"/>
                <w:sz w:val="24"/>
              </w:rPr>
            </w:pPr>
            <w:r>
              <w:rPr>
                <w:color w:val="auto"/>
                <w:kern w:val="0"/>
                <w:sz w:val="24"/>
              </w:rPr>
              <w:t>（0~150）mm，MPEV：±</w:t>
            </w:r>
            <w:r>
              <w:rPr>
                <w:rFonts w:hint="eastAsia"/>
                <w:color w:val="auto"/>
                <w:kern w:val="0"/>
                <w:sz w:val="24"/>
              </w:rPr>
              <w:t>0</w:t>
            </w:r>
            <w:r>
              <w:rPr>
                <w:color w:val="auto"/>
                <w:kern w:val="0"/>
                <w:sz w:val="24"/>
              </w:rPr>
              <w:t>.03mm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eastAsiaTheme="minorEastAsia"/>
                <w:sz w:val="24"/>
              </w:rPr>
            </w:pPr>
            <w:r>
              <w:rPr>
                <w:rFonts w:eastAsiaTheme="minorEastAsia"/>
                <w:sz w:val="24"/>
              </w:rPr>
              <w:t>5</w:t>
            </w:r>
          </w:p>
        </w:tc>
        <w:tc>
          <w:tcPr>
            <w:tcW w:w="2505" w:type="dxa"/>
            <w:vAlign w:val="center"/>
          </w:tcPr>
          <w:p>
            <w:pPr>
              <w:spacing w:line="360" w:lineRule="auto"/>
              <w:jc w:val="center"/>
              <w:rPr>
                <w:rFonts w:eastAsiaTheme="minorEastAsia"/>
                <w:sz w:val="24"/>
              </w:rPr>
            </w:pPr>
            <w:r>
              <w:rPr>
                <w:kern w:val="0"/>
                <w:sz w:val="24"/>
              </w:rPr>
              <w:t>千分尺</w:t>
            </w:r>
          </w:p>
        </w:tc>
        <w:tc>
          <w:tcPr>
            <w:tcW w:w="6045" w:type="dxa"/>
            <w:vAlign w:val="center"/>
          </w:tcPr>
          <w:p>
            <w:pPr>
              <w:spacing w:line="360" w:lineRule="auto"/>
              <w:jc w:val="center"/>
              <w:rPr>
                <w:rFonts w:eastAsiaTheme="minorEastAsia"/>
                <w:color w:val="auto"/>
                <w:sz w:val="24"/>
              </w:rPr>
            </w:pPr>
            <w:r>
              <w:rPr>
                <w:color w:val="auto"/>
                <w:kern w:val="0"/>
                <w:sz w:val="24"/>
              </w:rPr>
              <w:t>（75~100）mm，MPEV：±3μm</w:t>
            </w:r>
            <w:r>
              <w:rPr>
                <w:rFonts w:hint="eastAsia"/>
                <w:color w:val="auto"/>
                <w:kern w:val="0"/>
                <w:sz w:val="24"/>
              </w:rPr>
              <w:t>（数显式）、</w:t>
            </w:r>
            <w:r>
              <w:rPr>
                <w:color w:val="auto"/>
                <w:kern w:val="0"/>
                <w:sz w:val="24"/>
              </w:rPr>
              <w:t>±5μm</w:t>
            </w:r>
            <w:r>
              <w:rPr>
                <w:rFonts w:hint="eastAsia"/>
                <w:color w:val="auto"/>
                <w:kern w:val="0"/>
                <w:sz w:val="24"/>
              </w:rPr>
              <w:t>（机械式）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eastAsiaTheme="minorEastAsia"/>
                <w:sz w:val="24"/>
              </w:rPr>
            </w:pPr>
            <w:r>
              <w:rPr>
                <w:rFonts w:eastAsiaTheme="minorEastAsia"/>
                <w:sz w:val="24"/>
              </w:rPr>
              <w:t>6</w:t>
            </w:r>
          </w:p>
        </w:tc>
        <w:tc>
          <w:tcPr>
            <w:tcW w:w="2505" w:type="dxa"/>
            <w:vAlign w:val="center"/>
          </w:tcPr>
          <w:p>
            <w:pPr>
              <w:spacing w:line="360" w:lineRule="auto"/>
              <w:jc w:val="center"/>
              <w:rPr>
                <w:rFonts w:eastAsiaTheme="minorEastAsia"/>
                <w:sz w:val="24"/>
              </w:rPr>
            </w:pPr>
            <w:r>
              <w:rPr>
                <w:kern w:val="0"/>
                <w:sz w:val="24"/>
              </w:rPr>
              <w:t>针规</w:t>
            </w:r>
          </w:p>
        </w:tc>
        <w:tc>
          <w:tcPr>
            <w:tcW w:w="6045" w:type="dxa"/>
            <w:vAlign w:val="center"/>
          </w:tcPr>
          <w:p>
            <w:pPr>
              <w:spacing w:line="360" w:lineRule="auto"/>
              <w:jc w:val="center"/>
              <w:rPr>
                <w:rFonts w:eastAsiaTheme="minorEastAsia"/>
                <w:color w:val="auto"/>
                <w:sz w:val="24"/>
              </w:rPr>
            </w:pPr>
            <w:r>
              <w:rPr>
                <w:color w:val="auto"/>
                <w:kern w:val="0"/>
                <w:sz w:val="24"/>
              </w:rPr>
              <w:t>尺寸间隔为0.01mm，MPEV：±2μm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eastAsiaTheme="minorEastAsia"/>
                <w:sz w:val="24"/>
              </w:rPr>
            </w:pPr>
            <w:r>
              <w:rPr>
                <w:rFonts w:eastAsiaTheme="minorEastAsia"/>
                <w:sz w:val="24"/>
              </w:rPr>
              <w:t>7</w:t>
            </w:r>
          </w:p>
        </w:tc>
        <w:tc>
          <w:tcPr>
            <w:tcW w:w="2505" w:type="dxa"/>
            <w:vAlign w:val="center"/>
          </w:tcPr>
          <w:p>
            <w:pPr>
              <w:spacing w:line="360" w:lineRule="auto"/>
              <w:jc w:val="center"/>
              <w:rPr>
                <w:rFonts w:eastAsiaTheme="minorEastAsia"/>
                <w:sz w:val="24"/>
              </w:rPr>
            </w:pPr>
            <w:r>
              <w:rPr>
                <w:kern w:val="0"/>
                <w:sz w:val="24"/>
              </w:rPr>
              <w:t>塞尺</w:t>
            </w:r>
          </w:p>
        </w:tc>
        <w:tc>
          <w:tcPr>
            <w:tcW w:w="6045" w:type="dxa"/>
            <w:vAlign w:val="center"/>
          </w:tcPr>
          <w:p>
            <w:pPr>
              <w:spacing w:line="360" w:lineRule="auto"/>
              <w:jc w:val="center"/>
              <w:rPr>
                <w:rFonts w:eastAsiaTheme="minorEastAsia"/>
                <w:color w:val="auto"/>
                <w:sz w:val="24"/>
              </w:rPr>
            </w:pPr>
            <w:r>
              <w:rPr>
                <w:color w:val="auto"/>
                <w:kern w:val="0"/>
                <w:sz w:val="24"/>
              </w:rPr>
              <w:t>（0.02~1.00）mm，MPEV：±（5~16）μm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eastAsiaTheme="minorEastAsia"/>
                <w:sz w:val="24"/>
              </w:rPr>
            </w:pPr>
            <w:r>
              <w:rPr>
                <w:rFonts w:eastAsiaTheme="minorEastAsia"/>
                <w:sz w:val="24"/>
              </w:rPr>
              <w:t>8</w:t>
            </w:r>
          </w:p>
        </w:tc>
        <w:tc>
          <w:tcPr>
            <w:tcW w:w="2505" w:type="dxa"/>
            <w:vAlign w:val="center"/>
          </w:tcPr>
          <w:p>
            <w:pPr>
              <w:spacing w:line="360" w:lineRule="auto"/>
              <w:jc w:val="center"/>
              <w:rPr>
                <w:rFonts w:eastAsiaTheme="minorEastAsia"/>
                <w:sz w:val="24"/>
              </w:rPr>
            </w:pPr>
            <w:r>
              <w:rPr>
                <w:kern w:val="0"/>
                <w:sz w:val="24"/>
              </w:rPr>
              <w:t>刀口形直尺</w:t>
            </w:r>
          </w:p>
        </w:tc>
        <w:tc>
          <w:tcPr>
            <w:tcW w:w="6045" w:type="dxa"/>
            <w:vAlign w:val="center"/>
          </w:tcPr>
          <w:p>
            <w:pPr>
              <w:spacing w:line="360" w:lineRule="auto"/>
              <w:jc w:val="center"/>
              <w:rPr>
                <w:rFonts w:eastAsiaTheme="minorEastAsia"/>
                <w:color w:val="auto"/>
                <w:sz w:val="24"/>
              </w:rPr>
            </w:pPr>
            <w:r>
              <w:rPr>
                <w:color w:val="auto"/>
                <w:kern w:val="0"/>
                <w:sz w:val="24"/>
              </w:rPr>
              <w:t>MPEV：2μm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eastAsiaTheme="minorEastAsia"/>
                <w:sz w:val="24"/>
              </w:rPr>
            </w:pPr>
            <w:r>
              <w:rPr>
                <w:rFonts w:eastAsiaTheme="minorEastAsia"/>
                <w:sz w:val="24"/>
              </w:rPr>
              <w:t>9</w:t>
            </w:r>
          </w:p>
        </w:tc>
        <w:tc>
          <w:tcPr>
            <w:tcW w:w="2505" w:type="dxa"/>
            <w:vAlign w:val="center"/>
          </w:tcPr>
          <w:p>
            <w:pPr>
              <w:adjustRightInd w:val="0"/>
              <w:snapToGrid w:val="0"/>
              <w:jc w:val="center"/>
              <w:rPr>
                <w:kern w:val="0"/>
                <w:sz w:val="24"/>
              </w:rPr>
            </w:pPr>
            <w:r>
              <w:rPr>
                <w:sz w:val="24"/>
                <w:shd w:val="clear" w:color="auto" w:fill="FFFFFF"/>
              </w:rPr>
              <w:t>直角</w:t>
            </w:r>
            <w:r>
              <w:rPr>
                <w:kern w:val="0"/>
                <w:sz w:val="24"/>
              </w:rPr>
              <w:t>尺</w:t>
            </w:r>
          </w:p>
        </w:tc>
        <w:tc>
          <w:tcPr>
            <w:tcW w:w="6045" w:type="dxa"/>
            <w:vAlign w:val="center"/>
          </w:tcPr>
          <w:p>
            <w:pPr>
              <w:adjustRightInd w:val="0"/>
              <w:snapToGrid w:val="0"/>
              <w:jc w:val="center"/>
              <w:rPr>
                <w:kern w:val="0"/>
                <w:sz w:val="24"/>
              </w:rPr>
            </w:pPr>
            <w:r>
              <w:rPr>
                <w:sz w:val="24"/>
                <w:shd w:val="clear" w:color="auto" w:fill="FFFFFF"/>
              </w:rPr>
              <w:t>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eastAsiaTheme="minorEastAsia"/>
                <w:sz w:val="24"/>
              </w:rPr>
            </w:pPr>
            <w:r>
              <w:rPr>
                <w:rFonts w:eastAsiaTheme="minorEastAsia"/>
                <w:sz w:val="24"/>
              </w:rPr>
              <w:t>10</w:t>
            </w:r>
          </w:p>
        </w:tc>
        <w:tc>
          <w:tcPr>
            <w:tcW w:w="2505" w:type="dxa"/>
            <w:vAlign w:val="center"/>
          </w:tcPr>
          <w:p>
            <w:pPr>
              <w:adjustRightInd w:val="0"/>
              <w:snapToGrid w:val="0"/>
              <w:jc w:val="center"/>
              <w:rPr>
                <w:kern w:val="0"/>
                <w:sz w:val="24"/>
              </w:rPr>
            </w:pPr>
            <w:r>
              <w:rPr>
                <w:kern w:val="0"/>
                <w:sz w:val="24"/>
              </w:rPr>
              <w:t>平板</w:t>
            </w:r>
          </w:p>
        </w:tc>
        <w:tc>
          <w:tcPr>
            <w:tcW w:w="6045" w:type="dxa"/>
            <w:vAlign w:val="center"/>
          </w:tcPr>
          <w:p>
            <w:pPr>
              <w:adjustRightInd w:val="0"/>
              <w:snapToGrid w:val="0"/>
              <w:jc w:val="center"/>
              <w:rPr>
                <w:kern w:val="0"/>
                <w:sz w:val="24"/>
              </w:rPr>
            </w:pPr>
            <w:r>
              <w:rPr>
                <w:sz w:val="24"/>
                <w:shd w:val="clear" w:color="auto" w:fill="FFFFFF"/>
              </w:rPr>
              <w:t>Ⅰ</w:t>
            </w:r>
            <w:r>
              <w:rPr>
                <w:kern w:val="0"/>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eastAsiaTheme="minorEastAsia"/>
                <w:sz w:val="24"/>
              </w:rPr>
            </w:pPr>
            <w:r>
              <w:rPr>
                <w:rFonts w:eastAsiaTheme="minorEastAsia"/>
                <w:sz w:val="24"/>
              </w:rPr>
              <w:t>11</w:t>
            </w:r>
          </w:p>
        </w:tc>
        <w:tc>
          <w:tcPr>
            <w:tcW w:w="2505" w:type="dxa"/>
            <w:vAlign w:val="center"/>
          </w:tcPr>
          <w:p>
            <w:pPr>
              <w:autoSpaceDE w:val="0"/>
              <w:autoSpaceDN w:val="0"/>
              <w:adjustRightInd w:val="0"/>
              <w:jc w:val="center"/>
              <w:rPr>
                <w:rFonts w:eastAsiaTheme="minorEastAsia"/>
                <w:kern w:val="0"/>
                <w:sz w:val="24"/>
              </w:rPr>
            </w:pPr>
            <w:r>
              <w:rPr>
                <w:rFonts w:eastAsiaTheme="minorEastAsia"/>
                <w:bCs/>
                <w:sz w:val="24"/>
              </w:rPr>
              <w:t>超声波发射接收仪（或能产生、接收并显示超声波电信号的仪器）</w:t>
            </w:r>
          </w:p>
        </w:tc>
        <w:tc>
          <w:tcPr>
            <w:tcW w:w="6045" w:type="dxa"/>
            <w:vAlign w:val="center"/>
          </w:tcPr>
          <w:p>
            <w:pPr>
              <w:autoSpaceDE w:val="0"/>
              <w:autoSpaceDN w:val="0"/>
              <w:adjustRightInd w:val="0"/>
              <w:jc w:val="center"/>
              <w:rPr>
                <w:kern w:val="0"/>
                <w:sz w:val="24"/>
              </w:rPr>
            </w:pPr>
            <w:r>
              <w:rPr>
                <w:kern w:val="0"/>
                <w:sz w:val="24"/>
              </w:rPr>
              <w:t>频带宽度≥15MHz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eastAsiaTheme="minorEastAsia"/>
                <w:sz w:val="24"/>
              </w:rPr>
            </w:pPr>
            <w:r>
              <w:rPr>
                <w:rFonts w:eastAsiaTheme="minorEastAsia"/>
                <w:sz w:val="24"/>
              </w:rPr>
              <w:t>12</w:t>
            </w:r>
          </w:p>
        </w:tc>
        <w:tc>
          <w:tcPr>
            <w:tcW w:w="2505" w:type="dxa"/>
            <w:vAlign w:val="center"/>
          </w:tcPr>
          <w:p>
            <w:pPr>
              <w:spacing w:line="360" w:lineRule="auto"/>
              <w:jc w:val="center"/>
              <w:rPr>
                <w:kern w:val="0"/>
                <w:sz w:val="24"/>
              </w:rPr>
            </w:pPr>
            <w:r>
              <w:rPr>
                <w:rFonts w:eastAsiaTheme="minorEastAsia"/>
                <w:bCs/>
                <w:sz w:val="24"/>
              </w:rPr>
              <w:t>数字示波器</w:t>
            </w:r>
          </w:p>
        </w:tc>
        <w:tc>
          <w:tcPr>
            <w:tcW w:w="6045" w:type="dxa"/>
            <w:vAlign w:val="center"/>
          </w:tcPr>
          <w:p>
            <w:pPr>
              <w:spacing w:line="360" w:lineRule="auto"/>
              <w:jc w:val="center"/>
              <w:rPr>
                <w:kern w:val="0"/>
                <w:sz w:val="24"/>
              </w:rPr>
            </w:pPr>
            <w:r>
              <w:rPr>
                <w:kern w:val="0"/>
                <w:sz w:val="24"/>
              </w:rPr>
              <w:t>频带宽度≥100MHz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eastAsiaTheme="minorEastAsia"/>
                <w:sz w:val="24"/>
              </w:rPr>
            </w:pPr>
            <w:r>
              <w:rPr>
                <w:rFonts w:eastAsiaTheme="minorEastAsia"/>
                <w:sz w:val="24"/>
              </w:rPr>
              <w:t>13</w:t>
            </w:r>
          </w:p>
        </w:tc>
        <w:tc>
          <w:tcPr>
            <w:tcW w:w="2505" w:type="dxa"/>
            <w:vAlign w:val="center"/>
          </w:tcPr>
          <w:p>
            <w:pPr>
              <w:spacing w:line="360" w:lineRule="auto"/>
              <w:jc w:val="center"/>
              <w:rPr>
                <w:rFonts w:eastAsiaTheme="minorEastAsia"/>
                <w:bCs/>
                <w:sz w:val="24"/>
              </w:rPr>
            </w:pPr>
            <w:r>
              <w:rPr>
                <w:rFonts w:eastAsiaTheme="minorEastAsia"/>
                <w:bCs/>
                <w:sz w:val="24"/>
              </w:rPr>
              <w:t>纵波直探头</w:t>
            </w:r>
          </w:p>
        </w:tc>
        <w:tc>
          <w:tcPr>
            <w:tcW w:w="6045" w:type="dxa"/>
            <w:vAlign w:val="center"/>
          </w:tcPr>
          <w:p>
            <w:pPr>
              <w:spacing w:line="360" w:lineRule="auto"/>
              <w:jc w:val="center"/>
              <w:rPr>
                <w:kern w:val="0"/>
                <w:sz w:val="24"/>
              </w:rPr>
            </w:pPr>
            <w:r>
              <w:rPr>
                <w:kern w:val="0"/>
                <w:sz w:val="24"/>
              </w:rPr>
              <w:t>中心频率≥5MHz，晶片直径：10mm~12.5mm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eastAsiaTheme="minorEastAsia"/>
                <w:sz w:val="24"/>
              </w:rPr>
            </w:pPr>
            <w:r>
              <w:rPr>
                <w:rFonts w:eastAsiaTheme="minorEastAsia"/>
                <w:sz w:val="24"/>
              </w:rPr>
              <w:t>14</w:t>
            </w:r>
          </w:p>
        </w:tc>
        <w:tc>
          <w:tcPr>
            <w:tcW w:w="2505" w:type="dxa"/>
            <w:vAlign w:val="center"/>
          </w:tcPr>
          <w:p>
            <w:pPr>
              <w:spacing w:line="360" w:lineRule="auto"/>
              <w:jc w:val="center"/>
              <w:rPr>
                <w:rFonts w:eastAsiaTheme="minorEastAsia"/>
                <w:bCs/>
                <w:sz w:val="24"/>
              </w:rPr>
            </w:pPr>
            <w:r>
              <w:rPr>
                <w:rFonts w:eastAsiaTheme="minorEastAsia"/>
                <w:bCs/>
                <w:sz w:val="24"/>
              </w:rPr>
              <w:t>横波直探头</w:t>
            </w:r>
          </w:p>
        </w:tc>
        <w:tc>
          <w:tcPr>
            <w:tcW w:w="6045" w:type="dxa"/>
            <w:vAlign w:val="center"/>
          </w:tcPr>
          <w:p>
            <w:pPr>
              <w:spacing w:line="360" w:lineRule="auto"/>
              <w:jc w:val="center"/>
              <w:rPr>
                <w:kern w:val="0"/>
                <w:sz w:val="24"/>
              </w:rPr>
            </w:pPr>
            <w:r>
              <w:rPr>
                <w:kern w:val="0"/>
                <w:sz w:val="24"/>
              </w:rPr>
              <w:t>使用频率：4MHz~5MHz，晶片直径：10mm~12.5mm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pacing w:line="360" w:lineRule="auto"/>
              <w:jc w:val="center"/>
              <w:rPr>
                <w:rFonts w:eastAsiaTheme="minorEastAsia"/>
                <w:sz w:val="24"/>
              </w:rPr>
            </w:pPr>
            <w:r>
              <w:rPr>
                <w:rFonts w:eastAsiaTheme="minorEastAsia"/>
                <w:sz w:val="24"/>
              </w:rPr>
              <w:t>15</w:t>
            </w:r>
          </w:p>
        </w:tc>
        <w:tc>
          <w:tcPr>
            <w:tcW w:w="2505" w:type="dxa"/>
            <w:vAlign w:val="center"/>
          </w:tcPr>
          <w:p>
            <w:pPr>
              <w:spacing w:line="360" w:lineRule="auto"/>
              <w:jc w:val="center"/>
              <w:rPr>
                <w:rFonts w:eastAsiaTheme="minorEastAsia"/>
                <w:bCs/>
                <w:sz w:val="24"/>
              </w:rPr>
            </w:pPr>
            <w:r>
              <w:rPr>
                <w:rFonts w:eastAsiaTheme="minorEastAsia"/>
                <w:bCs/>
                <w:sz w:val="24"/>
              </w:rPr>
              <w:t>声速试块</w:t>
            </w:r>
          </w:p>
        </w:tc>
        <w:tc>
          <w:tcPr>
            <w:tcW w:w="6045" w:type="dxa"/>
            <w:vAlign w:val="center"/>
          </w:tcPr>
          <w:p>
            <w:pPr>
              <w:spacing w:line="360" w:lineRule="auto"/>
              <w:jc w:val="center"/>
              <w:rPr>
                <w:kern w:val="0"/>
                <w:sz w:val="24"/>
              </w:rPr>
            </w:pPr>
            <w:r>
              <w:rPr>
                <w:kern w:val="0"/>
                <w:sz w:val="24"/>
              </w:rPr>
              <w:t>已知超声波速度的任何材料</w:t>
            </w:r>
          </w:p>
        </w:tc>
      </w:tr>
    </w:tbl>
    <w:p>
      <w:pPr>
        <w:numPr>
          <w:ilvl w:val="0"/>
          <w:numId w:val="1"/>
        </w:numPr>
        <w:spacing w:line="360" w:lineRule="auto"/>
        <w:ind w:firstLine="420" w:firstLineChars="200"/>
        <w:rPr>
          <w:rFonts w:eastAsia="仿宋"/>
          <w:bCs/>
          <w:szCs w:val="18"/>
        </w:rPr>
      </w:pPr>
      <w:r>
        <w:rPr>
          <w:rFonts w:eastAsia="仿宋"/>
          <w:bCs/>
          <w:szCs w:val="18"/>
        </w:rPr>
        <w:t>注：</w:t>
      </w:r>
      <w:r>
        <w:rPr>
          <w:rFonts w:hint="eastAsia" w:eastAsia="仿宋"/>
          <w:bCs/>
          <w:szCs w:val="18"/>
          <w:lang w:val="en-US" w:eastAsia="zh-CN"/>
        </w:rPr>
        <w:t>L为被测量长度。</w:t>
      </w:r>
    </w:p>
    <w:bookmarkEnd w:id="69"/>
    <w:bookmarkEnd w:id="70"/>
    <w:bookmarkEnd w:id="71"/>
    <w:bookmarkEnd w:id="72"/>
    <w:p>
      <w:pPr>
        <w:pStyle w:val="47"/>
        <w:spacing w:before="0" w:beforeLines="0" w:after="0" w:afterLines="0" w:line="360" w:lineRule="auto"/>
        <w:ind w:left="0" w:firstLine="0"/>
        <w:outlineLvl w:val="0"/>
        <w:rPr>
          <w:rFonts w:ascii="Times New Roman" w:hAnsi="Times New Roman"/>
          <w:sz w:val="24"/>
          <w:szCs w:val="24"/>
        </w:rPr>
      </w:pPr>
      <w:bookmarkStart w:id="75" w:name="_Toc193860216"/>
      <w:bookmarkStart w:id="76" w:name="_Toc193618955"/>
      <w:bookmarkStart w:id="77" w:name="_Toc500258944"/>
      <w:bookmarkStart w:id="78" w:name="_Toc193860035"/>
      <w:bookmarkStart w:id="79" w:name="_Toc6177"/>
      <w:bookmarkStart w:id="80" w:name="_Toc193619100"/>
      <w:bookmarkStart w:id="81" w:name="_Toc193860185"/>
      <w:bookmarkStart w:id="82" w:name="_Toc2741_WPSOffice_Level1"/>
      <w:bookmarkStart w:id="83" w:name="_Toc193619058"/>
      <w:r>
        <w:rPr>
          <w:rFonts w:ascii="Times New Roman" w:hAnsi="Times New Roman"/>
          <w:sz w:val="24"/>
          <w:szCs w:val="24"/>
        </w:rPr>
        <w:t>6 校准项目和校准方法</w:t>
      </w:r>
      <w:bookmarkEnd w:id="75"/>
      <w:bookmarkEnd w:id="76"/>
      <w:bookmarkEnd w:id="77"/>
      <w:bookmarkEnd w:id="78"/>
      <w:bookmarkEnd w:id="79"/>
      <w:bookmarkEnd w:id="80"/>
      <w:bookmarkEnd w:id="81"/>
      <w:bookmarkEnd w:id="82"/>
      <w:bookmarkEnd w:id="83"/>
    </w:p>
    <w:p>
      <w:pPr>
        <w:pStyle w:val="3"/>
        <w:spacing w:before="0" w:after="0" w:line="415" w:lineRule="auto"/>
        <w:rPr>
          <w:rFonts w:ascii="Times New Roman" w:hAnsi="Times New Roman"/>
        </w:rPr>
      </w:pPr>
      <w:bookmarkStart w:id="84" w:name="_Toc500258945"/>
      <w:bookmarkStart w:id="85" w:name="_Toc22718_WPSOffice_Level2"/>
      <w:bookmarkStart w:id="86" w:name="_Toc5380"/>
      <w:r>
        <w:rPr>
          <w:rFonts w:ascii="Times New Roman" w:hAnsi="Times New Roman"/>
        </w:rPr>
        <w:t xml:space="preserve">6.1 </w:t>
      </w:r>
      <w:bookmarkEnd w:id="84"/>
      <w:bookmarkEnd w:id="85"/>
      <w:r>
        <w:rPr>
          <w:rFonts w:ascii="Times New Roman" w:hAnsi="Times New Roman"/>
        </w:rPr>
        <w:t>准备工作</w:t>
      </w:r>
      <w:bookmarkEnd w:id="86"/>
    </w:p>
    <w:p>
      <w:pPr>
        <w:spacing w:line="360" w:lineRule="auto"/>
        <w:ind w:firstLine="480" w:firstLineChars="200"/>
        <w:rPr>
          <w:rFonts w:eastAsiaTheme="minorEastAsia"/>
          <w:kern w:val="0"/>
          <w:sz w:val="24"/>
          <w:szCs w:val="20"/>
        </w:rPr>
      </w:pPr>
      <w:r>
        <w:rPr>
          <w:rFonts w:eastAsiaTheme="minorEastAsia"/>
          <w:kern w:val="0"/>
          <w:sz w:val="24"/>
          <w:szCs w:val="20"/>
        </w:rPr>
        <w:t>校准前应清洁试块，去除表面油污，并确认无影响校准结果的因素。</w:t>
      </w:r>
    </w:p>
    <w:p>
      <w:pPr>
        <w:pStyle w:val="3"/>
        <w:spacing w:before="0" w:after="0" w:line="415" w:lineRule="auto"/>
        <w:rPr>
          <w:rFonts w:ascii="Times New Roman" w:hAnsi="Times New Roman"/>
        </w:rPr>
      </w:pPr>
      <w:bookmarkStart w:id="87" w:name="_Toc23136"/>
      <w:r>
        <w:rPr>
          <w:rFonts w:ascii="Times New Roman" w:hAnsi="Times New Roman"/>
        </w:rPr>
        <w:t>6.2 几何尺寸测量误差</w:t>
      </w:r>
      <w:bookmarkEnd w:id="87"/>
      <w:r>
        <w:rPr>
          <w:rFonts w:ascii="Times New Roman" w:hAnsi="Times New Roman"/>
        </w:rPr>
        <w:t xml:space="preserve"> </w:t>
      </w:r>
    </w:p>
    <w:p>
      <w:pPr>
        <w:spacing w:line="360" w:lineRule="auto"/>
        <w:ind w:firstLine="480" w:firstLineChars="200"/>
        <w:rPr>
          <w:rFonts w:eastAsiaTheme="minorEastAsia"/>
          <w:color w:val="auto"/>
          <w:sz w:val="24"/>
        </w:rPr>
      </w:pPr>
      <w:r>
        <w:rPr>
          <w:rFonts w:eastAsiaTheme="minorEastAsia"/>
          <w:sz w:val="24"/>
        </w:rPr>
        <w:t>可采用接触测</w:t>
      </w:r>
      <w:r>
        <w:rPr>
          <w:rFonts w:eastAsiaTheme="minorEastAsia"/>
          <w:color w:val="auto"/>
          <w:sz w:val="24"/>
        </w:rPr>
        <w:t>量或非接触测量的方法</w:t>
      </w:r>
      <w:r>
        <w:rPr>
          <w:rFonts w:hint="eastAsia" w:eastAsiaTheme="minorEastAsia"/>
          <w:color w:val="auto"/>
          <w:sz w:val="24"/>
        </w:rPr>
        <w:t>，</w:t>
      </w:r>
      <w:r>
        <w:rPr>
          <w:color w:val="auto"/>
          <w:kern w:val="0"/>
          <w:sz w:val="24"/>
        </w:rPr>
        <w:t>在测量过程中</w:t>
      </w:r>
      <w:r>
        <w:rPr>
          <w:rFonts w:hint="eastAsia"/>
          <w:color w:val="auto"/>
          <w:kern w:val="0"/>
          <w:sz w:val="24"/>
        </w:rPr>
        <w:t>，</w:t>
      </w:r>
      <w:r>
        <w:rPr>
          <w:color w:val="auto"/>
          <w:kern w:val="0"/>
          <w:sz w:val="24"/>
        </w:rPr>
        <w:t>沿试块边长方向分别取边长的三个等分点作为测量试块垂直于边长方向的尺寸</w:t>
      </w:r>
      <w:r>
        <w:rPr>
          <w:rFonts w:hint="eastAsia"/>
          <w:color w:val="auto"/>
          <w:kern w:val="0"/>
          <w:sz w:val="24"/>
        </w:rPr>
        <w:t>，将三次测量取得的平均值作为垂直于取点的边长方向的长度</w:t>
      </w:r>
      <w:r>
        <w:rPr>
          <w:rFonts w:eastAsiaTheme="minorEastAsia"/>
          <w:color w:val="auto"/>
          <w:sz w:val="24"/>
        </w:rPr>
        <w:t>。被校试块几何尺寸误差按公式（1）计算：</w:t>
      </w:r>
    </w:p>
    <w:p>
      <w:pPr>
        <w:spacing w:line="360" w:lineRule="auto"/>
        <w:ind w:firstLine="4080" w:firstLineChars="1700"/>
        <w:rPr>
          <w:sz w:val="24"/>
        </w:rPr>
      </w:pPr>
      <m:oMath>
        <m:r>
          <m:rPr/>
          <w:rPr>
            <w:rFonts w:ascii="Cambria Math" w:hAnsi="Cambria Math"/>
            <w:color w:val="auto"/>
            <w:sz w:val="24"/>
          </w:rPr>
          <m:t>∆=</m:t>
        </m:r>
        <m:sSub>
          <m:sSubPr>
            <m:ctrlPr>
              <w:rPr>
                <w:rFonts w:ascii="Cambria Math" w:hAnsi="Cambria Math"/>
                <w:i/>
                <w:iCs/>
                <w:color w:val="auto"/>
                <w:sz w:val="24"/>
              </w:rPr>
            </m:ctrlPr>
          </m:sSubPr>
          <m:e>
            <m:r>
              <m:rPr/>
              <w:rPr>
                <w:rFonts w:ascii="Cambria Math" w:hAnsi="Cambria Math"/>
                <w:color w:val="auto"/>
                <w:sz w:val="24"/>
              </w:rPr>
              <m:t>L</m:t>
            </m:r>
            <m:ctrlPr>
              <w:rPr>
                <w:rFonts w:ascii="Cambria Math" w:hAnsi="Cambria Math"/>
                <w:i/>
                <w:iCs/>
                <w:color w:val="auto"/>
                <w:sz w:val="24"/>
              </w:rPr>
            </m:ctrlPr>
          </m:e>
          <m:sub>
            <m:r>
              <m:rPr/>
              <w:rPr>
                <w:rFonts w:ascii="Cambria Math" w:hAnsi="Cambria Math"/>
                <w:color w:val="auto"/>
                <w:sz w:val="24"/>
              </w:rPr>
              <m:t>N</m:t>
            </m:r>
            <m:ctrlPr>
              <w:rPr>
                <w:rFonts w:ascii="Cambria Math" w:hAnsi="Cambria Math"/>
                <w:i/>
                <w:iCs/>
                <w:color w:val="auto"/>
                <w:sz w:val="24"/>
              </w:rPr>
            </m:ctrlPr>
          </m:sub>
        </m:sSub>
        <m:r>
          <m:rPr/>
          <w:rPr>
            <w:rFonts w:ascii="Cambria Math" w:hAnsi="Cambria Math"/>
            <w:color w:val="auto"/>
            <w:sz w:val="24"/>
          </w:rPr>
          <m:t>−</m:t>
        </m:r>
        <m:sSub>
          <m:sSubPr>
            <m:ctrlPr>
              <w:rPr>
                <w:rFonts w:ascii="Cambria Math" w:hAnsi="Cambria Math"/>
                <w:i/>
                <w:iCs/>
                <w:color w:val="auto"/>
                <w:sz w:val="24"/>
              </w:rPr>
            </m:ctrlPr>
          </m:sSubPr>
          <m:e>
            <m:r>
              <m:rPr/>
              <w:rPr>
                <w:rFonts w:ascii="Cambria Math" w:hAnsi="Cambria Math"/>
                <w:color w:val="auto"/>
                <w:sz w:val="24"/>
              </w:rPr>
              <m:t>L</m:t>
            </m:r>
            <m:ctrlPr>
              <w:rPr>
                <w:rFonts w:ascii="Cambria Math" w:hAnsi="Cambria Math"/>
                <w:i/>
                <w:iCs/>
                <w:color w:val="auto"/>
                <w:sz w:val="24"/>
              </w:rPr>
            </m:ctrlPr>
          </m:e>
          <m:sub>
            <m:r>
              <m:rPr/>
              <w:rPr>
                <w:rFonts w:ascii="Cambria Math" w:hAnsi="Cambria Math"/>
                <w:color w:val="auto"/>
                <w:sz w:val="24"/>
              </w:rPr>
              <m:t>X</m:t>
            </m:r>
            <m:ctrlPr>
              <w:rPr>
                <w:rFonts w:ascii="Cambria Math" w:hAnsi="Cambria Math"/>
                <w:i/>
                <w:iCs/>
                <w:color w:val="auto"/>
                <w:sz w:val="24"/>
              </w:rPr>
            </m:ctrlPr>
          </m:sub>
        </m:sSub>
      </m:oMath>
      <w:r>
        <w:rPr>
          <w:color w:val="auto"/>
          <w:sz w:val="24"/>
        </w:rPr>
        <w:t xml:space="preserve">          </w:t>
      </w:r>
      <w:r>
        <w:rPr>
          <w:sz w:val="24"/>
        </w:rPr>
        <w:t xml:space="preserve">      （1）</w:t>
      </w:r>
    </w:p>
    <w:p>
      <w:pPr>
        <w:spacing w:line="360" w:lineRule="auto"/>
        <w:rPr>
          <w:sz w:val="24"/>
        </w:rPr>
      </w:pPr>
      <w:r>
        <w:rPr>
          <w:sz w:val="24"/>
        </w:rPr>
        <w:t>式中：</w:t>
      </w:r>
    </w:p>
    <w:p>
      <w:pPr>
        <w:spacing w:line="360" w:lineRule="auto"/>
        <w:rPr>
          <w:rFonts w:eastAsiaTheme="minorEastAsia"/>
          <w:sz w:val="24"/>
        </w:rPr>
      </w:pPr>
      <m:oMath>
        <m:r>
          <m:rPr/>
          <w:rPr>
            <w:rFonts w:ascii="Cambria Math" w:hAnsi="Cambria Math"/>
            <w:sz w:val="24"/>
          </w:rPr>
          <m:t>∆</m:t>
        </m:r>
      </m:oMath>
      <w:r>
        <w:rPr>
          <w:rFonts w:eastAsiaTheme="minorEastAsia"/>
          <w:sz w:val="24"/>
        </w:rPr>
        <w:t>——几何尺寸测量误差；</w:t>
      </w:r>
    </w:p>
    <w:p>
      <w:pPr>
        <w:spacing w:line="360" w:lineRule="auto"/>
        <w:rPr>
          <w:rFonts w:eastAsiaTheme="minorEastAsia"/>
          <w:sz w:val="24"/>
        </w:rPr>
      </w:pPr>
      <m:oMath>
        <m:sSub>
          <m:sSubPr>
            <m:ctrlPr>
              <w:rPr>
                <w:rFonts w:ascii="Cambria Math" w:hAnsi="Cambria Math"/>
                <w:i/>
                <w:iCs/>
                <w:sz w:val="24"/>
              </w:rPr>
            </m:ctrlPr>
          </m:sSubPr>
          <m:e>
            <m:r>
              <m:rPr/>
              <w:rPr>
                <w:rFonts w:ascii="Cambria Math" w:hAnsi="Cambria Math"/>
                <w:sz w:val="24"/>
              </w:rPr>
              <m:t>L</m:t>
            </m:r>
            <m:ctrlPr>
              <w:rPr>
                <w:rFonts w:ascii="Cambria Math" w:hAnsi="Cambria Math"/>
                <w:i/>
                <w:iCs/>
                <w:sz w:val="24"/>
              </w:rPr>
            </m:ctrlPr>
          </m:e>
          <m:sub>
            <m:r>
              <m:rPr/>
              <w:rPr>
                <w:rFonts w:ascii="Cambria Math" w:hAnsi="Cambria Math"/>
                <w:sz w:val="24"/>
              </w:rPr>
              <m:t>N</m:t>
            </m:r>
            <m:ctrlPr>
              <w:rPr>
                <w:rFonts w:ascii="Cambria Math" w:hAnsi="Cambria Math"/>
                <w:i/>
                <w:iCs/>
                <w:sz w:val="24"/>
              </w:rPr>
            </m:ctrlPr>
          </m:sub>
        </m:sSub>
      </m:oMath>
      <w:r>
        <w:rPr>
          <w:iCs/>
          <w:sz w:val="24"/>
        </w:rPr>
        <w:t>——被校试块标称值（由试块加工图纸得到）；</w:t>
      </w:r>
    </w:p>
    <w:p>
      <w:pPr>
        <w:spacing w:line="360" w:lineRule="auto"/>
        <w:rPr>
          <w:iCs/>
          <w:sz w:val="24"/>
        </w:rPr>
      </w:pPr>
      <m:oMath>
        <m:sSub>
          <m:sSubPr>
            <m:ctrlPr>
              <w:rPr>
                <w:rFonts w:ascii="Cambria Math" w:hAnsi="Cambria Math"/>
                <w:i/>
                <w:iCs/>
                <w:sz w:val="24"/>
              </w:rPr>
            </m:ctrlPr>
          </m:sSubPr>
          <m:e>
            <m:r>
              <m:rPr/>
              <w:rPr>
                <w:rFonts w:ascii="Cambria Math" w:hAnsi="Cambria Math"/>
                <w:sz w:val="24"/>
              </w:rPr>
              <m:t>L</m:t>
            </m:r>
            <m:ctrlPr>
              <w:rPr>
                <w:rFonts w:ascii="Cambria Math" w:hAnsi="Cambria Math"/>
                <w:i/>
                <w:iCs/>
                <w:sz w:val="24"/>
              </w:rPr>
            </m:ctrlPr>
          </m:e>
          <m:sub>
            <m:r>
              <m:rPr/>
              <w:rPr>
                <w:rFonts w:ascii="Cambria Math" w:hAnsi="Cambria Math"/>
                <w:sz w:val="24"/>
              </w:rPr>
              <m:t>X</m:t>
            </m:r>
            <m:ctrlPr>
              <w:rPr>
                <w:rFonts w:ascii="Cambria Math" w:hAnsi="Cambria Math"/>
                <w:i/>
                <w:iCs/>
                <w:sz w:val="24"/>
              </w:rPr>
            </m:ctrlPr>
          </m:sub>
        </m:sSub>
      </m:oMath>
      <w:r>
        <w:rPr>
          <w:iCs/>
          <w:sz w:val="24"/>
        </w:rPr>
        <w:t>——几何尺寸测得值。</w:t>
      </w:r>
    </w:p>
    <w:p>
      <w:pPr>
        <w:spacing w:line="360" w:lineRule="auto"/>
        <w:rPr>
          <w:rFonts w:eastAsiaTheme="minorEastAsia"/>
          <w:sz w:val="24"/>
        </w:rPr>
      </w:pPr>
      <w:r>
        <w:rPr>
          <w:rFonts w:eastAsiaTheme="minorEastAsia"/>
          <w:sz w:val="24"/>
        </w:rPr>
        <w:t>6.2.1试块外形尺寸</w:t>
      </w:r>
    </w:p>
    <w:p>
      <w:pPr>
        <w:spacing w:line="360" w:lineRule="auto"/>
        <w:rPr>
          <w:rFonts w:eastAsiaTheme="minorEastAsia"/>
          <w:sz w:val="24"/>
        </w:rPr>
      </w:pPr>
      <w:r>
        <w:rPr>
          <w:rFonts w:eastAsiaTheme="minorEastAsia"/>
          <w:sz w:val="24"/>
        </w:rPr>
        <w:t>6.2.1.1用三坐标测量机测量</w:t>
      </w:r>
    </w:p>
    <w:p>
      <w:pPr>
        <w:spacing w:line="360" w:lineRule="auto"/>
        <w:ind w:firstLine="480" w:firstLineChars="200"/>
        <w:rPr>
          <w:rFonts w:eastAsiaTheme="minorEastAsia"/>
          <w:sz w:val="24"/>
        </w:rPr>
      </w:pPr>
      <w:r>
        <w:rPr>
          <w:rFonts w:eastAsiaTheme="minorEastAsia"/>
          <w:sz w:val="24"/>
        </w:rPr>
        <w:t>测量时，按照三坐标测量机开机程序操作；根据被校试块的形状和尺寸装夹试块；选择并校准测头，建立工件坐标，编辑测量程序；然后按照自动测量模式测量出试块上对应的点、线、面坐标值；通过测量软件计算出该试块被测外形尺寸。长度尺寸</w:t>
      </w:r>
      <w:r>
        <w:rPr>
          <w:rFonts w:eastAsiaTheme="minorEastAsia"/>
          <w:i/>
          <w:iCs/>
          <w:sz w:val="24"/>
        </w:rPr>
        <w:t>L</w:t>
      </w:r>
      <w:r>
        <w:rPr>
          <w:rFonts w:eastAsiaTheme="minorEastAsia"/>
          <w:sz w:val="24"/>
        </w:rPr>
        <w:t>按式（2）计算。</w:t>
      </w:r>
    </w:p>
    <w:p>
      <w:pPr>
        <w:spacing w:line="360" w:lineRule="auto"/>
        <w:rPr>
          <w:rFonts w:eastAsiaTheme="minorEastAsia"/>
          <w:sz w:val="24"/>
        </w:rPr>
      </w:pPr>
      <w:r>
        <w:rPr>
          <w:rFonts w:eastAsiaTheme="minorEastAsia"/>
          <w:sz w:val="24"/>
        </w:rPr>
        <w:t xml:space="preserve">                                        </w:t>
      </w:r>
      <w:r>
        <w:rPr>
          <w:rFonts w:eastAsiaTheme="minorEastAsia"/>
          <w:i/>
          <w:sz w:val="24"/>
        </w:rPr>
        <w:t>L</w:t>
      </w:r>
      <w:r>
        <w:rPr>
          <w:rFonts w:eastAsiaTheme="minorEastAsia"/>
          <w:sz w:val="24"/>
        </w:rPr>
        <w:t>=</w:t>
      </w:r>
      <w:r>
        <w:rPr>
          <w:rFonts w:eastAsiaTheme="minorEastAsia"/>
          <w:i/>
          <w:sz w:val="24"/>
        </w:rPr>
        <w:t>A</w:t>
      </w:r>
      <w:r>
        <w:rPr>
          <w:rFonts w:eastAsiaTheme="minorEastAsia"/>
          <w:sz w:val="24"/>
        </w:rPr>
        <w:t>-</w:t>
      </w:r>
      <w:r>
        <w:rPr>
          <w:rFonts w:eastAsiaTheme="minorEastAsia"/>
          <w:i/>
          <w:sz w:val="24"/>
        </w:rPr>
        <w:t>A</w:t>
      </w:r>
      <w:r>
        <w:rPr>
          <w:rFonts w:eastAsiaTheme="minorEastAsia"/>
          <w:sz w:val="24"/>
          <w:vertAlign w:val="subscript"/>
        </w:rPr>
        <w:t>0</w:t>
      </w:r>
      <w:r>
        <w:rPr>
          <w:rFonts w:eastAsiaTheme="minorEastAsia"/>
          <w:sz w:val="24"/>
        </w:rPr>
        <w:t xml:space="preserve">  </w:t>
      </w:r>
      <w:r>
        <w:rPr>
          <w:rFonts w:eastAsiaTheme="minorEastAsia"/>
          <w:sz w:val="24"/>
        </w:rPr>
        <w:tab/>
      </w:r>
      <w:r>
        <w:rPr>
          <w:rFonts w:eastAsiaTheme="minorEastAsia"/>
          <w:sz w:val="24"/>
        </w:rPr>
        <w:t xml:space="preserve">                     （2）</w:t>
      </w:r>
    </w:p>
    <w:p>
      <w:pPr>
        <w:spacing w:line="360" w:lineRule="auto"/>
        <w:rPr>
          <w:rFonts w:eastAsiaTheme="minorEastAsia"/>
          <w:sz w:val="24"/>
        </w:rPr>
      </w:pPr>
      <w:r>
        <w:rPr>
          <w:rFonts w:eastAsiaTheme="minorEastAsia"/>
          <w:sz w:val="24"/>
        </w:rPr>
        <w:t xml:space="preserve">式中： </w:t>
      </w:r>
    </w:p>
    <w:p>
      <w:pPr>
        <w:spacing w:line="360" w:lineRule="auto"/>
        <w:rPr>
          <w:rFonts w:eastAsiaTheme="minorEastAsia"/>
          <w:sz w:val="24"/>
        </w:rPr>
      </w:pPr>
      <w:r>
        <w:rPr>
          <w:rFonts w:eastAsiaTheme="minorEastAsia"/>
          <w:i/>
          <w:iCs/>
          <w:sz w:val="24"/>
        </w:rPr>
        <w:t>L</w:t>
      </w:r>
      <w:r>
        <w:rPr>
          <w:rFonts w:eastAsiaTheme="minorEastAsia"/>
          <w:sz w:val="24"/>
        </w:rPr>
        <w:t>——被测尺寸，mm ；</w:t>
      </w:r>
    </w:p>
    <w:p>
      <w:pPr>
        <w:spacing w:line="360" w:lineRule="auto"/>
        <w:rPr>
          <w:rFonts w:eastAsiaTheme="minorEastAsia"/>
          <w:sz w:val="24"/>
        </w:rPr>
      </w:pPr>
      <w:r>
        <w:rPr>
          <w:rFonts w:eastAsiaTheme="minorEastAsia"/>
          <w:i/>
          <w:iCs/>
          <w:sz w:val="24"/>
        </w:rPr>
        <w:t>A</w:t>
      </w:r>
      <w:r>
        <w:rPr>
          <w:rFonts w:eastAsiaTheme="minorEastAsia"/>
          <w:sz w:val="24"/>
        </w:rPr>
        <w:t>——第二个位置（终点）坐标值，mm；</w:t>
      </w:r>
    </w:p>
    <w:p>
      <w:pPr>
        <w:spacing w:line="360" w:lineRule="auto"/>
        <w:rPr>
          <w:rFonts w:eastAsiaTheme="minorEastAsia"/>
          <w:sz w:val="24"/>
        </w:rPr>
      </w:pPr>
      <w:r>
        <w:rPr>
          <w:rFonts w:eastAsiaTheme="minorEastAsia"/>
          <w:i/>
          <w:iCs/>
          <w:sz w:val="24"/>
        </w:rPr>
        <w:t>A</w:t>
      </w:r>
      <w:r>
        <w:rPr>
          <w:rFonts w:eastAsiaTheme="minorEastAsia"/>
          <w:sz w:val="24"/>
          <w:vertAlign w:val="subscript"/>
        </w:rPr>
        <w:t>0</w:t>
      </w:r>
      <w:r>
        <w:rPr>
          <w:rFonts w:eastAsiaTheme="minorEastAsia"/>
          <w:sz w:val="24"/>
        </w:rPr>
        <w:t>——第一个位置（起点）坐标值，mm。</w:t>
      </w:r>
    </w:p>
    <w:p>
      <w:pPr>
        <w:spacing w:line="360" w:lineRule="auto"/>
        <w:rPr>
          <w:rFonts w:eastAsiaTheme="minorEastAsia"/>
          <w:sz w:val="24"/>
        </w:rPr>
      </w:pPr>
      <w:r>
        <w:rPr>
          <w:rFonts w:eastAsiaTheme="minorEastAsia"/>
          <w:sz w:val="24"/>
        </w:rPr>
        <w:t>6.2.1.2用游标类量具或千分尺测量</w:t>
      </w:r>
    </w:p>
    <w:p>
      <w:pPr>
        <w:spacing w:line="360" w:lineRule="auto"/>
        <w:ind w:firstLine="480" w:firstLineChars="200"/>
        <w:rPr>
          <w:rFonts w:eastAsiaTheme="minorEastAsia"/>
          <w:sz w:val="24"/>
        </w:rPr>
      </w:pPr>
      <w:r>
        <w:rPr>
          <w:rFonts w:eastAsiaTheme="minorEastAsia"/>
          <w:sz w:val="24"/>
        </w:rPr>
        <w:t>长度和厚度尺寸可选用相应分度值的游标类量具或千分尺直接测量；所选用量具的最大允许误差应不超过被测尺寸公差的1/3。</w:t>
      </w:r>
    </w:p>
    <w:p>
      <w:pPr>
        <w:spacing w:line="360" w:lineRule="auto"/>
        <w:rPr>
          <w:rFonts w:eastAsiaTheme="minorEastAsia"/>
          <w:sz w:val="24"/>
        </w:rPr>
      </w:pPr>
      <w:r>
        <w:rPr>
          <w:rFonts w:eastAsiaTheme="minorEastAsia"/>
          <w:sz w:val="24"/>
        </w:rPr>
        <w:t>6.2.1.3用万能工具显微镜或影像测量仪测量</w:t>
      </w:r>
    </w:p>
    <w:p>
      <w:pPr>
        <w:spacing w:line="360" w:lineRule="auto"/>
        <w:ind w:firstLine="480" w:firstLineChars="200"/>
        <w:rPr>
          <w:rFonts w:eastAsiaTheme="minorEastAsia"/>
          <w:sz w:val="24"/>
        </w:rPr>
      </w:pPr>
      <w:r>
        <w:rPr>
          <w:rFonts w:eastAsiaTheme="minorEastAsia"/>
          <w:sz w:val="24"/>
        </w:rPr>
        <w:t>测量时调整仪器，使试块边缘清晰地出现在仪器视场内，按仪器操作方法进行测量，测量时要注意避让试块被测几何体的边缘倒角和毛刺等影响测量结果的因素。用影像仪测量时，优先使用仪器自动寻边的方式瞄准和选点。数据处理按式（2）计算。</w:t>
      </w:r>
    </w:p>
    <w:p>
      <w:pPr>
        <w:spacing w:line="360" w:lineRule="auto"/>
        <w:rPr>
          <w:rFonts w:eastAsiaTheme="minorEastAsia"/>
          <w:sz w:val="24"/>
        </w:rPr>
      </w:pPr>
      <w:r>
        <w:rPr>
          <w:rFonts w:eastAsiaTheme="minorEastAsia"/>
          <w:sz w:val="24"/>
        </w:rPr>
        <w:t>6.2.2孔、槽尺寸</w:t>
      </w:r>
    </w:p>
    <w:p>
      <w:pPr>
        <w:spacing w:line="360" w:lineRule="auto"/>
        <w:ind w:firstLine="480" w:firstLineChars="200"/>
        <w:rPr>
          <w:rFonts w:eastAsiaTheme="minorEastAsia"/>
          <w:sz w:val="24"/>
        </w:rPr>
      </w:pPr>
      <w:r>
        <w:rPr>
          <w:rFonts w:eastAsiaTheme="minorEastAsia"/>
          <w:sz w:val="24"/>
        </w:rPr>
        <w:t>优先选择6.2.1条方法对孔和槽的尺寸进行测量。对于有封口的孔、槽，经委托方同意后方可去掉封口对其进行测量。</w:t>
      </w:r>
    </w:p>
    <w:p>
      <w:pPr>
        <w:spacing w:line="360" w:lineRule="auto"/>
        <w:rPr>
          <w:rFonts w:eastAsiaTheme="minorEastAsia"/>
          <w:sz w:val="24"/>
        </w:rPr>
      </w:pPr>
      <w:r>
        <w:rPr>
          <w:rFonts w:eastAsiaTheme="minorEastAsia"/>
          <w:sz w:val="24"/>
        </w:rPr>
        <w:t>6.2.2.1用内径表测量孔径</w:t>
      </w:r>
    </w:p>
    <w:p>
      <w:pPr>
        <w:spacing w:line="360" w:lineRule="auto"/>
        <w:ind w:firstLine="480" w:firstLineChars="200"/>
        <w:rPr>
          <w:rFonts w:hint="eastAsia" w:eastAsiaTheme="minorEastAsia"/>
          <w:color w:val="FF0000"/>
          <w:sz w:val="24"/>
        </w:rPr>
      </w:pPr>
      <w:r>
        <w:rPr>
          <w:rFonts w:eastAsiaTheme="minorEastAsia"/>
          <w:sz w:val="24"/>
        </w:rPr>
        <w:t>对于2mm以上的孔直径可选择合适量程的内径表进行测量。首先用内径表的校对环规调整好内径表</w:t>
      </w:r>
      <w:r>
        <w:rPr>
          <w:rFonts w:eastAsiaTheme="minorEastAsia"/>
          <w:color w:val="auto"/>
          <w:sz w:val="24"/>
        </w:rPr>
        <w:t>的初始值，然后直接用内径表测量孔直径，读数值即为孔直径</w:t>
      </w:r>
      <w:r>
        <w:rPr>
          <w:rFonts w:hint="eastAsia" w:eastAsiaTheme="minorEastAsia"/>
          <w:color w:val="auto"/>
          <w:sz w:val="24"/>
        </w:rPr>
        <w:t>，</w:t>
      </w:r>
      <w:r>
        <w:rPr>
          <w:rFonts w:hint="eastAsia"/>
          <w:color w:val="auto"/>
          <w:kern w:val="0"/>
          <w:sz w:val="24"/>
        </w:rPr>
        <w:t>以第一次测量位置为起始位置，将试块沿被测孔轴线方向旋转120°、240°后再次测量，取三次测量平均值作为最终测得值。</w:t>
      </w:r>
    </w:p>
    <w:p>
      <w:pPr>
        <w:spacing w:line="360" w:lineRule="auto"/>
        <w:rPr>
          <w:rFonts w:eastAsiaTheme="minorEastAsia"/>
          <w:sz w:val="24"/>
        </w:rPr>
      </w:pPr>
      <w:r>
        <w:rPr>
          <w:rFonts w:eastAsiaTheme="minorEastAsia"/>
          <w:sz w:val="24"/>
        </w:rPr>
        <w:t>6.2.2.2试塞法</w:t>
      </w:r>
    </w:p>
    <w:p>
      <w:pPr>
        <w:spacing w:line="360" w:lineRule="auto"/>
        <w:ind w:firstLine="480" w:firstLineChars="200"/>
        <w:rPr>
          <w:rFonts w:eastAsiaTheme="minorEastAsia"/>
          <w:sz w:val="24"/>
        </w:rPr>
      </w:pPr>
      <w:r>
        <w:rPr>
          <w:rFonts w:eastAsiaTheme="minorEastAsia"/>
          <w:sz w:val="24"/>
        </w:rPr>
        <w:t>对于2mm以下的孔直径可用尺寸间隔为0.01mm的针规试塞测量；小于1mm的槽宽度可用塞尺试塞测量。测量时根据孔直径（或槽宽度）的标称值选择合适直径的针规（或塞尺）试塞，以刚刚能塞入孔（或槽）内的针规（或塞尺）的标称尺寸作为被测尺寸。</w:t>
      </w:r>
    </w:p>
    <w:p>
      <w:pPr>
        <w:spacing w:line="360" w:lineRule="auto"/>
        <w:rPr>
          <w:rFonts w:eastAsiaTheme="minorEastAsia"/>
          <w:sz w:val="24"/>
        </w:rPr>
      </w:pPr>
      <w:r>
        <w:rPr>
          <w:rFonts w:eastAsiaTheme="minorEastAsia"/>
          <w:sz w:val="24"/>
        </w:rPr>
        <w:t>6.2.2.3倒模法</w:t>
      </w:r>
    </w:p>
    <w:p>
      <w:pPr>
        <w:spacing w:line="360" w:lineRule="auto"/>
        <w:ind w:firstLine="480" w:firstLineChars="200"/>
        <w:rPr>
          <w:rFonts w:eastAsiaTheme="minorEastAsia"/>
          <w:sz w:val="24"/>
        </w:rPr>
      </w:pPr>
      <w:r>
        <w:rPr>
          <w:rFonts w:eastAsiaTheme="minorEastAsia"/>
          <w:sz w:val="24"/>
        </w:rPr>
        <w:t>根据孔径选择适当大小的医用针头和注射器，首先用无油、无腐蚀性的溶剂（如无水乙醇或丙酮）清洗平底孔，然后用过滤干燥的空气吹干；将配置复制品用的有机硅凝胶混合液注入孔中（从孔底开始，逐渐填充至外面，确保没有气泡产生）；同时孔中插入一根金属丝以便于拔出复制品；待混合液固化后，用金属丝将复制品慢慢取出即可。复制品反映了平底孔的特征，使用影像测量仪测量出塑性复制品的几何尺寸及形状误差。</w:t>
      </w:r>
    </w:p>
    <w:p>
      <w:pPr>
        <w:spacing w:line="360" w:lineRule="auto"/>
        <w:rPr>
          <w:rFonts w:eastAsiaTheme="minorEastAsia"/>
          <w:sz w:val="24"/>
        </w:rPr>
      </w:pPr>
      <w:r>
        <w:rPr>
          <w:rFonts w:eastAsiaTheme="minorEastAsia"/>
          <w:sz w:val="24"/>
        </w:rPr>
        <w:t>6.2.2.4用深度指示表测量深度尺寸</w:t>
      </w:r>
    </w:p>
    <w:p>
      <w:pPr>
        <w:spacing w:line="360" w:lineRule="auto"/>
        <w:ind w:firstLine="480" w:firstLineChars="200"/>
        <w:rPr>
          <w:rFonts w:eastAsiaTheme="minorEastAsia"/>
          <w:sz w:val="24"/>
        </w:rPr>
      </w:pPr>
      <w:r>
        <w:rPr>
          <w:rFonts w:eastAsiaTheme="minorEastAsia"/>
          <w:sz w:val="24"/>
        </w:rPr>
        <w:t>根据被测孔、槽等深度尺寸选取合适的深度指示表。如果指示表的测头尺寸过大，可换上合适尺寸的探针。测量时，将深度指示表的基座放在试块基面上，调整指示表的测量端于孔（或槽）的顶部并记下指示表初始值。在试块基面上移动深度指示表的基座，慢慢使指示表的测头插入到孔（或槽）的底部，此时指示表的读数与初始值之差的绝对值即为该孔（或槽）的深度尺寸。</w:t>
      </w:r>
    </w:p>
    <w:p>
      <w:pPr>
        <w:spacing w:line="360" w:lineRule="auto"/>
        <w:rPr>
          <w:rFonts w:eastAsiaTheme="minorEastAsia"/>
          <w:sz w:val="24"/>
        </w:rPr>
      </w:pPr>
      <w:r>
        <w:rPr>
          <w:rFonts w:eastAsiaTheme="minorEastAsia"/>
          <w:sz w:val="24"/>
        </w:rPr>
        <w:t>6.2.3试块相关角度测量</w:t>
      </w:r>
    </w:p>
    <w:p>
      <w:pPr>
        <w:spacing w:line="360" w:lineRule="auto"/>
        <w:ind w:firstLine="480" w:firstLineChars="200"/>
        <w:rPr>
          <w:rFonts w:eastAsiaTheme="minorEastAsia"/>
          <w:sz w:val="24"/>
        </w:rPr>
      </w:pPr>
      <w:r>
        <w:rPr>
          <w:rFonts w:eastAsiaTheme="minorEastAsia"/>
          <w:sz w:val="24"/>
        </w:rPr>
        <w:t>使用万能工具显微镜测量，测量前清洁测量面，测量时保证试块水平放置。</w:t>
      </w:r>
    </w:p>
    <w:p>
      <w:pPr>
        <w:pStyle w:val="3"/>
        <w:spacing w:before="0" w:after="0" w:line="415" w:lineRule="auto"/>
        <w:rPr>
          <w:rFonts w:ascii="Times New Roman" w:hAnsi="Times New Roman"/>
        </w:rPr>
      </w:pPr>
      <w:bookmarkStart w:id="88" w:name="_Toc30193"/>
      <w:r>
        <w:rPr>
          <w:rFonts w:ascii="Times New Roman" w:hAnsi="Times New Roman"/>
        </w:rPr>
        <w:t>6.3平面度</w:t>
      </w:r>
      <w:bookmarkEnd w:id="88"/>
    </w:p>
    <w:p>
      <w:pPr>
        <w:spacing w:line="360" w:lineRule="auto"/>
        <w:ind w:firstLine="480" w:firstLineChars="200"/>
        <w:rPr>
          <w:rFonts w:eastAsiaTheme="minorEastAsia"/>
          <w:sz w:val="24"/>
        </w:rPr>
      </w:pPr>
      <w:r>
        <w:rPr>
          <w:rFonts w:eastAsiaTheme="minorEastAsia"/>
          <w:sz w:val="24"/>
        </w:rPr>
        <w:t>平底孔的平面度按6.2.2.3</w:t>
      </w:r>
      <w:r>
        <w:rPr>
          <w:rFonts w:hint="eastAsia" w:eastAsiaTheme="minorEastAsia"/>
          <w:sz w:val="24"/>
        </w:rPr>
        <w:t>要求</w:t>
      </w:r>
      <w:r>
        <w:rPr>
          <w:rFonts w:eastAsiaTheme="minorEastAsia"/>
          <w:sz w:val="24"/>
        </w:rPr>
        <w:t>配合刀口形直尺进行测量。</w:t>
      </w:r>
    </w:p>
    <w:p>
      <w:pPr>
        <w:pStyle w:val="3"/>
        <w:spacing w:before="0" w:after="0" w:line="415" w:lineRule="auto"/>
        <w:rPr>
          <w:rFonts w:ascii="Times New Roman" w:hAnsi="Times New Roman"/>
        </w:rPr>
      </w:pPr>
      <w:bookmarkStart w:id="89" w:name="_Toc16706"/>
      <w:r>
        <w:rPr>
          <w:rFonts w:ascii="Times New Roman" w:hAnsi="Times New Roman"/>
        </w:rPr>
        <w:t>6.4 平行度、垂直度</w:t>
      </w:r>
      <w:bookmarkEnd w:id="89"/>
    </w:p>
    <w:p>
      <w:pPr>
        <w:spacing w:line="360" w:lineRule="auto"/>
        <w:ind w:firstLine="480" w:firstLineChars="200"/>
        <w:rPr>
          <w:rFonts w:eastAsiaTheme="minorEastAsia"/>
          <w:sz w:val="24"/>
        </w:rPr>
      </w:pPr>
      <w:r>
        <w:rPr>
          <w:rFonts w:eastAsiaTheme="minorEastAsia"/>
          <w:sz w:val="24"/>
        </w:rPr>
        <w:t>在用三坐标测量机测量试块外形尺寸的同时，可以通过三坐标测量软件一并评定出试块上对应面、线的相互位置误差。</w:t>
      </w:r>
    </w:p>
    <w:p>
      <w:pPr>
        <w:spacing w:line="360" w:lineRule="auto"/>
        <w:ind w:firstLine="480" w:firstLineChars="200"/>
        <w:rPr>
          <w:rFonts w:eastAsiaTheme="minorEastAsia"/>
          <w:sz w:val="24"/>
        </w:rPr>
      </w:pPr>
      <w:r>
        <w:rPr>
          <w:rFonts w:eastAsiaTheme="minorEastAsia"/>
          <w:sz w:val="24"/>
        </w:rPr>
        <w:t>试块的平行度可在平板上用打表法测量，垂直度可在平板上用直角尺比较测量。也可以选择其他计量器具进行测量，只要满足测量不确定度要求即可。测量应符合GB/T 1958规定的检测原则、评定方法和检测方案。</w:t>
      </w:r>
    </w:p>
    <w:p>
      <w:pPr>
        <w:pStyle w:val="3"/>
        <w:spacing w:before="0" w:after="0" w:line="415" w:lineRule="auto"/>
        <w:rPr>
          <w:rFonts w:ascii="Times New Roman" w:hAnsi="Times New Roman"/>
        </w:rPr>
      </w:pPr>
      <w:bookmarkStart w:id="90" w:name="_Toc8817"/>
      <w:r>
        <w:rPr>
          <w:rFonts w:ascii="Times New Roman" w:hAnsi="Times New Roman"/>
        </w:rPr>
        <w:t>6.5 声速误差</w:t>
      </w:r>
      <w:bookmarkEnd w:id="90"/>
    </w:p>
    <w:p>
      <w:pPr>
        <w:spacing w:line="360" w:lineRule="auto"/>
        <w:ind w:firstLine="480" w:firstLineChars="200"/>
        <w:jc w:val="left"/>
        <w:rPr>
          <w:rFonts w:eastAsiaTheme="minorEastAsia"/>
          <w:sz w:val="24"/>
        </w:rPr>
      </w:pPr>
      <w:r>
        <w:rPr>
          <w:rFonts w:eastAsiaTheme="minorEastAsia"/>
          <w:sz w:val="24"/>
        </w:rPr>
        <w:t>对于校准试块，声速误差表达式见式（3）</w:t>
      </w:r>
      <w:r>
        <w:rPr>
          <w:rFonts w:hint="eastAsia" w:eastAsiaTheme="minorEastAsia"/>
          <w:sz w:val="24"/>
        </w:rPr>
        <w:t>。</w:t>
      </w:r>
    </w:p>
    <w:p>
      <w:pPr>
        <w:spacing w:line="360" w:lineRule="auto"/>
        <w:ind w:firstLine="4080" w:firstLineChars="1700"/>
        <w:rPr>
          <w:sz w:val="24"/>
        </w:rPr>
      </w:pPr>
      <m:oMath>
        <m:r>
          <m:rPr/>
          <w:rPr>
            <w:rFonts w:ascii="Cambria Math" w:hAnsi="Cambria Math"/>
            <w:sz w:val="24"/>
          </w:rPr>
          <m:t>∆V=</m:t>
        </m:r>
        <m:sSub>
          <m:sSubPr>
            <m:ctrlPr>
              <w:rPr>
                <w:rFonts w:ascii="Cambria Math" w:hAnsi="Cambria Math"/>
                <w:i/>
                <w:iCs/>
                <w:sz w:val="24"/>
              </w:rPr>
            </m:ctrlPr>
          </m:sSubPr>
          <m:e>
            <m:r>
              <m:rPr/>
              <w:rPr>
                <w:rFonts w:ascii="Cambria Math" w:hAnsi="Cambria Math"/>
                <w:sz w:val="24"/>
              </w:rPr>
              <m:t>V</m:t>
            </m:r>
            <m:ctrlPr>
              <w:rPr>
                <w:rFonts w:ascii="Cambria Math" w:hAnsi="Cambria Math"/>
                <w:i/>
                <w:iCs/>
                <w:sz w:val="24"/>
              </w:rPr>
            </m:ctrlPr>
          </m:e>
          <m:sub>
            <m:r>
              <m:rPr/>
              <w:rPr>
                <w:rFonts w:ascii="Cambria Math" w:hAnsi="Cambria Math"/>
                <w:sz w:val="24"/>
              </w:rPr>
              <m:t>Xj</m:t>
            </m:r>
            <m:ctrlPr>
              <w:rPr>
                <w:rFonts w:ascii="Cambria Math" w:hAnsi="Cambria Math"/>
                <w:i/>
                <w:iCs/>
                <w:sz w:val="24"/>
              </w:rPr>
            </m:ctrlPr>
          </m:sub>
        </m:sSub>
        <m:r>
          <m:rPr/>
          <w:rPr>
            <w:rFonts w:ascii="Cambria Math" w:hAnsi="Cambria Math"/>
            <w:sz w:val="24"/>
          </w:rPr>
          <m:t>−</m:t>
        </m:r>
        <m:sSub>
          <m:sSubPr>
            <m:ctrlPr>
              <w:rPr>
                <w:rFonts w:ascii="Cambria Math" w:hAnsi="Cambria Math"/>
                <w:i/>
                <w:iCs/>
                <w:sz w:val="24"/>
              </w:rPr>
            </m:ctrlPr>
          </m:sSubPr>
          <m:e>
            <m:r>
              <m:rPr/>
              <w:rPr>
                <w:rFonts w:ascii="Cambria Math" w:hAnsi="Cambria Math"/>
                <w:sz w:val="24"/>
              </w:rPr>
              <m:t>V</m:t>
            </m:r>
            <m:ctrlPr>
              <w:rPr>
                <w:rFonts w:ascii="Cambria Math" w:hAnsi="Cambria Math"/>
                <w:i/>
                <w:iCs/>
                <w:sz w:val="24"/>
              </w:rPr>
            </m:ctrlPr>
          </m:e>
          <m:sub>
            <m:r>
              <m:rPr/>
              <w:rPr>
                <w:rFonts w:ascii="Cambria Math" w:hAnsi="Cambria Math"/>
                <w:sz w:val="24"/>
              </w:rPr>
              <m:t>N</m:t>
            </m:r>
            <m:ctrlPr>
              <w:rPr>
                <w:rFonts w:ascii="Cambria Math" w:hAnsi="Cambria Math"/>
                <w:i/>
                <w:iCs/>
                <w:sz w:val="24"/>
              </w:rPr>
            </m:ctrlPr>
          </m:sub>
        </m:sSub>
      </m:oMath>
      <w:r>
        <w:rPr>
          <w:sz w:val="24"/>
        </w:rPr>
        <w:t xml:space="preserve">                （3）</w:t>
      </w:r>
    </w:p>
    <w:p>
      <w:pPr>
        <w:spacing w:line="360" w:lineRule="auto"/>
        <w:rPr>
          <w:rFonts w:eastAsiaTheme="minorEastAsia"/>
          <w:sz w:val="24"/>
        </w:rPr>
      </w:pPr>
      <w:r>
        <w:rPr>
          <w:rFonts w:eastAsiaTheme="minorEastAsia"/>
          <w:sz w:val="24"/>
        </w:rPr>
        <w:t>式中：</w:t>
      </w:r>
    </w:p>
    <w:p>
      <w:pPr>
        <w:spacing w:line="360" w:lineRule="auto"/>
        <w:ind w:firstLine="480" w:firstLineChars="200"/>
        <w:jc w:val="left"/>
        <w:rPr>
          <w:sz w:val="24"/>
        </w:rPr>
      </w:pPr>
      <m:oMath>
        <m:r>
          <m:rPr>
            <m:sty m:val="p"/>
          </m:rPr>
          <w:rPr>
            <w:rFonts w:ascii="Cambria Math" w:hAnsi="Cambria Math"/>
            <w:sz w:val="24"/>
          </w:rPr>
          <m:t>∆V</m:t>
        </m:r>
      </m:oMath>
      <w:r>
        <w:rPr>
          <w:sz w:val="24"/>
        </w:rPr>
        <w:t>——声速误差</w:t>
      </w:r>
      <w:r>
        <w:rPr>
          <w:rFonts w:hint="eastAsia"/>
          <w:sz w:val="24"/>
        </w:rPr>
        <w:t>,m/s</w:t>
      </w:r>
      <w:r>
        <w:rPr>
          <w:sz w:val="24"/>
        </w:rPr>
        <w:t>；</w:t>
      </w:r>
    </w:p>
    <w:p>
      <w:pPr>
        <w:spacing w:line="360" w:lineRule="auto"/>
        <w:ind w:firstLine="480" w:firstLineChars="200"/>
        <w:jc w:val="left"/>
        <w:rPr>
          <w:sz w:val="24"/>
        </w:rPr>
      </w:pPr>
      <m:oMath>
        <m:sSub>
          <m:sSubPr>
            <m:ctrlPr>
              <w:rPr>
                <w:rFonts w:ascii="Cambria Math" w:hAnsi="Cambria Math"/>
                <w:sz w:val="24"/>
              </w:rPr>
            </m:ctrlPr>
          </m:sSubPr>
          <m:e>
            <m:r>
              <m:rPr>
                <m:sty m:val="p"/>
              </m:rPr>
              <w:rPr>
                <w:rFonts w:ascii="Cambria Math" w:hAnsi="Cambria Math"/>
                <w:sz w:val="24"/>
              </w:rPr>
              <m:t>V</m:t>
            </m:r>
            <m:ctrlPr>
              <w:rPr>
                <w:rFonts w:ascii="Cambria Math" w:hAnsi="Cambria Math"/>
                <w:sz w:val="24"/>
              </w:rPr>
            </m:ctrlPr>
          </m:e>
          <m:sub>
            <m:r>
              <m:rPr>
                <m:sty m:val="p"/>
              </m:rPr>
              <w:rPr>
                <w:rFonts w:ascii="Cambria Math" w:hAnsi="Cambria Math"/>
                <w:sz w:val="24"/>
              </w:rPr>
              <m:t>Xj</m:t>
            </m:r>
            <m:ctrlPr>
              <w:rPr>
                <w:rFonts w:ascii="Cambria Math" w:hAnsi="Cambria Math"/>
                <w:sz w:val="24"/>
              </w:rPr>
            </m:ctrlPr>
          </m:sub>
        </m:sSub>
      </m:oMath>
      <w:r>
        <w:rPr>
          <w:sz w:val="24"/>
        </w:rPr>
        <w:t>——校准试块声速标称值</w:t>
      </w:r>
      <w:r>
        <w:rPr>
          <w:rFonts w:hint="eastAsia"/>
          <w:sz w:val="24"/>
        </w:rPr>
        <w:t>,m/s</w:t>
      </w:r>
      <w:r>
        <w:rPr>
          <w:sz w:val="24"/>
        </w:rPr>
        <w:t>；</w:t>
      </w:r>
    </w:p>
    <w:p>
      <w:pPr>
        <w:spacing w:line="360" w:lineRule="auto"/>
        <w:ind w:firstLine="480" w:firstLineChars="200"/>
        <w:jc w:val="left"/>
        <w:rPr>
          <w:sz w:val="24"/>
        </w:rPr>
      </w:pPr>
      <m:oMath>
        <m:sSub>
          <m:sSubPr>
            <m:ctrlPr>
              <w:rPr>
                <w:rFonts w:ascii="Cambria Math" w:hAnsi="Cambria Math"/>
                <w:sz w:val="24"/>
              </w:rPr>
            </m:ctrlPr>
          </m:sSubPr>
          <m:e>
            <m:r>
              <m:rPr>
                <m:sty m:val="p"/>
              </m:rPr>
              <w:rPr>
                <w:rFonts w:ascii="Cambria Math" w:hAnsi="Cambria Math"/>
                <w:sz w:val="24"/>
              </w:rPr>
              <m:t>V</m:t>
            </m:r>
            <m:ctrlPr>
              <w:rPr>
                <w:rFonts w:ascii="Cambria Math" w:hAnsi="Cambria Math"/>
                <w:sz w:val="24"/>
              </w:rPr>
            </m:ctrlPr>
          </m:e>
          <m:sub>
            <m:r>
              <m:rPr>
                <m:sty m:val="p"/>
              </m:rPr>
              <w:rPr>
                <w:rFonts w:ascii="Cambria Math" w:hAnsi="Cambria Math"/>
                <w:sz w:val="24"/>
              </w:rPr>
              <m:t>N</m:t>
            </m:r>
            <m:ctrlPr>
              <w:rPr>
                <w:rFonts w:ascii="Cambria Math" w:hAnsi="Cambria Math"/>
                <w:sz w:val="24"/>
              </w:rPr>
            </m:ctrlPr>
          </m:sub>
        </m:sSub>
      </m:oMath>
      <w:r>
        <w:rPr>
          <w:sz w:val="24"/>
        </w:rPr>
        <w:t>——校准试块声速测得值</w:t>
      </w:r>
      <w:r>
        <w:rPr>
          <w:rFonts w:hint="eastAsia"/>
          <w:sz w:val="24"/>
        </w:rPr>
        <w:t>,,m/s</w:t>
      </w:r>
      <w:r>
        <w:rPr>
          <w:sz w:val="24"/>
        </w:rPr>
        <w:t>；</w:t>
      </w:r>
    </w:p>
    <w:p>
      <w:pPr>
        <w:spacing w:line="360" w:lineRule="auto"/>
        <w:ind w:firstLine="480" w:firstLineChars="200"/>
        <w:jc w:val="left"/>
        <w:rPr>
          <w:sz w:val="24"/>
        </w:rPr>
      </w:pPr>
      <w:r>
        <w:rPr>
          <w:sz w:val="24"/>
        </w:rPr>
        <w:t>对于参考试块，声速误差表达式见式（4）</w:t>
      </w:r>
    </w:p>
    <w:p>
      <w:pPr>
        <w:spacing w:line="360" w:lineRule="auto"/>
        <w:ind w:firstLine="4080" w:firstLineChars="1700"/>
        <w:rPr>
          <w:sz w:val="24"/>
        </w:rPr>
      </w:pPr>
      <m:oMath>
        <m:r>
          <m:rPr/>
          <w:rPr>
            <w:rFonts w:ascii="Cambria Math" w:hAnsi="Cambria Math"/>
            <w:sz w:val="24"/>
          </w:rPr>
          <m:t>∆V=</m:t>
        </m:r>
        <m:sSub>
          <m:sSubPr>
            <m:ctrlPr>
              <w:rPr>
                <w:rFonts w:ascii="Cambria Math" w:hAnsi="Cambria Math"/>
                <w:i/>
                <w:iCs/>
                <w:sz w:val="24"/>
              </w:rPr>
            </m:ctrlPr>
          </m:sSubPr>
          <m:e>
            <m:r>
              <m:rPr/>
              <w:rPr>
                <w:rFonts w:ascii="Cambria Math" w:hAnsi="Cambria Math"/>
                <w:sz w:val="24"/>
              </w:rPr>
              <m:t>V</m:t>
            </m:r>
            <m:ctrlPr>
              <w:rPr>
                <w:rFonts w:ascii="Cambria Math" w:hAnsi="Cambria Math"/>
                <w:i/>
                <w:iCs/>
                <w:sz w:val="24"/>
              </w:rPr>
            </m:ctrlPr>
          </m:e>
          <m:sub>
            <m:r>
              <m:rPr/>
              <w:rPr>
                <w:rFonts w:ascii="Cambria Math" w:hAnsi="Cambria Math"/>
                <w:sz w:val="24"/>
              </w:rPr>
              <m:t>Xc</m:t>
            </m:r>
            <m:ctrlPr>
              <w:rPr>
                <w:rFonts w:ascii="Cambria Math" w:hAnsi="Cambria Math"/>
                <w:i/>
                <w:iCs/>
                <w:sz w:val="24"/>
              </w:rPr>
            </m:ctrlPr>
          </m:sub>
        </m:sSub>
        <m:r>
          <m:rPr/>
          <w:rPr>
            <w:rFonts w:ascii="Cambria Math" w:hAnsi="Cambria Math"/>
            <w:sz w:val="24"/>
          </w:rPr>
          <m:t>−</m:t>
        </m:r>
        <m:sSub>
          <m:sSubPr>
            <m:ctrlPr>
              <w:rPr>
                <w:rFonts w:ascii="Cambria Math" w:hAnsi="Cambria Math"/>
                <w:i/>
                <w:iCs/>
                <w:sz w:val="24"/>
              </w:rPr>
            </m:ctrlPr>
          </m:sSubPr>
          <m:e>
            <m:r>
              <m:rPr/>
              <w:rPr>
                <w:rFonts w:ascii="Cambria Math" w:hAnsi="Cambria Math"/>
                <w:sz w:val="24"/>
              </w:rPr>
              <m:t>V</m:t>
            </m:r>
            <m:ctrlPr>
              <w:rPr>
                <w:rFonts w:ascii="Cambria Math" w:hAnsi="Cambria Math"/>
                <w:i/>
                <w:iCs/>
                <w:sz w:val="24"/>
              </w:rPr>
            </m:ctrlPr>
          </m:e>
          <m:sub>
            <m:r>
              <m:rPr/>
              <w:rPr>
                <w:rFonts w:ascii="Cambria Math" w:hAnsi="Cambria Math"/>
                <w:sz w:val="24"/>
              </w:rPr>
              <m:t>N</m:t>
            </m:r>
            <m:ctrlPr>
              <w:rPr>
                <w:rFonts w:ascii="Cambria Math" w:hAnsi="Cambria Math"/>
                <w:i/>
                <w:iCs/>
                <w:sz w:val="24"/>
              </w:rPr>
            </m:ctrlPr>
          </m:sub>
        </m:sSub>
      </m:oMath>
      <w:r>
        <w:rPr>
          <w:sz w:val="24"/>
        </w:rPr>
        <w:t xml:space="preserve">                （4）</w:t>
      </w:r>
    </w:p>
    <w:p>
      <w:pPr>
        <w:spacing w:line="360" w:lineRule="auto"/>
        <w:jc w:val="left"/>
        <w:rPr>
          <w:rFonts w:eastAsiaTheme="minorEastAsia"/>
          <w:sz w:val="24"/>
        </w:rPr>
      </w:pPr>
      <w:r>
        <w:rPr>
          <w:rFonts w:eastAsiaTheme="minorEastAsia"/>
          <w:sz w:val="24"/>
        </w:rPr>
        <w:t>式中：</w:t>
      </w:r>
    </w:p>
    <w:p>
      <w:pPr>
        <w:spacing w:line="360" w:lineRule="auto"/>
        <w:ind w:firstLine="480" w:firstLineChars="200"/>
        <w:jc w:val="left"/>
        <w:rPr>
          <w:sz w:val="24"/>
        </w:rPr>
      </w:pPr>
      <m:oMath>
        <m:r>
          <m:rPr>
            <m:sty m:val="p"/>
          </m:rPr>
          <w:rPr>
            <w:rFonts w:ascii="Cambria Math" w:hAnsi="Cambria Math"/>
            <w:sz w:val="24"/>
          </w:rPr>
          <m:t>∆V</m:t>
        </m:r>
      </m:oMath>
      <w:r>
        <w:rPr>
          <w:sz w:val="24"/>
        </w:rPr>
        <w:t>——声速误差；</w:t>
      </w:r>
    </w:p>
    <w:p>
      <w:pPr>
        <w:spacing w:line="360" w:lineRule="auto"/>
        <w:ind w:firstLine="480" w:firstLineChars="200"/>
        <w:jc w:val="left"/>
        <w:rPr>
          <w:sz w:val="24"/>
        </w:rPr>
      </w:pPr>
      <m:oMath>
        <m:sSub>
          <m:sSubPr>
            <m:ctrlPr>
              <w:rPr>
                <w:rFonts w:ascii="Cambria Math" w:hAnsi="Cambria Math"/>
                <w:sz w:val="24"/>
              </w:rPr>
            </m:ctrlPr>
          </m:sSubPr>
          <m:e>
            <m:r>
              <m:rPr>
                <m:sty m:val="p"/>
              </m:rPr>
              <w:rPr>
                <w:rFonts w:ascii="Cambria Math" w:hAnsi="Cambria Math"/>
                <w:sz w:val="24"/>
              </w:rPr>
              <m:t>V</m:t>
            </m:r>
            <m:ctrlPr>
              <w:rPr>
                <w:rFonts w:ascii="Cambria Math" w:hAnsi="Cambria Math"/>
                <w:sz w:val="24"/>
              </w:rPr>
            </m:ctrlPr>
          </m:e>
          <m:sub>
            <m:r>
              <m:rPr>
                <m:sty m:val="p"/>
              </m:rPr>
              <w:rPr>
                <w:rFonts w:ascii="Cambria Math" w:hAnsi="Cambria Math"/>
                <w:sz w:val="24"/>
              </w:rPr>
              <m:t>Xc</m:t>
            </m:r>
            <m:ctrlPr>
              <w:rPr>
                <w:rFonts w:ascii="Cambria Math" w:hAnsi="Cambria Math"/>
                <w:sz w:val="24"/>
              </w:rPr>
            </m:ctrlPr>
          </m:sub>
        </m:sSub>
      </m:oMath>
      <w:r>
        <w:rPr>
          <w:sz w:val="24"/>
        </w:rPr>
        <w:t>——参考试块声速测得值；</w:t>
      </w:r>
    </w:p>
    <w:p>
      <w:pPr>
        <w:spacing w:line="360" w:lineRule="auto"/>
        <w:ind w:firstLine="480" w:firstLineChars="200"/>
        <w:jc w:val="left"/>
        <w:rPr>
          <w:sz w:val="24"/>
        </w:rPr>
      </w:pPr>
      <m:oMath>
        <m:sSub>
          <m:sSubPr>
            <m:ctrlPr>
              <w:rPr>
                <w:rFonts w:ascii="Cambria Math" w:hAnsi="Cambria Math"/>
                <w:sz w:val="24"/>
              </w:rPr>
            </m:ctrlPr>
          </m:sSubPr>
          <m:e>
            <m:r>
              <m:rPr>
                <m:sty m:val="p"/>
              </m:rPr>
              <w:rPr>
                <w:rFonts w:ascii="Cambria Math" w:hAnsi="Cambria Math"/>
                <w:sz w:val="24"/>
              </w:rPr>
              <m:t>V</m:t>
            </m:r>
            <m:ctrlPr>
              <w:rPr>
                <w:rFonts w:ascii="Cambria Math" w:hAnsi="Cambria Math"/>
                <w:sz w:val="24"/>
              </w:rPr>
            </m:ctrlPr>
          </m:e>
          <m:sub>
            <m:r>
              <m:rPr>
                <m:sty m:val="p"/>
              </m:rPr>
              <w:rPr>
                <w:rFonts w:ascii="Cambria Math" w:hAnsi="Cambria Math"/>
                <w:sz w:val="24"/>
              </w:rPr>
              <m:t>N</m:t>
            </m:r>
            <m:ctrlPr>
              <w:rPr>
                <w:rFonts w:ascii="Cambria Math" w:hAnsi="Cambria Math"/>
                <w:sz w:val="24"/>
              </w:rPr>
            </m:ctrlPr>
          </m:sub>
        </m:sSub>
      </m:oMath>
      <w:r>
        <w:rPr>
          <w:sz w:val="24"/>
        </w:rPr>
        <w:t>——被检工件声速测得值；</w:t>
      </w:r>
    </w:p>
    <w:p>
      <w:pPr>
        <w:spacing w:line="360" w:lineRule="auto"/>
        <w:ind w:firstLine="480" w:firstLineChars="200"/>
        <w:jc w:val="left"/>
        <w:rPr>
          <w:rFonts w:eastAsiaTheme="minorEastAsia"/>
          <w:szCs w:val="21"/>
        </w:rPr>
      </w:pPr>
      <w:r>
        <w:rPr>
          <w:rFonts w:eastAsiaTheme="minorEastAsia"/>
          <w:sz w:val="24"/>
        </w:rPr>
        <w:t>使用</w:t>
      </w:r>
      <w:r>
        <w:rPr>
          <w:rFonts w:eastAsiaTheme="minorEastAsia"/>
          <w:bCs/>
          <w:sz w:val="24"/>
        </w:rPr>
        <w:t>超声波发射接收仪（或能产生、接收并显示超声波电信号的仪器）、数字示波器、探头对试块声速进行校准。对于纵波速度测量，耦合剂应使用洁净的轻质油等材料；对于横波速度测量，应采用树脂或固体粘结剂等高粘性的材料。</w:t>
      </w:r>
    </w:p>
    <w:p>
      <w:pPr>
        <w:spacing w:line="360" w:lineRule="auto"/>
        <w:rPr>
          <w:rFonts w:eastAsiaTheme="minorEastAsia"/>
          <w:sz w:val="24"/>
        </w:rPr>
      </w:pPr>
      <w:r>
        <w:rPr>
          <w:rFonts w:eastAsiaTheme="minorEastAsia"/>
          <w:sz w:val="24"/>
        </w:rPr>
        <w:t>6.5.1纵波速度测量</w:t>
      </w:r>
    </w:p>
    <w:p>
      <w:pPr>
        <w:spacing w:line="360" w:lineRule="auto"/>
        <w:ind w:firstLine="480" w:firstLineChars="200"/>
        <w:rPr>
          <w:rFonts w:eastAsiaTheme="minorEastAsia"/>
          <w:sz w:val="24"/>
        </w:rPr>
      </w:pPr>
      <w:r>
        <w:rPr>
          <w:rFonts w:eastAsiaTheme="minorEastAsia"/>
          <w:sz w:val="24"/>
        </w:rPr>
        <w:t>方法一：通过比较纵波在被测材料与在已知声速（</w:t>
      </w:r>
      <w:r>
        <w:rPr>
          <w:rFonts w:eastAsiaTheme="minorEastAsia"/>
          <w:i/>
          <w:iCs/>
          <w:sz w:val="24"/>
        </w:rPr>
        <w:t>v</w:t>
      </w:r>
      <w:r>
        <w:rPr>
          <w:rFonts w:eastAsiaTheme="minorEastAsia"/>
          <w:i/>
          <w:iCs/>
          <w:sz w:val="24"/>
          <w:vertAlign w:val="subscript"/>
        </w:rPr>
        <w:t>k</w:t>
      </w:r>
      <w:r>
        <w:rPr>
          <w:rFonts w:eastAsiaTheme="minorEastAsia"/>
          <w:sz w:val="24"/>
        </w:rPr>
        <w:t>）的试块中的传播时间，来测量纵波速度（</w:t>
      </w:r>
      <w:r>
        <w:rPr>
          <w:rFonts w:eastAsiaTheme="minorEastAsia"/>
          <w:i/>
          <w:iCs/>
          <w:sz w:val="24"/>
        </w:rPr>
        <w:t>v</w:t>
      </w:r>
      <w:r>
        <w:rPr>
          <w:rFonts w:eastAsiaTheme="minorEastAsia"/>
          <w:i/>
          <w:iCs/>
          <w:sz w:val="24"/>
          <w:vertAlign w:val="subscript"/>
        </w:rPr>
        <w:t>1</w:t>
      </w:r>
      <w:r>
        <w:rPr>
          <w:rFonts w:eastAsiaTheme="minorEastAsia"/>
          <w:sz w:val="24"/>
        </w:rPr>
        <w:t>）。在每个试样（试块和被测材料）上各选择两个平行表面，测量其厚度，精度高于±0.02mm或0.1%。在每个试样上用探头测得一个信号模式（见图1），在可清晰分辨的条件下，尽可能使反射回波数多。两次测量的时基线（扫描线控制）必须设置相同。</w:t>
      </w:r>
    </w:p>
    <w:p>
      <w:pPr>
        <w:spacing w:line="360" w:lineRule="auto"/>
        <w:ind w:firstLine="480" w:firstLineChars="200"/>
        <w:jc w:val="center"/>
        <w:rPr>
          <w:rFonts w:eastAsiaTheme="minorEastAsia"/>
          <w:sz w:val="24"/>
        </w:rPr>
      </w:pPr>
      <w:r>
        <w:rPr>
          <w:rFonts w:eastAsiaTheme="minorEastAsia"/>
          <w:sz w:val="24"/>
        </w:rPr>
        <w:object>
          <v:shape id="_x0000_i1027" o:spt="75" type="#_x0000_t75" style="height:150.9pt;width:291.75pt;" o:ole="t" filled="f" coordsize="21600,21600">
            <v:path/>
            <v:fill on="f" focussize="0,0"/>
            <v:stroke/>
            <v:imagedata r:id="rId22" o:title=""/>
            <o:lock v:ext="edit" aspectratio="f"/>
            <w10:wrap type="none"/>
            <w10:anchorlock/>
          </v:shape>
          <o:OLEObject Type="Embed" ProgID="Visio.Drawing.15" ShapeID="_x0000_i1027" DrawAspect="Content" ObjectID="_1468075725" r:id="rId21">
            <o:LockedField>false</o:LockedField>
          </o:OLEObject>
        </w:object>
      </w:r>
    </w:p>
    <w:p>
      <w:pPr>
        <w:spacing w:line="360" w:lineRule="auto"/>
        <w:ind w:firstLine="420" w:firstLineChars="200"/>
        <w:jc w:val="center"/>
        <w:rPr>
          <w:rFonts w:eastAsiaTheme="minorEastAsia"/>
          <w:szCs w:val="21"/>
        </w:rPr>
      </w:pPr>
      <w:r>
        <w:rPr>
          <w:rFonts w:eastAsiaTheme="minorEastAsia"/>
          <w:szCs w:val="21"/>
        </w:rPr>
        <w:t>图1 始波脉冲和反射回波示意图</w:t>
      </w:r>
    </w:p>
    <w:p>
      <w:pPr>
        <w:spacing w:line="360" w:lineRule="auto"/>
        <w:ind w:firstLine="480" w:firstLineChars="200"/>
        <w:rPr>
          <w:rFonts w:eastAsiaTheme="minorEastAsia"/>
          <w:sz w:val="24"/>
        </w:rPr>
      </w:pPr>
      <w:r>
        <w:rPr>
          <w:rFonts w:eastAsiaTheme="minorEastAsia"/>
          <w:sz w:val="24"/>
        </w:rPr>
        <w:t>用刻度尺或卡尺分别测量试块和被测材料上第一个反射回拨前沿和最后一个可清晰识别的反射回波前沿之间的时基线距离。为了获得更高的精度，可在第一个反射回波的前沿位置固定之后，调节放大器使最后一个反射回波与第一个反射回波的高度一致。随后再确定最后一个反射回波前沿的位置。在任意两个反射回波之间，信号传播声程为2倍的试样厚度。信号传播通过试样并返回到入射点称为一次完整路径。在图1中回波1和回波7之间信号通过了6次完整路径。计算在两个试样上从第一个反射回波到最后一个反射回波之间通过的完整路径次数。这个数字比反射回波的数目少1。注意每次测量到的试样厚度、完整路径次数和从第一个到最后一个回波之间的距离不必相同。</w:t>
      </w:r>
    </w:p>
    <w:p>
      <w:pPr>
        <w:spacing w:line="360" w:lineRule="auto"/>
        <w:ind w:firstLine="480" w:firstLineChars="200"/>
        <w:rPr>
          <w:rFonts w:eastAsiaTheme="minorEastAsia"/>
          <w:sz w:val="24"/>
        </w:rPr>
      </w:pPr>
      <w:r>
        <w:rPr>
          <w:rFonts w:eastAsiaTheme="minorEastAsia"/>
          <w:sz w:val="24"/>
        </w:rPr>
        <w:t>按下式计算被测材料的声速值：</w:t>
      </w:r>
    </w:p>
    <w:p>
      <w:pPr>
        <w:spacing w:line="360" w:lineRule="auto"/>
        <w:ind w:firstLine="4080" w:firstLineChars="1700"/>
        <w:rPr>
          <w:sz w:val="24"/>
        </w:rPr>
      </w:pPr>
      <m:oMath>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w:rPr>
                <w:rFonts w:ascii="Cambria Math" w:hAnsi="Cambria Math"/>
                <w:sz w:val="24"/>
              </w:rPr>
              <m:t>k</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n</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k</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n</m:t>
            </m:r>
            <m:ctrlPr>
              <w:rPr>
                <w:rFonts w:ascii="Cambria Math" w:hAnsi="Cambria Math"/>
                <w:i/>
                <w:sz w:val="24"/>
              </w:rPr>
            </m:ctrlPr>
          </m:e>
          <m:sub>
            <m:r>
              <m:rPr/>
              <w:rPr>
                <w:rFonts w:ascii="Cambria Math" w:hAnsi="Cambria Math"/>
                <w:sz w:val="24"/>
              </w:rPr>
              <m:t>k</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k</m:t>
            </m:r>
            <m:ctrlPr>
              <w:rPr>
                <w:rFonts w:ascii="Cambria Math" w:hAnsi="Cambria Math"/>
                <w:i/>
                <w:sz w:val="24"/>
              </w:rPr>
            </m:ctrlPr>
          </m:sub>
        </m:sSub>
        <m:r>
          <m:rPr/>
          <w:rPr>
            <w:rFonts w:ascii="Cambria Math" w:hAnsi="Cambria Math"/>
            <w:sz w:val="24"/>
          </w:rPr>
          <m:t>)</m:t>
        </m:r>
      </m:oMath>
      <w:r>
        <w:rPr>
          <w:sz w:val="24"/>
        </w:rPr>
        <w:t xml:space="preserve">                （5）</w:t>
      </w:r>
    </w:p>
    <w:p>
      <w:pPr>
        <w:spacing w:line="360" w:lineRule="auto"/>
        <w:ind w:firstLine="480" w:firstLineChars="200"/>
        <w:rPr>
          <w:color w:val="auto"/>
          <w:sz w:val="24"/>
        </w:rPr>
      </w:pPr>
      <w:r>
        <w:rPr>
          <w:sz w:val="24"/>
        </w:rPr>
        <w:t>方法二：使用数</w:t>
      </w:r>
      <w:r>
        <w:rPr>
          <w:color w:val="auto"/>
          <w:sz w:val="24"/>
        </w:rPr>
        <w:t>字示波器来观察回波模式，通过示波器测量出连续多次反射回波之间的传播时间，再按照下式计算速度：</w:t>
      </w:r>
    </w:p>
    <w:p>
      <w:pPr>
        <w:spacing w:line="360" w:lineRule="auto"/>
        <w:ind w:firstLine="4080" w:firstLineChars="1700"/>
        <w:rPr>
          <w:color w:val="auto"/>
          <w:sz w:val="24"/>
        </w:rPr>
      </w:pPr>
      <m:oMath>
        <m:sSub>
          <m:sSubPr>
            <m:ctrlPr>
              <w:rPr>
                <w:rFonts w:ascii="Cambria Math" w:hAnsi="Cambria Math"/>
                <w:i/>
                <w:color w:val="auto"/>
                <w:sz w:val="24"/>
              </w:rPr>
            </m:ctrlPr>
          </m:sSubPr>
          <m:e>
            <m:r>
              <m:rPr/>
              <w:rPr>
                <w:rFonts w:ascii="Cambria Math" w:hAnsi="Cambria Math"/>
                <w:color w:val="auto"/>
                <w:sz w:val="24"/>
              </w:rPr>
              <m:t>v</m:t>
            </m:r>
            <m:ctrlPr>
              <w:rPr>
                <w:rFonts w:ascii="Cambria Math" w:hAnsi="Cambria Math"/>
                <w:i/>
                <w:color w:val="auto"/>
                <w:sz w:val="24"/>
              </w:rPr>
            </m:ctrlPr>
          </m:e>
          <m:sub>
            <m:r>
              <m:rPr/>
              <w:rPr>
                <w:rFonts w:ascii="Cambria Math" w:hAnsi="Cambria Math"/>
                <w:color w:val="auto"/>
                <w:sz w:val="24"/>
              </w:rPr>
              <m:t>1</m:t>
            </m:r>
            <m:ctrlPr>
              <w:rPr>
                <w:rFonts w:ascii="Cambria Math" w:hAnsi="Cambria Math"/>
                <w:i/>
                <w:color w:val="auto"/>
                <w:sz w:val="24"/>
              </w:rPr>
            </m:ctrlPr>
          </m:sub>
        </m:sSub>
        <m:r>
          <m:rPr>
            <m:sty m:val="p"/>
          </m:rPr>
          <w:rPr>
            <w:rFonts w:ascii="Cambria Math" w:hAnsi="Cambria Math"/>
            <w:color w:val="auto"/>
            <w:sz w:val="24"/>
          </w:rPr>
          <m:t>=</m:t>
        </m:r>
        <m:f>
          <m:fPr>
            <m:ctrlPr>
              <w:rPr>
                <w:rFonts w:ascii="Cambria Math" w:hAnsi="Cambria Math"/>
                <w:color w:val="auto"/>
                <w:sz w:val="24"/>
              </w:rPr>
            </m:ctrlPr>
          </m:fPr>
          <m:num>
            <m:r>
              <m:rPr>
                <m:sty m:val="p"/>
              </m:rPr>
              <w:rPr>
                <w:rFonts w:ascii="Cambria Math" w:hAnsi="Cambria Math"/>
                <w:color w:val="auto"/>
                <w:sz w:val="24"/>
              </w:rPr>
              <m:t>2</m:t>
            </m:r>
            <m:sSub>
              <m:sSubPr>
                <m:ctrlPr>
                  <w:rPr>
                    <w:rFonts w:ascii="Cambria Math" w:hAnsi="Cambria Math"/>
                    <w:i/>
                    <w:color w:val="auto"/>
                    <w:sz w:val="24"/>
                  </w:rPr>
                </m:ctrlPr>
              </m:sSubPr>
              <m:e>
                <m:r>
                  <m:rPr/>
                  <w:rPr>
                    <w:rFonts w:ascii="Cambria Math" w:hAnsi="Cambria Math"/>
                    <w:color w:val="auto"/>
                    <w:sz w:val="24"/>
                  </w:rPr>
                  <m:t>t</m:t>
                </m:r>
                <m:ctrlPr>
                  <w:rPr>
                    <w:rFonts w:ascii="Cambria Math" w:hAnsi="Cambria Math"/>
                    <w:i/>
                    <w:color w:val="auto"/>
                    <w:sz w:val="24"/>
                  </w:rPr>
                </m:ctrlPr>
              </m:e>
              <m:sub>
                <m:r>
                  <m:rPr/>
                  <w:rPr>
                    <w:rFonts w:ascii="Cambria Math" w:hAnsi="Cambria Math"/>
                    <w:color w:val="auto"/>
                    <w:sz w:val="24"/>
                  </w:rPr>
                  <m:t>k</m:t>
                </m:r>
                <m:ctrlPr>
                  <w:rPr>
                    <w:rFonts w:ascii="Cambria Math" w:hAnsi="Cambria Math"/>
                    <w:i/>
                    <w:color w:val="auto"/>
                    <w:sz w:val="24"/>
                  </w:rPr>
                </m:ctrlPr>
              </m:sub>
            </m:sSub>
            <m:ctrlPr>
              <w:rPr>
                <w:rFonts w:ascii="Cambria Math" w:hAnsi="Cambria Math"/>
                <w:color w:val="auto"/>
                <w:sz w:val="24"/>
              </w:rPr>
            </m:ctrlPr>
          </m:num>
          <m:den>
            <m:r>
              <m:rPr/>
              <w:rPr>
                <w:rFonts w:ascii="Cambria Math" w:hAnsi="Cambria Math"/>
                <w:color w:val="auto"/>
                <w:sz w:val="24"/>
              </w:rPr>
              <m:t>t</m:t>
            </m:r>
            <m:ctrlPr>
              <w:rPr>
                <w:rFonts w:ascii="Cambria Math" w:hAnsi="Cambria Math"/>
                <w:color w:val="auto"/>
                <w:sz w:val="24"/>
              </w:rPr>
            </m:ctrlPr>
          </m:den>
        </m:f>
      </m:oMath>
      <w:r>
        <w:rPr>
          <w:color w:val="auto"/>
          <w:sz w:val="24"/>
        </w:rPr>
        <w:t xml:space="preserve">                                  （6）</w:t>
      </w:r>
    </w:p>
    <w:p>
      <w:pPr>
        <w:spacing w:line="360" w:lineRule="auto"/>
        <w:rPr>
          <w:color w:val="auto"/>
          <w:sz w:val="24"/>
        </w:rPr>
      </w:pPr>
      <w:r>
        <w:rPr>
          <w:color w:val="auto"/>
          <w:sz w:val="24"/>
        </w:rPr>
        <w:t>式中：</w:t>
      </w:r>
    </w:p>
    <w:p>
      <w:pPr>
        <w:spacing w:line="360" w:lineRule="auto"/>
        <w:ind w:firstLine="480" w:firstLineChars="200"/>
        <w:rPr>
          <w:color w:val="auto"/>
          <w:sz w:val="24"/>
        </w:rPr>
      </w:pPr>
      <m:oMath>
        <m:sSub>
          <m:sSubPr>
            <m:ctrlPr>
              <w:rPr>
                <w:rFonts w:ascii="Cambria Math" w:hAnsi="Cambria Math"/>
                <w:i/>
                <w:color w:val="auto"/>
                <w:sz w:val="24"/>
              </w:rPr>
            </m:ctrlPr>
          </m:sSubPr>
          <m:e>
            <m:r>
              <m:rPr/>
              <w:rPr>
                <w:rFonts w:ascii="Cambria Math" w:hAnsi="Cambria Math"/>
                <w:color w:val="auto"/>
                <w:sz w:val="24"/>
              </w:rPr>
              <m:t>A</m:t>
            </m:r>
            <m:ctrlPr>
              <w:rPr>
                <w:rFonts w:ascii="Cambria Math" w:hAnsi="Cambria Math"/>
                <w:i/>
                <w:color w:val="auto"/>
                <w:sz w:val="24"/>
              </w:rPr>
            </m:ctrlPr>
          </m:e>
          <m:sub>
            <m:r>
              <m:rPr/>
              <w:rPr>
                <w:rFonts w:ascii="Cambria Math" w:hAnsi="Cambria Math"/>
                <w:color w:val="auto"/>
                <w:sz w:val="24"/>
              </w:rPr>
              <m:t>k</m:t>
            </m:r>
            <m:ctrlPr>
              <w:rPr>
                <w:rFonts w:ascii="Cambria Math" w:hAnsi="Cambria Math"/>
                <w:i/>
                <w:color w:val="auto"/>
                <w:sz w:val="24"/>
              </w:rPr>
            </m:ctrlPr>
          </m:sub>
        </m:sSub>
      </m:oMath>
      <w:r>
        <w:rPr>
          <w:color w:val="auto"/>
          <w:sz w:val="24"/>
        </w:rPr>
        <w:t>——沿A扫描显示的时基线测量到试块从第一个到第N个反射回波之间的距离，m；</w:t>
      </w:r>
    </w:p>
    <w:p>
      <w:pPr>
        <w:spacing w:line="360" w:lineRule="auto"/>
        <w:ind w:firstLine="480" w:firstLineChars="200"/>
        <w:rPr>
          <w:color w:val="auto"/>
          <w:sz w:val="24"/>
        </w:rPr>
      </w:pPr>
      <m:oMath>
        <m:sSub>
          <m:sSubPr>
            <m:ctrlPr>
              <w:rPr>
                <w:rFonts w:ascii="Cambria Math" w:hAnsi="Cambria Math"/>
                <w:i/>
                <w:color w:val="auto"/>
                <w:sz w:val="24"/>
              </w:rPr>
            </m:ctrlPr>
          </m:sSubPr>
          <m:e>
            <m:r>
              <m:rPr/>
              <w:rPr>
                <w:rFonts w:ascii="Cambria Math" w:hAnsi="Cambria Math"/>
                <w:color w:val="auto"/>
                <w:sz w:val="24"/>
              </w:rPr>
              <m:t>n</m:t>
            </m:r>
            <m:ctrlPr>
              <w:rPr>
                <w:rFonts w:ascii="Cambria Math" w:hAnsi="Cambria Math"/>
                <w:i/>
                <w:color w:val="auto"/>
                <w:sz w:val="24"/>
              </w:rPr>
            </m:ctrlPr>
          </m:e>
          <m:sub>
            <m:r>
              <m:rPr/>
              <w:rPr>
                <w:rFonts w:ascii="Cambria Math" w:hAnsi="Cambria Math"/>
                <w:color w:val="auto"/>
                <w:sz w:val="24"/>
              </w:rPr>
              <m:t>1</m:t>
            </m:r>
            <m:ctrlPr>
              <w:rPr>
                <w:rFonts w:ascii="Cambria Math" w:hAnsi="Cambria Math"/>
                <w:i/>
                <w:color w:val="auto"/>
                <w:sz w:val="24"/>
              </w:rPr>
            </m:ctrlPr>
          </m:sub>
        </m:sSub>
      </m:oMath>
      <w:r>
        <w:rPr>
          <w:color w:val="auto"/>
          <w:sz w:val="24"/>
        </w:rPr>
        <w:t>——被测材料中完整路径的次数；</w:t>
      </w:r>
    </w:p>
    <w:p>
      <w:pPr>
        <w:spacing w:line="360" w:lineRule="auto"/>
        <w:ind w:firstLine="480" w:firstLineChars="200"/>
        <w:rPr>
          <w:color w:val="auto"/>
          <w:sz w:val="24"/>
        </w:rPr>
      </w:pPr>
      <m:oMath>
        <m:sSub>
          <m:sSubPr>
            <m:ctrlPr>
              <w:rPr>
                <w:rFonts w:ascii="Cambria Math" w:hAnsi="Cambria Math"/>
                <w:i/>
                <w:color w:val="auto"/>
                <w:sz w:val="24"/>
              </w:rPr>
            </m:ctrlPr>
          </m:sSubPr>
          <m:e>
            <m:r>
              <m:rPr/>
              <w:rPr>
                <w:rFonts w:ascii="Cambria Math" w:hAnsi="Cambria Math"/>
                <w:color w:val="auto"/>
                <w:sz w:val="24"/>
              </w:rPr>
              <m:t>t</m:t>
            </m:r>
            <m:ctrlPr>
              <w:rPr>
                <w:rFonts w:ascii="Cambria Math" w:hAnsi="Cambria Math"/>
                <w:i/>
                <w:color w:val="auto"/>
                <w:sz w:val="24"/>
              </w:rPr>
            </m:ctrlPr>
          </m:e>
          <m:sub>
            <m:r>
              <m:rPr/>
              <w:rPr>
                <w:rFonts w:ascii="Cambria Math" w:hAnsi="Cambria Math"/>
                <w:color w:val="auto"/>
                <w:sz w:val="24"/>
              </w:rPr>
              <m:t>1</m:t>
            </m:r>
            <m:ctrlPr>
              <w:rPr>
                <w:rFonts w:ascii="Cambria Math" w:hAnsi="Cambria Math"/>
                <w:i/>
                <w:color w:val="auto"/>
                <w:sz w:val="24"/>
              </w:rPr>
            </m:ctrlPr>
          </m:sub>
        </m:sSub>
      </m:oMath>
      <w:r>
        <w:rPr>
          <w:color w:val="auto"/>
          <w:sz w:val="24"/>
        </w:rPr>
        <w:t>——被测材料的厚度，m；</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k</m:t>
            </m:r>
            <m:ctrlPr>
              <w:rPr>
                <w:rFonts w:ascii="Cambria Math" w:hAnsi="Cambria Math"/>
                <w:i/>
                <w:sz w:val="24"/>
              </w:rPr>
            </m:ctrlPr>
          </m:sub>
        </m:sSub>
      </m:oMath>
      <w:r>
        <w:rPr>
          <w:sz w:val="24"/>
        </w:rPr>
        <w:t>——试块中的声速，m/s；</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oMath>
      <w:r>
        <w:rPr>
          <w:sz w:val="24"/>
        </w:rPr>
        <w:t>——沿A扫描显示的时基线测量到被测材料从第一个到第N个反射回波之间的距离，m；</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n</m:t>
            </m:r>
            <m:ctrlPr>
              <w:rPr>
                <w:rFonts w:ascii="Cambria Math" w:hAnsi="Cambria Math"/>
                <w:i/>
                <w:sz w:val="24"/>
              </w:rPr>
            </m:ctrlPr>
          </m:e>
          <m:sub>
            <m:r>
              <m:rPr/>
              <w:rPr>
                <w:rFonts w:ascii="Cambria Math" w:hAnsi="Cambria Math"/>
                <w:sz w:val="24"/>
              </w:rPr>
              <m:t>k</m:t>
            </m:r>
            <m:ctrlPr>
              <w:rPr>
                <w:rFonts w:ascii="Cambria Math" w:hAnsi="Cambria Math"/>
                <w:i/>
                <w:sz w:val="24"/>
              </w:rPr>
            </m:ctrlPr>
          </m:sub>
        </m:sSub>
      </m:oMath>
      <w:r>
        <w:rPr>
          <w:sz w:val="24"/>
        </w:rPr>
        <w:t>——试块中完整路径的次数；</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k</m:t>
            </m:r>
            <m:ctrlPr>
              <w:rPr>
                <w:rFonts w:ascii="Cambria Math" w:hAnsi="Cambria Math"/>
                <w:i/>
                <w:sz w:val="24"/>
              </w:rPr>
            </m:ctrlPr>
          </m:sub>
        </m:sSub>
      </m:oMath>
      <w:r>
        <w:rPr>
          <w:sz w:val="24"/>
        </w:rPr>
        <w:t>——试块的厚度，</w:t>
      </w:r>
      <w:r>
        <w:rPr>
          <w:rFonts w:hint="eastAsia"/>
          <w:sz w:val="24"/>
        </w:rPr>
        <w:t>m。</w:t>
      </w:r>
    </w:p>
    <w:p>
      <w:pPr>
        <w:spacing w:line="360" w:lineRule="auto"/>
        <w:ind w:firstLine="480" w:firstLineChars="200"/>
        <w:rPr>
          <w:sz w:val="24"/>
        </w:rPr>
      </w:pPr>
      <m:oMath>
        <m:r>
          <m:rPr/>
          <w:rPr>
            <w:rFonts w:ascii="Cambria Math" w:hAnsi="Cambria Math"/>
            <w:sz w:val="24"/>
          </w:rPr>
          <m:t>t</m:t>
        </m:r>
      </m:oMath>
      <w:r>
        <w:rPr>
          <w:sz w:val="24"/>
        </w:rPr>
        <w:t>——</w:t>
      </w:r>
      <w:r>
        <w:rPr>
          <w:rFonts w:hint="eastAsia"/>
          <w:sz w:val="24"/>
        </w:rPr>
        <w:t>传播时间</w:t>
      </w:r>
      <w:r>
        <w:rPr>
          <w:sz w:val="24"/>
        </w:rPr>
        <w:t>，</w:t>
      </w:r>
      <w:r>
        <w:rPr>
          <w:rFonts w:hint="eastAsia"/>
          <w:sz w:val="24"/>
        </w:rPr>
        <w:t>s。</w:t>
      </w:r>
    </w:p>
    <w:p>
      <w:pPr>
        <w:spacing w:line="360" w:lineRule="auto"/>
        <w:ind w:firstLine="4080" w:firstLineChars="1700"/>
        <w:rPr>
          <w:rFonts w:hint="eastAsia"/>
          <w:sz w:val="24"/>
        </w:rPr>
      </w:pPr>
    </w:p>
    <w:p>
      <w:pPr>
        <w:spacing w:line="360" w:lineRule="auto"/>
        <w:rPr>
          <w:rFonts w:eastAsiaTheme="minorEastAsia"/>
          <w:sz w:val="24"/>
        </w:rPr>
      </w:pPr>
      <w:r>
        <w:rPr>
          <w:rFonts w:eastAsiaTheme="minorEastAsia"/>
          <w:sz w:val="24"/>
        </w:rPr>
        <w:t>6.5.2横波速度测量</w:t>
      </w:r>
    </w:p>
    <w:p>
      <w:pPr>
        <w:spacing w:line="360" w:lineRule="auto"/>
        <w:ind w:firstLine="480" w:firstLineChars="200"/>
        <w:rPr>
          <w:rFonts w:eastAsiaTheme="minorEastAsia"/>
          <w:sz w:val="24"/>
        </w:rPr>
      </w:pPr>
      <w:r>
        <w:rPr>
          <w:rFonts w:eastAsiaTheme="minorEastAsia"/>
          <w:sz w:val="24"/>
        </w:rPr>
        <w:t>方法一：通过比较横波在已知声速（</w:t>
      </w:r>
      <w:r>
        <w:rPr>
          <w:rFonts w:eastAsiaTheme="minorEastAsia"/>
          <w:i/>
          <w:iCs/>
          <w:sz w:val="24"/>
        </w:rPr>
        <w:t>v</w:t>
      </w:r>
      <w:r>
        <w:rPr>
          <w:rFonts w:eastAsiaTheme="minorEastAsia"/>
          <w:i/>
          <w:iCs/>
          <w:sz w:val="24"/>
          <w:vertAlign w:val="subscript"/>
        </w:rPr>
        <w:t>t</w:t>
      </w:r>
      <w:r>
        <w:rPr>
          <w:rFonts w:eastAsiaTheme="minorEastAsia"/>
          <w:sz w:val="24"/>
        </w:rPr>
        <w:t>）的试块和被测材料中的传播时间，来测量横波波速（</w:t>
      </w:r>
      <w:r>
        <w:rPr>
          <w:rFonts w:eastAsiaTheme="minorEastAsia"/>
          <w:i/>
          <w:iCs/>
          <w:sz w:val="24"/>
        </w:rPr>
        <w:t>v</w:t>
      </w:r>
      <w:r>
        <w:rPr>
          <w:rFonts w:eastAsiaTheme="minorEastAsia"/>
          <w:i/>
          <w:iCs/>
          <w:sz w:val="24"/>
          <w:vertAlign w:val="subscript"/>
        </w:rPr>
        <w:t>s</w:t>
      </w:r>
      <w:r>
        <w:rPr>
          <w:rFonts w:eastAsiaTheme="minorEastAsia"/>
          <w:sz w:val="24"/>
        </w:rPr>
        <w:t>）。</w:t>
      </w:r>
    </w:p>
    <w:p>
      <w:pPr>
        <w:spacing w:line="360" w:lineRule="auto"/>
        <w:ind w:firstLine="480" w:firstLineChars="200"/>
        <w:rPr>
          <w:rFonts w:eastAsiaTheme="minorEastAsia"/>
          <w:sz w:val="24"/>
        </w:rPr>
      </w:pPr>
      <w:r>
        <w:rPr>
          <w:rFonts w:eastAsiaTheme="minorEastAsia"/>
          <w:sz w:val="24"/>
        </w:rPr>
        <w:t>在每个试样（试块和被测材料上）上各选择两个平行表面，测量其厚度，精度高于±0.02mm或0.1%。在每个试样上用探头测得一个信号模式（见图1），在可清晰分辨的条件下，尽可能使反射回波数多。两次测量的时基线（扫描线控制）必须设置相同。</w:t>
      </w:r>
    </w:p>
    <w:p>
      <w:pPr>
        <w:spacing w:line="360" w:lineRule="auto"/>
        <w:ind w:firstLine="480"/>
        <w:rPr>
          <w:rFonts w:eastAsiaTheme="minorEastAsia"/>
          <w:sz w:val="24"/>
        </w:rPr>
      </w:pPr>
      <w:r>
        <w:rPr>
          <w:rFonts w:eastAsiaTheme="minorEastAsia"/>
          <w:sz w:val="24"/>
        </w:rPr>
        <w:t>用刻度尺或卡尺分别测量试块和被测材料上第一个反射回波前沿和最后一个可清晰识别的反射回波前沿之间的时基线距离。为了获得更高的精度，可在第一个反射回波的前沿位置固定之后，调节放大器使最后一个反射回波与第一个反射回波高度一致。随后再确定最后一个反射回波前沿的位置。计算在两个试样上从第一个反射回波到最后一个反射回波之间通过的完整路径次数。这个数字比回波数目少1。注意每次测量的试样厚度、完整路径次数和从第一个到最后一个反射回波之间的距离不必相同。</w:t>
      </w:r>
    </w:p>
    <w:p>
      <w:pPr>
        <w:spacing w:line="360" w:lineRule="auto"/>
        <w:ind w:firstLine="480" w:firstLineChars="200"/>
        <w:rPr>
          <w:rFonts w:eastAsiaTheme="minorEastAsia"/>
          <w:sz w:val="24"/>
        </w:rPr>
      </w:pPr>
      <w:r>
        <w:rPr>
          <w:rFonts w:eastAsiaTheme="minorEastAsia"/>
          <w:sz w:val="24"/>
        </w:rPr>
        <w:t>按下式计算被测材料的声速值：</w:t>
      </w:r>
    </w:p>
    <w:p>
      <w:pPr>
        <w:spacing w:line="360" w:lineRule="auto"/>
        <w:ind w:firstLine="4080" w:firstLineChars="1700"/>
        <w:rPr>
          <w:sz w:val="24"/>
        </w:rPr>
      </w:pPr>
      <m:oMath>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w:rPr>
                <w:rFonts w:ascii="Cambria Math" w:hAnsi="Cambria Math"/>
                <w:sz w:val="24"/>
              </w:rPr>
              <m:t>t</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n</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t</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n</m:t>
            </m:r>
            <m:ctrlPr>
              <w:rPr>
                <w:rFonts w:ascii="Cambria Math" w:hAnsi="Cambria Math"/>
                <w:i/>
                <w:sz w:val="24"/>
              </w:rPr>
            </m:ctrlPr>
          </m:e>
          <m:sub>
            <m:r>
              <m:rPr/>
              <w:rPr>
                <w:rFonts w:ascii="Cambria Math" w:hAnsi="Cambria Math"/>
                <w:sz w:val="24"/>
              </w:rPr>
              <m:t>t</m:t>
            </m:r>
            <m:ctrlPr>
              <w:rPr>
                <w:rFonts w:ascii="Cambria Math" w:hAnsi="Cambria Math"/>
                <w:i/>
                <w:sz w:val="24"/>
              </w:rPr>
            </m:ctrlPr>
          </m:sub>
        </m:sSub>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t</m:t>
            </m:r>
            <m:ctrlPr>
              <w:rPr>
                <w:rFonts w:ascii="Cambria Math" w:hAnsi="Cambria Math"/>
                <w:i/>
                <w:sz w:val="24"/>
              </w:rPr>
            </m:ctrlPr>
          </m:sub>
        </m:sSub>
        <m:r>
          <m:rPr/>
          <w:rPr>
            <w:rFonts w:ascii="Cambria Math" w:hAnsi="Cambria Math"/>
            <w:sz w:val="24"/>
          </w:rPr>
          <m:t>)</m:t>
        </m:r>
      </m:oMath>
      <w:r>
        <w:rPr>
          <w:sz w:val="24"/>
        </w:rPr>
        <w:t xml:space="preserve">                （7）</w:t>
      </w:r>
    </w:p>
    <w:p>
      <w:pPr>
        <w:spacing w:line="360" w:lineRule="auto"/>
        <w:rPr>
          <w:sz w:val="24"/>
        </w:rPr>
      </w:pPr>
      <w:r>
        <w:rPr>
          <w:sz w:val="24"/>
        </w:rPr>
        <w:t>式中：</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w:rPr>
                <w:rFonts w:ascii="Cambria Math" w:hAnsi="Cambria Math"/>
                <w:sz w:val="24"/>
              </w:rPr>
              <m:t>t</m:t>
            </m:r>
            <m:ctrlPr>
              <w:rPr>
                <w:rFonts w:ascii="Cambria Math" w:hAnsi="Cambria Math"/>
                <w:i/>
                <w:sz w:val="24"/>
              </w:rPr>
            </m:ctrlPr>
          </m:sub>
        </m:sSub>
      </m:oMath>
      <w:r>
        <w:rPr>
          <w:sz w:val="24"/>
        </w:rPr>
        <w:t>——沿A扫描显示的时基线测量到试块从第一个到第N个反射回波之间的距离，单位为米（m）；</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n</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oMath>
      <w:r>
        <w:rPr>
          <w:sz w:val="24"/>
        </w:rPr>
        <w:t>——被测材料中完整路径的次数；</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oMath>
      <w:r>
        <w:rPr>
          <w:sz w:val="24"/>
        </w:rPr>
        <w:t>——被测材料的厚度，单位为米（m）；</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t</m:t>
            </m:r>
            <m:ctrlPr>
              <w:rPr>
                <w:rFonts w:ascii="Cambria Math" w:hAnsi="Cambria Math"/>
                <w:i/>
                <w:sz w:val="24"/>
              </w:rPr>
            </m:ctrlPr>
          </m:sub>
        </m:sSub>
      </m:oMath>
      <w:r>
        <w:rPr>
          <w:sz w:val="24"/>
        </w:rPr>
        <w:t>——试块中的声速，单位为米每秒（m/s）；</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A</m:t>
            </m:r>
            <m:ctrlPr>
              <w:rPr>
                <w:rFonts w:ascii="Cambria Math" w:hAnsi="Cambria Math"/>
                <w:i/>
                <w:sz w:val="24"/>
              </w:rPr>
            </m:ctrlPr>
          </m:e>
          <m:sub>
            <m:r>
              <m:rPr/>
              <w:rPr>
                <w:rFonts w:ascii="Cambria Math" w:hAnsi="Cambria Math"/>
                <w:sz w:val="24"/>
              </w:rPr>
              <m:t>s</m:t>
            </m:r>
            <m:ctrlPr>
              <w:rPr>
                <w:rFonts w:ascii="Cambria Math" w:hAnsi="Cambria Math"/>
                <w:i/>
                <w:sz w:val="24"/>
              </w:rPr>
            </m:ctrlPr>
          </m:sub>
        </m:sSub>
      </m:oMath>
      <w:r>
        <w:rPr>
          <w:sz w:val="24"/>
        </w:rPr>
        <w:t>——沿A扫描显示的时基线测量到被测材料从第一个到第N个反射回波之间的距离，单位为米（m）；</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n</m:t>
            </m:r>
            <m:ctrlPr>
              <w:rPr>
                <w:rFonts w:ascii="Cambria Math" w:hAnsi="Cambria Math"/>
                <w:i/>
                <w:sz w:val="24"/>
              </w:rPr>
            </m:ctrlPr>
          </m:e>
          <m:sub>
            <m:r>
              <m:rPr/>
              <w:rPr>
                <w:rFonts w:ascii="Cambria Math" w:hAnsi="Cambria Math"/>
                <w:sz w:val="24"/>
              </w:rPr>
              <m:t>t</m:t>
            </m:r>
            <m:ctrlPr>
              <w:rPr>
                <w:rFonts w:ascii="Cambria Math" w:hAnsi="Cambria Math"/>
                <w:i/>
                <w:sz w:val="24"/>
              </w:rPr>
            </m:ctrlPr>
          </m:sub>
        </m:sSub>
      </m:oMath>
      <w:r>
        <w:rPr>
          <w:sz w:val="24"/>
        </w:rPr>
        <w:t>——试块中完整路径的次数；</w:t>
      </w:r>
    </w:p>
    <w:p>
      <w:pPr>
        <w:spacing w:line="360" w:lineRule="auto"/>
        <w:ind w:firstLine="480" w:firstLineChars="200"/>
        <w:rPr>
          <w:sz w:val="24"/>
        </w:rPr>
      </w:pPr>
      <m:oMath>
        <m:sSub>
          <m:sSubPr>
            <m:ctrlPr>
              <w:rPr>
                <w:rFonts w:ascii="Cambria Math" w:hAnsi="Cambria Math"/>
                <w:i/>
                <w:sz w:val="24"/>
              </w:rPr>
            </m:ctrlPr>
          </m:sSubPr>
          <m:e>
            <m:r>
              <m:rPr/>
              <w:rPr>
                <w:rFonts w:ascii="Cambria Math" w:hAnsi="Cambria Math"/>
                <w:sz w:val="24"/>
              </w:rPr>
              <m:t>t</m:t>
            </m:r>
            <m:ctrlPr>
              <w:rPr>
                <w:rFonts w:ascii="Cambria Math" w:hAnsi="Cambria Math"/>
                <w:i/>
                <w:sz w:val="24"/>
              </w:rPr>
            </m:ctrlPr>
          </m:e>
          <m:sub>
            <m:r>
              <m:rPr/>
              <w:rPr>
                <w:rFonts w:ascii="Cambria Math" w:hAnsi="Cambria Math"/>
                <w:sz w:val="24"/>
              </w:rPr>
              <m:t>t</m:t>
            </m:r>
            <m:ctrlPr>
              <w:rPr>
                <w:rFonts w:ascii="Cambria Math" w:hAnsi="Cambria Math"/>
                <w:i/>
                <w:sz w:val="24"/>
              </w:rPr>
            </m:ctrlPr>
          </m:sub>
        </m:sSub>
      </m:oMath>
      <w:r>
        <w:rPr>
          <w:sz w:val="24"/>
        </w:rPr>
        <w:t>——试块的厚度，单位为米（m）；</w:t>
      </w:r>
    </w:p>
    <w:p>
      <w:pPr>
        <w:spacing w:line="360" w:lineRule="auto"/>
        <w:ind w:firstLine="480" w:firstLineChars="200"/>
        <w:rPr>
          <w:sz w:val="24"/>
        </w:rPr>
      </w:pPr>
      <w:r>
        <w:rPr>
          <w:sz w:val="24"/>
        </w:rPr>
        <w:t>方法二：与6.5.1方法二相同。</w:t>
      </w:r>
    </w:p>
    <w:p>
      <w:pPr>
        <w:pStyle w:val="47"/>
        <w:spacing w:before="156" w:after="0" w:afterLines="0" w:line="360" w:lineRule="auto"/>
        <w:ind w:left="0" w:firstLine="0"/>
        <w:rPr>
          <w:rFonts w:ascii="Times New Roman" w:hAnsi="Times New Roman"/>
          <w:sz w:val="24"/>
          <w:szCs w:val="24"/>
        </w:rPr>
      </w:pPr>
      <w:bookmarkStart w:id="91" w:name="_Toc193619059"/>
      <w:bookmarkStart w:id="92" w:name="_Toc193860038"/>
      <w:bookmarkStart w:id="93" w:name="_Toc193860188"/>
      <w:bookmarkStart w:id="94" w:name="_Toc193860219"/>
      <w:bookmarkStart w:id="95" w:name="_Toc193618956"/>
      <w:bookmarkStart w:id="96" w:name="_Toc193619101"/>
      <w:bookmarkStart w:id="97" w:name="_Toc25466_WPSOffice_Level1"/>
      <w:bookmarkStart w:id="98" w:name="_Toc500258947"/>
      <w:bookmarkStart w:id="99" w:name="_Toc7670"/>
      <w:r>
        <w:rPr>
          <w:rFonts w:ascii="Times New Roman" w:hAnsi="Times New Roman"/>
          <w:sz w:val="24"/>
          <w:szCs w:val="24"/>
        </w:rPr>
        <w:t>7 校准结果</w:t>
      </w:r>
      <w:bookmarkEnd w:id="91"/>
      <w:bookmarkEnd w:id="92"/>
      <w:bookmarkEnd w:id="93"/>
      <w:bookmarkEnd w:id="94"/>
      <w:bookmarkEnd w:id="95"/>
      <w:bookmarkEnd w:id="96"/>
      <w:r>
        <w:rPr>
          <w:rFonts w:ascii="Times New Roman" w:hAnsi="Times New Roman"/>
          <w:sz w:val="24"/>
          <w:szCs w:val="24"/>
        </w:rPr>
        <w:t>表达</w:t>
      </w:r>
      <w:bookmarkEnd w:id="97"/>
      <w:bookmarkEnd w:id="98"/>
      <w:bookmarkEnd w:id="99"/>
    </w:p>
    <w:p>
      <w:pPr>
        <w:pStyle w:val="48"/>
        <w:spacing w:line="360" w:lineRule="auto"/>
        <w:ind w:firstLine="480"/>
        <w:rPr>
          <w:rFonts w:ascii="Times New Roman" w:hAnsi="Times New Roman" w:eastAsiaTheme="minorEastAsia"/>
          <w:kern w:val="2"/>
          <w:sz w:val="24"/>
          <w:szCs w:val="24"/>
        </w:rPr>
      </w:pPr>
      <w:bookmarkStart w:id="100" w:name="_Toc193860040"/>
      <w:bookmarkStart w:id="101" w:name="_Toc14803_WPSOffice_Level1"/>
      <w:bookmarkStart w:id="102" w:name="_Toc5529"/>
      <w:bookmarkStart w:id="103" w:name="_Toc193860220"/>
      <w:bookmarkStart w:id="104" w:name="_Toc193860189"/>
      <w:bookmarkStart w:id="105" w:name="_Toc193860041"/>
      <w:r>
        <w:rPr>
          <w:rFonts w:ascii="Times New Roman" w:hAnsi="Times New Roman" w:eastAsiaTheme="minorEastAsia"/>
          <w:kern w:val="2"/>
          <w:sz w:val="24"/>
          <w:szCs w:val="24"/>
        </w:rPr>
        <w:t>校准结果应在校准证书上反映。校准证书应至少包括以下信息：</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a) 标题：“校准证书”；</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b) 实验室名称和地址；</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c) 进行校准的地点（如与实验室的地址不同）；</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d) 证书的唯一性标识</w:t>
      </w:r>
      <w:r>
        <w:rPr>
          <w:rFonts w:ascii="Times New Roman" w:hAnsi="Times New Roman"/>
          <w:spacing w:val="-2"/>
          <w:sz w:val="24"/>
          <w:szCs w:val="24"/>
        </w:rPr>
        <w:t>（如编号）</w:t>
      </w:r>
      <w:r>
        <w:rPr>
          <w:rFonts w:ascii="Times New Roman" w:hAnsi="Times New Roman" w:eastAsiaTheme="minorEastAsia"/>
          <w:kern w:val="2"/>
          <w:sz w:val="24"/>
          <w:szCs w:val="24"/>
        </w:rPr>
        <w:t>，每页及总页数的标识；</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e) 客户的名称和地址；</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f) 被校对象的描述和明确标识；</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g) 进行校准的日期，如果与校准结果的有效性和应用有关时，应说明被校对象的接收日期；</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h) 校准所依据的技术规范的标识，包括名称及代号；</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i) 本次校准所用测量标准的溯源性及有效性说明；</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j) 校准环境的描述；</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k) 校准结果及测量不确定度的说明；</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l) 对校准规范的偏离的说明；</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sz w:val="24"/>
          <w:szCs w:val="24"/>
        </w:rPr>
        <w:t xml:space="preserve">m) </w:t>
      </w:r>
      <w:r>
        <w:rPr>
          <w:rFonts w:ascii="Times New Roman" w:hAnsi="Times New Roman"/>
          <w:spacing w:val="-2"/>
          <w:sz w:val="24"/>
          <w:szCs w:val="24"/>
        </w:rPr>
        <w:t>校准证书签发人的签名、职务或等效标识以及签发日期；</w:t>
      </w:r>
    </w:p>
    <w:p>
      <w:pPr>
        <w:pStyle w:val="48"/>
        <w:spacing w:line="360" w:lineRule="auto"/>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n) 校准结果仅对被校对象有效的声明；</w:t>
      </w:r>
    </w:p>
    <w:p>
      <w:pPr>
        <w:pStyle w:val="48"/>
        <w:spacing w:line="360" w:lineRule="auto"/>
        <w:ind w:firstLine="480"/>
        <w:rPr>
          <w:rFonts w:ascii="Times New Roman" w:hAnsi="Times New Roman" w:eastAsiaTheme="minorEastAsia"/>
          <w:color w:val="auto"/>
          <w:kern w:val="2"/>
          <w:sz w:val="24"/>
          <w:szCs w:val="24"/>
        </w:rPr>
      </w:pPr>
      <w:r>
        <w:rPr>
          <w:rFonts w:ascii="Times New Roman" w:hAnsi="Times New Roman" w:eastAsiaTheme="minorEastAsia"/>
          <w:kern w:val="2"/>
          <w:sz w:val="24"/>
          <w:szCs w:val="24"/>
        </w:rPr>
        <w:t>o) 未经实验室书面批</w:t>
      </w:r>
      <w:r>
        <w:rPr>
          <w:rFonts w:ascii="Times New Roman" w:hAnsi="Times New Roman" w:eastAsiaTheme="minorEastAsia"/>
          <w:color w:val="auto"/>
          <w:kern w:val="2"/>
          <w:sz w:val="24"/>
          <w:szCs w:val="24"/>
        </w:rPr>
        <w:t>准，不得部分复制证书的声明。</w:t>
      </w:r>
    </w:p>
    <w:p>
      <w:pPr>
        <w:pStyle w:val="48"/>
        <w:spacing w:line="360" w:lineRule="auto"/>
        <w:ind w:firstLine="480"/>
        <w:rPr>
          <w:rFonts w:ascii="Times New Roman" w:hAnsi="Times New Roman" w:eastAsiaTheme="minorEastAsia"/>
          <w:color w:val="auto"/>
          <w:kern w:val="2"/>
          <w:sz w:val="24"/>
          <w:szCs w:val="24"/>
        </w:rPr>
      </w:pPr>
      <w:r>
        <w:rPr>
          <w:rFonts w:ascii="Times New Roman" w:hAnsi="Times New Roman"/>
          <w:color w:val="auto"/>
          <w:sz w:val="24"/>
          <w:szCs w:val="24"/>
        </w:rPr>
        <w:t>校准原始记录参考格式见附录A，校准证书参考格式见附录B</w:t>
      </w:r>
      <w:r>
        <w:rPr>
          <w:rFonts w:hint="eastAsia" w:ascii="Times New Roman" w:hAnsi="Times New Roman"/>
          <w:color w:val="auto"/>
          <w:sz w:val="24"/>
          <w:szCs w:val="24"/>
        </w:rPr>
        <w:t>，常见金属材料声速参考值见附录D</w:t>
      </w:r>
      <w:r>
        <w:rPr>
          <w:rFonts w:ascii="Times New Roman" w:hAnsi="Times New Roman"/>
          <w:color w:val="auto"/>
          <w:sz w:val="24"/>
          <w:szCs w:val="24"/>
        </w:rPr>
        <w:t>。</w:t>
      </w:r>
    </w:p>
    <w:p>
      <w:pPr>
        <w:pStyle w:val="47"/>
        <w:spacing w:before="156" w:after="0" w:afterLines="0" w:line="360" w:lineRule="auto"/>
        <w:ind w:left="0" w:firstLine="0"/>
        <w:rPr>
          <w:rFonts w:ascii="Times New Roman" w:hAnsi="Times New Roman"/>
          <w:color w:val="auto"/>
          <w:sz w:val="24"/>
          <w:szCs w:val="24"/>
        </w:rPr>
      </w:pPr>
      <w:bookmarkStart w:id="106" w:name="_Toc21728"/>
      <w:r>
        <w:rPr>
          <w:rFonts w:ascii="Times New Roman" w:hAnsi="Times New Roman"/>
          <w:color w:val="auto"/>
          <w:sz w:val="24"/>
          <w:szCs w:val="24"/>
        </w:rPr>
        <w:t>8 复校</w:t>
      </w:r>
      <w:bookmarkEnd w:id="100"/>
      <w:bookmarkEnd w:id="101"/>
      <w:bookmarkEnd w:id="102"/>
      <w:bookmarkEnd w:id="103"/>
      <w:bookmarkEnd w:id="104"/>
      <w:r>
        <w:rPr>
          <w:rFonts w:ascii="Times New Roman" w:hAnsi="Times New Roman"/>
          <w:color w:val="auto"/>
          <w:sz w:val="24"/>
          <w:szCs w:val="24"/>
        </w:rPr>
        <w:t>时间间隔</w:t>
      </w:r>
      <w:bookmarkEnd w:id="106"/>
    </w:p>
    <w:bookmarkEnd w:id="105"/>
    <w:p>
      <w:pPr>
        <w:spacing w:line="360" w:lineRule="auto"/>
        <w:ind w:firstLine="480" w:firstLineChars="200"/>
        <w:rPr>
          <w:rFonts w:eastAsiaTheme="minorEastAsia"/>
          <w:sz w:val="24"/>
        </w:rPr>
      </w:pPr>
      <w:r>
        <w:rPr>
          <w:rFonts w:eastAsiaTheme="minorEastAsia"/>
          <w:sz w:val="24"/>
        </w:rPr>
        <w:t>由于复校时间间隔的长短是由试块的使用保养情况、使用者、试块本身质量等因素所决定，送校单位可根据实际使用情况自主决定复校时间间隔。</w:t>
      </w:r>
    </w:p>
    <w:p>
      <w:pPr>
        <w:rPr>
          <w:sz w:val="28"/>
          <w:szCs w:val="28"/>
        </w:rPr>
      </w:pPr>
      <w:r>
        <w:rPr>
          <w:rFonts w:eastAsiaTheme="minorEastAsia"/>
          <w:sz w:val="24"/>
        </w:rPr>
        <w:br w:type="page"/>
      </w:r>
      <w:bookmarkStart w:id="107" w:name="_Toc20191_WPSOffice_Level1"/>
      <w:bookmarkStart w:id="108" w:name="_Toc24482"/>
      <w:bookmarkStart w:id="109" w:name="_Toc500258949"/>
      <w:r>
        <w:rPr>
          <w:rStyle w:val="33"/>
        </w:rPr>
        <w:t>附录</w:t>
      </w:r>
      <w:bookmarkEnd w:id="107"/>
      <w:r>
        <w:rPr>
          <w:rStyle w:val="33"/>
        </w:rPr>
        <w:t>A</w:t>
      </w:r>
      <w:bookmarkEnd w:id="108"/>
    </w:p>
    <w:bookmarkEnd w:id="109"/>
    <w:p>
      <w:pPr>
        <w:pStyle w:val="48"/>
        <w:spacing w:line="360" w:lineRule="auto"/>
        <w:ind w:firstLine="560"/>
        <w:jc w:val="center"/>
        <w:rPr>
          <w:rFonts w:ascii="Times New Roman" w:hAnsi="Times New Roman" w:eastAsia="黑体"/>
          <w:bCs/>
          <w:kern w:val="2"/>
          <w:sz w:val="28"/>
          <w:szCs w:val="28"/>
        </w:rPr>
      </w:pPr>
      <w:bookmarkStart w:id="110" w:name="_Toc18788_WPSOffice_Level2"/>
      <w:bookmarkStart w:id="111" w:name="_Toc15031_WPSOffice_Level2"/>
      <w:bookmarkStart w:id="112" w:name="_Toc5010_WPSOffice_Level2"/>
      <w:r>
        <w:rPr>
          <w:rFonts w:ascii="Times New Roman" w:hAnsi="Times New Roman" w:eastAsia="黑体"/>
          <w:bCs/>
          <w:kern w:val="2"/>
          <w:sz w:val="28"/>
          <w:szCs w:val="28"/>
        </w:rPr>
        <w:t>校准原始记录参考格式</w:t>
      </w:r>
      <w:bookmarkEnd w:id="110"/>
      <w:bookmarkEnd w:id="111"/>
    </w:p>
    <w:tbl>
      <w:tblPr>
        <w:tblStyle w:val="24"/>
        <w:tblW w:w="9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135"/>
        <w:gridCol w:w="1134"/>
        <w:gridCol w:w="1134"/>
        <w:gridCol w:w="1843"/>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sz w:val="24"/>
              </w:rPr>
            </w:pPr>
            <w:r>
              <w:rPr>
                <w:sz w:val="24"/>
              </w:rPr>
              <w:t>记录编号</w:t>
            </w:r>
          </w:p>
        </w:tc>
        <w:tc>
          <w:tcPr>
            <w:tcW w:w="3403" w:type="dxa"/>
            <w:gridSpan w:val="3"/>
            <w:vAlign w:val="center"/>
          </w:tcPr>
          <w:p>
            <w:pPr>
              <w:spacing w:line="360" w:lineRule="auto"/>
              <w:jc w:val="center"/>
              <w:rPr>
                <w:sz w:val="24"/>
              </w:rPr>
            </w:pPr>
          </w:p>
        </w:tc>
        <w:tc>
          <w:tcPr>
            <w:tcW w:w="1843" w:type="dxa"/>
            <w:vAlign w:val="center"/>
          </w:tcPr>
          <w:p>
            <w:pPr>
              <w:spacing w:line="360" w:lineRule="auto"/>
              <w:jc w:val="center"/>
              <w:rPr>
                <w:sz w:val="24"/>
              </w:rPr>
            </w:pPr>
            <w:r>
              <w:rPr>
                <w:sz w:val="24"/>
              </w:rPr>
              <w:t>证书编号</w:t>
            </w:r>
          </w:p>
        </w:tc>
        <w:tc>
          <w:tcPr>
            <w:tcW w:w="3118" w:type="dxa"/>
            <w:gridSpan w:val="2"/>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sz w:val="24"/>
              </w:rPr>
            </w:pPr>
            <w:r>
              <w:rPr>
                <w:sz w:val="24"/>
              </w:rPr>
              <w:t>送校单位</w:t>
            </w:r>
          </w:p>
        </w:tc>
        <w:tc>
          <w:tcPr>
            <w:tcW w:w="3403" w:type="dxa"/>
            <w:gridSpan w:val="3"/>
            <w:vAlign w:val="center"/>
          </w:tcPr>
          <w:p>
            <w:pPr>
              <w:spacing w:line="360" w:lineRule="auto"/>
              <w:jc w:val="center"/>
              <w:rPr>
                <w:sz w:val="24"/>
              </w:rPr>
            </w:pPr>
          </w:p>
        </w:tc>
        <w:tc>
          <w:tcPr>
            <w:tcW w:w="1843" w:type="dxa"/>
            <w:vAlign w:val="center"/>
          </w:tcPr>
          <w:p>
            <w:pPr>
              <w:spacing w:line="360" w:lineRule="auto"/>
              <w:jc w:val="center"/>
              <w:rPr>
                <w:sz w:val="24"/>
              </w:rPr>
            </w:pPr>
            <w:r>
              <w:rPr>
                <w:sz w:val="24"/>
              </w:rPr>
              <w:t>校准依据</w:t>
            </w:r>
          </w:p>
        </w:tc>
        <w:tc>
          <w:tcPr>
            <w:tcW w:w="3118" w:type="dxa"/>
            <w:gridSpan w:val="2"/>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934" w:type="dxa"/>
            <w:gridSpan w:val="7"/>
            <w:vAlign w:val="center"/>
          </w:tcPr>
          <w:p>
            <w:pPr>
              <w:spacing w:line="360" w:lineRule="auto"/>
              <w:jc w:val="center"/>
              <w:rPr>
                <w:sz w:val="24"/>
              </w:rPr>
            </w:pPr>
            <w:r>
              <w:rPr>
                <w:sz w:val="24"/>
              </w:rPr>
              <w:t>被校试块信息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sz w:val="24"/>
              </w:rPr>
            </w:pPr>
            <w:r>
              <w:rPr>
                <w:sz w:val="24"/>
              </w:rPr>
              <w:t>试块规格</w:t>
            </w:r>
          </w:p>
        </w:tc>
        <w:tc>
          <w:tcPr>
            <w:tcW w:w="3403" w:type="dxa"/>
            <w:gridSpan w:val="3"/>
            <w:vAlign w:val="center"/>
          </w:tcPr>
          <w:p>
            <w:pPr>
              <w:spacing w:line="360" w:lineRule="auto"/>
              <w:jc w:val="center"/>
              <w:rPr>
                <w:sz w:val="24"/>
              </w:rPr>
            </w:pPr>
          </w:p>
        </w:tc>
        <w:tc>
          <w:tcPr>
            <w:tcW w:w="1843" w:type="dxa"/>
            <w:vAlign w:val="center"/>
          </w:tcPr>
          <w:p>
            <w:pPr>
              <w:spacing w:line="360" w:lineRule="auto"/>
              <w:jc w:val="center"/>
              <w:rPr>
                <w:sz w:val="24"/>
              </w:rPr>
            </w:pPr>
            <w:r>
              <w:rPr>
                <w:sz w:val="24"/>
              </w:rPr>
              <w:t>出厂编号</w:t>
            </w:r>
          </w:p>
        </w:tc>
        <w:tc>
          <w:tcPr>
            <w:tcW w:w="3118" w:type="dxa"/>
            <w:gridSpan w:val="2"/>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sz w:val="24"/>
              </w:rPr>
            </w:pPr>
            <w:r>
              <w:rPr>
                <w:sz w:val="24"/>
              </w:rPr>
              <w:t>制造厂家</w:t>
            </w:r>
          </w:p>
        </w:tc>
        <w:tc>
          <w:tcPr>
            <w:tcW w:w="8364" w:type="dxa"/>
            <w:gridSpan w:val="6"/>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sz w:val="24"/>
              </w:rPr>
            </w:pPr>
            <w:r>
              <w:rPr>
                <w:sz w:val="24"/>
              </w:rPr>
              <w:t>校准地点</w:t>
            </w:r>
          </w:p>
        </w:tc>
        <w:tc>
          <w:tcPr>
            <w:tcW w:w="3403" w:type="dxa"/>
            <w:gridSpan w:val="3"/>
            <w:vAlign w:val="center"/>
          </w:tcPr>
          <w:p>
            <w:pPr>
              <w:spacing w:line="360" w:lineRule="auto"/>
              <w:jc w:val="center"/>
              <w:rPr>
                <w:sz w:val="24"/>
              </w:rPr>
            </w:pPr>
          </w:p>
        </w:tc>
        <w:tc>
          <w:tcPr>
            <w:tcW w:w="1843" w:type="dxa"/>
            <w:vAlign w:val="center"/>
          </w:tcPr>
          <w:p>
            <w:pPr>
              <w:spacing w:line="360" w:lineRule="auto"/>
              <w:jc w:val="center"/>
              <w:rPr>
                <w:sz w:val="24"/>
              </w:rPr>
            </w:pPr>
            <w:r>
              <w:rPr>
                <w:sz w:val="24"/>
              </w:rPr>
              <w:t>环境条件</w:t>
            </w:r>
          </w:p>
        </w:tc>
        <w:tc>
          <w:tcPr>
            <w:tcW w:w="3118" w:type="dxa"/>
            <w:gridSpan w:val="2"/>
            <w:vAlign w:val="center"/>
          </w:tcPr>
          <w:p>
            <w:pPr>
              <w:spacing w:line="360" w:lineRule="auto"/>
              <w:jc w:val="center"/>
              <w:rPr>
                <w:sz w:val="24"/>
              </w:rPr>
            </w:pPr>
            <w:r>
              <w:rPr>
                <w:sz w:val="24"/>
              </w:rPr>
              <w:t>℃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934" w:type="dxa"/>
            <w:gridSpan w:val="7"/>
            <w:vAlign w:val="center"/>
          </w:tcPr>
          <w:p>
            <w:pPr>
              <w:spacing w:line="360" w:lineRule="auto"/>
              <w:jc w:val="center"/>
              <w:rPr>
                <w:sz w:val="24"/>
              </w:rPr>
            </w:pPr>
            <w:r>
              <w:rPr>
                <w:sz w:val="24"/>
              </w:rPr>
              <w:t>测量标准信息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570" w:type="dxa"/>
            <w:vAlign w:val="center"/>
          </w:tcPr>
          <w:p>
            <w:pPr>
              <w:spacing w:line="360" w:lineRule="auto"/>
              <w:jc w:val="center"/>
              <w:rPr>
                <w:sz w:val="24"/>
              </w:rPr>
            </w:pPr>
            <w:r>
              <w:rPr>
                <w:sz w:val="24"/>
              </w:rPr>
              <w:t>名称</w:t>
            </w:r>
          </w:p>
        </w:tc>
        <w:tc>
          <w:tcPr>
            <w:tcW w:w="1135" w:type="dxa"/>
            <w:vAlign w:val="center"/>
          </w:tcPr>
          <w:p>
            <w:pPr>
              <w:spacing w:line="360" w:lineRule="auto"/>
              <w:jc w:val="center"/>
              <w:rPr>
                <w:sz w:val="24"/>
              </w:rPr>
            </w:pPr>
            <w:r>
              <w:rPr>
                <w:sz w:val="24"/>
              </w:rPr>
              <w:t>型号</w:t>
            </w:r>
          </w:p>
        </w:tc>
        <w:tc>
          <w:tcPr>
            <w:tcW w:w="1134" w:type="dxa"/>
            <w:vAlign w:val="center"/>
          </w:tcPr>
          <w:p>
            <w:pPr>
              <w:spacing w:line="360" w:lineRule="auto"/>
              <w:jc w:val="center"/>
              <w:rPr>
                <w:sz w:val="24"/>
              </w:rPr>
            </w:pPr>
            <w:r>
              <w:rPr>
                <w:sz w:val="24"/>
              </w:rPr>
              <w:t>编号</w:t>
            </w:r>
          </w:p>
        </w:tc>
        <w:tc>
          <w:tcPr>
            <w:tcW w:w="1134" w:type="dxa"/>
            <w:vAlign w:val="center"/>
          </w:tcPr>
          <w:p>
            <w:pPr>
              <w:spacing w:line="360" w:lineRule="auto"/>
              <w:jc w:val="center"/>
              <w:rPr>
                <w:sz w:val="24"/>
              </w:rPr>
            </w:pPr>
            <w:r>
              <w:rPr>
                <w:sz w:val="24"/>
              </w:rPr>
              <w:t>测量范围</w:t>
            </w:r>
          </w:p>
        </w:tc>
        <w:tc>
          <w:tcPr>
            <w:tcW w:w="1843" w:type="dxa"/>
            <w:vAlign w:val="center"/>
          </w:tcPr>
          <w:p>
            <w:pPr>
              <w:spacing w:line="360" w:lineRule="auto"/>
              <w:jc w:val="center"/>
              <w:rPr>
                <w:sz w:val="24"/>
              </w:rPr>
            </w:pPr>
            <w:r>
              <w:rPr>
                <w:sz w:val="24"/>
              </w:rPr>
              <w:t>不确定度/</w:t>
            </w:r>
          </w:p>
          <w:p>
            <w:pPr>
              <w:spacing w:line="360" w:lineRule="auto"/>
              <w:jc w:val="center"/>
              <w:rPr>
                <w:sz w:val="24"/>
              </w:rPr>
            </w:pPr>
            <w:r>
              <w:rPr>
                <w:sz w:val="24"/>
              </w:rPr>
              <w:t>准确度等级/</w:t>
            </w:r>
          </w:p>
          <w:p>
            <w:pPr>
              <w:spacing w:line="360" w:lineRule="auto"/>
              <w:jc w:val="center"/>
              <w:rPr>
                <w:sz w:val="24"/>
              </w:rPr>
            </w:pPr>
            <w:r>
              <w:rPr>
                <w:sz w:val="24"/>
              </w:rPr>
              <w:t>最大允许误差</w:t>
            </w:r>
          </w:p>
        </w:tc>
        <w:tc>
          <w:tcPr>
            <w:tcW w:w="1559" w:type="dxa"/>
            <w:vAlign w:val="center"/>
          </w:tcPr>
          <w:p>
            <w:pPr>
              <w:spacing w:line="360" w:lineRule="auto"/>
              <w:jc w:val="center"/>
              <w:rPr>
                <w:sz w:val="24"/>
              </w:rPr>
            </w:pPr>
            <w:r>
              <w:rPr>
                <w:sz w:val="24"/>
              </w:rPr>
              <w:t>证书编号</w:t>
            </w:r>
          </w:p>
        </w:tc>
        <w:tc>
          <w:tcPr>
            <w:tcW w:w="1559" w:type="dxa"/>
            <w:vAlign w:val="center"/>
          </w:tcPr>
          <w:p>
            <w:pPr>
              <w:spacing w:line="360" w:lineRule="auto"/>
              <w:jc w:val="center"/>
              <w:rPr>
                <w:sz w:val="24"/>
              </w:rPr>
            </w:pPr>
            <w:r>
              <w:rPr>
                <w:sz w:val="24"/>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360" w:lineRule="auto"/>
              <w:jc w:val="center"/>
              <w:rPr>
                <w:sz w:val="24"/>
              </w:rPr>
            </w:pPr>
          </w:p>
        </w:tc>
        <w:tc>
          <w:tcPr>
            <w:tcW w:w="1135" w:type="dxa"/>
            <w:vAlign w:val="center"/>
          </w:tcPr>
          <w:p>
            <w:pPr>
              <w:spacing w:line="360" w:lineRule="auto"/>
              <w:jc w:val="center"/>
              <w:rPr>
                <w:sz w:val="24"/>
              </w:rPr>
            </w:pPr>
          </w:p>
        </w:tc>
        <w:tc>
          <w:tcPr>
            <w:tcW w:w="1134" w:type="dxa"/>
            <w:vAlign w:val="center"/>
          </w:tcPr>
          <w:p>
            <w:pPr>
              <w:spacing w:line="360" w:lineRule="auto"/>
              <w:jc w:val="center"/>
              <w:rPr>
                <w:sz w:val="24"/>
              </w:rPr>
            </w:pPr>
          </w:p>
        </w:tc>
        <w:tc>
          <w:tcPr>
            <w:tcW w:w="1134" w:type="dxa"/>
            <w:vAlign w:val="center"/>
          </w:tcPr>
          <w:p>
            <w:pPr>
              <w:spacing w:line="360" w:lineRule="auto"/>
              <w:jc w:val="center"/>
              <w:rPr>
                <w:sz w:val="24"/>
              </w:rPr>
            </w:pPr>
          </w:p>
        </w:tc>
        <w:tc>
          <w:tcPr>
            <w:tcW w:w="1843" w:type="dxa"/>
            <w:vAlign w:val="center"/>
          </w:tcPr>
          <w:p>
            <w:pPr>
              <w:spacing w:line="360" w:lineRule="auto"/>
              <w:jc w:val="center"/>
              <w:rPr>
                <w:sz w:val="24"/>
              </w:rPr>
            </w:pPr>
          </w:p>
        </w:tc>
        <w:tc>
          <w:tcPr>
            <w:tcW w:w="1559" w:type="dxa"/>
            <w:vAlign w:val="center"/>
          </w:tcPr>
          <w:p>
            <w:pPr>
              <w:spacing w:line="360" w:lineRule="auto"/>
              <w:jc w:val="center"/>
              <w:rPr>
                <w:sz w:val="24"/>
              </w:rPr>
            </w:pPr>
          </w:p>
        </w:tc>
        <w:tc>
          <w:tcPr>
            <w:tcW w:w="1559" w:type="dxa"/>
            <w:vAlign w:val="center"/>
          </w:tcPr>
          <w:p>
            <w:pPr>
              <w:spacing w:line="360" w:lineRule="auto"/>
              <w:jc w:val="center"/>
              <w:rPr>
                <w:sz w:val="24"/>
              </w:rPr>
            </w:pPr>
          </w:p>
        </w:tc>
      </w:tr>
    </w:tbl>
    <w:tbl>
      <w:tblPr>
        <w:tblStyle w:val="25"/>
        <w:tblW w:w="9919"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5"/>
        <w:gridCol w:w="1177"/>
        <w:gridCol w:w="236"/>
        <w:gridCol w:w="943"/>
        <w:gridCol w:w="471"/>
        <w:gridCol w:w="707"/>
        <w:gridCol w:w="707"/>
        <w:gridCol w:w="472"/>
        <w:gridCol w:w="942"/>
        <w:gridCol w:w="237"/>
        <w:gridCol w:w="1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19" w:type="dxa"/>
            <w:gridSpan w:val="11"/>
            <w:tcBorders>
              <w:top w:val="nil"/>
            </w:tcBorders>
          </w:tcPr>
          <w:p>
            <w:pPr>
              <w:spacing w:line="360" w:lineRule="auto"/>
              <w:jc w:val="left"/>
              <w:rPr>
                <w:sz w:val="24"/>
              </w:rPr>
            </w:pPr>
            <w:r>
              <w:rPr>
                <w:sz w:val="24"/>
              </w:rPr>
              <w:t>校准项目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restart"/>
            <w:vAlign w:val="center"/>
          </w:tcPr>
          <w:p>
            <w:pPr>
              <w:spacing w:line="360" w:lineRule="auto"/>
              <w:jc w:val="left"/>
              <w:rPr>
                <w:sz w:val="24"/>
              </w:rPr>
            </w:pPr>
            <w:r>
              <w:rPr>
                <w:sz w:val="24"/>
              </w:rPr>
              <w:t>1、试块外形尺寸/mm</w:t>
            </w:r>
          </w:p>
        </w:tc>
        <w:tc>
          <w:tcPr>
            <w:tcW w:w="1414" w:type="dxa"/>
            <w:gridSpan w:val="2"/>
          </w:tcPr>
          <w:p>
            <w:pPr>
              <w:spacing w:line="360" w:lineRule="auto"/>
              <w:jc w:val="center"/>
              <w:rPr>
                <w:sz w:val="24"/>
              </w:rPr>
            </w:pPr>
            <w:r>
              <w:rPr>
                <w:sz w:val="24"/>
              </w:rPr>
              <w:t>标称值</w:t>
            </w:r>
          </w:p>
        </w:tc>
        <w:tc>
          <w:tcPr>
            <w:tcW w:w="1414" w:type="dxa"/>
            <w:gridSpan w:val="2"/>
          </w:tcPr>
          <w:p>
            <w:pPr>
              <w:spacing w:line="360" w:lineRule="auto"/>
              <w:jc w:val="center"/>
              <w:rPr>
                <w:sz w:val="24"/>
              </w:rPr>
            </w:pPr>
          </w:p>
        </w:tc>
        <w:tc>
          <w:tcPr>
            <w:tcW w:w="1414" w:type="dxa"/>
            <w:gridSpan w:val="2"/>
          </w:tcPr>
          <w:p>
            <w:pPr>
              <w:spacing w:line="360" w:lineRule="auto"/>
              <w:jc w:val="center"/>
              <w:rPr>
                <w:sz w:val="24"/>
              </w:rPr>
            </w:pPr>
          </w:p>
        </w:tc>
        <w:tc>
          <w:tcPr>
            <w:tcW w:w="1414" w:type="dxa"/>
            <w:gridSpan w:val="2"/>
          </w:tcPr>
          <w:p>
            <w:pPr>
              <w:spacing w:line="360" w:lineRule="auto"/>
              <w:jc w:val="center"/>
              <w:rPr>
                <w:sz w:val="24"/>
              </w:rPr>
            </w:pPr>
          </w:p>
        </w:tc>
        <w:tc>
          <w:tcPr>
            <w:tcW w:w="1416" w:type="dxa"/>
            <w:gridSpan w:val="2"/>
          </w:tcPr>
          <w:p>
            <w:pPr>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continue"/>
            <w:vAlign w:val="center"/>
          </w:tcPr>
          <w:p>
            <w:pPr>
              <w:spacing w:line="360" w:lineRule="auto"/>
              <w:jc w:val="left"/>
              <w:rPr>
                <w:sz w:val="24"/>
              </w:rPr>
            </w:pPr>
          </w:p>
        </w:tc>
        <w:tc>
          <w:tcPr>
            <w:tcW w:w="1414" w:type="dxa"/>
            <w:gridSpan w:val="2"/>
          </w:tcPr>
          <w:p>
            <w:pPr>
              <w:spacing w:line="360" w:lineRule="auto"/>
              <w:jc w:val="center"/>
              <w:rPr>
                <w:sz w:val="24"/>
              </w:rPr>
            </w:pPr>
            <w:r>
              <w:rPr>
                <w:sz w:val="24"/>
              </w:rPr>
              <w:t>测得值</w:t>
            </w:r>
          </w:p>
        </w:tc>
        <w:tc>
          <w:tcPr>
            <w:tcW w:w="1414" w:type="dxa"/>
            <w:gridSpan w:val="2"/>
          </w:tcPr>
          <w:p>
            <w:pPr>
              <w:spacing w:line="360" w:lineRule="auto"/>
              <w:jc w:val="center"/>
              <w:rPr>
                <w:sz w:val="24"/>
              </w:rPr>
            </w:pPr>
          </w:p>
        </w:tc>
        <w:tc>
          <w:tcPr>
            <w:tcW w:w="1414" w:type="dxa"/>
            <w:gridSpan w:val="2"/>
          </w:tcPr>
          <w:p>
            <w:pPr>
              <w:spacing w:line="360" w:lineRule="auto"/>
              <w:jc w:val="center"/>
              <w:rPr>
                <w:sz w:val="24"/>
              </w:rPr>
            </w:pPr>
          </w:p>
        </w:tc>
        <w:tc>
          <w:tcPr>
            <w:tcW w:w="1414" w:type="dxa"/>
            <w:gridSpan w:val="2"/>
          </w:tcPr>
          <w:p>
            <w:pPr>
              <w:spacing w:line="360" w:lineRule="auto"/>
              <w:jc w:val="center"/>
              <w:rPr>
                <w:sz w:val="24"/>
              </w:rPr>
            </w:pPr>
          </w:p>
        </w:tc>
        <w:tc>
          <w:tcPr>
            <w:tcW w:w="1416" w:type="dxa"/>
            <w:gridSpan w:val="2"/>
          </w:tcPr>
          <w:p>
            <w:pPr>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restart"/>
            <w:vAlign w:val="center"/>
          </w:tcPr>
          <w:p>
            <w:pPr>
              <w:spacing w:line="360" w:lineRule="auto"/>
              <w:jc w:val="left"/>
              <w:rPr>
                <w:sz w:val="24"/>
              </w:rPr>
            </w:pPr>
            <w:r>
              <w:rPr>
                <w:sz w:val="24"/>
              </w:rPr>
              <w:t>2、孔槽尺寸/mm</w:t>
            </w:r>
          </w:p>
        </w:tc>
        <w:tc>
          <w:tcPr>
            <w:tcW w:w="1414" w:type="dxa"/>
            <w:gridSpan w:val="2"/>
          </w:tcPr>
          <w:p>
            <w:pPr>
              <w:spacing w:line="360" w:lineRule="auto"/>
              <w:jc w:val="center"/>
              <w:rPr>
                <w:sz w:val="24"/>
              </w:rPr>
            </w:pPr>
            <w:r>
              <w:rPr>
                <w:sz w:val="24"/>
              </w:rPr>
              <w:t>标称值</w:t>
            </w:r>
          </w:p>
        </w:tc>
        <w:tc>
          <w:tcPr>
            <w:tcW w:w="1414" w:type="dxa"/>
            <w:gridSpan w:val="2"/>
          </w:tcPr>
          <w:p>
            <w:pPr>
              <w:spacing w:line="360" w:lineRule="auto"/>
              <w:jc w:val="left"/>
              <w:rPr>
                <w:sz w:val="24"/>
              </w:rPr>
            </w:pPr>
          </w:p>
        </w:tc>
        <w:tc>
          <w:tcPr>
            <w:tcW w:w="1414" w:type="dxa"/>
            <w:gridSpan w:val="2"/>
          </w:tcPr>
          <w:p>
            <w:pPr>
              <w:spacing w:line="360" w:lineRule="auto"/>
              <w:jc w:val="left"/>
              <w:rPr>
                <w:sz w:val="24"/>
              </w:rPr>
            </w:pPr>
          </w:p>
        </w:tc>
        <w:tc>
          <w:tcPr>
            <w:tcW w:w="1414" w:type="dxa"/>
            <w:gridSpan w:val="2"/>
          </w:tcPr>
          <w:p>
            <w:pPr>
              <w:spacing w:line="360" w:lineRule="auto"/>
              <w:jc w:val="left"/>
              <w:rPr>
                <w:sz w:val="24"/>
              </w:rPr>
            </w:pPr>
          </w:p>
        </w:tc>
        <w:tc>
          <w:tcPr>
            <w:tcW w:w="1416" w:type="dxa"/>
            <w:gridSpan w:val="2"/>
          </w:tcPr>
          <w:p>
            <w:pPr>
              <w:spacing w:line="360" w:lineRule="auto"/>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continue"/>
          </w:tcPr>
          <w:p>
            <w:pPr>
              <w:spacing w:line="360" w:lineRule="auto"/>
              <w:jc w:val="left"/>
              <w:rPr>
                <w:sz w:val="24"/>
              </w:rPr>
            </w:pPr>
          </w:p>
        </w:tc>
        <w:tc>
          <w:tcPr>
            <w:tcW w:w="1414" w:type="dxa"/>
            <w:gridSpan w:val="2"/>
          </w:tcPr>
          <w:p>
            <w:pPr>
              <w:spacing w:line="360" w:lineRule="auto"/>
              <w:jc w:val="center"/>
              <w:rPr>
                <w:sz w:val="24"/>
              </w:rPr>
            </w:pPr>
            <w:r>
              <w:rPr>
                <w:sz w:val="24"/>
              </w:rPr>
              <w:t>测得值</w:t>
            </w:r>
          </w:p>
        </w:tc>
        <w:tc>
          <w:tcPr>
            <w:tcW w:w="1414" w:type="dxa"/>
            <w:gridSpan w:val="2"/>
          </w:tcPr>
          <w:p>
            <w:pPr>
              <w:spacing w:line="360" w:lineRule="auto"/>
              <w:jc w:val="left"/>
              <w:rPr>
                <w:sz w:val="24"/>
              </w:rPr>
            </w:pPr>
          </w:p>
        </w:tc>
        <w:tc>
          <w:tcPr>
            <w:tcW w:w="1414" w:type="dxa"/>
            <w:gridSpan w:val="2"/>
          </w:tcPr>
          <w:p>
            <w:pPr>
              <w:spacing w:line="360" w:lineRule="auto"/>
              <w:jc w:val="left"/>
              <w:rPr>
                <w:sz w:val="24"/>
              </w:rPr>
            </w:pPr>
          </w:p>
        </w:tc>
        <w:tc>
          <w:tcPr>
            <w:tcW w:w="1414" w:type="dxa"/>
            <w:gridSpan w:val="2"/>
          </w:tcPr>
          <w:p>
            <w:pPr>
              <w:spacing w:line="360" w:lineRule="auto"/>
              <w:jc w:val="left"/>
              <w:rPr>
                <w:sz w:val="24"/>
              </w:rPr>
            </w:pPr>
          </w:p>
        </w:tc>
        <w:tc>
          <w:tcPr>
            <w:tcW w:w="1416" w:type="dxa"/>
            <w:gridSpan w:val="2"/>
          </w:tcPr>
          <w:p>
            <w:pPr>
              <w:spacing w:line="360" w:lineRule="auto"/>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restart"/>
          </w:tcPr>
          <w:p>
            <w:pPr>
              <w:spacing w:line="360" w:lineRule="auto"/>
              <w:jc w:val="left"/>
              <w:rPr>
                <w:sz w:val="24"/>
              </w:rPr>
            </w:pPr>
            <w:r>
              <w:rPr>
                <w:sz w:val="24"/>
              </w:rPr>
              <w:t>3、角度测量/°</w:t>
            </w:r>
          </w:p>
        </w:tc>
        <w:tc>
          <w:tcPr>
            <w:tcW w:w="1414" w:type="dxa"/>
            <w:gridSpan w:val="2"/>
          </w:tcPr>
          <w:p>
            <w:pPr>
              <w:spacing w:line="360" w:lineRule="auto"/>
              <w:jc w:val="center"/>
              <w:rPr>
                <w:sz w:val="24"/>
              </w:rPr>
            </w:pPr>
            <w:r>
              <w:rPr>
                <w:sz w:val="24"/>
              </w:rPr>
              <w:t>标称值</w:t>
            </w:r>
          </w:p>
        </w:tc>
        <w:tc>
          <w:tcPr>
            <w:tcW w:w="1414" w:type="dxa"/>
            <w:gridSpan w:val="2"/>
          </w:tcPr>
          <w:p>
            <w:pPr>
              <w:spacing w:line="360" w:lineRule="auto"/>
              <w:jc w:val="left"/>
              <w:rPr>
                <w:sz w:val="24"/>
              </w:rPr>
            </w:pPr>
          </w:p>
        </w:tc>
        <w:tc>
          <w:tcPr>
            <w:tcW w:w="1414" w:type="dxa"/>
            <w:gridSpan w:val="2"/>
          </w:tcPr>
          <w:p>
            <w:pPr>
              <w:spacing w:line="360" w:lineRule="auto"/>
              <w:jc w:val="left"/>
              <w:rPr>
                <w:sz w:val="24"/>
              </w:rPr>
            </w:pPr>
          </w:p>
        </w:tc>
        <w:tc>
          <w:tcPr>
            <w:tcW w:w="1414" w:type="dxa"/>
            <w:gridSpan w:val="2"/>
          </w:tcPr>
          <w:p>
            <w:pPr>
              <w:spacing w:line="360" w:lineRule="auto"/>
              <w:jc w:val="left"/>
              <w:rPr>
                <w:sz w:val="24"/>
              </w:rPr>
            </w:pPr>
          </w:p>
        </w:tc>
        <w:tc>
          <w:tcPr>
            <w:tcW w:w="1416" w:type="dxa"/>
            <w:gridSpan w:val="2"/>
          </w:tcPr>
          <w:p>
            <w:pPr>
              <w:spacing w:line="360" w:lineRule="auto"/>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continue"/>
          </w:tcPr>
          <w:p>
            <w:pPr>
              <w:spacing w:line="360" w:lineRule="auto"/>
              <w:jc w:val="left"/>
              <w:rPr>
                <w:sz w:val="24"/>
              </w:rPr>
            </w:pPr>
          </w:p>
        </w:tc>
        <w:tc>
          <w:tcPr>
            <w:tcW w:w="1414" w:type="dxa"/>
            <w:gridSpan w:val="2"/>
          </w:tcPr>
          <w:p>
            <w:pPr>
              <w:spacing w:line="360" w:lineRule="auto"/>
              <w:jc w:val="center"/>
              <w:rPr>
                <w:sz w:val="24"/>
              </w:rPr>
            </w:pPr>
            <w:r>
              <w:rPr>
                <w:sz w:val="24"/>
              </w:rPr>
              <w:t>测得值</w:t>
            </w:r>
          </w:p>
        </w:tc>
        <w:tc>
          <w:tcPr>
            <w:tcW w:w="1414" w:type="dxa"/>
            <w:gridSpan w:val="2"/>
          </w:tcPr>
          <w:p>
            <w:pPr>
              <w:spacing w:line="360" w:lineRule="auto"/>
              <w:jc w:val="left"/>
              <w:rPr>
                <w:sz w:val="24"/>
              </w:rPr>
            </w:pPr>
          </w:p>
        </w:tc>
        <w:tc>
          <w:tcPr>
            <w:tcW w:w="1414" w:type="dxa"/>
            <w:gridSpan w:val="2"/>
          </w:tcPr>
          <w:p>
            <w:pPr>
              <w:spacing w:line="360" w:lineRule="auto"/>
              <w:jc w:val="left"/>
              <w:rPr>
                <w:sz w:val="24"/>
              </w:rPr>
            </w:pPr>
          </w:p>
        </w:tc>
        <w:tc>
          <w:tcPr>
            <w:tcW w:w="1414" w:type="dxa"/>
            <w:gridSpan w:val="2"/>
          </w:tcPr>
          <w:p>
            <w:pPr>
              <w:spacing w:line="360" w:lineRule="auto"/>
              <w:jc w:val="left"/>
              <w:rPr>
                <w:sz w:val="24"/>
              </w:rPr>
            </w:pPr>
          </w:p>
        </w:tc>
        <w:tc>
          <w:tcPr>
            <w:tcW w:w="1416" w:type="dxa"/>
            <w:gridSpan w:val="2"/>
          </w:tcPr>
          <w:p>
            <w:pPr>
              <w:spacing w:line="360" w:lineRule="auto"/>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2847" w:type="dxa"/>
            <w:vMerge w:val="restart"/>
            <w:vAlign w:val="center"/>
          </w:tcPr>
          <w:p>
            <w:pPr>
              <w:spacing w:line="360" w:lineRule="auto"/>
              <w:rPr>
                <w:rFonts w:eastAsiaTheme="minorEastAsia"/>
                <w:sz w:val="24"/>
              </w:rPr>
            </w:pPr>
            <w:r>
              <w:rPr>
                <w:sz w:val="24"/>
              </w:rPr>
              <w:t>4、接触面平面度</w:t>
            </w:r>
            <w:r>
              <w:rPr>
                <w:rFonts w:eastAsiaTheme="minorEastAsia"/>
                <w:sz w:val="24"/>
              </w:rPr>
              <w:t>/μm</w:t>
            </w:r>
          </w:p>
        </w:tc>
        <w:tc>
          <w:tcPr>
            <w:tcW w:w="1178" w:type="dxa"/>
          </w:tcPr>
          <w:p>
            <w:pPr>
              <w:spacing w:line="360" w:lineRule="auto"/>
              <w:jc w:val="center"/>
              <w:rPr>
                <w:sz w:val="24"/>
              </w:rPr>
            </w:pPr>
            <w:r>
              <w:rPr>
                <w:sz w:val="24"/>
              </w:rPr>
              <w:t>A面</w:t>
            </w:r>
          </w:p>
        </w:tc>
        <w:tc>
          <w:tcPr>
            <w:tcW w:w="1178" w:type="dxa"/>
            <w:gridSpan w:val="2"/>
          </w:tcPr>
          <w:p>
            <w:pPr>
              <w:spacing w:line="360" w:lineRule="auto"/>
              <w:jc w:val="center"/>
              <w:rPr>
                <w:sz w:val="24"/>
              </w:rPr>
            </w:pPr>
            <w:r>
              <w:rPr>
                <w:sz w:val="24"/>
              </w:rPr>
              <w:t>B面</w:t>
            </w:r>
          </w:p>
        </w:tc>
        <w:tc>
          <w:tcPr>
            <w:tcW w:w="1178" w:type="dxa"/>
            <w:gridSpan w:val="2"/>
          </w:tcPr>
          <w:p>
            <w:pPr>
              <w:spacing w:line="360" w:lineRule="auto"/>
              <w:jc w:val="center"/>
              <w:rPr>
                <w:sz w:val="24"/>
              </w:rPr>
            </w:pPr>
            <w:r>
              <w:rPr>
                <w:sz w:val="24"/>
              </w:rPr>
              <w:t>C面</w:t>
            </w:r>
          </w:p>
        </w:tc>
        <w:tc>
          <w:tcPr>
            <w:tcW w:w="1178" w:type="dxa"/>
            <w:gridSpan w:val="2"/>
          </w:tcPr>
          <w:p>
            <w:pPr>
              <w:spacing w:line="360" w:lineRule="auto"/>
              <w:jc w:val="center"/>
              <w:rPr>
                <w:sz w:val="24"/>
              </w:rPr>
            </w:pPr>
            <w:r>
              <w:rPr>
                <w:sz w:val="24"/>
              </w:rPr>
              <w:t>D面</w:t>
            </w:r>
          </w:p>
        </w:tc>
        <w:tc>
          <w:tcPr>
            <w:tcW w:w="1178" w:type="dxa"/>
            <w:gridSpan w:val="2"/>
          </w:tcPr>
          <w:p>
            <w:pPr>
              <w:spacing w:line="360" w:lineRule="auto"/>
              <w:jc w:val="center"/>
              <w:rPr>
                <w:sz w:val="24"/>
              </w:rPr>
            </w:pPr>
            <w:r>
              <w:rPr>
                <w:sz w:val="24"/>
              </w:rPr>
              <w:t>E面</w:t>
            </w:r>
          </w:p>
        </w:tc>
        <w:tc>
          <w:tcPr>
            <w:tcW w:w="1182" w:type="dxa"/>
          </w:tcPr>
          <w:p>
            <w:pPr>
              <w:spacing w:line="360" w:lineRule="auto"/>
              <w:jc w:val="center"/>
              <w:rPr>
                <w:sz w:val="24"/>
              </w:rPr>
            </w:pPr>
            <w:r>
              <w:rPr>
                <w:sz w:val="24"/>
              </w:rPr>
              <w:t>F面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continue"/>
          </w:tcPr>
          <w:p>
            <w:pPr>
              <w:spacing w:line="360" w:lineRule="auto"/>
              <w:jc w:val="left"/>
              <w:rPr>
                <w:sz w:val="24"/>
              </w:rPr>
            </w:pPr>
          </w:p>
        </w:tc>
        <w:tc>
          <w:tcPr>
            <w:tcW w:w="1178" w:type="dxa"/>
          </w:tcPr>
          <w:p>
            <w:pPr>
              <w:spacing w:line="360" w:lineRule="auto"/>
              <w:jc w:val="center"/>
              <w:rPr>
                <w:sz w:val="24"/>
              </w:rPr>
            </w:pPr>
          </w:p>
        </w:tc>
        <w:tc>
          <w:tcPr>
            <w:tcW w:w="1178" w:type="dxa"/>
            <w:gridSpan w:val="2"/>
          </w:tcPr>
          <w:p>
            <w:pPr>
              <w:spacing w:line="360" w:lineRule="auto"/>
              <w:jc w:val="center"/>
              <w:rPr>
                <w:sz w:val="24"/>
              </w:rPr>
            </w:pPr>
          </w:p>
        </w:tc>
        <w:tc>
          <w:tcPr>
            <w:tcW w:w="1178" w:type="dxa"/>
            <w:gridSpan w:val="2"/>
          </w:tcPr>
          <w:p>
            <w:pPr>
              <w:spacing w:line="360" w:lineRule="auto"/>
              <w:jc w:val="center"/>
              <w:rPr>
                <w:sz w:val="24"/>
              </w:rPr>
            </w:pPr>
          </w:p>
        </w:tc>
        <w:tc>
          <w:tcPr>
            <w:tcW w:w="1178" w:type="dxa"/>
            <w:gridSpan w:val="2"/>
          </w:tcPr>
          <w:p>
            <w:pPr>
              <w:spacing w:line="360" w:lineRule="auto"/>
              <w:jc w:val="center"/>
              <w:rPr>
                <w:sz w:val="24"/>
              </w:rPr>
            </w:pPr>
          </w:p>
        </w:tc>
        <w:tc>
          <w:tcPr>
            <w:tcW w:w="1178" w:type="dxa"/>
            <w:gridSpan w:val="2"/>
          </w:tcPr>
          <w:p>
            <w:pPr>
              <w:spacing w:line="360" w:lineRule="auto"/>
              <w:jc w:val="center"/>
              <w:rPr>
                <w:sz w:val="24"/>
              </w:rPr>
            </w:pPr>
          </w:p>
        </w:tc>
        <w:tc>
          <w:tcPr>
            <w:tcW w:w="1182" w:type="dxa"/>
          </w:tcPr>
          <w:p>
            <w:pPr>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restart"/>
            <w:vAlign w:val="center"/>
          </w:tcPr>
          <w:p>
            <w:pPr>
              <w:spacing w:line="360" w:lineRule="auto"/>
              <w:jc w:val="left"/>
              <w:rPr>
                <w:sz w:val="24"/>
              </w:rPr>
            </w:pPr>
            <w:r>
              <w:rPr>
                <w:sz w:val="24"/>
              </w:rPr>
              <w:t>5、平底孔平面度/μm</w:t>
            </w:r>
          </w:p>
        </w:tc>
        <w:tc>
          <w:tcPr>
            <w:tcW w:w="1178" w:type="dxa"/>
          </w:tcPr>
          <w:p>
            <w:pPr>
              <w:spacing w:line="360" w:lineRule="auto"/>
              <w:jc w:val="left"/>
              <w:rPr>
                <w:sz w:val="24"/>
              </w:rPr>
            </w:pPr>
            <w:r>
              <w:rPr>
                <w:sz w:val="24"/>
                <w:u w:val="single"/>
              </w:rPr>
              <w:t xml:space="preserve">      </w:t>
            </w:r>
            <w:r>
              <w:rPr>
                <w:sz w:val="24"/>
              </w:rPr>
              <w:t>孔</w:t>
            </w:r>
          </w:p>
        </w:tc>
        <w:tc>
          <w:tcPr>
            <w:tcW w:w="1178" w:type="dxa"/>
            <w:gridSpan w:val="2"/>
          </w:tcPr>
          <w:p>
            <w:pPr>
              <w:spacing w:line="360" w:lineRule="auto"/>
              <w:jc w:val="left"/>
              <w:rPr>
                <w:sz w:val="24"/>
              </w:rPr>
            </w:pPr>
            <w:r>
              <w:rPr>
                <w:sz w:val="24"/>
                <w:u w:val="single"/>
              </w:rPr>
              <w:t xml:space="preserve">      </w:t>
            </w:r>
            <w:r>
              <w:rPr>
                <w:sz w:val="24"/>
              </w:rPr>
              <w:t>孔</w:t>
            </w:r>
          </w:p>
        </w:tc>
        <w:tc>
          <w:tcPr>
            <w:tcW w:w="1178" w:type="dxa"/>
            <w:gridSpan w:val="2"/>
          </w:tcPr>
          <w:p>
            <w:pPr>
              <w:spacing w:line="360" w:lineRule="auto"/>
              <w:jc w:val="left"/>
              <w:rPr>
                <w:sz w:val="24"/>
              </w:rPr>
            </w:pPr>
            <w:r>
              <w:rPr>
                <w:sz w:val="24"/>
                <w:u w:val="single"/>
              </w:rPr>
              <w:t xml:space="preserve">      </w:t>
            </w:r>
            <w:r>
              <w:rPr>
                <w:sz w:val="24"/>
              </w:rPr>
              <w:t>孔</w:t>
            </w:r>
          </w:p>
        </w:tc>
        <w:tc>
          <w:tcPr>
            <w:tcW w:w="1178" w:type="dxa"/>
            <w:gridSpan w:val="2"/>
          </w:tcPr>
          <w:p>
            <w:pPr>
              <w:spacing w:line="360" w:lineRule="auto"/>
              <w:jc w:val="left"/>
              <w:rPr>
                <w:sz w:val="24"/>
              </w:rPr>
            </w:pPr>
            <w:r>
              <w:rPr>
                <w:sz w:val="24"/>
                <w:u w:val="single"/>
              </w:rPr>
              <w:t xml:space="preserve">      </w:t>
            </w:r>
            <w:r>
              <w:rPr>
                <w:sz w:val="24"/>
              </w:rPr>
              <w:t>孔</w:t>
            </w:r>
          </w:p>
        </w:tc>
        <w:tc>
          <w:tcPr>
            <w:tcW w:w="1178" w:type="dxa"/>
            <w:gridSpan w:val="2"/>
          </w:tcPr>
          <w:p>
            <w:pPr>
              <w:spacing w:line="360" w:lineRule="auto"/>
              <w:jc w:val="left"/>
              <w:rPr>
                <w:sz w:val="24"/>
              </w:rPr>
            </w:pPr>
            <w:r>
              <w:rPr>
                <w:sz w:val="24"/>
                <w:u w:val="single"/>
              </w:rPr>
              <w:t xml:space="preserve">      </w:t>
            </w:r>
            <w:r>
              <w:rPr>
                <w:sz w:val="24"/>
              </w:rPr>
              <w:t>孔</w:t>
            </w:r>
          </w:p>
        </w:tc>
        <w:tc>
          <w:tcPr>
            <w:tcW w:w="1182" w:type="dxa"/>
          </w:tcPr>
          <w:p>
            <w:pPr>
              <w:spacing w:line="360" w:lineRule="auto"/>
              <w:jc w:val="left"/>
              <w:rPr>
                <w:sz w:val="24"/>
              </w:rPr>
            </w:pPr>
            <w:r>
              <w:rPr>
                <w:sz w:val="24"/>
                <w:u w:val="single"/>
              </w:rPr>
              <w:t xml:space="preserve">      </w:t>
            </w:r>
            <w:r>
              <w:rPr>
                <w:sz w:val="24"/>
              </w:rPr>
              <w:t>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continue"/>
          </w:tcPr>
          <w:p>
            <w:pPr>
              <w:spacing w:line="360" w:lineRule="auto"/>
              <w:jc w:val="left"/>
              <w:rPr>
                <w:sz w:val="24"/>
              </w:rPr>
            </w:pPr>
          </w:p>
        </w:tc>
        <w:tc>
          <w:tcPr>
            <w:tcW w:w="1178" w:type="dxa"/>
          </w:tcPr>
          <w:p>
            <w:pPr>
              <w:spacing w:line="360" w:lineRule="auto"/>
              <w:jc w:val="left"/>
              <w:rPr>
                <w:sz w:val="24"/>
              </w:rPr>
            </w:pPr>
          </w:p>
        </w:tc>
        <w:tc>
          <w:tcPr>
            <w:tcW w:w="1179" w:type="dxa"/>
            <w:gridSpan w:val="2"/>
          </w:tcPr>
          <w:p>
            <w:pPr>
              <w:spacing w:line="360" w:lineRule="auto"/>
              <w:jc w:val="left"/>
              <w:rPr>
                <w:sz w:val="24"/>
              </w:rPr>
            </w:pPr>
          </w:p>
        </w:tc>
        <w:tc>
          <w:tcPr>
            <w:tcW w:w="1178" w:type="dxa"/>
            <w:gridSpan w:val="2"/>
          </w:tcPr>
          <w:p>
            <w:pPr>
              <w:spacing w:line="360" w:lineRule="auto"/>
              <w:jc w:val="left"/>
              <w:rPr>
                <w:sz w:val="24"/>
              </w:rPr>
            </w:pPr>
          </w:p>
        </w:tc>
        <w:tc>
          <w:tcPr>
            <w:tcW w:w="1179" w:type="dxa"/>
            <w:gridSpan w:val="2"/>
          </w:tcPr>
          <w:p>
            <w:pPr>
              <w:spacing w:line="360" w:lineRule="auto"/>
              <w:jc w:val="left"/>
              <w:rPr>
                <w:sz w:val="24"/>
              </w:rPr>
            </w:pPr>
          </w:p>
        </w:tc>
        <w:tc>
          <w:tcPr>
            <w:tcW w:w="1179" w:type="dxa"/>
            <w:gridSpan w:val="2"/>
          </w:tcPr>
          <w:p>
            <w:pPr>
              <w:spacing w:line="360" w:lineRule="auto"/>
              <w:jc w:val="left"/>
              <w:rPr>
                <w:sz w:val="24"/>
              </w:rPr>
            </w:pPr>
          </w:p>
        </w:tc>
        <w:tc>
          <w:tcPr>
            <w:tcW w:w="1179" w:type="dxa"/>
          </w:tcPr>
          <w:p>
            <w:pPr>
              <w:spacing w:line="360" w:lineRule="auto"/>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restart"/>
            <w:vAlign w:val="center"/>
          </w:tcPr>
          <w:p>
            <w:pPr>
              <w:spacing w:line="360" w:lineRule="auto"/>
              <w:jc w:val="center"/>
              <w:rPr>
                <w:sz w:val="24"/>
              </w:rPr>
            </w:pPr>
            <w:r>
              <w:rPr>
                <w:rFonts w:eastAsiaTheme="minorEastAsia"/>
                <w:sz w:val="24"/>
              </w:rPr>
              <w:t>6、垂直度/（μm/</w:t>
            </w:r>
            <w:r>
              <w:rPr>
                <w:rFonts w:eastAsiaTheme="minorEastAsia"/>
                <w:sz w:val="24"/>
                <w:u w:val="single"/>
              </w:rPr>
              <w:t xml:space="preserve">   </w:t>
            </w:r>
            <w:r>
              <w:rPr>
                <w:rFonts w:eastAsiaTheme="minorEastAsia"/>
                <w:sz w:val="24"/>
              </w:rPr>
              <w:t>mm）</w:t>
            </w:r>
          </w:p>
        </w:tc>
        <w:tc>
          <w:tcPr>
            <w:tcW w:w="2357" w:type="dxa"/>
            <w:gridSpan w:val="3"/>
          </w:tcPr>
          <w:p>
            <w:pPr>
              <w:spacing w:line="360" w:lineRule="auto"/>
              <w:jc w:val="center"/>
              <w:rPr>
                <w:sz w:val="24"/>
                <w:u w:val="single"/>
              </w:rPr>
            </w:pPr>
            <w:r>
              <w:rPr>
                <w:sz w:val="24"/>
              </w:rPr>
              <w:t>（）⊥（）</w:t>
            </w:r>
          </w:p>
        </w:tc>
        <w:tc>
          <w:tcPr>
            <w:tcW w:w="2357" w:type="dxa"/>
            <w:gridSpan w:val="4"/>
          </w:tcPr>
          <w:p>
            <w:pPr>
              <w:spacing w:line="360" w:lineRule="auto"/>
              <w:jc w:val="center"/>
              <w:rPr>
                <w:sz w:val="24"/>
              </w:rPr>
            </w:pPr>
            <w:r>
              <w:rPr>
                <w:sz w:val="24"/>
              </w:rPr>
              <w:t>（）⊥（）</w:t>
            </w:r>
          </w:p>
        </w:tc>
        <w:tc>
          <w:tcPr>
            <w:tcW w:w="2358" w:type="dxa"/>
            <w:gridSpan w:val="3"/>
          </w:tcPr>
          <w:p>
            <w:pPr>
              <w:spacing w:line="360" w:lineRule="auto"/>
              <w:jc w:val="center"/>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7" w:type="dxa"/>
            <w:vMerge w:val="continue"/>
          </w:tcPr>
          <w:p>
            <w:pPr>
              <w:spacing w:line="360" w:lineRule="auto"/>
              <w:jc w:val="left"/>
              <w:rPr>
                <w:rFonts w:eastAsiaTheme="minorEastAsia"/>
                <w:sz w:val="24"/>
              </w:rPr>
            </w:pPr>
          </w:p>
        </w:tc>
        <w:tc>
          <w:tcPr>
            <w:tcW w:w="2357" w:type="dxa"/>
            <w:gridSpan w:val="3"/>
          </w:tcPr>
          <w:p>
            <w:pPr>
              <w:spacing w:line="360" w:lineRule="auto"/>
              <w:jc w:val="center"/>
              <w:rPr>
                <w:sz w:val="24"/>
              </w:rPr>
            </w:pPr>
          </w:p>
        </w:tc>
        <w:tc>
          <w:tcPr>
            <w:tcW w:w="2357" w:type="dxa"/>
            <w:gridSpan w:val="4"/>
          </w:tcPr>
          <w:p>
            <w:pPr>
              <w:spacing w:line="360" w:lineRule="auto"/>
              <w:jc w:val="center"/>
              <w:rPr>
                <w:sz w:val="24"/>
              </w:rPr>
            </w:pPr>
          </w:p>
        </w:tc>
        <w:tc>
          <w:tcPr>
            <w:tcW w:w="2358" w:type="dxa"/>
            <w:gridSpan w:val="3"/>
          </w:tcPr>
          <w:p>
            <w:pPr>
              <w:spacing w:line="360" w:lineRule="auto"/>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19" w:type="dxa"/>
            <w:gridSpan w:val="11"/>
          </w:tcPr>
          <w:p>
            <w:pPr>
              <w:spacing w:line="360" w:lineRule="auto"/>
              <w:jc w:val="left"/>
              <w:rPr>
                <w:sz w:val="24"/>
              </w:rPr>
            </w:pPr>
            <w:r>
              <w:rPr>
                <w:rFonts w:eastAsiaTheme="minorEastAsia"/>
                <w:sz w:val="24"/>
              </w:rPr>
              <w:t>7、声速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19" w:type="dxa"/>
            <w:gridSpan w:val="11"/>
          </w:tcPr>
          <w:p>
            <w:pPr>
              <w:spacing w:line="360" w:lineRule="auto"/>
              <w:jc w:val="left"/>
              <w:rPr>
                <w:rFonts w:eastAsiaTheme="minorEastAsia"/>
                <w:sz w:val="24"/>
              </w:rPr>
            </w:pPr>
            <w:r>
              <w:rPr>
                <w:rFonts w:eastAsiaTheme="minorEastAsia"/>
                <w:sz w:val="24"/>
              </w:rPr>
              <w:t>纵波：</w:t>
            </w:r>
          </w:p>
          <w:p>
            <w:pPr>
              <w:spacing w:line="360" w:lineRule="auto"/>
              <w:jc w:val="left"/>
              <w:rPr>
                <w:rFonts w:eastAsiaTheme="minorEastAsia"/>
                <w:sz w:val="24"/>
              </w:rPr>
            </w:pPr>
            <w:r>
              <w:rPr>
                <w:rFonts w:eastAsiaTheme="minorEastAsia"/>
                <w:sz w:val="24"/>
              </w:rPr>
              <w:t>耦合剂：</w:t>
            </w:r>
          </w:p>
          <w:p>
            <w:pPr>
              <w:spacing w:line="360" w:lineRule="auto"/>
              <w:jc w:val="left"/>
              <w:rPr>
                <w:rFonts w:eastAsiaTheme="minorEastAsia"/>
                <w:sz w:val="24"/>
              </w:rPr>
            </w:pPr>
            <w:r>
              <w:rPr>
                <w:rFonts w:eastAsiaTheme="minorEastAsia"/>
                <w:i/>
                <w:iCs/>
                <w:sz w:val="24"/>
              </w:rPr>
              <w:t>A</w:t>
            </w:r>
            <w:r>
              <w:rPr>
                <w:rFonts w:eastAsiaTheme="minorEastAsia"/>
                <w:i/>
                <w:iCs/>
                <w:sz w:val="24"/>
                <w:vertAlign w:val="subscript"/>
              </w:rPr>
              <w:t>k</w:t>
            </w:r>
            <w:r>
              <w:rPr>
                <w:rFonts w:eastAsiaTheme="minorEastAsia"/>
                <w:sz w:val="24"/>
              </w:rPr>
              <w:t>=（       ）m；</w:t>
            </w:r>
            <w:r>
              <w:rPr>
                <w:rFonts w:eastAsiaTheme="minorEastAsia"/>
                <w:i/>
                <w:iCs/>
                <w:sz w:val="24"/>
              </w:rPr>
              <w:t>n</w:t>
            </w:r>
            <w:r>
              <w:rPr>
                <w:rFonts w:eastAsiaTheme="minorEastAsia"/>
                <w:i/>
                <w:iCs/>
                <w:sz w:val="24"/>
                <w:vertAlign w:val="subscript"/>
              </w:rPr>
              <w:t>1</w:t>
            </w:r>
            <w:r>
              <w:rPr>
                <w:rFonts w:eastAsiaTheme="minorEastAsia"/>
                <w:sz w:val="24"/>
              </w:rPr>
              <w:t>=（       ）；</w:t>
            </w:r>
            <w:r>
              <w:rPr>
                <w:rFonts w:eastAsiaTheme="minorEastAsia"/>
                <w:i/>
                <w:iCs/>
                <w:sz w:val="24"/>
              </w:rPr>
              <w:t>t</w:t>
            </w:r>
            <w:r>
              <w:rPr>
                <w:rFonts w:eastAsiaTheme="minorEastAsia"/>
                <w:i/>
                <w:iCs/>
                <w:sz w:val="24"/>
                <w:vertAlign w:val="subscript"/>
              </w:rPr>
              <w:t>1</w:t>
            </w:r>
            <w:r>
              <w:rPr>
                <w:rFonts w:eastAsiaTheme="minorEastAsia"/>
                <w:sz w:val="24"/>
              </w:rPr>
              <w:t>=（       ）m；</w:t>
            </w:r>
            <w:r>
              <w:rPr>
                <w:rFonts w:eastAsiaTheme="minorEastAsia"/>
                <w:i/>
                <w:iCs/>
                <w:sz w:val="24"/>
              </w:rPr>
              <w:t>v</w:t>
            </w:r>
            <w:r>
              <w:rPr>
                <w:rFonts w:eastAsiaTheme="minorEastAsia"/>
                <w:i/>
                <w:iCs/>
                <w:sz w:val="24"/>
                <w:vertAlign w:val="subscript"/>
              </w:rPr>
              <w:t>k</w:t>
            </w:r>
            <w:r>
              <w:rPr>
                <w:rFonts w:eastAsiaTheme="minorEastAsia"/>
                <w:sz w:val="24"/>
              </w:rPr>
              <w:t>=（       ）m/s；</w:t>
            </w:r>
          </w:p>
          <w:p>
            <w:pPr>
              <w:spacing w:line="360" w:lineRule="auto"/>
              <w:jc w:val="left"/>
              <w:rPr>
                <w:rFonts w:eastAsiaTheme="minorEastAsia"/>
                <w:sz w:val="24"/>
              </w:rPr>
            </w:pPr>
            <w:r>
              <w:rPr>
                <w:rFonts w:eastAsiaTheme="minorEastAsia"/>
                <w:i/>
                <w:iCs/>
                <w:sz w:val="24"/>
              </w:rPr>
              <w:t>A</w:t>
            </w:r>
            <w:r>
              <w:rPr>
                <w:rFonts w:eastAsiaTheme="minorEastAsia"/>
                <w:i/>
                <w:iCs/>
                <w:sz w:val="24"/>
                <w:vertAlign w:val="subscript"/>
              </w:rPr>
              <w:t>1</w:t>
            </w:r>
            <w:r>
              <w:rPr>
                <w:rFonts w:eastAsiaTheme="minorEastAsia"/>
                <w:sz w:val="24"/>
              </w:rPr>
              <w:t>=（        ）m；</w:t>
            </w:r>
            <w:r>
              <w:rPr>
                <w:rFonts w:eastAsiaTheme="minorEastAsia"/>
                <w:i/>
                <w:iCs/>
                <w:sz w:val="24"/>
              </w:rPr>
              <w:t>n</w:t>
            </w:r>
            <w:r>
              <w:rPr>
                <w:rFonts w:eastAsiaTheme="minorEastAsia"/>
                <w:i/>
                <w:iCs/>
                <w:sz w:val="24"/>
                <w:vertAlign w:val="subscript"/>
              </w:rPr>
              <w:t>k</w:t>
            </w:r>
            <w:r>
              <w:rPr>
                <w:rFonts w:eastAsiaTheme="minorEastAsia"/>
                <w:sz w:val="24"/>
              </w:rPr>
              <w:t>=（        ）；</w:t>
            </w:r>
            <w:r>
              <w:rPr>
                <w:rFonts w:eastAsiaTheme="minorEastAsia"/>
                <w:i/>
                <w:iCs/>
                <w:sz w:val="24"/>
              </w:rPr>
              <w:t>t</w:t>
            </w:r>
            <w:r>
              <w:rPr>
                <w:rFonts w:eastAsiaTheme="minorEastAsia"/>
                <w:i/>
                <w:iCs/>
                <w:sz w:val="24"/>
                <w:vertAlign w:val="subscript"/>
              </w:rPr>
              <w:t>k</w:t>
            </w:r>
            <w:r>
              <w:rPr>
                <w:rFonts w:eastAsiaTheme="minorEastAsia"/>
                <w:sz w:val="24"/>
              </w:rPr>
              <w:t>=（        ）m；</w:t>
            </w:r>
            <w:r>
              <w:rPr>
                <w:rFonts w:eastAsiaTheme="minorEastAsia"/>
                <w:i/>
                <w:iCs/>
                <w:sz w:val="24"/>
              </w:rPr>
              <w:t>v</w:t>
            </w:r>
            <w:r>
              <w:rPr>
                <w:rFonts w:eastAsiaTheme="minorEastAsia"/>
                <w:i/>
                <w:iCs/>
                <w:sz w:val="24"/>
                <w:vertAlign w:val="subscript"/>
              </w:rPr>
              <w:t>1</w:t>
            </w:r>
            <w:r>
              <w:rPr>
                <w:rFonts w:eastAsiaTheme="minorEastAsia"/>
                <w:sz w:val="24"/>
              </w:rPr>
              <w:t>=（        ）m/s</w:t>
            </w:r>
          </w:p>
          <w:p>
            <w:pPr>
              <w:spacing w:line="360" w:lineRule="auto"/>
              <w:jc w:val="left"/>
              <w:rPr>
                <w:rFonts w:eastAsiaTheme="minorEastAsia"/>
                <w:sz w:val="24"/>
              </w:rPr>
            </w:pPr>
            <w:r>
              <w:rPr>
                <w:rFonts w:eastAsiaTheme="minorEastAsia"/>
                <w:sz w:val="24"/>
              </w:rPr>
              <w:t>试块厚度：（        ）m；一次回波前沿时间：（        ）s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19" w:type="dxa"/>
            <w:gridSpan w:val="11"/>
          </w:tcPr>
          <w:p>
            <w:pPr>
              <w:spacing w:line="360" w:lineRule="auto"/>
              <w:jc w:val="left"/>
              <w:rPr>
                <w:rFonts w:eastAsiaTheme="minorEastAsia"/>
                <w:sz w:val="24"/>
              </w:rPr>
            </w:pPr>
            <w:r>
              <w:rPr>
                <w:rFonts w:eastAsiaTheme="minorEastAsia"/>
                <w:sz w:val="24"/>
              </w:rPr>
              <w:t>横波：</w:t>
            </w:r>
          </w:p>
          <w:p>
            <w:pPr>
              <w:spacing w:line="360" w:lineRule="auto"/>
              <w:jc w:val="left"/>
              <w:rPr>
                <w:rFonts w:eastAsiaTheme="minorEastAsia"/>
                <w:sz w:val="24"/>
              </w:rPr>
            </w:pPr>
            <w:r>
              <w:rPr>
                <w:rFonts w:eastAsiaTheme="minorEastAsia"/>
                <w:sz w:val="24"/>
              </w:rPr>
              <w:t>耦合剂：</w:t>
            </w:r>
          </w:p>
          <w:p>
            <w:pPr>
              <w:spacing w:line="360" w:lineRule="auto"/>
              <w:jc w:val="left"/>
              <w:rPr>
                <w:rFonts w:eastAsiaTheme="minorEastAsia"/>
                <w:sz w:val="24"/>
              </w:rPr>
            </w:pPr>
            <w:r>
              <w:rPr>
                <w:rFonts w:eastAsiaTheme="minorEastAsia"/>
                <w:i/>
                <w:iCs/>
                <w:sz w:val="24"/>
              </w:rPr>
              <w:t>A</w:t>
            </w:r>
            <w:r>
              <w:rPr>
                <w:rFonts w:eastAsiaTheme="minorEastAsia"/>
                <w:i/>
                <w:iCs/>
                <w:sz w:val="24"/>
                <w:vertAlign w:val="subscript"/>
              </w:rPr>
              <w:t>t</w:t>
            </w:r>
            <w:r>
              <w:rPr>
                <w:rFonts w:eastAsiaTheme="minorEastAsia"/>
                <w:sz w:val="24"/>
              </w:rPr>
              <w:t>=（       ）m；</w:t>
            </w:r>
            <w:r>
              <w:rPr>
                <w:rFonts w:eastAsiaTheme="minorEastAsia"/>
                <w:i/>
                <w:iCs/>
                <w:sz w:val="24"/>
              </w:rPr>
              <w:t>n</w:t>
            </w:r>
            <w:r>
              <w:rPr>
                <w:rFonts w:eastAsiaTheme="minorEastAsia"/>
                <w:i/>
                <w:iCs/>
                <w:sz w:val="24"/>
                <w:vertAlign w:val="subscript"/>
              </w:rPr>
              <w:t>s</w:t>
            </w:r>
            <w:r>
              <w:rPr>
                <w:rFonts w:eastAsiaTheme="minorEastAsia"/>
                <w:sz w:val="24"/>
              </w:rPr>
              <w:t>=（       ）；</w:t>
            </w:r>
            <w:r>
              <w:rPr>
                <w:rFonts w:eastAsiaTheme="minorEastAsia"/>
                <w:i/>
                <w:iCs/>
                <w:sz w:val="24"/>
              </w:rPr>
              <w:t>t</w:t>
            </w:r>
            <w:r>
              <w:rPr>
                <w:rFonts w:eastAsiaTheme="minorEastAsia"/>
                <w:i/>
                <w:iCs/>
                <w:sz w:val="24"/>
                <w:vertAlign w:val="subscript"/>
              </w:rPr>
              <w:t>s</w:t>
            </w:r>
            <w:r>
              <w:rPr>
                <w:rFonts w:eastAsiaTheme="minorEastAsia"/>
                <w:sz w:val="24"/>
              </w:rPr>
              <w:t>=（       ）m；</w:t>
            </w:r>
            <w:r>
              <w:rPr>
                <w:rFonts w:eastAsiaTheme="minorEastAsia"/>
                <w:i/>
                <w:iCs/>
                <w:sz w:val="24"/>
              </w:rPr>
              <w:t>v</w:t>
            </w:r>
            <w:r>
              <w:rPr>
                <w:rFonts w:eastAsiaTheme="minorEastAsia"/>
                <w:i/>
                <w:iCs/>
                <w:sz w:val="24"/>
                <w:vertAlign w:val="subscript"/>
              </w:rPr>
              <w:t>t</w:t>
            </w:r>
            <w:r>
              <w:rPr>
                <w:rFonts w:eastAsiaTheme="minorEastAsia"/>
                <w:sz w:val="24"/>
              </w:rPr>
              <w:t>=（       ）m/s；</w:t>
            </w:r>
          </w:p>
          <w:p>
            <w:pPr>
              <w:spacing w:line="360" w:lineRule="auto"/>
              <w:jc w:val="left"/>
              <w:rPr>
                <w:rFonts w:eastAsiaTheme="minorEastAsia"/>
                <w:sz w:val="24"/>
              </w:rPr>
            </w:pPr>
            <w:r>
              <w:rPr>
                <w:rFonts w:eastAsiaTheme="minorEastAsia"/>
                <w:i/>
                <w:iCs/>
                <w:sz w:val="24"/>
              </w:rPr>
              <w:t>A</w:t>
            </w:r>
            <w:r>
              <w:rPr>
                <w:rFonts w:eastAsiaTheme="minorEastAsia"/>
                <w:i/>
                <w:iCs/>
                <w:sz w:val="24"/>
                <w:vertAlign w:val="subscript"/>
              </w:rPr>
              <w:t>s</w:t>
            </w:r>
            <w:r>
              <w:rPr>
                <w:rFonts w:eastAsiaTheme="minorEastAsia"/>
                <w:sz w:val="24"/>
              </w:rPr>
              <w:t>=（        ）m；</w:t>
            </w:r>
            <w:r>
              <w:rPr>
                <w:rFonts w:eastAsiaTheme="minorEastAsia"/>
                <w:i/>
                <w:iCs/>
                <w:sz w:val="24"/>
              </w:rPr>
              <w:t>n</w:t>
            </w:r>
            <w:r>
              <w:rPr>
                <w:rFonts w:eastAsiaTheme="minorEastAsia"/>
                <w:i/>
                <w:iCs/>
                <w:sz w:val="24"/>
                <w:vertAlign w:val="subscript"/>
              </w:rPr>
              <w:t>t</w:t>
            </w:r>
            <w:r>
              <w:rPr>
                <w:rFonts w:eastAsiaTheme="minorEastAsia"/>
                <w:sz w:val="24"/>
              </w:rPr>
              <w:t>=（        ）；</w:t>
            </w:r>
            <w:r>
              <w:rPr>
                <w:rFonts w:eastAsiaTheme="minorEastAsia"/>
                <w:i/>
                <w:iCs/>
                <w:sz w:val="24"/>
              </w:rPr>
              <w:t>t</w:t>
            </w:r>
            <w:r>
              <w:rPr>
                <w:rFonts w:eastAsiaTheme="minorEastAsia"/>
                <w:i/>
                <w:iCs/>
                <w:sz w:val="24"/>
                <w:vertAlign w:val="subscript"/>
              </w:rPr>
              <w:t>t</w:t>
            </w:r>
            <w:r>
              <w:rPr>
                <w:rFonts w:eastAsiaTheme="minorEastAsia"/>
                <w:sz w:val="24"/>
              </w:rPr>
              <w:t>=（        ）m；</w:t>
            </w:r>
            <w:r>
              <w:rPr>
                <w:rFonts w:eastAsiaTheme="minorEastAsia"/>
                <w:i/>
                <w:iCs/>
                <w:sz w:val="24"/>
              </w:rPr>
              <w:t>v</w:t>
            </w:r>
            <w:r>
              <w:rPr>
                <w:rFonts w:eastAsiaTheme="minorEastAsia"/>
                <w:i/>
                <w:iCs/>
                <w:sz w:val="24"/>
                <w:vertAlign w:val="subscript"/>
              </w:rPr>
              <w:t>s</w:t>
            </w:r>
            <w:r>
              <w:rPr>
                <w:rFonts w:eastAsiaTheme="minorEastAsia"/>
                <w:sz w:val="24"/>
              </w:rPr>
              <w:t>=（        ）m/s</w:t>
            </w:r>
          </w:p>
          <w:p>
            <w:pPr>
              <w:spacing w:line="360" w:lineRule="auto"/>
              <w:jc w:val="left"/>
              <w:rPr>
                <w:rFonts w:eastAsiaTheme="minorEastAsia"/>
                <w:sz w:val="24"/>
              </w:rPr>
            </w:pPr>
            <w:r>
              <w:rPr>
                <w:rFonts w:eastAsiaTheme="minorEastAsia"/>
                <w:sz w:val="24"/>
              </w:rPr>
              <w:t>试块厚度：（        ）m；一次回波前沿时间：（        ）s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919" w:type="dxa"/>
            <w:gridSpan w:val="11"/>
          </w:tcPr>
          <w:p>
            <w:pPr>
              <w:spacing w:line="360" w:lineRule="auto"/>
              <w:jc w:val="left"/>
              <w:rPr>
                <w:rFonts w:eastAsiaTheme="minorEastAsia"/>
                <w:i/>
                <w:i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8" w:hRule="atLeast"/>
        </w:trPr>
        <w:tc>
          <w:tcPr>
            <w:tcW w:w="9919" w:type="dxa"/>
            <w:gridSpan w:val="11"/>
          </w:tcPr>
          <w:p>
            <w:pPr>
              <w:rPr>
                <w:rFonts w:eastAsiaTheme="minorEastAsia"/>
                <w:sz w:val="24"/>
              </w:rPr>
            </w:pPr>
            <w:r>
              <w:rPr>
                <w:rFonts w:eastAsiaTheme="minorEastAsia"/>
                <w:iCs/>
                <w:sz w:val="24"/>
              </w:rPr>
              <w:t>附图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9919" w:type="dxa"/>
            <w:gridSpan w:val="11"/>
            <w:vAlign w:val="center"/>
          </w:tcPr>
          <w:p>
            <w:pPr>
              <w:rPr>
                <w:rFonts w:eastAsiaTheme="minorEastAsia"/>
                <w:iCs/>
                <w:sz w:val="24"/>
              </w:rPr>
            </w:pPr>
            <w:r>
              <w:rPr>
                <w:rFonts w:eastAsiaTheme="minorEastAsia"/>
                <w:iCs/>
                <w:sz w:val="24"/>
              </w:rPr>
              <w:t>校准员：                                       核验员：</w:t>
            </w:r>
          </w:p>
        </w:tc>
      </w:tr>
    </w:tbl>
    <w:p>
      <w:pPr>
        <w:pStyle w:val="48"/>
        <w:spacing w:line="360" w:lineRule="auto"/>
        <w:ind w:firstLine="560"/>
        <w:rPr>
          <w:rFonts w:ascii="Times New Roman" w:hAnsi="Times New Roman" w:eastAsia="黑体"/>
          <w:bCs/>
          <w:kern w:val="2"/>
          <w:sz w:val="28"/>
          <w:szCs w:val="28"/>
        </w:rPr>
      </w:pPr>
    </w:p>
    <w:p>
      <w:pPr>
        <w:pStyle w:val="48"/>
        <w:spacing w:line="360" w:lineRule="auto"/>
        <w:ind w:firstLine="560"/>
        <w:rPr>
          <w:rFonts w:ascii="Times New Roman" w:hAnsi="Times New Roman" w:eastAsia="黑体"/>
          <w:bCs/>
          <w:kern w:val="2"/>
          <w:sz w:val="28"/>
          <w:szCs w:val="28"/>
        </w:rPr>
      </w:pPr>
    </w:p>
    <w:p>
      <w:pPr>
        <w:pStyle w:val="48"/>
        <w:spacing w:line="360" w:lineRule="auto"/>
        <w:ind w:firstLine="560"/>
        <w:rPr>
          <w:rFonts w:ascii="Times New Roman" w:hAnsi="Times New Roman" w:eastAsia="黑体"/>
          <w:bCs/>
          <w:kern w:val="2"/>
          <w:sz w:val="28"/>
          <w:szCs w:val="28"/>
        </w:rPr>
      </w:pPr>
    </w:p>
    <w:p>
      <w:pPr>
        <w:rPr>
          <w:rFonts w:eastAsiaTheme="minorEastAsia"/>
          <w:sz w:val="24"/>
        </w:rPr>
      </w:pPr>
    </w:p>
    <w:p>
      <w:pPr>
        <w:rPr>
          <w:rFonts w:eastAsiaTheme="minorEastAsia"/>
          <w:sz w:val="24"/>
        </w:rPr>
      </w:pPr>
      <w:r>
        <w:rPr>
          <w:rFonts w:eastAsiaTheme="minorEastAsia"/>
          <w:sz w:val="24"/>
        </w:rPr>
        <w:br w:type="page"/>
      </w:r>
    </w:p>
    <w:p>
      <w:pPr>
        <w:pStyle w:val="47"/>
        <w:spacing w:before="0" w:beforeLines="0" w:after="0" w:afterLines="0" w:line="360" w:lineRule="auto"/>
        <w:rPr>
          <w:rFonts w:ascii="Times New Roman" w:hAnsi="Times New Roman"/>
          <w:sz w:val="28"/>
          <w:szCs w:val="28"/>
        </w:rPr>
      </w:pPr>
      <w:bookmarkStart w:id="113" w:name="_Toc27913"/>
      <w:r>
        <w:rPr>
          <w:rStyle w:val="33"/>
        </w:rPr>
        <w:t>附录B</w:t>
      </w:r>
      <w:bookmarkEnd w:id="113"/>
      <w:r>
        <w:rPr>
          <w:rStyle w:val="33"/>
        </w:rPr>
        <w:t xml:space="preserve"> </w:t>
      </w:r>
    </w:p>
    <w:p>
      <w:pPr>
        <w:jc w:val="center"/>
        <w:rPr>
          <w:b/>
          <w:bCs/>
          <w:sz w:val="24"/>
          <w:szCs w:val="32"/>
        </w:rPr>
      </w:pPr>
      <w:r>
        <w:rPr>
          <w:b/>
          <w:bCs/>
          <w:sz w:val="24"/>
          <w:szCs w:val="32"/>
        </w:rPr>
        <w:t>校准证书内页参考格式</w:t>
      </w:r>
    </w:p>
    <w:p>
      <w:pPr>
        <w:spacing w:line="360" w:lineRule="auto"/>
        <w:jc w:val="center"/>
        <w:outlineLvl w:val="0"/>
        <w:rPr>
          <w:rFonts w:eastAsiaTheme="minorEastAsia"/>
          <w:sz w:val="24"/>
        </w:rPr>
      </w:pPr>
      <w:r>
        <w:rPr>
          <w:rFonts w:eastAsiaTheme="minorEastAsia"/>
          <w:sz w:val="24"/>
        </w:rPr>
        <w:t>校准证书编号：××××</w:t>
      </w:r>
    </w:p>
    <w:p>
      <w:pPr>
        <w:spacing w:line="360" w:lineRule="auto"/>
        <w:jc w:val="center"/>
        <w:outlineLvl w:val="0"/>
        <w:rPr>
          <w:rFonts w:eastAsiaTheme="minorEastAsia"/>
          <w:sz w:val="24"/>
        </w:rPr>
      </w:pPr>
    </w:p>
    <w:tbl>
      <w:tblPr>
        <w:tblStyle w:val="24"/>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968"/>
        <w:gridCol w:w="1968"/>
        <w:gridCol w:w="1968"/>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9842" w:type="dxa"/>
            <w:gridSpan w:val="5"/>
            <w:tcBorders>
              <w:left w:val="single" w:color="auto" w:sz="4" w:space="0"/>
              <w:bottom w:val="nil"/>
              <w:right w:val="single" w:color="auto" w:sz="4" w:space="0"/>
            </w:tcBorders>
            <w:vAlign w:val="center"/>
          </w:tcPr>
          <w:p>
            <w:pPr>
              <w:rPr>
                <w:rFonts w:eastAsiaTheme="minorEastAsia"/>
                <w:sz w:val="24"/>
              </w:rPr>
            </w:pPr>
          </w:p>
          <w:p>
            <w:pPr>
              <w:rPr>
                <w:rFonts w:eastAsiaTheme="minorEastAsia"/>
                <w:sz w:val="24"/>
              </w:rPr>
            </w:pPr>
            <w:r>
              <w:rPr>
                <w:rFonts w:eastAsiaTheme="minorEastAsia"/>
                <w:sz w:val="24"/>
              </w:rPr>
              <w:t>校准机构授权说明：</w:t>
            </w:r>
          </w:p>
          <w:p>
            <w:pPr>
              <w:rPr>
                <w:rFonts w:eastAsiaTheme="minorEastAsia"/>
                <w:sz w:val="24"/>
              </w:rPr>
            </w:pPr>
          </w:p>
          <w:p>
            <w:pPr>
              <w:rPr>
                <w:rFonts w:eastAsiaTheme="minorEastAsia"/>
                <w:sz w:val="24"/>
              </w:rPr>
            </w:pPr>
          </w:p>
          <w:p>
            <w:pP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9842" w:type="dxa"/>
            <w:gridSpan w:val="5"/>
            <w:tcBorders>
              <w:left w:val="single" w:color="auto" w:sz="4" w:space="0"/>
              <w:bottom w:val="nil"/>
              <w:right w:val="single" w:color="auto" w:sz="4" w:space="0"/>
            </w:tcBorders>
            <w:vAlign w:val="center"/>
          </w:tcPr>
          <w:p>
            <w:pPr>
              <w:rPr>
                <w:rFonts w:eastAsiaTheme="minorEastAsia"/>
                <w:sz w:val="24"/>
              </w:rPr>
            </w:pPr>
            <w:r>
              <w:rPr>
                <w:rFonts w:eastAsiaTheme="minorEastAsia"/>
                <w:sz w:val="24"/>
              </w:rPr>
              <w:t>校准环境条件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842" w:type="dxa"/>
            <w:gridSpan w:val="5"/>
            <w:tcBorders>
              <w:top w:val="nil"/>
              <w:left w:val="single" w:color="auto" w:sz="4" w:space="0"/>
              <w:bottom w:val="nil"/>
              <w:right w:val="single" w:color="auto" w:sz="4" w:space="0"/>
            </w:tcBorders>
            <w:vAlign w:val="center"/>
          </w:tcPr>
          <w:p>
            <w:pPr>
              <w:rPr>
                <w:rFonts w:eastAsiaTheme="minorEastAsia"/>
                <w:sz w:val="24"/>
              </w:rPr>
            </w:pPr>
            <w:r>
              <w:rPr>
                <w:rFonts w:eastAsiaTheme="minorEastAsia"/>
                <w:sz w:val="24"/>
              </w:rPr>
              <w:t>温    度：</w:t>
            </w:r>
            <w:r>
              <w:rPr>
                <w:rFonts w:eastAsiaTheme="minorEastAsia"/>
                <w:sz w:val="24"/>
                <w:u w:val="single"/>
              </w:rPr>
              <w:t xml:space="preserve">        </w:t>
            </w:r>
            <w:r>
              <w:rPr>
                <w:rFonts w:eastAsiaTheme="minorEastAsia"/>
                <w:sz w:val="24"/>
              </w:rPr>
              <w:t>℃                           相对湿度：</w:t>
            </w:r>
            <w:r>
              <w:rPr>
                <w:rFonts w:eastAsiaTheme="minorEastAsia"/>
                <w:sz w:val="24"/>
                <w:u w:val="single"/>
              </w:rPr>
              <w:t xml:space="preserve">        </w:t>
            </w:r>
            <w:r>
              <w:rPr>
                <w:rFonts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9842" w:type="dxa"/>
            <w:gridSpan w:val="5"/>
            <w:tcBorders>
              <w:top w:val="nil"/>
              <w:left w:val="single" w:color="auto" w:sz="4" w:space="0"/>
              <w:bottom w:val="single" w:color="auto" w:sz="4" w:space="0"/>
              <w:right w:val="single" w:color="auto" w:sz="4" w:space="0"/>
            </w:tcBorders>
            <w:vAlign w:val="center"/>
          </w:tcPr>
          <w:p>
            <w:pPr>
              <w:rPr>
                <w:rFonts w:eastAsiaTheme="minorEastAsia"/>
                <w:sz w:val="24"/>
              </w:rPr>
            </w:pPr>
            <w:r>
              <w:rPr>
                <w:rFonts w:eastAsiaTheme="minorEastAsia"/>
                <w:sz w:val="24"/>
              </w:rPr>
              <w:t>地    点：</w:t>
            </w:r>
            <w:r>
              <w:rPr>
                <w:rFonts w:eastAsiaTheme="minorEastAsia"/>
                <w:sz w:val="24"/>
                <w:u w:val="single"/>
              </w:rPr>
              <w:t xml:space="preserve">         </w:t>
            </w:r>
            <w:r>
              <w:rPr>
                <w:rFonts w:eastAsiaTheme="minorEastAsia"/>
                <w:sz w:val="24"/>
              </w:rPr>
              <w:t xml:space="preserve">                            其    它：</w:t>
            </w:r>
            <w:r>
              <w:rPr>
                <w:rFonts w:eastAsiaTheme="minor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5"/>
            <w:vAlign w:val="center"/>
          </w:tcPr>
          <w:p>
            <w:pPr>
              <w:rPr>
                <w:rFonts w:eastAsiaTheme="minorEastAsia"/>
                <w:sz w:val="24"/>
              </w:rPr>
            </w:pPr>
            <w:r>
              <w:rPr>
                <w:rFonts w:eastAsiaTheme="minorEastAsia"/>
                <w:sz w:val="24"/>
              </w:rPr>
              <w:t>校准所依据的技术文件（代号、名称）：</w:t>
            </w:r>
          </w:p>
          <w:p>
            <w:pP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5"/>
            <w:vAlign w:val="center"/>
          </w:tcPr>
          <w:p>
            <w:pPr>
              <w:rPr>
                <w:rFonts w:eastAsiaTheme="minorEastAsia"/>
                <w:sz w:val="24"/>
              </w:rPr>
            </w:pPr>
            <w:r>
              <w:rPr>
                <w:rFonts w:eastAsiaTheme="minorEastAsia"/>
                <w:sz w:val="24"/>
              </w:rPr>
              <w:t>校准所使用的主要测量标准：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vAlign w:val="center"/>
          </w:tcPr>
          <w:p>
            <w:pPr>
              <w:jc w:val="center"/>
              <w:rPr>
                <w:rFonts w:eastAsiaTheme="minorEastAsia"/>
                <w:sz w:val="24"/>
              </w:rPr>
            </w:pPr>
            <w:r>
              <w:rPr>
                <w:rFonts w:eastAsiaTheme="minorEastAsia"/>
                <w:sz w:val="24"/>
              </w:rPr>
              <w:t>名      称</w:t>
            </w:r>
          </w:p>
        </w:tc>
        <w:tc>
          <w:tcPr>
            <w:tcW w:w="1968" w:type="dxa"/>
            <w:vAlign w:val="center"/>
          </w:tcPr>
          <w:p>
            <w:pPr>
              <w:jc w:val="center"/>
              <w:rPr>
                <w:rFonts w:eastAsiaTheme="minorEastAsia"/>
                <w:sz w:val="24"/>
              </w:rPr>
            </w:pPr>
            <w:r>
              <w:rPr>
                <w:rFonts w:eastAsiaTheme="minorEastAsia"/>
                <w:sz w:val="24"/>
              </w:rPr>
              <w:t>测量范围</w:t>
            </w:r>
          </w:p>
        </w:tc>
        <w:tc>
          <w:tcPr>
            <w:tcW w:w="1968" w:type="dxa"/>
            <w:vAlign w:val="center"/>
          </w:tcPr>
          <w:p>
            <w:pPr>
              <w:jc w:val="center"/>
              <w:rPr>
                <w:rFonts w:eastAsiaTheme="minorEastAsia"/>
                <w:sz w:val="24"/>
              </w:rPr>
            </w:pPr>
            <w:r>
              <w:rPr>
                <w:rFonts w:eastAsiaTheme="minorEastAsia"/>
                <w:sz w:val="24"/>
              </w:rPr>
              <w:t>不确定度/</w:t>
            </w:r>
          </w:p>
          <w:p>
            <w:pPr>
              <w:jc w:val="center"/>
              <w:rPr>
                <w:rFonts w:eastAsiaTheme="minorEastAsia"/>
                <w:sz w:val="24"/>
              </w:rPr>
            </w:pPr>
            <w:r>
              <w:rPr>
                <w:rFonts w:eastAsiaTheme="minorEastAsia"/>
                <w:sz w:val="24"/>
              </w:rPr>
              <w:t>准确度等级</w:t>
            </w:r>
          </w:p>
          <w:p>
            <w:pPr>
              <w:jc w:val="center"/>
              <w:rPr>
                <w:rFonts w:eastAsiaTheme="minorEastAsia"/>
                <w:sz w:val="24"/>
              </w:rPr>
            </w:pPr>
            <w:r>
              <w:rPr>
                <w:rFonts w:eastAsiaTheme="minorEastAsia"/>
                <w:sz w:val="24"/>
              </w:rPr>
              <w:t>/最大允许误差</w:t>
            </w:r>
          </w:p>
        </w:tc>
        <w:tc>
          <w:tcPr>
            <w:tcW w:w="1968" w:type="dxa"/>
            <w:vAlign w:val="center"/>
          </w:tcPr>
          <w:p>
            <w:pPr>
              <w:jc w:val="center"/>
              <w:rPr>
                <w:rFonts w:eastAsiaTheme="minorEastAsia"/>
                <w:sz w:val="24"/>
              </w:rPr>
            </w:pPr>
            <w:r>
              <w:rPr>
                <w:rFonts w:eastAsiaTheme="minorEastAsia"/>
                <w:sz w:val="24"/>
              </w:rPr>
              <w:t>检定/校准</w:t>
            </w:r>
          </w:p>
          <w:p>
            <w:pPr>
              <w:jc w:val="center"/>
              <w:rPr>
                <w:rFonts w:eastAsiaTheme="minorEastAsia"/>
                <w:sz w:val="24"/>
              </w:rPr>
            </w:pPr>
            <w:r>
              <w:rPr>
                <w:rFonts w:eastAsiaTheme="minorEastAsia"/>
                <w:sz w:val="24"/>
              </w:rPr>
              <w:t>证书编号</w:t>
            </w:r>
          </w:p>
        </w:tc>
        <w:tc>
          <w:tcPr>
            <w:tcW w:w="1970" w:type="dxa"/>
            <w:vAlign w:val="center"/>
          </w:tcPr>
          <w:p>
            <w:pPr>
              <w:jc w:val="center"/>
              <w:rPr>
                <w:rFonts w:eastAsiaTheme="minorEastAsia"/>
                <w:sz w:val="24"/>
              </w:rPr>
            </w:pPr>
            <w:r>
              <w:rPr>
                <w:rFonts w:eastAsiaTheme="minorEastAsia"/>
                <w:sz w:val="24"/>
              </w:rPr>
              <w:t>证书有限期至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6" w:hRule="atLeast"/>
          <w:jc w:val="center"/>
        </w:trPr>
        <w:tc>
          <w:tcPr>
            <w:tcW w:w="1968" w:type="dxa"/>
            <w:tcBorders>
              <w:bottom w:val="nil"/>
            </w:tcBorders>
            <w:vAlign w:val="center"/>
          </w:tcPr>
          <w:p>
            <w:pPr>
              <w:rPr>
                <w:rFonts w:eastAsiaTheme="minorEastAsia"/>
                <w:sz w:val="24"/>
              </w:rPr>
            </w:pPr>
          </w:p>
        </w:tc>
        <w:tc>
          <w:tcPr>
            <w:tcW w:w="1968" w:type="dxa"/>
            <w:tcBorders>
              <w:bottom w:val="nil"/>
            </w:tcBorders>
            <w:vAlign w:val="center"/>
          </w:tcPr>
          <w:p>
            <w:pPr>
              <w:rPr>
                <w:rFonts w:eastAsiaTheme="minorEastAsia"/>
                <w:sz w:val="24"/>
              </w:rPr>
            </w:pPr>
          </w:p>
        </w:tc>
        <w:tc>
          <w:tcPr>
            <w:tcW w:w="1968" w:type="dxa"/>
            <w:tcBorders>
              <w:bottom w:val="nil"/>
            </w:tcBorders>
            <w:vAlign w:val="center"/>
          </w:tcPr>
          <w:p>
            <w:pPr>
              <w:rPr>
                <w:rFonts w:eastAsiaTheme="minorEastAsia"/>
                <w:sz w:val="24"/>
              </w:rPr>
            </w:pPr>
          </w:p>
        </w:tc>
        <w:tc>
          <w:tcPr>
            <w:tcW w:w="1968" w:type="dxa"/>
            <w:tcBorders>
              <w:bottom w:val="nil"/>
            </w:tcBorders>
            <w:vAlign w:val="center"/>
          </w:tcPr>
          <w:p>
            <w:pPr>
              <w:rPr>
                <w:rFonts w:eastAsiaTheme="minorEastAsia"/>
                <w:sz w:val="24"/>
              </w:rPr>
            </w:pPr>
          </w:p>
        </w:tc>
        <w:tc>
          <w:tcPr>
            <w:tcW w:w="1970" w:type="dxa"/>
            <w:tcBorders>
              <w:bottom w:val="nil"/>
            </w:tcBorders>
            <w:vAlign w:val="center"/>
          </w:tcPr>
          <w:p>
            <w:pP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5"/>
            <w:tcBorders>
              <w:top w:val="nil"/>
              <w:left w:val="nil"/>
              <w:bottom w:val="single" w:color="auto" w:sz="4" w:space="0"/>
              <w:right w:val="nil"/>
            </w:tcBorders>
            <w:vAlign w:val="center"/>
          </w:tcPr>
          <w:p>
            <w:pPr>
              <w:jc w:val="center"/>
              <w:rPr>
                <w:rFonts w:eastAsiaTheme="minorEastAsia"/>
                <w:sz w:val="24"/>
              </w:rPr>
            </w:pPr>
            <w:r>
              <w:rPr>
                <w:rFonts w:eastAsiaTheme="minorEastAsia"/>
                <w:sz w:val="36"/>
                <w:szCs w:val="36"/>
              </w:rPr>
              <w:t>校 准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5"/>
            <w:tcBorders>
              <w:top w:val="single" w:color="auto" w:sz="4" w:space="0"/>
              <w:bottom w:val="single" w:color="auto" w:sz="4" w:space="0"/>
            </w:tcBorders>
            <w:vAlign w:val="center"/>
          </w:tcPr>
          <w:p>
            <w:pPr>
              <w:rPr>
                <w:rFonts w:eastAsiaTheme="minorEastAsia"/>
                <w:sz w:val="24"/>
              </w:rPr>
            </w:pPr>
            <w:r>
              <w:rPr>
                <w:rFonts w:eastAsiaTheme="minorEastAsia"/>
                <w:sz w:val="24"/>
              </w:rPr>
              <w:t>1.试块外形尺寸/mm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tcBorders>
              <w:top w:val="single" w:color="auto" w:sz="4" w:space="0"/>
              <w:bottom w:val="single" w:color="auto" w:sz="4" w:space="0"/>
            </w:tcBorders>
            <w:vAlign w:val="center"/>
          </w:tcPr>
          <w:p>
            <w:pPr>
              <w:rPr>
                <w:rFonts w:eastAsiaTheme="minorEastAsia"/>
                <w:sz w:val="24"/>
              </w:rPr>
            </w:pPr>
            <w:r>
              <w:rPr>
                <w:rFonts w:eastAsiaTheme="minorEastAsia"/>
                <w:sz w:val="24"/>
              </w:rPr>
              <w:t>标称值</w:t>
            </w:r>
          </w:p>
        </w:tc>
        <w:tc>
          <w:tcPr>
            <w:tcW w:w="1968" w:type="dxa"/>
            <w:tcBorders>
              <w:top w:val="single" w:color="auto" w:sz="4" w:space="0"/>
              <w:bottom w:val="single" w:color="auto" w:sz="4" w:space="0"/>
            </w:tcBorders>
            <w:vAlign w:val="center"/>
          </w:tcPr>
          <w:p>
            <w:pPr>
              <w:rPr>
                <w:rFonts w:eastAsiaTheme="minorEastAsia"/>
                <w:sz w:val="24"/>
              </w:rPr>
            </w:pPr>
          </w:p>
        </w:tc>
        <w:tc>
          <w:tcPr>
            <w:tcW w:w="1968" w:type="dxa"/>
            <w:tcBorders>
              <w:top w:val="single" w:color="auto" w:sz="4" w:space="0"/>
              <w:bottom w:val="single" w:color="auto" w:sz="4" w:space="0"/>
            </w:tcBorders>
            <w:vAlign w:val="center"/>
          </w:tcPr>
          <w:p>
            <w:pPr>
              <w:rPr>
                <w:rFonts w:eastAsiaTheme="minorEastAsia"/>
                <w:sz w:val="24"/>
              </w:rPr>
            </w:pPr>
          </w:p>
        </w:tc>
        <w:tc>
          <w:tcPr>
            <w:tcW w:w="1968" w:type="dxa"/>
            <w:tcBorders>
              <w:top w:val="single" w:color="auto" w:sz="4" w:space="0"/>
              <w:bottom w:val="single" w:color="auto" w:sz="4" w:space="0"/>
            </w:tcBorders>
            <w:vAlign w:val="center"/>
          </w:tcPr>
          <w:p>
            <w:pPr>
              <w:rPr>
                <w:rFonts w:eastAsiaTheme="minorEastAsia"/>
                <w:sz w:val="24"/>
              </w:rPr>
            </w:pPr>
          </w:p>
        </w:tc>
        <w:tc>
          <w:tcPr>
            <w:tcW w:w="1970" w:type="dxa"/>
            <w:tcBorders>
              <w:top w:val="single" w:color="auto" w:sz="4" w:space="0"/>
              <w:bottom w:val="single" w:color="auto" w:sz="4" w:space="0"/>
            </w:tcBorders>
            <w:vAlign w:val="center"/>
          </w:tcPr>
          <w:p>
            <w:pP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tcBorders>
              <w:top w:val="single" w:color="auto" w:sz="4" w:space="0"/>
              <w:bottom w:val="single" w:color="auto" w:sz="4" w:space="0"/>
            </w:tcBorders>
            <w:vAlign w:val="center"/>
          </w:tcPr>
          <w:p>
            <w:pPr>
              <w:rPr>
                <w:rFonts w:eastAsiaTheme="minorEastAsia"/>
                <w:sz w:val="24"/>
              </w:rPr>
            </w:pPr>
            <w:r>
              <w:rPr>
                <w:rFonts w:eastAsiaTheme="minorEastAsia"/>
                <w:sz w:val="24"/>
              </w:rPr>
              <w:t>实际值</w:t>
            </w:r>
          </w:p>
        </w:tc>
        <w:tc>
          <w:tcPr>
            <w:tcW w:w="1968" w:type="dxa"/>
            <w:tcBorders>
              <w:top w:val="single" w:color="auto" w:sz="4" w:space="0"/>
              <w:bottom w:val="single" w:color="auto" w:sz="4" w:space="0"/>
            </w:tcBorders>
            <w:vAlign w:val="center"/>
          </w:tcPr>
          <w:p>
            <w:pPr>
              <w:rPr>
                <w:rFonts w:eastAsiaTheme="minorEastAsia"/>
                <w:sz w:val="24"/>
              </w:rPr>
            </w:pPr>
          </w:p>
        </w:tc>
        <w:tc>
          <w:tcPr>
            <w:tcW w:w="1968" w:type="dxa"/>
            <w:tcBorders>
              <w:top w:val="single" w:color="auto" w:sz="4" w:space="0"/>
              <w:bottom w:val="single" w:color="auto" w:sz="4" w:space="0"/>
            </w:tcBorders>
            <w:vAlign w:val="center"/>
          </w:tcPr>
          <w:p>
            <w:pPr>
              <w:rPr>
                <w:rFonts w:eastAsiaTheme="minorEastAsia"/>
                <w:sz w:val="24"/>
              </w:rPr>
            </w:pPr>
          </w:p>
        </w:tc>
        <w:tc>
          <w:tcPr>
            <w:tcW w:w="1968" w:type="dxa"/>
            <w:tcBorders>
              <w:top w:val="single" w:color="auto" w:sz="4" w:space="0"/>
              <w:bottom w:val="single" w:color="auto" w:sz="4" w:space="0"/>
            </w:tcBorders>
            <w:vAlign w:val="center"/>
          </w:tcPr>
          <w:p>
            <w:pPr>
              <w:rPr>
                <w:rFonts w:eastAsiaTheme="minorEastAsia"/>
                <w:sz w:val="24"/>
              </w:rPr>
            </w:pPr>
          </w:p>
        </w:tc>
        <w:tc>
          <w:tcPr>
            <w:tcW w:w="1970" w:type="dxa"/>
            <w:tcBorders>
              <w:top w:val="single" w:color="auto" w:sz="4" w:space="0"/>
              <w:bottom w:val="single" w:color="auto" w:sz="4" w:space="0"/>
            </w:tcBorders>
            <w:vAlign w:val="center"/>
          </w:tcPr>
          <w:p>
            <w:pP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5"/>
            <w:tcBorders>
              <w:top w:val="single" w:color="auto" w:sz="4" w:space="0"/>
              <w:bottom w:val="single" w:color="auto" w:sz="4" w:space="0"/>
            </w:tcBorders>
            <w:vAlign w:val="center"/>
          </w:tcPr>
          <w:p>
            <w:pPr>
              <w:rPr>
                <w:rFonts w:eastAsiaTheme="minorEastAsia"/>
                <w:sz w:val="24"/>
              </w:rPr>
            </w:pPr>
            <w:r>
              <w:rPr>
                <w:rFonts w:eastAsiaTheme="minorEastAsia"/>
                <w:sz w:val="24"/>
              </w:rPr>
              <w:t>测量不确定度：</w:t>
            </w:r>
          </w:p>
        </w:tc>
      </w:tr>
    </w:tbl>
    <w:p/>
    <w:tbl>
      <w:tblPr>
        <w:tblStyle w:val="24"/>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968"/>
        <w:gridCol w:w="1968"/>
        <w:gridCol w:w="1968"/>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5"/>
            <w:tcBorders>
              <w:top w:val="single" w:color="auto" w:sz="4" w:space="0"/>
              <w:bottom w:val="single" w:color="auto" w:sz="4" w:space="0"/>
            </w:tcBorders>
            <w:vAlign w:val="center"/>
          </w:tcPr>
          <w:p>
            <w:pPr>
              <w:rPr>
                <w:rFonts w:eastAsiaTheme="minorEastAsia"/>
                <w:sz w:val="24"/>
              </w:rPr>
            </w:pPr>
            <w:r>
              <w:rPr>
                <w:rFonts w:eastAsiaTheme="minorEastAsia"/>
                <w:sz w:val="24"/>
              </w:rPr>
              <w:t>2.孔槽尺寸/mm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tcBorders>
              <w:top w:val="single" w:color="auto" w:sz="4" w:space="0"/>
              <w:bottom w:val="single" w:color="auto" w:sz="4" w:space="0"/>
            </w:tcBorders>
            <w:vAlign w:val="center"/>
          </w:tcPr>
          <w:p>
            <w:pPr>
              <w:rPr>
                <w:rFonts w:eastAsiaTheme="minorEastAsia"/>
                <w:sz w:val="24"/>
              </w:rPr>
            </w:pPr>
            <w:r>
              <w:rPr>
                <w:rFonts w:eastAsiaTheme="minorEastAsia"/>
                <w:sz w:val="24"/>
              </w:rPr>
              <w:t>标称值</w:t>
            </w:r>
          </w:p>
        </w:tc>
        <w:tc>
          <w:tcPr>
            <w:tcW w:w="1968" w:type="dxa"/>
            <w:tcBorders>
              <w:top w:val="single" w:color="auto" w:sz="4" w:space="0"/>
              <w:bottom w:val="single" w:color="auto" w:sz="4" w:space="0"/>
            </w:tcBorders>
            <w:vAlign w:val="center"/>
          </w:tcPr>
          <w:p>
            <w:pPr>
              <w:rPr>
                <w:rFonts w:eastAsiaTheme="minorEastAsia"/>
                <w:sz w:val="24"/>
              </w:rPr>
            </w:pPr>
          </w:p>
        </w:tc>
        <w:tc>
          <w:tcPr>
            <w:tcW w:w="1968" w:type="dxa"/>
            <w:tcBorders>
              <w:top w:val="single" w:color="auto" w:sz="4" w:space="0"/>
              <w:bottom w:val="single" w:color="auto" w:sz="4" w:space="0"/>
            </w:tcBorders>
            <w:vAlign w:val="center"/>
          </w:tcPr>
          <w:p>
            <w:pPr>
              <w:rPr>
                <w:rFonts w:eastAsiaTheme="minorEastAsia"/>
                <w:sz w:val="24"/>
              </w:rPr>
            </w:pPr>
          </w:p>
        </w:tc>
        <w:tc>
          <w:tcPr>
            <w:tcW w:w="1968" w:type="dxa"/>
            <w:tcBorders>
              <w:top w:val="single" w:color="auto" w:sz="4" w:space="0"/>
              <w:bottom w:val="single" w:color="auto" w:sz="4" w:space="0"/>
            </w:tcBorders>
            <w:vAlign w:val="center"/>
          </w:tcPr>
          <w:p>
            <w:pPr>
              <w:rPr>
                <w:rFonts w:eastAsiaTheme="minorEastAsia"/>
                <w:sz w:val="24"/>
              </w:rPr>
            </w:pPr>
          </w:p>
        </w:tc>
        <w:tc>
          <w:tcPr>
            <w:tcW w:w="1970" w:type="dxa"/>
            <w:tcBorders>
              <w:top w:val="single" w:color="auto" w:sz="4" w:space="0"/>
              <w:bottom w:val="single" w:color="auto" w:sz="4" w:space="0"/>
            </w:tcBorders>
            <w:vAlign w:val="center"/>
          </w:tcPr>
          <w:p>
            <w:pP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tcBorders>
              <w:top w:val="single" w:color="auto" w:sz="4" w:space="0"/>
              <w:bottom w:val="single" w:color="auto" w:sz="4" w:space="0"/>
            </w:tcBorders>
            <w:vAlign w:val="center"/>
          </w:tcPr>
          <w:p>
            <w:pPr>
              <w:rPr>
                <w:rFonts w:eastAsiaTheme="minorEastAsia"/>
                <w:sz w:val="24"/>
              </w:rPr>
            </w:pPr>
            <w:r>
              <w:rPr>
                <w:rFonts w:eastAsiaTheme="minorEastAsia"/>
                <w:sz w:val="24"/>
              </w:rPr>
              <w:t>实际值</w:t>
            </w:r>
          </w:p>
        </w:tc>
        <w:tc>
          <w:tcPr>
            <w:tcW w:w="1968" w:type="dxa"/>
            <w:tcBorders>
              <w:top w:val="single" w:color="auto" w:sz="4" w:space="0"/>
              <w:bottom w:val="single" w:color="auto" w:sz="4" w:space="0"/>
            </w:tcBorders>
            <w:vAlign w:val="center"/>
          </w:tcPr>
          <w:p>
            <w:pPr>
              <w:rPr>
                <w:rFonts w:eastAsiaTheme="minorEastAsia"/>
                <w:sz w:val="24"/>
              </w:rPr>
            </w:pPr>
          </w:p>
        </w:tc>
        <w:tc>
          <w:tcPr>
            <w:tcW w:w="1968" w:type="dxa"/>
            <w:tcBorders>
              <w:top w:val="single" w:color="auto" w:sz="4" w:space="0"/>
              <w:bottom w:val="single" w:color="auto" w:sz="4" w:space="0"/>
            </w:tcBorders>
            <w:vAlign w:val="center"/>
          </w:tcPr>
          <w:p>
            <w:pPr>
              <w:rPr>
                <w:rFonts w:eastAsiaTheme="minorEastAsia"/>
                <w:sz w:val="24"/>
              </w:rPr>
            </w:pPr>
          </w:p>
        </w:tc>
        <w:tc>
          <w:tcPr>
            <w:tcW w:w="1968" w:type="dxa"/>
            <w:tcBorders>
              <w:top w:val="single" w:color="auto" w:sz="4" w:space="0"/>
              <w:bottom w:val="single" w:color="auto" w:sz="4" w:space="0"/>
            </w:tcBorders>
            <w:vAlign w:val="center"/>
          </w:tcPr>
          <w:p>
            <w:pPr>
              <w:rPr>
                <w:rFonts w:eastAsiaTheme="minorEastAsia"/>
                <w:sz w:val="24"/>
              </w:rPr>
            </w:pPr>
          </w:p>
        </w:tc>
        <w:tc>
          <w:tcPr>
            <w:tcW w:w="1970" w:type="dxa"/>
            <w:tcBorders>
              <w:top w:val="single" w:color="auto" w:sz="4" w:space="0"/>
              <w:bottom w:val="single" w:color="auto" w:sz="4" w:space="0"/>
            </w:tcBorders>
            <w:vAlign w:val="center"/>
          </w:tcPr>
          <w:p>
            <w:pP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5"/>
            <w:tcBorders>
              <w:top w:val="single" w:color="auto" w:sz="4" w:space="0"/>
              <w:bottom w:val="single" w:color="auto" w:sz="4" w:space="0"/>
            </w:tcBorders>
            <w:vAlign w:val="center"/>
          </w:tcPr>
          <w:p>
            <w:pPr>
              <w:rPr>
                <w:rFonts w:eastAsiaTheme="minorEastAsia"/>
                <w:sz w:val="24"/>
              </w:rPr>
            </w:pPr>
            <w:r>
              <w:rPr>
                <w:rFonts w:eastAsiaTheme="minorEastAsia"/>
                <w:sz w:val="24"/>
              </w:rPr>
              <w:t>测量不确定度：</w:t>
            </w:r>
          </w:p>
        </w:tc>
      </w:tr>
    </w:tbl>
    <w:p/>
    <w:tbl>
      <w:tblPr>
        <w:tblStyle w:val="24"/>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968"/>
        <w:gridCol w:w="1968"/>
        <w:gridCol w:w="1968"/>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5"/>
            <w:tcBorders>
              <w:top w:val="single" w:color="auto" w:sz="4" w:space="0"/>
              <w:bottom w:val="single" w:color="auto" w:sz="4" w:space="0"/>
            </w:tcBorders>
            <w:vAlign w:val="center"/>
          </w:tcPr>
          <w:p>
            <w:pPr>
              <w:rPr>
                <w:rFonts w:eastAsiaTheme="minorEastAsia"/>
                <w:sz w:val="24"/>
              </w:rPr>
            </w:pPr>
            <w:r>
              <w:rPr>
                <w:rFonts w:eastAsiaTheme="minorEastAsia"/>
                <w:sz w:val="24"/>
              </w:rPr>
              <w:t>3.角度/°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tcBorders>
              <w:top w:val="single" w:color="auto" w:sz="4" w:space="0"/>
              <w:bottom w:val="single" w:color="auto" w:sz="4" w:space="0"/>
            </w:tcBorders>
            <w:vAlign w:val="center"/>
          </w:tcPr>
          <w:p>
            <w:pPr>
              <w:rPr>
                <w:rFonts w:eastAsiaTheme="minorEastAsia"/>
                <w:sz w:val="24"/>
              </w:rPr>
            </w:pPr>
            <w:r>
              <w:rPr>
                <w:rFonts w:eastAsiaTheme="minorEastAsia"/>
                <w:sz w:val="24"/>
              </w:rPr>
              <w:t>标称值</w:t>
            </w:r>
          </w:p>
        </w:tc>
        <w:tc>
          <w:tcPr>
            <w:tcW w:w="1968" w:type="dxa"/>
            <w:tcBorders>
              <w:top w:val="single" w:color="auto" w:sz="4" w:space="0"/>
              <w:bottom w:val="single" w:color="auto" w:sz="4" w:space="0"/>
            </w:tcBorders>
            <w:vAlign w:val="center"/>
          </w:tcPr>
          <w:p>
            <w:pPr>
              <w:rPr>
                <w:rFonts w:eastAsiaTheme="minorEastAsia"/>
                <w:sz w:val="24"/>
              </w:rPr>
            </w:pPr>
          </w:p>
        </w:tc>
        <w:tc>
          <w:tcPr>
            <w:tcW w:w="1968" w:type="dxa"/>
            <w:tcBorders>
              <w:top w:val="single" w:color="auto" w:sz="4" w:space="0"/>
              <w:bottom w:val="single" w:color="auto" w:sz="4" w:space="0"/>
            </w:tcBorders>
            <w:vAlign w:val="center"/>
          </w:tcPr>
          <w:p>
            <w:pPr>
              <w:rPr>
                <w:rFonts w:eastAsiaTheme="minorEastAsia"/>
                <w:sz w:val="24"/>
              </w:rPr>
            </w:pPr>
          </w:p>
        </w:tc>
        <w:tc>
          <w:tcPr>
            <w:tcW w:w="1968" w:type="dxa"/>
            <w:tcBorders>
              <w:top w:val="single" w:color="auto" w:sz="4" w:space="0"/>
              <w:bottom w:val="single" w:color="auto" w:sz="4" w:space="0"/>
            </w:tcBorders>
            <w:vAlign w:val="center"/>
          </w:tcPr>
          <w:p>
            <w:pPr>
              <w:rPr>
                <w:rFonts w:eastAsiaTheme="minorEastAsia"/>
                <w:sz w:val="24"/>
              </w:rPr>
            </w:pPr>
          </w:p>
        </w:tc>
        <w:tc>
          <w:tcPr>
            <w:tcW w:w="1970" w:type="dxa"/>
            <w:tcBorders>
              <w:top w:val="single" w:color="auto" w:sz="4" w:space="0"/>
              <w:bottom w:val="single" w:color="auto" w:sz="4" w:space="0"/>
            </w:tcBorders>
            <w:vAlign w:val="center"/>
          </w:tcPr>
          <w:p>
            <w:pP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968" w:type="dxa"/>
            <w:tcBorders>
              <w:top w:val="single" w:color="auto" w:sz="4" w:space="0"/>
              <w:bottom w:val="single" w:color="auto" w:sz="4" w:space="0"/>
            </w:tcBorders>
            <w:vAlign w:val="center"/>
          </w:tcPr>
          <w:p>
            <w:pPr>
              <w:rPr>
                <w:rFonts w:eastAsiaTheme="minorEastAsia"/>
                <w:sz w:val="24"/>
              </w:rPr>
            </w:pPr>
            <w:r>
              <w:rPr>
                <w:rFonts w:eastAsiaTheme="minorEastAsia"/>
                <w:sz w:val="24"/>
              </w:rPr>
              <w:t>实际值</w:t>
            </w:r>
          </w:p>
        </w:tc>
        <w:tc>
          <w:tcPr>
            <w:tcW w:w="1968" w:type="dxa"/>
            <w:tcBorders>
              <w:top w:val="single" w:color="auto" w:sz="4" w:space="0"/>
              <w:bottom w:val="single" w:color="auto" w:sz="4" w:space="0"/>
            </w:tcBorders>
            <w:vAlign w:val="center"/>
          </w:tcPr>
          <w:p>
            <w:pPr>
              <w:rPr>
                <w:rFonts w:eastAsiaTheme="minorEastAsia"/>
                <w:sz w:val="24"/>
              </w:rPr>
            </w:pPr>
          </w:p>
        </w:tc>
        <w:tc>
          <w:tcPr>
            <w:tcW w:w="1968" w:type="dxa"/>
            <w:tcBorders>
              <w:top w:val="single" w:color="auto" w:sz="4" w:space="0"/>
              <w:bottom w:val="single" w:color="auto" w:sz="4" w:space="0"/>
            </w:tcBorders>
            <w:vAlign w:val="center"/>
          </w:tcPr>
          <w:p>
            <w:pPr>
              <w:rPr>
                <w:rFonts w:eastAsiaTheme="minorEastAsia"/>
                <w:sz w:val="24"/>
              </w:rPr>
            </w:pPr>
          </w:p>
        </w:tc>
        <w:tc>
          <w:tcPr>
            <w:tcW w:w="1968" w:type="dxa"/>
            <w:tcBorders>
              <w:top w:val="single" w:color="auto" w:sz="4" w:space="0"/>
              <w:bottom w:val="single" w:color="auto" w:sz="4" w:space="0"/>
            </w:tcBorders>
            <w:vAlign w:val="center"/>
          </w:tcPr>
          <w:p>
            <w:pPr>
              <w:rPr>
                <w:rFonts w:eastAsiaTheme="minorEastAsia"/>
                <w:sz w:val="24"/>
              </w:rPr>
            </w:pPr>
          </w:p>
        </w:tc>
        <w:tc>
          <w:tcPr>
            <w:tcW w:w="1970" w:type="dxa"/>
            <w:tcBorders>
              <w:top w:val="single" w:color="auto" w:sz="4" w:space="0"/>
              <w:bottom w:val="single" w:color="auto" w:sz="4" w:space="0"/>
            </w:tcBorders>
            <w:vAlign w:val="center"/>
          </w:tcPr>
          <w:p>
            <w:pP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5"/>
            <w:tcBorders>
              <w:top w:val="single" w:color="auto" w:sz="4" w:space="0"/>
              <w:bottom w:val="single" w:color="auto" w:sz="4" w:space="0"/>
            </w:tcBorders>
            <w:vAlign w:val="center"/>
          </w:tcPr>
          <w:p>
            <w:pPr>
              <w:rPr>
                <w:rFonts w:eastAsiaTheme="minorEastAsia"/>
                <w:sz w:val="24"/>
              </w:rPr>
            </w:pPr>
            <w:r>
              <w:rPr>
                <w:rFonts w:eastAsiaTheme="minorEastAsia"/>
                <w:sz w:val="24"/>
              </w:rPr>
              <w:t>测量不确定度：</w:t>
            </w:r>
          </w:p>
        </w:tc>
      </w:tr>
    </w:tbl>
    <w:p/>
    <w:tbl>
      <w:tblPr>
        <w:tblStyle w:val="24"/>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640"/>
        <w:gridCol w:w="1640"/>
        <w:gridCol w:w="1640"/>
        <w:gridCol w:w="1640"/>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6"/>
            <w:tcBorders>
              <w:top w:val="single" w:color="auto" w:sz="4" w:space="0"/>
              <w:bottom w:val="single" w:color="auto" w:sz="4" w:space="0"/>
            </w:tcBorders>
            <w:vAlign w:val="center"/>
          </w:tcPr>
          <w:p>
            <w:pPr>
              <w:rPr>
                <w:rFonts w:eastAsiaTheme="minorEastAsia"/>
                <w:sz w:val="24"/>
              </w:rPr>
            </w:pPr>
            <w:r>
              <w:rPr>
                <w:rFonts w:eastAsiaTheme="minorEastAsia"/>
                <w:sz w:val="24"/>
              </w:rPr>
              <w:t>4.</w:t>
            </w:r>
            <w:r>
              <w:rPr>
                <w:sz w:val="24"/>
              </w:rPr>
              <w:t>接触面平面度</w:t>
            </w:r>
            <w:r>
              <w:rPr>
                <w:rFonts w:eastAsiaTheme="minorEastAsia"/>
                <w:sz w:val="24"/>
              </w:rPr>
              <w:t>/μm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640" w:type="dxa"/>
            <w:tcBorders>
              <w:top w:val="single" w:color="auto" w:sz="4" w:space="0"/>
              <w:bottom w:val="single" w:color="auto" w:sz="4" w:space="0"/>
            </w:tcBorders>
          </w:tcPr>
          <w:p>
            <w:pPr>
              <w:spacing w:line="360" w:lineRule="auto"/>
              <w:jc w:val="center"/>
              <w:rPr>
                <w:rFonts w:eastAsiaTheme="minorEastAsia"/>
                <w:sz w:val="24"/>
              </w:rPr>
            </w:pPr>
            <w:r>
              <w:rPr>
                <w:sz w:val="24"/>
              </w:rPr>
              <w:t>A面</w:t>
            </w:r>
          </w:p>
        </w:tc>
        <w:tc>
          <w:tcPr>
            <w:tcW w:w="1640" w:type="dxa"/>
            <w:tcBorders>
              <w:top w:val="single" w:color="auto" w:sz="4" w:space="0"/>
              <w:bottom w:val="single" w:color="auto" w:sz="4" w:space="0"/>
            </w:tcBorders>
          </w:tcPr>
          <w:p>
            <w:pPr>
              <w:spacing w:line="360" w:lineRule="auto"/>
              <w:jc w:val="center"/>
              <w:rPr>
                <w:rFonts w:eastAsiaTheme="minorEastAsia"/>
                <w:sz w:val="24"/>
              </w:rPr>
            </w:pPr>
            <w:r>
              <w:rPr>
                <w:sz w:val="24"/>
              </w:rPr>
              <w:t>B面</w:t>
            </w:r>
          </w:p>
        </w:tc>
        <w:tc>
          <w:tcPr>
            <w:tcW w:w="1640" w:type="dxa"/>
            <w:tcBorders>
              <w:top w:val="single" w:color="auto" w:sz="4" w:space="0"/>
              <w:bottom w:val="single" w:color="auto" w:sz="4" w:space="0"/>
            </w:tcBorders>
          </w:tcPr>
          <w:p>
            <w:pPr>
              <w:spacing w:line="360" w:lineRule="auto"/>
              <w:jc w:val="center"/>
              <w:rPr>
                <w:rFonts w:eastAsiaTheme="minorEastAsia"/>
                <w:sz w:val="24"/>
              </w:rPr>
            </w:pPr>
            <w:r>
              <w:rPr>
                <w:sz w:val="24"/>
              </w:rPr>
              <w:t>C面</w:t>
            </w:r>
          </w:p>
        </w:tc>
        <w:tc>
          <w:tcPr>
            <w:tcW w:w="1640" w:type="dxa"/>
            <w:tcBorders>
              <w:top w:val="single" w:color="auto" w:sz="4" w:space="0"/>
              <w:bottom w:val="single" w:color="auto" w:sz="4" w:space="0"/>
            </w:tcBorders>
          </w:tcPr>
          <w:p>
            <w:pPr>
              <w:spacing w:line="360" w:lineRule="auto"/>
              <w:jc w:val="center"/>
              <w:rPr>
                <w:rFonts w:eastAsiaTheme="minorEastAsia"/>
                <w:sz w:val="24"/>
              </w:rPr>
            </w:pPr>
            <w:r>
              <w:rPr>
                <w:sz w:val="24"/>
              </w:rPr>
              <w:t>D面</w:t>
            </w:r>
          </w:p>
        </w:tc>
        <w:tc>
          <w:tcPr>
            <w:tcW w:w="1640" w:type="dxa"/>
            <w:tcBorders>
              <w:top w:val="single" w:color="auto" w:sz="4" w:space="0"/>
              <w:bottom w:val="single" w:color="auto" w:sz="4" w:space="0"/>
            </w:tcBorders>
          </w:tcPr>
          <w:p>
            <w:pPr>
              <w:spacing w:line="360" w:lineRule="auto"/>
              <w:jc w:val="center"/>
              <w:rPr>
                <w:rFonts w:eastAsiaTheme="minorEastAsia"/>
                <w:sz w:val="24"/>
              </w:rPr>
            </w:pPr>
            <w:r>
              <w:rPr>
                <w:sz w:val="24"/>
              </w:rPr>
              <w:t>E面</w:t>
            </w:r>
          </w:p>
        </w:tc>
        <w:tc>
          <w:tcPr>
            <w:tcW w:w="1642" w:type="dxa"/>
            <w:tcBorders>
              <w:top w:val="single" w:color="auto" w:sz="4" w:space="0"/>
              <w:bottom w:val="single" w:color="auto" w:sz="4" w:space="0"/>
            </w:tcBorders>
          </w:tcPr>
          <w:p>
            <w:pPr>
              <w:spacing w:line="360" w:lineRule="auto"/>
              <w:jc w:val="center"/>
              <w:rPr>
                <w:rFonts w:eastAsiaTheme="minorEastAsia"/>
                <w:sz w:val="24"/>
              </w:rPr>
            </w:pPr>
            <w:r>
              <w:rPr>
                <w:sz w:val="24"/>
              </w:rPr>
              <w:t>F面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640" w:type="dxa"/>
            <w:tcBorders>
              <w:top w:val="single" w:color="auto" w:sz="4" w:space="0"/>
              <w:bottom w:val="single" w:color="auto" w:sz="4" w:space="0"/>
            </w:tcBorders>
            <w:vAlign w:val="center"/>
          </w:tcPr>
          <w:p>
            <w:pPr>
              <w:rPr>
                <w:rFonts w:eastAsiaTheme="minorEastAsia"/>
                <w:sz w:val="24"/>
              </w:rPr>
            </w:pPr>
          </w:p>
        </w:tc>
        <w:tc>
          <w:tcPr>
            <w:tcW w:w="1640" w:type="dxa"/>
            <w:tcBorders>
              <w:top w:val="single" w:color="auto" w:sz="4" w:space="0"/>
              <w:bottom w:val="single" w:color="auto" w:sz="4" w:space="0"/>
            </w:tcBorders>
            <w:vAlign w:val="center"/>
          </w:tcPr>
          <w:p>
            <w:pPr>
              <w:rPr>
                <w:rFonts w:eastAsiaTheme="minorEastAsia"/>
                <w:sz w:val="24"/>
              </w:rPr>
            </w:pPr>
          </w:p>
        </w:tc>
        <w:tc>
          <w:tcPr>
            <w:tcW w:w="1640" w:type="dxa"/>
            <w:tcBorders>
              <w:top w:val="single" w:color="auto" w:sz="4" w:space="0"/>
              <w:bottom w:val="single" w:color="auto" w:sz="4" w:space="0"/>
            </w:tcBorders>
            <w:vAlign w:val="center"/>
          </w:tcPr>
          <w:p>
            <w:pPr>
              <w:rPr>
                <w:rFonts w:eastAsiaTheme="minorEastAsia"/>
                <w:sz w:val="24"/>
              </w:rPr>
            </w:pPr>
          </w:p>
        </w:tc>
        <w:tc>
          <w:tcPr>
            <w:tcW w:w="1640" w:type="dxa"/>
            <w:tcBorders>
              <w:top w:val="single" w:color="auto" w:sz="4" w:space="0"/>
              <w:bottom w:val="single" w:color="auto" w:sz="4" w:space="0"/>
            </w:tcBorders>
            <w:vAlign w:val="center"/>
          </w:tcPr>
          <w:p>
            <w:pPr>
              <w:rPr>
                <w:rFonts w:eastAsiaTheme="minorEastAsia"/>
                <w:sz w:val="24"/>
              </w:rPr>
            </w:pPr>
          </w:p>
        </w:tc>
        <w:tc>
          <w:tcPr>
            <w:tcW w:w="1640" w:type="dxa"/>
            <w:tcBorders>
              <w:top w:val="single" w:color="auto" w:sz="4" w:space="0"/>
              <w:bottom w:val="single" w:color="auto" w:sz="4" w:space="0"/>
            </w:tcBorders>
            <w:vAlign w:val="center"/>
          </w:tcPr>
          <w:p>
            <w:pPr>
              <w:rPr>
                <w:rFonts w:eastAsiaTheme="minorEastAsia"/>
                <w:sz w:val="24"/>
              </w:rPr>
            </w:pPr>
          </w:p>
        </w:tc>
        <w:tc>
          <w:tcPr>
            <w:tcW w:w="1642" w:type="dxa"/>
            <w:tcBorders>
              <w:top w:val="single" w:color="auto" w:sz="4" w:space="0"/>
              <w:bottom w:val="single" w:color="auto" w:sz="4" w:space="0"/>
            </w:tcBorders>
            <w:vAlign w:val="center"/>
          </w:tcPr>
          <w:p>
            <w:pP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6"/>
            <w:tcBorders>
              <w:top w:val="single" w:color="auto" w:sz="4" w:space="0"/>
              <w:bottom w:val="single" w:color="auto" w:sz="4" w:space="0"/>
            </w:tcBorders>
            <w:vAlign w:val="center"/>
          </w:tcPr>
          <w:p>
            <w:pPr>
              <w:rPr>
                <w:rFonts w:eastAsiaTheme="minorEastAsia"/>
                <w:sz w:val="24"/>
              </w:rPr>
            </w:pPr>
            <w:r>
              <w:rPr>
                <w:rFonts w:eastAsiaTheme="minorEastAsia"/>
                <w:sz w:val="24"/>
              </w:rPr>
              <w:t>测量不确定度：</w:t>
            </w:r>
          </w:p>
        </w:tc>
      </w:tr>
    </w:tbl>
    <w:p/>
    <w:tbl>
      <w:tblPr>
        <w:tblStyle w:val="24"/>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640"/>
        <w:gridCol w:w="1640"/>
        <w:gridCol w:w="1640"/>
        <w:gridCol w:w="1640"/>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6"/>
            <w:tcBorders>
              <w:top w:val="single" w:color="auto" w:sz="4" w:space="0"/>
              <w:bottom w:val="single" w:color="auto" w:sz="4" w:space="0"/>
            </w:tcBorders>
            <w:vAlign w:val="center"/>
          </w:tcPr>
          <w:p>
            <w:pPr>
              <w:rPr>
                <w:rFonts w:eastAsiaTheme="minorEastAsia"/>
                <w:sz w:val="24"/>
              </w:rPr>
            </w:pPr>
            <w:r>
              <w:rPr>
                <w:rFonts w:eastAsiaTheme="minorEastAsia"/>
                <w:sz w:val="24"/>
              </w:rPr>
              <w:t>5.</w:t>
            </w:r>
            <w:r>
              <w:rPr>
                <w:sz w:val="24"/>
              </w:rPr>
              <w:t>平底孔平面度/μm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640" w:type="dxa"/>
            <w:tcBorders>
              <w:top w:val="single" w:color="auto" w:sz="4" w:space="0"/>
              <w:bottom w:val="single" w:color="auto" w:sz="4" w:space="0"/>
            </w:tcBorders>
          </w:tcPr>
          <w:p>
            <w:pPr>
              <w:spacing w:line="360" w:lineRule="auto"/>
              <w:jc w:val="left"/>
              <w:rPr>
                <w:rFonts w:eastAsiaTheme="minorEastAsia"/>
                <w:sz w:val="24"/>
              </w:rPr>
            </w:pPr>
            <w:r>
              <w:rPr>
                <w:sz w:val="24"/>
                <w:u w:val="single"/>
              </w:rPr>
              <w:t xml:space="preserve">      </w:t>
            </w:r>
            <w:r>
              <w:rPr>
                <w:sz w:val="24"/>
              </w:rPr>
              <w:t>孔</w:t>
            </w:r>
          </w:p>
        </w:tc>
        <w:tc>
          <w:tcPr>
            <w:tcW w:w="1640" w:type="dxa"/>
            <w:tcBorders>
              <w:top w:val="single" w:color="auto" w:sz="4" w:space="0"/>
              <w:bottom w:val="single" w:color="auto" w:sz="4" w:space="0"/>
            </w:tcBorders>
          </w:tcPr>
          <w:p>
            <w:pPr>
              <w:spacing w:line="360" w:lineRule="auto"/>
              <w:jc w:val="left"/>
              <w:rPr>
                <w:rFonts w:eastAsiaTheme="minorEastAsia"/>
                <w:sz w:val="24"/>
              </w:rPr>
            </w:pPr>
            <w:r>
              <w:rPr>
                <w:sz w:val="24"/>
                <w:u w:val="single"/>
              </w:rPr>
              <w:t xml:space="preserve">      </w:t>
            </w:r>
            <w:r>
              <w:rPr>
                <w:sz w:val="24"/>
              </w:rPr>
              <w:t>孔</w:t>
            </w:r>
          </w:p>
        </w:tc>
        <w:tc>
          <w:tcPr>
            <w:tcW w:w="1640" w:type="dxa"/>
            <w:tcBorders>
              <w:top w:val="single" w:color="auto" w:sz="4" w:space="0"/>
              <w:bottom w:val="single" w:color="auto" w:sz="4" w:space="0"/>
            </w:tcBorders>
          </w:tcPr>
          <w:p>
            <w:pPr>
              <w:spacing w:line="360" w:lineRule="auto"/>
              <w:jc w:val="left"/>
              <w:rPr>
                <w:rFonts w:eastAsiaTheme="minorEastAsia"/>
                <w:sz w:val="24"/>
              </w:rPr>
            </w:pPr>
            <w:r>
              <w:rPr>
                <w:sz w:val="24"/>
                <w:u w:val="single"/>
              </w:rPr>
              <w:t xml:space="preserve">      </w:t>
            </w:r>
            <w:r>
              <w:rPr>
                <w:sz w:val="24"/>
              </w:rPr>
              <w:t>孔</w:t>
            </w:r>
          </w:p>
        </w:tc>
        <w:tc>
          <w:tcPr>
            <w:tcW w:w="1640" w:type="dxa"/>
            <w:tcBorders>
              <w:top w:val="single" w:color="auto" w:sz="4" w:space="0"/>
              <w:bottom w:val="single" w:color="auto" w:sz="4" w:space="0"/>
            </w:tcBorders>
          </w:tcPr>
          <w:p>
            <w:pPr>
              <w:spacing w:line="360" w:lineRule="auto"/>
              <w:jc w:val="left"/>
              <w:rPr>
                <w:rFonts w:eastAsiaTheme="minorEastAsia"/>
                <w:sz w:val="24"/>
              </w:rPr>
            </w:pPr>
            <w:r>
              <w:rPr>
                <w:sz w:val="24"/>
                <w:u w:val="single"/>
              </w:rPr>
              <w:t xml:space="preserve">      </w:t>
            </w:r>
            <w:r>
              <w:rPr>
                <w:sz w:val="24"/>
              </w:rPr>
              <w:t>孔</w:t>
            </w:r>
          </w:p>
        </w:tc>
        <w:tc>
          <w:tcPr>
            <w:tcW w:w="1640" w:type="dxa"/>
            <w:tcBorders>
              <w:top w:val="single" w:color="auto" w:sz="4" w:space="0"/>
              <w:bottom w:val="single" w:color="auto" w:sz="4" w:space="0"/>
            </w:tcBorders>
          </w:tcPr>
          <w:p>
            <w:pPr>
              <w:spacing w:line="360" w:lineRule="auto"/>
              <w:jc w:val="left"/>
              <w:rPr>
                <w:rFonts w:eastAsiaTheme="minorEastAsia"/>
                <w:sz w:val="24"/>
              </w:rPr>
            </w:pPr>
            <w:r>
              <w:rPr>
                <w:sz w:val="24"/>
                <w:u w:val="single"/>
              </w:rPr>
              <w:t xml:space="preserve">      </w:t>
            </w:r>
            <w:r>
              <w:rPr>
                <w:sz w:val="24"/>
              </w:rPr>
              <w:t>孔</w:t>
            </w:r>
          </w:p>
        </w:tc>
        <w:tc>
          <w:tcPr>
            <w:tcW w:w="1642" w:type="dxa"/>
            <w:tcBorders>
              <w:top w:val="single" w:color="auto" w:sz="4" w:space="0"/>
              <w:bottom w:val="single" w:color="auto" w:sz="4" w:space="0"/>
            </w:tcBorders>
          </w:tcPr>
          <w:p>
            <w:pPr>
              <w:spacing w:line="360" w:lineRule="auto"/>
              <w:jc w:val="left"/>
              <w:rPr>
                <w:rFonts w:eastAsiaTheme="minorEastAsia"/>
                <w:sz w:val="24"/>
              </w:rPr>
            </w:pPr>
            <w:r>
              <w:rPr>
                <w:sz w:val="24"/>
                <w:u w:val="single"/>
              </w:rPr>
              <w:t xml:space="preserve">      </w:t>
            </w:r>
            <w:r>
              <w:rPr>
                <w:sz w:val="24"/>
              </w:rPr>
              <w:t>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640" w:type="dxa"/>
            <w:tcBorders>
              <w:top w:val="single" w:color="auto" w:sz="4" w:space="0"/>
              <w:bottom w:val="single" w:color="auto" w:sz="4" w:space="0"/>
            </w:tcBorders>
            <w:vAlign w:val="center"/>
          </w:tcPr>
          <w:p>
            <w:pPr>
              <w:rPr>
                <w:rFonts w:eastAsiaTheme="minorEastAsia"/>
                <w:sz w:val="24"/>
              </w:rPr>
            </w:pPr>
          </w:p>
        </w:tc>
        <w:tc>
          <w:tcPr>
            <w:tcW w:w="1640" w:type="dxa"/>
            <w:tcBorders>
              <w:top w:val="single" w:color="auto" w:sz="4" w:space="0"/>
              <w:bottom w:val="single" w:color="auto" w:sz="4" w:space="0"/>
            </w:tcBorders>
            <w:vAlign w:val="center"/>
          </w:tcPr>
          <w:p>
            <w:pPr>
              <w:rPr>
                <w:rFonts w:eastAsiaTheme="minorEastAsia"/>
                <w:sz w:val="24"/>
              </w:rPr>
            </w:pPr>
          </w:p>
        </w:tc>
        <w:tc>
          <w:tcPr>
            <w:tcW w:w="1640" w:type="dxa"/>
            <w:tcBorders>
              <w:top w:val="single" w:color="auto" w:sz="4" w:space="0"/>
              <w:bottom w:val="single" w:color="auto" w:sz="4" w:space="0"/>
            </w:tcBorders>
            <w:vAlign w:val="center"/>
          </w:tcPr>
          <w:p>
            <w:pPr>
              <w:rPr>
                <w:rFonts w:eastAsiaTheme="minorEastAsia"/>
                <w:sz w:val="24"/>
              </w:rPr>
            </w:pPr>
          </w:p>
        </w:tc>
        <w:tc>
          <w:tcPr>
            <w:tcW w:w="1640" w:type="dxa"/>
            <w:tcBorders>
              <w:top w:val="single" w:color="auto" w:sz="4" w:space="0"/>
              <w:bottom w:val="single" w:color="auto" w:sz="4" w:space="0"/>
            </w:tcBorders>
            <w:vAlign w:val="center"/>
          </w:tcPr>
          <w:p>
            <w:pPr>
              <w:rPr>
                <w:rFonts w:eastAsiaTheme="minorEastAsia"/>
                <w:sz w:val="24"/>
              </w:rPr>
            </w:pPr>
          </w:p>
        </w:tc>
        <w:tc>
          <w:tcPr>
            <w:tcW w:w="1640" w:type="dxa"/>
            <w:tcBorders>
              <w:top w:val="single" w:color="auto" w:sz="4" w:space="0"/>
              <w:bottom w:val="single" w:color="auto" w:sz="4" w:space="0"/>
            </w:tcBorders>
            <w:vAlign w:val="center"/>
          </w:tcPr>
          <w:p>
            <w:pPr>
              <w:rPr>
                <w:rFonts w:eastAsiaTheme="minorEastAsia"/>
                <w:sz w:val="24"/>
              </w:rPr>
            </w:pPr>
          </w:p>
        </w:tc>
        <w:tc>
          <w:tcPr>
            <w:tcW w:w="1642" w:type="dxa"/>
            <w:tcBorders>
              <w:top w:val="single" w:color="auto" w:sz="4" w:space="0"/>
              <w:bottom w:val="single" w:color="auto" w:sz="4" w:space="0"/>
            </w:tcBorders>
            <w:vAlign w:val="center"/>
          </w:tcPr>
          <w:p>
            <w:pP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gridSpan w:val="6"/>
            <w:tcBorders>
              <w:top w:val="single" w:color="auto" w:sz="4" w:space="0"/>
              <w:bottom w:val="single" w:color="auto" w:sz="4" w:space="0"/>
            </w:tcBorders>
            <w:vAlign w:val="center"/>
          </w:tcPr>
          <w:p>
            <w:pPr>
              <w:rPr>
                <w:rFonts w:eastAsiaTheme="minorEastAsia"/>
                <w:sz w:val="24"/>
              </w:rPr>
            </w:pPr>
            <w:r>
              <w:rPr>
                <w:rFonts w:eastAsiaTheme="minorEastAsia"/>
                <w:sz w:val="24"/>
              </w:rPr>
              <w:t>测量不确定度：</w:t>
            </w:r>
          </w:p>
        </w:tc>
      </w:tr>
    </w:tbl>
    <w:p/>
    <w:tbl>
      <w:tblPr>
        <w:tblStyle w:val="24"/>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tcBorders>
              <w:top w:val="single" w:color="auto" w:sz="4" w:space="0"/>
              <w:bottom w:val="single" w:color="auto" w:sz="4" w:space="0"/>
            </w:tcBorders>
            <w:vAlign w:val="center"/>
          </w:tcPr>
          <w:p>
            <w:pPr>
              <w:rPr>
                <w:rFonts w:eastAsiaTheme="minorEastAsia"/>
                <w:sz w:val="24"/>
              </w:rPr>
            </w:pPr>
            <w:r>
              <w:rPr>
                <w:rFonts w:eastAsiaTheme="minorEastAsia"/>
                <w:sz w:val="24"/>
              </w:rPr>
              <w:t>6.纵波速度/（m/s）：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tcBorders>
              <w:top w:val="single" w:color="auto" w:sz="4" w:space="0"/>
              <w:bottom w:val="single" w:color="auto" w:sz="4" w:space="0"/>
            </w:tcBorders>
            <w:vAlign w:val="center"/>
          </w:tcPr>
          <w:p>
            <w:pPr>
              <w:rPr>
                <w:rFonts w:eastAsiaTheme="minorEastAsia"/>
                <w:sz w:val="24"/>
              </w:rPr>
            </w:pPr>
            <w:r>
              <w:rPr>
                <w:rFonts w:eastAsiaTheme="minorEastAsia"/>
                <w:sz w:val="24"/>
              </w:rPr>
              <w:t>测量不确定度：</w:t>
            </w:r>
          </w:p>
        </w:tc>
      </w:tr>
    </w:tbl>
    <w:p/>
    <w:tbl>
      <w:tblPr>
        <w:tblStyle w:val="24"/>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tcBorders>
              <w:top w:val="single" w:color="auto" w:sz="4" w:space="0"/>
              <w:bottom w:val="single" w:color="auto" w:sz="4" w:space="0"/>
            </w:tcBorders>
            <w:vAlign w:val="center"/>
          </w:tcPr>
          <w:p>
            <w:pPr>
              <w:rPr>
                <w:rFonts w:eastAsiaTheme="minorEastAsia"/>
                <w:sz w:val="24"/>
              </w:rPr>
            </w:pPr>
            <w:r>
              <w:rPr>
                <w:rFonts w:eastAsiaTheme="minorEastAsia"/>
                <w:sz w:val="24"/>
              </w:rPr>
              <w:t>7.横波速度/（m/s）：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9842" w:type="dxa"/>
            <w:tcBorders>
              <w:top w:val="single" w:color="auto" w:sz="4" w:space="0"/>
              <w:bottom w:val="single" w:color="auto" w:sz="4" w:space="0"/>
            </w:tcBorders>
            <w:vAlign w:val="center"/>
          </w:tcPr>
          <w:p>
            <w:pPr>
              <w:rPr>
                <w:rFonts w:eastAsiaTheme="minorEastAsia"/>
                <w:sz w:val="24"/>
              </w:rPr>
            </w:pPr>
            <w:r>
              <w:rPr>
                <w:rFonts w:eastAsiaTheme="minorEastAsia"/>
                <w:sz w:val="24"/>
              </w:rPr>
              <w:t>测量不确定度：</w:t>
            </w:r>
          </w:p>
        </w:tc>
      </w:tr>
    </w:tbl>
    <w:p>
      <w:pPr>
        <w:widowControl/>
        <w:jc w:val="center"/>
        <w:rPr>
          <w:bCs/>
          <w:szCs w:val="21"/>
        </w:rPr>
      </w:pPr>
      <w:r>
        <w:rPr>
          <w:bCs/>
          <w:szCs w:val="21"/>
        </w:rPr>
        <w:t>……以下空白……</w:t>
      </w:r>
    </w:p>
    <w:p>
      <w:pPr>
        <w:widowControl/>
        <w:jc w:val="left"/>
        <w:rPr>
          <w:bCs/>
          <w:szCs w:val="21"/>
        </w:rPr>
      </w:pPr>
      <w:r>
        <w:rPr>
          <w:bCs/>
          <w:szCs w:val="21"/>
        </w:rPr>
        <w:br w:type="page"/>
      </w:r>
    </w:p>
    <w:bookmarkEnd w:id="112"/>
    <w:p>
      <w:bookmarkStart w:id="114" w:name="_Toc15057"/>
      <w:bookmarkStart w:id="115" w:name="_Toc18241"/>
      <w:bookmarkStart w:id="116" w:name="_Toc29371_WPSOffice_Level1"/>
      <w:bookmarkStart w:id="117" w:name="_Toc500258950"/>
      <w:r>
        <w:rPr>
          <w:rStyle w:val="33"/>
        </w:rPr>
        <w:t>附录</w:t>
      </w:r>
      <w:bookmarkEnd w:id="114"/>
      <w:r>
        <w:rPr>
          <w:rStyle w:val="33"/>
        </w:rPr>
        <w:t>C</w:t>
      </w:r>
      <w:bookmarkEnd w:id="115"/>
    </w:p>
    <w:bookmarkEnd w:id="116"/>
    <w:bookmarkEnd w:id="117"/>
    <w:p>
      <w:pPr>
        <w:jc w:val="center"/>
        <w:rPr>
          <w:rFonts w:eastAsia="黑体"/>
          <w:sz w:val="28"/>
          <w:szCs w:val="28"/>
        </w:rPr>
      </w:pPr>
      <w:r>
        <w:rPr>
          <w:rFonts w:eastAsia="黑体"/>
          <w:sz w:val="28"/>
          <w:szCs w:val="28"/>
        </w:rPr>
        <w:t>用三坐标测量机测量相控阵超声试块长度尺寸的测量不确定度评定</w:t>
      </w:r>
    </w:p>
    <w:p>
      <w:pPr>
        <w:spacing w:line="360" w:lineRule="auto"/>
        <w:outlineLvl w:val="0"/>
        <w:rPr>
          <w:rFonts w:eastAsiaTheme="minorEastAsia"/>
          <w:sz w:val="24"/>
        </w:rPr>
      </w:pPr>
      <w:r>
        <w:rPr>
          <w:rFonts w:eastAsiaTheme="minorEastAsia"/>
          <w:sz w:val="24"/>
        </w:rPr>
        <w:t>C.1校准任务</w:t>
      </w:r>
    </w:p>
    <w:p>
      <w:pPr>
        <w:spacing w:line="360" w:lineRule="auto"/>
        <w:ind w:firstLine="480" w:firstLineChars="200"/>
        <w:outlineLvl w:val="0"/>
        <w:rPr>
          <w:rFonts w:eastAsiaTheme="minorEastAsia"/>
          <w:sz w:val="24"/>
        </w:rPr>
      </w:pPr>
      <w:r>
        <w:rPr>
          <w:rFonts w:eastAsiaTheme="minorEastAsia"/>
          <w:sz w:val="24"/>
        </w:rPr>
        <w:t>用三坐标测量机测量超声波探伤试块（300±0.05）mm的长度尺寸。</w:t>
      </w:r>
    </w:p>
    <w:p>
      <w:pPr>
        <w:spacing w:line="360" w:lineRule="auto"/>
        <w:outlineLvl w:val="0"/>
        <w:rPr>
          <w:rFonts w:eastAsiaTheme="minorEastAsia"/>
          <w:sz w:val="24"/>
        </w:rPr>
      </w:pPr>
      <w:r>
        <w:rPr>
          <w:rFonts w:eastAsiaTheme="minorEastAsia"/>
          <w:sz w:val="24"/>
        </w:rPr>
        <w:t>C.2原理、方法和条件</w:t>
      </w:r>
    </w:p>
    <w:p>
      <w:pPr>
        <w:spacing w:line="360" w:lineRule="auto"/>
        <w:outlineLvl w:val="0"/>
        <w:rPr>
          <w:rFonts w:eastAsiaTheme="minorEastAsia"/>
          <w:sz w:val="24"/>
        </w:rPr>
      </w:pPr>
      <w:r>
        <w:rPr>
          <w:rFonts w:eastAsiaTheme="minorEastAsia"/>
          <w:sz w:val="24"/>
        </w:rPr>
        <w:t>A.2.1测量原理</w:t>
      </w:r>
    </w:p>
    <w:p>
      <w:pPr>
        <w:spacing w:line="360" w:lineRule="auto"/>
        <w:ind w:firstLine="480" w:firstLineChars="200"/>
        <w:outlineLvl w:val="0"/>
        <w:rPr>
          <w:rFonts w:eastAsiaTheme="minorEastAsia"/>
          <w:sz w:val="24"/>
        </w:rPr>
      </w:pPr>
      <w:r>
        <w:rPr>
          <w:rFonts w:eastAsiaTheme="minorEastAsia"/>
          <w:sz w:val="24"/>
        </w:rPr>
        <w:t>测量原理：接触式、直接法、绝对测量。</w:t>
      </w:r>
    </w:p>
    <w:p>
      <w:pPr>
        <w:spacing w:line="360" w:lineRule="auto"/>
        <w:outlineLvl w:val="0"/>
        <w:rPr>
          <w:rFonts w:eastAsiaTheme="minorEastAsia"/>
          <w:sz w:val="24"/>
        </w:rPr>
      </w:pPr>
      <w:r>
        <w:rPr>
          <w:rFonts w:eastAsiaTheme="minorEastAsia"/>
          <w:sz w:val="24"/>
        </w:rPr>
        <w:t>C.2.2测量方法</w:t>
      </w:r>
    </w:p>
    <w:p>
      <w:pPr>
        <w:spacing w:line="360" w:lineRule="auto"/>
        <w:ind w:firstLine="480" w:firstLineChars="200"/>
        <w:outlineLvl w:val="0"/>
        <w:rPr>
          <w:rFonts w:eastAsiaTheme="minorEastAsia"/>
          <w:sz w:val="24"/>
        </w:rPr>
      </w:pPr>
      <w:r>
        <w:rPr>
          <w:rFonts w:eastAsiaTheme="minorEastAsia"/>
          <w:sz w:val="24"/>
        </w:rPr>
        <w:t>在三坐标测量机上测量。测量前应将仪器调整至满足测量需要的状态。测量时，首先校准测头</w:t>
      </w:r>
      <w:r>
        <w:rPr>
          <w:rFonts w:hint="eastAsia" w:eastAsiaTheme="minorEastAsia"/>
          <w:sz w:val="24"/>
        </w:rPr>
        <w:t>，</w:t>
      </w:r>
      <w:r>
        <w:rPr>
          <w:rFonts w:eastAsiaTheme="minorEastAsia"/>
          <w:sz w:val="24"/>
        </w:rPr>
        <w:t>将被校试块放在工作台上。建立工件坐标</w:t>
      </w:r>
      <w:r>
        <w:rPr>
          <w:rFonts w:hint="eastAsia" w:eastAsiaTheme="minorEastAsia"/>
          <w:sz w:val="24"/>
        </w:rPr>
        <w:t>，</w:t>
      </w:r>
      <w:r>
        <w:rPr>
          <w:rFonts w:eastAsiaTheme="minorEastAsia"/>
          <w:sz w:val="24"/>
        </w:rPr>
        <w:t>通过自动测量程序测量得到试块的尺寸。</w:t>
      </w:r>
      <w:r>
        <w:rPr>
          <w:rFonts w:hint="eastAsia" w:eastAsiaTheme="minorEastAsia"/>
          <w:sz w:val="24"/>
        </w:rPr>
        <w:t>6.2.2.1</w:t>
      </w:r>
    </w:p>
    <w:p>
      <w:pPr>
        <w:spacing w:line="360" w:lineRule="auto"/>
        <w:outlineLvl w:val="0"/>
        <w:rPr>
          <w:rFonts w:eastAsiaTheme="minorEastAsia"/>
          <w:sz w:val="24"/>
        </w:rPr>
      </w:pPr>
      <w:r>
        <w:rPr>
          <w:rFonts w:eastAsiaTheme="minorEastAsia"/>
          <w:sz w:val="24"/>
        </w:rPr>
        <w:t>C.2.3测量条件</w:t>
      </w:r>
    </w:p>
    <w:p>
      <w:pPr>
        <w:spacing w:line="360" w:lineRule="auto"/>
        <w:outlineLvl w:val="0"/>
        <w:rPr>
          <w:rFonts w:eastAsiaTheme="minorEastAsia"/>
          <w:color w:val="auto"/>
          <w:sz w:val="24"/>
        </w:rPr>
      </w:pPr>
      <w:r>
        <w:rPr>
          <w:rFonts w:eastAsiaTheme="minorEastAsia"/>
          <w:sz w:val="24"/>
        </w:rPr>
        <w:t>——环境温度（20±5）</w:t>
      </w:r>
      <w:r>
        <w:rPr>
          <w:rFonts w:eastAsiaTheme="minorEastAsia"/>
          <w:color w:val="auto"/>
          <w:sz w:val="24"/>
        </w:rPr>
        <w:t>℃，（温度变化不应超过1℃/h，环境相对湿度≤65%）；</w:t>
      </w:r>
    </w:p>
    <w:p>
      <w:pPr>
        <w:spacing w:line="360" w:lineRule="auto"/>
        <w:outlineLvl w:val="0"/>
        <w:rPr>
          <w:rFonts w:eastAsiaTheme="minorEastAsia"/>
          <w:color w:val="auto"/>
          <w:sz w:val="24"/>
        </w:rPr>
      </w:pPr>
      <w:r>
        <w:rPr>
          <w:rFonts w:eastAsiaTheme="minorEastAsia"/>
          <w:color w:val="auto"/>
          <w:sz w:val="24"/>
        </w:rPr>
        <w:t>——三坐标常年安置在实验室内，被校试块在实验室内的平衡时间</w:t>
      </w:r>
      <w:r>
        <w:rPr>
          <w:rFonts w:hint="eastAsia" w:eastAsiaTheme="minorEastAsia"/>
          <w:color w:val="auto"/>
          <w:sz w:val="24"/>
        </w:rPr>
        <w:t>不小于</w:t>
      </w:r>
      <w:r>
        <w:rPr>
          <w:rFonts w:eastAsiaTheme="minorEastAsia"/>
          <w:color w:val="auto"/>
          <w:sz w:val="24"/>
        </w:rPr>
        <w:t>4小时。</w:t>
      </w:r>
    </w:p>
    <w:p>
      <w:pPr>
        <w:spacing w:line="360" w:lineRule="auto"/>
        <w:outlineLvl w:val="0"/>
        <w:rPr>
          <w:rFonts w:eastAsiaTheme="minorEastAsia"/>
          <w:color w:val="auto"/>
          <w:sz w:val="24"/>
        </w:rPr>
      </w:pPr>
      <w:r>
        <w:rPr>
          <w:rFonts w:eastAsiaTheme="minorEastAsia"/>
          <w:color w:val="auto"/>
          <w:sz w:val="24"/>
        </w:rPr>
        <w:t>——假设三坐标光栅尺制造材料为光学玻璃；被校试块为钢制的。</w:t>
      </w:r>
    </w:p>
    <w:p>
      <w:pPr>
        <w:spacing w:line="360" w:lineRule="auto"/>
        <w:outlineLvl w:val="0"/>
        <w:rPr>
          <w:rFonts w:eastAsiaTheme="minorEastAsia"/>
          <w:color w:val="auto"/>
          <w:sz w:val="24"/>
        </w:rPr>
      </w:pPr>
      <w:r>
        <w:rPr>
          <w:rFonts w:eastAsiaTheme="minorEastAsia"/>
          <w:color w:val="auto"/>
          <w:sz w:val="24"/>
        </w:rPr>
        <w:t>C.3测量模型</w:t>
      </w:r>
    </w:p>
    <w:p>
      <w:pPr>
        <w:spacing w:line="360" w:lineRule="auto"/>
        <w:ind w:firstLine="480" w:firstLineChars="200"/>
        <w:outlineLvl w:val="0"/>
        <w:rPr>
          <w:rFonts w:eastAsiaTheme="minorEastAsia"/>
          <w:sz w:val="24"/>
        </w:rPr>
      </w:pPr>
      <w:r>
        <w:rPr>
          <w:rFonts w:eastAsiaTheme="minorEastAsia"/>
          <w:sz w:val="24"/>
        </w:rPr>
        <w:t>由测量原理和方法，得到测量模型：</w:t>
      </w:r>
    </w:p>
    <w:p>
      <w:pPr>
        <w:spacing w:line="360" w:lineRule="auto"/>
        <w:jc w:val="center"/>
        <w:outlineLvl w:val="0"/>
        <w:rPr>
          <w:rFonts w:eastAsiaTheme="minorEastAsia"/>
          <w:sz w:val="24"/>
        </w:rPr>
      </w:pPr>
      <w:r>
        <w:rPr>
          <w:rFonts w:eastAsiaTheme="minorEastAsia"/>
          <w:sz w:val="24"/>
        </w:rPr>
        <w:t xml:space="preserve">                                  </w:t>
      </w:r>
      <w:r>
        <w:rPr>
          <w:rFonts w:eastAsiaTheme="minorEastAsia"/>
          <w:i/>
          <w:iCs/>
          <w:sz w:val="24"/>
        </w:rPr>
        <w:t>L</w:t>
      </w:r>
      <w:r>
        <w:rPr>
          <w:rFonts w:eastAsiaTheme="minorEastAsia"/>
          <w:sz w:val="24"/>
        </w:rPr>
        <w:t>=</w:t>
      </w:r>
      <w:r>
        <w:rPr>
          <w:rFonts w:eastAsiaTheme="minorEastAsia"/>
          <w:i/>
          <w:iCs/>
          <w:sz w:val="24"/>
        </w:rPr>
        <w:t>A</w:t>
      </w:r>
      <w:r>
        <w:rPr>
          <w:rFonts w:eastAsiaTheme="minorEastAsia"/>
          <w:sz w:val="24"/>
        </w:rPr>
        <w:t>-</w:t>
      </w:r>
      <w:r>
        <w:rPr>
          <w:rFonts w:eastAsiaTheme="minorEastAsia"/>
          <w:i/>
          <w:iCs/>
          <w:sz w:val="24"/>
        </w:rPr>
        <w:t>A</w:t>
      </w:r>
      <w:r>
        <w:rPr>
          <w:rFonts w:eastAsiaTheme="minorEastAsia"/>
          <w:sz w:val="24"/>
          <w:vertAlign w:val="subscript"/>
        </w:rPr>
        <w:t>0</w:t>
      </w:r>
      <w:r>
        <w:rPr>
          <w:rFonts w:eastAsiaTheme="minorEastAsia"/>
          <w:sz w:val="24"/>
        </w:rPr>
        <w:tab/>
      </w:r>
      <w:r>
        <w:rPr>
          <w:rFonts w:eastAsiaTheme="minorEastAsia"/>
          <w:sz w:val="24"/>
        </w:rPr>
        <w:t xml:space="preserve">                              （</w:t>
      </w:r>
      <w:r>
        <w:rPr>
          <w:rFonts w:hint="eastAsia" w:eastAsiaTheme="minorEastAsia"/>
          <w:sz w:val="24"/>
        </w:rPr>
        <w:t>c</w:t>
      </w:r>
      <w:r>
        <w:rPr>
          <w:rFonts w:eastAsiaTheme="minorEastAsia"/>
          <w:sz w:val="24"/>
        </w:rPr>
        <w:t>.1）</w:t>
      </w:r>
    </w:p>
    <w:p>
      <w:pPr>
        <w:spacing w:line="360" w:lineRule="auto"/>
        <w:outlineLvl w:val="0"/>
        <w:rPr>
          <w:rFonts w:eastAsiaTheme="minorEastAsia"/>
          <w:sz w:val="24"/>
        </w:rPr>
      </w:pPr>
      <w:r>
        <w:rPr>
          <w:rFonts w:eastAsiaTheme="minorEastAsia"/>
          <w:sz w:val="24"/>
        </w:rPr>
        <w:t>式中：</w:t>
      </w:r>
    </w:p>
    <w:p>
      <w:pPr>
        <w:spacing w:line="360" w:lineRule="auto"/>
        <w:ind w:firstLine="480" w:firstLineChars="200"/>
        <w:outlineLvl w:val="0"/>
        <w:rPr>
          <w:rFonts w:eastAsiaTheme="minorEastAsia"/>
          <w:sz w:val="24"/>
        </w:rPr>
      </w:pPr>
      <w:r>
        <w:rPr>
          <w:rFonts w:eastAsiaTheme="minorEastAsia"/>
          <w:i/>
          <w:iCs/>
          <w:sz w:val="24"/>
        </w:rPr>
        <w:t>L</w:t>
      </w:r>
      <w:r>
        <w:rPr>
          <w:rFonts w:eastAsiaTheme="minorEastAsia"/>
          <w:sz w:val="24"/>
        </w:rPr>
        <w:t>——试块被测尺寸，mm；</w:t>
      </w:r>
    </w:p>
    <w:p>
      <w:pPr>
        <w:spacing w:line="360" w:lineRule="auto"/>
        <w:ind w:firstLine="480" w:firstLineChars="200"/>
        <w:outlineLvl w:val="0"/>
        <w:rPr>
          <w:rFonts w:eastAsiaTheme="minorEastAsia"/>
          <w:sz w:val="24"/>
        </w:rPr>
      </w:pPr>
      <w:r>
        <w:rPr>
          <w:rFonts w:eastAsiaTheme="minorEastAsia"/>
          <w:i/>
          <w:iCs/>
          <w:sz w:val="24"/>
        </w:rPr>
        <w:t>A</w:t>
      </w:r>
      <w:r>
        <w:rPr>
          <w:rFonts w:eastAsiaTheme="minorEastAsia"/>
          <w:sz w:val="24"/>
        </w:rPr>
        <w:t>——第二个位置（终点）读数，mm；</w:t>
      </w:r>
    </w:p>
    <w:p>
      <w:pPr>
        <w:spacing w:line="360" w:lineRule="auto"/>
        <w:ind w:firstLine="480" w:firstLineChars="200"/>
        <w:outlineLvl w:val="0"/>
        <w:rPr>
          <w:rFonts w:eastAsiaTheme="minorEastAsia"/>
          <w:sz w:val="24"/>
        </w:rPr>
      </w:pPr>
      <w:r>
        <w:rPr>
          <w:rFonts w:eastAsiaTheme="minorEastAsia"/>
          <w:i/>
          <w:iCs/>
          <w:sz w:val="24"/>
        </w:rPr>
        <w:t>A</w:t>
      </w:r>
      <w:r>
        <w:rPr>
          <w:rFonts w:eastAsiaTheme="minorEastAsia"/>
          <w:sz w:val="24"/>
          <w:vertAlign w:val="subscript"/>
        </w:rPr>
        <w:t>0</w:t>
      </w:r>
      <w:r>
        <w:rPr>
          <w:rFonts w:eastAsiaTheme="minorEastAsia"/>
          <w:sz w:val="24"/>
        </w:rPr>
        <w:t>——第一个位置（起点）读数，mm。</w:t>
      </w:r>
    </w:p>
    <w:p>
      <w:pPr>
        <w:spacing w:line="360" w:lineRule="auto"/>
        <w:outlineLvl w:val="0"/>
        <w:rPr>
          <w:rFonts w:eastAsiaTheme="minorEastAsia"/>
          <w:sz w:val="24"/>
        </w:rPr>
      </w:pPr>
      <w:r>
        <w:rPr>
          <w:rFonts w:hint="eastAsia" w:eastAsiaTheme="minorEastAsia"/>
          <w:sz w:val="24"/>
        </w:rPr>
        <w:t>c</w:t>
      </w:r>
      <w:r>
        <w:rPr>
          <w:rFonts w:eastAsiaTheme="minorEastAsia"/>
          <w:sz w:val="24"/>
        </w:rPr>
        <w:t>.4</w:t>
      </w:r>
    </w:p>
    <w:p>
      <w:pPr>
        <w:spacing w:line="360" w:lineRule="auto"/>
        <w:outlineLvl w:val="0"/>
        <w:rPr>
          <w:rFonts w:eastAsiaTheme="minorEastAsia"/>
          <w:sz w:val="24"/>
        </w:rPr>
      </w:pPr>
      <w:r>
        <w:rPr>
          <w:rFonts w:eastAsiaTheme="minorEastAsia"/>
          <w:sz w:val="24"/>
        </w:rPr>
        <w:t>测量不确定度来源及说明见表</w:t>
      </w:r>
      <w:r>
        <w:rPr>
          <w:rFonts w:hint="eastAsia" w:eastAsiaTheme="minorEastAsia"/>
          <w:sz w:val="24"/>
        </w:rPr>
        <w:t>c</w:t>
      </w:r>
      <w:r>
        <w:rPr>
          <w:rFonts w:eastAsiaTheme="minorEastAsia"/>
          <w:sz w:val="24"/>
        </w:rPr>
        <w:t>.1。</w:t>
      </w:r>
    </w:p>
    <w:p>
      <w:pPr>
        <w:spacing w:line="360" w:lineRule="auto"/>
        <w:jc w:val="center"/>
        <w:outlineLvl w:val="0"/>
        <w:rPr>
          <w:rFonts w:eastAsiaTheme="minorEastAsia"/>
          <w:szCs w:val="21"/>
        </w:rPr>
      </w:pPr>
      <w:r>
        <w:rPr>
          <w:rFonts w:eastAsiaTheme="minorEastAsia"/>
          <w:szCs w:val="21"/>
        </w:rPr>
        <w:t>表</w:t>
      </w:r>
      <w:r>
        <w:rPr>
          <w:rFonts w:hint="eastAsia" w:eastAsiaTheme="minorEastAsia"/>
          <w:szCs w:val="21"/>
        </w:rPr>
        <w:t>c</w:t>
      </w:r>
      <w:r>
        <w:rPr>
          <w:rFonts w:eastAsiaTheme="minorEastAsia"/>
          <w:szCs w:val="21"/>
        </w:rPr>
        <w:t>.1测量不确定度来源及说明</w:t>
      </w:r>
    </w:p>
    <w:tbl>
      <w:tblPr>
        <w:tblStyle w:val="24"/>
        <w:tblW w:w="4996" w:type="pct"/>
        <w:jc w:val="center"/>
        <w:tblLayout w:type="autofit"/>
        <w:tblCellMar>
          <w:top w:w="0" w:type="dxa"/>
          <w:left w:w="10" w:type="dxa"/>
          <w:bottom w:w="0" w:type="dxa"/>
          <w:right w:w="10" w:type="dxa"/>
        </w:tblCellMar>
      </w:tblPr>
      <w:tblGrid>
        <w:gridCol w:w="455"/>
        <w:gridCol w:w="2218"/>
        <w:gridCol w:w="6695"/>
      </w:tblGrid>
      <w:tr>
        <w:tblPrEx>
          <w:tblCellMar>
            <w:top w:w="0" w:type="dxa"/>
            <w:left w:w="10" w:type="dxa"/>
            <w:bottom w:w="0" w:type="dxa"/>
            <w:right w:w="10" w:type="dxa"/>
          </w:tblCellMar>
        </w:tblPrEx>
        <w:trPr>
          <w:trHeight w:val="499" w:hRule="exact"/>
          <w:jc w:val="center"/>
        </w:trPr>
        <w:tc>
          <w:tcPr>
            <w:tcW w:w="243" w:type="pct"/>
            <w:tcBorders>
              <w:top w:val="single" w:color="auto" w:sz="4" w:space="0"/>
              <w:left w:val="single" w:color="auto" w:sz="4" w:space="0"/>
            </w:tcBorders>
            <w:vAlign w:val="center"/>
          </w:tcPr>
          <w:p>
            <w:pPr>
              <w:spacing w:line="360" w:lineRule="auto"/>
              <w:jc w:val="center"/>
              <w:outlineLvl w:val="0"/>
              <w:rPr>
                <w:rFonts w:eastAsiaTheme="minorEastAsia"/>
                <w:szCs w:val="21"/>
              </w:rPr>
            </w:pPr>
            <w:r>
              <w:rPr>
                <w:rFonts w:eastAsiaTheme="minorEastAsia"/>
                <w:szCs w:val="21"/>
              </w:rPr>
              <w:t>序号</w:t>
            </w:r>
          </w:p>
        </w:tc>
        <w:tc>
          <w:tcPr>
            <w:tcW w:w="1184" w:type="pct"/>
            <w:tcBorders>
              <w:top w:val="single" w:color="auto" w:sz="4" w:space="0"/>
              <w:left w:val="single" w:color="auto" w:sz="4" w:space="0"/>
            </w:tcBorders>
            <w:vAlign w:val="center"/>
          </w:tcPr>
          <w:p>
            <w:pPr>
              <w:spacing w:line="360" w:lineRule="auto"/>
              <w:jc w:val="center"/>
              <w:outlineLvl w:val="0"/>
              <w:rPr>
                <w:rFonts w:eastAsiaTheme="minorEastAsia"/>
                <w:szCs w:val="21"/>
              </w:rPr>
            </w:pPr>
            <w:r>
              <w:rPr>
                <w:rFonts w:eastAsiaTheme="minorEastAsia"/>
                <w:szCs w:val="21"/>
              </w:rPr>
              <w:t>不确定度来源</w:t>
            </w:r>
          </w:p>
        </w:tc>
        <w:tc>
          <w:tcPr>
            <w:tcW w:w="3571" w:type="pct"/>
            <w:tcBorders>
              <w:top w:val="single" w:color="auto" w:sz="4" w:space="0"/>
              <w:left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说 明</w:t>
            </w:r>
          </w:p>
        </w:tc>
      </w:tr>
      <w:tr>
        <w:tblPrEx>
          <w:tblCellMar>
            <w:top w:w="0" w:type="dxa"/>
            <w:left w:w="10" w:type="dxa"/>
            <w:bottom w:w="0" w:type="dxa"/>
            <w:right w:w="10" w:type="dxa"/>
          </w:tblCellMar>
        </w:tblPrEx>
        <w:trPr>
          <w:trHeight w:val="499" w:hRule="exact"/>
          <w:jc w:val="center"/>
        </w:trPr>
        <w:tc>
          <w:tcPr>
            <w:tcW w:w="243" w:type="pct"/>
            <w:tcBorders>
              <w:top w:val="single" w:color="auto" w:sz="4" w:space="0"/>
              <w:left w:val="single" w:color="auto" w:sz="4" w:space="0"/>
              <w:bottom w:val="single" w:color="auto" w:sz="4" w:space="0"/>
            </w:tcBorders>
            <w:vAlign w:val="center"/>
          </w:tcPr>
          <w:p>
            <w:pPr>
              <w:spacing w:line="360" w:lineRule="auto"/>
              <w:jc w:val="center"/>
              <w:outlineLvl w:val="0"/>
              <w:rPr>
                <w:rFonts w:eastAsiaTheme="minorEastAsia"/>
                <w:szCs w:val="21"/>
              </w:rPr>
            </w:pPr>
            <w:r>
              <w:rPr>
                <w:rFonts w:eastAsiaTheme="minorEastAsia"/>
                <w:szCs w:val="21"/>
              </w:rPr>
              <w:t>1</w:t>
            </w:r>
          </w:p>
        </w:tc>
        <w:tc>
          <w:tcPr>
            <w:tcW w:w="1184" w:type="pct"/>
            <w:tcBorders>
              <w:top w:val="single" w:color="auto" w:sz="4" w:space="0"/>
              <w:left w:val="single" w:color="auto" w:sz="4" w:space="0"/>
              <w:bottom w:val="single" w:color="auto" w:sz="4" w:space="0"/>
            </w:tcBorders>
            <w:vAlign w:val="center"/>
          </w:tcPr>
          <w:p>
            <w:pPr>
              <w:spacing w:line="360" w:lineRule="auto"/>
              <w:jc w:val="left"/>
              <w:outlineLvl w:val="0"/>
              <w:rPr>
                <w:rFonts w:eastAsiaTheme="minorEastAsia"/>
                <w:szCs w:val="21"/>
              </w:rPr>
            </w:pPr>
            <w:r>
              <w:rPr>
                <w:rFonts w:eastAsiaTheme="minorEastAsia"/>
                <w:szCs w:val="21"/>
              </w:rPr>
              <w:t>三坐标测量机示值误差</w:t>
            </w:r>
          </w:p>
        </w:tc>
        <w:tc>
          <w:tcPr>
            <w:tcW w:w="3571"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eastAsiaTheme="minorEastAsia"/>
                <w:szCs w:val="21"/>
              </w:rPr>
            </w:pPr>
            <w:r>
              <w:rPr>
                <w:rFonts w:eastAsiaTheme="minorEastAsia"/>
                <w:szCs w:val="21"/>
              </w:rPr>
              <w:t>三坐标测量机存在示值误差</w:t>
            </w:r>
            <w:r>
              <w:rPr>
                <w:rFonts w:hint="eastAsia" w:eastAsiaTheme="minorEastAsia"/>
                <w:szCs w:val="21"/>
              </w:rPr>
              <w:t>（u1/u2表示）</w:t>
            </w:r>
          </w:p>
        </w:tc>
      </w:tr>
      <w:tr>
        <w:tblPrEx>
          <w:tblCellMar>
            <w:top w:w="0" w:type="dxa"/>
            <w:left w:w="10" w:type="dxa"/>
            <w:bottom w:w="0" w:type="dxa"/>
            <w:right w:w="10" w:type="dxa"/>
          </w:tblCellMar>
        </w:tblPrEx>
        <w:trPr>
          <w:trHeight w:val="499" w:hRule="exact"/>
          <w:jc w:val="center"/>
        </w:trPr>
        <w:tc>
          <w:tcPr>
            <w:tcW w:w="243" w:type="pct"/>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2</w:t>
            </w:r>
          </w:p>
        </w:tc>
        <w:tc>
          <w:tcPr>
            <w:tcW w:w="1184"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eastAsiaTheme="minorEastAsia"/>
                <w:szCs w:val="21"/>
              </w:rPr>
            </w:pPr>
            <w:r>
              <w:rPr>
                <w:rFonts w:eastAsiaTheme="minorEastAsia"/>
                <w:szCs w:val="21"/>
              </w:rPr>
              <w:t>仪器分辨力</w:t>
            </w:r>
          </w:p>
        </w:tc>
        <w:tc>
          <w:tcPr>
            <w:tcW w:w="3571"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eastAsiaTheme="minorEastAsia"/>
                <w:szCs w:val="21"/>
              </w:rPr>
            </w:pPr>
            <w:r>
              <w:rPr>
                <w:rFonts w:eastAsiaTheme="minorEastAsia"/>
                <w:szCs w:val="21"/>
              </w:rPr>
              <w:t>三坐标测量机为数显式仪器，仪器分辨力为0.1μm</w:t>
            </w:r>
          </w:p>
        </w:tc>
      </w:tr>
      <w:tr>
        <w:tblPrEx>
          <w:tblCellMar>
            <w:top w:w="0" w:type="dxa"/>
            <w:left w:w="10" w:type="dxa"/>
            <w:bottom w:w="0" w:type="dxa"/>
            <w:right w:w="10" w:type="dxa"/>
          </w:tblCellMar>
        </w:tblPrEx>
        <w:trPr>
          <w:trHeight w:val="499" w:hRule="exact"/>
          <w:jc w:val="center"/>
        </w:trPr>
        <w:tc>
          <w:tcPr>
            <w:tcW w:w="243" w:type="pct"/>
            <w:vMerge w:val="continue"/>
            <w:tcBorders>
              <w:top w:val="single" w:color="auto" w:sz="4" w:space="0"/>
              <w:left w:val="single" w:color="auto" w:sz="4" w:space="0"/>
              <w:bottom w:val="nil"/>
              <w:right w:val="single" w:color="auto" w:sz="4" w:space="0"/>
            </w:tcBorders>
            <w:vAlign w:val="center"/>
          </w:tcPr>
          <w:p>
            <w:pPr>
              <w:spacing w:line="360" w:lineRule="auto"/>
              <w:jc w:val="center"/>
              <w:outlineLvl w:val="0"/>
              <w:rPr>
                <w:rFonts w:eastAsiaTheme="minorEastAsia"/>
                <w:szCs w:val="21"/>
              </w:rPr>
            </w:pPr>
          </w:p>
        </w:tc>
        <w:tc>
          <w:tcPr>
            <w:tcW w:w="1184"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eastAsiaTheme="minorEastAsia"/>
                <w:szCs w:val="21"/>
              </w:rPr>
            </w:pPr>
            <w:r>
              <w:rPr>
                <w:rFonts w:eastAsiaTheme="minorEastAsia"/>
                <w:szCs w:val="21"/>
              </w:rPr>
              <w:t>测量重复性</w:t>
            </w:r>
          </w:p>
        </w:tc>
        <w:tc>
          <w:tcPr>
            <w:tcW w:w="3571"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eastAsiaTheme="minorEastAsia"/>
                <w:szCs w:val="21"/>
              </w:rPr>
            </w:pPr>
            <w:r>
              <w:rPr>
                <w:rFonts w:eastAsiaTheme="minorEastAsia"/>
                <w:szCs w:val="21"/>
              </w:rPr>
              <w:t>A类不确定度分量</w:t>
            </w:r>
          </w:p>
        </w:tc>
      </w:tr>
      <w:tr>
        <w:tblPrEx>
          <w:tblCellMar>
            <w:top w:w="0" w:type="dxa"/>
            <w:left w:w="10" w:type="dxa"/>
            <w:bottom w:w="0" w:type="dxa"/>
            <w:right w:w="10" w:type="dxa"/>
          </w:tblCellMar>
        </w:tblPrEx>
        <w:trPr>
          <w:trHeight w:val="499" w:hRule="exact"/>
          <w:jc w:val="center"/>
        </w:trPr>
        <w:tc>
          <w:tcPr>
            <w:tcW w:w="5000" w:type="pct"/>
            <w:gridSpan w:val="3"/>
            <w:tcBorders>
              <w:top w:val="nil"/>
              <w:left w:val="nil"/>
              <w:bottom w:val="single" w:color="auto" w:sz="4" w:space="0"/>
              <w:right w:val="nil"/>
            </w:tcBorders>
            <w:vAlign w:val="center"/>
          </w:tcPr>
          <w:p>
            <w:pPr>
              <w:spacing w:line="360" w:lineRule="auto"/>
              <w:jc w:val="center"/>
              <w:outlineLvl w:val="0"/>
              <w:rPr>
                <w:rFonts w:eastAsiaTheme="minorEastAsia"/>
                <w:szCs w:val="21"/>
              </w:rPr>
            </w:pPr>
            <w:r>
              <w:rPr>
                <w:rFonts w:eastAsiaTheme="minorEastAsia"/>
                <w:szCs w:val="21"/>
              </w:rPr>
              <w:t>表A.1（续）</w:t>
            </w:r>
          </w:p>
        </w:tc>
      </w:tr>
      <w:tr>
        <w:tblPrEx>
          <w:tblCellMar>
            <w:top w:w="0" w:type="dxa"/>
            <w:left w:w="10" w:type="dxa"/>
            <w:bottom w:w="0" w:type="dxa"/>
            <w:right w:w="10" w:type="dxa"/>
          </w:tblCellMar>
        </w:tblPrEx>
        <w:trPr>
          <w:trHeight w:val="499" w:hRule="exact"/>
          <w:jc w:val="center"/>
        </w:trPr>
        <w:tc>
          <w:tcPr>
            <w:tcW w:w="2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序号</w:t>
            </w:r>
          </w:p>
        </w:tc>
        <w:tc>
          <w:tcPr>
            <w:tcW w:w="118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不确定度来源</w:t>
            </w:r>
          </w:p>
        </w:tc>
        <w:tc>
          <w:tcPr>
            <w:tcW w:w="357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说 明</w:t>
            </w:r>
          </w:p>
        </w:tc>
      </w:tr>
      <w:tr>
        <w:tblPrEx>
          <w:tblCellMar>
            <w:top w:w="0" w:type="dxa"/>
            <w:left w:w="10" w:type="dxa"/>
            <w:bottom w:w="0" w:type="dxa"/>
            <w:right w:w="10" w:type="dxa"/>
          </w:tblCellMar>
        </w:tblPrEx>
        <w:trPr>
          <w:trHeight w:val="499" w:hRule="exact"/>
          <w:jc w:val="center"/>
        </w:trPr>
        <w:tc>
          <w:tcPr>
            <w:tcW w:w="2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3</w:t>
            </w:r>
          </w:p>
        </w:tc>
        <w:tc>
          <w:tcPr>
            <w:tcW w:w="1184"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eastAsiaTheme="minorEastAsia"/>
                <w:szCs w:val="21"/>
              </w:rPr>
            </w:pPr>
            <w:r>
              <w:rPr>
                <w:rFonts w:eastAsiaTheme="minorEastAsia"/>
                <w:szCs w:val="21"/>
              </w:rPr>
              <w:t>安装调整</w:t>
            </w:r>
          </w:p>
        </w:tc>
        <w:tc>
          <w:tcPr>
            <w:tcW w:w="3571"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eastAsiaTheme="minorEastAsia"/>
                <w:szCs w:val="21"/>
              </w:rPr>
            </w:pPr>
            <w:r>
              <w:rPr>
                <w:rFonts w:eastAsiaTheme="minorEastAsia"/>
                <w:szCs w:val="21"/>
              </w:rPr>
              <w:t>对测头校正和试块的安装调整不到位导致的误差</w:t>
            </w:r>
          </w:p>
        </w:tc>
      </w:tr>
      <w:tr>
        <w:tblPrEx>
          <w:tblCellMar>
            <w:top w:w="0" w:type="dxa"/>
            <w:left w:w="10" w:type="dxa"/>
            <w:bottom w:w="0" w:type="dxa"/>
            <w:right w:w="10" w:type="dxa"/>
          </w:tblCellMar>
        </w:tblPrEx>
        <w:trPr>
          <w:trHeight w:val="499" w:hRule="exact"/>
          <w:jc w:val="center"/>
        </w:trPr>
        <w:tc>
          <w:tcPr>
            <w:tcW w:w="2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4</w:t>
            </w:r>
          </w:p>
        </w:tc>
        <w:tc>
          <w:tcPr>
            <w:tcW w:w="1184"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eastAsiaTheme="minorEastAsia"/>
                <w:szCs w:val="21"/>
              </w:rPr>
            </w:pPr>
            <w:r>
              <w:rPr>
                <w:rFonts w:eastAsiaTheme="minorEastAsia"/>
                <w:szCs w:val="21"/>
              </w:rPr>
              <w:t>温度</w:t>
            </w:r>
          </w:p>
        </w:tc>
        <w:tc>
          <w:tcPr>
            <w:tcW w:w="3571"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eastAsiaTheme="minorEastAsia"/>
                <w:szCs w:val="21"/>
              </w:rPr>
            </w:pPr>
            <w:r>
              <w:rPr>
                <w:rFonts w:eastAsiaTheme="minorEastAsia"/>
                <w:szCs w:val="21"/>
              </w:rPr>
              <w:t>实验室温度对20℃会有偏离，而光栅尺和试块之间存在线膨胀系数差</w:t>
            </w:r>
          </w:p>
        </w:tc>
      </w:tr>
      <w:tr>
        <w:tblPrEx>
          <w:tblCellMar>
            <w:top w:w="0" w:type="dxa"/>
            <w:left w:w="10" w:type="dxa"/>
            <w:bottom w:w="0" w:type="dxa"/>
            <w:right w:w="10" w:type="dxa"/>
          </w:tblCellMar>
        </w:tblPrEx>
        <w:trPr>
          <w:trHeight w:val="499" w:hRule="exact"/>
          <w:jc w:val="center"/>
        </w:trPr>
        <w:tc>
          <w:tcPr>
            <w:tcW w:w="2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outlineLvl w:val="0"/>
              <w:rPr>
                <w:rFonts w:eastAsiaTheme="minorEastAsia"/>
                <w:szCs w:val="21"/>
              </w:rPr>
            </w:pPr>
            <w:r>
              <w:rPr>
                <w:rFonts w:eastAsiaTheme="minorEastAsia"/>
                <w:szCs w:val="21"/>
              </w:rPr>
              <w:t>5</w:t>
            </w:r>
          </w:p>
        </w:tc>
        <w:tc>
          <w:tcPr>
            <w:tcW w:w="1184"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eastAsiaTheme="minorEastAsia"/>
                <w:szCs w:val="21"/>
              </w:rPr>
            </w:pPr>
            <w:r>
              <w:rPr>
                <w:rFonts w:eastAsiaTheme="minorEastAsia"/>
                <w:szCs w:val="21"/>
              </w:rPr>
              <w:t>试块形状误差</w:t>
            </w:r>
          </w:p>
        </w:tc>
        <w:tc>
          <w:tcPr>
            <w:tcW w:w="3571" w:type="pct"/>
            <w:tcBorders>
              <w:top w:val="single" w:color="auto" w:sz="4" w:space="0"/>
              <w:left w:val="single" w:color="auto" w:sz="4" w:space="0"/>
              <w:bottom w:val="single" w:color="auto" w:sz="4" w:space="0"/>
              <w:right w:val="single" w:color="auto" w:sz="4" w:space="0"/>
            </w:tcBorders>
            <w:vAlign w:val="center"/>
          </w:tcPr>
          <w:p>
            <w:pPr>
              <w:spacing w:line="360" w:lineRule="auto"/>
              <w:jc w:val="left"/>
              <w:outlineLvl w:val="0"/>
              <w:rPr>
                <w:rFonts w:eastAsiaTheme="minorEastAsia"/>
                <w:szCs w:val="21"/>
              </w:rPr>
            </w:pPr>
            <w:r>
              <w:rPr>
                <w:rFonts w:eastAsiaTheme="minorEastAsia"/>
                <w:szCs w:val="21"/>
              </w:rPr>
              <w:t>试块的表面形状会对测量结果产生影响，主要影响因素是平面度误差</w:t>
            </w:r>
          </w:p>
        </w:tc>
      </w:tr>
    </w:tbl>
    <w:p>
      <w:pPr>
        <w:spacing w:line="360" w:lineRule="auto"/>
        <w:outlineLvl w:val="0"/>
        <w:rPr>
          <w:rFonts w:eastAsiaTheme="minorEastAsia"/>
          <w:sz w:val="24"/>
        </w:rPr>
      </w:pPr>
      <w:r>
        <w:rPr>
          <w:rFonts w:eastAsiaTheme="minorEastAsia"/>
          <w:sz w:val="24"/>
        </w:rPr>
        <w:t>C.5标准不确定度评定</w:t>
      </w:r>
    </w:p>
    <w:p>
      <w:pPr>
        <w:spacing w:line="360" w:lineRule="auto"/>
        <w:outlineLvl w:val="0"/>
        <w:rPr>
          <w:rFonts w:eastAsiaTheme="minorEastAsia"/>
          <w:sz w:val="24"/>
        </w:rPr>
      </w:pPr>
      <w:r>
        <w:rPr>
          <w:rFonts w:eastAsiaTheme="minorEastAsia"/>
          <w:sz w:val="24"/>
        </w:rPr>
        <w:t>C.5.1由三坐标测量机的示值误差引入的标准不确定度分量</w:t>
      </w:r>
      <w:r>
        <w:rPr>
          <w:rFonts w:eastAsiaTheme="minorEastAsia"/>
          <w:i/>
          <w:iCs/>
          <w:sz w:val="24"/>
        </w:rPr>
        <w:t>u</w:t>
      </w:r>
      <w:r>
        <w:rPr>
          <w:rFonts w:eastAsiaTheme="minorEastAsia"/>
          <w:sz w:val="24"/>
          <w:vertAlign w:val="subscript"/>
        </w:rPr>
        <w:t>1</w:t>
      </w:r>
    </w:p>
    <w:p>
      <w:pPr>
        <w:spacing w:line="360" w:lineRule="auto"/>
        <w:ind w:firstLine="480" w:firstLineChars="200"/>
        <w:outlineLvl w:val="0"/>
        <w:rPr>
          <w:sz w:val="24"/>
        </w:rPr>
      </w:pPr>
      <w:r>
        <w:rPr>
          <w:rFonts w:eastAsiaTheme="minorEastAsia"/>
          <w:sz w:val="24"/>
        </w:rPr>
        <w:t>三坐标测量机MEP：±（2μm+3×10</w:t>
      </w:r>
      <w:r>
        <w:rPr>
          <w:rFonts w:eastAsiaTheme="minorEastAsia"/>
          <w:sz w:val="24"/>
          <w:vertAlign w:val="superscript"/>
        </w:rPr>
        <w:t>-6</w:t>
      </w:r>
      <w:r>
        <w:rPr>
          <w:rFonts w:eastAsiaTheme="minorEastAsia"/>
          <w:i/>
          <w:iCs/>
          <w:sz w:val="24"/>
        </w:rPr>
        <w:t>L</w:t>
      </w:r>
      <w:r>
        <w:rPr>
          <w:rFonts w:eastAsiaTheme="minorEastAsia"/>
          <w:sz w:val="24"/>
        </w:rPr>
        <w:t>），符合均匀分布，</w:t>
      </w:r>
      <w:r>
        <w:rPr>
          <w:rFonts w:eastAsiaTheme="minorEastAsia"/>
          <w:i/>
          <w:iCs/>
          <w:sz w:val="24"/>
        </w:rPr>
        <w:t>k</w:t>
      </w:r>
      <w:r>
        <w:rPr>
          <w:rFonts w:eastAsiaTheme="minorEastAsia"/>
          <w:sz w:val="24"/>
        </w:rPr>
        <w:t>=</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oMath>
      <w:r>
        <w:rPr>
          <w:sz w:val="24"/>
        </w:rPr>
        <w:t>，被校试块的尺寸按300mm计算，则：</w:t>
      </w:r>
    </w:p>
    <w:p>
      <w:pPr>
        <w:spacing w:line="360" w:lineRule="auto"/>
        <w:ind w:firstLine="480" w:firstLineChars="200"/>
        <w:jc w:val="center"/>
        <w:outlineLvl w:val="0"/>
        <w:rPr>
          <w:sz w:val="24"/>
        </w:rPr>
      </w:pPr>
      <w:r>
        <w:rPr>
          <w:i/>
          <w:iCs/>
          <w:sz w:val="24"/>
        </w:rPr>
        <w:t>u</w:t>
      </w:r>
      <w:r>
        <w:rPr>
          <w:sz w:val="24"/>
          <w:vertAlign w:val="subscript"/>
        </w:rPr>
        <w:t>1</w:t>
      </w:r>
      <w:r>
        <w:rPr>
          <w:sz w:val="24"/>
        </w:rPr>
        <w:t>=（2μm+3×10</w:t>
      </w:r>
      <w:r>
        <w:rPr>
          <w:sz w:val="24"/>
          <w:vertAlign w:val="superscript"/>
        </w:rPr>
        <w:t>-6</w:t>
      </w:r>
      <w:r>
        <w:rPr>
          <w:sz w:val="24"/>
        </w:rPr>
        <w:t>×300×10</w:t>
      </w:r>
      <w:r>
        <w:rPr>
          <w:sz w:val="24"/>
          <w:vertAlign w:val="superscript"/>
        </w:rPr>
        <w:t>3</w:t>
      </w:r>
      <w:r>
        <w:rPr>
          <w:sz w:val="24"/>
        </w:rPr>
        <w:t>μm）/</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oMath>
      <w:r>
        <w:rPr>
          <w:sz w:val="24"/>
        </w:rPr>
        <w:t>=1.7μm</w:t>
      </w:r>
    </w:p>
    <w:p>
      <w:pPr>
        <w:spacing w:line="360" w:lineRule="auto"/>
        <w:outlineLvl w:val="0"/>
        <w:rPr>
          <w:rFonts w:eastAsiaTheme="minorEastAsia"/>
          <w:sz w:val="24"/>
        </w:rPr>
      </w:pPr>
      <w:r>
        <w:rPr>
          <w:rFonts w:eastAsiaTheme="minorEastAsia"/>
          <w:sz w:val="24"/>
        </w:rPr>
        <w:t>C.5.2由仪器分辨力/重复性引入的标准不确定度分量</w:t>
      </w:r>
      <w:r>
        <w:rPr>
          <w:rFonts w:eastAsiaTheme="minorEastAsia"/>
          <w:i/>
          <w:iCs/>
          <w:sz w:val="24"/>
        </w:rPr>
        <w:t>u</w:t>
      </w:r>
      <w:r>
        <w:rPr>
          <w:rFonts w:eastAsiaTheme="minorEastAsia"/>
          <w:sz w:val="24"/>
          <w:vertAlign w:val="subscript"/>
        </w:rPr>
        <w:t>2</w:t>
      </w:r>
    </w:p>
    <w:p>
      <w:pPr>
        <w:spacing w:line="360" w:lineRule="auto"/>
        <w:ind w:firstLine="480" w:firstLineChars="200"/>
        <w:outlineLvl w:val="0"/>
        <w:rPr>
          <w:rFonts w:eastAsiaTheme="minorEastAsia"/>
          <w:sz w:val="24"/>
        </w:rPr>
      </w:pPr>
      <w:r>
        <w:rPr>
          <w:rFonts w:eastAsiaTheme="minorEastAsia"/>
          <w:sz w:val="24"/>
        </w:rPr>
        <w:t>三坐标测量机的分辨力为0.1μm，区间半宽度为0.05μm，符合均匀分布，</w:t>
      </w:r>
      <w:r>
        <w:rPr>
          <w:rFonts w:eastAsiaTheme="minorEastAsia"/>
          <w:i/>
          <w:iCs/>
          <w:sz w:val="24"/>
        </w:rPr>
        <w:t>k</w:t>
      </w:r>
      <w:r>
        <w:rPr>
          <w:rFonts w:eastAsiaTheme="minorEastAsia"/>
          <w:sz w:val="24"/>
        </w:rPr>
        <w:t>=</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oMath>
      <w:r>
        <w:rPr>
          <w:rFonts w:eastAsiaTheme="minorEastAsia"/>
          <w:sz w:val="24"/>
        </w:rPr>
        <w:t>，则由分辨力引入的不确定度分量为：</w:t>
      </w:r>
    </w:p>
    <w:p>
      <w:pPr>
        <w:spacing w:line="360" w:lineRule="auto"/>
        <w:jc w:val="center"/>
        <w:outlineLvl w:val="0"/>
        <w:rPr>
          <w:rFonts w:eastAsiaTheme="minorEastAsia"/>
          <w:sz w:val="24"/>
        </w:rPr>
      </w:pPr>
      <w:r>
        <w:rPr>
          <w:rFonts w:eastAsiaTheme="minorEastAsia"/>
          <w:i/>
          <w:iCs/>
          <w:sz w:val="24"/>
        </w:rPr>
        <w:t>u</w:t>
      </w:r>
      <w:r>
        <w:rPr>
          <w:rFonts w:eastAsiaTheme="minorEastAsia"/>
          <w:sz w:val="24"/>
          <w:vertAlign w:val="subscript"/>
        </w:rPr>
        <w:t>21</w:t>
      </w:r>
      <w:r>
        <w:rPr>
          <w:rFonts w:eastAsiaTheme="minorEastAsia"/>
          <w:sz w:val="24"/>
        </w:rPr>
        <w:t>=0.05μm/</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oMath>
      <w:r>
        <w:rPr>
          <w:rFonts w:eastAsiaTheme="minorEastAsia"/>
          <w:sz w:val="24"/>
        </w:rPr>
        <w:t>=0.03μm</w:t>
      </w:r>
    </w:p>
    <w:p>
      <w:pPr>
        <w:spacing w:line="360" w:lineRule="auto"/>
        <w:ind w:firstLine="480" w:firstLineChars="200"/>
        <w:outlineLvl w:val="0"/>
        <w:rPr>
          <w:rFonts w:eastAsiaTheme="minorEastAsia"/>
          <w:color w:val="auto"/>
          <w:sz w:val="24"/>
        </w:rPr>
      </w:pPr>
      <w:r>
        <w:rPr>
          <w:rFonts w:eastAsiaTheme="minorEastAsia"/>
          <w:sz w:val="24"/>
        </w:rPr>
        <w:t>在各种条件均不改变的情况下，在短时间内对标称值为300mm的尺寸进行重复性实验，共测量10</w:t>
      </w:r>
      <w:r>
        <w:rPr>
          <w:rFonts w:eastAsiaTheme="minorEastAsia"/>
          <w:color w:val="auto"/>
          <w:sz w:val="24"/>
        </w:rPr>
        <w:t>次（即</w:t>
      </w:r>
      <w:r>
        <w:rPr>
          <w:rFonts w:eastAsiaTheme="minorEastAsia"/>
          <w:i/>
          <w:iCs/>
          <w:color w:val="auto"/>
          <w:sz w:val="24"/>
        </w:rPr>
        <w:t>n</w:t>
      </w:r>
      <w:r>
        <w:rPr>
          <w:rFonts w:eastAsiaTheme="minorEastAsia"/>
          <w:color w:val="auto"/>
          <w:sz w:val="24"/>
        </w:rPr>
        <w:t>=10）。</w:t>
      </w:r>
      <w:r>
        <w:rPr>
          <w:rFonts w:hint="eastAsia" w:eastAsiaTheme="minorEastAsia"/>
          <w:color w:val="auto"/>
          <w:sz w:val="24"/>
        </w:rPr>
        <w:t>试验</w:t>
      </w:r>
      <w:r>
        <w:rPr>
          <w:rFonts w:eastAsiaTheme="minorEastAsia"/>
          <w:color w:val="auto"/>
          <w:sz w:val="24"/>
        </w:rPr>
        <w:t>数据见表A.2。</w:t>
      </w:r>
    </w:p>
    <w:p>
      <w:pPr>
        <w:spacing w:line="360" w:lineRule="auto"/>
        <w:jc w:val="center"/>
        <w:outlineLvl w:val="0"/>
        <w:rPr>
          <w:rFonts w:eastAsiaTheme="minorEastAsia"/>
          <w:color w:val="auto"/>
          <w:szCs w:val="21"/>
        </w:rPr>
      </w:pPr>
      <w:r>
        <w:rPr>
          <w:rFonts w:eastAsiaTheme="minorEastAsia"/>
          <w:color w:val="auto"/>
          <w:szCs w:val="21"/>
        </w:rPr>
        <w:t>表A.2重复性</w:t>
      </w:r>
      <w:r>
        <w:rPr>
          <w:rFonts w:hint="eastAsia" w:eastAsiaTheme="minorEastAsia"/>
          <w:color w:val="auto"/>
          <w:szCs w:val="21"/>
        </w:rPr>
        <w:t>试验</w:t>
      </w:r>
      <w:r>
        <w:rPr>
          <w:rFonts w:eastAsiaTheme="minorEastAsia"/>
          <w:color w:val="auto"/>
          <w:szCs w:val="21"/>
        </w:rPr>
        <w:t>数据</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530"/>
        <w:gridCol w:w="1530"/>
        <w:gridCol w:w="1530"/>
        <w:gridCol w:w="1530"/>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Align w:val="center"/>
          </w:tcPr>
          <w:p>
            <w:pPr>
              <w:spacing w:line="360" w:lineRule="auto"/>
              <w:jc w:val="center"/>
              <w:outlineLvl w:val="0"/>
              <w:rPr>
                <w:rFonts w:eastAsiaTheme="minorEastAsia"/>
                <w:szCs w:val="21"/>
              </w:rPr>
            </w:pPr>
            <w:r>
              <w:rPr>
                <w:rFonts w:eastAsiaTheme="minorEastAsia"/>
                <w:szCs w:val="21"/>
              </w:rPr>
              <w:t>测量次数</w:t>
            </w:r>
          </w:p>
        </w:tc>
        <w:tc>
          <w:tcPr>
            <w:tcW w:w="1530" w:type="dxa"/>
            <w:vAlign w:val="center"/>
          </w:tcPr>
          <w:p>
            <w:pPr>
              <w:spacing w:line="360" w:lineRule="auto"/>
              <w:jc w:val="center"/>
              <w:outlineLvl w:val="0"/>
              <w:rPr>
                <w:rFonts w:eastAsiaTheme="minorEastAsia"/>
                <w:szCs w:val="21"/>
              </w:rPr>
            </w:pPr>
            <w:r>
              <w:rPr>
                <w:rFonts w:eastAsiaTheme="minorEastAsia"/>
                <w:szCs w:val="21"/>
              </w:rPr>
              <w:t>1</w:t>
            </w:r>
          </w:p>
        </w:tc>
        <w:tc>
          <w:tcPr>
            <w:tcW w:w="1530" w:type="dxa"/>
            <w:vAlign w:val="center"/>
          </w:tcPr>
          <w:p>
            <w:pPr>
              <w:spacing w:line="360" w:lineRule="auto"/>
              <w:jc w:val="center"/>
              <w:outlineLvl w:val="0"/>
              <w:rPr>
                <w:rFonts w:eastAsiaTheme="minorEastAsia"/>
                <w:szCs w:val="21"/>
              </w:rPr>
            </w:pPr>
            <w:bookmarkStart w:id="119" w:name="_GoBack"/>
            <w:bookmarkEnd w:id="119"/>
            <w:r>
              <w:rPr>
                <w:rFonts w:eastAsiaTheme="minorEastAsia"/>
                <w:szCs w:val="21"/>
              </w:rPr>
              <w:t>2</w:t>
            </w:r>
          </w:p>
        </w:tc>
        <w:tc>
          <w:tcPr>
            <w:tcW w:w="1530" w:type="dxa"/>
            <w:vAlign w:val="center"/>
          </w:tcPr>
          <w:p>
            <w:pPr>
              <w:spacing w:line="360" w:lineRule="auto"/>
              <w:jc w:val="center"/>
              <w:outlineLvl w:val="0"/>
              <w:rPr>
                <w:rFonts w:eastAsiaTheme="minorEastAsia"/>
                <w:szCs w:val="21"/>
              </w:rPr>
            </w:pPr>
            <w:r>
              <w:rPr>
                <w:rFonts w:eastAsiaTheme="minorEastAsia"/>
                <w:szCs w:val="21"/>
              </w:rPr>
              <w:t>3</w:t>
            </w:r>
          </w:p>
        </w:tc>
        <w:tc>
          <w:tcPr>
            <w:tcW w:w="1530" w:type="dxa"/>
            <w:vAlign w:val="center"/>
          </w:tcPr>
          <w:p>
            <w:pPr>
              <w:spacing w:line="360" w:lineRule="auto"/>
              <w:jc w:val="center"/>
              <w:outlineLvl w:val="0"/>
              <w:rPr>
                <w:rFonts w:eastAsiaTheme="minorEastAsia"/>
                <w:szCs w:val="21"/>
              </w:rPr>
            </w:pPr>
            <w:r>
              <w:rPr>
                <w:rFonts w:eastAsiaTheme="minorEastAsia"/>
                <w:szCs w:val="21"/>
              </w:rPr>
              <w:t>4</w:t>
            </w:r>
          </w:p>
        </w:tc>
        <w:tc>
          <w:tcPr>
            <w:tcW w:w="1533" w:type="dxa"/>
            <w:vAlign w:val="center"/>
          </w:tcPr>
          <w:p>
            <w:pPr>
              <w:spacing w:line="360" w:lineRule="auto"/>
              <w:jc w:val="center"/>
              <w:outlineLvl w:val="0"/>
              <w:rPr>
                <w:rFonts w:eastAsiaTheme="minorEastAsia"/>
                <w:szCs w:val="21"/>
              </w:rPr>
            </w:pPr>
            <w:r>
              <w:rPr>
                <w:rFonts w:eastAsiaTheme="minor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Align w:val="center"/>
          </w:tcPr>
          <w:p>
            <w:pPr>
              <w:spacing w:line="360" w:lineRule="auto"/>
              <w:jc w:val="center"/>
              <w:outlineLvl w:val="0"/>
              <w:rPr>
                <w:rFonts w:eastAsiaTheme="minorEastAsia"/>
                <w:szCs w:val="21"/>
              </w:rPr>
            </w:pPr>
            <w:r>
              <w:rPr>
                <w:rFonts w:eastAsiaTheme="minorEastAsia"/>
                <w:szCs w:val="21"/>
              </w:rPr>
              <w:t>测得值（mm）</w:t>
            </w:r>
          </w:p>
        </w:tc>
        <w:tc>
          <w:tcPr>
            <w:tcW w:w="1530" w:type="dxa"/>
            <w:vAlign w:val="center"/>
          </w:tcPr>
          <w:p>
            <w:pPr>
              <w:spacing w:line="360" w:lineRule="auto"/>
              <w:jc w:val="center"/>
              <w:outlineLvl w:val="0"/>
              <w:rPr>
                <w:rFonts w:eastAsiaTheme="minorEastAsia"/>
                <w:szCs w:val="21"/>
              </w:rPr>
            </w:pPr>
            <w:r>
              <w:rPr>
                <w:rFonts w:eastAsiaTheme="minorEastAsia"/>
                <w:szCs w:val="21"/>
              </w:rPr>
              <w:t>300.0152</w:t>
            </w:r>
          </w:p>
        </w:tc>
        <w:tc>
          <w:tcPr>
            <w:tcW w:w="1530" w:type="dxa"/>
            <w:vAlign w:val="center"/>
          </w:tcPr>
          <w:p>
            <w:pPr>
              <w:spacing w:line="360" w:lineRule="auto"/>
              <w:jc w:val="center"/>
              <w:outlineLvl w:val="0"/>
              <w:rPr>
                <w:rFonts w:eastAsiaTheme="minorEastAsia"/>
                <w:szCs w:val="21"/>
              </w:rPr>
            </w:pPr>
            <w:r>
              <w:rPr>
                <w:rFonts w:eastAsiaTheme="minorEastAsia"/>
                <w:szCs w:val="21"/>
              </w:rPr>
              <w:t>300.0148</w:t>
            </w:r>
          </w:p>
        </w:tc>
        <w:tc>
          <w:tcPr>
            <w:tcW w:w="1530" w:type="dxa"/>
            <w:vAlign w:val="center"/>
          </w:tcPr>
          <w:p>
            <w:pPr>
              <w:spacing w:line="360" w:lineRule="auto"/>
              <w:jc w:val="center"/>
              <w:outlineLvl w:val="0"/>
              <w:rPr>
                <w:rFonts w:eastAsiaTheme="minorEastAsia"/>
                <w:szCs w:val="21"/>
              </w:rPr>
            </w:pPr>
            <w:r>
              <w:rPr>
                <w:rFonts w:eastAsiaTheme="minorEastAsia"/>
                <w:szCs w:val="21"/>
              </w:rPr>
              <w:t>300.0156</w:t>
            </w:r>
          </w:p>
        </w:tc>
        <w:tc>
          <w:tcPr>
            <w:tcW w:w="1530" w:type="dxa"/>
            <w:vAlign w:val="center"/>
          </w:tcPr>
          <w:p>
            <w:pPr>
              <w:spacing w:line="360" w:lineRule="auto"/>
              <w:jc w:val="center"/>
              <w:outlineLvl w:val="0"/>
              <w:rPr>
                <w:rFonts w:eastAsiaTheme="minorEastAsia"/>
                <w:szCs w:val="21"/>
              </w:rPr>
            </w:pPr>
            <w:r>
              <w:rPr>
                <w:rFonts w:eastAsiaTheme="minorEastAsia"/>
                <w:szCs w:val="21"/>
              </w:rPr>
              <w:t>300.0162</w:t>
            </w:r>
          </w:p>
        </w:tc>
        <w:tc>
          <w:tcPr>
            <w:tcW w:w="1533" w:type="dxa"/>
            <w:vAlign w:val="center"/>
          </w:tcPr>
          <w:p>
            <w:pPr>
              <w:spacing w:line="360" w:lineRule="auto"/>
              <w:jc w:val="center"/>
              <w:outlineLvl w:val="0"/>
              <w:rPr>
                <w:rFonts w:eastAsiaTheme="minorEastAsia"/>
                <w:szCs w:val="21"/>
              </w:rPr>
            </w:pPr>
            <w:r>
              <w:rPr>
                <w:rFonts w:eastAsiaTheme="minorEastAsia"/>
                <w:szCs w:val="21"/>
              </w:rPr>
              <w:t>300.0154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Align w:val="center"/>
          </w:tcPr>
          <w:p>
            <w:pPr>
              <w:spacing w:line="360" w:lineRule="auto"/>
              <w:jc w:val="center"/>
              <w:outlineLvl w:val="0"/>
              <w:rPr>
                <w:rFonts w:eastAsiaTheme="minorEastAsia"/>
                <w:szCs w:val="21"/>
              </w:rPr>
            </w:pPr>
            <w:r>
              <w:rPr>
                <w:rFonts w:eastAsiaTheme="minorEastAsia"/>
                <w:szCs w:val="21"/>
              </w:rPr>
              <w:t>测量次数</w:t>
            </w:r>
          </w:p>
        </w:tc>
        <w:tc>
          <w:tcPr>
            <w:tcW w:w="1530" w:type="dxa"/>
            <w:vAlign w:val="center"/>
          </w:tcPr>
          <w:p>
            <w:pPr>
              <w:spacing w:line="360" w:lineRule="auto"/>
              <w:jc w:val="center"/>
              <w:outlineLvl w:val="0"/>
              <w:rPr>
                <w:rFonts w:eastAsiaTheme="minorEastAsia"/>
                <w:szCs w:val="21"/>
              </w:rPr>
            </w:pPr>
            <w:r>
              <w:rPr>
                <w:rFonts w:eastAsiaTheme="minorEastAsia"/>
                <w:szCs w:val="21"/>
              </w:rPr>
              <w:t>6</w:t>
            </w:r>
          </w:p>
        </w:tc>
        <w:tc>
          <w:tcPr>
            <w:tcW w:w="1530" w:type="dxa"/>
            <w:vAlign w:val="center"/>
          </w:tcPr>
          <w:p>
            <w:pPr>
              <w:spacing w:line="360" w:lineRule="auto"/>
              <w:jc w:val="center"/>
              <w:outlineLvl w:val="0"/>
              <w:rPr>
                <w:rFonts w:eastAsiaTheme="minorEastAsia"/>
                <w:szCs w:val="21"/>
              </w:rPr>
            </w:pPr>
            <w:r>
              <w:rPr>
                <w:rFonts w:eastAsiaTheme="minorEastAsia"/>
                <w:szCs w:val="21"/>
              </w:rPr>
              <w:t>7</w:t>
            </w:r>
          </w:p>
        </w:tc>
        <w:tc>
          <w:tcPr>
            <w:tcW w:w="1530" w:type="dxa"/>
            <w:vAlign w:val="center"/>
          </w:tcPr>
          <w:p>
            <w:pPr>
              <w:spacing w:line="360" w:lineRule="auto"/>
              <w:jc w:val="center"/>
              <w:outlineLvl w:val="0"/>
              <w:rPr>
                <w:rFonts w:eastAsiaTheme="minorEastAsia"/>
                <w:szCs w:val="21"/>
              </w:rPr>
            </w:pPr>
            <w:r>
              <w:rPr>
                <w:rFonts w:eastAsiaTheme="minorEastAsia"/>
                <w:szCs w:val="21"/>
              </w:rPr>
              <w:t>8</w:t>
            </w:r>
          </w:p>
        </w:tc>
        <w:tc>
          <w:tcPr>
            <w:tcW w:w="1530" w:type="dxa"/>
            <w:vAlign w:val="center"/>
          </w:tcPr>
          <w:p>
            <w:pPr>
              <w:spacing w:line="360" w:lineRule="auto"/>
              <w:jc w:val="center"/>
              <w:outlineLvl w:val="0"/>
              <w:rPr>
                <w:rFonts w:eastAsiaTheme="minorEastAsia"/>
                <w:szCs w:val="21"/>
              </w:rPr>
            </w:pPr>
            <w:r>
              <w:rPr>
                <w:rFonts w:eastAsiaTheme="minorEastAsia"/>
                <w:szCs w:val="21"/>
              </w:rPr>
              <w:t>9</w:t>
            </w:r>
          </w:p>
        </w:tc>
        <w:tc>
          <w:tcPr>
            <w:tcW w:w="1533" w:type="dxa"/>
            <w:vAlign w:val="center"/>
          </w:tcPr>
          <w:p>
            <w:pPr>
              <w:spacing w:line="360" w:lineRule="auto"/>
              <w:jc w:val="center"/>
              <w:outlineLvl w:val="0"/>
              <w:rPr>
                <w:rFonts w:eastAsiaTheme="minorEastAsia"/>
                <w:szCs w:val="21"/>
              </w:rPr>
            </w:pPr>
            <w:r>
              <w:rPr>
                <w:rFonts w:eastAsiaTheme="minor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vAlign w:val="center"/>
          </w:tcPr>
          <w:p>
            <w:pPr>
              <w:spacing w:line="360" w:lineRule="auto"/>
              <w:jc w:val="center"/>
              <w:outlineLvl w:val="0"/>
              <w:rPr>
                <w:rFonts w:eastAsiaTheme="minorEastAsia"/>
                <w:szCs w:val="21"/>
              </w:rPr>
            </w:pPr>
            <w:r>
              <w:rPr>
                <w:rFonts w:eastAsiaTheme="minorEastAsia"/>
                <w:szCs w:val="21"/>
              </w:rPr>
              <w:t>测得值（mm）</w:t>
            </w:r>
          </w:p>
        </w:tc>
        <w:tc>
          <w:tcPr>
            <w:tcW w:w="1530" w:type="dxa"/>
            <w:vAlign w:val="center"/>
          </w:tcPr>
          <w:p>
            <w:pPr>
              <w:spacing w:line="360" w:lineRule="auto"/>
              <w:jc w:val="center"/>
              <w:outlineLvl w:val="0"/>
              <w:rPr>
                <w:rFonts w:eastAsiaTheme="minorEastAsia"/>
                <w:szCs w:val="21"/>
              </w:rPr>
            </w:pPr>
            <w:r>
              <w:rPr>
                <w:rFonts w:eastAsiaTheme="minorEastAsia"/>
                <w:szCs w:val="21"/>
              </w:rPr>
              <w:t>300.0132</w:t>
            </w:r>
          </w:p>
        </w:tc>
        <w:tc>
          <w:tcPr>
            <w:tcW w:w="1530" w:type="dxa"/>
            <w:vAlign w:val="center"/>
          </w:tcPr>
          <w:p>
            <w:pPr>
              <w:spacing w:line="360" w:lineRule="auto"/>
              <w:jc w:val="center"/>
              <w:outlineLvl w:val="0"/>
              <w:rPr>
                <w:rFonts w:eastAsiaTheme="minorEastAsia"/>
                <w:szCs w:val="21"/>
              </w:rPr>
            </w:pPr>
            <w:r>
              <w:rPr>
                <w:rFonts w:eastAsiaTheme="minorEastAsia"/>
                <w:szCs w:val="21"/>
              </w:rPr>
              <w:t>300.0149</w:t>
            </w:r>
          </w:p>
        </w:tc>
        <w:tc>
          <w:tcPr>
            <w:tcW w:w="1530" w:type="dxa"/>
            <w:vAlign w:val="center"/>
          </w:tcPr>
          <w:p>
            <w:pPr>
              <w:spacing w:line="360" w:lineRule="auto"/>
              <w:jc w:val="center"/>
              <w:outlineLvl w:val="0"/>
              <w:rPr>
                <w:rFonts w:eastAsiaTheme="minorEastAsia"/>
                <w:szCs w:val="21"/>
              </w:rPr>
            </w:pPr>
            <w:r>
              <w:rPr>
                <w:rFonts w:eastAsiaTheme="minorEastAsia"/>
                <w:szCs w:val="21"/>
              </w:rPr>
              <w:t>300.0138</w:t>
            </w:r>
          </w:p>
        </w:tc>
        <w:tc>
          <w:tcPr>
            <w:tcW w:w="1530" w:type="dxa"/>
            <w:vAlign w:val="center"/>
          </w:tcPr>
          <w:p>
            <w:pPr>
              <w:spacing w:line="360" w:lineRule="auto"/>
              <w:jc w:val="center"/>
              <w:outlineLvl w:val="0"/>
              <w:rPr>
                <w:rFonts w:eastAsiaTheme="minorEastAsia"/>
                <w:szCs w:val="21"/>
              </w:rPr>
            </w:pPr>
            <w:r>
              <w:rPr>
                <w:rFonts w:eastAsiaTheme="minorEastAsia"/>
                <w:szCs w:val="21"/>
              </w:rPr>
              <w:t>300.0142</w:t>
            </w:r>
          </w:p>
        </w:tc>
        <w:tc>
          <w:tcPr>
            <w:tcW w:w="1533" w:type="dxa"/>
            <w:vAlign w:val="center"/>
          </w:tcPr>
          <w:p>
            <w:pPr>
              <w:spacing w:line="360" w:lineRule="auto"/>
              <w:jc w:val="center"/>
              <w:outlineLvl w:val="0"/>
              <w:rPr>
                <w:rFonts w:eastAsiaTheme="minorEastAsia"/>
                <w:szCs w:val="21"/>
              </w:rPr>
            </w:pPr>
            <w:r>
              <w:rPr>
                <w:rFonts w:eastAsiaTheme="minorEastAsia"/>
                <w:szCs w:val="21"/>
              </w:rPr>
              <w:t>300.0155</w:t>
            </w:r>
          </w:p>
        </w:tc>
      </w:tr>
    </w:tbl>
    <w:p>
      <w:pPr>
        <w:spacing w:line="360" w:lineRule="auto"/>
        <w:jc w:val="center"/>
        <w:outlineLvl w:val="0"/>
        <w:rPr>
          <w:rFonts w:eastAsiaTheme="minorEastAsia"/>
          <w:szCs w:val="21"/>
        </w:rPr>
      </w:pPr>
    </w:p>
    <w:p>
      <w:pPr>
        <w:spacing w:line="360" w:lineRule="auto"/>
        <w:ind w:firstLine="480" w:firstLineChars="200"/>
        <w:outlineLvl w:val="0"/>
        <w:rPr>
          <w:rFonts w:eastAsiaTheme="minorEastAsia"/>
          <w:sz w:val="24"/>
        </w:rPr>
      </w:pPr>
      <w:r>
        <w:rPr>
          <w:rFonts w:eastAsiaTheme="minorEastAsia"/>
          <w:sz w:val="24"/>
        </w:rPr>
        <w:t>由贝塞尔公式计算得到</w:t>
      </w:r>
      <w:r>
        <w:rPr>
          <w:rFonts w:eastAsiaTheme="minorEastAsia"/>
          <w:i/>
          <w:iCs/>
          <w:sz w:val="24"/>
        </w:rPr>
        <w:t>s</w:t>
      </w:r>
      <w:r>
        <w:rPr>
          <w:rFonts w:eastAsiaTheme="minorEastAsia"/>
          <w:sz w:val="24"/>
        </w:rPr>
        <w:t>=0.91μm，则重复性引入的不确定度分量为：</w:t>
      </w:r>
    </w:p>
    <w:p>
      <w:pPr>
        <w:spacing w:line="360" w:lineRule="auto"/>
        <w:jc w:val="center"/>
        <w:outlineLvl w:val="0"/>
        <w:rPr>
          <w:rFonts w:eastAsiaTheme="minorEastAsia"/>
          <w:sz w:val="24"/>
        </w:rPr>
      </w:pPr>
      <w:r>
        <w:rPr>
          <w:rFonts w:eastAsiaTheme="minorEastAsia"/>
          <w:i/>
          <w:iCs/>
          <w:sz w:val="24"/>
        </w:rPr>
        <w:t>u</w:t>
      </w:r>
      <w:r>
        <w:rPr>
          <w:rFonts w:eastAsiaTheme="minorEastAsia"/>
          <w:sz w:val="24"/>
          <w:vertAlign w:val="subscript"/>
        </w:rPr>
        <w:t>22</w:t>
      </w:r>
      <w:r>
        <w:rPr>
          <w:rFonts w:eastAsiaTheme="minorEastAsia"/>
          <w:sz w:val="24"/>
        </w:rPr>
        <w:t>=0.91μm</w:t>
      </w:r>
    </w:p>
    <w:p>
      <w:pPr>
        <w:spacing w:line="360" w:lineRule="auto"/>
        <w:ind w:firstLine="480" w:firstLineChars="200"/>
        <w:outlineLvl w:val="0"/>
        <w:rPr>
          <w:rFonts w:eastAsiaTheme="minorEastAsia"/>
          <w:sz w:val="24"/>
        </w:rPr>
      </w:pPr>
      <w:r>
        <w:rPr>
          <w:rFonts w:eastAsiaTheme="minorEastAsia"/>
          <w:sz w:val="24"/>
        </w:rPr>
        <w:t>分辨力引入的不确定度分量</w:t>
      </w:r>
      <w:r>
        <w:rPr>
          <w:rFonts w:eastAsiaTheme="minorEastAsia"/>
          <w:i/>
          <w:iCs/>
          <w:sz w:val="24"/>
        </w:rPr>
        <w:t>u</w:t>
      </w:r>
      <w:r>
        <w:rPr>
          <w:rFonts w:eastAsiaTheme="minorEastAsia"/>
          <w:sz w:val="24"/>
          <w:vertAlign w:val="subscript"/>
        </w:rPr>
        <w:t>21</w:t>
      </w:r>
      <w:r>
        <w:rPr>
          <w:rFonts w:eastAsiaTheme="minorEastAsia"/>
          <w:sz w:val="24"/>
        </w:rPr>
        <w:t>和测量重复性引入的不确定度分量</w:t>
      </w:r>
      <w:r>
        <w:rPr>
          <w:rFonts w:eastAsiaTheme="minorEastAsia"/>
          <w:i/>
          <w:iCs/>
          <w:sz w:val="24"/>
        </w:rPr>
        <w:t>u</w:t>
      </w:r>
      <w:r>
        <w:rPr>
          <w:rFonts w:eastAsiaTheme="minorEastAsia"/>
          <w:sz w:val="24"/>
          <w:vertAlign w:val="subscript"/>
        </w:rPr>
        <w:t>22</w:t>
      </w:r>
      <w:r>
        <w:rPr>
          <w:rFonts w:eastAsiaTheme="minorEastAsia"/>
          <w:sz w:val="24"/>
        </w:rPr>
        <w:t>，取结果较大者，则：</w:t>
      </w:r>
    </w:p>
    <w:p>
      <w:pPr>
        <w:spacing w:line="360" w:lineRule="auto"/>
        <w:jc w:val="center"/>
        <w:outlineLvl w:val="0"/>
        <w:rPr>
          <w:rFonts w:eastAsiaTheme="minorEastAsia"/>
          <w:sz w:val="24"/>
        </w:rPr>
      </w:pPr>
      <w:r>
        <w:rPr>
          <w:rFonts w:eastAsiaTheme="minorEastAsia"/>
          <w:i/>
          <w:iCs/>
          <w:sz w:val="24"/>
        </w:rPr>
        <w:t>u</w:t>
      </w:r>
      <w:r>
        <w:rPr>
          <w:rFonts w:eastAsiaTheme="minorEastAsia"/>
          <w:sz w:val="24"/>
          <w:vertAlign w:val="subscript"/>
        </w:rPr>
        <w:t>2</w:t>
      </w:r>
      <w:r>
        <w:rPr>
          <w:rFonts w:eastAsiaTheme="minorEastAsia"/>
          <w:sz w:val="24"/>
        </w:rPr>
        <w:t>=</w:t>
      </w:r>
      <w:r>
        <w:rPr>
          <w:rFonts w:eastAsiaTheme="minorEastAsia"/>
          <w:i/>
          <w:iCs/>
          <w:sz w:val="24"/>
        </w:rPr>
        <w:t>u</w:t>
      </w:r>
      <w:r>
        <w:rPr>
          <w:rFonts w:eastAsiaTheme="minorEastAsia"/>
          <w:sz w:val="24"/>
          <w:vertAlign w:val="subscript"/>
        </w:rPr>
        <w:t>22</w:t>
      </w:r>
      <w:r>
        <w:rPr>
          <w:rFonts w:eastAsiaTheme="minorEastAsia"/>
          <w:sz w:val="24"/>
        </w:rPr>
        <w:t>=0.91μm</w:t>
      </w:r>
    </w:p>
    <w:p>
      <w:pPr>
        <w:spacing w:line="360" w:lineRule="auto"/>
        <w:outlineLvl w:val="0"/>
        <w:rPr>
          <w:rFonts w:eastAsiaTheme="minorEastAsia"/>
          <w:sz w:val="24"/>
        </w:rPr>
      </w:pPr>
      <w:r>
        <w:rPr>
          <w:rFonts w:eastAsiaTheme="minorEastAsia"/>
          <w:sz w:val="24"/>
        </w:rPr>
        <w:t>C. 5.3由安装调整不到位引入的标准不确定度分量</w:t>
      </w:r>
      <w:r>
        <w:rPr>
          <w:rFonts w:eastAsiaTheme="minorEastAsia"/>
          <w:i/>
          <w:iCs/>
          <w:sz w:val="24"/>
        </w:rPr>
        <w:t>u</w:t>
      </w:r>
      <w:r>
        <w:rPr>
          <w:rFonts w:eastAsiaTheme="minorEastAsia"/>
          <w:sz w:val="24"/>
          <w:vertAlign w:val="subscript"/>
        </w:rPr>
        <w:t>3</w:t>
      </w:r>
    </w:p>
    <w:p>
      <w:pPr>
        <w:spacing w:line="360" w:lineRule="auto"/>
        <w:ind w:firstLine="480" w:firstLineChars="200"/>
        <w:outlineLvl w:val="0"/>
        <w:rPr>
          <w:rFonts w:eastAsiaTheme="minorEastAsia"/>
          <w:sz w:val="24"/>
        </w:rPr>
      </w:pPr>
      <w:r>
        <w:rPr>
          <w:rFonts w:eastAsiaTheme="minorEastAsia"/>
          <w:sz w:val="24"/>
        </w:rPr>
        <w:t>由实验，安装调整不到位影响可以控制在</w:t>
      </w:r>
      <w:r>
        <w:rPr>
          <w:rFonts w:eastAsiaTheme="minorEastAsia"/>
          <w:i/>
          <w:iCs/>
          <w:sz w:val="24"/>
        </w:rPr>
        <w:t>e</w:t>
      </w:r>
      <w:r>
        <w:rPr>
          <w:rFonts w:eastAsiaTheme="minorEastAsia"/>
          <w:sz w:val="24"/>
          <w:vertAlign w:val="subscript"/>
        </w:rPr>
        <w:t>安装</w:t>
      </w:r>
      <w:r>
        <w:rPr>
          <w:rFonts w:eastAsiaTheme="minorEastAsia"/>
          <w:sz w:val="24"/>
        </w:rPr>
        <w:t>=±1μm，符合均匀分布，</w:t>
      </w:r>
      <w:r>
        <w:rPr>
          <w:rFonts w:eastAsiaTheme="minorEastAsia"/>
          <w:i/>
          <w:iCs/>
          <w:sz w:val="24"/>
        </w:rPr>
        <w:t>k</w:t>
      </w:r>
      <w:r>
        <w:rPr>
          <w:rFonts w:eastAsiaTheme="minorEastAsia"/>
          <w:sz w:val="24"/>
        </w:rPr>
        <w:t>=</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oMath>
      <w:r>
        <w:rPr>
          <w:rFonts w:eastAsiaTheme="minorEastAsia"/>
          <w:sz w:val="24"/>
        </w:rPr>
        <w:t>，则：</w:t>
      </w:r>
    </w:p>
    <w:p>
      <w:pPr>
        <w:spacing w:line="360" w:lineRule="auto"/>
        <w:jc w:val="center"/>
        <w:outlineLvl w:val="0"/>
        <w:rPr>
          <w:rFonts w:eastAsiaTheme="minorEastAsia"/>
          <w:sz w:val="24"/>
        </w:rPr>
      </w:pPr>
      <w:r>
        <w:rPr>
          <w:rFonts w:eastAsiaTheme="minorEastAsia"/>
          <w:i/>
          <w:iCs/>
          <w:sz w:val="24"/>
        </w:rPr>
        <w:t>u</w:t>
      </w:r>
      <w:r>
        <w:rPr>
          <w:rFonts w:eastAsiaTheme="minorEastAsia"/>
          <w:sz w:val="24"/>
          <w:vertAlign w:val="subscript"/>
        </w:rPr>
        <w:t>3</w:t>
      </w:r>
      <w:r>
        <w:rPr>
          <w:rFonts w:eastAsiaTheme="minorEastAsia"/>
          <w:sz w:val="24"/>
        </w:rPr>
        <w:t>=1μm/</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oMath>
      <w:r>
        <w:rPr>
          <w:rFonts w:eastAsiaTheme="minorEastAsia"/>
          <w:sz w:val="24"/>
        </w:rPr>
        <w:t>=0.6μm</w:t>
      </w:r>
    </w:p>
    <w:p>
      <w:pPr>
        <w:spacing w:line="360" w:lineRule="auto"/>
        <w:outlineLvl w:val="0"/>
        <w:rPr>
          <w:rFonts w:eastAsiaTheme="minorEastAsia"/>
          <w:sz w:val="24"/>
        </w:rPr>
      </w:pPr>
      <w:r>
        <w:rPr>
          <w:rFonts w:eastAsiaTheme="minorEastAsia"/>
          <w:sz w:val="24"/>
        </w:rPr>
        <w:t>C. 5.4由温度引入的标准不确定度分量</w:t>
      </w:r>
      <w:r>
        <w:rPr>
          <w:rFonts w:eastAsiaTheme="minorEastAsia"/>
          <w:i/>
          <w:iCs/>
          <w:sz w:val="24"/>
        </w:rPr>
        <w:t>u</w:t>
      </w:r>
      <w:r>
        <w:rPr>
          <w:rFonts w:eastAsiaTheme="minorEastAsia"/>
          <w:sz w:val="24"/>
          <w:vertAlign w:val="subscript"/>
        </w:rPr>
        <w:t>4</w:t>
      </w:r>
    </w:p>
    <w:p>
      <w:pPr>
        <w:spacing w:line="360" w:lineRule="auto"/>
        <w:ind w:firstLine="480" w:firstLineChars="200"/>
        <w:outlineLvl w:val="0"/>
        <w:rPr>
          <w:sz w:val="24"/>
        </w:rPr>
      </w:pPr>
      <w:r>
        <w:rPr>
          <w:rFonts w:eastAsiaTheme="minorEastAsia"/>
          <w:sz w:val="24"/>
        </w:rPr>
        <w:t>在测量前，相控阵超声检测标准试块应充分恒温，使得相控阵超声检测标准试块与测量仪器之间温差尽可能小（即两者温差可以忽略不计），此处主要考虑温度偏离20℃，三坐标测量机与被校试块的线膨胀系数差的影响。在测量过程中，实验室温度保持在（20±5）℃范围内，已知三坐标测量机的线膨胀系数为</w:t>
      </w:r>
      <w:r>
        <w:rPr>
          <w:rFonts w:eastAsiaTheme="minorEastAsia"/>
          <w:i/>
          <w:iCs/>
          <w:sz w:val="24"/>
        </w:rPr>
        <w:t>α</w:t>
      </w:r>
      <w:r>
        <w:rPr>
          <w:rFonts w:eastAsiaTheme="minorEastAsia"/>
          <w:sz w:val="24"/>
          <w:vertAlign w:val="subscript"/>
        </w:rPr>
        <w:t>机</w:t>
      </w:r>
      <w:r>
        <w:rPr>
          <w:rFonts w:eastAsiaTheme="minorEastAsia"/>
          <w:sz w:val="24"/>
        </w:rPr>
        <w:t>=（8±1）×10</w:t>
      </w:r>
      <w:r>
        <w:rPr>
          <w:rFonts w:eastAsiaTheme="minorEastAsia"/>
          <w:sz w:val="24"/>
          <w:vertAlign w:val="superscript"/>
        </w:rPr>
        <w:t xml:space="preserve">-6 </w:t>
      </w:r>
      <w:r>
        <w:rPr>
          <w:rFonts w:eastAsiaTheme="minorEastAsia"/>
          <w:sz w:val="24"/>
        </w:rPr>
        <w:t>℃</w:t>
      </w:r>
      <w:r>
        <w:rPr>
          <w:rFonts w:eastAsiaTheme="minorEastAsia"/>
          <w:sz w:val="24"/>
          <w:vertAlign w:val="superscript"/>
        </w:rPr>
        <w:t>-1</w:t>
      </w:r>
      <w:r>
        <w:rPr>
          <w:rFonts w:eastAsiaTheme="minorEastAsia"/>
          <w:sz w:val="24"/>
        </w:rPr>
        <w:t>，被校试块的线膨胀系数为</w:t>
      </w:r>
      <w:r>
        <w:rPr>
          <w:rFonts w:eastAsiaTheme="minorEastAsia"/>
          <w:i/>
          <w:iCs/>
          <w:sz w:val="24"/>
        </w:rPr>
        <w:t>α</w:t>
      </w:r>
      <w:r>
        <w:rPr>
          <w:rFonts w:eastAsiaTheme="minorEastAsia"/>
          <w:sz w:val="24"/>
          <w:vertAlign w:val="subscript"/>
        </w:rPr>
        <w:t>试块</w:t>
      </w:r>
      <w:r>
        <w:rPr>
          <w:rFonts w:eastAsiaTheme="minorEastAsia"/>
          <w:sz w:val="24"/>
        </w:rPr>
        <w:t>=（11.5±1）×10</w:t>
      </w:r>
      <w:r>
        <w:rPr>
          <w:rFonts w:eastAsiaTheme="minorEastAsia"/>
          <w:sz w:val="24"/>
          <w:vertAlign w:val="superscript"/>
        </w:rPr>
        <w:t xml:space="preserve">-6 </w:t>
      </w:r>
      <w:r>
        <w:rPr>
          <w:rFonts w:eastAsiaTheme="minorEastAsia"/>
          <w:sz w:val="24"/>
        </w:rPr>
        <w:t>℃</w:t>
      </w:r>
      <w:r>
        <w:rPr>
          <w:rFonts w:eastAsiaTheme="minorEastAsia"/>
          <w:sz w:val="24"/>
          <w:vertAlign w:val="superscript"/>
        </w:rPr>
        <w:t>-1</w:t>
      </w:r>
      <w:r>
        <w:rPr>
          <w:rFonts w:eastAsiaTheme="minorEastAsia"/>
          <w:sz w:val="24"/>
        </w:rPr>
        <w:t>，符合三角分布，</w:t>
      </w:r>
      <w:r>
        <w:rPr>
          <w:rFonts w:eastAsiaTheme="minorEastAsia"/>
          <w:i/>
          <w:iCs/>
          <w:sz w:val="24"/>
        </w:rPr>
        <w:t>k</w:t>
      </w:r>
      <w:r>
        <w:rPr>
          <w:rFonts w:eastAsiaTheme="minorEastAsia"/>
          <w:sz w:val="24"/>
        </w:rPr>
        <w:t>=</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6</m:t>
            </m:r>
            <m:ctrlPr>
              <w:rPr>
                <w:rFonts w:ascii="Cambria Math" w:hAnsi="Cambria Math"/>
                <w:i/>
                <w:sz w:val="24"/>
              </w:rPr>
            </m:ctrlPr>
          </m:e>
        </m:rad>
      </m:oMath>
      <w:r>
        <w:rPr>
          <w:sz w:val="24"/>
        </w:rPr>
        <w:t>，则：</w:t>
      </w:r>
    </w:p>
    <w:p>
      <w:pPr>
        <w:spacing w:line="360" w:lineRule="auto"/>
        <w:ind w:firstLine="480" w:firstLineChars="200"/>
        <w:outlineLvl w:val="0"/>
        <w:rPr>
          <w:sz w:val="24"/>
        </w:rPr>
      </w:pPr>
      <w:r>
        <w:rPr>
          <w:sz w:val="24"/>
        </w:rPr>
        <w:t>当</w:t>
      </w:r>
      <w:r>
        <w:rPr>
          <w:i/>
          <w:iCs/>
          <w:sz w:val="24"/>
        </w:rPr>
        <w:t>L</w:t>
      </w:r>
      <w:r>
        <w:rPr>
          <w:sz w:val="24"/>
        </w:rPr>
        <w:t>=300mm时，由温度带来的极限误差为：</w:t>
      </w:r>
    </w:p>
    <w:p>
      <w:pPr>
        <w:spacing w:line="360" w:lineRule="auto"/>
        <w:jc w:val="center"/>
        <w:outlineLvl w:val="0"/>
        <w:rPr>
          <w:rFonts w:eastAsiaTheme="minorEastAsia"/>
          <w:sz w:val="24"/>
        </w:rPr>
      </w:pPr>
      <w:r>
        <w:rPr>
          <w:rFonts w:eastAsiaTheme="minorEastAsia"/>
          <w:i/>
          <w:iCs/>
          <w:sz w:val="24"/>
        </w:rPr>
        <w:t>e</w:t>
      </w:r>
      <w:r>
        <w:rPr>
          <w:rFonts w:eastAsiaTheme="minorEastAsia"/>
          <w:sz w:val="24"/>
          <w:vertAlign w:val="subscript"/>
        </w:rPr>
        <w:t>温度</w:t>
      </w:r>
      <w:r>
        <w:rPr>
          <w:rFonts w:eastAsiaTheme="minorEastAsia"/>
          <w:sz w:val="24"/>
        </w:rPr>
        <w:t>=</w:t>
      </w:r>
      <w:r>
        <w:rPr>
          <w:rFonts w:eastAsiaTheme="minorEastAsia"/>
          <w:i/>
          <w:iCs/>
          <w:sz w:val="24"/>
        </w:rPr>
        <w:t>L</w:t>
      </w:r>
      <w:r>
        <w:rPr>
          <w:rFonts w:eastAsiaTheme="minorEastAsia"/>
          <w:sz w:val="24"/>
        </w:rPr>
        <w:t>×△</w:t>
      </w:r>
      <w:r>
        <w:rPr>
          <w:rFonts w:eastAsiaTheme="minorEastAsia"/>
          <w:i/>
          <w:iCs/>
          <w:sz w:val="24"/>
        </w:rPr>
        <w:t>T</w:t>
      </w:r>
      <w:r>
        <w:rPr>
          <w:rFonts w:eastAsiaTheme="minorEastAsia"/>
          <w:sz w:val="24"/>
        </w:rPr>
        <w:t>×</w:t>
      </w:r>
      <w:r>
        <w:rPr>
          <w:rFonts w:eastAsiaTheme="minorEastAsia"/>
          <w:i/>
          <w:iCs/>
          <w:sz w:val="24"/>
        </w:rPr>
        <w:t>α</w:t>
      </w:r>
      <w:r>
        <w:rPr>
          <w:rFonts w:eastAsiaTheme="minorEastAsia"/>
          <w:sz w:val="24"/>
          <w:vertAlign w:val="subscript"/>
        </w:rPr>
        <w:t>试块</w:t>
      </w:r>
      <w:r>
        <w:rPr>
          <w:rFonts w:eastAsiaTheme="minorEastAsia"/>
          <w:sz w:val="24"/>
        </w:rPr>
        <w:t>-</w:t>
      </w:r>
      <w:r>
        <w:rPr>
          <w:rFonts w:eastAsiaTheme="minorEastAsia"/>
          <w:i/>
          <w:iCs/>
          <w:sz w:val="24"/>
        </w:rPr>
        <w:t>L</w:t>
      </w:r>
      <w:r>
        <w:rPr>
          <w:rFonts w:eastAsiaTheme="minorEastAsia"/>
          <w:sz w:val="24"/>
        </w:rPr>
        <w:t>×△</w:t>
      </w:r>
      <w:r>
        <w:rPr>
          <w:rFonts w:eastAsiaTheme="minorEastAsia"/>
          <w:i/>
          <w:iCs/>
          <w:sz w:val="24"/>
        </w:rPr>
        <w:t>T</w:t>
      </w:r>
      <w:r>
        <w:rPr>
          <w:rFonts w:eastAsiaTheme="minorEastAsia"/>
          <w:sz w:val="24"/>
        </w:rPr>
        <w:t>×</w:t>
      </w:r>
      <w:r>
        <w:rPr>
          <w:rFonts w:eastAsiaTheme="minorEastAsia"/>
          <w:i/>
          <w:iCs/>
          <w:sz w:val="24"/>
        </w:rPr>
        <w:t>α</w:t>
      </w:r>
      <w:r>
        <w:rPr>
          <w:rFonts w:eastAsiaTheme="minorEastAsia"/>
          <w:sz w:val="24"/>
          <w:vertAlign w:val="subscript"/>
        </w:rPr>
        <w:t>机</w:t>
      </w:r>
      <w:r>
        <w:rPr>
          <w:rFonts w:eastAsiaTheme="minorEastAsia"/>
          <w:sz w:val="24"/>
        </w:rPr>
        <w:t>=</w:t>
      </w:r>
      <w:r>
        <w:rPr>
          <w:rFonts w:eastAsiaTheme="minorEastAsia"/>
          <w:i/>
          <w:iCs/>
          <w:sz w:val="24"/>
        </w:rPr>
        <w:t>L</w:t>
      </w:r>
      <w:r>
        <w:rPr>
          <w:rFonts w:eastAsiaTheme="minorEastAsia"/>
          <w:sz w:val="24"/>
        </w:rPr>
        <w:t>×△</w:t>
      </w:r>
      <w:r>
        <w:rPr>
          <w:rFonts w:eastAsiaTheme="minorEastAsia"/>
          <w:i/>
          <w:iCs/>
          <w:sz w:val="24"/>
        </w:rPr>
        <w:t>T</w:t>
      </w:r>
      <w:r>
        <w:rPr>
          <w:rFonts w:eastAsiaTheme="minorEastAsia"/>
          <w:sz w:val="24"/>
        </w:rPr>
        <w:t>×（</w:t>
      </w:r>
      <w:r>
        <w:rPr>
          <w:rFonts w:eastAsiaTheme="minorEastAsia"/>
          <w:i/>
          <w:iCs/>
          <w:sz w:val="24"/>
        </w:rPr>
        <w:t>α</w:t>
      </w:r>
      <w:r>
        <w:rPr>
          <w:rFonts w:eastAsiaTheme="minorEastAsia"/>
          <w:sz w:val="24"/>
          <w:vertAlign w:val="subscript"/>
        </w:rPr>
        <w:t>试块</w:t>
      </w:r>
      <w:r>
        <w:rPr>
          <w:rFonts w:eastAsiaTheme="minorEastAsia"/>
          <w:sz w:val="24"/>
        </w:rPr>
        <w:t>-</w:t>
      </w:r>
      <w:r>
        <w:rPr>
          <w:rFonts w:eastAsiaTheme="minorEastAsia"/>
          <w:i/>
          <w:iCs/>
          <w:sz w:val="24"/>
        </w:rPr>
        <w:t>α</w:t>
      </w:r>
      <w:r>
        <w:rPr>
          <w:rFonts w:eastAsiaTheme="minorEastAsia"/>
          <w:sz w:val="24"/>
          <w:vertAlign w:val="subscript"/>
        </w:rPr>
        <w:t>机</w:t>
      </w:r>
      <w:r>
        <w:rPr>
          <w:rFonts w:eastAsiaTheme="minorEastAsia"/>
          <w:sz w:val="24"/>
        </w:rPr>
        <w:t>）=±8.2μm</w:t>
      </w:r>
    </w:p>
    <w:p>
      <w:pPr>
        <w:spacing w:line="360" w:lineRule="auto"/>
        <w:ind w:firstLine="480" w:firstLineChars="200"/>
        <w:jc w:val="left"/>
        <w:outlineLvl w:val="0"/>
        <w:rPr>
          <w:rFonts w:eastAsiaTheme="minorEastAsia"/>
          <w:sz w:val="24"/>
        </w:rPr>
      </w:pPr>
      <w:r>
        <w:rPr>
          <w:rFonts w:eastAsiaTheme="minorEastAsia"/>
          <w:sz w:val="24"/>
        </w:rPr>
        <w:t>则由温度引入的测量不确定度分量为：</w:t>
      </w:r>
    </w:p>
    <w:p>
      <w:pPr>
        <w:spacing w:line="360" w:lineRule="auto"/>
        <w:jc w:val="center"/>
        <w:outlineLvl w:val="0"/>
        <w:rPr>
          <w:rFonts w:eastAsiaTheme="minorEastAsia"/>
          <w:sz w:val="24"/>
        </w:rPr>
      </w:pPr>
      <w:r>
        <w:rPr>
          <w:rFonts w:eastAsiaTheme="minorEastAsia"/>
          <w:i/>
          <w:iCs/>
          <w:sz w:val="24"/>
        </w:rPr>
        <w:t>u</w:t>
      </w:r>
      <w:r>
        <w:rPr>
          <w:rFonts w:eastAsiaTheme="minorEastAsia"/>
          <w:sz w:val="24"/>
          <w:vertAlign w:val="subscript"/>
        </w:rPr>
        <w:t>4</w:t>
      </w:r>
      <w:r>
        <w:rPr>
          <w:rFonts w:eastAsiaTheme="minorEastAsia"/>
          <w:sz w:val="24"/>
        </w:rPr>
        <w:t>=</w:t>
      </w:r>
      <w:r>
        <w:rPr>
          <w:rFonts w:eastAsiaTheme="minorEastAsia"/>
          <w:i/>
          <w:iCs/>
          <w:sz w:val="24"/>
        </w:rPr>
        <w:t>e</w:t>
      </w:r>
      <w:r>
        <w:rPr>
          <w:rFonts w:eastAsiaTheme="minorEastAsia"/>
          <w:sz w:val="24"/>
          <w:vertAlign w:val="subscript"/>
        </w:rPr>
        <w:t>温度</w:t>
      </w:r>
      <w:r>
        <w:rPr>
          <w:rFonts w:eastAsiaTheme="minorEastAsia"/>
          <w:sz w:val="24"/>
        </w:rPr>
        <w:t>/</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6</m:t>
            </m:r>
            <m:ctrlPr>
              <w:rPr>
                <w:rFonts w:ascii="Cambria Math" w:hAnsi="Cambria Math"/>
                <w:i/>
                <w:sz w:val="24"/>
              </w:rPr>
            </m:ctrlPr>
          </m:e>
        </m:rad>
      </m:oMath>
      <w:r>
        <w:rPr>
          <w:rFonts w:eastAsiaTheme="minorEastAsia"/>
          <w:sz w:val="24"/>
        </w:rPr>
        <w:t>=3.4μm</w:t>
      </w:r>
    </w:p>
    <w:p>
      <w:pPr>
        <w:spacing w:line="360" w:lineRule="auto"/>
        <w:outlineLvl w:val="0"/>
        <w:rPr>
          <w:rFonts w:eastAsiaTheme="minorEastAsia"/>
          <w:sz w:val="24"/>
          <w:vertAlign w:val="subscript"/>
        </w:rPr>
      </w:pPr>
      <w:r>
        <w:rPr>
          <w:rFonts w:eastAsiaTheme="minorEastAsia"/>
          <w:sz w:val="24"/>
        </w:rPr>
        <w:t>C. 5.5由试块形状误差引入的标准不确定度分量</w:t>
      </w:r>
      <w:r>
        <w:rPr>
          <w:rFonts w:eastAsiaTheme="minorEastAsia"/>
          <w:i/>
          <w:iCs/>
          <w:sz w:val="24"/>
        </w:rPr>
        <w:t>u</w:t>
      </w:r>
      <w:r>
        <w:rPr>
          <w:rFonts w:eastAsiaTheme="minorEastAsia"/>
          <w:sz w:val="24"/>
          <w:vertAlign w:val="subscript"/>
        </w:rPr>
        <w:t>5</w:t>
      </w:r>
    </w:p>
    <w:p>
      <w:pPr>
        <w:spacing w:line="360" w:lineRule="auto"/>
        <w:ind w:firstLine="480" w:firstLineChars="200"/>
        <w:outlineLvl w:val="0"/>
        <w:rPr>
          <w:sz w:val="24"/>
        </w:rPr>
      </w:pPr>
      <w:r>
        <w:rPr>
          <w:rFonts w:eastAsiaTheme="minorEastAsia"/>
          <w:sz w:val="24"/>
        </w:rPr>
        <w:t>相控阵超声检测标准试块形状误差对测量结果产生影响的主要因素是平面度误差，机加工的试块平面度不大于20μm，半宽为10μm，符合均匀分布，</w:t>
      </w:r>
      <w:r>
        <w:rPr>
          <w:rFonts w:eastAsiaTheme="minorEastAsia"/>
          <w:i/>
          <w:iCs/>
          <w:sz w:val="24"/>
        </w:rPr>
        <w:t>k</w:t>
      </w:r>
      <w:r>
        <w:rPr>
          <w:rFonts w:eastAsiaTheme="minorEastAsia"/>
          <w:sz w:val="24"/>
        </w:rPr>
        <w:t>=</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oMath>
      <w:r>
        <w:rPr>
          <w:sz w:val="24"/>
        </w:rPr>
        <w:t>，则：</w:t>
      </w:r>
    </w:p>
    <w:p>
      <w:pPr>
        <w:spacing w:line="360" w:lineRule="auto"/>
        <w:jc w:val="center"/>
        <w:outlineLvl w:val="0"/>
        <w:rPr>
          <w:sz w:val="24"/>
        </w:rPr>
      </w:pPr>
      <w:r>
        <w:rPr>
          <w:rFonts w:eastAsiaTheme="minorEastAsia"/>
          <w:i/>
          <w:iCs/>
          <w:sz w:val="24"/>
        </w:rPr>
        <w:t>u</w:t>
      </w:r>
      <w:r>
        <w:rPr>
          <w:rFonts w:eastAsiaTheme="minorEastAsia"/>
          <w:sz w:val="24"/>
          <w:vertAlign w:val="subscript"/>
        </w:rPr>
        <w:t>5</w:t>
      </w:r>
      <w:r>
        <w:rPr>
          <w:rFonts w:eastAsiaTheme="minorEastAsia"/>
          <w:sz w:val="24"/>
        </w:rPr>
        <w:t>=10μm/</w:t>
      </w:r>
      <m:oMath>
        <m:rad>
          <m:radPr>
            <m:degHide m:val="1"/>
            <m:ctrlPr>
              <w:rPr>
                <w:rFonts w:ascii="Cambria Math" w:hAnsi="Cambria Math"/>
                <w:i/>
                <w:sz w:val="24"/>
              </w:rPr>
            </m:ctrlPr>
          </m:radPr>
          <m:deg>
            <m:ctrlPr>
              <w:rPr>
                <w:rFonts w:ascii="Cambria Math" w:hAnsi="Cambria Math"/>
                <w:i/>
                <w:sz w:val="24"/>
              </w:rPr>
            </m:ctrlPr>
          </m:deg>
          <m:e>
            <m:r>
              <m:rPr/>
              <w:rPr>
                <w:rFonts w:ascii="Cambria Math" w:hAnsi="Cambria Math"/>
                <w:sz w:val="24"/>
              </w:rPr>
              <m:t>3</m:t>
            </m:r>
            <m:ctrlPr>
              <w:rPr>
                <w:rFonts w:ascii="Cambria Math" w:hAnsi="Cambria Math"/>
                <w:i/>
                <w:sz w:val="24"/>
              </w:rPr>
            </m:ctrlPr>
          </m:e>
        </m:rad>
      </m:oMath>
      <w:r>
        <w:rPr>
          <w:sz w:val="24"/>
        </w:rPr>
        <w:t>=5.8μm</w:t>
      </w:r>
    </w:p>
    <w:p>
      <w:pPr>
        <w:spacing w:line="360" w:lineRule="auto"/>
        <w:outlineLvl w:val="0"/>
        <w:rPr>
          <w:rFonts w:eastAsiaTheme="minorEastAsia"/>
          <w:sz w:val="24"/>
        </w:rPr>
      </w:pPr>
      <w:r>
        <w:rPr>
          <w:rFonts w:eastAsiaTheme="minorEastAsia"/>
          <w:sz w:val="24"/>
        </w:rPr>
        <w:t>C.6 合成标准不确定度</w:t>
      </w:r>
    </w:p>
    <w:p>
      <w:pPr>
        <w:spacing w:line="360" w:lineRule="auto"/>
        <w:ind w:firstLine="480" w:firstLineChars="200"/>
        <w:outlineLvl w:val="0"/>
        <w:rPr>
          <w:rFonts w:eastAsiaTheme="minorEastAsia"/>
          <w:sz w:val="24"/>
        </w:rPr>
      </w:pPr>
      <w:r>
        <w:rPr>
          <w:rFonts w:eastAsiaTheme="minorEastAsia"/>
          <w:sz w:val="24"/>
        </w:rPr>
        <w:t>由于参与计算的各项标准不确定度分量之间不相关，则合成标准不确定度为：</w:t>
      </w:r>
    </w:p>
    <w:p>
      <w:pPr>
        <w:spacing w:line="360" w:lineRule="auto"/>
        <w:ind w:firstLine="480" w:firstLineChars="200"/>
        <w:jc w:val="center"/>
        <w:outlineLvl w:val="0"/>
        <w:rPr>
          <w:sz w:val="24"/>
        </w:rPr>
      </w:pPr>
      <w:r>
        <w:rPr>
          <w:rFonts w:eastAsiaTheme="minorEastAsia"/>
          <w:i/>
          <w:iCs/>
          <w:sz w:val="24"/>
        </w:rPr>
        <w:t>u</w:t>
      </w:r>
      <w:r>
        <w:rPr>
          <w:rFonts w:eastAsiaTheme="minorEastAsia"/>
          <w:sz w:val="24"/>
          <w:vertAlign w:val="subscript"/>
        </w:rPr>
        <w:t>c</w:t>
      </w:r>
      <w:r>
        <w:rPr>
          <w:rFonts w:eastAsiaTheme="minorEastAsia"/>
          <w:sz w:val="24"/>
        </w:rPr>
        <w:t>=</w:t>
      </w:r>
      <m:oMath>
        <m:rad>
          <m:radPr>
            <m:degHide m:val="1"/>
            <m:ctrlPr>
              <w:rPr>
                <w:rFonts w:ascii="Cambria Math" w:hAnsi="Cambria Math"/>
                <w:i/>
                <w:sz w:val="24"/>
              </w:rPr>
            </m:ctrlPr>
          </m:radPr>
          <m:deg>
            <m:ctrlPr>
              <w:rPr>
                <w:rFonts w:ascii="Cambria Math" w:hAnsi="Cambria Math"/>
                <w:i/>
                <w:sz w:val="24"/>
              </w:rPr>
            </m:ctrlPr>
          </m:deg>
          <m:e>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r>
              <m:rPr/>
              <w:rPr>
                <w:rFonts w:ascii="Cambria Math" w:hAnsi="Cambria Math"/>
                <w:sz w:val="24"/>
              </w:rPr>
              <m:t>+</m:t>
            </m:r>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r>
              <m:rPr/>
              <w:rPr>
                <w:rFonts w:ascii="Cambria Math" w:hAnsi="Cambria Math"/>
                <w:sz w:val="24"/>
              </w:rPr>
              <m:t>+</m:t>
            </m:r>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3</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r>
              <m:rPr/>
              <w:rPr>
                <w:rFonts w:ascii="Cambria Math" w:hAnsi="Cambria Math"/>
                <w:sz w:val="24"/>
              </w:rPr>
              <m:t>+</m:t>
            </m:r>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4</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r>
              <m:rPr/>
              <w:rPr>
                <w:rFonts w:ascii="Cambria Math" w:hAnsi="Cambria Math"/>
                <w:sz w:val="24"/>
              </w:rPr>
              <m:t>+</m:t>
            </m:r>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5</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ctrlPr>
              <w:rPr>
                <w:rFonts w:ascii="Cambria Math" w:hAnsi="Cambria Math"/>
                <w:i/>
                <w:sz w:val="24"/>
              </w:rPr>
            </m:ctrlPr>
          </m:e>
        </m:rad>
        <m:r>
          <m:rPr/>
          <w:rPr>
            <w:rFonts w:ascii="Cambria Math" w:hAnsi="Cambria Math"/>
            <w:sz w:val="24"/>
          </w:rPr>
          <m:t>=</m:t>
        </m:r>
        <m:rad>
          <m:radPr>
            <m:degHide m:val="1"/>
            <m:ctrlPr>
              <w:rPr>
                <w:rFonts w:ascii="Cambria Math" w:hAnsi="Cambria Math"/>
                <w:i/>
                <w:sz w:val="24"/>
              </w:rPr>
            </m:ctrlPr>
          </m:radPr>
          <m:deg>
            <m:ctrlPr>
              <w:rPr>
                <w:rFonts w:ascii="Cambria Math" w:hAnsi="Cambria Math"/>
                <w:i/>
                <w:sz w:val="24"/>
              </w:rPr>
            </m:ctrlPr>
          </m:deg>
          <m:e>
            <m:sSup>
              <m:sSupPr>
                <m:ctrlPr>
                  <w:rPr>
                    <w:rFonts w:ascii="Cambria Math" w:hAnsi="Cambria Math"/>
                    <w:i/>
                    <w:sz w:val="24"/>
                  </w:rPr>
                </m:ctrlPr>
              </m:sSupPr>
              <m:e>
                <m:r>
                  <m:rPr/>
                  <w:rPr>
                    <w:rFonts w:ascii="Cambria Math" w:hAnsi="Cambria Math"/>
                    <w:sz w:val="24"/>
                  </w:rPr>
                  <m:t>1.7</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r>
              <m:rPr/>
              <w:rPr>
                <w:rFonts w:ascii="Cambria Math" w:hAnsi="Cambria Math"/>
                <w:sz w:val="24"/>
              </w:rPr>
              <m:t>+</m:t>
            </m:r>
            <m:sSup>
              <m:sSupPr>
                <m:ctrlPr>
                  <w:rPr>
                    <w:rFonts w:ascii="Cambria Math" w:hAnsi="Cambria Math"/>
                    <w:i/>
                    <w:sz w:val="24"/>
                  </w:rPr>
                </m:ctrlPr>
              </m:sSupPr>
              <m:e>
                <m:r>
                  <m:rPr/>
                  <w:rPr>
                    <w:rFonts w:ascii="Cambria Math" w:hAnsi="Cambria Math"/>
                    <w:sz w:val="24"/>
                  </w:rPr>
                  <m:t>0.9</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r>
              <m:rPr/>
              <w:rPr>
                <w:rFonts w:ascii="Cambria Math" w:hAnsi="Cambria Math"/>
                <w:sz w:val="24"/>
              </w:rPr>
              <m:t>+</m:t>
            </m:r>
            <m:sSup>
              <m:sSupPr>
                <m:ctrlPr>
                  <w:rPr>
                    <w:rFonts w:ascii="Cambria Math" w:hAnsi="Cambria Math"/>
                    <w:i/>
                    <w:sz w:val="24"/>
                  </w:rPr>
                </m:ctrlPr>
              </m:sSupPr>
              <m:e>
                <m:r>
                  <m:rPr/>
                  <w:rPr>
                    <w:rFonts w:ascii="Cambria Math" w:hAnsi="Cambria Math"/>
                    <w:sz w:val="24"/>
                  </w:rPr>
                  <m:t>0.6</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r>
              <m:rPr/>
              <w:rPr>
                <w:rFonts w:ascii="Cambria Math" w:hAnsi="Cambria Math"/>
                <w:sz w:val="24"/>
              </w:rPr>
              <m:t>+</m:t>
            </m:r>
            <m:sSup>
              <m:sSupPr>
                <m:ctrlPr>
                  <w:rPr>
                    <w:rFonts w:ascii="Cambria Math" w:hAnsi="Cambria Math"/>
                    <w:i/>
                    <w:sz w:val="24"/>
                  </w:rPr>
                </m:ctrlPr>
              </m:sSupPr>
              <m:e>
                <m:r>
                  <m:rPr/>
                  <w:rPr>
                    <w:rFonts w:ascii="Cambria Math" w:hAnsi="Cambria Math"/>
                    <w:sz w:val="24"/>
                  </w:rPr>
                  <m:t>3.4</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r>
              <m:rPr/>
              <w:rPr>
                <w:rFonts w:ascii="Cambria Math" w:hAnsi="Cambria Math"/>
                <w:sz w:val="24"/>
              </w:rPr>
              <m:t>+</m:t>
            </m:r>
            <m:sSup>
              <m:sSupPr>
                <m:ctrlPr>
                  <w:rPr>
                    <w:rFonts w:ascii="Cambria Math" w:hAnsi="Cambria Math"/>
                    <w:i/>
                    <w:sz w:val="24"/>
                  </w:rPr>
                </m:ctrlPr>
              </m:sSupPr>
              <m:e>
                <m:r>
                  <m:rPr/>
                  <w:rPr>
                    <w:rFonts w:ascii="Cambria Math" w:hAnsi="Cambria Math"/>
                    <w:sz w:val="24"/>
                  </w:rPr>
                  <m:t>5.8</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ctrlPr>
              <w:rPr>
                <w:rFonts w:ascii="Cambria Math" w:hAnsi="Cambria Math"/>
                <w:i/>
                <w:sz w:val="24"/>
              </w:rPr>
            </m:ctrlPr>
          </m:e>
        </m:rad>
        <m:r>
          <m:rPr>
            <m:sty m:val="p"/>
          </m:rPr>
          <w:rPr>
            <w:rFonts w:ascii="Cambria Math" w:hAnsi="Cambria Math"/>
            <w:sz w:val="24"/>
          </w:rPr>
          <m:t>μm</m:t>
        </m:r>
      </m:oMath>
      <w:r>
        <w:rPr>
          <w:iCs/>
          <w:sz w:val="24"/>
        </w:rPr>
        <w:t>=7.0μm</w:t>
      </w:r>
    </w:p>
    <w:p>
      <w:pPr>
        <w:spacing w:line="360" w:lineRule="auto"/>
        <w:outlineLvl w:val="0"/>
        <w:rPr>
          <w:rFonts w:eastAsiaTheme="minorEastAsia"/>
          <w:sz w:val="24"/>
        </w:rPr>
      </w:pPr>
      <w:r>
        <w:rPr>
          <w:rFonts w:eastAsiaTheme="minorEastAsia"/>
          <w:sz w:val="24"/>
        </w:rPr>
        <w:t>C.7 扩展不确定度计算</w:t>
      </w:r>
    </w:p>
    <w:p>
      <w:pPr>
        <w:spacing w:line="360" w:lineRule="auto"/>
        <w:ind w:firstLine="480" w:firstLineChars="200"/>
        <w:outlineLvl w:val="0"/>
        <w:rPr>
          <w:rFonts w:eastAsiaTheme="minorEastAsia"/>
          <w:sz w:val="24"/>
        </w:rPr>
      </w:pPr>
      <w:r>
        <w:rPr>
          <w:rFonts w:eastAsiaTheme="minorEastAsia"/>
          <w:sz w:val="24"/>
        </w:rPr>
        <w:t>包含因子</w:t>
      </w:r>
      <w:r>
        <w:rPr>
          <w:rFonts w:eastAsiaTheme="minorEastAsia"/>
          <w:i/>
          <w:iCs/>
          <w:sz w:val="24"/>
        </w:rPr>
        <w:t>k</w:t>
      </w:r>
      <w:r>
        <w:rPr>
          <w:rFonts w:eastAsiaTheme="minorEastAsia"/>
          <w:sz w:val="24"/>
        </w:rPr>
        <w:t>=2，则扩展不确定度</w:t>
      </w:r>
      <w:r>
        <w:rPr>
          <w:rFonts w:eastAsiaTheme="minorEastAsia"/>
          <w:i/>
          <w:iCs/>
          <w:sz w:val="24"/>
        </w:rPr>
        <w:t>U</w:t>
      </w:r>
      <w:r>
        <w:rPr>
          <w:rFonts w:eastAsiaTheme="minorEastAsia"/>
          <w:sz w:val="24"/>
        </w:rPr>
        <w:t>：</w:t>
      </w:r>
    </w:p>
    <w:p>
      <w:pPr>
        <w:spacing w:line="360" w:lineRule="auto"/>
        <w:ind w:firstLine="480" w:firstLineChars="200"/>
        <w:jc w:val="center"/>
        <w:outlineLvl w:val="0"/>
        <w:rPr>
          <w:rFonts w:eastAsiaTheme="minorEastAsia"/>
          <w:sz w:val="24"/>
        </w:rPr>
      </w:pPr>
      <w:r>
        <w:rPr>
          <w:rFonts w:eastAsiaTheme="minorEastAsia"/>
          <w:i/>
          <w:iCs/>
          <w:sz w:val="24"/>
        </w:rPr>
        <w:t>U</w:t>
      </w:r>
      <w:r>
        <w:rPr>
          <w:rFonts w:eastAsiaTheme="minorEastAsia"/>
          <w:sz w:val="24"/>
        </w:rPr>
        <w:t>=</w:t>
      </w:r>
      <w:r>
        <w:rPr>
          <w:rFonts w:eastAsiaTheme="minorEastAsia"/>
          <w:i/>
          <w:iCs/>
          <w:sz w:val="24"/>
        </w:rPr>
        <w:t>ku</w:t>
      </w:r>
      <w:r>
        <w:rPr>
          <w:rFonts w:eastAsiaTheme="minorEastAsia"/>
          <w:sz w:val="24"/>
          <w:vertAlign w:val="subscript"/>
        </w:rPr>
        <w:t>c</w:t>
      </w:r>
      <w:r>
        <w:rPr>
          <w:rFonts w:eastAsiaTheme="minorEastAsia"/>
          <w:sz w:val="24"/>
        </w:rPr>
        <w:t>=2×7.0μm=14μm</w:t>
      </w:r>
    </w:p>
    <w:p>
      <w:pPr>
        <w:rPr>
          <w:rStyle w:val="33"/>
        </w:rPr>
      </w:pPr>
      <w:bookmarkStart w:id="118" w:name="_Toc20229"/>
    </w:p>
    <w:p>
      <w:pPr>
        <w:rPr>
          <w:rStyle w:val="33"/>
        </w:rPr>
      </w:pPr>
    </w:p>
    <w:p>
      <w:pPr>
        <w:rPr>
          <w:rStyle w:val="33"/>
        </w:rPr>
      </w:pPr>
      <w:r>
        <w:rPr>
          <w:rStyle w:val="33"/>
        </w:rPr>
        <w:t>附录D</w:t>
      </w:r>
    </w:p>
    <w:bookmarkEnd w:id="118"/>
    <w:p>
      <w:pPr>
        <w:jc w:val="center"/>
        <w:rPr>
          <w:rFonts w:eastAsia="黑体"/>
          <w:sz w:val="28"/>
          <w:szCs w:val="28"/>
        </w:rPr>
      </w:pPr>
      <w:r>
        <w:rPr>
          <w:rFonts w:eastAsia="黑体"/>
          <w:sz w:val="28"/>
          <w:szCs w:val="28"/>
        </w:rPr>
        <w:t>常见金属材料声速参考值</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1367"/>
        <w:gridCol w:w="1367"/>
        <w:gridCol w:w="1367"/>
        <w:gridCol w:w="1367"/>
        <w:gridCol w:w="136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jc w:val="center"/>
              <w:rPr>
                <w:sz w:val="24"/>
              </w:rPr>
            </w:pPr>
            <w:r>
              <w:rPr>
                <w:sz w:val="24"/>
              </w:rPr>
              <w:t>金属材料</w:t>
            </w:r>
          </w:p>
        </w:tc>
        <w:tc>
          <w:tcPr>
            <w:tcW w:w="1367" w:type="dxa"/>
          </w:tcPr>
          <w:p>
            <w:pPr>
              <w:jc w:val="center"/>
              <w:rPr>
                <w:sz w:val="24"/>
              </w:rPr>
            </w:pPr>
            <w:r>
              <w:rPr>
                <w:sz w:val="24"/>
              </w:rPr>
              <w:t>钢</w:t>
            </w:r>
          </w:p>
        </w:tc>
        <w:tc>
          <w:tcPr>
            <w:tcW w:w="1367" w:type="dxa"/>
          </w:tcPr>
          <w:p>
            <w:pPr>
              <w:jc w:val="center"/>
              <w:rPr>
                <w:sz w:val="24"/>
              </w:rPr>
            </w:pPr>
            <w:r>
              <w:rPr>
                <w:sz w:val="24"/>
              </w:rPr>
              <w:t>铜</w:t>
            </w:r>
          </w:p>
        </w:tc>
        <w:tc>
          <w:tcPr>
            <w:tcW w:w="1367" w:type="dxa"/>
          </w:tcPr>
          <w:p>
            <w:pPr>
              <w:jc w:val="center"/>
              <w:rPr>
                <w:sz w:val="24"/>
              </w:rPr>
            </w:pPr>
            <w:r>
              <w:rPr>
                <w:sz w:val="24"/>
              </w:rPr>
              <w:t>铝</w:t>
            </w:r>
          </w:p>
        </w:tc>
        <w:tc>
          <w:tcPr>
            <w:tcW w:w="1367" w:type="dxa"/>
          </w:tcPr>
          <w:p>
            <w:pPr>
              <w:jc w:val="center"/>
              <w:rPr>
                <w:sz w:val="24"/>
              </w:rPr>
            </w:pPr>
            <w:r>
              <w:rPr>
                <w:sz w:val="24"/>
              </w:rPr>
              <w:t>镁</w:t>
            </w:r>
          </w:p>
        </w:tc>
        <w:tc>
          <w:tcPr>
            <w:tcW w:w="1368" w:type="dxa"/>
          </w:tcPr>
          <w:p>
            <w:pPr>
              <w:jc w:val="center"/>
              <w:rPr>
                <w:sz w:val="24"/>
              </w:rPr>
            </w:pPr>
            <w:r>
              <w:rPr>
                <w:sz w:val="24"/>
              </w:rPr>
              <w:t>钛</w:t>
            </w:r>
          </w:p>
        </w:tc>
        <w:tc>
          <w:tcPr>
            <w:tcW w:w="1368" w:type="dxa"/>
          </w:tcPr>
          <w:p>
            <w:pPr>
              <w:jc w:val="center"/>
              <w:rPr>
                <w:sz w:val="24"/>
              </w:rPr>
            </w:pPr>
            <w:r>
              <w:rPr>
                <w:sz w:val="24"/>
              </w:rPr>
              <w:t>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jc w:val="center"/>
              <w:rPr>
                <w:sz w:val="24"/>
              </w:rPr>
            </w:pPr>
            <w:r>
              <w:rPr>
                <w:sz w:val="24"/>
              </w:rPr>
              <w:t>纵波声速</w:t>
            </w:r>
          </w:p>
        </w:tc>
        <w:tc>
          <w:tcPr>
            <w:tcW w:w="1367" w:type="dxa"/>
          </w:tcPr>
          <w:p>
            <w:pPr>
              <w:jc w:val="center"/>
              <w:rPr>
                <w:sz w:val="24"/>
              </w:rPr>
            </w:pPr>
            <w:r>
              <w:rPr>
                <w:sz w:val="24"/>
              </w:rPr>
              <w:t>5920m/s</w:t>
            </w:r>
          </w:p>
        </w:tc>
        <w:tc>
          <w:tcPr>
            <w:tcW w:w="1367" w:type="dxa"/>
          </w:tcPr>
          <w:p>
            <w:pPr>
              <w:jc w:val="center"/>
              <w:rPr>
                <w:sz w:val="24"/>
              </w:rPr>
            </w:pPr>
            <w:r>
              <w:rPr>
                <w:sz w:val="24"/>
              </w:rPr>
              <w:t>4700m/s</w:t>
            </w:r>
          </w:p>
        </w:tc>
        <w:tc>
          <w:tcPr>
            <w:tcW w:w="1367" w:type="dxa"/>
          </w:tcPr>
          <w:p>
            <w:pPr>
              <w:jc w:val="center"/>
              <w:rPr>
                <w:sz w:val="24"/>
              </w:rPr>
            </w:pPr>
            <w:r>
              <w:rPr>
                <w:sz w:val="24"/>
              </w:rPr>
              <w:t>6300m/s</w:t>
            </w:r>
          </w:p>
        </w:tc>
        <w:tc>
          <w:tcPr>
            <w:tcW w:w="1367" w:type="dxa"/>
          </w:tcPr>
          <w:p>
            <w:pPr>
              <w:jc w:val="center"/>
              <w:rPr>
                <w:sz w:val="24"/>
              </w:rPr>
            </w:pPr>
            <w:r>
              <w:rPr>
                <w:sz w:val="24"/>
              </w:rPr>
              <w:t>5800m/s</w:t>
            </w:r>
          </w:p>
        </w:tc>
        <w:tc>
          <w:tcPr>
            <w:tcW w:w="1368" w:type="dxa"/>
          </w:tcPr>
          <w:p>
            <w:pPr>
              <w:jc w:val="center"/>
              <w:rPr>
                <w:sz w:val="24"/>
              </w:rPr>
            </w:pPr>
            <w:r>
              <w:rPr>
                <w:sz w:val="24"/>
              </w:rPr>
              <w:t>6100m/s</w:t>
            </w:r>
          </w:p>
        </w:tc>
        <w:tc>
          <w:tcPr>
            <w:tcW w:w="1368" w:type="dxa"/>
          </w:tcPr>
          <w:p>
            <w:pPr>
              <w:jc w:val="center"/>
              <w:rPr>
                <w:sz w:val="24"/>
              </w:rPr>
            </w:pPr>
            <w:r>
              <w:rPr>
                <w:sz w:val="24"/>
              </w:rPr>
              <w:t>5200m/s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jc w:val="center"/>
              <w:rPr>
                <w:sz w:val="24"/>
              </w:rPr>
            </w:pPr>
            <w:r>
              <w:rPr>
                <w:sz w:val="24"/>
              </w:rPr>
              <w:t>金属材料</w:t>
            </w:r>
          </w:p>
        </w:tc>
        <w:tc>
          <w:tcPr>
            <w:tcW w:w="1367" w:type="dxa"/>
          </w:tcPr>
          <w:p>
            <w:pPr>
              <w:jc w:val="center"/>
              <w:rPr>
                <w:sz w:val="24"/>
              </w:rPr>
            </w:pPr>
            <w:r>
              <w:rPr>
                <w:sz w:val="24"/>
              </w:rPr>
              <w:t>钼</w:t>
            </w:r>
          </w:p>
        </w:tc>
        <w:tc>
          <w:tcPr>
            <w:tcW w:w="1367" w:type="dxa"/>
          </w:tcPr>
          <w:p>
            <w:pPr>
              <w:jc w:val="center"/>
              <w:rPr>
                <w:sz w:val="24"/>
              </w:rPr>
            </w:pPr>
            <w:r>
              <w:rPr>
                <w:sz w:val="24"/>
              </w:rPr>
              <w:t>镍</w:t>
            </w:r>
          </w:p>
        </w:tc>
        <w:tc>
          <w:tcPr>
            <w:tcW w:w="1367" w:type="dxa"/>
          </w:tcPr>
          <w:p>
            <w:pPr>
              <w:jc w:val="center"/>
              <w:rPr>
                <w:sz w:val="24"/>
              </w:rPr>
            </w:pPr>
            <w:r>
              <w:rPr>
                <w:sz w:val="24"/>
              </w:rPr>
              <w:t>铁</w:t>
            </w:r>
          </w:p>
        </w:tc>
        <w:tc>
          <w:tcPr>
            <w:tcW w:w="1367" w:type="dxa"/>
          </w:tcPr>
          <w:p>
            <w:pPr>
              <w:jc w:val="center"/>
              <w:rPr>
                <w:sz w:val="24"/>
              </w:rPr>
            </w:pPr>
            <w:r>
              <w:rPr>
                <w:sz w:val="24"/>
              </w:rPr>
              <w:t>锆</w:t>
            </w:r>
          </w:p>
        </w:tc>
        <w:tc>
          <w:tcPr>
            <w:tcW w:w="1368" w:type="dxa"/>
          </w:tcPr>
          <w:p>
            <w:pPr>
              <w:jc w:val="center"/>
              <w:rPr>
                <w:sz w:val="24"/>
              </w:rPr>
            </w:pPr>
            <w:r>
              <w:rPr>
                <w:sz w:val="24"/>
              </w:rPr>
              <w:t>银</w:t>
            </w:r>
          </w:p>
        </w:tc>
        <w:tc>
          <w:tcPr>
            <w:tcW w:w="1368" w:type="dxa"/>
          </w:tcPr>
          <w:p>
            <w:pPr>
              <w:jc w:val="center"/>
              <w:rPr>
                <w:sz w:val="24"/>
              </w:rPr>
            </w:pPr>
            <w:r>
              <w:rPr>
                <w:sz w:val="24"/>
              </w:rPr>
              <w:t>黄铜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7" w:type="dxa"/>
          </w:tcPr>
          <w:p>
            <w:pPr>
              <w:jc w:val="center"/>
              <w:rPr>
                <w:sz w:val="24"/>
              </w:rPr>
            </w:pPr>
            <w:r>
              <w:rPr>
                <w:sz w:val="24"/>
              </w:rPr>
              <w:t>纵波声速</w:t>
            </w:r>
          </w:p>
        </w:tc>
        <w:tc>
          <w:tcPr>
            <w:tcW w:w="1367" w:type="dxa"/>
          </w:tcPr>
          <w:p>
            <w:pPr>
              <w:jc w:val="center"/>
              <w:rPr>
                <w:sz w:val="24"/>
              </w:rPr>
            </w:pPr>
            <w:r>
              <w:rPr>
                <w:sz w:val="24"/>
              </w:rPr>
              <w:t>6300m/s</w:t>
            </w:r>
          </w:p>
        </w:tc>
        <w:tc>
          <w:tcPr>
            <w:tcW w:w="1367" w:type="dxa"/>
          </w:tcPr>
          <w:p>
            <w:pPr>
              <w:jc w:val="center"/>
              <w:rPr>
                <w:sz w:val="24"/>
              </w:rPr>
            </w:pPr>
            <w:r>
              <w:rPr>
                <w:sz w:val="24"/>
              </w:rPr>
              <w:t>5639m/s</w:t>
            </w:r>
          </w:p>
        </w:tc>
        <w:tc>
          <w:tcPr>
            <w:tcW w:w="1367" w:type="dxa"/>
          </w:tcPr>
          <w:p>
            <w:pPr>
              <w:jc w:val="center"/>
              <w:rPr>
                <w:sz w:val="24"/>
              </w:rPr>
            </w:pPr>
            <w:r>
              <w:rPr>
                <w:sz w:val="24"/>
              </w:rPr>
              <w:t>5930m/s</w:t>
            </w:r>
          </w:p>
        </w:tc>
        <w:tc>
          <w:tcPr>
            <w:tcW w:w="1367" w:type="dxa"/>
          </w:tcPr>
          <w:p>
            <w:pPr>
              <w:jc w:val="center"/>
              <w:rPr>
                <w:sz w:val="24"/>
              </w:rPr>
            </w:pPr>
            <w:r>
              <w:rPr>
                <w:sz w:val="24"/>
              </w:rPr>
              <w:t>6000m/s</w:t>
            </w:r>
          </w:p>
        </w:tc>
        <w:tc>
          <w:tcPr>
            <w:tcW w:w="1368" w:type="dxa"/>
          </w:tcPr>
          <w:p>
            <w:pPr>
              <w:jc w:val="center"/>
              <w:rPr>
                <w:sz w:val="24"/>
              </w:rPr>
            </w:pPr>
            <w:r>
              <w:rPr>
                <w:sz w:val="24"/>
              </w:rPr>
              <w:t>3607m/s</w:t>
            </w:r>
          </w:p>
        </w:tc>
        <w:tc>
          <w:tcPr>
            <w:tcW w:w="1368" w:type="dxa"/>
          </w:tcPr>
          <w:p>
            <w:pPr>
              <w:jc w:val="center"/>
              <w:rPr>
                <w:sz w:val="24"/>
              </w:rPr>
            </w:pPr>
            <w:r>
              <w:rPr>
                <w:sz w:val="24"/>
              </w:rPr>
              <w:t>4399m/s</w:t>
            </w:r>
          </w:p>
        </w:tc>
      </w:tr>
    </w:tbl>
    <w:p>
      <w:pPr>
        <w:rPr>
          <w:rFonts w:eastAsia="黑体"/>
          <w:sz w:val="28"/>
          <w:szCs w:val="28"/>
          <w:u w:val="single"/>
        </w:rPr>
      </w:pP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p>
    <w:p>
      <w:pPr>
        <w:jc w:val="center"/>
        <w:rPr>
          <w:rFonts w:eastAsia="黑体"/>
          <w:sz w:val="28"/>
          <w:szCs w:val="28"/>
        </w:rPr>
      </w:pPr>
    </w:p>
    <w:p>
      <w:pPr>
        <w:spacing w:line="360" w:lineRule="auto"/>
        <w:outlineLvl w:val="0"/>
        <w:rPr>
          <w:rFonts w:eastAsiaTheme="minorEastAsia"/>
          <w:sz w:val="24"/>
        </w:rPr>
        <w:sectPr>
          <w:footerReference r:id="rId16" w:type="default"/>
          <w:footerReference r:id="rId17" w:type="even"/>
          <w:pgSz w:w="11907" w:h="16839"/>
          <w:pgMar w:top="1418" w:right="1134" w:bottom="1134" w:left="1418" w:header="1021" w:footer="737" w:gutter="0"/>
          <w:pgNumType w:start="1"/>
          <w:cols w:space="720" w:num="1"/>
          <w:docGrid w:type="lines" w:linePitch="312" w:charSpace="0"/>
        </w:sectPr>
      </w:pPr>
    </w:p>
    <w:p>
      <w:pPr>
        <w:spacing w:line="360" w:lineRule="auto"/>
        <w:outlineLvl w:val="0"/>
        <w:rPr>
          <w:rFonts w:eastAsiaTheme="minorEastAsia"/>
          <w:sz w:val="24"/>
        </w:rPr>
      </w:pPr>
    </w:p>
    <w:sectPr>
      <w:pgSz w:w="11907" w:h="16839"/>
      <w:pgMar w:top="1418" w:right="1134" w:bottom="1134" w:left="1418" w:header="1021" w:footer="73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0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0000000000000000000"/>
    <w:charset w:val="86"/>
    <w:family w:val="script"/>
    <w:pitch w:val="default"/>
    <w:sig w:usb0="00000000" w:usb1="00000000" w:usb2="00082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27"/>
      </w:rPr>
    </w:pPr>
    <w:r>
      <w:fldChar w:fldCharType="begin"/>
    </w:r>
    <w:r>
      <w:rPr>
        <w:rStyle w:val="27"/>
      </w:rPr>
      <w:instrText xml:space="preserve">PAGE  </w:instrText>
    </w:r>
    <w:r>
      <w:fldChar w:fldCharType="separate"/>
    </w:r>
    <w:r>
      <w:rPr>
        <w:rStyle w:val="27"/>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rPr>
        <w:rStyle w:val="27"/>
      </w:rPr>
    </w:pPr>
    <w:r>
      <w:fldChar w:fldCharType="begin"/>
    </w:r>
    <w:r>
      <w:rPr>
        <w:rStyle w:val="27"/>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rPr>
        <w:rStyle w:val="2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Pr>
    </w:pPr>
    <w:r>
      <w:fldChar w:fldCharType="begin"/>
    </w:r>
    <w:r>
      <w:rPr>
        <w:rStyle w:val="27"/>
      </w:rPr>
      <w:instrText xml:space="preserve">PAGE  </w:instrText>
    </w:r>
    <w:r>
      <w:fldChar w:fldCharType="separate"/>
    </w:r>
    <w:r>
      <w:rPr>
        <w:rStyle w:val="27"/>
      </w:rPr>
      <w:t>II</w:t>
    </w:r>
    <w:r>
      <w:fldChar w:fldCharType="end"/>
    </w:r>
  </w:p>
  <w:p>
    <w:pPr>
      <w:pStyle w:val="74"/>
      <w:ind w:right="360"/>
      <w:rPr>
        <w:rStyle w:val="2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36"/>
        <w:tab w:val="right" w:pos="9475"/>
      </w:tabs>
      <w:rPr>
        <w:rStyle w:val="27"/>
      </w:rPr>
    </w:pPr>
    <w: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27940</wp:posOffset>
              </wp:positionV>
              <wp:extent cx="76200" cy="131445"/>
              <wp:effectExtent l="0" t="0" r="4445" b="1905"/>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76200" cy="131445"/>
                      </a:xfrm>
                      <a:prstGeom prst="rect">
                        <a:avLst/>
                      </a:prstGeom>
                      <a:noFill/>
                      <a:ln>
                        <a:noFill/>
                      </a:ln>
                    </wps:spPr>
                    <wps:txbx>
                      <w:txbxContent>
                        <w:p>
                          <w:pPr>
                            <w:pStyle w:val="14"/>
                            <w:jc w:val="right"/>
                            <w:textAlignment w:val="bottom"/>
                            <w:rPr>
                              <w:rStyle w:val="27"/>
                            </w:rPr>
                          </w:pPr>
                          <w:r>
                            <w:fldChar w:fldCharType="begin"/>
                          </w:r>
                          <w:r>
                            <w:rPr>
                              <w:rStyle w:val="27"/>
                            </w:rPr>
                            <w:instrText xml:space="preserve">PAGE  </w:instrText>
                          </w:r>
                          <w:r>
                            <w:fldChar w:fldCharType="separate"/>
                          </w:r>
                          <w:r>
                            <w:rPr>
                              <w:rStyle w:val="27"/>
                            </w:rPr>
                            <w:t>II</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2.2pt;height:10.35pt;width:6pt;mso-position-horizontal:inside;mso-position-horizontal-relative:margin;mso-wrap-style:none;z-index:251662336;mso-width-relative:page;mso-height-relative:page;" filled="f" stroked="f" coordsize="21600,21600" o:gfxdata="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LOiJNAAAAAEAQAADwAAAAAAAAABACAAAAAiAAAAZHJzL2Rv&#10;d25yZXYueG1sUEsBAhQAFAAAAAgAh07iQGqdCNEJAgAAAwQAAA4AAAAAAAAAAQAgAAAAHwEAAGRy&#10;cy9lMm9Eb2MueG1sUEsFBgAAAAAGAAYAWQEAAJoFAAAAAA==&#10;">
              <v:fill on="f" focussize="0,0"/>
              <v:stroke on="f"/>
              <v:imagedata o:title=""/>
              <o:lock v:ext="edit" aspectratio="f"/>
              <v:textbox inset="0mm,0mm,0mm,0mm" style="mso-fit-shape-to-text:t;">
                <w:txbxContent>
                  <w:p>
                    <w:pPr>
                      <w:pStyle w:val="14"/>
                      <w:jc w:val="right"/>
                      <w:textAlignment w:val="bottom"/>
                      <w:rPr>
                        <w:rStyle w:val="27"/>
                      </w:rPr>
                    </w:pPr>
                    <w:r>
                      <w:fldChar w:fldCharType="begin"/>
                    </w:r>
                    <w:r>
                      <w:rPr>
                        <w:rStyle w:val="27"/>
                      </w:rPr>
                      <w:instrText xml:space="preserve">PAGE  </w:instrText>
                    </w:r>
                    <w:r>
                      <w:fldChar w:fldCharType="separate"/>
                    </w:r>
                    <w:r>
                      <w:rPr>
                        <w:rStyle w:val="27"/>
                      </w:rPr>
                      <w:t>II</w:t>
                    </w:r>
                    <w:r>
                      <w:fldChar w:fldCharType="end"/>
                    </w:r>
                  </w:p>
                </w:txbxContent>
              </v:textbox>
            </v:shape>
          </w:pict>
        </mc:Fallback>
      </mc:AlternateContent>
    </w:r>
    <w:r>
      <w:rPr>
        <w:rStyle w:val="27"/>
        <w:rFonts w:hint="eastAsia"/>
      </w:rPr>
      <w:tab/>
    </w:r>
    <w:r>
      <w:rPr>
        <w:rStyle w:val="27"/>
        <w:rFonts w:hint="eastAsia"/>
      </w:rPr>
      <w:tab/>
    </w:r>
    <w:r>
      <w:rPr>
        <w:rStyle w:val="27"/>
        <w:rFonts w:hint="eastAsia"/>
      </w:rPr>
      <w:tab/>
    </w:r>
    <w:r>
      <w:rPr>
        <w:rStyle w:val="27"/>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27"/>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1610" cy="224155"/>
              <wp:effectExtent l="0" t="0" r="254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81610" cy="224155"/>
                      </a:xfrm>
                      <a:prstGeom prst="rect">
                        <a:avLst/>
                      </a:prstGeom>
                      <a:noFill/>
                      <a:ln>
                        <a:noFill/>
                      </a:ln>
                    </wps:spPr>
                    <wps:txbx>
                      <w:txbxContent>
                        <w:p>
                          <w:pPr>
                            <w:pStyle w:val="72"/>
                          </w:pPr>
                          <w:r>
                            <w:rPr>
                              <w:rFonts w:hint="eastAsia" w:ascii="仿宋_GB2312" w:eastAsia="仿宋_GB2312"/>
                            </w:rPr>
                            <w:fldChar w:fldCharType="begin"/>
                          </w:r>
                          <w:r>
                            <w:rPr>
                              <w:rStyle w:val="27"/>
                              <w:rFonts w:hint="eastAsia" w:ascii="仿宋_GB2312" w:eastAsia="仿宋_GB2312"/>
                            </w:rPr>
                            <w:instrText xml:space="preserve">PAGE  </w:instrText>
                          </w:r>
                          <w:r>
                            <w:rPr>
                              <w:rFonts w:hint="eastAsia" w:ascii="仿宋_GB2312" w:eastAsia="仿宋_GB2312"/>
                            </w:rPr>
                            <w:fldChar w:fldCharType="separate"/>
                          </w:r>
                          <w:r>
                            <w:rPr>
                              <w:rStyle w:val="27"/>
                              <w:rFonts w:ascii="仿宋_GB2312" w:eastAsia="仿宋_GB2312"/>
                            </w:rPr>
                            <w:t>8</w:t>
                          </w:r>
                          <w:r>
                            <w:rPr>
                              <w:rFonts w:hint="eastAsia" w:ascii="仿宋_GB2312" w:eastAsia="仿宋_GB2312"/>
                            </w:rPr>
                            <w:fldChar w:fldCharType="end"/>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top:0pt;height:17.65pt;width:14.3pt;mso-position-horizontal:inside;mso-position-horizontal-relative:margin;z-index:251660288;mso-width-relative:page;mso-height-relative:page;" filled="f" stroked="f" coordsize="21600,21600" o:gfxdata="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&#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FR7S/SAAAAAwEAAA8AAAAAAAAAAQAgAAAAIgAAAGRy&#10;cy9kb3ducmV2LnhtbFBLAQIUABQAAAAIAIdO4kBJe3aQCwIAAAYEAAAOAAAAAAAAAAEAIAAAACEB&#10;AABkcnMvZTJvRG9jLnhtbFBLBQYAAAAABgAGAFkBAACeBQAAAAA=&#10;">
              <v:fill on="f" focussize="0,0"/>
              <v:stroke on="f"/>
              <v:imagedata o:title=""/>
              <o:lock v:ext="edit" aspectratio="f"/>
              <v:textbox inset="0mm,0mm,0mm,0mm" style="mso-fit-shape-to-text:t;">
                <w:txbxContent>
                  <w:p>
                    <w:pPr>
                      <w:pStyle w:val="72"/>
                    </w:pPr>
                    <w:r>
                      <w:rPr>
                        <w:rFonts w:hint="eastAsia" w:ascii="仿宋_GB2312" w:eastAsia="仿宋_GB2312"/>
                      </w:rPr>
                      <w:fldChar w:fldCharType="begin"/>
                    </w:r>
                    <w:r>
                      <w:rPr>
                        <w:rStyle w:val="27"/>
                        <w:rFonts w:hint="eastAsia" w:ascii="仿宋_GB2312" w:eastAsia="仿宋_GB2312"/>
                      </w:rPr>
                      <w:instrText xml:space="preserve">PAGE  </w:instrText>
                    </w:r>
                    <w:r>
                      <w:rPr>
                        <w:rFonts w:hint="eastAsia" w:ascii="仿宋_GB2312" w:eastAsia="仿宋_GB2312"/>
                      </w:rPr>
                      <w:fldChar w:fldCharType="separate"/>
                    </w:r>
                    <w:r>
                      <w:rPr>
                        <w:rStyle w:val="27"/>
                        <w:rFonts w:ascii="仿宋_GB2312" w:eastAsia="仿宋_GB2312"/>
                      </w:rPr>
                      <w:t>8</w:t>
                    </w:r>
                    <w:r>
                      <w:rPr>
                        <w:rFonts w:hint="eastAsia" w:ascii="仿宋_GB2312" w:eastAsia="仿宋_GB2312"/>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rPr>
        <w:rStyle w:val="27"/>
      </w:rPr>
    </w:pPr>
    <w:r>
      <w:fldChar w:fldCharType="begin"/>
    </w:r>
    <w:r>
      <w:rPr>
        <w:rStyle w:val="27"/>
      </w:rPr>
      <w:instrText xml:space="preserve">PAGE  </w:instrText>
    </w:r>
    <w:r>
      <w:fldChar w:fldCharType="separate"/>
    </w:r>
    <w:r>
      <w:rPr>
        <w:rStyle w:val="27"/>
      </w:rP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43600" cy="0"/>
              <wp:effectExtent l="14605" t="8890" r="13970" b="1016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59264;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IZ5fO3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center"/>
    </w:pPr>
    <w:r>
      <w:t>J</w:t>
    </w:r>
    <w:r>
      <w:rPr>
        <w:rFonts w:hint="eastAsia"/>
      </w:rPr>
      <w:t>JF</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center"/>
      <w:rPr>
        <w:b/>
        <w:bCs/>
        <w:sz w:val="24"/>
      </w:rPr>
    </w:pPr>
    <w:r>
      <w:rPr>
        <w:b/>
        <w:bCs/>
        <w:sz w:val="24"/>
      </w:rPr>
      <w:t>J</w:t>
    </w:r>
    <w:r>
      <w:rPr>
        <w:rFonts w:hint="eastAsia"/>
        <w:b/>
        <w:bCs/>
        <w:sz w:val="24"/>
      </w:rPr>
      <w:t>JFX</w:t>
    </w:r>
    <w:r>
      <w:rPr>
        <w:rFonts w:hint="eastAsia"/>
        <w:b/>
        <w:bCs/>
      </w:rPr>
      <w:t>（机械）</w:t>
    </w:r>
    <w:r>
      <w:rPr>
        <w:rFonts w:hint="eastAsia"/>
        <w:b/>
        <w:bCs/>
        <w:sz w:val="24"/>
      </w:rPr>
      <w:t>0001-2018</w:t>
    </w:r>
  </w:p>
  <w:p>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9525" t="10160" r="9525" b="889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BcEpnv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14605" t="12065" r="13970" b="698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CraGHX6AEA&#10;ALsDAAAOAAAAAAAAAAEAIAAAACABAABkcnMvZTJvRG9jLnhtbFBLBQYAAAAABgAGAFkBAAB6BQAA&#10;AAA=&#10;">
              <v:fill on="f" focussize="0,0"/>
              <v:stroke weight="1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601904"/>
    <w:multiLevelType w:val="multilevel"/>
    <w:tmpl w:val="49601904"/>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512"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suff w:val="nothing"/>
      <w:lvlText w:val="%1%2.%3.%4.%5　"/>
      <w:lvlJc w:val="left"/>
      <w:pPr>
        <w:ind w:left="0" w:firstLine="0"/>
      </w:pPr>
      <w:rPr>
        <w:rFonts w:hint="eastAsia" w:ascii="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iNTg2YzQ4NGM3YzRkNjI3ZjdmMDk5YjVlNDk5YWUifQ=="/>
  </w:docVars>
  <w:rsids>
    <w:rsidRoot w:val="00172A27"/>
    <w:rsid w:val="00005660"/>
    <w:rsid w:val="000064E0"/>
    <w:rsid w:val="000128EC"/>
    <w:rsid w:val="00020676"/>
    <w:rsid w:val="00024BA5"/>
    <w:rsid w:val="000264CC"/>
    <w:rsid w:val="00035177"/>
    <w:rsid w:val="0003690A"/>
    <w:rsid w:val="000422D4"/>
    <w:rsid w:val="00043D6B"/>
    <w:rsid w:val="00055F39"/>
    <w:rsid w:val="00055FDC"/>
    <w:rsid w:val="00060B7D"/>
    <w:rsid w:val="00066708"/>
    <w:rsid w:val="00067515"/>
    <w:rsid w:val="0007274E"/>
    <w:rsid w:val="000741AD"/>
    <w:rsid w:val="000760A8"/>
    <w:rsid w:val="000760C1"/>
    <w:rsid w:val="0008560A"/>
    <w:rsid w:val="00086071"/>
    <w:rsid w:val="00086B2C"/>
    <w:rsid w:val="00087499"/>
    <w:rsid w:val="00087EFC"/>
    <w:rsid w:val="00094526"/>
    <w:rsid w:val="00095044"/>
    <w:rsid w:val="000A146E"/>
    <w:rsid w:val="000A1F8C"/>
    <w:rsid w:val="000A4440"/>
    <w:rsid w:val="000A798B"/>
    <w:rsid w:val="000B4D11"/>
    <w:rsid w:val="000C30CE"/>
    <w:rsid w:val="000C70F2"/>
    <w:rsid w:val="000D00BD"/>
    <w:rsid w:val="000D4D7C"/>
    <w:rsid w:val="000E4D17"/>
    <w:rsid w:val="000E5E8E"/>
    <w:rsid w:val="000F4B7A"/>
    <w:rsid w:val="001004A7"/>
    <w:rsid w:val="00103908"/>
    <w:rsid w:val="00121A46"/>
    <w:rsid w:val="00122EA2"/>
    <w:rsid w:val="00125F0E"/>
    <w:rsid w:val="0012614A"/>
    <w:rsid w:val="00131566"/>
    <w:rsid w:val="00134E2A"/>
    <w:rsid w:val="00137428"/>
    <w:rsid w:val="0014112B"/>
    <w:rsid w:val="001446BC"/>
    <w:rsid w:val="001514BC"/>
    <w:rsid w:val="00161C2D"/>
    <w:rsid w:val="00162BB6"/>
    <w:rsid w:val="00172A27"/>
    <w:rsid w:val="001809C1"/>
    <w:rsid w:val="00183D86"/>
    <w:rsid w:val="00185F37"/>
    <w:rsid w:val="00190538"/>
    <w:rsid w:val="0019170F"/>
    <w:rsid w:val="00196858"/>
    <w:rsid w:val="001A3087"/>
    <w:rsid w:val="001B280A"/>
    <w:rsid w:val="001B47DD"/>
    <w:rsid w:val="001C1086"/>
    <w:rsid w:val="001C19DC"/>
    <w:rsid w:val="001C28D7"/>
    <w:rsid w:val="001C49EF"/>
    <w:rsid w:val="001C505F"/>
    <w:rsid w:val="001C5AC8"/>
    <w:rsid w:val="001D0E10"/>
    <w:rsid w:val="001D2312"/>
    <w:rsid w:val="001D2313"/>
    <w:rsid w:val="001E1376"/>
    <w:rsid w:val="001E1CED"/>
    <w:rsid w:val="001E601C"/>
    <w:rsid w:val="001E6493"/>
    <w:rsid w:val="001E7DBA"/>
    <w:rsid w:val="001F0FB6"/>
    <w:rsid w:val="001F16CC"/>
    <w:rsid w:val="001F17F7"/>
    <w:rsid w:val="00203C58"/>
    <w:rsid w:val="002053AA"/>
    <w:rsid w:val="00205784"/>
    <w:rsid w:val="00205982"/>
    <w:rsid w:val="00205CA6"/>
    <w:rsid w:val="00206C80"/>
    <w:rsid w:val="002113D1"/>
    <w:rsid w:val="00212E9B"/>
    <w:rsid w:val="0021608D"/>
    <w:rsid w:val="00216426"/>
    <w:rsid w:val="00222D47"/>
    <w:rsid w:val="002363C5"/>
    <w:rsid w:val="00244D37"/>
    <w:rsid w:val="00244F30"/>
    <w:rsid w:val="00245095"/>
    <w:rsid w:val="00260496"/>
    <w:rsid w:val="0026211C"/>
    <w:rsid w:val="002704D5"/>
    <w:rsid w:val="00270887"/>
    <w:rsid w:val="0027250E"/>
    <w:rsid w:val="00273581"/>
    <w:rsid w:val="002800D4"/>
    <w:rsid w:val="00282686"/>
    <w:rsid w:val="002836C6"/>
    <w:rsid w:val="002839E2"/>
    <w:rsid w:val="00286B8B"/>
    <w:rsid w:val="0028796A"/>
    <w:rsid w:val="002935C9"/>
    <w:rsid w:val="002A0268"/>
    <w:rsid w:val="002A1772"/>
    <w:rsid w:val="002A7411"/>
    <w:rsid w:val="002B335D"/>
    <w:rsid w:val="002B43E3"/>
    <w:rsid w:val="002B46BB"/>
    <w:rsid w:val="002C2757"/>
    <w:rsid w:val="002C27F8"/>
    <w:rsid w:val="002C5B1D"/>
    <w:rsid w:val="002D4BB1"/>
    <w:rsid w:val="002D664E"/>
    <w:rsid w:val="002D73C3"/>
    <w:rsid w:val="002E014D"/>
    <w:rsid w:val="002E64F6"/>
    <w:rsid w:val="002E6982"/>
    <w:rsid w:val="002F069E"/>
    <w:rsid w:val="002F1F47"/>
    <w:rsid w:val="002F36E4"/>
    <w:rsid w:val="00301B6B"/>
    <w:rsid w:val="00303E14"/>
    <w:rsid w:val="0030467B"/>
    <w:rsid w:val="00310AD9"/>
    <w:rsid w:val="00312E30"/>
    <w:rsid w:val="003148AD"/>
    <w:rsid w:val="003167A6"/>
    <w:rsid w:val="00317D22"/>
    <w:rsid w:val="00321A89"/>
    <w:rsid w:val="00322215"/>
    <w:rsid w:val="00322BC1"/>
    <w:rsid w:val="003242FA"/>
    <w:rsid w:val="00325571"/>
    <w:rsid w:val="00331646"/>
    <w:rsid w:val="00331F87"/>
    <w:rsid w:val="0034015F"/>
    <w:rsid w:val="00340C94"/>
    <w:rsid w:val="0034402C"/>
    <w:rsid w:val="00347C96"/>
    <w:rsid w:val="00347DDE"/>
    <w:rsid w:val="0035228E"/>
    <w:rsid w:val="00357398"/>
    <w:rsid w:val="0036425D"/>
    <w:rsid w:val="00364D26"/>
    <w:rsid w:val="003720CE"/>
    <w:rsid w:val="0037368A"/>
    <w:rsid w:val="00380C68"/>
    <w:rsid w:val="00383B71"/>
    <w:rsid w:val="00391912"/>
    <w:rsid w:val="00394E81"/>
    <w:rsid w:val="003A06DF"/>
    <w:rsid w:val="003A1D92"/>
    <w:rsid w:val="003A1FDE"/>
    <w:rsid w:val="003A2EE7"/>
    <w:rsid w:val="003B001E"/>
    <w:rsid w:val="003B25FB"/>
    <w:rsid w:val="003B2715"/>
    <w:rsid w:val="003B3D9C"/>
    <w:rsid w:val="003C0E22"/>
    <w:rsid w:val="003C2299"/>
    <w:rsid w:val="003C557D"/>
    <w:rsid w:val="003C5BCF"/>
    <w:rsid w:val="003C70B7"/>
    <w:rsid w:val="003C7A85"/>
    <w:rsid w:val="003D1181"/>
    <w:rsid w:val="003D397B"/>
    <w:rsid w:val="003D3EB7"/>
    <w:rsid w:val="003D6CEA"/>
    <w:rsid w:val="003E554F"/>
    <w:rsid w:val="003F2926"/>
    <w:rsid w:val="003F5B97"/>
    <w:rsid w:val="003F7260"/>
    <w:rsid w:val="0040495E"/>
    <w:rsid w:val="00405C57"/>
    <w:rsid w:val="004103B4"/>
    <w:rsid w:val="00413016"/>
    <w:rsid w:val="004169C0"/>
    <w:rsid w:val="00420BC8"/>
    <w:rsid w:val="0042483D"/>
    <w:rsid w:val="00425B43"/>
    <w:rsid w:val="00426B08"/>
    <w:rsid w:val="00432E3C"/>
    <w:rsid w:val="00433222"/>
    <w:rsid w:val="0043667A"/>
    <w:rsid w:val="00440E29"/>
    <w:rsid w:val="00445307"/>
    <w:rsid w:val="00445EB6"/>
    <w:rsid w:val="00446873"/>
    <w:rsid w:val="0044688F"/>
    <w:rsid w:val="00452343"/>
    <w:rsid w:val="004545AC"/>
    <w:rsid w:val="004557A2"/>
    <w:rsid w:val="00462C6C"/>
    <w:rsid w:val="00464D30"/>
    <w:rsid w:val="00474E38"/>
    <w:rsid w:val="00476079"/>
    <w:rsid w:val="00483BDC"/>
    <w:rsid w:val="00490F76"/>
    <w:rsid w:val="00491422"/>
    <w:rsid w:val="004915FE"/>
    <w:rsid w:val="004962CE"/>
    <w:rsid w:val="004A2B93"/>
    <w:rsid w:val="004A32BC"/>
    <w:rsid w:val="004A3F9C"/>
    <w:rsid w:val="004A42E9"/>
    <w:rsid w:val="004A72E2"/>
    <w:rsid w:val="004B14C2"/>
    <w:rsid w:val="004B35D2"/>
    <w:rsid w:val="004B4795"/>
    <w:rsid w:val="004D15DE"/>
    <w:rsid w:val="004D1BAF"/>
    <w:rsid w:val="004D366B"/>
    <w:rsid w:val="004D47EF"/>
    <w:rsid w:val="004E41E5"/>
    <w:rsid w:val="004E6320"/>
    <w:rsid w:val="004F1B52"/>
    <w:rsid w:val="004F3AD5"/>
    <w:rsid w:val="004F3E55"/>
    <w:rsid w:val="004F4975"/>
    <w:rsid w:val="004F7CB1"/>
    <w:rsid w:val="005029F8"/>
    <w:rsid w:val="00514EB4"/>
    <w:rsid w:val="0051687B"/>
    <w:rsid w:val="00521965"/>
    <w:rsid w:val="005247DA"/>
    <w:rsid w:val="00534EA4"/>
    <w:rsid w:val="005358D1"/>
    <w:rsid w:val="0053627F"/>
    <w:rsid w:val="00552494"/>
    <w:rsid w:val="005607E6"/>
    <w:rsid w:val="00562EE5"/>
    <w:rsid w:val="00565788"/>
    <w:rsid w:val="0056668C"/>
    <w:rsid w:val="00571685"/>
    <w:rsid w:val="00574C16"/>
    <w:rsid w:val="00575505"/>
    <w:rsid w:val="00581200"/>
    <w:rsid w:val="00581708"/>
    <w:rsid w:val="0058269B"/>
    <w:rsid w:val="0059375D"/>
    <w:rsid w:val="00595FFA"/>
    <w:rsid w:val="005A0615"/>
    <w:rsid w:val="005A1113"/>
    <w:rsid w:val="005A1212"/>
    <w:rsid w:val="005B6AC7"/>
    <w:rsid w:val="005B7BA2"/>
    <w:rsid w:val="005B7E92"/>
    <w:rsid w:val="005C04F7"/>
    <w:rsid w:val="005C0BB8"/>
    <w:rsid w:val="005C2690"/>
    <w:rsid w:val="005C4E47"/>
    <w:rsid w:val="005C5178"/>
    <w:rsid w:val="005C5401"/>
    <w:rsid w:val="005C7DB7"/>
    <w:rsid w:val="005E15DE"/>
    <w:rsid w:val="005E293D"/>
    <w:rsid w:val="005E3C99"/>
    <w:rsid w:val="005F1A0D"/>
    <w:rsid w:val="005F330D"/>
    <w:rsid w:val="005F6E88"/>
    <w:rsid w:val="00602D10"/>
    <w:rsid w:val="006044EB"/>
    <w:rsid w:val="006047BC"/>
    <w:rsid w:val="00604834"/>
    <w:rsid w:val="00605CA1"/>
    <w:rsid w:val="00611911"/>
    <w:rsid w:val="00614405"/>
    <w:rsid w:val="00615883"/>
    <w:rsid w:val="00615A81"/>
    <w:rsid w:val="00620EC3"/>
    <w:rsid w:val="00620FD7"/>
    <w:rsid w:val="00621E55"/>
    <w:rsid w:val="0062340E"/>
    <w:rsid w:val="006243B1"/>
    <w:rsid w:val="00631145"/>
    <w:rsid w:val="00636948"/>
    <w:rsid w:val="006428E3"/>
    <w:rsid w:val="00645063"/>
    <w:rsid w:val="0064638E"/>
    <w:rsid w:val="00651781"/>
    <w:rsid w:val="00656B8F"/>
    <w:rsid w:val="00663012"/>
    <w:rsid w:val="006654F1"/>
    <w:rsid w:val="006658DA"/>
    <w:rsid w:val="0066657E"/>
    <w:rsid w:val="0067081C"/>
    <w:rsid w:val="00671CFF"/>
    <w:rsid w:val="00672FE3"/>
    <w:rsid w:val="00677209"/>
    <w:rsid w:val="00677D18"/>
    <w:rsid w:val="0068418A"/>
    <w:rsid w:val="006901A3"/>
    <w:rsid w:val="00690FC2"/>
    <w:rsid w:val="00691242"/>
    <w:rsid w:val="00691642"/>
    <w:rsid w:val="006949A8"/>
    <w:rsid w:val="00696FDF"/>
    <w:rsid w:val="00697058"/>
    <w:rsid w:val="006A5183"/>
    <w:rsid w:val="006A747C"/>
    <w:rsid w:val="006B0A97"/>
    <w:rsid w:val="006B2DC4"/>
    <w:rsid w:val="006B3F59"/>
    <w:rsid w:val="006B7321"/>
    <w:rsid w:val="006C005B"/>
    <w:rsid w:val="006C7CF9"/>
    <w:rsid w:val="006D1667"/>
    <w:rsid w:val="006D19D2"/>
    <w:rsid w:val="006D1B5D"/>
    <w:rsid w:val="006D2D7A"/>
    <w:rsid w:val="006D5358"/>
    <w:rsid w:val="006D598F"/>
    <w:rsid w:val="006D61E0"/>
    <w:rsid w:val="006E0719"/>
    <w:rsid w:val="006E4C21"/>
    <w:rsid w:val="006F21A3"/>
    <w:rsid w:val="006F2767"/>
    <w:rsid w:val="006F2F01"/>
    <w:rsid w:val="006F4EBA"/>
    <w:rsid w:val="006F5578"/>
    <w:rsid w:val="006F631F"/>
    <w:rsid w:val="007013EF"/>
    <w:rsid w:val="00704BA8"/>
    <w:rsid w:val="00705BEA"/>
    <w:rsid w:val="00710447"/>
    <w:rsid w:val="00717456"/>
    <w:rsid w:val="00720CEE"/>
    <w:rsid w:val="007221D1"/>
    <w:rsid w:val="00722B09"/>
    <w:rsid w:val="00724193"/>
    <w:rsid w:val="00732B97"/>
    <w:rsid w:val="00733EA7"/>
    <w:rsid w:val="00740153"/>
    <w:rsid w:val="00742891"/>
    <w:rsid w:val="0074448D"/>
    <w:rsid w:val="00745042"/>
    <w:rsid w:val="00745467"/>
    <w:rsid w:val="00750C92"/>
    <w:rsid w:val="00751901"/>
    <w:rsid w:val="00752AA0"/>
    <w:rsid w:val="00757961"/>
    <w:rsid w:val="007601DB"/>
    <w:rsid w:val="0076492E"/>
    <w:rsid w:val="00764FF0"/>
    <w:rsid w:val="0076505C"/>
    <w:rsid w:val="007727CE"/>
    <w:rsid w:val="00772DE2"/>
    <w:rsid w:val="00777748"/>
    <w:rsid w:val="007815BC"/>
    <w:rsid w:val="00782C07"/>
    <w:rsid w:val="00783498"/>
    <w:rsid w:val="00784A93"/>
    <w:rsid w:val="00784DCC"/>
    <w:rsid w:val="00787D8B"/>
    <w:rsid w:val="00790A41"/>
    <w:rsid w:val="00791BC9"/>
    <w:rsid w:val="00795325"/>
    <w:rsid w:val="007A2261"/>
    <w:rsid w:val="007A4451"/>
    <w:rsid w:val="007A62F7"/>
    <w:rsid w:val="007A74D2"/>
    <w:rsid w:val="007A7924"/>
    <w:rsid w:val="007D11F9"/>
    <w:rsid w:val="007D335A"/>
    <w:rsid w:val="007D3A7E"/>
    <w:rsid w:val="007D779C"/>
    <w:rsid w:val="007E407A"/>
    <w:rsid w:val="007E654F"/>
    <w:rsid w:val="007F33B8"/>
    <w:rsid w:val="007F6F05"/>
    <w:rsid w:val="00805154"/>
    <w:rsid w:val="00805F2E"/>
    <w:rsid w:val="00807481"/>
    <w:rsid w:val="00810413"/>
    <w:rsid w:val="00811C52"/>
    <w:rsid w:val="00820341"/>
    <w:rsid w:val="008221D2"/>
    <w:rsid w:val="008317CF"/>
    <w:rsid w:val="0083232C"/>
    <w:rsid w:val="00836011"/>
    <w:rsid w:val="00837368"/>
    <w:rsid w:val="00840763"/>
    <w:rsid w:val="0084081B"/>
    <w:rsid w:val="00847FAE"/>
    <w:rsid w:val="00857013"/>
    <w:rsid w:val="00862C99"/>
    <w:rsid w:val="00864215"/>
    <w:rsid w:val="00864AB3"/>
    <w:rsid w:val="00866052"/>
    <w:rsid w:val="00866433"/>
    <w:rsid w:val="008670CC"/>
    <w:rsid w:val="00867FF1"/>
    <w:rsid w:val="0088275F"/>
    <w:rsid w:val="008900C1"/>
    <w:rsid w:val="0089672D"/>
    <w:rsid w:val="00896A3D"/>
    <w:rsid w:val="008972D5"/>
    <w:rsid w:val="008A21D6"/>
    <w:rsid w:val="008A22D6"/>
    <w:rsid w:val="008A38AD"/>
    <w:rsid w:val="008B4097"/>
    <w:rsid w:val="008B4FFA"/>
    <w:rsid w:val="008C0868"/>
    <w:rsid w:val="008C0F1D"/>
    <w:rsid w:val="008C2AE2"/>
    <w:rsid w:val="008D5508"/>
    <w:rsid w:val="008E13FE"/>
    <w:rsid w:val="008E2141"/>
    <w:rsid w:val="008E432B"/>
    <w:rsid w:val="008F20A3"/>
    <w:rsid w:val="00900D52"/>
    <w:rsid w:val="009011D6"/>
    <w:rsid w:val="00906998"/>
    <w:rsid w:val="00914481"/>
    <w:rsid w:val="00917165"/>
    <w:rsid w:val="00921A41"/>
    <w:rsid w:val="009255F3"/>
    <w:rsid w:val="00926995"/>
    <w:rsid w:val="00931B63"/>
    <w:rsid w:val="009339FB"/>
    <w:rsid w:val="00935B39"/>
    <w:rsid w:val="009364EC"/>
    <w:rsid w:val="0094360E"/>
    <w:rsid w:val="00946B3C"/>
    <w:rsid w:val="00952156"/>
    <w:rsid w:val="00954D82"/>
    <w:rsid w:val="009610FC"/>
    <w:rsid w:val="00962AB2"/>
    <w:rsid w:val="00966D7A"/>
    <w:rsid w:val="00967BE2"/>
    <w:rsid w:val="0097610F"/>
    <w:rsid w:val="00976E1F"/>
    <w:rsid w:val="00991CE5"/>
    <w:rsid w:val="009A173C"/>
    <w:rsid w:val="009A34F3"/>
    <w:rsid w:val="009A765D"/>
    <w:rsid w:val="009B647E"/>
    <w:rsid w:val="009B70D4"/>
    <w:rsid w:val="009C1247"/>
    <w:rsid w:val="009C15F0"/>
    <w:rsid w:val="009C281F"/>
    <w:rsid w:val="009C2DA3"/>
    <w:rsid w:val="009D5BBB"/>
    <w:rsid w:val="009D7C36"/>
    <w:rsid w:val="009E0259"/>
    <w:rsid w:val="009E12A2"/>
    <w:rsid w:val="009E4DE3"/>
    <w:rsid w:val="009E78B5"/>
    <w:rsid w:val="009F0CC5"/>
    <w:rsid w:val="009F1152"/>
    <w:rsid w:val="009F287B"/>
    <w:rsid w:val="009F31DD"/>
    <w:rsid w:val="00A06277"/>
    <w:rsid w:val="00A10FDA"/>
    <w:rsid w:val="00A11604"/>
    <w:rsid w:val="00A11E22"/>
    <w:rsid w:val="00A13AEB"/>
    <w:rsid w:val="00A15B66"/>
    <w:rsid w:val="00A172BD"/>
    <w:rsid w:val="00A17CC6"/>
    <w:rsid w:val="00A263B7"/>
    <w:rsid w:val="00A31959"/>
    <w:rsid w:val="00A42B1B"/>
    <w:rsid w:val="00A44EAC"/>
    <w:rsid w:val="00A461B9"/>
    <w:rsid w:val="00A46ACD"/>
    <w:rsid w:val="00A4729C"/>
    <w:rsid w:val="00A5023F"/>
    <w:rsid w:val="00A5154A"/>
    <w:rsid w:val="00A53500"/>
    <w:rsid w:val="00A63487"/>
    <w:rsid w:val="00A66108"/>
    <w:rsid w:val="00A66218"/>
    <w:rsid w:val="00A70847"/>
    <w:rsid w:val="00A736DC"/>
    <w:rsid w:val="00A77DAA"/>
    <w:rsid w:val="00A82385"/>
    <w:rsid w:val="00A834A8"/>
    <w:rsid w:val="00A835C7"/>
    <w:rsid w:val="00A90D81"/>
    <w:rsid w:val="00A93346"/>
    <w:rsid w:val="00A964AA"/>
    <w:rsid w:val="00AB091C"/>
    <w:rsid w:val="00AB319B"/>
    <w:rsid w:val="00AB3F7F"/>
    <w:rsid w:val="00AC13FE"/>
    <w:rsid w:val="00AC5502"/>
    <w:rsid w:val="00AC5AD6"/>
    <w:rsid w:val="00AC646C"/>
    <w:rsid w:val="00AC6B13"/>
    <w:rsid w:val="00AD3E1B"/>
    <w:rsid w:val="00AD5326"/>
    <w:rsid w:val="00AD742E"/>
    <w:rsid w:val="00AE1744"/>
    <w:rsid w:val="00AE24B4"/>
    <w:rsid w:val="00AE3A75"/>
    <w:rsid w:val="00AE40B8"/>
    <w:rsid w:val="00AE7941"/>
    <w:rsid w:val="00AE79BA"/>
    <w:rsid w:val="00AF2563"/>
    <w:rsid w:val="00AF26C3"/>
    <w:rsid w:val="00AF5F53"/>
    <w:rsid w:val="00AF6149"/>
    <w:rsid w:val="00B0020C"/>
    <w:rsid w:val="00B04DA9"/>
    <w:rsid w:val="00B05BEB"/>
    <w:rsid w:val="00B0681E"/>
    <w:rsid w:val="00B17F66"/>
    <w:rsid w:val="00B33DDE"/>
    <w:rsid w:val="00B360DF"/>
    <w:rsid w:val="00B37340"/>
    <w:rsid w:val="00B43BD0"/>
    <w:rsid w:val="00B55F59"/>
    <w:rsid w:val="00B61FB9"/>
    <w:rsid w:val="00B6269D"/>
    <w:rsid w:val="00B670F7"/>
    <w:rsid w:val="00B815C3"/>
    <w:rsid w:val="00B81D9A"/>
    <w:rsid w:val="00B82183"/>
    <w:rsid w:val="00B85A70"/>
    <w:rsid w:val="00B87B40"/>
    <w:rsid w:val="00B93C9B"/>
    <w:rsid w:val="00B95F54"/>
    <w:rsid w:val="00B9631D"/>
    <w:rsid w:val="00BA68C3"/>
    <w:rsid w:val="00BA6B2C"/>
    <w:rsid w:val="00BB41EE"/>
    <w:rsid w:val="00BD1BD6"/>
    <w:rsid w:val="00BD37F3"/>
    <w:rsid w:val="00BE17E6"/>
    <w:rsid w:val="00BF2438"/>
    <w:rsid w:val="00BF4F5A"/>
    <w:rsid w:val="00BF6117"/>
    <w:rsid w:val="00BF66ED"/>
    <w:rsid w:val="00C0193E"/>
    <w:rsid w:val="00C10BF9"/>
    <w:rsid w:val="00C15406"/>
    <w:rsid w:val="00C15BC2"/>
    <w:rsid w:val="00C167DB"/>
    <w:rsid w:val="00C16843"/>
    <w:rsid w:val="00C16AC1"/>
    <w:rsid w:val="00C171A8"/>
    <w:rsid w:val="00C17F94"/>
    <w:rsid w:val="00C2420D"/>
    <w:rsid w:val="00C273A7"/>
    <w:rsid w:val="00C33B70"/>
    <w:rsid w:val="00C33C92"/>
    <w:rsid w:val="00C33D79"/>
    <w:rsid w:val="00C36B9C"/>
    <w:rsid w:val="00C37B49"/>
    <w:rsid w:val="00C41AD6"/>
    <w:rsid w:val="00C461E6"/>
    <w:rsid w:val="00C503B8"/>
    <w:rsid w:val="00C654B8"/>
    <w:rsid w:val="00C73D40"/>
    <w:rsid w:val="00C756E0"/>
    <w:rsid w:val="00C8042C"/>
    <w:rsid w:val="00C84E24"/>
    <w:rsid w:val="00C91976"/>
    <w:rsid w:val="00C922F8"/>
    <w:rsid w:val="00CA06B7"/>
    <w:rsid w:val="00CA75C3"/>
    <w:rsid w:val="00CA7BFC"/>
    <w:rsid w:val="00CB039D"/>
    <w:rsid w:val="00CB20CE"/>
    <w:rsid w:val="00CB5A37"/>
    <w:rsid w:val="00CC0436"/>
    <w:rsid w:val="00CC12FA"/>
    <w:rsid w:val="00CC2C3B"/>
    <w:rsid w:val="00CC5A76"/>
    <w:rsid w:val="00CC5ABE"/>
    <w:rsid w:val="00CC67D7"/>
    <w:rsid w:val="00CC7768"/>
    <w:rsid w:val="00CD0E81"/>
    <w:rsid w:val="00CD21D9"/>
    <w:rsid w:val="00CD3199"/>
    <w:rsid w:val="00CD39CD"/>
    <w:rsid w:val="00CD4A3C"/>
    <w:rsid w:val="00CE46F2"/>
    <w:rsid w:val="00CF17CF"/>
    <w:rsid w:val="00CF1B8D"/>
    <w:rsid w:val="00CF1F65"/>
    <w:rsid w:val="00CF3CAF"/>
    <w:rsid w:val="00CF5530"/>
    <w:rsid w:val="00CF668B"/>
    <w:rsid w:val="00D04A73"/>
    <w:rsid w:val="00D06C16"/>
    <w:rsid w:val="00D07ABE"/>
    <w:rsid w:val="00D103B8"/>
    <w:rsid w:val="00D11D4A"/>
    <w:rsid w:val="00D1267C"/>
    <w:rsid w:val="00D14579"/>
    <w:rsid w:val="00D14B60"/>
    <w:rsid w:val="00D16B5B"/>
    <w:rsid w:val="00D27124"/>
    <w:rsid w:val="00D32329"/>
    <w:rsid w:val="00D37BF3"/>
    <w:rsid w:val="00D41A67"/>
    <w:rsid w:val="00D43B15"/>
    <w:rsid w:val="00D43FD0"/>
    <w:rsid w:val="00D52375"/>
    <w:rsid w:val="00D55F82"/>
    <w:rsid w:val="00D6558C"/>
    <w:rsid w:val="00D668CD"/>
    <w:rsid w:val="00D66CB4"/>
    <w:rsid w:val="00D70C2E"/>
    <w:rsid w:val="00D73BBA"/>
    <w:rsid w:val="00D82956"/>
    <w:rsid w:val="00D84163"/>
    <w:rsid w:val="00D91FAE"/>
    <w:rsid w:val="00D95EE7"/>
    <w:rsid w:val="00DA3E40"/>
    <w:rsid w:val="00DA5EA3"/>
    <w:rsid w:val="00DB09F0"/>
    <w:rsid w:val="00DB2F09"/>
    <w:rsid w:val="00DB6AB8"/>
    <w:rsid w:val="00DC252C"/>
    <w:rsid w:val="00DC3BA3"/>
    <w:rsid w:val="00DC48BF"/>
    <w:rsid w:val="00DD6A3B"/>
    <w:rsid w:val="00DE3239"/>
    <w:rsid w:val="00DE3A77"/>
    <w:rsid w:val="00DE4B57"/>
    <w:rsid w:val="00DE7C7A"/>
    <w:rsid w:val="00DF5053"/>
    <w:rsid w:val="00DF64EA"/>
    <w:rsid w:val="00DF7F3D"/>
    <w:rsid w:val="00E050CE"/>
    <w:rsid w:val="00E073D4"/>
    <w:rsid w:val="00E07552"/>
    <w:rsid w:val="00E154B0"/>
    <w:rsid w:val="00E163C2"/>
    <w:rsid w:val="00E17B81"/>
    <w:rsid w:val="00E3106D"/>
    <w:rsid w:val="00E31475"/>
    <w:rsid w:val="00E340D3"/>
    <w:rsid w:val="00E365A8"/>
    <w:rsid w:val="00E37F8B"/>
    <w:rsid w:val="00E403B1"/>
    <w:rsid w:val="00E406A1"/>
    <w:rsid w:val="00E44009"/>
    <w:rsid w:val="00E575B2"/>
    <w:rsid w:val="00E63C06"/>
    <w:rsid w:val="00E70D52"/>
    <w:rsid w:val="00E74D0B"/>
    <w:rsid w:val="00E75037"/>
    <w:rsid w:val="00E763FE"/>
    <w:rsid w:val="00E803A8"/>
    <w:rsid w:val="00E8093C"/>
    <w:rsid w:val="00E81240"/>
    <w:rsid w:val="00E815FD"/>
    <w:rsid w:val="00E817BB"/>
    <w:rsid w:val="00E82B31"/>
    <w:rsid w:val="00E8633B"/>
    <w:rsid w:val="00E91541"/>
    <w:rsid w:val="00E915DC"/>
    <w:rsid w:val="00E92EE1"/>
    <w:rsid w:val="00EB0D9D"/>
    <w:rsid w:val="00ED09F9"/>
    <w:rsid w:val="00EE0BF7"/>
    <w:rsid w:val="00EE1EF1"/>
    <w:rsid w:val="00EE4DB7"/>
    <w:rsid w:val="00EE59AE"/>
    <w:rsid w:val="00EF1B7E"/>
    <w:rsid w:val="00EF1C04"/>
    <w:rsid w:val="00EF5B27"/>
    <w:rsid w:val="00EF7ABB"/>
    <w:rsid w:val="00F04C32"/>
    <w:rsid w:val="00F069D5"/>
    <w:rsid w:val="00F106BD"/>
    <w:rsid w:val="00F1166F"/>
    <w:rsid w:val="00F31CBB"/>
    <w:rsid w:val="00F33812"/>
    <w:rsid w:val="00F456B6"/>
    <w:rsid w:val="00F516D7"/>
    <w:rsid w:val="00F56B75"/>
    <w:rsid w:val="00F56D6B"/>
    <w:rsid w:val="00F67583"/>
    <w:rsid w:val="00F7505E"/>
    <w:rsid w:val="00F75A18"/>
    <w:rsid w:val="00F77A6B"/>
    <w:rsid w:val="00F810DE"/>
    <w:rsid w:val="00F81618"/>
    <w:rsid w:val="00F83158"/>
    <w:rsid w:val="00F84B3C"/>
    <w:rsid w:val="00F8568B"/>
    <w:rsid w:val="00F91475"/>
    <w:rsid w:val="00F923E1"/>
    <w:rsid w:val="00F94D01"/>
    <w:rsid w:val="00F96BED"/>
    <w:rsid w:val="00FB0ED6"/>
    <w:rsid w:val="00FC4457"/>
    <w:rsid w:val="00FC4DC2"/>
    <w:rsid w:val="00FC6320"/>
    <w:rsid w:val="00FD0FA0"/>
    <w:rsid w:val="00FD5995"/>
    <w:rsid w:val="00FE3646"/>
    <w:rsid w:val="00FE40DD"/>
    <w:rsid w:val="00FE4558"/>
    <w:rsid w:val="00FE5DA6"/>
    <w:rsid w:val="00FE6CA3"/>
    <w:rsid w:val="00FF3781"/>
    <w:rsid w:val="013B7687"/>
    <w:rsid w:val="016067B5"/>
    <w:rsid w:val="07E44D1E"/>
    <w:rsid w:val="08D90FCC"/>
    <w:rsid w:val="096D7571"/>
    <w:rsid w:val="09B604F6"/>
    <w:rsid w:val="0B10213F"/>
    <w:rsid w:val="0C437471"/>
    <w:rsid w:val="0E9B77F2"/>
    <w:rsid w:val="139E2979"/>
    <w:rsid w:val="19F34E52"/>
    <w:rsid w:val="1D041EF4"/>
    <w:rsid w:val="1E426825"/>
    <w:rsid w:val="1FB07E32"/>
    <w:rsid w:val="208153EF"/>
    <w:rsid w:val="20B778C5"/>
    <w:rsid w:val="21DB5CF3"/>
    <w:rsid w:val="25365771"/>
    <w:rsid w:val="27047A51"/>
    <w:rsid w:val="2BE813BF"/>
    <w:rsid w:val="2CD5646B"/>
    <w:rsid w:val="2D697938"/>
    <w:rsid w:val="2DC84F02"/>
    <w:rsid w:val="2E6114BF"/>
    <w:rsid w:val="2F490347"/>
    <w:rsid w:val="2F8F0DE5"/>
    <w:rsid w:val="2F9B230F"/>
    <w:rsid w:val="32542C88"/>
    <w:rsid w:val="32933903"/>
    <w:rsid w:val="33AF764B"/>
    <w:rsid w:val="36415C3C"/>
    <w:rsid w:val="3BAE161E"/>
    <w:rsid w:val="3CEC5883"/>
    <w:rsid w:val="3D3611C3"/>
    <w:rsid w:val="4439449A"/>
    <w:rsid w:val="443B5CC1"/>
    <w:rsid w:val="45F66970"/>
    <w:rsid w:val="46CF66C7"/>
    <w:rsid w:val="47E6777F"/>
    <w:rsid w:val="498C1D48"/>
    <w:rsid w:val="49C22903"/>
    <w:rsid w:val="4DA95C8C"/>
    <w:rsid w:val="4DD72309"/>
    <w:rsid w:val="4E7B6159"/>
    <w:rsid w:val="4F711713"/>
    <w:rsid w:val="5159161C"/>
    <w:rsid w:val="51B67413"/>
    <w:rsid w:val="526B2657"/>
    <w:rsid w:val="536E4932"/>
    <w:rsid w:val="53733096"/>
    <w:rsid w:val="54611FDF"/>
    <w:rsid w:val="55FE5A2A"/>
    <w:rsid w:val="576B0A8F"/>
    <w:rsid w:val="57990BE1"/>
    <w:rsid w:val="58A91308"/>
    <w:rsid w:val="5DC75DBC"/>
    <w:rsid w:val="616E5AD6"/>
    <w:rsid w:val="644B0992"/>
    <w:rsid w:val="65D50F9A"/>
    <w:rsid w:val="65F86A28"/>
    <w:rsid w:val="67E525A9"/>
    <w:rsid w:val="67E75F5F"/>
    <w:rsid w:val="69074B34"/>
    <w:rsid w:val="69FD7934"/>
    <w:rsid w:val="6A46690A"/>
    <w:rsid w:val="6AB76B7F"/>
    <w:rsid w:val="6B73086C"/>
    <w:rsid w:val="6E103CBF"/>
    <w:rsid w:val="6E4B135A"/>
    <w:rsid w:val="6F100BB4"/>
    <w:rsid w:val="6F115DAD"/>
    <w:rsid w:val="718A7AD8"/>
    <w:rsid w:val="720F0CFE"/>
    <w:rsid w:val="745D6B90"/>
    <w:rsid w:val="77883C93"/>
    <w:rsid w:val="78887220"/>
    <w:rsid w:val="79DD048C"/>
    <w:rsid w:val="7A8465B0"/>
    <w:rsid w:val="7A8F6162"/>
    <w:rsid w:val="7D42765E"/>
    <w:rsid w:val="7FB97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28"/>
      <w:szCs w:val="44"/>
    </w:rPr>
  </w:style>
  <w:style w:type="paragraph" w:styleId="3">
    <w:name w:val="heading 2"/>
    <w:basedOn w:val="1"/>
    <w:next w:val="1"/>
    <w:link w:val="34"/>
    <w:qFormat/>
    <w:uiPriority w:val="0"/>
    <w:pPr>
      <w:keepNext/>
      <w:keepLines/>
      <w:spacing w:before="260" w:after="260" w:line="416" w:lineRule="auto"/>
      <w:outlineLvl w:val="1"/>
    </w:pPr>
    <w:rPr>
      <w:rFonts w:ascii="Arial" w:hAnsi="Arial"/>
      <w:bCs/>
      <w:sz w:val="24"/>
      <w:szCs w:val="32"/>
    </w:rPr>
  </w:style>
  <w:style w:type="paragraph" w:styleId="4">
    <w:name w:val="heading 3"/>
    <w:basedOn w:val="1"/>
    <w:next w:val="1"/>
    <w:link w:val="35"/>
    <w:qFormat/>
    <w:uiPriority w:val="0"/>
    <w:pPr>
      <w:keepNext/>
      <w:keepLines/>
      <w:spacing w:before="260" w:after="260" w:line="416" w:lineRule="auto"/>
      <w:outlineLvl w:val="2"/>
    </w:pPr>
    <w:rPr>
      <w:b/>
      <w:bCs/>
      <w:sz w:val="32"/>
      <w:szCs w:val="32"/>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ind w:left="1050"/>
      <w:jc w:val="left"/>
    </w:pPr>
  </w:style>
  <w:style w:type="paragraph" w:styleId="6">
    <w:name w:val="annotation text"/>
    <w:basedOn w:val="1"/>
    <w:link w:val="42"/>
    <w:qFormat/>
    <w:uiPriority w:val="0"/>
    <w:pPr>
      <w:jc w:val="left"/>
    </w:pPr>
  </w:style>
  <w:style w:type="paragraph" w:styleId="7">
    <w:name w:val="Body Text"/>
    <w:basedOn w:val="1"/>
    <w:link w:val="82"/>
    <w:unhideWhenUsed/>
    <w:qFormat/>
    <w:uiPriority w:val="0"/>
    <w:pPr>
      <w:spacing w:after="120"/>
    </w:pPr>
    <w:rPr>
      <w:sz w:val="24"/>
      <w:szCs w:val="21"/>
    </w:rPr>
  </w:style>
  <w:style w:type="paragraph" w:styleId="8">
    <w:name w:val="Body Text Indent"/>
    <w:basedOn w:val="1"/>
    <w:link w:val="40"/>
    <w:qFormat/>
    <w:uiPriority w:val="0"/>
    <w:pPr>
      <w:spacing w:after="120"/>
      <w:ind w:left="420" w:leftChars="200"/>
    </w:pPr>
  </w:style>
  <w:style w:type="paragraph" w:styleId="9">
    <w:name w:val="toc 5"/>
    <w:basedOn w:val="1"/>
    <w:next w:val="1"/>
    <w:qFormat/>
    <w:uiPriority w:val="39"/>
    <w:pPr>
      <w:ind w:left="630"/>
      <w:jc w:val="left"/>
    </w:pPr>
  </w:style>
  <w:style w:type="paragraph" w:styleId="10">
    <w:name w:val="toc 3"/>
    <w:basedOn w:val="1"/>
    <w:next w:val="1"/>
    <w:qFormat/>
    <w:uiPriority w:val="39"/>
    <w:pPr>
      <w:tabs>
        <w:tab w:val="right" w:leader="dot" w:pos="9345"/>
      </w:tabs>
      <w:spacing w:line="440" w:lineRule="exact"/>
      <w:ind w:left="210" w:leftChars="100"/>
      <w:jc w:val="left"/>
    </w:pPr>
    <w:rPr>
      <w:rFonts w:ascii="宋体" w:hAnsi="宋体"/>
      <w:color w:val="FF0000"/>
      <w:sz w:val="24"/>
    </w:rPr>
  </w:style>
  <w:style w:type="paragraph" w:styleId="11">
    <w:name w:val="toc 8"/>
    <w:basedOn w:val="1"/>
    <w:next w:val="1"/>
    <w:qFormat/>
    <w:uiPriority w:val="39"/>
    <w:pPr>
      <w:ind w:left="1260"/>
      <w:jc w:val="left"/>
    </w:pPr>
  </w:style>
  <w:style w:type="paragraph" w:styleId="12">
    <w:name w:val="Date"/>
    <w:basedOn w:val="1"/>
    <w:next w:val="1"/>
    <w:link w:val="81"/>
    <w:semiHidden/>
    <w:unhideWhenUsed/>
    <w:qFormat/>
    <w:uiPriority w:val="99"/>
    <w:pPr>
      <w:ind w:left="100" w:leftChars="2500"/>
    </w:pPr>
  </w:style>
  <w:style w:type="paragraph" w:styleId="13">
    <w:name w:val="Balloon Text"/>
    <w:basedOn w:val="1"/>
    <w:link w:val="39"/>
    <w:qFormat/>
    <w:uiPriority w:val="0"/>
    <w:rPr>
      <w:rFonts w:asciiTheme="minorHAnsi" w:hAnsiTheme="minorHAnsi" w:eastAsiaTheme="minorEastAsia" w:cstheme="minorBidi"/>
      <w:sz w:val="18"/>
      <w:szCs w:val="18"/>
    </w:rPr>
  </w:style>
  <w:style w:type="paragraph" w:styleId="14">
    <w:name w:val="footer"/>
    <w:basedOn w:val="1"/>
    <w:link w:val="32"/>
    <w:unhideWhenUsed/>
    <w:qFormat/>
    <w:uiPriority w:val="0"/>
    <w:pPr>
      <w:tabs>
        <w:tab w:val="center" w:pos="4153"/>
        <w:tab w:val="right" w:pos="8306"/>
      </w:tabs>
      <w:snapToGrid w:val="0"/>
      <w:jc w:val="left"/>
    </w:pPr>
    <w:rPr>
      <w:sz w:val="18"/>
      <w:szCs w:val="18"/>
    </w:rPr>
  </w:style>
  <w:style w:type="paragraph" w:styleId="15">
    <w:name w:val="header"/>
    <w:basedOn w:val="1"/>
    <w:link w:val="31"/>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next w:val="1"/>
    <w:qFormat/>
    <w:uiPriority w:val="39"/>
    <w:pPr>
      <w:widowControl w:val="0"/>
      <w:tabs>
        <w:tab w:val="right" w:leader="dot" w:pos="9345"/>
      </w:tabs>
      <w:spacing w:before="360"/>
    </w:pPr>
    <w:rPr>
      <w:rFonts w:ascii="Arial" w:hAnsi="Arial" w:eastAsia="宋体" w:cs="Times New Roman"/>
      <w:bCs/>
      <w:caps/>
      <w:kern w:val="2"/>
      <w:sz w:val="21"/>
      <w:szCs w:val="21"/>
      <w:lang w:val="en-US" w:eastAsia="zh-CN" w:bidi="ar-SA"/>
    </w:rPr>
  </w:style>
  <w:style w:type="paragraph" w:styleId="17">
    <w:name w:val="toc 4"/>
    <w:basedOn w:val="10"/>
    <w:next w:val="1"/>
    <w:qFormat/>
    <w:uiPriority w:val="39"/>
    <w:pPr>
      <w:ind w:left="420"/>
    </w:pPr>
  </w:style>
  <w:style w:type="paragraph" w:styleId="18">
    <w:name w:val="footnote text"/>
    <w:basedOn w:val="1"/>
    <w:link w:val="37"/>
    <w:qFormat/>
    <w:uiPriority w:val="0"/>
    <w:pPr>
      <w:snapToGrid w:val="0"/>
      <w:jc w:val="left"/>
    </w:pPr>
    <w:rPr>
      <w:rFonts w:asciiTheme="minorHAnsi" w:hAnsiTheme="minorHAnsi" w:eastAsiaTheme="minorEastAsia" w:cstheme="minorBidi"/>
      <w:sz w:val="18"/>
      <w:szCs w:val="18"/>
    </w:rPr>
  </w:style>
  <w:style w:type="paragraph" w:styleId="19">
    <w:name w:val="toc 6"/>
    <w:basedOn w:val="1"/>
    <w:next w:val="1"/>
    <w:qFormat/>
    <w:uiPriority w:val="39"/>
    <w:pPr>
      <w:ind w:left="840"/>
      <w:jc w:val="left"/>
    </w:pPr>
  </w:style>
  <w:style w:type="paragraph" w:styleId="20">
    <w:name w:val="toc 2"/>
    <w:basedOn w:val="1"/>
    <w:next w:val="1"/>
    <w:qFormat/>
    <w:uiPriority w:val="39"/>
    <w:pPr>
      <w:tabs>
        <w:tab w:val="right" w:leader="dot" w:pos="9345"/>
      </w:tabs>
      <w:adjustRightInd w:val="0"/>
      <w:snapToGrid w:val="0"/>
      <w:spacing w:line="440" w:lineRule="exact"/>
      <w:jc w:val="center"/>
    </w:pPr>
    <w:rPr>
      <w:rFonts w:hAnsi="宋体"/>
      <w:bCs/>
    </w:rPr>
  </w:style>
  <w:style w:type="paragraph" w:styleId="21">
    <w:name w:val="toc 9"/>
    <w:basedOn w:val="1"/>
    <w:next w:val="1"/>
    <w:qFormat/>
    <w:uiPriority w:val="39"/>
    <w:pPr>
      <w:ind w:left="1470"/>
      <w:jc w:val="left"/>
    </w:pPr>
  </w:style>
  <w:style w:type="paragraph" w:styleId="22">
    <w:name w:val="Title"/>
    <w:basedOn w:val="1"/>
    <w:next w:val="1"/>
    <w:link w:val="36"/>
    <w:qFormat/>
    <w:uiPriority w:val="0"/>
    <w:pPr>
      <w:spacing w:before="240" w:after="60"/>
      <w:jc w:val="center"/>
      <w:outlineLvl w:val="0"/>
    </w:pPr>
    <w:rPr>
      <w:rFonts w:ascii="Cambria" w:hAnsi="Cambria" w:eastAsiaTheme="minorEastAsia"/>
      <w:b/>
      <w:bCs/>
      <w:sz w:val="32"/>
      <w:szCs w:val="32"/>
    </w:rPr>
  </w:style>
  <w:style w:type="paragraph" w:styleId="23">
    <w:name w:val="annotation subject"/>
    <w:basedOn w:val="6"/>
    <w:next w:val="6"/>
    <w:link w:val="91"/>
    <w:semiHidden/>
    <w:unhideWhenUsed/>
    <w:qFormat/>
    <w:uiPriority w:val="99"/>
    <w:rPr>
      <w:b/>
      <w:bCs/>
    </w:rPr>
  </w:style>
  <w:style w:type="table" w:styleId="25">
    <w:name w:val="Table Grid"/>
    <w:basedOn w:val="24"/>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7">
    <w:name w:val="page number"/>
    <w:qFormat/>
    <w:uiPriority w:val="0"/>
    <w:rPr>
      <w:rFonts w:ascii="Times New Roman" w:hAnsi="Times New Roman" w:eastAsia="宋体"/>
      <w:sz w:val="18"/>
    </w:rPr>
  </w:style>
  <w:style w:type="character" w:styleId="28">
    <w:name w:val="Hyperlink"/>
    <w:qFormat/>
    <w:uiPriority w:val="99"/>
    <w:rPr>
      <w:rFonts w:ascii="Times New Roman" w:hAnsi="Times New Roman" w:eastAsia="宋体"/>
      <w:color w:val="auto"/>
      <w:spacing w:val="0"/>
      <w:w w:val="100"/>
      <w:position w:val="0"/>
      <w:sz w:val="21"/>
      <w:u w:val="none"/>
      <w:vertAlign w:val="baseline"/>
    </w:rPr>
  </w:style>
  <w:style w:type="character" w:styleId="29">
    <w:name w:val="annotation reference"/>
    <w:basedOn w:val="26"/>
    <w:semiHidden/>
    <w:unhideWhenUsed/>
    <w:qFormat/>
    <w:uiPriority w:val="99"/>
    <w:rPr>
      <w:sz w:val="21"/>
      <w:szCs w:val="21"/>
    </w:rPr>
  </w:style>
  <w:style w:type="character" w:styleId="30">
    <w:name w:val="footnote reference"/>
    <w:qFormat/>
    <w:uiPriority w:val="0"/>
    <w:rPr>
      <w:vertAlign w:val="superscript"/>
    </w:rPr>
  </w:style>
  <w:style w:type="character" w:customStyle="1" w:styleId="31">
    <w:name w:val="页眉 字符"/>
    <w:basedOn w:val="26"/>
    <w:link w:val="15"/>
    <w:qFormat/>
    <w:uiPriority w:val="99"/>
    <w:rPr>
      <w:sz w:val="18"/>
      <w:szCs w:val="18"/>
    </w:rPr>
  </w:style>
  <w:style w:type="character" w:customStyle="1" w:styleId="32">
    <w:name w:val="页脚 字符"/>
    <w:basedOn w:val="26"/>
    <w:link w:val="14"/>
    <w:qFormat/>
    <w:uiPriority w:val="99"/>
    <w:rPr>
      <w:sz w:val="18"/>
      <w:szCs w:val="18"/>
    </w:rPr>
  </w:style>
  <w:style w:type="character" w:customStyle="1" w:styleId="33">
    <w:name w:val="标题 1 字符"/>
    <w:basedOn w:val="26"/>
    <w:link w:val="2"/>
    <w:qFormat/>
    <w:uiPriority w:val="0"/>
    <w:rPr>
      <w:rFonts w:ascii="Times New Roman" w:hAnsi="Times New Roman" w:eastAsia="宋体" w:cs="Times New Roman"/>
      <w:b/>
      <w:bCs/>
      <w:kern w:val="44"/>
      <w:sz w:val="28"/>
      <w:szCs w:val="44"/>
    </w:rPr>
  </w:style>
  <w:style w:type="character" w:customStyle="1" w:styleId="34">
    <w:name w:val="标题 2 字符"/>
    <w:basedOn w:val="26"/>
    <w:link w:val="3"/>
    <w:qFormat/>
    <w:uiPriority w:val="0"/>
    <w:rPr>
      <w:rFonts w:ascii="Arial" w:hAnsi="Arial" w:eastAsia="宋体" w:cs="Times New Roman"/>
      <w:bCs/>
      <w:kern w:val="2"/>
      <w:sz w:val="24"/>
      <w:szCs w:val="32"/>
    </w:rPr>
  </w:style>
  <w:style w:type="character" w:customStyle="1" w:styleId="35">
    <w:name w:val="标题 3 字符"/>
    <w:basedOn w:val="26"/>
    <w:link w:val="4"/>
    <w:qFormat/>
    <w:uiPriority w:val="0"/>
    <w:rPr>
      <w:rFonts w:ascii="Calibri" w:hAnsi="Calibri" w:eastAsia="宋体" w:cs="Times New Roman"/>
      <w:b/>
      <w:bCs/>
      <w:sz w:val="32"/>
      <w:szCs w:val="32"/>
    </w:rPr>
  </w:style>
  <w:style w:type="character" w:customStyle="1" w:styleId="36">
    <w:name w:val="标题 字符"/>
    <w:link w:val="22"/>
    <w:qFormat/>
    <w:uiPriority w:val="0"/>
    <w:rPr>
      <w:rFonts w:ascii="Cambria" w:hAnsi="Cambria" w:cs="Times New Roman"/>
      <w:b/>
      <w:bCs/>
      <w:sz w:val="32"/>
      <w:szCs w:val="32"/>
    </w:rPr>
  </w:style>
  <w:style w:type="character" w:customStyle="1" w:styleId="37">
    <w:name w:val="脚注文本 字符"/>
    <w:link w:val="18"/>
    <w:qFormat/>
    <w:uiPriority w:val="0"/>
    <w:rPr>
      <w:sz w:val="18"/>
      <w:szCs w:val="18"/>
    </w:rPr>
  </w:style>
  <w:style w:type="character" w:customStyle="1" w:styleId="38">
    <w:name w:val="未处理的提及1"/>
    <w:unhideWhenUsed/>
    <w:qFormat/>
    <w:uiPriority w:val="99"/>
    <w:rPr>
      <w:color w:val="605E5C"/>
      <w:shd w:val="clear" w:color="auto" w:fill="E1DFDD"/>
    </w:rPr>
  </w:style>
  <w:style w:type="character" w:customStyle="1" w:styleId="39">
    <w:name w:val="批注框文本 字符"/>
    <w:link w:val="13"/>
    <w:qFormat/>
    <w:uiPriority w:val="0"/>
    <w:rPr>
      <w:sz w:val="18"/>
      <w:szCs w:val="18"/>
    </w:rPr>
  </w:style>
  <w:style w:type="character" w:customStyle="1" w:styleId="40">
    <w:name w:val="正文文本缩进 字符"/>
    <w:basedOn w:val="26"/>
    <w:link w:val="8"/>
    <w:qFormat/>
    <w:uiPriority w:val="0"/>
    <w:rPr>
      <w:rFonts w:ascii="Calibri" w:hAnsi="Calibri" w:eastAsia="宋体" w:cs="Times New Roman"/>
      <w:szCs w:val="24"/>
    </w:rPr>
  </w:style>
  <w:style w:type="paragraph" w:customStyle="1" w:styleId="41">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character" w:customStyle="1" w:styleId="42">
    <w:name w:val="批注文字 字符"/>
    <w:basedOn w:val="26"/>
    <w:link w:val="6"/>
    <w:qFormat/>
    <w:uiPriority w:val="0"/>
    <w:rPr>
      <w:rFonts w:ascii="Calibri" w:hAnsi="Calibri" w:eastAsia="宋体" w:cs="Times New Roman"/>
      <w:szCs w:val="24"/>
    </w:rPr>
  </w:style>
  <w:style w:type="paragraph" w:customStyle="1" w:styleId="4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4">
    <w:name w:val="三级条标题"/>
    <w:basedOn w:val="45"/>
    <w:next w:val="48"/>
    <w:qFormat/>
    <w:uiPriority w:val="0"/>
    <w:pPr>
      <w:outlineLvl w:val="4"/>
    </w:pPr>
  </w:style>
  <w:style w:type="paragraph" w:customStyle="1" w:styleId="45">
    <w:name w:val="二级条标题"/>
    <w:basedOn w:val="46"/>
    <w:next w:val="48"/>
    <w:qFormat/>
    <w:uiPriority w:val="0"/>
    <w:pPr>
      <w:outlineLvl w:val="3"/>
    </w:pPr>
  </w:style>
  <w:style w:type="paragraph" w:customStyle="1" w:styleId="46">
    <w:name w:val="一级条标题"/>
    <w:basedOn w:val="47"/>
    <w:next w:val="48"/>
    <w:qFormat/>
    <w:uiPriority w:val="0"/>
    <w:pPr>
      <w:spacing w:before="0" w:beforeLines="0" w:after="0" w:afterLines="0"/>
      <w:ind w:left="512" w:firstLine="0"/>
      <w:outlineLvl w:val="2"/>
    </w:pPr>
  </w:style>
  <w:style w:type="paragraph" w:customStyle="1" w:styleId="47">
    <w:name w:val="章标题"/>
    <w:next w:val="48"/>
    <w:qFormat/>
    <w:uiPriority w:val="0"/>
    <w:pPr>
      <w:spacing w:before="50" w:beforeLines="50" w:after="50" w:afterLines="50"/>
      <w:ind w:left="270" w:hanging="270"/>
      <w:jc w:val="both"/>
      <w:outlineLvl w:val="1"/>
    </w:pPr>
    <w:rPr>
      <w:rFonts w:ascii="黑体" w:hAnsi="Calibri" w:eastAsia="黑体" w:cs="Times New Roman"/>
      <w:sz w:val="21"/>
      <w:lang w:val="en-US" w:eastAsia="zh-CN" w:bidi="ar-SA"/>
    </w:rPr>
  </w:style>
  <w:style w:type="paragraph" w:customStyle="1" w:styleId="48">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49">
    <w:name w:val="批注框文本 Char1"/>
    <w:basedOn w:val="26"/>
    <w:semiHidden/>
    <w:qFormat/>
    <w:uiPriority w:val="99"/>
    <w:rPr>
      <w:rFonts w:ascii="Calibri" w:hAnsi="Calibri" w:eastAsia="宋体" w:cs="Times New Roman"/>
      <w:sz w:val="18"/>
      <w:szCs w:val="18"/>
    </w:rPr>
  </w:style>
  <w:style w:type="character" w:customStyle="1" w:styleId="50">
    <w:name w:val="脚注文本 Char1"/>
    <w:basedOn w:val="26"/>
    <w:semiHidden/>
    <w:qFormat/>
    <w:uiPriority w:val="99"/>
    <w:rPr>
      <w:rFonts w:ascii="Calibri" w:hAnsi="Calibri" w:eastAsia="宋体" w:cs="Times New Roman"/>
      <w:sz w:val="18"/>
      <w:szCs w:val="18"/>
    </w:rPr>
  </w:style>
  <w:style w:type="character" w:customStyle="1" w:styleId="51">
    <w:name w:val="标题 Char1"/>
    <w:basedOn w:val="26"/>
    <w:qFormat/>
    <w:uiPriority w:val="10"/>
    <w:rPr>
      <w:rFonts w:eastAsia="宋体" w:asciiTheme="majorHAnsi" w:hAnsiTheme="majorHAnsi" w:cstheme="majorBidi"/>
      <w:b/>
      <w:bCs/>
      <w:sz w:val="32"/>
      <w:szCs w:val="32"/>
    </w:rPr>
  </w:style>
  <w:style w:type="paragraph" w:customStyle="1" w:styleId="52">
    <w:name w:val="默认段落字体 Para Char Char Char Char Char Char Char Char Char Char"/>
    <w:basedOn w:val="1"/>
    <w:qFormat/>
    <w:uiPriority w:val="0"/>
  </w:style>
  <w:style w:type="paragraph" w:customStyle="1" w:styleId="53">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54">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55">
    <w:name w:val="封面标准文稿编辑信息"/>
    <w:qFormat/>
    <w:uiPriority w:val="0"/>
    <w:pPr>
      <w:spacing w:before="180" w:line="180" w:lineRule="exact"/>
      <w:jc w:val="center"/>
    </w:pPr>
    <w:rPr>
      <w:rFonts w:ascii="宋体" w:hAnsi="Calibri" w:eastAsia="宋体" w:cs="Times New Roman"/>
      <w:sz w:val="21"/>
      <w:lang w:val="en-US" w:eastAsia="zh-CN" w:bidi="ar-SA"/>
    </w:rPr>
  </w:style>
  <w:style w:type="paragraph" w:customStyle="1" w:styleId="56">
    <w:name w:val="WPSOffice手动目录 1"/>
    <w:qFormat/>
    <w:uiPriority w:val="0"/>
    <w:rPr>
      <w:rFonts w:ascii="Calibri" w:hAnsi="Calibri" w:eastAsia="宋体" w:cs="Times New Roman"/>
      <w:lang w:val="en-US" w:eastAsia="zh-CN" w:bidi="ar-SA"/>
    </w:rPr>
  </w:style>
  <w:style w:type="paragraph" w:customStyle="1" w:styleId="57">
    <w:name w:val="发布日期"/>
    <w:qFormat/>
    <w:uiPriority w:val="0"/>
    <w:pPr>
      <w:framePr w:w="4000" w:h="473" w:hRule="exact" w:hSpace="180" w:vSpace="180" w:wrap="around" w:vAnchor="margin" w:hAnchor="margin" w:y="13511" w:anchorLock="1"/>
    </w:pPr>
    <w:rPr>
      <w:rFonts w:ascii="Calibri" w:hAnsi="Calibri" w:eastAsia="黑体" w:cs="Times New Roman"/>
      <w:sz w:val="28"/>
      <w:lang w:val="en-US" w:eastAsia="zh-CN" w:bidi="ar-SA"/>
    </w:rPr>
  </w:style>
  <w:style w:type="paragraph" w:customStyle="1" w:styleId="58">
    <w:name w:val="1"/>
    <w:basedOn w:val="1"/>
    <w:next w:val="8"/>
    <w:qFormat/>
    <w:uiPriority w:val="0"/>
    <w:pPr>
      <w:adjustRightInd w:val="0"/>
      <w:spacing w:line="360" w:lineRule="auto"/>
      <w:ind w:firstLine="480" w:firstLineChars="200"/>
      <w:textAlignment w:val="baseline"/>
      <w:outlineLvl w:val="0"/>
    </w:pPr>
    <w:rPr>
      <w:kern w:val="0"/>
      <w:sz w:val="24"/>
      <w:szCs w:val="20"/>
    </w:rPr>
  </w:style>
  <w:style w:type="paragraph" w:customStyle="1" w:styleId="59">
    <w:name w:val="封面正文"/>
    <w:qFormat/>
    <w:uiPriority w:val="0"/>
    <w:pPr>
      <w:jc w:val="both"/>
    </w:pPr>
    <w:rPr>
      <w:rFonts w:ascii="Calibri" w:hAnsi="Calibri" w:eastAsia="宋体" w:cs="Times New Roman"/>
      <w:lang w:val="en-US" w:eastAsia="zh-CN" w:bidi="ar-SA"/>
    </w:rPr>
  </w:style>
  <w:style w:type="paragraph" w:customStyle="1" w:styleId="60">
    <w:name w:val="封面标准文稿类别"/>
    <w:qFormat/>
    <w:uiPriority w:val="0"/>
    <w:pPr>
      <w:spacing w:before="440" w:line="400" w:lineRule="exact"/>
      <w:jc w:val="center"/>
    </w:pPr>
    <w:rPr>
      <w:rFonts w:ascii="宋体" w:hAnsi="Calibri" w:eastAsia="宋体" w:cs="Times New Roman"/>
      <w:sz w:val="24"/>
      <w:lang w:val="en-US" w:eastAsia="zh-CN" w:bidi="ar-SA"/>
    </w:rPr>
  </w:style>
  <w:style w:type="paragraph" w:customStyle="1" w:styleId="61">
    <w:name w:val="Char Char"/>
    <w:basedOn w:val="1"/>
    <w:qFormat/>
    <w:uiPriority w:val="0"/>
  </w:style>
  <w:style w:type="paragraph" w:customStyle="1" w:styleId="6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Calibri" w:hAnsi="Calibri" w:eastAsia="宋体" w:cs="Times New Roman"/>
      <w:b/>
      <w:w w:val="130"/>
      <w:sz w:val="96"/>
      <w:lang w:val="en-US" w:eastAsia="zh-CN" w:bidi="ar-SA"/>
    </w:rPr>
  </w:style>
  <w:style w:type="paragraph" w:customStyle="1" w:styleId="63">
    <w:name w:val="标准书眉_奇数页"/>
    <w:next w:val="1"/>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64">
    <w:name w:val="五级条标题"/>
    <w:basedOn w:val="65"/>
    <w:next w:val="48"/>
    <w:qFormat/>
    <w:uiPriority w:val="0"/>
    <w:pPr>
      <w:outlineLvl w:val="6"/>
    </w:pPr>
  </w:style>
  <w:style w:type="paragraph" w:customStyle="1" w:styleId="65">
    <w:name w:val="四级条标题"/>
    <w:basedOn w:val="44"/>
    <w:next w:val="48"/>
    <w:qFormat/>
    <w:uiPriority w:val="0"/>
    <w:pPr>
      <w:outlineLvl w:val="5"/>
    </w:pPr>
  </w:style>
  <w:style w:type="paragraph" w:customStyle="1" w:styleId="66">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67">
    <w:name w:val="WPSOffice手动目录 2"/>
    <w:qFormat/>
    <w:uiPriority w:val="0"/>
    <w:pPr>
      <w:ind w:left="200" w:leftChars="200"/>
    </w:pPr>
    <w:rPr>
      <w:rFonts w:ascii="Calibri" w:hAnsi="Calibri" w:eastAsia="宋体" w:cs="Times New Roman"/>
      <w:lang w:val="en-US" w:eastAsia="zh-CN" w:bidi="ar-SA"/>
    </w:rPr>
  </w:style>
  <w:style w:type="paragraph" w:customStyle="1" w:styleId="68">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69">
    <w:name w:val="List Paragraph"/>
    <w:basedOn w:val="1"/>
    <w:qFormat/>
    <w:uiPriority w:val="34"/>
    <w:pPr>
      <w:ind w:firstLine="420" w:firstLineChars="200"/>
    </w:pPr>
  </w:style>
  <w:style w:type="paragraph" w:customStyle="1" w:styleId="70">
    <w:name w:val="实施日期"/>
    <w:basedOn w:val="57"/>
    <w:qFormat/>
    <w:uiPriority w:val="0"/>
    <w:pPr>
      <w:framePr w:hSpace="0" w:wrap="around" w:xAlign="right"/>
      <w:jc w:val="right"/>
    </w:pPr>
  </w:style>
  <w:style w:type="paragraph" w:customStyle="1" w:styleId="71">
    <w:name w:val="封面一致性程度标识"/>
    <w:qFormat/>
    <w:uiPriority w:val="0"/>
    <w:pPr>
      <w:spacing w:before="440" w:line="400" w:lineRule="exact"/>
      <w:jc w:val="center"/>
    </w:pPr>
    <w:rPr>
      <w:rFonts w:ascii="宋体" w:hAnsi="Calibri" w:eastAsia="宋体" w:cs="Times New Roman"/>
      <w:sz w:val="28"/>
      <w:lang w:val="en-US" w:eastAsia="zh-CN" w:bidi="ar-SA"/>
    </w:rPr>
  </w:style>
  <w:style w:type="paragraph" w:customStyle="1" w:styleId="72">
    <w:name w:val="标准书脚_奇数页"/>
    <w:qFormat/>
    <w:uiPriority w:val="0"/>
    <w:pPr>
      <w:spacing w:before="120"/>
      <w:jc w:val="right"/>
    </w:pPr>
    <w:rPr>
      <w:rFonts w:ascii="Calibri" w:hAnsi="Calibri" w:eastAsia="宋体" w:cs="Times New Roman"/>
      <w:sz w:val="18"/>
      <w:lang w:val="en-US" w:eastAsia="zh-CN" w:bidi="ar-SA"/>
    </w:rPr>
  </w:style>
  <w:style w:type="paragraph" w:customStyle="1" w:styleId="73">
    <w:name w:val="标准书眉一"/>
    <w:qFormat/>
    <w:uiPriority w:val="0"/>
    <w:pPr>
      <w:jc w:val="both"/>
    </w:pPr>
    <w:rPr>
      <w:rFonts w:ascii="Calibri" w:hAnsi="Calibri" w:eastAsia="宋体" w:cs="Times New Roman"/>
      <w:lang w:val="en-US" w:eastAsia="zh-CN" w:bidi="ar-SA"/>
    </w:rPr>
  </w:style>
  <w:style w:type="paragraph" w:customStyle="1" w:styleId="74">
    <w:name w:val="标准书脚_偶数页"/>
    <w:qFormat/>
    <w:uiPriority w:val="0"/>
    <w:pPr>
      <w:spacing w:before="120"/>
    </w:pPr>
    <w:rPr>
      <w:rFonts w:ascii="Calibri" w:hAnsi="Calibri" w:eastAsia="宋体" w:cs="Times New Roman"/>
      <w:sz w:val="18"/>
      <w:lang w:val="en-US" w:eastAsia="zh-CN" w:bidi="ar-SA"/>
    </w:rPr>
  </w:style>
  <w:style w:type="paragraph" w:customStyle="1" w:styleId="75">
    <w:name w:val="Char"/>
    <w:basedOn w:val="1"/>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7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77">
    <w:name w:val="目次、标准名称标题"/>
    <w:basedOn w:val="41"/>
    <w:next w:val="48"/>
    <w:qFormat/>
    <w:uiPriority w:val="0"/>
    <w:pPr>
      <w:spacing w:line="460" w:lineRule="exact"/>
    </w:pPr>
  </w:style>
  <w:style w:type="paragraph" w:customStyle="1" w:styleId="78">
    <w:name w:val="标准书眉_偶数页"/>
    <w:basedOn w:val="63"/>
    <w:next w:val="1"/>
    <w:qFormat/>
    <w:uiPriority w:val="0"/>
    <w:pPr>
      <w:jc w:val="left"/>
    </w:pPr>
  </w:style>
  <w:style w:type="table" w:customStyle="1" w:styleId="79">
    <w:name w:val="网格型1"/>
    <w:basedOn w:val="24"/>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0">
    <w:name w:val="Table Paragraph"/>
    <w:basedOn w:val="1"/>
    <w:qFormat/>
    <w:uiPriority w:val="1"/>
    <w:pPr>
      <w:autoSpaceDE w:val="0"/>
      <w:autoSpaceDN w:val="0"/>
      <w:jc w:val="left"/>
    </w:pPr>
    <w:rPr>
      <w:rFonts w:ascii="宋体" w:hAnsi="宋体" w:cs="宋体"/>
      <w:kern w:val="0"/>
      <w:sz w:val="22"/>
      <w:szCs w:val="22"/>
      <w:lang w:eastAsia="en-US" w:bidi="en-US"/>
    </w:rPr>
  </w:style>
  <w:style w:type="character" w:customStyle="1" w:styleId="81">
    <w:name w:val="日期 字符"/>
    <w:basedOn w:val="26"/>
    <w:link w:val="12"/>
    <w:semiHidden/>
    <w:qFormat/>
    <w:uiPriority w:val="99"/>
    <w:rPr>
      <w:rFonts w:ascii="Calibri" w:hAnsi="Calibri" w:eastAsia="宋体" w:cs="Times New Roman"/>
      <w:szCs w:val="24"/>
    </w:rPr>
  </w:style>
  <w:style w:type="character" w:customStyle="1" w:styleId="82">
    <w:name w:val="正文文本 字符"/>
    <w:basedOn w:val="26"/>
    <w:link w:val="7"/>
    <w:qFormat/>
    <w:uiPriority w:val="0"/>
    <w:rPr>
      <w:rFonts w:ascii="Times New Roman" w:hAnsi="Times New Roman" w:eastAsia="宋体" w:cs="Times New Roman"/>
      <w:sz w:val="24"/>
      <w:szCs w:val="21"/>
    </w:rPr>
  </w:style>
  <w:style w:type="character" w:styleId="83">
    <w:name w:val="Placeholder Text"/>
    <w:basedOn w:val="26"/>
    <w:semiHidden/>
    <w:qFormat/>
    <w:uiPriority w:val="99"/>
    <w:rPr>
      <w:color w:val="808080"/>
    </w:rPr>
  </w:style>
  <w:style w:type="table" w:customStyle="1" w:styleId="84">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85">
    <w:name w:val="标题 21"/>
    <w:basedOn w:val="1"/>
    <w:qFormat/>
    <w:uiPriority w:val="1"/>
    <w:pPr>
      <w:autoSpaceDE w:val="0"/>
      <w:autoSpaceDN w:val="0"/>
      <w:ind w:left="216"/>
      <w:jc w:val="left"/>
      <w:outlineLvl w:val="2"/>
    </w:pPr>
    <w:rPr>
      <w:rFonts w:eastAsia="Times New Roman"/>
      <w:kern w:val="0"/>
      <w:sz w:val="28"/>
      <w:szCs w:val="28"/>
      <w:lang w:eastAsia="en-US" w:bidi="en-US"/>
    </w:rPr>
  </w:style>
  <w:style w:type="paragraph" w:customStyle="1" w:styleId="86">
    <w:name w:val="正文文本 (2)"/>
    <w:basedOn w:val="1"/>
    <w:qFormat/>
    <w:uiPriority w:val="0"/>
    <w:pPr>
      <w:spacing w:after="300" w:line="266" w:lineRule="auto"/>
    </w:pPr>
    <w:rPr>
      <w:rFonts w:ascii="微软雅黑" w:hAnsi="微软雅黑" w:eastAsia="微软雅黑" w:cs="微软雅黑"/>
      <w:sz w:val="20"/>
      <w:szCs w:val="20"/>
      <w:lang w:val="zh-CN" w:bidi="zh-CN"/>
    </w:rPr>
  </w:style>
  <w:style w:type="paragraph" w:customStyle="1" w:styleId="87">
    <w:name w:val="表格标题"/>
    <w:basedOn w:val="1"/>
    <w:qFormat/>
    <w:uiPriority w:val="0"/>
    <w:rPr>
      <w:rFonts w:ascii="宋体" w:hAnsi="宋体" w:cs="宋体"/>
      <w:sz w:val="20"/>
      <w:szCs w:val="20"/>
      <w:lang w:val="zh-CN" w:bidi="zh-CN"/>
    </w:rPr>
  </w:style>
  <w:style w:type="paragraph" w:customStyle="1" w:styleId="88">
    <w:name w:val="正文文本1"/>
    <w:basedOn w:val="1"/>
    <w:qFormat/>
    <w:uiPriority w:val="0"/>
    <w:pPr>
      <w:spacing w:line="346" w:lineRule="auto"/>
      <w:ind w:firstLine="400"/>
    </w:pPr>
    <w:rPr>
      <w:rFonts w:ascii="宋体" w:hAnsi="宋体" w:cs="宋体"/>
      <w:sz w:val="20"/>
      <w:szCs w:val="20"/>
      <w:lang w:val="zh-CN" w:bidi="zh-CN"/>
    </w:rPr>
  </w:style>
  <w:style w:type="paragraph" w:customStyle="1" w:styleId="89">
    <w:name w:val="其他"/>
    <w:basedOn w:val="1"/>
    <w:qFormat/>
    <w:uiPriority w:val="0"/>
    <w:rPr>
      <w:rFonts w:ascii="宋体" w:hAnsi="宋体" w:cs="宋体"/>
      <w:sz w:val="20"/>
      <w:szCs w:val="20"/>
      <w:lang w:val="zh-CN" w:bidi="zh-CN"/>
    </w:rPr>
  </w:style>
  <w:style w:type="paragraph" w:customStyle="1" w:styleId="9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Cs w:val="28"/>
    </w:rPr>
  </w:style>
  <w:style w:type="character" w:customStyle="1" w:styleId="91">
    <w:name w:val="批注主题 字符"/>
    <w:basedOn w:val="42"/>
    <w:link w:val="23"/>
    <w:semiHidden/>
    <w:qFormat/>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3.emf"/><Relationship Id="rId21" Type="http://schemas.openxmlformats.org/officeDocument/2006/relationships/package" Target="embeddings/Microsoft_Visio___1.vsdx"/><Relationship Id="rId20" Type="http://schemas.openxmlformats.org/officeDocument/2006/relationships/image" Target="media/image2.emf"/><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A48C72-B1E1-48D7-BE9D-8AD29F0FABE3}">
  <ds:schemaRefs/>
</ds:datastoreItem>
</file>

<file path=docProps/app.xml><?xml version="1.0" encoding="utf-8"?>
<Properties xmlns="http://schemas.openxmlformats.org/officeDocument/2006/extended-properties" xmlns:vt="http://schemas.openxmlformats.org/officeDocument/2006/docPropsVTypes">
  <Template>Normal</Template>
  <Company>pc</Company>
  <Pages>22</Pages>
  <Words>6981</Words>
  <Characters>8224</Characters>
  <Lines>81</Lines>
  <Paragraphs>22</Paragraphs>
  <TotalTime>11</TotalTime>
  <ScaleCrop>false</ScaleCrop>
  <LinksUpToDate>false</LinksUpToDate>
  <CharactersWithSpaces>9102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2023-08-28T01:07:00Z</dcterms:created>
  <dc:creator>yuzeli</dc:creator>
  <cp:lastModifiedBy>LZC</cp:lastModifiedBy>
  <cp:lastPrinted>2023-04-28T06:46:00Z</cp:lastPrinted>
  <dcterms:modified xsi:type="dcterms:W3CDTF">2023-12-20T06:02:27Z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59BAADD685864DF1A88B5151047110BF_13</vt:lpwstr>
  </property>
</Properties>
</file>