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金属线材反复弯曲试验机校准规范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金属线材反复弯曲试验机校准规范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3-</w:t>
                            </w:r>
                            <w:r>
                              <w:rPr>
                                <w:rFonts w:hint="eastAsia" w:ascii="黑体" w:hAnsi="黑体" w:eastAsia="黑体"/>
                                <w:sz w:val="36"/>
                                <w:szCs w:val="36"/>
                                <w:lang w:val="en-US" w:eastAsia="zh-CN"/>
                              </w:rPr>
                              <w:t>11</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3-</w:t>
                      </w:r>
                      <w:r>
                        <w:rPr>
                          <w:rFonts w:hint="eastAsia" w:ascii="黑体" w:hAnsi="黑体" w:eastAsia="黑体"/>
                          <w:sz w:val="36"/>
                          <w:szCs w:val="36"/>
                          <w:lang w:val="en-US" w:eastAsia="zh-CN"/>
                        </w:rPr>
                        <w:t>11</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szCs w:val="52"/>
                              </w:rPr>
                              <w:t>金属线材反复弯曲试验机校准规范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szCs w:val="52"/>
                        </w:rPr>
                        <w:t>金属线材反复弯曲试验机校准规范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b/>
        </w:rPr>
      </w:pPr>
    </w:p>
    <w:p>
      <w:pPr>
        <w:pStyle w:val="58"/>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1"/>
        <w:numPr>
          <w:ilvl w:val="0"/>
          <w:numId w:val="0"/>
        </w:numPr>
        <w:spacing w:before="156" w:after="156" w:line="300" w:lineRule="auto"/>
        <w:contextualSpacing/>
      </w:pPr>
      <w:bookmarkStart w:id="3" w:name="_Toc456592524"/>
      <w:bookmarkStart w:id="4" w:name="_Toc464728892"/>
      <w:r>
        <w:rPr>
          <w:rFonts w:hint="eastAsia"/>
        </w:rPr>
        <w:t>1.立项目的</w:t>
      </w:r>
      <w:bookmarkEnd w:id="3"/>
      <w:bookmarkEnd w:id="4"/>
    </w:p>
    <w:p>
      <w:pPr>
        <w:spacing w:line="300" w:lineRule="auto"/>
        <w:ind w:firstLine="420" w:firstLineChars="200"/>
      </w:pPr>
      <w:bookmarkStart w:id="5" w:name="_Toc464728896"/>
      <w:r>
        <w:rPr>
          <w:rFonts w:hint="eastAsia"/>
        </w:rPr>
        <w:t>金属线材反复弯曲试验机是检验金属材料的耐反复弯曲性能，并显示金属材料缺陷的，适用于直径为（0.3～10）mm的铜、铝及其合金、双金属线等圆截面导体金属线材的弯曲性能检测，广泛应用于有色金属领域。反复弯曲试验是确定金属材料塑性变形能力的一种试验方法，目的在于了解产品的结构弱点以及功能退化情况，进而有效地评估产品的可靠性。因此它在材料检测和科学研究中都具有非常重要的意义。反复弯曲试验机各项性能参数合格与否直接影响着试验结果的准确性和可靠性。</w:t>
      </w:r>
    </w:p>
    <w:p>
      <w:pPr>
        <w:spacing w:line="300" w:lineRule="auto"/>
        <w:ind w:firstLine="420" w:firstLineChars="200"/>
      </w:pPr>
      <w:r>
        <w:rPr>
          <w:rFonts w:hint="eastAsia"/>
        </w:rPr>
        <w:t>随着有色金属行业的发展，反复弯曲试验机的应用领域也越来越广泛，对材料性能检测提出了更高的要求，为了保证金属线材塑性变形能力的准确测量，需要对反复弯曲试验机进行计量，保证各项功能参数量值准确可靠。目前，国内仅见金属线材反复弯曲试验方法相关研究，未见金属线材反复弯曲试验机计量方面的研究，各省市计量技术研究院对金属线材反复弯曲试验机的检定/校准工作未开展，或存在不合理不统一的操作。所提出的校准望能开展对反复弯曲试验机的校准工作，确保校准结果的准确性以及试验结果的可信度，弥补有色金属行业以及计量行业领域空白，促进反复弯曲试验机在有色金属行业得到更合理更准确的应用。</w:t>
      </w:r>
    </w:p>
    <w:p>
      <w:pPr>
        <w:pStyle w:val="61"/>
        <w:numPr>
          <w:ilvl w:val="0"/>
          <w:numId w:val="0"/>
        </w:numPr>
        <w:spacing w:before="156" w:after="156" w:line="300" w:lineRule="auto"/>
        <w:contextualSpacing/>
      </w:pPr>
      <w:r>
        <w:rPr>
          <w:rFonts w:hint="eastAsia"/>
        </w:rPr>
        <w:t>2.任务来源</w:t>
      </w:r>
      <w:bookmarkEnd w:id="5"/>
    </w:p>
    <w:p>
      <w:pPr>
        <w:spacing w:line="300" w:lineRule="auto"/>
        <w:ind w:firstLine="420" w:firstLineChars="200"/>
        <w:contextualSpacing/>
        <w:jc w:val="left"/>
        <w:rPr>
          <w:szCs w:val="21"/>
        </w:rPr>
      </w:pPr>
      <w:r>
        <w:rPr>
          <w:rFonts w:hint="eastAsia"/>
          <w:szCs w:val="21"/>
        </w:rPr>
        <w:t>为保证我国</w:t>
      </w:r>
      <w:r>
        <w:rPr>
          <w:rFonts w:hint="eastAsia"/>
        </w:rPr>
        <w:t>金属线材反复弯曲试验机</w:t>
      </w:r>
      <w:r>
        <w:rPr>
          <w:rFonts w:hint="eastAsia"/>
          <w:szCs w:val="21"/>
        </w:rPr>
        <w:t>的量值准确、可靠，适应我国有色金属行业的快速发展和满足国内外市场的需要，工业和信息化部以工信厅下达了《工业和信息化部办公厅关于印发202</w:t>
      </w:r>
      <w:r>
        <w:rPr>
          <w:szCs w:val="21"/>
        </w:rPr>
        <w:t>2</w:t>
      </w:r>
      <w:r>
        <w:rPr>
          <w:rFonts w:hint="eastAsia"/>
          <w:szCs w:val="21"/>
        </w:rPr>
        <w:t>年行业计量技术规范制修订计划的通知》</w:t>
      </w:r>
      <w:r>
        <w:rPr>
          <w:rFonts w:hint="eastAsia" w:hAnsi="宋体"/>
          <w:bCs/>
          <w:szCs w:val="21"/>
        </w:rPr>
        <w:t>（工信厅科函［</w:t>
      </w:r>
      <w:r>
        <w:rPr>
          <w:rFonts w:hAnsi="宋体"/>
          <w:bCs/>
          <w:szCs w:val="21"/>
        </w:rPr>
        <w:t>20</w:t>
      </w:r>
      <w:r>
        <w:rPr>
          <w:rFonts w:hint="eastAsia" w:hAnsi="宋体"/>
          <w:bCs/>
          <w:szCs w:val="21"/>
        </w:rPr>
        <w:t>2</w:t>
      </w:r>
      <w:r>
        <w:rPr>
          <w:rFonts w:hAnsi="宋体"/>
          <w:bCs/>
          <w:szCs w:val="21"/>
        </w:rPr>
        <w:t>2</w:t>
      </w:r>
      <w:r>
        <w:rPr>
          <w:rFonts w:hint="eastAsia" w:hAnsi="宋体"/>
          <w:bCs/>
          <w:szCs w:val="21"/>
        </w:rPr>
        <w:t>］</w:t>
      </w:r>
      <w:r>
        <w:rPr>
          <w:rFonts w:hAnsi="宋体"/>
          <w:bCs/>
          <w:szCs w:val="21"/>
        </w:rPr>
        <w:t>464</w:t>
      </w:r>
      <w:r>
        <w:rPr>
          <w:rFonts w:hint="eastAsia" w:hAnsi="宋体"/>
          <w:bCs/>
          <w:szCs w:val="21"/>
        </w:rPr>
        <w:t>号）</w:t>
      </w:r>
      <w:r>
        <w:rPr>
          <w:rFonts w:hint="eastAsia"/>
          <w:szCs w:val="21"/>
        </w:rPr>
        <w:t>，其计划项目代号为：JJFZ(有色金属)01</w:t>
      </w:r>
      <w:r>
        <w:rPr>
          <w:szCs w:val="21"/>
        </w:rPr>
        <w:t>1</w:t>
      </w:r>
      <w:r>
        <w:rPr>
          <w:rFonts w:hint="eastAsia"/>
          <w:szCs w:val="21"/>
        </w:rPr>
        <w:t>-2022，计划完成年限为2023年。</w:t>
      </w:r>
      <w:r>
        <w:rPr>
          <w:rFonts w:hint="eastAsia" w:asciiTheme="minorEastAsia" w:hAnsiTheme="minorEastAsia" w:eastAsiaTheme="minorEastAsia"/>
          <w:sz w:val="24"/>
        </w:rPr>
        <w:t xml:space="preserve"> </w:t>
      </w:r>
    </w:p>
    <w:p>
      <w:pPr>
        <w:pStyle w:val="61"/>
        <w:numPr>
          <w:ilvl w:val="0"/>
          <w:numId w:val="0"/>
        </w:numPr>
        <w:spacing w:before="156" w:after="156" w:line="300" w:lineRule="auto"/>
        <w:contextualSpacing/>
      </w:pPr>
      <w:bookmarkStart w:id="6" w:name="_Toc464728898"/>
      <w:bookmarkStart w:id="7" w:name="_Toc462884342"/>
      <w:r>
        <w:rPr>
          <w:rFonts w:hint="eastAsia"/>
        </w:rPr>
        <w:t>3.项目编制组单位简况</w:t>
      </w:r>
      <w:bookmarkEnd w:id="6"/>
      <w:bookmarkEnd w:id="7"/>
      <w:r>
        <w:rPr>
          <w:rFonts w:hint="eastAsia"/>
        </w:rPr>
        <w:t xml:space="preserve">      </w:t>
      </w:r>
    </w:p>
    <w:p>
      <w:pPr>
        <w:pStyle w:val="60"/>
        <w:numPr>
          <w:ilvl w:val="0"/>
          <w:numId w:val="0"/>
        </w:numPr>
        <w:spacing w:before="156" w:beforeLines="50" w:after="156" w:afterLines="50" w:line="240" w:lineRule="auto"/>
        <w:rPr>
          <w:color w:val="auto"/>
        </w:rPr>
      </w:pPr>
      <w:bookmarkStart w:id="8" w:name="_Toc464728899"/>
      <w:bookmarkStart w:id="9" w:name="_Toc462884343"/>
      <w:r>
        <w:rPr>
          <w:rFonts w:hint="eastAsia"/>
          <w:color w:val="auto"/>
        </w:rPr>
        <w:t>3.1编制组成员单位</w:t>
      </w:r>
      <w:bookmarkEnd w:id="8"/>
      <w:bookmarkEnd w:id="9"/>
    </w:p>
    <w:p>
      <w:pPr>
        <w:widowControl/>
        <w:autoSpaceDE w:val="0"/>
        <w:autoSpaceDN w:val="0"/>
        <w:spacing w:line="360" w:lineRule="auto"/>
        <w:ind w:firstLine="420" w:firstLineChars="200"/>
        <w:rPr>
          <w:szCs w:val="21"/>
        </w:rPr>
      </w:pPr>
      <w:bookmarkStart w:id="10" w:name="_Toc464728900"/>
      <w:bookmarkStart w:id="11" w:name="_Toc462884344"/>
      <w:r>
        <w:rPr>
          <w:rFonts w:hint="eastAsia"/>
          <w:szCs w:val="21"/>
        </w:rPr>
        <w:t>本规范的编制组单位为：西安汉唐分析检测有限公司。</w:t>
      </w:r>
    </w:p>
    <w:bookmarkEnd w:id="10"/>
    <w:bookmarkEnd w:id="11"/>
    <w:p>
      <w:pPr>
        <w:pStyle w:val="60"/>
        <w:numPr>
          <w:ilvl w:val="0"/>
          <w:numId w:val="0"/>
        </w:numPr>
        <w:spacing w:before="156" w:beforeLines="50" w:after="156" w:afterLines="50"/>
        <w:contextualSpacing/>
        <w:rPr>
          <w:rFonts w:hAnsi="黑体"/>
          <w:color w:val="auto"/>
        </w:rPr>
      </w:pPr>
      <w:r>
        <w:rPr>
          <w:rFonts w:hint="eastAsia" w:hAnsi="黑体"/>
          <w:color w:val="auto"/>
        </w:rPr>
        <w:t>3.2主编单位简介</w:t>
      </w:r>
    </w:p>
    <w:p>
      <w:pPr>
        <w:pStyle w:val="59"/>
        <w:numPr>
          <w:ilvl w:val="0"/>
          <w:numId w:val="0"/>
        </w:numPr>
        <w:spacing w:before="156" w:beforeLines="50" w:after="156" w:afterLines="50"/>
        <w:contextualSpacing/>
        <w:rPr>
          <w:color w:val="auto"/>
        </w:rPr>
      </w:pPr>
      <w:r>
        <w:rPr>
          <w:rFonts w:hint="eastAsia"/>
          <w:color w:val="auto"/>
        </w:rPr>
        <w:t>3.2.1西安汉唐分析检测有限公司</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numPr>
          <w:ilvl w:val="0"/>
          <w:numId w:val="0"/>
        </w:numPr>
        <w:spacing w:before="156" w:beforeLines="50" w:after="156" w:afterLines="50" w:line="240" w:lineRule="auto"/>
        <w:rPr>
          <w:color w:val="auto"/>
        </w:rPr>
      </w:pPr>
      <w:bookmarkStart w:id="12" w:name="_Toc462884345"/>
      <w:bookmarkStart w:id="13" w:name="_Toc464728901"/>
      <w:r>
        <w:rPr>
          <w:rFonts w:hint="eastAsia"/>
          <w:color w:val="auto"/>
        </w:rPr>
        <w:t>3.3成员单位简介</w:t>
      </w:r>
      <w:bookmarkEnd w:id="12"/>
      <w:bookmarkEnd w:id="13"/>
    </w:p>
    <w:p>
      <w:pPr>
        <w:pStyle w:val="61"/>
        <w:numPr>
          <w:ilvl w:val="0"/>
          <w:numId w:val="0"/>
        </w:numPr>
        <w:spacing w:before="156" w:after="156" w:line="300" w:lineRule="auto"/>
        <w:contextualSpacing/>
      </w:pPr>
      <w:bookmarkStart w:id="14" w:name="_Toc464728913"/>
      <w:bookmarkStart w:id="15" w:name="_Toc462884357"/>
      <w:r>
        <w:rPr>
          <w:rFonts w:hint="eastAsia"/>
        </w:rPr>
        <w:t>4.主要工作过程</w:t>
      </w:r>
      <w:bookmarkEnd w:id="14"/>
      <w:bookmarkEnd w:id="15"/>
    </w:p>
    <w:p>
      <w:pPr>
        <w:spacing w:line="360" w:lineRule="auto"/>
        <w:ind w:firstLine="420" w:firstLineChars="200"/>
        <w:rPr>
          <w:bCs/>
        </w:rPr>
      </w:pPr>
      <w:bookmarkStart w:id="16"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p>
    <w:p>
      <w:pPr>
        <w:spacing w:line="360" w:lineRule="auto"/>
        <w:ind w:firstLine="420" w:firstLineChars="200"/>
        <w:rPr>
          <w:bCs/>
        </w:rPr>
      </w:pPr>
      <w:r>
        <w:rPr>
          <w:rFonts w:hint="eastAsia"/>
          <w:bCs/>
        </w:rPr>
        <w:t>2022年11月成立了计量规范编制组，明确编制组成员各自的工作内容及任务，对被校对象的使用单位进行了校准需求调研，收集相关资料。</w:t>
      </w:r>
    </w:p>
    <w:p>
      <w:pPr>
        <w:spacing w:line="360" w:lineRule="auto"/>
        <w:ind w:firstLine="420" w:firstLineChars="200"/>
        <w:rPr>
          <w:bCs/>
        </w:rPr>
      </w:pPr>
      <w:r>
        <w:rPr>
          <w:rFonts w:hint="eastAsia"/>
          <w:bCs/>
        </w:rPr>
        <w:t>2022年12月~2023年4月编制组成员对校准规范中的计量特性及校准方法进行了讨论，确定了校准项目及方法，对关键技术指标提出了修改意见最终行成初稿。</w:t>
      </w:r>
    </w:p>
    <w:p>
      <w:pPr>
        <w:spacing w:line="360" w:lineRule="auto"/>
        <w:ind w:firstLine="420" w:firstLineChars="200"/>
        <w:rPr>
          <w:bCs/>
        </w:rPr>
      </w:pPr>
      <w:r>
        <w:rPr>
          <w:rFonts w:hint="eastAsia"/>
          <w:bCs/>
        </w:rPr>
        <w:t>2023年5月，编制组依据讨论会上提出修改意见，具体意见内容见表1。</w:t>
      </w:r>
    </w:p>
    <w:p>
      <w:pPr>
        <w:pStyle w:val="35"/>
        <w:jc w:val="center"/>
        <w:rPr>
          <w:sz w:val="18"/>
          <w:szCs w:val="18"/>
        </w:rPr>
      </w:pPr>
      <w:r>
        <w:rPr>
          <w:rFonts w:hint="eastAsia"/>
          <w:sz w:val="18"/>
          <w:szCs w:val="18"/>
        </w:rPr>
        <w:t>表1 有色金属计量技术规范研讨会会议纪要</w:t>
      </w:r>
    </w:p>
    <w:tbl>
      <w:tblPr>
        <w:tblStyle w:val="41"/>
        <w:tblW w:w="4765" w:type="pct"/>
        <w:jc w:val="center"/>
        <w:tblLayout w:type="fixed"/>
        <w:tblCellMar>
          <w:top w:w="0" w:type="dxa"/>
          <w:left w:w="108" w:type="dxa"/>
          <w:bottom w:w="0" w:type="dxa"/>
          <w:right w:w="108" w:type="dxa"/>
        </w:tblCellMar>
      </w:tblPr>
      <w:tblGrid>
        <w:gridCol w:w="839"/>
        <w:gridCol w:w="1025"/>
        <w:gridCol w:w="4426"/>
        <w:gridCol w:w="1411"/>
        <w:gridCol w:w="1420"/>
      </w:tblGrid>
      <w:tr>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参会单位及人员</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见会议签到表</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拟参与编制单位、一验二验单位</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bCs/>
              </w:rPr>
            </w:pPr>
            <w:r>
              <w:rPr>
                <w:rFonts w:hint="eastAsia"/>
                <w:bCs/>
              </w:rPr>
              <w:t>拟参：中航金属材料理化检测科技有限公司、中国有色金属工业西北质量监督检验中心、广东省科学院工业分析检测中心、中铝材料应用研究院有限公司等</w:t>
            </w:r>
          </w:p>
          <w:p>
            <w:pPr>
              <w:spacing w:line="360" w:lineRule="auto"/>
              <w:ind w:firstLine="420" w:firstLineChars="200"/>
              <w:rPr>
                <w:bCs/>
              </w:rPr>
            </w:pPr>
            <w:r>
              <w:rPr>
                <w:rFonts w:hint="eastAsia"/>
                <w:bCs/>
              </w:rPr>
              <w:t>一验：广东省科学院工业分析检测中心</w:t>
            </w:r>
          </w:p>
          <w:p>
            <w:pPr>
              <w:spacing w:line="360" w:lineRule="auto"/>
              <w:ind w:firstLine="420" w:firstLineChars="200"/>
              <w:rPr>
                <w:bCs/>
              </w:rPr>
            </w:pPr>
            <w:r>
              <w:rPr>
                <w:rFonts w:hint="eastAsia"/>
                <w:bCs/>
              </w:rPr>
              <w:t>二验：国标（北京）检验认证有限公司、中国有色金属工业西北质量监督检验中心</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时间节点安排</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2024年完成规范报批</w:t>
            </w:r>
          </w:p>
        </w:tc>
      </w:tr>
      <w:tr>
        <w:tblPrEx>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序号</w:t>
            </w:r>
          </w:p>
        </w:tc>
        <w:tc>
          <w:tcPr>
            <w:tcW w:w="10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rPr>
            </w:pPr>
            <w:r>
              <w:rPr>
                <w:rFonts w:hint="eastAsia"/>
                <w:bCs/>
              </w:rPr>
              <w:t>标准章条编号</w:t>
            </w:r>
          </w:p>
        </w:tc>
        <w:tc>
          <w:tcPr>
            <w:tcW w:w="44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意见内容</w:t>
            </w:r>
          </w:p>
        </w:tc>
        <w:tc>
          <w:tcPr>
            <w:tcW w:w="1411"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提出单位及提出人（可简写）</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处理意见</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2引用文件</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补充引用文件，并将引用文件写在引言中</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马金萍</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bCs/>
              </w:rPr>
            </w:pPr>
            <w:r>
              <w:rPr>
                <w:bCs/>
              </w:rPr>
              <w:t>4.1</w:t>
            </w:r>
            <w:r>
              <w:rPr>
                <w:rFonts w:hint="eastAsia"/>
                <w:bCs/>
              </w:rPr>
              <w:t>弯折圆柱表面粗糙度</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删去弯折圆柱表面粗糙度</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马金萍</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4</w:t>
            </w:r>
            <w:r>
              <w:rPr>
                <w:bCs/>
              </w:rPr>
              <w:t>.2</w:t>
            </w:r>
            <w:r>
              <w:rPr>
                <w:rFonts w:hint="eastAsia"/>
                <w:bCs/>
              </w:rPr>
              <w:t>弯折圆柱硬度</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删去弯折圆柱表面硬度</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马金萍</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bCs/>
                <w:szCs w:val="21"/>
              </w:rPr>
            </w:pPr>
            <w:r>
              <w:rPr>
                <w:rFonts w:hint="eastAsia"/>
                <w:bCs/>
                <w:szCs w:val="21"/>
              </w:rPr>
              <w:t>4.</w:t>
            </w:r>
            <w:r>
              <w:rPr>
                <w:bCs/>
                <w:szCs w:val="21"/>
              </w:rPr>
              <w:t>5</w:t>
            </w:r>
            <w:r>
              <w:rPr>
                <w:rFonts w:eastAsiaTheme="minorEastAsia"/>
                <w:kern w:val="0"/>
                <w:szCs w:val="21"/>
              </w:rPr>
              <w:t>试样与圆柱支辊间隙</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删去</w:t>
            </w:r>
            <w:r>
              <w:rPr>
                <w:rFonts w:eastAsiaTheme="minorEastAsia"/>
                <w:kern w:val="0"/>
                <w:szCs w:val="21"/>
              </w:rPr>
              <w:t>试样与圆柱支辊间隙</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szCs w:val="21"/>
              </w:rPr>
            </w:pPr>
            <w:r>
              <w:rPr>
                <w:rFonts w:hint="eastAsia"/>
                <w:bCs/>
                <w:szCs w:val="21"/>
              </w:rPr>
              <w:t>4.</w:t>
            </w:r>
            <w:r>
              <w:rPr>
                <w:bCs/>
                <w:szCs w:val="21"/>
              </w:rPr>
              <w:t>6圆柱支辊的平行度</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删去</w:t>
            </w:r>
            <w:r>
              <w:rPr>
                <w:bCs/>
                <w:szCs w:val="21"/>
              </w:rPr>
              <w:t>圆柱支辊的平行度</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tabs>
                <w:tab w:val="center" w:pos="684"/>
              </w:tabs>
              <w:jc w:val="center"/>
              <w:rPr>
                <w:bCs/>
              </w:rPr>
            </w:pPr>
            <w:r>
              <w:rPr>
                <w:rFonts w:hint="eastAsia"/>
                <w:bCs/>
              </w:rPr>
              <w:t>5.2</w:t>
            </w:r>
            <w:r>
              <w:rPr>
                <w:rFonts w:hint="eastAsia"/>
                <w:bCs/>
              </w:rPr>
              <w:tab/>
            </w:r>
            <w:r>
              <w:rPr>
                <w:rFonts w:hint="eastAsia"/>
                <w:bCs/>
              </w:rPr>
              <w:t>校准项目及校准设备</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删去计量特性中的相关校准项目</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tabs>
                <w:tab w:val="center" w:pos="684"/>
              </w:tabs>
              <w:jc w:val="center"/>
              <w:rPr>
                <w:rFonts w:hint="eastAsia"/>
                <w:bCs/>
              </w:rPr>
            </w:pPr>
            <w:r>
              <w:rPr>
                <w:rFonts w:hint="eastAsia"/>
                <w:bCs/>
              </w:rPr>
              <w:t>5.2</w:t>
            </w:r>
            <w:r>
              <w:rPr>
                <w:rFonts w:hint="eastAsia"/>
                <w:bCs/>
              </w:rPr>
              <w:tab/>
            </w:r>
            <w:r>
              <w:rPr>
                <w:rFonts w:hint="eastAsia"/>
                <w:bCs/>
              </w:rPr>
              <w:t>校准项目及校准设备</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eastAsiaTheme="minorEastAsia"/>
                <w:bCs/>
                <w:color w:val="000000"/>
                <w:szCs w:val="21"/>
              </w:rPr>
              <w:t>设备名称及计量特性</w:t>
            </w:r>
            <w:r>
              <w:rPr>
                <w:rFonts w:hint="eastAsia" w:eastAsiaTheme="minorEastAsia"/>
                <w:bCs/>
                <w:color w:val="000000"/>
                <w:szCs w:val="21"/>
              </w:rPr>
              <w:t>按分开描述</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ilvl w:val="0"/>
                <w:numId w:val="12"/>
              </w:numPr>
              <w:ind w:firstLineChars="0"/>
              <w:jc w:val="center"/>
              <w:rPr>
                <w:bCs/>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6校准项目和校准方法</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删去“</w:t>
            </w:r>
            <w:r>
              <w:rPr>
                <w:bCs/>
              </w:rPr>
              <w:t>其结果应满足……的要求</w:t>
            </w:r>
            <w:r>
              <w:rPr>
                <w:rFonts w:hint="eastAsia"/>
                <w:bCs/>
              </w:rPr>
              <w:t>”的描述</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bl>
    <w:p>
      <w:pPr>
        <w:spacing w:line="360" w:lineRule="auto"/>
        <w:ind w:firstLine="420" w:firstLineChars="200"/>
        <w:rPr>
          <w:rFonts w:hint="eastAsia"/>
          <w:bCs/>
        </w:rPr>
      </w:pPr>
      <w:r>
        <w:rPr>
          <w:rFonts w:hint="eastAsia"/>
          <w:bCs/>
        </w:rPr>
        <w:t>2023年</w:t>
      </w:r>
      <w:r>
        <w:rPr>
          <w:rFonts w:hint="eastAsia"/>
          <w:bCs/>
          <w:lang w:val="en-US" w:eastAsia="zh-CN"/>
        </w:rPr>
        <w:t>11</w:t>
      </w:r>
      <w:r>
        <w:rPr>
          <w:rFonts w:hint="eastAsia"/>
          <w:bCs/>
        </w:rPr>
        <w:t>月，编制组依据</w:t>
      </w:r>
      <w:r>
        <w:rPr>
          <w:rFonts w:hint="eastAsia"/>
          <w:bCs/>
          <w:lang w:val="en-US" w:eastAsia="zh-CN"/>
        </w:rPr>
        <w:t>预审</w:t>
      </w:r>
      <w:r>
        <w:rPr>
          <w:rFonts w:hint="eastAsia"/>
          <w:bCs/>
        </w:rPr>
        <w:t>会上提出修改意见，具体意见内容见表</w:t>
      </w:r>
      <w:r>
        <w:rPr>
          <w:rFonts w:hint="eastAsia"/>
          <w:bCs/>
          <w:lang w:val="en-US" w:eastAsia="zh-CN"/>
        </w:rPr>
        <w:t>2</w:t>
      </w:r>
      <w:r>
        <w:rPr>
          <w:rFonts w:hint="eastAsia"/>
          <w:bCs/>
        </w:rPr>
        <w:t>。</w:t>
      </w:r>
    </w:p>
    <w:p>
      <w:pPr>
        <w:spacing w:line="360" w:lineRule="auto"/>
        <w:ind w:firstLine="360" w:firstLineChars="200"/>
        <w:jc w:val="center"/>
        <w:rPr>
          <w:rFonts w:hint="eastAsia"/>
          <w:sz w:val="18"/>
          <w:szCs w:val="18"/>
        </w:rPr>
      </w:pPr>
      <w:r>
        <w:rPr>
          <w:rFonts w:hint="eastAsia"/>
          <w:sz w:val="18"/>
          <w:szCs w:val="18"/>
        </w:rPr>
        <w:t>表</w:t>
      </w:r>
      <w:r>
        <w:rPr>
          <w:rFonts w:hint="eastAsia"/>
          <w:sz w:val="18"/>
          <w:szCs w:val="18"/>
          <w:lang w:val="en-US" w:eastAsia="zh-CN"/>
        </w:rPr>
        <w:t>2</w:t>
      </w:r>
      <w:r>
        <w:rPr>
          <w:rFonts w:hint="eastAsia"/>
          <w:sz w:val="18"/>
          <w:szCs w:val="18"/>
        </w:rPr>
        <w:t xml:space="preserve"> 有色金属计量技术规范研讨会会议纪要</w:t>
      </w:r>
    </w:p>
    <w:tbl>
      <w:tblPr>
        <w:tblStyle w:val="41"/>
        <w:tblW w:w="4765" w:type="pct"/>
        <w:jc w:val="center"/>
        <w:tblLayout w:type="fixed"/>
        <w:tblCellMar>
          <w:top w:w="0" w:type="dxa"/>
          <w:left w:w="108" w:type="dxa"/>
          <w:bottom w:w="0" w:type="dxa"/>
          <w:right w:w="108" w:type="dxa"/>
        </w:tblCellMar>
      </w:tblPr>
      <w:tblGrid>
        <w:gridCol w:w="839"/>
        <w:gridCol w:w="1025"/>
        <w:gridCol w:w="4426"/>
        <w:gridCol w:w="1411"/>
        <w:gridCol w:w="1420"/>
      </w:tblGrid>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参会单位及人员</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见会议签到表</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拟参与编制单位、一验二验单位</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bCs/>
              </w:rPr>
            </w:pPr>
            <w:r>
              <w:rPr>
                <w:rFonts w:hint="eastAsia"/>
                <w:bCs/>
              </w:rPr>
              <w:t>拟参：中航金属材料理化检测科技有限公司、中国有色金属工业西北质量监督检验中心、广东省科学院工业分析检测中心、中铝材料应用研究院有限公司等</w:t>
            </w:r>
          </w:p>
          <w:p>
            <w:pPr>
              <w:spacing w:line="360" w:lineRule="auto"/>
              <w:ind w:firstLine="420" w:firstLineChars="200"/>
              <w:rPr>
                <w:bCs/>
              </w:rPr>
            </w:pPr>
            <w:r>
              <w:rPr>
                <w:rFonts w:hint="eastAsia"/>
                <w:bCs/>
              </w:rPr>
              <w:t>一验：广东省科学院工业分析检测中心</w:t>
            </w:r>
          </w:p>
          <w:p>
            <w:pPr>
              <w:spacing w:line="360" w:lineRule="auto"/>
              <w:ind w:firstLine="420" w:firstLineChars="200"/>
              <w:rPr>
                <w:bCs/>
              </w:rPr>
            </w:pPr>
            <w:r>
              <w:rPr>
                <w:rFonts w:hint="eastAsia"/>
                <w:bCs/>
              </w:rPr>
              <w:t>二验：国标（北京）检验认证有限公司、中国有色金属工业西北质量监督检验中心</w:t>
            </w:r>
          </w:p>
        </w:tc>
      </w:tr>
      <w:tr>
        <w:tblPrEx>
          <w:tblCellMar>
            <w:top w:w="0" w:type="dxa"/>
            <w:left w:w="108" w:type="dxa"/>
            <w:bottom w:w="0" w:type="dxa"/>
            <w:right w:w="108" w:type="dxa"/>
          </w:tblCellMar>
        </w:tblPrEx>
        <w:trPr>
          <w:trHeight w:val="567" w:hRule="atLeast"/>
          <w:jc w:val="center"/>
        </w:trPr>
        <w:tc>
          <w:tcPr>
            <w:tcW w:w="18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时间节点安排</w:t>
            </w:r>
          </w:p>
        </w:tc>
        <w:tc>
          <w:tcPr>
            <w:tcW w:w="725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2024年完成规范报批</w:t>
            </w:r>
          </w:p>
        </w:tc>
      </w:tr>
      <w:tr>
        <w:tblPrEx>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序号</w:t>
            </w:r>
          </w:p>
        </w:tc>
        <w:tc>
          <w:tcPr>
            <w:tcW w:w="10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rPr>
            </w:pPr>
            <w:r>
              <w:rPr>
                <w:rFonts w:hint="eastAsia"/>
                <w:bCs/>
              </w:rPr>
              <w:t>标准章条编号</w:t>
            </w:r>
          </w:p>
        </w:tc>
        <w:tc>
          <w:tcPr>
            <w:tcW w:w="442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bCs/>
              </w:rPr>
            </w:pPr>
            <w:r>
              <w:rPr>
                <w:rFonts w:hint="eastAsia"/>
                <w:bCs/>
              </w:rPr>
              <w:t>意见内容</w:t>
            </w:r>
          </w:p>
        </w:tc>
        <w:tc>
          <w:tcPr>
            <w:tcW w:w="1411"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提出单位及提出人（可简写）</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bCs/>
              </w:rPr>
            </w:pPr>
            <w:r>
              <w:rPr>
                <w:rFonts w:hint="eastAsia"/>
                <w:bCs/>
              </w:rPr>
              <w:t>处理意见</w:t>
            </w:r>
          </w:p>
        </w:tc>
      </w:tr>
      <w:tr>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1</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2</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引言里已对引用文件进行说明，内容处引用文件多余</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2</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bCs/>
                <w:lang w:val="en-US" w:eastAsia="zh-CN"/>
              </w:rPr>
            </w:pPr>
            <w:r>
              <w:rPr>
                <w:rFonts w:hint="eastAsia"/>
                <w:bCs/>
                <w:lang w:val="en-US" w:eastAsia="zh-CN"/>
              </w:rPr>
              <w:t>5.2</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“校准项目和校准设备”改为“测量标准及其他设备技术要求”</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3</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bCs/>
                <w:lang w:val="en-US" w:eastAsia="zh-CN"/>
              </w:rPr>
            </w:pPr>
            <w:r>
              <w:rPr>
                <w:rFonts w:hint="eastAsia"/>
                <w:bCs/>
                <w:lang w:val="en-US" w:eastAsia="zh-CN"/>
              </w:rPr>
              <w:t>4.4</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“试验过程……试验机弯折速度应能调整”应添加到6.2.3中</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4</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bCs/>
                <w:szCs w:val="21"/>
                <w:lang w:val="en-US" w:eastAsia="zh-CN"/>
              </w:rPr>
            </w:pPr>
            <w:r>
              <w:rPr>
                <w:rFonts w:hint="eastAsia"/>
                <w:bCs/>
                <w:szCs w:val="21"/>
                <w:lang w:val="en-US" w:eastAsia="zh-CN"/>
              </w:rPr>
              <w:t>4.6</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应明确拨杆孔直径极限偏差的应用范围和时机</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樊志罡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5</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bCs/>
                <w:szCs w:val="21"/>
                <w:lang w:val="en-US" w:eastAsia="zh-CN"/>
              </w:rPr>
            </w:pPr>
            <w:r>
              <w:rPr>
                <w:rFonts w:hint="eastAsia"/>
                <w:bCs/>
                <w:szCs w:val="21"/>
                <w:lang w:val="en-US" w:eastAsia="zh-CN"/>
              </w:rPr>
              <w:t>5.2</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更换测量标准“游标卡尺”，明确百分表和内径千分尺技术要求</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毕革平</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6</w:t>
            </w:r>
          </w:p>
        </w:tc>
        <w:tc>
          <w:tcPr>
            <w:tcW w:w="1025" w:type="dxa"/>
            <w:tcBorders>
              <w:top w:val="nil"/>
              <w:left w:val="nil"/>
              <w:bottom w:val="single" w:color="auto" w:sz="4" w:space="0"/>
              <w:right w:val="single" w:color="auto" w:sz="4" w:space="0"/>
            </w:tcBorders>
            <w:shd w:val="clear" w:color="auto" w:fill="auto"/>
            <w:noWrap/>
            <w:vAlign w:val="center"/>
          </w:tcPr>
          <w:p>
            <w:pPr>
              <w:widowControl/>
              <w:tabs>
                <w:tab w:val="center" w:pos="684"/>
              </w:tabs>
              <w:jc w:val="center"/>
              <w:rPr>
                <w:rFonts w:hint="default" w:eastAsia="宋体"/>
                <w:bCs/>
                <w:lang w:val="en-US" w:eastAsia="zh-CN"/>
              </w:rPr>
            </w:pPr>
            <w:r>
              <w:rPr>
                <w:rFonts w:hint="eastAsia"/>
                <w:bCs/>
                <w:lang w:val="en-US" w:eastAsia="zh-CN"/>
              </w:rPr>
              <w:t>6.2.3</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删去对弯曲次数的计数注释</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毕革平</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7</w:t>
            </w:r>
          </w:p>
        </w:tc>
        <w:tc>
          <w:tcPr>
            <w:tcW w:w="1025" w:type="dxa"/>
            <w:tcBorders>
              <w:top w:val="nil"/>
              <w:left w:val="nil"/>
              <w:bottom w:val="single" w:color="auto" w:sz="4" w:space="0"/>
              <w:right w:val="single" w:color="auto" w:sz="4" w:space="0"/>
            </w:tcBorders>
            <w:shd w:val="clear" w:color="auto" w:fill="auto"/>
            <w:noWrap/>
            <w:vAlign w:val="center"/>
          </w:tcPr>
          <w:p>
            <w:pPr>
              <w:widowControl/>
              <w:tabs>
                <w:tab w:val="center" w:pos="684"/>
              </w:tabs>
              <w:jc w:val="center"/>
              <w:rPr>
                <w:rFonts w:hint="default" w:eastAsia="宋体"/>
                <w:bCs/>
                <w:lang w:val="en-US" w:eastAsia="zh-CN"/>
              </w:rPr>
            </w:pPr>
            <w:r>
              <w:rPr>
                <w:rFonts w:hint="eastAsia"/>
                <w:bCs/>
                <w:lang w:val="en-US" w:eastAsia="zh-CN"/>
              </w:rPr>
              <w:t>6.2.4</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明确测量弯曲臂的转动轴心至圆柱支辊顶部的距离的描述</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毕革平</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采纳</w:t>
            </w:r>
          </w:p>
        </w:tc>
      </w:tr>
      <w:tr>
        <w:tblPrEx>
          <w:tblCellMar>
            <w:top w:w="0" w:type="dxa"/>
            <w:left w:w="108" w:type="dxa"/>
            <w:bottom w:w="0" w:type="dxa"/>
            <w:right w:w="108" w:type="dxa"/>
          </w:tblCellMar>
        </w:tblPrEx>
        <w:trPr>
          <w:trHeight w:val="567" w:hRule="atLeast"/>
          <w:jc w:val="center"/>
        </w:trPr>
        <w:tc>
          <w:tcPr>
            <w:tcW w:w="839" w:type="dxa"/>
            <w:tcBorders>
              <w:top w:val="nil"/>
              <w:left w:val="single" w:color="auto" w:sz="4" w:space="0"/>
              <w:bottom w:val="single" w:color="auto" w:sz="4" w:space="0"/>
              <w:right w:val="single" w:color="auto" w:sz="4" w:space="0"/>
            </w:tcBorders>
            <w:shd w:val="clear" w:color="auto" w:fill="auto"/>
            <w:noWrap/>
            <w:vAlign w:val="center"/>
          </w:tcPr>
          <w:p>
            <w:pPr>
              <w:pStyle w:val="302"/>
              <w:widowControl/>
              <w:numPr>
                <w:numId w:val="0"/>
              </w:numPr>
              <w:ind w:leftChars="0"/>
              <w:jc w:val="both"/>
              <w:rPr>
                <w:rFonts w:hint="eastAsia" w:eastAsia="宋体"/>
                <w:bCs/>
                <w:lang w:val="en-US" w:eastAsia="zh-CN"/>
              </w:rPr>
            </w:pPr>
            <w:r>
              <w:rPr>
                <w:rFonts w:hint="eastAsia"/>
                <w:bCs/>
                <w:lang w:val="en-US" w:eastAsia="zh-CN"/>
              </w:rPr>
              <w:t>8</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bCs/>
                <w:lang w:val="en-US" w:eastAsia="zh-CN"/>
              </w:rPr>
            </w:pPr>
            <w:r>
              <w:rPr>
                <w:rFonts w:hint="eastAsia"/>
                <w:bCs/>
                <w:lang w:val="en-US" w:eastAsia="zh-CN"/>
              </w:rPr>
              <w:t>附录C</w:t>
            </w:r>
          </w:p>
        </w:tc>
        <w:tc>
          <w:tcPr>
            <w:tcW w:w="4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更换标准器后重新对弯折圆柱半径示值误差不确定度进行评定</w:t>
            </w:r>
          </w:p>
        </w:tc>
        <w:tc>
          <w:tcPr>
            <w:tcW w:w="14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bCs/>
              </w:rPr>
            </w:pPr>
            <w:r>
              <w:rPr>
                <w:rFonts w:hint="eastAsia"/>
                <w:bCs/>
              </w:rPr>
              <w:t>毕革平</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bCs/>
              </w:rPr>
            </w:pPr>
            <w:r>
              <w:rPr>
                <w:rFonts w:hint="eastAsia"/>
                <w:bCs/>
              </w:rPr>
              <w:t>采纳</w:t>
            </w:r>
          </w:p>
        </w:tc>
      </w:tr>
    </w:tbl>
    <w:p>
      <w:pPr>
        <w:pStyle w:val="74"/>
        <w:numPr>
          <w:ilvl w:val="0"/>
          <w:numId w:val="11"/>
        </w:numPr>
        <w:tabs>
          <w:tab w:val="left" w:pos="426"/>
        </w:tabs>
        <w:spacing w:before="312" w:beforeLines="100" w:after="312" w:afterLines="100"/>
        <w:ind w:left="420" w:hangingChars="200"/>
        <w:jc w:val="left"/>
      </w:pPr>
      <w:bookmarkStart w:id="81" w:name="_GoBack"/>
      <w:bookmarkEnd w:id="81"/>
      <w:r>
        <w:rPr>
          <w:rFonts w:hint="eastAsia"/>
        </w:rPr>
        <w:t>规范编制原则和确定主要内容</w:t>
      </w:r>
      <w:bookmarkEnd w:id="16"/>
    </w:p>
    <w:p>
      <w:pPr>
        <w:pStyle w:val="79"/>
        <w:wordWrap/>
        <w:spacing w:beforeLines="0" w:after="156" w:line="360" w:lineRule="auto"/>
      </w:pPr>
      <w:bookmarkStart w:id="17" w:name="_Toc464728925"/>
      <w:r>
        <w:rPr>
          <w:rFonts w:hint="eastAsia"/>
        </w:rPr>
        <w:t>编制原则</w:t>
      </w:r>
      <w:bookmarkEnd w:id="17"/>
    </w:p>
    <w:p>
      <w:pPr>
        <w:pStyle w:val="58"/>
        <w:spacing w:line="324" w:lineRule="auto"/>
        <w:ind w:firstLineChars="0"/>
        <w:rPr>
          <w:rFonts w:ascii="Times New Roman" w:hAnsi="Times New Roman"/>
          <w:kern w:val="2"/>
          <w:szCs w:val="21"/>
        </w:rPr>
      </w:pPr>
      <w:bookmarkStart w:id="18" w:name="_Toc464728926"/>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p>
    <w:p>
      <w:pPr>
        <w:pStyle w:val="58"/>
        <w:spacing w:line="324" w:lineRule="auto"/>
        <w:ind w:firstLineChars="0"/>
        <w:rPr>
          <w:rFonts w:ascii="Times New Roman" w:hAnsi="Times New Roman"/>
          <w:kern w:val="2"/>
          <w:szCs w:val="21"/>
        </w:rPr>
      </w:pPr>
      <w:r>
        <w:rPr>
          <w:rFonts w:hint="eastAsia" w:ascii="Times New Roman" w:hAnsi="Times New Roman"/>
          <w:kern w:val="2"/>
          <w:szCs w:val="21"/>
        </w:rPr>
        <w:t>本规范引用了GB/T 238 金属线材反复弯曲试验方法和GB/T 4909.5 裸电线试验方法  第五部分：弯曲试验-反复弯曲等相关内容。</w:t>
      </w:r>
    </w:p>
    <w:p>
      <w:pPr>
        <w:pStyle w:val="79"/>
        <w:spacing w:before="312" w:beforeLines="100" w:after="312" w:afterLines="100"/>
        <w:rPr>
          <w:rFonts w:ascii="宋体" w:hAnsi="宋体"/>
        </w:rPr>
      </w:pPr>
      <w:r>
        <w:rPr>
          <w:rFonts w:hint="eastAsia"/>
        </w:rPr>
        <w:t>确定主要内</w:t>
      </w:r>
      <w:bookmarkEnd w:id="18"/>
      <w:r>
        <w:rPr>
          <w:rFonts w:hint="eastAsia"/>
        </w:rPr>
        <w:t>容</w:t>
      </w:r>
    </w:p>
    <w:p>
      <w:pPr>
        <w:pStyle w:val="61"/>
        <w:numPr>
          <w:ilvl w:val="0"/>
          <w:numId w:val="0"/>
        </w:numPr>
        <w:spacing w:beforeLines="0" w:afterLines="0" w:line="360" w:lineRule="auto"/>
        <w:rPr>
          <w:rFonts w:ascii="Times New Roman"/>
          <w:szCs w:val="21"/>
        </w:rPr>
      </w:pPr>
      <w:bookmarkStart w:id="19" w:name="_Toc500258929"/>
      <w:bookmarkStart w:id="20" w:name="_Toc193860177"/>
      <w:bookmarkStart w:id="21" w:name="_Toc23837_WPSOffice_Level1"/>
      <w:bookmarkStart w:id="22" w:name="_Toc193860027"/>
      <w:bookmarkStart w:id="23" w:name="_Toc193860208"/>
      <w:bookmarkStart w:id="24" w:name="_Toc464728964"/>
      <w:r>
        <w:rPr>
          <w:rFonts w:ascii="Times New Roman"/>
          <w:szCs w:val="21"/>
        </w:rPr>
        <w:t>1</w:t>
      </w:r>
      <w:r>
        <w:rPr>
          <w:rFonts w:hint="eastAsia" w:ascii="Times New Roman"/>
          <w:szCs w:val="21"/>
        </w:rPr>
        <w:t xml:space="preserve"> 范围</w:t>
      </w:r>
      <w:bookmarkEnd w:id="19"/>
      <w:bookmarkEnd w:id="20"/>
      <w:bookmarkEnd w:id="21"/>
      <w:bookmarkEnd w:id="22"/>
      <w:bookmarkEnd w:id="23"/>
    </w:p>
    <w:p>
      <w:pPr>
        <w:spacing w:line="360" w:lineRule="auto"/>
        <w:ind w:firstLine="420" w:firstLineChars="200"/>
        <w:rPr>
          <w:rFonts w:eastAsiaTheme="minorEastAsia"/>
          <w:kern w:val="0"/>
          <w:szCs w:val="21"/>
        </w:rPr>
      </w:pPr>
      <w:bookmarkStart w:id="25" w:name="_Toc193860028"/>
      <w:bookmarkStart w:id="26" w:name="_Toc193860209"/>
      <w:bookmarkStart w:id="27" w:name="_Toc193860178"/>
      <w:bookmarkStart w:id="28" w:name="_Toc500258930"/>
      <w:bookmarkStart w:id="29" w:name="_Toc7848_WPSOffice_Level1"/>
      <w:r>
        <w:rPr>
          <w:rFonts w:hint="eastAsia" w:eastAsiaTheme="minorEastAsia"/>
          <w:kern w:val="0"/>
          <w:szCs w:val="21"/>
        </w:rPr>
        <w:t>本规范适用于直径为（0.3～10）mm金属线材反复弯曲试验机（以下简称弯曲试验机）的校准，其他类型的弯曲试验机可参照本规范进行校准。</w:t>
      </w:r>
    </w:p>
    <w:p>
      <w:pPr>
        <w:pStyle w:val="61"/>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 xml:space="preserve"> 引用文</w:t>
      </w:r>
      <w:bookmarkEnd w:id="25"/>
      <w:bookmarkEnd w:id="26"/>
      <w:bookmarkEnd w:id="27"/>
      <w:r>
        <w:rPr>
          <w:rFonts w:hint="eastAsia" w:ascii="Times New Roman"/>
          <w:szCs w:val="21"/>
        </w:rPr>
        <w:t>件</w:t>
      </w:r>
      <w:bookmarkEnd w:id="28"/>
      <w:bookmarkEnd w:id="29"/>
    </w:p>
    <w:p>
      <w:pPr>
        <w:spacing w:line="360" w:lineRule="auto"/>
        <w:ind w:firstLine="420" w:firstLineChars="200"/>
        <w:rPr>
          <w:szCs w:val="21"/>
        </w:rPr>
      </w:pPr>
      <w:bookmarkStart w:id="30" w:name="_Toc193619055"/>
      <w:bookmarkStart w:id="31" w:name="_Toc193860030"/>
      <w:bookmarkStart w:id="32" w:name="_Toc193619097"/>
      <w:bookmarkStart w:id="33" w:name="_Toc13054_WPSOffice_Level1"/>
      <w:bookmarkStart w:id="34" w:name="_Toc193860180"/>
      <w:bookmarkStart w:id="35" w:name="_Toc500258937"/>
      <w:bookmarkStart w:id="36" w:name="_Toc193860211"/>
      <w:bookmarkStart w:id="37" w:name="_Toc193618952"/>
      <w:r>
        <w:rPr>
          <w:rFonts w:hint="eastAsia" w:eastAsiaTheme="minorEastAsia"/>
          <w:kern w:val="0"/>
          <w:szCs w:val="21"/>
        </w:rPr>
        <w:t>GB/T 238 金属线材反复弯曲试验方法</w:t>
      </w:r>
    </w:p>
    <w:p>
      <w:pPr>
        <w:spacing w:line="360" w:lineRule="auto"/>
        <w:ind w:firstLine="420" w:firstLineChars="200"/>
        <w:rPr>
          <w:rFonts w:eastAsiaTheme="minorEastAsia"/>
          <w:kern w:val="0"/>
          <w:szCs w:val="21"/>
        </w:rPr>
      </w:pPr>
      <w:r>
        <w:rPr>
          <w:rFonts w:hint="eastAsia" w:eastAsiaTheme="minorEastAsia"/>
          <w:kern w:val="0"/>
          <w:szCs w:val="21"/>
        </w:rPr>
        <w:t>GB/T 4909.5 裸电线试验方法 第五部分：弯曲试验-反复弯曲</w:t>
      </w:r>
    </w:p>
    <w:p>
      <w:pPr>
        <w:spacing w:line="360" w:lineRule="auto"/>
        <w:ind w:firstLine="420" w:firstLineChars="200"/>
        <w:rPr>
          <w:rFonts w:eastAsiaTheme="minorEastAsia"/>
          <w:kern w:val="0"/>
          <w:szCs w:val="21"/>
        </w:rPr>
      </w:pPr>
      <w:r>
        <w:rPr>
          <w:rFonts w:hint="eastAsia" w:eastAsiaTheme="minorEastAsia"/>
          <w:kern w:val="0"/>
          <w:szCs w:val="21"/>
        </w:rPr>
        <w:t>JB/T 9371 弯折试验机 技术条件</w:t>
      </w:r>
    </w:p>
    <w:p>
      <w:pPr>
        <w:pStyle w:val="61"/>
        <w:numPr>
          <w:ilvl w:val="0"/>
          <w:numId w:val="0"/>
        </w:numPr>
        <w:spacing w:beforeLines="0" w:afterLines="0" w:line="360" w:lineRule="auto"/>
        <w:rPr>
          <w:rFonts w:ascii="Times New Roman"/>
          <w:szCs w:val="21"/>
        </w:rPr>
      </w:pPr>
      <w:r>
        <w:rPr>
          <w:rFonts w:hint="eastAsia" w:ascii="Times New Roman"/>
          <w:szCs w:val="21"/>
        </w:rPr>
        <w:t>3 概述</w:t>
      </w:r>
      <w:bookmarkEnd w:id="30"/>
      <w:bookmarkEnd w:id="31"/>
      <w:bookmarkEnd w:id="32"/>
      <w:bookmarkEnd w:id="33"/>
      <w:bookmarkEnd w:id="34"/>
      <w:bookmarkEnd w:id="35"/>
      <w:bookmarkEnd w:id="36"/>
      <w:bookmarkEnd w:id="37"/>
    </w:p>
    <w:p>
      <w:pPr>
        <w:spacing w:line="360" w:lineRule="auto"/>
        <w:ind w:firstLine="420" w:firstLineChars="200"/>
        <w:rPr>
          <w:rFonts w:eastAsiaTheme="minorEastAsia"/>
          <w:color w:val="FF0000"/>
          <w:kern w:val="0"/>
          <w:szCs w:val="21"/>
        </w:rPr>
      </w:pPr>
      <w:bookmarkStart w:id="38" w:name="_Toc19851_WPSOffice_Level1"/>
      <w:bookmarkStart w:id="39" w:name="_Toc500258938"/>
      <w:bookmarkStart w:id="40" w:name="_Toc193860212"/>
      <w:bookmarkStart w:id="41" w:name="_Toc193860181"/>
      <w:bookmarkStart w:id="42" w:name="_Toc193618953"/>
      <w:bookmarkStart w:id="43" w:name="_Toc193619056"/>
      <w:bookmarkStart w:id="44" w:name="_Toc193860031"/>
      <w:bookmarkStart w:id="45" w:name="_Toc193619098"/>
      <w:r>
        <w:rPr>
          <w:rFonts w:hint="eastAsia" w:eastAsiaTheme="minorEastAsia"/>
          <w:szCs w:val="21"/>
        </w:rPr>
        <w:t>弯曲试验机是对圆截面导体金属线材做反复弯曲试验的测量设备，一般由弯折臂、拨杆、弯折圆柱、夹具以及支座等部分组成。</w:t>
      </w:r>
    </w:p>
    <w:p>
      <w:pPr>
        <w:pStyle w:val="61"/>
        <w:numPr>
          <w:ilvl w:val="0"/>
          <w:numId w:val="0"/>
        </w:numPr>
        <w:spacing w:before="156" w:afterLines="0" w:line="360" w:lineRule="auto"/>
        <w:rPr>
          <w:rFonts w:ascii="Times New Roman"/>
          <w:szCs w:val="21"/>
        </w:rPr>
      </w:pPr>
      <w:r>
        <w:rPr>
          <w:rFonts w:hint="eastAsia" w:ascii="Times New Roman"/>
          <w:szCs w:val="21"/>
        </w:rPr>
        <w:t>4 计量特性</w:t>
      </w:r>
      <w:bookmarkEnd w:id="38"/>
      <w:bookmarkEnd w:id="39"/>
      <w:bookmarkEnd w:id="40"/>
      <w:bookmarkEnd w:id="41"/>
      <w:bookmarkEnd w:id="42"/>
      <w:bookmarkEnd w:id="43"/>
      <w:bookmarkEnd w:id="44"/>
      <w:bookmarkEnd w:id="45"/>
    </w:p>
    <w:p>
      <w:pPr>
        <w:spacing w:line="360" w:lineRule="auto"/>
        <w:ind w:firstLine="420" w:firstLineChars="200"/>
        <w:rPr>
          <w:rFonts w:eastAsiaTheme="minorEastAsia"/>
          <w:szCs w:val="21"/>
        </w:rPr>
      </w:pPr>
      <w:bookmarkStart w:id="46" w:name="_Toc25829_WPSOffice_Level1"/>
      <w:r>
        <w:rPr>
          <w:rFonts w:hint="eastAsia" w:eastAsiaTheme="minorEastAsia"/>
          <w:szCs w:val="21"/>
        </w:rPr>
        <w:t>计量特性主要包含弯折圆柱高度差、弯折圆柱半径、弯折臂摆角、试验机弯曲速度、弯曲臂的转动轴心至圆柱支辊顶部的距离、拨杆孔直径。</w:t>
      </w:r>
    </w:p>
    <w:p>
      <w:pPr>
        <w:pStyle w:val="61"/>
        <w:numPr>
          <w:ilvl w:val="0"/>
          <w:numId w:val="0"/>
        </w:numPr>
        <w:spacing w:before="156" w:after="156" w:line="360" w:lineRule="auto"/>
        <w:rPr>
          <w:rFonts w:ascii="Times New Roman"/>
          <w:szCs w:val="21"/>
        </w:rPr>
      </w:pPr>
      <w:r>
        <w:rPr>
          <w:rFonts w:ascii="Times New Roman"/>
          <w:szCs w:val="21"/>
        </w:rPr>
        <w:t>5</w:t>
      </w:r>
      <w:r>
        <w:rPr>
          <w:rFonts w:hint="eastAsia" w:ascii="Times New Roman"/>
          <w:szCs w:val="21"/>
        </w:rPr>
        <w:t xml:space="preserve"> 校准条件</w:t>
      </w:r>
      <w:bookmarkEnd w:id="46"/>
      <w:bookmarkStart w:id="47" w:name="_Toc193860033"/>
      <w:bookmarkStart w:id="48" w:name="_Toc193860183"/>
      <w:bookmarkStart w:id="49" w:name="_Toc193860214"/>
      <w:bookmarkStart w:id="50" w:name="_Toc500258942"/>
    </w:p>
    <w:bookmarkEnd w:id="47"/>
    <w:bookmarkEnd w:id="48"/>
    <w:bookmarkEnd w:id="49"/>
    <w:bookmarkEnd w:id="50"/>
    <w:p>
      <w:pPr>
        <w:spacing w:line="360" w:lineRule="auto"/>
        <w:ind w:firstLine="420" w:firstLineChars="200"/>
        <w:rPr>
          <w:rFonts w:eastAsiaTheme="minorEastAsia"/>
          <w:color w:val="FF0000"/>
          <w:szCs w:val="21"/>
        </w:rPr>
      </w:pPr>
      <w:bookmarkStart w:id="51" w:name="_Toc193860185"/>
      <w:bookmarkStart w:id="52" w:name="_Toc2741_WPSOffice_Level1"/>
      <w:bookmarkStart w:id="53" w:name="_Toc193860035"/>
      <w:bookmarkStart w:id="54" w:name="_Toc193618955"/>
      <w:bookmarkStart w:id="55" w:name="_Toc193619058"/>
      <w:bookmarkStart w:id="56" w:name="_Toc193619100"/>
      <w:bookmarkStart w:id="57" w:name="_Toc500258944"/>
      <w:bookmarkStart w:id="58" w:name="_Toc193860216"/>
      <w:r>
        <w:rPr>
          <w:rFonts w:eastAsiaTheme="minorEastAsia"/>
          <w:szCs w:val="21"/>
        </w:rPr>
        <w:t>校准前，实验室环境条件环境温度：（10~35）℃，相对湿度：不大于80%，试验周围无腐蚀性介质，并且附近无影响试验结果的振源。</w:t>
      </w:r>
    </w:p>
    <w:p>
      <w:pPr>
        <w:pStyle w:val="61"/>
        <w:numPr>
          <w:ilvl w:val="0"/>
          <w:numId w:val="0"/>
        </w:numPr>
        <w:spacing w:before="156" w:after="156" w:line="360" w:lineRule="auto"/>
        <w:rPr>
          <w:rFonts w:ascii="Times New Roman"/>
          <w:szCs w:val="21"/>
        </w:rPr>
      </w:pPr>
      <w:r>
        <w:rPr>
          <w:rFonts w:ascii="Times New Roman"/>
          <w:szCs w:val="21"/>
        </w:rPr>
        <w:t>6</w:t>
      </w:r>
      <w:r>
        <w:rPr>
          <w:rFonts w:hint="eastAsia" w:ascii="Times New Roman"/>
          <w:szCs w:val="21"/>
        </w:rPr>
        <w:t xml:space="preserve"> 校准项目和校准方法</w:t>
      </w:r>
      <w:bookmarkEnd w:id="51"/>
      <w:bookmarkEnd w:id="52"/>
      <w:bookmarkEnd w:id="53"/>
      <w:bookmarkEnd w:id="54"/>
      <w:bookmarkEnd w:id="55"/>
      <w:bookmarkEnd w:id="56"/>
      <w:bookmarkEnd w:id="57"/>
      <w:bookmarkEnd w:id="58"/>
    </w:p>
    <w:p>
      <w:pPr>
        <w:spacing w:line="360" w:lineRule="auto"/>
        <w:ind w:firstLine="420" w:firstLineChars="200"/>
        <w:rPr>
          <w:rFonts w:eastAsiaTheme="minorEastAsia"/>
          <w:kern w:val="0"/>
          <w:szCs w:val="21"/>
        </w:rPr>
      </w:pPr>
      <w:bookmarkStart w:id="59" w:name="_Toc500258945"/>
      <w:bookmarkStart w:id="60" w:name="_Toc22718_WPSOffice_Level2"/>
      <w:bookmarkStart w:id="61" w:name="_Toc193618956"/>
      <w:bookmarkStart w:id="62" w:name="_Toc193619059"/>
      <w:bookmarkStart w:id="63" w:name="_Toc193619101"/>
      <w:bookmarkStart w:id="64" w:name="_Toc193860038"/>
      <w:bookmarkStart w:id="65" w:name="_Toc193860188"/>
      <w:bookmarkStart w:id="66" w:name="_Toc193860219"/>
      <w:bookmarkStart w:id="67" w:name="_Toc25466_WPSOffice_Level1"/>
      <w:bookmarkStart w:id="68" w:name="_Toc500258947"/>
      <w:r>
        <w:rPr>
          <w:rFonts w:hint="eastAsia"/>
          <w:kern w:val="0"/>
          <w:szCs w:val="21"/>
        </w:rPr>
        <w:t>校准项目包含</w:t>
      </w:r>
      <w:r>
        <w:rPr>
          <w:rFonts w:hint="eastAsia" w:eastAsiaTheme="minorEastAsia"/>
          <w:szCs w:val="21"/>
        </w:rPr>
        <w:t>弯折圆柱高度差、弯折圆柱半径、弯折臂摆角、试验机弯曲速度、弯曲臂的转动轴心至圆柱支辊顶部的距离、拨杆孔直径</w:t>
      </w:r>
      <w:r>
        <w:rPr>
          <w:rFonts w:hint="eastAsia" w:eastAsiaTheme="minorEastAsia"/>
          <w:kern w:val="0"/>
          <w:szCs w:val="21"/>
        </w:rPr>
        <w:t>要求以及具体的校准方法。</w:t>
      </w:r>
    </w:p>
    <w:bookmarkEnd w:id="59"/>
    <w:bookmarkEnd w:id="60"/>
    <w:p>
      <w:pPr>
        <w:pStyle w:val="61"/>
        <w:numPr>
          <w:ilvl w:val="0"/>
          <w:numId w:val="0"/>
        </w:numPr>
        <w:spacing w:before="156" w:after="156"/>
        <w:rPr>
          <w:rFonts w:ascii="Times New Roman"/>
          <w:szCs w:val="21"/>
        </w:rPr>
      </w:pPr>
      <w:r>
        <w:rPr>
          <w:rFonts w:ascii="Times New Roman"/>
          <w:szCs w:val="21"/>
        </w:rPr>
        <w:t>7</w:t>
      </w:r>
      <w:r>
        <w:rPr>
          <w:rFonts w:hint="eastAsia" w:ascii="Times New Roman"/>
          <w:szCs w:val="21"/>
        </w:rPr>
        <w:t xml:space="preserve"> 校准结果</w:t>
      </w:r>
      <w:bookmarkEnd w:id="61"/>
      <w:bookmarkEnd w:id="62"/>
      <w:bookmarkEnd w:id="63"/>
      <w:bookmarkEnd w:id="64"/>
      <w:bookmarkEnd w:id="65"/>
      <w:bookmarkEnd w:id="66"/>
      <w:r>
        <w:rPr>
          <w:rFonts w:hint="eastAsia" w:ascii="Times New Roman"/>
          <w:szCs w:val="21"/>
        </w:rPr>
        <w:t>表达</w:t>
      </w:r>
      <w:bookmarkEnd w:id="67"/>
      <w:bookmarkEnd w:id="68"/>
    </w:p>
    <w:p>
      <w:pPr>
        <w:pStyle w:val="58"/>
        <w:spacing w:line="360" w:lineRule="auto"/>
        <w:ind w:firstLine="420"/>
        <w:rPr>
          <w:rFonts w:ascii="Times New Roman" w:hAnsi="Times New Roman" w:eastAsiaTheme="minorEastAsia"/>
          <w:kern w:val="2"/>
          <w:szCs w:val="21"/>
        </w:rPr>
      </w:pPr>
      <w:bookmarkStart w:id="69" w:name="_Toc193860040"/>
      <w:bookmarkStart w:id="70" w:name="_Toc5529"/>
      <w:bookmarkStart w:id="71" w:name="_Toc193860220"/>
      <w:bookmarkStart w:id="72" w:name="_Toc14803_WPSOffice_Level1"/>
      <w:bookmarkStart w:id="73" w:name="_Toc193860189"/>
      <w:bookmarkStart w:id="74" w:name="_Toc193860041"/>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61"/>
        <w:numPr>
          <w:ilvl w:val="0"/>
          <w:numId w:val="0"/>
        </w:numPr>
        <w:spacing w:before="156" w:after="156"/>
        <w:rPr>
          <w:rFonts w:ascii="Times New Roman"/>
          <w:szCs w:val="21"/>
        </w:rPr>
      </w:pPr>
      <w:r>
        <w:rPr>
          <w:rFonts w:ascii="Times New Roman"/>
          <w:szCs w:val="21"/>
        </w:rPr>
        <w:t>8</w:t>
      </w:r>
      <w:r>
        <w:rPr>
          <w:rFonts w:hint="eastAsia" w:ascii="Times New Roman"/>
          <w:szCs w:val="21"/>
        </w:rPr>
        <w:t xml:space="preserve"> 复校</w:t>
      </w:r>
      <w:bookmarkEnd w:id="69"/>
      <w:bookmarkEnd w:id="70"/>
      <w:bookmarkEnd w:id="71"/>
      <w:bookmarkEnd w:id="72"/>
      <w:bookmarkEnd w:id="73"/>
      <w:r>
        <w:rPr>
          <w:rFonts w:hint="eastAsia" w:ascii="Times New Roman"/>
          <w:szCs w:val="21"/>
        </w:rPr>
        <w:t>时间间隔</w:t>
      </w:r>
    </w:p>
    <w:bookmarkEnd w:id="74"/>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建议复校时间间隔为</w:t>
      </w:r>
      <w:r>
        <w:rPr>
          <w:rFonts w:ascii="Times New Roman" w:hAnsi="Times New Roman" w:eastAsiaTheme="minorEastAsia"/>
          <w:kern w:val="2"/>
          <w:szCs w:val="21"/>
        </w:rPr>
        <w:t>1</w:t>
      </w:r>
      <w:r>
        <w:rPr>
          <w:rFonts w:hint="eastAsia" w:ascii="Times New Roman" w:hAnsi="Times New Roman" w:eastAsiaTheme="minorEastAsia"/>
          <w:kern w:val="2"/>
          <w:szCs w:val="21"/>
        </w:rPr>
        <w:t>年。</w:t>
      </w:r>
      <w:r>
        <w:rPr>
          <w:rFonts w:hint="eastAsia" w:ascii="Times New Roman" w:hAnsi="Times New Roman" w:eastAsiaTheme="minorEastAsia"/>
          <w:szCs w:val="21"/>
        </w:rPr>
        <w:t>弯曲试验机</w:t>
      </w:r>
      <w:r>
        <w:rPr>
          <w:rFonts w:hint="eastAsia" w:ascii="Times New Roman" w:hAnsi="Times New Roman" w:eastAsiaTheme="minorEastAsia"/>
          <w:kern w:val="2"/>
          <w:szCs w:val="21"/>
        </w:rPr>
        <w:t>使用频繁时应适当缩短周期，在使用过程中</w:t>
      </w:r>
      <w:r>
        <w:rPr>
          <w:rFonts w:hint="eastAsia" w:ascii="Times New Roman" w:hAnsi="Times New Roman" w:eastAsiaTheme="minorEastAsia"/>
          <w:szCs w:val="21"/>
        </w:rPr>
        <w:t>弯曲试验机</w:t>
      </w:r>
      <w:r>
        <w:rPr>
          <w:rFonts w:hint="eastAsia" w:ascii="Times New Roman" w:hAnsi="Times New Roman" w:eastAsiaTheme="minorEastAsia"/>
          <w:kern w:val="2"/>
          <w:szCs w:val="21"/>
        </w:rPr>
        <w:t>经过修理、更换重要部件的应重新校准。</w:t>
      </w:r>
    </w:p>
    <w:p>
      <w:pPr>
        <w:pStyle w:val="61"/>
        <w:numPr>
          <w:ilvl w:val="0"/>
          <w:numId w:val="0"/>
        </w:numPr>
        <w:spacing w:before="156" w:after="156"/>
        <w:rPr>
          <w:rFonts w:ascii="Times New Roman"/>
          <w:szCs w:val="21"/>
        </w:rPr>
      </w:pPr>
      <w:r>
        <w:rPr>
          <w:rFonts w:hint="eastAsia" w:ascii="Times New Roman"/>
          <w:szCs w:val="21"/>
        </w:rPr>
        <w:t>9.附录</w:t>
      </w:r>
    </w:p>
    <w:bookmarkEnd w:id="1"/>
    <w:bookmarkEnd w:id="24"/>
    <w:p>
      <w:pPr>
        <w:pStyle w:val="58"/>
        <w:spacing w:line="360" w:lineRule="auto"/>
        <w:ind w:firstLineChars="0"/>
        <w:rPr>
          <w:rFonts w:ascii="Times New Roman" w:hAnsi="Times New Roman" w:eastAsiaTheme="minorEastAsia"/>
          <w:kern w:val="2"/>
          <w:szCs w:val="21"/>
        </w:rPr>
      </w:pPr>
      <w:bookmarkStart w:id="75" w:name="_Toc464728965"/>
      <w:r>
        <w:rPr>
          <w:rFonts w:hint="eastAsia" w:ascii="Times New Roman" w:hAnsi="Times New Roman" w:eastAsiaTheme="minorEastAsia"/>
          <w:kern w:val="2"/>
          <w:szCs w:val="21"/>
        </w:rPr>
        <w:t>附录主要包含校准原始记录参考格式、校准证书内页参考格式、弯曲试验机圆柱半径示值误差测量结果不确定度评定示例、弯曲试验机反复弯曲计数方法四部分。</w:t>
      </w:r>
    </w:p>
    <w:p>
      <w:pPr>
        <w:pStyle w:val="74"/>
        <w:numPr>
          <w:ilvl w:val="0"/>
          <w:numId w:val="11"/>
        </w:numPr>
        <w:tabs>
          <w:tab w:val="left" w:pos="426"/>
        </w:tabs>
        <w:spacing w:before="312" w:beforeLines="100" w:after="312" w:afterLines="100"/>
        <w:ind w:left="420" w:hangingChars="200"/>
        <w:jc w:val="left"/>
      </w:pPr>
      <w:r>
        <w:rPr>
          <w:rFonts w:hint="eastAsia"/>
        </w:rPr>
        <w:t>规范水平分析</w:t>
      </w:r>
      <w:bookmarkEnd w:id="75"/>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hAnsi="宋体"/>
          <w:bCs/>
          <w:szCs w:val="21"/>
        </w:rPr>
      </w:pPr>
      <w:r>
        <w:rPr>
          <w:rFonts w:hint="eastAsia" w:eastAsiaTheme="minorEastAsia"/>
          <w:szCs w:val="21"/>
        </w:rPr>
        <w:t>弯曲试验机</w:t>
      </w:r>
      <w:r>
        <w:rPr>
          <w:rFonts w:hint="eastAsia"/>
        </w:rPr>
        <w:t>是</w:t>
      </w:r>
      <w:r>
        <w:rPr>
          <w:rFonts w:hint="eastAsia" w:eastAsiaTheme="minorEastAsia"/>
          <w:szCs w:val="21"/>
        </w:rPr>
        <w:t>专门用于校准或核查金属材料的耐反复弯曲性能的专用设备，据查，目前国内外没有针对弯曲试验机的校准规范，计量检测机构也未开展该类仪器的检定校准。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与有关的现行法律、法规和强制性国家标准的关系</w:t>
      </w:r>
    </w:p>
    <w:p>
      <w:pPr>
        <w:pStyle w:val="58"/>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pPr>
      <w:bookmarkStart w:id="76" w:name="_Toc464728973"/>
      <w:r>
        <w:rPr>
          <w:rFonts w:hint="eastAsia"/>
        </w:rPr>
        <w:t>规范中涉及的专利或知识产权说明</w:t>
      </w:r>
      <w:bookmarkEnd w:id="76"/>
    </w:p>
    <w:p>
      <w:pPr>
        <w:pStyle w:val="58"/>
        <w:spacing w:line="300" w:lineRule="auto"/>
        <w:ind w:firstLineChars="0"/>
        <w:contextualSpacing/>
        <w:rPr>
          <w:szCs w:val="21"/>
        </w:rPr>
      </w:pPr>
      <w:bookmarkStart w:id="77" w:name="_Toc464728974"/>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重大分歧意见的处理经过和依据</w:t>
      </w:r>
      <w:bookmarkEnd w:id="77"/>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pPr>
      <w:bookmarkStart w:id="78" w:name="_Toc464728976"/>
      <w:r>
        <w:rPr>
          <w:rFonts w:hint="eastAsia"/>
        </w:rPr>
        <w:t>贯彻规范的要求和措施建议</w:t>
      </w:r>
      <w:bookmarkEnd w:id="78"/>
    </w:p>
    <w:p>
      <w:pPr>
        <w:pStyle w:val="58"/>
        <w:spacing w:line="300" w:lineRule="auto"/>
        <w:ind w:firstLineChars="0"/>
        <w:contextualSpacing/>
        <w:rPr>
          <w:szCs w:val="21"/>
        </w:rPr>
      </w:pPr>
      <w:bookmarkStart w:id="79" w:name="_Toc464728977"/>
      <w:r>
        <w:rPr>
          <w:rFonts w:hint="eastAsia"/>
          <w:szCs w:val="21"/>
        </w:rPr>
        <w:t>本规范发布后，中国有色金属行业协会和有色金属行业计量技术委员会应加强本规范的宣传力度，促进</w:t>
      </w:r>
      <w:r>
        <w:rPr>
          <w:rFonts w:hint="eastAsia" w:ascii="Times New Roman" w:hAnsi="Times New Roman" w:eastAsiaTheme="minorEastAsia"/>
          <w:kern w:val="2"/>
          <w:szCs w:val="21"/>
        </w:rPr>
        <w:t>弯曲试验机</w:t>
      </w:r>
      <w:r>
        <w:rPr>
          <w:rFonts w:hint="eastAsia"/>
          <w:szCs w:val="21"/>
        </w:rPr>
        <w:t>生产厂家按照设备使用情况合理选用校准规范，以促进我国企业的技术进步和产品质量上档次，提高我国产品在国际国内市场的竞争能力。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pPr>
      <w:r>
        <w:rPr>
          <w:rFonts w:hint="eastAsia"/>
        </w:rPr>
        <w:t>废止现行有关规范的建议</w:t>
      </w:r>
      <w:bookmarkEnd w:id="79"/>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预期效果</w:t>
      </w:r>
    </w:p>
    <w:p>
      <w:pPr>
        <w:pStyle w:val="58"/>
        <w:spacing w:line="300" w:lineRule="auto"/>
        <w:ind w:firstLineChars="0"/>
        <w:contextualSpacing/>
        <w:rPr>
          <w:szCs w:val="21"/>
        </w:rPr>
      </w:pPr>
      <w:r>
        <w:rPr>
          <w:rFonts w:hint="eastAsia"/>
          <w:szCs w:val="21"/>
        </w:rPr>
        <w:t>金属线材反复弯曲试验机校准规范的缺乏，已经无法满足日益增长的应用需求，本规范的制定，具有极大的经济效益和社会效益，填补了有色金属行业领域校准空白，对金属线材反复弯曲试验机在行业中应用提供了技术支撑，市场发展和政府急需程度非常高。</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其他应予说明的事项</w:t>
      </w:r>
    </w:p>
    <w:p>
      <w:pPr>
        <w:pStyle w:val="58"/>
        <w:spacing w:line="300" w:lineRule="auto"/>
        <w:ind w:firstLineChars="0"/>
        <w:contextualSpacing/>
        <w:rPr>
          <w:rFonts w:ascii="Times New Roman" w:hAnsi="Times New Roman"/>
          <w:szCs w:val="21"/>
        </w:rPr>
      </w:pPr>
      <w:r>
        <w:rPr>
          <w:rFonts w:hint="eastAsia"/>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w:t>
      </w:r>
      <w:r>
        <w:rPr>
          <w:rFonts w:hint="eastAsia"/>
          <w:szCs w:val="21"/>
        </w:rPr>
        <w:t>金属线材反复弯曲试验机校准规范</w:t>
      </w:r>
      <w:r>
        <w:rPr>
          <w:rFonts w:ascii="Times New Roman" w:hAnsi="Times New Roman" w:eastAsia="方正行楷简体"/>
          <w:bCs/>
          <w:szCs w:val="21"/>
        </w:rPr>
        <w:t>》编制组  202</w:t>
      </w:r>
      <w:r>
        <w:rPr>
          <w:rFonts w:hint="eastAsia" w:ascii="Times New Roman" w:hAnsi="Times New Roman" w:eastAsia="方正行楷简体"/>
          <w:bCs/>
          <w:szCs w:val="21"/>
        </w:rPr>
        <w:t>3</w:t>
      </w:r>
      <w:r>
        <w:rPr>
          <w:rFonts w:ascii="Times New Roman" w:hAnsi="Times New Roman" w:eastAsia="方正行楷简体"/>
          <w:bCs/>
          <w:szCs w:val="21"/>
        </w:rPr>
        <w:t>年</w:t>
      </w:r>
      <w:r>
        <w:rPr>
          <w:rFonts w:hint="eastAsia" w:ascii="Times New Roman" w:hAnsi="Times New Roman" w:eastAsia="方正行楷简体"/>
          <w:bCs/>
          <w:szCs w:val="21"/>
        </w:rPr>
        <w:t>09</w:t>
      </w:r>
      <w:r>
        <w:rPr>
          <w:rFonts w:ascii="Times New Roman" w:hAnsi="Times New Roman" w:eastAsia="方正行楷简体"/>
          <w:bCs/>
          <w:szCs w:val="21"/>
        </w:rPr>
        <w:t>月</w:t>
      </w:r>
    </w:p>
    <w:p>
      <w:pPr>
        <w:pStyle w:val="58"/>
        <w:spacing w:line="300" w:lineRule="auto"/>
        <w:ind w:firstLine="420"/>
        <w:contextualSpacing/>
        <w:rPr>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46E69"/>
    <w:rsid w:val="0005764E"/>
    <w:rsid w:val="000657B2"/>
    <w:rsid w:val="0006679C"/>
    <w:rsid w:val="0007070D"/>
    <w:rsid w:val="00073A74"/>
    <w:rsid w:val="00082E31"/>
    <w:rsid w:val="00084878"/>
    <w:rsid w:val="000971D5"/>
    <w:rsid w:val="000C772A"/>
    <w:rsid w:val="000F15FB"/>
    <w:rsid w:val="000F714B"/>
    <w:rsid w:val="00100912"/>
    <w:rsid w:val="00104CBC"/>
    <w:rsid w:val="00115AE9"/>
    <w:rsid w:val="001164A0"/>
    <w:rsid w:val="0012155C"/>
    <w:rsid w:val="00122AD8"/>
    <w:rsid w:val="00124CD8"/>
    <w:rsid w:val="00136813"/>
    <w:rsid w:val="0014120B"/>
    <w:rsid w:val="00150062"/>
    <w:rsid w:val="001527ED"/>
    <w:rsid w:val="001859F4"/>
    <w:rsid w:val="0019431C"/>
    <w:rsid w:val="001A4F75"/>
    <w:rsid w:val="001B27A5"/>
    <w:rsid w:val="001C13CE"/>
    <w:rsid w:val="001C7BB8"/>
    <w:rsid w:val="001D0501"/>
    <w:rsid w:val="001D5F93"/>
    <w:rsid w:val="001E0288"/>
    <w:rsid w:val="001E09C6"/>
    <w:rsid w:val="00235374"/>
    <w:rsid w:val="00247A7D"/>
    <w:rsid w:val="00255EB1"/>
    <w:rsid w:val="00264681"/>
    <w:rsid w:val="002732FF"/>
    <w:rsid w:val="00275F7A"/>
    <w:rsid w:val="00280BE9"/>
    <w:rsid w:val="002849BB"/>
    <w:rsid w:val="002900B7"/>
    <w:rsid w:val="00291548"/>
    <w:rsid w:val="0029315B"/>
    <w:rsid w:val="002977EC"/>
    <w:rsid w:val="002A1305"/>
    <w:rsid w:val="002D0634"/>
    <w:rsid w:val="002D2103"/>
    <w:rsid w:val="002E6C19"/>
    <w:rsid w:val="002F4E61"/>
    <w:rsid w:val="003012C4"/>
    <w:rsid w:val="00305CB9"/>
    <w:rsid w:val="00307A90"/>
    <w:rsid w:val="00314BA2"/>
    <w:rsid w:val="0032338B"/>
    <w:rsid w:val="0033057E"/>
    <w:rsid w:val="003318C1"/>
    <w:rsid w:val="00335FEC"/>
    <w:rsid w:val="0034125E"/>
    <w:rsid w:val="00352269"/>
    <w:rsid w:val="00366AF1"/>
    <w:rsid w:val="00373555"/>
    <w:rsid w:val="00381F1D"/>
    <w:rsid w:val="00397407"/>
    <w:rsid w:val="003B0148"/>
    <w:rsid w:val="003C2376"/>
    <w:rsid w:val="003C685D"/>
    <w:rsid w:val="003D69D8"/>
    <w:rsid w:val="003E10E7"/>
    <w:rsid w:val="003E237F"/>
    <w:rsid w:val="003F2C11"/>
    <w:rsid w:val="00400BF2"/>
    <w:rsid w:val="00406FF2"/>
    <w:rsid w:val="0040777C"/>
    <w:rsid w:val="00411DC2"/>
    <w:rsid w:val="00415481"/>
    <w:rsid w:val="00423332"/>
    <w:rsid w:val="004257BB"/>
    <w:rsid w:val="00425D1F"/>
    <w:rsid w:val="004508BB"/>
    <w:rsid w:val="00455FE9"/>
    <w:rsid w:val="0046211B"/>
    <w:rsid w:val="00464019"/>
    <w:rsid w:val="0047799E"/>
    <w:rsid w:val="0048362B"/>
    <w:rsid w:val="00492B61"/>
    <w:rsid w:val="00497039"/>
    <w:rsid w:val="004A27E5"/>
    <w:rsid w:val="004B1DE2"/>
    <w:rsid w:val="004B3BD5"/>
    <w:rsid w:val="004C6645"/>
    <w:rsid w:val="004C6FDF"/>
    <w:rsid w:val="004E1361"/>
    <w:rsid w:val="004E4C45"/>
    <w:rsid w:val="004E5080"/>
    <w:rsid w:val="004F0272"/>
    <w:rsid w:val="00521FA9"/>
    <w:rsid w:val="0052761B"/>
    <w:rsid w:val="005305AE"/>
    <w:rsid w:val="00531FA0"/>
    <w:rsid w:val="00536268"/>
    <w:rsid w:val="00536BFA"/>
    <w:rsid w:val="005535AA"/>
    <w:rsid w:val="0055489A"/>
    <w:rsid w:val="005556DE"/>
    <w:rsid w:val="00556AC4"/>
    <w:rsid w:val="005608DA"/>
    <w:rsid w:val="00567271"/>
    <w:rsid w:val="005709C3"/>
    <w:rsid w:val="005817B4"/>
    <w:rsid w:val="0059121E"/>
    <w:rsid w:val="005A74F7"/>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57856"/>
    <w:rsid w:val="00660A77"/>
    <w:rsid w:val="00663FDB"/>
    <w:rsid w:val="00667FDB"/>
    <w:rsid w:val="00672533"/>
    <w:rsid w:val="006738AA"/>
    <w:rsid w:val="006820CD"/>
    <w:rsid w:val="00683E68"/>
    <w:rsid w:val="00686643"/>
    <w:rsid w:val="00693668"/>
    <w:rsid w:val="006B3185"/>
    <w:rsid w:val="006B43C4"/>
    <w:rsid w:val="006C188A"/>
    <w:rsid w:val="006C2258"/>
    <w:rsid w:val="006C2AF8"/>
    <w:rsid w:val="006D1B98"/>
    <w:rsid w:val="006D2C75"/>
    <w:rsid w:val="006D798E"/>
    <w:rsid w:val="006D7E99"/>
    <w:rsid w:val="006E11F0"/>
    <w:rsid w:val="00724E03"/>
    <w:rsid w:val="00733C71"/>
    <w:rsid w:val="00735A75"/>
    <w:rsid w:val="007373AB"/>
    <w:rsid w:val="00740702"/>
    <w:rsid w:val="00743BA2"/>
    <w:rsid w:val="00743BAC"/>
    <w:rsid w:val="00746BAC"/>
    <w:rsid w:val="00750ED3"/>
    <w:rsid w:val="0075540E"/>
    <w:rsid w:val="00764D0A"/>
    <w:rsid w:val="00765621"/>
    <w:rsid w:val="007832AA"/>
    <w:rsid w:val="007901C0"/>
    <w:rsid w:val="007902D1"/>
    <w:rsid w:val="007A3BEE"/>
    <w:rsid w:val="007C15E3"/>
    <w:rsid w:val="007C46B0"/>
    <w:rsid w:val="007E05DF"/>
    <w:rsid w:val="007E56C9"/>
    <w:rsid w:val="007F0149"/>
    <w:rsid w:val="0080283C"/>
    <w:rsid w:val="00804BC8"/>
    <w:rsid w:val="008202AD"/>
    <w:rsid w:val="00820F69"/>
    <w:rsid w:val="00824B04"/>
    <w:rsid w:val="0083312F"/>
    <w:rsid w:val="008461B6"/>
    <w:rsid w:val="0085122B"/>
    <w:rsid w:val="00856D6C"/>
    <w:rsid w:val="0086056F"/>
    <w:rsid w:val="0086378F"/>
    <w:rsid w:val="0086588E"/>
    <w:rsid w:val="008754EE"/>
    <w:rsid w:val="00876D87"/>
    <w:rsid w:val="00880C9E"/>
    <w:rsid w:val="00891EB3"/>
    <w:rsid w:val="008B22FC"/>
    <w:rsid w:val="008B531F"/>
    <w:rsid w:val="008C672E"/>
    <w:rsid w:val="008E415E"/>
    <w:rsid w:val="008E564B"/>
    <w:rsid w:val="008F5DCA"/>
    <w:rsid w:val="009052E4"/>
    <w:rsid w:val="009070D3"/>
    <w:rsid w:val="009111C1"/>
    <w:rsid w:val="00913ED1"/>
    <w:rsid w:val="00933D2C"/>
    <w:rsid w:val="0093578A"/>
    <w:rsid w:val="00946B7D"/>
    <w:rsid w:val="009513C5"/>
    <w:rsid w:val="00954DA4"/>
    <w:rsid w:val="00967A11"/>
    <w:rsid w:val="00971240"/>
    <w:rsid w:val="009A12AB"/>
    <w:rsid w:val="009B1714"/>
    <w:rsid w:val="009B4929"/>
    <w:rsid w:val="009C0597"/>
    <w:rsid w:val="009C2D10"/>
    <w:rsid w:val="009D79FA"/>
    <w:rsid w:val="009E0E44"/>
    <w:rsid w:val="009E3D09"/>
    <w:rsid w:val="009F420F"/>
    <w:rsid w:val="00A06113"/>
    <w:rsid w:val="00A11A21"/>
    <w:rsid w:val="00A12727"/>
    <w:rsid w:val="00A1378A"/>
    <w:rsid w:val="00A1497C"/>
    <w:rsid w:val="00A15577"/>
    <w:rsid w:val="00A3211C"/>
    <w:rsid w:val="00A363F7"/>
    <w:rsid w:val="00A40E4F"/>
    <w:rsid w:val="00A47FE2"/>
    <w:rsid w:val="00A56163"/>
    <w:rsid w:val="00A63379"/>
    <w:rsid w:val="00A77511"/>
    <w:rsid w:val="00A7790F"/>
    <w:rsid w:val="00A8043A"/>
    <w:rsid w:val="00A8426B"/>
    <w:rsid w:val="00A86AF0"/>
    <w:rsid w:val="00A87866"/>
    <w:rsid w:val="00AC0924"/>
    <w:rsid w:val="00AD093B"/>
    <w:rsid w:val="00AE0B35"/>
    <w:rsid w:val="00AE47AC"/>
    <w:rsid w:val="00AF6AA0"/>
    <w:rsid w:val="00AF7111"/>
    <w:rsid w:val="00B056DA"/>
    <w:rsid w:val="00B05E25"/>
    <w:rsid w:val="00B07D3B"/>
    <w:rsid w:val="00B369B6"/>
    <w:rsid w:val="00B43636"/>
    <w:rsid w:val="00B45E9C"/>
    <w:rsid w:val="00B53389"/>
    <w:rsid w:val="00B60FA7"/>
    <w:rsid w:val="00B614F2"/>
    <w:rsid w:val="00B706F7"/>
    <w:rsid w:val="00B7116A"/>
    <w:rsid w:val="00B75677"/>
    <w:rsid w:val="00B77ECB"/>
    <w:rsid w:val="00B817F8"/>
    <w:rsid w:val="00B8483F"/>
    <w:rsid w:val="00BB316D"/>
    <w:rsid w:val="00BB4554"/>
    <w:rsid w:val="00BB6B7E"/>
    <w:rsid w:val="00BB7985"/>
    <w:rsid w:val="00BC66A0"/>
    <w:rsid w:val="00BC6B82"/>
    <w:rsid w:val="00BF4703"/>
    <w:rsid w:val="00C03A4F"/>
    <w:rsid w:val="00C058B2"/>
    <w:rsid w:val="00C10883"/>
    <w:rsid w:val="00C113A5"/>
    <w:rsid w:val="00C2681C"/>
    <w:rsid w:val="00C27739"/>
    <w:rsid w:val="00C40CAE"/>
    <w:rsid w:val="00C41D61"/>
    <w:rsid w:val="00C44934"/>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CF63E2"/>
    <w:rsid w:val="00D01726"/>
    <w:rsid w:val="00D16568"/>
    <w:rsid w:val="00D17115"/>
    <w:rsid w:val="00D32E95"/>
    <w:rsid w:val="00D35003"/>
    <w:rsid w:val="00D436F5"/>
    <w:rsid w:val="00D6471A"/>
    <w:rsid w:val="00D72A1A"/>
    <w:rsid w:val="00D81C1D"/>
    <w:rsid w:val="00D85454"/>
    <w:rsid w:val="00D86648"/>
    <w:rsid w:val="00D903E4"/>
    <w:rsid w:val="00DA22D1"/>
    <w:rsid w:val="00DB4F65"/>
    <w:rsid w:val="00DD6769"/>
    <w:rsid w:val="00DD7D39"/>
    <w:rsid w:val="00DE144C"/>
    <w:rsid w:val="00E019C6"/>
    <w:rsid w:val="00E22714"/>
    <w:rsid w:val="00E23465"/>
    <w:rsid w:val="00E25DF9"/>
    <w:rsid w:val="00E31A7B"/>
    <w:rsid w:val="00E32480"/>
    <w:rsid w:val="00E71DCC"/>
    <w:rsid w:val="00E76333"/>
    <w:rsid w:val="00E82471"/>
    <w:rsid w:val="00E911BC"/>
    <w:rsid w:val="00EB2994"/>
    <w:rsid w:val="00EB55D1"/>
    <w:rsid w:val="00EC149D"/>
    <w:rsid w:val="00ED5F91"/>
    <w:rsid w:val="00EE5988"/>
    <w:rsid w:val="00F10C9E"/>
    <w:rsid w:val="00F1764F"/>
    <w:rsid w:val="00F3142D"/>
    <w:rsid w:val="00F32186"/>
    <w:rsid w:val="00F3447A"/>
    <w:rsid w:val="00F45BA8"/>
    <w:rsid w:val="00F507FB"/>
    <w:rsid w:val="00F5644A"/>
    <w:rsid w:val="00F7167F"/>
    <w:rsid w:val="00F71F31"/>
    <w:rsid w:val="00F77FB4"/>
    <w:rsid w:val="00F80059"/>
    <w:rsid w:val="00F812C6"/>
    <w:rsid w:val="00F83044"/>
    <w:rsid w:val="00F91E84"/>
    <w:rsid w:val="00F969C0"/>
    <w:rsid w:val="00FA1E52"/>
    <w:rsid w:val="00FA4CA4"/>
    <w:rsid w:val="00FA6198"/>
    <w:rsid w:val="00FC7BF3"/>
    <w:rsid w:val="00FD235D"/>
    <w:rsid w:val="00FD7FCA"/>
    <w:rsid w:val="00FE0C1C"/>
    <w:rsid w:val="00FE17CA"/>
    <w:rsid w:val="00FE1932"/>
    <w:rsid w:val="00FE1A74"/>
    <w:rsid w:val="00FF5630"/>
    <w:rsid w:val="00FF6377"/>
    <w:rsid w:val="01391B68"/>
    <w:rsid w:val="02F703B0"/>
    <w:rsid w:val="04E83035"/>
    <w:rsid w:val="07DC0ED5"/>
    <w:rsid w:val="07DE24CD"/>
    <w:rsid w:val="0904785D"/>
    <w:rsid w:val="09573966"/>
    <w:rsid w:val="0A781AE7"/>
    <w:rsid w:val="0CCA0314"/>
    <w:rsid w:val="0D975F7E"/>
    <w:rsid w:val="11CE710E"/>
    <w:rsid w:val="12995D7D"/>
    <w:rsid w:val="13491142"/>
    <w:rsid w:val="14317D7D"/>
    <w:rsid w:val="14FE0CE9"/>
    <w:rsid w:val="158E7867"/>
    <w:rsid w:val="17345C65"/>
    <w:rsid w:val="174C2AB4"/>
    <w:rsid w:val="1F5A1A25"/>
    <w:rsid w:val="1F714057"/>
    <w:rsid w:val="208E75B3"/>
    <w:rsid w:val="218A16C9"/>
    <w:rsid w:val="21BE3478"/>
    <w:rsid w:val="21D04080"/>
    <w:rsid w:val="22423DCF"/>
    <w:rsid w:val="23A74BBD"/>
    <w:rsid w:val="23D43A72"/>
    <w:rsid w:val="292F2731"/>
    <w:rsid w:val="29846CB3"/>
    <w:rsid w:val="29E46257"/>
    <w:rsid w:val="2A4110A1"/>
    <w:rsid w:val="2A6308E4"/>
    <w:rsid w:val="2AB85E2C"/>
    <w:rsid w:val="2AD94591"/>
    <w:rsid w:val="2C281A12"/>
    <w:rsid w:val="2F4F68AC"/>
    <w:rsid w:val="2F6F7D2B"/>
    <w:rsid w:val="2FBE527A"/>
    <w:rsid w:val="30A17364"/>
    <w:rsid w:val="31B57A58"/>
    <w:rsid w:val="325356E2"/>
    <w:rsid w:val="325F3B1A"/>
    <w:rsid w:val="34745E77"/>
    <w:rsid w:val="35976F5B"/>
    <w:rsid w:val="36AE69D8"/>
    <w:rsid w:val="37C30C14"/>
    <w:rsid w:val="38B6063A"/>
    <w:rsid w:val="39E63C45"/>
    <w:rsid w:val="3A910669"/>
    <w:rsid w:val="3B665AC9"/>
    <w:rsid w:val="3BFA1058"/>
    <w:rsid w:val="3D9E58AD"/>
    <w:rsid w:val="3EBA5BC3"/>
    <w:rsid w:val="420E5348"/>
    <w:rsid w:val="44100726"/>
    <w:rsid w:val="44347A9B"/>
    <w:rsid w:val="456D3D97"/>
    <w:rsid w:val="45E87405"/>
    <w:rsid w:val="46474D73"/>
    <w:rsid w:val="464E6392"/>
    <w:rsid w:val="46D74BFB"/>
    <w:rsid w:val="48BE5C4B"/>
    <w:rsid w:val="48D21D3E"/>
    <w:rsid w:val="49214E6F"/>
    <w:rsid w:val="4D432356"/>
    <w:rsid w:val="4D4952BF"/>
    <w:rsid w:val="4E3430C7"/>
    <w:rsid w:val="4EB175C0"/>
    <w:rsid w:val="4FFD4E57"/>
    <w:rsid w:val="521045FE"/>
    <w:rsid w:val="52A97DDB"/>
    <w:rsid w:val="539531BF"/>
    <w:rsid w:val="56154CA2"/>
    <w:rsid w:val="571E156B"/>
    <w:rsid w:val="57B47900"/>
    <w:rsid w:val="58B15E13"/>
    <w:rsid w:val="59494E2D"/>
    <w:rsid w:val="5A6E24F5"/>
    <w:rsid w:val="5A931503"/>
    <w:rsid w:val="5A971C98"/>
    <w:rsid w:val="5AFA5C95"/>
    <w:rsid w:val="5CDE078E"/>
    <w:rsid w:val="5DC655CC"/>
    <w:rsid w:val="5E070FAB"/>
    <w:rsid w:val="5F776EED"/>
    <w:rsid w:val="605176D9"/>
    <w:rsid w:val="63F828E6"/>
    <w:rsid w:val="654D6460"/>
    <w:rsid w:val="66C37A39"/>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8"/>
    <w:qFormat/>
    <w:uiPriority w:val="0"/>
    <w:pPr>
      <w:jc w:val="left"/>
    </w:pPr>
  </w:style>
  <w:style w:type="paragraph" w:styleId="21">
    <w:name w:val="Body Text"/>
    <w:basedOn w:val="1"/>
    <w:link w:val="283"/>
    <w:qFormat/>
    <w:uiPriority w:val="0"/>
    <w:pPr>
      <w:spacing w:after="120"/>
    </w:pPr>
  </w:style>
  <w:style w:type="paragraph" w:styleId="22">
    <w:name w:val="Body Text Indent"/>
    <w:basedOn w:val="1"/>
    <w:link w:val="286"/>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qFormat/>
    <w:uiPriority w:val="0"/>
  </w:style>
  <w:style w:type="paragraph" w:styleId="26">
    <w:name w:val="Date"/>
    <w:basedOn w:val="1"/>
    <w:next w:val="1"/>
    <w:link w:val="292"/>
    <w:qFormat/>
    <w:uiPriority w:val="99"/>
    <w:pPr>
      <w:ind w:left="100" w:leftChars="2500"/>
    </w:pPr>
    <w:rPr>
      <w:sz w:val="24"/>
      <w:szCs w:val="20"/>
    </w:rPr>
  </w:style>
  <w:style w:type="paragraph" w:styleId="27">
    <w:name w:val="Body Text Indent 2"/>
    <w:basedOn w:val="1"/>
    <w:link w:val="291"/>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semiHidden/>
    <w:unhideWhenUsed/>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字符"/>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字符"/>
    <w:link w:val="29"/>
    <w:qFormat/>
    <w:uiPriority w:val="0"/>
    <w:rPr>
      <w:kern w:val="2"/>
      <w:sz w:val="18"/>
      <w:szCs w:val="18"/>
    </w:rPr>
  </w:style>
  <w:style w:type="character" w:customStyle="1" w:styleId="283">
    <w:name w:val="正文文本 字符"/>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字符"/>
    <w:link w:val="30"/>
    <w:qFormat/>
    <w:uiPriority w:val="99"/>
    <w:rPr>
      <w:kern w:val="2"/>
      <w:sz w:val="18"/>
      <w:szCs w:val="18"/>
    </w:rPr>
  </w:style>
  <w:style w:type="character" w:customStyle="1" w:styleId="286">
    <w:name w:val="正文文本缩进 字符"/>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字符"/>
    <w:link w:val="20"/>
    <w:qFormat/>
    <w:uiPriority w:val="0"/>
    <w:rPr>
      <w:kern w:val="2"/>
      <w:sz w:val="21"/>
      <w:szCs w:val="24"/>
    </w:rPr>
  </w:style>
  <w:style w:type="character" w:customStyle="1" w:styleId="289">
    <w:name w:val="批注主题 字符"/>
    <w:link w:val="39"/>
    <w:qFormat/>
    <w:uiPriority w:val="0"/>
    <w:rPr>
      <w:b/>
      <w:bCs/>
      <w:kern w:val="2"/>
      <w:sz w:val="21"/>
      <w:szCs w:val="24"/>
    </w:rPr>
  </w:style>
  <w:style w:type="character" w:customStyle="1" w:styleId="290">
    <w:name w:val="页眉 字符"/>
    <w:link w:val="31"/>
    <w:qFormat/>
    <w:uiPriority w:val="99"/>
    <w:rPr>
      <w:kern w:val="2"/>
      <w:sz w:val="18"/>
      <w:szCs w:val="18"/>
    </w:rPr>
  </w:style>
  <w:style w:type="character" w:customStyle="1" w:styleId="291">
    <w:name w:val="正文文本缩进 2 字符"/>
    <w:link w:val="27"/>
    <w:qFormat/>
    <w:uiPriority w:val="0"/>
    <w:rPr>
      <w:kern w:val="2"/>
      <w:sz w:val="21"/>
      <w:szCs w:val="24"/>
    </w:rPr>
  </w:style>
  <w:style w:type="character" w:customStyle="1" w:styleId="292">
    <w:name w:val="日期 字符"/>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qFormat/>
    <w:uiPriority w:val="0"/>
    <w:rPr>
      <w:rFonts w:hint="eastAsia" w:ascii="宋体" w:hAnsi="宋体" w:eastAsia="宋体"/>
      <w:color w:val="000000"/>
      <w:sz w:val="24"/>
      <w:szCs w:val="24"/>
    </w:rPr>
  </w:style>
  <w:style w:type="character" w:customStyle="1" w:styleId="305">
    <w:name w:val="标题 1 字符"/>
    <w:basedOn w:val="43"/>
    <w:link w:val="2"/>
    <w:uiPriority w:val="0"/>
    <w:rPr>
      <w:rFonts w:ascii="Times New Roman" w:hAnsi="Times New Roman" w:eastAsia="宋体" w:cs="Times New Roman"/>
      <w:b/>
      <w:bCs/>
      <w:kern w:val="44"/>
      <w:sz w:val="44"/>
      <w:szCs w:val="44"/>
    </w:rPr>
  </w:style>
  <w:style w:type="character" w:customStyle="1" w:styleId="306">
    <w:name w:val="标题 2 字符"/>
    <w:basedOn w:val="43"/>
    <w:link w:val="3"/>
    <w:uiPriority w:val="0"/>
    <w:rPr>
      <w:rFonts w:ascii="Arial" w:hAnsi="Arial" w:eastAsia="黑体" w:cs="Times New Roman"/>
      <w:b/>
      <w:bCs/>
      <w:kern w:val="2"/>
      <w:sz w:val="32"/>
      <w:szCs w:val="32"/>
    </w:rPr>
  </w:style>
  <w:style w:type="character" w:customStyle="1" w:styleId="307">
    <w:name w:val="标题 3 字符"/>
    <w:basedOn w:val="43"/>
    <w:link w:val="4"/>
    <w:uiPriority w:val="0"/>
    <w:rPr>
      <w:rFonts w:ascii="Times New Roman" w:hAnsi="Times New Roman" w:eastAsia="宋体" w:cs="Times New Roman"/>
      <w:b/>
      <w:bCs/>
      <w:kern w:val="2"/>
      <w:sz w:val="32"/>
      <w:szCs w:val="32"/>
    </w:rPr>
  </w:style>
  <w:style w:type="character" w:customStyle="1" w:styleId="308">
    <w:name w:val="标题 字符"/>
    <w:link w:val="38"/>
    <w:qFormat/>
    <w:uiPriority w:val="0"/>
    <w:rPr>
      <w:rFonts w:ascii="Arial" w:hAnsi="Arial" w:eastAsia="宋体" w:cs="Arial"/>
      <w:b/>
      <w:bCs/>
      <w:kern w:val="2"/>
      <w:sz w:val="32"/>
      <w:szCs w:val="32"/>
    </w:rPr>
  </w:style>
  <w:style w:type="character" w:customStyle="1" w:styleId="309">
    <w:name w:val="脚注文本 字符"/>
    <w:link w:val="32"/>
    <w:uiPriority w:val="0"/>
    <w:rPr>
      <w:rFonts w:ascii="Times New Roman" w:hAnsi="Times New Roman" w:eastAsia="宋体" w:cs="Times New Roman"/>
      <w:kern w:val="2"/>
      <w:sz w:val="18"/>
      <w:szCs w:val="18"/>
    </w:rPr>
  </w:style>
  <w:style w:type="character" w:customStyle="1" w:styleId="310">
    <w:name w:val="未处理的提及1"/>
    <w:unhideWhenUsed/>
    <w:uiPriority w:val="99"/>
    <w:rPr>
      <w:color w:val="605E5C"/>
      <w:shd w:val="clear" w:color="auto" w:fill="E1DFDD"/>
    </w:rPr>
  </w:style>
  <w:style w:type="character" w:customStyle="1" w:styleId="311">
    <w:name w:val="批注框文本 Char1"/>
    <w:basedOn w:val="43"/>
    <w:semiHidden/>
    <w:uiPriority w:val="99"/>
    <w:rPr>
      <w:rFonts w:ascii="Calibri" w:hAnsi="Calibri" w:eastAsia="宋体" w:cs="Times New Roman"/>
      <w:sz w:val="18"/>
      <w:szCs w:val="18"/>
    </w:rPr>
  </w:style>
  <w:style w:type="character" w:customStyle="1" w:styleId="312">
    <w:name w:val="脚注文本 Char1"/>
    <w:basedOn w:val="43"/>
    <w:semiHidden/>
    <w:uiPriority w:val="99"/>
    <w:rPr>
      <w:rFonts w:ascii="Calibri" w:hAnsi="Calibri" w:eastAsia="宋体" w:cs="Times New Roman"/>
      <w:sz w:val="18"/>
      <w:szCs w:val="18"/>
    </w:rPr>
  </w:style>
  <w:style w:type="character" w:customStyle="1" w:styleId="313">
    <w:name w:val="标题 Char1"/>
    <w:basedOn w:val="43"/>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qFormat/>
    <w:uiPriority w:val="0"/>
  </w:style>
  <w:style w:type="paragraph" w:customStyle="1" w:styleId="315">
    <w:name w:val="WPSOffice手动目录 1"/>
    <w:uiPriority w:val="0"/>
    <w:rPr>
      <w:rFonts w:ascii="Calibri" w:hAnsi="Calibri" w:eastAsia="宋体" w:cs="Times New Roman"/>
      <w:lang w:val="en-US" w:eastAsia="zh-CN" w:bidi="ar-SA"/>
    </w:rPr>
  </w:style>
  <w:style w:type="paragraph" w:customStyle="1" w:styleId="316">
    <w:name w:val="1"/>
    <w:basedOn w:val="1"/>
    <w:next w:val="22"/>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uiPriority w:val="0"/>
  </w:style>
  <w:style w:type="paragraph" w:customStyle="1" w:styleId="318">
    <w:name w:val="WPSOffice手动目录 2"/>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semiHidden/>
    <w:uiPriority w:val="99"/>
    <w:rPr>
      <w:color w:val="808080"/>
    </w:rPr>
  </w:style>
  <w:style w:type="table" w:customStyle="1" w:styleId="3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A8DA7-C6C9-4F4F-B51A-6E34BFDB95C6}">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7</Pages>
  <Words>555</Words>
  <Characters>3166</Characters>
  <Lines>26</Lines>
  <Paragraphs>7</Paragraphs>
  <TotalTime>0</TotalTime>
  <ScaleCrop>false</ScaleCrop>
  <LinksUpToDate>false</LinksUpToDate>
  <CharactersWithSpaces>3714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炽天使的吻</cp:lastModifiedBy>
  <cp:lastPrinted>2016-10-20T04:13:00Z</cp:lastPrinted>
  <dcterms:modified xsi:type="dcterms:W3CDTF">2023-12-19T15:55:44Z</dcterms:modified>
  <dc:title>标准名称</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E7E04122F8FD4C62BDBF425D9677E4E0_13</vt:lpwstr>
  </property>
</Properties>
</file>