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rPr>
          <w:sz w:val="24"/>
          <w:szCs w:val="24"/>
        </w:rPr>
      </w:pPr>
      <w:bookmarkStart w:id="0" w:name="SectionMark0"/>
      <w:bookmarkStart w:id="1" w:name="SectionMark4"/>
      <w:r>
        <w:rPr>
          <w:sz w:val="24"/>
          <w:szCs w:val="24"/>
        </w:rP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ascii="宋体" w:hAnsi="宋体" w:cs="宋体"/>
                                <w:spacing w:val="58"/>
                                <w:w w:val="120"/>
                                <w:sz w:val="28"/>
                                <w:szCs w:val="28"/>
                              </w:rPr>
                            </w:pPr>
                            <w:r>
                              <w:rPr>
                                <w:rFonts w:hint="eastAsia" w:ascii="宋体" w:hAnsi="宋体" w:cs="宋体"/>
                                <w:spacing w:val="58"/>
                                <w:w w:val="120"/>
                                <w:sz w:val="28"/>
                                <w:szCs w:val="28"/>
                                <w:lang w:val="en-US" w:eastAsia="zh-CN"/>
                              </w:rPr>
                              <w:t>超声标准试块校准规范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jc w:val="center"/>
                        <w:rPr>
                          <w:rFonts w:ascii="宋体" w:hAnsi="宋体" w:cs="宋体"/>
                          <w:spacing w:val="58"/>
                          <w:w w:val="120"/>
                          <w:sz w:val="28"/>
                          <w:szCs w:val="28"/>
                        </w:rPr>
                      </w:pPr>
                      <w:r>
                        <w:rPr>
                          <w:rFonts w:hint="eastAsia" w:ascii="宋体" w:hAnsi="宋体" w:cs="宋体"/>
                          <w:spacing w:val="58"/>
                          <w:w w:val="120"/>
                          <w:sz w:val="28"/>
                          <w:szCs w:val="28"/>
                          <w:lang w:val="en-US" w:eastAsia="zh-CN"/>
                        </w:rPr>
                        <w:t>超声标准试块校准规范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v:textbox>
                <w10:anchorlock/>
              </v:rect>
            </w:pict>
          </mc:Fallback>
        </mc:AlternateContent>
      </w:r>
      <w:r>
        <w:rPr>
          <w:sz w:val="24"/>
          <w:szCs w:val="24"/>
        </w:rP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6"/>
                              <w:spacing w:before="600"/>
                              <w:rPr>
                                <w:rFonts w:ascii="黑体" w:hAnsi="黑体" w:eastAsia="黑体"/>
                                <w:sz w:val="36"/>
                                <w:szCs w:val="36"/>
                              </w:rPr>
                            </w:pPr>
                            <w:r>
                              <w:rPr>
                                <w:rFonts w:hint="eastAsia" w:ascii="黑体" w:hAnsi="黑体" w:eastAsia="黑体"/>
                                <w:sz w:val="36"/>
                                <w:szCs w:val="36"/>
                                <w:lang w:val="en-US" w:eastAsia="zh-CN"/>
                              </w:rPr>
                              <w:t>讨论稿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23-12</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pStyle w:val="66"/>
                        <w:spacing w:before="600"/>
                        <w:rPr>
                          <w:rFonts w:ascii="黑体" w:hAnsi="黑体" w:eastAsia="黑体"/>
                          <w:sz w:val="36"/>
                          <w:szCs w:val="36"/>
                        </w:rPr>
                      </w:pPr>
                      <w:r>
                        <w:rPr>
                          <w:rFonts w:hint="eastAsia" w:ascii="黑体" w:hAnsi="黑体" w:eastAsia="黑体"/>
                          <w:sz w:val="36"/>
                          <w:szCs w:val="36"/>
                          <w:lang w:val="en-US" w:eastAsia="zh-CN"/>
                        </w:rPr>
                        <w:t>讨论稿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23-12</w:t>
                      </w:r>
                    </w:p>
                  </w:txbxContent>
                </v:textbox>
                <w10:anchorlock/>
              </v:rect>
            </w:pict>
          </mc:Fallback>
        </mc:AlternateContent>
      </w:r>
      <w:r>
        <w:rPr>
          <w:sz w:val="24"/>
          <w:szCs w:val="24"/>
        </w:rP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rPr>
                                <w:rFonts w:hint="default" w:hAnsi="黑体" w:eastAsia="黑体" w:cs="黑体"/>
                                <w:sz w:val="44"/>
                                <w:szCs w:val="44"/>
                                <w:lang w:val="en-US" w:eastAsia="zh-CN"/>
                              </w:rPr>
                            </w:pPr>
                            <w:bookmarkStart w:id="46" w:name="_Hlk23687263"/>
                            <w:r>
                              <w:rPr>
                                <w:rFonts w:hint="eastAsia" w:hAnsi="黑体" w:cs="黑体"/>
                                <w:sz w:val="44"/>
                                <w:szCs w:val="44"/>
                              </w:rPr>
                              <w:t xml:space="preserve"> JJF（有色金属）</w:t>
                            </w:r>
                            <w:r>
                              <w:rPr>
                                <w:rFonts w:hint="eastAsia" w:hAnsi="黑体" w:cs="黑体"/>
                                <w:sz w:val="44"/>
                                <w:szCs w:val="44"/>
                                <w:lang w:val="en-US" w:eastAsia="zh-CN"/>
                              </w:rPr>
                              <w:t>XXX</w:t>
                            </w:r>
                            <w:r>
                              <w:rPr>
                                <w:rFonts w:hint="eastAsia" w:hAnsi="黑体" w:cs="黑体"/>
                                <w:sz w:val="44"/>
                                <w:szCs w:val="44"/>
                              </w:rPr>
                              <w:t>—</w:t>
                            </w:r>
                            <w:r>
                              <w:rPr>
                                <w:rFonts w:hint="eastAsia" w:hAnsi="黑体" w:cs="黑体"/>
                                <w:sz w:val="44"/>
                                <w:szCs w:val="44"/>
                                <w:lang w:val="en-US" w:eastAsia="zh-CN"/>
                              </w:rPr>
                              <w:t>XXXX</w:t>
                            </w:r>
                          </w:p>
                          <w:bookmarkEnd w:id="46"/>
                          <w:p>
                            <w:pPr>
                              <w:jc w:val="center"/>
                              <w:rPr>
                                <w:rFonts w:ascii="黑体" w:hAnsi="黑体" w:eastAsia="黑体" w:cs="黑体"/>
                                <w:sz w:val="44"/>
                                <w:szCs w:val="44"/>
                              </w:rPr>
                            </w:pPr>
                            <w:r>
                              <w:rPr>
                                <w:rFonts w:hint="eastAsia" w:ascii="黑体" w:hAnsi="黑体" w:eastAsia="黑体" w:cs="黑体"/>
                                <w:sz w:val="44"/>
                                <w:szCs w:val="44"/>
                                <w:lang w:val="en-US" w:eastAsia="zh-CN"/>
                              </w:rPr>
                              <w:t>超声标准试块校准规范</w:t>
                            </w: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4"/>
                        <w:rPr>
                          <w:rFonts w:hint="default" w:hAnsi="黑体" w:eastAsia="黑体" w:cs="黑体"/>
                          <w:sz w:val="44"/>
                          <w:szCs w:val="44"/>
                          <w:lang w:val="en-US" w:eastAsia="zh-CN"/>
                        </w:rPr>
                      </w:pPr>
                      <w:bookmarkStart w:id="46" w:name="_Hlk23687263"/>
                      <w:r>
                        <w:rPr>
                          <w:rFonts w:hint="eastAsia" w:hAnsi="黑体" w:cs="黑体"/>
                          <w:sz w:val="44"/>
                          <w:szCs w:val="44"/>
                        </w:rPr>
                        <w:t xml:space="preserve"> JJF（有色金属）</w:t>
                      </w:r>
                      <w:r>
                        <w:rPr>
                          <w:rFonts w:hint="eastAsia" w:hAnsi="黑体" w:cs="黑体"/>
                          <w:sz w:val="44"/>
                          <w:szCs w:val="44"/>
                          <w:lang w:val="en-US" w:eastAsia="zh-CN"/>
                        </w:rPr>
                        <w:t>XXX</w:t>
                      </w:r>
                      <w:r>
                        <w:rPr>
                          <w:rFonts w:hint="eastAsia" w:hAnsi="黑体" w:cs="黑体"/>
                          <w:sz w:val="44"/>
                          <w:szCs w:val="44"/>
                        </w:rPr>
                        <w:t>—</w:t>
                      </w:r>
                      <w:r>
                        <w:rPr>
                          <w:rFonts w:hint="eastAsia" w:hAnsi="黑体" w:cs="黑体"/>
                          <w:sz w:val="44"/>
                          <w:szCs w:val="44"/>
                          <w:lang w:val="en-US" w:eastAsia="zh-CN"/>
                        </w:rPr>
                        <w:t>XXXX</w:t>
                      </w:r>
                    </w:p>
                    <w:bookmarkEnd w:id="46"/>
                    <w:p>
                      <w:pPr>
                        <w:jc w:val="center"/>
                        <w:rPr>
                          <w:rFonts w:ascii="黑体" w:hAnsi="黑体" w:eastAsia="黑体" w:cs="黑体"/>
                          <w:sz w:val="44"/>
                          <w:szCs w:val="44"/>
                        </w:rPr>
                      </w:pPr>
                      <w:r>
                        <w:rPr>
                          <w:rFonts w:hint="eastAsia" w:ascii="黑体" w:hAnsi="黑体" w:eastAsia="黑体" w:cs="黑体"/>
                          <w:sz w:val="44"/>
                          <w:szCs w:val="44"/>
                          <w:lang w:val="en-US" w:eastAsia="zh-CN"/>
                        </w:rPr>
                        <w:t>超声标准试块校准规范</w:t>
                      </w: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sz w:val="24"/>
          <w:szCs w:val="24"/>
        </w:rPr>
      </w:pPr>
    </w:p>
    <w:p>
      <w:pPr>
        <w:pStyle w:val="57"/>
        <w:ind w:firstLine="420"/>
        <w:rPr>
          <w:sz w:val="24"/>
          <w:szCs w:val="24"/>
        </w:rPr>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rPr>
          <w:sz w:val="24"/>
          <w:szCs w:val="24"/>
        </w:rPr>
      </w:pPr>
      <w:bookmarkStart w:id="2" w:name="_Toc464728891"/>
      <w:r>
        <w:rPr>
          <w:rFonts w:hint="eastAsia"/>
          <w:sz w:val="24"/>
          <w:szCs w:val="24"/>
        </w:rPr>
        <w:t>工作简况</w:t>
      </w:r>
      <w:bookmarkEnd w:id="2"/>
    </w:p>
    <w:p>
      <w:pPr>
        <w:pStyle w:val="60"/>
        <w:spacing w:before="156" w:after="156" w:line="300" w:lineRule="auto"/>
        <w:ind w:left="0"/>
        <w:contextualSpacing/>
        <w:rPr>
          <w:sz w:val="24"/>
          <w:szCs w:val="24"/>
        </w:rPr>
      </w:pPr>
      <w:bookmarkStart w:id="3" w:name="_Toc456592524"/>
      <w:bookmarkStart w:id="4" w:name="_Toc464728892"/>
      <w:r>
        <w:rPr>
          <w:rFonts w:hint="eastAsia"/>
          <w:sz w:val="24"/>
          <w:szCs w:val="24"/>
        </w:rPr>
        <w:t>立项目的</w:t>
      </w:r>
      <w:bookmarkEnd w:id="3"/>
      <w:bookmarkEnd w:id="4"/>
    </w:p>
    <w:p>
      <w:pPr>
        <w:spacing w:line="360" w:lineRule="auto"/>
        <w:ind w:firstLine="480" w:firstLineChars="200"/>
        <w:rPr>
          <w:rFonts w:hint="eastAsia"/>
          <w:sz w:val="24"/>
          <w:szCs w:val="24"/>
          <w:lang w:val="en-US" w:eastAsia="zh-CN"/>
        </w:rPr>
      </w:pPr>
      <w:bookmarkStart w:id="5" w:name="_Toc23785536"/>
      <w:bookmarkStart w:id="6" w:name="_Toc23784642"/>
      <w:bookmarkStart w:id="7" w:name="_Toc28098"/>
      <w:bookmarkStart w:id="8" w:name="_Toc23784544"/>
      <w:bookmarkStart w:id="9" w:name="_Toc23785216"/>
      <w:r>
        <w:rPr>
          <w:rFonts w:hint="eastAsia"/>
          <w:sz w:val="24"/>
          <w:szCs w:val="24"/>
          <w:lang w:val="en-US" w:eastAsia="zh-CN"/>
        </w:rPr>
        <w:t>无损检测作为国内制造业产品过程的质量把控手段，可实现产品在“零件原材料-零件成品-装配体-服役过程”的全过程检测及质量控制，实现有缺陷早检出，实现降本增效，同时提高产品服役过程中使用寿命。</w:t>
      </w:r>
    </w:p>
    <w:p>
      <w:pPr>
        <w:spacing w:line="360" w:lineRule="auto"/>
        <w:ind w:firstLine="480" w:firstLineChars="200"/>
        <w:rPr>
          <w:rFonts w:hint="eastAsia"/>
          <w:sz w:val="24"/>
          <w:szCs w:val="24"/>
          <w:lang w:val="en-US" w:eastAsia="zh-CN"/>
        </w:rPr>
      </w:pPr>
      <w:r>
        <w:rPr>
          <w:rFonts w:hint="eastAsia"/>
          <w:sz w:val="24"/>
          <w:szCs w:val="24"/>
          <w:lang w:val="en-US" w:eastAsia="zh-CN"/>
        </w:rPr>
        <w:t>超声检测作为无损检测的手段之一，其适用于检验多种类型缺陷，如分层、裂纹、气孔、夹杂、未熔合、未焊透等。可用于板材、棒材、管材、锻件、焊接件及铸件的缺陷检验，具有检测厚度大、灵敏度高、速度快等特点。</w:t>
      </w:r>
    </w:p>
    <w:p>
      <w:pPr>
        <w:spacing w:line="360" w:lineRule="auto"/>
        <w:ind w:firstLine="480" w:firstLineChars="200"/>
        <w:rPr>
          <w:rFonts w:hint="eastAsia"/>
          <w:sz w:val="24"/>
          <w:szCs w:val="24"/>
          <w:lang w:val="en-US" w:eastAsia="zh-CN"/>
        </w:rPr>
      </w:pPr>
      <w:r>
        <w:rPr>
          <w:rFonts w:hint="eastAsia"/>
          <w:sz w:val="24"/>
          <w:szCs w:val="24"/>
          <w:lang w:val="en-US" w:eastAsia="zh-CN"/>
        </w:rPr>
        <w:t>在超声检测过程中，为实现仪器设备的性能测试、缺陷的有效检出及定量等，需采用不同类型的超声试块。其中，1号标准试块可实现超声检测仪的水平线性、垂直线性和动态范围的校验，时基线比例和范围的调节，直探头和超声探伤仪组合的远场分辨力、盲区、最大穿透能力的测定，斜探头入射点、折射角、声速偏斜角的测定等功能，在超声检测过程中发挥巨大作用。因此市场对1号标准试块的校准需求日益增加，以期实现超声探伤仪、超声探头等的准确测定，对超声检测结果的准确性起到规范作用。但目前行业乃至于国家，涉及1号标准试块校准规范这一领域尚处于空白阶段。</w:t>
      </w:r>
    </w:p>
    <w:p>
      <w:pPr>
        <w:spacing w:line="360" w:lineRule="auto"/>
        <w:ind w:firstLine="480" w:firstLineChars="200"/>
        <w:rPr>
          <w:rFonts w:hint="eastAsia"/>
          <w:sz w:val="24"/>
          <w:szCs w:val="24"/>
        </w:rPr>
      </w:pPr>
      <w:r>
        <w:rPr>
          <w:rFonts w:hint="eastAsia"/>
          <w:sz w:val="24"/>
          <w:szCs w:val="24"/>
          <w:lang w:val="en-US" w:eastAsia="zh-CN"/>
        </w:rPr>
        <w:t>本校准规范的制定，能够规范行业内1号标准试块的校准方法，促进1号标准试块在超声探伤领域中实现准确的应用，确保超声探伤仪、超声探头检测结果的可靠性。促进工业产品的安全性、可靠性得到保证，进一步保障人民生产生活的安全，为我国经济发展保驾护航。</w:t>
      </w:r>
      <w:bookmarkEnd w:id="5"/>
      <w:bookmarkEnd w:id="6"/>
      <w:bookmarkEnd w:id="7"/>
      <w:bookmarkEnd w:id="8"/>
      <w:bookmarkEnd w:id="9"/>
    </w:p>
    <w:p>
      <w:pPr>
        <w:pStyle w:val="60"/>
        <w:spacing w:before="156" w:after="156" w:line="300" w:lineRule="auto"/>
        <w:ind w:left="0"/>
        <w:contextualSpacing/>
        <w:rPr>
          <w:sz w:val="24"/>
          <w:szCs w:val="24"/>
        </w:rPr>
      </w:pPr>
      <w:bookmarkStart w:id="10" w:name="_Toc464728896"/>
      <w:r>
        <w:rPr>
          <w:rFonts w:hint="eastAsia"/>
          <w:sz w:val="24"/>
          <w:szCs w:val="24"/>
        </w:rPr>
        <w:t>任务来源</w:t>
      </w:r>
      <w:bookmarkEnd w:id="10"/>
    </w:p>
    <w:p>
      <w:pPr>
        <w:spacing w:line="300" w:lineRule="auto"/>
        <w:ind w:firstLine="480" w:firstLineChars="200"/>
        <w:contextualSpacing/>
        <w:jc w:val="left"/>
        <w:rPr>
          <w:sz w:val="24"/>
          <w:szCs w:val="24"/>
        </w:rPr>
      </w:pPr>
      <w:r>
        <w:rPr>
          <w:rFonts w:hint="eastAsia"/>
          <w:sz w:val="24"/>
          <w:szCs w:val="24"/>
        </w:rPr>
        <w:t>为保证和提升我国</w:t>
      </w:r>
      <w:r>
        <w:rPr>
          <w:rFonts w:hint="eastAsia"/>
          <w:sz w:val="24"/>
          <w:szCs w:val="24"/>
          <w:lang w:val="en-US" w:eastAsia="zh-CN"/>
        </w:rPr>
        <w:t>超声标准试块应用与检测</w:t>
      </w:r>
      <w:r>
        <w:rPr>
          <w:rFonts w:hint="eastAsia"/>
          <w:sz w:val="24"/>
          <w:szCs w:val="24"/>
        </w:rPr>
        <w:t>的准确性</w:t>
      </w:r>
      <w:r>
        <w:rPr>
          <w:rFonts w:hint="eastAsia"/>
          <w:sz w:val="24"/>
          <w:szCs w:val="24"/>
          <w:lang w:eastAsia="zh-CN"/>
        </w:rPr>
        <w:t>及可靠性</w:t>
      </w:r>
      <w:r>
        <w:rPr>
          <w:rFonts w:hint="eastAsia"/>
          <w:sz w:val="24"/>
          <w:szCs w:val="24"/>
        </w:rPr>
        <w:t>，适应我国</w:t>
      </w:r>
      <w:r>
        <w:rPr>
          <w:rFonts w:hint="eastAsia"/>
          <w:sz w:val="24"/>
          <w:szCs w:val="24"/>
          <w:lang w:eastAsia="zh-CN"/>
        </w:rPr>
        <w:t>无损检测</w:t>
      </w:r>
      <w:r>
        <w:rPr>
          <w:rFonts w:hint="eastAsia"/>
          <w:sz w:val="24"/>
          <w:szCs w:val="24"/>
        </w:rPr>
        <w:t>行业的快速发展和满足国内外市场的需要，工业和信息化部以工厅科[20</w:t>
      </w:r>
      <w:r>
        <w:rPr>
          <w:rFonts w:hint="eastAsia"/>
          <w:sz w:val="24"/>
          <w:szCs w:val="24"/>
          <w:lang w:val="en-US" w:eastAsia="zh-CN"/>
        </w:rPr>
        <w:t>23</w:t>
      </w:r>
      <w:r>
        <w:rPr>
          <w:rFonts w:hint="eastAsia"/>
          <w:sz w:val="24"/>
          <w:szCs w:val="24"/>
        </w:rPr>
        <w:t>]</w:t>
      </w:r>
      <w:r>
        <w:rPr>
          <w:rFonts w:hint="eastAsia"/>
          <w:sz w:val="24"/>
          <w:szCs w:val="24"/>
          <w:lang w:val="en-US" w:eastAsia="zh-CN"/>
        </w:rPr>
        <w:t>476</w:t>
      </w:r>
      <w:r>
        <w:rPr>
          <w:rFonts w:hint="eastAsia"/>
          <w:sz w:val="24"/>
          <w:szCs w:val="24"/>
        </w:rPr>
        <w:t>号文下达了《工业和信息化部办公厅关于印发202</w:t>
      </w:r>
      <w:r>
        <w:rPr>
          <w:rFonts w:hint="eastAsia"/>
          <w:sz w:val="24"/>
          <w:szCs w:val="24"/>
          <w:lang w:val="en-US" w:eastAsia="zh-CN"/>
        </w:rPr>
        <w:t>3年行业</w:t>
      </w:r>
      <w:r>
        <w:rPr>
          <w:rFonts w:hint="eastAsia"/>
          <w:sz w:val="24"/>
          <w:szCs w:val="24"/>
        </w:rPr>
        <w:t>计量</w:t>
      </w:r>
      <w:r>
        <w:rPr>
          <w:rFonts w:hint="eastAsia"/>
          <w:sz w:val="24"/>
          <w:szCs w:val="24"/>
          <w:lang w:eastAsia="zh-CN"/>
        </w:rPr>
        <w:t>技术</w:t>
      </w:r>
      <w:r>
        <w:rPr>
          <w:rFonts w:hint="eastAsia"/>
          <w:sz w:val="24"/>
          <w:szCs w:val="24"/>
        </w:rPr>
        <w:t>规范制修订计划的通知》，其</w:t>
      </w:r>
      <w:r>
        <w:rPr>
          <w:rFonts w:hint="eastAsia"/>
          <w:sz w:val="24"/>
          <w:szCs w:val="24"/>
          <w:lang w:val="en-US" w:eastAsia="zh-CN"/>
        </w:rPr>
        <w:t>计划号</w:t>
      </w:r>
      <w:r>
        <w:rPr>
          <w:rFonts w:hint="eastAsia"/>
          <w:sz w:val="24"/>
          <w:szCs w:val="24"/>
        </w:rPr>
        <w:t>为：</w:t>
      </w:r>
      <w:r>
        <w:rPr>
          <w:rFonts w:hint="eastAsia"/>
          <w:sz w:val="24"/>
          <w:szCs w:val="24"/>
          <w:lang w:val="en-US" w:eastAsia="zh-CN"/>
        </w:rPr>
        <w:t>JJFZ（有色金属）026-2023</w:t>
      </w:r>
      <w:r>
        <w:rPr>
          <w:rFonts w:hint="eastAsia"/>
          <w:sz w:val="24"/>
          <w:szCs w:val="24"/>
        </w:rPr>
        <w:t>，计划完成年限为202</w:t>
      </w:r>
      <w:r>
        <w:rPr>
          <w:rFonts w:hint="eastAsia"/>
          <w:sz w:val="24"/>
          <w:szCs w:val="24"/>
          <w:lang w:val="en-US" w:eastAsia="zh-CN"/>
        </w:rPr>
        <w:t>5</w:t>
      </w:r>
      <w:r>
        <w:rPr>
          <w:rFonts w:hint="eastAsia"/>
          <w:sz w:val="24"/>
          <w:szCs w:val="24"/>
        </w:rPr>
        <w:t>年。</w:t>
      </w:r>
    </w:p>
    <w:p>
      <w:pPr>
        <w:pStyle w:val="60"/>
        <w:spacing w:before="156" w:after="156" w:line="300" w:lineRule="auto"/>
        <w:ind w:left="0"/>
        <w:contextualSpacing/>
        <w:rPr>
          <w:sz w:val="24"/>
          <w:szCs w:val="24"/>
        </w:rPr>
      </w:pPr>
      <w:bookmarkStart w:id="11" w:name="_Toc464728898"/>
      <w:bookmarkStart w:id="12" w:name="_Toc462884342"/>
      <w:r>
        <w:rPr>
          <w:rFonts w:hint="eastAsia"/>
          <w:sz w:val="24"/>
          <w:szCs w:val="24"/>
        </w:rPr>
        <w:t>项目编制组单位简况</w:t>
      </w:r>
      <w:bookmarkEnd w:id="11"/>
      <w:bookmarkEnd w:id="12"/>
    </w:p>
    <w:p>
      <w:pPr>
        <w:pStyle w:val="59"/>
        <w:spacing w:before="156" w:beforeLines="50" w:after="156" w:afterLines="50" w:line="240" w:lineRule="auto"/>
        <w:ind w:left="0"/>
        <w:rPr>
          <w:color w:val="auto"/>
          <w:sz w:val="24"/>
          <w:szCs w:val="24"/>
        </w:rPr>
      </w:pPr>
      <w:bookmarkStart w:id="13" w:name="_Toc462884343"/>
      <w:bookmarkStart w:id="14" w:name="_Toc464728899"/>
      <w:r>
        <w:rPr>
          <w:rFonts w:hint="eastAsia"/>
          <w:color w:val="auto"/>
          <w:sz w:val="24"/>
          <w:szCs w:val="24"/>
        </w:rPr>
        <w:t>编制组成员单位</w:t>
      </w:r>
      <w:bookmarkEnd w:id="13"/>
      <w:bookmarkEnd w:id="14"/>
    </w:p>
    <w:p>
      <w:pPr>
        <w:spacing w:line="300" w:lineRule="auto"/>
        <w:ind w:firstLine="480" w:firstLineChars="200"/>
        <w:contextualSpacing/>
        <w:jc w:val="left"/>
        <w:rPr>
          <w:sz w:val="24"/>
          <w:szCs w:val="24"/>
        </w:rPr>
      </w:pPr>
      <w:bookmarkStart w:id="15" w:name="_Toc462884344"/>
      <w:bookmarkStart w:id="16" w:name="_Toc464728900"/>
      <w:r>
        <w:rPr>
          <w:rFonts w:hint="eastAsia"/>
          <w:sz w:val="24"/>
          <w:szCs w:val="24"/>
        </w:rPr>
        <w:t>本标准的编制组单位为：国标（北京）检验认证有限公司、</w:t>
      </w:r>
      <w:r>
        <w:rPr>
          <w:rFonts w:hint="eastAsia"/>
          <w:sz w:val="24"/>
          <w:szCs w:val="24"/>
          <w:lang w:eastAsia="zh-CN"/>
        </w:rPr>
        <w:t>山东瑞祥模具有限公司</w:t>
      </w:r>
      <w:r>
        <w:rPr>
          <w:rFonts w:hint="eastAsia"/>
          <w:sz w:val="24"/>
          <w:szCs w:val="24"/>
        </w:rPr>
        <w:t>、</w:t>
      </w:r>
      <w:r>
        <w:rPr>
          <w:rFonts w:hint="eastAsia"/>
          <w:sz w:val="24"/>
          <w:szCs w:val="24"/>
          <w:lang w:eastAsia="zh-CN"/>
        </w:rPr>
        <w:t>中国特种设备检测研究院、</w:t>
      </w:r>
      <w:r>
        <w:rPr>
          <w:rFonts w:hint="eastAsia"/>
          <w:sz w:val="24"/>
          <w:szCs w:val="24"/>
          <w:lang w:val="en-US" w:eastAsia="zh-CN"/>
        </w:rPr>
        <w:t>北京工业大学、国合通用测试评价认证股份公司</w:t>
      </w:r>
      <w:r>
        <w:rPr>
          <w:rFonts w:hint="eastAsia"/>
          <w:sz w:val="24"/>
          <w:szCs w:val="24"/>
        </w:rPr>
        <w:t>。编制组成员单位均是我国有色金属行业的主要计量</w:t>
      </w:r>
      <w:r>
        <w:rPr>
          <w:rFonts w:hint="eastAsia"/>
          <w:sz w:val="24"/>
          <w:szCs w:val="24"/>
          <w:lang w:eastAsia="zh-CN"/>
        </w:rPr>
        <w:t>、检测</w:t>
      </w:r>
      <w:r>
        <w:rPr>
          <w:rFonts w:hint="eastAsia"/>
          <w:sz w:val="24"/>
          <w:szCs w:val="24"/>
        </w:rPr>
        <w:t>及科研研制单位。</w:t>
      </w:r>
    </w:p>
    <w:bookmarkEnd w:id="15"/>
    <w:bookmarkEnd w:id="16"/>
    <w:p>
      <w:pPr>
        <w:pStyle w:val="59"/>
        <w:spacing w:before="156" w:beforeLines="50" w:after="156" w:afterLines="50"/>
        <w:ind w:left="0"/>
        <w:contextualSpacing/>
        <w:rPr>
          <w:rFonts w:hAnsi="黑体"/>
          <w:color w:val="auto"/>
          <w:sz w:val="24"/>
          <w:szCs w:val="24"/>
        </w:rPr>
      </w:pPr>
      <w:r>
        <w:rPr>
          <w:rFonts w:hint="eastAsia" w:hAnsi="黑体"/>
          <w:color w:val="auto"/>
          <w:sz w:val="24"/>
          <w:szCs w:val="24"/>
        </w:rPr>
        <w:t>主编单位简介</w:t>
      </w:r>
    </w:p>
    <w:p>
      <w:pPr>
        <w:pStyle w:val="58"/>
        <w:spacing w:before="156" w:beforeLines="50" w:after="156" w:afterLines="50"/>
        <w:ind w:left="0" w:leftChars="0" w:firstLineChars="0"/>
        <w:contextualSpacing/>
        <w:rPr>
          <w:color w:val="auto"/>
          <w:sz w:val="24"/>
          <w:szCs w:val="24"/>
        </w:rPr>
      </w:pPr>
      <w:r>
        <w:rPr>
          <w:rFonts w:hint="eastAsia"/>
          <w:color w:val="auto"/>
          <w:sz w:val="24"/>
          <w:szCs w:val="24"/>
        </w:rPr>
        <w:t>国标（北京）检验认证有限公司</w:t>
      </w:r>
    </w:p>
    <w:p>
      <w:pPr>
        <w:spacing w:line="300" w:lineRule="auto"/>
        <w:ind w:firstLine="480" w:firstLineChars="200"/>
        <w:contextualSpacing/>
        <w:jc w:val="left"/>
        <w:rPr>
          <w:rFonts w:hint="eastAsia"/>
          <w:sz w:val="24"/>
          <w:szCs w:val="24"/>
        </w:rPr>
      </w:pPr>
      <w:r>
        <w:rPr>
          <w:rFonts w:hint="eastAsia"/>
          <w:sz w:val="24"/>
          <w:szCs w:val="24"/>
        </w:rPr>
        <w:t>国标（北京）检验认证有限公司（简称国标公司），是中国权威的第三方检验认证服务机构，致力于为客户提供一站式质量保障服务。公司前身为北京有色金属研究总院分析测试技术研究所，同时运行管理着“国家有色金属质量监督检验中心”和“国家有色金属及电子材料分析测试中心”，分别由原国家质量技术监督局于1985年批准建立和原国家科委于1983年批准建立。</w:t>
      </w:r>
    </w:p>
    <w:p>
      <w:pPr>
        <w:spacing w:line="300" w:lineRule="auto"/>
        <w:ind w:firstLine="480" w:firstLineChars="200"/>
        <w:contextualSpacing/>
        <w:jc w:val="left"/>
        <w:rPr>
          <w:rFonts w:hint="eastAsia"/>
          <w:sz w:val="24"/>
          <w:szCs w:val="24"/>
        </w:rPr>
      </w:pPr>
      <w:r>
        <w:rPr>
          <w:rFonts w:hint="eastAsia"/>
          <w:sz w:val="24"/>
          <w:szCs w:val="24"/>
        </w:rPr>
        <w:t>国标公司通过ISO 17025实验室国家认可(CNAS)、中国计量认证(CMA)、实验室审查认可（CAL）、培训机构资质认证（NTC）等，是国家工业与信息化部挂牌“有色金属标准样品定点研制单位（YSRK 07-2014）”、 “多晶硅行业准入检测测评实验室”、“工业(有色金属及半导体材料)产品质量控制及评价实验室”；中国有色金属工业协会认定的“有色金属失效分析行业重点实验室”；中关村高新技术企业园区挂牌的开放实验室；“航天器材料质量保证机构”；中国船级社检测和试验机构；同时是中国有色金属学会理化检验学术委员会、中国稀土学会理化检验专业委员会的主任委员单位。</w:t>
      </w:r>
    </w:p>
    <w:p>
      <w:pPr>
        <w:spacing w:line="300" w:lineRule="auto"/>
        <w:ind w:firstLine="480" w:firstLineChars="200"/>
        <w:contextualSpacing/>
        <w:jc w:val="left"/>
        <w:rPr>
          <w:rFonts w:hint="eastAsia"/>
          <w:sz w:val="24"/>
          <w:szCs w:val="24"/>
        </w:rPr>
      </w:pPr>
      <w:r>
        <w:rPr>
          <w:rFonts w:hint="eastAsia"/>
          <w:sz w:val="24"/>
          <w:szCs w:val="24"/>
        </w:rPr>
        <w:t>国标公司拥有一支基础理论扎实、实践经验丰富的研究和服务队伍，先后承担了国家科技支撑计划、国家863计划、国家自然科学基金、军工配套等计划项目的研究。曾获国家科技进步奖6项，国家发明奖3项，省部级科技进步一等奖6项，二、三等奖107项；近5年获得国家发明专利20余项；负责和参加起草制订国家标准、行业标准300余项；国家标准物质/标准样品120个，在国内外科技期刊上发表论文800余篇，撰写论著22部。</w:t>
      </w:r>
    </w:p>
    <w:p>
      <w:pPr>
        <w:spacing w:line="300" w:lineRule="auto"/>
        <w:ind w:firstLine="480" w:firstLineChars="200"/>
        <w:contextualSpacing/>
        <w:jc w:val="left"/>
        <w:rPr>
          <w:rFonts w:hint="eastAsia"/>
          <w:sz w:val="24"/>
          <w:szCs w:val="24"/>
        </w:rPr>
      </w:pPr>
      <w:r>
        <w:rPr>
          <w:rFonts w:hint="eastAsia"/>
          <w:sz w:val="24"/>
          <w:szCs w:val="24"/>
        </w:rPr>
        <w:t>其下属无损</w:t>
      </w:r>
      <w:r>
        <w:rPr>
          <w:rFonts w:hint="eastAsia"/>
          <w:sz w:val="24"/>
          <w:szCs w:val="24"/>
          <w:lang w:eastAsia="zh-CN"/>
        </w:rPr>
        <w:t>检测部</w:t>
      </w:r>
      <w:r>
        <w:rPr>
          <w:rFonts w:hint="eastAsia"/>
          <w:sz w:val="24"/>
          <w:szCs w:val="24"/>
        </w:rPr>
        <w:t>是国内最早从事无损检测技术研究与产品研制的科研机构之一，在国内具有广泛的知名度，能力涵盖</w:t>
      </w:r>
      <w:r>
        <w:rPr>
          <w:rFonts w:hint="eastAsia"/>
          <w:sz w:val="24"/>
          <w:szCs w:val="24"/>
          <w:lang w:eastAsia="zh-CN"/>
        </w:rPr>
        <w:t>超声计量、</w:t>
      </w:r>
      <w:r>
        <w:rPr>
          <w:rFonts w:hint="eastAsia"/>
          <w:sz w:val="24"/>
          <w:szCs w:val="24"/>
        </w:rPr>
        <w:t>超声检测、射线检测、涡流检测、渗透检测、磁粉及磁记忆检测等。过去的40多年间，为各重要研究单位及全国数百家冶金及金属制造厂商提供了优质的检测服务</w:t>
      </w:r>
      <w:r>
        <w:rPr>
          <w:rFonts w:hint="eastAsia"/>
          <w:sz w:val="24"/>
          <w:szCs w:val="24"/>
          <w:lang w:eastAsia="zh-CN"/>
        </w:rPr>
        <w:t>、</w:t>
      </w:r>
      <w:r>
        <w:rPr>
          <w:rFonts w:hint="eastAsia"/>
          <w:sz w:val="24"/>
          <w:szCs w:val="24"/>
        </w:rPr>
        <w:t>性能出众的检测设备</w:t>
      </w:r>
      <w:r>
        <w:rPr>
          <w:rFonts w:hint="eastAsia"/>
          <w:sz w:val="24"/>
          <w:szCs w:val="24"/>
          <w:lang w:eastAsia="zh-CN"/>
        </w:rPr>
        <w:t>及超声探伤方面的计量服务</w:t>
      </w:r>
      <w:r>
        <w:rPr>
          <w:rFonts w:hint="eastAsia"/>
          <w:sz w:val="24"/>
          <w:szCs w:val="24"/>
        </w:rPr>
        <w:t>。同时也收集了大量无损检测</w:t>
      </w:r>
      <w:r>
        <w:rPr>
          <w:rFonts w:hint="eastAsia"/>
          <w:sz w:val="24"/>
          <w:szCs w:val="24"/>
          <w:lang w:eastAsia="zh-CN"/>
        </w:rPr>
        <w:t>及计量</w:t>
      </w:r>
      <w:r>
        <w:rPr>
          <w:rFonts w:hint="eastAsia"/>
          <w:sz w:val="24"/>
          <w:szCs w:val="24"/>
        </w:rPr>
        <w:t>技术信息，积累了丰富的技术与经验，具备坚实的无损检测</w:t>
      </w:r>
      <w:r>
        <w:rPr>
          <w:rFonts w:hint="eastAsia"/>
          <w:sz w:val="24"/>
          <w:szCs w:val="24"/>
          <w:lang w:eastAsia="zh-CN"/>
        </w:rPr>
        <w:t>及计量</w:t>
      </w:r>
      <w:r>
        <w:rPr>
          <w:rFonts w:hint="eastAsia"/>
          <w:sz w:val="24"/>
          <w:szCs w:val="24"/>
        </w:rPr>
        <w:t>能力。</w:t>
      </w:r>
    </w:p>
    <w:p>
      <w:pPr>
        <w:spacing w:line="300" w:lineRule="auto"/>
        <w:ind w:firstLine="480" w:firstLineChars="200"/>
        <w:contextualSpacing/>
        <w:jc w:val="left"/>
        <w:rPr>
          <w:sz w:val="24"/>
          <w:szCs w:val="24"/>
          <w:highlight w:val="yellow"/>
        </w:rPr>
      </w:pPr>
      <w:r>
        <w:rPr>
          <w:rFonts w:hint="eastAsia"/>
          <w:sz w:val="24"/>
          <w:szCs w:val="24"/>
        </w:rPr>
        <w:t>国标（北京）检验认证有限公司技术能力雄厚、人员水平全面，在有色金属行业有着良好的口碑和影响力，积极组织开展</w:t>
      </w:r>
      <w:r>
        <w:rPr>
          <w:rFonts w:hint="eastAsia"/>
          <w:sz w:val="24"/>
          <w:szCs w:val="24"/>
          <w:lang w:eastAsia="zh-CN"/>
        </w:rPr>
        <w:t>本标准编制及</w:t>
      </w:r>
      <w:r>
        <w:rPr>
          <w:rFonts w:hint="eastAsia"/>
          <w:sz w:val="24"/>
          <w:szCs w:val="24"/>
        </w:rPr>
        <w:t>相关的校准</w:t>
      </w:r>
      <w:r>
        <w:rPr>
          <w:rFonts w:hint="eastAsia"/>
          <w:sz w:val="24"/>
          <w:szCs w:val="24"/>
          <w:lang w:eastAsia="zh-CN"/>
        </w:rPr>
        <w:t>工作，</w:t>
      </w:r>
      <w:r>
        <w:rPr>
          <w:rFonts w:hint="eastAsia"/>
          <w:sz w:val="24"/>
          <w:szCs w:val="24"/>
        </w:rPr>
        <w:t>完全具备起草本标准的资格、基础和条件。</w:t>
      </w:r>
    </w:p>
    <w:p>
      <w:pPr>
        <w:pStyle w:val="59"/>
        <w:spacing w:before="156" w:beforeLines="50" w:after="156" w:afterLines="50" w:line="240" w:lineRule="auto"/>
        <w:ind w:left="0"/>
        <w:rPr>
          <w:color w:val="auto"/>
          <w:sz w:val="24"/>
          <w:szCs w:val="24"/>
        </w:rPr>
      </w:pPr>
      <w:bookmarkStart w:id="17" w:name="_Toc464728901"/>
      <w:bookmarkStart w:id="18" w:name="_Toc462884345"/>
      <w:r>
        <w:rPr>
          <w:rFonts w:hint="eastAsia"/>
          <w:color w:val="auto"/>
          <w:sz w:val="24"/>
          <w:szCs w:val="24"/>
        </w:rPr>
        <w:t>成员单位简介</w:t>
      </w:r>
      <w:bookmarkEnd w:id="17"/>
      <w:bookmarkEnd w:id="18"/>
    </w:p>
    <w:p>
      <w:pPr>
        <w:pStyle w:val="58"/>
        <w:spacing w:before="156" w:beforeLines="50" w:after="156" w:afterLines="50"/>
        <w:ind w:left="2"/>
        <w:contextualSpacing/>
        <w:rPr>
          <w:color w:val="auto"/>
          <w:sz w:val="24"/>
          <w:szCs w:val="24"/>
          <w:highlight w:val="yellow"/>
        </w:rPr>
      </w:pPr>
      <w:r>
        <w:rPr>
          <w:rFonts w:hint="eastAsia"/>
          <w:sz w:val="24"/>
          <w:szCs w:val="24"/>
          <w:highlight w:val="yellow"/>
          <w:lang w:eastAsia="zh-CN"/>
        </w:rPr>
        <w:t>山东瑞祥模具有限公司</w:t>
      </w:r>
    </w:p>
    <w:p>
      <w:pPr>
        <w:spacing w:line="300" w:lineRule="auto"/>
        <w:ind w:firstLine="480" w:firstLineChars="200"/>
        <w:contextualSpacing/>
        <w:jc w:val="left"/>
        <w:rPr>
          <w:sz w:val="24"/>
          <w:szCs w:val="24"/>
          <w:highlight w:val="yellow"/>
        </w:rPr>
      </w:pPr>
      <w:r>
        <w:rPr>
          <w:rFonts w:hint="eastAsia"/>
          <w:sz w:val="24"/>
          <w:szCs w:val="24"/>
          <w:highlight w:val="yellow"/>
          <w:lang w:val="en-US" w:eastAsia="zh-CN"/>
        </w:rPr>
        <w:t>山东瑞祥模具有限公司</w:t>
      </w:r>
    </w:p>
    <w:p>
      <w:pPr>
        <w:pStyle w:val="58"/>
        <w:spacing w:before="156" w:beforeLines="50" w:after="156" w:afterLines="50"/>
        <w:ind w:left="2"/>
        <w:contextualSpacing/>
        <w:rPr>
          <w:color w:val="auto"/>
          <w:sz w:val="24"/>
          <w:szCs w:val="24"/>
          <w:highlight w:val="none"/>
        </w:rPr>
      </w:pPr>
      <w:r>
        <w:rPr>
          <w:rFonts w:hint="eastAsia"/>
          <w:sz w:val="24"/>
          <w:szCs w:val="24"/>
          <w:highlight w:val="none"/>
          <w:lang w:eastAsia="zh-CN"/>
        </w:rPr>
        <w:t>中国特种设备检测研究院</w:t>
      </w:r>
    </w:p>
    <w:p>
      <w:pPr>
        <w:spacing w:line="300" w:lineRule="auto"/>
        <w:ind w:firstLine="480" w:firstLineChars="200"/>
        <w:contextualSpacing/>
        <w:jc w:val="both"/>
        <w:rPr>
          <w:rFonts w:hint="eastAsia"/>
          <w:sz w:val="24"/>
          <w:szCs w:val="24"/>
          <w:highlight w:val="none"/>
        </w:rPr>
      </w:pPr>
      <w:r>
        <w:rPr>
          <w:rFonts w:hint="eastAsia"/>
          <w:sz w:val="24"/>
          <w:szCs w:val="24"/>
          <w:highlight w:val="none"/>
        </w:rPr>
        <w:t>中国特种设备检测研究院（简称中国特检院，英文缩写CSEI），于1979年10月经国务院批准成立，隶属于原国家劳动总局，1998年划转至原国家质量技术监督局，2001年划转至原国家质量监督检验检疫总局，现隶属国家市场监督管理总局，是公益二类事业单位。全院现有职工1353人，其中博士83人，硕士400人，在站博士后3人。具有正高级专业技术职称人员58人，副高级专业技术职称人员241人，中级专业技术职称人员417人。国家高层次人才特殊支持计划科技领军人才1人、青年拔尖人才1人，百千万人才工程国家级人选1人，享受国务院政府特殊津贴在职人员5人。我院持证人员共计560余人，具有各类检验检测资格2100余人项。 建有完善的管理体系，具有国家市场监督管理总局核准的特种设备综合检验机构、型式试验机构和授权的锅炉定型产品能效测试机构、在用工业锅炉能效测试机构，特种设备行政许可鉴定评审机构、设计文件鉴定机构，特种设备检测机构（无损检测）。国家认证认可监督管理委员会认定的检验检测机构和授权的国家锅炉压力容器质量检验检测中心、国家锅炉水处理与有机热载体质量检验检测中心，CNAS认可的实验室和检验机构，质量管理体系认证、职业健康安全管理体系认证和环境管理体系认证等资质或证书。</w:t>
      </w:r>
    </w:p>
    <w:p>
      <w:pPr>
        <w:pStyle w:val="58"/>
        <w:bidi w:val="0"/>
        <w:spacing w:line="360" w:lineRule="auto"/>
        <w:rPr>
          <w:highlight w:val="yellow"/>
        </w:rPr>
      </w:pPr>
      <w:r>
        <w:rPr>
          <w:rFonts w:hint="eastAsia"/>
          <w:sz w:val="24"/>
          <w:szCs w:val="24"/>
          <w:highlight w:val="yellow"/>
          <w:lang w:val="en-US" w:eastAsia="zh-CN"/>
        </w:rPr>
        <w:t>北京工业大学</w:t>
      </w:r>
    </w:p>
    <w:p>
      <w:pPr>
        <w:spacing w:line="300" w:lineRule="auto"/>
        <w:ind w:firstLine="420" w:firstLineChars="0"/>
        <w:contextualSpacing/>
        <w:jc w:val="left"/>
        <w:rPr>
          <w:rFonts w:hint="eastAsia"/>
          <w:sz w:val="24"/>
          <w:szCs w:val="24"/>
          <w:highlight w:val="yellow"/>
          <w:lang w:val="en-US" w:eastAsia="zh-CN"/>
        </w:rPr>
      </w:pPr>
      <w:r>
        <w:rPr>
          <w:rFonts w:hint="eastAsia"/>
          <w:sz w:val="24"/>
          <w:szCs w:val="24"/>
          <w:highlight w:val="yellow"/>
          <w:lang w:val="en-US" w:eastAsia="zh-CN"/>
        </w:rPr>
        <w:t>北京工业大学</w:t>
      </w:r>
    </w:p>
    <w:p>
      <w:pPr>
        <w:pStyle w:val="58"/>
        <w:bidi w:val="0"/>
        <w:spacing w:line="360" w:lineRule="auto"/>
        <w:rPr>
          <w:rFonts w:hint="eastAsia" w:ascii="黑体" w:hAnsi="黑体" w:eastAsia="黑体" w:cs="Times New Roman"/>
          <w:color w:val="000000" w:themeColor="text1"/>
          <w:spacing w:val="-6"/>
          <w:kern w:val="0"/>
          <w:sz w:val="24"/>
          <w:szCs w:val="24"/>
          <w:lang w:val="en-US" w:eastAsia="zh-CN" w:bidi="ar-SA"/>
          <w14:textFill>
            <w14:solidFill>
              <w14:schemeClr w14:val="tx1"/>
            </w14:solidFill>
          </w14:textFill>
        </w:rPr>
      </w:pPr>
      <w:r>
        <w:rPr>
          <w:rFonts w:hint="eastAsia" w:ascii="黑体" w:hAnsi="黑体" w:eastAsia="黑体" w:cs="Times New Roman"/>
          <w:color w:val="000000" w:themeColor="text1"/>
          <w:spacing w:val="-6"/>
          <w:kern w:val="0"/>
          <w:sz w:val="24"/>
          <w:szCs w:val="24"/>
          <w:lang w:val="en-US" w:eastAsia="zh-CN" w:bidi="ar-SA"/>
          <w14:textFill>
            <w14:solidFill>
              <w14:schemeClr w14:val="tx1"/>
            </w14:solidFill>
          </w14:textFill>
        </w:rPr>
        <w:t>国合通用测试评价认证股份公司</w:t>
      </w:r>
    </w:p>
    <w:p>
      <w:pPr>
        <w:spacing w:line="300" w:lineRule="auto"/>
        <w:ind w:firstLine="420" w:firstLineChars="0"/>
        <w:contextualSpacing/>
        <w:jc w:val="left"/>
        <w:rPr>
          <w:rFonts w:hint="eastAsia"/>
          <w:sz w:val="24"/>
          <w:szCs w:val="24"/>
          <w:lang w:val="en-US" w:eastAsia="zh-CN"/>
        </w:rPr>
      </w:pPr>
      <w:r>
        <w:rPr>
          <w:rFonts w:hint="eastAsia"/>
          <w:sz w:val="24"/>
          <w:szCs w:val="24"/>
          <w:lang w:val="en-US" w:eastAsia="zh-CN"/>
        </w:rPr>
        <w:t>国合通用测试评价认证股份公司（以下简称国合通测）是中央企业中国有研科技集团有限公司的二级公司，主要从事新材料分析测试、质量评估、验证评价等科技服务，管理并运行着国家新材料测试评价平台主中心、国家有色金属质量检验检测中心等7个国家级中心/实验室，在国内金属新材料检测及认证领域处于行业领先地位。公司拥有一支基础理论扎实、实践经验丰富的高水平专业服务团队，员工总数640名，享受国务院特殊津贴专家3名，高级职称及以上人员101名，专业技术人员267人（42%），博士学历专业技术人员30余名。在北京、上海、青岛、深圳、重庆、西安、德阳七省市建立专业实验室逾50000平方米，装备高端仪器设备4200余台套，具备国际先进水平的金属材料综合测试评价能力，累计为12000余家金属材料研究、生产和应用单位提供“一站式”服务。</w:t>
      </w:r>
    </w:p>
    <w:p>
      <w:pPr>
        <w:pStyle w:val="60"/>
        <w:spacing w:before="156" w:after="156" w:line="300" w:lineRule="auto"/>
        <w:ind w:left="0"/>
        <w:contextualSpacing/>
        <w:rPr>
          <w:rFonts w:hint="default"/>
          <w:sz w:val="24"/>
          <w:szCs w:val="24"/>
          <w:lang w:val="en-US"/>
        </w:rPr>
      </w:pPr>
      <w:bookmarkStart w:id="19" w:name="_Toc464728913"/>
      <w:bookmarkStart w:id="20" w:name="_Toc462884357"/>
      <w:r>
        <w:rPr>
          <w:rFonts w:hint="eastAsia"/>
          <w:sz w:val="24"/>
          <w:szCs w:val="24"/>
        </w:rPr>
        <w:t>主要工作过程</w:t>
      </w:r>
      <w:bookmarkEnd w:id="19"/>
      <w:bookmarkEnd w:id="20"/>
    </w:p>
    <w:p>
      <w:pPr>
        <w:pStyle w:val="57"/>
        <w:spacing w:line="360" w:lineRule="auto"/>
        <w:ind w:left="0" w:leftChars="0" w:firstLine="0" w:firstLineChars="0"/>
        <w:rPr>
          <w:rFonts w:hint="default"/>
          <w:lang w:val="en-US" w:eastAsia="zh-CN"/>
        </w:rPr>
      </w:pPr>
      <w:r>
        <w:rPr>
          <w:rFonts w:hint="default" w:ascii="黑体" w:hAnsi="Times New Roman" w:eastAsia="黑体" w:cs="Times New Roman"/>
          <w:color w:val="auto"/>
          <w:spacing w:val="-4"/>
          <w:sz w:val="24"/>
          <w:szCs w:val="24"/>
          <w:lang w:val="en-US" w:eastAsia="zh-CN" w:bidi="ar-SA"/>
        </w:rPr>
        <w:t xml:space="preserve">4.1 </w:t>
      </w:r>
      <w:r>
        <w:rPr>
          <w:rFonts w:hint="eastAsia" w:ascii="黑体" w:hAnsi="Times New Roman" w:eastAsia="黑体" w:cs="Times New Roman"/>
          <w:color w:val="auto"/>
          <w:spacing w:val="-4"/>
          <w:sz w:val="24"/>
          <w:szCs w:val="24"/>
          <w:lang w:val="en-US" w:eastAsia="zh-CN" w:bidi="ar-SA"/>
        </w:rPr>
        <w:t>任务落实</w:t>
      </w:r>
    </w:p>
    <w:p>
      <w:pPr>
        <w:pStyle w:val="57"/>
        <w:spacing w:line="324" w:lineRule="auto"/>
        <w:ind w:firstLine="420"/>
        <w:rPr>
          <w:rFonts w:hint="default"/>
          <w:sz w:val="24"/>
          <w:szCs w:val="24"/>
          <w:lang w:val="en-US" w:eastAsia="zh-CN"/>
        </w:rPr>
      </w:pPr>
      <w:r>
        <w:rPr>
          <w:rFonts w:hint="default"/>
          <w:sz w:val="24"/>
          <w:szCs w:val="24"/>
          <w:lang w:val="en-US" w:eastAsia="zh-CN"/>
        </w:rPr>
        <w:t>编制组内部经实地调研，就规范包含的内容、主要技术指标等问题进行了讨论，确定规范起草的主导思想和起草原则，对起草组人员的工作进行了分配，并对制定规范的技术指标及拟使用的方法进行现场验证。了解使用单位需求情况并进行测试试验,选取有代表性的</w:t>
      </w:r>
      <w:r>
        <w:rPr>
          <w:rFonts w:hint="eastAsia"/>
          <w:sz w:val="24"/>
          <w:szCs w:val="24"/>
          <w:lang w:val="en-US" w:eastAsia="zh-CN"/>
        </w:rPr>
        <w:t>超声标准试块</w:t>
      </w:r>
      <w:r>
        <w:rPr>
          <w:rFonts w:hint="default"/>
          <w:sz w:val="24"/>
          <w:szCs w:val="24"/>
          <w:lang w:val="en-US" w:eastAsia="zh-CN"/>
        </w:rPr>
        <w:t>，收集相关技术材料。</w:t>
      </w:r>
    </w:p>
    <w:p>
      <w:pPr>
        <w:pStyle w:val="57"/>
        <w:spacing w:line="360" w:lineRule="auto"/>
        <w:ind w:left="0" w:leftChars="0" w:firstLine="0" w:firstLineChars="0"/>
        <w:rPr>
          <w:rFonts w:hint="default"/>
          <w:lang w:val="en-US" w:eastAsia="zh-CN"/>
        </w:rPr>
      </w:pPr>
      <w:r>
        <w:rPr>
          <w:rFonts w:hint="default" w:ascii="黑体" w:hAnsi="Times New Roman" w:eastAsia="黑体" w:cs="Times New Roman"/>
          <w:color w:val="auto"/>
          <w:spacing w:val="-4"/>
          <w:sz w:val="24"/>
          <w:szCs w:val="24"/>
          <w:lang w:val="en-US" w:eastAsia="zh-CN" w:bidi="ar-SA"/>
        </w:rPr>
        <w:t>4.2 立项阶段</w:t>
      </w:r>
    </w:p>
    <w:p>
      <w:pPr>
        <w:pStyle w:val="57"/>
        <w:spacing w:line="324" w:lineRule="auto"/>
        <w:ind w:firstLine="420"/>
        <w:rPr>
          <w:rFonts w:hint="default"/>
          <w:sz w:val="24"/>
          <w:szCs w:val="24"/>
          <w:lang w:val="en-US" w:eastAsia="zh-CN"/>
        </w:rPr>
      </w:pPr>
      <w:r>
        <w:rPr>
          <w:rFonts w:hint="default"/>
          <w:sz w:val="24"/>
          <w:szCs w:val="24"/>
          <w:lang w:val="en-US" w:eastAsia="zh-CN"/>
        </w:rPr>
        <w:t>预研工作完成后，由国标（北京）检验认证有限公司提交项目</w:t>
      </w:r>
      <w:r>
        <w:rPr>
          <w:rFonts w:hint="eastAsia"/>
          <w:sz w:val="24"/>
          <w:szCs w:val="24"/>
          <w:lang w:val="en-US" w:eastAsia="zh-CN"/>
        </w:rPr>
        <w:t>建议</w:t>
      </w:r>
      <w:r>
        <w:rPr>
          <w:rFonts w:hint="default"/>
          <w:sz w:val="24"/>
          <w:szCs w:val="24"/>
          <w:lang w:val="en-US" w:eastAsia="zh-CN"/>
        </w:rPr>
        <w:t>书等材料，于202</w:t>
      </w:r>
      <w:r>
        <w:rPr>
          <w:rFonts w:hint="eastAsia"/>
          <w:sz w:val="24"/>
          <w:szCs w:val="24"/>
          <w:lang w:val="en-US" w:eastAsia="zh-CN"/>
        </w:rPr>
        <w:t>3</w:t>
      </w:r>
      <w:r>
        <w:rPr>
          <w:rFonts w:hint="default"/>
          <w:sz w:val="24"/>
          <w:szCs w:val="24"/>
          <w:lang w:val="en-US" w:eastAsia="zh-CN"/>
        </w:rPr>
        <w:t>年6月，工业和信息化部以工信厅科函</w:t>
      </w:r>
      <w:r>
        <w:rPr>
          <w:rFonts w:hint="eastAsia"/>
          <w:sz w:val="24"/>
          <w:szCs w:val="24"/>
        </w:rPr>
        <w:t>[20</w:t>
      </w:r>
      <w:r>
        <w:rPr>
          <w:rFonts w:hint="eastAsia"/>
          <w:sz w:val="24"/>
          <w:szCs w:val="24"/>
          <w:lang w:val="en-US" w:eastAsia="zh-CN"/>
        </w:rPr>
        <w:t>23</w:t>
      </w:r>
      <w:r>
        <w:rPr>
          <w:rFonts w:hint="eastAsia"/>
          <w:sz w:val="24"/>
          <w:szCs w:val="24"/>
        </w:rPr>
        <w:t>]</w:t>
      </w:r>
      <w:r>
        <w:rPr>
          <w:rFonts w:hint="eastAsia"/>
          <w:sz w:val="24"/>
          <w:szCs w:val="24"/>
          <w:lang w:val="en-US" w:eastAsia="zh-CN"/>
        </w:rPr>
        <w:t>476</w:t>
      </w:r>
      <w:r>
        <w:rPr>
          <w:rFonts w:hint="default"/>
          <w:sz w:val="24"/>
          <w:szCs w:val="24"/>
          <w:lang w:val="en-US" w:eastAsia="zh-CN"/>
        </w:rPr>
        <w:t>号文下达了</w:t>
      </w:r>
      <w:r>
        <w:rPr>
          <w:rFonts w:hint="eastAsia"/>
          <w:sz w:val="24"/>
          <w:szCs w:val="24"/>
        </w:rPr>
        <w:t>《工业和信息化部办公厅关于印发202</w:t>
      </w:r>
      <w:r>
        <w:rPr>
          <w:rFonts w:hint="eastAsia"/>
          <w:sz w:val="24"/>
          <w:szCs w:val="24"/>
          <w:lang w:val="en-US" w:eastAsia="zh-CN"/>
        </w:rPr>
        <w:t>3年行业</w:t>
      </w:r>
      <w:r>
        <w:rPr>
          <w:rFonts w:hint="eastAsia"/>
          <w:sz w:val="24"/>
          <w:szCs w:val="24"/>
        </w:rPr>
        <w:t>计量</w:t>
      </w:r>
      <w:r>
        <w:rPr>
          <w:rFonts w:hint="eastAsia"/>
          <w:sz w:val="24"/>
          <w:szCs w:val="24"/>
          <w:lang w:eastAsia="zh-CN"/>
        </w:rPr>
        <w:t>技术</w:t>
      </w:r>
      <w:r>
        <w:rPr>
          <w:rFonts w:hint="eastAsia"/>
          <w:sz w:val="24"/>
          <w:szCs w:val="24"/>
        </w:rPr>
        <w:t>规范制修订计划的通知》</w:t>
      </w:r>
      <w:r>
        <w:rPr>
          <w:rFonts w:hint="default"/>
          <w:sz w:val="24"/>
          <w:szCs w:val="24"/>
          <w:lang w:val="en-US" w:eastAsia="zh-CN"/>
        </w:rPr>
        <w:t>，</w:t>
      </w:r>
      <w:r>
        <w:rPr>
          <w:rFonts w:hint="eastAsia"/>
          <w:sz w:val="24"/>
          <w:szCs w:val="24"/>
        </w:rPr>
        <w:t>其</w:t>
      </w:r>
      <w:r>
        <w:rPr>
          <w:rFonts w:hint="eastAsia"/>
          <w:sz w:val="24"/>
          <w:szCs w:val="24"/>
          <w:lang w:val="en-US" w:eastAsia="zh-CN"/>
        </w:rPr>
        <w:t>计划号</w:t>
      </w:r>
      <w:r>
        <w:rPr>
          <w:rFonts w:hint="eastAsia"/>
          <w:sz w:val="24"/>
          <w:szCs w:val="24"/>
        </w:rPr>
        <w:t>为：</w:t>
      </w:r>
      <w:r>
        <w:rPr>
          <w:rFonts w:hint="eastAsia"/>
          <w:sz w:val="24"/>
          <w:szCs w:val="24"/>
          <w:lang w:val="en-US" w:eastAsia="zh-CN"/>
        </w:rPr>
        <w:t>JJFZ（有色金属）026-2023</w:t>
      </w:r>
      <w:r>
        <w:rPr>
          <w:rFonts w:hint="eastAsia"/>
          <w:sz w:val="24"/>
          <w:szCs w:val="24"/>
        </w:rPr>
        <w:t>，计划完成年限为202</w:t>
      </w:r>
      <w:r>
        <w:rPr>
          <w:rFonts w:hint="eastAsia"/>
          <w:sz w:val="24"/>
          <w:szCs w:val="24"/>
          <w:lang w:val="en-US" w:eastAsia="zh-CN"/>
        </w:rPr>
        <w:t>5</w:t>
      </w:r>
      <w:r>
        <w:rPr>
          <w:rFonts w:hint="eastAsia"/>
          <w:sz w:val="24"/>
          <w:szCs w:val="24"/>
        </w:rPr>
        <w:t>年。</w:t>
      </w:r>
    </w:p>
    <w:p>
      <w:pPr>
        <w:pStyle w:val="57"/>
        <w:spacing w:line="360" w:lineRule="auto"/>
        <w:ind w:left="0" w:leftChars="0" w:firstLine="0" w:firstLineChars="0"/>
        <w:rPr>
          <w:rFonts w:hint="eastAsia" w:ascii="黑体" w:hAnsi="Times New Roman" w:eastAsia="黑体" w:cs="Times New Roman"/>
          <w:color w:val="auto"/>
          <w:spacing w:val="-4"/>
          <w:sz w:val="24"/>
          <w:szCs w:val="24"/>
          <w:lang w:val="en-US" w:eastAsia="zh-CN" w:bidi="ar-SA"/>
        </w:rPr>
      </w:pPr>
      <w:r>
        <w:rPr>
          <w:rFonts w:hint="default" w:ascii="黑体" w:hAnsi="Times New Roman" w:eastAsia="黑体" w:cs="Times New Roman"/>
          <w:color w:val="auto"/>
          <w:spacing w:val="-4"/>
          <w:sz w:val="24"/>
          <w:szCs w:val="24"/>
          <w:lang w:val="en-US" w:eastAsia="zh-CN" w:bidi="ar-SA"/>
        </w:rPr>
        <w:t xml:space="preserve">4.3 </w:t>
      </w:r>
      <w:r>
        <w:rPr>
          <w:rFonts w:hint="eastAsia" w:ascii="黑体" w:hAnsi="Times New Roman" w:eastAsia="黑体" w:cs="Times New Roman"/>
          <w:color w:val="auto"/>
          <w:spacing w:val="-4"/>
          <w:sz w:val="24"/>
          <w:szCs w:val="24"/>
          <w:lang w:val="en-US" w:eastAsia="zh-CN" w:bidi="ar-SA"/>
        </w:rPr>
        <w:t>任务落实</w:t>
      </w:r>
    </w:p>
    <w:p>
      <w:pPr>
        <w:pStyle w:val="57"/>
        <w:spacing w:line="324" w:lineRule="auto"/>
        <w:ind w:firstLine="420"/>
        <w:rPr>
          <w:rFonts w:hint="default" w:eastAsia="宋体"/>
          <w:sz w:val="24"/>
          <w:szCs w:val="24"/>
          <w:lang w:val="en-US" w:eastAsia="zh-CN"/>
        </w:rPr>
      </w:pPr>
      <w:r>
        <w:rPr>
          <w:rFonts w:hint="eastAsia"/>
          <w:sz w:val="24"/>
          <w:szCs w:val="24"/>
          <w:lang w:val="en-US" w:eastAsia="zh-CN"/>
        </w:rPr>
        <w:t>2023年9月，</w:t>
      </w:r>
      <w:r>
        <w:rPr>
          <w:rFonts w:hint="default"/>
          <w:sz w:val="24"/>
          <w:szCs w:val="24"/>
          <w:lang w:val="en-US" w:eastAsia="zh-CN"/>
        </w:rPr>
        <w:t>由国标（北京）检验认证有限公司提交</w:t>
      </w:r>
      <w:r>
        <w:rPr>
          <w:rFonts w:hint="eastAsia"/>
          <w:sz w:val="24"/>
          <w:szCs w:val="24"/>
          <w:lang w:val="en-US" w:eastAsia="zh-CN"/>
        </w:rPr>
        <w:t>项目落实任务书材料。</w:t>
      </w:r>
    </w:p>
    <w:p>
      <w:pPr>
        <w:pStyle w:val="57"/>
        <w:spacing w:line="324" w:lineRule="auto"/>
        <w:ind w:firstLine="420"/>
        <w:rPr>
          <w:rFonts w:hint="default" w:ascii="黑体" w:hAnsi="Times New Roman" w:eastAsia="黑体" w:cs="Times New Roman"/>
          <w:color w:val="auto"/>
          <w:spacing w:val="-4"/>
          <w:sz w:val="24"/>
          <w:szCs w:val="24"/>
          <w:lang w:val="en-US" w:eastAsia="zh-CN" w:bidi="ar-SA"/>
        </w:rPr>
      </w:pPr>
      <w:r>
        <w:rPr>
          <w:rFonts w:hint="default"/>
          <w:sz w:val="24"/>
          <w:szCs w:val="24"/>
          <w:lang w:val="en-US" w:eastAsia="zh-CN"/>
        </w:rPr>
        <w:t>202</w:t>
      </w:r>
      <w:r>
        <w:rPr>
          <w:rFonts w:hint="eastAsia"/>
          <w:sz w:val="24"/>
          <w:szCs w:val="24"/>
          <w:lang w:val="en-US" w:eastAsia="zh-CN"/>
        </w:rPr>
        <w:t>3</w:t>
      </w:r>
      <w:r>
        <w:rPr>
          <w:rFonts w:hint="default"/>
          <w:sz w:val="24"/>
          <w:szCs w:val="24"/>
          <w:lang w:val="en-US" w:eastAsia="zh-CN"/>
        </w:rPr>
        <w:t>年</w:t>
      </w:r>
      <w:r>
        <w:rPr>
          <w:rFonts w:hint="eastAsia"/>
          <w:sz w:val="24"/>
          <w:szCs w:val="24"/>
          <w:lang w:val="en-US" w:eastAsia="zh-CN"/>
        </w:rPr>
        <w:t>12</w:t>
      </w:r>
      <w:r>
        <w:rPr>
          <w:rFonts w:hint="default"/>
          <w:sz w:val="24"/>
          <w:szCs w:val="24"/>
          <w:lang w:val="en-US" w:eastAsia="zh-CN"/>
        </w:rPr>
        <w:t>月</w:t>
      </w:r>
      <w:r>
        <w:rPr>
          <w:rFonts w:hint="eastAsia" w:ascii="Times New Roman" w:hAnsi="Times New Roman" w:cs="Times New Roman"/>
          <w:sz w:val="24"/>
          <w:szCs w:val="24"/>
          <w:lang w:val="en-US" w:eastAsia="zh-CN"/>
        </w:rPr>
        <w:t>，由国标公司编制组对规范进行起草。经过多次的讨论，现场试验和数据采集后，完成了规范的讨论稿。</w:t>
      </w:r>
    </w:p>
    <w:p>
      <w:pPr>
        <w:pStyle w:val="73"/>
        <w:numPr>
          <w:ilvl w:val="0"/>
          <w:numId w:val="11"/>
        </w:numPr>
        <w:tabs>
          <w:tab w:val="left" w:pos="426"/>
        </w:tabs>
        <w:spacing w:before="312" w:beforeLines="100" w:after="312" w:afterLines="100"/>
        <w:ind w:hangingChars="200"/>
        <w:jc w:val="left"/>
        <w:rPr>
          <w:sz w:val="24"/>
          <w:szCs w:val="24"/>
        </w:rPr>
      </w:pPr>
      <w:bookmarkStart w:id="21" w:name="_Toc464728924"/>
      <w:r>
        <w:rPr>
          <w:rFonts w:hint="eastAsia"/>
          <w:sz w:val="24"/>
          <w:szCs w:val="24"/>
          <w:lang w:eastAsia="zh-CN"/>
        </w:rPr>
        <w:t>规范</w:t>
      </w:r>
      <w:r>
        <w:rPr>
          <w:rFonts w:hint="eastAsia"/>
          <w:sz w:val="24"/>
          <w:szCs w:val="24"/>
        </w:rPr>
        <w:t>编制原则和确定主要内容</w:t>
      </w:r>
      <w:bookmarkEnd w:id="21"/>
    </w:p>
    <w:p>
      <w:pPr>
        <w:pStyle w:val="78"/>
        <w:wordWrap/>
        <w:spacing w:beforeLines="0" w:after="156" w:line="360" w:lineRule="auto"/>
        <w:rPr>
          <w:sz w:val="24"/>
          <w:szCs w:val="24"/>
        </w:rPr>
      </w:pPr>
      <w:bookmarkStart w:id="22" w:name="_Toc464728925"/>
      <w:r>
        <w:rPr>
          <w:rFonts w:hint="eastAsia"/>
          <w:sz w:val="24"/>
          <w:szCs w:val="24"/>
        </w:rPr>
        <w:t>编制原则</w:t>
      </w:r>
      <w:bookmarkEnd w:id="22"/>
    </w:p>
    <w:p>
      <w:pPr>
        <w:pStyle w:val="57"/>
        <w:numPr>
          <w:ilvl w:val="0"/>
          <w:numId w:val="12"/>
        </w:numPr>
        <w:spacing w:line="324" w:lineRule="auto"/>
        <w:ind w:firstLine="420"/>
        <w:rPr>
          <w:sz w:val="24"/>
          <w:szCs w:val="24"/>
        </w:rPr>
      </w:pPr>
      <w:bookmarkStart w:id="23" w:name="_Toc464728926"/>
      <w:r>
        <w:rPr>
          <w:rFonts w:hint="eastAsia"/>
          <w:sz w:val="24"/>
          <w:szCs w:val="24"/>
        </w:rPr>
        <w:t>保证有色行业的特殊性和适用性</w:t>
      </w:r>
      <w:r>
        <w:rPr>
          <w:rFonts w:hint="eastAsia"/>
          <w:sz w:val="24"/>
          <w:szCs w:val="24"/>
          <w:lang w:eastAsia="zh-CN"/>
        </w:rPr>
        <w:t>。</w:t>
      </w:r>
    </w:p>
    <w:p>
      <w:pPr>
        <w:pStyle w:val="57"/>
        <w:numPr>
          <w:ilvl w:val="0"/>
          <w:numId w:val="12"/>
        </w:numPr>
        <w:spacing w:line="324" w:lineRule="auto"/>
        <w:ind w:firstLine="420"/>
        <w:rPr>
          <w:sz w:val="24"/>
          <w:szCs w:val="24"/>
        </w:rPr>
      </w:pPr>
      <w:r>
        <w:rPr>
          <w:rFonts w:hint="eastAsia"/>
          <w:sz w:val="24"/>
          <w:szCs w:val="24"/>
        </w:rPr>
        <w:t>保证</w:t>
      </w:r>
      <w:r>
        <w:rPr>
          <w:rFonts w:hint="eastAsia"/>
          <w:sz w:val="24"/>
          <w:szCs w:val="24"/>
          <w:lang w:val="en-US" w:eastAsia="zh-CN"/>
        </w:rPr>
        <w:t>校准规范</w:t>
      </w:r>
      <w:r>
        <w:rPr>
          <w:rFonts w:hint="eastAsia"/>
          <w:sz w:val="24"/>
          <w:szCs w:val="24"/>
        </w:rPr>
        <w:t>的规范性</w:t>
      </w:r>
      <w:r>
        <w:rPr>
          <w:rFonts w:hint="eastAsia"/>
          <w:sz w:val="24"/>
          <w:szCs w:val="24"/>
          <w:lang w:eastAsia="zh-CN"/>
        </w:rPr>
        <w:t>。</w:t>
      </w:r>
    </w:p>
    <w:p>
      <w:pPr>
        <w:pStyle w:val="57"/>
        <w:numPr>
          <w:ilvl w:val="0"/>
          <w:numId w:val="12"/>
        </w:numPr>
        <w:spacing w:line="324" w:lineRule="auto"/>
        <w:ind w:firstLine="420"/>
        <w:rPr>
          <w:sz w:val="24"/>
          <w:szCs w:val="24"/>
        </w:rPr>
      </w:pPr>
      <w:r>
        <w:rPr>
          <w:rFonts w:hint="eastAsia"/>
          <w:sz w:val="24"/>
          <w:szCs w:val="24"/>
          <w:lang w:val="en-US" w:eastAsia="zh-CN"/>
        </w:rPr>
        <w:t>保证校准规范</w:t>
      </w:r>
      <w:r>
        <w:rPr>
          <w:rFonts w:hint="eastAsia"/>
          <w:sz w:val="24"/>
          <w:szCs w:val="24"/>
        </w:rPr>
        <w:t>的</w:t>
      </w:r>
      <w:r>
        <w:rPr>
          <w:rFonts w:hint="eastAsia"/>
          <w:sz w:val="24"/>
          <w:szCs w:val="24"/>
          <w:lang w:val="en-US" w:eastAsia="zh-CN"/>
        </w:rPr>
        <w:t>可操作</w:t>
      </w:r>
      <w:r>
        <w:rPr>
          <w:rFonts w:hint="eastAsia"/>
          <w:sz w:val="24"/>
          <w:szCs w:val="24"/>
        </w:rPr>
        <w:t>性</w:t>
      </w:r>
      <w:r>
        <w:rPr>
          <w:rFonts w:hint="eastAsia"/>
          <w:sz w:val="24"/>
          <w:szCs w:val="24"/>
          <w:lang w:eastAsia="zh-CN"/>
        </w:rPr>
        <w:t>。</w:t>
      </w:r>
    </w:p>
    <w:p>
      <w:pPr>
        <w:pStyle w:val="78"/>
        <w:spacing w:before="312" w:beforeLines="100" w:after="312" w:afterLines="100"/>
        <w:rPr>
          <w:rFonts w:ascii="宋体" w:hAnsi="宋体"/>
          <w:sz w:val="24"/>
          <w:szCs w:val="24"/>
        </w:rPr>
      </w:pPr>
      <w:r>
        <w:rPr>
          <w:rFonts w:hint="eastAsia"/>
          <w:sz w:val="24"/>
          <w:szCs w:val="24"/>
        </w:rPr>
        <w:t>确定主要内</w:t>
      </w:r>
      <w:bookmarkEnd w:id="23"/>
      <w:r>
        <w:rPr>
          <w:rFonts w:hint="eastAsia"/>
          <w:sz w:val="24"/>
          <w:szCs w:val="24"/>
        </w:rPr>
        <w:t>容</w:t>
      </w:r>
    </w:p>
    <w:p>
      <w:pPr>
        <w:pStyle w:val="60"/>
        <w:keepNext w:val="0"/>
        <w:keepLines w:val="0"/>
        <w:pageBreakBefore w:val="0"/>
        <w:widowControl/>
        <w:numPr>
          <w:ilvl w:val="1"/>
          <w:numId w:val="0"/>
        </w:numPr>
        <w:kinsoku/>
        <w:wordWrap/>
        <w:overflowPunct/>
        <w:topLinePunct w:val="0"/>
        <w:autoSpaceDE/>
        <w:autoSpaceDN/>
        <w:bidi w:val="0"/>
        <w:adjustRightInd/>
        <w:snapToGrid/>
        <w:spacing w:beforeLines="0" w:afterLines="0" w:line="360" w:lineRule="auto"/>
        <w:contextualSpacing/>
        <w:textAlignment w:val="auto"/>
        <w:rPr>
          <w:rFonts w:hAnsi="黑体"/>
          <w:sz w:val="24"/>
          <w:szCs w:val="24"/>
        </w:rPr>
      </w:pPr>
      <w:bookmarkStart w:id="24" w:name="_Toc464728964"/>
      <w:r>
        <w:rPr>
          <w:rFonts w:hint="eastAsia" w:hAnsi="黑体"/>
          <w:sz w:val="24"/>
          <w:szCs w:val="24"/>
          <w:lang w:val="en-US" w:eastAsia="zh-CN"/>
        </w:rPr>
        <w:t xml:space="preserve">1 </w:t>
      </w:r>
      <w:r>
        <w:rPr>
          <w:rFonts w:hint="eastAsia" w:hAnsi="黑体"/>
          <w:sz w:val="24"/>
          <w:szCs w:val="24"/>
        </w:rPr>
        <w:t>范围</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本规范适用于超声标准试块参数校准，其他无损检测试块也可参照使用。</w:t>
      </w:r>
    </w:p>
    <w:p>
      <w:pPr>
        <w:pStyle w:val="60"/>
        <w:keepNext w:val="0"/>
        <w:keepLines w:val="0"/>
        <w:pageBreakBefore w:val="0"/>
        <w:widowControl/>
        <w:numPr>
          <w:ilvl w:val="1"/>
          <w:numId w:val="0"/>
        </w:numPr>
        <w:kinsoku/>
        <w:wordWrap/>
        <w:overflowPunct/>
        <w:topLinePunct w:val="0"/>
        <w:autoSpaceDE/>
        <w:autoSpaceDN/>
        <w:bidi w:val="0"/>
        <w:adjustRightInd/>
        <w:snapToGrid/>
        <w:spacing w:beforeLines="0" w:afterLines="0" w:line="360" w:lineRule="auto"/>
        <w:contextualSpacing/>
        <w:textAlignment w:val="auto"/>
        <w:rPr>
          <w:rFonts w:hAnsi="黑体"/>
          <w:sz w:val="24"/>
          <w:szCs w:val="24"/>
        </w:rPr>
      </w:pPr>
      <w:r>
        <w:rPr>
          <w:rFonts w:hint="eastAsia" w:hAnsi="黑体"/>
          <w:sz w:val="24"/>
          <w:szCs w:val="24"/>
          <w:lang w:val="en-US" w:eastAsia="zh-CN"/>
        </w:rPr>
        <w:t xml:space="preserve">2 </w:t>
      </w:r>
      <w:r>
        <w:rPr>
          <w:rFonts w:hint="eastAsia" w:hAnsi="黑体"/>
          <w:sz w:val="24"/>
          <w:szCs w:val="24"/>
        </w:rPr>
        <w:t>规范性引用文件</w:t>
      </w:r>
    </w:p>
    <w:p>
      <w:pPr>
        <w:pStyle w:val="57"/>
        <w:spacing w:line="324" w:lineRule="auto"/>
        <w:ind w:left="0" w:leftChars="0" w:firstLine="480" w:firstLineChars="200"/>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本规范引用下列文件：</w:t>
      </w:r>
    </w:p>
    <w:p>
      <w:pPr>
        <w:pStyle w:val="57"/>
        <w:spacing w:line="324" w:lineRule="auto"/>
        <w:ind w:left="0" w:leftChars="0" w:firstLine="480" w:firstLineChars="200"/>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JJF 1487-2014 超声波探伤试块校准规范</w:t>
      </w:r>
    </w:p>
    <w:p>
      <w:pPr>
        <w:pStyle w:val="57"/>
        <w:spacing w:line="324" w:lineRule="auto"/>
        <w:ind w:left="0" w:leftChars="0" w:firstLine="480" w:firstLineChars="200"/>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GB/T 1958 产品几何量技术规范（GPS）形状和位置公差 检测规定</w:t>
      </w:r>
    </w:p>
    <w:p>
      <w:pPr>
        <w:pStyle w:val="57"/>
        <w:spacing w:line="324" w:lineRule="auto"/>
        <w:ind w:left="0" w:leftChars="0" w:firstLine="480" w:firstLineChars="200"/>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GB/T 23905-2009 无损检测 超声检测用试块</w:t>
      </w:r>
    </w:p>
    <w:p>
      <w:pPr>
        <w:pStyle w:val="57"/>
        <w:spacing w:line="324" w:lineRule="auto"/>
        <w:ind w:left="0" w:leftChars="0" w:firstLine="480" w:firstLineChars="200"/>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JBT 10063-1999超声探伤用1号标准试块技术条件</w:t>
      </w:r>
    </w:p>
    <w:p>
      <w:pPr>
        <w:pStyle w:val="57"/>
        <w:spacing w:line="324" w:lineRule="auto"/>
        <w:ind w:left="0" w:leftChars="0" w:firstLine="480" w:firstLineChars="200"/>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GBT 19799.1-2015 无损检测 超声检测 1号校准试块</w:t>
      </w:r>
    </w:p>
    <w:p>
      <w:pPr>
        <w:pStyle w:val="57"/>
        <w:spacing w:line="324" w:lineRule="auto"/>
        <w:ind w:left="0" w:leftChars="0" w:firstLine="480" w:firstLineChars="200"/>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GBT 19799.2-2012 无损检测 超声检测 2号校准试块</w:t>
      </w:r>
    </w:p>
    <w:p>
      <w:pPr>
        <w:pStyle w:val="57"/>
        <w:spacing w:line="324" w:lineRule="auto"/>
        <w:ind w:left="0" w:leftChars="0" w:firstLine="480" w:firstLineChars="200"/>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凡是注日期的引用文件，仅注日期的版本适用于本规范；凡是不注日期的引用文件，其最新按本（包括所有的修订单）适用于本规范。</w:t>
      </w:r>
    </w:p>
    <w:p>
      <w:pPr>
        <w:pStyle w:val="57"/>
        <w:spacing w:line="324" w:lineRule="auto"/>
        <w:ind w:left="0" w:leftChars="0" w:firstLine="0" w:firstLineChars="0"/>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3 概述</w:t>
      </w:r>
    </w:p>
    <w:p>
      <w:pPr>
        <w:pStyle w:val="57"/>
        <w:spacing w:line="324" w:lineRule="auto"/>
        <w:ind w:left="0" w:leftChars="0" w:firstLine="480" w:firstLineChars="200"/>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超声波探伤试块（以下简称试块）是按一定用途设计制作的几何体，其几何形状和参考反射体尺寸（孔、槽或圆弧等）用于评定和校准超声检测设备、调节超声检测设备的幅度和（或）时间分度。试块的几何量参数，主要包括：外形尺寸、参考反射体尺寸及形状位置误差。</w:t>
      </w:r>
    </w:p>
    <w:p>
      <w:pPr>
        <w:pStyle w:val="57"/>
        <w:spacing w:line="360" w:lineRule="auto"/>
        <w:ind w:left="0" w:leftChars="0" w:firstLine="0" w:firstLineChars="0"/>
        <w:rPr>
          <w:rFonts w:hint="default"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4</w:t>
      </w:r>
      <w:r>
        <w:rPr>
          <w:rFonts w:hint="default" w:ascii="黑体" w:hAnsi="黑体" w:eastAsia="黑体" w:cs="Times New Roman"/>
          <w:sz w:val="24"/>
          <w:szCs w:val="24"/>
          <w:lang w:val="en-US" w:eastAsia="zh-CN" w:bidi="ar-SA"/>
        </w:rPr>
        <w:t xml:space="preserve"> 计量特性</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4.1 材料</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210" w:leftChars="10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4.1.1 材质</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材质的元素含量应与标准试块要求相同。</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210" w:leftChars="10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4.1.2 均匀性</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420" w:leftChars="20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4.1.2.1 底波监测</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底波最高反射回波幅度和最低反射回波幅度之间的差值不应超过6dB（±2dB）。</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420" w:leftChars="20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4.1.2.2噪声水平</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不得出现大于标准试块DB-P Z2-2平底孔回波幅度1/4的缺陷回波。</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420" w:leftChars="20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4.1.2.3均匀性</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由材料组织引起的显示信号幅值差值不应超过1dB。</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4.2 表面粗糙度</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表面粗糙度Ra一般不超过1.6μm，重要检测面的表面粗糙度一般不超过0.8μm。</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4.3 几何尺寸</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几何尺寸允差均为±0.10mm。</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4.4 形状和位置误差</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平行度和垂直度一般不超过0.1mm。</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4.5 声速</w:t>
      </w:r>
    </w:p>
    <w:p>
      <w:pPr>
        <w:pStyle w:val="57"/>
        <w:spacing w:line="324" w:lineRule="auto"/>
        <w:ind w:left="0" w:leftChars="0" w:firstLine="480" w:firstLineChars="200"/>
        <w:rPr>
          <w:rFonts w:hint="eastAsia" w:ascii="Times New Roman" w:hAnsi="Times New Roman" w:cs="Times New Roman"/>
          <w:color w:val="auto"/>
          <w:spacing w:val="0"/>
          <w:kern w:val="0"/>
          <w:sz w:val="21"/>
          <w:szCs w:val="21"/>
          <w:lang w:val="en-US" w:eastAsia="zh-CN" w:bidi="ar-SA"/>
        </w:rPr>
      </w:pPr>
      <w:r>
        <w:rPr>
          <w:rFonts w:hint="eastAsia" w:ascii="Times New Roman" w:hAnsi="Times New Roman" w:cs="Times New Roman"/>
          <w:kern w:val="0"/>
          <w:sz w:val="24"/>
          <w:szCs w:val="24"/>
          <w:lang w:val="en-US" w:eastAsia="zh-CN"/>
        </w:rPr>
        <w:t>声速最大允许误差为±2%以内，横波允差为6m/s，纵波允</w:t>
      </w:r>
      <w:r>
        <w:rPr>
          <w:rFonts w:hint="eastAsia" w:ascii="Times New Roman" w:hAnsi="Times New Roman" w:cs="Times New Roman"/>
          <w:color w:val="auto"/>
          <w:spacing w:val="0"/>
          <w:kern w:val="0"/>
          <w:sz w:val="21"/>
          <w:szCs w:val="21"/>
          <w:lang w:val="en-US" w:eastAsia="zh-CN" w:bidi="ar-SA"/>
        </w:rPr>
        <w:t>差为12m/s。</w:t>
      </w:r>
    </w:p>
    <w:p>
      <w:pPr>
        <w:pStyle w:val="57"/>
        <w:spacing w:line="360" w:lineRule="auto"/>
        <w:ind w:left="0" w:leftChars="0" w:firstLine="0" w:firstLineChars="0"/>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5 校准条件</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5.1 环境条件</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210" w:leftChars="10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5.1.1 温度条件：温度条件应根据被校试块的测量不确定度要求确定。</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210" w:leftChars="10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5.1.2 相对湿度：实验室内的相对湿度不大于65%。</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210" w:leftChars="10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5.1.3 实验室内应无灰尘、振动和磁场等影响测量的因素。</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5.2 测量标准及其他设备</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校准设备见表1。</w:t>
      </w:r>
    </w:p>
    <w:p>
      <w:pPr>
        <w:spacing w:after="0" w:line="220" w:lineRule="atLeast"/>
        <w:jc w:val="center"/>
      </w:pPr>
      <w:r>
        <w:rPr>
          <w:rFonts w:hint="eastAsia"/>
        </w:rPr>
        <w:t>表1 校准设备</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898"/>
        <w:gridCol w:w="4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Align w:val="center"/>
          </w:tcPr>
          <w:p>
            <w:pPr>
              <w:widowControl w:val="0"/>
              <w:spacing w:after="0" w:line="240" w:lineRule="auto"/>
              <w:jc w:val="center"/>
              <w:rPr>
                <w:color w:val="auto"/>
              </w:rPr>
            </w:pPr>
            <w:r>
              <w:rPr>
                <w:rFonts w:hint="eastAsia"/>
                <w:color w:val="auto"/>
              </w:rPr>
              <w:t>序号</w:t>
            </w:r>
          </w:p>
        </w:tc>
        <w:tc>
          <w:tcPr>
            <w:tcW w:w="2898" w:type="dxa"/>
            <w:vAlign w:val="center"/>
          </w:tcPr>
          <w:p>
            <w:pPr>
              <w:widowControl w:val="0"/>
              <w:spacing w:after="0" w:line="240" w:lineRule="auto"/>
              <w:jc w:val="center"/>
              <w:rPr>
                <w:color w:val="auto"/>
              </w:rPr>
            </w:pPr>
            <w:r>
              <w:rPr>
                <w:rFonts w:hint="eastAsia"/>
                <w:color w:val="auto"/>
              </w:rPr>
              <w:t>校准项目</w:t>
            </w:r>
          </w:p>
        </w:tc>
        <w:tc>
          <w:tcPr>
            <w:tcW w:w="4928" w:type="dxa"/>
            <w:vAlign w:val="center"/>
          </w:tcPr>
          <w:p>
            <w:pPr>
              <w:widowControl w:val="0"/>
              <w:spacing w:after="0" w:line="240" w:lineRule="auto"/>
              <w:jc w:val="center"/>
              <w:rPr>
                <w:color w:val="auto"/>
              </w:rPr>
            </w:pPr>
            <w:r>
              <w:rPr>
                <w:rFonts w:hint="eastAsia"/>
                <w:color w:val="auto"/>
              </w:rPr>
              <w:t>设备名称及计量特性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Align w:val="center"/>
          </w:tcPr>
          <w:p>
            <w:pPr>
              <w:widowControl w:val="0"/>
              <w:spacing w:after="0" w:line="240" w:lineRule="auto"/>
              <w:jc w:val="center"/>
              <w:rPr>
                <w:color w:val="auto"/>
              </w:rPr>
            </w:pPr>
            <w:r>
              <w:rPr>
                <w:rFonts w:hint="eastAsia"/>
                <w:color w:val="auto"/>
              </w:rPr>
              <w:t>1</w:t>
            </w:r>
          </w:p>
        </w:tc>
        <w:tc>
          <w:tcPr>
            <w:tcW w:w="2898" w:type="dxa"/>
            <w:vAlign w:val="center"/>
          </w:tcPr>
          <w:p>
            <w:pPr>
              <w:widowControl w:val="0"/>
              <w:spacing w:after="0" w:line="240" w:lineRule="auto"/>
              <w:jc w:val="center"/>
              <w:rPr>
                <w:color w:val="auto"/>
              </w:rPr>
            </w:pPr>
            <w:r>
              <w:rPr>
                <w:rFonts w:hint="eastAsia"/>
                <w:color w:val="auto"/>
              </w:rPr>
              <w:t>材料</w:t>
            </w:r>
          </w:p>
        </w:tc>
        <w:tc>
          <w:tcPr>
            <w:tcW w:w="4928" w:type="dxa"/>
            <w:vAlign w:val="center"/>
          </w:tcPr>
          <w:p>
            <w:pPr>
              <w:widowControl w:val="0"/>
              <w:spacing w:after="0" w:line="240" w:lineRule="auto"/>
              <w:jc w:val="center"/>
              <w:rPr>
                <w:color w:val="auto"/>
              </w:rPr>
            </w:pPr>
            <w:r>
              <w:rPr>
                <w:rFonts w:hint="eastAsia"/>
                <w:color w:val="auto"/>
              </w:rPr>
              <w:t>X荧光光谱分析仪、超声波探伤仪（探头）、DB-P Z2-2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Align w:val="center"/>
          </w:tcPr>
          <w:p>
            <w:pPr>
              <w:widowControl w:val="0"/>
              <w:spacing w:after="0" w:line="240" w:lineRule="auto"/>
              <w:jc w:val="center"/>
              <w:rPr>
                <w:color w:val="auto"/>
              </w:rPr>
            </w:pPr>
            <w:r>
              <w:rPr>
                <w:rFonts w:hint="eastAsia"/>
                <w:color w:val="auto"/>
              </w:rPr>
              <w:t>2</w:t>
            </w:r>
          </w:p>
        </w:tc>
        <w:tc>
          <w:tcPr>
            <w:tcW w:w="2898" w:type="dxa"/>
            <w:vAlign w:val="center"/>
          </w:tcPr>
          <w:p>
            <w:pPr>
              <w:widowControl w:val="0"/>
              <w:spacing w:after="0" w:line="240" w:lineRule="auto"/>
              <w:jc w:val="center"/>
              <w:rPr>
                <w:color w:val="auto"/>
              </w:rPr>
            </w:pPr>
            <w:r>
              <w:rPr>
                <w:rFonts w:hint="eastAsia"/>
                <w:color w:val="auto"/>
              </w:rPr>
              <w:t>表面粗糙度</w:t>
            </w:r>
          </w:p>
        </w:tc>
        <w:tc>
          <w:tcPr>
            <w:tcW w:w="4928" w:type="dxa"/>
            <w:vAlign w:val="center"/>
          </w:tcPr>
          <w:p>
            <w:pPr>
              <w:widowControl w:val="0"/>
              <w:spacing w:after="0" w:line="240" w:lineRule="auto"/>
              <w:jc w:val="center"/>
              <w:rPr>
                <w:color w:val="auto"/>
              </w:rPr>
            </w:pPr>
            <w:r>
              <w:rPr>
                <w:rFonts w:hint="eastAsia"/>
                <w:color w:val="auto"/>
              </w:rPr>
              <w:t>表面粗糙度比较样块MPE：+12%~-17%或粗糙度测量仪：MPE：</w:t>
            </w:r>
            <w:r>
              <w:rPr>
                <w:rFonts w:hint="eastAsia" w:ascii="微软雅黑" w:hAnsi="微软雅黑" w:cs="微软雅黑"/>
                <w:color w:val="auto"/>
              </w:rPr>
              <w:t>±</w:t>
            </w:r>
            <w:r>
              <w:rPr>
                <w:rFonts w:hint="eastAsia"/>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restart"/>
            <w:vAlign w:val="center"/>
          </w:tcPr>
          <w:p>
            <w:pPr>
              <w:widowControl w:val="0"/>
              <w:spacing w:after="0" w:line="240" w:lineRule="auto"/>
              <w:jc w:val="center"/>
              <w:rPr>
                <w:color w:val="auto"/>
              </w:rPr>
            </w:pPr>
            <w:r>
              <w:rPr>
                <w:rFonts w:hint="eastAsia"/>
                <w:color w:val="auto"/>
              </w:rPr>
              <w:t>3</w:t>
            </w:r>
          </w:p>
        </w:tc>
        <w:tc>
          <w:tcPr>
            <w:tcW w:w="2898" w:type="dxa"/>
            <w:vMerge w:val="restart"/>
            <w:vAlign w:val="center"/>
          </w:tcPr>
          <w:p>
            <w:pPr>
              <w:widowControl w:val="0"/>
              <w:spacing w:after="0" w:line="240" w:lineRule="auto"/>
              <w:jc w:val="center"/>
              <w:rPr>
                <w:color w:val="auto"/>
              </w:rPr>
            </w:pPr>
            <w:r>
              <w:rPr>
                <w:rFonts w:hint="eastAsia"/>
                <w:color w:val="auto"/>
              </w:rPr>
              <w:t>几何尺寸、形状和位置误差</w:t>
            </w:r>
          </w:p>
        </w:tc>
        <w:tc>
          <w:tcPr>
            <w:tcW w:w="4928" w:type="dxa"/>
            <w:vAlign w:val="center"/>
          </w:tcPr>
          <w:p>
            <w:pPr>
              <w:widowControl w:val="0"/>
              <w:spacing w:after="0" w:line="240" w:lineRule="auto"/>
              <w:jc w:val="center"/>
              <w:rPr>
                <w:color w:val="auto"/>
              </w:rPr>
            </w:pPr>
            <w:r>
              <w:rPr>
                <w:rFonts w:hint="eastAsia"/>
                <w:color w:val="auto"/>
              </w:rPr>
              <w:t>坐标测量机MPE：</w:t>
            </w:r>
            <w:r>
              <w:rPr>
                <w:rFonts w:hint="eastAsia" w:ascii="微软雅黑" w:hAnsi="微软雅黑" w:cs="微软雅黑"/>
                <w:color w:val="auto"/>
              </w:rPr>
              <w:t>±（2μm+3×10</w:t>
            </w:r>
            <w:r>
              <w:rPr>
                <w:rFonts w:hint="eastAsia" w:ascii="微软雅黑" w:hAnsi="微软雅黑" w:cs="微软雅黑"/>
                <w:color w:val="auto"/>
                <w:vertAlign w:val="superscript"/>
              </w:rPr>
              <w:t>-6</w:t>
            </w:r>
            <w:r>
              <w:rPr>
                <w:rFonts w:hint="eastAsia" w:ascii="微软雅黑" w:hAnsi="微软雅黑" w:cs="微软雅黑"/>
                <w:color w:val="auto"/>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vAlign w:val="center"/>
          </w:tcPr>
          <w:p>
            <w:pPr>
              <w:widowControl w:val="0"/>
              <w:spacing w:after="0" w:line="240" w:lineRule="auto"/>
              <w:jc w:val="center"/>
              <w:rPr>
                <w:color w:val="auto"/>
              </w:rPr>
            </w:pPr>
          </w:p>
        </w:tc>
        <w:tc>
          <w:tcPr>
            <w:tcW w:w="2898" w:type="dxa"/>
            <w:vMerge w:val="continue"/>
            <w:vAlign w:val="center"/>
          </w:tcPr>
          <w:p>
            <w:pPr>
              <w:widowControl w:val="0"/>
              <w:spacing w:after="0" w:line="240" w:lineRule="auto"/>
              <w:jc w:val="center"/>
              <w:rPr>
                <w:color w:val="auto"/>
              </w:rPr>
            </w:pPr>
          </w:p>
        </w:tc>
        <w:tc>
          <w:tcPr>
            <w:tcW w:w="4928" w:type="dxa"/>
            <w:vAlign w:val="center"/>
          </w:tcPr>
          <w:p>
            <w:pPr>
              <w:widowControl w:val="0"/>
              <w:spacing w:after="0" w:line="240" w:lineRule="auto"/>
              <w:jc w:val="center"/>
              <w:rPr>
                <w:color w:val="auto"/>
              </w:rPr>
            </w:pPr>
            <w:r>
              <w:rPr>
                <w:rFonts w:hint="eastAsia"/>
                <w:color w:val="auto"/>
              </w:rPr>
              <w:t>影像测量仪MPE：</w:t>
            </w:r>
            <w:r>
              <w:rPr>
                <w:rFonts w:hint="eastAsia" w:ascii="微软雅黑" w:hAnsi="微软雅黑" w:cs="微软雅黑"/>
                <w:color w:val="auto"/>
              </w:rPr>
              <w:t>±（3μm+5×10</w:t>
            </w:r>
            <w:r>
              <w:rPr>
                <w:rFonts w:hint="eastAsia" w:ascii="微软雅黑" w:hAnsi="微软雅黑" w:cs="微软雅黑"/>
                <w:color w:val="auto"/>
                <w:vertAlign w:val="superscript"/>
              </w:rPr>
              <w:t>-6</w:t>
            </w:r>
            <w:r>
              <w:rPr>
                <w:rFonts w:hint="eastAsia" w:ascii="微软雅黑" w:hAnsi="微软雅黑" w:cs="微软雅黑"/>
                <w:color w:val="auto"/>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vAlign w:val="center"/>
          </w:tcPr>
          <w:p>
            <w:pPr>
              <w:widowControl w:val="0"/>
              <w:spacing w:after="0" w:line="240" w:lineRule="auto"/>
              <w:jc w:val="center"/>
              <w:rPr>
                <w:color w:val="auto"/>
              </w:rPr>
            </w:pPr>
          </w:p>
        </w:tc>
        <w:tc>
          <w:tcPr>
            <w:tcW w:w="2898" w:type="dxa"/>
            <w:vMerge w:val="continue"/>
            <w:vAlign w:val="center"/>
          </w:tcPr>
          <w:p>
            <w:pPr>
              <w:widowControl w:val="0"/>
              <w:spacing w:after="0" w:line="240" w:lineRule="auto"/>
              <w:jc w:val="center"/>
              <w:rPr>
                <w:color w:val="auto"/>
              </w:rPr>
            </w:pPr>
          </w:p>
        </w:tc>
        <w:tc>
          <w:tcPr>
            <w:tcW w:w="4928" w:type="dxa"/>
            <w:vAlign w:val="center"/>
          </w:tcPr>
          <w:p>
            <w:pPr>
              <w:widowControl w:val="0"/>
              <w:spacing w:after="0" w:line="240" w:lineRule="auto"/>
              <w:jc w:val="center"/>
              <w:rPr>
                <w:color w:val="auto"/>
              </w:rPr>
            </w:pPr>
            <w:r>
              <w:rPr>
                <w:rFonts w:hint="eastAsia"/>
                <w:color w:val="auto"/>
              </w:rPr>
              <w:t>万能工具显微镜MPE：</w:t>
            </w:r>
            <w:r>
              <w:rPr>
                <w:rFonts w:hint="eastAsia" w:ascii="微软雅黑" w:hAnsi="微软雅黑" w:cs="微软雅黑"/>
                <w:color w:val="auto"/>
              </w:rPr>
              <w:t>±（1μm+10×10</w:t>
            </w:r>
            <w:r>
              <w:rPr>
                <w:rFonts w:hint="eastAsia" w:ascii="微软雅黑" w:hAnsi="微软雅黑" w:cs="微软雅黑"/>
                <w:color w:val="auto"/>
                <w:vertAlign w:val="superscript"/>
              </w:rPr>
              <w:t>-6</w:t>
            </w:r>
            <w:r>
              <w:rPr>
                <w:rFonts w:hint="eastAsia" w:ascii="微软雅黑" w:hAnsi="微软雅黑" w:cs="微软雅黑"/>
                <w:color w:val="auto"/>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vAlign w:val="center"/>
          </w:tcPr>
          <w:p>
            <w:pPr>
              <w:widowControl w:val="0"/>
              <w:spacing w:after="0" w:line="240" w:lineRule="auto"/>
              <w:jc w:val="center"/>
              <w:rPr>
                <w:color w:val="auto"/>
              </w:rPr>
            </w:pPr>
          </w:p>
        </w:tc>
        <w:tc>
          <w:tcPr>
            <w:tcW w:w="2898" w:type="dxa"/>
            <w:vMerge w:val="continue"/>
            <w:vAlign w:val="center"/>
          </w:tcPr>
          <w:p>
            <w:pPr>
              <w:widowControl w:val="0"/>
              <w:spacing w:after="0" w:line="240" w:lineRule="auto"/>
              <w:jc w:val="center"/>
              <w:rPr>
                <w:color w:val="auto"/>
              </w:rPr>
            </w:pPr>
          </w:p>
        </w:tc>
        <w:tc>
          <w:tcPr>
            <w:tcW w:w="4928" w:type="dxa"/>
            <w:vAlign w:val="center"/>
          </w:tcPr>
          <w:p>
            <w:pPr>
              <w:widowControl w:val="0"/>
              <w:spacing w:after="0" w:line="240" w:lineRule="auto"/>
              <w:jc w:val="center"/>
              <w:rPr>
                <w:color w:val="auto"/>
              </w:rPr>
            </w:pPr>
            <w:r>
              <w:rPr>
                <w:rFonts w:hint="eastAsia"/>
                <w:color w:val="auto"/>
              </w:rPr>
              <w:t>游标卡尺MPE：</w:t>
            </w:r>
            <w:r>
              <w:rPr>
                <w:rFonts w:hint="eastAsia" w:ascii="微软雅黑" w:hAnsi="微软雅黑" w:cs="微软雅黑"/>
                <w:color w:val="auto"/>
              </w:rPr>
              <w:t>±（0.02~0.05）mm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vAlign w:val="center"/>
          </w:tcPr>
          <w:p>
            <w:pPr>
              <w:widowControl w:val="0"/>
              <w:spacing w:after="0" w:line="240" w:lineRule="auto"/>
              <w:jc w:val="center"/>
              <w:rPr>
                <w:color w:val="auto"/>
              </w:rPr>
            </w:pPr>
          </w:p>
        </w:tc>
        <w:tc>
          <w:tcPr>
            <w:tcW w:w="2898" w:type="dxa"/>
            <w:vMerge w:val="continue"/>
            <w:vAlign w:val="center"/>
          </w:tcPr>
          <w:p>
            <w:pPr>
              <w:widowControl w:val="0"/>
              <w:spacing w:after="0" w:line="240" w:lineRule="auto"/>
              <w:jc w:val="center"/>
              <w:rPr>
                <w:color w:val="auto"/>
              </w:rPr>
            </w:pPr>
          </w:p>
        </w:tc>
        <w:tc>
          <w:tcPr>
            <w:tcW w:w="4928" w:type="dxa"/>
            <w:vAlign w:val="center"/>
          </w:tcPr>
          <w:p>
            <w:pPr>
              <w:widowControl w:val="0"/>
              <w:spacing w:after="0" w:line="240" w:lineRule="auto"/>
              <w:jc w:val="center"/>
              <w:rPr>
                <w:color w:val="auto"/>
              </w:rPr>
            </w:pPr>
            <w:r>
              <w:rPr>
                <w:rFonts w:hint="eastAsia"/>
                <w:color w:val="auto"/>
              </w:rPr>
              <w:t>千分尺MPE：</w:t>
            </w:r>
            <w:r>
              <w:rPr>
                <w:rFonts w:hint="eastAsia" w:ascii="微软雅黑" w:hAnsi="微软雅黑" w:cs="微软雅黑"/>
                <w:color w:val="auto"/>
              </w:rPr>
              <w:t>±4μm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vAlign w:val="center"/>
          </w:tcPr>
          <w:p>
            <w:pPr>
              <w:widowControl w:val="0"/>
              <w:spacing w:after="0" w:line="240" w:lineRule="auto"/>
              <w:jc w:val="center"/>
              <w:rPr>
                <w:color w:val="auto"/>
              </w:rPr>
            </w:pPr>
          </w:p>
        </w:tc>
        <w:tc>
          <w:tcPr>
            <w:tcW w:w="2898" w:type="dxa"/>
            <w:vMerge w:val="continue"/>
            <w:vAlign w:val="center"/>
          </w:tcPr>
          <w:p>
            <w:pPr>
              <w:widowControl w:val="0"/>
              <w:spacing w:after="0" w:line="240" w:lineRule="auto"/>
              <w:jc w:val="center"/>
              <w:rPr>
                <w:color w:val="auto"/>
              </w:rPr>
            </w:pPr>
          </w:p>
        </w:tc>
        <w:tc>
          <w:tcPr>
            <w:tcW w:w="4928" w:type="dxa"/>
            <w:vAlign w:val="center"/>
          </w:tcPr>
          <w:p>
            <w:pPr>
              <w:widowControl w:val="0"/>
              <w:spacing w:after="0" w:line="240" w:lineRule="auto"/>
              <w:jc w:val="center"/>
              <w:rPr>
                <w:color w:val="auto"/>
              </w:rPr>
            </w:pPr>
            <w:r>
              <w:rPr>
                <w:rFonts w:hint="eastAsia"/>
                <w:color w:val="auto"/>
              </w:rPr>
              <w:t>深度指示表MPE：</w:t>
            </w:r>
            <w:r>
              <w:rPr>
                <w:rFonts w:hint="eastAsia" w:ascii="微软雅黑" w:hAnsi="微软雅黑" w:cs="微软雅黑"/>
                <w:color w:val="auto"/>
              </w:rPr>
              <w:t>±（4~50）μm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vAlign w:val="center"/>
          </w:tcPr>
          <w:p>
            <w:pPr>
              <w:widowControl w:val="0"/>
              <w:spacing w:after="0" w:line="240" w:lineRule="auto"/>
              <w:jc w:val="center"/>
              <w:rPr>
                <w:color w:val="auto"/>
              </w:rPr>
            </w:pPr>
          </w:p>
        </w:tc>
        <w:tc>
          <w:tcPr>
            <w:tcW w:w="2898" w:type="dxa"/>
            <w:vMerge w:val="continue"/>
            <w:vAlign w:val="center"/>
          </w:tcPr>
          <w:p>
            <w:pPr>
              <w:widowControl w:val="0"/>
              <w:spacing w:after="0" w:line="240" w:lineRule="auto"/>
              <w:jc w:val="center"/>
              <w:rPr>
                <w:color w:val="auto"/>
              </w:rPr>
            </w:pPr>
          </w:p>
        </w:tc>
        <w:tc>
          <w:tcPr>
            <w:tcW w:w="4928" w:type="dxa"/>
            <w:vAlign w:val="center"/>
          </w:tcPr>
          <w:p>
            <w:pPr>
              <w:widowControl w:val="0"/>
              <w:spacing w:after="0" w:line="240" w:lineRule="auto"/>
              <w:jc w:val="center"/>
              <w:rPr>
                <w:color w:val="auto"/>
              </w:rPr>
            </w:pPr>
            <w:r>
              <w:rPr>
                <w:rFonts w:hint="eastAsia"/>
                <w:color w:val="auto"/>
              </w:rPr>
              <w:t>针规（尺寸间隔为0.01mm）MPE：</w:t>
            </w:r>
            <w:r>
              <w:rPr>
                <w:rFonts w:hint="eastAsia" w:ascii="微软雅黑" w:hAnsi="微软雅黑" w:cs="微软雅黑"/>
                <w:color w:val="auto"/>
              </w:rPr>
              <w:t>±2μm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vAlign w:val="center"/>
          </w:tcPr>
          <w:p>
            <w:pPr>
              <w:widowControl w:val="0"/>
              <w:spacing w:after="0" w:line="240" w:lineRule="auto"/>
              <w:jc w:val="center"/>
              <w:rPr>
                <w:color w:val="auto"/>
              </w:rPr>
            </w:pPr>
          </w:p>
        </w:tc>
        <w:tc>
          <w:tcPr>
            <w:tcW w:w="2898" w:type="dxa"/>
            <w:vMerge w:val="continue"/>
            <w:vAlign w:val="center"/>
          </w:tcPr>
          <w:p>
            <w:pPr>
              <w:widowControl w:val="0"/>
              <w:spacing w:after="0" w:line="240" w:lineRule="auto"/>
              <w:jc w:val="center"/>
              <w:rPr>
                <w:color w:val="auto"/>
              </w:rPr>
            </w:pPr>
          </w:p>
        </w:tc>
        <w:tc>
          <w:tcPr>
            <w:tcW w:w="4928" w:type="dxa"/>
            <w:vAlign w:val="center"/>
          </w:tcPr>
          <w:p>
            <w:pPr>
              <w:widowControl w:val="0"/>
              <w:spacing w:after="0" w:line="240" w:lineRule="auto"/>
              <w:jc w:val="center"/>
              <w:rPr>
                <w:color w:val="auto"/>
              </w:rPr>
            </w:pPr>
            <w:r>
              <w:rPr>
                <w:rFonts w:hint="eastAsia"/>
                <w:color w:val="auto"/>
              </w:rPr>
              <w:t>塞尺（0.02~1.00）mm，MPE：</w:t>
            </w:r>
            <w:r>
              <w:rPr>
                <w:rFonts w:hint="eastAsia" w:ascii="微软雅黑" w:hAnsi="微软雅黑" w:cs="微软雅黑"/>
                <w:color w:val="auto"/>
              </w:rPr>
              <w:t>±（5~16）μm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vAlign w:val="center"/>
          </w:tcPr>
          <w:p>
            <w:pPr>
              <w:widowControl w:val="0"/>
              <w:spacing w:after="0" w:line="240" w:lineRule="auto"/>
              <w:jc w:val="center"/>
              <w:rPr>
                <w:color w:val="auto"/>
              </w:rPr>
            </w:pPr>
          </w:p>
        </w:tc>
        <w:tc>
          <w:tcPr>
            <w:tcW w:w="2898" w:type="dxa"/>
            <w:vMerge w:val="continue"/>
            <w:vAlign w:val="center"/>
          </w:tcPr>
          <w:p>
            <w:pPr>
              <w:widowControl w:val="0"/>
              <w:spacing w:after="0" w:line="240" w:lineRule="auto"/>
              <w:jc w:val="center"/>
              <w:rPr>
                <w:color w:val="auto"/>
              </w:rPr>
            </w:pPr>
          </w:p>
        </w:tc>
        <w:tc>
          <w:tcPr>
            <w:tcW w:w="4928" w:type="dxa"/>
            <w:vAlign w:val="center"/>
          </w:tcPr>
          <w:p>
            <w:pPr>
              <w:widowControl w:val="0"/>
              <w:spacing w:after="0" w:line="240" w:lineRule="auto"/>
              <w:jc w:val="center"/>
              <w:rPr>
                <w:color w:val="auto"/>
              </w:rPr>
            </w:pPr>
            <w:r>
              <w:rPr>
                <w:rFonts w:hint="eastAsia"/>
                <w:color w:val="auto"/>
              </w:rPr>
              <w:t>内径表MPEV：（7~20）</w:t>
            </w:r>
            <w:r>
              <w:rPr>
                <w:rFonts w:hint="eastAsia" w:ascii="微软雅黑" w:hAnsi="微软雅黑" w:cs="微软雅黑"/>
                <w:color w:val="auto"/>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vAlign w:val="center"/>
          </w:tcPr>
          <w:p>
            <w:pPr>
              <w:widowControl w:val="0"/>
              <w:spacing w:after="0" w:line="240" w:lineRule="auto"/>
              <w:jc w:val="center"/>
              <w:rPr>
                <w:color w:val="auto"/>
              </w:rPr>
            </w:pPr>
          </w:p>
        </w:tc>
        <w:tc>
          <w:tcPr>
            <w:tcW w:w="2898" w:type="dxa"/>
            <w:vMerge w:val="continue"/>
            <w:vAlign w:val="center"/>
          </w:tcPr>
          <w:p>
            <w:pPr>
              <w:widowControl w:val="0"/>
              <w:spacing w:after="0" w:line="240" w:lineRule="auto"/>
              <w:jc w:val="center"/>
              <w:rPr>
                <w:color w:val="auto"/>
              </w:rPr>
            </w:pPr>
          </w:p>
        </w:tc>
        <w:tc>
          <w:tcPr>
            <w:tcW w:w="4928" w:type="dxa"/>
            <w:vAlign w:val="center"/>
          </w:tcPr>
          <w:p>
            <w:pPr>
              <w:widowControl w:val="0"/>
              <w:spacing w:after="0" w:line="240" w:lineRule="auto"/>
              <w:jc w:val="center"/>
              <w:rPr>
                <w:color w:val="auto"/>
              </w:rPr>
            </w:pPr>
            <w:r>
              <w:rPr>
                <w:rFonts w:hint="eastAsia"/>
                <w:color w:val="auto"/>
              </w:rPr>
              <w:t>刀口形直尺MPEV：2</w:t>
            </w:r>
            <w:r>
              <w:rPr>
                <w:rFonts w:hint="eastAsia" w:ascii="微软雅黑" w:hAnsi="微软雅黑" w:cs="微软雅黑"/>
                <w:color w:val="auto"/>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vAlign w:val="center"/>
          </w:tcPr>
          <w:p>
            <w:pPr>
              <w:widowControl w:val="0"/>
              <w:spacing w:after="0" w:line="240" w:lineRule="auto"/>
              <w:jc w:val="center"/>
              <w:rPr>
                <w:color w:val="auto"/>
              </w:rPr>
            </w:pPr>
          </w:p>
        </w:tc>
        <w:tc>
          <w:tcPr>
            <w:tcW w:w="2898" w:type="dxa"/>
            <w:vMerge w:val="continue"/>
            <w:vAlign w:val="center"/>
          </w:tcPr>
          <w:p>
            <w:pPr>
              <w:widowControl w:val="0"/>
              <w:spacing w:after="0" w:line="240" w:lineRule="auto"/>
              <w:jc w:val="center"/>
              <w:rPr>
                <w:color w:val="auto"/>
              </w:rPr>
            </w:pPr>
          </w:p>
        </w:tc>
        <w:tc>
          <w:tcPr>
            <w:tcW w:w="4928" w:type="dxa"/>
            <w:vAlign w:val="center"/>
          </w:tcPr>
          <w:p>
            <w:pPr>
              <w:widowControl w:val="0"/>
              <w:spacing w:after="0" w:line="240" w:lineRule="auto"/>
              <w:jc w:val="center"/>
              <w:rPr>
                <w:color w:val="auto"/>
              </w:rPr>
            </w:pPr>
            <w:r>
              <w:rPr>
                <w:rFonts w:hint="eastAsia"/>
                <w:color w:val="auto"/>
              </w:rPr>
              <w:t>1级直角尺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vAlign w:val="center"/>
          </w:tcPr>
          <w:p>
            <w:pPr>
              <w:widowControl w:val="0"/>
              <w:spacing w:after="0" w:line="240" w:lineRule="auto"/>
              <w:jc w:val="center"/>
              <w:rPr>
                <w:color w:val="auto"/>
              </w:rPr>
            </w:pPr>
          </w:p>
        </w:tc>
        <w:tc>
          <w:tcPr>
            <w:tcW w:w="2898" w:type="dxa"/>
            <w:vMerge w:val="continue"/>
            <w:vAlign w:val="center"/>
          </w:tcPr>
          <w:p>
            <w:pPr>
              <w:widowControl w:val="0"/>
              <w:spacing w:after="0" w:line="240" w:lineRule="auto"/>
              <w:jc w:val="center"/>
              <w:rPr>
                <w:color w:val="auto"/>
              </w:rPr>
            </w:pPr>
          </w:p>
        </w:tc>
        <w:tc>
          <w:tcPr>
            <w:tcW w:w="4928" w:type="dxa"/>
            <w:vAlign w:val="center"/>
          </w:tcPr>
          <w:p>
            <w:pPr>
              <w:widowControl w:val="0"/>
              <w:spacing w:after="0" w:line="240" w:lineRule="auto"/>
              <w:jc w:val="center"/>
              <w:rPr>
                <w:color w:val="auto"/>
              </w:rPr>
            </w:pPr>
            <w:r>
              <w:rPr>
                <w:rFonts w:hint="eastAsia"/>
                <w:color w:val="auto"/>
              </w:rPr>
              <w:t>1级平板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Align w:val="center"/>
          </w:tcPr>
          <w:p>
            <w:pPr>
              <w:widowControl w:val="0"/>
              <w:spacing w:after="0" w:line="240" w:lineRule="auto"/>
              <w:jc w:val="center"/>
              <w:rPr>
                <w:color w:val="auto"/>
              </w:rPr>
            </w:pPr>
            <w:r>
              <w:rPr>
                <w:rFonts w:hint="eastAsia"/>
                <w:color w:val="auto"/>
              </w:rPr>
              <w:t>4</w:t>
            </w:r>
          </w:p>
        </w:tc>
        <w:tc>
          <w:tcPr>
            <w:tcW w:w="2898" w:type="dxa"/>
            <w:vAlign w:val="center"/>
          </w:tcPr>
          <w:p>
            <w:pPr>
              <w:widowControl w:val="0"/>
              <w:spacing w:after="0" w:line="240" w:lineRule="auto"/>
              <w:jc w:val="center"/>
              <w:rPr>
                <w:color w:val="auto"/>
              </w:rPr>
            </w:pPr>
            <w:r>
              <w:rPr>
                <w:rFonts w:hint="eastAsia"/>
                <w:color w:val="auto"/>
              </w:rPr>
              <w:t>声速</w:t>
            </w:r>
          </w:p>
        </w:tc>
        <w:tc>
          <w:tcPr>
            <w:tcW w:w="4928" w:type="dxa"/>
            <w:vAlign w:val="center"/>
          </w:tcPr>
          <w:p>
            <w:pPr>
              <w:widowControl w:val="0"/>
              <w:spacing w:after="0" w:line="240" w:lineRule="auto"/>
              <w:jc w:val="center"/>
              <w:rPr>
                <w:color w:val="auto"/>
              </w:rPr>
            </w:pPr>
            <w:r>
              <w:rPr>
                <w:rFonts w:hint="eastAsia"/>
                <w:color w:val="auto"/>
              </w:rPr>
              <w:t>超声波探伤仪，（探头）</w:t>
            </w:r>
          </w:p>
        </w:tc>
      </w:tr>
    </w:tbl>
    <w:p>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before="313" w:beforeLines="100" w:line="360" w:lineRule="auto"/>
        <w:textAlignment w:val="auto"/>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 xml:space="preserve">6 </w:t>
      </w:r>
      <w:bookmarkStart w:id="25" w:name="_Toc23784668"/>
      <w:bookmarkStart w:id="26" w:name="_Toc23785566"/>
      <w:bookmarkStart w:id="27" w:name="_Toc5198"/>
      <w:bookmarkStart w:id="28" w:name="_Toc193619100"/>
      <w:bookmarkStart w:id="29" w:name="_Toc29120"/>
      <w:bookmarkStart w:id="30" w:name="_Toc31671"/>
      <w:bookmarkStart w:id="31" w:name="_Toc193619058"/>
      <w:bookmarkStart w:id="32" w:name="_Toc193618955"/>
      <w:bookmarkStart w:id="33" w:name="_Toc25298"/>
      <w:bookmarkStart w:id="34" w:name="_Toc193860216"/>
      <w:bookmarkStart w:id="35" w:name="_Toc27992_WPSOffice_Level1"/>
      <w:bookmarkStart w:id="36" w:name="_Toc23784569"/>
      <w:bookmarkStart w:id="37" w:name="_Toc193860185"/>
      <w:bookmarkStart w:id="38" w:name="_Toc193860035"/>
      <w:r>
        <w:rPr>
          <w:rFonts w:hint="eastAsia" w:ascii="黑体" w:hAnsi="黑体" w:eastAsia="黑体" w:cs="Times New Roman"/>
          <w:sz w:val="24"/>
          <w:szCs w:val="24"/>
          <w:lang w:val="en-US" w:eastAsia="zh-CN" w:bidi="ar-SA"/>
        </w:rPr>
        <w:t>校准项目和校准方法</w:t>
      </w:r>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6.1 材料</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210" w:leftChars="10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6.1.1 材质</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采用X荧光光谱分析仪对试块表面进行测量，测量点数应分布试块各面，将测量值平均后作为材质含量分析。</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210" w:leftChars="10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6.1.2 均匀性</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6.1.2.1噪声水平（底波监测）</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采用经校准的超声波探伤仪对被测试块进行全面扫查（底波监测），对（底面）反射回波幅值进行观测，记录最高反射回波幅度和最低反射回波幅度之间的差值，若其差值超过2dB，则噪声水平不满足试块使用要求。推荐采用液浸法和使用固定支架来实施，基准波高在满屏幕80%。</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6.1.2.2噪声水平和均匀性</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采用经校准的超声波探伤仪，利用标准试块DB-P Z2-2平底孔设置扫查参数和扫查灵敏度，进行扫查并记录由材料内部组织引起的信号幅值。</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6.2 表面粗糙度</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试块的表面粗糙度用表面粗糙度比较样块进行比较测量，表面粗糙度测量时选择最接近被测表面粗糙度值的样块标称值作为测量结果。也可以用表面粗糙度测量仪进行测量。</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6.3 几何尺寸</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210" w:leftChars="10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6.3.1 外形尺寸</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采用三坐标测量机、游标类量具或千分尺、万能工具显微镜或影像测量仪测量。</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210" w:leftChars="10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6.3.2 孔、槽尺寸</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采用内径表、试塞法、塑性复制品法、深度指示表测量。</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210" w:leftChars="10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6.3.3 刻线尺寸</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采用深度指示表、万能工具显微镜或影像测量仪对刻线深度、刻线位置测量。</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6.4 形状和位置误差</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采用刀口形直尺、三坐标测量机、直角尺及打表法，对平面度、垂直度、平行度测量。</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6.5 声速</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采用超声波探伤仪进行测量。利用游标卡尺（或者千分尺）测量试块平行面之间的厚度，利用平行底面的一次回波信号和二次回波信号测量声速（也可以用测厚仪）。</w:t>
      </w:r>
    </w:p>
    <w:p>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before="313" w:beforeLines="100" w:line="360" w:lineRule="auto"/>
        <w:textAlignment w:val="auto"/>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7 校准结果表达</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经过校准的超声波探伤试块出具校准证书</w:t>
      </w:r>
      <w:bookmarkStart w:id="47" w:name="_GoBack"/>
      <w:bookmarkEnd w:id="47"/>
      <w:r>
        <w:rPr>
          <w:rFonts w:hint="eastAsia" w:ascii="Times New Roman" w:hAnsi="Times New Roman" w:cs="Times New Roman"/>
          <w:kern w:val="0"/>
          <w:sz w:val="24"/>
          <w:szCs w:val="24"/>
          <w:lang w:val="en-US" w:eastAsia="zh-CN"/>
        </w:rPr>
        <w:t>。</w:t>
      </w:r>
    </w:p>
    <w:p>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before="313" w:beforeLines="100" w:line="360" w:lineRule="auto"/>
        <w:textAlignment w:val="auto"/>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8 复校时间间隔</w:t>
      </w:r>
    </w:p>
    <w:p>
      <w:pPr>
        <w:pStyle w:val="57"/>
        <w:spacing w:line="324" w:lineRule="auto"/>
        <w:ind w:left="0" w:leftChars="0" w:firstLine="480" w:firstLineChars="200"/>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由于复校时间间隔的长短是由试块的使用保养情况、使用者、试块本身质量等因素所决定，送校单位可根据实际使用情况自主决定复校时间间隔，一般不超过1年。</w:t>
      </w:r>
    </w:p>
    <w:p>
      <w:pPr>
        <w:pStyle w:val="73"/>
        <w:numPr>
          <w:ilvl w:val="0"/>
          <w:numId w:val="11"/>
        </w:numPr>
        <w:tabs>
          <w:tab w:val="left" w:pos="426"/>
        </w:tabs>
        <w:spacing w:before="312" w:beforeLines="100" w:after="312" w:afterLines="100"/>
        <w:ind w:hangingChars="200"/>
        <w:jc w:val="left"/>
        <w:rPr>
          <w:sz w:val="24"/>
          <w:szCs w:val="24"/>
          <w:highlight w:val="none"/>
        </w:rPr>
      </w:pPr>
      <w:r>
        <w:rPr>
          <w:rFonts w:hint="eastAsia"/>
          <w:sz w:val="24"/>
          <w:szCs w:val="24"/>
          <w:highlight w:val="none"/>
        </w:rPr>
        <w:t>实践检测情况</w:t>
      </w:r>
      <w:bookmarkEnd w:id="24"/>
    </w:p>
    <w:bookmarkEnd w:id="1"/>
    <w:p>
      <w:pPr>
        <w:pStyle w:val="57"/>
        <w:spacing w:line="300" w:lineRule="auto"/>
        <w:ind w:firstLine="420"/>
        <w:contextualSpacing/>
        <w:rPr>
          <w:sz w:val="24"/>
          <w:szCs w:val="24"/>
          <w:highlight w:val="none"/>
        </w:rPr>
      </w:pPr>
      <w:bookmarkStart w:id="39" w:name="_Toc464728965"/>
      <w:r>
        <w:rPr>
          <w:rFonts w:hint="eastAsia"/>
          <w:sz w:val="24"/>
          <w:szCs w:val="24"/>
          <w:highlight w:val="none"/>
        </w:rPr>
        <w:t>（无）。</w:t>
      </w:r>
    </w:p>
    <w:p>
      <w:pPr>
        <w:pStyle w:val="73"/>
        <w:numPr>
          <w:ilvl w:val="0"/>
          <w:numId w:val="11"/>
        </w:numPr>
        <w:tabs>
          <w:tab w:val="left" w:pos="426"/>
        </w:tabs>
        <w:spacing w:before="312" w:beforeLines="100" w:after="312" w:afterLines="100"/>
        <w:ind w:hangingChars="200"/>
        <w:jc w:val="left"/>
        <w:rPr>
          <w:sz w:val="24"/>
          <w:szCs w:val="24"/>
          <w:highlight w:val="none"/>
        </w:rPr>
      </w:pPr>
      <w:r>
        <w:rPr>
          <w:rFonts w:hint="eastAsia"/>
          <w:sz w:val="24"/>
          <w:szCs w:val="24"/>
          <w:highlight w:val="none"/>
        </w:rPr>
        <w:t>标准水平分析</w:t>
      </w:r>
      <w:bookmarkEnd w:id="39"/>
    </w:p>
    <w:p>
      <w:pPr>
        <w:pStyle w:val="57"/>
        <w:spacing w:line="300" w:lineRule="auto"/>
        <w:ind w:firstLine="420"/>
        <w:contextualSpacing/>
        <w:rPr>
          <w:sz w:val="24"/>
          <w:szCs w:val="24"/>
          <w:highlight w:val="none"/>
        </w:rPr>
      </w:pPr>
      <w:r>
        <w:rPr>
          <w:rFonts w:hint="default"/>
          <w:sz w:val="24"/>
          <w:szCs w:val="24"/>
          <w:highlight w:val="none"/>
        </w:rPr>
        <w:t>据查，目前国内外没有针对</w:t>
      </w:r>
      <w:r>
        <w:rPr>
          <w:rFonts w:hint="eastAsia"/>
          <w:sz w:val="24"/>
          <w:szCs w:val="24"/>
          <w:highlight w:val="none"/>
          <w:lang w:val="en-US" w:eastAsia="zh-CN"/>
        </w:rPr>
        <w:t>超声标准</w:t>
      </w:r>
      <w:r>
        <w:rPr>
          <w:rFonts w:hint="default"/>
          <w:sz w:val="24"/>
          <w:szCs w:val="24"/>
          <w:highlight w:val="none"/>
          <w:lang w:val="en-US" w:eastAsia="zh-CN"/>
        </w:rPr>
        <w:t>试块</w:t>
      </w:r>
      <w:r>
        <w:rPr>
          <w:rFonts w:hint="default"/>
          <w:sz w:val="24"/>
          <w:szCs w:val="24"/>
          <w:highlight w:val="none"/>
        </w:rPr>
        <w:t>的校准规范，计量检测机构</w:t>
      </w:r>
      <w:r>
        <w:rPr>
          <w:rFonts w:hint="default"/>
          <w:sz w:val="24"/>
          <w:szCs w:val="24"/>
          <w:highlight w:val="none"/>
          <w:lang w:val="en-US" w:eastAsia="zh-CN"/>
        </w:rPr>
        <w:t>开展</w:t>
      </w:r>
      <w:r>
        <w:rPr>
          <w:rFonts w:hint="eastAsia"/>
          <w:sz w:val="24"/>
          <w:szCs w:val="24"/>
          <w:highlight w:val="none"/>
          <w:lang w:val="en-US" w:eastAsia="zh-CN"/>
        </w:rPr>
        <w:t>超声标准</w:t>
      </w:r>
      <w:r>
        <w:rPr>
          <w:rFonts w:hint="default"/>
          <w:sz w:val="24"/>
          <w:szCs w:val="24"/>
          <w:highlight w:val="none"/>
          <w:lang w:val="en-US" w:eastAsia="zh-CN"/>
        </w:rPr>
        <w:t>试块的校准大多参照超声波探伤试块校准规范</w:t>
      </w:r>
      <w:r>
        <w:rPr>
          <w:rFonts w:hint="eastAsia"/>
          <w:sz w:val="24"/>
          <w:szCs w:val="24"/>
          <w:highlight w:val="none"/>
          <w:lang w:val="en-US" w:eastAsia="zh-CN"/>
        </w:rPr>
        <w:t>。</w:t>
      </w:r>
      <w:r>
        <w:rPr>
          <w:rFonts w:hint="eastAsia"/>
          <w:sz w:val="24"/>
          <w:szCs w:val="24"/>
          <w:highlight w:val="none"/>
        </w:rPr>
        <w:t>本</w:t>
      </w:r>
      <w:r>
        <w:rPr>
          <w:rFonts w:hint="eastAsia"/>
          <w:sz w:val="24"/>
          <w:szCs w:val="24"/>
          <w:highlight w:val="none"/>
          <w:lang w:eastAsia="zh-CN"/>
        </w:rPr>
        <w:t>规范</w:t>
      </w:r>
      <w:r>
        <w:rPr>
          <w:rFonts w:hint="eastAsia"/>
          <w:sz w:val="24"/>
          <w:szCs w:val="24"/>
          <w:highlight w:val="none"/>
        </w:rPr>
        <w:t>的制定填补了</w:t>
      </w:r>
      <w:r>
        <w:rPr>
          <w:rFonts w:hint="eastAsia"/>
          <w:sz w:val="24"/>
          <w:szCs w:val="24"/>
          <w:highlight w:val="none"/>
          <w:lang w:eastAsia="zh-CN"/>
        </w:rPr>
        <w:t>超声标准试块</w:t>
      </w:r>
      <w:r>
        <w:rPr>
          <w:rFonts w:hint="eastAsia"/>
          <w:sz w:val="24"/>
          <w:szCs w:val="24"/>
          <w:highlight w:val="none"/>
        </w:rPr>
        <w:t>的</w:t>
      </w:r>
      <w:r>
        <w:rPr>
          <w:rFonts w:hint="eastAsia"/>
          <w:sz w:val="24"/>
          <w:szCs w:val="24"/>
          <w:highlight w:val="none"/>
          <w:lang w:eastAsia="zh-CN"/>
        </w:rPr>
        <w:t>全项校准</w:t>
      </w:r>
      <w:r>
        <w:rPr>
          <w:rFonts w:hint="eastAsia"/>
          <w:sz w:val="24"/>
          <w:szCs w:val="24"/>
          <w:highlight w:val="none"/>
        </w:rPr>
        <w:t>空白，</w:t>
      </w:r>
      <w:r>
        <w:rPr>
          <w:rFonts w:hint="eastAsia"/>
          <w:sz w:val="24"/>
          <w:szCs w:val="24"/>
          <w:highlight w:val="none"/>
          <w:lang w:eastAsia="zh-CN"/>
        </w:rPr>
        <w:t>本规范</w:t>
      </w:r>
      <w:r>
        <w:rPr>
          <w:rFonts w:hint="eastAsia"/>
          <w:sz w:val="24"/>
          <w:szCs w:val="24"/>
          <w:highlight w:val="none"/>
        </w:rPr>
        <w:t>水平达到国内</w:t>
      </w:r>
      <w:r>
        <w:rPr>
          <w:rFonts w:hint="eastAsia"/>
          <w:sz w:val="24"/>
          <w:szCs w:val="24"/>
          <w:highlight w:val="none"/>
          <w:lang w:eastAsia="zh-CN"/>
        </w:rPr>
        <w:t>先进水平</w:t>
      </w:r>
      <w:r>
        <w:rPr>
          <w:rFonts w:hint="eastAsia"/>
          <w:sz w:val="24"/>
          <w:szCs w:val="24"/>
          <w:highlight w:val="none"/>
        </w:rPr>
        <w:t>。</w:t>
      </w:r>
    </w:p>
    <w:p>
      <w:pPr>
        <w:pStyle w:val="73"/>
        <w:numPr>
          <w:ilvl w:val="0"/>
          <w:numId w:val="11"/>
        </w:numPr>
        <w:tabs>
          <w:tab w:val="left" w:pos="426"/>
        </w:tabs>
        <w:spacing w:before="312" w:beforeLines="100" w:after="312" w:afterLines="100"/>
        <w:ind w:hangingChars="200"/>
        <w:jc w:val="left"/>
        <w:rPr>
          <w:sz w:val="24"/>
          <w:szCs w:val="24"/>
          <w:highlight w:val="none"/>
        </w:rPr>
      </w:pPr>
      <w:bookmarkStart w:id="40" w:name="_Toc464728972"/>
      <w:r>
        <w:rPr>
          <w:rFonts w:hint="eastAsia"/>
          <w:sz w:val="24"/>
          <w:szCs w:val="24"/>
          <w:highlight w:val="none"/>
        </w:rPr>
        <w:t>与现行相关法律、法规、规章及相关规范，特别是</w:t>
      </w:r>
      <w:r>
        <w:rPr>
          <w:rFonts w:hint="eastAsia"/>
          <w:sz w:val="24"/>
          <w:szCs w:val="24"/>
          <w:highlight w:val="none"/>
          <w:lang w:eastAsia="zh-CN"/>
        </w:rPr>
        <w:t>规范</w:t>
      </w:r>
      <w:r>
        <w:rPr>
          <w:rFonts w:hint="eastAsia"/>
          <w:sz w:val="24"/>
          <w:szCs w:val="24"/>
          <w:highlight w:val="none"/>
        </w:rPr>
        <w:t>的协调性</w:t>
      </w:r>
      <w:bookmarkEnd w:id="40"/>
    </w:p>
    <w:p>
      <w:pPr>
        <w:pStyle w:val="57"/>
        <w:spacing w:line="300" w:lineRule="auto"/>
        <w:rPr>
          <w:sz w:val="24"/>
          <w:szCs w:val="24"/>
          <w:highlight w:val="none"/>
        </w:rPr>
      </w:pPr>
      <w:r>
        <w:rPr>
          <w:rFonts w:hint="eastAsia"/>
          <w:sz w:val="24"/>
          <w:szCs w:val="24"/>
          <w:highlight w:val="none"/>
        </w:rPr>
        <w:t>本规范所引用的</w:t>
      </w:r>
      <w:r>
        <w:rPr>
          <w:rFonts w:hint="eastAsia"/>
          <w:sz w:val="24"/>
          <w:szCs w:val="24"/>
          <w:highlight w:val="none"/>
          <w:lang w:eastAsia="zh-CN"/>
        </w:rPr>
        <w:t>规范</w:t>
      </w:r>
      <w:r>
        <w:rPr>
          <w:rFonts w:hint="eastAsia"/>
          <w:sz w:val="24"/>
          <w:szCs w:val="24"/>
          <w:highlight w:val="none"/>
        </w:rPr>
        <w:t>及规范均为我国现行有效的计量</w:t>
      </w:r>
      <w:r>
        <w:rPr>
          <w:rFonts w:hint="eastAsia"/>
          <w:sz w:val="24"/>
          <w:szCs w:val="24"/>
          <w:highlight w:val="none"/>
          <w:lang w:eastAsia="zh-CN"/>
        </w:rPr>
        <w:t>规范</w:t>
      </w:r>
      <w:r>
        <w:rPr>
          <w:rFonts w:hint="eastAsia"/>
          <w:sz w:val="24"/>
          <w:szCs w:val="24"/>
          <w:highlight w:val="none"/>
        </w:rPr>
        <w:t>及规范，是本标准的一部分，引用这些</w:t>
      </w:r>
      <w:r>
        <w:rPr>
          <w:rFonts w:hint="eastAsia"/>
          <w:sz w:val="24"/>
          <w:szCs w:val="24"/>
          <w:highlight w:val="none"/>
          <w:lang w:eastAsia="zh-CN"/>
        </w:rPr>
        <w:t>规范</w:t>
      </w:r>
      <w:r>
        <w:rPr>
          <w:rFonts w:hint="eastAsia"/>
          <w:sz w:val="24"/>
          <w:szCs w:val="24"/>
          <w:highlight w:val="none"/>
        </w:rPr>
        <w:t>及规范后，使本规范的要求与现行的相关法律、法规、规章及相关</w:t>
      </w:r>
      <w:r>
        <w:rPr>
          <w:rFonts w:hint="eastAsia"/>
          <w:sz w:val="24"/>
          <w:szCs w:val="24"/>
          <w:highlight w:val="none"/>
          <w:lang w:eastAsia="zh-CN"/>
        </w:rPr>
        <w:t>规范</w:t>
      </w:r>
      <w:r>
        <w:rPr>
          <w:rFonts w:hint="eastAsia"/>
          <w:sz w:val="24"/>
          <w:szCs w:val="24"/>
          <w:highlight w:val="none"/>
        </w:rPr>
        <w:t>规范的关系不矛盾、不冲突，其相互关系非常协调。</w:t>
      </w:r>
    </w:p>
    <w:p>
      <w:pPr>
        <w:pStyle w:val="73"/>
        <w:numPr>
          <w:ilvl w:val="0"/>
          <w:numId w:val="11"/>
        </w:numPr>
        <w:tabs>
          <w:tab w:val="left" w:pos="426"/>
        </w:tabs>
        <w:spacing w:before="312" w:beforeLines="100" w:after="312" w:afterLines="100"/>
        <w:ind w:hangingChars="200"/>
        <w:jc w:val="left"/>
        <w:rPr>
          <w:sz w:val="24"/>
          <w:szCs w:val="24"/>
          <w:highlight w:val="none"/>
        </w:rPr>
      </w:pPr>
      <w:bookmarkStart w:id="41" w:name="_Toc464728973"/>
      <w:r>
        <w:rPr>
          <w:rFonts w:hint="eastAsia"/>
          <w:sz w:val="24"/>
          <w:szCs w:val="24"/>
          <w:highlight w:val="none"/>
        </w:rPr>
        <w:t>标准中涉及的专利或知识产权说明</w:t>
      </w:r>
      <w:bookmarkEnd w:id="41"/>
    </w:p>
    <w:p>
      <w:pPr>
        <w:pStyle w:val="57"/>
        <w:spacing w:line="300" w:lineRule="auto"/>
        <w:ind w:firstLine="420"/>
        <w:contextualSpacing/>
        <w:rPr>
          <w:sz w:val="24"/>
          <w:szCs w:val="24"/>
          <w:highlight w:val="none"/>
        </w:rPr>
      </w:pPr>
      <w:r>
        <w:rPr>
          <w:rFonts w:hint="eastAsia"/>
          <w:sz w:val="24"/>
          <w:szCs w:val="24"/>
          <w:highlight w:val="none"/>
        </w:rPr>
        <w:t>本标准不涉及任何专利或知识产权。</w:t>
      </w:r>
    </w:p>
    <w:p>
      <w:pPr>
        <w:pStyle w:val="73"/>
        <w:numPr>
          <w:ilvl w:val="0"/>
          <w:numId w:val="11"/>
        </w:numPr>
        <w:tabs>
          <w:tab w:val="left" w:pos="426"/>
        </w:tabs>
        <w:spacing w:before="312" w:beforeLines="100" w:after="312" w:afterLines="100"/>
        <w:ind w:hangingChars="200"/>
        <w:jc w:val="left"/>
        <w:rPr>
          <w:sz w:val="24"/>
          <w:szCs w:val="24"/>
          <w:highlight w:val="none"/>
        </w:rPr>
      </w:pPr>
      <w:bookmarkStart w:id="42" w:name="_Toc464728974"/>
      <w:r>
        <w:rPr>
          <w:rFonts w:hint="eastAsia"/>
          <w:sz w:val="24"/>
          <w:szCs w:val="24"/>
          <w:highlight w:val="none"/>
        </w:rPr>
        <w:t>重大分歧意见的处理经过和依据</w:t>
      </w:r>
      <w:bookmarkEnd w:id="42"/>
    </w:p>
    <w:p>
      <w:pPr>
        <w:pStyle w:val="57"/>
        <w:spacing w:line="300" w:lineRule="auto"/>
        <w:ind w:firstLine="420"/>
        <w:contextualSpacing/>
        <w:rPr>
          <w:sz w:val="24"/>
          <w:szCs w:val="24"/>
          <w:highlight w:val="none"/>
        </w:rPr>
      </w:pPr>
      <w:bookmarkStart w:id="43" w:name="_Toc464728976"/>
      <w:r>
        <w:rPr>
          <w:rFonts w:hint="eastAsia"/>
          <w:sz w:val="24"/>
          <w:szCs w:val="24"/>
          <w:highlight w:val="none"/>
        </w:rPr>
        <w:t>（无）。</w:t>
      </w:r>
    </w:p>
    <w:p>
      <w:pPr>
        <w:pStyle w:val="73"/>
        <w:numPr>
          <w:ilvl w:val="0"/>
          <w:numId w:val="11"/>
        </w:numPr>
        <w:tabs>
          <w:tab w:val="left" w:pos="426"/>
        </w:tabs>
        <w:spacing w:before="312" w:beforeLines="100" w:after="312" w:afterLines="100"/>
        <w:ind w:hangingChars="200"/>
        <w:jc w:val="left"/>
        <w:rPr>
          <w:sz w:val="24"/>
          <w:szCs w:val="24"/>
          <w:highlight w:val="none"/>
        </w:rPr>
      </w:pPr>
      <w:r>
        <w:rPr>
          <w:rFonts w:hint="eastAsia"/>
          <w:sz w:val="24"/>
          <w:szCs w:val="24"/>
          <w:highlight w:val="none"/>
        </w:rPr>
        <w:t>贯彻规范的要求和措施建议</w:t>
      </w:r>
      <w:bookmarkEnd w:id="43"/>
    </w:p>
    <w:p>
      <w:pPr>
        <w:pStyle w:val="57"/>
        <w:spacing w:line="300" w:lineRule="auto"/>
        <w:ind w:firstLine="420"/>
        <w:contextualSpacing/>
        <w:rPr>
          <w:rFonts w:hint="eastAsia"/>
          <w:sz w:val="24"/>
          <w:szCs w:val="24"/>
          <w:highlight w:val="none"/>
        </w:rPr>
      </w:pPr>
      <w:r>
        <w:rPr>
          <w:rFonts w:hint="eastAsia"/>
          <w:sz w:val="24"/>
          <w:szCs w:val="24"/>
          <w:highlight w:val="none"/>
        </w:rPr>
        <w:t>本规范发布后，中国有色金属行业协会和有色金属行业计量技术委员会应加强本规范的宣传力度，促进各实验室以及计量技术机构对本规范的使用，以确保超声探伤仪、超声探头检测结果的可靠性。促进工业产品的安全性、可靠性得到保证，进一步保障人民生产生活的安全，为我国经济发展保驾护航。</w:t>
      </w:r>
    </w:p>
    <w:p>
      <w:pPr>
        <w:pStyle w:val="73"/>
        <w:numPr>
          <w:ilvl w:val="0"/>
          <w:numId w:val="11"/>
        </w:numPr>
        <w:tabs>
          <w:tab w:val="left" w:pos="426"/>
        </w:tabs>
        <w:spacing w:before="312" w:beforeLines="100" w:after="312" w:afterLines="100"/>
        <w:ind w:hangingChars="200"/>
        <w:jc w:val="left"/>
        <w:rPr>
          <w:sz w:val="24"/>
          <w:szCs w:val="24"/>
          <w:highlight w:val="none"/>
        </w:rPr>
      </w:pPr>
      <w:bookmarkStart w:id="44" w:name="_Toc464728977"/>
      <w:r>
        <w:rPr>
          <w:rFonts w:hint="eastAsia"/>
          <w:sz w:val="24"/>
          <w:szCs w:val="24"/>
          <w:highlight w:val="none"/>
        </w:rPr>
        <w:t>废止现行有关</w:t>
      </w:r>
      <w:r>
        <w:rPr>
          <w:rFonts w:hint="eastAsia"/>
          <w:sz w:val="24"/>
          <w:szCs w:val="24"/>
          <w:highlight w:val="none"/>
          <w:lang w:eastAsia="zh-CN"/>
        </w:rPr>
        <w:t>规范</w:t>
      </w:r>
      <w:r>
        <w:rPr>
          <w:rFonts w:hint="eastAsia"/>
          <w:sz w:val="24"/>
          <w:szCs w:val="24"/>
          <w:highlight w:val="none"/>
        </w:rPr>
        <w:t>的建议</w:t>
      </w:r>
      <w:bookmarkEnd w:id="44"/>
    </w:p>
    <w:p>
      <w:pPr>
        <w:pStyle w:val="57"/>
        <w:spacing w:line="300" w:lineRule="auto"/>
        <w:ind w:firstLine="420"/>
        <w:contextualSpacing/>
        <w:rPr>
          <w:sz w:val="24"/>
          <w:szCs w:val="24"/>
          <w:highlight w:val="none"/>
        </w:rPr>
      </w:pPr>
      <w:r>
        <w:rPr>
          <w:rFonts w:hint="eastAsia"/>
          <w:sz w:val="24"/>
          <w:szCs w:val="24"/>
          <w:highlight w:val="none"/>
        </w:rPr>
        <w:t>（无）。</w:t>
      </w:r>
    </w:p>
    <w:p>
      <w:pPr>
        <w:pStyle w:val="73"/>
        <w:numPr>
          <w:ilvl w:val="0"/>
          <w:numId w:val="11"/>
        </w:numPr>
        <w:tabs>
          <w:tab w:val="left" w:pos="426"/>
        </w:tabs>
        <w:spacing w:before="312" w:beforeLines="100" w:after="312" w:afterLines="100"/>
        <w:ind w:hangingChars="200"/>
        <w:jc w:val="left"/>
        <w:rPr>
          <w:sz w:val="24"/>
          <w:szCs w:val="24"/>
          <w:highlight w:val="none"/>
        </w:rPr>
      </w:pPr>
      <w:bookmarkStart w:id="45" w:name="_Toc464728978"/>
      <w:r>
        <w:rPr>
          <w:rFonts w:hint="eastAsia"/>
          <w:sz w:val="24"/>
          <w:szCs w:val="24"/>
          <w:highlight w:val="none"/>
        </w:rPr>
        <w:t>产业化情况、推广应用论证和预期达到的经济效果</w:t>
      </w:r>
      <w:bookmarkEnd w:id="45"/>
    </w:p>
    <w:p>
      <w:pPr>
        <w:spacing w:line="300" w:lineRule="auto"/>
        <w:ind w:firstLine="480" w:firstLineChars="200"/>
        <w:contextualSpacing/>
        <w:jc w:val="left"/>
        <w:rPr>
          <w:rFonts w:hint="eastAsia" w:ascii="宋体" w:hAnsi="宋体"/>
          <w:kern w:val="0"/>
          <w:sz w:val="24"/>
          <w:szCs w:val="24"/>
          <w:highlight w:val="yellow"/>
          <w:lang w:eastAsia="zh-CN"/>
        </w:rPr>
      </w:pPr>
      <w:r>
        <w:rPr>
          <w:rFonts w:hint="eastAsia" w:ascii="宋体" w:hAnsi="宋体"/>
          <w:kern w:val="0"/>
          <w:sz w:val="24"/>
          <w:szCs w:val="24"/>
          <w:highlight w:val="none"/>
        </w:rPr>
        <w:t>超声标准试块</w:t>
      </w:r>
      <w:r>
        <w:rPr>
          <w:rFonts w:hint="eastAsia" w:ascii="宋体" w:hAnsi="宋体"/>
          <w:kern w:val="0"/>
          <w:sz w:val="24"/>
          <w:szCs w:val="24"/>
          <w:highlight w:val="none"/>
          <w:lang w:eastAsia="zh-CN"/>
        </w:rPr>
        <w:t>校准规范</w:t>
      </w:r>
      <w:r>
        <w:rPr>
          <w:rFonts w:hint="eastAsia" w:ascii="宋体" w:hAnsi="宋体"/>
          <w:kern w:val="0"/>
          <w:sz w:val="24"/>
          <w:szCs w:val="24"/>
          <w:highlight w:val="none"/>
        </w:rPr>
        <w:t>的制定，具有极大的经济效益和社会效益，填补了有色金属行业领域校准空白，能够很好的满足有色金属领域无损检测实验室对于超声标准试块的校准需求，</w:t>
      </w:r>
      <w:r>
        <w:rPr>
          <w:rFonts w:hint="eastAsia" w:ascii="宋体" w:hAnsi="宋体"/>
          <w:kern w:val="0"/>
          <w:sz w:val="24"/>
          <w:szCs w:val="24"/>
          <w:highlight w:val="none"/>
          <w:lang w:eastAsia="zh-CN"/>
        </w:rPr>
        <w:t>确保检测</w:t>
      </w:r>
      <w:r>
        <w:rPr>
          <w:rFonts w:hint="eastAsia" w:ascii="宋体" w:hAnsi="宋体"/>
          <w:kern w:val="0"/>
          <w:sz w:val="24"/>
          <w:szCs w:val="24"/>
          <w:highlight w:val="none"/>
        </w:rPr>
        <w:t>结果的</w:t>
      </w:r>
      <w:r>
        <w:rPr>
          <w:rFonts w:hint="eastAsia" w:ascii="宋体" w:hAnsi="宋体"/>
          <w:kern w:val="0"/>
          <w:sz w:val="24"/>
          <w:szCs w:val="24"/>
          <w:highlight w:val="none"/>
          <w:lang w:eastAsia="zh-CN"/>
        </w:rPr>
        <w:t>真实可靠</w:t>
      </w:r>
      <w:r>
        <w:rPr>
          <w:rFonts w:hint="eastAsia" w:ascii="宋体" w:hAnsi="宋体"/>
          <w:kern w:val="0"/>
          <w:sz w:val="24"/>
          <w:szCs w:val="24"/>
          <w:highlight w:val="none"/>
        </w:rPr>
        <w:t>，</w:t>
      </w:r>
      <w:r>
        <w:rPr>
          <w:rFonts w:hint="eastAsia" w:ascii="宋体" w:hAnsi="宋体"/>
          <w:kern w:val="0"/>
          <w:sz w:val="24"/>
          <w:szCs w:val="24"/>
          <w:highlight w:val="none"/>
          <w:lang w:eastAsia="zh-CN"/>
        </w:rPr>
        <w:t>进而保证</w:t>
      </w:r>
      <w:r>
        <w:rPr>
          <w:rFonts w:hint="eastAsia" w:ascii="宋体" w:hAnsi="宋体"/>
          <w:kern w:val="0"/>
          <w:sz w:val="24"/>
          <w:szCs w:val="24"/>
          <w:highlight w:val="none"/>
        </w:rPr>
        <w:t>产品的安全</w:t>
      </w:r>
      <w:r>
        <w:rPr>
          <w:rFonts w:hint="eastAsia" w:ascii="宋体" w:hAnsi="宋体"/>
          <w:kern w:val="0"/>
          <w:sz w:val="24"/>
          <w:szCs w:val="24"/>
          <w:highlight w:val="none"/>
          <w:lang w:eastAsia="zh-CN"/>
        </w:rPr>
        <w:t>可靠</w:t>
      </w:r>
      <w:r>
        <w:rPr>
          <w:rFonts w:hint="eastAsia" w:ascii="宋体" w:hAnsi="宋体"/>
          <w:kern w:val="0"/>
          <w:sz w:val="24"/>
          <w:szCs w:val="24"/>
          <w:highlight w:val="none"/>
        </w:rPr>
        <w:t>。</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p>
    <w:pPr>
      <w:pStyle w:val="29"/>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2"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displayBackgroundShape w:val="1"/>
  <w:bordersDoNotSurroundHeader w:val="0"/>
  <w:bordersDoNotSurroundFooter w:val="0"/>
  <w:hideSpelling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kM2VjZTFlZGVlYmM1YmQ3MWE0MDI1M2E0NGE0N2IifQ=="/>
  </w:docVars>
  <w:rsids>
    <w:rsidRoot w:val="00693668"/>
    <w:rsid w:val="000971D5"/>
    <w:rsid w:val="00122AD8"/>
    <w:rsid w:val="00122DCA"/>
    <w:rsid w:val="0019431C"/>
    <w:rsid w:val="002849BB"/>
    <w:rsid w:val="00291548"/>
    <w:rsid w:val="004A27E5"/>
    <w:rsid w:val="004F58ED"/>
    <w:rsid w:val="00536C60"/>
    <w:rsid w:val="00567271"/>
    <w:rsid w:val="0059121E"/>
    <w:rsid w:val="005F42DD"/>
    <w:rsid w:val="00601ADF"/>
    <w:rsid w:val="00623451"/>
    <w:rsid w:val="00625140"/>
    <w:rsid w:val="00644C6D"/>
    <w:rsid w:val="0069107A"/>
    <w:rsid w:val="00693668"/>
    <w:rsid w:val="006E11F0"/>
    <w:rsid w:val="00724E03"/>
    <w:rsid w:val="00764D0A"/>
    <w:rsid w:val="00765621"/>
    <w:rsid w:val="007902D1"/>
    <w:rsid w:val="0086056F"/>
    <w:rsid w:val="00876D87"/>
    <w:rsid w:val="008E415E"/>
    <w:rsid w:val="008F5DCA"/>
    <w:rsid w:val="009111C1"/>
    <w:rsid w:val="00946B7D"/>
    <w:rsid w:val="009A61F5"/>
    <w:rsid w:val="00A1497C"/>
    <w:rsid w:val="00A15577"/>
    <w:rsid w:val="00A8270F"/>
    <w:rsid w:val="00AB17A5"/>
    <w:rsid w:val="00AC0924"/>
    <w:rsid w:val="00B706F7"/>
    <w:rsid w:val="00BC6B82"/>
    <w:rsid w:val="00C058B2"/>
    <w:rsid w:val="00C27739"/>
    <w:rsid w:val="00C7537E"/>
    <w:rsid w:val="00CD2D13"/>
    <w:rsid w:val="00CD7C00"/>
    <w:rsid w:val="00DB362A"/>
    <w:rsid w:val="00DB4F65"/>
    <w:rsid w:val="00E019C6"/>
    <w:rsid w:val="00E22714"/>
    <w:rsid w:val="00E82471"/>
    <w:rsid w:val="00E911BC"/>
    <w:rsid w:val="00F10C9E"/>
    <w:rsid w:val="00F3447A"/>
    <w:rsid w:val="00F507FB"/>
    <w:rsid w:val="00FE1932"/>
    <w:rsid w:val="00FE3C04"/>
    <w:rsid w:val="011B0B5F"/>
    <w:rsid w:val="017F0419"/>
    <w:rsid w:val="02F703B0"/>
    <w:rsid w:val="033159F7"/>
    <w:rsid w:val="04425C74"/>
    <w:rsid w:val="047363D2"/>
    <w:rsid w:val="0488627D"/>
    <w:rsid w:val="04C0137C"/>
    <w:rsid w:val="04FE3CBD"/>
    <w:rsid w:val="05C37B35"/>
    <w:rsid w:val="079061F5"/>
    <w:rsid w:val="07DC0ED5"/>
    <w:rsid w:val="07FE1A6D"/>
    <w:rsid w:val="08037A1A"/>
    <w:rsid w:val="081B3BDB"/>
    <w:rsid w:val="08871E43"/>
    <w:rsid w:val="09037750"/>
    <w:rsid w:val="0904785D"/>
    <w:rsid w:val="091C4E4B"/>
    <w:rsid w:val="09573966"/>
    <w:rsid w:val="0A603E15"/>
    <w:rsid w:val="0A781AE7"/>
    <w:rsid w:val="0AB70FA0"/>
    <w:rsid w:val="0ACB34C4"/>
    <w:rsid w:val="0BA81267"/>
    <w:rsid w:val="0C433FAA"/>
    <w:rsid w:val="0C8E5209"/>
    <w:rsid w:val="0CCA0314"/>
    <w:rsid w:val="0FEB2FFC"/>
    <w:rsid w:val="10657382"/>
    <w:rsid w:val="109F4BD4"/>
    <w:rsid w:val="11913964"/>
    <w:rsid w:val="12037092"/>
    <w:rsid w:val="135D59D1"/>
    <w:rsid w:val="14095D3A"/>
    <w:rsid w:val="14317D7D"/>
    <w:rsid w:val="145C5320"/>
    <w:rsid w:val="14FE0CE9"/>
    <w:rsid w:val="154F308C"/>
    <w:rsid w:val="158E7867"/>
    <w:rsid w:val="16FF5B47"/>
    <w:rsid w:val="174C2AB4"/>
    <w:rsid w:val="17776A9C"/>
    <w:rsid w:val="189218F4"/>
    <w:rsid w:val="1A294CEC"/>
    <w:rsid w:val="1AA0380D"/>
    <w:rsid w:val="1BBD770F"/>
    <w:rsid w:val="1C5046FF"/>
    <w:rsid w:val="1C8570AB"/>
    <w:rsid w:val="1C973FAB"/>
    <w:rsid w:val="1D6E70D6"/>
    <w:rsid w:val="1D7243CD"/>
    <w:rsid w:val="1DD522FD"/>
    <w:rsid w:val="1E512DA3"/>
    <w:rsid w:val="1EB02F65"/>
    <w:rsid w:val="1F5A1A25"/>
    <w:rsid w:val="1F714057"/>
    <w:rsid w:val="1FCC023A"/>
    <w:rsid w:val="1FF22678"/>
    <w:rsid w:val="2014266B"/>
    <w:rsid w:val="203E1472"/>
    <w:rsid w:val="208E75B3"/>
    <w:rsid w:val="20A26F98"/>
    <w:rsid w:val="2141361E"/>
    <w:rsid w:val="218A16C9"/>
    <w:rsid w:val="219C032E"/>
    <w:rsid w:val="21BE3478"/>
    <w:rsid w:val="21D04080"/>
    <w:rsid w:val="220B3A67"/>
    <w:rsid w:val="222E41A0"/>
    <w:rsid w:val="22423DCF"/>
    <w:rsid w:val="229F6E90"/>
    <w:rsid w:val="22EA745E"/>
    <w:rsid w:val="23A74BBD"/>
    <w:rsid w:val="23D43A72"/>
    <w:rsid w:val="24832476"/>
    <w:rsid w:val="25357D1C"/>
    <w:rsid w:val="25EE16C9"/>
    <w:rsid w:val="260C0C79"/>
    <w:rsid w:val="27046C92"/>
    <w:rsid w:val="272E2055"/>
    <w:rsid w:val="277B027F"/>
    <w:rsid w:val="27E34FFB"/>
    <w:rsid w:val="2843570A"/>
    <w:rsid w:val="286F788B"/>
    <w:rsid w:val="28902179"/>
    <w:rsid w:val="28AC67A0"/>
    <w:rsid w:val="29846CB3"/>
    <w:rsid w:val="29E46257"/>
    <w:rsid w:val="2A16531B"/>
    <w:rsid w:val="2A4110A1"/>
    <w:rsid w:val="2A621B97"/>
    <w:rsid w:val="2A8000EB"/>
    <w:rsid w:val="2A881DD7"/>
    <w:rsid w:val="2A9867EE"/>
    <w:rsid w:val="2AB85E2C"/>
    <w:rsid w:val="2B917A42"/>
    <w:rsid w:val="2C281A12"/>
    <w:rsid w:val="2C354526"/>
    <w:rsid w:val="2CB24D78"/>
    <w:rsid w:val="2DBD1919"/>
    <w:rsid w:val="2F284DDC"/>
    <w:rsid w:val="2FBE527A"/>
    <w:rsid w:val="30683C8B"/>
    <w:rsid w:val="307C0198"/>
    <w:rsid w:val="307D5C1A"/>
    <w:rsid w:val="3099554A"/>
    <w:rsid w:val="30F80DE7"/>
    <w:rsid w:val="31B57A58"/>
    <w:rsid w:val="32086A25"/>
    <w:rsid w:val="321E5346"/>
    <w:rsid w:val="32A372A9"/>
    <w:rsid w:val="336513A0"/>
    <w:rsid w:val="34206F6B"/>
    <w:rsid w:val="34745E77"/>
    <w:rsid w:val="357353BD"/>
    <w:rsid w:val="35E05D71"/>
    <w:rsid w:val="36445C3B"/>
    <w:rsid w:val="36515A5F"/>
    <w:rsid w:val="36AE69D8"/>
    <w:rsid w:val="38B6063A"/>
    <w:rsid w:val="399947F1"/>
    <w:rsid w:val="39E63C45"/>
    <w:rsid w:val="39F32D23"/>
    <w:rsid w:val="3A910669"/>
    <w:rsid w:val="3AF947CF"/>
    <w:rsid w:val="3B807F2C"/>
    <w:rsid w:val="3BA532D3"/>
    <w:rsid w:val="3BE6220F"/>
    <w:rsid w:val="3BFA1058"/>
    <w:rsid w:val="3EBA5BC3"/>
    <w:rsid w:val="3EE56220"/>
    <w:rsid w:val="3FD87116"/>
    <w:rsid w:val="400D1324"/>
    <w:rsid w:val="400D3523"/>
    <w:rsid w:val="41F40E7F"/>
    <w:rsid w:val="420E5348"/>
    <w:rsid w:val="422D0F9E"/>
    <w:rsid w:val="42501169"/>
    <w:rsid w:val="44100726"/>
    <w:rsid w:val="44420F7F"/>
    <w:rsid w:val="446908C9"/>
    <w:rsid w:val="4555504E"/>
    <w:rsid w:val="456D3D97"/>
    <w:rsid w:val="458C7727"/>
    <w:rsid w:val="45E87405"/>
    <w:rsid w:val="463B1C84"/>
    <w:rsid w:val="46474D73"/>
    <w:rsid w:val="4696565B"/>
    <w:rsid w:val="48AE19A3"/>
    <w:rsid w:val="48BA224A"/>
    <w:rsid w:val="48BE5C4B"/>
    <w:rsid w:val="48BF3D66"/>
    <w:rsid w:val="49214E6F"/>
    <w:rsid w:val="49780F96"/>
    <w:rsid w:val="4989333F"/>
    <w:rsid w:val="4AEA33F6"/>
    <w:rsid w:val="4B5375A2"/>
    <w:rsid w:val="4D27640F"/>
    <w:rsid w:val="4D9258D3"/>
    <w:rsid w:val="4DD90ED7"/>
    <w:rsid w:val="4E3430C7"/>
    <w:rsid w:val="4F9A2425"/>
    <w:rsid w:val="50294293"/>
    <w:rsid w:val="51142E0B"/>
    <w:rsid w:val="518F4E5F"/>
    <w:rsid w:val="527F652B"/>
    <w:rsid w:val="52A97DDB"/>
    <w:rsid w:val="534315F8"/>
    <w:rsid w:val="53FC1520"/>
    <w:rsid w:val="54411E49"/>
    <w:rsid w:val="54FB7079"/>
    <w:rsid w:val="56154CA2"/>
    <w:rsid w:val="562846B0"/>
    <w:rsid w:val="56EE4F2B"/>
    <w:rsid w:val="57E60D46"/>
    <w:rsid w:val="580764A3"/>
    <w:rsid w:val="58235328"/>
    <w:rsid w:val="58865E17"/>
    <w:rsid w:val="58F567E9"/>
    <w:rsid w:val="5A1631D9"/>
    <w:rsid w:val="5A5C3C44"/>
    <w:rsid w:val="5A931503"/>
    <w:rsid w:val="5A971C98"/>
    <w:rsid w:val="5AD8477D"/>
    <w:rsid w:val="5AFA5C95"/>
    <w:rsid w:val="5B821531"/>
    <w:rsid w:val="5C9D443B"/>
    <w:rsid w:val="5CDE078E"/>
    <w:rsid w:val="5D07132D"/>
    <w:rsid w:val="5DC655CC"/>
    <w:rsid w:val="5E113BD7"/>
    <w:rsid w:val="5E5879D5"/>
    <w:rsid w:val="5EFB2A62"/>
    <w:rsid w:val="5F776EED"/>
    <w:rsid w:val="5FF366D4"/>
    <w:rsid w:val="605176D9"/>
    <w:rsid w:val="60A11E99"/>
    <w:rsid w:val="60D300EA"/>
    <w:rsid w:val="61997E92"/>
    <w:rsid w:val="62862FC9"/>
    <w:rsid w:val="62950339"/>
    <w:rsid w:val="633C7C85"/>
    <w:rsid w:val="635F68CB"/>
    <w:rsid w:val="63847970"/>
    <w:rsid w:val="63F828E6"/>
    <w:rsid w:val="64B24842"/>
    <w:rsid w:val="64C228DE"/>
    <w:rsid w:val="67791B52"/>
    <w:rsid w:val="67B01CAC"/>
    <w:rsid w:val="6844471E"/>
    <w:rsid w:val="68E47C07"/>
    <w:rsid w:val="697E527C"/>
    <w:rsid w:val="6AB57C02"/>
    <w:rsid w:val="6AD959DC"/>
    <w:rsid w:val="6B27051F"/>
    <w:rsid w:val="6B753BDA"/>
    <w:rsid w:val="6B770841"/>
    <w:rsid w:val="6C0C37CF"/>
    <w:rsid w:val="6C3D7821"/>
    <w:rsid w:val="6D3468A4"/>
    <w:rsid w:val="6DC12A1C"/>
    <w:rsid w:val="6E607C9C"/>
    <w:rsid w:val="6E8A0C2B"/>
    <w:rsid w:val="6E8B6326"/>
    <w:rsid w:val="6EF60757"/>
    <w:rsid w:val="6FD85E0E"/>
    <w:rsid w:val="6FE733CE"/>
    <w:rsid w:val="70D42D8D"/>
    <w:rsid w:val="70FA146A"/>
    <w:rsid w:val="710228B1"/>
    <w:rsid w:val="718225C7"/>
    <w:rsid w:val="71DE745D"/>
    <w:rsid w:val="725D1030"/>
    <w:rsid w:val="728976E7"/>
    <w:rsid w:val="73A7009A"/>
    <w:rsid w:val="73B95B2E"/>
    <w:rsid w:val="74130018"/>
    <w:rsid w:val="74862858"/>
    <w:rsid w:val="74CE1CB0"/>
    <w:rsid w:val="75042208"/>
    <w:rsid w:val="75252CAE"/>
    <w:rsid w:val="75681F2D"/>
    <w:rsid w:val="75D50F54"/>
    <w:rsid w:val="7613428E"/>
    <w:rsid w:val="771D7F39"/>
    <w:rsid w:val="77457761"/>
    <w:rsid w:val="77CE2BEC"/>
    <w:rsid w:val="77FD18DE"/>
    <w:rsid w:val="780F282B"/>
    <w:rsid w:val="7892370F"/>
    <w:rsid w:val="78947487"/>
    <w:rsid w:val="7A407603"/>
    <w:rsid w:val="7AC757F1"/>
    <w:rsid w:val="7D700DB4"/>
    <w:rsid w:val="7D941212"/>
    <w:rsid w:val="7D994E54"/>
    <w:rsid w:val="7DD74C89"/>
    <w:rsid w:val="7E004525"/>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
    <w:next w:val="1"/>
    <w:link w:val="310"/>
    <w:qFormat/>
    <w:uiPriority w:val="39"/>
  </w:style>
  <w:style w:type="paragraph" w:styleId="13">
    <w:name w:val="Normal Indent"/>
    <w:basedOn w:val="1"/>
    <w:qFormat/>
    <w:uiPriority w:val="0"/>
    <w:pPr>
      <w:ind w:firstLine="420"/>
    </w:pPr>
    <w:rPr>
      <w:szCs w:val="20"/>
    </w:rPr>
  </w:style>
  <w:style w:type="paragraph" w:styleId="14">
    <w:name w:val="caption"/>
    <w:basedOn w:val="1"/>
    <w:next w:val="1"/>
    <w:qFormat/>
    <w:uiPriority w:val="0"/>
    <w:pPr>
      <w:spacing w:before="152" w:after="160"/>
    </w:pPr>
    <w:rPr>
      <w:rFonts w:ascii="Arial" w:hAnsi="Arial" w:eastAsia="黑体"/>
      <w:szCs w:val="20"/>
    </w:rPr>
  </w:style>
  <w:style w:type="paragraph" w:styleId="15">
    <w:name w:val="annotation text"/>
    <w:basedOn w:val="1"/>
    <w:link w:val="287"/>
    <w:qFormat/>
    <w:uiPriority w:val="0"/>
    <w:pPr>
      <w:jc w:val="left"/>
    </w:pPr>
  </w:style>
  <w:style w:type="paragraph" w:styleId="16">
    <w:name w:val="Body Text"/>
    <w:basedOn w:val="1"/>
    <w:link w:val="282"/>
    <w:qFormat/>
    <w:uiPriority w:val="0"/>
    <w:pPr>
      <w:spacing w:after="120"/>
    </w:pPr>
  </w:style>
  <w:style w:type="paragraph" w:styleId="17">
    <w:name w:val="Body Text Indent"/>
    <w:basedOn w:val="1"/>
    <w:link w:val="285"/>
    <w:qFormat/>
    <w:uiPriority w:val="0"/>
    <w:pPr>
      <w:spacing w:line="360" w:lineRule="exact"/>
      <w:ind w:left="420" w:firstLine="480"/>
    </w:pPr>
    <w:rPr>
      <w:sz w:val="24"/>
      <w:szCs w:val="20"/>
    </w:rPr>
  </w:style>
  <w:style w:type="paragraph" w:styleId="18">
    <w:name w:val="HTML Address"/>
    <w:basedOn w:val="1"/>
    <w:qFormat/>
    <w:uiPriority w:val="0"/>
    <w:rPr>
      <w:i/>
      <w:iCs/>
    </w:rPr>
  </w:style>
  <w:style w:type="paragraph" w:styleId="19">
    <w:name w:val="toc 5"/>
    <w:basedOn w:val="1"/>
    <w:next w:val="1"/>
    <w:qFormat/>
    <w:uiPriority w:val="39"/>
  </w:style>
  <w:style w:type="paragraph" w:styleId="20">
    <w:name w:val="toc 3"/>
    <w:basedOn w:val="21"/>
    <w:next w:val="1"/>
    <w:qFormat/>
    <w:uiPriority w:val="39"/>
  </w:style>
  <w:style w:type="paragraph" w:styleId="21">
    <w:name w:val="toc 2"/>
    <w:basedOn w:val="22"/>
    <w:next w:val="1"/>
    <w:qFormat/>
    <w:uiPriority w:val="39"/>
  </w:style>
  <w:style w:type="paragraph" w:styleId="22">
    <w:name w:val="toc 1"/>
    <w:next w:val="1"/>
    <w:qFormat/>
    <w:uiPriority w:val="39"/>
    <w:pPr>
      <w:jc w:val="both"/>
    </w:pPr>
    <w:rPr>
      <w:rFonts w:ascii="宋体" w:hAnsi="Times New Roman" w:eastAsia="宋体" w:cs="Times New Roman"/>
      <w:sz w:val="21"/>
      <w:lang w:val="en-US" w:eastAsia="zh-CN" w:bidi="ar-SA"/>
    </w:rPr>
  </w:style>
  <w:style w:type="paragraph" w:styleId="23">
    <w:name w:val="Plain Text"/>
    <w:basedOn w:val="1"/>
    <w:link w:val="279"/>
    <w:qFormat/>
    <w:uiPriority w:val="0"/>
    <w:rPr>
      <w:rFonts w:ascii="宋体" w:hAnsi="Courier New"/>
      <w:szCs w:val="21"/>
    </w:rPr>
  </w:style>
  <w:style w:type="paragraph" w:styleId="24">
    <w:name w:val="toc 8"/>
    <w:basedOn w:val="11"/>
    <w:next w:val="1"/>
    <w:qFormat/>
    <w:uiPriority w:val="39"/>
  </w:style>
  <w:style w:type="paragraph" w:styleId="25">
    <w:name w:val="Date"/>
    <w:basedOn w:val="1"/>
    <w:next w:val="1"/>
    <w:link w:val="291"/>
    <w:qFormat/>
    <w:uiPriority w:val="99"/>
    <w:pPr>
      <w:ind w:left="100" w:leftChars="2500"/>
    </w:pPr>
    <w:rPr>
      <w:sz w:val="24"/>
      <w:szCs w:val="20"/>
    </w:rPr>
  </w:style>
  <w:style w:type="paragraph" w:styleId="26">
    <w:name w:val="Body Text Indent 2"/>
    <w:basedOn w:val="1"/>
    <w:link w:val="290"/>
    <w:qFormat/>
    <w:uiPriority w:val="0"/>
    <w:pPr>
      <w:spacing w:after="120" w:line="480" w:lineRule="auto"/>
      <w:ind w:left="420" w:leftChars="200"/>
    </w:pPr>
  </w:style>
  <w:style w:type="paragraph" w:styleId="27">
    <w:name w:val="endnote text"/>
    <w:basedOn w:val="1"/>
    <w:qFormat/>
    <w:uiPriority w:val="0"/>
    <w:pPr>
      <w:snapToGrid w:val="0"/>
    </w:pPr>
  </w:style>
  <w:style w:type="paragraph" w:styleId="28">
    <w:name w:val="Balloon Text"/>
    <w:basedOn w:val="1"/>
    <w:link w:val="281"/>
    <w:qFormat/>
    <w:uiPriority w:val="99"/>
    <w:rPr>
      <w:sz w:val="18"/>
      <w:szCs w:val="18"/>
    </w:rPr>
  </w:style>
  <w:style w:type="paragraph" w:styleId="29">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0">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1">
    <w:name w:val="toc 4"/>
    <w:basedOn w:val="20"/>
    <w:next w:val="1"/>
    <w:qFormat/>
    <w:uiPriority w:val="39"/>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4"/>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15"/>
    <w:next w:val="15"/>
    <w:link w:val="288"/>
    <w:qFormat/>
    <w:uiPriority w:val="0"/>
    <w:rPr>
      <w:b/>
      <w:bCs/>
    </w:rPr>
  </w:style>
  <w:style w:type="paragraph" w:styleId="39">
    <w:name w:val="Body Text First Indent"/>
    <w:basedOn w:val="16"/>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basedOn w:val="42"/>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ind w:left="0"/>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link w:val="303"/>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3"/>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8"/>
    <w:qFormat/>
    <w:uiPriority w:val="99"/>
    <w:rPr>
      <w:kern w:val="2"/>
      <w:sz w:val="18"/>
      <w:szCs w:val="18"/>
    </w:rPr>
  </w:style>
  <w:style w:type="character" w:customStyle="1" w:styleId="282">
    <w:name w:val="正文文本 字符"/>
    <w:link w:val="16"/>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29"/>
    <w:qFormat/>
    <w:uiPriority w:val="99"/>
    <w:rPr>
      <w:kern w:val="2"/>
      <w:sz w:val="18"/>
      <w:szCs w:val="18"/>
    </w:rPr>
  </w:style>
  <w:style w:type="character" w:customStyle="1" w:styleId="285">
    <w:name w:val="正文文本缩进 字符"/>
    <w:link w:val="17"/>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15"/>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0"/>
    <w:qFormat/>
    <w:uiPriority w:val="99"/>
    <w:rPr>
      <w:kern w:val="2"/>
      <w:sz w:val="18"/>
      <w:szCs w:val="18"/>
    </w:rPr>
  </w:style>
  <w:style w:type="character" w:customStyle="1" w:styleId="290">
    <w:name w:val="正文文本缩进 2 字符"/>
    <w:link w:val="26"/>
    <w:qFormat/>
    <w:uiPriority w:val="0"/>
    <w:rPr>
      <w:kern w:val="2"/>
      <w:sz w:val="21"/>
      <w:szCs w:val="24"/>
    </w:rPr>
  </w:style>
  <w:style w:type="character" w:customStyle="1" w:styleId="291">
    <w:name w:val="日期 字符"/>
    <w:link w:val="25"/>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 w:type="paragraph" w:customStyle="1" w:styleId="302">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character" w:customStyle="1" w:styleId="303">
    <w:name w:val="标准书眉一 Char"/>
    <w:link w:val="111"/>
    <w:qFormat/>
    <w:uiPriority w:val="0"/>
    <w:rPr>
      <w:rFonts w:ascii="Times New Roman" w:hAnsi="Times New Roman" w:eastAsia="宋体" w:cs="Times New Roman"/>
      <w:lang w:val="en-US" w:eastAsia="zh-CN" w:bidi="ar-SA"/>
    </w:rPr>
  </w:style>
  <w:style w:type="character" w:customStyle="1" w:styleId="304">
    <w:name w:val="bds_more"/>
    <w:basedOn w:val="42"/>
    <w:qFormat/>
    <w:uiPriority w:val="0"/>
    <w:rPr>
      <w:rFonts w:hint="eastAsia" w:ascii="宋体" w:hAnsi="宋体" w:eastAsia="宋体" w:cs="宋体"/>
    </w:rPr>
  </w:style>
  <w:style w:type="character" w:customStyle="1" w:styleId="305">
    <w:name w:val="bds_more1"/>
    <w:basedOn w:val="42"/>
    <w:qFormat/>
    <w:uiPriority w:val="0"/>
  </w:style>
  <w:style w:type="character" w:customStyle="1" w:styleId="306">
    <w:name w:val="bds_more2"/>
    <w:basedOn w:val="42"/>
    <w:qFormat/>
    <w:uiPriority w:val="0"/>
  </w:style>
  <w:style w:type="character" w:customStyle="1" w:styleId="307">
    <w:name w:val="bds_nopic"/>
    <w:basedOn w:val="42"/>
    <w:qFormat/>
    <w:uiPriority w:val="0"/>
  </w:style>
  <w:style w:type="character" w:customStyle="1" w:styleId="308">
    <w:name w:val="bds_nopic1"/>
    <w:basedOn w:val="42"/>
    <w:qFormat/>
    <w:uiPriority w:val="0"/>
  </w:style>
  <w:style w:type="character" w:customStyle="1" w:styleId="309">
    <w:name w:val="bds_nopic2"/>
    <w:basedOn w:val="42"/>
    <w:qFormat/>
    <w:uiPriority w:val="0"/>
  </w:style>
  <w:style w:type="character" w:customStyle="1" w:styleId="310">
    <w:name w:val="TOC 6 字符"/>
    <w:link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C06E0-E10B-46FD-AB59-2F17ED22A987}">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9</Pages>
  <Words>5820</Words>
  <Characters>6147</Characters>
  <Lines>32</Lines>
  <Paragraphs>9</Paragraphs>
  <TotalTime>1</TotalTime>
  <ScaleCrop>false</ScaleCrop>
  <LinksUpToDate>false</LinksUpToDate>
  <CharactersWithSpaces>6217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2019-11-11T12:12:00Z</dcterms:created>
  <dc:creator>标准李瑞山9585</dc:creator>
  <cp:lastModifiedBy>Administrator</cp:lastModifiedBy>
  <cp:lastPrinted>2023-09-15T05:49:00Z</cp:lastPrinted>
  <dcterms:modified xsi:type="dcterms:W3CDTF">2023-12-25T06:01:00Z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BC44CEB89E694EDD83B254D183F46C9C_12</vt:lpwstr>
  </property>
</Properties>
</file>